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1D79D" w14:textId="77777777" w:rsidR="00302BFE" w:rsidRDefault="00302BFE" w:rsidP="006407FA">
      <w:pPr>
        <w:spacing w:after="0"/>
        <w:ind w:left="2977" w:firstLine="1559"/>
        <w:jc w:val="left"/>
        <w:rPr>
          <w:szCs w:val="20"/>
        </w:rPr>
      </w:pPr>
      <w:bookmarkStart w:id="0" w:name="Annex1"/>
      <w:r>
        <w:rPr>
          <w:noProof/>
        </w:rPr>
        <w:drawing>
          <wp:anchor distT="0" distB="0" distL="114300" distR="114300" simplePos="0" relativeHeight="251660288" behindDoc="1" locked="0" layoutInCell="1" allowOverlap="1" wp14:anchorId="0C3582F8" wp14:editId="7BEE208F">
            <wp:simplePos x="0" y="0"/>
            <wp:positionH relativeFrom="margin">
              <wp:posOffset>5541010</wp:posOffset>
            </wp:positionH>
            <wp:positionV relativeFrom="paragraph">
              <wp:posOffset>0</wp:posOffset>
            </wp:positionV>
            <wp:extent cx="927100" cy="1068705"/>
            <wp:effectExtent l="0" t="0" r="6350" b="0"/>
            <wp:wrapTight wrapText="bothSides">
              <wp:wrapPolygon edited="0">
                <wp:start x="0" y="0"/>
                <wp:lineTo x="0" y="21176"/>
                <wp:lineTo x="21304" y="21176"/>
                <wp:lineTo x="21304" y="0"/>
                <wp:lineTo x="0" y="0"/>
              </wp:wrapPolygon>
            </wp:wrapTight>
            <wp:docPr id="289" name="Image 289"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F-notag-lowres_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7100" cy="10687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B0080"/>
          <w:sz w:val="19"/>
          <w:szCs w:val="19"/>
          <w:vertAlign w:val="superscript"/>
        </w:rPr>
        <w:fldChar w:fldCharType="begin"/>
      </w:r>
      <w:r>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Pr>
          <w:rFonts w:ascii="Arial" w:hAnsi="Arial" w:cs="Arial"/>
          <w:color w:val="0B0080"/>
          <w:sz w:val="19"/>
          <w:szCs w:val="19"/>
          <w:vertAlign w:val="superscript"/>
        </w:rPr>
        <w:fldChar w:fldCharType="separate"/>
      </w:r>
      <w:r w:rsidR="00D27B19">
        <w:rPr>
          <w:rFonts w:ascii="Arial" w:hAnsi="Arial" w:cs="Arial"/>
          <w:color w:val="0B0080"/>
          <w:sz w:val="19"/>
          <w:szCs w:val="19"/>
          <w:vertAlign w:val="superscript"/>
        </w:rPr>
        <w:fldChar w:fldCharType="begin"/>
      </w:r>
      <w:r w:rsidR="00D27B19">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D27B19">
        <w:rPr>
          <w:rFonts w:ascii="Arial" w:hAnsi="Arial" w:cs="Arial"/>
          <w:color w:val="0B0080"/>
          <w:sz w:val="19"/>
          <w:szCs w:val="19"/>
          <w:vertAlign w:val="superscript"/>
        </w:rPr>
        <w:fldChar w:fldCharType="separate"/>
      </w:r>
      <w:r w:rsidR="003D33C0">
        <w:rPr>
          <w:rFonts w:ascii="Arial" w:hAnsi="Arial" w:cs="Arial"/>
          <w:color w:val="0B0080"/>
          <w:sz w:val="19"/>
          <w:szCs w:val="19"/>
          <w:vertAlign w:val="superscript"/>
        </w:rPr>
        <w:fldChar w:fldCharType="begin"/>
      </w:r>
      <w:r w:rsidR="003D33C0">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3D33C0">
        <w:rPr>
          <w:rFonts w:ascii="Arial" w:hAnsi="Arial" w:cs="Arial"/>
          <w:color w:val="0B0080"/>
          <w:sz w:val="19"/>
          <w:szCs w:val="19"/>
          <w:vertAlign w:val="superscript"/>
        </w:rPr>
        <w:fldChar w:fldCharType="separate"/>
      </w:r>
      <w:r w:rsidR="00FF5454">
        <w:rPr>
          <w:rFonts w:ascii="Arial" w:hAnsi="Arial" w:cs="Arial"/>
          <w:color w:val="0B0080"/>
          <w:sz w:val="19"/>
          <w:szCs w:val="19"/>
          <w:vertAlign w:val="superscript"/>
        </w:rPr>
        <w:fldChar w:fldCharType="begin"/>
      </w:r>
      <w:r w:rsidR="00FF5454">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FF5454">
        <w:rPr>
          <w:rFonts w:ascii="Arial" w:hAnsi="Arial" w:cs="Arial"/>
          <w:color w:val="0B0080"/>
          <w:sz w:val="19"/>
          <w:szCs w:val="19"/>
          <w:vertAlign w:val="superscript"/>
        </w:rPr>
        <w:fldChar w:fldCharType="separate"/>
      </w:r>
      <w:r w:rsidR="004A7029">
        <w:rPr>
          <w:rFonts w:ascii="Arial" w:hAnsi="Arial" w:cs="Arial"/>
          <w:color w:val="0B0080"/>
          <w:sz w:val="19"/>
          <w:szCs w:val="19"/>
          <w:vertAlign w:val="superscript"/>
        </w:rPr>
        <w:fldChar w:fldCharType="begin"/>
      </w:r>
      <w:r w:rsidR="004A7029">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4A7029">
        <w:rPr>
          <w:rFonts w:ascii="Arial" w:hAnsi="Arial" w:cs="Arial"/>
          <w:color w:val="0B0080"/>
          <w:sz w:val="19"/>
          <w:szCs w:val="19"/>
          <w:vertAlign w:val="superscript"/>
        </w:rPr>
        <w:fldChar w:fldCharType="separate"/>
      </w:r>
      <w:r w:rsidR="00D80570">
        <w:rPr>
          <w:rFonts w:ascii="Arial" w:hAnsi="Arial" w:cs="Arial"/>
          <w:color w:val="0B0080"/>
          <w:sz w:val="19"/>
          <w:szCs w:val="19"/>
          <w:vertAlign w:val="superscript"/>
        </w:rPr>
        <w:fldChar w:fldCharType="begin"/>
      </w:r>
      <w:r w:rsidR="00D80570">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D80570">
        <w:rPr>
          <w:rFonts w:ascii="Arial" w:hAnsi="Arial" w:cs="Arial"/>
          <w:color w:val="0B0080"/>
          <w:sz w:val="19"/>
          <w:szCs w:val="19"/>
          <w:vertAlign w:val="superscript"/>
        </w:rPr>
        <w:fldChar w:fldCharType="separate"/>
      </w:r>
      <w:r w:rsidR="00A75D44">
        <w:rPr>
          <w:rFonts w:ascii="Arial" w:hAnsi="Arial" w:cs="Arial"/>
          <w:color w:val="0B0080"/>
          <w:sz w:val="19"/>
          <w:szCs w:val="19"/>
          <w:vertAlign w:val="superscript"/>
        </w:rPr>
        <w:fldChar w:fldCharType="begin"/>
      </w:r>
      <w:r w:rsidR="00A75D44">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A75D44">
        <w:rPr>
          <w:rFonts w:ascii="Arial" w:hAnsi="Arial" w:cs="Arial"/>
          <w:color w:val="0B0080"/>
          <w:sz w:val="19"/>
          <w:szCs w:val="19"/>
          <w:vertAlign w:val="superscript"/>
        </w:rPr>
        <w:fldChar w:fldCharType="separate"/>
      </w:r>
      <w:r w:rsidR="00703FF6">
        <w:rPr>
          <w:rFonts w:ascii="Arial" w:hAnsi="Arial" w:cs="Arial"/>
          <w:color w:val="0B0080"/>
          <w:sz w:val="19"/>
          <w:szCs w:val="19"/>
          <w:vertAlign w:val="superscript"/>
        </w:rPr>
        <w:fldChar w:fldCharType="begin"/>
      </w:r>
      <w:r w:rsidR="00703FF6">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703FF6">
        <w:rPr>
          <w:rFonts w:ascii="Arial" w:hAnsi="Arial" w:cs="Arial"/>
          <w:color w:val="0B0080"/>
          <w:sz w:val="19"/>
          <w:szCs w:val="19"/>
          <w:vertAlign w:val="superscript"/>
        </w:rPr>
        <w:fldChar w:fldCharType="separate"/>
      </w:r>
      <w:r w:rsidR="009C3337">
        <w:rPr>
          <w:rFonts w:ascii="Arial" w:hAnsi="Arial" w:cs="Arial"/>
          <w:color w:val="0B0080"/>
          <w:sz w:val="19"/>
          <w:szCs w:val="19"/>
          <w:vertAlign w:val="superscript"/>
        </w:rPr>
        <w:fldChar w:fldCharType="begin"/>
      </w:r>
      <w:r w:rsidR="009C3337">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9C3337">
        <w:rPr>
          <w:rFonts w:ascii="Arial" w:hAnsi="Arial" w:cs="Arial"/>
          <w:color w:val="0B0080"/>
          <w:sz w:val="19"/>
          <w:szCs w:val="19"/>
          <w:vertAlign w:val="superscript"/>
        </w:rPr>
        <w:fldChar w:fldCharType="separate"/>
      </w:r>
      <w:r w:rsidR="00A642FE">
        <w:rPr>
          <w:rFonts w:ascii="Arial" w:hAnsi="Arial" w:cs="Arial"/>
          <w:color w:val="0B0080"/>
          <w:sz w:val="19"/>
          <w:szCs w:val="19"/>
          <w:vertAlign w:val="superscript"/>
        </w:rPr>
        <w:fldChar w:fldCharType="begin"/>
      </w:r>
      <w:r w:rsidR="00A642FE">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A642FE">
        <w:rPr>
          <w:rFonts w:ascii="Arial" w:hAnsi="Arial" w:cs="Arial"/>
          <w:color w:val="0B0080"/>
          <w:sz w:val="19"/>
          <w:szCs w:val="19"/>
          <w:vertAlign w:val="superscript"/>
        </w:rPr>
        <w:fldChar w:fldCharType="separate"/>
      </w:r>
      <w:r w:rsidR="00DC4DA3">
        <w:rPr>
          <w:rFonts w:ascii="Arial" w:hAnsi="Arial" w:cs="Arial"/>
          <w:color w:val="0B0080"/>
          <w:sz w:val="19"/>
          <w:szCs w:val="19"/>
          <w:vertAlign w:val="superscript"/>
        </w:rPr>
        <w:fldChar w:fldCharType="begin"/>
      </w:r>
      <w:r w:rsidR="00DC4DA3">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DC4DA3">
        <w:rPr>
          <w:rFonts w:ascii="Arial" w:hAnsi="Arial" w:cs="Arial"/>
          <w:color w:val="0B0080"/>
          <w:sz w:val="19"/>
          <w:szCs w:val="19"/>
          <w:vertAlign w:val="superscript"/>
        </w:rPr>
        <w:fldChar w:fldCharType="separate"/>
      </w:r>
      <w:r w:rsidR="00913F63">
        <w:rPr>
          <w:rFonts w:ascii="Arial" w:hAnsi="Arial" w:cs="Arial"/>
          <w:color w:val="0B0080"/>
          <w:sz w:val="19"/>
          <w:szCs w:val="19"/>
          <w:vertAlign w:val="superscript"/>
        </w:rPr>
        <w:fldChar w:fldCharType="begin"/>
      </w:r>
      <w:r w:rsidR="00913F63">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913F63">
        <w:rPr>
          <w:rFonts w:ascii="Arial" w:hAnsi="Arial" w:cs="Arial"/>
          <w:color w:val="0B0080"/>
          <w:sz w:val="19"/>
          <w:szCs w:val="19"/>
          <w:vertAlign w:val="superscript"/>
        </w:rPr>
        <w:fldChar w:fldCharType="separate"/>
      </w:r>
      <w:r w:rsidR="00C51E5B">
        <w:rPr>
          <w:rFonts w:ascii="Arial" w:hAnsi="Arial" w:cs="Arial"/>
          <w:color w:val="0B0080"/>
          <w:sz w:val="19"/>
          <w:szCs w:val="19"/>
          <w:vertAlign w:val="superscript"/>
        </w:rPr>
        <w:fldChar w:fldCharType="begin"/>
      </w:r>
      <w:r w:rsidR="00C51E5B">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C51E5B">
        <w:rPr>
          <w:rFonts w:ascii="Arial" w:hAnsi="Arial" w:cs="Arial"/>
          <w:color w:val="0B0080"/>
          <w:sz w:val="19"/>
          <w:szCs w:val="19"/>
          <w:vertAlign w:val="superscript"/>
        </w:rPr>
        <w:fldChar w:fldCharType="separate"/>
      </w:r>
      <w:r w:rsidR="005B1DAA">
        <w:rPr>
          <w:rFonts w:ascii="Arial" w:hAnsi="Arial" w:cs="Arial"/>
          <w:color w:val="0B0080"/>
          <w:sz w:val="19"/>
          <w:szCs w:val="19"/>
          <w:vertAlign w:val="superscript"/>
        </w:rPr>
        <w:fldChar w:fldCharType="begin"/>
      </w:r>
      <w:r w:rsidR="005B1DAA">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5B1DAA">
        <w:rPr>
          <w:rFonts w:ascii="Arial" w:hAnsi="Arial" w:cs="Arial"/>
          <w:color w:val="0B0080"/>
          <w:sz w:val="19"/>
          <w:szCs w:val="19"/>
          <w:vertAlign w:val="superscript"/>
        </w:rPr>
        <w:fldChar w:fldCharType="separate"/>
      </w:r>
      <w:r w:rsidR="00374EF3">
        <w:rPr>
          <w:rFonts w:ascii="Arial" w:hAnsi="Arial" w:cs="Arial"/>
          <w:color w:val="0B0080"/>
          <w:sz w:val="19"/>
          <w:szCs w:val="19"/>
          <w:vertAlign w:val="superscript"/>
        </w:rPr>
        <w:fldChar w:fldCharType="begin"/>
      </w:r>
      <w:r w:rsidR="00374EF3">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374EF3">
        <w:rPr>
          <w:rFonts w:ascii="Arial" w:hAnsi="Arial" w:cs="Arial"/>
          <w:color w:val="0B0080"/>
          <w:sz w:val="19"/>
          <w:szCs w:val="19"/>
          <w:vertAlign w:val="superscript"/>
        </w:rPr>
        <w:fldChar w:fldCharType="separate"/>
      </w:r>
      <w:r w:rsidR="007B486C">
        <w:rPr>
          <w:rFonts w:ascii="Arial" w:hAnsi="Arial" w:cs="Arial"/>
          <w:color w:val="0B0080"/>
          <w:sz w:val="19"/>
          <w:szCs w:val="19"/>
          <w:vertAlign w:val="superscript"/>
        </w:rPr>
        <w:fldChar w:fldCharType="begin"/>
      </w:r>
      <w:r w:rsidR="007B486C">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7B486C">
        <w:rPr>
          <w:rFonts w:ascii="Arial" w:hAnsi="Arial" w:cs="Arial"/>
          <w:color w:val="0B0080"/>
          <w:sz w:val="19"/>
          <w:szCs w:val="19"/>
          <w:vertAlign w:val="superscript"/>
        </w:rPr>
        <w:fldChar w:fldCharType="separate"/>
      </w:r>
      <w:r w:rsidR="00664EBF">
        <w:rPr>
          <w:rFonts w:ascii="Arial" w:hAnsi="Arial" w:cs="Arial"/>
          <w:color w:val="0B0080"/>
          <w:sz w:val="19"/>
          <w:szCs w:val="19"/>
          <w:vertAlign w:val="superscript"/>
        </w:rPr>
        <w:fldChar w:fldCharType="begin"/>
      </w:r>
      <w:r w:rsidR="00664EBF">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664EBF">
        <w:rPr>
          <w:rFonts w:ascii="Arial" w:hAnsi="Arial" w:cs="Arial"/>
          <w:color w:val="0B0080"/>
          <w:sz w:val="19"/>
          <w:szCs w:val="19"/>
          <w:vertAlign w:val="superscript"/>
        </w:rPr>
        <w:fldChar w:fldCharType="separate"/>
      </w:r>
      <w:r w:rsidR="0099310D">
        <w:rPr>
          <w:rFonts w:ascii="Arial" w:hAnsi="Arial" w:cs="Arial"/>
          <w:color w:val="0B0080"/>
          <w:sz w:val="19"/>
          <w:szCs w:val="19"/>
          <w:vertAlign w:val="superscript"/>
        </w:rPr>
        <w:fldChar w:fldCharType="begin"/>
      </w:r>
      <w:r w:rsidR="0099310D">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99310D">
        <w:rPr>
          <w:rFonts w:ascii="Arial" w:hAnsi="Arial" w:cs="Arial"/>
          <w:color w:val="0B0080"/>
          <w:sz w:val="19"/>
          <w:szCs w:val="19"/>
          <w:vertAlign w:val="superscript"/>
        </w:rPr>
        <w:fldChar w:fldCharType="separate"/>
      </w:r>
      <w:r w:rsidR="00482906">
        <w:rPr>
          <w:rFonts w:ascii="Arial" w:hAnsi="Arial" w:cs="Arial"/>
          <w:color w:val="0B0080"/>
          <w:sz w:val="19"/>
          <w:szCs w:val="19"/>
          <w:vertAlign w:val="superscript"/>
        </w:rPr>
        <w:fldChar w:fldCharType="begin"/>
      </w:r>
      <w:r w:rsidR="00482906">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482906">
        <w:rPr>
          <w:rFonts w:ascii="Arial" w:hAnsi="Arial" w:cs="Arial"/>
          <w:color w:val="0B0080"/>
          <w:sz w:val="19"/>
          <w:szCs w:val="19"/>
          <w:vertAlign w:val="superscript"/>
        </w:rPr>
        <w:fldChar w:fldCharType="separate"/>
      </w:r>
      <w:r w:rsidR="004F7A7F">
        <w:rPr>
          <w:rFonts w:ascii="Arial" w:hAnsi="Arial" w:cs="Arial"/>
          <w:color w:val="0B0080"/>
          <w:sz w:val="19"/>
          <w:szCs w:val="19"/>
          <w:vertAlign w:val="superscript"/>
        </w:rPr>
        <w:fldChar w:fldCharType="begin"/>
      </w:r>
      <w:r w:rsidR="004F7A7F">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4F7A7F">
        <w:rPr>
          <w:rFonts w:ascii="Arial" w:hAnsi="Arial" w:cs="Arial"/>
          <w:color w:val="0B0080"/>
          <w:sz w:val="19"/>
          <w:szCs w:val="19"/>
          <w:vertAlign w:val="superscript"/>
        </w:rPr>
        <w:fldChar w:fldCharType="separate"/>
      </w:r>
      <w:r w:rsidR="00DF4BFF">
        <w:rPr>
          <w:rFonts w:ascii="Arial" w:hAnsi="Arial" w:cs="Arial"/>
          <w:color w:val="0B0080"/>
          <w:sz w:val="19"/>
          <w:szCs w:val="19"/>
          <w:vertAlign w:val="superscript"/>
        </w:rPr>
        <w:fldChar w:fldCharType="begin"/>
      </w:r>
      <w:r w:rsidR="00DF4BFF">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DF4BFF">
        <w:rPr>
          <w:rFonts w:ascii="Arial" w:hAnsi="Arial" w:cs="Arial"/>
          <w:color w:val="0B0080"/>
          <w:sz w:val="19"/>
          <w:szCs w:val="19"/>
          <w:vertAlign w:val="superscript"/>
        </w:rPr>
        <w:fldChar w:fldCharType="separate"/>
      </w:r>
      <w:r w:rsidR="00417D39">
        <w:rPr>
          <w:rFonts w:ascii="Arial" w:hAnsi="Arial" w:cs="Arial"/>
          <w:color w:val="0B0080"/>
          <w:sz w:val="19"/>
          <w:szCs w:val="19"/>
          <w:vertAlign w:val="superscript"/>
        </w:rPr>
        <w:fldChar w:fldCharType="begin"/>
      </w:r>
      <w:r w:rsidR="00417D39">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417D39">
        <w:rPr>
          <w:rFonts w:ascii="Arial" w:hAnsi="Arial" w:cs="Arial"/>
          <w:color w:val="0B0080"/>
          <w:sz w:val="19"/>
          <w:szCs w:val="19"/>
          <w:vertAlign w:val="superscript"/>
        </w:rPr>
        <w:fldChar w:fldCharType="separate"/>
      </w:r>
      <w:r w:rsidR="00BD2AC4">
        <w:rPr>
          <w:rFonts w:ascii="Arial" w:hAnsi="Arial" w:cs="Arial"/>
          <w:color w:val="0B0080"/>
          <w:sz w:val="19"/>
          <w:szCs w:val="19"/>
          <w:vertAlign w:val="superscript"/>
        </w:rPr>
        <w:fldChar w:fldCharType="begin"/>
      </w:r>
      <w:r w:rsidR="00BD2AC4">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BD2AC4">
        <w:rPr>
          <w:rFonts w:ascii="Arial" w:hAnsi="Arial" w:cs="Arial"/>
          <w:color w:val="0B0080"/>
          <w:sz w:val="19"/>
          <w:szCs w:val="19"/>
          <w:vertAlign w:val="superscript"/>
        </w:rPr>
        <w:fldChar w:fldCharType="separate"/>
      </w:r>
      <w:r w:rsidR="00C756F3">
        <w:rPr>
          <w:rFonts w:ascii="Arial" w:hAnsi="Arial" w:cs="Arial"/>
          <w:color w:val="0B0080"/>
          <w:sz w:val="19"/>
          <w:szCs w:val="19"/>
          <w:vertAlign w:val="superscript"/>
        </w:rPr>
        <w:fldChar w:fldCharType="begin"/>
      </w:r>
      <w:r w:rsidR="00C756F3">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C756F3">
        <w:rPr>
          <w:rFonts w:ascii="Arial" w:hAnsi="Arial" w:cs="Arial"/>
          <w:color w:val="0B0080"/>
          <w:sz w:val="19"/>
          <w:szCs w:val="19"/>
          <w:vertAlign w:val="superscript"/>
        </w:rPr>
        <w:fldChar w:fldCharType="separate"/>
      </w:r>
      <w:r w:rsidR="00ED1ADA">
        <w:rPr>
          <w:rFonts w:ascii="Arial" w:hAnsi="Arial" w:cs="Arial"/>
          <w:color w:val="0B0080"/>
          <w:sz w:val="19"/>
          <w:szCs w:val="19"/>
          <w:vertAlign w:val="superscript"/>
        </w:rPr>
        <w:fldChar w:fldCharType="begin"/>
      </w:r>
      <w:r w:rsidR="00ED1ADA">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ED1ADA">
        <w:rPr>
          <w:rFonts w:ascii="Arial" w:hAnsi="Arial" w:cs="Arial"/>
          <w:color w:val="0B0080"/>
          <w:sz w:val="19"/>
          <w:szCs w:val="19"/>
          <w:vertAlign w:val="superscript"/>
        </w:rPr>
        <w:fldChar w:fldCharType="separate"/>
      </w:r>
      <w:r w:rsidR="00212259">
        <w:rPr>
          <w:rFonts w:ascii="Arial" w:hAnsi="Arial" w:cs="Arial"/>
          <w:color w:val="0B0080"/>
          <w:sz w:val="19"/>
          <w:szCs w:val="19"/>
          <w:vertAlign w:val="superscript"/>
        </w:rPr>
        <w:fldChar w:fldCharType="begin"/>
      </w:r>
      <w:r w:rsidR="00212259">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212259">
        <w:rPr>
          <w:rFonts w:ascii="Arial" w:hAnsi="Arial" w:cs="Arial"/>
          <w:color w:val="0B0080"/>
          <w:sz w:val="19"/>
          <w:szCs w:val="19"/>
          <w:vertAlign w:val="superscript"/>
        </w:rPr>
        <w:fldChar w:fldCharType="separate"/>
      </w:r>
      <w:r w:rsidR="00271A74">
        <w:rPr>
          <w:rFonts w:ascii="Arial" w:hAnsi="Arial" w:cs="Arial"/>
          <w:color w:val="0B0080"/>
          <w:sz w:val="19"/>
          <w:szCs w:val="19"/>
          <w:vertAlign w:val="superscript"/>
        </w:rPr>
        <w:fldChar w:fldCharType="begin"/>
      </w:r>
      <w:r w:rsidR="00271A74">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271A74">
        <w:rPr>
          <w:rFonts w:ascii="Arial" w:hAnsi="Arial" w:cs="Arial"/>
          <w:color w:val="0B0080"/>
          <w:sz w:val="19"/>
          <w:szCs w:val="19"/>
          <w:vertAlign w:val="superscript"/>
        </w:rPr>
        <w:fldChar w:fldCharType="separate"/>
      </w:r>
      <w:r w:rsidR="00E56F19">
        <w:rPr>
          <w:rFonts w:ascii="Arial" w:hAnsi="Arial" w:cs="Arial"/>
          <w:color w:val="0B0080"/>
          <w:sz w:val="19"/>
          <w:szCs w:val="19"/>
          <w:vertAlign w:val="superscript"/>
        </w:rPr>
        <w:fldChar w:fldCharType="begin"/>
      </w:r>
      <w:r w:rsidR="00E56F19">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E56F19">
        <w:rPr>
          <w:rFonts w:ascii="Arial" w:hAnsi="Arial" w:cs="Arial"/>
          <w:color w:val="0B0080"/>
          <w:sz w:val="19"/>
          <w:szCs w:val="19"/>
          <w:vertAlign w:val="superscript"/>
        </w:rPr>
        <w:fldChar w:fldCharType="separate"/>
      </w:r>
      <w:r w:rsidR="005B5F4B">
        <w:rPr>
          <w:rFonts w:ascii="Arial" w:hAnsi="Arial" w:cs="Arial"/>
          <w:color w:val="0B0080"/>
          <w:sz w:val="19"/>
          <w:szCs w:val="19"/>
          <w:vertAlign w:val="superscript"/>
        </w:rPr>
        <w:fldChar w:fldCharType="begin"/>
      </w:r>
      <w:r w:rsidR="005B5F4B">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5B5F4B">
        <w:rPr>
          <w:rFonts w:ascii="Arial" w:hAnsi="Arial" w:cs="Arial"/>
          <w:color w:val="0B0080"/>
          <w:sz w:val="19"/>
          <w:szCs w:val="19"/>
          <w:vertAlign w:val="superscript"/>
        </w:rPr>
        <w:fldChar w:fldCharType="separate"/>
      </w:r>
      <w:r w:rsidR="00EF6D8E">
        <w:rPr>
          <w:rFonts w:ascii="Arial" w:hAnsi="Arial" w:cs="Arial"/>
          <w:color w:val="0B0080"/>
          <w:sz w:val="19"/>
          <w:szCs w:val="19"/>
          <w:vertAlign w:val="superscript"/>
        </w:rPr>
        <w:fldChar w:fldCharType="begin"/>
      </w:r>
      <w:r w:rsidR="00EF6D8E">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EF6D8E">
        <w:rPr>
          <w:rFonts w:ascii="Arial" w:hAnsi="Arial" w:cs="Arial"/>
          <w:color w:val="0B0080"/>
          <w:sz w:val="19"/>
          <w:szCs w:val="19"/>
          <w:vertAlign w:val="superscript"/>
        </w:rPr>
        <w:fldChar w:fldCharType="separate"/>
      </w:r>
      <w:r w:rsidR="00157582">
        <w:rPr>
          <w:rFonts w:ascii="Arial" w:hAnsi="Arial" w:cs="Arial"/>
          <w:color w:val="0B0080"/>
          <w:sz w:val="19"/>
          <w:szCs w:val="19"/>
          <w:vertAlign w:val="superscript"/>
        </w:rPr>
        <w:fldChar w:fldCharType="begin"/>
      </w:r>
      <w:r w:rsidR="00157582">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157582">
        <w:rPr>
          <w:rFonts w:ascii="Arial" w:hAnsi="Arial" w:cs="Arial"/>
          <w:color w:val="0B0080"/>
          <w:sz w:val="19"/>
          <w:szCs w:val="19"/>
          <w:vertAlign w:val="superscript"/>
        </w:rPr>
        <w:fldChar w:fldCharType="separate"/>
      </w:r>
      <w:r w:rsidR="00D57400">
        <w:rPr>
          <w:rFonts w:ascii="Arial" w:hAnsi="Arial" w:cs="Arial"/>
          <w:color w:val="0B0080"/>
          <w:sz w:val="19"/>
          <w:szCs w:val="19"/>
          <w:vertAlign w:val="superscript"/>
        </w:rPr>
        <w:fldChar w:fldCharType="begin"/>
      </w:r>
      <w:r w:rsidR="00D57400">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D57400">
        <w:rPr>
          <w:rFonts w:ascii="Arial" w:hAnsi="Arial" w:cs="Arial"/>
          <w:color w:val="0B0080"/>
          <w:sz w:val="19"/>
          <w:szCs w:val="19"/>
          <w:vertAlign w:val="superscript"/>
        </w:rPr>
        <w:fldChar w:fldCharType="separate"/>
      </w:r>
      <w:r w:rsidR="006835AE">
        <w:rPr>
          <w:rFonts w:ascii="Arial" w:hAnsi="Arial" w:cs="Arial"/>
          <w:color w:val="0B0080"/>
          <w:sz w:val="19"/>
          <w:szCs w:val="19"/>
          <w:vertAlign w:val="superscript"/>
        </w:rPr>
        <w:fldChar w:fldCharType="begin"/>
      </w:r>
      <w:r w:rsidR="006835AE">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6835AE">
        <w:rPr>
          <w:rFonts w:ascii="Arial" w:hAnsi="Arial" w:cs="Arial"/>
          <w:color w:val="0B0080"/>
          <w:sz w:val="19"/>
          <w:szCs w:val="19"/>
          <w:vertAlign w:val="superscript"/>
        </w:rPr>
        <w:fldChar w:fldCharType="separate"/>
      </w:r>
      <w:r w:rsidR="001F1665">
        <w:rPr>
          <w:rFonts w:ascii="Arial" w:hAnsi="Arial" w:cs="Arial"/>
          <w:color w:val="0B0080"/>
          <w:sz w:val="19"/>
          <w:szCs w:val="19"/>
          <w:vertAlign w:val="superscript"/>
        </w:rPr>
        <w:fldChar w:fldCharType="begin"/>
      </w:r>
      <w:r w:rsidR="001F1665">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1F1665">
        <w:rPr>
          <w:rFonts w:ascii="Arial" w:hAnsi="Arial" w:cs="Arial"/>
          <w:color w:val="0B0080"/>
          <w:sz w:val="19"/>
          <w:szCs w:val="19"/>
          <w:vertAlign w:val="superscript"/>
        </w:rPr>
        <w:fldChar w:fldCharType="separate"/>
      </w:r>
      <w:r w:rsidR="00BA1863">
        <w:rPr>
          <w:rFonts w:ascii="Arial" w:hAnsi="Arial" w:cs="Arial"/>
          <w:color w:val="0B0080"/>
          <w:sz w:val="19"/>
          <w:szCs w:val="19"/>
          <w:vertAlign w:val="superscript"/>
        </w:rPr>
        <w:fldChar w:fldCharType="begin"/>
      </w:r>
      <w:r w:rsidR="00BA1863">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BA1863">
        <w:rPr>
          <w:rFonts w:ascii="Arial" w:hAnsi="Arial" w:cs="Arial"/>
          <w:color w:val="0B0080"/>
          <w:sz w:val="19"/>
          <w:szCs w:val="19"/>
          <w:vertAlign w:val="superscript"/>
        </w:rPr>
        <w:fldChar w:fldCharType="separate"/>
      </w:r>
      <w:r w:rsidR="00173284">
        <w:rPr>
          <w:rFonts w:ascii="Arial" w:hAnsi="Arial" w:cs="Arial"/>
          <w:color w:val="0B0080"/>
          <w:sz w:val="19"/>
          <w:szCs w:val="19"/>
          <w:vertAlign w:val="superscript"/>
        </w:rPr>
        <w:fldChar w:fldCharType="begin"/>
      </w:r>
      <w:r w:rsidR="00173284">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173284">
        <w:rPr>
          <w:rFonts w:ascii="Arial" w:hAnsi="Arial" w:cs="Arial"/>
          <w:color w:val="0B0080"/>
          <w:sz w:val="19"/>
          <w:szCs w:val="19"/>
          <w:vertAlign w:val="superscript"/>
        </w:rPr>
        <w:fldChar w:fldCharType="separate"/>
      </w:r>
      <w:r w:rsidR="006D6AC4">
        <w:rPr>
          <w:rFonts w:ascii="Arial" w:hAnsi="Arial" w:cs="Arial"/>
          <w:color w:val="0B0080"/>
          <w:sz w:val="19"/>
          <w:szCs w:val="19"/>
          <w:vertAlign w:val="superscript"/>
        </w:rPr>
        <w:fldChar w:fldCharType="begin"/>
      </w:r>
      <w:r w:rsidR="006D6AC4">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6D6AC4">
        <w:rPr>
          <w:rFonts w:ascii="Arial" w:hAnsi="Arial" w:cs="Arial"/>
          <w:color w:val="0B0080"/>
          <w:sz w:val="19"/>
          <w:szCs w:val="19"/>
          <w:vertAlign w:val="superscript"/>
        </w:rPr>
        <w:fldChar w:fldCharType="separate"/>
      </w:r>
      <w:r w:rsidR="00902601">
        <w:rPr>
          <w:rFonts w:ascii="Arial" w:hAnsi="Arial" w:cs="Arial"/>
          <w:color w:val="0B0080"/>
          <w:sz w:val="19"/>
          <w:szCs w:val="19"/>
          <w:vertAlign w:val="superscript"/>
        </w:rPr>
        <w:fldChar w:fldCharType="begin"/>
      </w:r>
      <w:r w:rsidR="00902601">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902601">
        <w:rPr>
          <w:rFonts w:ascii="Arial" w:hAnsi="Arial" w:cs="Arial"/>
          <w:color w:val="0B0080"/>
          <w:sz w:val="19"/>
          <w:szCs w:val="19"/>
          <w:vertAlign w:val="superscript"/>
        </w:rPr>
        <w:fldChar w:fldCharType="separate"/>
      </w:r>
      <w:r w:rsidR="00EC409B">
        <w:rPr>
          <w:rFonts w:ascii="Arial" w:hAnsi="Arial" w:cs="Arial"/>
          <w:color w:val="0B0080"/>
          <w:sz w:val="19"/>
          <w:szCs w:val="19"/>
          <w:vertAlign w:val="superscript"/>
        </w:rPr>
        <w:fldChar w:fldCharType="begin"/>
      </w:r>
      <w:r w:rsidR="00EC409B">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EC409B">
        <w:rPr>
          <w:rFonts w:ascii="Arial" w:hAnsi="Arial" w:cs="Arial"/>
          <w:color w:val="0B0080"/>
          <w:sz w:val="19"/>
          <w:szCs w:val="19"/>
          <w:vertAlign w:val="superscript"/>
        </w:rPr>
        <w:fldChar w:fldCharType="separate"/>
      </w:r>
      <w:r w:rsidR="004B06DD">
        <w:rPr>
          <w:rFonts w:ascii="Arial" w:hAnsi="Arial" w:cs="Arial"/>
          <w:color w:val="0B0080"/>
          <w:sz w:val="19"/>
          <w:szCs w:val="19"/>
          <w:vertAlign w:val="superscript"/>
        </w:rPr>
        <w:fldChar w:fldCharType="begin"/>
      </w:r>
      <w:r w:rsidR="004B06DD">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4B06DD">
        <w:rPr>
          <w:rFonts w:ascii="Arial" w:hAnsi="Arial" w:cs="Arial"/>
          <w:color w:val="0B0080"/>
          <w:sz w:val="19"/>
          <w:szCs w:val="19"/>
          <w:vertAlign w:val="superscript"/>
        </w:rPr>
        <w:fldChar w:fldCharType="separate"/>
      </w:r>
      <w:r w:rsidR="00E21AE5">
        <w:rPr>
          <w:rFonts w:ascii="Arial" w:hAnsi="Arial" w:cs="Arial"/>
          <w:color w:val="0B0080"/>
          <w:sz w:val="19"/>
          <w:szCs w:val="19"/>
          <w:vertAlign w:val="superscript"/>
        </w:rPr>
        <w:fldChar w:fldCharType="begin"/>
      </w:r>
      <w:r w:rsidR="00E21AE5">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E21AE5">
        <w:rPr>
          <w:rFonts w:ascii="Arial" w:hAnsi="Arial" w:cs="Arial"/>
          <w:color w:val="0B0080"/>
          <w:sz w:val="19"/>
          <w:szCs w:val="19"/>
          <w:vertAlign w:val="superscript"/>
        </w:rPr>
        <w:fldChar w:fldCharType="separate"/>
      </w:r>
      <w:r w:rsidR="00A50C2D">
        <w:rPr>
          <w:rFonts w:ascii="Arial" w:hAnsi="Arial" w:cs="Arial"/>
          <w:color w:val="0B0080"/>
          <w:sz w:val="19"/>
          <w:szCs w:val="19"/>
          <w:vertAlign w:val="superscript"/>
        </w:rPr>
        <w:fldChar w:fldCharType="begin"/>
      </w:r>
      <w:r w:rsidR="00A50C2D">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A50C2D">
        <w:rPr>
          <w:rFonts w:ascii="Arial" w:hAnsi="Arial" w:cs="Arial"/>
          <w:color w:val="0B0080"/>
          <w:sz w:val="19"/>
          <w:szCs w:val="19"/>
          <w:vertAlign w:val="superscript"/>
        </w:rPr>
        <w:fldChar w:fldCharType="separate"/>
      </w:r>
      <w:r w:rsidR="00361702">
        <w:rPr>
          <w:rFonts w:ascii="Arial" w:hAnsi="Arial" w:cs="Arial"/>
          <w:color w:val="0B0080"/>
          <w:sz w:val="19"/>
          <w:szCs w:val="19"/>
          <w:vertAlign w:val="superscript"/>
        </w:rPr>
        <w:fldChar w:fldCharType="begin"/>
      </w:r>
      <w:r w:rsidR="00361702">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361702">
        <w:rPr>
          <w:rFonts w:ascii="Arial" w:hAnsi="Arial" w:cs="Arial"/>
          <w:color w:val="0B0080"/>
          <w:sz w:val="19"/>
          <w:szCs w:val="19"/>
          <w:vertAlign w:val="superscript"/>
        </w:rPr>
        <w:fldChar w:fldCharType="separate"/>
      </w:r>
      <w:r w:rsidR="004205FD">
        <w:rPr>
          <w:rFonts w:ascii="Arial" w:hAnsi="Arial" w:cs="Arial"/>
          <w:color w:val="0B0080"/>
          <w:sz w:val="19"/>
          <w:szCs w:val="19"/>
          <w:vertAlign w:val="superscript"/>
        </w:rPr>
        <w:fldChar w:fldCharType="begin"/>
      </w:r>
      <w:r w:rsidR="004205FD">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4205FD">
        <w:rPr>
          <w:rFonts w:ascii="Arial" w:hAnsi="Arial" w:cs="Arial"/>
          <w:color w:val="0B0080"/>
          <w:sz w:val="19"/>
          <w:szCs w:val="19"/>
          <w:vertAlign w:val="superscript"/>
        </w:rPr>
        <w:fldChar w:fldCharType="separate"/>
      </w:r>
      <w:r w:rsidR="001F1386">
        <w:rPr>
          <w:rFonts w:ascii="Arial" w:hAnsi="Arial" w:cs="Arial"/>
          <w:color w:val="0B0080"/>
          <w:sz w:val="19"/>
          <w:szCs w:val="19"/>
          <w:vertAlign w:val="superscript"/>
        </w:rPr>
        <w:fldChar w:fldCharType="begin"/>
      </w:r>
      <w:r w:rsidR="001F1386">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1F1386">
        <w:rPr>
          <w:rFonts w:ascii="Arial" w:hAnsi="Arial" w:cs="Arial"/>
          <w:color w:val="0B0080"/>
          <w:sz w:val="19"/>
          <w:szCs w:val="19"/>
          <w:vertAlign w:val="superscript"/>
        </w:rPr>
        <w:fldChar w:fldCharType="separate"/>
      </w:r>
      <w:r>
        <w:rPr>
          <w:rFonts w:ascii="Arial" w:hAnsi="Arial" w:cs="Arial"/>
          <w:color w:val="0B0080"/>
          <w:sz w:val="19"/>
          <w:szCs w:val="19"/>
          <w:vertAlign w:val="superscript"/>
        </w:rPr>
        <w:fldChar w:fldCharType="begin"/>
      </w:r>
      <w:r>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Pr>
          <w:rFonts w:ascii="Arial" w:hAnsi="Arial" w:cs="Arial"/>
          <w:color w:val="0B0080"/>
          <w:sz w:val="19"/>
          <w:szCs w:val="19"/>
          <w:vertAlign w:val="superscript"/>
        </w:rPr>
        <w:fldChar w:fldCharType="separate"/>
      </w:r>
      <w:r>
        <w:rPr>
          <w:rFonts w:ascii="Arial" w:hAnsi="Arial" w:cs="Arial"/>
          <w:color w:val="0B0080"/>
          <w:sz w:val="19"/>
          <w:szCs w:val="19"/>
          <w:vertAlign w:val="superscript"/>
        </w:rPr>
        <w:fldChar w:fldCharType="begin"/>
      </w:r>
      <w:r>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Pr>
          <w:rFonts w:ascii="Arial" w:hAnsi="Arial" w:cs="Arial"/>
          <w:color w:val="0B0080"/>
          <w:sz w:val="19"/>
          <w:szCs w:val="19"/>
          <w:vertAlign w:val="superscript"/>
        </w:rPr>
        <w:fldChar w:fldCharType="separate"/>
      </w:r>
      <w:r>
        <w:rPr>
          <w:rFonts w:ascii="Arial" w:hAnsi="Arial" w:cs="Arial"/>
          <w:color w:val="0B0080"/>
          <w:sz w:val="19"/>
          <w:szCs w:val="19"/>
          <w:vertAlign w:val="superscript"/>
        </w:rPr>
        <w:fldChar w:fldCharType="begin"/>
      </w:r>
      <w:r>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Pr>
          <w:rFonts w:ascii="Arial" w:hAnsi="Arial" w:cs="Arial"/>
          <w:color w:val="0B0080"/>
          <w:sz w:val="19"/>
          <w:szCs w:val="19"/>
          <w:vertAlign w:val="superscript"/>
        </w:rPr>
        <w:fldChar w:fldCharType="separate"/>
      </w:r>
      <w:r>
        <w:rPr>
          <w:rFonts w:ascii="Arial" w:hAnsi="Arial" w:cs="Arial"/>
          <w:color w:val="0B0080"/>
          <w:sz w:val="19"/>
          <w:szCs w:val="19"/>
          <w:vertAlign w:val="superscript"/>
        </w:rPr>
        <w:fldChar w:fldCharType="begin"/>
      </w:r>
      <w:r>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Pr>
          <w:rFonts w:ascii="Arial" w:hAnsi="Arial" w:cs="Arial"/>
          <w:color w:val="0B0080"/>
          <w:sz w:val="19"/>
          <w:szCs w:val="19"/>
          <w:vertAlign w:val="superscript"/>
        </w:rPr>
        <w:fldChar w:fldCharType="separate"/>
      </w:r>
      <w:r>
        <w:rPr>
          <w:rFonts w:ascii="Arial" w:hAnsi="Arial" w:cs="Arial"/>
          <w:color w:val="0B0080"/>
          <w:sz w:val="19"/>
          <w:szCs w:val="19"/>
          <w:vertAlign w:val="superscript"/>
        </w:rPr>
        <w:fldChar w:fldCharType="begin"/>
      </w:r>
      <w:r>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Pr>
          <w:rFonts w:ascii="Arial" w:hAnsi="Arial" w:cs="Arial"/>
          <w:color w:val="0B0080"/>
          <w:sz w:val="19"/>
          <w:szCs w:val="19"/>
          <w:vertAlign w:val="superscript"/>
        </w:rPr>
        <w:fldChar w:fldCharType="separate"/>
      </w:r>
      <w:r w:rsidR="00074336">
        <w:rPr>
          <w:rFonts w:ascii="Arial" w:hAnsi="Arial" w:cs="Arial"/>
          <w:color w:val="0B0080"/>
          <w:sz w:val="19"/>
          <w:szCs w:val="19"/>
          <w:vertAlign w:val="superscript"/>
        </w:rPr>
        <w:fldChar w:fldCharType="begin"/>
      </w:r>
      <w:r w:rsidR="00074336">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074336">
        <w:rPr>
          <w:rFonts w:ascii="Arial" w:hAnsi="Arial" w:cs="Arial"/>
          <w:color w:val="0B0080"/>
          <w:sz w:val="19"/>
          <w:szCs w:val="19"/>
          <w:vertAlign w:val="superscript"/>
        </w:rPr>
        <w:fldChar w:fldCharType="separate"/>
      </w:r>
      <w:r>
        <w:rPr>
          <w:rFonts w:ascii="Arial" w:hAnsi="Arial" w:cs="Arial"/>
          <w:color w:val="0B0080"/>
          <w:sz w:val="19"/>
          <w:szCs w:val="19"/>
          <w:vertAlign w:val="superscript"/>
        </w:rPr>
        <w:fldChar w:fldCharType="begin"/>
      </w:r>
      <w:r>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Pr>
          <w:rFonts w:ascii="Arial" w:hAnsi="Arial" w:cs="Arial"/>
          <w:color w:val="0B0080"/>
          <w:sz w:val="19"/>
          <w:szCs w:val="19"/>
          <w:vertAlign w:val="superscript"/>
        </w:rPr>
        <w:fldChar w:fldCharType="separate"/>
      </w:r>
      <w:r>
        <w:rPr>
          <w:rFonts w:ascii="Arial" w:hAnsi="Arial" w:cs="Arial"/>
          <w:color w:val="0B0080"/>
          <w:sz w:val="19"/>
          <w:szCs w:val="19"/>
          <w:vertAlign w:val="superscript"/>
        </w:rPr>
        <w:fldChar w:fldCharType="begin"/>
      </w:r>
      <w:r>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Pr>
          <w:rFonts w:ascii="Arial" w:hAnsi="Arial" w:cs="Arial"/>
          <w:color w:val="0B0080"/>
          <w:sz w:val="19"/>
          <w:szCs w:val="19"/>
          <w:vertAlign w:val="superscript"/>
        </w:rPr>
        <w:fldChar w:fldCharType="separate"/>
      </w:r>
      <w:r w:rsidR="00000000">
        <w:rPr>
          <w:rFonts w:ascii="Arial" w:hAnsi="Arial" w:cs="Arial"/>
          <w:color w:val="0B0080"/>
          <w:sz w:val="19"/>
          <w:szCs w:val="19"/>
          <w:vertAlign w:val="superscript"/>
        </w:rPr>
        <w:fldChar w:fldCharType="begin"/>
      </w:r>
      <w:r w:rsidR="00000000">
        <w:rPr>
          <w:rFonts w:ascii="Arial" w:hAnsi="Arial" w:cs="Arial"/>
          <w:color w:val="0B0080"/>
          <w:sz w:val="19"/>
          <w:szCs w:val="19"/>
          <w:vertAlign w:val="superscript"/>
        </w:rPr>
        <w:instrText xml:space="preserve"> INCLUDEPICTURE  "https://upload.wikimedia.org/wikipedia/commons/thumb/9/96/Coat_of_arms_of_Burkina_Faso.svg/88px-Coat_of_arms_of_Burkina_Faso.svg.png" \* MERGEFORMATINET </w:instrText>
      </w:r>
      <w:r w:rsidR="00000000">
        <w:rPr>
          <w:rFonts w:ascii="Arial" w:hAnsi="Arial" w:cs="Arial"/>
          <w:color w:val="0B0080"/>
          <w:sz w:val="19"/>
          <w:szCs w:val="19"/>
          <w:vertAlign w:val="superscript"/>
        </w:rPr>
        <w:fldChar w:fldCharType="separate"/>
      </w:r>
      <w:r w:rsidR="00000000">
        <w:rPr>
          <w:rFonts w:ascii="Arial" w:hAnsi="Arial" w:cs="Arial"/>
          <w:color w:val="0B0080"/>
          <w:sz w:val="19"/>
          <w:szCs w:val="19"/>
          <w:vertAlign w:val="superscript"/>
        </w:rPr>
        <w:pict w14:anchorId="7963FE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lason" title="&quot;Blason&quot;" style="width:77.05pt;height:87.6pt" o:button="t">
            <v:imagedata r:id="rId12" r:href="rId13"/>
          </v:shape>
        </w:pict>
      </w:r>
      <w:r w:rsidR="00000000">
        <w:rPr>
          <w:rFonts w:ascii="Arial" w:hAnsi="Arial" w:cs="Arial"/>
          <w:color w:val="0B0080"/>
          <w:sz w:val="19"/>
          <w:szCs w:val="19"/>
          <w:vertAlign w:val="superscript"/>
        </w:rPr>
        <w:fldChar w:fldCharType="end"/>
      </w:r>
      <w:r>
        <w:rPr>
          <w:rFonts w:ascii="Arial" w:hAnsi="Arial" w:cs="Arial"/>
          <w:color w:val="0B0080"/>
          <w:sz w:val="19"/>
          <w:szCs w:val="19"/>
          <w:vertAlign w:val="superscript"/>
        </w:rPr>
        <w:fldChar w:fldCharType="end"/>
      </w:r>
      <w:r>
        <w:rPr>
          <w:rFonts w:ascii="Arial" w:hAnsi="Arial" w:cs="Arial"/>
          <w:color w:val="0B0080"/>
          <w:sz w:val="19"/>
          <w:szCs w:val="19"/>
          <w:vertAlign w:val="superscript"/>
        </w:rPr>
        <w:fldChar w:fldCharType="end"/>
      </w:r>
      <w:r w:rsidR="00074336">
        <w:rPr>
          <w:rFonts w:ascii="Arial" w:hAnsi="Arial" w:cs="Arial"/>
          <w:color w:val="0B0080"/>
          <w:sz w:val="19"/>
          <w:szCs w:val="19"/>
          <w:vertAlign w:val="superscript"/>
        </w:rPr>
        <w:fldChar w:fldCharType="end"/>
      </w:r>
      <w:r>
        <w:rPr>
          <w:rFonts w:ascii="Arial" w:hAnsi="Arial" w:cs="Arial"/>
          <w:color w:val="0B0080"/>
          <w:sz w:val="19"/>
          <w:szCs w:val="19"/>
          <w:vertAlign w:val="superscript"/>
        </w:rPr>
        <w:fldChar w:fldCharType="end"/>
      </w:r>
      <w:r>
        <w:rPr>
          <w:rFonts w:ascii="Arial" w:hAnsi="Arial" w:cs="Arial"/>
          <w:color w:val="0B0080"/>
          <w:sz w:val="19"/>
          <w:szCs w:val="19"/>
          <w:vertAlign w:val="superscript"/>
        </w:rPr>
        <w:fldChar w:fldCharType="end"/>
      </w:r>
      <w:r>
        <w:rPr>
          <w:rFonts w:ascii="Arial" w:hAnsi="Arial" w:cs="Arial"/>
          <w:color w:val="0B0080"/>
          <w:sz w:val="19"/>
          <w:szCs w:val="19"/>
          <w:vertAlign w:val="superscript"/>
        </w:rPr>
        <w:fldChar w:fldCharType="end"/>
      </w:r>
      <w:r>
        <w:rPr>
          <w:rFonts w:ascii="Arial" w:hAnsi="Arial" w:cs="Arial"/>
          <w:color w:val="0B0080"/>
          <w:sz w:val="19"/>
          <w:szCs w:val="19"/>
          <w:vertAlign w:val="superscript"/>
        </w:rPr>
        <w:fldChar w:fldCharType="end"/>
      </w:r>
      <w:r>
        <w:rPr>
          <w:rFonts w:ascii="Arial" w:hAnsi="Arial" w:cs="Arial"/>
          <w:color w:val="0B0080"/>
          <w:sz w:val="19"/>
          <w:szCs w:val="19"/>
          <w:vertAlign w:val="superscript"/>
        </w:rPr>
        <w:fldChar w:fldCharType="end"/>
      </w:r>
      <w:r w:rsidR="001F1386">
        <w:rPr>
          <w:rFonts w:ascii="Arial" w:hAnsi="Arial" w:cs="Arial"/>
          <w:color w:val="0B0080"/>
          <w:sz w:val="19"/>
          <w:szCs w:val="19"/>
          <w:vertAlign w:val="superscript"/>
        </w:rPr>
        <w:fldChar w:fldCharType="end"/>
      </w:r>
      <w:r w:rsidR="004205FD">
        <w:rPr>
          <w:rFonts w:ascii="Arial" w:hAnsi="Arial" w:cs="Arial"/>
          <w:color w:val="0B0080"/>
          <w:sz w:val="19"/>
          <w:szCs w:val="19"/>
          <w:vertAlign w:val="superscript"/>
        </w:rPr>
        <w:fldChar w:fldCharType="end"/>
      </w:r>
      <w:r w:rsidR="00361702">
        <w:rPr>
          <w:rFonts w:ascii="Arial" w:hAnsi="Arial" w:cs="Arial"/>
          <w:color w:val="0B0080"/>
          <w:sz w:val="19"/>
          <w:szCs w:val="19"/>
          <w:vertAlign w:val="superscript"/>
        </w:rPr>
        <w:fldChar w:fldCharType="end"/>
      </w:r>
      <w:r w:rsidR="00A50C2D">
        <w:rPr>
          <w:rFonts w:ascii="Arial" w:hAnsi="Arial" w:cs="Arial"/>
          <w:color w:val="0B0080"/>
          <w:sz w:val="19"/>
          <w:szCs w:val="19"/>
          <w:vertAlign w:val="superscript"/>
        </w:rPr>
        <w:fldChar w:fldCharType="end"/>
      </w:r>
      <w:r w:rsidR="00E21AE5">
        <w:rPr>
          <w:rFonts w:ascii="Arial" w:hAnsi="Arial" w:cs="Arial"/>
          <w:color w:val="0B0080"/>
          <w:sz w:val="19"/>
          <w:szCs w:val="19"/>
          <w:vertAlign w:val="superscript"/>
        </w:rPr>
        <w:fldChar w:fldCharType="end"/>
      </w:r>
      <w:r w:rsidR="004B06DD">
        <w:rPr>
          <w:rFonts w:ascii="Arial" w:hAnsi="Arial" w:cs="Arial"/>
          <w:color w:val="0B0080"/>
          <w:sz w:val="19"/>
          <w:szCs w:val="19"/>
          <w:vertAlign w:val="superscript"/>
        </w:rPr>
        <w:fldChar w:fldCharType="end"/>
      </w:r>
      <w:r w:rsidR="00EC409B">
        <w:rPr>
          <w:rFonts w:ascii="Arial" w:hAnsi="Arial" w:cs="Arial"/>
          <w:color w:val="0B0080"/>
          <w:sz w:val="19"/>
          <w:szCs w:val="19"/>
          <w:vertAlign w:val="superscript"/>
        </w:rPr>
        <w:fldChar w:fldCharType="end"/>
      </w:r>
      <w:r w:rsidR="00902601">
        <w:rPr>
          <w:rFonts w:ascii="Arial" w:hAnsi="Arial" w:cs="Arial"/>
          <w:color w:val="0B0080"/>
          <w:sz w:val="19"/>
          <w:szCs w:val="19"/>
          <w:vertAlign w:val="superscript"/>
        </w:rPr>
        <w:fldChar w:fldCharType="end"/>
      </w:r>
      <w:r w:rsidR="006D6AC4">
        <w:rPr>
          <w:rFonts w:ascii="Arial" w:hAnsi="Arial" w:cs="Arial"/>
          <w:color w:val="0B0080"/>
          <w:sz w:val="19"/>
          <w:szCs w:val="19"/>
          <w:vertAlign w:val="superscript"/>
        </w:rPr>
        <w:fldChar w:fldCharType="end"/>
      </w:r>
      <w:r w:rsidR="00173284">
        <w:rPr>
          <w:rFonts w:ascii="Arial" w:hAnsi="Arial" w:cs="Arial"/>
          <w:color w:val="0B0080"/>
          <w:sz w:val="19"/>
          <w:szCs w:val="19"/>
          <w:vertAlign w:val="superscript"/>
        </w:rPr>
        <w:fldChar w:fldCharType="end"/>
      </w:r>
      <w:r w:rsidR="00BA1863">
        <w:rPr>
          <w:rFonts w:ascii="Arial" w:hAnsi="Arial" w:cs="Arial"/>
          <w:color w:val="0B0080"/>
          <w:sz w:val="19"/>
          <w:szCs w:val="19"/>
          <w:vertAlign w:val="superscript"/>
        </w:rPr>
        <w:fldChar w:fldCharType="end"/>
      </w:r>
      <w:r w:rsidR="001F1665">
        <w:rPr>
          <w:rFonts w:ascii="Arial" w:hAnsi="Arial" w:cs="Arial"/>
          <w:color w:val="0B0080"/>
          <w:sz w:val="19"/>
          <w:szCs w:val="19"/>
          <w:vertAlign w:val="superscript"/>
        </w:rPr>
        <w:fldChar w:fldCharType="end"/>
      </w:r>
      <w:r w:rsidR="006835AE">
        <w:rPr>
          <w:rFonts w:ascii="Arial" w:hAnsi="Arial" w:cs="Arial"/>
          <w:color w:val="0B0080"/>
          <w:sz w:val="19"/>
          <w:szCs w:val="19"/>
          <w:vertAlign w:val="superscript"/>
        </w:rPr>
        <w:fldChar w:fldCharType="end"/>
      </w:r>
      <w:r w:rsidR="00D57400">
        <w:rPr>
          <w:rFonts w:ascii="Arial" w:hAnsi="Arial" w:cs="Arial"/>
          <w:color w:val="0B0080"/>
          <w:sz w:val="19"/>
          <w:szCs w:val="19"/>
          <w:vertAlign w:val="superscript"/>
        </w:rPr>
        <w:fldChar w:fldCharType="end"/>
      </w:r>
      <w:r w:rsidR="00157582">
        <w:rPr>
          <w:rFonts w:ascii="Arial" w:hAnsi="Arial" w:cs="Arial"/>
          <w:color w:val="0B0080"/>
          <w:sz w:val="19"/>
          <w:szCs w:val="19"/>
          <w:vertAlign w:val="superscript"/>
        </w:rPr>
        <w:fldChar w:fldCharType="end"/>
      </w:r>
      <w:r w:rsidR="00EF6D8E">
        <w:rPr>
          <w:rFonts w:ascii="Arial" w:hAnsi="Arial" w:cs="Arial"/>
          <w:color w:val="0B0080"/>
          <w:sz w:val="19"/>
          <w:szCs w:val="19"/>
          <w:vertAlign w:val="superscript"/>
        </w:rPr>
        <w:fldChar w:fldCharType="end"/>
      </w:r>
      <w:r w:rsidR="005B5F4B">
        <w:rPr>
          <w:rFonts w:ascii="Arial" w:hAnsi="Arial" w:cs="Arial"/>
          <w:color w:val="0B0080"/>
          <w:sz w:val="19"/>
          <w:szCs w:val="19"/>
          <w:vertAlign w:val="superscript"/>
        </w:rPr>
        <w:fldChar w:fldCharType="end"/>
      </w:r>
      <w:r w:rsidR="00E56F19">
        <w:rPr>
          <w:rFonts w:ascii="Arial" w:hAnsi="Arial" w:cs="Arial"/>
          <w:color w:val="0B0080"/>
          <w:sz w:val="19"/>
          <w:szCs w:val="19"/>
          <w:vertAlign w:val="superscript"/>
        </w:rPr>
        <w:fldChar w:fldCharType="end"/>
      </w:r>
      <w:r w:rsidR="00271A74">
        <w:rPr>
          <w:rFonts w:ascii="Arial" w:hAnsi="Arial" w:cs="Arial"/>
          <w:color w:val="0B0080"/>
          <w:sz w:val="19"/>
          <w:szCs w:val="19"/>
          <w:vertAlign w:val="superscript"/>
        </w:rPr>
        <w:fldChar w:fldCharType="end"/>
      </w:r>
      <w:r w:rsidR="00212259">
        <w:rPr>
          <w:rFonts w:ascii="Arial" w:hAnsi="Arial" w:cs="Arial"/>
          <w:color w:val="0B0080"/>
          <w:sz w:val="19"/>
          <w:szCs w:val="19"/>
          <w:vertAlign w:val="superscript"/>
        </w:rPr>
        <w:fldChar w:fldCharType="end"/>
      </w:r>
      <w:r w:rsidR="00ED1ADA">
        <w:rPr>
          <w:rFonts w:ascii="Arial" w:hAnsi="Arial" w:cs="Arial"/>
          <w:color w:val="0B0080"/>
          <w:sz w:val="19"/>
          <w:szCs w:val="19"/>
          <w:vertAlign w:val="superscript"/>
        </w:rPr>
        <w:fldChar w:fldCharType="end"/>
      </w:r>
      <w:r w:rsidR="00C756F3">
        <w:rPr>
          <w:rFonts w:ascii="Arial" w:hAnsi="Arial" w:cs="Arial"/>
          <w:color w:val="0B0080"/>
          <w:sz w:val="19"/>
          <w:szCs w:val="19"/>
          <w:vertAlign w:val="superscript"/>
        </w:rPr>
        <w:fldChar w:fldCharType="end"/>
      </w:r>
      <w:r w:rsidR="00BD2AC4">
        <w:rPr>
          <w:rFonts w:ascii="Arial" w:hAnsi="Arial" w:cs="Arial"/>
          <w:color w:val="0B0080"/>
          <w:sz w:val="19"/>
          <w:szCs w:val="19"/>
          <w:vertAlign w:val="superscript"/>
        </w:rPr>
        <w:fldChar w:fldCharType="end"/>
      </w:r>
      <w:r w:rsidR="00417D39">
        <w:rPr>
          <w:rFonts w:ascii="Arial" w:hAnsi="Arial" w:cs="Arial"/>
          <w:color w:val="0B0080"/>
          <w:sz w:val="19"/>
          <w:szCs w:val="19"/>
          <w:vertAlign w:val="superscript"/>
        </w:rPr>
        <w:fldChar w:fldCharType="end"/>
      </w:r>
      <w:r w:rsidR="00DF4BFF">
        <w:rPr>
          <w:rFonts w:ascii="Arial" w:hAnsi="Arial" w:cs="Arial"/>
          <w:color w:val="0B0080"/>
          <w:sz w:val="19"/>
          <w:szCs w:val="19"/>
          <w:vertAlign w:val="superscript"/>
        </w:rPr>
        <w:fldChar w:fldCharType="end"/>
      </w:r>
      <w:r w:rsidR="004F7A7F">
        <w:rPr>
          <w:rFonts w:ascii="Arial" w:hAnsi="Arial" w:cs="Arial"/>
          <w:color w:val="0B0080"/>
          <w:sz w:val="19"/>
          <w:szCs w:val="19"/>
          <w:vertAlign w:val="superscript"/>
        </w:rPr>
        <w:fldChar w:fldCharType="end"/>
      </w:r>
      <w:r w:rsidR="00482906">
        <w:rPr>
          <w:rFonts w:ascii="Arial" w:hAnsi="Arial" w:cs="Arial"/>
          <w:color w:val="0B0080"/>
          <w:sz w:val="19"/>
          <w:szCs w:val="19"/>
          <w:vertAlign w:val="superscript"/>
        </w:rPr>
        <w:fldChar w:fldCharType="end"/>
      </w:r>
      <w:r w:rsidR="0099310D">
        <w:rPr>
          <w:rFonts w:ascii="Arial" w:hAnsi="Arial" w:cs="Arial"/>
          <w:color w:val="0B0080"/>
          <w:sz w:val="19"/>
          <w:szCs w:val="19"/>
          <w:vertAlign w:val="superscript"/>
        </w:rPr>
        <w:fldChar w:fldCharType="end"/>
      </w:r>
      <w:r w:rsidR="00664EBF">
        <w:rPr>
          <w:rFonts w:ascii="Arial" w:hAnsi="Arial" w:cs="Arial"/>
          <w:color w:val="0B0080"/>
          <w:sz w:val="19"/>
          <w:szCs w:val="19"/>
          <w:vertAlign w:val="superscript"/>
        </w:rPr>
        <w:fldChar w:fldCharType="end"/>
      </w:r>
      <w:r w:rsidR="007B486C">
        <w:rPr>
          <w:rFonts w:ascii="Arial" w:hAnsi="Arial" w:cs="Arial"/>
          <w:color w:val="0B0080"/>
          <w:sz w:val="19"/>
          <w:szCs w:val="19"/>
          <w:vertAlign w:val="superscript"/>
        </w:rPr>
        <w:fldChar w:fldCharType="end"/>
      </w:r>
      <w:r w:rsidR="00374EF3">
        <w:rPr>
          <w:rFonts w:ascii="Arial" w:hAnsi="Arial" w:cs="Arial"/>
          <w:color w:val="0B0080"/>
          <w:sz w:val="19"/>
          <w:szCs w:val="19"/>
          <w:vertAlign w:val="superscript"/>
        </w:rPr>
        <w:fldChar w:fldCharType="end"/>
      </w:r>
      <w:r w:rsidR="005B1DAA">
        <w:rPr>
          <w:rFonts w:ascii="Arial" w:hAnsi="Arial" w:cs="Arial"/>
          <w:color w:val="0B0080"/>
          <w:sz w:val="19"/>
          <w:szCs w:val="19"/>
          <w:vertAlign w:val="superscript"/>
        </w:rPr>
        <w:fldChar w:fldCharType="end"/>
      </w:r>
      <w:r w:rsidR="00C51E5B">
        <w:rPr>
          <w:rFonts w:ascii="Arial" w:hAnsi="Arial" w:cs="Arial"/>
          <w:color w:val="0B0080"/>
          <w:sz w:val="19"/>
          <w:szCs w:val="19"/>
          <w:vertAlign w:val="superscript"/>
        </w:rPr>
        <w:fldChar w:fldCharType="end"/>
      </w:r>
      <w:r w:rsidR="00913F63">
        <w:rPr>
          <w:rFonts w:ascii="Arial" w:hAnsi="Arial" w:cs="Arial"/>
          <w:color w:val="0B0080"/>
          <w:sz w:val="19"/>
          <w:szCs w:val="19"/>
          <w:vertAlign w:val="superscript"/>
        </w:rPr>
        <w:fldChar w:fldCharType="end"/>
      </w:r>
      <w:r w:rsidR="00DC4DA3">
        <w:rPr>
          <w:rFonts w:ascii="Arial" w:hAnsi="Arial" w:cs="Arial"/>
          <w:color w:val="0B0080"/>
          <w:sz w:val="19"/>
          <w:szCs w:val="19"/>
          <w:vertAlign w:val="superscript"/>
        </w:rPr>
        <w:fldChar w:fldCharType="end"/>
      </w:r>
      <w:r w:rsidR="00A642FE">
        <w:rPr>
          <w:rFonts w:ascii="Arial" w:hAnsi="Arial" w:cs="Arial"/>
          <w:color w:val="0B0080"/>
          <w:sz w:val="19"/>
          <w:szCs w:val="19"/>
          <w:vertAlign w:val="superscript"/>
        </w:rPr>
        <w:fldChar w:fldCharType="end"/>
      </w:r>
      <w:r w:rsidR="009C3337">
        <w:rPr>
          <w:rFonts w:ascii="Arial" w:hAnsi="Arial" w:cs="Arial"/>
          <w:color w:val="0B0080"/>
          <w:sz w:val="19"/>
          <w:szCs w:val="19"/>
          <w:vertAlign w:val="superscript"/>
        </w:rPr>
        <w:fldChar w:fldCharType="end"/>
      </w:r>
      <w:r w:rsidR="00703FF6">
        <w:rPr>
          <w:rFonts w:ascii="Arial" w:hAnsi="Arial" w:cs="Arial"/>
          <w:color w:val="0B0080"/>
          <w:sz w:val="19"/>
          <w:szCs w:val="19"/>
          <w:vertAlign w:val="superscript"/>
        </w:rPr>
        <w:fldChar w:fldCharType="end"/>
      </w:r>
      <w:r w:rsidR="00A75D44">
        <w:rPr>
          <w:rFonts w:ascii="Arial" w:hAnsi="Arial" w:cs="Arial"/>
          <w:color w:val="0B0080"/>
          <w:sz w:val="19"/>
          <w:szCs w:val="19"/>
          <w:vertAlign w:val="superscript"/>
        </w:rPr>
        <w:fldChar w:fldCharType="end"/>
      </w:r>
      <w:r w:rsidR="00D80570">
        <w:rPr>
          <w:rFonts w:ascii="Arial" w:hAnsi="Arial" w:cs="Arial"/>
          <w:color w:val="0B0080"/>
          <w:sz w:val="19"/>
          <w:szCs w:val="19"/>
          <w:vertAlign w:val="superscript"/>
        </w:rPr>
        <w:fldChar w:fldCharType="end"/>
      </w:r>
      <w:r w:rsidR="004A7029">
        <w:rPr>
          <w:rFonts w:ascii="Arial" w:hAnsi="Arial" w:cs="Arial"/>
          <w:color w:val="0B0080"/>
          <w:sz w:val="19"/>
          <w:szCs w:val="19"/>
          <w:vertAlign w:val="superscript"/>
        </w:rPr>
        <w:fldChar w:fldCharType="end"/>
      </w:r>
      <w:r w:rsidR="00FF5454">
        <w:rPr>
          <w:rFonts w:ascii="Arial" w:hAnsi="Arial" w:cs="Arial"/>
          <w:color w:val="0B0080"/>
          <w:sz w:val="19"/>
          <w:szCs w:val="19"/>
          <w:vertAlign w:val="superscript"/>
        </w:rPr>
        <w:fldChar w:fldCharType="end"/>
      </w:r>
      <w:r w:rsidR="003D33C0">
        <w:rPr>
          <w:rFonts w:ascii="Arial" w:hAnsi="Arial" w:cs="Arial"/>
          <w:color w:val="0B0080"/>
          <w:sz w:val="19"/>
          <w:szCs w:val="19"/>
          <w:vertAlign w:val="superscript"/>
        </w:rPr>
        <w:fldChar w:fldCharType="end"/>
      </w:r>
      <w:r w:rsidR="00D27B19">
        <w:rPr>
          <w:rFonts w:ascii="Arial" w:hAnsi="Arial" w:cs="Arial"/>
          <w:color w:val="0B0080"/>
          <w:sz w:val="19"/>
          <w:szCs w:val="19"/>
          <w:vertAlign w:val="superscript"/>
        </w:rPr>
        <w:fldChar w:fldCharType="end"/>
      </w:r>
      <w:r>
        <w:rPr>
          <w:rFonts w:ascii="Arial" w:hAnsi="Arial" w:cs="Arial"/>
          <w:color w:val="0B0080"/>
          <w:sz w:val="19"/>
          <w:szCs w:val="19"/>
          <w:vertAlign w:val="superscript"/>
        </w:rPr>
        <w:fldChar w:fldCharType="end"/>
      </w:r>
      <w:r>
        <w:rPr>
          <w:noProof/>
        </w:rPr>
        <w:drawing>
          <wp:anchor distT="0" distB="0" distL="114300" distR="114300" simplePos="0" relativeHeight="251659264" behindDoc="0" locked="0" layoutInCell="1" allowOverlap="1" wp14:anchorId="0C1B7B8A" wp14:editId="155F199A">
            <wp:simplePos x="0" y="0"/>
            <wp:positionH relativeFrom="margin">
              <wp:posOffset>0</wp:posOffset>
            </wp:positionH>
            <wp:positionV relativeFrom="paragraph">
              <wp:posOffset>-1905</wp:posOffset>
            </wp:positionV>
            <wp:extent cx="647065" cy="1380490"/>
            <wp:effectExtent l="0" t="0" r="635" b="0"/>
            <wp:wrapNone/>
            <wp:docPr id="288" name="Imag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7065" cy="13804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D99E58" w14:textId="77777777" w:rsidR="00302BFE" w:rsidRDefault="00302BFE" w:rsidP="00302BFE">
      <w:pPr>
        <w:spacing w:after="120"/>
        <w:ind w:left="2160" w:firstLine="720"/>
        <w:rPr>
          <w:szCs w:val="20"/>
        </w:rPr>
      </w:pPr>
    </w:p>
    <w:bookmarkEnd w:id="0"/>
    <w:p w14:paraId="369C56A2" w14:textId="77777777" w:rsidR="00302BFE" w:rsidRDefault="00302BFE" w:rsidP="00302BFE">
      <w:pPr>
        <w:spacing w:after="120"/>
        <w:ind w:left="2160" w:firstLine="720"/>
        <w:rPr>
          <w:rFonts w:cs="Arial"/>
          <w:b/>
          <w:i/>
          <w:szCs w:val="22"/>
        </w:rPr>
      </w:pPr>
    </w:p>
    <w:p w14:paraId="26B45554" w14:textId="77777777" w:rsidR="00302BFE" w:rsidRPr="0003763F" w:rsidRDefault="00302BFE" w:rsidP="00302BFE">
      <w:pPr>
        <w:spacing w:after="240"/>
        <w:jc w:val="center"/>
        <w:rPr>
          <w:rFonts w:cs="Arial"/>
          <w:b/>
          <w:szCs w:val="22"/>
        </w:rPr>
      </w:pPr>
      <w:r w:rsidRPr="0003763F">
        <w:rPr>
          <w:rFonts w:cs="Arial"/>
          <w:b/>
          <w:szCs w:val="22"/>
        </w:rPr>
        <w:t xml:space="preserve">United Nations Development </w:t>
      </w:r>
      <w:proofErr w:type="spellStart"/>
      <w:r w:rsidRPr="0003763F">
        <w:rPr>
          <w:rFonts w:cs="Arial"/>
          <w:b/>
          <w:szCs w:val="22"/>
        </w:rPr>
        <w:t>Programme</w:t>
      </w:r>
      <w:proofErr w:type="spellEnd"/>
    </w:p>
    <w:p w14:paraId="6F3A2E23" w14:textId="77777777" w:rsidR="00302BFE" w:rsidRPr="0003763F" w:rsidRDefault="00302BFE" w:rsidP="00302BFE">
      <w:pPr>
        <w:spacing w:after="0"/>
        <w:jc w:val="center"/>
        <w:rPr>
          <w:rFonts w:cs="Arial"/>
          <w:b/>
          <w:szCs w:val="22"/>
        </w:rPr>
      </w:pPr>
      <w:r w:rsidRPr="0003763F">
        <w:rPr>
          <w:rFonts w:cs="Arial"/>
          <w:b/>
          <w:szCs w:val="22"/>
        </w:rPr>
        <w:t>Annotated Project Document template for nationally implemented projects</w:t>
      </w:r>
    </w:p>
    <w:p w14:paraId="2608DE84" w14:textId="77777777" w:rsidR="00302BFE" w:rsidRPr="0003763F" w:rsidRDefault="00302BFE" w:rsidP="00302BFE">
      <w:pPr>
        <w:spacing w:after="0"/>
        <w:jc w:val="center"/>
        <w:rPr>
          <w:rFonts w:cs="Arial"/>
          <w:b/>
          <w:szCs w:val="22"/>
        </w:rPr>
      </w:pPr>
      <w:r w:rsidRPr="0003763F">
        <w:rPr>
          <w:rFonts w:cs="Arial"/>
          <w:b/>
          <w:szCs w:val="22"/>
        </w:rPr>
        <w:t>financed by the GEF</w:t>
      </w:r>
      <w:r>
        <w:rPr>
          <w:rFonts w:cs="Arial"/>
          <w:b/>
          <w:szCs w:val="22"/>
        </w:rPr>
        <w:t>/</w:t>
      </w:r>
      <w:r w:rsidRPr="0003763F">
        <w:rPr>
          <w:rFonts w:cs="Arial"/>
          <w:b/>
          <w:szCs w:val="22"/>
        </w:rPr>
        <w:t>LDCF</w:t>
      </w:r>
      <w:r>
        <w:rPr>
          <w:rFonts w:cs="Arial"/>
          <w:b/>
          <w:szCs w:val="22"/>
        </w:rPr>
        <w:t>/</w:t>
      </w:r>
      <w:r w:rsidRPr="0003763F">
        <w:rPr>
          <w:rFonts w:cs="Arial"/>
          <w:b/>
          <w:szCs w:val="22"/>
        </w:rPr>
        <w:t>SCCF Trust Funds</w:t>
      </w:r>
    </w:p>
    <w:p w14:paraId="3D4D33B6" w14:textId="77777777" w:rsidR="00302BFE" w:rsidRPr="0003763F" w:rsidRDefault="00302BFE" w:rsidP="00302BFE">
      <w:pPr>
        <w:spacing w:after="0"/>
        <w:jc w:val="left"/>
        <w:rPr>
          <w:rFonts w:cs="Arial"/>
          <w:b/>
          <w:i/>
          <w:szCs w:val="20"/>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5"/>
        <w:gridCol w:w="1060"/>
        <w:gridCol w:w="499"/>
        <w:gridCol w:w="929"/>
        <w:gridCol w:w="462"/>
        <w:gridCol w:w="877"/>
        <w:gridCol w:w="3787"/>
        <w:gridCol w:w="16"/>
      </w:tblGrid>
      <w:tr w:rsidR="00302BFE" w:rsidRPr="006E490C" w14:paraId="1B40EF91" w14:textId="77777777" w:rsidTr="005E6DCD">
        <w:trPr>
          <w:gridAfter w:val="1"/>
          <w:wAfter w:w="16" w:type="dxa"/>
          <w:trHeight w:val="548"/>
          <w:jc w:val="center"/>
        </w:trPr>
        <w:tc>
          <w:tcPr>
            <w:tcW w:w="9249" w:type="dxa"/>
            <w:gridSpan w:val="7"/>
            <w:shd w:val="clear" w:color="auto" w:fill="auto"/>
          </w:tcPr>
          <w:p w14:paraId="55C5AB14" w14:textId="77777777" w:rsidR="00302BFE" w:rsidRPr="006E490C" w:rsidRDefault="00302BFE" w:rsidP="00243B15">
            <w:pPr>
              <w:spacing w:before="60"/>
              <w:jc w:val="left"/>
              <w:rPr>
                <w:rFonts w:cs="Arial"/>
                <w:b/>
                <w:szCs w:val="20"/>
              </w:rPr>
            </w:pPr>
            <w:r w:rsidRPr="006E490C">
              <w:rPr>
                <w:rFonts w:cs="Arial"/>
                <w:b/>
                <w:szCs w:val="20"/>
              </w:rPr>
              <w:t>Project title: Integrated and Sustainable Management of PONASI Protected Area Landscape</w:t>
            </w:r>
          </w:p>
        </w:tc>
      </w:tr>
      <w:tr w:rsidR="00302BFE" w:rsidRPr="007663FD" w14:paraId="2971D1AD" w14:textId="77777777" w:rsidTr="005E6DCD">
        <w:trPr>
          <w:gridAfter w:val="1"/>
          <w:wAfter w:w="16" w:type="dxa"/>
          <w:jc w:val="center"/>
        </w:trPr>
        <w:tc>
          <w:tcPr>
            <w:tcW w:w="1635" w:type="dxa"/>
            <w:shd w:val="clear" w:color="auto" w:fill="auto"/>
          </w:tcPr>
          <w:p w14:paraId="2533443A" w14:textId="77777777" w:rsidR="00302BFE" w:rsidRPr="006E490C" w:rsidRDefault="00302BFE" w:rsidP="00243B15">
            <w:pPr>
              <w:spacing w:before="60"/>
              <w:jc w:val="left"/>
              <w:rPr>
                <w:rFonts w:cs="Arial"/>
                <w:b/>
                <w:szCs w:val="20"/>
              </w:rPr>
            </w:pPr>
            <w:r w:rsidRPr="006E490C">
              <w:rPr>
                <w:rFonts w:cs="Arial"/>
                <w:b/>
                <w:szCs w:val="20"/>
              </w:rPr>
              <w:t xml:space="preserve">Country:  </w:t>
            </w:r>
            <w:r w:rsidRPr="006E490C">
              <w:rPr>
                <w:rFonts w:cs="Arial"/>
                <w:szCs w:val="20"/>
              </w:rPr>
              <w:t>Burkina Faso</w:t>
            </w:r>
          </w:p>
        </w:tc>
        <w:tc>
          <w:tcPr>
            <w:tcW w:w="3827" w:type="dxa"/>
            <w:gridSpan w:val="5"/>
            <w:shd w:val="clear" w:color="auto" w:fill="auto"/>
          </w:tcPr>
          <w:p w14:paraId="3ACD218A" w14:textId="27CC1DF4" w:rsidR="00302BFE" w:rsidRPr="00AB47BD" w:rsidRDefault="00302BFE" w:rsidP="00243B15">
            <w:pPr>
              <w:spacing w:before="60"/>
              <w:jc w:val="left"/>
              <w:rPr>
                <w:rFonts w:cs="Arial"/>
                <w:b/>
                <w:szCs w:val="20"/>
                <w:lang w:val="fr-FR"/>
              </w:rPr>
            </w:pPr>
            <w:proofErr w:type="spellStart"/>
            <w:r w:rsidRPr="00AB47BD">
              <w:rPr>
                <w:rFonts w:cs="Arial"/>
                <w:b/>
                <w:szCs w:val="20"/>
                <w:lang w:val="fr-FR"/>
              </w:rPr>
              <w:t>Implementing</w:t>
            </w:r>
            <w:proofErr w:type="spellEnd"/>
            <w:r w:rsidRPr="00AB47BD">
              <w:rPr>
                <w:rFonts w:cs="Arial"/>
                <w:b/>
                <w:szCs w:val="20"/>
                <w:lang w:val="fr-FR"/>
              </w:rPr>
              <w:t xml:space="preserve"> </w:t>
            </w:r>
            <w:proofErr w:type="gramStart"/>
            <w:r w:rsidRPr="00AB47BD">
              <w:rPr>
                <w:rFonts w:cs="Arial"/>
                <w:b/>
                <w:szCs w:val="20"/>
                <w:lang w:val="fr-FR"/>
              </w:rPr>
              <w:t>Partner:</w:t>
            </w:r>
            <w:proofErr w:type="gramEnd"/>
            <w:r w:rsidRPr="00AB47BD">
              <w:rPr>
                <w:rFonts w:cs="Arial"/>
                <w:b/>
                <w:szCs w:val="20"/>
                <w:lang w:val="fr-FR"/>
              </w:rPr>
              <w:t xml:space="preserve"> </w:t>
            </w:r>
            <w:r w:rsidR="001D4045" w:rsidRPr="00AB47BD">
              <w:rPr>
                <w:rFonts w:cs="Arial"/>
                <w:szCs w:val="20"/>
                <w:highlight w:val="green"/>
                <w:lang w:val="fr-FR"/>
              </w:rPr>
              <w:t>Minist</w:t>
            </w:r>
            <w:r w:rsidR="00630EF2" w:rsidRPr="00AB47BD">
              <w:rPr>
                <w:rFonts w:cs="Arial"/>
                <w:szCs w:val="20"/>
                <w:highlight w:val="green"/>
                <w:lang w:val="fr-FR"/>
              </w:rPr>
              <w:t>è</w:t>
            </w:r>
            <w:r w:rsidR="001D4045" w:rsidRPr="00AB47BD">
              <w:rPr>
                <w:rFonts w:cs="Arial"/>
                <w:szCs w:val="20"/>
                <w:highlight w:val="green"/>
                <w:lang w:val="fr-FR"/>
              </w:rPr>
              <w:t>re de l'environnement, de l'eau et de l</w:t>
            </w:r>
            <w:r w:rsidR="00630EF2" w:rsidRPr="00AB47BD">
              <w:rPr>
                <w:rFonts w:cs="Arial"/>
                <w:szCs w:val="20"/>
                <w:highlight w:val="green"/>
                <w:lang w:val="fr-FR"/>
              </w:rPr>
              <w:t>’</w:t>
            </w:r>
            <w:r w:rsidR="001D4045" w:rsidRPr="00AB47BD">
              <w:rPr>
                <w:rFonts w:cs="Arial"/>
                <w:szCs w:val="20"/>
                <w:highlight w:val="green"/>
                <w:lang w:val="fr-FR"/>
              </w:rPr>
              <w:t>Assainissement</w:t>
            </w:r>
          </w:p>
        </w:tc>
        <w:tc>
          <w:tcPr>
            <w:tcW w:w="3787" w:type="dxa"/>
            <w:shd w:val="clear" w:color="auto" w:fill="auto"/>
          </w:tcPr>
          <w:p w14:paraId="6A8C7503" w14:textId="46240862" w:rsidR="00302BFE" w:rsidRPr="007663FD" w:rsidRDefault="00302BFE" w:rsidP="00243B15">
            <w:pPr>
              <w:spacing w:before="60"/>
              <w:jc w:val="left"/>
              <w:rPr>
                <w:rFonts w:cs="Arial"/>
                <w:i/>
                <w:szCs w:val="20"/>
                <w:lang w:val="fr-FR"/>
              </w:rPr>
            </w:pPr>
            <w:r w:rsidRPr="007663FD">
              <w:rPr>
                <w:rFonts w:cs="Arial"/>
                <w:b/>
                <w:szCs w:val="20"/>
                <w:lang w:val="fr-FR"/>
              </w:rPr>
              <w:t xml:space="preserve">Management </w:t>
            </w:r>
            <w:proofErr w:type="gramStart"/>
            <w:r w:rsidRPr="007663FD">
              <w:rPr>
                <w:rFonts w:cs="Arial"/>
                <w:b/>
                <w:szCs w:val="20"/>
                <w:lang w:val="fr-FR"/>
              </w:rPr>
              <w:t>Arrangements</w:t>
            </w:r>
            <w:r w:rsidRPr="007663FD">
              <w:rPr>
                <w:rFonts w:cs="Arial"/>
                <w:bCs/>
                <w:szCs w:val="20"/>
                <w:lang w:val="fr-FR"/>
              </w:rPr>
              <w:t>:</w:t>
            </w:r>
            <w:proofErr w:type="gramEnd"/>
            <w:r w:rsidRPr="007663FD">
              <w:rPr>
                <w:rFonts w:cs="Arial"/>
                <w:bCs/>
                <w:szCs w:val="20"/>
                <w:lang w:val="fr-FR"/>
              </w:rPr>
              <w:t xml:space="preserve"> </w:t>
            </w:r>
            <w:r w:rsidR="00DF7BF1" w:rsidRPr="007663FD">
              <w:rPr>
                <w:rFonts w:cs="Arial"/>
                <w:bCs/>
                <w:szCs w:val="20"/>
                <w:lang w:val="fr-FR"/>
              </w:rPr>
              <w:t>Full</w:t>
            </w:r>
            <w:r w:rsidR="00DF7BF1" w:rsidRPr="007663FD">
              <w:rPr>
                <w:rFonts w:cs="Arial"/>
                <w:b/>
                <w:szCs w:val="20"/>
                <w:lang w:val="fr-FR"/>
              </w:rPr>
              <w:t xml:space="preserve"> </w:t>
            </w:r>
            <w:r w:rsidRPr="007663FD">
              <w:rPr>
                <w:rFonts w:cs="Arial"/>
                <w:szCs w:val="20"/>
                <w:lang w:val="fr-FR"/>
              </w:rPr>
              <w:t xml:space="preserve">National </w:t>
            </w:r>
            <w:proofErr w:type="spellStart"/>
            <w:r w:rsidRPr="007663FD">
              <w:rPr>
                <w:rFonts w:cs="Arial"/>
                <w:szCs w:val="20"/>
                <w:lang w:val="fr-FR"/>
              </w:rPr>
              <w:t>Implementation</w:t>
            </w:r>
            <w:proofErr w:type="spellEnd"/>
            <w:r w:rsidRPr="007663FD">
              <w:rPr>
                <w:rFonts w:cs="Arial"/>
                <w:szCs w:val="20"/>
                <w:lang w:val="fr-FR"/>
              </w:rPr>
              <w:t xml:space="preserve"> </w:t>
            </w:r>
            <w:proofErr w:type="spellStart"/>
            <w:r w:rsidRPr="007663FD">
              <w:rPr>
                <w:rFonts w:cs="Arial"/>
                <w:szCs w:val="20"/>
                <w:lang w:val="fr-FR"/>
              </w:rPr>
              <w:t>Modality</w:t>
            </w:r>
            <w:proofErr w:type="spellEnd"/>
            <w:r w:rsidRPr="007663FD">
              <w:rPr>
                <w:rFonts w:cs="Arial"/>
                <w:szCs w:val="20"/>
                <w:lang w:val="fr-FR"/>
              </w:rPr>
              <w:t xml:space="preserve"> (NIM)</w:t>
            </w:r>
            <w:r w:rsidRPr="007663FD">
              <w:rPr>
                <w:rFonts w:cs="Arial"/>
                <w:i/>
                <w:szCs w:val="20"/>
                <w:lang w:val="fr-FR"/>
              </w:rPr>
              <w:t xml:space="preserve"> </w:t>
            </w:r>
          </w:p>
        </w:tc>
      </w:tr>
      <w:tr w:rsidR="00302BFE" w:rsidRPr="007663FD" w14:paraId="398AA146" w14:textId="77777777" w:rsidTr="005E6DCD">
        <w:trPr>
          <w:gridAfter w:val="1"/>
          <w:wAfter w:w="16" w:type="dxa"/>
          <w:jc w:val="center"/>
        </w:trPr>
        <w:tc>
          <w:tcPr>
            <w:tcW w:w="9249" w:type="dxa"/>
            <w:gridSpan w:val="7"/>
            <w:shd w:val="clear" w:color="auto" w:fill="auto"/>
          </w:tcPr>
          <w:p w14:paraId="0E85AEAB" w14:textId="77777777" w:rsidR="00302BFE" w:rsidRPr="007663FD" w:rsidRDefault="00302BFE" w:rsidP="00243B15">
            <w:pPr>
              <w:spacing w:before="60"/>
              <w:jc w:val="left"/>
              <w:rPr>
                <w:rFonts w:cs="Arial"/>
                <w:b/>
                <w:szCs w:val="20"/>
              </w:rPr>
            </w:pPr>
            <w:r w:rsidRPr="007663FD">
              <w:rPr>
                <w:rFonts w:cs="Arial"/>
                <w:b/>
                <w:szCs w:val="20"/>
              </w:rPr>
              <w:t xml:space="preserve">UNDAF/Country </w:t>
            </w:r>
            <w:proofErr w:type="spellStart"/>
            <w:r w:rsidRPr="007663FD">
              <w:rPr>
                <w:rFonts w:cs="Arial"/>
                <w:b/>
                <w:szCs w:val="20"/>
              </w:rPr>
              <w:t>Programme</w:t>
            </w:r>
            <w:proofErr w:type="spellEnd"/>
            <w:r w:rsidRPr="007663FD">
              <w:rPr>
                <w:rFonts w:cs="Arial"/>
                <w:b/>
                <w:szCs w:val="20"/>
              </w:rPr>
              <w:t xml:space="preserve"> Outcome</w:t>
            </w:r>
            <w:r w:rsidRPr="007663FD">
              <w:rPr>
                <w:rFonts w:cs="Arial"/>
                <w:i/>
                <w:szCs w:val="20"/>
              </w:rPr>
              <w:t xml:space="preserve">: </w:t>
            </w:r>
            <w:r w:rsidRPr="007663FD">
              <w:rPr>
                <w:rFonts w:cs="Arial"/>
                <w:szCs w:val="20"/>
              </w:rPr>
              <w:t xml:space="preserve">Outcome 3.2 - By the end of 2020, ensure that populations, especially young </w:t>
            </w:r>
            <w:proofErr w:type="gramStart"/>
            <w:r w:rsidRPr="007663FD">
              <w:rPr>
                <w:rFonts w:cs="Arial"/>
                <w:szCs w:val="20"/>
              </w:rPr>
              <w:t>people</w:t>
            </w:r>
            <w:proofErr w:type="gramEnd"/>
            <w:r w:rsidRPr="007663FD">
              <w:rPr>
                <w:rFonts w:cs="Arial"/>
                <w:szCs w:val="20"/>
              </w:rPr>
              <w:t xml:space="preserve"> and women in intervention areas (urban / rural), increase their incomes, adopt sustainable modes of production and consumption and improve their food security</w:t>
            </w:r>
          </w:p>
        </w:tc>
      </w:tr>
      <w:tr w:rsidR="00302BFE" w:rsidRPr="007663FD" w14:paraId="10424075" w14:textId="77777777" w:rsidTr="005E6DCD">
        <w:trPr>
          <w:gridAfter w:val="1"/>
          <w:wAfter w:w="16" w:type="dxa"/>
          <w:jc w:val="center"/>
        </w:trPr>
        <w:tc>
          <w:tcPr>
            <w:tcW w:w="9249" w:type="dxa"/>
            <w:gridSpan w:val="7"/>
            <w:shd w:val="clear" w:color="auto" w:fill="auto"/>
          </w:tcPr>
          <w:p w14:paraId="1659DB64" w14:textId="77777777" w:rsidR="00302BFE" w:rsidRPr="007663FD" w:rsidRDefault="00302BFE" w:rsidP="00243B15">
            <w:pPr>
              <w:spacing w:before="60"/>
              <w:jc w:val="left"/>
              <w:rPr>
                <w:rFonts w:cs="Arial"/>
                <w:b/>
                <w:szCs w:val="20"/>
                <w:lang w:val="en-CA"/>
              </w:rPr>
            </w:pPr>
            <w:r w:rsidRPr="007663FD">
              <w:rPr>
                <w:rFonts w:cs="Arial"/>
                <w:b/>
                <w:szCs w:val="20"/>
              </w:rPr>
              <w:t xml:space="preserve">UNDP Strategic Plan Output: </w:t>
            </w:r>
            <w:r w:rsidRPr="007663FD">
              <w:rPr>
                <w:color w:val="000000"/>
                <w:szCs w:val="20"/>
                <w:lang w:val="en-CA"/>
              </w:rPr>
              <w:t>1.4.1 Solutions scaled up for sustainable management of natural resources, including sustainable commodities and green and inclusive value chains</w:t>
            </w:r>
          </w:p>
        </w:tc>
      </w:tr>
      <w:tr w:rsidR="00302BFE" w:rsidRPr="007663FD" w14:paraId="1CE24A16" w14:textId="77777777" w:rsidTr="005E6DCD">
        <w:trPr>
          <w:gridAfter w:val="1"/>
          <w:wAfter w:w="16" w:type="dxa"/>
          <w:trHeight w:val="459"/>
          <w:jc w:val="center"/>
        </w:trPr>
        <w:tc>
          <w:tcPr>
            <w:tcW w:w="3194" w:type="dxa"/>
            <w:gridSpan w:val="3"/>
            <w:shd w:val="clear" w:color="auto" w:fill="auto"/>
          </w:tcPr>
          <w:p w14:paraId="58AF73A9" w14:textId="5BEE8F26" w:rsidR="00302BFE" w:rsidRPr="007663FD" w:rsidRDefault="00302BFE" w:rsidP="00243B15">
            <w:pPr>
              <w:spacing w:before="60"/>
              <w:jc w:val="left"/>
              <w:rPr>
                <w:rFonts w:cs="Arial"/>
                <w:i/>
                <w:szCs w:val="20"/>
              </w:rPr>
            </w:pPr>
            <w:r w:rsidRPr="007663FD">
              <w:rPr>
                <w:rFonts w:cs="Arial"/>
                <w:b/>
                <w:szCs w:val="20"/>
              </w:rPr>
              <w:t xml:space="preserve">UNDP Social and Environmental Screening Category: </w:t>
            </w:r>
            <w:r w:rsidR="004B06DD" w:rsidRPr="007663FD">
              <w:rPr>
                <w:rFonts w:cs="Arial"/>
                <w:bCs/>
                <w:szCs w:val="20"/>
              </w:rPr>
              <w:t>Substantial</w:t>
            </w:r>
          </w:p>
        </w:tc>
        <w:tc>
          <w:tcPr>
            <w:tcW w:w="6055" w:type="dxa"/>
            <w:gridSpan w:val="4"/>
            <w:shd w:val="clear" w:color="auto" w:fill="auto"/>
          </w:tcPr>
          <w:p w14:paraId="5DF50C36" w14:textId="77777777" w:rsidR="00302BFE" w:rsidRPr="007663FD" w:rsidRDefault="00302BFE" w:rsidP="00243B15">
            <w:pPr>
              <w:spacing w:before="60"/>
              <w:jc w:val="left"/>
              <w:rPr>
                <w:i/>
              </w:rPr>
            </w:pPr>
            <w:r w:rsidRPr="007663FD">
              <w:rPr>
                <w:rFonts w:cs="Arial"/>
                <w:b/>
                <w:szCs w:val="20"/>
              </w:rPr>
              <w:t xml:space="preserve">UNDP Gender Marker: </w:t>
            </w:r>
            <w:r w:rsidRPr="007663FD">
              <w:rPr>
                <w:rFonts w:cs="Arial"/>
                <w:szCs w:val="20"/>
              </w:rPr>
              <w:t>2</w:t>
            </w:r>
          </w:p>
        </w:tc>
      </w:tr>
      <w:tr w:rsidR="00302BFE" w:rsidRPr="007663FD" w14:paraId="72210DC2" w14:textId="77777777" w:rsidTr="005E6DCD">
        <w:trPr>
          <w:gridAfter w:val="1"/>
          <w:wAfter w:w="16" w:type="dxa"/>
          <w:jc w:val="center"/>
        </w:trPr>
        <w:tc>
          <w:tcPr>
            <w:tcW w:w="3194" w:type="dxa"/>
            <w:gridSpan w:val="3"/>
            <w:shd w:val="clear" w:color="auto" w:fill="auto"/>
          </w:tcPr>
          <w:p w14:paraId="3040F8FF" w14:textId="77777777" w:rsidR="00302BFE" w:rsidRPr="007663FD" w:rsidRDefault="00302BFE" w:rsidP="00243B15">
            <w:pPr>
              <w:spacing w:before="60"/>
              <w:jc w:val="left"/>
              <w:rPr>
                <w:rFonts w:cs="Arial"/>
                <w:szCs w:val="20"/>
                <w:lang w:eastAsia="zh-CN"/>
              </w:rPr>
            </w:pPr>
            <w:r w:rsidRPr="007663FD">
              <w:rPr>
                <w:rFonts w:cs="Arial"/>
                <w:b/>
                <w:szCs w:val="20"/>
              </w:rPr>
              <w:t xml:space="preserve">Atlas </w:t>
            </w:r>
            <w:r w:rsidRPr="007663FD">
              <w:rPr>
                <w:rFonts w:cs="Arial"/>
                <w:b/>
                <w:szCs w:val="20"/>
                <w:lang w:eastAsia="zh-CN"/>
              </w:rPr>
              <w:t>Project ID</w:t>
            </w:r>
            <w:r w:rsidRPr="007663FD">
              <w:rPr>
                <w:rFonts w:cs="Arial"/>
                <w:b/>
                <w:szCs w:val="20"/>
              </w:rPr>
              <w:t>: 00090370</w:t>
            </w:r>
          </w:p>
        </w:tc>
        <w:tc>
          <w:tcPr>
            <w:tcW w:w="6055" w:type="dxa"/>
            <w:gridSpan w:val="4"/>
            <w:shd w:val="clear" w:color="auto" w:fill="auto"/>
          </w:tcPr>
          <w:p w14:paraId="479D21A8" w14:textId="77777777" w:rsidR="00302BFE" w:rsidRPr="007663FD" w:rsidRDefault="00302BFE" w:rsidP="00243B15">
            <w:pPr>
              <w:spacing w:before="60"/>
              <w:jc w:val="left"/>
              <w:rPr>
                <w:rFonts w:cs="Arial"/>
                <w:b/>
                <w:szCs w:val="20"/>
              </w:rPr>
            </w:pPr>
            <w:r w:rsidRPr="007663FD">
              <w:rPr>
                <w:rFonts w:cs="Arial"/>
                <w:b/>
                <w:szCs w:val="20"/>
              </w:rPr>
              <w:t>Atlas O</w:t>
            </w:r>
            <w:r w:rsidRPr="007663FD">
              <w:rPr>
                <w:rFonts w:cs="Arial"/>
                <w:b/>
                <w:szCs w:val="20"/>
                <w:lang w:eastAsia="zh-CN"/>
              </w:rPr>
              <w:t>utput ID</w:t>
            </w:r>
            <w:r w:rsidRPr="007663FD">
              <w:rPr>
                <w:rFonts w:cs="Arial"/>
                <w:b/>
                <w:szCs w:val="20"/>
              </w:rPr>
              <w:t>: 00096170</w:t>
            </w:r>
          </w:p>
        </w:tc>
      </w:tr>
      <w:tr w:rsidR="00302BFE" w:rsidRPr="007663FD" w14:paraId="3404A18A" w14:textId="77777777" w:rsidTr="005E6DCD">
        <w:trPr>
          <w:gridAfter w:val="1"/>
          <w:wAfter w:w="16" w:type="dxa"/>
          <w:jc w:val="center"/>
        </w:trPr>
        <w:tc>
          <w:tcPr>
            <w:tcW w:w="3194" w:type="dxa"/>
            <w:gridSpan w:val="3"/>
            <w:shd w:val="clear" w:color="auto" w:fill="auto"/>
          </w:tcPr>
          <w:p w14:paraId="7919C29C" w14:textId="77777777" w:rsidR="00302BFE" w:rsidRPr="007663FD" w:rsidRDefault="00302BFE" w:rsidP="00243B15">
            <w:pPr>
              <w:spacing w:before="60"/>
              <w:jc w:val="left"/>
              <w:rPr>
                <w:rFonts w:cs="Arial"/>
                <w:b/>
                <w:szCs w:val="20"/>
              </w:rPr>
            </w:pPr>
            <w:r w:rsidRPr="007663FD">
              <w:rPr>
                <w:rFonts w:cs="Arial"/>
                <w:b/>
                <w:szCs w:val="20"/>
              </w:rPr>
              <w:t xml:space="preserve">UNDP-GEF PIMS ID number: 5938 </w:t>
            </w:r>
          </w:p>
        </w:tc>
        <w:tc>
          <w:tcPr>
            <w:tcW w:w="6055" w:type="dxa"/>
            <w:gridSpan w:val="4"/>
            <w:shd w:val="clear" w:color="auto" w:fill="auto"/>
          </w:tcPr>
          <w:p w14:paraId="6C4BD3AE" w14:textId="77777777" w:rsidR="00302BFE" w:rsidRPr="007663FD" w:rsidRDefault="00302BFE" w:rsidP="00243B15">
            <w:pPr>
              <w:spacing w:before="60"/>
              <w:jc w:val="left"/>
              <w:rPr>
                <w:rFonts w:cs="Arial"/>
                <w:b/>
                <w:szCs w:val="20"/>
              </w:rPr>
            </w:pPr>
            <w:r w:rsidRPr="007663FD">
              <w:rPr>
                <w:rFonts w:cs="Arial"/>
                <w:b/>
                <w:szCs w:val="20"/>
              </w:rPr>
              <w:t>GEF ID number: 9764</w:t>
            </w:r>
          </w:p>
        </w:tc>
      </w:tr>
      <w:tr w:rsidR="00302BFE" w:rsidRPr="007663FD" w14:paraId="5094163E" w14:textId="77777777" w:rsidTr="005E6DCD">
        <w:trPr>
          <w:gridAfter w:val="1"/>
          <w:wAfter w:w="16" w:type="dxa"/>
          <w:trHeight w:val="413"/>
          <w:jc w:val="center"/>
        </w:trPr>
        <w:tc>
          <w:tcPr>
            <w:tcW w:w="3194" w:type="dxa"/>
            <w:gridSpan w:val="3"/>
            <w:shd w:val="clear" w:color="auto" w:fill="auto"/>
          </w:tcPr>
          <w:p w14:paraId="30B5F131" w14:textId="10B7F91D" w:rsidR="00302BFE" w:rsidRPr="007663FD" w:rsidRDefault="00302BFE" w:rsidP="00243B15">
            <w:pPr>
              <w:spacing w:before="60"/>
              <w:jc w:val="left"/>
              <w:rPr>
                <w:rFonts w:cs="Arial"/>
                <w:b/>
                <w:szCs w:val="20"/>
              </w:rPr>
            </w:pPr>
            <w:r w:rsidRPr="007663FD">
              <w:rPr>
                <w:rFonts w:cs="Arial"/>
                <w:b/>
                <w:szCs w:val="20"/>
              </w:rPr>
              <w:t xml:space="preserve">Planned start date: </w:t>
            </w:r>
            <w:r w:rsidR="00236F1D">
              <w:rPr>
                <w:rFonts w:cs="Arial"/>
                <w:szCs w:val="20"/>
              </w:rPr>
              <w:t>31</w:t>
            </w:r>
            <w:r w:rsidR="00F73A10" w:rsidRPr="007663FD">
              <w:rPr>
                <w:rFonts w:cs="Arial"/>
                <w:szCs w:val="20"/>
              </w:rPr>
              <w:t xml:space="preserve"> May</w:t>
            </w:r>
            <w:r w:rsidRPr="007663FD">
              <w:rPr>
                <w:rFonts w:cs="Arial"/>
                <w:szCs w:val="20"/>
              </w:rPr>
              <w:t xml:space="preserve"> 20</w:t>
            </w:r>
            <w:r w:rsidR="008477AD" w:rsidRPr="007663FD">
              <w:rPr>
                <w:rFonts w:cs="Arial"/>
                <w:szCs w:val="20"/>
              </w:rPr>
              <w:t>2</w:t>
            </w:r>
            <w:r w:rsidR="005E6DCD" w:rsidRPr="007663FD">
              <w:rPr>
                <w:rFonts w:cs="Arial"/>
                <w:szCs w:val="20"/>
              </w:rPr>
              <w:t>3</w:t>
            </w:r>
            <w:r w:rsidRPr="007663FD">
              <w:rPr>
                <w:rFonts w:cs="Arial"/>
                <w:szCs w:val="20"/>
              </w:rPr>
              <w:t xml:space="preserve"> </w:t>
            </w:r>
          </w:p>
        </w:tc>
        <w:tc>
          <w:tcPr>
            <w:tcW w:w="6055" w:type="dxa"/>
            <w:gridSpan w:val="4"/>
            <w:shd w:val="clear" w:color="auto" w:fill="auto"/>
          </w:tcPr>
          <w:p w14:paraId="4EF2B845" w14:textId="501E17B3" w:rsidR="00302BFE" w:rsidRPr="007663FD" w:rsidRDefault="00302BFE" w:rsidP="00243B15">
            <w:pPr>
              <w:spacing w:before="60"/>
              <w:jc w:val="left"/>
              <w:rPr>
                <w:rFonts w:cs="Arial"/>
                <w:i/>
                <w:szCs w:val="20"/>
              </w:rPr>
            </w:pPr>
            <w:r w:rsidRPr="007663FD">
              <w:rPr>
                <w:rFonts w:cs="Arial"/>
                <w:b/>
                <w:szCs w:val="20"/>
              </w:rPr>
              <w:t xml:space="preserve">Planned end date: </w:t>
            </w:r>
            <w:r w:rsidR="00236F1D">
              <w:rPr>
                <w:rFonts w:cs="Arial"/>
                <w:szCs w:val="20"/>
              </w:rPr>
              <w:t>3</w:t>
            </w:r>
            <w:r w:rsidR="00D411B0">
              <w:rPr>
                <w:rFonts w:cs="Arial"/>
                <w:szCs w:val="20"/>
              </w:rPr>
              <w:t>0</w:t>
            </w:r>
            <w:r w:rsidR="00F73A10" w:rsidRPr="007663FD">
              <w:rPr>
                <w:rFonts w:cs="Arial"/>
                <w:szCs w:val="20"/>
              </w:rPr>
              <w:t xml:space="preserve"> </w:t>
            </w:r>
            <w:r w:rsidR="001F7862">
              <w:rPr>
                <w:rFonts w:cs="Arial"/>
                <w:szCs w:val="20"/>
              </w:rPr>
              <w:t>May</w:t>
            </w:r>
            <w:r w:rsidRPr="007663FD">
              <w:rPr>
                <w:rFonts w:cs="Arial"/>
                <w:szCs w:val="20"/>
              </w:rPr>
              <w:t xml:space="preserve"> 202</w:t>
            </w:r>
            <w:r w:rsidR="005E6DCD" w:rsidRPr="007663FD">
              <w:rPr>
                <w:rFonts w:cs="Arial"/>
                <w:szCs w:val="20"/>
              </w:rPr>
              <w:t>9</w:t>
            </w:r>
          </w:p>
        </w:tc>
      </w:tr>
      <w:tr w:rsidR="00302BFE" w:rsidRPr="007663FD" w14:paraId="3EB07392" w14:textId="77777777" w:rsidTr="005E6DCD">
        <w:trPr>
          <w:gridAfter w:val="1"/>
          <w:wAfter w:w="16" w:type="dxa"/>
          <w:jc w:val="center"/>
        </w:trPr>
        <w:tc>
          <w:tcPr>
            <w:tcW w:w="9249" w:type="dxa"/>
            <w:gridSpan w:val="7"/>
            <w:shd w:val="clear" w:color="auto" w:fill="auto"/>
          </w:tcPr>
          <w:p w14:paraId="5C2626EF" w14:textId="3A0E8E8F" w:rsidR="00302BFE" w:rsidRPr="007663FD" w:rsidRDefault="004628A2" w:rsidP="00243B15">
            <w:pPr>
              <w:spacing w:after="120"/>
              <w:jc w:val="left"/>
              <w:rPr>
                <w:rFonts w:cs="Segoe UI"/>
                <w:color w:val="0000FF"/>
                <w:szCs w:val="20"/>
                <w:u w:val="single"/>
              </w:rPr>
            </w:pPr>
            <w:r w:rsidRPr="007663FD">
              <w:rPr>
                <w:rFonts w:cs="Arial"/>
                <w:b/>
                <w:szCs w:val="20"/>
              </w:rPr>
              <w:t>L</w:t>
            </w:r>
            <w:r w:rsidR="00302BFE" w:rsidRPr="007663FD">
              <w:rPr>
                <w:rFonts w:cs="Arial"/>
                <w:b/>
                <w:szCs w:val="20"/>
              </w:rPr>
              <w:t xml:space="preserve">PAC meeting date:  </w:t>
            </w:r>
            <w:r w:rsidR="00694734" w:rsidRPr="007663FD">
              <w:rPr>
                <w:rFonts w:cs="Arial"/>
                <w:bCs/>
                <w:szCs w:val="20"/>
                <w:lang w:val="fr-FR"/>
              </w:rPr>
              <w:t xml:space="preserve">29 </w:t>
            </w:r>
            <w:r w:rsidR="001D3D46" w:rsidRPr="007663FD">
              <w:rPr>
                <w:rFonts w:cs="Arial"/>
                <w:bCs/>
                <w:szCs w:val="20"/>
                <w:lang w:val="fr-FR"/>
              </w:rPr>
              <w:t xml:space="preserve">June </w:t>
            </w:r>
            <w:r w:rsidR="00694734" w:rsidRPr="007663FD">
              <w:rPr>
                <w:rFonts w:cs="Arial"/>
                <w:bCs/>
                <w:szCs w:val="20"/>
                <w:lang w:val="fr-FR"/>
              </w:rPr>
              <w:t>2021</w:t>
            </w:r>
          </w:p>
        </w:tc>
      </w:tr>
      <w:tr w:rsidR="004628A2" w:rsidRPr="007663FD" w14:paraId="01B3D3A6" w14:textId="77777777" w:rsidTr="005E6DCD">
        <w:trPr>
          <w:gridAfter w:val="1"/>
          <w:wAfter w:w="16" w:type="dxa"/>
          <w:jc w:val="center"/>
        </w:trPr>
        <w:tc>
          <w:tcPr>
            <w:tcW w:w="9249" w:type="dxa"/>
            <w:gridSpan w:val="7"/>
            <w:shd w:val="clear" w:color="auto" w:fill="auto"/>
          </w:tcPr>
          <w:p w14:paraId="531903CE" w14:textId="1E1FD460" w:rsidR="004628A2" w:rsidRPr="007663FD" w:rsidRDefault="004628A2" w:rsidP="00243B15">
            <w:pPr>
              <w:spacing w:after="120"/>
              <w:jc w:val="left"/>
              <w:rPr>
                <w:rFonts w:cs="Arial"/>
                <w:b/>
                <w:szCs w:val="20"/>
              </w:rPr>
            </w:pPr>
            <w:r w:rsidRPr="007663FD">
              <w:rPr>
                <w:rFonts w:cs="Arial"/>
                <w:b/>
                <w:szCs w:val="20"/>
              </w:rPr>
              <w:t xml:space="preserve">Project duration in months: </w:t>
            </w:r>
            <w:r w:rsidRPr="007663FD">
              <w:rPr>
                <w:rFonts w:cs="Arial"/>
                <w:bCs/>
                <w:szCs w:val="20"/>
              </w:rPr>
              <w:t>72 months</w:t>
            </w:r>
          </w:p>
        </w:tc>
      </w:tr>
      <w:tr w:rsidR="005E6DCD" w:rsidRPr="00966EF0" w14:paraId="42FFB887" w14:textId="77777777" w:rsidTr="005E6DCD">
        <w:tblPrEx>
          <w:jc w:val="left"/>
        </w:tblPrEx>
        <w:tc>
          <w:tcPr>
            <w:tcW w:w="4585" w:type="dxa"/>
            <w:gridSpan w:val="5"/>
            <w:shd w:val="clear" w:color="auto" w:fill="auto"/>
          </w:tcPr>
          <w:p w14:paraId="45E205C6" w14:textId="5F4483C4" w:rsidR="005E6DCD" w:rsidRPr="007663FD" w:rsidRDefault="005E6DCD" w:rsidP="005B47BB">
            <w:pPr>
              <w:spacing w:after="240"/>
              <w:rPr>
                <w:rFonts w:cs="Arial"/>
                <w:i/>
                <w:szCs w:val="20"/>
              </w:rPr>
            </w:pPr>
            <w:r w:rsidRPr="007663FD">
              <w:rPr>
                <w:rFonts w:cs="Arial"/>
                <w:b/>
                <w:szCs w:val="20"/>
              </w:rPr>
              <w:t xml:space="preserve">Expected date of Mid-Term Review: </w:t>
            </w:r>
            <w:r w:rsidR="001F7862">
              <w:rPr>
                <w:rFonts w:cs="Arial"/>
                <w:szCs w:val="20"/>
              </w:rPr>
              <w:t>1</w:t>
            </w:r>
            <w:r w:rsidR="00E444E4">
              <w:rPr>
                <w:rFonts w:cs="Arial"/>
                <w:szCs w:val="20"/>
              </w:rPr>
              <w:t xml:space="preserve"> June</w:t>
            </w:r>
            <w:r w:rsidRPr="007663FD">
              <w:rPr>
                <w:rFonts w:cs="Arial"/>
                <w:szCs w:val="20"/>
              </w:rPr>
              <w:t xml:space="preserve"> 2026</w:t>
            </w:r>
          </w:p>
        </w:tc>
        <w:tc>
          <w:tcPr>
            <w:tcW w:w="4680" w:type="dxa"/>
            <w:gridSpan w:val="3"/>
            <w:shd w:val="clear" w:color="auto" w:fill="auto"/>
          </w:tcPr>
          <w:p w14:paraId="0B046768" w14:textId="472EE3CC" w:rsidR="005E6DCD" w:rsidRPr="007663FD" w:rsidRDefault="005E6DCD" w:rsidP="005B47BB">
            <w:pPr>
              <w:spacing w:after="240"/>
              <w:rPr>
                <w:rFonts w:cs="Arial"/>
                <w:b/>
                <w:szCs w:val="20"/>
              </w:rPr>
            </w:pPr>
            <w:r w:rsidRPr="007663FD">
              <w:rPr>
                <w:rFonts w:cs="Arial"/>
                <w:b/>
                <w:szCs w:val="20"/>
              </w:rPr>
              <w:t>Expected date of Terminal evaluation</w:t>
            </w:r>
            <w:r w:rsidRPr="007663FD">
              <w:rPr>
                <w:rFonts w:cs="Arial"/>
                <w:bCs/>
                <w:szCs w:val="20"/>
              </w:rPr>
              <w:t xml:space="preserve">: </w:t>
            </w:r>
            <w:r w:rsidR="001F7862">
              <w:rPr>
                <w:rFonts w:cs="Arial"/>
                <w:bCs/>
                <w:szCs w:val="20"/>
              </w:rPr>
              <w:t>2</w:t>
            </w:r>
            <w:r w:rsidR="00561984">
              <w:rPr>
                <w:rFonts w:cs="Arial"/>
                <w:bCs/>
                <w:szCs w:val="20"/>
              </w:rPr>
              <w:t>8</w:t>
            </w:r>
            <w:r w:rsidR="00F73A10" w:rsidRPr="007663FD">
              <w:rPr>
                <w:rFonts w:cs="Arial"/>
                <w:bCs/>
                <w:szCs w:val="20"/>
              </w:rPr>
              <w:t xml:space="preserve"> </w:t>
            </w:r>
            <w:r w:rsidR="001F7862">
              <w:rPr>
                <w:rFonts w:cs="Arial"/>
                <w:bCs/>
                <w:szCs w:val="20"/>
              </w:rPr>
              <w:t>February</w:t>
            </w:r>
            <w:r w:rsidRPr="007663FD">
              <w:rPr>
                <w:rFonts w:cs="Arial"/>
                <w:bCs/>
                <w:szCs w:val="20"/>
              </w:rPr>
              <w:t xml:space="preserve"> 202</w:t>
            </w:r>
            <w:r w:rsidR="00F73A10" w:rsidRPr="007663FD">
              <w:rPr>
                <w:rFonts w:cs="Arial"/>
                <w:bCs/>
                <w:szCs w:val="20"/>
              </w:rPr>
              <w:t>9</w:t>
            </w:r>
          </w:p>
        </w:tc>
      </w:tr>
      <w:tr w:rsidR="00302BFE" w:rsidRPr="006E490C" w14:paraId="79BD1921" w14:textId="77777777" w:rsidTr="005E6DCD">
        <w:trPr>
          <w:gridAfter w:val="1"/>
          <w:wAfter w:w="16" w:type="dxa"/>
          <w:jc w:val="center"/>
        </w:trPr>
        <w:tc>
          <w:tcPr>
            <w:tcW w:w="9249" w:type="dxa"/>
            <w:gridSpan w:val="7"/>
            <w:shd w:val="clear" w:color="auto" w:fill="auto"/>
          </w:tcPr>
          <w:p w14:paraId="124E6C3A" w14:textId="77777777" w:rsidR="00302BFE" w:rsidRPr="00D61C93" w:rsidRDefault="00302BFE" w:rsidP="00243B15">
            <w:pPr>
              <w:spacing w:before="60" w:after="120"/>
              <w:jc w:val="left"/>
              <w:rPr>
                <w:rFonts w:cs="Arial"/>
                <w:i/>
                <w:szCs w:val="20"/>
              </w:rPr>
            </w:pPr>
            <w:r w:rsidRPr="00D61C93">
              <w:rPr>
                <w:rFonts w:cs="Arial"/>
                <w:b/>
                <w:szCs w:val="20"/>
              </w:rPr>
              <w:t>Brief project description:</w:t>
            </w:r>
          </w:p>
          <w:p w14:paraId="659AABC9" w14:textId="6CAA9496" w:rsidR="00302BFE" w:rsidRPr="00D61C93" w:rsidRDefault="00302BFE" w:rsidP="00F82F5B">
            <w:pPr>
              <w:spacing w:before="120" w:after="120"/>
              <w:rPr>
                <w:rFonts w:cs="Calibri"/>
                <w:lang w:val="en-CA"/>
              </w:rPr>
            </w:pPr>
            <w:r w:rsidRPr="00D61C93">
              <w:rPr>
                <w:rFonts w:cs="Calibri"/>
                <w:lang w:val="en-CA"/>
              </w:rPr>
              <w:t xml:space="preserve">The UNDP/GEF project (PIMS 5938), </w:t>
            </w:r>
            <w:r w:rsidRPr="00D61C93">
              <w:rPr>
                <w:rFonts w:ascii="Calibri-Italic" w:hAnsi="Calibri-Italic" w:cs="Calibri-Italic"/>
                <w:i/>
                <w:iCs/>
                <w:lang w:val="en-CA"/>
              </w:rPr>
              <w:t>Integrated and Sustainable Management of PONASI Protected Area Landscape</w:t>
            </w:r>
            <w:r w:rsidRPr="00D61C93">
              <w:rPr>
                <w:rFonts w:cs="Calibri"/>
                <w:lang w:val="en-CA"/>
              </w:rPr>
              <w:t xml:space="preserve">, aims at safeguarding critical wildlife habitat, </w:t>
            </w:r>
            <w:proofErr w:type="gramStart"/>
            <w:r w:rsidRPr="00D61C93">
              <w:rPr>
                <w:rFonts w:cs="Calibri"/>
                <w:lang w:val="en-CA"/>
              </w:rPr>
              <w:t>biodiversity</w:t>
            </w:r>
            <w:proofErr w:type="gramEnd"/>
            <w:r w:rsidRPr="00D61C93">
              <w:rPr>
                <w:rFonts w:cs="Calibri"/>
                <w:lang w:val="en-CA"/>
              </w:rPr>
              <w:t xml:space="preserve"> and ecosystem services in the PONASI Protected Area Complex of Burkina Faso through integrated landscape management. Component 1 will work at the greater PONASI landscape level supporting establishment of institutional capacity and provision of tools for integrated landscape management, while component 2 will focus on strengthening management effectiveness of the protected area network within the PONASI landscape to secure core conservation areas. Component 3 focuses on sustainable land management and livelihood diversification with a view to enhance community livelihoods and reduce threats to ecosystem integrity and biodiversity such as over exploitation, habitat conversion and land degradation. The project introduces for the first time in Burkina Faso a landscape approach to biodiversity conservation and productive land management which includes bio-carbon </w:t>
            </w:r>
            <w:r w:rsidRPr="00D44FEF">
              <w:rPr>
                <w:rFonts w:cs="Calibri"/>
                <w:lang w:val="en-CA"/>
              </w:rPr>
              <w:t>conservation</w:t>
            </w:r>
            <w:r w:rsidR="005B1DAA" w:rsidRPr="00D44FEF">
              <w:rPr>
                <w:rFonts w:cs="Calibri"/>
                <w:lang w:val="en-CA"/>
              </w:rPr>
              <w:t xml:space="preserve">, </w:t>
            </w:r>
            <w:r w:rsidR="00DC6744" w:rsidRPr="00D44FEF">
              <w:rPr>
                <w:rFonts w:cs="Calibri"/>
                <w:lang w:val="en-CA"/>
              </w:rPr>
              <w:t xml:space="preserve">which is in line with an approach to </w:t>
            </w:r>
            <w:r w:rsidR="005B1DAA" w:rsidRPr="00D44FEF">
              <w:rPr>
                <w:rFonts w:cs="Calibri"/>
                <w:lang w:val="en-CA"/>
              </w:rPr>
              <w:t xml:space="preserve">“build back better” </w:t>
            </w:r>
            <w:r w:rsidR="00DC6744" w:rsidRPr="00D44FEF">
              <w:rPr>
                <w:rFonts w:cs="Calibri"/>
                <w:lang w:val="en-CA"/>
              </w:rPr>
              <w:t xml:space="preserve">with increased environmental sustainability </w:t>
            </w:r>
            <w:r w:rsidR="005B1DAA" w:rsidRPr="00D44FEF">
              <w:rPr>
                <w:rFonts w:cs="Calibri"/>
                <w:lang w:val="en-CA"/>
              </w:rPr>
              <w:t>in response to the COVID crisis</w:t>
            </w:r>
            <w:r w:rsidRPr="00D44FEF">
              <w:rPr>
                <w:rFonts w:cs="Calibri"/>
                <w:lang w:val="en-CA"/>
              </w:rPr>
              <w:t>. This project will move from a site-focused conservation model towards an effective and integrated land and resource-use governance model at the landscape level. Furthermore, with the generation of revenue for local communities through eco-tourism, better soil productivity and viable diversification of income sources, the project should result in the reduction of pressures on biodiversity, including poaching</w:t>
            </w:r>
            <w:r w:rsidR="005B1DAA" w:rsidRPr="00D44FEF">
              <w:rPr>
                <w:rFonts w:cs="Calibri"/>
                <w:lang w:val="en-CA"/>
              </w:rPr>
              <w:t xml:space="preserve">, while reducing the </w:t>
            </w:r>
            <w:r w:rsidR="005B1DAA" w:rsidRPr="00D44FEF">
              <w:rPr>
                <w:rFonts w:cs="Calibri"/>
                <w:lang w:val="en-CA"/>
              </w:rPr>
              <w:lastRenderedPageBreak/>
              <w:t xml:space="preserve">risk of exposure of local populations to zoonotic diseases from </w:t>
            </w:r>
            <w:r w:rsidR="00DC6744" w:rsidRPr="00D44FEF">
              <w:rPr>
                <w:rFonts w:cs="Calibri"/>
                <w:lang w:val="en-CA"/>
              </w:rPr>
              <w:t xml:space="preserve">uncontrolled </w:t>
            </w:r>
            <w:r w:rsidR="005B1DAA" w:rsidRPr="00D44FEF">
              <w:rPr>
                <w:rFonts w:cs="Calibri"/>
                <w:lang w:val="en-CA"/>
              </w:rPr>
              <w:t>bushmeat consumption</w:t>
            </w:r>
            <w:r w:rsidRPr="00D44FEF">
              <w:rPr>
                <w:rFonts w:cs="Calibri"/>
                <w:lang w:val="en-CA"/>
              </w:rPr>
              <w:t>. Global Environmental</w:t>
            </w:r>
            <w:r w:rsidRPr="00D61C93">
              <w:rPr>
                <w:rFonts w:cs="Calibri"/>
                <w:lang w:val="en-CA"/>
              </w:rPr>
              <w:t xml:space="preserve"> Benefits will include the improved management of 952,000 ha of land, including 354,781 ha of protected areas, corridors and community-managed hunting zones and forest management worksites, 129,478 ha under sustainable land management, and to avoid </w:t>
            </w:r>
            <w:r w:rsidR="00CD025C" w:rsidRPr="00D61C93">
              <w:rPr>
                <w:rFonts w:cs="Calibri"/>
                <w:lang w:val="en-CA"/>
              </w:rPr>
              <w:t>5</w:t>
            </w:r>
            <w:r w:rsidRPr="00D61C93">
              <w:rPr>
                <w:rFonts w:cs="Calibri"/>
                <w:lang w:val="en-CA"/>
              </w:rPr>
              <w:t>,</w:t>
            </w:r>
            <w:r w:rsidR="00CD025C" w:rsidRPr="00D61C93">
              <w:rPr>
                <w:rFonts w:cs="Calibri"/>
                <w:lang w:val="en-CA"/>
              </w:rPr>
              <w:t>4</w:t>
            </w:r>
            <w:r w:rsidRPr="00D61C93">
              <w:rPr>
                <w:rFonts w:cs="Calibri"/>
                <w:lang w:val="en-CA"/>
              </w:rPr>
              <w:t xml:space="preserve"> million tCO</w:t>
            </w:r>
            <w:r w:rsidRPr="00D61C93">
              <w:rPr>
                <w:rFonts w:cs="Calibri"/>
                <w:sz w:val="14"/>
                <w:szCs w:val="14"/>
                <w:lang w:val="en-CA"/>
              </w:rPr>
              <w:t>2e</w:t>
            </w:r>
            <w:r w:rsidR="001274DA" w:rsidRPr="00D61C93">
              <w:rPr>
                <w:rFonts w:cs="Calibri"/>
                <w:sz w:val="14"/>
                <w:szCs w:val="14"/>
                <w:lang w:val="en-CA"/>
              </w:rPr>
              <w:t>q</w:t>
            </w:r>
            <w:r w:rsidRPr="00D61C93">
              <w:rPr>
                <w:rFonts w:cs="Calibri"/>
                <w:lang w:val="en-CA"/>
              </w:rPr>
              <w:t xml:space="preserve"> emissions avoided.</w:t>
            </w:r>
          </w:p>
        </w:tc>
      </w:tr>
      <w:tr w:rsidR="00302BFE" w:rsidRPr="006E490C" w14:paraId="71BABCD2" w14:textId="77777777" w:rsidTr="005E6DCD">
        <w:trPr>
          <w:gridAfter w:val="1"/>
          <w:wAfter w:w="16" w:type="dxa"/>
          <w:trHeight w:val="377"/>
          <w:jc w:val="center"/>
        </w:trPr>
        <w:tc>
          <w:tcPr>
            <w:tcW w:w="9249" w:type="dxa"/>
            <w:gridSpan w:val="7"/>
            <w:shd w:val="clear" w:color="auto" w:fill="D9D9D9"/>
          </w:tcPr>
          <w:p w14:paraId="667A0265" w14:textId="77777777" w:rsidR="00302BFE" w:rsidRPr="006E490C" w:rsidRDefault="00302BFE" w:rsidP="00243B15">
            <w:pPr>
              <w:spacing w:after="120"/>
              <w:jc w:val="left"/>
              <w:rPr>
                <w:rFonts w:cs="Arial"/>
                <w:b/>
                <w:smallCaps/>
                <w:szCs w:val="20"/>
              </w:rPr>
            </w:pPr>
            <w:r w:rsidRPr="006E490C">
              <w:rPr>
                <w:rFonts w:cs="Arial"/>
                <w:b/>
                <w:smallCaps/>
                <w:szCs w:val="20"/>
              </w:rPr>
              <w:lastRenderedPageBreak/>
              <w:t>Financing Plan</w:t>
            </w:r>
          </w:p>
        </w:tc>
      </w:tr>
      <w:tr w:rsidR="00302BFE" w:rsidRPr="006E490C" w14:paraId="54951D07" w14:textId="77777777" w:rsidTr="005E6DCD">
        <w:trPr>
          <w:gridAfter w:val="1"/>
          <w:wAfter w:w="16" w:type="dxa"/>
          <w:jc w:val="center"/>
        </w:trPr>
        <w:tc>
          <w:tcPr>
            <w:tcW w:w="3194" w:type="dxa"/>
            <w:gridSpan w:val="3"/>
            <w:shd w:val="clear" w:color="auto" w:fill="auto"/>
          </w:tcPr>
          <w:p w14:paraId="23EAC637" w14:textId="77777777" w:rsidR="00302BFE" w:rsidRPr="006E490C" w:rsidRDefault="00302BFE" w:rsidP="00243B15">
            <w:pPr>
              <w:spacing w:after="120"/>
              <w:jc w:val="left"/>
              <w:rPr>
                <w:rFonts w:cs="Arial"/>
                <w:szCs w:val="20"/>
              </w:rPr>
            </w:pPr>
            <w:r w:rsidRPr="006E490C">
              <w:rPr>
                <w:rFonts w:cs="Arial"/>
                <w:szCs w:val="20"/>
              </w:rPr>
              <w:t>GEF Trust Fund</w:t>
            </w:r>
          </w:p>
        </w:tc>
        <w:tc>
          <w:tcPr>
            <w:tcW w:w="6055" w:type="dxa"/>
            <w:gridSpan w:val="4"/>
            <w:shd w:val="clear" w:color="auto" w:fill="auto"/>
          </w:tcPr>
          <w:p w14:paraId="00C304A0" w14:textId="77777777" w:rsidR="00302BFE" w:rsidRPr="006E490C" w:rsidRDefault="00302BFE" w:rsidP="00243B15">
            <w:pPr>
              <w:spacing w:after="120"/>
              <w:jc w:val="left"/>
              <w:rPr>
                <w:rFonts w:cs="Arial"/>
                <w:szCs w:val="20"/>
              </w:rPr>
            </w:pPr>
            <w:r w:rsidRPr="006E490C">
              <w:rPr>
                <w:rFonts w:cs="Arial"/>
                <w:szCs w:val="20"/>
              </w:rPr>
              <w:t>USD 5,279,452</w:t>
            </w:r>
          </w:p>
        </w:tc>
      </w:tr>
      <w:tr w:rsidR="00302BFE" w:rsidRPr="006E490C" w14:paraId="21CDE388" w14:textId="77777777" w:rsidTr="005E6DCD">
        <w:trPr>
          <w:gridAfter w:val="1"/>
          <w:wAfter w:w="16" w:type="dxa"/>
          <w:jc w:val="center"/>
        </w:trPr>
        <w:tc>
          <w:tcPr>
            <w:tcW w:w="3194" w:type="dxa"/>
            <w:gridSpan w:val="3"/>
            <w:shd w:val="clear" w:color="auto" w:fill="auto"/>
          </w:tcPr>
          <w:p w14:paraId="77878A81" w14:textId="77777777" w:rsidR="00302BFE" w:rsidRPr="006E490C" w:rsidRDefault="00302BFE" w:rsidP="00243B15">
            <w:pPr>
              <w:spacing w:after="120"/>
              <w:jc w:val="left"/>
              <w:rPr>
                <w:rFonts w:cs="Arial"/>
                <w:szCs w:val="20"/>
              </w:rPr>
            </w:pPr>
            <w:r w:rsidRPr="006E490C">
              <w:rPr>
                <w:rFonts w:cs="Arial"/>
                <w:szCs w:val="20"/>
              </w:rPr>
              <w:t>UNDP TRAC resources</w:t>
            </w:r>
          </w:p>
        </w:tc>
        <w:tc>
          <w:tcPr>
            <w:tcW w:w="6055" w:type="dxa"/>
            <w:gridSpan w:val="4"/>
            <w:shd w:val="clear" w:color="auto" w:fill="auto"/>
          </w:tcPr>
          <w:p w14:paraId="25D970EC" w14:textId="77777777" w:rsidR="00302BFE" w:rsidRPr="006E490C" w:rsidRDefault="00302BFE" w:rsidP="00243B15">
            <w:pPr>
              <w:spacing w:after="120"/>
              <w:jc w:val="left"/>
              <w:rPr>
                <w:rFonts w:cs="Arial"/>
                <w:szCs w:val="20"/>
              </w:rPr>
            </w:pPr>
            <w:r w:rsidRPr="006E490C">
              <w:rPr>
                <w:rFonts w:cs="Arial"/>
                <w:szCs w:val="20"/>
              </w:rPr>
              <w:t>USD 270,000</w:t>
            </w:r>
          </w:p>
        </w:tc>
      </w:tr>
      <w:tr w:rsidR="00302BFE" w:rsidRPr="006E490C" w14:paraId="6C2DAE98" w14:textId="77777777" w:rsidTr="005E6DCD">
        <w:trPr>
          <w:gridAfter w:val="1"/>
          <w:wAfter w:w="16" w:type="dxa"/>
          <w:jc w:val="center"/>
        </w:trPr>
        <w:tc>
          <w:tcPr>
            <w:tcW w:w="3194" w:type="dxa"/>
            <w:gridSpan w:val="3"/>
            <w:shd w:val="clear" w:color="auto" w:fill="auto"/>
          </w:tcPr>
          <w:p w14:paraId="729E8B0E" w14:textId="77777777" w:rsidR="00302BFE" w:rsidRPr="006E490C" w:rsidRDefault="00302BFE" w:rsidP="00243B15">
            <w:pPr>
              <w:pStyle w:val="Paragraphedeliste"/>
              <w:numPr>
                <w:ilvl w:val="0"/>
                <w:numId w:val="5"/>
              </w:numPr>
              <w:spacing w:after="120"/>
              <w:jc w:val="right"/>
              <w:rPr>
                <w:rFonts w:ascii="Calibri" w:hAnsi="Calibri" w:cs="Arial"/>
                <w:b/>
                <w:sz w:val="20"/>
                <w:szCs w:val="20"/>
              </w:rPr>
            </w:pPr>
            <w:r w:rsidRPr="006E490C">
              <w:rPr>
                <w:rFonts w:ascii="Calibri" w:hAnsi="Calibri" w:cs="Arial"/>
                <w:b/>
                <w:sz w:val="20"/>
                <w:szCs w:val="20"/>
                <w:lang w:eastAsia="zh-CN"/>
              </w:rPr>
              <w:t xml:space="preserve">Total </w:t>
            </w:r>
            <w:r w:rsidRPr="006E490C">
              <w:rPr>
                <w:rFonts w:ascii="Calibri" w:hAnsi="Calibri" w:cs="Arial"/>
                <w:b/>
                <w:sz w:val="20"/>
                <w:szCs w:val="20"/>
              </w:rPr>
              <w:t xml:space="preserve">Budget administered by UNDP </w:t>
            </w:r>
          </w:p>
        </w:tc>
        <w:tc>
          <w:tcPr>
            <w:tcW w:w="6055" w:type="dxa"/>
            <w:gridSpan w:val="4"/>
            <w:shd w:val="clear" w:color="auto" w:fill="auto"/>
          </w:tcPr>
          <w:p w14:paraId="47499032" w14:textId="77777777" w:rsidR="00302BFE" w:rsidRPr="006E490C" w:rsidRDefault="00302BFE" w:rsidP="00243B15">
            <w:pPr>
              <w:spacing w:after="120"/>
              <w:jc w:val="left"/>
              <w:rPr>
                <w:rFonts w:cs="Arial"/>
                <w:b/>
                <w:szCs w:val="20"/>
              </w:rPr>
            </w:pPr>
            <w:r w:rsidRPr="006E490C">
              <w:rPr>
                <w:rFonts w:cs="Arial"/>
                <w:b/>
                <w:szCs w:val="20"/>
              </w:rPr>
              <w:t>USD 5,549,452</w:t>
            </w:r>
          </w:p>
        </w:tc>
      </w:tr>
      <w:tr w:rsidR="00302BFE" w:rsidRPr="006E490C" w14:paraId="40A99930" w14:textId="77777777" w:rsidTr="005E6DCD">
        <w:trPr>
          <w:gridAfter w:val="1"/>
          <w:wAfter w:w="16" w:type="dxa"/>
          <w:jc w:val="center"/>
        </w:trPr>
        <w:tc>
          <w:tcPr>
            <w:tcW w:w="9249" w:type="dxa"/>
            <w:gridSpan w:val="7"/>
            <w:shd w:val="clear" w:color="auto" w:fill="D9D9D9"/>
          </w:tcPr>
          <w:p w14:paraId="2F8FF4A8" w14:textId="77777777" w:rsidR="00302BFE" w:rsidRPr="006E490C" w:rsidRDefault="0057587F" w:rsidP="00243B15">
            <w:pPr>
              <w:spacing w:after="120"/>
              <w:jc w:val="left"/>
              <w:rPr>
                <w:rFonts w:cs="Arial"/>
                <w:b/>
                <w:szCs w:val="20"/>
              </w:rPr>
            </w:pPr>
            <w:r w:rsidRPr="00D61C93">
              <w:rPr>
                <w:rFonts w:cs="Arial"/>
                <w:b/>
                <w:smallCaps/>
                <w:szCs w:val="20"/>
              </w:rPr>
              <w:t>Baseline</w:t>
            </w:r>
            <w:r w:rsidR="00302BFE" w:rsidRPr="00D61C93">
              <w:rPr>
                <w:rFonts w:cs="Arial"/>
                <w:b/>
                <w:smallCaps/>
                <w:szCs w:val="20"/>
              </w:rPr>
              <w:t xml:space="preserve"> co-financing</w:t>
            </w:r>
          </w:p>
        </w:tc>
      </w:tr>
      <w:tr w:rsidR="00302BFE" w:rsidRPr="006E490C" w14:paraId="666EDA1A" w14:textId="77777777" w:rsidTr="005E6DCD">
        <w:trPr>
          <w:gridAfter w:val="1"/>
          <w:wAfter w:w="16" w:type="dxa"/>
          <w:trHeight w:val="296"/>
          <w:jc w:val="center"/>
        </w:trPr>
        <w:tc>
          <w:tcPr>
            <w:tcW w:w="3194" w:type="dxa"/>
            <w:gridSpan w:val="3"/>
            <w:shd w:val="clear" w:color="auto" w:fill="auto"/>
          </w:tcPr>
          <w:p w14:paraId="45669D34" w14:textId="7996FB2C" w:rsidR="00302BFE" w:rsidRPr="00AB47BD" w:rsidRDefault="001265F0" w:rsidP="00243B15">
            <w:pPr>
              <w:spacing w:after="120"/>
              <w:jc w:val="right"/>
              <w:rPr>
                <w:rFonts w:cs="Arial"/>
                <w:szCs w:val="20"/>
                <w:lang w:val="fr-FR"/>
              </w:rPr>
            </w:pPr>
            <w:r w:rsidRPr="00AB47BD">
              <w:rPr>
                <w:rFonts w:cs="Arial"/>
                <w:szCs w:val="20"/>
                <w:highlight w:val="green"/>
                <w:lang w:val="fr-FR"/>
              </w:rPr>
              <w:t>Ministère de l'environnement, de l'eau et de l'Assainissement</w:t>
            </w:r>
          </w:p>
        </w:tc>
        <w:tc>
          <w:tcPr>
            <w:tcW w:w="6055" w:type="dxa"/>
            <w:gridSpan w:val="4"/>
            <w:shd w:val="clear" w:color="auto" w:fill="auto"/>
          </w:tcPr>
          <w:p w14:paraId="0CA9BAC5" w14:textId="77777777" w:rsidR="00302BFE" w:rsidRPr="006E490C" w:rsidRDefault="00302BFE" w:rsidP="00243B15">
            <w:pPr>
              <w:spacing w:after="120"/>
              <w:jc w:val="left"/>
              <w:rPr>
                <w:rFonts w:cs="Arial"/>
                <w:szCs w:val="20"/>
              </w:rPr>
            </w:pPr>
            <w:r w:rsidRPr="006E490C">
              <w:rPr>
                <w:rFonts w:cs="Arial"/>
                <w:szCs w:val="20"/>
              </w:rPr>
              <w:t>10,318,111 USD</w:t>
            </w:r>
          </w:p>
        </w:tc>
      </w:tr>
      <w:tr w:rsidR="00302BFE" w:rsidRPr="006E490C" w14:paraId="59F3C392" w14:textId="77777777" w:rsidTr="005E6DCD">
        <w:trPr>
          <w:gridAfter w:val="1"/>
          <w:wAfter w:w="16" w:type="dxa"/>
          <w:trHeight w:val="296"/>
          <w:jc w:val="center"/>
        </w:trPr>
        <w:tc>
          <w:tcPr>
            <w:tcW w:w="3194" w:type="dxa"/>
            <w:gridSpan w:val="3"/>
            <w:shd w:val="clear" w:color="auto" w:fill="auto"/>
          </w:tcPr>
          <w:p w14:paraId="45B1FCAC" w14:textId="1A0AA9A7" w:rsidR="00302BFE" w:rsidRPr="00E028FF" w:rsidRDefault="00302BFE" w:rsidP="00243B15">
            <w:pPr>
              <w:spacing w:after="120"/>
              <w:jc w:val="right"/>
              <w:rPr>
                <w:rFonts w:cs="Arial"/>
                <w:szCs w:val="20"/>
              </w:rPr>
            </w:pPr>
            <w:r w:rsidRPr="00E028FF">
              <w:rPr>
                <w:szCs w:val="20"/>
                <w:lang w:val="en-CA"/>
              </w:rPr>
              <w:t>Ministry of Agriculture and Hydro-agricultural Infrastructure</w:t>
            </w:r>
            <w:r w:rsidR="00FE60C6" w:rsidRPr="00E028FF">
              <w:rPr>
                <w:szCs w:val="20"/>
                <w:lang w:val="en-CA"/>
              </w:rPr>
              <w:t xml:space="preserve"> and </w:t>
            </w:r>
            <w:proofErr w:type="spellStart"/>
            <w:r w:rsidR="00FE60C6" w:rsidRPr="00E028FF">
              <w:rPr>
                <w:szCs w:val="20"/>
                <w:lang w:val="en-CA"/>
              </w:rPr>
              <w:t>me</w:t>
            </w:r>
            <w:r w:rsidR="008557D8" w:rsidRPr="00E028FF">
              <w:rPr>
                <w:szCs w:val="20"/>
                <w:lang w:val="en-CA"/>
              </w:rPr>
              <w:t>canization</w:t>
            </w:r>
            <w:proofErr w:type="spellEnd"/>
          </w:p>
        </w:tc>
        <w:tc>
          <w:tcPr>
            <w:tcW w:w="6055" w:type="dxa"/>
            <w:gridSpan w:val="4"/>
            <w:shd w:val="clear" w:color="auto" w:fill="auto"/>
          </w:tcPr>
          <w:p w14:paraId="58373B88" w14:textId="77777777" w:rsidR="00302BFE" w:rsidRPr="006E490C" w:rsidRDefault="00302BFE" w:rsidP="00243B15">
            <w:pPr>
              <w:spacing w:after="120"/>
              <w:jc w:val="left"/>
              <w:rPr>
                <w:rFonts w:cs="Arial"/>
                <w:szCs w:val="20"/>
              </w:rPr>
            </w:pPr>
            <w:r w:rsidRPr="006E490C">
              <w:rPr>
                <w:rFonts w:cs="Arial"/>
                <w:szCs w:val="20"/>
              </w:rPr>
              <w:t>6,780,945 USD</w:t>
            </w:r>
          </w:p>
        </w:tc>
      </w:tr>
      <w:tr w:rsidR="00302BFE" w:rsidRPr="006E490C" w14:paraId="159FAB72" w14:textId="77777777" w:rsidTr="005E6DCD">
        <w:trPr>
          <w:gridAfter w:val="1"/>
          <w:wAfter w:w="16" w:type="dxa"/>
          <w:trHeight w:val="296"/>
          <w:jc w:val="center"/>
        </w:trPr>
        <w:tc>
          <w:tcPr>
            <w:tcW w:w="3194" w:type="dxa"/>
            <w:gridSpan w:val="3"/>
            <w:shd w:val="clear" w:color="auto" w:fill="auto"/>
          </w:tcPr>
          <w:p w14:paraId="77A298D8" w14:textId="77777777" w:rsidR="00302BFE" w:rsidRPr="006E490C" w:rsidRDefault="00302BFE" w:rsidP="00243B15">
            <w:pPr>
              <w:spacing w:after="120"/>
              <w:jc w:val="right"/>
              <w:rPr>
                <w:rFonts w:cs="Arial"/>
                <w:szCs w:val="20"/>
              </w:rPr>
            </w:pPr>
            <w:r w:rsidRPr="006E490C">
              <w:rPr>
                <w:rFonts w:cs="Arial"/>
                <w:szCs w:val="20"/>
              </w:rPr>
              <w:t>Ministry of Animal and Fisheries Resources</w:t>
            </w:r>
          </w:p>
        </w:tc>
        <w:tc>
          <w:tcPr>
            <w:tcW w:w="6055" w:type="dxa"/>
            <w:gridSpan w:val="4"/>
            <w:shd w:val="clear" w:color="auto" w:fill="auto"/>
          </w:tcPr>
          <w:p w14:paraId="33CE8A62" w14:textId="77777777" w:rsidR="00302BFE" w:rsidRPr="006E490C" w:rsidRDefault="00302BFE" w:rsidP="00243B15">
            <w:pPr>
              <w:spacing w:after="120"/>
              <w:jc w:val="left"/>
              <w:rPr>
                <w:rFonts w:cs="Arial"/>
                <w:szCs w:val="20"/>
              </w:rPr>
            </w:pPr>
            <w:r w:rsidRPr="006E490C">
              <w:rPr>
                <w:rFonts w:cs="Arial"/>
                <w:szCs w:val="20"/>
              </w:rPr>
              <w:t>1,500,000 USD</w:t>
            </w:r>
          </w:p>
        </w:tc>
      </w:tr>
      <w:tr w:rsidR="00302BFE" w:rsidRPr="006E490C" w14:paraId="1A5EDCCF" w14:textId="77777777" w:rsidTr="005E6DCD">
        <w:trPr>
          <w:gridAfter w:val="1"/>
          <w:wAfter w:w="16" w:type="dxa"/>
          <w:trHeight w:val="296"/>
          <w:jc w:val="center"/>
        </w:trPr>
        <w:tc>
          <w:tcPr>
            <w:tcW w:w="3194" w:type="dxa"/>
            <w:gridSpan w:val="3"/>
            <w:shd w:val="clear" w:color="auto" w:fill="auto"/>
          </w:tcPr>
          <w:p w14:paraId="2980DFB9" w14:textId="77777777" w:rsidR="00302BFE" w:rsidRPr="006E490C" w:rsidRDefault="00302BFE" w:rsidP="00243B15">
            <w:pPr>
              <w:spacing w:after="120"/>
              <w:jc w:val="right"/>
              <w:rPr>
                <w:rFonts w:cs="Arial"/>
                <w:szCs w:val="20"/>
              </w:rPr>
            </w:pPr>
            <w:r w:rsidRPr="006E490C">
              <w:rPr>
                <w:rFonts w:cs="Arial"/>
                <w:szCs w:val="20"/>
              </w:rPr>
              <w:t>Tree Aid</w:t>
            </w:r>
          </w:p>
        </w:tc>
        <w:tc>
          <w:tcPr>
            <w:tcW w:w="6055" w:type="dxa"/>
            <w:gridSpan w:val="4"/>
            <w:shd w:val="clear" w:color="auto" w:fill="auto"/>
          </w:tcPr>
          <w:p w14:paraId="50139599" w14:textId="77777777" w:rsidR="00302BFE" w:rsidRPr="006E490C" w:rsidRDefault="00302BFE" w:rsidP="00243B15">
            <w:pPr>
              <w:spacing w:after="120"/>
              <w:jc w:val="left"/>
              <w:rPr>
                <w:rFonts w:cs="Arial"/>
                <w:szCs w:val="20"/>
              </w:rPr>
            </w:pPr>
            <w:r w:rsidRPr="006E490C">
              <w:rPr>
                <w:rFonts w:cs="Arial"/>
                <w:szCs w:val="20"/>
              </w:rPr>
              <w:t>1,198,840 USD</w:t>
            </w:r>
          </w:p>
        </w:tc>
      </w:tr>
      <w:tr w:rsidR="00302BFE" w:rsidRPr="006E490C" w14:paraId="216B9648" w14:textId="77777777" w:rsidTr="005E6DCD">
        <w:trPr>
          <w:gridAfter w:val="1"/>
          <w:wAfter w:w="16" w:type="dxa"/>
          <w:trHeight w:val="296"/>
          <w:jc w:val="center"/>
        </w:trPr>
        <w:tc>
          <w:tcPr>
            <w:tcW w:w="3194" w:type="dxa"/>
            <w:gridSpan w:val="3"/>
            <w:shd w:val="clear" w:color="auto" w:fill="auto"/>
          </w:tcPr>
          <w:p w14:paraId="4449BCF4" w14:textId="77777777" w:rsidR="00302BFE" w:rsidRPr="006E490C" w:rsidRDefault="00302BFE" w:rsidP="00243B15">
            <w:pPr>
              <w:spacing w:after="120"/>
              <w:jc w:val="right"/>
              <w:rPr>
                <w:rFonts w:cs="Arial"/>
                <w:szCs w:val="20"/>
              </w:rPr>
            </w:pPr>
            <w:r w:rsidRPr="006E490C">
              <w:rPr>
                <w:rFonts w:cs="Arial"/>
                <w:szCs w:val="20"/>
              </w:rPr>
              <w:t>IUCN Burkina Faso</w:t>
            </w:r>
          </w:p>
        </w:tc>
        <w:tc>
          <w:tcPr>
            <w:tcW w:w="6055" w:type="dxa"/>
            <w:gridSpan w:val="4"/>
            <w:shd w:val="clear" w:color="auto" w:fill="auto"/>
          </w:tcPr>
          <w:p w14:paraId="5BE2A89E" w14:textId="77777777" w:rsidR="00302BFE" w:rsidRPr="006E490C" w:rsidRDefault="00302BFE" w:rsidP="00243B15">
            <w:pPr>
              <w:spacing w:after="120"/>
              <w:jc w:val="left"/>
              <w:rPr>
                <w:rFonts w:cs="Arial"/>
                <w:szCs w:val="20"/>
              </w:rPr>
            </w:pPr>
            <w:r w:rsidRPr="006E490C">
              <w:rPr>
                <w:rFonts w:cs="Arial"/>
                <w:szCs w:val="20"/>
              </w:rPr>
              <w:t>720,000 USD</w:t>
            </w:r>
          </w:p>
        </w:tc>
      </w:tr>
      <w:tr w:rsidR="00302BFE" w:rsidRPr="006E490C" w14:paraId="267B22DA" w14:textId="77777777" w:rsidTr="005E6DCD">
        <w:trPr>
          <w:gridAfter w:val="1"/>
          <w:wAfter w:w="16" w:type="dxa"/>
          <w:trHeight w:val="323"/>
          <w:jc w:val="center"/>
        </w:trPr>
        <w:tc>
          <w:tcPr>
            <w:tcW w:w="3194" w:type="dxa"/>
            <w:gridSpan w:val="3"/>
            <w:shd w:val="clear" w:color="auto" w:fill="auto"/>
          </w:tcPr>
          <w:p w14:paraId="37711CAD" w14:textId="77777777" w:rsidR="00302BFE" w:rsidRPr="006E490C" w:rsidRDefault="00302BFE" w:rsidP="00243B15">
            <w:pPr>
              <w:spacing w:after="120"/>
              <w:jc w:val="right"/>
              <w:rPr>
                <w:rFonts w:cs="Arial"/>
                <w:szCs w:val="20"/>
                <w:lang w:val="fr-CA"/>
              </w:rPr>
            </w:pPr>
            <w:r w:rsidRPr="006E490C">
              <w:rPr>
                <w:rFonts w:cs="Arial"/>
                <w:szCs w:val="20"/>
                <w:lang w:val="fr-CA"/>
              </w:rPr>
              <w:t>Agence Pour la Promotion de la Petite et Moyenne Entreprise/Agriculture et Artisanat</w:t>
            </w:r>
          </w:p>
        </w:tc>
        <w:tc>
          <w:tcPr>
            <w:tcW w:w="6055" w:type="dxa"/>
            <w:gridSpan w:val="4"/>
            <w:shd w:val="clear" w:color="auto" w:fill="auto"/>
          </w:tcPr>
          <w:p w14:paraId="0965EE7F" w14:textId="77777777" w:rsidR="00302BFE" w:rsidRPr="006E490C" w:rsidRDefault="00302BFE" w:rsidP="00243B15">
            <w:pPr>
              <w:spacing w:after="120"/>
              <w:jc w:val="left"/>
              <w:rPr>
                <w:rFonts w:cs="Arial"/>
                <w:szCs w:val="20"/>
              </w:rPr>
            </w:pPr>
            <w:r w:rsidRPr="006E490C">
              <w:rPr>
                <w:rFonts w:cs="Arial"/>
                <w:szCs w:val="20"/>
              </w:rPr>
              <w:t xml:space="preserve">719,505 USD </w:t>
            </w:r>
          </w:p>
        </w:tc>
      </w:tr>
      <w:tr w:rsidR="00302BFE" w:rsidRPr="006E490C" w14:paraId="0C0523BA" w14:textId="77777777" w:rsidTr="005E6DCD">
        <w:trPr>
          <w:gridAfter w:val="1"/>
          <w:wAfter w:w="16" w:type="dxa"/>
          <w:trHeight w:val="323"/>
          <w:jc w:val="center"/>
        </w:trPr>
        <w:tc>
          <w:tcPr>
            <w:tcW w:w="3194" w:type="dxa"/>
            <w:gridSpan w:val="3"/>
            <w:shd w:val="clear" w:color="auto" w:fill="auto"/>
          </w:tcPr>
          <w:p w14:paraId="5CF4DF2F" w14:textId="77777777" w:rsidR="00302BFE" w:rsidRPr="006E490C" w:rsidRDefault="00302BFE" w:rsidP="00243B15">
            <w:pPr>
              <w:spacing w:after="120"/>
              <w:jc w:val="right"/>
              <w:rPr>
                <w:rFonts w:cs="Arial"/>
                <w:szCs w:val="20"/>
              </w:rPr>
            </w:pPr>
            <w:proofErr w:type="spellStart"/>
            <w:r w:rsidRPr="006E490C">
              <w:rPr>
                <w:rFonts w:cs="Arial"/>
                <w:szCs w:val="20"/>
              </w:rPr>
              <w:t>Nahouri</w:t>
            </w:r>
            <w:proofErr w:type="spellEnd"/>
            <w:r w:rsidRPr="006E490C">
              <w:rPr>
                <w:rFonts w:cs="Arial"/>
                <w:szCs w:val="20"/>
              </w:rPr>
              <w:t xml:space="preserve"> Safari</w:t>
            </w:r>
          </w:p>
        </w:tc>
        <w:tc>
          <w:tcPr>
            <w:tcW w:w="6055" w:type="dxa"/>
            <w:gridSpan w:val="4"/>
            <w:shd w:val="clear" w:color="auto" w:fill="auto"/>
          </w:tcPr>
          <w:p w14:paraId="3922EDAF" w14:textId="77777777" w:rsidR="00302BFE" w:rsidRPr="006E490C" w:rsidRDefault="00302BFE" w:rsidP="00243B15">
            <w:pPr>
              <w:spacing w:after="120"/>
              <w:jc w:val="left"/>
              <w:rPr>
                <w:rFonts w:cs="Arial"/>
                <w:szCs w:val="20"/>
              </w:rPr>
            </w:pPr>
            <w:r w:rsidRPr="006E490C">
              <w:rPr>
                <w:rFonts w:cs="Arial"/>
                <w:szCs w:val="20"/>
              </w:rPr>
              <w:t>429,649 USD</w:t>
            </w:r>
          </w:p>
        </w:tc>
      </w:tr>
      <w:tr w:rsidR="00302BFE" w:rsidRPr="006E490C" w14:paraId="31C39227" w14:textId="77777777" w:rsidTr="005E6DCD">
        <w:trPr>
          <w:gridAfter w:val="1"/>
          <w:wAfter w:w="16" w:type="dxa"/>
          <w:jc w:val="center"/>
        </w:trPr>
        <w:tc>
          <w:tcPr>
            <w:tcW w:w="3194" w:type="dxa"/>
            <w:gridSpan w:val="3"/>
            <w:shd w:val="clear" w:color="auto" w:fill="auto"/>
          </w:tcPr>
          <w:p w14:paraId="3C383F2F" w14:textId="77777777" w:rsidR="00302BFE" w:rsidRPr="006E490C" w:rsidRDefault="00302BFE" w:rsidP="00243B15">
            <w:pPr>
              <w:spacing w:after="120"/>
              <w:jc w:val="right"/>
              <w:rPr>
                <w:rFonts w:cs="Arial"/>
                <w:szCs w:val="20"/>
              </w:rPr>
            </w:pPr>
            <w:r w:rsidRPr="006E490C">
              <w:rPr>
                <w:rFonts w:cs="Arial"/>
                <w:szCs w:val="20"/>
              </w:rPr>
              <w:t>NATURAMA Foundation</w:t>
            </w:r>
          </w:p>
        </w:tc>
        <w:tc>
          <w:tcPr>
            <w:tcW w:w="6055" w:type="dxa"/>
            <w:gridSpan w:val="4"/>
            <w:shd w:val="clear" w:color="auto" w:fill="auto"/>
          </w:tcPr>
          <w:p w14:paraId="54DCB2C8" w14:textId="77777777" w:rsidR="00302BFE" w:rsidRPr="006E490C" w:rsidRDefault="00302BFE" w:rsidP="00243B15">
            <w:pPr>
              <w:spacing w:after="120"/>
              <w:jc w:val="left"/>
              <w:rPr>
                <w:rFonts w:cs="Arial"/>
                <w:i/>
                <w:szCs w:val="20"/>
              </w:rPr>
            </w:pPr>
            <w:r w:rsidRPr="006E490C">
              <w:rPr>
                <w:rFonts w:cs="Arial"/>
                <w:szCs w:val="20"/>
              </w:rPr>
              <w:t>164,036 USD</w:t>
            </w:r>
          </w:p>
        </w:tc>
      </w:tr>
      <w:tr w:rsidR="00302BFE" w:rsidRPr="006E490C" w14:paraId="52156CAE" w14:textId="77777777" w:rsidTr="005E6DCD">
        <w:trPr>
          <w:gridAfter w:val="1"/>
          <w:wAfter w:w="16" w:type="dxa"/>
          <w:jc w:val="center"/>
        </w:trPr>
        <w:tc>
          <w:tcPr>
            <w:tcW w:w="3194" w:type="dxa"/>
            <w:gridSpan w:val="3"/>
            <w:shd w:val="clear" w:color="auto" w:fill="auto"/>
          </w:tcPr>
          <w:p w14:paraId="36CAA06F" w14:textId="77777777" w:rsidR="00302BFE" w:rsidRPr="006E490C" w:rsidRDefault="00302BFE" w:rsidP="00243B15">
            <w:pPr>
              <w:spacing w:after="120"/>
              <w:jc w:val="right"/>
              <w:rPr>
                <w:rFonts w:cs="Arial"/>
                <w:szCs w:val="20"/>
              </w:rPr>
            </w:pPr>
            <w:r w:rsidRPr="006E490C">
              <w:rPr>
                <w:rFonts w:cs="Arial"/>
                <w:szCs w:val="20"/>
              </w:rPr>
              <w:t xml:space="preserve">GA Mo </w:t>
            </w:r>
            <w:proofErr w:type="spellStart"/>
            <w:r w:rsidRPr="006E490C">
              <w:rPr>
                <w:rFonts w:cs="Arial"/>
                <w:szCs w:val="20"/>
              </w:rPr>
              <w:t>Wiya</w:t>
            </w:r>
            <w:proofErr w:type="spellEnd"/>
            <w:r w:rsidRPr="006E490C">
              <w:rPr>
                <w:rFonts w:cs="Arial"/>
                <w:szCs w:val="20"/>
              </w:rPr>
              <w:t xml:space="preserve"> Association</w:t>
            </w:r>
          </w:p>
        </w:tc>
        <w:tc>
          <w:tcPr>
            <w:tcW w:w="6055" w:type="dxa"/>
            <w:gridSpan w:val="4"/>
            <w:shd w:val="clear" w:color="auto" w:fill="auto"/>
          </w:tcPr>
          <w:p w14:paraId="167999FE" w14:textId="77777777" w:rsidR="00302BFE" w:rsidRPr="006E490C" w:rsidRDefault="00302BFE" w:rsidP="00243B15">
            <w:pPr>
              <w:spacing w:after="120"/>
              <w:jc w:val="left"/>
              <w:rPr>
                <w:rFonts w:cs="Arial"/>
                <w:szCs w:val="20"/>
              </w:rPr>
            </w:pPr>
            <w:r w:rsidRPr="006E490C">
              <w:rPr>
                <w:rFonts w:cs="Arial"/>
                <w:szCs w:val="20"/>
              </w:rPr>
              <w:t>136,026 USD</w:t>
            </w:r>
          </w:p>
        </w:tc>
      </w:tr>
      <w:tr w:rsidR="00302BFE" w:rsidRPr="006E490C" w14:paraId="31794D4A" w14:textId="77777777" w:rsidTr="005E6DCD">
        <w:trPr>
          <w:gridAfter w:val="1"/>
          <w:wAfter w:w="16" w:type="dxa"/>
          <w:jc w:val="center"/>
        </w:trPr>
        <w:tc>
          <w:tcPr>
            <w:tcW w:w="3194" w:type="dxa"/>
            <w:gridSpan w:val="3"/>
            <w:shd w:val="clear" w:color="auto" w:fill="auto"/>
          </w:tcPr>
          <w:p w14:paraId="1AF72D06" w14:textId="77777777" w:rsidR="00302BFE" w:rsidRPr="006E490C" w:rsidRDefault="00302BFE" w:rsidP="00243B15">
            <w:pPr>
              <w:spacing w:after="120"/>
              <w:jc w:val="right"/>
              <w:rPr>
                <w:rFonts w:cs="Arial"/>
                <w:szCs w:val="20"/>
                <w:lang w:val="en-CA"/>
              </w:rPr>
            </w:pPr>
            <w:r w:rsidRPr="006E490C">
              <w:rPr>
                <w:rFonts w:cs="Arial"/>
                <w:szCs w:val="20"/>
                <w:lang w:val="en-CA"/>
              </w:rPr>
              <w:t>Ministry of Mines and Quarries</w:t>
            </w:r>
          </w:p>
        </w:tc>
        <w:tc>
          <w:tcPr>
            <w:tcW w:w="6055" w:type="dxa"/>
            <w:gridSpan w:val="4"/>
            <w:shd w:val="clear" w:color="auto" w:fill="auto"/>
          </w:tcPr>
          <w:p w14:paraId="1787028B" w14:textId="77777777" w:rsidR="00302BFE" w:rsidRPr="006E490C" w:rsidRDefault="00302BFE" w:rsidP="00243B15">
            <w:pPr>
              <w:spacing w:after="120"/>
              <w:jc w:val="left"/>
              <w:rPr>
                <w:rFonts w:cs="Arial"/>
                <w:szCs w:val="20"/>
                <w:lang w:val="en-CA"/>
              </w:rPr>
            </w:pPr>
            <w:r w:rsidRPr="006E490C">
              <w:rPr>
                <w:rFonts w:cs="Arial"/>
                <w:szCs w:val="20"/>
                <w:lang w:val="en-CA"/>
              </w:rPr>
              <w:t>102,739</w:t>
            </w:r>
          </w:p>
        </w:tc>
      </w:tr>
      <w:tr w:rsidR="00302BFE" w:rsidRPr="006E490C" w14:paraId="07545C16" w14:textId="77777777" w:rsidTr="005E6DCD">
        <w:trPr>
          <w:gridAfter w:val="1"/>
          <w:wAfter w:w="16" w:type="dxa"/>
          <w:jc w:val="center"/>
        </w:trPr>
        <w:tc>
          <w:tcPr>
            <w:tcW w:w="3194" w:type="dxa"/>
            <w:gridSpan w:val="3"/>
            <w:shd w:val="clear" w:color="auto" w:fill="auto"/>
          </w:tcPr>
          <w:p w14:paraId="1596CB9B" w14:textId="77777777" w:rsidR="00302BFE" w:rsidRPr="006E490C" w:rsidRDefault="00302BFE" w:rsidP="00243B15">
            <w:pPr>
              <w:pStyle w:val="Paragraphedeliste"/>
              <w:numPr>
                <w:ilvl w:val="0"/>
                <w:numId w:val="5"/>
              </w:numPr>
              <w:spacing w:after="120"/>
              <w:jc w:val="right"/>
              <w:rPr>
                <w:rFonts w:ascii="Calibri" w:hAnsi="Calibri" w:cs="Arial"/>
                <w:b/>
                <w:sz w:val="20"/>
                <w:szCs w:val="20"/>
              </w:rPr>
            </w:pPr>
            <w:r w:rsidRPr="006E490C">
              <w:rPr>
                <w:rFonts w:ascii="Calibri" w:hAnsi="Calibri" w:cs="Arial"/>
                <w:b/>
                <w:sz w:val="20"/>
                <w:szCs w:val="20"/>
              </w:rPr>
              <w:t>Total co-financing</w:t>
            </w:r>
          </w:p>
        </w:tc>
        <w:tc>
          <w:tcPr>
            <w:tcW w:w="6055" w:type="dxa"/>
            <w:gridSpan w:val="4"/>
            <w:shd w:val="clear" w:color="auto" w:fill="auto"/>
          </w:tcPr>
          <w:p w14:paraId="550DA3DE" w14:textId="77777777" w:rsidR="00302BFE" w:rsidRPr="006E490C" w:rsidRDefault="00302BFE" w:rsidP="00243B15">
            <w:pPr>
              <w:spacing w:after="120"/>
              <w:jc w:val="left"/>
              <w:rPr>
                <w:rFonts w:cs="Arial"/>
                <w:b/>
                <w:szCs w:val="20"/>
              </w:rPr>
            </w:pPr>
            <w:r w:rsidRPr="006E490C">
              <w:rPr>
                <w:rFonts w:cs="Arial"/>
                <w:b/>
                <w:szCs w:val="20"/>
              </w:rPr>
              <w:t>22,069,851 USD</w:t>
            </w:r>
          </w:p>
        </w:tc>
      </w:tr>
      <w:tr w:rsidR="00302BFE" w:rsidRPr="006E490C" w14:paraId="51DF20E2" w14:textId="77777777" w:rsidTr="005E6DCD">
        <w:trPr>
          <w:gridAfter w:val="1"/>
          <w:wAfter w:w="16" w:type="dxa"/>
          <w:jc w:val="center"/>
        </w:trPr>
        <w:tc>
          <w:tcPr>
            <w:tcW w:w="3194" w:type="dxa"/>
            <w:gridSpan w:val="3"/>
            <w:shd w:val="clear" w:color="auto" w:fill="auto"/>
          </w:tcPr>
          <w:p w14:paraId="4A5D62B3" w14:textId="77777777" w:rsidR="00302BFE" w:rsidRPr="006E490C" w:rsidRDefault="00302BFE" w:rsidP="00243B15">
            <w:pPr>
              <w:pStyle w:val="Paragraphedeliste"/>
              <w:numPr>
                <w:ilvl w:val="0"/>
                <w:numId w:val="5"/>
              </w:numPr>
              <w:spacing w:after="120"/>
              <w:jc w:val="right"/>
              <w:rPr>
                <w:rFonts w:ascii="Calibri" w:hAnsi="Calibri" w:cs="Arial"/>
                <w:b/>
                <w:sz w:val="20"/>
                <w:szCs w:val="20"/>
              </w:rPr>
            </w:pPr>
            <w:r w:rsidRPr="006E490C">
              <w:rPr>
                <w:rFonts w:ascii="Calibri" w:hAnsi="Calibri" w:cs="Arial"/>
                <w:b/>
                <w:sz w:val="20"/>
                <w:szCs w:val="20"/>
                <w:lang w:eastAsia="zh-CN"/>
              </w:rPr>
              <w:t>Grand-</w:t>
            </w:r>
            <w:r w:rsidRPr="006E490C">
              <w:rPr>
                <w:rFonts w:ascii="Calibri" w:hAnsi="Calibri" w:cs="Arial"/>
                <w:b/>
                <w:sz w:val="20"/>
                <w:szCs w:val="20"/>
              </w:rPr>
              <w:t xml:space="preserve">Total Project </w:t>
            </w:r>
            <w:r w:rsidRPr="006E490C">
              <w:rPr>
                <w:rFonts w:ascii="Calibri" w:hAnsi="Calibri" w:cs="Arial"/>
                <w:b/>
                <w:sz w:val="20"/>
                <w:szCs w:val="20"/>
                <w:lang w:eastAsia="zh-CN"/>
              </w:rPr>
              <w:t>Financing (</w:t>
            </w:r>
            <w:proofErr w:type="gramStart"/>
            <w:r w:rsidRPr="006E490C">
              <w:rPr>
                <w:rFonts w:ascii="Calibri" w:hAnsi="Calibri" w:cs="Arial"/>
                <w:b/>
                <w:sz w:val="20"/>
                <w:szCs w:val="20"/>
                <w:lang w:eastAsia="zh-CN"/>
              </w:rPr>
              <w:t>1)+(</w:t>
            </w:r>
            <w:proofErr w:type="gramEnd"/>
            <w:r w:rsidRPr="006E490C">
              <w:rPr>
                <w:rFonts w:ascii="Calibri" w:hAnsi="Calibri" w:cs="Arial"/>
                <w:b/>
                <w:sz w:val="20"/>
                <w:szCs w:val="20"/>
                <w:lang w:eastAsia="zh-CN"/>
              </w:rPr>
              <w:t>2)</w:t>
            </w:r>
          </w:p>
        </w:tc>
        <w:tc>
          <w:tcPr>
            <w:tcW w:w="6055" w:type="dxa"/>
            <w:gridSpan w:val="4"/>
            <w:shd w:val="clear" w:color="auto" w:fill="auto"/>
          </w:tcPr>
          <w:p w14:paraId="7BA05B65" w14:textId="77777777" w:rsidR="00302BFE" w:rsidRPr="006E490C" w:rsidRDefault="00302BFE" w:rsidP="00243B15">
            <w:pPr>
              <w:spacing w:after="120"/>
              <w:jc w:val="left"/>
              <w:rPr>
                <w:rFonts w:cs="Arial"/>
                <w:b/>
                <w:szCs w:val="20"/>
              </w:rPr>
            </w:pPr>
            <w:r w:rsidRPr="006E490C">
              <w:rPr>
                <w:b/>
                <w:szCs w:val="20"/>
              </w:rPr>
              <w:t>27,619,303</w:t>
            </w:r>
            <w:r w:rsidRPr="006E490C">
              <w:rPr>
                <w:b/>
                <w:sz w:val="18"/>
                <w:szCs w:val="18"/>
              </w:rPr>
              <w:t xml:space="preserve"> </w:t>
            </w:r>
            <w:r w:rsidRPr="006E490C">
              <w:rPr>
                <w:rFonts w:cs="Arial"/>
                <w:b/>
                <w:szCs w:val="20"/>
              </w:rPr>
              <w:t>USD</w:t>
            </w:r>
          </w:p>
        </w:tc>
      </w:tr>
      <w:tr w:rsidR="00302BFE" w:rsidRPr="006E490C" w14:paraId="5053E57E" w14:textId="77777777" w:rsidTr="005E6DCD">
        <w:trPr>
          <w:gridAfter w:val="1"/>
          <w:wAfter w:w="16" w:type="dxa"/>
          <w:jc w:val="center"/>
        </w:trPr>
        <w:tc>
          <w:tcPr>
            <w:tcW w:w="9249" w:type="dxa"/>
            <w:gridSpan w:val="7"/>
            <w:shd w:val="clear" w:color="auto" w:fill="BFBFBF"/>
          </w:tcPr>
          <w:p w14:paraId="77FD6D38" w14:textId="77777777" w:rsidR="00302BFE" w:rsidRPr="006E490C" w:rsidRDefault="00302BFE" w:rsidP="00243B15">
            <w:pPr>
              <w:spacing w:after="120"/>
              <w:jc w:val="left"/>
              <w:rPr>
                <w:rFonts w:cs="Arial"/>
                <w:b/>
                <w:smallCaps/>
                <w:szCs w:val="20"/>
              </w:rPr>
            </w:pPr>
            <w:r w:rsidRPr="006E490C">
              <w:rPr>
                <w:rFonts w:cs="Arial"/>
                <w:b/>
                <w:smallCaps/>
                <w:szCs w:val="20"/>
              </w:rPr>
              <w:t>Signatures</w:t>
            </w:r>
          </w:p>
        </w:tc>
      </w:tr>
      <w:tr w:rsidR="00302BFE" w:rsidRPr="006E490C" w14:paraId="478C1F26" w14:textId="77777777" w:rsidTr="006504D7">
        <w:trPr>
          <w:gridAfter w:val="1"/>
          <w:wAfter w:w="16" w:type="dxa"/>
          <w:trHeight w:val="1196"/>
          <w:jc w:val="center"/>
        </w:trPr>
        <w:tc>
          <w:tcPr>
            <w:tcW w:w="2695" w:type="dxa"/>
            <w:gridSpan w:val="2"/>
            <w:shd w:val="clear" w:color="auto" w:fill="auto"/>
          </w:tcPr>
          <w:p w14:paraId="0B25F4A3" w14:textId="1B549B69" w:rsidR="006504D7" w:rsidRPr="00E028FF" w:rsidRDefault="00302BFE" w:rsidP="006504D7">
            <w:pPr>
              <w:spacing w:after="240"/>
              <w:jc w:val="left"/>
              <w:rPr>
                <w:rFonts w:cs="Arial"/>
                <w:b/>
                <w:szCs w:val="20"/>
                <w:lang w:val="pt-PT"/>
              </w:rPr>
            </w:pPr>
            <w:proofErr w:type="gramStart"/>
            <w:r w:rsidRPr="00F73A10">
              <w:rPr>
                <w:rFonts w:cs="Arial"/>
                <w:b/>
                <w:szCs w:val="20"/>
                <w:lang w:val="fr-FR"/>
              </w:rPr>
              <w:t>Signature</w:t>
            </w:r>
            <w:r w:rsidRPr="00F73A10">
              <w:rPr>
                <w:rFonts w:cs="Arial"/>
                <w:b/>
                <w:sz w:val="22"/>
                <w:szCs w:val="22"/>
                <w:lang w:val="fr-FR"/>
              </w:rPr>
              <w:t>:</w:t>
            </w:r>
            <w:proofErr w:type="gramEnd"/>
            <w:r w:rsidRPr="00F73A10">
              <w:rPr>
                <w:rFonts w:cs="Arial"/>
                <w:b/>
                <w:sz w:val="22"/>
                <w:szCs w:val="22"/>
                <w:lang w:val="fr-FR"/>
              </w:rPr>
              <w:t xml:space="preserve">  </w:t>
            </w:r>
            <w:r w:rsidR="006504D7" w:rsidRPr="006504D7">
              <w:rPr>
                <w:rFonts w:eastAsia="Times New Roman"/>
                <w:b/>
                <w:bCs/>
                <w:lang w:val="fr-FR"/>
              </w:rPr>
              <w:t>Mr Aboubacar NACANABO</w:t>
            </w:r>
            <w:r w:rsidR="006504D7">
              <w:rPr>
                <w:rFonts w:cs="Arial"/>
                <w:b/>
                <w:bCs/>
                <w:sz w:val="22"/>
                <w:szCs w:val="22"/>
                <w:lang w:val="fr-FR"/>
              </w:rPr>
              <w:t xml:space="preserve">                  </w:t>
            </w:r>
            <w:r w:rsidR="006504D7" w:rsidRPr="006504D7">
              <w:rPr>
                <w:rFonts w:eastAsia="Times New Roman"/>
                <w:lang w:val="fr-FR"/>
              </w:rPr>
              <w:t xml:space="preserve"> </w:t>
            </w:r>
            <w:r w:rsidR="006504D7" w:rsidRPr="006504D7">
              <w:rPr>
                <w:rFonts w:eastAsia="Times New Roman"/>
                <w:sz w:val="18"/>
                <w:szCs w:val="22"/>
                <w:lang w:val="fr-FR"/>
              </w:rPr>
              <w:t>Ministre de l’Economie, des Finances et de la Prospective</w:t>
            </w:r>
          </w:p>
        </w:tc>
        <w:tc>
          <w:tcPr>
            <w:tcW w:w="1428" w:type="dxa"/>
            <w:gridSpan w:val="2"/>
            <w:shd w:val="clear" w:color="auto" w:fill="auto"/>
          </w:tcPr>
          <w:p w14:paraId="4A26D207" w14:textId="77777777" w:rsidR="00302BFE" w:rsidRPr="006E490C" w:rsidRDefault="00302BFE" w:rsidP="00243B15">
            <w:pPr>
              <w:spacing w:after="240"/>
              <w:jc w:val="left"/>
              <w:rPr>
                <w:rFonts w:cs="Arial"/>
                <w:b/>
                <w:szCs w:val="20"/>
              </w:rPr>
            </w:pPr>
            <w:r w:rsidRPr="006E490C">
              <w:rPr>
                <w:rFonts w:cs="Arial"/>
                <w:b/>
                <w:szCs w:val="20"/>
              </w:rPr>
              <w:t>Agreed by Government</w:t>
            </w:r>
          </w:p>
        </w:tc>
        <w:tc>
          <w:tcPr>
            <w:tcW w:w="5126" w:type="dxa"/>
            <w:gridSpan w:val="3"/>
            <w:shd w:val="clear" w:color="auto" w:fill="auto"/>
          </w:tcPr>
          <w:p w14:paraId="1802E854" w14:textId="77777777" w:rsidR="00DF7BF1" w:rsidRPr="00966EF0" w:rsidRDefault="00302BFE" w:rsidP="00DF7BF1">
            <w:pPr>
              <w:spacing w:after="240"/>
              <w:rPr>
                <w:rFonts w:cs="Arial"/>
                <w:b/>
                <w:i/>
                <w:szCs w:val="20"/>
              </w:rPr>
            </w:pPr>
            <w:r w:rsidRPr="006E490C">
              <w:rPr>
                <w:rFonts w:cs="Arial"/>
                <w:b/>
                <w:szCs w:val="20"/>
              </w:rPr>
              <w:t>Date/Month/Year:</w:t>
            </w:r>
            <w:r w:rsidR="00DF7BF1">
              <w:rPr>
                <w:rFonts w:cs="Arial"/>
                <w:b/>
                <w:szCs w:val="20"/>
              </w:rPr>
              <w:t xml:space="preserve"> </w:t>
            </w:r>
            <w:r w:rsidR="00DF7BF1" w:rsidRPr="00966EF0">
              <w:rPr>
                <w:rFonts w:cs="Arial"/>
                <w:i/>
                <w:szCs w:val="20"/>
              </w:rPr>
              <w:t>within 6 months of GEF CEO endorsement</w:t>
            </w:r>
          </w:p>
          <w:p w14:paraId="0F804963" w14:textId="77777777" w:rsidR="00302BFE" w:rsidRPr="006E490C" w:rsidRDefault="00302BFE" w:rsidP="00243B15">
            <w:pPr>
              <w:spacing w:after="240"/>
              <w:jc w:val="left"/>
              <w:rPr>
                <w:rFonts w:cs="Arial"/>
                <w:szCs w:val="20"/>
              </w:rPr>
            </w:pPr>
          </w:p>
        </w:tc>
      </w:tr>
      <w:tr w:rsidR="00302BFE" w:rsidRPr="006E490C" w14:paraId="264B0D9E" w14:textId="77777777" w:rsidTr="00C715E1">
        <w:trPr>
          <w:gridAfter w:val="1"/>
          <w:wAfter w:w="16" w:type="dxa"/>
          <w:trHeight w:val="1313"/>
          <w:jc w:val="center"/>
        </w:trPr>
        <w:tc>
          <w:tcPr>
            <w:tcW w:w="2695" w:type="dxa"/>
            <w:gridSpan w:val="2"/>
            <w:shd w:val="clear" w:color="auto" w:fill="auto"/>
          </w:tcPr>
          <w:p w14:paraId="741A8E36" w14:textId="1DD1B19D" w:rsidR="00302BFE" w:rsidRPr="00F73A10" w:rsidRDefault="00302BFE" w:rsidP="006504D7">
            <w:pPr>
              <w:spacing w:after="240"/>
              <w:jc w:val="left"/>
              <w:rPr>
                <w:rFonts w:cs="Arial"/>
                <w:b/>
                <w:szCs w:val="20"/>
                <w:lang w:val="fr-FR"/>
              </w:rPr>
            </w:pPr>
            <w:proofErr w:type="gramStart"/>
            <w:r w:rsidRPr="00F73A10">
              <w:rPr>
                <w:rFonts w:cs="Arial"/>
                <w:b/>
                <w:szCs w:val="20"/>
                <w:lang w:val="fr-FR"/>
              </w:rPr>
              <w:t>Signature:</w:t>
            </w:r>
            <w:proofErr w:type="gramEnd"/>
            <w:r w:rsidRPr="00F73A10">
              <w:rPr>
                <w:rFonts w:cs="Arial"/>
                <w:b/>
                <w:szCs w:val="20"/>
                <w:lang w:val="fr-FR"/>
              </w:rPr>
              <w:t xml:space="preserve"> </w:t>
            </w:r>
            <w:r w:rsidR="006504D7">
              <w:rPr>
                <w:rFonts w:eastAsia="Times New Roman"/>
                <w:b/>
                <w:bCs/>
                <w:lang w:val="fr-FR"/>
              </w:rPr>
              <w:t xml:space="preserve">Mr </w:t>
            </w:r>
            <w:proofErr w:type="spellStart"/>
            <w:r w:rsidR="006504D7">
              <w:rPr>
                <w:rFonts w:eastAsia="Times New Roman"/>
                <w:b/>
                <w:bCs/>
                <w:lang w:val="fr-FR"/>
              </w:rPr>
              <w:t>Somanegré</w:t>
            </w:r>
            <w:proofErr w:type="spellEnd"/>
            <w:r w:rsidR="006504D7">
              <w:rPr>
                <w:rFonts w:eastAsia="Times New Roman"/>
                <w:b/>
                <w:bCs/>
                <w:lang w:val="fr-FR"/>
              </w:rPr>
              <w:t xml:space="preserve"> NANA                          </w:t>
            </w:r>
            <w:r w:rsidR="006504D7" w:rsidRPr="006504D7">
              <w:rPr>
                <w:rFonts w:eastAsia="Times New Roman"/>
                <w:sz w:val="18"/>
                <w:szCs w:val="22"/>
                <w:lang w:val="fr-FR"/>
              </w:rPr>
              <w:t>Secrétariat Permanent du Conseil National pour le Développement Durable (SP/CNDD)</w:t>
            </w:r>
          </w:p>
        </w:tc>
        <w:tc>
          <w:tcPr>
            <w:tcW w:w="1428" w:type="dxa"/>
            <w:gridSpan w:val="2"/>
            <w:shd w:val="clear" w:color="auto" w:fill="auto"/>
          </w:tcPr>
          <w:p w14:paraId="39CEA906" w14:textId="77777777" w:rsidR="00302BFE" w:rsidRPr="006E490C" w:rsidRDefault="00302BFE" w:rsidP="00243B15">
            <w:pPr>
              <w:spacing w:after="240"/>
              <w:jc w:val="left"/>
              <w:rPr>
                <w:rFonts w:cs="Arial"/>
                <w:b/>
                <w:szCs w:val="20"/>
              </w:rPr>
            </w:pPr>
            <w:r w:rsidRPr="006E490C">
              <w:rPr>
                <w:rFonts w:cs="Arial"/>
                <w:b/>
                <w:szCs w:val="20"/>
              </w:rPr>
              <w:t>Agreed by Implementing Partner</w:t>
            </w:r>
          </w:p>
        </w:tc>
        <w:tc>
          <w:tcPr>
            <w:tcW w:w="5126" w:type="dxa"/>
            <w:gridSpan w:val="3"/>
            <w:shd w:val="clear" w:color="auto" w:fill="auto"/>
          </w:tcPr>
          <w:p w14:paraId="48372B50" w14:textId="573DD3F6" w:rsidR="00302BFE" w:rsidRPr="006E490C" w:rsidRDefault="00302BFE" w:rsidP="004628A2">
            <w:pPr>
              <w:spacing w:after="240"/>
              <w:rPr>
                <w:rFonts w:cs="Arial"/>
                <w:b/>
                <w:szCs w:val="20"/>
              </w:rPr>
            </w:pPr>
            <w:r w:rsidRPr="006E490C">
              <w:rPr>
                <w:rFonts w:cs="Arial"/>
                <w:b/>
                <w:szCs w:val="20"/>
              </w:rPr>
              <w:t>Date/Month/Year:</w:t>
            </w:r>
            <w:r w:rsidR="00DF7BF1">
              <w:rPr>
                <w:rFonts w:cs="Arial"/>
                <w:b/>
                <w:szCs w:val="20"/>
              </w:rPr>
              <w:t xml:space="preserve"> </w:t>
            </w:r>
            <w:r w:rsidR="00DF7BF1" w:rsidRPr="00966EF0">
              <w:rPr>
                <w:rFonts w:cs="Arial"/>
                <w:i/>
                <w:szCs w:val="20"/>
              </w:rPr>
              <w:t>within 6 months of GEF CEO endorsement</w:t>
            </w:r>
          </w:p>
          <w:p w14:paraId="078577A1" w14:textId="77777777" w:rsidR="00302BFE" w:rsidRPr="006E490C" w:rsidRDefault="00302BFE" w:rsidP="00243B15">
            <w:pPr>
              <w:spacing w:after="240"/>
              <w:jc w:val="left"/>
              <w:rPr>
                <w:rFonts w:cs="Arial"/>
                <w:b/>
                <w:szCs w:val="20"/>
              </w:rPr>
            </w:pPr>
          </w:p>
        </w:tc>
      </w:tr>
      <w:tr w:rsidR="00302BFE" w:rsidRPr="0003763F" w14:paraId="3B877F5B" w14:textId="77777777" w:rsidTr="00C715E1">
        <w:trPr>
          <w:gridAfter w:val="1"/>
          <w:wAfter w:w="16" w:type="dxa"/>
          <w:trHeight w:val="1061"/>
          <w:jc w:val="center"/>
        </w:trPr>
        <w:tc>
          <w:tcPr>
            <w:tcW w:w="2695" w:type="dxa"/>
            <w:gridSpan w:val="2"/>
            <w:shd w:val="clear" w:color="auto" w:fill="auto"/>
          </w:tcPr>
          <w:p w14:paraId="0D45D70F" w14:textId="77777777" w:rsidR="006504D7" w:rsidRPr="00F73A10" w:rsidRDefault="00302BFE" w:rsidP="006504D7">
            <w:pPr>
              <w:rPr>
                <w:b/>
                <w:bCs/>
                <w:szCs w:val="20"/>
                <w:lang w:val="fr-FR"/>
              </w:rPr>
            </w:pPr>
            <w:proofErr w:type="gramStart"/>
            <w:r w:rsidRPr="00F73A10">
              <w:rPr>
                <w:rFonts w:cs="Arial"/>
                <w:b/>
                <w:szCs w:val="20"/>
                <w:lang w:val="fr-FR"/>
              </w:rPr>
              <w:t>Signature:</w:t>
            </w:r>
            <w:proofErr w:type="gramEnd"/>
            <w:r w:rsidR="00C715E1" w:rsidRPr="00F73A10">
              <w:rPr>
                <w:rFonts w:cs="Arial"/>
                <w:b/>
                <w:szCs w:val="20"/>
                <w:lang w:val="fr-FR"/>
              </w:rPr>
              <w:t xml:space="preserve"> </w:t>
            </w:r>
            <w:r w:rsidR="00C715E1" w:rsidRPr="00F73A10">
              <w:rPr>
                <w:szCs w:val="20"/>
                <w:lang w:val="fr-FR"/>
              </w:rPr>
              <w:t xml:space="preserve">Ms Elsie </w:t>
            </w:r>
            <w:proofErr w:type="spellStart"/>
            <w:r w:rsidR="00C715E1" w:rsidRPr="00F73A10">
              <w:rPr>
                <w:b/>
                <w:bCs/>
                <w:szCs w:val="20"/>
                <w:lang w:val="fr-FR"/>
              </w:rPr>
              <w:t>Laurence-Chonoune</w:t>
            </w:r>
            <w:proofErr w:type="spellEnd"/>
            <w:r w:rsidR="006504D7" w:rsidRPr="00F73A10">
              <w:rPr>
                <w:b/>
                <w:bCs/>
                <w:szCs w:val="20"/>
                <w:lang w:val="fr-FR"/>
              </w:rPr>
              <w:t xml:space="preserve">     </w:t>
            </w:r>
          </w:p>
          <w:p w14:paraId="0D2535C7" w14:textId="55ED5795" w:rsidR="00302BFE" w:rsidRPr="00F73A10" w:rsidRDefault="00F94F38" w:rsidP="006504D7">
            <w:pPr>
              <w:rPr>
                <w:rFonts w:cs="Arial"/>
                <w:b/>
                <w:szCs w:val="20"/>
                <w:lang w:val="fr-FR"/>
              </w:rPr>
            </w:pPr>
            <w:r w:rsidRPr="004628A2">
              <w:rPr>
                <w:rFonts w:eastAsia="Times New Roman"/>
                <w:szCs w:val="20"/>
                <w:lang w:val="fr-FR"/>
              </w:rPr>
              <w:t>Représentant Résident</w:t>
            </w:r>
            <w:r w:rsidRPr="00F73A10" w:rsidDel="00F94F38">
              <w:rPr>
                <w:rFonts w:cs="Arial"/>
                <w:sz w:val="18"/>
                <w:szCs w:val="18"/>
                <w:lang w:val="fr-FR"/>
              </w:rPr>
              <w:t xml:space="preserve"> </w:t>
            </w:r>
          </w:p>
        </w:tc>
        <w:tc>
          <w:tcPr>
            <w:tcW w:w="1428" w:type="dxa"/>
            <w:gridSpan w:val="2"/>
            <w:shd w:val="clear" w:color="auto" w:fill="auto"/>
          </w:tcPr>
          <w:p w14:paraId="678CDAC6" w14:textId="77777777" w:rsidR="00302BFE" w:rsidRPr="006E490C" w:rsidRDefault="00302BFE" w:rsidP="00243B15">
            <w:pPr>
              <w:spacing w:after="240"/>
              <w:jc w:val="left"/>
              <w:rPr>
                <w:rFonts w:cs="Arial"/>
                <w:b/>
                <w:szCs w:val="20"/>
              </w:rPr>
            </w:pPr>
            <w:r w:rsidRPr="006E490C">
              <w:rPr>
                <w:rFonts w:cs="Arial"/>
                <w:b/>
                <w:szCs w:val="20"/>
              </w:rPr>
              <w:t>Agreed by UNDP</w:t>
            </w:r>
          </w:p>
        </w:tc>
        <w:tc>
          <w:tcPr>
            <w:tcW w:w="5126" w:type="dxa"/>
            <w:gridSpan w:val="3"/>
            <w:shd w:val="clear" w:color="auto" w:fill="auto"/>
          </w:tcPr>
          <w:p w14:paraId="28995FE6" w14:textId="77777777" w:rsidR="00DF7BF1" w:rsidRPr="00966EF0" w:rsidRDefault="00302BFE" w:rsidP="00DF7BF1">
            <w:pPr>
              <w:spacing w:after="240"/>
              <w:rPr>
                <w:rFonts w:cs="Arial"/>
                <w:b/>
                <w:i/>
                <w:szCs w:val="20"/>
              </w:rPr>
            </w:pPr>
            <w:r w:rsidRPr="006E490C">
              <w:rPr>
                <w:rFonts w:cs="Arial"/>
                <w:b/>
                <w:szCs w:val="20"/>
              </w:rPr>
              <w:t>Date/Month/Year:</w:t>
            </w:r>
            <w:r w:rsidR="00DF7BF1">
              <w:rPr>
                <w:rFonts w:cs="Arial"/>
                <w:b/>
                <w:szCs w:val="20"/>
              </w:rPr>
              <w:t xml:space="preserve"> </w:t>
            </w:r>
            <w:r w:rsidR="00DF7BF1" w:rsidRPr="00966EF0">
              <w:rPr>
                <w:rFonts w:cs="Arial"/>
                <w:i/>
                <w:szCs w:val="20"/>
              </w:rPr>
              <w:t>within 6 months of GEF CEO endorsement</w:t>
            </w:r>
          </w:p>
          <w:p w14:paraId="21B1C2B6" w14:textId="1F00BE38" w:rsidR="00302BFE" w:rsidRPr="0003763F" w:rsidRDefault="00302BFE" w:rsidP="00243B15">
            <w:pPr>
              <w:spacing w:after="240"/>
              <w:jc w:val="left"/>
              <w:rPr>
                <w:rFonts w:cs="Arial"/>
                <w:b/>
                <w:szCs w:val="20"/>
              </w:rPr>
            </w:pPr>
          </w:p>
        </w:tc>
      </w:tr>
    </w:tbl>
    <w:p w14:paraId="582DAB96" w14:textId="77777777" w:rsidR="00302BFE" w:rsidRPr="0003763F" w:rsidRDefault="00302BFE" w:rsidP="00302BFE">
      <w:pPr>
        <w:spacing w:after="240"/>
        <w:jc w:val="left"/>
        <w:rPr>
          <w:rFonts w:cs="Arial"/>
          <w:b/>
          <w:szCs w:val="20"/>
        </w:rPr>
      </w:pPr>
    </w:p>
    <w:p w14:paraId="6B1C780D" w14:textId="77777777" w:rsidR="00302BFE" w:rsidRPr="0003763F" w:rsidRDefault="00302BFE" w:rsidP="00302BFE">
      <w:pPr>
        <w:pStyle w:val="En-ttedetabledesmatires"/>
        <w:spacing w:before="0" w:after="240" w:line="240" w:lineRule="auto"/>
        <w:rPr>
          <w:rFonts w:ascii="Calibri" w:eastAsia="Times New Roman" w:hAnsi="Calibri"/>
          <w:b w:val="0"/>
          <w:bCs w:val="0"/>
          <w:color w:val="auto"/>
          <w:sz w:val="22"/>
          <w:szCs w:val="22"/>
          <w:lang w:val="en-GB"/>
        </w:rPr>
      </w:pPr>
    </w:p>
    <w:p w14:paraId="490FEACC" w14:textId="77777777" w:rsidR="00302BFE" w:rsidRPr="00AD6A9D" w:rsidRDefault="00302BFE" w:rsidP="00302BFE">
      <w:pPr>
        <w:pStyle w:val="Titre1"/>
        <w:rPr>
          <w:rFonts w:ascii="Calibri" w:hAnsi="Calibri"/>
        </w:rPr>
      </w:pPr>
      <w:bookmarkStart w:id="1" w:name="_Toc9961788"/>
      <w:r w:rsidRPr="00AD6A9D">
        <w:rPr>
          <w:rFonts w:ascii="Calibri" w:hAnsi="Calibri"/>
        </w:rPr>
        <w:t>Table of Contents</w:t>
      </w:r>
      <w:bookmarkEnd w:id="1"/>
    </w:p>
    <w:p w14:paraId="02AF80E9" w14:textId="1E3D5D8E" w:rsidR="00302BFE" w:rsidRPr="00603CA6" w:rsidRDefault="00302BFE" w:rsidP="00302BFE">
      <w:pPr>
        <w:pStyle w:val="TM1"/>
        <w:rPr>
          <w:rFonts w:eastAsia="Times New Roman"/>
          <w:noProof/>
          <w:sz w:val="22"/>
          <w:szCs w:val="22"/>
          <w:lang w:val="fr-CA" w:eastAsia="fr-CA"/>
        </w:rPr>
      </w:pPr>
      <w:r w:rsidRPr="0003763F">
        <w:rPr>
          <w:szCs w:val="20"/>
        </w:rPr>
        <w:fldChar w:fldCharType="begin"/>
      </w:r>
      <w:r w:rsidRPr="0003763F">
        <w:rPr>
          <w:szCs w:val="20"/>
        </w:rPr>
        <w:instrText xml:space="preserve"> TOC \o "1-3" \h \z \u </w:instrText>
      </w:r>
      <w:r w:rsidRPr="0003763F">
        <w:rPr>
          <w:szCs w:val="20"/>
        </w:rPr>
        <w:fldChar w:fldCharType="separate"/>
      </w:r>
      <w:hyperlink w:anchor="_Toc9961788" w:history="1">
        <w:r w:rsidRPr="000C0195">
          <w:rPr>
            <w:rStyle w:val="Lienhypertexte"/>
            <w:noProof/>
          </w:rPr>
          <w:t>I.</w:t>
        </w:r>
        <w:r w:rsidRPr="00603CA6">
          <w:rPr>
            <w:rFonts w:eastAsia="Times New Roman"/>
            <w:noProof/>
            <w:sz w:val="22"/>
            <w:szCs w:val="22"/>
            <w:lang w:val="fr-CA" w:eastAsia="fr-CA"/>
          </w:rPr>
          <w:tab/>
        </w:r>
        <w:r w:rsidRPr="000C0195">
          <w:rPr>
            <w:rStyle w:val="Lienhypertexte"/>
            <w:noProof/>
          </w:rPr>
          <w:t>Table of Contents</w:t>
        </w:r>
        <w:r>
          <w:rPr>
            <w:noProof/>
            <w:webHidden/>
          </w:rPr>
          <w:tab/>
        </w:r>
        <w:r>
          <w:rPr>
            <w:noProof/>
            <w:webHidden/>
          </w:rPr>
          <w:fldChar w:fldCharType="begin"/>
        </w:r>
        <w:r>
          <w:rPr>
            <w:noProof/>
            <w:webHidden/>
          </w:rPr>
          <w:instrText xml:space="preserve"> PAGEREF _Toc9961788 \h </w:instrText>
        </w:r>
        <w:r>
          <w:rPr>
            <w:noProof/>
            <w:webHidden/>
          </w:rPr>
        </w:r>
        <w:r>
          <w:rPr>
            <w:noProof/>
            <w:webHidden/>
          </w:rPr>
          <w:fldChar w:fldCharType="separate"/>
        </w:r>
        <w:r w:rsidR="00EB5F3C">
          <w:rPr>
            <w:noProof/>
            <w:webHidden/>
          </w:rPr>
          <w:t>3</w:t>
        </w:r>
        <w:r>
          <w:rPr>
            <w:noProof/>
            <w:webHidden/>
          </w:rPr>
          <w:fldChar w:fldCharType="end"/>
        </w:r>
      </w:hyperlink>
    </w:p>
    <w:p w14:paraId="21F1143B" w14:textId="0557DB24" w:rsidR="00302BFE" w:rsidRPr="00603CA6" w:rsidRDefault="00000000" w:rsidP="00302BFE">
      <w:pPr>
        <w:pStyle w:val="TM1"/>
        <w:rPr>
          <w:rFonts w:eastAsia="Times New Roman"/>
          <w:noProof/>
          <w:sz w:val="22"/>
          <w:szCs w:val="22"/>
          <w:lang w:val="fr-CA" w:eastAsia="fr-CA"/>
        </w:rPr>
      </w:pPr>
      <w:hyperlink w:anchor="_Toc9961789" w:history="1">
        <w:r w:rsidR="00302BFE" w:rsidRPr="000C0195">
          <w:rPr>
            <w:rStyle w:val="Lienhypertexte"/>
            <w:noProof/>
          </w:rPr>
          <w:t>II.</w:t>
        </w:r>
        <w:r w:rsidR="00302BFE" w:rsidRPr="00603CA6">
          <w:rPr>
            <w:rFonts w:eastAsia="Times New Roman"/>
            <w:noProof/>
            <w:sz w:val="22"/>
            <w:szCs w:val="22"/>
            <w:lang w:val="fr-CA" w:eastAsia="fr-CA"/>
          </w:rPr>
          <w:tab/>
        </w:r>
        <w:r w:rsidR="00302BFE" w:rsidRPr="000C0195">
          <w:rPr>
            <w:rStyle w:val="Lienhypertexte"/>
            <w:noProof/>
          </w:rPr>
          <w:t>Development Challenge</w:t>
        </w:r>
        <w:r w:rsidR="00302BFE">
          <w:rPr>
            <w:noProof/>
            <w:webHidden/>
          </w:rPr>
          <w:tab/>
        </w:r>
        <w:r w:rsidR="00302BFE">
          <w:rPr>
            <w:noProof/>
            <w:webHidden/>
          </w:rPr>
          <w:fldChar w:fldCharType="begin"/>
        </w:r>
        <w:r w:rsidR="00302BFE">
          <w:rPr>
            <w:noProof/>
            <w:webHidden/>
          </w:rPr>
          <w:instrText xml:space="preserve"> PAGEREF _Toc9961789 \h </w:instrText>
        </w:r>
        <w:r w:rsidR="00302BFE">
          <w:rPr>
            <w:noProof/>
            <w:webHidden/>
          </w:rPr>
        </w:r>
        <w:r w:rsidR="00302BFE">
          <w:rPr>
            <w:noProof/>
            <w:webHidden/>
          </w:rPr>
          <w:fldChar w:fldCharType="separate"/>
        </w:r>
        <w:r w:rsidR="00EB5F3C">
          <w:rPr>
            <w:noProof/>
            <w:webHidden/>
          </w:rPr>
          <w:t>6</w:t>
        </w:r>
        <w:r w:rsidR="00302BFE">
          <w:rPr>
            <w:noProof/>
            <w:webHidden/>
          </w:rPr>
          <w:fldChar w:fldCharType="end"/>
        </w:r>
      </w:hyperlink>
    </w:p>
    <w:p w14:paraId="38A1EE02" w14:textId="144AC01F" w:rsidR="00302BFE" w:rsidRPr="00603CA6" w:rsidRDefault="00000000" w:rsidP="00302BFE">
      <w:pPr>
        <w:pStyle w:val="TM1"/>
        <w:rPr>
          <w:rFonts w:eastAsia="Times New Roman"/>
          <w:noProof/>
          <w:sz w:val="22"/>
          <w:szCs w:val="22"/>
          <w:lang w:val="fr-CA" w:eastAsia="fr-CA"/>
        </w:rPr>
      </w:pPr>
      <w:hyperlink w:anchor="_Toc9961790" w:history="1">
        <w:r w:rsidR="00302BFE" w:rsidRPr="000C0195">
          <w:rPr>
            <w:rStyle w:val="Lienhypertexte"/>
            <w:noProof/>
          </w:rPr>
          <w:t>III.</w:t>
        </w:r>
        <w:r w:rsidR="00302BFE" w:rsidRPr="00603CA6">
          <w:rPr>
            <w:rFonts w:eastAsia="Times New Roman"/>
            <w:noProof/>
            <w:sz w:val="22"/>
            <w:szCs w:val="22"/>
            <w:lang w:val="fr-CA" w:eastAsia="fr-CA"/>
          </w:rPr>
          <w:tab/>
        </w:r>
        <w:r w:rsidR="00302BFE" w:rsidRPr="000C0195">
          <w:rPr>
            <w:rStyle w:val="Lienhypertexte"/>
            <w:noProof/>
          </w:rPr>
          <w:t>Strategy</w:t>
        </w:r>
        <w:r w:rsidR="00302BFE">
          <w:rPr>
            <w:noProof/>
            <w:webHidden/>
          </w:rPr>
          <w:tab/>
        </w:r>
        <w:r w:rsidR="00302BFE">
          <w:rPr>
            <w:noProof/>
            <w:webHidden/>
          </w:rPr>
          <w:fldChar w:fldCharType="begin"/>
        </w:r>
        <w:r w:rsidR="00302BFE">
          <w:rPr>
            <w:noProof/>
            <w:webHidden/>
          </w:rPr>
          <w:instrText xml:space="preserve"> PAGEREF _Toc9961790 \h </w:instrText>
        </w:r>
        <w:r w:rsidR="00302BFE">
          <w:rPr>
            <w:noProof/>
            <w:webHidden/>
          </w:rPr>
        </w:r>
        <w:r w:rsidR="00302BFE">
          <w:rPr>
            <w:noProof/>
            <w:webHidden/>
          </w:rPr>
          <w:fldChar w:fldCharType="separate"/>
        </w:r>
        <w:r w:rsidR="00EB5F3C">
          <w:rPr>
            <w:noProof/>
            <w:webHidden/>
          </w:rPr>
          <w:t>20</w:t>
        </w:r>
        <w:r w:rsidR="00302BFE">
          <w:rPr>
            <w:noProof/>
            <w:webHidden/>
          </w:rPr>
          <w:fldChar w:fldCharType="end"/>
        </w:r>
      </w:hyperlink>
    </w:p>
    <w:p w14:paraId="373493A6" w14:textId="652177DC" w:rsidR="00302BFE" w:rsidRPr="00603CA6" w:rsidRDefault="00000000" w:rsidP="00302BFE">
      <w:pPr>
        <w:pStyle w:val="TM1"/>
        <w:rPr>
          <w:rFonts w:eastAsia="Times New Roman"/>
          <w:noProof/>
          <w:sz w:val="22"/>
          <w:szCs w:val="22"/>
          <w:lang w:val="fr-CA" w:eastAsia="fr-CA"/>
        </w:rPr>
      </w:pPr>
      <w:hyperlink w:anchor="_Toc9961791" w:history="1">
        <w:r w:rsidR="00302BFE" w:rsidRPr="000C0195">
          <w:rPr>
            <w:rStyle w:val="Lienhypertexte"/>
            <w:noProof/>
          </w:rPr>
          <w:t>IV.</w:t>
        </w:r>
        <w:r w:rsidR="00302BFE" w:rsidRPr="00603CA6">
          <w:rPr>
            <w:rFonts w:eastAsia="Times New Roman"/>
            <w:noProof/>
            <w:sz w:val="22"/>
            <w:szCs w:val="22"/>
            <w:lang w:val="fr-CA" w:eastAsia="fr-CA"/>
          </w:rPr>
          <w:tab/>
        </w:r>
        <w:r w:rsidR="00302BFE" w:rsidRPr="000C0195">
          <w:rPr>
            <w:rStyle w:val="Lienhypertexte"/>
            <w:noProof/>
          </w:rPr>
          <w:t>Results and Partnerships</w:t>
        </w:r>
        <w:r w:rsidR="00302BFE">
          <w:rPr>
            <w:noProof/>
            <w:webHidden/>
          </w:rPr>
          <w:tab/>
        </w:r>
        <w:r w:rsidR="00302BFE">
          <w:rPr>
            <w:noProof/>
            <w:webHidden/>
          </w:rPr>
          <w:fldChar w:fldCharType="begin"/>
        </w:r>
        <w:r w:rsidR="00302BFE">
          <w:rPr>
            <w:noProof/>
            <w:webHidden/>
          </w:rPr>
          <w:instrText xml:space="preserve"> PAGEREF _Toc9961791 \h </w:instrText>
        </w:r>
        <w:r w:rsidR="00302BFE">
          <w:rPr>
            <w:noProof/>
            <w:webHidden/>
          </w:rPr>
        </w:r>
        <w:r w:rsidR="00302BFE">
          <w:rPr>
            <w:noProof/>
            <w:webHidden/>
          </w:rPr>
          <w:fldChar w:fldCharType="separate"/>
        </w:r>
        <w:r w:rsidR="00EB5F3C">
          <w:rPr>
            <w:noProof/>
            <w:webHidden/>
          </w:rPr>
          <w:t>26</w:t>
        </w:r>
        <w:r w:rsidR="00302BFE">
          <w:rPr>
            <w:noProof/>
            <w:webHidden/>
          </w:rPr>
          <w:fldChar w:fldCharType="end"/>
        </w:r>
      </w:hyperlink>
    </w:p>
    <w:p w14:paraId="771127BC" w14:textId="30F5B879" w:rsidR="00302BFE" w:rsidRPr="00603CA6" w:rsidRDefault="00000000" w:rsidP="00302BFE">
      <w:pPr>
        <w:pStyle w:val="TM1"/>
        <w:rPr>
          <w:rFonts w:eastAsia="Times New Roman"/>
          <w:noProof/>
          <w:sz w:val="22"/>
          <w:szCs w:val="22"/>
          <w:lang w:val="fr-CA" w:eastAsia="fr-CA"/>
        </w:rPr>
      </w:pPr>
      <w:hyperlink w:anchor="_Toc9961792" w:history="1">
        <w:r w:rsidR="00302BFE" w:rsidRPr="000C0195">
          <w:rPr>
            <w:rStyle w:val="Lienhypertexte"/>
            <w:noProof/>
          </w:rPr>
          <w:t>V.</w:t>
        </w:r>
        <w:r w:rsidR="00302BFE" w:rsidRPr="00603CA6">
          <w:rPr>
            <w:rFonts w:eastAsia="Times New Roman"/>
            <w:noProof/>
            <w:sz w:val="22"/>
            <w:szCs w:val="22"/>
            <w:lang w:val="fr-CA" w:eastAsia="fr-CA"/>
          </w:rPr>
          <w:tab/>
        </w:r>
        <w:r w:rsidR="00302BFE" w:rsidRPr="000C0195">
          <w:rPr>
            <w:rStyle w:val="Lienhypertexte"/>
            <w:noProof/>
          </w:rPr>
          <w:t>Project Management</w:t>
        </w:r>
        <w:r w:rsidR="00302BFE">
          <w:rPr>
            <w:noProof/>
            <w:webHidden/>
          </w:rPr>
          <w:tab/>
        </w:r>
        <w:r w:rsidR="00302BFE">
          <w:rPr>
            <w:noProof/>
            <w:webHidden/>
          </w:rPr>
          <w:fldChar w:fldCharType="begin"/>
        </w:r>
        <w:r w:rsidR="00302BFE">
          <w:rPr>
            <w:noProof/>
            <w:webHidden/>
          </w:rPr>
          <w:instrText xml:space="preserve"> PAGEREF _Toc9961792 \h </w:instrText>
        </w:r>
        <w:r w:rsidR="00302BFE">
          <w:rPr>
            <w:noProof/>
            <w:webHidden/>
          </w:rPr>
        </w:r>
        <w:r w:rsidR="00302BFE">
          <w:rPr>
            <w:noProof/>
            <w:webHidden/>
          </w:rPr>
          <w:fldChar w:fldCharType="separate"/>
        </w:r>
        <w:r w:rsidR="00EB5F3C">
          <w:rPr>
            <w:noProof/>
            <w:webHidden/>
          </w:rPr>
          <w:t>75</w:t>
        </w:r>
        <w:r w:rsidR="00302BFE">
          <w:rPr>
            <w:noProof/>
            <w:webHidden/>
          </w:rPr>
          <w:fldChar w:fldCharType="end"/>
        </w:r>
      </w:hyperlink>
    </w:p>
    <w:p w14:paraId="682E4EBB" w14:textId="2EFE5B98" w:rsidR="00302BFE" w:rsidRPr="00603CA6" w:rsidRDefault="00000000" w:rsidP="00302BFE">
      <w:pPr>
        <w:pStyle w:val="TM1"/>
        <w:rPr>
          <w:rFonts w:eastAsia="Times New Roman"/>
          <w:noProof/>
          <w:sz w:val="22"/>
          <w:szCs w:val="22"/>
          <w:lang w:val="fr-CA" w:eastAsia="fr-CA"/>
        </w:rPr>
      </w:pPr>
      <w:hyperlink w:anchor="_Toc9961793" w:history="1">
        <w:r w:rsidR="00302BFE" w:rsidRPr="000C0195">
          <w:rPr>
            <w:rStyle w:val="Lienhypertexte"/>
            <w:noProof/>
          </w:rPr>
          <w:t>VI.</w:t>
        </w:r>
        <w:r w:rsidR="00302BFE" w:rsidRPr="00603CA6">
          <w:rPr>
            <w:rFonts w:eastAsia="Times New Roman"/>
            <w:noProof/>
            <w:sz w:val="22"/>
            <w:szCs w:val="22"/>
            <w:lang w:val="fr-CA" w:eastAsia="fr-CA"/>
          </w:rPr>
          <w:tab/>
        </w:r>
        <w:r w:rsidR="00302BFE" w:rsidRPr="000C0195">
          <w:rPr>
            <w:rStyle w:val="Lienhypertexte"/>
            <w:noProof/>
          </w:rPr>
          <w:t>Project Results Framework</w:t>
        </w:r>
        <w:r w:rsidR="00302BFE">
          <w:rPr>
            <w:noProof/>
            <w:webHidden/>
          </w:rPr>
          <w:tab/>
        </w:r>
        <w:r w:rsidR="00302BFE">
          <w:rPr>
            <w:noProof/>
            <w:webHidden/>
          </w:rPr>
          <w:fldChar w:fldCharType="begin"/>
        </w:r>
        <w:r w:rsidR="00302BFE">
          <w:rPr>
            <w:noProof/>
            <w:webHidden/>
          </w:rPr>
          <w:instrText xml:space="preserve"> PAGEREF _Toc9961793 \h </w:instrText>
        </w:r>
        <w:r w:rsidR="00302BFE">
          <w:rPr>
            <w:noProof/>
            <w:webHidden/>
          </w:rPr>
        </w:r>
        <w:r w:rsidR="00302BFE">
          <w:rPr>
            <w:noProof/>
            <w:webHidden/>
          </w:rPr>
          <w:fldChar w:fldCharType="separate"/>
        </w:r>
        <w:r w:rsidR="00EB5F3C">
          <w:rPr>
            <w:noProof/>
            <w:webHidden/>
          </w:rPr>
          <w:t>78</w:t>
        </w:r>
        <w:r w:rsidR="00302BFE">
          <w:rPr>
            <w:noProof/>
            <w:webHidden/>
          </w:rPr>
          <w:fldChar w:fldCharType="end"/>
        </w:r>
      </w:hyperlink>
    </w:p>
    <w:p w14:paraId="538F4A74" w14:textId="54860439" w:rsidR="00302BFE" w:rsidRPr="00603CA6" w:rsidRDefault="00000000" w:rsidP="00302BFE">
      <w:pPr>
        <w:pStyle w:val="TM1"/>
        <w:rPr>
          <w:rFonts w:eastAsia="Times New Roman"/>
          <w:noProof/>
          <w:sz w:val="22"/>
          <w:szCs w:val="22"/>
          <w:lang w:val="fr-CA" w:eastAsia="fr-CA"/>
        </w:rPr>
      </w:pPr>
      <w:hyperlink w:anchor="_Toc9961794" w:history="1">
        <w:r w:rsidR="00302BFE" w:rsidRPr="000C0195">
          <w:rPr>
            <w:rStyle w:val="Lienhypertexte"/>
            <w:noProof/>
          </w:rPr>
          <w:t>VII.</w:t>
        </w:r>
        <w:r w:rsidR="00302BFE" w:rsidRPr="00603CA6">
          <w:rPr>
            <w:rFonts w:eastAsia="Times New Roman"/>
            <w:noProof/>
            <w:sz w:val="22"/>
            <w:szCs w:val="22"/>
            <w:lang w:val="fr-CA" w:eastAsia="fr-CA"/>
          </w:rPr>
          <w:tab/>
        </w:r>
        <w:r w:rsidR="00302BFE" w:rsidRPr="000C0195">
          <w:rPr>
            <w:rStyle w:val="Lienhypertexte"/>
            <w:noProof/>
          </w:rPr>
          <w:t>Monitoring and Evaluation (M&amp;E) Plan</w:t>
        </w:r>
        <w:r w:rsidR="00302BFE">
          <w:rPr>
            <w:noProof/>
            <w:webHidden/>
          </w:rPr>
          <w:tab/>
        </w:r>
        <w:r w:rsidR="00302BFE">
          <w:rPr>
            <w:noProof/>
            <w:webHidden/>
          </w:rPr>
          <w:fldChar w:fldCharType="begin"/>
        </w:r>
        <w:r w:rsidR="00302BFE">
          <w:rPr>
            <w:noProof/>
            <w:webHidden/>
          </w:rPr>
          <w:instrText xml:space="preserve"> PAGEREF _Toc9961794 \h </w:instrText>
        </w:r>
        <w:r w:rsidR="00302BFE">
          <w:rPr>
            <w:noProof/>
            <w:webHidden/>
          </w:rPr>
        </w:r>
        <w:r w:rsidR="00302BFE">
          <w:rPr>
            <w:noProof/>
            <w:webHidden/>
          </w:rPr>
          <w:fldChar w:fldCharType="separate"/>
        </w:r>
        <w:r w:rsidR="00EB5F3C">
          <w:rPr>
            <w:noProof/>
            <w:webHidden/>
          </w:rPr>
          <w:t>85</w:t>
        </w:r>
        <w:r w:rsidR="00302BFE">
          <w:rPr>
            <w:noProof/>
            <w:webHidden/>
          </w:rPr>
          <w:fldChar w:fldCharType="end"/>
        </w:r>
      </w:hyperlink>
    </w:p>
    <w:p w14:paraId="3B281AE9" w14:textId="6C339EC4" w:rsidR="00302BFE" w:rsidRPr="00603CA6" w:rsidRDefault="00000000" w:rsidP="00302BFE">
      <w:pPr>
        <w:pStyle w:val="TM1"/>
        <w:rPr>
          <w:rFonts w:eastAsia="Times New Roman"/>
          <w:noProof/>
          <w:sz w:val="22"/>
          <w:szCs w:val="22"/>
          <w:lang w:val="fr-CA" w:eastAsia="fr-CA"/>
        </w:rPr>
      </w:pPr>
      <w:hyperlink w:anchor="_Toc9961795" w:history="1">
        <w:r w:rsidR="00302BFE" w:rsidRPr="000C0195">
          <w:rPr>
            <w:rStyle w:val="Lienhypertexte"/>
            <w:noProof/>
          </w:rPr>
          <w:t>VIII.</w:t>
        </w:r>
        <w:r w:rsidR="00302BFE" w:rsidRPr="00603CA6">
          <w:rPr>
            <w:rFonts w:eastAsia="Times New Roman"/>
            <w:noProof/>
            <w:sz w:val="22"/>
            <w:szCs w:val="22"/>
            <w:lang w:val="fr-CA" w:eastAsia="fr-CA"/>
          </w:rPr>
          <w:tab/>
        </w:r>
        <w:r w:rsidR="00302BFE" w:rsidRPr="000C0195">
          <w:rPr>
            <w:rStyle w:val="Lienhypertexte"/>
            <w:noProof/>
          </w:rPr>
          <w:t>Governance and Management Arrangements</w:t>
        </w:r>
        <w:r w:rsidR="00302BFE">
          <w:rPr>
            <w:noProof/>
            <w:webHidden/>
          </w:rPr>
          <w:tab/>
        </w:r>
        <w:r w:rsidR="00302BFE">
          <w:rPr>
            <w:noProof/>
            <w:webHidden/>
          </w:rPr>
          <w:fldChar w:fldCharType="begin"/>
        </w:r>
        <w:r w:rsidR="00302BFE">
          <w:rPr>
            <w:noProof/>
            <w:webHidden/>
          </w:rPr>
          <w:instrText xml:space="preserve"> PAGEREF _Toc9961795 \h </w:instrText>
        </w:r>
        <w:r w:rsidR="00302BFE">
          <w:rPr>
            <w:noProof/>
            <w:webHidden/>
          </w:rPr>
        </w:r>
        <w:r w:rsidR="00302BFE">
          <w:rPr>
            <w:noProof/>
            <w:webHidden/>
          </w:rPr>
          <w:fldChar w:fldCharType="separate"/>
        </w:r>
        <w:r w:rsidR="00EB5F3C">
          <w:rPr>
            <w:noProof/>
            <w:webHidden/>
          </w:rPr>
          <w:t>89</w:t>
        </w:r>
        <w:r w:rsidR="00302BFE">
          <w:rPr>
            <w:noProof/>
            <w:webHidden/>
          </w:rPr>
          <w:fldChar w:fldCharType="end"/>
        </w:r>
      </w:hyperlink>
    </w:p>
    <w:p w14:paraId="0C9D1D29" w14:textId="339A519E" w:rsidR="00302BFE" w:rsidRPr="00603CA6" w:rsidRDefault="00000000" w:rsidP="00302BFE">
      <w:pPr>
        <w:pStyle w:val="TM1"/>
        <w:rPr>
          <w:rFonts w:eastAsia="Times New Roman"/>
          <w:noProof/>
          <w:sz w:val="22"/>
          <w:szCs w:val="22"/>
          <w:lang w:val="fr-CA" w:eastAsia="fr-CA"/>
        </w:rPr>
      </w:pPr>
      <w:hyperlink w:anchor="_Toc9961796" w:history="1">
        <w:r w:rsidR="00302BFE" w:rsidRPr="000C0195">
          <w:rPr>
            <w:rStyle w:val="Lienhypertexte"/>
            <w:noProof/>
          </w:rPr>
          <w:t>IX.</w:t>
        </w:r>
        <w:r w:rsidR="00302BFE" w:rsidRPr="00603CA6">
          <w:rPr>
            <w:rFonts w:eastAsia="Times New Roman"/>
            <w:noProof/>
            <w:sz w:val="22"/>
            <w:szCs w:val="22"/>
            <w:lang w:val="fr-CA" w:eastAsia="fr-CA"/>
          </w:rPr>
          <w:tab/>
        </w:r>
        <w:r w:rsidR="00302BFE" w:rsidRPr="000C0195">
          <w:rPr>
            <w:rStyle w:val="Lienhypertexte"/>
            <w:noProof/>
          </w:rPr>
          <w:t>Financial Planning and Management</w:t>
        </w:r>
        <w:r w:rsidR="00302BFE">
          <w:rPr>
            <w:noProof/>
            <w:webHidden/>
          </w:rPr>
          <w:tab/>
        </w:r>
        <w:r w:rsidR="00302BFE">
          <w:rPr>
            <w:noProof/>
            <w:webHidden/>
          </w:rPr>
          <w:fldChar w:fldCharType="begin"/>
        </w:r>
        <w:r w:rsidR="00302BFE">
          <w:rPr>
            <w:noProof/>
            <w:webHidden/>
          </w:rPr>
          <w:instrText xml:space="preserve"> PAGEREF _Toc9961796 \h </w:instrText>
        </w:r>
        <w:r w:rsidR="00302BFE">
          <w:rPr>
            <w:noProof/>
            <w:webHidden/>
          </w:rPr>
        </w:r>
        <w:r w:rsidR="00302BFE">
          <w:rPr>
            <w:noProof/>
            <w:webHidden/>
          </w:rPr>
          <w:fldChar w:fldCharType="separate"/>
        </w:r>
        <w:r w:rsidR="00EB5F3C">
          <w:rPr>
            <w:noProof/>
            <w:webHidden/>
          </w:rPr>
          <w:t>96</w:t>
        </w:r>
        <w:r w:rsidR="00302BFE">
          <w:rPr>
            <w:noProof/>
            <w:webHidden/>
          </w:rPr>
          <w:fldChar w:fldCharType="end"/>
        </w:r>
      </w:hyperlink>
    </w:p>
    <w:p w14:paraId="0274706F" w14:textId="4469F92F" w:rsidR="00302BFE" w:rsidRPr="00603CA6" w:rsidRDefault="00000000" w:rsidP="00302BFE">
      <w:pPr>
        <w:pStyle w:val="TM1"/>
        <w:rPr>
          <w:rFonts w:eastAsia="Times New Roman"/>
          <w:noProof/>
          <w:sz w:val="22"/>
          <w:szCs w:val="22"/>
          <w:lang w:val="fr-CA" w:eastAsia="fr-CA"/>
        </w:rPr>
      </w:pPr>
      <w:hyperlink w:anchor="_Toc9961797" w:history="1">
        <w:r w:rsidR="00302BFE" w:rsidRPr="000C0195">
          <w:rPr>
            <w:rStyle w:val="Lienhypertexte"/>
            <w:noProof/>
          </w:rPr>
          <w:t>X.</w:t>
        </w:r>
        <w:r w:rsidR="00302BFE" w:rsidRPr="00603CA6">
          <w:rPr>
            <w:rFonts w:eastAsia="Times New Roman"/>
            <w:noProof/>
            <w:sz w:val="22"/>
            <w:szCs w:val="22"/>
            <w:lang w:val="fr-CA" w:eastAsia="fr-CA"/>
          </w:rPr>
          <w:tab/>
        </w:r>
        <w:r w:rsidR="00302BFE" w:rsidRPr="000C0195">
          <w:rPr>
            <w:rStyle w:val="Lienhypertexte"/>
            <w:noProof/>
          </w:rPr>
          <w:t>Total Budget and Work Plan</w:t>
        </w:r>
        <w:r w:rsidR="00302BFE">
          <w:rPr>
            <w:noProof/>
            <w:webHidden/>
          </w:rPr>
          <w:tab/>
        </w:r>
        <w:r w:rsidR="00302BFE">
          <w:rPr>
            <w:noProof/>
            <w:webHidden/>
          </w:rPr>
          <w:fldChar w:fldCharType="begin"/>
        </w:r>
        <w:r w:rsidR="00302BFE">
          <w:rPr>
            <w:noProof/>
            <w:webHidden/>
          </w:rPr>
          <w:instrText xml:space="preserve"> PAGEREF _Toc9961797 \h </w:instrText>
        </w:r>
        <w:r w:rsidR="00302BFE">
          <w:rPr>
            <w:noProof/>
            <w:webHidden/>
          </w:rPr>
        </w:r>
        <w:r w:rsidR="00302BFE">
          <w:rPr>
            <w:noProof/>
            <w:webHidden/>
          </w:rPr>
          <w:fldChar w:fldCharType="separate"/>
        </w:r>
        <w:r w:rsidR="00EB5F3C">
          <w:rPr>
            <w:noProof/>
            <w:webHidden/>
          </w:rPr>
          <w:t>99</w:t>
        </w:r>
        <w:r w:rsidR="00302BFE">
          <w:rPr>
            <w:noProof/>
            <w:webHidden/>
          </w:rPr>
          <w:fldChar w:fldCharType="end"/>
        </w:r>
      </w:hyperlink>
    </w:p>
    <w:p w14:paraId="480A1130" w14:textId="22E339CF" w:rsidR="00302BFE" w:rsidRPr="00603CA6" w:rsidRDefault="00000000" w:rsidP="00302BFE">
      <w:pPr>
        <w:pStyle w:val="TM1"/>
        <w:rPr>
          <w:rFonts w:eastAsia="Times New Roman"/>
          <w:noProof/>
          <w:sz w:val="22"/>
          <w:szCs w:val="22"/>
          <w:lang w:val="fr-CA" w:eastAsia="fr-CA"/>
        </w:rPr>
      </w:pPr>
      <w:hyperlink w:anchor="_Toc9961798" w:history="1">
        <w:r w:rsidR="00302BFE" w:rsidRPr="000C0195">
          <w:rPr>
            <w:rStyle w:val="Lienhypertexte"/>
            <w:noProof/>
          </w:rPr>
          <w:t>XI.</w:t>
        </w:r>
        <w:r w:rsidR="00302BFE" w:rsidRPr="00603CA6">
          <w:rPr>
            <w:rFonts w:eastAsia="Times New Roman"/>
            <w:noProof/>
            <w:sz w:val="22"/>
            <w:szCs w:val="22"/>
            <w:lang w:val="fr-CA" w:eastAsia="fr-CA"/>
          </w:rPr>
          <w:tab/>
        </w:r>
        <w:r w:rsidR="00302BFE" w:rsidRPr="000C0195">
          <w:rPr>
            <w:rStyle w:val="Lienhypertexte"/>
            <w:noProof/>
          </w:rPr>
          <w:t>Legal Context</w:t>
        </w:r>
        <w:r w:rsidR="00302BFE">
          <w:rPr>
            <w:noProof/>
            <w:webHidden/>
          </w:rPr>
          <w:tab/>
        </w:r>
        <w:r w:rsidR="00302BFE">
          <w:rPr>
            <w:noProof/>
            <w:webHidden/>
          </w:rPr>
          <w:fldChar w:fldCharType="begin"/>
        </w:r>
        <w:r w:rsidR="00302BFE">
          <w:rPr>
            <w:noProof/>
            <w:webHidden/>
          </w:rPr>
          <w:instrText xml:space="preserve"> PAGEREF _Toc9961798 \h </w:instrText>
        </w:r>
        <w:r w:rsidR="00302BFE">
          <w:rPr>
            <w:noProof/>
            <w:webHidden/>
          </w:rPr>
        </w:r>
        <w:r w:rsidR="00302BFE">
          <w:rPr>
            <w:noProof/>
            <w:webHidden/>
          </w:rPr>
          <w:fldChar w:fldCharType="separate"/>
        </w:r>
        <w:r w:rsidR="00EB5F3C">
          <w:rPr>
            <w:noProof/>
            <w:webHidden/>
          </w:rPr>
          <w:t>115</w:t>
        </w:r>
        <w:r w:rsidR="00302BFE">
          <w:rPr>
            <w:noProof/>
            <w:webHidden/>
          </w:rPr>
          <w:fldChar w:fldCharType="end"/>
        </w:r>
      </w:hyperlink>
    </w:p>
    <w:p w14:paraId="4542477D" w14:textId="24D52C03" w:rsidR="00302BFE" w:rsidRPr="00603CA6" w:rsidRDefault="00000000" w:rsidP="00302BFE">
      <w:pPr>
        <w:pStyle w:val="TM1"/>
        <w:rPr>
          <w:rFonts w:eastAsia="Times New Roman"/>
          <w:noProof/>
          <w:sz w:val="22"/>
          <w:szCs w:val="22"/>
          <w:lang w:val="fr-CA" w:eastAsia="fr-CA"/>
        </w:rPr>
      </w:pPr>
      <w:hyperlink w:anchor="_Toc9961799" w:history="1">
        <w:r w:rsidR="00302BFE" w:rsidRPr="000C0195">
          <w:rPr>
            <w:rStyle w:val="Lienhypertexte"/>
            <w:noProof/>
          </w:rPr>
          <w:t>XII.</w:t>
        </w:r>
        <w:r w:rsidR="00302BFE" w:rsidRPr="00603CA6">
          <w:rPr>
            <w:rFonts w:eastAsia="Times New Roman"/>
            <w:noProof/>
            <w:sz w:val="22"/>
            <w:szCs w:val="22"/>
            <w:lang w:val="fr-CA" w:eastAsia="fr-CA"/>
          </w:rPr>
          <w:tab/>
        </w:r>
        <w:r w:rsidR="00302BFE" w:rsidRPr="000C0195">
          <w:rPr>
            <w:rStyle w:val="Lienhypertexte"/>
            <w:noProof/>
          </w:rPr>
          <w:t>Risk Management</w:t>
        </w:r>
        <w:r w:rsidR="00302BFE">
          <w:rPr>
            <w:noProof/>
            <w:webHidden/>
          </w:rPr>
          <w:tab/>
        </w:r>
        <w:r w:rsidR="00302BFE">
          <w:rPr>
            <w:noProof/>
            <w:webHidden/>
          </w:rPr>
          <w:fldChar w:fldCharType="begin"/>
        </w:r>
        <w:r w:rsidR="00302BFE">
          <w:rPr>
            <w:noProof/>
            <w:webHidden/>
          </w:rPr>
          <w:instrText xml:space="preserve"> PAGEREF _Toc9961799 \h </w:instrText>
        </w:r>
        <w:r w:rsidR="00302BFE">
          <w:rPr>
            <w:noProof/>
            <w:webHidden/>
          </w:rPr>
        </w:r>
        <w:r w:rsidR="00302BFE">
          <w:rPr>
            <w:noProof/>
            <w:webHidden/>
          </w:rPr>
          <w:fldChar w:fldCharType="separate"/>
        </w:r>
        <w:r w:rsidR="00EB5F3C">
          <w:rPr>
            <w:noProof/>
            <w:webHidden/>
          </w:rPr>
          <w:t>115</w:t>
        </w:r>
        <w:r w:rsidR="00302BFE">
          <w:rPr>
            <w:noProof/>
            <w:webHidden/>
          </w:rPr>
          <w:fldChar w:fldCharType="end"/>
        </w:r>
      </w:hyperlink>
    </w:p>
    <w:p w14:paraId="1ABD6A38" w14:textId="05DE8108" w:rsidR="00302BFE" w:rsidRPr="00603CA6" w:rsidRDefault="00000000" w:rsidP="00302BFE">
      <w:pPr>
        <w:pStyle w:val="TM1"/>
        <w:rPr>
          <w:rFonts w:eastAsia="Times New Roman"/>
          <w:noProof/>
          <w:sz w:val="22"/>
          <w:szCs w:val="22"/>
          <w:lang w:val="fr-CA" w:eastAsia="fr-CA"/>
        </w:rPr>
      </w:pPr>
      <w:hyperlink w:anchor="_Toc9961800" w:history="1">
        <w:r w:rsidR="00302BFE" w:rsidRPr="000C0195">
          <w:rPr>
            <w:rStyle w:val="Lienhypertexte"/>
            <w:noProof/>
          </w:rPr>
          <w:t>XIII.</w:t>
        </w:r>
        <w:r w:rsidR="00302BFE" w:rsidRPr="00603CA6">
          <w:rPr>
            <w:rFonts w:eastAsia="Times New Roman"/>
            <w:noProof/>
            <w:sz w:val="22"/>
            <w:szCs w:val="22"/>
            <w:lang w:val="fr-CA" w:eastAsia="fr-CA"/>
          </w:rPr>
          <w:tab/>
        </w:r>
        <w:r w:rsidR="00302BFE" w:rsidRPr="000C0195">
          <w:rPr>
            <w:rStyle w:val="Lienhypertexte"/>
            <w:noProof/>
          </w:rPr>
          <w:t>Mandatory Annexes</w:t>
        </w:r>
        <w:r w:rsidR="00302BFE">
          <w:rPr>
            <w:noProof/>
            <w:webHidden/>
          </w:rPr>
          <w:tab/>
        </w:r>
        <w:r w:rsidR="00302BFE">
          <w:rPr>
            <w:noProof/>
            <w:webHidden/>
          </w:rPr>
          <w:fldChar w:fldCharType="begin"/>
        </w:r>
        <w:r w:rsidR="00302BFE">
          <w:rPr>
            <w:noProof/>
            <w:webHidden/>
          </w:rPr>
          <w:instrText xml:space="preserve"> PAGEREF _Toc9961800 \h </w:instrText>
        </w:r>
        <w:r w:rsidR="00302BFE">
          <w:rPr>
            <w:noProof/>
            <w:webHidden/>
          </w:rPr>
        </w:r>
        <w:r w:rsidR="00302BFE">
          <w:rPr>
            <w:noProof/>
            <w:webHidden/>
          </w:rPr>
          <w:fldChar w:fldCharType="separate"/>
        </w:r>
        <w:r w:rsidR="00EB5F3C">
          <w:rPr>
            <w:noProof/>
            <w:webHidden/>
          </w:rPr>
          <w:t>117</w:t>
        </w:r>
        <w:r w:rsidR="00302BFE">
          <w:rPr>
            <w:noProof/>
            <w:webHidden/>
          </w:rPr>
          <w:fldChar w:fldCharType="end"/>
        </w:r>
      </w:hyperlink>
    </w:p>
    <w:p w14:paraId="6FA097B8" w14:textId="2089C946" w:rsidR="00302BFE" w:rsidRPr="00603CA6" w:rsidRDefault="00000000" w:rsidP="00302BFE">
      <w:pPr>
        <w:pStyle w:val="TM2"/>
        <w:tabs>
          <w:tab w:val="right" w:leader="dot" w:pos="10790"/>
        </w:tabs>
        <w:rPr>
          <w:rFonts w:eastAsia="Times New Roman"/>
          <w:noProof/>
          <w:sz w:val="22"/>
          <w:szCs w:val="22"/>
          <w:lang w:val="fr-CA" w:eastAsia="fr-CA"/>
        </w:rPr>
      </w:pPr>
      <w:hyperlink w:anchor="_Toc9961801" w:history="1">
        <w:r w:rsidR="00302BFE" w:rsidRPr="000C0195">
          <w:rPr>
            <w:rStyle w:val="Lienhypertexte"/>
            <w:noProof/>
          </w:rPr>
          <w:t>Annex A:  Multi Year Work Plan</w:t>
        </w:r>
        <w:r w:rsidR="00302BFE">
          <w:rPr>
            <w:noProof/>
            <w:webHidden/>
          </w:rPr>
          <w:tab/>
        </w:r>
        <w:r w:rsidR="00302BFE">
          <w:rPr>
            <w:noProof/>
            <w:webHidden/>
          </w:rPr>
          <w:fldChar w:fldCharType="begin"/>
        </w:r>
        <w:r w:rsidR="00302BFE">
          <w:rPr>
            <w:noProof/>
            <w:webHidden/>
          </w:rPr>
          <w:instrText xml:space="preserve"> PAGEREF _Toc9961801 \h </w:instrText>
        </w:r>
        <w:r w:rsidR="00302BFE">
          <w:rPr>
            <w:noProof/>
            <w:webHidden/>
          </w:rPr>
        </w:r>
        <w:r w:rsidR="00302BFE">
          <w:rPr>
            <w:noProof/>
            <w:webHidden/>
          </w:rPr>
          <w:fldChar w:fldCharType="separate"/>
        </w:r>
        <w:r w:rsidR="00EB5F3C">
          <w:rPr>
            <w:noProof/>
            <w:webHidden/>
          </w:rPr>
          <w:t>118</w:t>
        </w:r>
        <w:r w:rsidR="00302BFE">
          <w:rPr>
            <w:noProof/>
            <w:webHidden/>
          </w:rPr>
          <w:fldChar w:fldCharType="end"/>
        </w:r>
      </w:hyperlink>
    </w:p>
    <w:p w14:paraId="7EE96294" w14:textId="2357F40A" w:rsidR="00302BFE" w:rsidRPr="00603CA6" w:rsidRDefault="00000000" w:rsidP="00302BFE">
      <w:pPr>
        <w:pStyle w:val="TM2"/>
        <w:tabs>
          <w:tab w:val="right" w:leader="dot" w:pos="10790"/>
        </w:tabs>
        <w:rPr>
          <w:rFonts w:eastAsia="Times New Roman"/>
          <w:noProof/>
          <w:sz w:val="22"/>
          <w:szCs w:val="22"/>
          <w:lang w:val="fr-CA" w:eastAsia="fr-CA"/>
        </w:rPr>
      </w:pPr>
      <w:hyperlink w:anchor="_Toc9961802" w:history="1">
        <w:r w:rsidR="00302BFE" w:rsidRPr="000C0195">
          <w:rPr>
            <w:rStyle w:val="Lienhypertexte"/>
            <w:noProof/>
          </w:rPr>
          <w:t>Annex B:  GEF-7 Core Indicators</w:t>
        </w:r>
        <w:r w:rsidR="00302BFE">
          <w:rPr>
            <w:noProof/>
            <w:webHidden/>
          </w:rPr>
          <w:tab/>
        </w:r>
        <w:r w:rsidR="00302BFE">
          <w:rPr>
            <w:noProof/>
            <w:webHidden/>
          </w:rPr>
          <w:fldChar w:fldCharType="begin"/>
        </w:r>
        <w:r w:rsidR="00302BFE">
          <w:rPr>
            <w:noProof/>
            <w:webHidden/>
          </w:rPr>
          <w:instrText xml:space="preserve"> PAGEREF _Toc9961802 \h </w:instrText>
        </w:r>
        <w:r w:rsidR="00302BFE">
          <w:rPr>
            <w:noProof/>
            <w:webHidden/>
          </w:rPr>
        </w:r>
        <w:r w:rsidR="00302BFE">
          <w:rPr>
            <w:noProof/>
            <w:webHidden/>
          </w:rPr>
          <w:fldChar w:fldCharType="separate"/>
        </w:r>
        <w:r w:rsidR="00EB5F3C">
          <w:rPr>
            <w:noProof/>
            <w:webHidden/>
          </w:rPr>
          <w:t>121</w:t>
        </w:r>
        <w:r w:rsidR="00302BFE">
          <w:rPr>
            <w:noProof/>
            <w:webHidden/>
          </w:rPr>
          <w:fldChar w:fldCharType="end"/>
        </w:r>
      </w:hyperlink>
    </w:p>
    <w:p w14:paraId="5A77C7F7" w14:textId="45E71FE1" w:rsidR="00302BFE" w:rsidRPr="00603CA6" w:rsidRDefault="00000000" w:rsidP="00302BFE">
      <w:pPr>
        <w:pStyle w:val="TM2"/>
        <w:tabs>
          <w:tab w:val="right" w:leader="dot" w:pos="10790"/>
        </w:tabs>
        <w:rPr>
          <w:rFonts w:eastAsia="Times New Roman"/>
          <w:noProof/>
          <w:sz w:val="22"/>
          <w:szCs w:val="22"/>
          <w:lang w:val="fr-CA" w:eastAsia="fr-CA"/>
        </w:rPr>
      </w:pPr>
      <w:hyperlink w:anchor="_Toc9961803" w:history="1">
        <w:r w:rsidR="00302BFE" w:rsidRPr="000C0195">
          <w:rPr>
            <w:rStyle w:val="Lienhypertexte"/>
            <w:noProof/>
          </w:rPr>
          <w:t>Annex C: Terms of Reference</w:t>
        </w:r>
        <w:r w:rsidR="00302BFE">
          <w:rPr>
            <w:noProof/>
            <w:webHidden/>
          </w:rPr>
          <w:tab/>
        </w:r>
        <w:r w:rsidR="00302BFE">
          <w:rPr>
            <w:noProof/>
            <w:webHidden/>
          </w:rPr>
          <w:fldChar w:fldCharType="begin"/>
        </w:r>
        <w:r w:rsidR="00302BFE">
          <w:rPr>
            <w:noProof/>
            <w:webHidden/>
          </w:rPr>
          <w:instrText xml:space="preserve"> PAGEREF _Toc9961803 \h </w:instrText>
        </w:r>
        <w:r w:rsidR="00302BFE">
          <w:rPr>
            <w:noProof/>
            <w:webHidden/>
          </w:rPr>
        </w:r>
        <w:r w:rsidR="00302BFE">
          <w:rPr>
            <w:noProof/>
            <w:webHidden/>
          </w:rPr>
          <w:fldChar w:fldCharType="separate"/>
        </w:r>
        <w:r w:rsidR="00EB5F3C">
          <w:rPr>
            <w:noProof/>
            <w:webHidden/>
          </w:rPr>
          <w:t>126</w:t>
        </w:r>
        <w:r w:rsidR="00302BFE">
          <w:rPr>
            <w:noProof/>
            <w:webHidden/>
          </w:rPr>
          <w:fldChar w:fldCharType="end"/>
        </w:r>
      </w:hyperlink>
    </w:p>
    <w:p w14:paraId="403F46D7" w14:textId="090DDBEA" w:rsidR="00302BFE" w:rsidRPr="00603CA6" w:rsidRDefault="00000000" w:rsidP="00302BFE">
      <w:pPr>
        <w:pStyle w:val="TM2"/>
        <w:tabs>
          <w:tab w:val="right" w:leader="dot" w:pos="10790"/>
        </w:tabs>
        <w:rPr>
          <w:rFonts w:eastAsia="Times New Roman"/>
          <w:noProof/>
          <w:sz w:val="22"/>
          <w:szCs w:val="22"/>
          <w:lang w:val="fr-CA" w:eastAsia="fr-CA"/>
        </w:rPr>
      </w:pPr>
      <w:hyperlink w:anchor="_Toc9961804" w:history="1">
        <w:r w:rsidR="00302BFE" w:rsidRPr="000C0195">
          <w:rPr>
            <w:rStyle w:val="Lienhypertexte"/>
            <w:noProof/>
          </w:rPr>
          <w:t>Annex D:  UNDP Social and Environmental Screening Procedure (annexed as separate file)</w:t>
        </w:r>
        <w:r w:rsidR="00302BFE">
          <w:rPr>
            <w:noProof/>
            <w:webHidden/>
          </w:rPr>
          <w:tab/>
        </w:r>
        <w:r w:rsidR="00302BFE">
          <w:rPr>
            <w:noProof/>
            <w:webHidden/>
          </w:rPr>
          <w:fldChar w:fldCharType="begin"/>
        </w:r>
        <w:r w:rsidR="00302BFE">
          <w:rPr>
            <w:noProof/>
            <w:webHidden/>
          </w:rPr>
          <w:instrText xml:space="preserve"> PAGEREF _Toc9961804 \h </w:instrText>
        </w:r>
        <w:r w:rsidR="00302BFE">
          <w:rPr>
            <w:noProof/>
            <w:webHidden/>
          </w:rPr>
        </w:r>
        <w:r w:rsidR="00302BFE">
          <w:rPr>
            <w:noProof/>
            <w:webHidden/>
          </w:rPr>
          <w:fldChar w:fldCharType="separate"/>
        </w:r>
        <w:r w:rsidR="00EB5F3C">
          <w:rPr>
            <w:noProof/>
            <w:webHidden/>
          </w:rPr>
          <w:t>135</w:t>
        </w:r>
        <w:r w:rsidR="00302BFE">
          <w:rPr>
            <w:noProof/>
            <w:webHidden/>
          </w:rPr>
          <w:fldChar w:fldCharType="end"/>
        </w:r>
      </w:hyperlink>
    </w:p>
    <w:p w14:paraId="568D8676" w14:textId="4F85FDAF" w:rsidR="00302BFE" w:rsidRPr="00603CA6" w:rsidRDefault="00000000" w:rsidP="00302BFE">
      <w:pPr>
        <w:pStyle w:val="TM2"/>
        <w:tabs>
          <w:tab w:val="right" w:leader="dot" w:pos="10790"/>
        </w:tabs>
        <w:rPr>
          <w:rFonts w:eastAsia="Times New Roman"/>
          <w:noProof/>
          <w:sz w:val="22"/>
          <w:szCs w:val="22"/>
          <w:lang w:val="fr-CA" w:eastAsia="fr-CA"/>
        </w:rPr>
      </w:pPr>
      <w:hyperlink w:anchor="_Toc9961805" w:history="1">
        <w:r w:rsidR="00302BFE" w:rsidRPr="000C0195">
          <w:rPr>
            <w:rStyle w:val="Lienhypertexte"/>
            <w:noProof/>
          </w:rPr>
          <w:t>Annex E:  Stakeholder Engagement Plan</w:t>
        </w:r>
        <w:r w:rsidR="00302BFE">
          <w:rPr>
            <w:noProof/>
            <w:webHidden/>
          </w:rPr>
          <w:tab/>
        </w:r>
        <w:r w:rsidR="00302BFE">
          <w:rPr>
            <w:noProof/>
            <w:webHidden/>
          </w:rPr>
          <w:fldChar w:fldCharType="begin"/>
        </w:r>
        <w:r w:rsidR="00302BFE">
          <w:rPr>
            <w:noProof/>
            <w:webHidden/>
          </w:rPr>
          <w:instrText xml:space="preserve"> PAGEREF _Toc9961805 \h </w:instrText>
        </w:r>
        <w:r w:rsidR="00302BFE">
          <w:rPr>
            <w:noProof/>
            <w:webHidden/>
          </w:rPr>
        </w:r>
        <w:r w:rsidR="00302BFE">
          <w:rPr>
            <w:noProof/>
            <w:webHidden/>
          </w:rPr>
          <w:fldChar w:fldCharType="separate"/>
        </w:r>
        <w:r w:rsidR="00EB5F3C">
          <w:rPr>
            <w:noProof/>
            <w:webHidden/>
          </w:rPr>
          <w:t>136</w:t>
        </w:r>
        <w:r w:rsidR="00302BFE">
          <w:rPr>
            <w:noProof/>
            <w:webHidden/>
          </w:rPr>
          <w:fldChar w:fldCharType="end"/>
        </w:r>
      </w:hyperlink>
    </w:p>
    <w:p w14:paraId="0E6C4D57" w14:textId="623A55E8" w:rsidR="00302BFE" w:rsidRPr="00603CA6" w:rsidRDefault="00000000" w:rsidP="00302BFE">
      <w:pPr>
        <w:pStyle w:val="TM2"/>
        <w:tabs>
          <w:tab w:val="right" w:leader="dot" w:pos="10790"/>
        </w:tabs>
        <w:rPr>
          <w:rFonts w:eastAsia="Times New Roman"/>
          <w:noProof/>
          <w:sz w:val="22"/>
          <w:szCs w:val="22"/>
          <w:lang w:val="fr-CA" w:eastAsia="fr-CA"/>
        </w:rPr>
      </w:pPr>
      <w:hyperlink w:anchor="_Toc9961806" w:history="1">
        <w:r w:rsidR="00302BFE" w:rsidRPr="000C0195">
          <w:rPr>
            <w:rStyle w:val="Lienhypertexte"/>
            <w:noProof/>
          </w:rPr>
          <w:t>Annex F: Gender Analysis and Action Plan</w:t>
        </w:r>
        <w:r w:rsidR="00302BFE">
          <w:rPr>
            <w:noProof/>
            <w:webHidden/>
          </w:rPr>
          <w:tab/>
        </w:r>
        <w:r w:rsidR="00302BFE">
          <w:rPr>
            <w:noProof/>
            <w:webHidden/>
          </w:rPr>
          <w:fldChar w:fldCharType="begin"/>
        </w:r>
        <w:r w:rsidR="00302BFE">
          <w:rPr>
            <w:noProof/>
            <w:webHidden/>
          </w:rPr>
          <w:instrText xml:space="preserve"> PAGEREF _Toc9961806 \h </w:instrText>
        </w:r>
        <w:r w:rsidR="00302BFE">
          <w:rPr>
            <w:noProof/>
            <w:webHidden/>
          </w:rPr>
        </w:r>
        <w:r w:rsidR="00302BFE">
          <w:rPr>
            <w:noProof/>
            <w:webHidden/>
          </w:rPr>
          <w:fldChar w:fldCharType="separate"/>
        </w:r>
        <w:r w:rsidR="00EB5F3C">
          <w:rPr>
            <w:noProof/>
            <w:webHidden/>
          </w:rPr>
          <w:t>143</w:t>
        </w:r>
        <w:r w:rsidR="00302BFE">
          <w:rPr>
            <w:noProof/>
            <w:webHidden/>
          </w:rPr>
          <w:fldChar w:fldCharType="end"/>
        </w:r>
      </w:hyperlink>
    </w:p>
    <w:p w14:paraId="6BDFA85E" w14:textId="2893579C" w:rsidR="00302BFE" w:rsidRPr="00603CA6" w:rsidRDefault="00000000" w:rsidP="00302BFE">
      <w:pPr>
        <w:pStyle w:val="TM2"/>
        <w:tabs>
          <w:tab w:val="right" w:leader="dot" w:pos="10790"/>
        </w:tabs>
        <w:rPr>
          <w:rFonts w:eastAsia="Times New Roman"/>
          <w:noProof/>
          <w:sz w:val="22"/>
          <w:szCs w:val="22"/>
          <w:lang w:val="fr-CA" w:eastAsia="fr-CA"/>
        </w:rPr>
      </w:pPr>
      <w:hyperlink w:anchor="_Toc9961807" w:history="1">
        <w:r w:rsidR="00302BFE" w:rsidRPr="000C0195">
          <w:rPr>
            <w:rStyle w:val="Lienhypertexte"/>
            <w:noProof/>
          </w:rPr>
          <w:t>Annex G:  UNDP Risk Log</w:t>
        </w:r>
        <w:r w:rsidR="00302BFE">
          <w:rPr>
            <w:noProof/>
            <w:webHidden/>
          </w:rPr>
          <w:tab/>
        </w:r>
        <w:r w:rsidR="00302BFE">
          <w:rPr>
            <w:noProof/>
            <w:webHidden/>
          </w:rPr>
          <w:fldChar w:fldCharType="begin"/>
        </w:r>
        <w:r w:rsidR="00302BFE">
          <w:rPr>
            <w:noProof/>
            <w:webHidden/>
          </w:rPr>
          <w:instrText xml:space="preserve"> PAGEREF _Toc9961807 \h </w:instrText>
        </w:r>
        <w:r w:rsidR="00302BFE">
          <w:rPr>
            <w:noProof/>
            <w:webHidden/>
          </w:rPr>
        </w:r>
        <w:r w:rsidR="00302BFE">
          <w:rPr>
            <w:noProof/>
            <w:webHidden/>
          </w:rPr>
          <w:fldChar w:fldCharType="separate"/>
        </w:r>
        <w:r w:rsidR="00EB5F3C">
          <w:rPr>
            <w:noProof/>
            <w:webHidden/>
          </w:rPr>
          <w:t>159</w:t>
        </w:r>
        <w:r w:rsidR="00302BFE">
          <w:rPr>
            <w:noProof/>
            <w:webHidden/>
          </w:rPr>
          <w:fldChar w:fldCharType="end"/>
        </w:r>
      </w:hyperlink>
    </w:p>
    <w:p w14:paraId="7E4B0CF7" w14:textId="5E6092DB" w:rsidR="00302BFE" w:rsidRPr="00603CA6" w:rsidRDefault="00000000" w:rsidP="00302BFE">
      <w:pPr>
        <w:pStyle w:val="TM2"/>
        <w:tabs>
          <w:tab w:val="right" w:leader="dot" w:pos="10790"/>
        </w:tabs>
        <w:rPr>
          <w:rFonts w:eastAsia="Times New Roman"/>
          <w:noProof/>
          <w:sz w:val="22"/>
          <w:szCs w:val="22"/>
          <w:lang w:val="fr-CA" w:eastAsia="fr-CA"/>
        </w:rPr>
      </w:pPr>
      <w:hyperlink w:anchor="_Toc9961808" w:history="1">
        <w:r w:rsidR="00302BFE" w:rsidRPr="000C0195">
          <w:rPr>
            <w:rStyle w:val="Lienhypertexte"/>
            <w:noProof/>
          </w:rPr>
          <w:t>Annex H: Additional agreements: GEF OFP letter; LOA between UNDP and the Government of Burkina Faso for the provision of support services; Endorsement Letter for provision of project support services under national execution</w:t>
        </w:r>
        <w:r w:rsidR="00302BFE">
          <w:rPr>
            <w:noProof/>
            <w:webHidden/>
          </w:rPr>
          <w:tab/>
        </w:r>
        <w:r w:rsidR="00302BFE">
          <w:rPr>
            <w:noProof/>
            <w:webHidden/>
          </w:rPr>
          <w:fldChar w:fldCharType="begin"/>
        </w:r>
        <w:r w:rsidR="00302BFE">
          <w:rPr>
            <w:noProof/>
            <w:webHidden/>
          </w:rPr>
          <w:instrText xml:space="preserve"> PAGEREF _Toc9961808 \h </w:instrText>
        </w:r>
        <w:r w:rsidR="00302BFE">
          <w:rPr>
            <w:noProof/>
            <w:webHidden/>
          </w:rPr>
        </w:r>
        <w:r w:rsidR="00302BFE">
          <w:rPr>
            <w:noProof/>
            <w:webHidden/>
          </w:rPr>
          <w:fldChar w:fldCharType="separate"/>
        </w:r>
        <w:r w:rsidR="00EB5F3C">
          <w:rPr>
            <w:noProof/>
            <w:webHidden/>
          </w:rPr>
          <w:t>165</w:t>
        </w:r>
        <w:r w:rsidR="00302BFE">
          <w:rPr>
            <w:noProof/>
            <w:webHidden/>
          </w:rPr>
          <w:fldChar w:fldCharType="end"/>
        </w:r>
      </w:hyperlink>
    </w:p>
    <w:p w14:paraId="203D5273" w14:textId="15951D06" w:rsidR="00302BFE" w:rsidRPr="00603CA6" w:rsidRDefault="00000000" w:rsidP="00302BFE">
      <w:pPr>
        <w:pStyle w:val="TM2"/>
        <w:tabs>
          <w:tab w:val="right" w:leader="dot" w:pos="10790"/>
        </w:tabs>
        <w:rPr>
          <w:rFonts w:eastAsia="Times New Roman"/>
          <w:noProof/>
          <w:sz w:val="22"/>
          <w:szCs w:val="22"/>
          <w:lang w:val="fr-CA" w:eastAsia="fr-CA"/>
        </w:rPr>
      </w:pPr>
      <w:hyperlink w:anchor="_Toc9961809" w:history="1">
        <w:r w:rsidR="00302BFE" w:rsidRPr="000C0195">
          <w:rPr>
            <w:rStyle w:val="Lienhypertexte"/>
            <w:noProof/>
          </w:rPr>
          <w:t>Annex I. Target landscape profile</w:t>
        </w:r>
        <w:r w:rsidR="00302BFE">
          <w:rPr>
            <w:noProof/>
            <w:webHidden/>
          </w:rPr>
          <w:tab/>
        </w:r>
        <w:r w:rsidR="00302BFE">
          <w:rPr>
            <w:noProof/>
            <w:webHidden/>
          </w:rPr>
          <w:fldChar w:fldCharType="begin"/>
        </w:r>
        <w:r w:rsidR="00302BFE">
          <w:rPr>
            <w:noProof/>
            <w:webHidden/>
          </w:rPr>
          <w:instrText xml:space="preserve"> PAGEREF _Toc9961809 \h </w:instrText>
        </w:r>
        <w:r w:rsidR="00302BFE">
          <w:rPr>
            <w:noProof/>
            <w:webHidden/>
          </w:rPr>
        </w:r>
        <w:r w:rsidR="00302BFE">
          <w:rPr>
            <w:noProof/>
            <w:webHidden/>
          </w:rPr>
          <w:fldChar w:fldCharType="separate"/>
        </w:r>
        <w:r w:rsidR="00EB5F3C">
          <w:rPr>
            <w:noProof/>
            <w:webHidden/>
          </w:rPr>
          <w:t>166</w:t>
        </w:r>
        <w:r w:rsidR="00302BFE">
          <w:rPr>
            <w:noProof/>
            <w:webHidden/>
          </w:rPr>
          <w:fldChar w:fldCharType="end"/>
        </w:r>
      </w:hyperlink>
    </w:p>
    <w:p w14:paraId="6B90BCD9" w14:textId="1FA55491" w:rsidR="00302BFE" w:rsidRPr="00603CA6" w:rsidRDefault="00000000" w:rsidP="00302BFE">
      <w:pPr>
        <w:pStyle w:val="TM2"/>
        <w:tabs>
          <w:tab w:val="right" w:leader="dot" w:pos="10790"/>
        </w:tabs>
        <w:rPr>
          <w:rFonts w:eastAsia="Times New Roman"/>
          <w:noProof/>
          <w:sz w:val="22"/>
          <w:szCs w:val="22"/>
          <w:lang w:val="fr-CA" w:eastAsia="fr-CA"/>
        </w:rPr>
      </w:pPr>
      <w:hyperlink w:anchor="_Toc9961810" w:history="1">
        <w:r w:rsidR="00302BFE" w:rsidRPr="000C0195">
          <w:rPr>
            <w:rStyle w:val="Lienhypertexte"/>
            <w:noProof/>
          </w:rPr>
          <w:t>Annex J. Overview of the Protected Area system in Burkina Faso</w:t>
        </w:r>
        <w:r w:rsidR="00302BFE">
          <w:rPr>
            <w:noProof/>
            <w:webHidden/>
          </w:rPr>
          <w:tab/>
        </w:r>
        <w:r w:rsidR="00302BFE">
          <w:rPr>
            <w:noProof/>
            <w:webHidden/>
          </w:rPr>
          <w:fldChar w:fldCharType="begin"/>
        </w:r>
        <w:r w:rsidR="00302BFE">
          <w:rPr>
            <w:noProof/>
            <w:webHidden/>
          </w:rPr>
          <w:instrText xml:space="preserve"> PAGEREF _Toc9961810 \h </w:instrText>
        </w:r>
        <w:r w:rsidR="00302BFE">
          <w:rPr>
            <w:noProof/>
            <w:webHidden/>
          </w:rPr>
        </w:r>
        <w:r w:rsidR="00302BFE">
          <w:rPr>
            <w:noProof/>
            <w:webHidden/>
          </w:rPr>
          <w:fldChar w:fldCharType="separate"/>
        </w:r>
        <w:r w:rsidR="00EB5F3C">
          <w:rPr>
            <w:noProof/>
            <w:webHidden/>
          </w:rPr>
          <w:t>182</w:t>
        </w:r>
        <w:r w:rsidR="00302BFE">
          <w:rPr>
            <w:noProof/>
            <w:webHidden/>
          </w:rPr>
          <w:fldChar w:fldCharType="end"/>
        </w:r>
      </w:hyperlink>
    </w:p>
    <w:p w14:paraId="2AA9BE14" w14:textId="29E62F5F" w:rsidR="00302BFE" w:rsidRPr="00603CA6" w:rsidRDefault="00000000" w:rsidP="00302BFE">
      <w:pPr>
        <w:pStyle w:val="TM2"/>
        <w:tabs>
          <w:tab w:val="right" w:leader="dot" w:pos="10790"/>
        </w:tabs>
        <w:rPr>
          <w:rFonts w:eastAsia="Times New Roman"/>
          <w:noProof/>
          <w:sz w:val="22"/>
          <w:szCs w:val="22"/>
          <w:lang w:val="fr-CA" w:eastAsia="fr-CA"/>
        </w:rPr>
      </w:pPr>
      <w:hyperlink w:anchor="_Toc9961811" w:history="1">
        <w:r w:rsidR="00302BFE" w:rsidRPr="000C0195">
          <w:rPr>
            <w:rStyle w:val="Lienhypertexte"/>
            <w:noProof/>
          </w:rPr>
          <w:t>Annex K. State and community protected areas (Table a) and Community management zones for natural resources (Table b) in the PONASI landscape</w:t>
        </w:r>
        <w:r w:rsidR="00302BFE">
          <w:rPr>
            <w:noProof/>
            <w:webHidden/>
          </w:rPr>
          <w:tab/>
        </w:r>
        <w:r w:rsidR="00302BFE">
          <w:rPr>
            <w:noProof/>
            <w:webHidden/>
          </w:rPr>
          <w:fldChar w:fldCharType="begin"/>
        </w:r>
        <w:r w:rsidR="00302BFE">
          <w:rPr>
            <w:noProof/>
            <w:webHidden/>
          </w:rPr>
          <w:instrText xml:space="preserve"> PAGEREF _Toc9961811 \h </w:instrText>
        </w:r>
        <w:r w:rsidR="00302BFE">
          <w:rPr>
            <w:noProof/>
            <w:webHidden/>
          </w:rPr>
        </w:r>
        <w:r w:rsidR="00302BFE">
          <w:rPr>
            <w:noProof/>
            <w:webHidden/>
          </w:rPr>
          <w:fldChar w:fldCharType="separate"/>
        </w:r>
        <w:r w:rsidR="00EB5F3C">
          <w:rPr>
            <w:noProof/>
            <w:webHidden/>
          </w:rPr>
          <w:t>184</w:t>
        </w:r>
        <w:r w:rsidR="00302BFE">
          <w:rPr>
            <w:noProof/>
            <w:webHidden/>
          </w:rPr>
          <w:fldChar w:fldCharType="end"/>
        </w:r>
      </w:hyperlink>
    </w:p>
    <w:p w14:paraId="4CEDD8CF" w14:textId="5EE2C78A" w:rsidR="00302BFE" w:rsidRPr="00603CA6" w:rsidRDefault="00000000" w:rsidP="00302BFE">
      <w:pPr>
        <w:pStyle w:val="TM2"/>
        <w:tabs>
          <w:tab w:val="right" w:leader="dot" w:pos="10790"/>
        </w:tabs>
        <w:rPr>
          <w:rFonts w:eastAsia="Times New Roman"/>
          <w:noProof/>
          <w:sz w:val="22"/>
          <w:szCs w:val="22"/>
          <w:lang w:val="fr-CA" w:eastAsia="fr-CA"/>
        </w:rPr>
      </w:pPr>
      <w:hyperlink w:anchor="_Toc9961812" w:history="1">
        <w:r w:rsidR="00302BFE" w:rsidRPr="000C0195">
          <w:rPr>
            <w:rStyle w:val="Lienhypertexte"/>
            <w:noProof/>
          </w:rPr>
          <w:t>Annex L. Human-Wildlife Conflicts in the PONASI landscape and the SAFE Systems approach.</w:t>
        </w:r>
        <w:r w:rsidR="00302BFE">
          <w:rPr>
            <w:noProof/>
            <w:webHidden/>
          </w:rPr>
          <w:tab/>
        </w:r>
        <w:r w:rsidR="00302BFE">
          <w:rPr>
            <w:noProof/>
            <w:webHidden/>
          </w:rPr>
          <w:fldChar w:fldCharType="begin"/>
        </w:r>
        <w:r w:rsidR="00302BFE">
          <w:rPr>
            <w:noProof/>
            <w:webHidden/>
          </w:rPr>
          <w:instrText xml:space="preserve"> PAGEREF _Toc9961812 \h </w:instrText>
        </w:r>
        <w:r w:rsidR="00302BFE">
          <w:rPr>
            <w:noProof/>
            <w:webHidden/>
          </w:rPr>
        </w:r>
        <w:r w:rsidR="00302BFE">
          <w:rPr>
            <w:noProof/>
            <w:webHidden/>
          </w:rPr>
          <w:fldChar w:fldCharType="separate"/>
        </w:r>
        <w:r w:rsidR="00EB5F3C">
          <w:rPr>
            <w:noProof/>
            <w:webHidden/>
          </w:rPr>
          <w:t>186</w:t>
        </w:r>
        <w:r w:rsidR="00302BFE">
          <w:rPr>
            <w:noProof/>
            <w:webHidden/>
          </w:rPr>
          <w:fldChar w:fldCharType="end"/>
        </w:r>
      </w:hyperlink>
    </w:p>
    <w:p w14:paraId="5BA36B58" w14:textId="5AB33A77" w:rsidR="00302BFE" w:rsidRPr="00603CA6" w:rsidRDefault="00000000" w:rsidP="00302BFE">
      <w:pPr>
        <w:pStyle w:val="TM2"/>
        <w:tabs>
          <w:tab w:val="right" w:leader="dot" w:pos="10790"/>
        </w:tabs>
        <w:rPr>
          <w:rFonts w:eastAsia="Times New Roman"/>
          <w:noProof/>
          <w:sz w:val="22"/>
          <w:szCs w:val="22"/>
          <w:lang w:val="fr-CA" w:eastAsia="fr-CA"/>
        </w:rPr>
      </w:pPr>
      <w:hyperlink w:anchor="_Toc9961813" w:history="1">
        <w:r w:rsidR="00302BFE" w:rsidRPr="000C0195">
          <w:rPr>
            <w:rStyle w:val="Lienhypertexte"/>
            <w:noProof/>
            <w:lang w:val="en-CA"/>
          </w:rPr>
          <w:t>Annex M. People consulted during project development</w:t>
        </w:r>
        <w:r w:rsidR="00302BFE">
          <w:rPr>
            <w:noProof/>
            <w:webHidden/>
          </w:rPr>
          <w:tab/>
        </w:r>
        <w:r w:rsidR="00302BFE">
          <w:rPr>
            <w:noProof/>
            <w:webHidden/>
          </w:rPr>
          <w:fldChar w:fldCharType="begin"/>
        </w:r>
        <w:r w:rsidR="00302BFE">
          <w:rPr>
            <w:noProof/>
            <w:webHidden/>
          </w:rPr>
          <w:instrText xml:space="preserve"> PAGEREF _Toc9961813 \h </w:instrText>
        </w:r>
        <w:r w:rsidR="00302BFE">
          <w:rPr>
            <w:noProof/>
            <w:webHidden/>
          </w:rPr>
        </w:r>
        <w:r w:rsidR="00302BFE">
          <w:rPr>
            <w:noProof/>
            <w:webHidden/>
          </w:rPr>
          <w:fldChar w:fldCharType="separate"/>
        </w:r>
        <w:r w:rsidR="00EB5F3C">
          <w:rPr>
            <w:noProof/>
            <w:webHidden/>
          </w:rPr>
          <w:t>189</w:t>
        </w:r>
        <w:r w:rsidR="00302BFE">
          <w:rPr>
            <w:noProof/>
            <w:webHidden/>
          </w:rPr>
          <w:fldChar w:fldCharType="end"/>
        </w:r>
      </w:hyperlink>
    </w:p>
    <w:p w14:paraId="2759E942" w14:textId="55F83053" w:rsidR="00302BFE" w:rsidRPr="00603CA6" w:rsidRDefault="00000000" w:rsidP="00302BFE">
      <w:pPr>
        <w:pStyle w:val="TM2"/>
        <w:tabs>
          <w:tab w:val="right" w:leader="dot" w:pos="10790"/>
        </w:tabs>
        <w:rPr>
          <w:rFonts w:eastAsia="Times New Roman"/>
          <w:noProof/>
          <w:sz w:val="22"/>
          <w:szCs w:val="22"/>
          <w:lang w:val="fr-CA" w:eastAsia="fr-CA"/>
        </w:rPr>
      </w:pPr>
      <w:hyperlink w:anchor="_Toc9961814" w:history="1">
        <w:r w:rsidR="00302BFE" w:rsidRPr="000C0195">
          <w:rPr>
            <w:rStyle w:val="Lienhypertexte"/>
            <w:noProof/>
            <w:lang w:val="fr-CA"/>
          </w:rPr>
          <w:t>Annex N. Provisional Procurement Plan</w:t>
        </w:r>
        <w:r w:rsidR="00302BFE">
          <w:rPr>
            <w:noProof/>
            <w:webHidden/>
          </w:rPr>
          <w:tab/>
        </w:r>
        <w:r w:rsidR="00302BFE">
          <w:rPr>
            <w:noProof/>
            <w:webHidden/>
          </w:rPr>
          <w:fldChar w:fldCharType="begin"/>
        </w:r>
        <w:r w:rsidR="00302BFE">
          <w:rPr>
            <w:noProof/>
            <w:webHidden/>
          </w:rPr>
          <w:instrText xml:space="preserve"> PAGEREF _Toc9961814 \h </w:instrText>
        </w:r>
        <w:r w:rsidR="00302BFE">
          <w:rPr>
            <w:noProof/>
            <w:webHidden/>
          </w:rPr>
        </w:r>
        <w:r w:rsidR="00302BFE">
          <w:rPr>
            <w:noProof/>
            <w:webHidden/>
          </w:rPr>
          <w:fldChar w:fldCharType="separate"/>
        </w:r>
        <w:r w:rsidR="00EB5F3C">
          <w:rPr>
            <w:noProof/>
            <w:webHidden/>
          </w:rPr>
          <w:t>200</w:t>
        </w:r>
        <w:r w:rsidR="00302BFE">
          <w:rPr>
            <w:noProof/>
            <w:webHidden/>
          </w:rPr>
          <w:fldChar w:fldCharType="end"/>
        </w:r>
      </w:hyperlink>
    </w:p>
    <w:p w14:paraId="3F565E18" w14:textId="41B97D99" w:rsidR="00302BFE" w:rsidRPr="00603CA6" w:rsidRDefault="00000000" w:rsidP="00302BFE">
      <w:pPr>
        <w:pStyle w:val="TM2"/>
        <w:tabs>
          <w:tab w:val="right" w:leader="dot" w:pos="10790"/>
        </w:tabs>
        <w:rPr>
          <w:rFonts w:eastAsia="Times New Roman"/>
          <w:noProof/>
          <w:sz w:val="22"/>
          <w:szCs w:val="22"/>
          <w:lang w:val="fr-CA" w:eastAsia="fr-CA"/>
        </w:rPr>
      </w:pPr>
      <w:hyperlink w:anchor="_Toc9961815" w:history="1">
        <w:r w:rsidR="00302BFE" w:rsidRPr="000C0195">
          <w:rPr>
            <w:rStyle w:val="Lienhypertexte"/>
            <w:noProof/>
            <w:lang w:val="en-CA"/>
          </w:rPr>
          <w:t>Annex O. Calculations of Greenhouse Gas Emissions Mitigated</w:t>
        </w:r>
        <w:r w:rsidR="00302BFE">
          <w:rPr>
            <w:noProof/>
            <w:webHidden/>
          </w:rPr>
          <w:tab/>
        </w:r>
        <w:r w:rsidR="00302BFE">
          <w:rPr>
            <w:noProof/>
            <w:webHidden/>
          </w:rPr>
          <w:fldChar w:fldCharType="begin"/>
        </w:r>
        <w:r w:rsidR="00302BFE">
          <w:rPr>
            <w:noProof/>
            <w:webHidden/>
          </w:rPr>
          <w:instrText xml:space="preserve"> PAGEREF _Toc9961815 \h </w:instrText>
        </w:r>
        <w:r w:rsidR="00302BFE">
          <w:rPr>
            <w:noProof/>
            <w:webHidden/>
          </w:rPr>
        </w:r>
        <w:r w:rsidR="00302BFE">
          <w:rPr>
            <w:noProof/>
            <w:webHidden/>
          </w:rPr>
          <w:fldChar w:fldCharType="separate"/>
        </w:r>
        <w:r w:rsidR="00EB5F3C">
          <w:rPr>
            <w:noProof/>
            <w:webHidden/>
          </w:rPr>
          <w:t>202</w:t>
        </w:r>
        <w:r w:rsidR="00302BFE">
          <w:rPr>
            <w:noProof/>
            <w:webHidden/>
          </w:rPr>
          <w:fldChar w:fldCharType="end"/>
        </w:r>
      </w:hyperlink>
    </w:p>
    <w:p w14:paraId="6F64A5BE" w14:textId="1530B54E" w:rsidR="00302BFE" w:rsidRPr="00603CA6" w:rsidRDefault="00000000" w:rsidP="00302BFE">
      <w:pPr>
        <w:pStyle w:val="TM2"/>
        <w:tabs>
          <w:tab w:val="right" w:leader="dot" w:pos="10790"/>
        </w:tabs>
        <w:rPr>
          <w:rFonts w:eastAsia="Times New Roman"/>
          <w:noProof/>
          <w:sz w:val="22"/>
          <w:szCs w:val="22"/>
          <w:lang w:val="fr-CA" w:eastAsia="fr-CA"/>
        </w:rPr>
      </w:pPr>
      <w:hyperlink w:anchor="_Toc9961816" w:history="1">
        <w:r w:rsidR="00302BFE" w:rsidRPr="000C0195">
          <w:rPr>
            <w:rStyle w:val="Lienhypertexte"/>
            <w:noProof/>
            <w:lang w:val="en-CA"/>
          </w:rPr>
          <w:t>Annex P. Co-financing Letters</w:t>
        </w:r>
        <w:r w:rsidR="00302BFE">
          <w:rPr>
            <w:noProof/>
            <w:webHidden/>
          </w:rPr>
          <w:tab/>
        </w:r>
        <w:r w:rsidR="00302BFE">
          <w:rPr>
            <w:noProof/>
            <w:webHidden/>
          </w:rPr>
          <w:fldChar w:fldCharType="begin"/>
        </w:r>
        <w:r w:rsidR="00302BFE">
          <w:rPr>
            <w:noProof/>
            <w:webHidden/>
          </w:rPr>
          <w:instrText xml:space="preserve"> PAGEREF _Toc9961816 \h </w:instrText>
        </w:r>
        <w:r w:rsidR="00302BFE">
          <w:rPr>
            <w:noProof/>
            <w:webHidden/>
          </w:rPr>
        </w:r>
        <w:r w:rsidR="00302BFE">
          <w:rPr>
            <w:noProof/>
            <w:webHidden/>
          </w:rPr>
          <w:fldChar w:fldCharType="separate"/>
        </w:r>
        <w:r w:rsidR="00EB5F3C">
          <w:rPr>
            <w:noProof/>
            <w:webHidden/>
          </w:rPr>
          <w:t>203</w:t>
        </w:r>
        <w:r w:rsidR="00302BFE">
          <w:rPr>
            <w:noProof/>
            <w:webHidden/>
          </w:rPr>
          <w:fldChar w:fldCharType="end"/>
        </w:r>
      </w:hyperlink>
    </w:p>
    <w:p w14:paraId="033760DD" w14:textId="3947E6D1" w:rsidR="00302BFE" w:rsidRPr="00603CA6" w:rsidRDefault="00000000" w:rsidP="00302BFE">
      <w:pPr>
        <w:pStyle w:val="TM2"/>
        <w:tabs>
          <w:tab w:val="right" w:leader="dot" w:pos="10790"/>
        </w:tabs>
        <w:rPr>
          <w:rFonts w:eastAsia="Times New Roman"/>
          <w:noProof/>
          <w:sz w:val="22"/>
          <w:szCs w:val="22"/>
          <w:lang w:val="fr-CA" w:eastAsia="fr-CA"/>
        </w:rPr>
      </w:pPr>
      <w:hyperlink w:anchor="_Toc9961817" w:history="1">
        <w:r w:rsidR="00302BFE" w:rsidRPr="000C0195">
          <w:rPr>
            <w:rStyle w:val="Lienhypertexte"/>
            <w:noProof/>
            <w:lang w:val="en-CA"/>
          </w:rPr>
          <w:t>Annex Q: Capacity Development Scorecard</w:t>
        </w:r>
        <w:r w:rsidR="00302BFE">
          <w:rPr>
            <w:noProof/>
            <w:webHidden/>
          </w:rPr>
          <w:tab/>
        </w:r>
        <w:r w:rsidR="00302BFE">
          <w:rPr>
            <w:noProof/>
            <w:webHidden/>
          </w:rPr>
          <w:fldChar w:fldCharType="begin"/>
        </w:r>
        <w:r w:rsidR="00302BFE">
          <w:rPr>
            <w:noProof/>
            <w:webHidden/>
          </w:rPr>
          <w:instrText xml:space="preserve"> PAGEREF _Toc9961817 \h </w:instrText>
        </w:r>
        <w:r w:rsidR="00302BFE">
          <w:rPr>
            <w:noProof/>
            <w:webHidden/>
          </w:rPr>
        </w:r>
        <w:r w:rsidR="00302BFE">
          <w:rPr>
            <w:noProof/>
            <w:webHidden/>
          </w:rPr>
          <w:fldChar w:fldCharType="separate"/>
        </w:r>
        <w:r w:rsidR="00EB5F3C">
          <w:rPr>
            <w:noProof/>
            <w:webHidden/>
          </w:rPr>
          <w:t>204</w:t>
        </w:r>
        <w:r w:rsidR="00302BFE">
          <w:rPr>
            <w:noProof/>
            <w:webHidden/>
          </w:rPr>
          <w:fldChar w:fldCharType="end"/>
        </w:r>
      </w:hyperlink>
    </w:p>
    <w:p w14:paraId="4496161C" w14:textId="186D3648" w:rsidR="007854F2" w:rsidRDefault="00302BFE" w:rsidP="00302BFE">
      <w:pPr>
        <w:tabs>
          <w:tab w:val="left" w:pos="1185"/>
        </w:tabs>
        <w:spacing w:before="240" w:after="120"/>
        <w:jc w:val="left"/>
        <w:rPr>
          <w:rFonts w:cs="Arial"/>
          <w:b/>
          <w:sz w:val="22"/>
          <w:szCs w:val="22"/>
        </w:rPr>
      </w:pPr>
      <w:r w:rsidRPr="0003763F">
        <w:rPr>
          <w:b/>
          <w:bCs/>
          <w:noProof/>
          <w:szCs w:val="20"/>
        </w:rPr>
        <w:fldChar w:fldCharType="end"/>
      </w:r>
    </w:p>
    <w:p w14:paraId="0827BD45" w14:textId="77777777" w:rsidR="007854F2" w:rsidRDefault="007854F2" w:rsidP="00302BFE">
      <w:pPr>
        <w:tabs>
          <w:tab w:val="left" w:pos="1185"/>
        </w:tabs>
        <w:spacing w:before="240" w:after="120"/>
        <w:jc w:val="left"/>
        <w:rPr>
          <w:rFonts w:cs="Arial"/>
          <w:b/>
          <w:sz w:val="22"/>
          <w:szCs w:val="22"/>
        </w:rPr>
      </w:pPr>
    </w:p>
    <w:p w14:paraId="1CE14261" w14:textId="77777777" w:rsidR="007854F2" w:rsidRDefault="007854F2" w:rsidP="00302BFE">
      <w:pPr>
        <w:tabs>
          <w:tab w:val="left" w:pos="1185"/>
        </w:tabs>
        <w:spacing w:before="240" w:after="120"/>
        <w:jc w:val="left"/>
        <w:rPr>
          <w:rFonts w:cs="Arial"/>
          <w:b/>
          <w:sz w:val="22"/>
          <w:szCs w:val="22"/>
        </w:rPr>
      </w:pPr>
    </w:p>
    <w:p w14:paraId="3B0CB3CE" w14:textId="77777777" w:rsidR="007854F2" w:rsidRDefault="007854F2" w:rsidP="00302BFE">
      <w:pPr>
        <w:tabs>
          <w:tab w:val="left" w:pos="1185"/>
        </w:tabs>
        <w:spacing w:before="240" w:after="120"/>
        <w:jc w:val="left"/>
        <w:rPr>
          <w:rFonts w:cs="Arial"/>
          <w:b/>
          <w:sz w:val="22"/>
          <w:szCs w:val="22"/>
        </w:rPr>
      </w:pPr>
    </w:p>
    <w:p w14:paraId="3E700470" w14:textId="77777777" w:rsidR="007854F2" w:rsidRDefault="007854F2" w:rsidP="00302BFE">
      <w:pPr>
        <w:tabs>
          <w:tab w:val="left" w:pos="1185"/>
        </w:tabs>
        <w:spacing w:before="240" w:after="120"/>
        <w:jc w:val="left"/>
        <w:rPr>
          <w:rFonts w:cs="Arial"/>
          <w:b/>
          <w:sz w:val="22"/>
          <w:szCs w:val="22"/>
        </w:rPr>
      </w:pPr>
    </w:p>
    <w:p w14:paraId="0FCC8B3C" w14:textId="77777777" w:rsidR="007854F2" w:rsidRDefault="007854F2" w:rsidP="00302BFE">
      <w:pPr>
        <w:tabs>
          <w:tab w:val="left" w:pos="1185"/>
        </w:tabs>
        <w:spacing w:before="240" w:after="120"/>
        <w:jc w:val="left"/>
        <w:rPr>
          <w:rFonts w:cs="Arial"/>
          <w:b/>
          <w:sz w:val="22"/>
          <w:szCs w:val="22"/>
        </w:rPr>
      </w:pPr>
    </w:p>
    <w:p w14:paraId="50ADD1D3" w14:textId="6A671639" w:rsidR="00302BFE" w:rsidRPr="00661BE7" w:rsidRDefault="00302BFE" w:rsidP="00302BFE">
      <w:pPr>
        <w:tabs>
          <w:tab w:val="left" w:pos="1185"/>
        </w:tabs>
        <w:spacing w:before="240" w:after="120"/>
        <w:jc w:val="left"/>
        <w:rPr>
          <w:rFonts w:cs="Arial"/>
          <w:b/>
          <w:sz w:val="22"/>
          <w:szCs w:val="22"/>
        </w:rPr>
      </w:pPr>
      <w:r>
        <w:rPr>
          <w:rFonts w:cs="Arial"/>
          <w:b/>
          <w:sz w:val="22"/>
          <w:szCs w:val="22"/>
        </w:rPr>
        <w:lastRenderedPageBreak/>
        <w:t>L</w:t>
      </w:r>
      <w:r w:rsidRPr="00661BE7">
        <w:rPr>
          <w:rFonts w:cs="Arial"/>
          <w:b/>
          <w:sz w:val="22"/>
          <w:szCs w:val="22"/>
        </w:rPr>
        <w:t>ist of tables and figures</w:t>
      </w:r>
      <w:r>
        <w:rPr>
          <w:rFonts w:cs="Arial"/>
          <w:b/>
          <w:sz w:val="22"/>
          <w:szCs w:val="22"/>
        </w:rPr>
        <w:t xml:space="preserve"> </w:t>
      </w:r>
      <w:r w:rsidRPr="00D2401A">
        <w:rPr>
          <w:rFonts w:cs="Arial"/>
          <w:sz w:val="22"/>
          <w:szCs w:val="22"/>
        </w:rPr>
        <w:t>(excluding annexes)</w:t>
      </w:r>
    </w:p>
    <w:p w14:paraId="3757603F" w14:textId="77777777" w:rsidR="00302BFE" w:rsidRDefault="00302BFE" w:rsidP="00302BFE">
      <w:pPr>
        <w:tabs>
          <w:tab w:val="left" w:pos="1185"/>
        </w:tabs>
        <w:spacing w:before="120" w:after="120"/>
        <w:jc w:val="left"/>
        <w:rPr>
          <w:b/>
          <w:noProof/>
          <w:szCs w:val="20"/>
        </w:rPr>
      </w:pPr>
      <w:r w:rsidRPr="00CB2536">
        <w:rPr>
          <w:b/>
          <w:noProof/>
          <w:szCs w:val="20"/>
        </w:rPr>
        <w:t xml:space="preserve">Table 1. </w:t>
      </w:r>
      <w:r w:rsidRPr="00CB2536">
        <w:rPr>
          <w:b/>
          <w:lang w:val="en-CA"/>
        </w:rPr>
        <w:t>State and community protected areas in the PONASI landscape</w:t>
      </w:r>
    </w:p>
    <w:p w14:paraId="2E142D80" w14:textId="77777777" w:rsidR="00302BFE" w:rsidRDefault="00302BFE" w:rsidP="00302BFE">
      <w:pPr>
        <w:tabs>
          <w:tab w:val="left" w:pos="1185"/>
        </w:tabs>
        <w:spacing w:before="120" w:after="120"/>
        <w:jc w:val="left"/>
        <w:rPr>
          <w:b/>
          <w:noProof/>
          <w:szCs w:val="20"/>
        </w:rPr>
      </w:pPr>
      <w:r>
        <w:rPr>
          <w:b/>
          <w:noProof/>
          <w:szCs w:val="20"/>
        </w:rPr>
        <w:t>Table 2. Characteristics of legal instruments for tourism operations in protected areas</w:t>
      </w:r>
    </w:p>
    <w:p w14:paraId="57224E75" w14:textId="77777777" w:rsidR="00302BFE" w:rsidRDefault="00302BFE" w:rsidP="00302BFE">
      <w:pPr>
        <w:tabs>
          <w:tab w:val="left" w:pos="1185"/>
        </w:tabs>
        <w:spacing w:before="120" w:after="120"/>
        <w:jc w:val="left"/>
        <w:rPr>
          <w:b/>
          <w:szCs w:val="20"/>
          <w:lang w:val="en-GB"/>
        </w:rPr>
      </w:pPr>
      <w:r>
        <w:rPr>
          <w:b/>
          <w:szCs w:val="20"/>
          <w:lang w:val="en-GB"/>
        </w:rPr>
        <w:t>Figure 1. Protected Areas of the PONASI Complex</w:t>
      </w:r>
    </w:p>
    <w:p w14:paraId="5A28B8DE" w14:textId="77777777" w:rsidR="00302BFE" w:rsidRDefault="00302BFE" w:rsidP="00302BFE">
      <w:pPr>
        <w:tabs>
          <w:tab w:val="left" w:pos="1185"/>
        </w:tabs>
        <w:spacing w:before="120" w:after="120"/>
        <w:jc w:val="left"/>
        <w:rPr>
          <w:b/>
          <w:noProof/>
          <w:szCs w:val="20"/>
        </w:rPr>
      </w:pPr>
      <w:r>
        <w:rPr>
          <w:b/>
          <w:szCs w:val="20"/>
        </w:rPr>
        <w:t xml:space="preserve">Figure 2. Flow diagram for deciding the type of legal instrument to use </w:t>
      </w:r>
      <w:r>
        <w:rPr>
          <w:b/>
          <w:noProof/>
          <w:szCs w:val="20"/>
        </w:rPr>
        <w:t>for tourism operations in protected areas</w:t>
      </w:r>
    </w:p>
    <w:p w14:paraId="6748F8BC" w14:textId="77777777" w:rsidR="00302BFE" w:rsidRDefault="00302BFE" w:rsidP="00302BFE">
      <w:pPr>
        <w:tabs>
          <w:tab w:val="left" w:pos="1185"/>
        </w:tabs>
        <w:spacing w:before="120" w:after="120"/>
        <w:jc w:val="left"/>
        <w:rPr>
          <w:b/>
          <w:szCs w:val="20"/>
          <w:lang w:val="en-CA"/>
        </w:rPr>
      </w:pPr>
      <w:r w:rsidRPr="00D2401A">
        <w:rPr>
          <w:b/>
          <w:szCs w:val="20"/>
          <w:lang w:val="en-CA"/>
        </w:rPr>
        <w:t xml:space="preserve">Figure 3. </w:t>
      </w:r>
      <w:r>
        <w:rPr>
          <w:b/>
          <w:szCs w:val="20"/>
          <w:lang w:val="en-CA"/>
        </w:rPr>
        <w:t>Security situation in Burkina Faso in February 2019</w:t>
      </w:r>
    </w:p>
    <w:p w14:paraId="087FE85D" w14:textId="77777777" w:rsidR="007854F2" w:rsidRDefault="00302BFE" w:rsidP="007854F2">
      <w:pPr>
        <w:tabs>
          <w:tab w:val="left" w:pos="1185"/>
        </w:tabs>
        <w:spacing w:before="120" w:after="120"/>
        <w:jc w:val="left"/>
        <w:rPr>
          <w:b/>
          <w:szCs w:val="20"/>
          <w:lang w:val="en-CA"/>
        </w:rPr>
      </w:pPr>
      <w:r w:rsidRPr="00D2401A">
        <w:rPr>
          <w:b/>
          <w:szCs w:val="20"/>
        </w:rPr>
        <w:t xml:space="preserve">Figure 4. </w:t>
      </w:r>
      <w:r w:rsidRPr="00D2401A">
        <w:rPr>
          <w:b/>
          <w:szCs w:val="20"/>
          <w:lang w:val="en-CA"/>
        </w:rPr>
        <w:t>Provisional map of planned developments at PNKT</w:t>
      </w:r>
    </w:p>
    <w:p w14:paraId="1A99FBCA" w14:textId="77777777" w:rsidR="007854F2" w:rsidRDefault="007854F2" w:rsidP="007854F2">
      <w:pPr>
        <w:tabs>
          <w:tab w:val="left" w:pos="1185"/>
        </w:tabs>
        <w:spacing w:before="120" w:after="120"/>
        <w:jc w:val="left"/>
        <w:rPr>
          <w:b/>
          <w:szCs w:val="20"/>
          <w:lang w:val="en-CA"/>
        </w:rPr>
      </w:pPr>
    </w:p>
    <w:p w14:paraId="109BC6BE" w14:textId="2E01EAD0" w:rsidR="00302BFE" w:rsidRPr="00661BE7" w:rsidRDefault="00302BFE" w:rsidP="007854F2">
      <w:pPr>
        <w:tabs>
          <w:tab w:val="left" w:pos="1185"/>
        </w:tabs>
        <w:spacing w:before="120" w:after="120"/>
        <w:jc w:val="left"/>
        <w:rPr>
          <w:rFonts w:cs="Arial"/>
          <w:b/>
          <w:sz w:val="22"/>
          <w:szCs w:val="22"/>
        </w:rPr>
      </w:pPr>
      <w:r w:rsidRPr="00633F0E">
        <w:rPr>
          <w:rFonts w:cs="Arial"/>
          <w:b/>
          <w:sz w:val="22"/>
          <w:szCs w:val="22"/>
        </w:rPr>
        <w:t>List of acronyms and abbreviations</w:t>
      </w:r>
    </w:p>
    <w:tbl>
      <w:tblPr>
        <w:tblW w:w="10598" w:type="dxa"/>
        <w:jc w:val="center"/>
        <w:tblBorders>
          <w:bottom w:val="single" w:sz="4" w:space="0" w:color="auto"/>
        </w:tblBorders>
        <w:tblLook w:val="04A0" w:firstRow="1" w:lastRow="0" w:firstColumn="1" w:lastColumn="0" w:noHBand="0" w:noVBand="1"/>
      </w:tblPr>
      <w:tblGrid>
        <w:gridCol w:w="1203"/>
        <w:gridCol w:w="9395"/>
      </w:tblGrid>
      <w:tr w:rsidR="00302BFE" w:rsidRPr="00FA2ACE" w14:paraId="412433D0" w14:textId="77777777" w:rsidTr="00243B15">
        <w:trPr>
          <w:trHeight w:val="20"/>
          <w:jc w:val="center"/>
        </w:trPr>
        <w:tc>
          <w:tcPr>
            <w:tcW w:w="1203" w:type="dxa"/>
            <w:tcBorders>
              <w:bottom w:val="nil"/>
              <w:right w:val="nil"/>
            </w:tcBorders>
            <w:shd w:val="clear" w:color="auto" w:fill="auto"/>
          </w:tcPr>
          <w:p w14:paraId="43241A33"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sz w:val="20"/>
                <w:szCs w:val="20"/>
                <w:lang w:val="en-CA"/>
              </w:rPr>
              <w:t>AfDB</w:t>
            </w:r>
          </w:p>
        </w:tc>
        <w:tc>
          <w:tcPr>
            <w:tcW w:w="9395" w:type="dxa"/>
            <w:tcBorders>
              <w:left w:val="nil"/>
              <w:bottom w:val="nil"/>
            </w:tcBorders>
            <w:shd w:val="clear" w:color="auto" w:fill="auto"/>
          </w:tcPr>
          <w:p w14:paraId="5B0DF2B0"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African Development Bank</w:t>
            </w:r>
          </w:p>
        </w:tc>
      </w:tr>
      <w:tr w:rsidR="00302BFE" w:rsidRPr="00FA2ACE" w14:paraId="6AA571E0" w14:textId="77777777" w:rsidTr="00243B15">
        <w:trPr>
          <w:trHeight w:val="20"/>
          <w:jc w:val="center"/>
        </w:trPr>
        <w:tc>
          <w:tcPr>
            <w:tcW w:w="1203" w:type="dxa"/>
            <w:tcBorders>
              <w:bottom w:val="nil"/>
              <w:right w:val="nil"/>
            </w:tcBorders>
            <w:shd w:val="clear" w:color="auto" w:fill="auto"/>
          </w:tcPr>
          <w:p w14:paraId="24E47F4B" w14:textId="77777777" w:rsidR="00302BFE" w:rsidRPr="00FA2ACE" w:rsidRDefault="00302BFE" w:rsidP="00243B15">
            <w:pPr>
              <w:pStyle w:val="Sansinterligne"/>
              <w:rPr>
                <w:rFonts w:asciiTheme="minorHAnsi" w:hAnsiTheme="minorHAnsi"/>
                <w:sz w:val="20"/>
                <w:szCs w:val="20"/>
                <w:lang w:val="en-CA"/>
              </w:rPr>
            </w:pPr>
            <w:r w:rsidRPr="00FA2ACE">
              <w:rPr>
                <w:rFonts w:asciiTheme="minorHAnsi" w:hAnsiTheme="minorHAnsi"/>
                <w:sz w:val="20"/>
                <w:szCs w:val="20"/>
                <w:lang w:val="en-CA"/>
              </w:rPr>
              <w:t>ANR</w:t>
            </w:r>
          </w:p>
        </w:tc>
        <w:tc>
          <w:tcPr>
            <w:tcW w:w="9395" w:type="dxa"/>
            <w:tcBorders>
              <w:left w:val="nil"/>
              <w:bottom w:val="nil"/>
            </w:tcBorders>
            <w:shd w:val="clear" w:color="auto" w:fill="auto"/>
          </w:tcPr>
          <w:p w14:paraId="6CF413B8"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Assisted Natural Regeneration</w:t>
            </w:r>
          </w:p>
        </w:tc>
      </w:tr>
      <w:tr w:rsidR="00302BFE" w:rsidRPr="00FA2ACE" w14:paraId="4FB4AB83" w14:textId="77777777" w:rsidTr="00243B15">
        <w:trPr>
          <w:trHeight w:val="20"/>
          <w:jc w:val="center"/>
        </w:trPr>
        <w:tc>
          <w:tcPr>
            <w:tcW w:w="1203" w:type="dxa"/>
            <w:tcBorders>
              <w:bottom w:val="nil"/>
              <w:right w:val="nil"/>
            </w:tcBorders>
            <w:shd w:val="clear" w:color="auto" w:fill="auto"/>
          </w:tcPr>
          <w:p w14:paraId="680E9E47" w14:textId="77777777" w:rsidR="00302BFE" w:rsidRPr="00FA2ACE" w:rsidRDefault="00302BFE" w:rsidP="00243B15">
            <w:pPr>
              <w:pStyle w:val="Sansinterligne"/>
              <w:rPr>
                <w:rFonts w:asciiTheme="minorHAnsi" w:hAnsiTheme="minorHAnsi"/>
                <w:sz w:val="20"/>
                <w:szCs w:val="20"/>
                <w:lang w:val="en-CA"/>
              </w:rPr>
            </w:pPr>
            <w:r w:rsidRPr="00FA2ACE">
              <w:rPr>
                <w:rFonts w:asciiTheme="minorHAnsi" w:hAnsiTheme="minorHAnsi" w:cs="Calibri"/>
                <w:sz w:val="20"/>
                <w:szCs w:val="20"/>
              </w:rPr>
              <w:t>AWHDA</w:t>
            </w:r>
          </w:p>
        </w:tc>
        <w:tc>
          <w:tcPr>
            <w:tcW w:w="9395" w:type="dxa"/>
            <w:tcBorders>
              <w:left w:val="nil"/>
              <w:bottom w:val="nil"/>
            </w:tcBorders>
            <w:shd w:val="clear" w:color="auto" w:fill="auto"/>
          </w:tcPr>
          <w:p w14:paraId="13DAE5F5" w14:textId="77777777" w:rsidR="00302BFE" w:rsidRPr="00FA2ACE" w:rsidRDefault="00302BFE" w:rsidP="00243B15">
            <w:pPr>
              <w:pStyle w:val="Sansinterligne"/>
              <w:rPr>
                <w:rFonts w:asciiTheme="minorHAnsi" w:hAnsiTheme="minorHAnsi" w:cs="Calibri"/>
                <w:sz w:val="20"/>
                <w:szCs w:val="20"/>
                <w:lang w:val="en-CA"/>
              </w:rPr>
            </w:pPr>
            <w:r w:rsidRPr="00FA2ACE">
              <w:rPr>
                <w:rFonts w:asciiTheme="minorHAnsi" w:hAnsiTheme="minorHAnsi" w:cs="Calibri"/>
                <w:sz w:val="20"/>
                <w:szCs w:val="20"/>
              </w:rPr>
              <w:t>African Wildlife Husbandry Development Association</w:t>
            </w:r>
          </w:p>
        </w:tc>
      </w:tr>
      <w:tr w:rsidR="00302BFE" w:rsidRPr="00AB47BD" w14:paraId="2A586865" w14:textId="77777777" w:rsidTr="00243B15">
        <w:trPr>
          <w:trHeight w:val="20"/>
          <w:jc w:val="center"/>
        </w:trPr>
        <w:tc>
          <w:tcPr>
            <w:tcW w:w="1203" w:type="dxa"/>
            <w:tcBorders>
              <w:bottom w:val="nil"/>
              <w:right w:val="nil"/>
            </w:tcBorders>
            <w:shd w:val="clear" w:color="auto" w:fill="auto"/>
          </w:tcPr>
          <w:p w14:paraId="6124B3AE"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CAF</w:t>
            </w:r>
          </w:p>
        </w:tc>
        <w:tc>
          <w:tcPr>
            <w:tcW w:w="9395" w:type="dxa"/>
            <w:tcBorders>
              <w:left w:val="nil"/>
              <w:bottom w:val="nil"/>
            </w:tcBorders>
            <w:shd w:val="clear" w:color="auto" w:fill="auto"/>
          </w:tcPr>
          <w:p w14:paraId="580DF40C"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Forest Management Site (</w:t>
            </w:r>
            <w:r w:rsidRPr="00FA2ACE">
              <w:rPr>
                <w:rFonts w:asciiTheme="minorHAnsi" w:hAnsiTheme="minorHAnsi" w:cs="Calibri"/>
                <w:i/>
                <w:sz w:val="20"/>
                <w:szCs w:val="20"/>
                <w:lang w:val="fr-CA"/>
              </w:rPr>
              <w:t>Chantier d’Aménagement Forestier</w:t>
            </w:r>
            <w:r w:rsidRPr="00FA2ACE">
              <w:rPr>
                <w:rFonts w:asciiTheme="minorHAnsi" w:hAnsiTheme="minorHAnsi" w:cs="Calibri"/>
                <w:sz w:val="20"/>
                <w:szCs w:val="20"/>
                <w:lang w:val="fr-CA"/>
              </w:rPr>
              <w:t>)</w:t>
            </w:r>
          </w:p>
        </w:tc>
      </w:tr>
      <w:tr w:rsidR="00302BFE" w:rsidRPr="00FA2ACE" w14:paraId="6109C84F" w14:textId="77777777" w:rsidTr="00243B15">
        <w:trPr>
          <w:trHeight w:val="20"/>
          <w:jc w:val="center"/>
        </w:trPr>
        <w:tc>
          <w:tcPr>
            <w:tcW w:w="1203" w:type="dxa"/>
            <w:tcBorders>
              <w:bottom w:val="nil"/>
              <w:right w:val="nil"/>
            </w:tcBorders>
            <w:shd w:val="clear" w:color="auto" w:fill="auto"/>
          </w:tcPr>
          <w:p w14:paraId="1CA9C415"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CBD</w:t>
            </w:r>
          </w:p>
        </w:tc>
        <w:tc>
          <w:tcPr>
            <w:tcW w:w="9395" w:type="dxa"/>
            <w:tcBorders>
              <w:left w:val="nil"/>
              <w:bottom w:val="nil"/>
            </w:tcBorders>
            <w:shd w:val="clear" w:color="auto" w:fill="auto"/>
          </w:tcPr>
          <w:p w14:paraId="37D427DB"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 xml:space="preserve">Convention for </w:t>
            </w:r>
            <w:proofErr w:type="spellStart"/>
            <w:r w:rsidRPr="00FA2ACE">
              <w:rPr>
                <w:rFonts w:asciiTheme="minorHAnsi" w:hAnsiTheme="minorHAnsi" w:cs="Calibri"/>
                <w:sz w:val="20"/>
                <w:szCs w:val="20"/>
                <w:lang w:val="fr-CA"/>
              </w:rPr>
              <w:t>Biological</w:t>
            </w:r>
            <w:proofErr w:type="spellEnd"/>
            <w:r w:rsidRPr="00FA2ACE">
              <w:rPr>
                <w:rFonts w:asciiTheme="minorHAnsi" w:hAnsiTheme="minorHAnsi" w:cs="Calibri"/>
                <w:sz w:val="20"/>
                <w:szCs w:val="20"/>
                <w:lang w:val="fr-CA"/>
              </w:rPr>
              <w:t xml:space="preserve"> Diversity </w:t>
            </w:r>
          </w:p>
        </w:tc>
      </w:tr>
      <w:tr w:rsidR="00302BFE" w:rsidRPr="00AB47BD" w14:paraId="7CE53578" w14:textId="77777777" w:rsidTr="00243B15">
        <w:trPr>
          <w:trHeight w:val="20"/>
          <w:jc w:val="center"/>
        </w:trPr>
        <w:tc>
          <w:tcPr>
            <w:tcW w:w="1203" w:type="dxa"/>
            <w:tcBorders>
              <w:bottom w:val="nil"/>
              <w:right w:val="nil"/>
            </w:tcBorders>
            <w:shd w:val="clear" w:color="auto" w:fill="auto"/>
          </w:tcPr>
          <w:p w14:paraId="4F56710A"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CECI</w:t>
            </w:r>
          </w:p>
        </w:tc>
        <w:tc>
          <w:tcPr>
            <w:tcW w:w="9395" w:type="dxa"/>
            <w:tcBorders>
              <w:left w:val="nil"/>
              <w:bottom w:val="nil"/>
            </w:tcBorders>
            <w:shd w:val="clear" w:color="auto" w:fill="auto"/>
          </w:tcPr>
          <w:p w14:paraId="423B6D84"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 xml:space="preserve">Center for </w:t>
            </w:r>
            <w:proofErr w:type="spellStart"/>
            <w:r w:rsidRPr="00FA2ACE">
              <w:rPr>
                <w:rFonts w:asciiTheme="minorHAnsi" w:hAnsiTheme="minorHAnsi" w:cs="Calibri"/>
                <w:sz w:val="20"/>
                <w:szCs w:val="20"/>
                <w:lang w:val="fr-CA"/>
              </w:rPr>
              <w:t>Studies</w:t>
            </w:r>
            <w:proofErr w:type="spellEnd"/>
            <w:r w:rsidRPr="00FA2ACE">
              <w:rPr>
                <w:rFonts w:asciiTheme="minorHAnsi" w:hAnsiTheme="minorHAnsi" w:cs="Calibri"/>
                <w:sz w:val="20"/>
                <w:szCs w:val="20"/>
                <w:lang w:val="fr-CA"/>
              </w:rPr>
              <w:t xml:space="preserve"> and International </w:t>
            </w:r>
            <w:proofErr w:type="spellStart"/>
            <w:r w:rsidRPr="00FA2ACE">
              <w:rPr>
                <w:rFonts w:asciiTheme="minorHAnsi" w:hAnsiTheme="minorHAnsi" w:cs="Calibri"/>
                <w:sz w:val="20"/>
                <w:szCs w:val="20"/>
                <w:lang w:val="fr-CA"/>
              </w:rPr>
              <w:t>Cooperation</w:t>
            </w:r>
            <w:proofErr w:type="spellEnd"/>
            <w:r w:rsidRPr="00FA2ACE">
              <w:rPr>
                <w:rFonts w:asciiTheme="minorHAnsi" w:hAnsiTheme="minorHAnsi" w:cs="Calibri"/>
                <w:sz w:val="20"/>
                <w:szCs w:val="20"/>
                <w:lang w:val="fr-CA"/>
              </w:rPr>
              <w:t xml:space="preserve"> (</w:t>
            </w:r>
            <w:r w:rsidRPr="00FA2ACE">
              <w:rPr>
                <w:rFonts w:asciiTheme="minorHAnsi" w:hAnsiTheme="minorHAnsi" w:cs="Calibri"/>
                <w:i/>
                <w:sz w:val="20"/>
                <w:szCs w:val="20"/>
                <w:lang w:val="fr-CA"/>
              </w:rPr>
              <w:t>Centre d'étude et de Coopération Internationale</w:t>
            </w:r>
            <w:r w:rsidRPr="00FA2ACE">
              <w:rPr>
                <w:rFonts w:asciiTheme="minorHAnsi" w:hAnsiTheme="minorHAnsi" w:cs="Calibri"/>
                <w:sz w:val="20"/>
                <w:szCs w:val="20"/>
                <w:lang w:val="fr-CA"/>
              </w:rPr>
              <w:t>)</w:t>
            </w:r>
          </w:p>
        </w:tc>
      </w:tr>
      <w:tr w:rsidR="00302BFE" w:rsidRPr="00FA2ACE" w14:paraId="6BBF9B0A" w14:textId="77777777" w:rsidTr="00243B15">
        <w:trPr>
          <w:trHeight w:val="20"/>
          <w:jc w:val="center"/>
        </w:trPr>
        <w:tc>
          <w:tcPr>
            <w:tcW w:w="1203" w:type="dxa"/>
            <w:tcBorders>
              <w:bottom w:val="nil"/>
              <w:right w:val="nil"/>
            </w:tcBorders>
            <w:shd w:val="clear" w:color="auto" w:fill="auto"/>
          </w:tcPr>
          <w:p w14:paraId="0041389B"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CF</w:t>
            </w:r>
          </w:p>
        </w:tc>
        <w:tc>
          <w:tcPr>
            <w:tcW w:w="9395" w:type="dxa"/>
            <w:tcBorders>
              <w:left w:val="nil"/>
              <w:bottom w:val="nil"/>
            </w:tcBorders>
            <w:shd w:val="clear" w:color="auto" w:fill="auto"/>
          </w:tcPr>
          <w:p w14:paraId="61253719"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Classified Forest</w:t>
            </w:r>
          </w:p>
        </w:tc>
      </w:tr>
      <w:tr w:rsidR="00302BFE" w:rsidRPr="00FA2ACE" w14:paraId="06238D5B" w14:textId="77777777" w:rsidTr="00243B15">
        <w:trPr>
          <w:trHeight w:val="20"/>
          <w:jc w:val="center"/>
        </w:trPr>
        <w:tc>
          <w:tcPr>
            <w:tcW w:w="1203" w:type="dxa"/>
            <w:tcBorders>
              <w:bottom w:val="nil"/>
              <w:right w:val="nil"/>
            </w:tcBorders>
            <w:shd w:val="clear" w:color="auto" w:fill="auto"/>
          </w:tcPr>
          <w:p w14:paraId="30ABB882"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CITES</w:t>
            </w:r>
          </w:p>
        </w:tc>
        <w:tc>
          <w:tcPr>
            <w:tcW w:w="9395" w:type="dxa"/>
            <w:tcBorders>
              <w:left w:val="nil"/>
              <w:bottom w:val="nil"/>
            </w:tcBorders>
            <w:shd w:val="clear" w:color="auto" w:fill="auto"/>
          </w:tcPr>
          <w:p w14:paraId="46D22007" w14:textId="77777777" w:rsidR="00302BFE" w:rsidRPr="00FA2ACE" w:rsidRDefault="00302BFE" w:rsidP="00243B15">
            <w:pPr>
              <w:pStyle w:val="Sansinterligne"/>
              <w:rPr>
                <w:rFonts w:asciiTheme="minorHAnsi" w:hAnsiTheme="minorHAnsi" w:cs="Calibri"/>
                <w:sz w:val="20"/>
                <w:szCs w:val="20"/>
                <w:lang w:val="en-CA"/>
              </w:rPr>
            </w:pPr>
            <w:r w:rsidRPr="00FA2ACE">
              <w:rPr>
                <w:rFonts w:asciiTheme="minorHAnsi" w:hAnsiTheme="minorHAnsi" w:cs="Calibri"/>
                <w:sz w:val="20"/>
                <w:szCs w:val="20"/>
                <w:lang w:val="en-CA"/>
              </w:rPr>
              <w:t>Convention on International Trade in Endangered Species of Wild Fauna and Flora</w:t>
            </w:r>
          </w:p>
        </w:tc>
      </w:tr>
      <w:tr w:rsidR="00302BFE" w:rsidRPr="00AB47BD" w14:paraId="435A8E5F" w14:textId="77777777" w:rsidTr="00243B15">
        <w:trPr>
          <w:trHeight w:val="20"/>
          <w:jc w:val="center"/>
        </w:trPr>
        <w:tc>
          <w:tcPr>
            <w:tcW w:w="1203" w:type="dxa"/>
            <w:tcBorders>
              <w:bottom w:val="nil"/>
              <w:right w:val="nil"/>
            </w:tcBorders>
            <w:shd w:val="clear" w:color="auto" w:fill="auto"/>
          </w:tcPr>
          <w:p w14:paraId="1CF28340"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sz w:val="20"/>
                <w:szCs w:val="20"/>
                <w:lang w:val="en-GB"/>
              </w:rPr>
              <w:t>COPAGEN</w:t>
            </w:r>
          </w:p>
        </w:tc>
        <w:tc>
          <w:tcPr>
            <w:tcW w:w="9395" w:type="dxa"/>
            <w:tcBorders>
              <w:left w:val="nil"/>
              <w:bottom w:val="nil"/>
            </w:tcBorders>
            <w:shd w:val="clear" w:color="auto" w:fill="auto"/>
          </w:tcPr>
          <w:p w14:paraId="1EA1E1A7"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 xml:space="preserve">Coalition for </w:t>
            </w:r>
            <w:proofErr w:type="spellStart"/>
            <w:r w:rsidRPr="00FA2ACE">
              <w:rPr>
                <w:rFonts w:asciiTheme="minorHAnsi" w:hAnsiTheme="minorHAnsi" w:cs="Calibri"/>
                <w:sz w:val="20"/>
                <w:szCs w:val="20"/>
                <w:lang w:val="fr-CA"/>
              </w:rPr>
              <w:t>Safeguarding</w:t>
            </w:r>
            <w:proofErr w:type="spellEnd"/>
            <w:r w:rsidRPr="00FA2ACE">
              <w:rPr>
                <w:rFonts w:asciiTheme="minorHAnsi" w:hAnsiTheme="minorHAnsi" w:cs="Calibri"/>
                <w:sz w:val="20"/>
                <w:szCs w:val="20"/>
                <w:lang w:val="fr-CA"/>
              </w:rPr>
              <w:t xml:space="preserve"> </w:t>
            </w:r>
            <w:proofErr w:type="spellStart"/>
            <w:r w:rsidRPr="00FA2ACE">
              <w:rPr>
                <w:rFonts w:asciiTheme="minorHAnsi" w:hAnsiTheme="minorHAnsi" w:cs="Calibri"/>
                <w:sz w:val="20"/>
                <w:szCs w:val="20"/>
                <w:lang w:val="fr-CA"/>
              </w:rPr>
              <w:t>African</w:t>
            </w:r>
            <w:proofErr w:type="spellEnd"/>
            <w:r w:rsidRPr="00FA2ACE">
              <w:rPr>
                <w:rFonts w:asciiTheme="minorHAnsi" w:hAnsiTheme="minorHAnsi" w:cs="Calibri"/>
                <w:sz w:val="20"/>
                <w:szCs w:val="20"/>
                <w:lang w:val="fr-CA"/>
              </w:rPr>
              <w:t xml:space="preserve"> </w:t>
            </w:r>
            <w:proofErr w:type="spellStart"/>
            <w:r w:rsidRPr="00FA2ACE">
              <w:rPr>
                <w:rFonts w:asciiTheme="minorHAnsi" w:hAnsiTheme="minorHAnsi" w:cs="Calibri"/>
                <w:sz w:val="20"/>
                <w:szCs w:val="20"/>
                <w:lang w:val="fr-CA"/>
              </w:rPr>
              <w:t>Genetic</w:t>
            </w:r>
            <w:proofErr w:type="spellEnd"/>
            <w:r w:rsidRPr="00FA2ACE">
              <w:rPr>
                <w:rFonts w:asciiTheme="minorHAnsi" w:hAnsiTheme="minorHAnsi" w:cs="Calibri"/>
                <w:sz w:val="20"/>
                <w:szCs w:val="20"/>
                <w:lang w:val="fr-CA"/>
              </w:rPr>
              <w:t xml:space="preserve"> </w:t>
            </w:r>
            <w:proofErr w:type="spellStart"/>
            <w:r w:rsidRPr="00FA2ACE">
              <w:rPr>
                <w:rFonts w:asciiTheme="minorHAnsi" w:hAnsiTheme="minorHAnsi" w:cs="Calibri"/>
                <w:sz w:val="20"/>
                <w:szCs w:val="20"/>
                <w:lang w:val="fr-CA"/>
              </w:rPr>
              <w:t>Heritage</w:t>
            </w:r>
            <w:proofErr w:type="spellEnd"/>
            <w:r w:rsidRPr="00FA2ACE">
              <w:rPr>
                <w:rFonts w:asciiTheme="minorHAnsi" w:hAnsiTheme="minorHAnsi" w:cs="Calibri"/>
                <w:sz w:val="20"/>
                <w:szCs w:val="20"/>
                <w:lang w:val="fr-CA"/>
              </w:rPr>
              <w:t xml:space="preserve"> (</w:t>
            </w:r>
            <w:r w:rsidRPr="00FA2ACE">
              <w:rPr>
                <w:rFonts w:asciiTheme="minorHAnsi" w:hAnsiTheme="minorHAnsi" w:cs="Calibri"/>
                <w:i/>
                <w:sz w:val="20"/>
                <w:szCs w:val="20"/>
                <w:lang w:val="fr-CA"/>
              </w:rPr>
              <w:t>Coalition pour la sauvegarde du patrimoine génétique</w:t>
            </w:r>
            <w:r w:rsidRPr="00FA2ACE">
              <w:rPr>
                <w:rFonts w:asciiTheme="minorHAnsi" w:hAnsiTheme="minorHAnsi" w:cs="Calibri"/>
                <w:sz w:val="20"/>
                <w:szCs w:val="20"/>
                <w:lang w:val="fr-CA"/>
              </w:rPr>
              <w:t xml:space="preserve"> </w:t>
            </w:r>
            <w:r w:rsidRPr="00FA2ACE">
              <w:rPr>
                <w:rFonts w:asciiTheme="minorHAnsi" w:hAnsiTheme="minorHAnsi" w:cs="Calibri"/>
                <w:i/>
                <w:sz w:val="20"/>
                <w:szCs w:val="20"/>
                <w:lang w:val="fr-CA"/>
              </w:rPr>
              <w:t>africain</w:t>
            </w:r>
            <w:r w:rsidRPr="00FA2ACE">
              <w:rPr>
                <w:rFonts w:asciiTheme="minorHAnsi" w:hAnsiTheme="minorHAnsi" w:cs="Calibri"/>
                <w:sz w:val="20"/>
                <w:szCs w:val="20"/>
                <w:lang w:val="fr-CA"/>
              </w:rPr>
              <w:t>)</w:t>
            </w:r>
          </w:p>
        </w:tc>
      </w:tr>
      <w:tr w:rsidR="00302BFE" w:rsidRPr="00FA2ACE" w14:paraId="41EE962E" w14:textId="77777777" w:rsidTr="00243B15">
        <w:trPr>
          <w:trHeight w:val="20"/>
          <w:jc w:val="center"/>
        </w:trPr>
        <w:tc>
          <w:tcPr>
            <w:tcW w:w="1203" w:type="dxa"/>
            <w:tcBorders>
              <w:bottom w:val="nil"/>
              <w:right w:val="nil"/>
            </w:tcBorders>
            <w:shd w:val="clear" w:color="auto" w:fill="auto"/>
          </w:tcPr>
          <w:p w14:paraId="0414B007"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CPP</w:t>
            </w:r>
          </w:p>
        </w:tc>
        <w:tc>
          <w:tcPr>
            <w:tcW w:w="9395" w:type="dxa"/>
            <w:tcBorders>
              <w:left w:val="nil"/>
              <w:bottom w:val="nil"/>
            </w:tcBorders>
            <w:shd w:val="clear" w:color="auto" w:fill="auto"/>
          </w:tcPr>
          <w:p w14:paraId="28B1A408" w14:textId="77777777" w:rsidR="00302BFE" w:rsidRPr="00FA2ACE" w:rsidRDefault="00302BFE" w:rsidP="00243B15">
            <w:pPr>
              <w:pStyle w:val="Sansinterligne"/>
              <w:rPr>
                <w:rFonts w:asciiTheme="minorHAnsi" w:hAnsiTheme="minorHAnsi" w:cs="Calibri"/>
                <w:sz w:val="20"/>
                <w:szCs w:val="20"/>
                <w:lang w:val="en-CA"/>
              </w:rPr>
            </w:pPr>
            <w:r w:rsidRPr="00FA2ACE">
              <w:rPr>
                <w:rFonts w:asciiTheme="minorHAnsi" w:hAnsiTheme="minorHAnsi" w:cs="Calibri"/>
                <w:sz w:val="20"/>
                <w:szCs w:val="20"/>
                <w:lang w:val="en-CA"/>
              </w:rPr>
              <w:t xml:space="preserve">Country </w:t>
            </w:r>
            <w:r w:rsidR="00D27B19" w:rsidRPr="00FA2ACE">
              <w:rPr>
                <w:rFonts w:asciiTheme="minorHAnsi" w:hAnsiTheme="minorHAnsi" w:cs="Calibri"/>
                <w:sz w:val="20"/>
                <w:szCs w:val="20"/>
                <w:lang w:val="en-CA"/>
              </w:rPr>
              <w:t xml:space="preserve">Pilot </w:t>
            </w:r>
            <w:r w:rsidRPr="00FA2ACE">
              <w:rPr>
                <w:rFonts w:asciiTheme="minorHAnsi" w:hAnsiTheme="minorHAnsi" w:cs="Calibri"/>
                <w:sz w:val="20"/>
                <w:szCs w:val="20"/>
                <w:lang w:val="en-CA"/>
              </w:rPr>
              <w:t>Partnership for Sustainable Land Management</w:t>
            </w:r>
          </w:p>
        </w:tc>
      </w:tr>
      <w:tr w:rsidR="00302BFE" w:rsidRPr="00FA2ACE" w14:paraId="2DD06ABE" w14:textId="77777777" w:rsidTr="00243B15">
        <w:trPr>
          <w:trHeight w:val="20"/>
          <w:jc w:val="center"/>
        </w:trPr>
        <w:tc>
          <w:tcPr>
            <w:tcW w:w="1203" w:type="dxa"/>
            <w:tcBorders>
              <w:bottom w:val="nil"/>
              <w:right w:val="nil"/>
            </w:tcBorders>
            <w:shd w:val="clear" w:color="auto" w:fill="auto"/>
          </w:tcPr>
          <w:p w14:paraId="7904434A"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en-CA"/>
              </w:rPr>
              <w:t>CREMA</w:t>
            </w:r>
          </w:p>
        </w:tc>
        <w:tc>
          <w:tcPr>
            <w:tcW w:w="9395" w:type="dxa"/>
            <w:tcBorders>
              <w:left w:val="nil"/>
              <w:bottom w:val="nil"/>
            </w:tcBorders>
            <w:shd w:val="clear" w:color="auto" w:fill="auto"/>
          </w:tcPr>
          <w:p w14:paraId="33967342" w14:textId="77777777" w:rsidR="00302BFE" w:rsidRPr="00FA2ACE" w:rsidRDefault="00302BFE" w:rsidP="00243B15">
            <w:pPr>
              <w:pStyle w:val="Sansinterligne"/>
              <w:rPr>
                <w:rFonts w:asciiTheme="minorHAnsi" w:hAnsiTheme="minorHAnsi" w:cs="Calibri"/>
                <w:sz w:val="20"/>
                <w:szCs w:val="20"/>
                <w:lang w:val="en-CA"/>
              </w:rPr>
            </w:pPr>
            <w:r w:rsidRPr="00FA2ACE">
              <w:rPr>
                <w:rFonts w:asciiTheme="minorHAnsi" w:hAnsiTheme="minorHAnsi" w:cs="Calibri"/>
                <w:sz w:val="20"/>
                <w:szCs w:val="20"/>
                <w:lang w:val="en-CA"/>
              </w:rPr>
              <w:t>Community resource management areas (Ghana)</w:t>
            </w:r>
          </w:p>
        </w:tc>
      </w:tr>
      <w:tr w:rsidR="00302BFE" w:rsidRPr="00FA2ACE" w14:paraId="6B89151E" w14:textId="77777777" w:rsidTr="00243B15">
        <w:trPr>
          <w:trHeight w:val="20"/>
          <w:jc w:val="center"/>
        </w:trPr>
        <w:tc>
          <w:tcPr>
            <w:tcW w:w="1203" w:type="dxa"/>
            <w:tcBorders>
              <w:bottom w:val="nil"/>
              <w:right w:val="nil"/>
            </w:tcBorders>
            <w:shd w:val="clear" w:color="auto" w:fill="auto"/>
          </w:tcPr>
          <w:p w14:paraId="2F9BC49B"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CSA</w:t>
            </w:r>
          </w:p>
        </w:tc>
        <w:tc>
          <w:tcPr>
            <w:tcW w:w="9395" w:type="dxa"/>
            <w:tcBorders>
              <w:left w:val="nil"/>
              <w:bottom w:val="nil"/>
            </w:tcBorders>
            <w:shd w:val="clear" w:color="auto" w:fill="auto"/>
          </w:tcPr>
          <w:p w14:paraId="05D23006" w14:textId="77777777" w:rsidR="00302BFE" w:rsidRPr="00FA2ACE" w:rsidRDefault="00302BFE" w:rsidP="00243B15">
            <w:pPr>
              <w:pStyle w:val="Sansinterligne"/>
              <w:rPr>
                <w:rFonts w:asciiTheme="minorHAnsi" w:hAnsiTheme="minorHAnsi" w:cs="Calibri"/>
                <w:sz w:val="20"/>
                <w:szCs w:val="20"/>
                <w:lang w:val="en-CA"/>
              </w:rPr>
            </w:pPr>
            <w:r w:rsidRPr="00FA2ACE">
              <w:rPr>
                <w:rFonts w:asciiTheme="minorHAnsi" w:hAnsiTheme="minorHAnsi" w:cs="Calibri"/>
                <w:sz w:val="20"/>
                <w:szCs w:val="20"/>
                <w:lang w:val="en-CA"/>
              </w:rPr>
              <w:t>Climate-Smart Agriculture</w:t>
            </w:r>
          </w:p>
        </w:tc>
      </w:tr>
      <w:tr w:rsidR="00302BFE" w:rsidRPr="00FA2ACE" w14:paraId="4D7C7AC6" w14:textId="77777777" w:rsidTr="00243B15">
        <w:trPr>
          <w:trHeight w:val="20"/>
          <w:jc w:val="center"/>
        </w:trPr>
        <w:tc>
          <w:tcPr>
            <w:tcW w:w="1203" w:type="dxa"/>
            <w:tcBorders>
              <w:bottom w:val="nil"/>
              <w:right w:val="nil"/>
            </w:tcBorders>
            <w:shd w:val="clear" w:color="auto" w:fill="auto"/>
          </w:tcPr>
          <w:p w14:paraId="36B104DF" w14:textId="77777777" w:rsidR="00175FC8" w:rsidRDefault="00175FC8" w:rsidP="00243B15">
            <w:pPr>
              <w:pStyle w:val="Sansinterligne"/>
              <w:rPr>
                <w:rFonts w:asciiTheme="minorHAnsi" w:hAnsiTheme="minorHAnsi" w:cs="Calibri"/>
                <w:sz w:val="20"/>
                <w:szCs w:val="20"/>
              </w:rPr>
            </w:pPr>
            <w:r>
              <w:rPr>
                <w:rFonts w:asciiTheme="minorHAnsi" w:hAnsiTheme="minorHAnsi" w:cs="Calibri"/>
                <w:sz w:val="20"/>
                <w:szCs w:val="20"/>
              </w:rPr>
              <w:t>CSEP</w:t>
            </w:r>
          </w:p>
          <w:p w14:paraId="04FC0FEC" w14:textId="661E6261"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CSO</w:t>
            </w:r>
          </w:p>
        </w:tc>
        <w:tc>
          <w:tcPr>
            <w:tcW w:w="9395" w:type="dxa"/>
            <w:tcBorders>
              <w:left w:val="nil"/>
              <w:bottom w:val="nil"/>
            </w:tcBorders>
            <w:shd w:val="clear" w:color="auto" w:fill="auto"/>
          </w:tcPr>
          <w:p w14:paraId="742A0A34" w14:textId="12A3BB26" w:rsidR="00175FC8" w:rsidRDefault="00175FC8" w:rsidP="00243B15">
            <w:pPr>
              <w:pStyle w:val="Sansinterligne"/>
              <w:rPr>
                <w:rFonts w:asciiTheme="minorHAnsi" w:hAnsiTheme="minorHAnsi" w:cs="Calibri"/>
                <w:sz w:val="20"/>
                <w:szCs w:val="20"/>
                <w:lang w:val="en-CA"/>
              </w:rPr>
            </w:pPr>
            <w:r>
              <w:rPr>
                <w:rFonts w:asciiTheme="minorHAnsi" w:hAnsiTheme="minorHAnsi" w:cs="Calibri"/>
                <w:sz w:val="20"/>
                <w:szCs w:val="20"/>
                <w:lang w:val="en-CA"/>
              </w:rPr>
              <w:t>Comprehensive Stakeholder Engagement Plan</w:t>
            </w:r>
          </w:p>
          <w:p w14:paraId="54FB7320" w14:textId="4014AC7D" w:rsidR="00302BFE" w:rsidRPr="00FA2ACE" w:rsidRDefault="00302BFE" w:rsidP="00243B15">
            <w:pPr>
              <w:pStyle w:val="Sansinterligne"/>
              <w:rPr>
                <w:rFonts w:asciiTheme="minorHAnsi" w:hAnsiTheme="minorHAnsi" w:cs="Calibri"/>
                <w:sz w:val="20"/>
                <w:szCs w:val="20"/>
                <w:lang w:val="en-CA"/>
              </w:rPr>
            </w:pPr>
            <w:r w:rsidRPr="00FA2ACE">
              <w:rPr>
                <w:rFonts w:asciiTheme="minorHAnsi" w:hAnsiTheme="minorHAnsi" w:cs="Calibri"/>
                <w:sz w:val="20"/>
                <w:szCs w:val="20"/>
                <w:lang w:val="en-CA"/>
              </w:rPr>
              <w:t>Civil Society Organization</w:t>
            </w:r>
          </w:p>
        </w:tc>
      </w:tr>
      <w:tr w:rsidR="00302BFE" w:rsidRPr="00AB47BD" w14:paraId="7E5D28A6" w14:textId="77777777" w:rsidTr="00243B15">
        <w:trPr>
          <w:trHeight w:val="20"/>
          <w:jc w:val="center"/>
        </w:trPr>
        <w:tc>
          <w:tcPr>
            <w:tcW w:w="1203" w:type="dxa"/>
            <w:tcBorders>
              <w:bottom w:val="nil"/>
              <w:right w:val="nil"/>
            </w:tcBorders>
            <w:shd w:val="clear" w:color="auto" w:fill="auto"/>
          </w:tcPr>
          <w:p w14:paraId="3B7EEA34"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CVD</w:t>
            </w:r>
          </w:p>
        </w:tc>
        <w:tc>
          <w:tcPr>
            <w:tcW w:w="9395" w:type="dxa"/>
            <w:tcBorders>
              <w:left w:val="nil"/>
              <w:bottom w:val="nil"/>
            </w:tcBorders>
            <w:shd w:val="clear" w:color="auto" w:fill="auto"/>
          </w:tcPr>
          <w:p w14:paraId="0EEB926D"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 xml:space="preserve">Village </w:t>
            </w:r>
            <w:proofErr w:type="spellStart"/>
            <w:r w:rsidRPr="00FA2ACE">
              <w:rPr>
                <w:rFonts w:asciiTheme="minorHAnsi" w:hAnsiTheme="minorHAnsi" w:cs="Calibri"/>
                <w:sz w:val="20"/>
                <w:szCs w:val="20"/>
                <w:lang w:val="fr-CA"/>
              </w:rPr>
              <w:t>Development</w:t>
            </w:r>
            <w:proofErr w:type="spellEnd"/>
            <w:r w:rsidRPr="00FA2ACE">
              <w:rPr>
                <w:rFonts w:asciiTheme="minorHAnsi" w:hAnsiTheme="minorHAnsi" w:cs="Calibri"/>
                <w:sz w:val="20"/>
                <w:szCs w:val="20"/>
                <w:lang w:val="fr-CA"/>
              </w:rPr>
              <w:t xml:space="preserve"> </w:t>
            </w:r>
            <w:proofErr w:type="spellStart"/>
            <w:r w:rsidRPr="00FA2ACE">
              <w:rPr>
                <w:rFonts w:asciiTheme="minorHAnsi" w:hAnsiTheme="minorHAnsi" w:cs="Calibri"/>
                <w:sz w:val="20"/>
                <w:szCs w:val="20"/>
                <w:lang w:val="fr-CA"/>
              </w:rPr>
              <w:t>Committee</w:t>
            </w:r>
            <w:proofErr w:type="spellEnd"/>
            <w:r w:rsidRPr="00FA2ACE">
              <w:rPr>
                <w:rFonts w:asciiTheme="minorHAnsi" w:hAnsiTheme="minorHAnsi" w:cs="Calibri"/>
                <w:sz w:val="20"/>
                <w:szCs w:val="20"/>
                <w:lang w:val="fr-CA"/>
              </w:rPr>
              <w:t xml:space="preserve"> (</w:t>
            </w:r>
            <w:r w:rsidRPr="00FA2ACE">
              <w:rPr>
                <w:rFonts w:asciiTheme="minorHAnsi" w:hAnsiTheme="minorHAnsi" w:cs="Calibri"/>
                <w:i/>
                <w:sz w:val="20"/>
                <w:szCs w:val="20"/>
                <w:lang w:val="fr-CA"/>
              </w:rPr>
              <w:t>Comité Villageois de Développement</w:t>
            </w:r>
            <w:r w:rsidRPr="00FA2ACE">
              <w:rPr>
                <w:rFonts w:asciiTheme="minorHAnsi" w:hAnsiTheme="minorHAnsi" w:cs="Calibri"/>
                <w:sz w:val="20"/>
                <w:szCs w:val="20"/>
                <w:lang w:val="fr-CA"/>
              </w:rPr>
              <w:t>)</w:t>
            </w:r>
          </w:p>
        </w:tc>
      </w:tr>
      <w:tr w:rsidR="00302BFE" w:rsidRPr="00AB47BD" w14:paraId="576E6D1C" w14:textId="77777777" w:rsidTr="00243B15">
        <w:trPr>
          <w:trHeight w:val="20"/>
          <w:jc w:val="center"/>
        </w:trPr>
        <w:tc>
          <w:tcPr>
            <w:tcW w:w="1203" w:type="dxa"/>
            <w:tcBorders>
              <w:bottom w:val="nil"/>
              <w:right w:val="nil"/>
            </w:tcBorders>
            <w:shd w:val="clear" w:color="auto" w:fill="auto"/>
          </w:tcPr>
          <w:p w14:paraId="56ED6C54"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CVGF</w:t>
            </w:r>
          </w:p>
        </w:tc>
        <w:tc>
          <w:tcPr>
            <w:tcW w:w="9395" w:type="dxa"/>
            <w:tcBorders>
              <w:left w:val="nil"/>
              <w:bottom w:val="nil"/>
            </w:tcBorders>
            <w:shd w:val="clear" w:color="auto" w:fill="auto"/>
          </w:tcPr>
          <w:p w14:paraId="6D61AE73" w14:textId="77777777" w:rsidR="00302BFE" w:rsidRPr="00FA2ACE" w:rsidRDefault="00302BFE" w:rsidP="00243B15">
            <w:pPr>
              <w:pStyle w:val="Sansinterligne"/>
              <w:rPr>
                <w:rFonts w:asciiTheme="minorHAnsi" w:hAnsiTheme="minorHAnsi" w:cs="Calibri"/>
                <w:i/>
                <w:sz w:val="20"/>
                <w:szCs w:val="20"/>
                <w:lang w:val="fr-CA"/>
              </w:rPr>
            </w:pPr>
            <w:r w:rsidRPr="00FA2ACE">
              <w:rPr>
                <w:rFonts w:asciiTheme="minorHAnsi" w:hAnsiTheme="minorHAnsi" w:cs="Calibri"/>
                <w:sz w:val="20"/>
                <w:szCs w:val="20"/>
                <w:lang w:val="fr-CA"/>
              </w:rPr>
              <w:t xml:space="preserve">Village Management </w:t>
            </w:r>
            <w:proofErr w:type="spellStart"/>
            <w:r w:rsidRPr="00FA2ACE">
              <w:rPr>
                <w:rFonts w:asciiTheme="minorHAnsi" w:hAnsiTheme="minorHAnsi" w:cs="Calibri"/>
                <w:sz w:val="20"/>
                <w:szCs w:val="20"/>
                <w:lang w:val="fr-CA"/>
              </w:rPr>
              <w:t>Committee</w:t>
            </w:r>
            <w:proofErr w:type="spellEnd"/>
            <w:r w:rsidRPr="00FA2ACE">
              <w:rPr>
                <w:rFonts w:asciiTheme="minorHAnsi" w:hAnsiTheme="minorHAnsi" w:cs="Calibri"/>
                <w:sz w:val="20"/>
                <w:szCs w:val="20"/>
                <w:lang w:val="fr-CA"/>
              </w:rPr>
              <w:t xml:space="preserve"> for </w:t>
            </w:r>
            <w:proofErr w:type="spellStart"/>
            <w:r w:rsidRPr="00FA2ACE">
              <w:rPr>
                <w:rFonts w:asciiTheme="minorHAnsi" w:hAnsiTheme="minorHAnsi" w:cs="Calibri"/>
                <w:sz w:val="20"/>
                <w:szCs w:val="20"/>
                <w:lang w:val="fr-CA"/>
              </w:rPr>
              <w:t>Wildlife</w:t>
            </w:r>
            <w:proofErr w:type="spellEnd"/>
            <w:r w:rsidRPr="00FA2ACE">
              <w:rPr>
                <w:rFonts w:asciiTheme="minorHAnsi" w:hAnsiTheme="minorHAnsi" w:cs="Calibri"/>
                <w:sz w:val="20"/>
                <w:szCs w:val="20"/>
                <w:lang w:val="fr-CA"/>
              </w:rPr>
              <w:t xml:space="preserve"> (</w:t>
            </w:r>
            <w:r w:rsidRPr="00FA2ACE">
              <w:rPr>
                <w:rFonts w:asciiTheme="minorHAnsi" w:hAnsiTheme="minorHAnsi" w:cs="Calibri"/>
                <w:i/>
                <w:sz w:val="20"/>
                <w:szCs w:val="20"/>
                <w:lang w:val="fr-CA"/>
              </w:rPr>
              <w:t>Comité Villageois de Gestion de la Faune</w:t>
            </w:r>
            <w:r w:rsidRPr="00FA2ACE">
              <w:rPr>
                <w:rFonts w:asciiTheme="minorHAnsi" w:hAnsiTheme="minorHAnsi" w:cs="Calibri"/>
                <w:sz w:val="20"/>
                <w:szCs w:val="20"/>
                <w:lang w:val="fr-CA"/>
              </w:rPr>
              <w:t>)</w:t>
            </w:r>
          </w:p>
        </w:tc>
      </w:tr>
      <w:tr w:rsidR="00302BFE" w:rsidRPr="00AB47BD" w14:paraId="106F041B" w14:textId="77777777" w:rsidTr="00243B15">
        <w:trPr>
          <w:trHeight w:val="63"/>
          <w:jc w:val="center"/>
        </w:trPr>
        <w:tc>
          <w:tcPr>
            <w:tcW w:w="1203" w:type="dxa"/>
            <w:tcBorders>
              <w:bottom w:val="nil"/>
              <w:right w:val="nil"/>
            </w:tcBorders>
            <w:shd w:val="clear" w:color="auto" w:fill="auto"/>
          </w:tcPr>
          <w:p w14:paraId="425CA469"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DFRC</w:t>
            </w:r>
          </w:p>
        </w:tc>
        <w:tc>
          <w:tcPr>
            <w:tcW w:w="9395" w:type="dxa"/>
            <w:tcBorders>
              <w:left w:val="nil"/>
              <w:bottom w:val="nil"/>
            </w:tcBorders>
            <w:shd w:val="clear" w:color="auto" w:fill="auto"/>
          </w:tcPr>
          <w:p w14:paraId="771C36CB"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 xml:space="preserve">Direction of </w:t>
            </w:r>
            <w:proofErr w:type="spellStart"/>
            <w:r w:rsidRPr="00FA2ACE">
              <w:rPr>
                <w:rFonts w:asciiTheme="minorHAnsi" w:hAnsiTheme="minorHAnsi" w:cs="Calibri"/>
                <w:sz w:val="20"/>
                <w:szCs w:val="20"/>
                <w:lang w:val="fr-CA"/>
              </w:rPr>
              <w:t>Wildlife</w:t>
            </w:r>
            <w:proofErr w:type="spellEnd"/>
            <w:r w:rsidRPr="00FA2ACE">
              <w:rPr>
                <w:rFonts w:asciiTheme="minorHAnsi" w:hAnsiTheme="minorHAnsi" w:cs="Calibri"/>
                <w:sz w:val="20"/>
                <w:szCs w:val="20"/>
                <w:lang w:val="fr-CA"/>
              </w:rPr>
              <w:t xml:space="preserve"> and Hunting (</w:t>
            </w:r>
            <w:r w:rsidRPr="00FA2ACE">
              <w:rPr>
                <w:rFonts w:asciiTheme="minorHAnsi" w:hAnsiTheme="minorHAnsi" w:cs="Calibri"/>
                <w:i/>
                <w:sz w:val="20"/>
                <w:szCs w:val="20"/>
                <w:lang w:val="fr-CA"/>
              </w:rPr>
              <w:t>Direction de la Faune et des Ressources Cynégétiques</w:t>
            </w:r>
            <w:r w:rsidRPr="00FA2ACE">
              <w:rPr>
                <w:rFonts w:asciiTheme="minorHAnsi" w:hAnsiTheme="minorHAnsi" w:cs="Calibri"/>
                <w:sz w:val="20"/>
                <w:szCs w:val="20"/>
                <w:lang w:val="fr-CA"/>
              </w:rPr>
              <w:t>)</w:t>
            </w:r>
          </w:p>
        </w:tc>
      </w:tr>
      <w:tr w:rsidR="00302BFE" w:rsidRPr="00FA2ACE" w14:paraId="6C6D3F6B" w14:textId="77777777" w:rsidTr="00243B15">
        <w:trPr>
          <w:trHeight w:val="20"/>
          <w:jc w:val="center"/>
        </w:trPr>
        <w:tc>
          <w:tcPr>
            <w:tcW w:w="1203" w:type="dxa"/>
            <w:tcBorders>
              <w:bottom w:val="nil"/>
              <w:right w:val="nil"/>
            </w:tcBorders>
            <w:shd w:val="clear" w:color="auto" w:fill="auto"/>
          </w:tcPr>
          <w:p w14:paraId="0DFD4B1D" w14:textId="77777777" w:rsidR="00302BFE" w:rsidRPr="00FA2ACE" w:rsidRDefault="00302BFE" w:rsidP="00243B15">
            <w:pPr>
              <w:pStyle w:val="Sansinterligne"/>
              <w:rPr>
                <w:rFonts w:asciiTheme="minorHAnsi" w:hAnsiTheme="minorHAnsi" w:cs="Calibri"/>
                <w:sz w:val="20"/>
                <w:szCs w:val="20"/>
              </w:rPr>
            </w:pPr>
            <w:proofErr w:type="spellStart"/>
            <w:r w:rsidRPr="00FA2ACE">
              <w:rPr>
                <w:rFonts w:asciiTheme="minorHAnsi" w:hAnsiTheme="minorHAnsi" w:cs="Calibri"/>
                <w:sz w:val="20"/>
                <w:szCs w:val="20"/>
              </w:rPr>
              <w:t>DiFor</w:t>
            </w:r>
            <w:proofErr w:type="spellEnd"/>
          </w:p>
        </w:tc>
        <w:tc>
          <w:tcPr>
            <w:tcW w:w="9395" w:type="dxa"/>
            <w:tcBorders>
              <w:left w:val="nil"/>
              <w:bottom w:val="nil"/>
            </w:tcBorders>
            <w:shd w:val="clear" w:color="auto" w:fill="auto"/>
          </w:tcPr>
          <w:p w14:paraId="49376011"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Directorate of Forests</w:t>
            </w:r>
          </w:p>
        </w:tc>
      </w:tr>
      <w:tr w:rsidR="00302BFE" w:rsidRPr="00FA2ACE" w14:paraId="1618E794" w14:textId="77777777" w:rsidTr="00243B15">
        <w:trPr>
          <w:trHeight w:val="20"/>
          <w:jc w:val="center"/>
        </w:trPr>
        <w:tc>
          <w:tcPr>
            <w:tcW w:w="1203" w:type="dxa"/>
            <w:tcBorders>
              <w:bottom w:val="nil"/>
              <w:right w:val="nil"/>
            </w:tcBorders>
            <w:shd w:val="clear" w:color="auto" w:fill="auto"/>
          </w:tcPr>
          <w:p w14:paraId="3626E482"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DGEF</w:t>
            </w:r>
          </w:p>
        </w:tc>
        <w:tc>
          <w:tcPr>
            <w:tcW w:w="9395" w:type="dxa"/>
            <w:tcBorders>
              <w:left w:val="nil"/>
              <w:bottom w:val="nil"/>
            </w:tcBorders>
            <w:shd w:val="clear" w:color="auto" w:fill="auto"/>
          </w:tcPr>
          <w:p w14:paraId="0D1913CA" w14:textId="77777777" w:rsidR="00302BFE" w:rsidRPr="00FA2ACE" w:rsidRDefault="00302BFE" w:rsidP="00243B15">
            <w:pPr>
              <w:pStyle w:val="Sansinterligne"/>
              <w:rPr>
                <w:rFonts w:asciiTheme="minorHAnsi" w:hAnsiTheme="minorHAnsi" w:cs="Calibri"/>
                <w:sz w:val="20"/>
                <w:szCs w:val="20"/>
                <w:lang w:val="fr-CA"/>
              </w:rPr>
            </w:pPr>
            <w:proofErr w:type="spellStart"/>
            <w:r w:rsidRPr="00FA2ACE">
              <w:rPr>
                <w:rFonts w:asciiTheme="minorHAnsi" w:hAnsiTheme="minorHAnsi" w:cs="Calibri"/>
                <w:sz w:val="20"/>
                <w:szCs w:val="20"/>
                <w:lang w:val="fr-CA"/>
              </w:rPr>
              <w:t>Directorate</w:t>
            </w:r>
            <w:proofErr w:type="spellEnd"/>
            <w:r w:rsidRPr="00FA2ACE">
              <w:rPr>
                <w:rFonts w:asciiTheme="minorHAnsi" w:hAnsiTheme="minorHAnsi" w:cs="Calibri"/>
                <w:sz w:val="20"/>
                <w:szCs w:val="20"/>
                <w:lang w:val="fr-CA"/>
              </w:rPr>
              <w:t xml:space="preserve"> General of Water and </w:t>
            </w:r>
            <w:proofErr w:type="spellStart"/>
            <w:r w:rsidRPr="00FA2ACE">
              <w:rPr>
                <w:rFonts w:asciiTheme="minorHAnsi" w:hAnsiTheme="minorHAnsi" w:cs="Calibri"/>
                <w:sz w:val="20"/>
                <w:szCs w:val="20"/>
                <w:lang w:val="fr-CA"/>
              </w:rPr>
              <w:t>Forests</w:t>
            </w:r>
            <w:proofErr w:type="spellEnd"/>
            <w:r w:rsidRPr="00FA2ACE">
              <w:rPr>
                <w:rFonts w:asciiTheme="minorHAnsi" w:hAnsiTheme="minorHAnsi" w:cs="Calibri"/>
                <w:sz w:val="20"/>
                <w:szCs w:val="20"/>
                <w:lang w:val="fr-CA"/>
              </w:rPr>
              <w:t xml:space="preserve"> (</w:t>
            </w:r>
            <w:r w:rsidRPr="00FA2ACE">
              <w:rPr>
                <w:rFonts w:asciiTheme="minorHAnsi" w:hAnsiTheme="minorHAnsi" w:cs="Calibri"/>
                <w:i/>
                <w:sz w:val="20"/>
                <w:szCs w:val="20"/>
                <w:lang w:val="fr-CA"/>
              </w:rPr>
              <w:t>Direction Générale des Eaux et Forêts</w:t>
            </w:r>
            <w:r w:rsidRPr="00FA2ACE">
              <w:rPr>
                <w:rFonts w:asciiTheme="minorHAnsi" w:hAnsiTheme="minorHAnsi" w:cs="Calibri"/>
                <w:sz w:val="20"/>
                <w:szCs w:val="20"/>
                <w:lang w:val="fr-CA"/>
              </w:rPr>
              <w:t>)</w:t>
            </w:r>
          </w:p>
        </w:tc>
      </w:tr>
      <w:tr w:rsidR="00FA2ACE" w:rsidRPr="00FA2ACE" w14:paraId="17659B86" w14:textId="77777777" w:rsidTr="00243B15">
        <w:trPr>
          <w:trHeight w:val="20"/>
          <w:jc w:val="center"/>
        </w:trPr>
        <w:tc>
          <w:tcPr>
            <w:tcW w:w="1203" w:type="dxa"/>
            <w:tcBorders>
              <w:bottom w:val="nil"/>
              <w:right w:val="nil"/>
            </w:tcBorders>
            <w:shd w:val="clear" w:color="auto" w:fill="auto"/>
          </w:tcPr>
          <w:p w14:paraId="250996E7" w14:textId="3020DF23" w:rsidR="00FA2ACE" w:rsidRPr="00FA2ACE" w:rsidRDefault="00FA2ACE" w:rsidP="00243B15">
            <w:pPr>
              <w:pStyle w:val="Sansinterligne"/>
              <w:rPr>
                <w:rFonts w:asciiTheme="minorHAnsi" w:hAnsiTheme="minorHAnsi" w:cs="Calibri"/>
                <w:sz w:val="20"/>
                <w:szCs w:val="20"/>
              </w:rPr>
            </w:pPr>
            <w:r w:rsidRPr="00FA2ACE">
              <w:rPr>
                <w:rFonts w:asciiTheme="minorHAnsi" w:hAnsiTheme="minorHAnsi" w:cs="Calibri"/>
                <w:sz w:val="20"/>
                <w:szCs w:val="20"/>
              </w:rPr>
              <w:t>DMP</w:t>
            </w:r>
          </w:p>
        </w:tc>
        <w:tc>
          <w:tcPr>
            <w:tcW w:w="9395" w:type="dxa"/>
            <w:tcBorders>
              <w:left w:val="nil"/>
              <w:bottom w:val="nil"/>
            </w:tcBorders>
            <w:shd w:val="clear" w:color="auto" w:fill="auto"/>
          </w:tcPr>
          <w:p w14:paraId="7BEEE8CB" w14:textId="461E0D1B" w:rsidR="00FA2ACE" w:rsidRPr="00FA2ACE" w:rsidRDefault="00FA2ACE" w:rsidP="00243B15">
            <w:pPr>
              <w:pStyle w:val="Sansinterligne"/>
              <w:rPr>
                <w:rFonts w:asciiTheme="minorHAnsi" w:hAnsiTheme="minorHAnsi" w:cs="Calibri"/>
                <w:sz w:val="20"/>
                <w:szCs w:val="20"/>
                <w:lang w:val="en-CA"/>
              </w:rPr>
            </w:pPr>
            <w:r w:rsidRPr="00FA2ACE">
              <w:rPr>
                <w:rFonts w:asciiTheme="minorHAnsi" w:hAnsiTheme="minorHAnsi"/>
                <w:sz w:val="20"/>
                <w:szCs w:val="20"/>
                <w:lang w:val="en-GB"/>
              </w:rPr>
              <w:t>Development and Management Plan</w:t>
            </w:r>
          </w:p>
        </w:tc>
      </w:tr>
      <w:tr w:rsidR="00302BFE" w:rsidRPr="00AB47BD" w14:paraId="5995BFC8" w14:textId="77777777" w:rsidTr="00243B15">
        <w:trPr>
          <w:trHeight w:val="20"/>
          <w:jc w:val="center"/>
        </w:trPr>
        <w:tc>
          <w:tcPr>
            <w:tcW w:w="1203" w:type="dxa"/>
            <w:tcBorders>
              <w:bottom w:val="nil"/>
              <w:right w:val="nil"/>
            </w:tcBorders>
            <w:shd w:val="clear" w:color="auto" w:fill="auto"/>
          </w:tcPr>
          <w:p w14:paraId="5478DF46"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DREEVCC</w:t>
            </w:r>
          </w:p>
        </w:tc>
        <w:tc>
          <w:tcPr>
            <w:tcW w:w="9395" w:type="dxa"/>
            <w:tcBorders>
              <w:left w:val="nil"/>
              <w:bottom w:val="nil"/>
            </w:tcBorders>
            <w:shd w:val="clear" w:color="auto" w:fill="auto"/>
          </w:tcPr>
          <w:p w14:paraId="3C1A5759" w14:textId="77777777" w:rsidR="00302BFE" w:rsidRPr="00FA2ACE" w:rsidRDefault="00302BFE" w:rsidP="00243B15">
            <w:pPr>
              <w:pStyle w:val="Sansinterligne"/>
              <w:rPr>
                <w:rFonts w:asciiTheme="minorHAnsi" w:hAnsiTheme="minorHAnsi" w:cs="Calibri"/>
                <w:sz w:val="20"/>
                <w:szCs w:val="20"/>
                <w:lang w:val="fr-CA"/>
              </w:rPr>
            </w:pPr>
            <w:proofErr w:type="spellStart"/>
            <w:r w:rsidRPr="00FA2ACE">
              <w:rPr>
                <w:rFonts w:asciiTheme="minorHAnsi" w:hAnsiTheme="minorHAnsi" w:cs="Calibri"/>
                <w:sz w:val="20"/>
                <w:szCs w:val="20"/>
                <w:lang w:val="fr-CA"/>
              </w:rPr>
              <w:t>Regional</w:t>
            </w:r>
            <w:proofErr w:type="spellEnd"/>
            <w:r w:rsidRPr="00FA2ACE">
              <w:rPr>
                <w:rFonts w:asciiTheme="minorHAnsi" w:hAnsiTheme="minorHAnsi" w:cs="Calibri"/>
                <w:sz w:val="20"/>
                <w:szCs w:val="20"/>
                <w:lang w:val="fr-CA"/>
              </w:rPr>
              <w:t xml:space="preserve"> </w:t>
            </w:r>
            <w:proofErr w:type="spellStart"/>
            <w:r w:rsidRPr="00FA2ACE">
              <w:rPr>
                <w:rFonts w:asciiTheme="minorHAnsi" w:hAnsiTheme="minorHAnsi" w:cs="Calibri"/>
                <w:sz w:val="20"/>
                <w:szCs w:val="20"/>
                <w:lang w:val="fr-CA"/>
              </w:rPr>
              <w:t>Directorate</w:t>
            </w:r>
            <w:proofErr w:type="spellEnd"/>
            <w:r w:rsidRPr="00FA2ACE">
              <w:rPr>
                <w:rFonts w:asciiTheme="minorHAnsi" w:hAnsiTheme="minorHAnsi" w:cs="Calibri"/>
                <w:sz w:val="20"/>
                <w:szCs w:val="20"/>
                <w:lang w:val="fr-CA"/>
              </w:rPr>
              <w:t xml:space="preserve"> </w:t>
            </w:r>
            <w:proofErr w:type="spellStart"/>
            <w:r w:rsidRPr="00FA2ACE">
              <w:rPr>
                <w:rFonts w:asciiTheme="minorHAnsi" w:hAnsiTheme="minorHAnsi" w:cs="Calibri"/>
                <w:sz w:val="20"/>
                <w:szCs w:val="20"/>
                <w:lang w:val="fr-CA"/>
              </w:rPr>
              <w:t>Environment</w:t>
            </w:r>
            <w:proofErr w:type="spellEnd"/>
            <w:r w:rsidRPr="00FA2ACE">
              <w:rPr>
                <w:rFonts w:asciiTheme="minorHAnsi" w:hAnsiTheme="minorHAnsi" w:cs="Calibri"/>
                <w:sz w:val="20"/>
                <w:szCs w:val="20"/>
                <w:lang w:val="fr-CA"/>
              </w:rPr>
              <w:t>, Green Economy, and Climate Change (</w:t>
            </w:r>
            <w:r w:rsidRPr="00FA2ACE">
              <w:rPr>
                <w:rFonts w:asciiTheme="minorHAnsi" w:hAnsiTheme="minorHAnsi" w:cs="Calibri"/>
                <w:i/>
                <w:sz w:val="20"/>
                <w:szCs w:val="20"/>
                <w:lang w:val="fr-CA"/>
              </w:rPr>
              <w:t>Direction Régionale Environnement, Économie verte, et Changement Climatique</w:t>
            </w:r>
            <w:r w:rsidRPr="00FA2ACE">
              <w:rPr>
                <w:rFonts w:asciiTheme="minorHAnsi" w:hAnsiTheme="minorHAnsi" w:cs="Calibri"/>
                <w:sz w:val="20"/>
                <w:szCs w:val="20"/>
                <w:lang w:val="fr-CA"/>
              </w:rPr>
              <w:t>)</w:t>
            </w:r>
          </w:p>
        </w:tc>
      </w:tr>
      <w:tr w:rsidR="00302BFE" w:rsidRPr="00AB47BD" w14:paraId="2CC8F4A4" w14:textId="77777777" w:rsidTr="00243B15">
        <w:trPr>
          <w:trHeight w:val="20"/>
          <w:jc w:val="center"/>
        </w:trPr>
        <w:tc>
          <w:tcPr>
            <w:tcW w:w="1203" w:type="dxa"/>
            <w:tcBorders>
              <w:bottom w:val="nil"/>
              <w:right w:val="nil"/>
            </w:tcBorders>
            <w:shd w:val="clear" w:color="auto" w:fill="auto"/>
          </w:tcPr>
          <w:p w14:paraId="60EB3C50"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DREP</w:t>
            </w:r>
          </w:p>
        </w:tc>
        <w:tc>
          <w:tcPr>
            <w:tcW w:w="9395" w:type="dxa"/>
            <w:tcBorders>
              <w:left w:val="nil"/>
              <w:bottom w:val="nil"/>
            </w:tcBorders>
            <w:shd w:val="clear" w:color="auto" w:fill="auto"/>
          </w:tcPr>
          <w:p w14:paraId="3B75AF0A" w14:textId="77777777" w:rsidR="00302BFE" w:rsidRPr="00FA2ACE" w:rsidRDefault="00302BFE" w:rsidP="00243B15">
            <w:pPr>
              <w:pStyle w:val="Sansinterligne"/>
              <w:rPr>
                <w:rFonts w:asciiTheme="minorHAnsi" w:hAnsiTheme="minorHAnsi" w:cs="Calibri"/>
                <w:sz w:val="20"/>
                <w:szCs w:val="20"/>
                <w:lang w:val="fr-CA"/>
              </w:rPr>
            </w:pPr>
            <w:proofErr w:type="spellStart"/>
            <w:r w:rsidRPr="00FA2ACE">
              <w:rPr>
                <w:rFonts w:asciiTheme="minorHAnsi" w:hAnsiTheme="minorHAnsi" w:cs="Calibri"/>
                <w:sz w:val="20"/>
                <w:szCs w:val="20"/>
                <w:lang w:val="fr-CA"/>
              </w:rPr>
              <w:t>Directorate</w:t>
            </w:r>
            <w:proofErr w:type="spellEnd"/>
            <w:r w:rsidRPr="00FA2ACE">
              <w:rPr>
                <w:rFonts w:asciiTheme="minorHAnsi" w:hAnsiTheme="minorHAnsi" w:cs="Calibri"/>
                <w:sz w:val="20"/>
                <w:szCs w:val="20"/>
                <w:lang w:val="fr-CA"/>
              </w:rPr>
              <w:t xml:space="preserve"> of Economy and Planning (</w:t>
            </w:r>
            <w:r w:rsidRPr="00FA2ACE">
              <w:rPr>
                <w:rFonts w:asciiTheme="minorHAnsi" w:hAnsiTheme="minorHAnsi" w:cs="Calibri"/>
                <w:i/>
                <w:sz w:val="20"/>
                <w:szCs w:val="20"/>
                <w:lang w:val="fr-CA"/>
              </w:rPr>
              <w:t>Direction générale de l'économie et de la planification</w:t>
            </w:r>
            <w:r w:rsidRPr="00FA2ACE">
              <w:rPr>
                <w:rFonts w:asciiTheme="minorHAnsi" w:hAnsiTheme="minorHAnsi" w:cs="Calibri"/>
                <w:sz w:val="20"/>
                <w:szCs w:val="20"/>
                <w:lang w:val="fr-CA"/>
              </w:rPr>
              <w:t>)</w:t>
            </w:r>
          </w:p>
        </w:tc>
      </w:tr>
      <w:tr w:rsidR="00363257" w:rsidRPr="00FA2ACE" w14:paraId="2A118811" w14:textId="77777777" w:rsidTr="00243B15">
        <w:trPr>
          <w:trHeight w:val="20"/>
          <w:jc w:val="center"/>
        </w:trPr>
        <w:tc>
          <w:tcPr>
            <w:tcW w:w="1203" w:type="dxa"/>
            <w:tcBorders>
              <w:bottom w:val="nil"/>
              <w:right w:val="nil"/>
            </w:tcBorders>
            <w:shd w:val="clear" w:color="auto" w:fill="auto"/>
          </w:tcPr>
          <w:p w14:paraId="345E0189" w14:textId="77777777" w:rsidR="00363257" w:rsidRPr="00FA2ACE" w:rsidRDefault="00363257" w:rsidP="00243B15">
            <w:pPr>
              <w:pStyle w:val="Sansinterligne"/>
              <w:rPr>
                <w:rFonts w:asciiTheme="minorHAnsi" w:hAnsiTheme="minorHAnsi" w:cs="Calibri"/>
                <w:sz w:val="20"/>
                <w:szCs w:val="20"/>
              </w:rPr>
            </w:pPr>
            <w:r w:rsidRPr="00FA2ACE">
              <w:rPr>
                <w:rFonts w:asciiTheme="minorHAnsi" w:hAnsiTheme="minorHAnsi" w:cs="Calibri"/>
                <w:sz w:val="20"/>
                <w:szCs w:val="20"/>
              </w:rPr>
              <w:t>ERC</w:t>
            </w:r>
          </w:p>
        </w:tc>
        <w:tc>
          <w:tcPr>
            <w:tcW w:w="9395" w:type="dxa"/>
            <w:tcBorders>
              <w:left w:val="nil"/>
              <w:bottom w:val="nil"/>
            </w:tcBorders>
            <w:shd w:val="clear" w:color="auto" w:fill="auto"/>
          </w:tcPr>
          <w:p w14:paraId="156DA2F7" w14:textId="77777777" w:rsidR="00363257" w:rsidRPr="00FA2ACE" w:rsidRDefault="00000000" w:rsidP="00243B15">
            <w:pPr>
              <w:pStyle w:val="Sansinterligne"/>
              <w:rPr>
                <w:rFonts w:asciiTheme="minorHAnsi" w:hAnsiTheme="minorHAnsi" w:cs="Calibri"/>
                <w:sz w:val="20"/>
                <w:szCs w:val="20"/>
                <w:lang w:val="fr-CA"/>
              </w:rPr>
            </w:pPr>
            <w:hyperlink r:id="rId15" w:anchor="gef" w:history="1">
              <w:r w:rsidR="00363257" w:rsidRPr="00FA2ACE">
                <w:rPr>
                  <w:rFonts w:asciiTheme="minorHAnsi" w:hAnsiTheme="minorHAnsi"/>
                  <w:sz w:val="20"/>
                  <w:szCs w:val="20"/>
                  <w:lang w:val="fr-CA"/>
                </w:rPr>
                <w:t xml:space="preserve">UNDP </w:t>
              </w:r>
              <w:proofErr w:type="spellStart"/>
              <w:r w:rsidR="00363257" w:rsidRPr="00FA2ACE">
                <w:rPr>
                  <w:rFonts w:asciiTheme="minorHAnsi" w:hAnsiTheme="minorHAnsi"/>
                  <w:sz w:val="20"/>
                  <w:szCs w:val="20"/>
                  <w:lang w:val="fr-CA"/>
                </w:rPr>
                <w:t>Evaluation</w:t>
              </w:r>
              <w:proofErr w:type="spellEnd"/>
              <w:r w:rsidR="00363257" w:rsidRPr="00FA2ACE">
                <w:rPr>
                  <w:rFonts w:asciiTheme="minorHAnsi" w:hAnsiTheme="minorHAnsi"/>
                  <w:sz w:val="20"/>
                  <w:szCs w:val="20"/>
                  <w:lang w:val="fr-CA"/>
                </w:rPr>
                <w:t xml:space="preserve"> Resource Center</w:t>
              </w:r>
            </w:hyperlink>
          </w:p>
        </w:tc>
      </w:tr>
      <w:tr w:rsidR="00302BFE" w:rsidRPr="00FA2ACE" w14:paraId="7A4740F8" w14:textId="77777777" w:rsidTr="00243B15">
        <w:trPr>
          <w:trHeight w:val="20"/>
          <w:jc w:val="center"/>
        </w:trPr>
        <w:tc>
          <w:tcPr>
            <w:tcW w:w="1203" w:type="dxa"/>
            <w:tcBorders>
              <w:bottom w:val="nil"/>
              <w:right w:val="nil"/>
            </w:tcBorders>
            <w:shd w:val="clear" w:color="auto" w:fill="auto"/>
          </w:tcPr>
          <w:p w14:paraId="23B05041" w14:textId="77777777" w:rsidR="00302BF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ES</w:t>
            </w:r>
          </w:p>
          <w:p w14:paraId="3F2128D9" w14:textId="0BF80705" w:rsidR="00491E20" w:rsidRDefault="00491E20" w:rsidP="00243B15">
            <w:pPr>
              <w:pStyle w:val="Sansinterligne"/>
              <w:rPr>
                <w:rFonts w:asciiTheme="minorHAnsi" w:hAnsiTheme="minorHAnsi" w:cs="Calibri"/>
                <w:sz w:val="20"/>
                <w:szCs w:val="20"/>
              </w:rPr>
            </w:pPr>
            <w:r>
              <w:rPr>
                <w:rFonts w:asciiTheme="minorHAnsi" w:hAnsiTheme="minorHAnsi" w:cs="Calibri"/>
                <w:sz w:val="20"/>
                <w:szCs w:val="20"/>
              </w:rPr>
              <w:t>ESIA</w:t>
            </w:r>
          </w:p>
          <w:p w14:paraId="7D9DBFB3" w14:textId="7806FCE7" w:rsidR="00621D71" w:rsidRPr="00FA2ACE" w:rsidRDefault="00621D71" w:rsidP="00243B15">
            <w:pPr>
              <w:pStyle w:val="Sansinterligne"/>
              <w:rPr>
                <w:rFonts w:asciiTheme="minorHAnsi" w:hAnsiTheme="minorHAnsi" w:cs="Calibri"/>
                <w:sz w:val="20"/>
                <w:szCs w:val="20"/>
              </w:rPr>
            </w:pPr>
            <w:r>
              <w:rPr>
                <w:rFonts w:asciiTheme="minorHAnsi" w:hAnsiTheme="minorHAnsi" w:cs="Calibri"/>
                <w:sz w:val="20"/>
                <w:szCs w:val="20"/>
              </w:rPr>
              <w:t>E</w:t>
            </w:r>
            <w:r w:rsidR="00491E20">
              <w:rPr>
                <w:rFonts w:asciiTheme="minorHAnsi" w:hAnsiTheme="minorHAnsi" w:cs="Calibri"/>
                <w:sz w:val="20"/>
                <w:szCs w:val="20"/>
              </w:rPr>
              <w:t>SM</w:t>
            </w:r>
            <w:r>
              <w:rPr>
                <w:rFonts w:asciiTheme="minorHAnsi" w:hAnsiTheme="minorHAnsi" w:cs="Calibri"/>
                <w:sz w:val="20"/>
                <w:szCs w:val="20"/>
              </w:rPr>
              <w:t>F</w:t>
            </w:r>
          </w:p>
        </w:tc>
        <w:tc>
          <w:tcPr>
            <w:tcW w:w="9395" w:type="dxa"/>
            <w:tcBorders>
              <w:left w:val="nil"/>
              <w:bottom w:val="nil"/>
            </w:tcBorders>
            <w:shd w:val="clear" w:color="auto" w:fill="auto"/>
          </w:tcPr>
          <w:p w14:paraId="09C92C66" w14:textId="2F7490C6" w:rsidR="00302BF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Ecosystem Services</w:t>
            </w:r>
          </w:p>
          <w:p w14:paraId="25E2C151" w14:textId="63ACD227" w:rsidR="00491E20" w:rsidRDefault="00491E20" w:rsidP="00243B15">
            <w:pPr>
              <w:pStyle w:val="Sansinterligne"/>
              <w:rPr>
                <w:rFonts w:asciiTheme="minorHAnsi" w:hAnsiTheme="minorHAnsi" w:cs="Calibri"/>
                <w:sz w:val="20"/>
                <w:szCs w:val="20"/>
              </w:rPr>
            </w:pPr>
            <w:r>
              <w:rPr>
                <w:rFonts w:asciiTheme="minorHAnsi" w:hAnsiTheme="minorHAnsi" w:cs="Calibri"/>
                <w:sz w:val="20"/>
                <w:szCs w:val="20"/>
              </w:rPr>
              <w:t>Environmental and Social Impact Assessment</w:t>
            </w:r>
          </w:p>
          <w:p w14:paraId="27D039D4" w14:textId="1A9C7FFE" w:rsidR="00621D71" w:rsidRPr="00FA2ACE" w:rsidRDefault="00621D71" w:rsidP="00243B15">
            <w:pPr>
              <w:pStyle w:val="Sansinterligne"/>
              <w:rPr>
                <w:rFonts w:asciiTheme="minorHAnsi" w:hAnsiTheme="minorHAnsi" w:cs="Calibri"/>
                <w:sz w:val="20"/>
                <w:szCs w:val="20"/>
              </w:rPr>
            </w:pPr>
            <w:r>
              <w:rPr>
                <w:rFonts w:asciiTheme="minorHAnsi" w:hAnsiTheme="minorHAnsi" w:cs="Calibri"/>
                <w:sz w:val="20"/>
                <w:szCs w:val="20"/>
              </w:rPr>
              <w:t>Environmental and Social Management Framework</w:t>
            </w:r>
          </w:p>
        </w:tc>
      </w:tr>
      <w:tr w:rsidR="00FA2ACE" w:rsidRPr="00FA2ACE" w14:paraId="1D875CF0" w14:textId="77777777" w:rsidTr="00243B15">
        <w:trPr>
          <w:trHeight w:val="20"/>
          <w:jc w:val="center"/>
        </w:trPr>
        <w:tc>
          <w:tcPr>
            <w:tcW w:w="1203" w:type="dxa"/>
            <w:tcBorders>
              <w:bottom w:val="nil"/>
              <w:right w:val="nil"/>
            </w:tcBorders>
            <w:shd w:val="clear" w:color="auto" w:fill="auto"/>
          </w:tcPr>
          <w:p w14:paraId="65813FB8" w14:textId="6D153EA0" w:rsidR="00FA2ACE" w:rsidRPr="00FA2ACE" w:rsidRDefault="00FA2ACE" w:rsidP="00243B15">
            <w:pPr>
              <w:pStyle w:val="Sansinterligne"/>
              <w:rPr>
                <w:rFonts w:asciiTheme="minorHAnsi" w:hAnsiTheme="minorHAnsi" w:cs="Calibri"/>
                <w:sz w:val="20"/>
                <w:szCs w:val="20"/>
              </w:rPr>
            </w:pPr>
            <w:r w:rsidRPr="00FA2ACE">
              <w:rPr>
                <w:rFonts w:asciiTheme="minorHAnsi" w:hAnsiTheme="minorHAnsi" w:cs="Calibri"/>
                <w:sz w:val="20"/>
                <w:szCs w:val="20"/>
              </w:rPr>
              <w:t>ESMP</w:t>
            </w:r>
          </w:p>
        </w:tc>
        <w:tc>
          <w:tcPr>
            <w:tcW w:w="9395" w:type="dxa"/>
            <w:tcBorders>
              <w:left w:val="nil"/>
              <w:bottom w:val="nil"/>
            </w:tcBorders>
            <w:shd w:val="clear" w:color="auto" w:fill="auto"/>
          </w:tcPr>
          <w:p w14:paraId="2A767586" w14:textId="43EA0D92" w:rsidR="00FA2ACE" w:rsidRPr="00FA2ACE" w:rsidRDefault="00FA2ACE" w:rsidP="00243B15">
            <w:pPr>
              <w:pStyle w:val="Sansinterligne"/>
              <w:rPr>
                <w:rFonts w:asciiTheme="minorHAnsi" w:hAnsiTheme="minorHAnsi" w:cs="Calibri"/>
                <w:sz w:val="20"/>
                <w:szCs w:val="20"/>
              </w:rPr>
            </w:pPr>
            <w:r w:rsidRPr="00FA2ACE">
              <w:rPr>
                <w:rFonts w:asciiTheme="minorHAnsi" w:hAnsiTheme="minorHAnsi"/>
                <w:sz w:val="20"/>
                <w:szCs w:val="20"/>
              </w:rPr>
              <w:t>Environmental and Social Management Plan</w:t>
            </w:r>
          </w:p>
        </w:tc>
      </w:tr>
      <w:tr w:rsidR="00302BFE" w:rsidRPr="00FA2ACE" w14:paraId="157CC386" w14:textId="77777777" w:rsidTr="00243B15">
        <w:trPr>
          <w:trHeight w:val="20"/>
          <w:jc w:val="center"/>
        </w:trPr>
        <w:tc>
          <w:tcPr>
            <w:tcW w:w="1203" w:type="dxa"/>
            <w:tcBorders>
              <w:bottom w:val="nil"/>
              <w:right w:val="nil"/>
            </w:tcBorders>
            <w:shd w:val="clear" w:color="auto" w:fill="auto"/>
          </w:tcPr>
          <w:p w14:paraId="1A946AD3"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EU</w:t>
            </w:r>
          </w:p>
        </w:tc>
        <w:tc>
          <w:tcPr>
            <w:tcW w:w="9395" w:type="dxa"/>
            <w:tcBorders>
              <w:left w:val="nil"/>
              <w:bottom w:val="nil"/>
            </w:tcBorders>
            <w:shd w:val="clear" w:color="auto" w:fill="auto"/>
          </w:tcPr>
          <w:p w14:paraId="4AD2D687"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European Union</w:t>
            </w:r>
          </w:p>
        </w:tc>
      </w:tr>
      <w:tr w:rsidR="00FA2ACE" w:rsidRPr="00FA2ACE" w14:paraId="54910C4C" w14:textId="77777777" w:rsidTr="00243B15">
        <w:trPr>
          <w:trHeight w:val="20"/>
          <w:jc w:val="center"/>
        </w:trPr>
        <w:tc>
          <w:tcPr>
            <w:tcW w:w="1203" w:type="dxa"/>
            <w:tcBorders>
              <w:bottom w:val="nil"/>
              <w:right w:val="nil"/>
            </w:tcBorders>
            <w:shd w:val="clear" w:color="auto" w:fill="auto"/>
          </w:tcPr>
          <w:p w14:paraId="7717014D" w14:textId="06F68548" w:rsidR="00FA2ACE" w:rsidRPr="00FA2ACE" w:rsidRDefault="00FA2ACE" w:rsidP="00243B15">
            <w:pPr>
              <w:pStyle w:val="Sansinterligne"/>
              <w:rPr>
                <w:rFonts w:asciiTheme="minorHAnsi" w:hAnsiTheme="minorHAnsi" w:cs="Calibri"/>
                <w:sz w:val="20"/>
                <w:szCs w:val="20"/>
              </w:rPr>
            </w:pPr>
            <w:r w:rsidRPr="00FA2ACE">
              <w:rPr>
                <w:rFonts w:asciiTheme="minorHAnsi" w:hAnsiTheme="minorHAnsi" w:cs="Calibri"/>
                <w:sz w:val="20"/>
                <w:szCs w:val="20"/>
              </w:rPr>
              <w:t>FAF</w:t>
            </w:r>
          </w:p>
        </w:tc>
        <w:tc>
          <w:tcPr>
            <w:tcW w:w="9395" w:type="dxa"/>
            <w:tcBorders>
              <w:left w:val="nil"/>
              <w:bottom w:val="nil"/>
            </w:tcBorders>
            <w:shd w:val="clear" w:color="auto" w:fill="auto"/>
          </w:tcPr>
          <w:p w14:paraId="4899EFCB" w14:textId="52AB48E5" w:rsidR="00FA2ACE" w:rsidRPr="00FA2ACE" w:rsidRDefault="00FA2ACE" w:rsidP="00243B15">
            <w:pPr>
              <w:pStyle w:val="Sansinterligne"/>
              <w:rPr>
                <w:rFonts w:asciiTheme="minorHAnsi" w:hAnsiTheme="minorHAnsi" w:cs="Calibri"/>
                <w:sz w:val="20"/>
                <w:szCs w:val="20"/>
              </w:rPr>
            </w:pPr>
            <w:r w:rsidRPr="00FA2ACE">
              <w:rPr>
                <w:rFonts w:asciiTheme="minorHAnsi" w:hAnsiTheme="minorHAnsi"/>
                <w:sz w:val="20"/>
                <w:szCs w:val="20"/>
                <w:lang w:val="en-GB"/>
              </w:rPr>
              <w:t>Forest Management Fund</w:t>
            </w:r>
          </w:p>
        </w:tc>
      </w:tr>
      <w:tr w:rsidR="00302BFE" w:rsidRPr="00FA2ACE" w14:paraId="0A87B073" w14:textId="77777777" w:rsidTr="00243B15">
        <w:trPr>
          <w:trHeight w:val="20"/>
          <w:jc w:val="center"/>
        </w:trPr>
        <w:tc>
          <w:tcPr>
            <w:tcW w:w="1203" w:type="dxa"/>
            <w:tcBorders>
              <w:bottom w:val="nil"/>
              <w:right w:val="nil"/>
            </w:tcBorders>
            <w:shd w:val="clear" w:color="auto" w:fill="auto"/>
          </w:tcPr>
          <w:p w14:paraId="6E65B448"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sz w:val="20"/>
                <w:szCs w:val="20"/>
                <w:lang w:val="en-CA"/>
              </w:rPr>
              <w:t>FIP</w:t>
            </w:r>
          </w:p>
        </w:tc>
        <w:tc>
          <w:tcPr>
            <w:tcW w:w="9395" w:type="dxa"/>
            <w:tcBorders>
              <w:left w:val="nil"/>
              <w:bottom w:val="nil"/>
            </w:tcBorders>
            <w:shd w:val="clear" w:color="auto" w:fill="auto"/>
          </w:tcPr>
          <w:p w14:paraId="4EC22EBC"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sz w:val="20"/>
                <w:szCs w:val="20"/>
                <w:lang w:val="en-CA"/>
              </w:rPr>
              <w:t>Forest Investment Program</w:t>
            </w:r>
          </w:p>
        </w:tc>
      </w:tr>
      <w:tr w:rsidR="00302BFE" w:rsidRPr="00FA2ACE" w14:paraId="482760A7" w14:textId="77777777" w:rsidTr="00243B15">
        <w:trPr>
          <w:trHeight w:val="20"/>
          <w:jc w:val="center"/>
        </w:trPr>
        <w:tc>
          <w:tcPr>
            <w:tcW w:w="1203" w:type="dxa"/>
            <w:tcBorders>
              <w:bottom w:val="nil"/>
              <w:right w:val="nil"/>
            </w:tcBorders>
            <w:shd w:val="clear" w:color="auto" w:fill="auto"/>
          </w:tcPr>
          <w:p w14:paraId="688493EE" w14:textId="165FB7DE" w:rsidR="00F84490" w:rsidRDefault="00F84490" w:rsidP="00243B15">
            <w:pPr>
              <w:pStyle w:val="Sansinterligne"/>
              <w:rPr>
                <w:rFonts w:asciiTheme="minorHAnsi" w:hAnsiTheme="minorHAnsi"/>
                <w:sz w:val="20"/>
                <w:szCs w:val="20"/>
                <w:lang w:val="en-CA"/>
              </w:rPr>
            </w:pPr>
            <w:r>
              <w:rPr>
                <w:rFonts w:asciiTheme="minorHAnsi" w:hAnsiTheme="minorHAnsi"/>
                <w:sz w:val="20"/>
                <w:szCs w:val="20"/>
                <w:lang w:val="en-CA"/>
              </w:rPr>
              <w:t>FPIC</w:t>
            </w:r>
          </w:p>
          <w:p w14:paraId="1288F091" w14:textId="021486D0" w:rsidR="00302BFE" w:rsidRPr="00FA2ACE" w:rsidRDefault="00302BFE" w:rsidP="00243B15">
            <w:pPr>
              <w:pStyle w:val="Sansinterligne"/>
              <w:rPr>
                <w:rFonts w:asciiTheme="minorHAnsi" w:hAnsiTheme="minorHAnsi"/>
                <w:sz w:val="20"/>
                <w:szCs w:val="20"/>
                <w:lang w:val="en-CA"/>
              </w:rPr>
            </w:pPr>
            <w:r w:rsidRPr="00FA2ACE">
              <w:rPr>
                <w:rFonts w:asciiTheme="minorHAnsi" w:hAnsiTheme="minorHAnsi"/>
                <w:sz w:val="20"/>
                <w:szCs w:val="20"/>
                <w:lang w:val="en-CA"/>
              </w:rPr>
              <w:t>ES</w:t>
            </w:r>
          </w:p>
        </w:tc>
        <w:tc>
          <w:tcPr>
            <w:tcW w:w="9395" w:type="dxa"/>
            <w:tcBorders>
              <w:left w:val="nil"/>
              <w:bottom w:val="nil"/>
            </w:tcBorders>
            <w:shd w:val="clear" w:color="auto" w:fill="auto"/>
          </w:tcPr>
          <w:p w14:paraId="4FCBD0AB" w14:textId="3423A9A7" w:rsidR="00F84490" w:rsidRDefault="00F84490" w:rsidP="00243B15">
            <w:pPr>
              <w:pStyle w:val="Sansinterligne"/>
              <w:rPr>
                <w:rFonts w:asciiTheme="minorHAnsi" w:hAnsiTheme="minorHAnsi"/>
                <w:sz w:val="20"/>
                <w:szCs w:val="20"/>
                <w:lang w:val="en-GB"/>
              </w:rPr>
            </w:pPr>
            <w:r>
              <w:rPr>
                <w:rFonts w:asciiTheme="minorHAnsi" w:hAnsiTheme="minorHAnsi"/>
                <w:sz w:val="20"/>
                <w:szCs w:val="20"/>
                <w:lang w:val="en-GB"/>
              </w:rPr>
              <w:t>Free, Prior and Informed Consent</w:t>
            </w:r>
          </w:p>
          <w:p w14:paraId="2A81946A" w14:textId="412BFE69" w:rsidR="00302BFE" w:rsidRPr="00FA2ACE" w:rsidRDefault="00302BFE" w:rsidP="00243B15">
            <w:pPr>
              <w:pStyle w:val="Sansinterligne"/>
              <w:rPr>
                <w:rFonts w:asciiTheme="minorHAnsi" w:hAnsiTheme="minorHAnsi"/>
                <w:sz w:val="20"/>
                <w:szCs w:val="20"/>
                <w:lang w:val="en-CA"/>
              </w:rPr>
            </w:pPr>
            <w:r w:rsidRPr="00FA2ACE">
              <w:rPr>
                <w:rFonts w:asciiTheme="minorHAnsi" w:hAnsiTheme="minorHAnsi"/>
                <w:sz w:val="20"/>
                <w:szCs w:val="20"/>
                <w:lang w:val="en-GB"/>
              </w:rPr>
              <w:t>Ecosystem goods and services</w:t>
            </w:r>
          </w:p>
        </w:tc>
      </w:tr>
      <w:tr w:rsidR="00302BFE" w:rsidRPr="00FA2ACE" w14:paraId="1D7ABF92" w14:textId="77777777" w:rsidTr="00243B15">
        <w:trPr>
          <w:trHeight w:val="20"/>
          <w:jc w:val="center"/>
        </w:trPr>
        <w:tc>
          <w:tcPr>
            <w:tcW w:w="1203" w:type="dxa"/>
            <w:tcBorders>
              <w:bottom w:val="nil"/>
              <w:right w:val="nil"/>
            </w:tcBorders>
            <w:shd w:val="clear" w:color="auto" w:fill="auto"/>
          </w:tcPr>
          <w:p w14:paraId="29B3BEB6" w14:textId="77777777" w:rsidR="00302BFE" w:rsidRPr="00FA2ACE" w:rsidRDefault="00302BFE" w:rsidP="00243B15">
            <w:pPr>
              <w:pStyle w:val="Sansinterligne"/>
              <w:rPr>
                <w:rFonts w:asciiTheme="minorHAnsi" w:hAnsiTheme="minorHAnsi"/>
                <w:sz w:val="20"/>
                <w:szCs w:val="20"/>
                <w:lang w:val="en-CA"/>
              </w:rPr>
            </w:pPr>
            <w:r w:rsidRPr="00FA2ACE">
              <w:rPr>
                <w:rFonts w:asciiTheme="minorHAnsi" w:hAnsiTheme="minorHAnsi"/>
                <w:sz w:val="20"/>
                <w:szCs w:val="20"/>
                <w:lang w:val="en-CA"/>
              </w:rPr>
              <w:t>EU</w:t>
            </w:r>
          </w:p>
        </w:tc>
        <w:tc>
          <w:tcPr>
            <w:tcW w:w="9395" w:type="dxa"/>
            <w:tcBorders>
              <w:left w:val="nil"/>
              <w:bottom w:val="nil"/>
            </w:tcBorders>
            <w:shd w:val="clear" w:color="auto" w:fill="auto"/>
          </w:tcPr>
          <w:p w14:paraId="6FA81000" w14:textId="77777777" w:rsidR="00302BFE" w:rsidRPr="00FA2ACE" w:rsidRDefault="00302BFE" w:rsidP="00243B15">
            <w:pPr>
              <w:pStyle w:val="Sansinterligne"/>
              <w:rPr>
                <w:rFonts w:asciiTheme="minorHAnsi" w:hAnsiTheme="minorHAnsi"/>
                <w:sz w:val="20"/>
                <w:szCs w:val="20"/>
                <w:lang w:val="en-CA"/>
              </w:rPr>
            </w:pPr>
            <w:r w:rsidRPr="00FA2ACE">
              <w:rPr>
                <w:rFonts w:asciiTheme="minorHAnsi" w:hAnsiTheme="minorHAnsi"/>
                <w:sz w:val="20"/>
                <w:szCs w:val="20"/>
                <w:lang w:val="en-CA"/>
              </w:rPr>
              <w:t>European Union</w:t>
            </w:r>
          </w:p>
        </w:tc>
      </w:tr>
      <w:tr w:rsidR="00302BFE" w:rsidRPr="00FA2ACE" w14:paraId="7930C97D" w14:textId="77777777" w:rsidTr="00243B15">
        <w:trPr>
          <w:trHeight w:val="20"/>
          <w:jc w:val="center"/>
        </w:trPr>
        <w:tc>
          <w:tcPr>
            <w:tcW w:w="1203" w:type="dxa"/>
            <w:tcBorders>
              <w:bottom w:val="nil"/>
              <w:right w:val="nil"/>
            </w:tcBorders>
            <w:shd w:val="clear" w:color="auto" w:fill="auto"/>
          </w:tcPr>
          <w:p w14:paraId="0914095A" w14:textId="77777777" w:rsidR="00302BFE" w:rsidRPr="00FA2ACE" w:rsidRDefault="00302BFE" w:rsidP="00243B15">
            <w:pPr>
              <w:pStyle w:val="Sansinterligne"/>
              <w:rPr>
                <w:rFonts w:asciiTheme="minorHAnsi" w:hAnsiTheme="minorHAnsi"/>
                <w:sz w:val="20"/>
                <w:szCs w:val="20"/>
                <w:lang w:val="en-CA"/>
              </w:rPr>
            </w:pPr>
            <w:r w:rsidRPr="00FA2ACE">
              <w:rPr>
                <w:rFonts w:asciiTheme="minorHAnsi" w:hAnsiTheme="minorHAnsi"/>
                <w:sz w:val="20"/>
                <w:szCs w:val="20"/>
                <w:lang w:val="en-CA"/>
              </w:rPr>
              <w:t>FAF</w:t>
            </w:r>
          </w:p>
        </w:tc>
        <w:tc>
          <w:tcPr>
            <w:tcW w:w="9395" w:type="dxa"/>
            <w:tcBorders>
              <w:left w:val="nil"/>
              <w:bottom w:val="nil"/>
            </w:tcBorders>
            <w:shd w:val="clear" w:color="auto" w:fill="auto"/>
          </w:tcPr>
          <w:p w14:paraId="60B775D8" w14:textId="77777777" w:rsidR="00302BFE" w:rsidRPr="00FA2ACE" w:rsidRDefault="00302BFE" w:rsidP="00243B15">
            <w:pPr>
              <w:pStyle w:val="Sansinterligne"/>
              <w:rPr>
                <w:rFonts w:asciiTheme="minorHAnsi" w:hAnsiTheme="minorHAnsi"/>
                <w:sz w:val="20"/>
                <w:szCs w:val="20"/>
                <w:lang w:val="en-CA"/>
              </w:rPr>
            </w:pPr>
            <w:r w:rsidRPr="00FA2ACE">
              <w:rPr>
                <w:rFonts w:asciiTheme="minorHAnsi" w:hAnsiTheme="minorHAnsi"/>
                <w:sz w:val="20"/>
                <w:szCs w:val="20"/>
                <w:lang w:val="en-CA"/>
              </w:rPr>
              <w:t>Forest Management Fund (</w:t>
            </w:r>
            <w:r w:rsidRPr="00FA2ACE">
              <w:rPr>
                <w:rFonts w:asciiTheme="minorHAnsi" w:hAnsiTheme="minorHAnsi"/>
                <w:i/>
                <w:sz w:val="20"/>
                <w:szCs w:val="20"/>
                <w:lang w:val="en-CA"/>
              </w:rPr>
              <w:t xml:space="preserve">Fonds </w:t>
            </w:r>
            <w:proofErr w:type="spellStart"/>
            <w:r w:rsidRPr="00FA2ACE">
              <w:rPr>
                <w:rFonts w:asciiTheme="minorHAnsi" w:hAnsiTheme="minorHAnsi"/>
                <w:i/>
                <w:sz w:val="20"/>
                <w:szCs w:val="20"/>
                <w:lang w:val="en-CA"/>
              </w:rPr>
              <w:t>d’Aménagement</w:t>
            </w:r>
            <w:proofErr w:type="spellEnd"/>
            <w:r w:rsidRPr="00FA2ACE">
              <w:rPr>
                <w:rFonts w:asciiTheme="minorHAnsi" w:hAnsiTheme="minorHAnsi"/>
                <w:i/>
                <w:sz w:val="20"/>
                <w:szCs w:val="20"/>
                <w:lang w:val="en-CA"/>
              </w:rPr>
              <w:t xml:space="preserve"> Forestier</w:t>
            </w:r>
            <w:r w:rsidRPr="00FA2ACE">
              <w:rPr>
                <w:rFonts w:asciiTheme="minorHAnsi" w:hAnsiTheme="minorHAnsi"/>
                <w:sz w:val="20"/>
                <w:szCs w:val="20"/>
                <w:lang w:val="en-CA"/>
              </w:rPr>
              <w:t>)</w:t>
            </w:r>
          </w:p>
        </w:tc>
      </w:tr>
      <w:tr w:rsidR="00302BFE" w:rsidRPr="00FA2ACE" w14:paraId="7D6CFDAE" w14:textId="77777777" w:rsidTr="00243B15">
        <w:trPr>
          <w:trHeight w:val="20"/>
          <w:jc w:val="center"/>
        </w:trPr>
        <w:tc>
          <w:tcPr>
            <w:tcW w:w="1203" w:type="dxa"/>
            <w:tcBorders>
              <w:bottom w:val="nil"/>
              <w:right w:val="nil"/>
            </w:tcBorders>
            <w:shd w:val="clear" w:color="auto" w:fill="auto"/>
          </w:tcPr>
          <w:p w14:paraId="5FAEC16F"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GBIF</w:t>
            </w:r>
          </w:p>
        </w:tc>
        <w:tc>
          <w:tcPr>
            <w:tcW w:w="9395" w:type="dxa"/>
            <w:tcBorders>
              <w:left w:val="nil"/>
              <w:bottom w:val="nil"/>
            </w:tcBorders>
            <w:shd w:val="clear" w:color="auto" w:fill="auto"/>
          </w:tcPr>
          <w:p w14:paraId="4E3FB76F"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Global Biodiversity Information Facility</w:t>
            </w:r>
          </w:p>
        </w:tc>
      </w:tr>
      <w:tr w:rsidR="00302BFE" w:rsidRPr="00FA2ACE" w14:paraId="38F700EF" w14:textId="77777777" w:rsidTr="00243B15">
        <w:trPr>
          <w:trHeight w:val="20"/>
          <w:jc w:val="center"/>
        </w:trPr>
        <w:tc>
          <w:tcPr>
            <w:tcW w:w="1203" w:type="dxa"/>
            <w:tcBorders>
              <w:bottom w:val="nil"/>
              <w:right w:val="nil"/>
            </w:tcBorders>
            <w:shd w:val="clear" w:color="auto" w:fill="auto"/>
          </w:tcPr>
          <w:p w14:paraId="594CECAD"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GDP</w:t>
            </w:r>
          </w:p>
        </w:tc>
        <w:tc>
          <w:tcPr>
            <w:tcW w:w="9395" w:type="dxa"/>
            <w:tcBorders>
              <w:left w:val="nil"/>
              <w:bottom w:val="nil"/>
            </w:tcBorders>
            <w:shd w:val="clear" w:color="auto" w:fill="auto"/>
          </w:tcPr>
          <w:p w14:paraId="77209B69"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 xml:space="preserve">Gross Domestic </w:t>
            </w:r>
            <w:proofErr w:type="spellStart"/>
            <w:r w:rsidRPr="00FA2ACE">
              <w:rPr>
                <w:rFonts w:asciiTheme="minorHAnsi" w:hAnsiTheme="minorHAnsi" w:cs="Calibri"/>
                <w:sz w:val="20"/>
                <w:szCs w:val="20"/>
              </w:rPr>
              <w:t>Produc</w:t>
            </w:r>
            <w:proofErr w:type="spellEnd"/>
          </w:p>
        </w:tc>
      </w:tr>
      <w:tr w:rsidR="00302BFE" w:rsidRPr="00FA2ACE" w14:paraId="2FC9704E" w14:textId="77777777" w:rsidTr="00243B15">
        <w:trPr>
          <w:trHeight w:val="20"/>
          <w:jc w:val="center"/>
        </w:trPr>
        <w:tc>
          <w:tcPr>
            <w:tcW w:w="1203" w:type="dxa"/>
            <w:tcBorders>
              <w:bottom w:val="nil"/>
              <w:right w:val="nil"/>
            </w:tcBorders>
            <w:shd w:val="clear" w:color="auto" w:fill="auto"/>
          </w:tcPr>
          <w:p w14:paraId="76EB98FA"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GEF</w:t>
            </w:r>
          </w:p>
        </w:tc>
        <w:tc>
          <w:tcPr>
            <w:tcW w:w="9395" w:type="dxa"/>
            <w:tcBorders>
              <w:left w:val="nil"/>
              <w:bottom w:val="nil"/>
            </w:tcBorders>
            <w:shd w:val="clear" w:color="auto" w:fill="auto"/>
          </w:tcPr>
          <w:p w14:paraId="4758ABF3"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lang w:val="fr-CA"/>
              </w:rPr>
              <w:t xml:space="preserve">Global </w:t>
            </w:r>
            <w:proofErr w:type="spellStart"/>
            <w:r w:rsidRPr="00FA2ACE">
              <w:rPr>
                <w:rFonts w:asciiTheme="minorHAnsi" w:hAnsiTheme="minorHAnsi" w:cs="Calibri"/>
                <w:sz w:val="20"/>
                <w:szCs w:val="20"/>
                <w:lang w:val="fr-CA"/>
              </w:rPr>
              <w:t>Environment</w:t>
            </w:r>
            <w:proofErr w:type="spellEnd"/>
            <w:r w:rsidRPr="00FA2ACE">
              <w:rPr>
                <w:rFonts w:asciiTheme="minorHAnsi" w:hAnsiTheme="minorHAnsi" w:cs="Calibri"/>
                <w:sz w:val="20"/>
                <w:szCs w:val="20"/>
                <w:lang w:val="fr-CA"/>
              </w:rPr>
              <w:t xml:space="preserve"> Facility</w:t>
            </w:r>
          </w:p>
        </w:tc>
      </w:tr>
      <w:tr w:rsidR="00302BFE" w:rsidRPr="00FA2ACE" w14:paraId="78BCBEDF" w14:textId="77777777" w:rsidTr="00243B15">
        <w:trPr>
          <w:trHeight w:val="20"/>
          <w:jc w:val="center"/>
        </w:trPr>
        <w:tc>
          <w:tcPr>
            <w:tcW w:w="1203" w:type="dxa"/>
            <w:tcBorders>
              <w:bottom w:val="nil"/>
              <w:right w:val="nil"/>
            </w:tcBorders>
            <w:shd w:val="clear" w:color="auto" w:fill="auto"/>
          </w:tcPr>
          <w:p w14:paraId="5DE630CF"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GEFSEC</w:t>
            </w:r>
          </w:p>
        </w:tc>
        <w:tc>
          <w:tcPr>
            <w:tcW w:w="9395" w:type="dxa"/>
            <w:tcBorders>
              <w:left w:val="nil"/>
              <w:bottom w:val="nil"/>
            </w:tcBorders>
            <w:shd w:val="clear" w:color="auto" w:fill="auto"/>
          </w:tcPr>
          <w:p w14:paraId="62EB522F"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 xml:space="preserve">Global </w:t>
            </w:r>
            <w:proofErr w:type="spellStart"/>
            <w:r w:rsidRPr="00FA2ACE">
              <w:rPr>
                <w:rFonts w:asciiTheme="minorHAnsi" w:hAnsiTheme="minorHAnsi" w:cs="Calibri"/>
                <w:sz w:val="20"/>
                <w:szCs w:val="20"/>
                <w:lang w:val="fr-CA"/>
              </w:rPr>
              <w:t>Environment</w:t>
            </w:r>
            <w:proofErr w:type="spellEnd"/>
            <w:r w:rsidRPr="00FA2ACE">
              <w:rPr>
                <w:rFonts w:asciiTheme="minorHAnsi" w:hAnsiTheme="minorHAnsi" w:cs="Calibri"/>
                <w:sz w:val="20"/>
                <w:szCs w:val="20"/>
                <w:lang w:val="fr-CA"/>
              </w:rPr>
              <w:t xml:space="preserve"> Facility </w:t>
            </w:r>
            <w:proofErr w:type="spellStart"/>
            <w:r w:rsidRPr="00FA2ACE">
              <w:rPr>
                <w:rFonts w:asciiTheme="minorHAnsi" w:hAnsiTheme="minorHAnsi" w:cs="Calibri"/>
                <w:sz w:val="20"/>
                <w:szCs w:val="20"/>
                <w:lang w:val="fr-CA"/>
              </w:rPr>
              <w:t>Secretariat</w:t>
            </w:r>
            <w:proofErr w:type="spellEnd"/>
          </w:p>
        </w:tc>
      </w:tr>
      <w:tr w:rsidR="00302BFE" w:rsidRPr="00FA2ACE" w14:paraId="7BE3114D" w14:textId="77777777" w:rsidTr="00243B15">
        <w:trPr>
          <w:trHeight w:val="20"/>
          <w:jc w:val="center"/>
        </w:trPr>
        <w:tc>
          <w:tcPr>
            <w:tcW w:w="1203" w:type="dxa"/>
            <w:tcBorders>
              <w:bottom w:val="nil"/>
              <w:right w:val="nil"/>
            </w:tcBorders>
            <w:shd w:val="clear" w:color="auto" w:fill="auto"/>
          </w:tcPr>
          <w:p w14:paraId="7BF35D21"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GHG</w:t>
            </w:r>
          </w:p>
        </w:tc>
        <w:tc>
          <w:tcPr>
            <w:tcW w:w="9395" w:type="dxa"/>
            <w:tcBorders>
              <w:left w:val="nil"/>
              <w:bottom w:val="nil"/>
            </w:tcBorders>
            <w:shd w:val="clear" w:color="auto" w:fill="auto"/>
          </w:tcPr>
          <w:p w14:paraId="4248BF63" w14:textId="77777777" w:rsidR="00302BFE" w:rsidRPr="00FA2ACE" w:rsidRDefault="00302BFE" w:rsidP="00243B15">
            <w:pPr>
              <w:pStyle w:val="Sansinterligne"/>
              <w:rPr>
                <w:rFonts w:asciiTheme="minorHAnsi" w:hAnsiTheme="minorHAnsi" w:cs="Calibri"/>
                <w:sz w:val="20"/>
                <w:szCs w:val="20"/>
                <w:lang w:val="fr-CA"/>
              </w:rPr>
            </w:pPr>
            <w:proofErr w:type="spellStart"/>
            <w:r w:rsidRPr="00FA2ACE">
              <w:rPr>
                <w:rFonts w:asciiTheme="minorHAnsi" w:hAnsiTheme="minorHAnsi" w:cs="Calibri"/>
                <w:sz w:val="20"/>
                <w:szCs w:val="20"/>
                <w:lang w:val="fr-CA"/>
              </w:rPr>
              <w:t>Greenhouse</w:t>
            </w:r>
            <w:proofErr w:type="spellEnd"/>
            <w:r w:rsidRPr="00FA2ACE">
              <w:rPr>
                <w:rFonts w:asciiTheme="minorHAnsi" w:hAnsiTheme="minorHAnsi" w:cs="Calibri"/>
                <w:sz w:val="20"/>
                <w:szCs w:val="20"/>
                <w:lang w:val="fr-CA"/>
              </w:rPr>
              <w:t xml:space="preserve"> </w:t>
            </w:r>
            <w:proofErr w:type="spellStart"/>
            <w:r w:rsidRPr="00FA2ACE">
              <w:rPr>
                <w:rFonts w:asciiTheme="minorHAnsi" w:hAnsiTheme="minorHAnsi" w:cs="Calibri"/>
                <w:sz w:val="20"/>
                <w:szCs w:val="20"/>
                <w:lang w:val="fr-CA"/>
              </w:rPr>
              <w:t>gas</w:t>
            </w:r>
            <w:proofErr w:type="spellEnd"/>
          </w:p>
        </w:tc>
      </w:tr>
      <w:tr w:rsidR="00302BFE" w:rsidRPr="00AB47BD" w14:paraId="0E270550" w14:textId="77777777" w:rsidTr="00243B15">
        <w:trPr>
          <w:trHeight w:val="20"/>
          <w:jc w:val="center"/>
        </w:trPr>
        <w:tc>
          <w:tcPr>
            <w:tcW w:w="1203" w:type="dxa"/>
            <w:tcBorders>
              <w:bottom w:val="nil"/>
              <w:right w:val="nil"/>
            </w:tcBorders>
            <w:shd w:val="clear" w:color="auto" w:fill="auto"/>
          </w:tcPr>
          <w:p w14:paraId="511BBD18"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GGF</w:t>
            </w:r>
          </w:p>
        </w:tc>
        <w:tc>
          <w:tcPr>
            <w:tcW w:w="9395" w:type="dxa"/>
            <w:tcBorders>
              <w:left w:val="nil"/>
              <w:bottom w:val="nil"/>
            </w:tcBorders>
            <w:shd w:val="clear" w:color="auto" w:fill="auto"/>
          </w:tcPr>
          <w:p w14:paraId="303220F4"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Forest Management Groups (</w:t>
            </w:r>
            <w:r w:rsidRPr="00FA2ACE">
              <w:rPr>
                <w:rFonts w:asciiTheme="minorHAnsi" w:hAnsiTheme="minorHAnsi" w:cs="Calibri"/>
                <w:i/>
                <w:sz w:val="20"/>
                <w:szCs w:val="20"/>
                <w:lang w:val="fr-CA"/>
              </w:rPr>
              <w:t>Groupements de gestion forestière</w:t>
            </w:r>
            <w:r w:rsidRPr="00FA2ACE">
              <w:rPr>
                <w:rFonts w:asciiTheme="minorHAnsi" w:hAnsiTheme="minorHAnsi" w:cs="Calibri"/>
                <w:sz w:val="20"/>
                <w:szCs w:val="20"/>
                <w:lang w:val="fr-CA"/>
              </w:rPr>
              <w:t>)</w:t>
            </w:r>
          </w:p>
        </w:tc>
      </w:tr>
      <w:tr w:rsidR="00302BFE" w:rsidRPr="00FA2ACE" w14:paraId="20EFEA04" w14:textId="77777777" w:rsidTr="00243B15">
        <w:trPr>
          <w:trHeight w:val="20"/>
          <w:jc w:val="center"/>
        </w:trPr>
        <w:tc>
          <w:tcPr>
            <w:tcW w:w="1203" w:type="dxa"/>
            <w:tcBorders>
              <w:bottom w:val="nil"/>
              <w:right w:val="nil"/>
            </w:tcBorders>
            <w:shd w:val="clear" w:color="auto" w:fill="auto"/>
          </w:tcPr>
          <w:p w14:paraId="0A038B48"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GIS</w:t>
            </w:r>
          </w:p>
        </w:tc>
        <w:tc>
          <w:tcPr>
            <w:tcW w:w="9395" w:type="dxa"/>
            <w:tcBorders>
              <w:left w:val="nil"/>
              <w:bottom w:val="nil"/>
            </w:tcBorders>
            <w:shd w:val="clear" w:color="auto" w:fill="auto"/>
          </w:tcPr>
          <w:p w14:paraId="45030BFE"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Geographic information system</w:t>
            </w:r>
          </w:p>
        </w:tc>
      </w:tr>
      <w:tr w:rsidR="00302BFE" w:rsidRPr="00FA2ACE" w14:paraId="0F76339A" w14:textId="77777777" w:rsidTr="00243B15">
        <w:trPr>
          <w:trHeight w:val="20"/>
          <w:jc w:val="center"/>
        </w:trPr>
        <w:tc>
          <w:tcPr>
            <w:tcW w:w="1203" w:type="dxa"/>
            <w:tcBorders>
              <w:bottom w:val="nil"/>
              <w:right w:val="nil"/>
            </w:tcBorders>
            <w:shd w:val="clear" w:color="auto" w:fill="auto"/>
          </w:tcPr>
          <w:p w14:paraId="2EF14DA8"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lastRenderedPageBreak/>
              <w:t>GPS</w:t>
            </w:r>
          </w:p>
        </w:tc>
        <w:tc>
          <w:tcPr>
            <w:tcW w:w="9395" w:type="dxa"/>
            <w:tcBorders>
              <w:left w:val="nil"/>
              <w:bottom w:val="nil"/>
            </w:tcBorders>
            <w:shd w:val="clear" w:color="auto" w:fill="auto"/>
          </w:tcPr>
          <w:p w14:paraId="7A3CF454"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Global Positioning System</w:t>
            </w:r>
          </w:p>
        </w:tc>
      </w:tr>
      <w:tr w:rsidR="00690F56" w:rsidRPr="00FA2ACE" w14:paraId="22B03510" w14:textId="77777777" w:rsidTr="00243B15">
        <w:trPr>
          <w:trHeight w:val="20"/>
          <w:jc w:val="center"/>
        </w:trPr>
        <w:tc>
          <w:tcPr>
            <w:tcW w:w="1203" w:type="dxa"/>
            <w:tcBorders>
              <w:bottom w:val="nil"/>
              <w:right w:val="nil"/>
            </w:tcBorders>
            <w:shd w:val="clear" w:color="auto" w:fill="auto"/>
          </w:tcPr>
          <w:p w14:paraId="56DAF3A2" w14:textId="4E9CD532" w:rsidR="00690F56" w:rsidRPr="00FA2ACE" w:rsidRDefault="00690F56" w:rsidP="00243B15">
            <w:pPr>
              <w:pStyle w:val="Sansinterligne"/>
              <w:rPr>
                <w:rFonts w:asciiTheme="minorHAnsi" w:hAnsiTheme="minorHAnsi" w:cs="Calibri"/>
                <w:sz w:val="20"/>
                <w:szCs w:val="20"/>
              </w:rPr>
            </w:pPr>
            <w:r w:rsidRPr="00FA2ACE">
              <w:rPr>
                <w:rFonts w:asciiTheme="minorHAnsi" w:hAnsiTheme="minorHAnsi" w:cs="Calibri"/>
                <w:sz w:val="20"/>
                <w:szCs w:val="20"/>
              </w:rPr>
              <w:t>GRM</w:t>
            </w:r>
          </w:p>
        </w:tc>
        <w:tc>
          <w:tcPr>
            <w:tcW w:w="9395" w:type="dxa"/>
            <w:tcBorders>
              <w:left w:val="nil"/>
              <w:bottom w:val="nil"/>
            </w:tcBorders>
            <w:shd w:val="clear" w:color="auto" w:fill="auto"/>
          </w:tcPr>
          <w:p w14:paraId="28C1824B" w14:textId="2347B3D1" w:rsidR="00690F56" w:rsidRPr="00FA2ACE" w:rsidRDefault="00FA2ACE" w:rsidP="00243B15">
            <w:pPr>
              <w:pStyle w:val="Sansinterligne"/>
              <w:rPr>
                <w:rFonts w:asciiTheme="minorHAnsi" w:hAnsiTheme="minorHAnsi" w:cs="Calibri"/>
                <w:sz w:val="20"/>
                <w:szCs w:val="20"/>
              </w:rPr>
            </w:pPr>
            <w:r w:rsidRPr="00FA2ACE">
              <w:rPr>
                <w:rFonts w:asciiTheme="minorHAnsi" w:hAnsiTheme="minorHAnsi" w:cs="Calibri"/>
                <w:sz w:val="20"/>
                <w:szCs w:val="20"/>
              </w:rPr>
              <w:t>Grievance Redress Mechanism</w:t>
            </w:r>
          </w:p>
        </w:tc>
      </w:tr>
      <w:tr w:rsidR="00302BFE" w:rsidRPr="00FA2ACE" w14:paraId="4DB25DEE" w14:textId="77777777" w:rsidTr="00243B15">
        <w:trPr>
          <w:trHeight w:val="20"/>
          <w:jc w:val="center"/>
        </w:trPr>
        <w:tc>
          <w:tcPr>
            <w:tcW w:w="1203" w:type="dxa"/>
            <w:tcBorders>
              <w:bottom w:val="nil"/>
              <w:right w:val="nil"/>
            </w:tcBorders>
            <w:shd w:val="clear" w:color="auto" w:fill="auto"/>
          </w:tcPr>
          <w:p w14:paraId="44A662CD"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HDI</w:t>
            </w:r>
          </w:p>
        </w:tc>
        <w:tc>
          <w:tcPr>
            <w:tcW w:w="9395" w:type="dxa"/>
            <w:tcBorders>
              <w:left w:val="nil"/>
              <w:bottom w:val="nil"/>
            </w:tcBorders>
            <w:shd w:val="clear" w:color="auto" w:fill="auto"/>
          </w:tcPr>
          <w:p w14:paraId="3E2933BB"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Human Development Index</w:t>
            </w:r>
          </w:p>
        </w:tc>
      </w:tr>
      <w:tr w:rsidR="00302BFE" w:rsidRPr="00FA2ACE" w14:paraId="32F8F58B" w14:textId="77777777" w:rsidTr="00243B15">
        <w:trPr>
          <w:trHeight w:val="20"/>
          <w:jc w:val="center"/>
        </w:trPr>
        <w:tc>
          <w:tcPr>
            <w:tcW w:w="1203" w:type="dxa"/>
            <w:tcBorders>
              <w:bottom w:val="nil"/>
              <w:right w:val="nil"/>
            </w:tcBorders>
            <w:shd w:val="clear" w:color="auto" w:fill="auto"/>
          </w:tcPr>
          <w:p w14:paraId="4ECA5ADD" w14:textId="77777777" w:rsidR="00302BFE" w:rsidRPr="00FA2ACE" w:rsidRDefault="00302BFE" w:rsidP="00243B15">
            <w:pPr>
              <w:pStyle w:val="Sansinterligne"/>
              <w:rPr>
                <w:rFonts w:asciiTheme="minorHAnsi" w:hAnsiTheme="minorHAnsi" w:cs="Calibri"/>
                <w:sz w:val="20"/>
                <w:szCs w:val="20"/>
              </w:rPr>
            </w:pPr>
            <w:r w:rsidRPr="00FA2ACE">
              <w:rPr>
                <w:rFonts w:asciiTheme="minorHAnsi" w:eastAsia="Times New Roman" w:hAnsiTheme="minorHAnsi"/>
                <w:sz w:val="20"/>
                <w:szCs w:val="20"/>
                <w:lang w:val="en-GB"/>
              </w:rPr>
              <w:t>HWC</w:t>
            </w:r>
          </w:p>
        </w:tc>
        <w:tc>
          <w:tcPr>
            <w:tcW w:w="9395" w:type="dxa"/>
            <w:tcBorders>
              <w:left w:val="nil"/>
              <w:bottom w:val="nil"/>
            </w:tcBorders>
            <w:shd w:val="clear" w:color="auto" w:fill="auto"/>
          </w:tcPr>
          <w:p w14:paraId="440C9D3D"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Human Wildlife Conflict</w:t>
            </w:r>
          </w:p>
        </w:tc>
      </w:tr>
      <w:tr w:rsidR="00302BFE" w:rsidRPr="00FA2ACE" w14:paraId="270D5F5B" w14:textId="77777777" w:rsidTr="00243B15">
        <w:trPr>
          <w:trHeight w:val="20"/>
          <w:jc w:val="center"/>
        </w:trPr>
        <w:tc>
          <w:tcPr>
            <w:tcW w:w="1203" w:type="dxa"/>
            <w:tcBorders>
              <w:bottom w:val="nil"/>
              <w:right w:val="nil"/>
            </w:tcBorders>
            <w:shd w:val="clear" w:color="auto" w:fill="auto"/>
          </w:tcPr>
          <w:p w14:paraId="13F09ACF"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sz w:val="20"/>
                <w:szCs w:val="20"/>
                <w:lang w:val="en-GB"/>
              </w:rPr>
              <w:t>IBA</w:t>
            </w:r>
          </w:p>
        </w:tc>
        <w:tc>
          <w:tcPr>
            <w:tcW w:w="9395" w:type="dxa"/>
            <w:tcBorders>
              <w:left w:val="nil"/>
              <w:bottom w:val="nil"/>
            </w:tcBorders>
            <w:shd w:val="clear" w:color="auto" w:fill="auto"/>
          </w:tcPr>
          <w:p w14:paraId="106FAB5A"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sz w:val="20"/>
                <w:szCs w:val="20"/>
                <w:lang w:val="en-GB"/>
              </w:rPr>
              <w:t>Important Bird Area</w:t>
            </w:r>
          </w:p>
        </w:tc>
      </w:tr>
      <w:tr w:rsidR="00302BFE" w:rsidRPr="00FA2ACE" w14:paraId="18F1D343" w14:textId="77777777" w:rsidTr="00243B15">
        <w:trPr>
          <w:trHeight w:val="20"/>
          <w:jc w:val="center"/>
        </w:trPr>
        <w:tc>
          <w:tcPr>
            <w:tcW w:w="1203" w:type="dxa"/>
            <w:tcBorders>
              <w:bottom w:val="nil"/>
              <w:right w:val="nil"/>
            </w:tcBorders>
            <w:shd w:val="clear" w:color="auto" w:fill="auto"/>
          </w:tcPr>
          <w:p w14:paraId="471000B9"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IFN2</w:t>
            </w:r>
          </w:p>
        </w:tc>
        <w:tc>
          <w:tcPr>
            <w:tcW w:w="9395" w:type="dxa"/>
            <w:tcBorders>
              <w:left w:val="nil"/>
              <w:bottom w:val="nil"/>
            </w:tcBorders>
            <w:shd w:val="clear" w:color="auto" w:fill="auto"/>
          </w:tcPr>
          <w:p w14:paraId="4BF88ACE"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Second national forest inventory</w:t>
            </w:r>
          </w:p>
        </w:tc>
      </w:tr>
      <w:tr w:rsidR="00302BFE" w:rsidRPr="00FA2ACE" w14:paraId="57D1A4E7" w14:textId="77777777" w:rsidTr="00243B15">
        <w:trPr>
          <w:trHeight w:val="20"/>
          <w:jc w:val="center"/>
        </w:trPr>
        <w:tc>
          <w:tcPr>
            <w:tcW w:w="1203" w:type="dxa"/>
            <w:tcBorders>
              <w:bottom w:val="nil"/>
              <w:right w:val="nil"/>
            </w:tcBorders>
            <w:shd w:val="clear" w:color="auto" w:fill="auto"/>
          </w:tcPr>
          <w:p w14:paraId="2D392ABE" w14:textId="528A190F" w:rsidR="00175FC8" w:rsidRDefault="00175FC8" w:rsidP="00243B15">
            <w:pPr>
              <w:pStyle w:val="Sansinterligne"/>
              <w:rPr>
                <w:rFonts w:asciiTheme="minorHAnsi" w:hAnsiTheme="minorHAnsi" w:cs="Calibri"/>
                <w:sz w:val="20"/>
                <w:szCs w:val="20"/>
              </w:rPr>
            </w:pPr>
            <w:r>
              <w:rPr>
                <w:rFonts w:asciiTheme="minorHAnsi" w:hAnsiTheme="minorHAnsi" w:cs="Calibri"/>
                <w:sz w:val="20"/>
                <w:szCs w:val="20"/>
              </w:rPr>
              <w:t>IPPF</w:t>
            </w:r>
          </w:p>
          <w:p w14:paraId="16F04359" w14:textId="2AC9FC06" w:rsidR="00175FC8" w:rsidRDefault="00175FC8" w:rsidP="00243B15">
            <w:pPr>
              <w:pStyle w:val="Sansinterligne"/>
              <w:rPr>
                <w:rFonts w:asciiTheme="minorHAnsi" w:hAnsiTheme="minorHAnsi" w:cs="Calibri"/>
                <w:sz w:val="20"/>
                <w:szCs w:val="20"/>
              </w:rPr>
            </w:pPr>
            <w:r>
              <w:rPr>
                <w:rFonts w:asciiTheme="minorHAnsi" w:hAnsiTheme="minorHAnsi" w:cs="Calibri"/>
                <w:sz w:val="20"/>
                <w:szCs w:val="20"/>
              </w:rPr>
              <w:t>IPP</w:t>
            </w:r>
          </w:p>
          <w:p w14:paraId="10425D53" w14:textId="3A42BC28"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IUCN</w:t>
            </w:r>
          </w:p>
        </w:tc>
        <w:tc>
          <w:tcPr>
            <w:tcW w:w="9395" w:type="dxa"/>
            <w:tcBorders>
              <w:left w:val="nil"/>
              <w:bottom w:val="nil"/>
            </w:tcBorders>
            <w:shd w:val="clear" w:color="auto" w:fill="auto"/>
          </w:tcPr>
          <w:p w14:paraId="22CE672C" w14:textId="6F2007E0" w:rsidR="00175FC8" w:rsidRDefault="00175FC8" w:rsidP="00243B15">
            <w:pPr>
              <w:pStyle w:val="Sansinterligne"/>
              <w:rPr>
                <w:rFonts w:asciiTheme="minorHAnsi" w:hAnsiTheme="minorHAnsi" w:cs="Calibri"/>
                <w:sz w:val="20"/>
                <w:szCs w:val="20"/>
                <w:lang w:val="en-CA"/>
              </w:rPr>
            </w:pPr>
            <w:r>
              <w:rPr>
                <w:rFonts w:asciiTheme="minorHAnsi" w:hAnsiTheme="minorHAnsi" w:cs="Calibri"/>
                <w:sz w:val="20"/>
                <w:szCs w:val="20"/>
                <w:lang w:val="en-CA"/>
              </w:rPr>
              <w:t>Indigenous Peoples Planning Framework</w:t>
            </w:r>
          </w:p>
          <w:p w14:paraId="34409839" w14:textId="2CD04C0A" w:rsidR="00175FC8" w:rsidRDefault="00175FC8" w:rsidP="00243B15">
            <w:pPr>
              <w:pStyle w:val="Sansinterligne"/>
              <w:rPr>
                <w:rFonts w:asciiTheme="minorHAnsi" w:hAnsiTheme="minorHAnsi" w:cs="Calibri"/>
                <w:sz w:val="20"/>
                <w:szCs w:val="20"/>
                <w:lang w:val="en-CA"/>
              </w:rPr>
            </w:pPr>
            <w:r>
              <w:rPr>
                <w:rFonts w:asciiTheme="minorHAnsi" w:hAnsiTheme="minorHAnsi" w:cs="Calibri"/>
                <w:sz w:val="20"/>
                <w:szCs w:val="20"/>
                <w:lang w:val="en-CA"/>
              </w:rPr>
              <w:t>Indigenous Peoples Plan</w:t>
            </w:r>
          </w:p>
          <w:p w14:paraId="5D030487" w14:textId="6358CAB0" w:rsidR="00175FC8" w:rsidRPr="00FA2ACE" w:rsidRDefault="00302BFE" w:rsidP="00243B15">
            <w:pPr>
              <w:pStyle w:val="Sansinterligne"/>
              <w:rPr>
                <w:rFonts w:asciiTheme="minorHAnsi" w:hAnsiTheme="minorHAnsi" w:cs="Calibri"/>
                <w:sz w:val="20"/>
                <w:szCs w:val="20"/>
                <w:lang w:val="en-CA"/>
              </w:rPr>
            </w:pPr>
            <w:r w:rsidRPr="00FA2ACE">
              <w:rPr>
                <w:rFonts w:asciiTheme="minorHAnsi" w:hAnsiTheme="minorHAnsi" w:cs="Calibri"/>
                <w:sz w:val="20"/>
                <w:szCs w:val="20"/>
                <w:lang w:val="en-CA"/>
              </w:rPr>
              <w:t>International Union for the Conservation of Nature</w:t>
            </w:r>
          </w:p>
        </w:tc>
      </w:tr>
      <w:tr w:rsidR="00302BFE" w:rsidRPr="00AB47BD" w14:paraId="7BF8A3D8" w14:textId="77777777" w:rsidTr="00243B15">
        <w:trPr>
          <w:trHeight w:val="20"/>
          <w:jc w:val="center"/>
        </w:trPr>
        <w:tc>
          <w:tcPr>
            <w:tcW w:w="1203" w:type="dxa"/>
            <w:tcBorders>
              <w:bottom w:val="nil"/>
              <w:right w:val="nil"/>
            </w:tcBorders>
            <w:shd w:val="clear" w:color="auto" w:fill="auto"/>
          </w:tcPr>
          <w:p w14:paraId="20B02768"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LAB</w:t>
            </w:r>
          </w:p>
        </w:tc>
        <w:tc>
          <w:tcPr>
            <w:tcW w:w="9395" w:type="dxa"/>
            <w:tcBorders>
              <w:left w:val="nil"/>
              <w:bottom w:val="nil"/>
            </w:tcBorders>
            <w:shd w:val="clear" w:color="auto" w:fill="auto"/>
          </w:tcPr>
          <w:p w14:paraId="20E4936E" w14:textId="77777777" w:rsidR="00302BFE" w:rsidRPr="00FA2ACE" w:rsidRDefault="00302BFE" w:rsidP="00243B15">
            <w:pPr>
              <w:pStyle w:val="Sansinterligne"/>
              <w:rPr>
                <w:rFonts w:asciiTheme="minorHAnsi" w:hAnsiTheme="minorHAnsi" w:cs="Calibri"/>
                <w:i/>
                <w:sz w:val="20"/>
                <w:szCs w:val="20"/>
                <w:lang w:val="fr-CA"/>
              </w:rPr>
            </w:pPr>
            <w:r w:rsidRPr="00FA2ACE">
              <w:rPr>
                <w:rFonts w:asciiTheme="minorHAnsi" w:hAnsiTheme="minorHAnsi" w:cs="Calibri"/>
                <w:sz w:val="20"/>
                <w:szCs w:val="20"/>
                <w:lang w:val="fr-CA"/>
              </w:rPr>
              <w:t>Anti-</w:t>
            </w:r>
            <w:proofErr w:type="spellStart"/>
            <w:r w:rsidRPr="00FA2ACE">
              <w:rPr>
                <w:rFonts w:asciiTheme="minorHAnsi" w:hAnsiTheme="minorHAnsi" w:cs="Calibri"/>
                <w:sz w:val="20"/>
                <w:szCs w:val="20"/>
                <w:lang w:val="fr-CA"/>
              </w:rPr>
              <w:t>poaching</w:t>
            </w:r>
            <w:proofErr w:type="spellEnd"/>
            <w:r w:rsidRPr="00FA2ACE">
              <w:rPr>
                <w:rFonts w:asciiTheme="minorHAnsi" w:hAnsiTheme="minorHAnsi" w:cs="Calibri"/>
                <w:i/>
                <w:sz w:val="20"/>
                <w:szCs w:val="20"/>
                <w:lang w:val="fr-CA"/>
              </w:rPr>
              <w:t xml:space="preserve"> (Lutte Anti-Braconnage)</w:t>
            </w:r>
          </w:p>
        </w:tc>
      </w:tr>
      <w:tr w:rsidR="00302BFE" w:rsidRPr="00FA2ACE" w14:paraId="043E9FF5" w14:textId="77777777" w:rsidTr="00243B15">
        <w:trPr>
          <w:trHeight w:val="20"/>
          <w:jc w:val="center"/>
        </w:trPr>
        <w:tc>
          <w:tcPr>
            <w:tcW w:w="1203" w:type="dxa"/>
            <w:tcBorders>
              <w:bottom w:val="nil"/>
              <w:right w:val="nil"/>
            </w:tcBorders>
            <w:shd w:val="clear" w:color="auto" w:fill="auto"/>
          </w:tcPr>
          <w:p w14:paraId="0CB2A137"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LPAC</w:t>
            </w:r>
          </w:p>
        </w:tc>
        <w:tc>
          <w:tcPr>
            <w:tcW w:w="9395" w:type="dxa"/>
            <w:tcBorders>
              <w:left w:val="nil"/>
              <w:bottom w:val="nil"/>
            </w:tcBorders>
            <w:shd w:val="clear" w:color="auto" w:fill="auto"/>
          </w:tcPr>
          <w:p w14:paraId="3BDF6551"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Local Project Appraisal Committee</w:t>
            </w:r>
          </w:p>
        </w:tc>
      </w:tr>
      <w:tr w:rsidR="00FA2ACE" w:rsidRPr="00FA2ACE" w14:paraId="09C55ED0" w14:textId="77777777" w:rsidTr="00243B15">
        <w:trPr>
          <w:trHeight w:val="20"/>
          <w:jc w:val="center"/>
        </w:trPr>
        <w:tc>
          <w:tcPr>
            <w:tcW w:w="1203" w:type="dxa"/>
            <w:tcBorders>
              <w:bottom w:val="nil"/>
              <w:right w:val="nil"/>
            </w:tcBorders>
            <w:shd w:val="clear" w:color="auto" w:fill="auto"/>
          </w:tcPr>
          <w:p w14:paraId="0AAFF3B8" w14:textId="56D55F1F" w:rsidR="00FA2ACE" w:rsidRPr="00FA2ACE" w:rsidRDefault="00FA2ACE" w:rsidP="00243B15">
            <w:pPr>
              <w:pStyle w:val="Sansinterligne"/>
              <w:rPr>
                <w:rFonts w:asciiTheme="minorHAnsi" w:hAnsiTheme="minorHAnsi" w:cs="Calibri"/>
                <w:sz w:val="20"/>
                <w:szCs w:val="20"/>
              </w:rPr>
            </w:pPr>
            <w:r w:rsidRPr="00FA2ACE">
              <w:rPr>
                <w:rFonts w:asciiTheme="minorHAnsi" w:hAnsiTheme="minorHAnsi" w:cs="Calibri"/>
                <w:sz w:val="20"/>
                <w:szCs w:val="20"/>
              </w:rPr>
              <w:t>MAB</w:t>
            </w:r>
          </w:p>
        </w:tc>
        <w:tc>
          <w:tcPr>
            <w:tcW w:w="9395" w:type="dxa"/>
            <w:tcBorders>
              <w:left w:val="nil"/>
              <w:bottom w:val="nil"/>
            </w:tcBorders>
            <w:shd w:val="clear" w:color="auto" w:fill="auto"/>
          </w:tcPr>
          <w:p w14:paraId="1B258754" w14:textId="194C7200" w:rsidR="00FA2ACE" w:rsidRPr="00FA2ACE" w:rsidRDefault="00FA2ACE" w:rsidP="00243B15">
            <w:pPr>
              <w:pStyle w:val="Sansinterligne"/>
              <w:rPr>
                <w:rFonts w:asciiTheme="minorHAnsi" w:hAnsiTheme="minorHAnsi" w:cs="Calibri"/>
                <w:sz w:val="20"/>
                <w:szCs w:val="20"/>
              </w:rPr>
            </w:pPr>
            <w:r w:rsidRPr="00FA2ACE">
              <w:rPr>
                <w:rFonts w:asciiTheme="minorHAnsi" w:hAnsiTheme="minorHAnsi"/>
                <w:sz w:val="20"/>
                <w:szCs w:val="20"/>
                <w:lang w:val="en-GB"/>
              </w:rPr>
              <w:t xml:space="preserve">UNESCO Man </w:t>
            </w:r>
            <w:proofErr w:type="gramStart"/>
            <w:r w:rsidRPr="00FA2ACE">
              <w:rPr>
                <w:rFonts w:asciiTheme="minorHAnsi" w:hAnsiTheme="minorHAnsi"/>
                <w:sz w:val="20"/>
                <w:szCs w:val="20"/>
                <w:lang w:val="en-GB"/>
              </w:rPr>
              <w:t>And</w:t>
            </w:r>
            <w:proofErr w:type="gramEnd"/>
            <w:r w:rsidRPr="00FA2ACE">
              <w:rPr>
                <w:rFonts w:asciiTheme="minorHAnsi" w:hAnsiTheme="minorHAnsi"/>
                <w:sz w:val="20"/>
                <w:szCs w:val="20"/>
                <w:lang w:val="en-GB"/>
              </w:rPr>
              <w:t xml:space="preserve"> Biosphere program</w:t>
            </w:r>
          </w:p>
        </w:tc>
      </w:tr>
      <w:tr w:rsidR="00302BFE" w:rsidRPr="00FA2ACE" w14:paraId="3FA7EC5A" w14:textId="77777777" w:rsidTr="00243B15">
        <w:trPr>
          <w:trHeight w:val="20"/>
          <w:jc w:val="center"/>
        </w:trPr>
        <w:tc>
          <w:tcPr>
            <w:tcW w:w="1203" w:type="dxa"/>
            <w:tcBorders>
              <w:bottom w:val="nil"/>
              <w:right w:val="nil"/>
            </w:tcBorders>
            <w:shd w:val="clear" w:color="auto" w:fill="auto"/>
          </w:tcPr>
          <w:p w14:paraId="718B3113"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MARP</w:t>
            </w:r>
          </w:p>
        </w:tc>
        <w:tc>
          <w:tcPr>
            <w:tcW w:w="9395" w:type="dxa"/>
            <w:tcBorders>
              <w:left w:val="nil"/>
              <w:bottom w:val="nil"/>
            </w:tcBorders>
            <w:shd w:val="clear" w:color="auto" w:fill="auto"/>
          </w:tcPr>
          <w:p w14:paraId="03E69327"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Active method of participatory research (</w:t>
            </w:r>
            <w:proofErr w:type="spellStart"/>
            <w:r w:rsidRPr="00FA2ACE">
              <w:rPr>
                <w:rFonts w:asciiTheme="minorHAnsi" w:hAnsiTheme="minorHAnsi" w:cs="Calibri"/>
                <w:i/>
                <w:sz w:val="20"/>
                <w:szCs w:val="20"/>
              </w:rPr>
              <w:t>Méthode</w:t>
            </w:r>
            <w:proofErr w:type="spellEnd"/>
            <w:r w:rsidRPr="00FA2ACE">
              <w:rPr>
                <w:rFonts w:asciiTheme="minorHAnsi" w:hAnsiTheme="minorHAnsi" w:cs="Calibri"/>
                <w:i/>
                <w:sz w:val="20"/>
                <w:szCs w:val="20"/>
              </w:rPr>
              <w:t xml:space="preserve"> active de recherche participative</w:t>
            </w:r>
            <w:r w:rsidRPr="00FA2ACE">
              <w:rPr>
                <w:rFonts w:asciiTheme="minorHAnsi" w:hAnsiTheme="minorHAnsi" w:cs="Calibri"/>
                <w:sz w:val="20"/>
                <w:szCs w:val="20"/>
              </w:rPr>
              <w:t>)</w:t>
            </w:r>
          </w:p>
        </w:tc>
      </w:tr>
      <w:tr w:rsidR="00302BFE" w:rsidRPr="00AB47BD" w14:paraId="6EFA8FCA" w14:textId="77777777" w:rsidTr="00243B15">
        <w:trPr>
          <w:trHeight w:val="20"/>
          <w:jc w:val="center"/>
        </w:trPr>
        <w:tc>
          <w:tcPr>
            <w:tcW w:w="1203" w:type="dxa"/>
            <w:tcBorders>
              <w:bottom w:val="nil"/>
              <w:right w:val="nil"/>
            </w:tcBorders>
            <w:shd w:val="clear" w:color="auto" w:fill="auto"/>
          </w:tcPr>
          <w:p w14:paraId="2823007A"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sz w:val="20"/>
                <w:szCs w:val="20"/>
                <w:lang w:val="en-CA"/>
              </w:rPr>
              <w:t>MEGECC</w:t>
            </w:r>
          </w:p>
        </w:tc>
        <w:tc>
          <w:tcPr>
            <w:tcW w:w="9395" w:type="dxa"/>
            <w:tcBorders>
              <w:left w:val="nil"/>
              <w:bottom w:val="nil"/>
            </w:tcBorders>
            <w:shd w:val="clear" w:color="auto" w:fill="auto"/>
          </w:tcPr>
          <w:p w14:paraId="61D6229B" w14:textId="03E8EB84" w:rsidR="00302BFE" w:rsidRPr="00AB47BD" w:rsidRDefault="00806DBD" w:rsidP="00243B15">
            <w:pPr>
              <w:pStyle w:val="Sansinterligne"/>
              <w:rPr>
                <w:rFonts w:asciiTheme="minorHAnsi" w:hAnsiTheme="minorHAnsi" w:cs="Calibri"/>
                <w:sz w:val="20"/>
                <w:szCs w:val="20"/>
                <w:lang w:val="fr-FR"/>
              </w:rPr>
            </w:pPr>
            <w:proofErr w:type="spellStart"/>
            <w:r w:rsidRPr="00AB47BD">
              <w:rPr>
                <w:rFonts w:asciiTheme="minorHAnsi" w:hAnsiTheme="minorHAnsi" w:cs="Calibri"/>
                <w:sz w:val="20"/>
                <w:szCs w:val="20"/>
                <w:lang w:val="fr-FR"/>
              </w:rPr>
              <w:t>Ministere</w:t>
            </w:r>
            <w:proofErr w:type="spellEnd"/>
            <w:r w:rsidRPr="00AB47BD">
              <w:rPr>
                <w:rFonts w:asciiTheme="minorHAnsi" w:hAnsiTheme="minorHAnsi" w:cs="Calibri"/>
                <w:sz w:val="20"/>
                <w:szCs w:val="20"/>
                <w:lang w:val="fr-FR"/>
              </w:rPr>
              <w:t xml:space="preserve"> de l’environnement, de l’eau et de </w:t>
            </w:r>
            <w:proofErr w:type="spellStart"/>
            <w:r w:rsidRPr="00AB47BD">
              <w:rPr>
                <w:rFonts w:asciiTheme="minorHAnsi" w:hAnsiTheme="minorHAnsi" w:cs="Calibri"/>
                <w:sz w:val="20"/>
                <w:szCs w:val="20"/>
                <w:lang w:val="fr-FR"/>
              </w:rPr>
              <w:t>l”Assainissement</w:t>
            </w:r>
            <w:proofErr w:type="spellEnd"/>
          </w:p>
        </w:tc>
      </w:tr>
      <w:tr w:rsidR="006B576A" w:rsidRPr="00AB47BD" w14:paraId="0918A19A" w14:textId="77777777" w:rsidTr="00243B15">
        <w:trPr>
          <w:trHeight w:val="20"/>
          <w:jc w:val="center"/>
        </w:trPr>
        <w:tc>
          <w:tcPr>
            <w:tcW w:w="1203" w:type="dxa"/>
            <w:tcBorders>
              <w:bottom w:val="nil"/>
              <w:right w:val="nil"/>
            </w:tcBorders>
            <w:shd w:val="clear" w:color="auto" w:fill="auto"/>
          </w:tcPr>
          <w:p w14:paraId="49CB27FD" w14:textId="02A0A328" w:rsidR="006B576A" w:rsidRPr="00FA2ACE" w:rsidRDefault="006B576A" w:rsidP="00243B15">
            <w:pPr>
              <w:pStyle w:val="Sansinterligne"/>
              <w:rPr>
                <w:rFonts w:asciiTheme="minorHAnsi" w:hAnsiTheme="minorHAnsi"/>
                <w:sz w:val="20"/>
                <w:szCs w:val="20"/>
                <w:lang w:val="en-CA"/>
              </w:rPr>
            </w:pPr>
            <w:r w:rsidRPr="00FA2ACE">
              <w:rPr>
                <w:rFonts w:asciiTheme="minorHAnsi" w:hAnsiTheme="minorHAnsi"/>
                <w:sz w:val="20"/>
                <w:szCs w:val="20"/>
                <w:lang w:val="en-CA"/>
              </w:rPr>
              <w:t>MEEVCC</w:t>
            </w:r>
          </w:p>
        </w:tc>
        <w:tc>
          <w:tcPr>
            <w:tcW w:w="9395" w:type="dxa"/>
            <w:tcBorders>
              <w:left w:val="nil"/>
              <w:bottom w:val="nil"/>
            </w:tcBorders>
            <w:shd w:val="clear" w:color="auto" w:fill="auto"/>
          </w:tcPr>
          <w:p w14:paraId="11C9E310" w14:textId="2D0AFF90" w:rsidR="006B576A" w:rsidRPr="00FA2ACE" w:rsidRDefault="006B576A"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Ministère de l’Environnement, de l’Économie verte et du Changement Climatique</w:t>
            </w:r>
          </w:p>
        </w:tc>
      </w:tr>
      <w:tr w:rsidR="000D4277" w:rsidRPr="00FA2ACE" w14:paraId="014C9D42" w14:textId="77777777" w:rsidTr="00243B15">
        <w:trPr>
          <w:trHeight w:val="20"/>
          <w:jc w:val="center"/>
        </w:trPr>
        <w:tc>
          <w:tcPr>
            <w:tcW w:w="1203" w:type="dxa"/>
            <w:tcBorders>
              <w:bottom w:val="nil"/>
              <w:right w:val="nil"/>
            </w:tcBorders>
            <w:shd w:val="clear" w:color="auto" w:fill="auto"/>
          </w:tcPr>
          <w:p w14:paraId="1D6B1F69" w14:textId="77777777" w:rsidR="000D4277" w:rsidRPr="00FA2ACE" w:rsidRDefault="000D4277" w:rsidP="00243B15">
            <w:pPr>
              <w:pStyle w:val="Sansinterligne"/>
              <w:rPr>
                <w:rFonts w:asciiTheme="minorHAnsi" w:hAnsiTheme="minorHAnsi"/>
                <w:sz w:val="20"/>
                <w:szCs w:val="20"/>
                <w:lang w:val="en-CA"/>
              </w:rPr>
            </w:pPr>
            <w:r w:rsidRPr="00FA2ACE">
              <w:rPr>
                <w:rFonts w:asciiTheme="minorHAnsi" w:hAnsiTheme="minorHAnsi"/>
                <w:sz w:val="20"/>
                <w:szCs w:val="20"/>
                <w:lang w:val="en-CA"/>
              </w:rPr>
              <w:t>MTAD</w:t>
            </w:r>
          </w:p>
        </w:tc>
        <w:tc>
          <w:tcPr>
            <w:tcW w:w="9395" w:type="dxa"/>
            <w:tcBorders>
              <w:left w:val="nil"/>
              <w:bottom w:val="nil"/>
            </w:tcBorders>
            <w:shd w:val="clear" w:color="auto" w:fill="auto"/>
          </w:tcPr>
          <w:p w14:paraId="31A0CFB2" w14:textId="77777777" w:rsidR="000D4277" w:rsidRPr="00FA2ACE" w:rsidRDefault="000D4277" w:rsidP="00243B15">
            <w:pPr>
              <w:pStyle w:val="Sansinterligne"/>
              <w:rPr>
                <w:rFonts w:asciiTheme="minorHAnsi" w:hAnsiTheme="minorHAnsi" w:cs="Calibri"/>
                <w:sz w:val="20"/>
                <w:szCs w:val="20"/>
              </w:rPr>
            </w:pPr>
            <w:r w:rsidRPr="00FA2ACE">
              <w:rPr>
                <w:rFonts w:asciiTheme="minorHAnsi" w:hAnsiTheme="minorHAnsi" w:cs="Calibri"/>
                <w:sz w:val="20"/>
                <w:szCs w:val="20"/>
              </w:rPr>
              <w:t>Ministry of Territorial Administration and Decentralization</w:t>
            </w:r>
          </w:p>
        </w:tc>
      </w:tr>
      <w:tr w:rsidR="00302BFE" w:rsidRPr="00FA2ACE" w14:paraId="638A9237" w14:textId="77777777" w:rsidTr="00243B15">
        <w:trPr>
          <w:trHeight w:val="20"/>
          <w:jc w:val="center"/>
        </w:trPr>
        <w:tc>
          <w:tcPr>
            <w:tcW w:w="1203" w:type="dxa"/>
            <w:tcBorders>
              <w:bottom w:val="nil"/>
              <w:right w:val="nil"/>
            </w:tcBorders>
            <w:shd w:val="clear" w:color="auto" w:fill="auto"/>
          </w:tcPr>
          <w:p w14:paraId="7339AC4A"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MRV</w:t>
            </w:r>
          </w:p>
        </w:tc>
        <w:tc>
          <w:tcPr>
            <w:tcW w:w="9395" w:type="dxa"/>
            <w:tcBorders>
              <w:left w:val="nil"/>
              <w:bottom w:val="nil"/>
            </w:tcBorders>
            <w:shd w:val="clear" w:color="auto" w:fill="auto"/>
          </w:tcPr>
          <w:p w14:paraId="06937F62"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Measure, reporting, verification</w:t>
            </w:r>
          </w:p>
        </w:tc>
      </w:tr>
      <w:tr w:rsidR="00302BFE" w:rsidRPr="00FA2ACE" w14:paraId="09683AD8" w14:textId="77777777" w:rsidTr="00243B15">
        <w:trPr>
          <w:trHeight w:val="20"/>
          <w:jc w:val="center"/>
        </w:trPr>
        <w:tc>
          <w:tcPr>
            <w:tcW w:w="1203" w:type="dxa"/>
            <w:tcBorders>
              <w:bottom w:val="nil"/>
              <w:right w:val="nil"/>
            </w:tcBorders>
            <w:shd w:val="clear" w:color="auto" w:fill="auto"/>
          </w:tcPr>
          <w:p w14:paraId="561829FC"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NBSAP</w:t>
            </w:r>
          </w:p>
        </w:tc>
        <w:tc>
          <w:tcPr>
            <w:tcW w:w="9395" w:type="dxa"/>
            <w:tcBorders>
              <w:left w:val="nil"/>
              <w:bottom w:val="nil"/>
            </w:tcBorders>
            <w:shd w:val="clear" w:color="auto" w:fill="auto"/>
          </w:tcPr>
          <w:p w14:paraId="780F98DC"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National Biodiversity Strategy and Action Plan</w:t>
            </w:r>
          </w:p>
        </w:tc>
      </w:tr>
      <w:tr w:rsidR="00302BFE" w:rsidRPr="00FA2ACE" w14:paraId="495CCD27" w14:textId="77777777" w:rsidTr="00243B15">
        <w:trPr>
          <w:trHeight w:val="20"/>
          <w:jc w:val="center"/>
        </w:trPr>
        <w:tc>
          <w:tcPr>
            <w:tcW w:w="1203" w:type="dxa"/>
            <w:tcBorders>
              <w:bottom w:val="nil"/>
              <w:right w:val="nil"/>
            </w:tcBorders>
            <w:shd w:val="clear" w:color="auto" w:fill="auto"/>
          </w:tcPr>
          <w:p w14:paraId="7EA61AF3"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NGO</w:t>
            </w:r>
          </w:p>
        </w:tc>
        <w:tc>
          <w:tcPr>
            <w:tcW w:w="9395" w:type="dxa"/>
            <w:tcBorders>
              <w:left w:val="nil"/>
              <w:bottom w:val="nil"/>
            </w:tcBorders>
            <w:shd w:val="clear" w:color="auto" w:fill="auto"/>
          </w:tcPr>
          <w:p w14:paraId="4564DC1B"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 xml:space="preserve">Non-Governmental </w:t>
            </w:r>
            <w:proofErr w:type="spellStart"/>
            <w:r w:rsidRPr="00FA2ACE">
              <w:rPr>
                <w:rFonts w:asciiTheme="minorHAnsi" w:hAnsiTheme="minorHAnsi" w:cs="Calibri"/>
                <w:sz w:val="20"/>
                <w:szCs w:val="20"/>
              </w:rPr>
              <w:t>Organisation</w:t>
            </w:r>
            <w:proofErr w:type="spellEnd"/>
          </w:p>
        </w:tc>
      </w:tr>
      <w:tr w:rsidR="00302BFE" w:rsidRPr="00FA2ACE" w14:paraId="16B637AE" w14:textId="77777777" w:rsidTr="00243B15">
        <w:trPr>
          <w:trHeight w:val="20"/>
          <w:jc w:val="center"/>
        </w:trPr>
        <w:tc>
          <w:tcPr>
            <w:tcW w:w="1203" w:type="dxa"/>
            <w:tcBorders>
              <w:bottom w:val="nil"/>
              <w:right w:val="nil"/>
            </w:tcBorders>
            <w:shd w:val="clear" w:color="auto" w:fill="auto"/>
          </w:tcPr>
          <w:p w14:paraId="083726BD"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sz w:val="20"/>
                <w:szCs w:val="20"/>
                <w:lang w:val="en-GB"/>
              </w:rPr>
              <w:t>NP</w:t>
            </w:r>
          </w:p>
        </w:tc>
        <w:tc>
          <w:tcPr>
            <w:tcW w:w="9395" w:type="dxa"/>
            <w:tcBorders>
              <w:left w:val="nil"/>
              <w:bottom w:val="nil"/>
            </w:tcBorders>
            <w:shd w:val="clear" w:color="auto" w:fill="auto"/>
          </w:tcPr>
          <w:p w14:paraId="46D5E4C5"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National Park</w:t>
            </w:r>
          </w:p>
        </w:tc>
      </w:tr>
      <w:tr w:rsidR="00302BFE" w:rsidRPr="00FA2ACE" w14:paraId="1A9B5831" w14:textId="77777777" w:rsidTr="00243B15">
        <w:trPr>
          <w:trHeight w:val="20"/>
          <w:jc w:val="center"/>
        </w:trPr>
        <w:tc>
          <w:tcPr>
            <w:tcW w:w="1203" w:type="dxa"/>
            <w:tcBorders>
              <w:bottom w:val="nil"/>
              <w:right w:val="nil"/>
            </w:tcBorders>
            <w:shd w:val="clear" w:color="auto" w:fill="auto"/>
          </w:tcPr>
          <w:p w14:paraId="6782C714"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NT</w:t>
            </w:r>
          </w:p>
        </w:tc>
        <w:tc>
          <w:tcPr>
            <w:tcW w:w="9395" w:type="dxa"/>
            <w:tcBorders>
              <w:left w:val="nil"/>
              <w:bottom w:val="nil"/>
            </w:tcBorders>
            <w:shd w:val="clear" w:color="auto" w:fill="auto"/>
          </w:tcPr>
          <w:p w14:paraId="1F1C454D" w14:textId="77777777" w:rsidR="00302BFE" w:rsidRPr="00FA2ACE" w:rsidRDefault="00302BFE" w:rsidP="00243B15">
            <w:pPr>
              <w:pStyle w:val="Sansinterligne"/>
              <w:rPr>
                <w:rFonts w:asciiTheme="minorHAnsi" w:hAnsiTheme="minorHAnsi" w:cs="Calibri"/>
                <w:sz w:val="20"/>
                <w:szCs w:val="20"/>
                <w:lang w:val="en-CA"/>
              </w:rPr>
            </w:pPr>
            <w:r w:rsidRPr="00FA2ACE">
              <w:rPr>
                <w:rFonts w:asciiTheme="minorHAnsi" w:hAnsiTheme="minorHAnsi" w:cs="Calibri"/>
                <w:sz w:val="20"/>
                <w:szCs w:val="20"/>
                <w:lang w:val="en-CA"/>
              </w:rPr>
              <w:t>Near Threatened (Status on IUCN Red List)</w:t>
            </w:r>
          </w:p>
        </w:tc>
      </w:tr>
      <w:tr w:rsidR="00302BFE" w:rsidRPr="00FA2ACE" w14:paraId="6A095634" w14:textId="77777777" w:rsidTr="00243B15">
        <w:trPr>
          <w:trHeight w:val="20"/>
          <w:jc w:val="center"/>
        </w:trPr>
        <w:tc>
          <w:tcPr>
            <w:tcW w:w="1203" w:type="dxa"/>
            <w:tcBorders>
              <w:bottom w:val="nil"/>
              <w:right w:val="nil"/>
            </w:tcBorders>
            <w:shd w:val="clear" w:color="auto" w:fill="auto"/>
          </w:tcPr>
          <w:p w14:paraId="549312A3"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sz w:val="20"/>
                <w:szCs w:val="20"/>
                <w:lang w:val="en-GB"/>
              </w:rPr>
              <w:t>NTFP</w:t>
            </w:r>
          </w:p>
        </w:tc>
        <w:tc>
          <w:tcPr>
            <w:tcW w:w="9395" w:type="dxa"/>
            <w:tcBorders>
              <w:left w:val="nil"/>
              <w:bottom w:val="nil"/>
            </w:tcBorders>
            <w:shd w:val="clear" w:color="auto" w:fill="auto"/>
          </w:tcPr>
          <w:p w14:paraId="293ED1F4" w14:textId="77777777" w:rsidR="00302BFE" w:rsidRPr="00FA2ACE" w:rsidRDefault="00302BFE" w:rsidP="00243B15">
            <w:pPr>
              <w:pStyle w:val="Sansinterligne"/>
              <w:rPr>
                <w:rFonts w:asciiTheme="minorHAnsi" w:hAnsiTheme="minorHAnsi" w:cs="Calibri"/>
                <w:sz w:val="20"/>
                <w:szCs w:val="20"/>
                <w:lang w:val="en-CA"/>
              </w:rPr>
            </w:pPr>
            <w:r w:rsidRPr="00FA2ACE">
              <w:rPr>
                <w:rFonts w:asciiTheme="minorHAnsi" w:hAnsiTheme="minorHAnsi"/>
                <w:sz w:val="20"/>
                <w:szCs w:val="20"/>
                <w:lang w:val="en-GB"/>
              </w:rPr>
              <w:t>Non-Timber Forest Products</w:t>
            </w:r>
          </w:p>
        </w:tc>
      </w:tr>
      <w:tr w:rsidR="00302BFE" w:rsidRPr="00FA2ACE" w14:paraId="5B03B58E" w14:textId="77777777" w:rsidTr="00243B15">
        <w:trPr>
          <w:trHeight w:val="20"/>
          <w:jc w:val="center"/>
        </w:trPr>
        <w:tc>
          <w:tcPr>
            <w:tcW w:w="1203" w:type="dxa"/>
            <w:tcBorders>
              <w:bottom w:val="nil"/>
              <w:right w:val="nil"/>
            </w:tcBorders>
            <w:shd w:val="clear" w:color="auto" w:fill="auto"/>
          </w:tcPr>
          <w:p w14:paraId="033CFD8F"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OFINAP</w:t>
            </w:r>
          </w:p>
        </w:tc>
        <w:tc>
          <w:tcPr>
            <w:tcW w:w="9395" w:type="dxa"/>
            <w:tcBorders>
              <w:left w:val="nil"/>
              <w:bottom w:val="nil"/>
            </w:tcBorders>
            <w:shd w:val="clear" w:color="auto" w:fill="auto"/>
          </w:tcPr>
          <w:p w14:paraId="55D8034E"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 xml:space="preserve">National Office of </w:t>
            </w:r>
            <w:proofErr w:type="spellStart"/>
            <w:r w:rsidRPr="00FA2ACE">
              <w:rPr>
                <w:rFonts w:asciiTheme="minorHAnsi" w:hAnsiTheme="minorHAnsi" w:cs="Calibri"/>
                <w:sz w:val="20"/>
                <w:szCs w:val="20"/>
                <w:lang w:val="fr-CA"/>
              </w:rPr>
              <w:t>Protected</w:t>
            </w:r>
            <w:proofErr w:type="spellEnd"/>
            <w:r w:rsidRPr="00FA2ACE">
              <w:rPr>
                <w:rFonts w:asciiTheme="minorHAnsi" w:hAnsiTheme="minorHAnsi" w:cs="Calibri"/>
                <w:sz w:val="20"/>
                <w:szCs w:val="20"/>
                <w:lang w:val="fr-CA"/>
              </w:rPr>
              <w:t xml:space="preserve"> Areas (</w:t>
            </w:r>
            <w:r w:rsidRPr="00FA2ACE">
              <w:rPr>
                <w:rFonts w:asciiTheme="minorHAnsi" w:hAnsiTheme="minorHAnsi" w:cs="Calibri"/>
                <w:i/>
                <w:sz w:val="20"/>
                <w:szCs w:val="20"/>
                <w:lang w:val="fr-CA"/>
              </w:rPr>
              <w:t>Office National des Aires Protégées</w:t>
            </w:r>
            <w:r w:rsidRPr="00FA2ACE">
              <w:rPr>
                <w:rFonts w:asciiTheme="minorHAnsi" w:hAnsiTheme="minorHAnsi" w:cs="Calibri"/>
                <w:sz w:val="20"/>
                <w:szCs w:val="20"/>
                <w:lang w:val="fr-CA"/>
              </w:rPr>
              <w:t>)</w:t>
            </w:r>
          </w:p>
        </w:tc>
      </w:tr>
      <w:tr w:rsidR="00302BFE" w:rsidRPr="00AB47BD" w14:paraId="26C7BD11" w14:textId="77777777" w:rsidTr="00243B15">
        <w:trPr>
          <w:trHeight w:val="20"/>
          <w:jc w:val="center"/>
        </w:trPr>
        <w:tc>
          <w:tcPr>
            <w:tcW w:w="1203" w:type="dxa"/>
            <w:tcBorders>
              <w:bottom w:val="nil"/>
              <w:right w:val="nil"/>
            </w:tcBorders>
            <w:shd w:val="clear" w:color="auto" w:fill="auto"/>
          </w:tcPr>
          <w:p w14:paraId="385900D9"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ONEDD</w:t>
            </w:r>
          </w:p>
        </w:tc>
        <w:tc>
          <w:tcPr>
            <w:tcW w:w="9395" w:type="dxa"/>
            <w:tcBorders>
              <w:left w:val="nil"/>
              <w:bottom w:val="nil"/>
            </w:tcBorders>
            <w:shd w:val="clear" w:color="auto" w:fill="auto"/>
          </w:tcPr>
          <w:p w14:paraId="49824CC3"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 xml:space="preserve">National </w:t>
            </w:r>
            <w:proofErr w:type="spellStart"/>
            <w:r w:rsidRPr="00FA2ACE">
              <w:rPr>
                <w:rFonts w:asciiTheme="minorHAnsi" w:hAnsiTheme="minorHAnsi" w:cs="Calibri"/>
                <w:sz w:val="20"/>
                <w:szCs w:val="20"/>
                <w:lang w:val="fr-CA"/>
              </w:rPr>
              <w:t>Observatory</w:t>
            </w:r>
            <w:proofErr w:type="spellEnd"/>
            <w:r w:rsidRPr="00FA2ACE">
              <w:rPr>
                <w:rFonts w:asciiTheme="minorHAnsi" w:hAnsiTheme="minorHAnsi" w:cs="Calibri"/>
                <w:sz w:val="20"/>
                <w:szCs w:val="20"/>
                <w:lang w:val="fr-CA"/>
              </w:rPr>
              <w:t xml:space="preserve"> of the </w:t>
            </w:r>
            <w:proofErr w:type="spellStart"/>
            <w:r w:rsidRPr="00FA2ACE">
              <w:rPr>
                <w:rFonts w:asciiTheme="minorHAnsi" w:hAnsiTheme="minorHAnsi" w:cs="Calibri"/>
                <w:sz w:val="20"/>
                <w:szCs w:val="20"/>
                <w:lang w:val="fr-CA"/>
              </w:rPr>
              <w:t>Environment</w:t>
            </w:r>
            <w:proofErr w:type="spellEnd"/>
            <w:r w:rsidRPr="00FA2ACE">
              <w:rPr>
                <w:rFonts w:asciiTheme="minorHAnsi" w:hAnsiTheme="minorHAnsi" w:cs="Calibri"/>
                <w:sz w:val="20"/>
                <w:szCs w:val="20"/>
                <w:lang w:val="fr-CA"/>
              </w:rPr>
              <w:t xml:space="preserve"> and </w:t>
            </w:r>
            <w:proofErr w:type="spellStart"/>
            <w:r w:rsidRPr="00FA2ACE">
              <w:rPr>
                <w:rFonts w:asciiTheme="minorHAnsi" w:hAnsiTheme="minorHAnsi" w:cs="Calibri"/>
                <w:sz w:val="20"/>
                <w:szCs w:val="20"/>
                <w:lang w:val="fr-CA"/>
              </w:rPr>
              <w:t>Sustainable</w:t>
            </w:r>
            <w:proofErr w:type="spellEnd"/>
            <w:r w:rsidRPr="00FA2ACE">
              <w:rPr>
                <w:rFonts w:asciiTheme="minorHAnsi" w:hAnsiTheme="minorHAnsi" w:cs="Calibri"/>
                <w:sz w:val="20"/>
                <w:szCs w:val="20"/>
                <w:lang w:val="fr-CA"/>
              </w:rPr>
              <w:t xml:space="preserve"> </w:t>
            </w:r>
            <w:proofErr w:type="spellStart"/>
            <w:r w:rsidRPr="00FA2ACE">
              <w:rPr>
                <w:rFonts w:asciiTheme="minorHAnsi" w:hAnsiTheme="minorHAnsi" w:cs="Calibri"/>
                <w:sz w:val="20"/>
                <w:szCs w:val="20"/>
                <w:lang w:val="fr-CA"/>
              </w:rPr>
              <w:t>Development</w:t>
            </w:r>
            <w:proofErr w:type="spellEnd"/>
            <w:r w:rsidRPr="00FA2ACE">
              <w:rPr>
                <w:rFonts w:asciiTheme="minorHAnsi" w:hAnsiTheme="minorHAnsi" w:cs="Calibri"/>
                <w:sz w:val="20"/>
                <w:szCs w:val="20"/>
                <w:lang w:val="fr-CA"/>
              </w:rPr>
              <w:t xml:space="preserve"> (</w:t>
            </w:r>
            <w:r w:rsidRPr="00FA2ACE">
              <w:rPr>
                <w:rFonts w:asciiTheme="minorHAnsi" w:hAnsiTheme="minorHAnsi" w:cs="Calibri"/>
                <w:i/>
                <w:sz w:val="20"/>
                <w:szCs w:val="20"/>
                <w:lang w:val="fr-CA"/>
              </w:rPr>
              <w:t>Observatoire National de l’Environnement et du Développement Durable</w:t>
            </w:r>
            <w:r w:rsidRPr="00FA2ACE">
              <w:rPr>
                <w:rFonts w:asciiTheme="minorHAnsi" w:hAnsiTheme="minorHAnsi" w:cs="Calibri"/>
                <w:sz w:val="20"/>
                <w:szCs w:val="20"/>
                <w:lang w:val="fr-CA"/>
              </w:rPr>
              <w:t>)</w:t>
            </w:r>
          </w:p>
        </w:tc>
      </w:tr>
      <w:tr w:rsidR="00302BFE" w:rsidRPr="00FA2ACE" w14:paraId="3331BBEE" w14:textId="77777777" w:rsidTr="00243B15">
        <w:trPr>
          <w:trHeight w:val="20"/>
          <w:jc w:val="center"/>
        </w:trPr>
        <w:tc>
          <w:tcPr>
            <w:tcW w:w="1203" w:type="dxa"/>
            <w:tcBorders>
              <w:bottom w:val="nil"/>
              <w:right w:val="nil"/>
            </w:tcBorders>
            <w:shd w:val="clear" w:color="auto" w:fill="auto"/>
          </w:tcPr>
          <w:p w14:paraId="57AD020D"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ORGIIS</w:t>
            </w:r>
          </w:p>
        </w:tc>
        <w:tc>
          <w:tcPr>
            <w:tcW w:w="9395" w:type="dxa"/>
            <w:tcBorders>
              <w:left w:val="nil"/>
              <w:bottom w:val="nil"/>
            </w:tcBorders>
            <w:shd w:val="clear" w:color="auto" w:fill="auto"/>
          </w:tcPr>
          <w:p w14:paraId="23349480" w14:textId="77777777" w:rsidR="00302BFE" w:rsidRPr="00FA2ACE" w:rsidRDefault="00302BFE" w:rsidP="00243B15">
            <w:pPr>
              <w:pStyle w:val="Sansinterligne"/>
              <w:rPr>
                <w:rFonts w:asciiTheme="minorHAnsi" w:hAnsiTheme="minorHAnsi" w:cs="Calibri"/>
                <w:sz w:val="20"/>
                <w:szCs w:val="20"/>
                <w:lang w:val="en-CA"/>
              </w:rPr>
            </w:pPr>
            <w:r w:rsidRPr="00FA2ACE">
              <w:rPr>
                <w:rFonts w:asciiTheme="minorHAnsi" w:hAnsiTheme="minorHAnsi" w:cs="Calibri"/>
                <w:sz w:val="20"/>
                <w:szCs w:val="20"/>
                <w:lang w:val="en-CA"/>
              </w:rPr>
              <w:t>Organization for Indigenous Initiatives and Sustainability</w:t>
            </w:r>
          </w:p>
        </w:tc>
      </w:tr>
      <w:tr w:rsidR="00302BFE" w:rsidRPr="00FA2ACE" w14:paraId="6B3694E4" w14:textId="77777777" w:rsidTr="00243B15">
        <w:trPr>
          <w:trHeight w:val="20"/>
          <w:jc w:val="center"/>
        </w:trPr>
        <w:tc>
          <w:tcPr>
            <w:tcW w:w="1203" w:type="dxa"/>
            <w:tcBorders>
              <w:bottom w:val="nil"/>
              <w:right w:val="nil"/>
            </w:tcBorders>
            <w:shd w:val="clear" w:color="auto" w:fill="auto"/>
          </w:tcPr>
          <w:p w14:paraId="1603739A"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sz w:val="20"/>
                <w:szCs w:val="20"/>
                <w:lang w:val="en-GB"/>
              </w:rPr>
              <w:t>PA</w:t>
            </w:r>
          </w:p>
        </w:tc>
        <w:tc>
          <w:tcPr>
            <w:tcW w:w="9395" w:type="dxa"/>
            <w:tcBorders>
              <w:left w:val="nil"/>
              <w:bottom w:val="nil"/>
            </w:tcBorders>
            <w:shd w:val="clear" w:color="auto" w:fill="auto"/>
          </w:tcPr>
          <w:p w14:paraId="1D76A221"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sz w:val="20"/>
                <w:szCs w:val="20"/>
                <w:lang w:val="en-GB"/>
              </w:rPr>
              <w:t>Protected area</w:t>
            </w:r>
          </w:p>
        </w:tc>
      </w:tr>
      <w:tr w:rsidR="00302BFE" w:rsidRPr="00FA2ACE" w14:paraId="54294AEA" w14:textId="77777777" w:rsidTr="00243B15">
        <w:trPr>
          <w:trHeight w:val="20"/>
          <w:jc w:val="center"/>
        </w:trPr>
        <w:tc>
          <w:tcPr>
            <w:tcW w:w="1203" w:type="dxa"/>
            <w:tcBorders>
              <w:bottom w:val="nil"/>
              <w:right w:val="nil"/>
            </w:tcBorders>
            <w:shd w:val="clear" w:color="auto" w:fill="auto"/>
          </w:tcPr>
          <w:p w14:paraId="27FAE4EB" w14:textId="77777777" w:rsidR="00302BFE" w:rsidRPr="00FA2ACE" w:rsidRDefault="00302BFE" w:rsidP="00243B15">
            <w:pPr>
              <w:pStyle w:val="Sansinterligne"/>
              <w:rPr>
                <w:rFonts w:asciiTheme="minorHAnsi" w:hAnsiTheme="minorHAnsi"/>
                <w:sz w:val="20"/>
                <w:szCs w:val="20"/>
                <w:lang w:val="en-GB"/>
              </w:rPr>
            </w:pPr>
            <w:r w:rsidRPr="00FA2ACE">
              <w:rPr>
                <w:rFonts w:asciiTheme="minorHAnsi" w:hAnsiTheme="minorHAnsi" w:cs="Calibri"/>
                <w:sz w:val="20"/>
                <w:szCs w:val="20"/>
                <w:lang w:val="fr-CA"/>
              </w:rPr>
              <w:t>PCU</w:t>
            </w:r>
          </w:p>
        </w:tc>
        <w:tc>
          <w:tcPr>
            <w:tcW w:w="9395" w:type="dxa"/>
            <w:tcBorders>
              <w:left w:val="nil"/>
              <w:bottom w:val="nil"/>
            </w:tcBorders>
            <w:shd w:val="clear" w:color="auto" w:fill="auto"/>
          </w:tcPr>
          <w:p w14:paraId="5F2CC909" w14:textId="77777777" w:rsidR="00302BFE" w:rsidRPr="00FA2ACE" w:rsidRDefault="00302BFE" w:rsidP="00243B15">
            <w:pPr>
              <w:pStyle w:val="Sansinterligne"/>
              <w:rPr>
                <w:rFonts w:asciiTheme="minorHAnsi" w:hAnsiTheme="minorHAnsi"/>
                <w:sz w:val="20"/>
                <w:szCs w:val="20"/>
                <w:lang w:val="en-GB"/>
              </w:rPr>
            </w:pPr>
            <w:r w:rsidRPr="00FA2ACE">
              <w:rPr>
                <w:rFonts w:asciiTheme="minorHAnsi" w:hAnsiTheme="minorHAnsi" w:cs="Calibri"/>
                <w:sz w:val="20"/>
                <w:szCs w:val="20"/>
                <w:lang w:val="fr-CA"/>
              </w:rPr>
              <w:t>Project Coordination Unit</w:t>
            </w:r>
          </w:p>
        </w:tc>
      </w:tr>
      <w:tr w:rsidR="00302BFE" w:rsidRPr="00AB47BD" w14:paraId="79B7D70A" w14:textId="77777777" w:rsidTr="00243B15">
        <w:trPr>
          <w:trHeight w:val="20"/>
          <w:jc w:val="center"/>
        </w:trPr>
        <w:tc>
          <w:tcPr>
            <w:tcW w:w="1203" w:type="dxa"/>
            <w:tcBorders>
              <w:bottom w:val="nil"/>
              <w:right w:val="nil"/>
            </w:tcBorders>
            <w:shd w:val="clear" w:color="auto" w:fill="auto"/>
          </w:tcPr>
          <w:p w14:paraId="4F2BDB62"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NAP</w:t>
            </w:r>
          </w:p>
        </w:tc>
        <w:tc>
          <w:tcPr>
            <w:tcW w:w="9395" w:type="dxa"/>
            <w:tcBorders>
              <w:left w:val="nil"/>
              <w:bottom w:val="nil"/>
            </w:tcBorders>
            <w:shd w:val="clear" w:color="auto" w:fill="auto"/>
          </w:tcPr>
          <w:p w14:paraId="608C196A"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 xml:space="preserve">National Action Plan to Combat </w:t>
            </w:r>
            <w:proofErr w:type="spellStart"/>
            <w:r w:rsidRPr="00FA2ACE">
              <w:rPr>
                <w:rFonts w:asciiTheme="minorHAnsi" w:hAnsiTheme="minorHAnsi" w:cs="Calibri"/>
                <w:sz w:val="20"/>
                <w:szCs w:val="20"/>
                <w:lang w:val="fr-CA"/>
              </w:rPr>
              <w:t>Desertification</w:t>
            </w:r>
            <w:proofErr w:type="spellEnd"/>
            <w:r w:rsidRPr="00FA2ACE">
              <w:rPr>
                <w:rFonts w:asciiTheme="minorHAnsi" w:hAnsiTheme="minorHAnsi" w:cs="Calibri"/>
                <w:sz w:val="20"/>
                <w:szCs w:val="20"/>
                <w:lang w:val="fr-CA"/>
              </w:rPr>
              <w:t xml:space="preserve"> (</w:t>
            </w:r>
            <w:r w:rsidRPr="00FA2ACE">
              <w:rPr>
                <w:rFonts w:asciiTheme="minorHAnsi" w:hAnsiTheme="minorHAnsi" w:cs="Calibri"/>
                <w:i/>
                <w:sz w:val="20"/>
                <w:szCs w:val="20"/>
                <w:lang w:val="fr-CA"/>
              </w:rPr>
              <w:t>Plan d’Action National de Lutte Contre la Désertification</w:t>
            </w:r>
            <w:r w:rsidRPr="00FA2ACE">
              <w:rPr>
                <w:rFonts w:asciiTheme="minorHAnsi" w:hAnsiTheme="minorHAnsi" w:cs="Calibri"/>
                <w:sz w:val="20"/>
                <w:szCs w:val="20"/>
                <w:lang w:val="fr-CA"/>
              </w:rPr>
              <w:t>)</w:t>
            </w:r>
          </w:p>
        </w:tc>
      </w:tr>
      <w:tr w:rsidR="00690F56" w:rsidRPr="00FA2ACE" w14:paraId="135B7FE9" w14:textId="77777777" w:rsidTr="00243B15">
        <w:trPr>
          <w:trHeight w:val="20"/>
          <w:jc w:val="center"/>
        </w:trPr>
        <w:tc>
          <w:tcPr>
            <w:tcW w:w="1203" w:type="dxa"/>
            <w:tcBorders>
              <w:bottom w:val="nil"/>
              <w:right w:val="nil"/>
            </w:tcBorders>
            <w:shd w:val="clear" w:color="auto" w:fill="auto"/>
          </w:tcPr>
          <w:p w14:paraId="71158DC0" w14:textId="390DF81D" w:rsidR="00690F56" w:rsidRPr="00FA2ACE" w:rsidRDefault="00690F56" w:rsidP="00243B15">
            <w:pPr>
              <w:pStyle w:val="Sansinterligne"/>
              <w:rPr>
                <w:rFonts w:asciiTheme="minorHAnsi" w:hAnsiTheme="minorHAnsi" w:cs="Calibri"/>
                <w:sz w:val="20"/>
                <w:szCs w:val="20"/>
              </w:rPr>
            </w:pPr>
            <w:r w:rsidRPr="00FA2ACE">
              <w:rPr>
                <w:rFonts w:asciiTheme="minorHAnsi" w:hAnsiTheme="minorHAnsi" w:cs="Calibri"/>
                <w:sz w:val="20"/>
                <w:szCs w:val="20"/>
              </w:rPr>
              <w:t>NBSAP</w:t>
            </w:r>
          </w:p>
        </w:tc>
        <w:tc>
          <w:tcPr>
            <w:tcW w:w="9395" w:type="dxa"/>
            <w:tcBorders>
              <w:left w:val="nil"/>
              <w:bottom w:val="nil"/>
            </w:tcBorders>
            <w:shd w:val="clear" w:color="auto" w:fill="auto"/>
          </w:tcPr>
          <w:p w14:paraId="62EC03D2" w14:textId="42223E9F" w:rsidR="00690F56" w:rsidRPr="00FA2ACE" w:rsidRDefault="00690F56" w:rsidP="00243B15">
            <w:pPr>
              <w:pStyle w:val="Sansinterligne"/>
              <w:rPr>
                <w:rFonts w:asciiTheme="minorHAnsi" w:hAnsiTheme="minorHAnsi" w:cs="Calibri"/>
                <w:sz w:val="20"/>
                <w:szCs w:val="20"/>
                <w:lang w:val="en-CA"/>
              </w:rPr>
            </w:pPr>
            <w:r w:rsidRPr="00FA2ACE">
              <w:rPr>
                <w:rFonts w:asciiTheme="minorHAnsi" w:hAnsiTheme="minorHAnsi" w:cs="Calibri"/>
                <w:sz w:val="20"/>
                <w:szCs w:val="20"/>
                <w:lang w:val="en-CA"/>
              </w:rPr>
              <w:t>National Biodiversity Strategy and Action Plan</w:t>
            </w:r>
          </w:p>
        </w:tc>
      </w:tr>
      <w:tr w:rsidR="00302BFE" w:rsidRPr="00FA2ACE" w14:paraId="055A697E" w14:textId="77777777" w:rsidTr="00243B15">
        <w:trPr>
          <w:trHeight w:val="20"/>
          <w:jc w:val="center"/>
        </w:trPr>
        <w:tc>
          <w:tcPr>
            <w:tcW w:w="1203" w:type="dxa"/>
            <w:tcBorders>
              <w:bottom w:val="nil"/>
              <w:right w:val="nil"/>
            </w:tcBorders>
            <w:shd w:val="clear" w:color="auto" w:fill="auto"/>
          </w:tcPr>
          <w:p w14:paraId="1CC18B2D" w14:textId="77777777" w:rsidR="00302BFE" w:rsidRPr="00FA2ACE" w:rsidRDefault="00302BFE" w:rsidP="00243B15">
            <w:pPr>
              <w:spacing w:after="0"/>
              <w:rPr>
                <w:rFonts w:asciiTheme="minorHAnsi" w:hAnsiTheme="minorHAnsi"/>
                <w:szCs w:val="20"/>
              </w:rPr>
            </w:pPr>
            <w:r w:rsidRPr="00FA2ACE">
              <w:rPr>
                <w:rFonts w:asciiTheme="minorHAnsi" w:hAnsiTheme="minorHAnsi"/>
                <w:szCs w:val="20"/>
              </w:rPr>
              <w:t>PIF</w:t>
            </w:r>
          </w:p>
        </w:tc>
        <w:tc>
          <w:tcPr>
            <w:tcW w:w="9395" w:type="dxa"/>
            <w:tcBorders>
              <w:left w:val="nil"/>
              <w:bottom w:val="nil"/>
            </w:tcBorders>
            <w:shd w:val="clear" w:color="auto" w:fill="auto"/>
          </w:tcPr>
          <w:p w14:paraId="48051098" w14:textId="77777777" w:rsidR="00302BFE" w:rsidRPr="00FA2ACE" w:rsidRDefault="00302BFE" w:rsidP="00243B15">
            <w:pPr>
              <w:spacing w:after="0"/>
              <w:rPr>
                <w:rFonts w:asciiTheme="minorHAnsi" w:hAnsiTheme="minorHAnsi"/>
                <w:szCs w:val="20"/>
              </w:rPr>
            </w:pPr>
            <w:r w:rsidRPr="00FA2ACE">
              <w:rPr>
                <w:rFonts w:asciiTheme="minorHAnsi" w:hAnsiTheme="minorHAnsi"/>
                <w:szCs w:val="20"/>
              </w:rPr>
              <w:t>Project Identification Form</w:t>
            </w:r>
          </w:p>
        </w:tc>
      </w:tr>
      <w:tr w:rsidR="00302BFE" w:rsidRPr="00FA2ACE" w14:paraId="2F86846A" w14:textId="77777777" w:rsidTr="00243B15">
        <w:trPr>
          <w:trHeight w:val="20"/>
          <w:jc w:val="center"/>
        </w:trPr>
        <w:tc>
          <w:tcPr>
            <w:tcW w:w="1203" w:type="dxa"/>
            <w:tcBorders>
              <w:bottom w:val="nil"/>
              <w:right w:val="nil"/>
            </w:tcBorders>
            <w:shd w:val="clear" w:color="auto" w:fill="auto"/>
          </w:tcPr>
          <w:p w14:paraId="788DCB2E"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PIMS</w:t>
            </w:r>
          </w:p>
        </w:tc>
        <w:tc>
          <w:tcPr>
            <w:tcW w:w="9395" w:type="dxa"/>
            <w:tcBorders>
              <w:left w:val="nil"/>
              <w:bottom w:val="nil"/>
            </w:tcBorders>
            <w:shd w:val="clear" w:color="auto" w:fill="auto"/>
          </w:tcPr>
          <w:p w14:paraId="72B89DB1"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Project Information Management System</w:t>
            </w:r>
          </w:p>
        </w:tc>
      </w:tr>
      <w:tr w:rsidR="00302BFE" w:rsidRPr="00FA2ACE" w14:paraId="3D65DD00" w14:textId="77777777" w:rsidTr="00243B15">
        <w:trPr>
          <w:trHeight w:val="20"/>
          <w:jc w:val="center"/>
        </w:trPr>
        <w:tc>
          <w:tcPr>
            <w:tcW w:w="1203" w:type="dxa"/>
            <w:tcBorders>
              <w:bottom w:val="nil"/>
              <w:right w:val="nil"/>
            </w:tcBorders>
            <w:shd w:val="clear" w:color="auto" w:fill="auto"/>
          </w:tcPr>
          <w:p w14:paraId="5692ACC0"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PIR</w:t>
            </w:r>
          </w:p>
        </w:tc>
        <w:tc>
          <w:tcPr>
            <w:tcW w:w="9395" w:type="dxa"/>
            <w:tcBorders>
              <w:left w:val="nil"/>
              <w:bottom w:val="nil"/>
            </w:tcBorders>
            <w:shd w:val="clear" w:color="auto" w:fill="auto"/>
          </w:tcPr>
          <w:p w14:paraId="53FA1E36"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 xml:space="preserve">Project </w:t>
            </w:r>
            <w:proofErr w:type="spellStart"/>
            <w:r w:rsidRPr="00FA2ACE">
              <w:rPr>
                <w:rFonts w:asciiTheme="minorHAnsi" w:hAnsiTheme="minorHAnsi" w:cs="Calibri"/>
                <w:sz w:val="20"/>
                <w:szCs w:val="20"/>
                <w:lang w:val="fr-CA"/>
              </w:rPr>
              <w:t>Implementation</w:t>
            </w:r>
            <w:proofErr w:type="spellEnd"/>
            <w:r w:rsidRPr="00FA2ACE">
              <w:rPr>
                <w:rFonts w:asciiTheme="minorHAnsi" w:hAnsiTheme="minorHAnsi" w:cs="Calibri"/>
                <w:sz w:val="20"/>
                <w:szCs w:val="20"/>
                <w:lang w:val="fr-CA"/>
              </w:rPr>
              <w:t xml:space="preserve"> Report</w:t>
            </w:r>
          </w:p>
        </w:tc>
      </w:tr>
      <w:tr w:rsidR="00302BFE" w:rsidRPr="00AB47BD" w14:paraId="1EFC07E4" w14:textId="77777777" w:rsidTr="00243B15">
        <w:trPr>
          <w:trHeight w:val="20"/>
          <w:jc w:val="center"/>
        </w:trPr>
        <w:tc>
          <w:tcPr>
            <w:tcW w:w="1203" w:type="dxa"/>
            <w:tcBorders>
              <w:bottom w:val="nil"/>
              <w:right w:val="nil"/>
            </w:tcBorders>
            <w:shd w:val="clear" w:color="auto" w:fill="auto"/>
          </w:tcPr>
          <w:p w14:paraId="07DC2B9C"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PNGT</w:t>
            </w:r>
          </w:p>
        </w:tc>
        <w:tc>
          <w:tcPr>
            <w:tcW w:w="9395" w:type="dxa"/>
            <w:tcBorders>
              <w:left w:val="nil"/>
              <w:bottom w:val="nil"/>
            </w:tcBorders>
            <w:shd w:val="clear" w:color="auto" w:fill="auto"/>
          </w:tcPr>
          <w:p w14:paraId="2481B4A6"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National Program of Terroir Management (</w:t>
            </w:r>
            <w:r w:rsidRPr="00FA2ACE">
              <w:rPr>
                <w:rFonts w:asciiTheme="minorHAnsi" w:hAnsiTheme="minorHAnsi" w:cs="Calibri"/>
                <w:i/>
                <w:sz w:val="20"/>
                <w:szCs w:val="20"/>
                <w:lang w:val="fr-CA"/>
              </w:rPr>
              <w:t>Programme National de Gestion des Terroirs</w:t>
            </w:r>
            <w:r w:rsidRPr="00FA2ACE">
              <w:rPr>
                <w:rFonts w:asciiTheme="minorHAnsi" w:hAnsiTheme="minorHAnsi" w:cs="Calibri"/>
                <w:sz w:val="20"/>
                <w:szCs w:val="20"/>
                <w:lang w:val="fr-CA"/>
              </w:rPr>
              <w:t>)</w:t>
            </w:r>
          </w:p>
        </w:tc>
      </w:tr>
      <w:tr w:rsidR="00302BFE" w:rsidRPr="00FA2ACE" w14:paraId="299CAE1A" w14:textId="77777777" w:rsidTr="00243B15">
        <w:trPr>
          <w:trHeight w:val="20"/>
          <w:jc w:val="center"/>
        </w:trPr>
        <w:tc>
          <w:tcPr>
            <w:tcW w:w="1203" w:type="dxa"/>
            <w:tcBorders>
              <w:bottom w:val="nil"/>
              <w:right w:val="nil"/>
            </w:tcBorders>
            <w:shd w:val="clear" w:color="auto" w:fill="auto"/>
          </w:tcPr>
          <w:p w14:paraId="45C78986"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sz w:val="20"/>
                <w:szCs w:val="20"/>
                <w:lang w:val="en-CA"/>
              </w:rPr>
              <w:t>PNKT</w:t>
            </w:r>
          </w:p>
        </w:tc>
        <w:tc>
          <w:tcPr>
            <w:tcW w:w="9395" w:type="dxa"/>
            <w:tcBorders>
              <w:left w:val="nil"/>
              <w:bottom w:val="nil"/>
            </w:tcBorders>
            <w:shd w:val="clear" w:color="auto" w:fill="auto"/>
          </w:tcPr>
          <w:p w14:paraId="12F3AF67"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en-CA"/>
              </w:rPr>
              <w:t>Kaboré-</w:t>
            </w:r>
            <w:proofErr w:type="spellStart"/>
            <w:r w:rsidRPr="00FA2ACE">
              <w:rPr>
                <w:rFonts w:asciiTheme="minorHAnsi" w:hAnsiTheme="minorHAnsi" w:cs="Calibri"/>
                <w:sz w:val="20"/>
                <w:szCs w:val="20"/>
                <w:lang w:val="en-CA"/>
              </w:rPr>
              <w:t>Tambi</w:t>
            </w:r>
            <w:proofErr w:type="spellEnd"/>
            <w:r w:rsidRPr="00FA2ACE">
              <w:rPr>
                <w:rFonts w:asciiTheme="minorHAnsi" w:hAnsiTheme="minorHAnsi" w:cs="Calibri"/>
                <w:sz w:val="20"/>
                <w:szCs w:val="20"/>
                <w:lang w:val="en-CA"/>
              </w:rPr>
              <w:t xml:space="preserve"> National Park</w:t>
            </w:r>
          </w:p>
        </w:tc>
      </w:tr>
      <w:tr w:rsidR="00302BFE" w:rsidRPr="00FA2ACE" w14:paraId="65161C0F" w14:textId="77777777" w:rsidTr="00243B15">
        <w:trPr>
          <w:trHeight w:val="20"/>
          <w:jc w:val="center"/>
        </w:trPr>
        <w:tc>
          <w:tcPr>
            <w:tcW w:w="1203" w:type="dxa"/>
            <w:tcBorders>
              <w:bottom w:val="nil"/>
              <w:right w:val="nil"/>
            </w:tcBorders>
            <w:shd w:val="clear" w:color="auto" w:fill="auto"/>
          </w:tcPr>
          <w:p w14:paraId="7ACFF14F"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POPP</w:t>
            </w:r>
          </w:p>
        </w:tc>
        <w:tc>
          <w:tcPr>
            <w:tcW w:w="9395" w:type="dxa"/>
            <w:tcBorders>
              <w:left w:val="nil"/>
              <w:bottom w:val="nil"/>
            </w:tcBorders>
            <w:shd w:val="clear" w:color="auto" w:fill="auto"/>
          </w:tcPr>
          <w:p w14:paraId="16696A0C" w14:textId="77777777" w:rsidR="00302BFE" w:rsidRPr="00FA2ACE" w:rsidRDefault="00302BFE" w:rsidP="00243B15">
            <w:pPr>
              <w:pStyle w:val="Sansinterligne"/>
              <w:rPr>
                <w:rFonts w:asciiTheme="minorHAnsi" w:hAnsiTheme="minorHAnsi" w:cs="Calibri"/>
                <w:sz w:val="20"/>
                <w:szCs w:val="20"/>
              </w:rPr>
            </w:pPr>
            <w:proofErr w:type="spellStart"/>
            <w:r w:rsidRPr="00FA2ACE">
              <w:rPr>
                <w:rFonts w:asciiTheme="minorHAnsi" w:hAnsiTheme="minorHAnsi" w:cs="Calibri"/>
                <w:sz w:val="20"/>
                <w:szCs w:val="20"/>
              </w:rPr>
              <w:t>Programme</w:t>
            </w:r>
            <w:proofErr w:type="spellEnd"/>
            <w:r w:rsidRPr="00FA2ACE">
              <w:rPr>
                <w:rFonts w:asciiTheme="minorHAnsi" w:hAnsiTheme="minorHAnsi" w:cs="Calibri"/>
                <w:sz w:val="20"/>
                <w:szCs w:val="20"/>
              </w:rPr>
              <w:t xml:space="preserve"> and Operations Policies and Procedures</w:t>
            </w:r>
          </w:p>
        </w:tc>
      </w:tr>
      <w:tr w:rsidR="00302BFE" w:rsidRPr="00FA2ACE" w14:paraId="0EC21BC0" w14:textId="77777777" w:rsidTr="00243B15">
        <w:trPr>
          <w:trHeight w:val="20"/>
          <w:jc w:val="center"/>
        </w:trPr>
        <w:tc>
          <w:tcPr>
            <w:tcW w:w="1203" w:type="dxa"/>
            <w:tcBorders>
              <w:bottom w:val="nil"/>
              <w:right w:val="nil"/>
            </w:tcBorders>
            <w:shd w:val="clear" w:color="auto" w:fill="auto"/>
          </w:tcPr>
          <w:p w14:paraId="1C3F5327"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PPG</w:t>
            </w:r>
          </w:p>
        </w:tc>
        <w:tc>
          <w:tcPr>
            <w:tcW w:w="9395" w:type="dxa"/>
            <w:tcBorders>
              <w:left w:val="nil"/>
              <w:bottom w:val="nil"/>
            </w:tcBorders>
            <w:shd w:val="clear" w:color="auto" w:fill="auto"/>
          </w:tcPr>
          <w:p w14:paraId="4465C1A1"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 xml:space="preserve">Project </w:t>
            </w:r>
            <w:proofErr w:type="spellStart"/>
            <w:r w:rsidRPr="00FA2ACE">
              <w:rPr>
                <w:rFonts w:asciiTheme="minorHAnsi" w:hAnsiTheme="minorHAnsi" w:cs="Calibri"/>
                <w:sz w:val="20"/>
                <w:szCs w:val="20"/>
                <w:lang w:val="fr-CA"/>
              </w:rPr>
              <w:t>Preparation</w:t>
            </w:r>
            <w:proofErr w:type="spellEnd"/>
            <w:r w:rsidRPr="00FA2ACE">
              <w:rPr>
                <w:rFonts w:asciiTheme="minorHAnsi" w:hAnsiTheme="minorHAnsi" w:cs="Calibri"/>
                <w:sz w:val="20"/>
                <w:szCs w:val="20"/>
                <w:lang w:val="fr-CA"/>
              </w:rPr>
              <w:t xml:space="preserve"> Grant</w:t>
            </w:r>
          </w:p>
        </w:tc>
      </w:tr>
      <w:tr w:rsidR="00302BFE" w:rsidRPr="00FA2ACE" w14:paraId="2F03CC35" w14:textId="77777777" w:rsidTr="00243B15">
        <w:trPr>
          <w:trHeight w:val="20"/>
          <w:jc w:val="center"/>
        </w:trPr>
        <w:tc>
          <w:tcPr>
            <w:tcW w:w="1203" w:type="dxa"/>
            <w:tcBorders>
              <w:bottom w:val="nil"/>
              <w:right w:val="nil"/>
            </w:tcBorders>
            <w:shd w:val="clear" w:color="auto" w:fill="auto"/>
          </w:tcPr>
          <w:p w14:paraId="47AF5B8F" w14:textId="77777777" w:rsidR="00302BFE" w:rsidRPr="00FA2ACE" w:rsidRDefault="00302BFE" w:rsidP="00243B15">
            <w:pPr>
              <w:pStyle w:val="Sansinterligne"/>
              <w:rPr>
                <w:rStyle w:val="A4"/>
                <w:rFonts w:asciiTheme="minorHAnsi" w:hAnsiTheme="minorHAnsi" w:cs="Calibri"/>
                <w:color w:val="auto"/>
              </w:rPr>
            </w:pPr>
            <w:r w:rsidRPr="00FA2ACE">
              <w:rPr>
                <w:rStyle w:val="A4"/>
                <w:rFonts w:asciiTheme="minorHAnsi" w:hAnsiTheme="minorHAnsi" w:cs="Calibri"/>
                <w:color w:val="auto"/>
              </w:rPr>
              <w:t>REDD</w:t>
            </w:r>
          </w:p>
        </w:tc>
        <w:tc>
          <w:tcPr>
            <w:tcW w:w="9395" w:type="dxa"/>
            <w:tcBorders>
              <w:left w:val="nil"/>
              <w:bottom w:val="nil"/>
            </w:tcBorders>
            <w:shd w:val="clear" w:color="auto" w:fill="auto"/>
          </w:tcPr>
          <w:p w14:paraId="2D584961" w14:textId="77777777" w:rsidR="00302BFE" w:rsidRPr="00FA2ACE" w:rsidRDefault="00302BFE" w:rsidP="00243B15">
            <w:pPr>
              <w:pStyle w:val="Sansinterligne"/>
              <w:rPr>
                <w:rFonts w:asciiTheme="minorHAnsi" w:hAnsiTheme="minorHAnsi" w:cs="Calibri"/>
                <w:sz w:val="20"/>
                <w:szCs w:val="20"/>
                <w:lang w:val="en-CA"/>
              </w:rPr>
            </w:pPr>
            <w:r w:rsidRPr="00FA2ACE">
              <w:rPr>
                <w:rStyle w:val="A4"/>
                <w:rFonts w:asciiTheme="minorHAnsi" w:hAnsiTheme="minorHAnsi" w:cs="Calibri"/>
                <w:color w:val="auto"/>
              </w:rPr>
              <w:t>Reducing Emissions from Deforestation and forest Degradation</w:t>
            </w:r>
          </w:p>
        </w:tc>
      </w:tr>
      <w:tr w:rsidR="00302BFE" w:rsidRPr="00FA2ACE" w14:paraId="3C27D890" w14:textId="77777777" w:rsidTr="00243B15">
        <w:trPr>
          <w:trHeight w:val="20"/>
          <w:jc w:val="center"/>
        </w:trPr>
        <w:tc>
          <w:tcPr>
            <w:tcW w:w="1203" w:type="dxa"/>
            <w:tcBorders>
              <w:bottom w:val="nil"/>
              <w:right w:val="nil"/>
            </w:tcBorders>
            <w:shd w:val="clear" w:color="auto" w:fill="auto"/>
          </w:tcPr>
          <w:p w14:paraId="3FBDC90C" w14:textId="77777777" w:rsidR="00302BFE" w:rsidRPr="00FA2ACE" w:rsidRDefault="00302BFE" w:rsidP="00243B15">
            <w:pPr>
              <w:pStyle w:val="Sansinterligne"/>
              <w:rPr>
                <w:rFonts w:asciiTheme="minorHAnsi" w:hAnsiTheme="minorHAnsi" w:cs="Calibri"/>
                <w:sz w:val="20"/>
                <w:szCs w:val="20"/>
              </w:rPr>
            </w:pPr>
            <w:r w:rsidRPr="00FA2ACE">
              <w:rPr>
                <w:rStyle w:val="A4"/>
                <w:rFonts w:asciiTheme="minorHAnsi" w:hAnsiTheme="minorHAnsi" w:cs="Calibri"/>
                <w:color w:val="auto"/>
              </w:rPr>
              <w:t>REP</w:t>
            </w:r>
          </w:p>
        </w:tc>
        <w:tc>
          <w:tcPr>
            <w:tcW w:w="9395" w:type="dxa"/>
            <w:tcBorders>
              <w:left w:val="nil"/>
              <w:bottom w:val="nil"/>
            </w:tcBorders>
            <w:shd w:val="clear" w:color="auto" w:fill="auto"/>
          </w:tcPr>
          <w:p w14:paraId="6ED6A93F" w14:textId="77777777" w:rsidR="00302BFE" w:rsidRPr="00FA2ACE" w:rsidRDefault="00302BFE" w:rsidP="00243B15">
            <w:pPr>
              <w:pStyle w:val="Sansinterligne"/>
              <w:rPr>
                <w:rFonts w:asciiTheme="minorHAnsi" w:hAnsiTheme="minorHAnsi" w:cs="Calibri"/>
                <w:sz w:val="20"/>
                <w:szCs w:val="20"/>
              </w:rPr>
            </w:pPr>
            <w:r w:rsidRPr="00FA2ACE">
              <w:rPr>
                <w:rStyle w:val="A4"/>
                <w:rFonts w:asciiTheme="minorHAnsi" w:hAnsiTheme="minorHAnsi" w:cs="Calibri"/>
                <w:color w:val="auto"/>
              </w:rPr>
              <w:t>Ruvuma Elephant Project</w:t>
            </w:r>
          </w:p>
        </w:tc>
      </w:tr>
      <w:tr w:rsidR="00F03A01" w:rsidRPr="00FA2ACE" w14:paraId="5922E8E0" w14:textId="77777777" w:rsidTr="00243B15">
        <w:trPr>
          <w:trHeight w:val="20"/>
          <w:jc w:val="center"/>
        </w:trPr>
        <w:tc>
          <w:tcPr>
            <w:tcW w:w="1203" w:type="dxa"/>
            <w:tcBorders>
              <w:bottom w:val="nil"/>
              <w:right w:val="nil"/>
            </w:tcBorders>
            <w:shd w:val="clear" w:color="auto" w:fill="auto"/>
          </w:tcPr>
          <w:p w14:paraId="0D205956" w14:textId="3A9815EE" w:rsidR="00F03A01" w:rsidRPr="00FA2ACE" w:rsidRDefault="00F03A01" w:rsidP="00243B15">
            <w:pPr>
              <w:pStyle w:val="Sansinterligne"/>
              <w:rPr>
                <w:rStyle w:val="A4"/>
                <w:rFonts w:asciiTheme="minorHAnsi" w:hAnsiTheme="minorHAnsi" w:cs="Calibri"/>
                <w:color w:val="auto"/>
              </w:rPr>
            </w:pPr>
            <w:r w:rsidRPr="00FA2ACE">
              <w:rPr>
                <w:rStyle w:val="A4"/>
                <w:rFonts w:asciiTheme="minorHAnsi" w:hAnsiTheme="minorHAnsi" w:cs="Calibri"/>
                <w:color w:val="auto"/>
              </w:rPr>
              <w:t>R</w:t>
            </w:r>
            <w:r w:rsidRPr="00FA2ACE">
              <w:rPr>
                <w:rStyle w:val="A4"/>
                <w:rFonts w:asciiTheme="minorHAnsi" w:hAnsiTheme="minorHAnsi" w:cs="Calibri"/>
              </w:rPr>
              <w:t>GN</w:t>
            </w:r>
          </w:p>
        </w:tc>
        <w:tc>
          <w:tcPr>
            <w:tcW w:w="9395" w:type="dxa"/>
            <w:tcBorders>
              <w:left w:val="nil"/>
              <w:bottom w:val="nil"/>
            </w:tcBorders>
            <w:shd w:val="clear" w:color="auto" w:fill="auto"/>
          </w:tcPr>
          <w:p w14:paraId="2D0FFB28" w14:textId="778E2512" w:rsidR="00F03A01" w:rsidRPr="00FA2ACE" w:rsidRDefault="00F03A01" w:rsidP="00243B15">
            <w:pPr>
              <w:pStyle w:val="Sansinterligne"/>
              <w:rPr>
                <w:rStyle w:val="A4"/>
                <w:rFonts w:asciiTheme="minorHAnsi" w:hAnsiTheme="minorHAnsi" w:cs="Calibri"/>
                <w:color w:val="auto"/>
              </w:rPr>
            </w:pPr>
            <w:proofErr w:type="spellStart"/>
            <w:r w:rsidRPr="00FA2ACE">
              <w:rPr>
                <w:rFonts w:asciiTheme="minorHAnsi" w:hAnsiTheme="minorHAnsi" w:cs="Calibri"/>
                <w:sz w:val="20"/>
                <w:szCs w:val="20"/>
              </w:rPr>
              <w:t>Nazinga</w:t>
            </w:r>
            <w:proofErr w:type="spellEnd"/>
            <w:r w:rsidRPr="00FA2ACE">
              <w:rPr>
                <w:rFonts w:asciiTheme="minorHAnsi" w:hAnsiTheme="minorHAnsi" w:cs="Calibri"/>
                <w:sz w:val="20"/>
                <w:szCs w:val="20"/>
              </w:rPr>
              <w:t xml:space="preserve"> Game Ranch</w:t>
            </w:r>
          </w:p>
        </w:tc>
      </w:tr>
      <w:tr w:rsidR="00FA2ACE" w:rsidRPr="00FA2ACE" w14:paraId="06844841" w14:textId="77777777" w:rsidTr="00243B15">
        <w:trPr>
          <w:trHeight w:val="20"/>
          <w:jc w:val="center"/>
        </w:trPr>
        <w:tc>
          <w:tcPr>
            <w:tcW w:w="1203" w:type="dxa"/>
            <w:tcBorders>
              <w:bottom w:val="nil"/>
              <w:right w:val="nil"/>
            </w:tcBorders>
            <w:shd w:val="clear" w:color="auto" w:fill="auto"/>
          </w:tcPr>
          <w:p w14:paraId="760B9CD2" w14:textId="41C7339F" w:rsidR="00C97C6D" w:rsidRDefault="00C97C6D" w:rsidP="00243B15">
            <w:pPr>
              <w:pStyle w:val="Sansinterligne"/>
              <w:rPr>
                <w:rFonts w:asciiTheme="minorHAnsi" w:hAnsiTheme="minorHAnsi"/>
                <w:sz w:val="20"/>
                <w:szCs w:val="20"/>
                <w:lang w:val="en-GB"/>
              </w:rPr>
            </w:pPr>
            <w:r>
              <w:rPr>
                <w:rFonts w:asciiTheme="minorHAnsi" w:hAnsiTheme="minorHAnsi"/>
                <w:sz w:val="20"/>
                <w:szCs w:val="20"/>
                <w:lang w:val="en-GB"/>
              </w:rPr>
              <w:t>SESA</w:t>
            </w:r>
          </w:p>
          <w:p w14:paraId="0CF4BCBD" w14:textId="71A8DBF8" w:rsidR="00B77270" w:rsidRDefault="0074142F" w:rsidP="00243B15">
            <w:pPr>
              <w:pStyle w:val="Sansinterligne"/>
              <w:rPr>
                <w:rFonts w:asciiTheme="minorHAnsi" w:hAnsiTheme="minorHAnsi"/>
                <w:sz w:val="20"/>
                <w:szCs w:val="20"/>
                <w:lang w:val="en-GB"/>
              </w:rPr>
            </w:pPr>
            <w:r>
              <w:rPr>
                <w:rFonts w:asciiTheme="minorHAnsi" w:hAnsiTheme="minorHAnsi"/>
                <w:sz w:val="20"/>
                <w:szCs w:val="20"/>
                <w:lang w:val="en-GB"/>
              </w:rPr>
              <w:t>SEP</w:t>
            </w:r>
          </w:p>
          <w:p w14:paraId="34992DA6" w14:textId="1B1197AE" w:rsidR="00FA2ACE" w:rsidRPr="00FA2ACE" w:rsidRDefault="00FA2ACE" w:rsidP="00243B15">
            <w:pPr>
              <w:pStyle w:val="Sansinterligne"/>
              <w:rPr>
                <w:rStyle w:val="A4"/>
                <w:rFonts w:asciiTheme="minorHAnsi" w:hAnsiTheme="minorHAnsi" w:cs="Calibri"/>
                <w:color w:val="auto"/>
              </w:rPr>
            </w:pPr>
            <w:r w:rsidRPr="00FA2ACE">
              <w:rPr>
                <w:rFonts w:asciiTheme="minorHAnsi" w:hAnsiTheme="minorHAnsi"/>
                <w:sz w:val="20"/>
                <w:szCs w:val="20"/>
                <w:lang w:val="en-GB"/>
              </w:rPr>
              <w:t>SES</w:t>
            </w:r>
          </w:p>
        </w:tc>
        <w:tc>
          <w:tcPr>
            <w:tcW w:w="9395" w:type="dxa"/>
            <w:tcBorders>
              <w:left w:val="nil"/>
              <w:bottom w:val="nil"/>
            </w:tcBorders>
            <w:shd w:val="clear" w:color="auto" w:fill="auto"/>
          </w:tcPr>
          <w:p w14:paraId="2A3BC040" w14:textId="03EC010A" w:rsidR="00C97C6D" w:rsidRDefault="00C97C6D" w:rsidP="00243B15">
            <w:pPr>
              <w:pStyle w:val="Sansinterligne"/>
              <w:rPr>
                <w:rFonts w:asciiTheme="minorHAnsi" w:hAnsiTheme="minorHAnsi"/>
                <w:sz w:val="20"/>
                <w:szCs w:val="20"/>
              </w:rPr>
            </w:pPr>
            <w:r w:rsidRPr="00C97C6D">
              <w:rPr>
                <w:rFonts w:asciiTheme="minorHAnsi" w:hAnsiTheme="minorHAnsi"/>
                <w:sz w:val="20"/>
                <w:szCs w:val="20"/>
              </w:rPr>
              <w:t>Strategic Social and Environmental Assessment</w:t>
            </w:r>
          </w:p>
          <w:p w14:paraId="30E1C298" w14:textId="1214277E" w:rsidR="00B77270" w:rsidRDefault="00B77270" w:rsidP="00243B15">
            <w:pPr>
              <w:pStyle w:val="Sansinterligne"/>
              <w:rPr>
                <w:rFonts w:asciiTheme="minorHAnsi" w:hAnsiTheme="minorHAnsi"/>
                <w:sz w:val="20"/>
                <w:szCs w:val="20"/>
              </w:rPr>
            </w:pPr>
            <w:r>
              <w:rPr>
                <w:rFonts w:asciiTheme="minorHAnsi" w:hAnsiTheme="minorHAnsi"/>
                <w:sz w:val="20"/>
                <w:szCs w:val="20"/>
              </w:rPr>
              <w:t>Stakeholder Engagement Plan</w:t>
            </w:r>
          </w:p>
          <w:p w14:paraId="737910BE" w14:textId="23F95FED" w:rsidR="00FA2ACE" w:rsidRPr="00FA2ACE" w:rsidRDefault="00FA2ACE" w:rsidP="00243B15">
            <w:pPr>
              <w:pStyle w:val="Sansinterligne"/>
              <w:rPr>
                <w:rFonts w:asciiTheme="minorHAnsi" w:hAnsiTheme="minorHAnsi" w:cs="Calibri"/>
                <w:sz w:val="20"/>
                <w:szCs w:val="20"/>
              </w:rPr>
            </w:pPr>
            <w:r w:rsidRPr="00FA2ACE">
              <w:rPr>
                <w:rFonts w:asciiTheme="minorHAnsi" w:hAnsiTheme="minorHAnsi"/>
                <w:sz w:val="20"/>
                <w:szCs w:val="20"/>
              </w:rPr>
              <w:t>UNDP’s Social and Environmental Standards</w:t>
            </w:r>
          </w:p>
        </w:tc>
      </w:tr>
      <w:tr w:rsidR="00302BFE" w:rsidRPr="00FA2ACE" w14:paraId="1801B8BE" w14:textId="77777777" w:rsidTr="00243B15">
        <w:trPr>
          <w:trHeight w:val="20"/>
          <w:jc w:val="center"/>
        </w:trPr>
        <w:tc>
          <w:tcPr>
            <w:tcW w:w="1203" w:type="dxa"/>
            <w:tcBorders>
              <w:bottom w:val="nil"/>
              <w:right w:val="nil"/>
            </w:tcBorders>
            <w:shd w:val="clear" w:color="auto" w:fill="auto"/>
          </w:tcPr>
          <w:p w14:paraId="257975B7" w14:textId="77777777" w:rsidR="00B77270" w:rsidRDefault="00B77270" w:rsidP="00243B15">
            <w:pPr>
              <w:pStyle w:val="Sansinterligne"/>
              <w:rPr>
                <w:rFonts w:asciiTheme="minorHAnsi" w:hAnsiTheme="minorHAnsi"/>
                <w:sz w:val="20"/>
                <w:szCs w:val="20"/>
                <w:lang w:val="en-GB"/>
              </w:rPr>
            </w:pPr>
            <w:r>
              <w:rPr>
                <w:rFonts w:asciiTheme="minorHAnsi" w:hAnsiTheme="minorHAnsi"/>
                <w:sz w:val="20"/>
                <w:szCs w:val="20"/>
                <w:lang w:val="en-GB"/>
              </w:rPr>
              <w:t>SESP</w:t>
            </w:r>
          </w:p>
          <w:p w14:paraId="5FABDDC2" w14:textId="6A7BABC4"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sz w:val="20"/>
                <w:szCs w:val="20"/>
                <w:lang w:val="en-GB"/>
              </w:rPr>
              <w:t>SLM</w:t>
            </w:r>
          </w:p>
        </w:tc>
        <w:tc>
          <w:tcPr>
            <w:tcW w:w="9395" w:type="dxa"/>
            <w:tcBorders>
              <w:left w:val="nil"/>
              <w:bottom w:val="nil"/>
            </w:tcBorders>
            <w:shd w:val="clear" w:color="auto" w:fill="auto"/>
          </w:tcPr>
          <w:p w14:paraId="543B9936" w14:textId="6681C28D" w:rsidR="00B77270" w:rsidRDefault="00B77270" w:rsidP="00243B15">
            <w:pPr>
              <w:pStyle w:val="Sansinterligne"/>
              <w:rPr>
                <w:rFonts w:asciiTheme="minorHAnsi" w:hAnsiTheme="minorHAnsi" w:cs="Calibri"/>
                <w:sz w:val="20"/>
                <w:szCs w:val="20"/>
              </w:rPr>
            </w:pPr>
            <w:r>
              <w:rPr>
                <w:rFonts w:asciiTheme="minorHAnsi" w:hAnsiTheme="minorHAnsi" w:cs="Calibri"/>
                <w:sz w:val="20"/>
                <w:szCs w:val="20"/>
              </w:rPr>
              <w:t>Social and Environmental Screening Procedure</w:t>
            </w:r>
          </w:p>
          <w:p w14:paraId="5F674653" w14:textId="3FA5BC75"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Sustainable Land Management</w:t>
            </w:r>
          </w:p>
        </w:tc>
      </w:tr>
      <w:tr w:rsidR="00FA2ACE" w:rsidRPr="00FA2ACE" w14:paraId="608EFF42" w14:textId="77777777" w:rsidTr="00243B15">
        <w:trPr>
          <w:trHeight w:val="20"/>
          <w:jc w:val="center"/>
        </w:trPr>
        <w:tc>
          <w:tcPr>
            <w:tcW w:w="1203" w:type="dxa"/>
            <w:tcBorders>
              <w:bottom w:val="nil"/>
              <w:right w:val="nil"/>
            </w:tcBorders>
            <w:shd w:val="clear" w:color="auto" w:fill="auto"/>
          </w:tcPr>
          <w:p w14:paraId="425AAE34" w14:textId="137740BD" w:rsidR="00FA2ACE" w:rsidRPr="00FA2ACE" w:rsidRDefault="00FA2ACE" w:rsidP="00243B15">
            <w:pPr>
              <w:pStyle w:val="Sansinterligne"/>
              <w:rPr>
                <w:rFonts w:asciiTheme="minorHAnsi" w:hAnsiTheme="minorHAnsi"/>
                <w:sz w:val="20"/>
                <w:szCs w:val="20"/>
                <w:lang w:val="en-GB"/>
              </w:rPr>
            </w:pPr>
            <w:r w:rsidRPr="00FA2ACE">
              <w:rPr>
                <w:rFonts w:asciiTheme="minorHAnsi" w:hAnsiTheme="minorHAnsi"/>
                <w:sz w:val="20"/>
                <w:szCs w:val="20"/>
                <w:lang w:val="en-GB"/>
              </w:rPr>
              <w:t>SMART</w:t>
            </w:r>
          </w:p>
        </w:tc>
        <w:tc>
          <w:tcPr>
            <w:tcW w:w="9395" w:type="dxa"/>
            <w:tcBorders>
              <w:left w:val="nil"/>
              <w:bottom w:val="nil"/>
            </w:tcBorders>
            <w:shd w:val="clear" w:color="auto" w:fill="auto"/>
          </w:tcPr>
          <w:p w14:paraId="2BD9E0BA" w14:textId="17DCFDEE" w:rsidR="00FA2ACE" w:rsidRPr="00FA2ACE" w:rsidRDefault="00FA2ACE" w:rsidP="00243B15">
            <w:pPr>
              <w:pStyle w:val="Sansinterligne"/>
              <w:rPr>
                <w:rFonts w:asciiTheme="minorHAnsi" w:hAnsiTheme="minorHAnsi" w:cs="Calibri"/>
                <w:sz w:val="20"/>
                <w:szCs w:val="20"/>
              </w:rPr>
            </w:pPr>
            <w:r w:rsidRPr="00FA2ACE">
              <w:rPr>
                <w:rFonts w:asciiTheme="minorHAnsi" w:hAnsiTheme="minorHAnsi"/>
                <w:sz w:val="20"/>
                <w:szCs w:val="20"/>
                <w:lang w:val="en-CA"/>
              </w:rPr>
              <w:t>Spatial Monitoring and Reporting Tool</w:t>
            </w:r>
          </w:p>
        </w:tc>
      </w:tr>
      <w:tr w:rsidR="00FA2ACE" w:rsidRPr="00FA2ACE" w14:paraId="37D8B5E4" w14:textId="77777777" w:rsidTr="00243B15">
        <w:trPr>
          <w:trHeight w:val="20"/>
          <w:jc w:val="center"/>
        </w:trPr>
        <w:tc>
          <w:tcPr>
            <w:tcW w:w="1203" w:type="dxa"/>
            <w:tcBorders>
              <w:bottom w:val="nil"/>
              <w:right w:val="nil"/>
            </w:tcBorders>
            <w:shd w:val="clear" w:color="auto" w:fill="auto"/>
          </w:tcPr>
          <w:p w14:paraId="7D21D215" w14:textId="3339F70D" w:rsidR="00FA2ACE" w:rsidRPr="00FA2ACE" w:rsidRDefault="00FA2ACE" w:rsidP="00243B15">
            <w:pPr>
              <w:pStyle w:val="Sansinterligne"/>
              <w:rPr>
                <w:rFonts w:asciiTheme="minorHAnsi" w:hAnsiTheme="minorHAnsi"/>
                <w:sz w:val="20"/>
                <w:szCs w:val="20"/>
                <w:lang w:val="en-GB"/>
              </w:rPr>
            </w:pPr>
            <w:r w:rsidRPr="00FA2ACE">
              <w:rPr>
                <w:rFonts w:asciiTheme="minorHAnsi" w:hAnsiTheme="minorHAnsi"/>
                <w:sz w:val="20"/>
                <w:szCs w:val="20"/>
                <w:lang w:val="en-GB"/>
              </w:rPr>
              <w:t>SRM</w:t>
            </w:r>
          </w:p>
        </w:tc>
        <w:tc>
          <w:tcPr>
            <w:tcW w:w="9395" w:type="dxa"/>
            <w:tcBorders>
              <w:left w:val="nil"/>
              <w:bottom w:val="nil"/>
            </w:tcBorders>
            <w:shd w:val="clear" w:color="auto" w:fill="auto"/>
          </w:tcPr>
          <w:p w14:paraId="158559F4" w14:textId="19CB60E2" w:rsidR="00FA2ACE" w:rsidRPr="00FA2ACE" w:rsidRDefault="00FA2ACE" w:rsidP="00243B15">
            <w:pPr>
              <w:pStyle w:val="Sansinterligne"/>
              <w:rPr>
                <w:rFonts w:asciiTheme="minorHAnsi" w:hAnsiTheme="minorHAnsi" w:cs="Calibri"/>
                <w:sz w:val="20"/>
                <w:szCs w:val="20"/>
              </w:rPr>
            </w:pPr>
            <w:r w:rsidRPr="00FA2ACE">
              <w:rPr>
                <w:rFonts w:asciiTheme="minorHAnsi" w:hAnsiTheme="minorHAnsi"/>
                <w:sz w:val="20"/>
                <w:szCs w:val="20"/>
                <w:lang w:val="en-GB"/>
              </w:rPr>
              <w:t>Stakeholder Response Mechanism</w:t>
            </w:r>
          </w:p>
        </w:tc>
      </w:tr>
      <w:tr w:rsidR="00302BFE" w:rsidRPr="00FA2ACE" w14:paraId="55496596" w14:textId="77777777" w:rsidTr="00243B15">
        <w:trPr>
          <w:trHeight w:val="20"/>
          <w:jc w:val="center"/>
        </w:trPr>
        <w:tc>
          <w:tcPr>
            <w:tcW w:w="1203" w:type="dxa"/>
            <w:tcBorders>
              <w:bottom w:val="nil"/>
              <w:right w:val="nil"/>
            </w:tcBorders>
            <w:shd w:val="clear" w:color="auto" w:fill="auto"/>
          </w:tcPr>
          <w:p w14:paraId="15191BA8" w14:textId="77777777" w:rsidR="00302BFE" w:rsidRPr="00FA2ACE" w:rsidRDefault="00302BFE" w:rsidP="00243B15">
            <w:pPr>
              <w:spacing w:after="0"/>
              <w:rPr>
                <w:rFonts w:asciiTheme="minorHAnsi" w:hAnsiTheme="minorHAnsi"/>
                <w:szCs w:val="20"/>
              </w:rPr>
            </w:pPr>
            <w:r w:rsidRPr="00FA2ACE">
              <w:rPr>
                <w:rFonts w:asciiTheme="minorHAnsi" w:hAnsiTheme="minorHAnsi"/>
                <w:szCs w:val="20"/>
              </w:rPr>
              <w:t>STAP</w:t>
            </w:r>
          </w:p>
        </w:tc>
        <w:tc>
          <w:tcPr>
            <w:tcW w:w="9395" w:type="dxa"/>
            <w:tcBorders>
              <w:left w:val="nil"/>
              <w:bottom w:val="nil"/>
            </w:tcBorders>
            <w:shd w:val="clear" w:color="auto" w:fill="auto"/>
          </w:tcPr>
          <w:p w14:paraId="7F46AC35" w14:textId="77777777" w:rsidR="00302BFE" w:rsidRPr="00FA2ACE" w:rsidRDefault="00302BFE" w:rsidP="00243B15">
            <w:pPr>
              <w:spacing w:after="0"/>
              <w:rPr>
                <w:rFonts w:asciiTheme="minorHAnsi" w:hAnsiTheme="minorHAnsi"/>
                <w:szCs w:val="20"/>
              </w:rPr>
            </w:pPr>
            <w:r w:rsidRPr="00FA2ACE">
              <w:rPr>
                <w:rFonts w:asciiTheme="minorHAnsi" w:hAnsiTheme="minorHAnsi"/>
                <w:szCs w:val="20"/>
              </w:rPr>
              <w:t>GEF Scientific Technical Advisory Panel</w:t>
            </w:r>
          </w:p>
        </w:tc>
      </w:tr>
      <w:tr w:rsidR="00302BFE" w:rsidRPr="00FA2ACE" w14:paraId="13CEB587" w14:textId="77777777" w:rsidTr="00243B15">
        <w:trPr>
          <w:trHeight w:val="20"/>
          <w:jc w:val="center"/>
        </w:trPr>
        <w:tc>
          <w:tcPr>
            <w:tcW w:w="1203" w:type="dxa"/>
            <w:tcBorders>
              <w:bottom w:val="nil"/>
              <w:right w:val="nil"/>
            </w:tcBorders>
            <w:shd w:val="clear" w:color="auto" w:fill="auto"/>
          </w:tcPr>
          <w:p w14:paraId="7BCB20E7"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TRAC</w:t>
            </w:r>
          </w:p>
        </w:tc>
        <w:tc>
          <w:tcPr>
            <w:tcW w:w="9395" w:type="dxa"/>
            <w:tcBorders>
              <w:left w:val="nil"/>
              <w:bottom w:val="nil"/>
            </w:tcBorders>
            <w:shd w:val="clear" w:color="auto" w:fill="auto"/>
          </w:tcPr>
          <w:p w14:paraId="3ABA2FF6"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Transparent Resource Assignment from the Core (UNDP)</w:t>
            </w:r>
          </w:p>
        </w:tc>
      </w:tr>
      <w:tr w:rsidR="00302BFE" w:rsidRPr="00AB47BD" w14:paraId="5E991EBF" w14:textId="77777777" w:rsidTr="00243B15">
        <w:trPr>
          <w:trHeight w:val="20"/>
          <w:jc w:val="center"/>
        </w:trPr>
        <w:tc>
          <w:tcPr>
            <w:tcW w:w="1203" w:type="dxa"/>
            <w:tcBorders>
              <w:bottom w:val="nil"/>
              <w:right w:val="nil"/>
            </w:tcBorders>
            <w:shd w:val="clear" w:color="auto" w:fill="auto"/>
          </w:tcPr>
          <w:p w14:paraId="7C16C89E"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UCF</w:t>
            </w:r>
          </w:p>
        </w:tc>
        <w:tc>
          <w:tcPr>
            <w:tcW w:w="9395" w:type="dxa"/>
            <w:tcBorders>
              <w:left w:val="nil"/>
              <w:bottom w:val="nil"/>
            </w:tcBorders>
            <w:shd w:val="clear" w:color="auto" w:fill="auto"/>
          </w:tcPr>
          <w:p w14:paraId="111B47AB" w14:textId="77777777" w:rsidR="00302BFE" w:rsidRPr="00FA2ACE" w:rsidRDefault="00302BFE" w:rsidP="00243B15">
            <w:pPr>
              <w:pStyle w:val="Sansinterligne"/>
              <w:rPr>
                <w:rFonts w:asciiTheme="minorHAnsi" w:hAnsiTheme="minorHAnsi" w:cs="Calibri"/>
                <w:sz w:val="20"/>
                <w:szCs w:val="20"/>
                <w:lang w:val="fr-CA"/>
              </w:rPr>
            </w:pPr>
            <w:proofErr w:type="spellStart"/>
            <w:r w:rsidRPr="00FA2ACE">
              <w:rPr>
                <w:rFonts w:asciiTheme="minorHAnsi" w:hAnsiTheme="minorHAnsi" w:cs="Calibri"/>
                <w:sz w:val="20"/>
                <w:szCs w:val="20"/>
                <w:lang w:val="fr-CA"/>
              </w:rPr>
              <w:t>Wildlife</w:t>
            </w:r>
            <w:proofErr w:type="spellEnd"/>
            <w:r w:rsidRPr="00FA2ACE">
              <w:rPr>
                <w:rFonts w:asciiTheme="minorHAnsi" w:hAnsiTheme="minorHAnsi" w:cs="Calibri"/>
                <w:sz w:val="20"/>
                <w:szCs w:val="20"/>
                <w:lang w:val="fr-CA"/>
              </w:rPr>
              <w:t xml:space="preserve"> Conservation </w:t>
            </w:r>
            <w:proofErr w:type="spellStart"/>
            <w:r w:rsidRPr="00FA2ACE">
              <w:rPr>
                <w:rFonts w:asciiTheme="minorHAnsi" w:hAnsiTheme="minorHAnsi" w:cs="Calibri"/>
                <w:sz w:val="20"/>
                <w:szCs w:val="20"/>
                <w:lang w:val="fr-CA"/>
              </w:rPr>
              <w:t>Units</w:t>
            </w:r>
            <w:proofErr w:type="spellEnd"/>
            <w:r w:rsidRPr="00FA2ACE">
              <w:rPr>
                <w:rFonts w:asciiTheme="minorHAnsi" w:hAnsiTheme="minorHAnsi" w:cs="Calibri"/>
                <w:sz w:val="20"/>
                <w:szCs w:val="20"/>
                <w:lang w:val="fr-CA"/>
              </w:rPr>
              <w:t xml:space="preserve"> (</w:t>
            </w:r>
            <w:r w:rsidRPr="00FA2ACE">
              <w:rPr>
                <w:rFonts w:asciiTheme="minorHAnsi" w:hAnsiTheme="minorHAnsi" w:cs="Calibri"/>
                <w:i/>
                <w:sz w:val="20"/>
                <w:szCs w:val="20"/>
                <w:lang w:val="fr-CA"/>
              </w:rPr>
              <w:t>Unités de Conservation de la Faune</w:t>
            </w:r>
            <w:r w:rsidRPr="00FA2ACE">
              <w:rPr>
                <w:rFonts w:asciiTheme="minorHAnsi" w:hAnsiTheme="minorHAnsi" w:cs="Calibri"/>
                <w:sz w:val="20"/>
                <w:szCs w:val="20"/>
                <w:lang w:val="fr-CA"/>
              </w:rPr>
              <w:t>)</w:t>
            </w:r>
          </w:p>
        </w:tc>
      </w:tr>
      <w:tr w:rsidR="00302BFE" w:rsidRPr="00FA2ACE" w14:paraId="39C5FCFF" w14:textId="77777777" w:rsidTr="00243B15">
        <w:trPr>
          <w:trHeight w:val="20"/>
          <w:jc w:val="center"/>
        </w:trPr>
        <w:tc>
          <w:tcPr>
            <w:tcW w:w="1203" w:type="dxa"/>
            <w:tcBorders>
              <w:bottom w:val="nil"/>
              <w:right w:val="nil"/>
            </w:tcBorders>
            <w:shd w:val="clear" w:color="auto" w:fill="auto"/>
          </w:tcPr>
          <w:p w14:paraId="333D64FF"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UGGF</w:t>
            </w:r>
          </w:p>
        </w:tc>
        <w:tc>
          <w:tcPr>
            <w:tcW w:w="9395" w:type="dxa"/>
            <w:tcBorders>
              <w:left w:val="nil"/>
              <w:bottom w:val="nil"/>
            </w:tcBorders>
            <w:shd w:val="clear" w:color="auto" w:fill="auto"/>
          </w:tcPr>
          <w:p w14:paraId="55585BC8"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Union of Forest Management Groups (</w:t>
            </w:r>
            <w:r w:rsidRPr="00FA2ACE">
              <w:rPr>
                <w:rFonts w:asciiTheme="minorHAnsi" w:hAnsiTheme="minorHAnsi" w:cs="Calibri"/>
                <w:i/>
                <w:sz w:val="20"/>
                <w:szCs w:val="20"/>
                <w:lang w:val="fr-CA"/>
              </w:rPr>
              <w:t>Union des Groupements de gestion forestière</w:t>
            </w:r>
            <w:r w:rsidRPr="00FA2ACE">
              <w:rPr>
                <w:rFonts w:asciiTheme="minorHAnsi" w:hAnsiTheme="minorHAnsi" w:cs="Calibri"/>
                <w:sz w:val="20"/>
                <w:szCs w:val="20"/>
                <w:lang w:val="fr-CA"/>
              </w:rPr>
              <w:t>)</w:t>
            </w:r>
          </w:p>
        </w:tc>
      </w:tr>
      <w:tr w:rsidR="00302BFE" w:rsidRPr="00FA2ACE" w14:paraId="1949D580" w14:textId="77777777" w:rsidTr="00243B15">
        <w:trPr>
          <w:trHeight w:val="20"/>
          <w:jc w:val="center"/>
        </w:trPr>
        <w:tc>
          <w:tcPr>
            <w:tcW w:w="1203" w:type="dxa"/>
            <w:tcBorders>
              <w:bottom w:val="nil"/>
              <w:right w:val="nil"/>
            </w:tcBorders>
            <w:shd w:val="clear" w:color="auto" w:fill="auto"/>
          </w:tcPr>
          <w:p w14:paraId="7B878758"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UNDP</w:t>
            </w:r>
          </w:p>
        </w:tc>
        <w:tc>
          <w:tcPr>
            <w:tcW w:w="9395" w:type="dxa"/>
            <w:tcBorders>
              <w:left w:val="nil"/>
              <w:bottom w:val="nil"/>
            </w:tcBorders>
            <w:shd w:val="clear" w:color="auto" w:fill="auto"/>
          </w:tcPr>
          <w:p w14:paraId="19602A77"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cs="Calibri"/>
                <w:sz w:val="20"/>
                <w:szCs w:val="20"/>
                <w:lang w:val="fr-CA"/>
              </w:rPr>
              <w:t xml:space="preserve">United Nations </w:t>
            </w:r>
            <w:proofErr w:type="spellStart"/>
            <w:r w:rsidRPr="00FA2ACE">
              <w:rPr>
                <w:rFonts w:asciiTheme="minorHAnsi" w:hAnsiTheme="minorHAnsi" w:cs="Calibri"/>
                <w:sz w:val="20"/>
                <w:szCs w:val="20"/>
                <w:lang w:val="fr-CA"/>
              </w:rPr>
              <w:t>Development</w:t>
            </w:r>
            <w:proofErr w:type="spellEnd"/>
            <w:r w:rsidRPr="00FA2ACE">
              <w:rPr>
                <w:rFonts w:asciiTheme="minorHAnsi" w:hAnsiTheme="minorHAnsi" w:cs="Calibri"/>
                <w:sz w:val="20"/>
                <w:szCs w:val="20"/>
                <w:lang w:val="fr-CA"/>
              </w:rPr>
              <w:t xml:space="preserve"> Program</w:t>
            </w:r>
          </w:p>
        </w:tc>
      </w:tr>
      <w:tr w:rsidR="00302BFE" w:rsidRPr="00FA2ACE" w14:paraId="6517B655" w14:textId="77777777" w:rsidTr="00243B15">
        <w:trPr>
          <w:trHeight w:val="20"/>
          <w:jc w:val="center"/>
        </w:trPr>
        <w:tc>
          <w:tcPr>
            <w:tcW w:w="1203" w:type="dxa"/>
            <w:tcBorders>
              <w:bottom w:val="nil"/>
              <w:right w:val="nil"/>
            </w:tcBorders>
            <w:shd w:val="clear" w:color="auto" w:fill="auto"/>
          </w:tcPr>
          <w:p w14:paraId="409040CE"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UNDP-GEF</w:t>
            </w:r>
          </w:p>
        </w:tc>
        <w:tc>
          <w:tcPr>
            <w:tcW w:w="9395" w:type="dxa"/>
            <w:tcBorders>
              <w:left w:val="nil"/>
              <w:bottom w:val="nil"/>
            </w:tcBorders>
            <w:shd w:val="clear" w:color="auto" w:fill="auto"/>
          </w:tcPr>
          <w:p w14:paraId="7912E63D"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UNDP Global Environmental Finance Unit</w:t>
            </w:r>
          </w:p>
        </w:tc>
      </w:tr>
      <w:tr w:rsidR="00302BFE" w:rsidRPr="00FA2ACE" w14:paraId="606FFA29" w14:textId="77777777" w:rsidTr="00243B15">
        <w:trPr>
          <w:trHeight w:val="20"/>
          <w:jc w:val="center"/>
        </w:trPr>
        <w:tc>
          <w:tcPr>
            <w:tcW w:w="1203" w:type="dxa"/>
            <w:tcBorders>
              <w:bottom w:val="nil"/>
              <w:right w:val="nil"/>
            </w:tcBorders>
            <w:shd w:val="clear" w:color="auto" w:fill="auto"/>
          </w:tcPr>
          <w:p w14:paraId="59BAC49A"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VU</w:t>
            </w:r>
          </w:p>
        </w:tc>
        <w:tc>
          <w:tcPr>
            <w:tcW w:w="9395" w:type="dxa"/>
            <w:tcBorders>
              <w:left w:val="nil"/>
              <w:bottom w:val="nil"/>
            </w:tcBorders>
            <w:shd w:val="clear" w:color="auto" w:fill="auto"/>
          </w:tcPr>
          <w:p w14:paraId="6D152D19" w14:textId="77777777" w:rsidR="00302BFE" w:rsidRPr="00FA2ACE" w:rsidRDefault="00302BFE" w:rsidP="00243B15">
            <w:pPr>
              <w:pStyle w:val="Sansinterligne"/>
              <w:rPr>
                <w:rFonts w:asciiTheme="minorHAnsi" w:hAnsiTheme="minorHAnsi" w:cs="Calibri"/>
                <w:sz w:val="20"/>
                <w:szCs w:val="20"/>
                <w:lang w:val="en-CA"/>
              </w:rPr>
            </w:pPr>
            <w:r w:rsidRPr="00FA2ACE">
              <w:rPr>
                <w:rFonts w:asciiTheme="minorHAnsi" w:hAnsiTheme="minorHAnsi" w:cs="Calibri"/>
                <w:sz w:val="20"/>
                <w:szCs w:val="20"/>
                <w:lang w:val="en-CA"/>
              </w:rPr>
              <w:t>Vulnerable (Status in IUCN Red List)</w:t>
            </w:r>
          </w:p>
        </w:tc>
      </w:tr>
      <w:tr w:rsidR="00302BFE" w:rsidRPr="00FA2ACE" w14:paraId="7BF23567" w14:textId="77777777" w:rsidTr="00243B15">
        <w:trPr>
          <w:trHeight w:val="20"/>
          <w:jc w:val="center"/>
        </w:trPr>
        <w:tc>
          <w:tcPr>
            <w:tcW w:w="1203" w:type="dxa"/>
            <w:tcBorders>
              <w:bottom w:val="nil"/>
              <w:right w:val="nil"/>
            </w:tcBorders>
            <w:shd w:val="clear" w:color="auto" w:fill="auto"/>
          </w:tcPr>
          <w:p w14:paraId="42DCEE41"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sz w:val="20"/>
                <w:szCs w:val="20"/>
                <w:lang w:val="en-CA"/>
              </w:rPr>
              <w:t>WB</w:t>
            </w:r>
          </w:p>
        </w:tc>
        <w:tc>
          <w:tcPr>
            <w:tcW w:w="9395" w:type="dxa"/>
            <w:tcBorders>
              <w:left w:val="nil"/>
              <w:bottom w:val="nil"/>
            </w:tcBorders>
            <w:shd w:val="clear" w:color="auto" w:fill="auto"/>
          </w:tcPr>
          <w:p w14:paraId="30AD1B04" w14:textId="77777777" w:rsidR="00302BFE" w:rsidRPr="00FA2ACE" w:rsidRDefault="00302BFE" w:rsidP="00243B15">
            <w:pPr>
              <w:pStyle w:val="Sansinterligne"/>
              <w:rPr>
                <w:rFonts w:asciiTheme="minorHAnsi" w:hAnsiTheme="minorHAnsi" w:cs="Calibri"/>
                <w:sz w:val="20"/>
                <w:szCs w:val="20"/>
                <w:lang w:val="en-CA"/>
              </w:rPr>
            </w:pPr>
            <w:r w:rsidRPr="00FA2ACE">
              <w:rPr>
                <w:rFonts w:asciiTheme="minorHAnsi" w:hAnsiTheme="minorHAnsi" w:cs="Calibri"/>
                <w:sz w:val="20"/>
                <w:szCs w:val="20"/>
                <w:lang w:val="en-CA"/>
              </w:rPr>
              <w:t>World Bank</w:t>
            </w:r>
          </w:p>
        </w:tc>
      </w:tr>
      <w:tr w:rsidR="00FA2ACE" w:rsidRPr="00FA2ACE" w14:paraId="6C17F02D" w14:textId="77777777" w:rsidTr="00243B15">
        <w:trPr>
          <w:trHeight w:val="20"/>
          <w:jc w:val="center"/>
        </w:trPr>
        <w:tc>
          <w:tcPr>
            <w:tcW w:w="1203" w:type="dxa"/>
            <w:tcBorders>
              <w:bottom w:val="nil"/>
              <w:right w:val="nil"/>
            </w:tcBorders>
            <w:shd w:val="clear" w:color="auto" w:fill="auto"/>
          </w:tcPr>
          <w:p w14:paraId="2D5FC271" w14:textId="51E35036" w:rsidR="00FA2ACE" w:rsidRPr="00FA2ACE" w:rsidRDefault="00FA2ACE" w:rsidP="00243B15">
            <w:pPr>
              <w:pStyle w:val="Sansinterligne"/>
              <w:rPr>
                <w:rFonts w:asciiTheme="minorHAnsi" w:hAnsiTheme="minorHAnsi"/>
                <w:sz w:val="20"/>
                <w:szCs w:val="20"/>
                <w:lang w:val="en-CA"/>
              </w:rPr>
            </w:pPr>
            <w:r w:rsidRPr="00FA2ACE">
              <w:rPr>
                <w:rFonts w:asciiTheme="minorHAnsi" w:hAnsiTheme="minorHAnsi"/>
                <w:sz w:val="20"/>
                <w:szCs w:val="20"/>
                <w:lang w:val="en-CA"/>
              </w:rPr>
              <w:t>WCS</w:t>
            </w:r>
          </w:p>
        </w:tc>
        <w:tc>
          <w:tcPr>
            <w:tcW w:w="9395" w:type="dxa"/>
            <w:tcBorders>
              <w:left w:val="nil"/>
              <w:bottom w:val="nil"/>
            </w:tcBorders>
            <w:shd w:val="clear" w:color="auto" w:fill="auto"/>
          </w:tcPr>
          <w:p w14:paraId="4DB32179" w14:textId="433251AD" w:rsidR="00FA2ACE" w:rsidRPr="00FA2ACE" w:rsidRDefault="00FA2ACE" w:rsidP="00243B15">
            <w:pPr>
              <w:pStyle w:val="Sansinterligne"/>
              <w:rPr>
                <w:rFonts w:asciiTheme="minorHAnsi" w:hAnsiTheme="minorHAnsi" w:cs="Calibri"/>
                <w:sz w:val="20"/>
                <w:szCs w:val="20"/>
                <w:lang w:val="en-CA"/>
              </w:rPr>
            </w:pPr>
            <w:r w:rsidRPr="00FA2ACE">
              <w:rPr>
                <w:rFonts w:asciiTheme="minorHAnsi" w:hAnsiTheme="minorHAnsi" w:cs="Calibri"/>
                <w:sz w:val="20"/>
                <w:szCs w:val="20"/>
                <w:lang w:val="en-CA"/>
              </w:rPr>
              <w:t>Wildlife Conservation Society</w:t>
            </w:r>
          </w:p>
        </w:tc>
      </w:tr>
      <w:tr w:rsidR="00302BFE" w:rsidRPr="00FA2ACE" w14:paraId="7643FBED" w14:textId="77777777" w:rsidTr="00243B15">
        <w:trPr>
          <w:trHeight w:val="20"/>
          <w:jc w:val="center"/>
        </w:trPr>
        <w:tc>
          <w:tcPr>
            <w:tcW w:w="1203" w:type="dxa"/>
            <w:tcBorders>
              <w:bottom w:val="nil"/>
              <w:right w:val="nil"/>
            </w:tcBorders>
            <w:shd w:val="clear" w:color="auto" w:fill="auto"/>
          </w:tcPr>
          <w:p w14:paraId="15F79F2A" w14:textId="77777777" w:rsidR="00302BFE" w:rsidRPr="00FA2ACE" w:rsidRDefault="00302BFE" w:rsidP="00243B15">
            <w:pPr>
              <w:pStyle w:val="Sansinterligne"/>
              <w:rPr>
                <w:rFonts w:asciiTheme="minorHAnsi" w:hAnsiTheme="minorHAnsi"/>
                <w:sz w:val="20"/>
                <w:szCs w:val="20"/>
                <w:lang w:val="en-CA"/>
              </w:rPr>
            </w:pPr>
            <w:r w:rsidRPr="00FA2ACE">
              <w:rPr>
                <w:rFonts w:asciiTheme="minorHAnsi" w:hAnsiTheme="minorHAnsi"/>
                <w:sz w:val="20"/>
                <w:szCs w:val="20"/>
                <w:lang w:val="en-GB"/>
              </w:rPr>
              <w:t>WCU</w:t>
            </w:r>
          </w:p>
        </w:tc>
        <w:tc>
          <w:tcPr>
            <w:tcW w:w="9395" w:type="dxa"/>
            <w:tcBorders>
              <w:left w:val="nil"/>
              <w:bottom w:val="nil"/>
            </w:tcBorders>
            <w:shd w:val="clear" w:color="auto" w:fill="auto"/>
          </w:tcPr>
          <w:p w14:paraId="57A1D3B7" w14:textId="77777777" w:rsidR="00302BFE" w:rsidRPr="00FA2ACE" w:rsidRDefault="00302BFE" w:rsidP="00243B15">
            <w:pPr>
              <w:pStyle w:val="Sansinterligne"/>
              <w:rPr>
                <w:rFonts w:asciiTheme="minorHAnsi" w:hAnsiTheme="minorHAnsi" w:cs="Calibri"/>
                <w:sz w:val="20"/>
                <w:szCs w:val="20"/>
                <w:lang w:val="en-CA"/>
              </w:rPr>
            </w:pPr>
            <w:r w:rsidRPr="00FA2ACE">
              <w:rPr>
                <w:rFonts w:asciiTheme="minorHAnsi" w:hAnsiTheme="minorHAnsi"/>
                <w:sz w:val="20"/>
                <w:szCs w:val="20"/>
                <w:lang w:val="en-GB"/>
              </w:rPr>
              <w:t>Wildlife Conservation Units</w:t>
            </w:r>
          </w:p>
        </w:tc>
      </w:tr>
      <w:tr w:rsidR="00302BFE" w:rsidRPr="00FA2ACE" w14:paraId="2CA2E59D" w14:textId="77777777" w:rsidTr="00243B15">
        <w:trPr>
          <w:trHeight w:val="20"/>
          <w:jc w:val="center"/>
        </w:trPr>
        <w:tc>
          <w:tcPr>
            <w:tcW w:w="1203" w:type="dxa"/>
            <w:tcBorders>
              <w:bottom w:val="nil"/>
              <w:right w:val="nil"/>
            </w:tcBorders>
            <w:shd w:val="clear" w:color="auto" w:fill="auto"/>
          </w:tcPr>
          <w:p w14:paraId="2924BB3E"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lastRenderedPageBreak/>
              <w:t>WWF</w:t>
            </w:r>
          </w:p>
        </w:tc>
        <w:tc>
          <w:tcPr>
            <w:tcW w:w="9395" w:type="dxa"/>
            <w:tcBorders>
              <w:left w:val="nil"/>
              <w:bottom w:val="nil"/>
            </w:tcBorders>
            <w:shd w:val="clear" w:color="auto" w:fill="auto"/>
          </w:tcPr>
          <w:p w14:paraId="01301504"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World Wildlife Fund</w:t>
            </w:r>
          </w:p>
        </w:tc>
      </w:tr>
      <w:tr w:rsidR="00302BFE" w:rsidRPr="00AB47BD" w14:paraId="560A46E4" w14:textId="77777777" w:rsidTr="00243B15">
        <w:trPr>
          <w:trHeight w:val="20"/>
          <w:jc w:val="center"/>
        </w:trPr>
        <w:tc>
          <w:tcPr>
            <w:tcW w:w="1203" w:type="dxa"/>
            <w:tcBorders>
              <w:bottom w:val="nil"/>
              <w:right w:val="nil"/>
            </w:tcBorders>
            <w:shd w:val="clear" w:color="auto" w:fill="auto"/>
          </w:tcPr>
          <w:p w14:paraId="004F837E" w14:textId="77777777" w:rsidR="00302BFE" w:rsidRPr="00FA2ACE" w:rsidRDefault="00302BFE" w:rsidP="00243B15">
            <w:pPr>
              <w:pStyle w:val="Sansinterligne"/>
              <w:rPr>
                <w:rFonts w:asciiTheme="minorHAnsi" w:hAnsiTheme="minorHAnsi" w:cs="Calibri"/>
                <w:sz w:val="20"/>
                <w:szCs w:val="20"/>
              </w:rPr>
            </w:pPr>
            <w:r w:rsidRPr="00FA2ACE">
              <w:rPr>
                <w:rFonts w:asciiTheme="minorHAnsi" w:hAnsiTheme="minorHAnsi" w:cs="Calibri"/>
                <w:sz w:val="20"/>
                <w:szCs w:val="20"/>
              </w:rPr>
              <w:t>ZOVIC</w:t>
            </w:r>
          </w:p>
        </w:tc>
        <w:tc>
          <w:tcPr>
            <w:tcW w:w="9395" w:type="dxa"/>
            <w:tcBorders>
              <w:left w:val="nil"/>
              <w:bottom w:val="nil"/>
            </w:tcBorders>
            <w:shd w:val="clear" w:color="auto" w:fill="auto"/>
          </w:tcPr>
          <w:p w14:paraId="05743462" w14:textId="77777777" w:rsidR="00302BFE" w:rsidRPr="00FA2ACE" w:rsidRDefault="00302BFE" w:rsidP="00243B15">
            <w:pPr>
              <w:pStyle w:val="Sansinterligne"/>
              <w:rPr>
                <w:rFonts w:asciiTheme="minorHAnsi" w:hAnsiTheme="minorHAnsi" w:cs="Calibri"/>
                <w:sz w:val="20"/>
                <w:szCs w:val="20"/>
                <w:lang w:val="fr-CA"/>
              </w:rPr>
            </w:pPr>
            <w:r w:rsidRPr="00FA2ACE">
              <w:rPr>
                <w:rFonts w:asciiTheme="minorHAnsi" w:hAnsiTheme="minorHAnsi"/>
                <w:sz w:val="20"/>
                <w:szCs w:val="20"/>
                <w:lang w:val="fr-CA"/>
              </w:rPr>
              <w:t xml:space="preserve">Village </w:t>
            </w:r>
            <w:proofErr w:type="spellStart"/>
            <w:r w:rsidRPr="00FA2ACE">
              <w:rPr>
                <w:rFonts w:asciiTheme="minorHAnsi" w:hAnsiTheme="minorHAnsi"/>
                <w:sz w:val="20"/>
                <w:szCs w:val="20"/>
                <w:lang w:val="fr-CA"/>
              </w:rPr>
              <w:t>hunting</w:t>
            </w:r>
            <w:proofErr w:type="spellEnd"/>
            <w:r w:rsidRPr="00FA2ACE">
              <w:rPr>
                <w:rFonts w:asciiTheme="minorHAnsi" w:hAnsiTheme="minorHAnsi"/>
                <w:sz w:val="20"/>
                <w:szCs w:val="20"/>
                <w:lang w:val="fr-CA"/>
              </w:rPr>
              <w:t xml:space="preserve"> areas (</w:t>
            </w:r>
            <w:r w:rsidRPr="00FA2ACE">
              <w:rPr>
                <w:rFonts w:asciiTheme="minorHAnsi" w:hAnsiTheme="minorHAnsi" w:cs="Calibri"/>
                <w:i/>
                <w:sz w:val="20"/>
                <w:szCs w:val="20"/>
                <w:lang w:val="fr-CA"/>
              </w:rPr>
              <w:t>Zones Villageoises d’Intérêt Cynégétique</w:t>
            </w:r>
            <w:r w:rsidRPr="00FA2ACE">
              <w:rPr>
                <w:rFonts w:asciiTheme="minorHAnsi" w:hAnsiTheme="minorHAnsi" w:cs="Calibri"/>
                <w:sz w:val="20"/>
                <w:szCs w:val="20"/>
                <w:lang w:val="fr-CA"/>
              </w:rPr>
              <w:t>)</w:t>
            </w:r>
          </w:p>
        </w:tc>
      </w:tr>
    </w:tbl>
    <w:p w14:paraId="634E7AA2" w14:textId="77777777" w:rsidR="00302BFE" w:rsidRPr="00275118" w:rsidRDefault="00302BFE" w:rsidP="00302BFE">
      <w:pPr>
        <w:spacing w:after="0"/>
        <w:jc w:val="left"/>
        <w:rPr>
          <w:rFonts w:cs="Arial"/>
          <w:b/>
          <w:szCs w:val="22"/>
          <w:lang w:val="fr-CA"/>
        </w:rPr>
      </w:pPr>
    </w:p>
    <w:p w14:paraId="54C3740A" w14:textId="77777777" w:rsidR="00302BFE" w:rsidRPr="00275118" w:rsidRDefault="00302BFE" w:rsidP="00302BFE">
      <w:pPr>
        <w:rPr>
          <w:lang w:val="fr-CA"/>
        </w:rPr>
      </w:pPr>
      <w:r w:rsidRPr="00275118">
        <w:rPr>
          <w:lang w:val="fr-CA"/>
        </w:rPr>
        <w:br w:type="page"/>
      </w:r>
    </w:p>
    <w:p w14:paraId="69477FA4" w14:textId="77777777" w:rsidR="00302BFE" w:rsidRPr="00D218B7" w:rsidRDefault="00302BFE" w:rsidP="00302BFE">
      <w:pPr>
        <w:pStyle w:val="Titre1"/>
        <w:spacing w:before="0" w:after="0" w:line="271" w:lineRule="auto"/>
        <w:jc w:val="left"/>
        <w:rPr>
          <w:rFonts w:ascii="Calibri" w:hAnsi="Calibri"/>
        </w:rPr>
      </w:pPr>
      <w:bookmarkStart w:id="2" w:name="_Toc407785517"/>
      <w:bookmarkStart w:id="3" w:name="_Toc9961789"/>
      <w:r w:rsidRPr="0003763F">
        <w:rPr>
          <w:rFonts w:ascii="Calibri" w:hAnsi="Calibri"/>
        </w:rPr>
        <w:lastRenderedPageBreak/>
        <w:t>Development Challenge</w:t>
      </w:r>
      <w:bookmarkEnd w:id="2"/>
      <w:bookmarkEnd w:id="3"/>
    </w:p>
    <w:p w14:paraId="76F8B8E0" w14:textId="77777777" w:rsidR="00302BFE" w:rsidRPr="00FD2241"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FD2241">
        <w:rPr>
          <w:rFonts w:ascii="Calibri" w:hAnsi="Calibri"/>
          <w:sz w:val="20"/>
          <w:szCs w:val="20"/>
          <w:lang w:val="en-GB"/>
        </w:rPr>
        <w:t xml:space="preserve">A landlocked country located in West Africa, Burkina Faso is a mainly arid and lowland country with some hills, covering an area of 27.4 million hectares. The hydrographic network is </w:t>
      </w:r>
      <w:r>
        <w:rPr>
          <w:rFonts w:ascii="Calibri" w:hAnsi="Calibri"/>
          <w:sz w:val="20"/>
          <w:szCs w:val="20"/>
          <w:lang w:val="en-GB"/>
        </w:rPr>
        <w:t>made up</w:t>
      </w:r>
      <w:r w:rsidRPr="00FD2241">
        <w:rPr>
          <w:rFonts w:ascii="Calibri" w:hAnsi="Calibri"/>
          <w:sz w:val="20"/>
          <w:szCs w:val="20"/>
          <w:lang w:val="en-GB"/>
        </w:rPr>
        <w:t xml:space="preserve"> of three important basins, those of </w:t>
      </w:r>
      <w:r>
        <w:rPr>
          <w:rFonts w:ascii="Calibri" w:hAnsi="Calibri"/>
          <w:sz w:val="20"/>
          <w:szCs w:val="20"/>
          <w:lang w:val="en-GB"/>
        </w:rPr>
        <w:t xml:space="preserve">the </w:t>
      </w:r>
      <w:r w:rsidRPr="00FD2241">
        <w:rPr>
          <w:rFonts w:ascii="Calibri" w:hAnsi="Calibri"/>
          <w:sz w:val="20"/>
          <w:szCs w:val="20"/>
          <w:lang w:val="en-GB"/>
        </w:rPr>
        <w:t xml:space="preserve">Volta, </w:t>
      </w:r>
      <w:proofErr w:type="spellStart"/>
      <w:r w:rsidRPr="00FD2241">
        <w:rPr>
          <w:rFonts w:ascii="Calibri" w:hAnsi="Calibri"/>
          <w:sz w:val="20"/>
          <w:szCs w:val="20"/>
          <w:lang w:val="en-GB"/>
        </w:rPr>
        <w:t>Comoé</w:t>
      </w:r>
      <w:proofErr w:type="spellEnd"/>
      <w:r w:rsidRPr="00FD2241">
        <w:rPr>
          <w:rFonts w:ascii="Calibri" w:hAnsi="Calibri"/>
          <w:sz w:val="20"/>
          <w:szCs w:val="20"/>
          <w:lang w:val="en-GB"/>
        </w:rPr>
        <w:t xml:space="preserve"> and Niger. The climate is </w:t>
      </w:r>
      <w:r>
        <w:rPr>
          <w:rFonts w:ascii="Calibri" w:hAnsi="Calibri"/>
          <w:sz w:val="20"/>
          <w:szCs w:val="20"/>
          <w:lang w:val="en-GB"/>
        </w:rPr>
        <w:t xml:space="preserve">a </w:t>
      </w:r>
      <w:r w:rsidRPr="00FD2241">
        <w:rPr>
          <w:rFonts w:ascii="Calibri" w:hAnsi="Calibri"/>
          <w:sz w:val="20"/>
          <w:szCs w:val="20"/>
          <w:lang w:val="en-GB"/>
        </w:rPr>
        <w:t xml:space="preserve">tropical </w:t>
      </w:r>
      <w:proofErr w:type="spellStart"/>
      <w:r w:rsidRPr="00FD2241">
        <w:rPr>
          <w:rFonts w:ascii="Calibri" w:hAnsi="Calibri"/>
          <w:sz w:val="20"/>
          <w:szCs w:val="20"/>
          <w:lang w:val="en-GB"/>
        </w:rPr>
        <w:t>Sudano</w:t>
      </w:r>
      <w:proofErr w:type="spellEnd"/>
      <w:r w:rsidRPr="00FD2241">
        <w:rPr>
          <w:rFonts w:ascii="Calibri" w:hAnsi="Calibri"/>
          <w:sz w:val="20"/>
          <w:szCs w:val="20"/>
          <w:lang w:val="en-GB"/>
        </w:rPr>
        <w:t xml:space="preserve">-Sahelian type with a dry season and a season of heavy rains. Three major climatic zones - Sahelian, </w:t>
      </w:r>
      <w:proofErr w:type="spellStart"/>
      <w:r w:rsidRPr="00FD2241">
        <w:rPr>
          <w:rFonts w:ascii="Calibri" w:hAnsi="Calibri"/>
          <w:sz w:val="20"/>
          <w:szCs w:val="20"/>
          <w:lang w:val="en-GB"/>
        </w:rPr>
        <w:t>Sudano</w:t>
      </w:r>
      <w:proofErr w:type="spellEnd"/>
      <w:r w:rsidRPr="00FD2241">
        <w:rPr>
          <w:rFonts w:ascii="Calibri" w:hAnsi="Calibri"/>
          <w:sz w:val="20"/>
          <w:szCs w:val="20"/>
          <w:lang w:val="en-GB"/>
        </w:rPr>
        <w:t xml:space="preserve">-Sahelian and </w:t>
      </w:r>
      <w:proofErr w:type="spellStart"/>
      <w:r w:rsidRPr="00FD2241">
        <w:rPr>
          <w:rFonts w:ascii="Calibri" w:hAnsi="Calibri"/>
          <w:sz w:val="20"/>
          <w:szCs w:val="20"/>
          <w:lang w:val="en-GB"/>
        </w:rPr>
        <w:t>Sudano</w:t>
      </w:r>
      <w:proofErr w:type="spellEnd"/>
      <w:r w:rsidRPr="00FD2241">
        <w:rPr>
          <w:rFonts w:ascii="Calibri" w:hAnsi="Calibri"/>
          <w:sz w:val="20"/>
          <w:szCs w:val="20"/>
          <w:lang w:val="en-GB"/>
        </w:rPr>
        <w:t xml:space="preserve">-Guinean from north to south - follow an increase in the average annual rainfall </w:t>
      </w:r>
      <w:r>
        <w:rPr>
          <w:rFonts w:ascii="Calibri" w:hAnsi="Calibri"/>
          <w:sz w:val="20"/>
          <w:szCs w:val="20"/>
          <w:lang w:val="en-GB"/>
        </w:rPr>
        <w:t>from</w:t>
      </w:r>
      <w:r w:rsidRPr="00FD2241">
        <w:rPr>
          <w:rFonts w:ascii="Calibri" w:hAnsi="Calibri"/>
          <w:sz w:val="20"/>
          <w:szCs w:val="20"/>
          <w:lang w:val="en-GB"/>
        </w:rPr>
        <w:t xml:space="preserve"> the North (350 mm) </w:t>
      </w:r>
      <w:r>
        <w:rPr>
          <w:rFonts w:ascii="Calibri" w:hAnsi="Calibri"/>
          <w:sz w:val="20"/>
          <w:szCs w:val="20"/>
          <w:lang w:val="en-GB"/>
        </w:rPr>
        <w:t>to</w:t>
      </w:r>
      <w:r w:rsidRPr="00FD2241">
        <w:rPr>
          <w:rFonts w:ascii="Calibri" w:hAnsi="Calibri"/>
          <w:sz w:val="20"/>
          <w:szCs w:val="20"/>
          <w:lang w:val="en-GB"/>
        </w:rPr>
        <w:t xml:space="preserve"> the South-West (more than 1000 mm), generating various ecogeographic zones with a rich diversity of forest</w:t>
      </w:r>
      <w:r>
        <w:rPr>
          <w:rFonts w:ascii="Calibri" w:hAnsi="Calibri"/>
          <w:sz w:val="20"/>
          <w:szCs w:val="20"/>
          <w:lang w:val="en-GB"/>
        </w:rPr>
        <w:t>s</w:t>
      </w:r>
      <w:r w:rsidRPr="00FD2241">
        <w:rPr>
          <w:rFonts w:ascii="Calibri" w:hAnsi="Calibri"/>
          <w:sz w:val="20"/>
          <w:szCs w:val="20"/>
          <w:lang w:val="en-GB"/>
        </w:rPr>
        <w:t xml:space="preserve">, agricultural and fluvial ecosystems which shelter a significant biodiversity. </w:t>
      </w:r>
    </w:p>
    <w:p w14:paraId="3ED964B5" w14:textId="205D4023" w:rsidR="00302BFE" w:rsidRPr="005953E8"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FD2241">
        <w:rPr>
          <w:rFonts w:ascii="Calibri" w:hAnsi="Calibri"/>
          <w:sz w:val="20"/>
          <w:szCs w:val="20"/>
          <w:lang w:val="en-GB"/>
        </w:rPr>
        <w:t xml:space="preserve">The </w:t>
      </w:r>
      <w:r w:rsidRPr="005953E8">
        <w:rPr>
          <w:rFonts w:ascii="Calibri" w:hAnsi="Calibri"/>
          <w:sz w:val="20"/>
          <w:szCs w:val="20"/>
          <w:lang w:val="en-GB"/>
        </w:rPr>
        <w:t xml:space="preserve">vegetation consists mainly of steppes and thorn bushes, as well as different types of savanna. The Sudanese savannas are classified as WWF ecoregions. This type of vegetation is characterized by the coexistence of trees and grasses. The dominant tree families include </w:t>
      </w:r>
      <w:proofErr w:type="spellStart"/>
      <w:r w:rsidRPr="005953E8">
        <w:rPr>
          <w:rFonts w:ascii="Calibri" w:hAnsi="Calibri"/>
          <w:sz w:val="20"/>
          <w:szCs w:val="20"/>
          <w:lang w:val="en-GB"/>
        </w:rPr>
        <w:t>Combretaceae</w:t>
      </w:r>
      <w:proofErr w:type="spellEnd"/>
      <w:r w:rsidRPr="005953E8">
        <w:rPr>
          <w:rFonts w:ascii="Calibri" w:hAnsi="Calibri"/>
          <w:sz w:val="20"/>
          <w:szCs w:val="20"/>
          <w:lang w:val="en-GB"/>
        </w:rPr>
        <w:t xml:space="preserve"> and </w:t>
      </w:r>
      <w:proofErr w:type="spellStart"/>
      <w:r w:rsidRPr="005953E8">
        <w:rPr>
          <w:rFonts w:ascii="Calibri" w:hAnsi="Calibri"/>
          <w:sz w:val="20"/>
          <w:szCs w:val="20"/>
          <w:lang w:val="en-GB"/>
        </w:rPr>
        <w:t>Caesalpinioideae</w:t>
      </w:r>
      <w:proofErr w:type="spellEnd"/>
      <w:r w:rsidRPr="005953E8">
        <w:rPr>
          <w:rFonts w:ascii="Calibri" w:hAnsi="Calibri"/>
          <w:sz w:val="20"/>
          <w:szCs w:val="20"/>
          <w:lang w:val="en-GB"/>
        </w:rPr>
        <w:t xml:space="preserve">, while most grasses belong to the family </w:t>
      </w:r>
      <w:proofErr w:type="spellStart"/>
      <w:r w:rsidRPr="005953E8">
        <w:rPr>
          <w:rFonts w:ascii="Calibri" w:hAnsi="Calibri"/>
          <w:sz w:val="20"/>
          <w:szCs w:val="20"/>
          <w:lang w:val="en-GB"/>
        </w:rPr>
        <w:t>Andropogoneae</w:t>
      </w:r>
      <w:proofErr w:type="spellEnd"/>
      <w:r w:rsidRPr="005953E8">
        <w:rPr>
          <w:rFonts w:ascii="Calibri" w:hAnsi="Calibri"/>
          <w:sz w:val="20"/>
          <w:szCs w:val="20"/>
          <w:lang w:val="en-GB"/>
        </w:rPr>
        <w:t xml:space="preserve">. Some acacias are also important nitrogen fixing trees. Other useful trees include shea, </w:t>
      </w:r>
      <w:proofErr w:type="gramStart"/>
      <w:r w:rsidRPr="005953E8">
        <w:rPr>
          <w:rFonts w:ascii="Calibri" w:hAnsi="Calibri"/>
          <w:sz w:val="20"/>
          <w:szCs w:val="20"/>
          <w:lang w:val="en-GB"/>
        </w:rPr>
        <w:t>baobab</w:t>
      </w:r>
      <w:proofErr w:type="gramEnd"/>
      <w:r w:rsidRPr="005953E8">
        <w:rPr>
          <w:rFonts w:ascii="Calibri" w:hAnsi="Calibri"/>
          <w:sz w:val="20"/>
          <w:szCs w:val="20"/>
          <w:lang w:val="en-GB"/>
        </w:rPr>
        <w:t xml:space="preserve"> and carob trees, traditionally spared from felling. Sorghum, maize, </w:t>
      </w:r>
      <w:proofErr w:type="gramStart"/>
      <w:r w:rsidRPr="005953E8">
        <w:rPr>
          <w:rFonts w:ascii="Calibri" w:hAnsi="Calibri"/>
          <w:sz w:val="20"/>
          <w:szCs w:val="20"/>
          <w:lang w:val="en-GB"/>
        </w:rPr>
        <w:t>millet</w:t>
      </w:r>
      <w:proofErr w:type="gramEnd"/>
      <w:r w:rsidRPr="005953E8">
        <w:rPr>
          <w:rFonts w:ascii="Calibri" w:hAnsi="Calibri"/>
          <w:sz w:val="20"/>
          <w:szCs w:val="20"/>
          <w:lang w:val="en-GB"/>
        </w:rPr>
        <w:t xml:space="preserve"> and other crops are grown </w:t>
      </w:r>
      <w:r w:rsidR="00696676" w:rsidRPr="005953E8">
        <w:rPr>
          <w:rFonts w:ascii="Calibri" w:hAnsi="Calibri"/>
          <w:sz w:val="20"/>
          <w:szCs w:val="20"/>
          <w:lang w:val="en-GB"/>
        </w:rPr>
        <w:t xml:space="preserve">between </w:t>
      </w:r>
      <w:r w:rsidRPr="005953E8">
        <w:rPr>
          <w:rFonts w:ascii="Calibri" w:hAnsi="Calibri"/>
          <w:sz w:val="20"/>
          <w:szCs w:val="20"/>
          <w:lang w:val="en-GB"/>
        </w:rPr>
        <w:t>trees.</w:t>
      </w:r>
    </w:p>
    <w:p w14:paraId="0A7CAB1F" w14:textId="537AF52F" w:rsidR="007F2E8A" w:rsidRPr="005953E8"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5953E8">
        <w:rPr>
          <w:rFonts w:ascii="Calibri" w:hAnsi="Calibri"/>
          <w:sz w:val="20"/>
          <w:szCs w:val="20"/>
          <w:lang w:val="en-GB"/>
        </w:rPr>
        <w:t>In Burkina Faso, 1,407 plant species have been identified, of which 8 are vulnerable or globally threatened. There are 2,394 species of wildlife, of which 19 species of mammals, 28 species of birds, 3 species of reptiles and 9 species of fish are vulnerable or threatened globally. The country is still home to viable populations of many large species of African wildlife that have virtually disappeared from the rest of West Africa, including the largest population of elephants in West Africa Sahel, with an estimated population of about 4,000 individuals. This rich biodiversity provides essential ecosystem services to the people of Burkina Faso, especially to poor communities in rural areas, including providing food through agriculture, fishing, pastoralism and the collection of natural products, medicinal plants, fodder, firewood and timber and tourist assets.</w:t>
      </w:r>
      <w:r w:rsidR="00D87B52" w:rsidRPr="005953E8">
        <w:rPr>
          <w:rFonts w:ascii="Calibri" w:hAnsi="Calibri"/>
          <w:sz w:val="20"/>
          <w:szCs w:val="20"/>
          <w:lang w:val="en-GB"/>
        </w:rPr>
        <w:t xml:space="preserve"> </w:t>
      </w:r>
      <w:r w:rsidR="007F2E8A" w:rsidRPr="005953E8">
        <w:rPr>
          <w:rFonts w:ascii="Calibri" w:hAnsi="Calibri"/>
          <w:sz w:val="20"/>
          <w:szCs w:val="20"/>
          <w:lang w:val="en-GB"/>
        </w:rPr>
        <w:t xml:space="preserve">The population of Burkina Faso is estimated at 20,487,979 in 2019, with an annual growth rate of 2.93%, of which 29.3% live in urban areas. Burkina Faso's population is characterized by its youth. More than 77.9% of the population is under 35 years old. Poverty is widespread in the country and the vulnerability of the population has been further increased by the COVID crisis, despite a relatively low number of infected people. Thus, despite the observed decrease in the incidence of poverty from 40.1% in 2014 to 36.2% in 2018, 7 million 300 thousand people out of the 20 million inhabitants of Burkina Faso still live below the poverty line. The Human Development Index (HDI) value of 0.423 in 2017 (0.393 for women and 0.452 for men) is below the average of 0.537 for sub-Saharan African countries and ranks the country 183rd out of 189 countries. An analysis of the structure of communal poverty by region, based on 2006 data, showed a poverty incidence of 51%, 51.5%, and 53.4% respectively for the Centre-South, Centre-East, and Centre-West regions, above the national average of 47.3%. The gender development index, which measures inequalities in health, education, and access to economic resources between men and women, is 0.870 for 2017. </w:t>
      </w:r>
    </w:p>
    <w:p w14:paraId="66106217" w14:textId="503982C5" w:rsidR="00302BFE" w:rsidRPr="00FD2241" w:rsidRDefault="002E12BA"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5953E8">
        <w:rPr>
          <w:sz w:val="20"/>
          <w:szCs w:val="20"/>
          <w:lang w:val="en-GB"/>
        </w:rPr>
        <w:t xml:space="preserve">Gross Domestic Product (GDP) growth averaged 6.2% between 2016 and 2019, before declining to 2.5% in 2020, a year in which nearly all economies experienced deep recessions. These recent increases in real GDP, compared to previous years </w:t>
      </w:r>
      <w:r w:rsidR="00302BFE" w:rsidRPr="005953E8">
        <w:rPr>
          <w:rFonts w:ascii="Calibri" w:hAnsi="Calibri"/>
          <w:sz w:val="20"/>
          <w:szCs w:val="20"/>
          <w:lang w:val="en-GB"/>
        </w:rPr>
        <w:t xml:space="preserve">(4% and 5.9% in 2015 and 2016) is attributable to mining activities, </w:t>
      </w:r>
      <w:proofErr w:type="gramStart"/>
      <w:r w:rsidR="00302BFE" w:rsidRPr="005953E8">
        <w:rPr>
          <w:rFonts w:ascii="Calibri" w:hAnsi="Calibri"/>
          <w:sz w:val="20"/>
          <w:szCs w:val="20"/>
          <w:lang w:val="en-GB"/>
        </w:rPr>
        <w:t>construction</w:t>
      </w:r>
      <w:proofErr w:type="gramEnd"/>
      <w:r w:rsidR="00302BFE" w:rsidRPr="005953E8">
        <w:rPr>
          <w:rFonts w:ascii="Calibri" w:hAnsi="Calibri"/>
          <w:sz w:val="20"/>
          <w:szCs w:val="20"/>
          <w:lang w:val="en-GB"/>
        </w:rPr>
        <w:t xml:space="preserve"> and trade, as well as the development of the agricultural sector. Livestock and agriculture are the main activities of the rural population. Agriculture accounted for 31% of the country's GDP in 2017, but employs 80% of the country's labour force, underscoring its importance to Burkina Faso's economy. Livestock contributes between</w:t>
      </w:r>
      <w:r w:rsidR="00302BFE" w:rsidRPr="00FD2241">
        <w:rPr>
          <w:rFonts w:ascii="Calibri" w:hAnsi="Calibri"/>
          <w:sz w:val="20"/>
          <w:szCs w:val="20"/>
          <w:lang w:val="en-GB"/>
        </w:rPr>
        <w:t xml:space="preserve"> 5% and 10% of GDP and pastoral systems provide more than 50% of milk production and meat. In this essentially extensive production system, woody fodder forms the basis of goat feeding and is an important part of the diet of sheep and cattle, depending on the season of the year.</w:t>
      </w:r>
      <w:r w:rsidR="00302BFE" w:rsidRPr="00FD2241">
        <w:rPr>
          <w:rStyle w:val="Appelnotedebasdep"/>
          <w:rFonts w:ascii="Calibri" w:hAnsi="Calibri" w:cs="Calibri"/>
          <w:color w:val="000000"/>
          <w:sz w:val="20"/>
          <w:szCs w:val="20"/>
        </w:rPr>
        <w:footnoteReference w:id="1"/>
      </w:r>
      <w:r w:rsidR="00302BFE" w:rsidRPr="00FD2241">
        <w:rPr>
          <w:rFonts w:ascii="Calibri" w:hAnsi="Calibri" w:cs="Calibri"/>
          <w:color w:val="000000"/>
          <w:sz w:val="20"/>
          <w:szCs w:val="20"/>
          <w:lang w:val="en-GB"/>
        </w:rPr>
        <w:t xml:space="preserve"> </w:t>
      </w:r>
      <w:r w:rsidR="00302BFE" w:rsidRPr="00FD2241">
        <w:rPr>
          <w:rFonts w:ascii="Calibri" w:hAnsi="Calibri"/>
          <w:sz w:val="20"/>
          <w:szCs w:val="20"/>
          <w:lang w:val="en-GB"/>
        </w:rPr>
        <w:t xml:space="preserve">The majority (86.5%) of the </w:t>
      </w:r>
      <w:r w:rsidR="00302BFE">
        <w:rPr>
          <w:rFonts w:ascii="Calibri" w:hAnsi="Calibri"/>
          <w:sz w:val="20"/>
          <w:szCs w:val="20"/>
          <w:lang w:val="en-GB"/>
        </w:rPr>
        <w:t xml:space="preserve">cattle </w:t>
      </w:r>
      <w:r w:rsidR="00302BFE" w:rsidRPr="00FD2241">
        <w:rPr>
          <w:rFonts w:ascii="Calibri" w:hAnsi="Calibri"/>
          <w:sz w:val="20"/>
          <w:szCs w:val="20"/>
          <w:lang w:val="en-GB"/>
        </w:rPr>
        <w:t xml:space="preserve">breeders practice a mobile breeding including the large transhumance (12%) and the extensive sedentary breeding (74.5%). </w:t>
      </w:r>
    </w:p>
    <w:p w14:paraId="1D8FFDF3" w14:textId="12F4FB65" w:rsidR="00302BFE" w:rsidRPr="00056241"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FD2241">
        <w:rPr>
          <w:rFonts w:ascii="Calibri" w:hAnsi="Calibri"/>
          <w:sz w:val="20"/>
          <w:szCs w:val="20"/>
          <w:lang w:val="en-GB"/>
        </w:rPr>
        <w:t>Emerging from a turbulent period, the socio-political climate, relatively calm following the presidential and legislative elections in 2015 and municipal elections in 2016, was disrupted by terrorist attacks in 2016, 2017 and 2018</w:t>
      </w:r>
      <w:r>
        <w:rPr>
          <w:rFonts w:ascii="Calibri" w:hAnsi="Calibri"/>
          <w:sz w:val="20"/>
          <w:szCs w:val="20"/>
          <w:lang w:val="en-GB"/>
        </w:rPr>
        <w:t xml:space="preserve">. </w:t>
      </w:r>
      <w:r w:rsidRPr="00FD2241">
        <w:rPr>
          <w:rFonts w:ascii="Calibri" w:hAnsi="Calibri"/>
          <w:sz w:val="20"/>
          <w:szCs w:val="20"/>
          <w:lang w:val="en-GB"/>
        </w:rPr>
        <w:t>Although the Government continues to mobilize resources to respond effectively to the issue of security, this challenge will continue to weigh on the country's socio-economic prospects. As a result, the country faces many challenges in generating growth and distributing social goods to a population with inadequate incomes and low levels of human development</w:t>
      </w:r>
      <w:r w:rsidRPr="00056241">
        <w:rPr>
          <w:rFonts w:ascii="Calibri" w:hAnsi="Calibri"/>
          <w:sz w:val="20"/>
          <w:szCs w:val="20"/>
          <w:lang w:val="en-GB"/>
        </w:rPr>
        <w:t>.</w:t>
      </w:r>
      <w:r w:rsidR="005B1DAA" w:rsidRPr="00056241">
        <w:rPr>
          <w:rFonts w:ascii="Calibri" w:hAnsi="Calibri"/>
          <w:sz w:val="20"/>
          <w:szCs w:val="20"/>
          <w:lang w:val="en-GB"/>
        </w:rPr>
        <w:t xml:space="preserve"> </w:t>
      </w:r>
      <w:r w:rsidR="00A87936" w:rsidRPr="007854F2">
        <w:rPr>
          <w:rFonts w:ascii="Calibri" w:hAnsi="Calibri"/>
          <w:sz w:val="20"/>
          <w:szCs w:val="20"/>
          <w:lang w:val="en-GB"/>
        </w:rPr>
        <w:t xml:space="preserve">Despite relatively few confirmed COVID cases in the country itself, </w:t>
      </w:r>
      <w:r w:rsidR="009E5E39" w:rsidRPr="007854F2">
        <w:rPr>
          <w:rFonts w:ascii="Calibri" w:hAnsi="Calibri"/>
          <w:sz w:val="20"/>
          <w:szCs w:val="20"/>
          <w:lang w:val="en-GB"/>
        </w:rPr>
        <w:t xml:space="preserve">and the project area being among the least affected in the country, </w:t>
      </w:r>
      <w:r w:rsidR="00A87936" w:rsidRPr="007854F2">
        <w:rPr>
          <w:rFonts w:ascii="Calibri" w:hAnsi="Calibri"/>
          <w:sz w:val="20"/>
          <w:szCs w:val="20"/>
          <w:lang w:val="en-GB"/>
        </w:rPr>
        <w:t>Burkina Faso</w:t>
      </w:r>
      <w:r w:rsidR="005B1DAA" w:rsidRPr="007854F2">
        <w:rPr>
          <w:rFonts w:ascii="Calibri" w:hAnsi="Calibri"/>
          <w:sz w:val="20"/>
          <w:szCs w:val="20"/>
          <w:lang w:val="en-GB"/>
        </w:rPr>
        <w:t xml:space="preserve"> </w:t>
      </w:r>
      <w:r w:rsidR="009E5E39" w:rsidRPr="007854F2">
        <w:rPr>
          <w:rFonts w:ascii="Calibri" w:hAnsi="Calibri"/>
          <w:sz w:val="20"/>
          <w:szCs w:val="20"/>
          <w:lang w:val="en-GB"/>
        </w:rPr>
        <w:t>as</w:t>
      </w:r>
      <w:r w:rsidR="00DC6744" w:rsidRPr="007854F2">
        <w:rPr>
          <w:rFonts w:ascii="Calibri" w:hAnsi="Calibri"/>
          <w:sz w:val="20"/>
          <w:szCs w:val="20"/>
          <w:lang w:val="en-GB"/>
        </w:rPr>
        <w:t xml:space="preserve"> a land locked country is vulnerable to being affected by restrictions on </w:t>
      </w:r>
      <w:r w:rsidR="005B1DAA" w:rsidRPr="007854F2">
        <w:rPr>
          <w:rFonts w:ascii="Calibri" w:hAnsi="Calibri"/>
          <w:sz w:val="20"/>
          <w:szCs w:val="20"/>
          <w:lang w:val="en-GB"/>
        </w:rPr>
        <w:t>internal and cross-border trade.</w:t>
      </w:r>
      <w:r w:rsidR="005B1DAA" w:rsidRPr="00056241">
        <w:rPr>
          <w:rFonts w:ascii="Calibri" w:hAnsi="Calibri"/>
          <w:sz w:val="20"/>
          <w:szCs w:val="20"/>
          <w:lang w:val="en-GB"/>
        </w:rPr>
        <w:t xml:space="preserve"> </w:t>
      </w:r>
    </w:p>
    <w:p w14:paraId="380E14D7" w14:textId="77777777" w:rsidR="00302BFE" w:rsidRPr="00FD2241" w:rsidRDefault="00302BFE" w:rsidP="00302BFE">
      <w:pPr>
        <w:spacing w:before="120" w:after="120"/>
        <w:rPr>
          <w:b/>
          <w:szCs w:val="20"/>
          <w:lang w:val="en-GB"/>
        </w:rPr>
      </w:pPr>
      <w:r w:rsidRPr="00FD2241">
        <w:rPr>
          <w:b/>
          <w:szCs w:val="20"/>
          <w:lang w:val="en-GB"/>
        </w:rPr>
        <w:t xml:space="preserve">The national system of protected areas of Burkina Faso </w:t>
      </w:r>
    </w:p>
    <w:p w14:paraId="0F42537A" w14:textId="77777777" w:rsidR="00302BFE" w:rsidRPr="0099310D"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FD2241">
        <w:rPr>
          <w:rFonts w:ascii="Calibri" w:hAnsi="Calibri"/>
          <w:sz w:val="20"/>
          <w:szCs w:val="20"/>
          <w:lang w:val="en-GB"/>
        </w:rPr>
        <w:t xml:space="preserve">Protected areas (PAs) are the main means of protecting Burkina Faso's biodiversity while preserving the ecosystem services on which the livelihood of </w:t>
      </w:r>
      <w:r>
        <w:rPr>
          <w:rFonts w:ascii="Calibri" w:hAnsi="Calibri"/>
          <w:sz w:val="20"/>
          <w:szCs w:val="20"/>
          <w:lang w:val="en-GB"/>
        </w:rPr>
        <w:t xml:space="preserve">the </w:t>
      </w:r>
      <w:r w:rsidRPr="00FD2241">
        <w:rPr>
          <w:rFonts w:ascii="Calibri" w:hAnsi="Calibri"/>
          <w:sz w:val="20"/>
          <w:szCs w:val="20"/>
          <w:lang w:val="en-GB"/>
        </w:rPr>
        <w:t xml:space="preserve">local communities is based. Burkina Faso's National Protected Area System covers an area of at least 4.4 million hectares, or about 16% of the country's surface area. In addition to national designations, many sites have been designated according to international conventions including Ramsar sites, Biosphere </w:t>
      </w:r>
      <w:proofErr w:type="gramStart"/>
      <w:r w:rsidRPr="00FD2241">
        <w:rPr>
          <w:rFonts w:ascii="Calibri" w:hAnsi="Calibri"/>
          <w:sz w:val="20"/>
          <w:szCs w:val="20"/>
          <w:lang w:val="en-GB"/>
        </w:rPr>
        <w:t>Reserves</w:t>
      </w:r>
      <w:proofErr w:type="gramEnd"/>
      <w:r w:rsidRPr="00FD2241">
        <w:rPr>
          <w:rFonts w:ascii="Calibri" w:hAnsi="Calibri"/>
          <w:sz w:val="20"/>
          <w:szCs w:val="20"/>
          <w:lang w:val="en-GB"/>
        </w:rPr>
        <w:t xml:space="preserve"> </w:t>
      </w:r>
      <w:r w:rsidRPr="00A40D7F">
        <w:rPr>
          <w:rFonts w:ascii="Calibri" w:hAnsi="Calibri"/>
          <w:sz w:val="20"/>
          <w:szCs w:val="20"/>
          <w:lang w:val="en-GB"/>
        </w:rPr>
        <w:t>and Important Bird Areas</w:t>
      </w:r>
      <w:r w:rsidRPr="00FD2241">
        <w:rPr>
          <w:rFonts w:ascii="Calibri" w:hAnsi="Calibri"/>
          <w:sz w:val="20"/>
          <w:szCs w:val="20"/>
          <w:lang w:val="en-GB"/>
        </w:rPr>
        <w:t xml:space="preserve">. An overview of the national PA system in Burkina Faso is presented in Annex </w:t>
      </w:r>
      <w:r w:rsidR="00E2341B" w:rsidRPr="00A66078">
        <w:rPr>
          <w:rFonts w:ascii="Calibri" w:hAnsi="Calibri"/>
          <w:sz w:val="20"/>
          <w:szCs w:val="20"/>
          <w:lang w:val="en-GB"/>
        </w:rPr>
        <w:t>J</w:t>
      </w:r>
      <w:r w:rsidRPr="00FD2241">
        <w:rPr>
          <w:rFonts w:ascii="Calibri" w:hAnsi="Calibri"/>
          <w:sz w:val="20"/>
          <w:szCs w:val="20"/>
          <w:lang w:val="en-GB"/>
        </w:rPr>
        <w:t xml:space="preserve">, </w:t>
      </w:r>
      <w:r>
        <w:rPr>
          <w:rFonts w:ascii="Calibri" w:hAnsi="Calibri"/>
          <w:sz w:val="20"/>
          <w:szCs w:val="20"/>
          <w:lang w:val="en-GB"/>
        </w:rPr>
        <w:t>and indicates</w:t>
      </w:r>
      <w:r w:rsidRPr="00FD2241">
        <w:rPr>
          <w:rFonts w:ascii="Calibri" w:hAnsi="Calibri"/>
          <w:sz w:val="20"/>
          <w:szCs w:val="20"/>
          <w:lang w:val="en-GB"/>
        </w:rPr>
        <w:t xml:space="preserve"> category, name of PA, date of </w:t>
      </w:r>
      <w:r>
        <w:rPr>
          <w:rFonts w:ascii="Calibri" w:hAnsi="Calibri"/>
          <w:sz w:val="20"/>
          <w:szCs w:val="20"/>
          <w:lang w:val="en-GB"/>
        </w:rPr>
        <w:t>creation</w:t>
      </w:r>
      <w:r w:rsidRPr="00FD2241">
        <w:rPr>
          <w:rFonts w:ascii="Calibri" w:hAnsi="Calibri"/>
          <w:sz w:val="20"/>
          <w:szCs w:val="20"/>
          <w:lang w:val="en-GB"/>
        </w:rPr>
        <w:t xml:space="preserve">, area, IUCN category </w:t>
      </w:r>
      <w:r w:rsidRPr="0099310D">
        <w:rPr>
          <w:rFonts w:ascii="Calibri" w:hAnsi="Calibri"/>
          <w:sz w:val="20"/>
          <w:szCs w:val="20"/>
          <w:lang w:val="en-GB"/>
        </w:rPr>
        <w:t>and managing authority. The table also shows protected areas that fall under international designations.</w:t>
      </w:r>
    </w:p>
    <w:p w14:paraId="7E891ADA" w14:textId="28DE9B81" w:rsidR="00302BFE" w:rsidRPr="00311E49"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311E49">
        <w:rPr>
          <w:rFonts w:ascii="Calibri" w:hAnsi="Calibri"/>
          <w:b/>
          <w:iCs/>
          <w:sz w:val="20"/>
          <w:szCs w:val="20"/>
          <w:lang w:val="en-GB"/>
        </w:rPr>
        <w:lastRenderedPageBreak/>
        <w:t xml:space="preserve">Protected area management. </w:t>
      </w:r>
      <w:r w:rsidRPr="00311E49">
        <w:rPr>
          <w:rFonts w:ascii="Calibri" w:hAnsi="Calibri"/>
          <w:sz w:val="20"/>
          <w:szCs w:val="20"/>
          <w:lang w:val="en-GB"/>
        </w:rPr>
        <w:t xml:space="preserve">At the national level, the management and monitoring of protected areas and hunting areas is shared between </w:t>
      </w:r>
      <w:proofErr w:type="spellStart"/>
      <w:r w:rsidR="006C324E" w:rsidRPr="00311E49">
        <w:rPr>
          <w:rFonts w:ascii="Calibri" w:hAnsi="Calibri"/>
          <w:sz w:val="20"/>
          <w:szCs w:val="20"/>
          <w:lang w:val="en-GB"/>
        </w:rPr>
        <w:t>l’Office</w:t>
      </w:r>
      <w:proofErr w:type="spellEnd"/>
      <w:r w:rsidR="006C324E" w:rsidRPr="00311E49">
        <w:rPr>
          <w:rFonts w:ascii="Calibri" w:hAnsi="Calibri"/>
          <w:sz w:val="20"/>
          <w:szCs w:val="20"/>
          <w:lang w:val="en-GB"/>
        </w:rPr>
        <w:t xml:space="preserve"> National des Aires</w:t>
      </w:r>
      <w:r w:rsidR="003B72ED" w:rsidRPr="00311E49">
        <w:rPr>
          <w:rFonts w:asciiTheme="minorHAnsi" w:hAnsiTheme="minorHAnsi"/>
          <w:sz w:val="20"/>
          <w:szCs w:val="20"/>
        </w:rPr>
        <w:t xml:space="preserve"> </w:t>
      </w:r>
      <w:r w:rsidR="003B72ED" w:rsidRPr="00311E49">
        <w:rPr>
          <w:rFonts w:ascii="Calibri" w:hAnsi="Calibri"/>
          <w:sz w:val="20"/>
          <w:szCs w:val="20"/>
        </w:rPr>
        <w:t>Protégées</w:t>
      </w:r>
      <w:r w:rsidR="006C324E" w:rsidRPr="00311E49">
        <w:rPr>
          <w:rFonts w:ascii="Calibri" w:hAnsi="Calibri"/>
          <w:sz w:val="20"/>
          <w:szCs w:val="20"/>
          <w:lang w:val="en-GB"/>
        </w:rPr>
        <w:t xml:space="preserve"> </w:t>
      </w:r>
      <w:r w:rsidR="00AD7C96" w:rsidRPr="00311E49">
        <w:rPr>
          <w:rFonts w:ascii="Calibri" w:hAnsi="Calibri"/>
          <w:sz w:val="20"/>
          <w:szCs w:val="20"/>
          <w:lang w:val="en-GB"/>
        </w:rPr>
        <w:t>(</w:t>
      </w:r>
      <w:r w:rsidRPr="00311E49">
        <w:rPr>
          <w:rFonts w:ascii="Calibri" w:hAnsi="Calibri"/>
          <w:sz w:val="20"/>
          <w:szCs w:val="20"/>
          <w:lang w:val="en-GB"/>
        </w:rPr>
        <w:t>OFINAP</w:t>
      </w:r>
      <w:r w:rsidR="00AD7C96" w:rsidRPr="00311E49">
        <w:rPr>
          <w:rFonts w:ascii="Calibri" w:hAnsi="Calibri"/>
          <w:sz w:val="20"/>
          <w:szCs w:val="20"/>
          <w:lang w:val="en-GB"/>
        </w:rPr>
        <w:t>)</w:t>
      </w:r>
      <w:r w:rsidRPr="00311E49">
        <w:rPr>
          <w:rFonts w:ascii="Calibri" w:hAnsi="Calibri"/>
          <w:sz w:val="20"/>
          <w:szCs w:val="20"/>
          <w:lang w:val="en-GB"/>
        </w:rPr>
        <w:t xml:space="preserve"> and the Wildlife and </w:t>
      </w:r>
      <w:r w:rsidR="005451A6" w:rsidRPr="00311E49">
        <w:rPr>
          <w:rFonts w:ascii="Calibri" w:hAnsi="Calibri"/>
          <w:sz w:val="20"/>
          <w:szCs w:val="20"/>
          <w:lang w:val="en-GB"/>
        </w:rPr>
        <w:t>Forest Resources</w:t>
      </w:r>
      <w:r w:rsidRPr="00311E49">
        <w:rPr>
          <w:rFonts w:ascii="Calibri" w:hAnsi="Calibri"/>
          <w:sz w:val="20"/>
          <w:szCs w:val="20"/>
          <w:lang w:val="en-GB"/>
        </w:rPr>
        <w:t xml:space="preserve"> Directorate (DFRC) of the </w:t>
      </w:r>
      <w:r w:rsidR="00726871" w:rsidRPr="00311E49">
        <w:rPr>
          <w:rFonts w:ascii="Calibri" w:hAnsi="Calibri"/>
          <w:sz w:val="20"/>
          <w:szCs w:val="20"/>
          <w:lang w:val="en-GB"/>
        </w:rPr>
        <w:t xml:space="preserve">General Directorate of </w:t>
      </w:r>
      <w:r w:rsidR="00815ABF" w:rsidRPr="00311E49">
        <w:rPr>
          <w:rFonts w:ascii="Calibri" w:hAnsi="Calibri"/>
          <w:sz w:val="20"/>
          <w:szCs w:val="20"/>
          <w:lang w:val="en-GB"/>
        </w:rPr>
        <w:t xml:space="preserve">Water and Forests </w:t>
      </w:r>
      <w:r w:rsidR="00726871" w:rsidRPr="00311E49">
        <w:rPr>
          <w:rFonts w:ascii="Calibri" w:hAnsi="Calibri"/>
          <w:sz w:val="20"/>
          <w:szCs w:val="20"/>
          <w:lang w:val="en-GB"/>
        </w:rPr>
        <w:t>(</w:t>
      </w:r>
      <w:r w:rsidRPr="00311E49">
        <w:rPr>
          <w:rFonts w:ascii="Calibri" w:hAnsi="Calibri"/>
          <w:sz w:val="20"/>
          <w:szCs w:val="20"/>
          <w:lang w:val="en-GB"/>
        </w:rPr>
        <w:t>DGEF</w:t>
      </w:r>
      <w:r w:rsidR="00726871" w:rsidRPr="00311E49">
        <w:rPr>
          <w:rFonts w:ascii="Calibri" w:hAnsi="Calibri"/>
          <w:sz w:val="20"/>
          <w:szCs w:val="20"/>
          <w:lang w:val="en-GB"/>
        </w:rPr>
        <w:t>)</w:t>
      </w:r>
      <w:r w:rsidRPr="00311E49">
        <w:rPr>
          <w:rFonts w:ascii="Calibri" w:hAnsi="Calibri"/>
          <w:sz w:val="20"/>
          <w:szCs w:val="20"/>
          <w:lang w:val="en-GB"/>
        </w:rPr>
        <w:t xml:space="preserve">, while forests classified for forestry or ecosystem protection purposes are under the supervision of the Directorate of Forests </w:t>
      </w:r>
      <w:r w:rsidR="00111CA9" w:rsidRPr="00311E49">
        <w:rPr>
          <w:rFonts w:ascii="Calibri" w:hAnsi="Calibri"/>
          <w:sz w:val="20"/>
          <w:szCs w:val="20"/>
          <w:lang w:val="en-GB"/>
        </w:rPr>
        <w:t xml:space="preserve">and </w:t>
      </w:r>
      <w:r w:rsidR="00DB1A80" w:rsidRPr="00311E49">
        <w:rPr>
          <w:rFonts w:ascii="Calibri" w:hAnsi="Calibri"/>
          <w:sz w:val="20"/>
          <w:szCs w:val="20"/>
          <w:lang w:val="en-GB"/>
        </w:rPr>
        <w:t xml:space="preserve">the </w:t>
      </w:r>
      <w:r w:rsidR="00111CA9" w:rsidRPr="00311E49">
        <w:rPr>
          <w:rFonts w:ascii="Calibri" w:hAnsi="Calibri"/>
          <w:sz w:val="20"/>
          <w:szCs w:val="20"/>
          <w:lang w:val="en-GB"/>
        </w:rPr>
        <w:t xml:space="preserve">Reforestation </w:t>
      </w:r>
      <w:r w:rsidRPr="00311E49">
        <w:rPr>
          <w:rFonts w:ascii="Calibri" w:hAnsi="Calibri"/>
          <w:sz w:val="20"/>
          <w:szCs w:val="20"/>
          <w:lang w:val="en-GB"/>
        </w:rPr>
        <w:t>(</w:t>
      </w:r>
      <w:proofErr w:type="spellStart"/>
      <w:r w:rsidRPr="00311E49">
        <w:rPr>
          <w:rFonts w:ascii="Calibri" w:hAnsi="Calibri"/>
          <w:sz w:val="20"/>
          <w:szCs w:val="20"/>
          <w:lang w:val="en-GB"/>
        </w:rPr>
        <w:t>DiFor</w:t>
      </w:r>
      <w:proofErr w:type="spellEnd"/>
      <w:r w:rsidRPr="00311E49">
        <w:rPr>
          <w:rFonts w:ascii="Calibri" w:hAnsi="Calibri"/>
          <w:sz w:val="20"/>
          <w:szCs w:val="20"/>
          <w:lang w:val="en-GB"/>
        </w:rPr>
        <w:t>) of the DGEF.</w:t>
      </w:r>
    </w:p>
    <w:p w14:paraId="24A21CC8" w14:textId="019B1565" w:rsidR="00DE3E2F" w:rsidRPr="0099310D" w:rsidRDefault="00CE07B1" w:rsidP="00C46720">
      <w:pPr>
        <w:pStyle w:val="Paragraphedeliste"/>
        <w:numPr>
          <w:ilvl w:val="0"/>
          <w:numId w:val="32"/>
        </w:numPr>
        <w:tabs>
          <w:tab w:val="left" w:pos="284"/>
        </w:tabs>
        <w:spacing w:before="120" w:after="120"/>
        <w:ind w:left="0" w:firstLine="0"/>
        <w:jc w:val="both"/>
        <w:rPr>
          <w:rFonts w:asciiTheme="minorHAnsi" w:hAnsiTheme="minorHAnsi"/>
          <w:sz w:val="20"/>
          <w:szCs w:val="20"/>
          <w:lang w:val="en-CA"/>
        </w:rPr>
      </w:pPr>
      <w:r w:rsidRPr="0099310D">
        <w:rPr>
          <w:rFonts w:ascii="Calibri" w:hAnsi="Calibri"/>
          <w:sz w:val="20"/>
          <w:szCs w:val="20"/>
          <w:u w:val="single"/>
          <w:lang w:val="en-GB"/>
        </w:rPr>
        <w:t>PA management concessions</w:t>
      </w:r>
      <w:r w:rsidRPr="0099310D">
        <w:rPr>
          <w:rFonts w:ascii="Calibri" w:hAnsi="Calibri"/>
          <w:sz w:val="20"/>
          <w:szCs w:val="20"/>
          <w:lang w:val="en-GB"/>
        </w:rPr>
        <w:t xml:space="preserve">. </w:t>
      </w:r>
      <w:r w:rsidR="00302BFE" w:rsidRPr="0099310D">
        <w:rPr>
          <w:rFonts w:ascii="Calibri" w:hAnsi="Calibri"/>
          <w:sz w:val="20"/>
          <w:szCs w:val="20"/>
          <w:lang w:val="en-GB"/>
        </w:rPr>
        <w:t>In the face of limited financial resources to ensure adequate management of the State's protected areas, and in accordance with the principle</w:t>
      </w:r>
      <w:r w:rsidR="00EF1F9B" w:rsidRPr="0099310D">
        <w:rPr>
          <w:rFonts w:ascii="Calibri" w:hAnsi="Calibri"/>
          <w:sz w:val="20"/>
          <w:szCs w:val="20"/>
          <w:lang w:val="en-GB"/>
        </w:rPr>
        <w:t>s</w:t>
      </w:r>
      <w:r w:rsidR="00302BFE" w:rsidRPr="0099310D">
        <w:rPr>
          <w:rFonts w:ascii="Calibri" w:hAnsi="Calibri"/>
          <w:sz w:val="20"/>
          <w:szCs w:val="20"/>
          <w:lang w:val="en-GB"/>
        </w:rPr>
        <w:t xml:space="preserve"> of the effective participation of all </w:t>
      </w:r>
      <w:r w:rsidR="00EF1F9B" w:rsidRPr="0099310D">
        <w:rPr>
          <w:rFonts w:ascii="Calibri" w:hAnsi="Calibri"/>
          <w:sz w:val="20"/>
          <w:szCs w:val="20"/>
          <w:lang w:val="en-GB"/>
        </w:rPr>
        <w:t xml:space="preserve">concerned </w:t>
      </w:r>
      <w:r w:rsidR="00302BFE" w:rsidRPr="0099310D">
        <w:rPr>
          <w:rFonts w:ascii="Calibri" w:hAnsi="Calibri"/>
          <w:sz w:val="20"/>
          <w:szCs w:val="20"/>
          <w:lang w:val="en-GB"/>
        </w:rPr>
        <w:t xml:space="preserve">actors and of fair sharing of responsibilities and benefits, a policy and legislative reform was initiated to involve the private sector and village communities in the management of protected areas. As part of the reform of natural resources management, Burkina Faso innovated with the concept of Wildlife Conservation Units (WCU). The purpose was that hunting areas and national parks leased to the private sector should contribute to local development, partly meet their own management needs to relieve public finances and sustainably conserve biodiversity by promoting it through different modes of tourism: vision, big </w:t>
      </w:r>
      <w:proofErr w:type="gramStart"/>
      <w:r w:rsidR="00302BFE" w:rsidRPr="0099310D">
        <w:rPr>
          <w:rFonts w:ascii="Calibri" w:hAnsi="Calibri"/>
          <w:sz w:val="20"/>
          <w:szCs w:val="20"/>
          <w:lang w:val="en-GB"/>
        </w:rPr>
        <w:t>game</w:t>
      </w:r>
      <w:proofErr w:type="gramEnd"/>
      <w:r w:rsidR="00302BFE" w:rsidRPr="0099310D">
        <w:rPr>
          <w:rFonts w:ascii="Calibri" w:hAnsi="Calibri"/>
          <w:sz w:val="20"/>
          <w:szCs w:val="20"/>
          <w:lang w:val="en-GB"/>
        </w:rPr>
        <w:t xml:space="preserve"> and small game hunting. The 1997 Forest Code provided the legal basis for private sector participation in PA management and set the conditions for granting concessions. Each WCU included one or more contiguous protected areas coordinated by a government-appointed conservator</w:t>
      </w:r>
      <w:r w:rsidR="0083479F" w:rsidRPr="0099310D">
        <w:rPr>
          <w:rFonts w:ascii="Calibri" w:hAnsi="Calibri"/>
          <w:sz w:val="20"/>
          <w:szCs w:val="20"/>
          <w:lang w:val="en-GB"/>
        </w:rPr>
        <w:t xml:space="preserve"> and the PONASI PA complex was one of them</w:t>
      </w:r>
      <w:r w:rsidR="00302BFE" w:rsidRPr="0099310D">
        <w:rPr>
          <w:rFonts w:ascii="Calibri" w:hAnsi="Calibri"/>
          <w:sz w:val="20"/>
          <w:szCs w:val="20"/>
          <w:lang w:val="en-GB"/>
        </w:rPr>
        <w:t>. The effective management and commercial operation of individual protected areas was delegated to private concessionaires who paid rent and operating costs to the government and neighbouring communities.</w:t>
      </w:r>
      <w:r w:rsidR="0083479F" w:rsidRPr="0099310D">
        <w:rPr>
          <w:rFonts w:ascii="Calibri" w:hAnsi="Calibri"/>
          <w:sz w:val="20"/>
          <w:szCs w:val="20"/>
          <w:lang w:val="en-GB"/>
        </w:rPr>
        <w:t xml:space="preserve"> </w:t>
      </w:r>
      <w:r w:rsidR="00EA03B4" w:rsidRPr="0099310D">
        <w:rPr>
          <w:rFonts w:asciiTheme="minorHAnsi" w:hAnsiTheme="minorHAnsi" w:cs="Swiss721BT-Roman"/>
          <w:sz w:val="20"/>
          <w:szCs w:val="20"/>
          <w:lang w:val="en-GB"/>
        </w:rPr>
        <w:t xml:space="preserve">Currently, </w:t>
      </w:r>
      <w:r w:rsidR="00EA03B4" w:rsidRPr="0099310D">
        <w:rPr>
          <w:rFonts w:asciiTheme="minorHAnsi" w:hAnsiTheme="minorHAnsi" w:cs="Swiss721BT-Roman"/>
          <w:sz w:val="20"/>
          <w:szCs w:val="20"/>
          <w:lang w:val="en-CA"/>
        </w:rPr>
        <w:t xml:space="preserve">the State has conceded its wildlife management rights for a few wildlife protection areas to persons under private law, for the organization of lucrative hunting or tourism vision. In the PONASI area, the </w:t>
      </w:r>
      <w:proofErr w:type="spellStart"/>
      <w:r w:rsidR="00EA03B4" w:rsidRPr="0099310D">
        <w:rPr>
          <w:rFonts w:asciiTheme="minorHAnsi" w:hAnsiTheme="minorHAnsi" w:cs="Swiss721BT-Roman"/>
          <w:sz w:val="20"/>
          <w:szCs w:val="20"/>
          <w:lang w:val="en-CA"/>
        </w:rPr>
        <w:t>Nazinga</w:t>
      </w:r>
      <w:proofErr w:type="spellEnd"/>
      <w:r w:rsidR="00EA03B4" w:rsidRPr="0099310D">
        <w:rPr>
          <w:rFonts w:asciiTheme="minorHAnsi" w:hAnsiTheme="minorHAnsi" w:cs="Swiss721BT-Roman"/>
          <w:sz w:val="20"/>
          <w:szCs w:val="20"/>
          <w:lang w:val="en-CA"/>
        </w:rPr>
        <w:t xml:space="preserve"> Game Ranch and the </w:t>
      </w:r>
      <w:proofErr w:type="spellStart"/>
      <w:r w:rsidR="00EA03B4" w:rsidRPr="0099310D">
        <w:rPr>
          <w:rFonts w:asciiTheme="minorHAnsi" w:hAnsiTheme="minorHAnsi" w:cs="Swiss721BT-Roman"/>
          <w:sz w:val="20"/>
          <w:szCs w:val="20"/>
          <w:lang w:val="en-CA"/>
        </w:rPr>
        <w:t>Sissili</w:t>
      </w:r>
      <w:proofErr w:type="spellEnd"/>
      <w:r w:rsidR="00EA03B4" w:rsidRPr="0099310D">
        <w:rPr>
          <w:rFonts w:asciiTheme="minorHAnsi" w:hAnsiTheme="minorHAnsi" w:cs="Swiss721BT-Roman"/>
          <w:sz w:val="20"/>
          <w:szCs w:val="20"/>
          <w:lang w:val="en-CA"/>
        </w:rPr>
        <w:t xml:space="preserve"> Classified Forest are each subject to a management concession to a private concessionaire holding an exclusive license to operate it in exchange for payment of an annual fee and the strict observation of the specifications for the management of the concession, defined by order of </w:t>
      </w:r>
      <w:proofErr w:type="spellStart"/>
      <w:r w:rsidR="00311E49" w:rsidRPr="00311E49">
        <w:rPr>
          <w:rFonts w:asciiTheme="minorHAnsi" w:hAnsiTheme="minorHAnsi" w:cs="Swiss721BT-Roman"/>
          <w:sz w:val="20"/>
          <w:szCs w:val="20"/>
          <w:highlight w:val="green"/>
          <w:lang w:val="en-CA"/>
        </w:rPr>
        <w:t>Ministere</w:t>
      </w:r>
      <w:proofErr w:type="spellEnd"/>
      <w:r w:rsidR="00311E49" w:rsidRPr="00311E49">
        <w:rPr>
          <w:rFonts w:asciiTheme="minorHAnsi" w:hAnsiTheme="minorHAnsi" w:cs="Swiss721BT-Roman"/>
          <w:sz w:val="20"/>
          <w:szCs w:val="20"/>
          <w:highlight w:val="green"/>
          <w:lang w:val="en-CA"/>
        </w:rPr>
        <w:t xml:space="preserve"> de </w:t>
      </w:r>
      <w:proofErr w:type="spellStart"/>
      <w:r w:rsidR="00311E49" w:rsidRPr="00311E49">
        <w:rPr>
          <w:rFonts w:asciiTheme="minorHAnsi" w:hAnsiTheme="minorHAnsi" w:cs="Swiss721BT-Roman"/>
          <w:sz w:val="20"/>
          <w:szCs w:val="20"/>
          <w:highlight w:val="green"/>
          <w:lang w:val="en-CA"/>
        </w:rPr>
        <w:t>l'environnement</w:t>
      </w:r>
      <w:proofErr w:type="spellEnd"/>
      <w:r w:rsidR="00311E49" w:rsidRPr="00311E49">
        <w:rPr>
          <w:rFonts w:asciiTheme="minorHAnsi" w:hAnsiTheme="minorHAnsi" w:cs="Swiss721BT-Roman"/>
          <w:sz w:val="20"/>
          <w:szCs w:val="20"/>
          <w:highlight w:val="green"/>
          <w:lang w:val="en-CA"/>
        </w:rPr>
        <w:t xml:space="preserve">, de </w:t>
      </w:r>
      <w:proofErr w:type="spellStart"/>
      <w:r w:rsidR="00311E49" w:rsidRPr="00311E49">
        <w:rPr>
          <w:rFonts w:asciiTheme="minorHAnsi" w:hAnsiTheme="minorHAnsi" w:cs="Swiss721BT-Roman"/>
          <w:sz w:val="20"/>
          <w:szCs w:val="20"/>
          <w:highlight w:val="green"/>
          <w:lang w:val="en-CA"/>
        </w:rPr>
        <w:t>l'eau</w:t>
      </w:r>
      <w:proofErr w:type="spellEnd"/>
      <w:r w:rsidR="00311E49" w:rsidRPr="00311E49">
        <w:rPr>
          <w:rFonts w:asciiTheme="minorHAnsi" w:hAnsiTheme="minorHAnsi" w:cs="Swiss721BT-Roman"/>
          <w:sz w:val="20"/>
          <w:szCs w:val="20"/>
          <w:highlight w:val="green"/>
          <w:lang w:val="en-CA"/>
        </w:rPr>
        <w:t xml:space="preserve"> et de </w:t>
      </w:r>
      <w:proofErr w:type="spellStart"/>
      <w:r w:rsidR="00311E49" w:rsidRPr="00311E49">
        <w:rPr>
          <w:rFonts w:asciiTheme="minorHAnsi" w:hAnsiTheme="minorHAnsi" w:cs="Swiss721BT-Roman"/>
          <w:sz w:val="20"/>
          <w:szCs w:val="20"/>
          <w:highlight w:val="green"/>
          <w:lang w:val="en-CA"/>
        </w:rPr>
        <w:t>l</w:t>
      </w:r>
      <w:r w:rsidR="001D75B4">
        <w:rPr>
          <w:rFonts w:asciiTheme="minorHAnsi" w:hAnsiTheme="minorHAnsi" w:cs="Swiss721BT-Roman"/>
          <w:sz w:val="20"/>
          <w:szCs w:val="20"/>
          <w:highlight w:val="green"/>
          <w:lang w:val="en-CA"/>
        </w:rPr>
        <w:t>'</w:t>
      </w:r>
      <w:r w:rsidR="00311E49" w:rsidRPr="00311E49">
        <w:rPr>
          <w:rFonts w:asciiTheme="minorHAnsi" w:hAnsiTheme="minorHAnsi" w:cs="Swiss721BT-Roman"/>
          <w:sz w:val="20"/>
          <w:szCs w:val="20"/>
          <w:highlight w:val="green"/>
          <w:lang w:val="en-CA"/>
        </w:rPr>
        <w:t>Assainissement</w:t>
      </w:r>
      <w:proofErr w:type="spellEnd"/>
      <w:r w:rsidR="00EA03B4" w:rsidRPr="0099310D">
        <w:rPr>
          <w:rFonts w:asciiTheme="minorHAnsi" w:hAnsiTheme="minorHAnsi" w:cs="Swiss721BT-Roman"/>
          <w:sz w:val="20"/>
          <w:szCs w:val="20"/>
          <w:lang w:val="en-CA"/>
        </w:rPr>
        <w:t xml:space="preserve">. The private concessionaire in the </w:t>
      </w:r>
      <w:proofErr w:type="spellStart"/>
      <w:r w:rsidR="00EA03B4" w:rsidRPr="0099310D">
        <w:rPr>
          <w:rFonts w:asciiTheme="minorHAnsi" w:hAnsiTheme="minorHAnsi" w:cs="Swiss721BT-Roman"/>
          <w:sz w:val="20"/>
          <w:szCs w:val="20"/>
          <w:lang w:val="en-CA"/>
        </w:rPr>
        <w:t>Nazinga</w:t>
      </w:r>
      <w:proofErr w:type="spellEnd"/>
      <w:r w:rsidR="00EA03B4" w:rsidRPr="0099310D">
        <w:rPr>
          <w:rFonts w:asciiTheme="minorHAnsi" w:hAnsiTheme="minorHAnsi" w:cs="Swiss721BT-Roman"/>
          <w:sz w:val="20"/>
          <w:szCs w:val="20"/>
          <w:lang w:val="en-CA"/>
        </w:rPr>
        <w:t xml:space="preserve"> GR is </w:t>
      </w:r>
      <w:proofErr w:type="spellStart"/>
      <w:r w:rsidR="00EA03B4" w:rsidRPr="0099310D">
        <w:rPr>
          <w:rFonts w:asciiTheme="minorHAnsi" w:hAnsiTheme="minorHAnsi" w:cs="Swiss721BT-Roman"/>
          <w:sz w:val="20"/>
          <w:szCs w:val="20"/>
          <w:lang w:val="en-CA"/>
        </w:rPr>
        <w:t>Nahouri</w:t>
      </w:r>
      <w:proofErr w:type="spellEnd"/>
      <w:r w:rsidR="00EA03B4" w:rsidRPr="0099310D">
        <w:rPr>
          <w:rFonts w:asciiTheme="minorHAnsi" w:hAnsiTheme="minorHAnsi" w:cs="Swiss721BT-Roman"/>
          <w:sz w:val="20"/>
          <w:szCs w:val="20"/>
          <w:lang w:val="en-CA"/>
        </w:rPr>
        <w:t xml:space="preserve"> Safari, managed by </w:t>
      </w:r>
      <w:proofErr w:type="spellStart"/>
      <w:r w:rsidR="00EA03B4" w:rsidRPr="0099310D">
        <w:rPr>
          <w:rFonts w:asciiTheme="minorHAnsi" w:hAnsiTheme="minorHAnsi" w:cs="Swiss721BT-Roman"/>
          <w:sz w:val="20"/>
          <w:szCs w:val="20"/>
          <w:lang w:val="en-CA"/>
        </w:rPr>
        <w:t>Mr</w:t>
      </w:r>
      <w:proofErr w:type="spellEnd"/>
      <w:r w:rsidR="00EA03B4" w:rsidRPr="0099310D">
        <w:rPr>
          <w:rFonts w:asciiTheme="minorHAnsi" w:hAnsiTheme="minorHAnsi" w:cs="Swiss721BT-Roman"/>
          <w:sz w:val="20"/>
          <w:szCs w:val="20"/>
          <w:lang w:val="en-CA"/>
        </w:rPr>
        <w:t xml:space="preserve"> Benjamin </w:t>
      </w:r>
      <w:proofErr w:type="spellStart"/>
      <w:r w:rsidR="00EA03B4" w:rsidRPr="0099310D">
        <w:rPr>
          <w:rFonts w:asciiTheme="minorHAnsi" w:hAnsiTheme="minorHAnsi" w:cs="Swiss721BT-Roman"/>
          <w:sz w:val="20"/>
          <w:szCs w:val="20"/>
          <w:lang w:val="en-CA"/>
        </w:rPr>
        <w:t>Bassono</w:t>
      </w:r>
      <w:proofErr w:type="spellEnd"/>
      <w:r w:rsidR="00EA03B4" w:rsidRPr="0099310D">
        <w:rPr>
          <w:rFonts w:asciiTheme="minorHAnsi" w:hAnsiTheme="minorHAnsi" w:cs="Swiss721BT-Roman"/>
          <w:sz w:val="20"/>
          <w:szCs w:val="20"/>
          <w:lang w:val="en-CA"/>
        </w:rPr>
        <w:t xml:space="preserve">. </w:t>
      </w:r>
      <w:r w:rsidR="00DE3E2F" w:rsidRPr="0099310D">
        <w:rPr>
          <w:rFonts w:asciiTheme="minorHAnsi" w:hAnsiTheme="minorHAnsi"/>
          <w:sz w:val="20"/>
          <w:szCs w:val="20"/>
          <w:lang w:val="en-CA"/>
        </w:rPr>
        <w:t xml:space="preserve">The management of the </w:t>
      </w:r>
      <w:proofErr w:type="spellStart"/>
      <w:r w:rsidR="00DE3E2F" w:rsidRPr="0099310D">
        <w:rPr>
          <w:rFonts w:asciiTheme="minorHAnsi" w:hAnsiTheme="minorHAnsi"/>
          <w:sz w:val="20"/>
          <w:szCs w:val="20"/>
          <w:lang w:val="en-CA"/>
        </w:rPr>
        <w:t>Sissili</w:t>
      </w:r>
      <w:proofErr w:type="spellEnd"/>
      <w:r w:rsidR="00DE3E2F" w:rsidRPr="0099310D">
        <w:rPr>
          <w:rFonts w:asciiTheme="minorHAnsi" w:hAnsiTheme="minorHAnsi"/>
          <w:sz w:val="20"/>
          <w:szCs w:val="20"/>
          <w:lang w:val="en-CA"/>
        </w:rPr>
        <w:t xml:space="preserve"> CF was granted to the late </w:t>
      </w:r>
      <w:proofErr w:type="spellStart"/>
      <w:r w:rsidR="00DE3E2F" w:rsidRPr="0099310D">
        <w:rPr>
          <w:rFonts w:asciiTheme="minorHAnsi" w:hAnsiTheme="minorHAnsi"/>
          <w:sz w:val="20"/>
          <w:szCs w:val="20"/>
          <w:lang w:val="en-CA"/>
        </w:rPr>
        <w:t>Mr</w:t>
      </w:r>
      <w:proofErr w:type="spellEnd"/>
      <w:r w:rsidR="00DE3E2F" w:rsidRPr="0099310D">
        <w:rPr>
          <w:rFonts w:asciiTheme="minorHAnsi" w:hAnsiTheme="minorHAnsi"/>
          <w:sz w:val="20"/>
          <w:szCs w:val="20"/>
          <w:lang w:val="en-CA"/>
        </w:rPr>
        <w:t xml:space="preserve"> Norbert Zongo in 1996 and taken over by his family in December 1998, after his death, though unsatisfactorily. More recently, others have expressed an interest in taking over the concession and revive the </w:t>
      </w:r>
      <w:proofErr w:type="spellStart"/>
      <w:r w:rsidR="00DE3E2F" w:rsidRPr="0099310D">
        <w:rPr>
          <w:rFonts w:asciiTheme="minorHAnsi" w:hAnsiTheme="minorHAnsi"/>
          <w:sz w:val="20"/>
          <w:szCs w:val="20"/>
          <w:lang w:val="en-CA"/>
        </w:rPr>
        <w:t>Sissili</w:t>
      </w:r>
      <w:proofErr w:type="spellEnd"/>
      <w:r w:rsidR="00DE3E2F" w:rsidRPr="0099310D">
        <w:rPr>
          <w:rFonts w:asciiTheme="minorHAnsi" w:hAnsiTheme="minorHAnsi"/>
          <w:sz w:val="20"/>
          <w:szCs w:val="20"/>
          <w:lang w:val="en-CA"/>
        </w:rPr>
        <w:t xml:space="preserve"> </w:t>
      </w:r>
      <w:proofErr w:type="gramStart"/>
      <w:r w:rsidR="00DE3E2F" w:rsidRPr="0099310D">
        <w:rPr>
          <w:rFonts w:asciiTheme="minorHAnsi" w:hAnsiTheme="minorHAnsi"/>
          <w:sz w:val="20"/>
          <w:szCs w:val="20"/>
          <w:lang w:val="en-CA"/>
        </w:rPr>
        <w:t>Safari</w:t>
      </w:r>
      <w:proofErr w:type="gramEnd"/>
      <w:r w:rsidR="00DE3E2F" w:rsidRPr="0099310D">
        <w:rPr>
          <w:rFonts w:asciiTheme="minorHAnsi" w:hAnsiTheme="minorHAnsi"/>
          <w:sz w:val="20"/>
          <w:szCs w:val="20"/>
          <w:lang w:val="en-CA"/>
        </w:rPr>
        <w:t xml:space="preserve"> but this will require new legal arrangements.</w:t>
      </w:r>
    </w:p>
    <w:p w14:paraId="373DA2A3" w14:textId="7A90CD14" w:rsidR="00302BFE" w:rsidRPr="0099310D" w:rsidRDefault="00EA03B4"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9310D">
        <w:rPr>
          <w:rFonts w:ascii="Calibri" w:hAnsi="Calibri"/>
          <w:sz w:val="20"/>
          <w:szCs w:val="20"/>
          <w:u w:val="single"/>
          <w:lang w:val="en-GB"/>
        </w:rPr>
        <w:t>ZOVICs</w:t>
      </w:r>
      <w:r w:rsidRPr="0099310D">
        <w:rPr>
          <w:rFonts w:ascii="Calibri" w:hAnsi="Calibri"/>
          <w:sz w:val="20"/>
          <w:szCs w:val="20"/>
          <w:lang w:val="en-GB"/>
        </w:rPr>
        <w:t xml:space="preserve">. </w:t>
      </w:r>
      <w:r w:rsidR="00F23DF6" w:rsidRPr="0099310D">
        <w:rPr>
          <w:rFonts w:ascii="Calibri" w:hAnsi="Calibri"/>
          <w:sz w:val="20"/>
          <w:szCs w:val="20"/>
          <w:lang w:val="en-GB"/>
        </w:rPr>
        <w:t>Besides</w:t>
      </w:r>
      <w:r w:rsidR="007569D5" w:rsidRPr="0099310D">
        <w:rPr>
          <w:rFonts w:ascii="Calibri" w:hAnsi="Calibri"/>
          <w:sz w:val="20"/>
          <w:szCs w:val="20"/>
          <w:lang w:val="en-GB"/>
        </w:rPr>
        <w:t>, t</w:t>
      </w:r>
      <w:r w:rsidR="00302BFE" w:rsidRPr="0099310D">
        <w:rPr>
          <w:rFonts w:ascii="Calibri" w:hAnsi="Calibri"/>
          <w:sz w:val="20"/>
          <w:szCs w:val="20"/>
          <w:lang w:val="en-GB"/>
        </w:rPr>
        <w:t xml:space="preserve">he decentralization process defined by the General Code of Territorial Communities (Law 055 on Local Government 2004) has allowed the devolution </w:t>
      </w:r>
      <w:r w:rsidR="00F93BF7" w:rsidRPr="0099310D">
        <w:rPr>
          <w:rFonts w:ascii="Calibri" w:hAnsi="Calibri"/>
          <w:sz w:val="20"/>
          <w:szCs w:val="20"/>
          <w:lang w:val="en-GB"/>
        </w:rPr>
        <w:t xml:space="preserve">of </w:t>
      </w:r>
      <w:r w:rsidR="00302BFE" w:rsidRPr="0099310D">
        <w:rPr>
          <w:rFonts w:ascii="Calibri" w:hAnsi="Calibri"/>
          <w:sz w:val="20"/>
          <w:szCs w:val="20"/>
          <w:lang w:val="en-GB"/>
        </w:rPr>
        <w:t xml:space="preserve">the </w:t>
      </w:r>
      <w:r w:rsidR="00302BFE" w:rsidRPr="001D75B4">
        <w:rPr>
          <w:rFonts w:ascii="Calibri" w:hAnsi="Calibri"/>
          <w:sz w:val="20"/>
          <w:szCs w:val="20"/>
          <w:lang w:val="en-GB"/>
        </w:rPr>
        <w:t xml:space="preserve">management of the resources located in the immediate vicinity of their lands </w:t>
      </w:r>
      <w:r w:rsidR="00F93BF7" w:rsidRPr="001D75B4">
        <w:rPr>
          <w:rFonts w:ascii="Calibri" w:hAnsi="Calibri"/>
          <w:sz w:val="20"/>
          <w:szCs w:val="20"/>
          <w:lang w:val="en-GB"/>
        </w:rPr>
        <w:t xml:space="preserve">to communities </w:t>
      </w:r>
      <w:r w:rsidR="00302BFE" w:rsidRPr="001D75B4">
        <w:rPr>
          <w:rFonts w:ascii="Calibri" w:hAnsi="Calibri"/>
          <w:sz w:val="20"/>
          <w:szCs w:val="20"/>
          <w:lang w:val="en-GB"/>
        </w:rPr>
        <w:t xml:space="preserve">and the integration of the management of protected areas in rural development policies through the National Wildlife Management and Protected Areas Program 2006-2015. The creation of </w:t>
      </w:r>
      <w:r w:rsidR="0093108D" w:rsidRPr="001D75B4">
        <w:rPr>
          <w:rFonts w:ascii="Calibri" w:hAnsi="Calibri"/>
          <w:sz w:val="20"/>
          <w:szCs w:val="20"/>
          <w:lang w:val="en-GB"/>
        </w:rPr>
        <w:t>Village areas of hunting interest</w:t>
      </w:r>
      <w:r w:rsidR="0093108D" w:rsidRPr="001D75B4" w:rsidDel="0093108D">
        <w:rPr>
          <w:rFonts w:ascii="Calibri" w:hAnsi="Calibri"/>
          <w:sz w:val="20"/>
          <w:szCs w:val="20"/>
          <w:lang w:val="en-GB"/>
        </w:rPr>
        <w:t xml:space="preserve"> </w:t>
      </w:r>
      <w:r w:rsidR="00302BFE" w:rsidRPr="001D75B4">
        <w:rPr>
          <w:rFonts w:ascii="Calibri" w:hAnsi="Calibri"/>
          <w:sz w:val="20"/>
          <w:szCs w:val="20"/>
          <w:lang w:val="en-GB"/>
        </w:rPr>
        <w:t>(ZOVIC) is part of the process of communalisation promoted by Act No. 055 / AN of 2004, o</w:t>
      </w:r>
      <w:r w:rsidR="00916DD5" w:rsidRPr="001D75B4">
        <w:rPr>
          <w:rFonts w:ascii="Calibri" w:hAnsi="Calibri"/>
          <w:sz w:val="20"/>
          <w:szCs w:val="20"/>
          <w:lang w:val="en-GB"/>
        </w:rPr>
        <w:t>f the</w:t>
      </w:r>
      <w:r w:rsidR="00302BFE" w:rsidRPr="001D75B4">
        <w:rPr>
          <w:rFonts w:ascii="Calibri" w:hAnsi="Calibri"/>
          <w:sz w:val="20"/>
          <w:szCs w:val="20"/>
          <w:lang w:val="en-GB"/>
        </w:rPr>
        <w:t xml:space="preserve"> General Code of the Territorial Communities</w:t>
      </w:r>
      <w:r w:rsidR="00302BFE" w:rsidRPr="0099310D">
        <w:rPr>
          <w:rFonts w:ascii="Calibri" w:hAnsi="Calibri"/>
          <w:sz w:val="20"/>
          <w:szCs w:val="20"/>
          <w:lang w:val="en-GB"/>
        </w:rPr>
        <w:t xml:space="preserve"> in Burkina Faso. In addition to the transfer of authority and resources to the Communities, this law divides the territories of the rural communes into three (3) areas including a living area, a production area and a conservation area that </w:t>
      </w:r>
      <w:proofErr w:type="gramStart"/>
      <w:r w:rsidR="00302BFE" w:rsidRPr="0099310D">
        <w:rPr>
          <w:rFonts w:ascii="Calibri" w:hAnsi="Calibri"/>
          <w:sz w:val="20"/>
          <w:szCs w:val="20"/>
          <w:lang w:val="en-GB"/>
        </w:rPr>
        <w:t>takes into account</w:t>
      </w:r>
      <w:proofErr w:type="gramEnd"/>
      <w:r w:rsidR="00302BFE" w:rsidRPr="0099310D">
        <w:rPr>
          <w:rFonts w:ascii="Calibri" w:hAnsi="Calibri"/>
          <w:sz w:val="20"/>
          <w:szCs w:val="20"/>
          <w:lang w:val="en-GB"/>
        </w:rPr>
        <w:t xml:space="preserve"> the flora and fauna protection areas of the villages. ZOVICs are Wildlife Protection Areas under Article 79 of the2011 Forest Code and correspond to portions of village lands delineated </w:t>
      </w:r>
      <w:r w:rsidR="00D82480" w:rsidRPr="0099310D">
        <w:rPr>
          <w:rFonts w:ascii="Calibri" w:hAnsi="Calibri"/>
          <w:sz w:val="20"/>
          <w:szCs w:val="20"/>
          <w:lang w:val="en-GB"/>
        </w:rPr>
        <w:t xml:space="preserve">by local communities </w:t>
      </w:r>
      <w:r w:rsidR="00302BFE" w:rsidRPr="0099310D">
        <w:rPr>
          <w:rFonts w:ascii="Calibri" w:hAnsi="Calibri"/>
          <w:sz w:val="20"/>
          <w:szCs w:val="20"/>
          <w:lang w:val="en-GB"/>
        </w:rPr>
        <w:t>on the periphery of national protected areas. The periphery is considered as part of the protected domain (as compared to a protected area which is under the State regime of classified areas). Local uses of ZOVICs are subject to rules for the rational management of resources determined by the village communities to which they belong. Because of this management and their location on the immediate outskirts of the national protected area, the ZOVICs serve as a buffer zone.</w:t>
      </w:r>
    </w:p>
    <w:p w14:paraId="086D2119" w14:textId="54AAF8E8" w:rsidR="00D85DCC" w:rsidRPr="0099310D" w:rsidRDefault="00D85DCC" w:rsidP="00C46720">
      <w:pPr>
        <w:pStyle w:val="Paragraphedeliste"/>
        <w:numPr>
          <w:ilvl w:val="0"/>
          <w:numId w:val="32"/>
        </w:numPr>
        <w:tabs>
          <w:tab w:val="left" w:pos="284"/>
        </w:tabs>
        <w:spacing w:before="120" w:after="120"/>
        <w:ind w:left="0" w:firstLine="0"/>
        <w:jc w:val="both"/>
        <w:rPr>
          <w:rFonts w:asciiTheme="minorHAnsi" w:hAnsiTheme="minorHAnsi"/>
          <w:sz w:val="20"/>
          <w:szCs w:val="20"/>
          <w:lang w:val="en-GB"/>
        </w:rPr>
      </w:pPr>
      <w:r w:rsidRPr="0099310D">
        <w:rPr>
          <w:rFonts w:asciiTheme="minorHAnsi" w:hAnsiTheme="minorHAnsi"/>
          <w:bCs/>
          <w:sz w:val="20"/>
          <w:szCs w:val="20"/>
          <w:u w:val="single"/>
          <w:lang w:val="en-GB"/>
        </w:rPr>
        <w:t>Hunting management in PAs and in ZOVICs</w:t>
      </w:r>
      <w:r w:rsidRPr="0099310D">
        <w:rPr>
          <w:rFonts w:asciiTheme="minorHAnsi" w:hAnsiTheme="minorHAnsi"/>
          <w:bCs/>
          <w:sz w:val="20"/>
          <w:szCs w:val="20"/>
          <w:lang w:val="en-GB"/>
        </w:rPr>
        <w:t xml:space="preserve">. Big and small game hunting in PAs and in ZOVICs are regulated and require the purchase of hunting permits by outside and local hunters and local communities. </w:t>
      </w:r>
      <w:bookmarkStart w:id="4" w:name="_Hlk43713812"/>
      <w:r w:rsidRPr="0099310D">
        <w:rPr>
          <w:rFonts w:asciiTheme="minorHAnsi" w:hAnsiTheme="minorHAnsi"/>
          <w:sz w:val="20"/>
          <w:szCs w:val="20"/>
          <w:lang w:val="en-CA"/>
        </w:rPr>
        <w:t xml:space="preserve">Government </w:t>
      </w:r>
      <w:r w:rsidRPr="0099310D">
        <w:rPr>
          <w:rFonts w:asciiTheme="minorHAnsi" w:hAnsiTheme="minorHAnsi" w:cs="Swiss721BT-Roman"/>
          <w:sz w:val="20"/>
          <w:szCs w:val="20"/>
          <w:lang w:val="en-CA"/>
        </w:rPr>
        <w:t xml:space="preserve">holds control of the areas and ensures its sovereign functions, namely </w:t>
      </w:r>
      <w:r w:rsidRPr="0099310D">
        <w:rPr>
          <w:rFonts w:asciiTheme="minorHAnsi" w:hAnsiTheme="minorHAnsi"/>
          <w:sz w:val="20"/>
          <w:szCs w:val="20"/>
          <w:lang w:val="en-CA"/>
        </w:rPr>
        <w:t xml:space="preserve">i) allocates areas for concessions, defining specifications for the management of concessions by concessionaires and monitoring their observation, and assessing concessions, ii) determines hunting regulations and quotas, </w:t>
      </w:r>
      <w:r w:rsidRPr="0099310D">
        <w:rPr>
          <w:rFonts w:asciiTheme="minorHAnsi" w:hAnsiTheme="minorHAnsi" w:cs="Swiss721BT-Roman"/>
          <w:sz w:val="20"/>
          <w:szCs w:val="20"/>
          <w:lang w:val="en-CA"/>
        </w:rPr>
        <w:t>iii) de</w:t>
      </w:r>
      <w:r w:rsidRPr="0099310D">
        <w:rPr>
          <w:rFonts w:asciiTheme="minorHAnsi" w:hAnsiTheme="minorHAnsi"/>
          <w:sz w:val="20"/>
          <w:szCs w:val="20"/>
          <w:lang w:val="en-CA"/>
        </w:rPr>
        <w:t xml:space="preserve">livers permits and licences for sport and traditional hunting and </w:t>
      </w:r>
      <w:r w:rsidRPr="0099310D">
        <w:rPr>
          <w:rFonts w:asciiTheme="minorHAnsi" w:hAnsiTheme="minorHAnsi" w:cs="Swiss721BT-Roman"/>
          <w:sz w:val="20"/>
          <w:szCs w:val="20"/>
          <w:lang w:val="en-CA"/>
        </w:rPr>
        <w:t xml:space="preserve">collects slaughter and concession fees, </w:t>
      </w:r>
      <w:r w:rsidRPr="0099310D">
        <w:rPr>
          <w:rFonts w:asciiTheme="minorHAnsi" w:hAnsiTheme="minorHAnsi"/>
          <w:sz w:val="20"/>
          <w:szCs w:val="20"/>
          <w:lang w:val="en-CA"/>
        </w:rPr>
        <w:t xml:space="preserve">and iv) undertakes surveillance and wildlife monitoring. </w:t>
      </w:r>
      <w:bookmarkEnd w:id="4"/>
      <w:r w:rsidRPr="0099310D">
        <w:rPr>
          <w:rFonts w:asciiTheme="minorHAnsi" w:hAnsiTheme="minorHAnsi"/>
          <w:sz w:val="20"/>
          <w:szCs w:val="20"/>
          <w:lang w:val="en-CA"/>
        </w:rPr>
        <w:t>The central and decentralized services of the Ministry in charge of wildlife, organize and supervise the conduct of the hunting and tourism season. Concessionaires are responsible for managing the exploitation of wildlife for a fixed period following specifications agreed with the Government. Royalties and taxes collected for the valuation of wildlife reserves are shared between the State and the local authorities.</w:t>
      </w:r>
      <w:r w:rsidRPr="0099310D">
        <w:rPr>
          <w:rStyle w:val="Appelnotedebasdep"/>
          <w:rFonts w:asciiTheme="minorHAnsi" w:hAnsiTheme="minorHAnsi"/>
          <w:sz w:val="20"/>
          <w:szCs w:val="20"/>
          <w:lang w:val="en-CA"/>
        </w:rPr>
        <w:footnoteReference w:id="2"/>
      </w:r>
      <w:r w:rsidRPr="0099310D">
        <w:rPr>
          <w:rFonts w:asciiTheme="minorHAnsi" w:hAnsiTheme="minorHAnsi"/>
          <w:sz w:val="20"/>
          <w:szCs w:val="20"/>
          <w:lang w:val="en-CA"/>
        </w:rPr>
        <w:t xml:space="preserve"> Tourism/sport hunting </w:t>
      </w:r>
      <w:r w:rsidRPr="0099310D">
        <w:rPr>
          <w:rFonts w:asciiTheme="minorHAnsi" w:hAnsiTheme="minorHAnsi"/>
          <w:noProof/>
          <w:sz w:val="20"/>
          <w:szCs w:val="20"/>
          <w:lang w:val="en-GB"/>
        </w:rPr>
        <w:t>in core PAs is expected to generate benefits for local communities through providing jobs as hunting guides and trackers and the sharing of revenues and meat of killed animals.</w:t>
      </w:r>
    </w:p>
    <w:p w14:paraId="5295142A" w14:textId="26A112A2" w:rsidR="00302BFE"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87DAD">
        <w:rPr>
          <w:rFonts w:ascii="Calibri" w:hAnsi="Calibri"/>
          <w:b/>
          <w:sz w:val="20"/>
          <w:szCs w:val="20"/>
          <w:lang w:val="en-GB"/>
        </w:rPr>
        <w:t>PONASI PA Complex.</w:t>
      </w:r>
      <w:r w:rsidRPr="00987DAD">
        <w:rPr>
          <w:rFonts w:ascii="Calibri" w:hAnsi="Calibri"/>
          <w:sz w:val="20"/>
          <w:szCs w:val="20"/>
          <w:lang w:val="en-GB"/>
        </w:rPr>
        <w:t xml:space="preserve"> The </w:t>
      </w:r>
      <w:proofErr w:type="spellStart"/>
      <w:r w:rsidRPr="00987DAD">
        <w:rPr>
          <w:rFonts w:ascii="Calibri" w:hAnsi="Calibri"/>
          <w:sz w:val="20"/>
          <w:szCs w:val="20"/>
          <w:lang w:val="en-GB"/>
        </w:rPr>
        <w:t>Pô-Nazinga-Sissili</w:t>
      </w:r>
      <w:proofErr w:type="spellEnd"/>
      <w:r w:rsidRPr="00987DAD">
        <w:rPr>
          <w:rFonts w:ascii="Calibri" w:hAnsi="Calibri"/>
          <w:sz w:val="20"/>
          <w:szCs w:val="20"/>
          <w:lang w:val="en-GB"/>
        </w:rPr>
        <w:t xml:space="preserve"> (PONASI) Protected Area Complex was defined as a W</w:t>
      </w:r>
      <w:r>
        <w:rPr>
          <w:rFonts w:ascii="Calibri" w:hAnsi="Calibri"/>
          <w:sz w:val="20"/>
          <w:szCs w:val="20"/>
          <w:lang w:val="en-GB"/>
        </w:rPr>
        <w:t xml:space="preserve">ildlife </w:t>
      </w:r>
      <w:r w:rsidRPr="00987DAD">
        <w:rPr>
          <w:rFonts w:ascii="Calibri" w:hAnsi="Calibri"/>
          <w:sz w:val="20"/>
          <w:szCs w:val="20"/>
          <w:lang w:val="en-GB"/>
        </w:rPr>
        <w:t>C</w:t>
      </w:r>
      <w:r>
        <w:rPr>
          <w:rFonts w:ascii="Calibri" w:hAnsi="Calibri"/>
          <w:sz w:val="20"/>
          <w:szCs w:val="20"/>
          <w:lang w:val="en-GB"/>
        </w:rPr>
        <w:t xml:space="preserve">onservation </w:t>
      </w:r>
      <w:r w:rsidRPr="00987DAD">
        <w:rPr>
          <w:rFonts w:ascii="Calibri" w:hAnsi="Calibri"/>
          <w:sz w:val="20"/>
          <w:szCs w:val="20"/>
          <w:lang w:val="en-GB"/>
        </w:rPr>
        <w:t>U</w:t>
      </w:r>
      <w:r>
        <w:rPr>
          <w:rFonts w:ascii="Calibri" w:hAnsi="Calibri"/>
          <w:sz w:val="20"/>
          <w:szCs w:val="20"/>
          <w:lang w:val="en-GB"/>
        </w:rPr>
        <w:t>nit</w:t>
      </w:r>
      <w:r w:rsidRPr="00987DAD">
        <w:rPr>
          <w:rFonts w:ascii="Calibri" w:hAnsi="Calibri"/>
          <w:sz w:val="20"/>
          <w:szCs w:val="20"/>
          <w:lang w:val="en-GB"/>
        </w:rPr>
        <w:t xml:space="preserve"> along with 11 other such units in 1996 and included </w:t>
      </w:r>
      <w:r>
        <w:rPr>
          <w:rFonts w:ascii="Calibri" w:hAnsi="Calibri"/>
          <w:sz w:val="20"/>
          <w:szCs w:val="20"/>
          <w:lang w:val="en-GB"/>
        </w:rPr>
        <w:t xml:space="preserve">three (3) State </w:t>
      </w:r>
      <w:r w:rsidRPr="00987DAD">
        <w:rPr>
          <w:rFonts w:ascii="Calibri" w:hAnsi="Calibri"/>
          <w:sz w:val="20"/>
          <w:szCs w:val="20"/>
          <w:lang w:val="en-GB"/>
        </w:rPr>
        <w:t>protected areas</w:t>
      </w:r>
      <w:r>
        <w:rPr>
          <w:rFonts w:ascii="Calibri" w:hAnsi="Calibri"/>
          <w:sz w:val="20"/>
          <w:szCs w:val="20"/>
          <w:lang w:val="en-GB"/>
        </w:rPr>
        <w:t xml:space="preserve">: </w:t>
      </w:r>
      <w:r w:rsidRPr="00987DAD">
        <w:rPr>
          <w:rFonts w:ascii="Calibri" w:hAnsi="Calibri"/>
          <w:sz w:val="20"/>
          <w:szCs w:val="20"/>
          <w:lang w:val="en-GB"/>
        </w:rPr>
        <w:t xml:space="preserve">the </w:t>
      </w:r>
      <w:proofErr w:type="spellStart"/>
      <w:r w:rsidRPr="00987DAD">
        <w:rPr>
          <w:rFonts w:ascii="Calibri" w:hAnsi="Calibri"/>
          <w:sz w:val="20"/>
          <w:szCs w:val="20"/>
          <w:lang w:val="en-GB"/>
        </w:rPr>
        <w:t>Pô</w:t>
      </w:r>
      <w:proofErr w:type="spellEnd"/>
      <w:r w:rsidRPr="00987DAD">
        <w:rPr>
          <w:rFonts w:ascii="Calibri" w:hAnsi="Calibri"/>
          <w:sz w:val="20"/>
          <w:szCs w:val="20"/>
          <w:lang w:val="en-GB"/>
        </w:rPr>
        <w:t xml:space="preserve"> / Kaboré-</w:t>
      </w:r>
      <w:proofErr w:type="spellStart"/>
      <w:r w:rsidRPr="001D75B4">
        <w:rPr>
          <w:rFonts w:ascii="Calibri" w:hAnsi="Calibri"/>
          <w:sz w:val="20"/>
          <w:szCs w:val="20"/>
          <w:lang w:val="en-GB"/>
        </w:rPr>
        <w:t>Tambi</w:t>
      </w:r>
      <w:proofErr w:type="spellEnd"/>
      <w:r w:rsidRPr="001D75B4">
        <w:rPr>
          <w:rFonts w:ascii="Calibri" w:hAnsi="Calibri"/>
          <w:sz w:val="20"/>
          <w:szCs w:val="20"/>
          <w:lang w:val="en-GB"/>
        </w:rPr>
        <w:t xml:space="preserve"> </w:t>
      </w:r>
      <w:r w:rsidR="00A57463" w:rsidRPr="001D75B4">
        <w:rPr>
          <w:rFonts w:ascii="Calibri" w:hAnsi="Calibri"/>
          <w:sz w:val="20"/>
          <w:szCs w:val="20"/>
          <w:lang w:val="en-GB"/>
        </w:rPr>
        <w:t>(</w:t>
      </w:r>
      <w:r w:rsidR="00335135" w:rsidRPr="001D75B4">
        <w:rPr>
          <w:rFonts w:ascii="Calibri" w:hAnsi="Calibri"/>
          <w:sz w:val="20"/>
          <w:szCs w:val="20"/>
          <w:lang w:val="en-GB"/>
        </w:rPr>
        <w:t>PNKT</w:t>
      </w:r>
      <w:r w:rsidR="00A57463" w:rsidRPr="001D75B4">
        <w:rPr>
          <w:rFonts w:ascii="Calibri" w:hAnsi="Calibri"/>
          <w:sz w:val="20"/>
          <w:szCs w:val="20"/>
          <w:lang w:val="en-GB"/>
        </w:rPr>
        <w:t>)</w:t>
      </w:r>
      <w:r w:rsidR="00335135" w:rsidRPr="001D75B4">
        <w:rPr>
          <w:rFonts w:ascii="Calibri" w:hAnsi="Calibri"/>
          <w:sz w:val="20"/>
          <w:szCs w:val="20"/>
          <w:lang w:val="en-GB"/>
        </w:rPr>
        <w:t xml:space="preserve"> </w:t>
      </w:r>
      <w:r w:rsidRPr="001D75B4">
        <w:rPr>
          <w:rFonts w:ascii="Calibri" w:hAnsi="Calibri"/>
          <w:sz w:val="20"/>
          <w:szCs w:val="20"/>
          <w:lang w:val="en-GB"/>
        </w:rPr>
        <w:t xml:space="preserve">National Park, the </w:t>
      </w:r>
      <w:proofErr w:type="spellStart"/>
      <w:r w:rsidRPr="001D75B4">
        <w:rPr>
          <w:rFonts w:ascii="Calibri" w:hAnsi="Calibri"/>
          <w:sz w:val="20"/>
          <w:szCs w:val="20"/>
          <w:lang w:val="en-GB"/>
        </w:rPr>
        <w:t>Nazinga</w:t>
      </w:r>
      <w:proofErr w:type="spellEnd"/>
      <w:r w:rsidRPr="001D75B4">
        <w:rPr>
          <w:rFonts w:ascii="Calibri" w:hAnsi="Calibri"/>
          <w:sz w:val="20"/>
          <w:szCs w:val="20"/>
          <w:lang w:val="en-GB"/>
        </w:rPr>
        <w:t xml:space="preserve"> Classified Forest and Game Ranch, and the </w:t>
      </w:r>
      <w:proofErr w:type="spellStart"/>
      <w:r w:rsidRPr="001D75B4">
        <w:rPr>
          <w:rFonts w:ascii="Calibri" w:hAnsi="Calibri"/>
          <w:sz w:val="20"/>
          <w:szCs w:val="20"/>
          <w:lang w:val="en-GB"/>
        </w:rPr>
        <w:t>Sissili</w:t>
      </w:r>
      <w:proofErr w:type="spellEnd"/>
      <w:r w:rsidRPr="001D75B4">
        <w:rPr>
          <w:rFonts w:ascii="Calibri" w:hAnsi="Calibri"/>
          <w:sz w:val="20"/>
          <w:szCs w:val="20"/>
          <w:lang w:val="en-GB"/>
        </w:rPr>
        <w:t xml:space="preserve"> Classified Forest and Hunting Area, and eleven (11) village hunting areas </w:t>
      </w:r>
      <w:r w:rsidR="00F93BF7" w:rsidRPr="001D75B4">
        <w:rPr>
          <w:rFonts w:ascii="Calibri" w:hAnsi="Calibri"/>
          <w:sz w:val="20"/>
          <w:szCs w:val="20"/>
          <w:lang w:val="en-GB"/>
        </w:rPr>
        <w:t>(ZOVIC) as</w:t>
      </w:r>
      <w:r w:rsidRPr="001D75B4">
        <w:rPr>
          <w:rFonts w:ascii="Calibri" w:hAnsi="Calibri"/>
          <w:sz w:val="20"/>
          <w:szCs w:val="20"/>
          <w:lang w:val="en-GB"/>
        </w:rPr>
        <w:t xml:space="preserve"> community manage</w:t>
      </w:r>
      <w:r w:rsidR="00F93BF7" w:rsidRPr="001D75B4">
        <w:rPr>
          <w:rFonts w:ascii="Calibri" w:hAnsi="Calibri"/>
          <w:sz w:val="20"/>
          <w:szCs w:val="20"/>
          <w:lang w:val="en-GB"/>
        </w:rPr>
        <w:t xml:space="preserve">d </w:t>
      </w:r>
      <w:r w:rsidRPr="001D75B4">
        <w:rPr>
          <w:rFonts w:ascii="Calibri" w:hAnsi="Calibri"/>
          <w:sz w:val="20"/>
          <w:szCs w:val="20"/>
          <w:lang w:val="en-GB"/>
        </w:rPr>
        <w:t>protected areas contiguous to the State domain. The project intervention site also includes two wildlife corridors along the Ghana border. These protected areas are presented in Table 1 and illustrated in Figure 1. The PONASI complex</w:t>
      </w:r>
      <w:r>
        <w:rPr>
          <w:rFonts w:ascii="Calibri" w:hAnsi="Calibri"/>
          <w:sz w:val="20"/>
          <w:szCs w:val="20"/>
          <w:lang w:val="en-GB"/>
        </w:rPr>
        <w:t xml:space="preserve"> of PAs</w:t>
      </w:r>
      <w:r w:rsidRPr="00987DAD">
        <w:rPr>
          <w:rFonts w:ascii="Calibri" w:hAnsi="Calibri"/>
          <w:sz w:val="20"/>
          <w:szCs w:val="20"/>
          <w:lang w:val="en-GB"/>
        </w:rPr>
        <w:t xml:space="preserve"> covers an area of approximately </w:t>
      </w:r>
      <w:r w:rsidRPr="0029631F">
        <w:rPr>
          <w:rFonts w:ascii="Calibri" w:hAnsi="Calibri"/>
          <w:sz w:val="20"/>
          <w:szCs w:val="20"/>
          <w:lang w:val="en-GB"/>
        </w:rPr>
        <w:t>354,781</w:t>
      </w:r>
      <w:r w:rsidRPr="00987DAD">
        <w:rPr>
          <w:rFonts w:ascii="Calibri" w:hAnsi="Calibri"/>
          <w:sz w:val="20"/>
          <w:szCs w:val="20"/>
          <w:lang w:val="en-GB"/>
        </w:rPr>
        <w:t xml:space="preserve"> ha </w:t>
      </w:r>
      <w:r w:rsidRPr="00C91527">
        <w:rPr>
          <w:rFonts w:ascii="Calibri" w:hAnsi="Calibri"/>
          <w:sz w:val="20"/>
          <w:szCs w:val="20"/>
          <w:lang w:val="en-GB"/>
        </w:rPr>
        <w:t xml:space="preserve">and is the only ecological ensemble and continuum for the conservation of globally significant biodiversity in the </w:t>
      </w:r>
      <w:proofErr w:type="spellStart"/>
      <w:r w:rsidRPr="00C91527">
        <w:rPr>
          <w:rFonts w:ascii="Calibri" w:hAnsi="Calibri"/>
          <w:sz w:val="20"/>
          <w:szCs w:val="20"/>
          <w:lang w:val="en-GB"/>
        </w:rPr>
        <w:t>Center</w:t>
      </w:r>
      <w:proofErr w:type="spellEnd"/>
      <w:r w:rsidRPr="00C91527">
        <w:rPr>
          <w:rFonts w:ascii="Calibri" w:hAnsi="Calibri"/>
          <w:sz w:val="20"/>
          <w:szCs w:val="20"/>
          <w:lang w:val="en-GB"/>
        </w:rPr>
        <w:t xml:space="preserve">-East, </w:t>
      </w:r>
      <w:proofErr w:type="spellStart"/>
      <w:r w:rsidRPr="00C91527">
        <w:rPr>
          <w:rFonts w:ascii="Calibri" w:hAnsi="Calibri"/>
          <w:sz w:val="20"/>
          <w:szCs w:val="20"/>
          <w:lang w:val="en-GB"/>
        </w:rPr>
        <w:t>Center</w:t>
      </w:r>
      <w:proofErr w:type="spellEnd"/>
      <w:r w:rsidRPr="00C91527">
        <w:rPr>
          <w:rFonts w:ascii="Calibri" w:hAnsi="Calibri"/>
          <w:sz w:val="20"/>
          <w:szCs w:val="20"/>
          <w:lang w:val="en-GB"/>
        </w:rPr>
        <w:t xml:space="preserve">-South and </w:t>
      </w:r>
      <w:proofErr w:type="spellStart"/>
      <w:r w:rsidRPr="00C91527">
        <w:rPr>
          <w:rFonts w:ascii="Calibri" w:hAnsi="Calibri"/>
          <w:sz w:val="20"/>
          <w:szCs w:val="20"/>
          <w:lang w:val="en-GB"/>
        </w:rPr>
        <w:t>Center</w:t>
      </w:r>
      <w:proofErr w:type="spellEnd"/>
      <w:r w:rsidRPr="00C91527">
        <w:rPr>
          <w:rFonts w:ascii="Calibri" w:hAnsi="Calibri"/>
          <w:sz w:val="20"/>
          <w:szCs w:val="20"/>
          <w:lang w:val="en-GB"/>
        </w:rPr>
        <w:t>-West regions of Burkina Faso. It is also contiguous to protected areas in northern Ghana.</w:t>
      </w:r>
    </w:p>
    <w:p w14:paraId="3C337E01" w14:textId="77777777" w:rsidR="00302BFE" w:rsidRDefault="00302BFE" w:rsidP="00302BFE">
      <w:pPr>
        <w:spacing w:before="240"/>
        <w:ind w:left="2487"/>
        <w:rPr>
          <w:b/>
          <w:sz w:val="22"/>
          <w:szCs w:val="22"/>
          <w:lang w:val="en-CA"/>
        </w:rPr>
      </w:pPr>
      <w:r w:rsidRPr="00CB2536">
        <w:rPr>
          <w:b/>
          <w:lang w:val="en-CA"/>
        </w:rPr>
        <w:lastRenderedPageBreak/>
        <w:t>Table 1. State and community protected areas in the PONASI landscape</w:t>
      </w:r>
      <w:r>
        <w:rPr>
          <w:b/>
          <w:lang w:val="en-CA"/>
        </w:rPr>
        <w:t xml:space="preserve"> </w:t>
      </w:r>
    </w:p>
    <w:tbl>
      <w:tblPr>
        <w:tblW w:w="11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8"/>
        <w:gridCol w:w="2007"/>
        <w:gridCol w:w="1080"/>
        <w:gridCol w:w="1440"/>
        <w:gridCol w:w="810"/>
        <w:gridCol w:w="1440"/>
        <w:gridCol w:w="1400"/>
        <w:gridCol w:w="887"/>
        <w:gridCol w:w="1223"/>
      </w:tblGrid>
      <w:tr w:rsidR="007E5AC8" w14:paraId="16013666" w14:textId="77777777" w:rsidTr="00A63E29">
        <w:trPr>
          <w:tblHeader/>
          <w:jc w:val="center"/>
        </w:trPr>
        <w:tc>
          <w:tcPr>
            <w:tcW w:w="1228" w:type="dxa"/>
            <w:tcBorders>
              <w:top w:val="single" w:sz="4" w:space="0" w:color="auto"/>
              <w:left w:val="single" w:sz="4" w:space="0" w:color="auto"/>
              <w:bottom w:val="single" w:sz="4" w:space="0" w:color="auto"/>
              <w:right w:val="single" w:sz="4" w:space="0" w:color="auto"/>
            </w:tcBorders>
            <w:shd w:val="clear" w:color="auto" w:fill="FFF2CC"/>
            <w:hideMark/>
          </w:tcPr>
          <w:p w14:paraId="1E75B1AD" w14:textId="77777777" w:rsidR="00335135" w:rsidRDefault="00335135" w:rsidP="00243B15">
            <w:pPr>
              <w:spacing w:after="0"/>
              <w:rPr>
                <w:b/>
                <w:sz w:val="18"/>
                <w:szCs w:val="18"/>
              </w:rPr>
            </w:pPr>
            <w:r>
              <w:rPr>
                <w:b/>
                <w:sz w:val="18"/>
                <w:szCs w:val="18"/>
              </w:rPr>
              <w:t>Name</w:t>
            </w:r>
          </w:p>
        </w:tc>
        <w:tc>
          <w:tcPr>
            <w:tcW w:w="2007" w:type="dxa"/>
            <w:tcBorders>
              <w:top w:val="single" w:sz="4" w:space="0" w:color="auto"/>
              <w:left w:val="single" w:sz="4" w:space="0" w:color="auto"/>
              <w:bottom w:val="single" w:sz="4" w:space="0" w:color="auto"/>
              <w:right w:val="single" w:sz="4" w:space="0" w:color="auto"/>
            </w:tcBorders>
            <w:shd w:val="clear" w:color="auto" w:fill="FFF2CC"/>
          </w:tcPr>
          <w:p w14:paraId="5A2181CB" w14:textId="33A96797" w:rsidR="00335135" w:rsidRPr="001D75B4" w:rsidRDefault="00973839" w:rsidP="00243B15">
            <w:pPr>
              <w:spacing w:after="0"/>
              <w:rPr>
                <w:b/>
                <w:sz w:val="18"/>
                <w:szCs w:val="18"/>
              </w:rPr>
            </w:pPr>
            <w:r w:rsidRPr="001D75B4">
              <w:rPr>
                <w:b/>
                <w:sz w:val="18"/>
                <w:szCs w:val="18"/>
                <w:lang w:val="fr-FR"/>
              </w:rPr>
              <w:t>Provinces</w:t>
            </w:r>
          </w:p>
        </w:tc>
        <w:tc>
          <w:tcPr>
            <w:tcW w:w="1080" w:type="dxa"/>
            <w:tcBorders>
              <w:top w:val="single" w:sz="4" w:space="0" w:color="auto"/>
              <w:left w:val="single" w:sz="4" w:space="0" w:color="auto"/>
              <w:bottom w:val="single" w:sz="4" w:space="0" w:color="auto"/>
              <w:right w:val="single" w:sz="4" w:space="0" w:color="auto"/>
            </w:tcBorders>
            <w:shd w:val="clear" w:color="auto" w:fill="FFF2CC"/>
            <w:hideMark/>
          </w:tcPr>
          <w:p w14:paraId="242DEE00" w14:textId="5D928C69" w:rsidR="00335135" w:rsidRDefault="00335135" w:rsidP="00243B15">
            <w:pPr>
              <w:spacing w:after="0"/>
              <w:rPr>
                <w:b/>
                <w:sz w:val="18"/>
                <w:szCs w:val="18"/>
              </w:rPr>
            </w:pPr>
            <w:r>
              <w:rPr>
                <w:b/>
                <w:sz w:val="18"/>
                <w:szCs w:val="18"/>
              </w:rPr>
              <w:t>Area (ha)</w:t>
            </w:r>
          </w:p>
        </w:tc>
        <w:tc>
          <w:tcPr>
            <w:tcW w:w="1440" w:type="dxa"/>
            <w:tcBorders>
              <w:top w:val="single" w:sz="4" w:space="0" w:color="auto"/>
              <w:left w:val="single" w:sz="4" w:space="0" w:color="auto"/>
              <w:bottom w:val="single" w:sz="4" w:space="0" w:color="auto"/>
              <w:right w:val="single" w:sz="4" w:space="0" w:color="auto"/>
            </w:tcBorders>
            <w:shd w:val="clear" w:color="auto" w:fill="FFF2CC"/>
            <w:hideMark/>
          </w:tcPr>
          <w:p w14:paraId="111039AA" w14:textId="77777777" w:rsidR="00335135" w:rsidRDefault="00335135" w:rsidP="00243B15">
            <w:pPr>
              <w:spacing w:after="0"/>
              <w:rPr>
                <w:b/>
                <w:sz w:val="18"/>
                <w:szCs w:val="18"/>
              </w:rPr>
            </w:pPr>
            <w:r>
              <w:rPr>
                <w:b/>
                <w:sz w:val="18"/>
                <w:szCs w:val="18"/>
              </w:rPr>
              <w:t xml:space="preserve">National classification </w:t>
            </w:r>
          </w:p>
        </w:tc>
        <w:tc>
          <w:tcPr>
            <w:tcW w:w="810" w:type="dxa"/>
            <w:tcBorders>
              <w:top w:val="single" w:sz="4" w:space="0" w:color="auto"/>
              <w:left w:val="single" w:sz="4" w:space="0" w:color="auto"/>
              <w:bottom w:val="single" w:sz="4" w:space="0" w:color="auto"/>
              <w:right w:val="single" w:sz="4" w:space="0" w:color="auto"/>
            </w:tcBorders>
            <w:shd w:val="clear" w:color="auto" w:fill="FFF2CC"/>
            <w:hideMark/>
          </w:tcPr>
          <w:p w14:paraId="4263FFB7" w14:textId="77777777" w:rsidR="00A72842" w:rsidRDefault="00335135" w:rsidP="00243B15">
            <w:pPr>
              <w:spacing w:after="0"/>
              <w:rPr>
                <w:b/>
                <w:sz w:val="18"/>
                <w:szCs w:val="18"/>
              </w:rPr>
            </w:pPr>
            <w:r>
              <w:rPr>
                <w:b/>
                <w:sz w:val="18"/>
                <w:szCs w:val="18"/>
              </w:rPr>
              <w:t>Cat.</w:t>
            </w:r>
          </w:p>
          <w:p w14:paraId="3680E30F" w14:textId="099F614A" w:rsidR="00335135" w:rsidRDefault="00335135" w:rsidP="00243B15">
            <w:pPr>
              <w:spacing w:after="0"/>
              <w:rPr>
                <w:b/>
                <w:sz w:val="18"/>
                <w:szCs w:val="18"/>
              </w:rPr>
            </w:pPr>
            <w:r>
              <w:rPr>
                <w:b/>
                <w:sz w:val="18"/>
                <w:szCs w:val="18"/>
              </w:rPr>
              <w:t xml:space="preserve"> IUCN</w:t>
            </w:r>
          </w:p>
        </w:tc>
        <w:tc>
          <w:tcPr>
            <w:tcW w:w="1440" w:type="dxa"/>
            <w:tcBorders>
              <w:top w:val="single" w:sz="4" w:space="0" w:color="auto"/>
              <w:left w:val="single" w:sz="4" w:space="0" w:color="auto"/>
              <w:bottom w:val="single" w:sz="4" w:space="0" w:color="auto"/>
              <w:right w:val="single" w:sz="4" w:space="0" w:color="auto"/>
            </w:tcBorders>
            <w:shd w:val="clear" w:color="auto" w:fill="FFF2CC"/>
            <w:hideMark/>
          </w:tcPr>
          <w:p w14:paraId="0993880D" w14:textId="77777777" w:rsidR="00335135" w:rsidRDefault="00335135" w:rsidP="00243B15">
            <w:pPr>
              <w:spacing w:after="0"/>
              <w:rPr>
                <w:b/>
                <w:sz w:val="18"/>
                <w:szCs w:val="18"/>
              </w:rPr>
            </w:pPr>
            <w:r>
              <w:rPr>
                <w:b/>
                <w:sz w:val="18"/>
                <w:szCs w:val="18"/>
              </w:rPr>
              <w:t>Management Unit</w:t>
            </w:r>
          </w:p>
        </w:tc>
        <w:tc>
          <w:tcPr>
            <w:tcW w:w="1400" w:type="dxa"/>
            <w:tcBorders>
              <w:top w:val="single" w:sz="4" w:space="0" w:color="auto"/>
              <w:left w:val="single" w:sz="4" w:space="0" w:color="auto"/>
              <w:bottom w:val="single" w:sz="4" w:space="0" w:color="auto"/>
              <w:right w:val="single" w:sz="4" w:space="0" w:color="auto"/>
            </w:tcBorders>
            <w:shd w:val="clear" w:color="auto" w:fill="FFF2CC"/>
            <w:hideMark/>
          </w:tcPr>
          <w:p w14:paraId="7BD706C7" w14:textId="77777777" w:rsidR="00335135" w:rsidRDefault="00335135" w:rsidP="00243B15">
            <w:pPr>
              <w:spacing w:after="0"/>
              <w:rPr>
                <w:b/>
                <w:sz w:val="18"/>
                <w:szCs w:val="18"/>
              </w:rPr>
            </w:pPr>
            <w:r>
              <w:rPr>
                <w:b/>
                <w:sz w:val="18"/>
                <w:szCs w:val="18"/>
              </w:rPr>
              <w:t>Management plan</w:t>
            </w:r>
          </w:p>
        </w:tc>
        <w:tc>
          <w:tcPr>
            <w:tcW w:w="887" w:type="dxa"/>
            <w:tcBorders>
              <w:top w:val="single" w:sz="4" w:space="0" w:color="auto"/>
              <w:left w:val="single" w:sz="4" w:space="0" w:color="auto"/>
              <w:bottom w:val="single" w:sz="4" w:space="0" w:color="auto"/>
              <w:right w:val="single" w:sz="4" w:space="0" w:color="auto"/>
            </w:tcBorders>
            <w:shd w:val="clear" w:color="auto" w:fill="FFF2CC"/>
            <w:hideMark/>
          </w:tcPr>
          <w:p w14:paraId="032BF902" w14:textId="77777777" w:rsidR="00335135" w:rsidRDefault="00335135" w:rsidP="00243B15">
            <w:pPr>
              <w:spacing w:after="0"/>
              <w:rPr>
                <w:b/>
                <w:sz w:val="18"/>
                <w:szCs w:val="18"/>
              </w:rPr>
            </w:pPr>
            <w:r>
              <w:rPr>
                <w:b/>
                <w:sz w:val="18"/>
                <w:szCs w:val="18"/>
              </w:rPr>
              <w:t>Status</w:t>
            </w:r>
          </w:p>
        </w:tc>
        <w:tc>
          <w:tcPr>
            <w:tcW w:w="1223" w:type="dxa"/>
            <w:tcBorders>
              <w:top w:val="single" w:sz="4" w:space="0" w:color="auto"/>
              <w:left w:val="single" w:sz="4" w:space="0" w:color="auto"/>
              <w:bottom w:val="single" w:sz="4" w:space="0" w:color="auto"/>
              <w:right w:val="single" w:sz="4" w:space="0" w:color="auto"/>
            </w:tcBorders>
            <w:shd w:val="clear" w:color="auto" w:fill="FFF2CC"/>
            <w:hideMark/>
          </w:tcPr>
          <w:p w14:paraId="48FC66D1" w14:textId="77777777" w:rsidR="00335135" w:rsidRDefault="00335135" w:rsidP="00243B15">
            <w:pPr>
              <w:spacing w:after="0"/>
              <w:rPr>
                <w:b/>
                <w:sz w:val="18"/>
                <w:szCs w:val="18"/>
              </w:rPr>
            </w:pPr>
            <w:r>
              <w:rPr>
                <w:b/>
                <w:sz w:val="18"/>
                <w:szCs w:val="18"/>
              </w:rPr>
              <w:t>Management Authority</w:t>
            </w:r>
          </w:p>
        </w:tc>
      </w:tr>
      <w:tr w:rsidR="00056241" w14:paraId="0BD91037" w14:textId="77777777" w:rsidTr="00A63E29">
        <w:trPr>
          <w:tblHeader/>
          <w:jc w:val="center"/>
        </w:trPr>
        <w:tc>
          <w:tcPr>
            <w:tcW w:w="11515" w:type="dxa"/>
            <w:gridSpan w:val="9"/>
            <w:tcBorders>
              <w:top w:val="single" w:sz="4" w:space="0" w:color="auto"/>
              <w:left w:val="single" w:sz="4" w:space="0" w:color="auto"/>
              <w:bottom w:val="single" w:sz="4" w:space="0" w:color="auto"/>
              <w:right w:val="single" w:sz="4" w:space="0" w:color="auto"/>
            </w:tcBorders>
            <w:shd w:val="clear" w:color="auto" w:fill="auto"/>
          </w:tcPr>
          <w:p w14:paraId="70FBEDA7" w14:textId="6A905FA0" w:rsidR="00056241" w:rsidRPr="001D75B4" w:rsidRDefault="008317E5" w:rsidP="00A63E29">
            <w:pPr>
              <w:tabs>
                <w:tab w:val="left" w:pos="4560"/>
              </w:tabs>
              <w:spacing w:after="0"/>
              <w:rPr>
                <w:bCs/>
                <w:sz w:val="18"/>
                <w:szCs w:val="18"/>
              </w:rPr>
            </w:pPr>
            <w:r w:rsidRPr="001D75B4">
              <w:rPr>
                <w:b/>
                <w:sz w:val="18"/>
                <w:szCs w:val="18"/>
              </w:rPr>
              <w:tab/>
            </w:r>
            <w:r w:rsidRPr="001D75B4">
              <w:rPr>
                <w:bCs/>
                <w:sz w:val="18"/>
                <w:szCs w:val="18"/>
              </w:rPr>
              <w:t>State protected areas</w:t>
            </w:r>
          </w:p>
        </w:tc>
      </w:tr>
      <w:tr w:rsidR="007E5AC8" w14:paraId="03348BEC"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4790A2B3" w14:textId="77777777" w:rsidR="007E5AC8" w:rsidRPr="001D75B4" w:rsidRDefault="007E5AC8" w:rsidP="007E5AC8">
            <w:pPr>
              <w:spacing w:after="0"/>
              <w:rPr>
                <w:sz w:val="18"/>
                <w:szCs w:val="18"/>
              </w:rPr>
            </w:pPr>
            <w:r w:rsidRPr="001D75B4">
              <w:rPr>
                <w:sz w:val="18"/>
                <w:szCs w:val="18"/>
              </w:rPr>
              <w:t>Kaboré-</w:t>
            </w:r>
            <w:proofErr w:type="spellStart"/>
            <w:r w:rsidRPr="001D75B4">
              <w:rPr>
                <w:sz w:val="18"/>
                <w:szCs w:val="18"/>
              </w:rPr>
              <w:t>Tambi</w:t>
            </w:r>
            <w:proofErr w:type="spellEnd"/>
          </w:p>
        </w:tc>
        <w:tc>
          <w:tcPr>
            <w:tcW w:w="2007" w:type="dxa"/>
            <w:tcBorders>
              <w:top w:val="single" w:sz="4" w:space="0" w:color="auto"/>
              <w:left w:val="single" w:sz="4" w:space="0" w:color="auto"/>
              <w:bottom w:val="single" w:sz="4" w:space="0" w:color="auto"/>
              <w:right w:val="single" w:sz="4" w:space="0" w:color="auto"/>
            </w:tcBorders>
          </w:tcPr>
          <w:p w14:paraId="7E904449" w14:textId="28F31348" w:rsidR="007E5AC8" w:rsidRPr="001D75B4" w:rsidRDefault="00000000" w:rsidP="007E5AC8">
            <w:pPr>
              <w:spacing w:after="0"/>
              <w:rPr>
                <w:sz w:val="18"/>
                <w:szCs w:val="18"/>
                <w:lang w:val="fr-FR"/>
              </w:rPr>
            </w:pPr>
            <w:hyperlink r:id="rId16" w:tooltip="Bazèga" w:history="1">
              <w:r w:rsidR="007E5AC8" w:rsidRPr="001D75B4">
                <w:rPr>
                  <w:rStyle w:val="Lienhypertexte"/>
                  <w:color w:val="000000" w:themeColor="text1"/>
                  <w:sz w:val="18"/>
                  <w:szCs w:val="18"/>
                  <w:u w:val="none"/>
                  <w:lang w:val="fr-FR"/>
                </w:rPr>
                <w:t>Bazèga</w:t>
              </w:r>
            </w:hyperlink>
            <w:r w:rsidR="007E5AC8" w:rsidRPr="001D75B4">
              <w:rPr>
                <w:color w:val="000000" w:themeColor="text1"/>
                <w:sz w:val="18"/>
                <w:szCs w:val="18"/>
                <w:lang w:val="fr-FR"/>
              </w:rPr>
              <w:t>, </w:t>
            </w:r>
            <w:hyperlink r:id="rId17" w:tooltip="Nahouri (province)" w:history="1">
              <w:r w:rsidR="007E5AC8" w:rsidRPr="001D75B4">
                <w:rPr>
                  <w:rStyle w:val="Lienhypertexte"/>
                  <w:color w:val="000000" w:themeColor="text1"/>
                  <w:sz w:val="18"/>
                  <w:szCs w:val="18"/>
                  <w:u w:val="none"/>
                  <w:lang w:val="fr-FR"/>
                </w:rPr>
                <w:t>Nahouri</w:t>
              </w:r>
            </w:hyperlink>
            <w:r w:rsidR="007E5AC8" w:rsidRPr="001D75B4">
              <w:rPr>
                <w:color w:val="000000" w:themeColor="text1"/>
                <w:sz w:val="18"/>
                <w:szCs w:val="18"/>
                <w:lang w:val="fr-FR"/>
              </w:rPr>
              <w:t>, </w:t>
            </w:r>
            <w:proofErr w:type="spellStart"/>
            <w:r>
              <w:fldChar w:fldCharType="begin"/>
            </w:r>
            <w:r w:rsidRPr="00AB47BD">
              <w:rPr>
                <w:lang w:val="fr-FR"/>
              </w:rPr>
              <w:instrText xml:space="preserve"> HYPERLINK "https://fr.wikipedia.org/wiki/Ziro" \o "Ziro" </w:instrText>
            </w:r>
            <w:r>
              <w:fldChar w:fldCharType="separate"/>
            </w:r>
            <w:r w:rsidR="007E5AC8" w:rsidRPr="001D75B4">
              <w:rPr>
                <w:rStyle w:val="Lienhypertexte"/>
                <w:color w:val="000000" w:themeColor="text1"/>
                <w:sz w:val="18"/>
                <w:szCs w:val="18"/>
                <w:u w:val="none"/>
                <w:lang w:val="fr-FR"/>
              </w:rPr>
              <w:t>Ziro</w:t>
            </w:r>
            <w:proofErr w:type="spellEnd"/>
            <w:r>
              <w:rPr>
                <w:rStyle w:val="Lienhypertexte"/>
                <w:color w:val="000000" w:themeColor="text1"/>
                <w:sz w:val="18"/>
                <w:szCs w:val="18"/>
                <w:u w:val="none"/>
                <w:lang w:val="fr-FR"/>
              </w:rPr>
              <w:fldChar w:fldCharType="end"/>
            </w:r>
            <w:r w:rsidR="007E5AC8" w:rsidRPr="001D75B4">
              <w:rPr>
                <w:color w:val="000000" w:themeColor="text1"/>
                <w:sz w:val="18"/>
                <w:szCs w:val="18"/>
                <w:lang w:val="fr-FR"/>
              </w:rPr>
              <w:t> et </w:t>
            </w:r>
            <w:hyperlink r:id="rId18" w:tooltip="Zoundwéogo" w:history="1">
              <w:r w:rsidR="007E5AC8" w:rsidRPr="001D75B4">
                <w:rPr>
                  <w:rStyle w:val="Lienhypertexte"/>
                  <w:color w:val="000000" w:themeColor="text1"/>
                  <w:sz w:val="18"/>
                  <w:szCs w:val="18"/>
                  <w:u w:val="none"/>
                  <w:lang w:val="fr-FR"/>
                </w:rPr>
                <w:t>Zoundwéogo</w:t>
              </w:r>
            </w:hyperlink>
          </w:p>
        </w:tc>
        <w:tc>
          <w:tcPr>
            <w:tcW w:w="1080" w:type="dxa"/>
            <w:tcBorders>
              <w:top w:val="single" w:sz="4" w:space="0" w:color="auto"/>
              <w:left w:val="single" w:sz="4" w:space="0" w:color="auto"/>
              <w:bottom w:val="single" w:sz="4" w:space="0" w:color="auto"/>
              <w:right w:val="single" w:sz="4" w:space="0" w:color="auto"/>
            </w:tcBorders>
            <w:hideMark/>
          </w:tcPr>
          <w:p w14:paraId="12BE76FC" w14:textId="347B704F" w:rsidR="007E5AC8" w:rsidRDefault="007E5AC8" w:rsidP="007E5AC8">
            <w:pPr>
              <w:spacing w:after="0"/>
              <w:rPr>
                <w:sz w:val="18"/>
                <w:szCs w:val="18"/>
              </w:rPr>
            </w:pPr>
            <w:r>
              <w:rPr>
                <w:sz w:val="18"/>
                <w:szCs w:val="18"/>
              </w:rPr>
              <w:t>169,000</w:t>
            </w:r>
          </w:p>
        </w:tc>
        <w:tc>
          <w:tcPr>
            <w:tcW w:w="1440" w:type="dxa"/>
            <w:tcBorders>
              <w:top w:val="single" w:sz="4" w:space="0" w:color="auto"/>
              <w:left w:val="single" w:sz="4" w:space="0" w:color="auto"/>
              <w:bottom w:val="single" w:sz="4" w:space="0" w:color="auto"/>
              <w:right w:val="single" w:sz="4" w:space="0" w:color="auto"/>
            </w:tcBorders>
            <w:hideMark/>
          </w:tcPr>
          <w:p w14:paraId="2FE75FBD" w14:textId="77777777" w:rsidR="007E5AC8" w:rsidRDefault="007E5AC8" w:rsidP="007E5AC8">
            <w:pPr>
              <w:spacing w:after="0"/>
              <w:rPr>
                <w:sz w:val="18"/>
                <w:szCs w:val="18"/>
              </w:rPr>
            </w:pPr>
            <w:r>
              <w:rPr>
                <w:sz w:val="18"/>
                <w:szCs w:val="18"/>
              </w:rPr>
              <w:t>National Park</w:t>
            </w:r>
          </w:p>
        </w:tc>
        <w:tc>
          <w:tcPr>
            <w:tcW w:w="810" w:type="dxa"/>
            <w:tcBorders>
              <w:top w:val="single" w:sz="4" w:space="0" w:color="auto"/>
              <w:left w:val="single" w:sz="4" w:space="0" w:color="auto"/>
              <w:bottom w:val="single" w:sz="4" w:space="0" w:color="auto"/>
              <w:right w:val="single" w:sz="4" w:space="0" w:color="auto"/>
            </w:tcBorders>
            <w:hideMark/>
          </w:tcPr>
          <w:p w14:paraId="5A50A65B" w14:textId="77777777" w:rsidR="007E5AC8" w:rsidRDefault="007E5AC8" w:rsidP="007E5AC8">
            <w:pPr>
              <w:spacing w:after="0"/>
              <w:rPr>
                <w:sz w:val="18"/>
                <w:szCs w:val="18"/>
              </w:rPr>
            </w:pPr>
            <w:r>
              <w:rPr>
                <w:sz w:val="18"/>
                <w:szCs w:val="18"/>
              </w:rPr>
              <w:t>II</w:t>
            </w:r>
          </w:p>
        </w:tc>
        <w:tc>
          <w:tcPr>
            <w:tcW w:w="1440" w:type="dxa"/>
            <w:tcBorders>
              <w:top w:val="single" w:sz="4" w:space="0" w:color="auto"/>
              <w:left w:val="single" w:sz="4" w:space="0" w:color="auto"/>
              <w:bottom w:val="single" w:sz="4" w:space="0" w:color="auto"/>
              <w:right w:val="single" w:sz="4" w:space="0" w:color="auto"/>
            </w:tcBorders>
            <w:hideMark/>
          </w:tcPr>
          <w:p w14:paraId="630AE2F3" w14:textId="77777777" w:rsidR="007E5AC8" w:rsidRDefault="007E5AC8" w:rsidP="007E5AC8">
            <w:pPr>
              <w:spacing w:after="0"/>
              <w:rPr>
                <w:sz w:val="16"/>
                <w:szCs w:val="16"/>
              </w:rPr>
            </w:pPr>
            <w:r>
              <w:rPr>
                <w:sz w:val="16"/>
                <w:szCs w:val="16"/>
              </w:rPr>
              <w:t>No</w:t>
            </w:r>
          </w:p>
        </w:tc>
        <w:tc>
          <w:tcPr>
            <w:tcW w:w="1400" w:type="dxa"/>
            <w:tcBorders>
              <w:top w:val="single" w:sz="4" w:space="0" w:color="auto"/>
              <w:left w:val="single" w:sz="4" w:space="0" w:color="auto"/>
              <w:bottom w:val="single" w:sz="4" w:space="0" w:color="auto"/>
              <w:right w:val="single" w:sz="4" w:space="0" w:color="auto"/>
            </w:tcBorders>
            <w:hideMark/>
          </w:tcPr>
          <w:p w14:paraId="33B161B7" w14:textId="77777777" w:rsidR="007E5AC8" w:rsidRDefault="007E5AC8" w:rsidP="007E5AC8">
            <w:pPr>
              <w:spacing w:after="0"/>
              <w:rPr>
                <w:sz w:val="16"/>
                <w:szCs w:val="16"/>
              </w:rPr>
            </w:pPr>
            <w:r>
              <w:rPr>
                <w:sz w:val="16"/>
                <w:szCs w:val="16"/>
              </w:rPr>
              <w:t>2003 -2007 and 2010 -2020</w:t>
            </w:r>
          </w:p>
        </w:tc>
        <w:tc>
          <w:tcPr>
            <w:tcW w:w="887" w:type="dxa"/>
            <w:tcBorders>
              <w:top w:val="single" w:sz="4" w:space="0" w:color="auto"/>
              <w:left w:val="single" w:sz="4" w:space="0" w:color="auto"/>
              <w:bottom w:val="single" w:sz="4" w:space="0" w:color="auto"/>
              <w:right w:val="single" w:sz="4" w:space="0" w:color="auto"/>
            </w:tcBorders>
            <w:hideMark/>
          </w:tcPr>
          <w:p w14:paraId="36FE705D" w14:textId="77777777" w:rsidR="007E5AC8" w:rsidRDefault="007E5AC8" w:rsidP="007E5AC8">
            <w:pPr>
              <w:spacing w:after="0"/>
              <w:rPr>
                <w:sz w:val="16"/>
                <w:szCs w:val="16"/>
              </w:rPr>
            </w:pPr>
            <w:r>
              <w:rPr>
                <w:sz w:val="16"/>
                <w:szCs w:val="16"/>
              </w:rPr>
              <w:t>Created 1976</w:t>
            </w:r>
          </w:p>
        </w:tc>
        <w:tc>
          <w:tcPr>
            <w:tcW w:w="1223"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A29732E" w14:textId="77777777" w:rsidR="007E5AC8" w:rsidRDefault="007E5AC8" w:rsidP="007E5AC8">
            <w:pPr>
              <w:spacing w:after="0"/>
              <w:rPr>
                <w:sz w:val="16"/>
                <w:szCs w:val="16"/>
              </w:rPr>
            </w:pPr>
            <w:r>
              <w:rPr>
                <w:sz w:val="16"/>
                <w:szCs w:val="16"/>
              </w:rPr>
              <w:t>MEGECC/ DGEF, OFINAP</w:t>
            </w:r>
          </w:p>
        </w:tc>
      </w:tr>
      <w:tr w:rsidR="007E5AC8" w14:paraId="3BBB965A"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11E898E8" w14:textId="77777777" w:rsidR="007E5AC8" w:rsidRPr="001D75B4" w:rsidRDefault="007E5AC8" w:rsidP="007E5AC8">
            <w:pPr>
              <w:spacing w:after="0"/>
              <w:rPr>
                <w:sz w:val="18"/>
                <w:szCs w:val="18"/>
              </w:rPr>
            </w:pPr>
            <w:proofErr w:type="spellStart"/>
            <w:r w:rsidRPr="001D75B4">
              <w:rPr>
                <w:sz w:val="18"/>
                <w:szCs w:val="18"/>
              </w:rPr>
              <w:t>Nazinga</w:t>
            </w:r>
            <w:proofErr w:type="spellEnd"/>
          </w:p>
        </w:tc>
        <w:tc>
          <w:tcPr>
            <w:tcW w:w="2007" w:type="dxa"/>
            <w:tcBorders>
              <w:top w:val="single" w:sz="4" w:space="0" w:color="auto"/>
              <w:left w:val="single" w:sz="4" w:space="0" w:color="auto"/>
              <w:bottom w:val="single" w:sz="4" w:space="0" w:color="auto"/>
              <w:right w:val="single" w:sz="4" w:space="0" w:color="auto"/>
            </w:tcBorders>
          </w:tcPr>
          <w:p w14:paraId="7CB6C502" w14:textId="103778F1" w:rsidR="007E5AC8" w:rsidRPr="001D75B4" w:rsidRDefault="007E5AC8" w:rsidP="007E5AC8">
            <w:pPr>
              <w:spacing w:after="0"/>
              <w:rPr>
                <w:sz w:val="18"/>
                <w:szCs w:val="18"/>
              </w:rPr>
            </w:pPr>
            <w:r w:rsidRPr="001D75B4">
              <w:rPr>
                <w:sz w:val="18"/>
                <w:szCs w:val="18"/>
                <w:lang w:val="fr-FR"/>
              </w:rPr>
              <w:t>Nahouri</w:t>
            </w:r>
          </w:p>
        </w:tc>
        <w:tc>
          <w:tcPr>
            <w:tcW w:w="1080" w:type="dxa"/>
            <w:tcBorders>
              <w:top w:val="single" w:sz="4" w:space="0" w:color="auto"/>
              <w:left w:val="single" w:sz="4" w:space="0" w:color="auto"/>
              <w:bottom w:val="single" w:sz="4" w:space="0" w:color="auto"/>
              <w:right w:val="single" w:sz="4" w:space="0" w:color="auto"/>
            </w:tcBorders>
            <w:hideMark/>
          </w:tcPr>
          <w:p w14:paraId="233EAA4B" w14:textId="48C9B1CC" w:rsidR="007E5AC8" w:rsidRDefault="007E5AC8" w:rsidP="007E5AC8">
            <w:pPr>
              <w:spacing w:after="0"/>
              <w:rPr>
                <w:sz w:val="18"/>
                <w:szCs w:val="18"/>
              </w:rPr>
            </w:pPr>
            <w:r>
              <w:rPr>
                <w:sz w:val="18"/>
                <w:szCs w:val="18"/>
              </w:rPr>
              <w:t>91,300</w:t>
            </w:r>
          </w:p>
        </w:tc>
        <w:tc>
          <w:tcPr>
            <w:tcW w:w="1440" w:type="dxa"/>
            <w:tcBorders>
              <w:top w:val="single" w:sz="4" w:space="0" w:color="auto"/>
              <w:left w:val="single" w:sz="4" w:space="0" w:color="auto"/>
              <w:bottom w:val="single" w:sz="4" w:space="0" w:color="auto"/>
              <w:right w:val="single" w:sz="4" w:space="0" w:color="auto"/>
            </w:tcBorders>
            <w:hideMark/>
          </w:tcPr>
          <w:p w14:paraId="3617B798" w14:textId="77777777" w:rsidR="007E5AC8" w:rsidRDefault="007E5AC8" w:rsidP="007E5AC8">
            <w:pPr>
              <w:spacing w:after="0"/>
              <w:rPr>
                <w:sz w:val="18"/>
                <w:szCs w:val="18"/>
                <w:lang w:val="fr-CA"/>
              </w:rPr>
            </w:pPr>
            <w:r>
              <w:rPr>
                <w:sz w:val="18"/>
                <w:szCs w:val="18"/>
                <w:lang w:val="fr-CA"/>
              </w:rPr>
              <w:t xml:space="preserve">Game Ranch/ </w:t>
            </w:r>
            <w:proofErr w:type="spellStart"/>
            <w:r>
              <w:rPr>
                <w:sz w:val="18"/>
                <w:szCs w:val="18"/>
                <w:lang w:val="fr-CA"/>
              </w:rPr>
              <w:t>Classified</w:t>
            </w:r>
            <w:proofErr w:type="spellEnd"/>
            <w:r>
              <w:rPr>
                <w:sz w:val="18"/>
                <w:szCs w:val="18"/>
                <w:lang w:val="fr-CA"/>
              </w:rPr>
              <w:t xml:space="preserve"> Forest</w:t>
            </w:r>
          </w:p>
        </w:tc>
        <w:tc>
          <w:tcPr>
            <w:tcW w:w="810" w:type="dxa"/>
            <w:tcBorders>
              <w:top w:val="single" w:sz="4" w:space="0" w:color="auto"/>
              <w:left w:val="single" w:sz="4" w:space="0" w:color="auto"/>
              <w:bottom w:val="single" w:sz="4" w:space="0" w:color="auto"/>
              <w:right w:val="single" w:sz="4" w:space="0" w:color="auto"/>
            </w:tcBorders>
            <w:hideMark/>
          </w:tcPr>
          <w:p w14:paraId="46EB0C79" w14:textId="77777777" w:rsidR="007E5AC8" w:rsidRDefault="007E5AC8" w:rsidP="007E5AC8">
            <w:pPr>
              <w:spacing w:after="0"/>
              <w:rPr>
                <w:sz w:val="18"/>
                <w:szCs w:val="18"/>
              </w:rPr>
            </w:pPr>
            <w:r>
              <w:rPr>
                <w:sz w:val="18"/>
                <w:szCs w:val="18"/>
              </w:rPr>
              <w:t>IV</w:t>
            </w:r>
          </w:p>
        </w:tc>
        <w:tc>
          <w:tcPr>
            <w:tcW w:w="1440" w:type="dxa"/>
            <w:tcBorders>
              <w:top w:val="single" w:sz="4" w:space="0" w:color="auto"/>
              <w:left w:val="single" w:sz="4" w:space="0" w:color="auto"/>
              <w:bottom w:val="single" w:sz="4" w:space="0" w:color="auto"/>
              <w:right w:val="single" w:sz="4" w:space="0" w:color="auto"/>
            </w:tcBorders>
            <w:hideMark/>
          </w:tcPr>
          <w:p w14:paraId="424A5805" w14:textId="77777777" w:rsidR="007E5AC8" w:rsidRDefault="007E5AC8" w:rsidP="007E5AC8">
            <w:pPr>
              <w:spacing w:after="0"/>
              <w:rPr>
                <w:sz w:val="16"/>
                <w:szCs w:val="16"/>
              </w:rPr>
            </w:pPr>
            <w:r>
              <w:rPr>
                <w:sz w:val="16"/>
                <w:szCs w:val="16"/>
              </w:rPr>
              <w:t xml:space="preserve">OFINAP and private concession </w:t>
            </w:r>
          </w:p>
        </w:tc>
        <w:tc>
          <w:tcPr>
            <w:tcW w:w="1400" w:type="dxa"/>
            <w:tcBorders>
              <w:top w:val="single" w:sz="4" w:space="0" w:color="auto"/>
              <w:left w:val="single" w:sz="4" w:space="0" w:color="auto"/>
              <w:bottom w:val="single" w:sz="4" w:space="0" w:color="auto"/>
              <w:right w:val="single" w:sz="4" w:space="0" w:color="auto"/>
            </w:tcBorders>
            <w:hideMark/>
          </w:tcPr>
          <w:p w14:paraId="391F9E65" w14:textId="77777777" w:rsidR="007E5AC8" w:rsidRDefault="007E5AC8" w:rsidP="007E5AC8">
            <w:pPr>
              <w:spacing w:after="0"/>
              <w:rPr>
                <w:sz w:val="16"/>
                <w:szCs w:val="16"/>
              </w:rPr>
            </w:pPr>
            <w:r>
              <w:rPr>
                <w:sz w:val="16"/>
                <w:szCs w:val="16"/>
              </w:rPr>
              <w:t>2014-2018</w:t>
            </w:r>
          </w:p>
        </w:tc>
        <w:tc>
          <w:tcPr>
            <w:tcW w:w="887" w:type="dxa"/>
            <w:tcBorders>
              <w:top w:val="single" w:sz="4" w:space="0" w:color="auto"/>
              <w:left w:val="single" w:sz="4" w:space="0" w:color="auto"/>
              <w:bottom w:val="single" w:sz="4" w:space="0" w:color="auto"/>
              <w:right w:val="single" w:sz="4" w:space="0" w:color="auto"/>
            </w:tcBorders>
            <w:hideMark/>
          </w:tcPr>
          <w:p w14:paraId="0D0C55B9" w14:textId="77777777" w:rsidR="007E5AC8" w:rsidRDefault="007E5AC8" w:rsidP="007E5AC8">
            <w:pPr>
              <w:spacing w:after="0"/>
              <w:rPr>
                <w:sz w:val="16"/>
                <w:szCs w:val="16"/>
              </w:rPr>
            </w:pPr>
            <w:r>
              <w:rPr>
                <w:sz w:val="16"/>
                <w:szCs w:val="16"/>
              </w:rPr>
              <w:t>Created 2000</w:t>
            </w: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2D414332" w14:textId="77777777" w:rsidR="007E5AC8" w:rsidRDefault="007E5AC8" w:rsidP="007E5AC8">
            <w:pPr>
              <w:spacing w:after="0"/>
              <w:jc w:val="left"/>
              <w:rPr>
                <w:sz w:val="16"/>
                <w:szCs w:val="16"/>
              </w:rPr>
            </w:pPr>
          </w:p>
        </w:tc>
      </w:tr>
      <w:tr w:rsidR="007E5AC8" w14:paraId="31FC97C1"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2683D596" w14:textId="77777777" w:rsidR="007E5AC8" w:rsidRPr="001D75B4" w:rsidRDefault="007E5AC8" w:rsidP="007E5AC8">
            <w:pPr>
              <w:spacing w:after="0"/>
              <w:rPr>
                <w:sz w:val="18"/>
                <w:szCs w:val="18"/>
              </w:rPr>
            </w:pPr>
            <w:proofErr w:type="spellStart"/>
            <w:r w:rsidRPr="001D75B4">
              <w:rPr>
                <w:sz w:val="18"/>
                <w:szCs w:val="18"/>
              </w:rPr>
              <w:t>Sissili</w:t>
            </w:r>
            <w:proofErr w:type="spellEnd"/>
          </w:p>
        </w:tc>
        <w:tc>
          <w:tcPr>
            <w:tcW w:w="2007" w:type="dxa"/>
            <w:tcBorders>
              <w:top w:val="single" w:sz="4" w:space="0" w:color="auto"/>
              <w:left w:val="single" w:sz="4" w:space="0" w:color="auto"/>
              <w:bottom w:val="single" w:sz="4" w:space="0" w:color="auto"/>
              <w:right w:val="single" w:sz="4" w:space="0" w:color="auto"/>
            </w:tcBorders>
          </w:tcPr>
          <w:p w14:paraId="6F38EE62" w14:textId="3B27697A" w:rsidR="007E5AC8" w:rsidRPr="001D75B4" w:rsidRDefault="007E5AC8" w:rsidP="007E5AC8">
            <w:pPr>
              <w:spacing w:after="0"/>
              <w:rPr>
                <w:sz w:val="18"/>
                <w:szCs w:val="18"/>
              </w:rPr>
            </w:pPr>
            <w:r w:rsidRPr="001D75B4">
              <w:rPr>
                <w:sz w:val="18"/>
                <w:szCs w:val="18"/>
                <w:lang w:val="fr-FR"/>
              </w:rPr>
              <w:t>Sissili</w:t>
            </w:r>
          </w:p>
        </w:tc>
        <w:tc>
          <w:tcPr>
            <w:tcW w:w="1080" w:type="dxa"/>
            <w:tcBorders>
              <w:top w:val="single" w:sz="4" w:space="0" w:color="auto"/>
              <w:left w:val="single" w:sz="4" w:space="0" w:color="auto"/>
              <w:bottom w:val="single" w:sz="4" w:space="0" w:color="auto"/>
              <w:right w:val="single" w:sz="4" w:space="0" w:color="auto"/>
            </w:tcBorders>
            <w:hideMark/>
          </w:tcPr>
          <w:p w14:paraId="2AA59BA2" w14:textId="6D8700DC" w:rsidR="007E5AC8" w:rsidRDefault="007E5AC8" w:rsidP="007E5AC8">
            <w:pPr>
              <w:spacing w:after="0"/>
              <w:rPr>
                <w:sz w:val="18"/>
                <w:szCs w:val="18"/>
              </w:rPr>
            </w:pPr>
            <w:r>
              <w:rPr>
                <w:sz w:val="18"/>
                <w:szCs w:val="18"/>
              </w:rPr>
              <w:t>32,700</w:t>
            </w:r>
          </w:p>
        </w:tc>
        <w:tc>
          <w:tcPr>
            <w:tcW w:w="1440" w:type="dxa"/>
            <w:tcBorders>
              <w:top w:val="single" w:sz="4" w:space="0" w:color="auto"/>
              <w:left w:val="single" w:sz="4" w:space="0" w:color="auto"/>
              <w:bottom w:val="single" w:sz="4" w:space="0" w:color="auto"/>
              <w:right w:val="single" w:sz="4" w:space="0" w:color="auto"/>
            </w:tcBorders>
            <w:hideMark/>
          </w:tcPr>
          <w:p w14:paraId="2E505BE9" w14:textId="77777777" w:rsidR="007E5AC8" w:rsidRDefault="007E5AC8" w:rsidP="007E5AC8">
            <w:pPr>
              <w:spacing w:after="0"/>
              <w:rPr>
                <w:sz w:val="18"/>
                <w:szCs w:val="18"/>
                <w:lang w:val="fr-CA"/>
              </w:rPr>
            </w:pPr>
            <w:r>
              <w:rPr>
                <w:sz w:val="18"/>
                <w:szCs w:val="18"/>
                <w:lang w:val="fr-CA"/>
              </w:rPr>
              <w:t xml:space="preserve">Hunting zone/ </w:t>
            </w:r>
            <w:proofErr w:type="spellStart"/>
            <w:r>
              <w:rPr>
                <w:sz w:val="18"/>
                <w:szCs w:val="18"/>
                <w:lang w:val="fr-CA"/>
              </w:rPr>
              <w:t>Classified</w:t>
            </w:r>
            <w:proofErr w:type="spellEnd"/>
            <w:r>
              <w:rPr>
                <w:sz w:val="18"/>
                <w:szCs w:val="18"/>
                <w:lang w:val="fr-CA"/>
              </w:rPr>
              <w:t xml:space="preserve"> Forest</w:t>
            </w:r>
          </w:p>
        </w:tc>
        <w:tc>
          <w:tcPr>
            <w:tcW w:w="810" w:type="dxa"/>
            <w:tcBorders>
              <w:top w:val="single" w:sz="4" w:space="0" w:color="auto"/>
              <w:left w:val="single" w:sz="4" w:space="0" w:color="auto"/>
              <w:bottom w:val="single" w:sz="4" w:space="0" w:color="auto"/>
              <w:right w:val="single" w:sz="4" w:space="0" w:color="auto"/>
            </w:tcBorders>
            <w:hideMark/>
          </w:tcPr>
          <w:p w14:paraId="5BE2CD1D" w14:textId="77777777" w:rsidR="007E5AC8" w:rsidRDefault="007E5AC8" w:rsidP="007E5AC8">
            <w:pPr>
              <w:spacing w:after="0"/>
              <w:rPr>
                <w:sz w:val="18"/>
                <w:szCs w:val="18"/>
              </w:rPr>
            </w:pPr>
            <w:r>
              <w:rPr>
                <w:sz w:val="18"/>
                <w:szCs w:val="18"/>
              </w:rPr>
              <w:t>IV</w:t>
            </w:r>
          </w:p>
        </w:tc>
        <w:tc>
          <w:tcPr>
            <w:tcW w:w="1440" w:type="dxa"/>
            <w:tcBorders>
              <w:top w:val="single" w:sz="4" w:space="0" w:color="auto"/>
              <w:left w:val="single" w:sz="4" w:space="0" w:color="auto"/>
              <w:bottom w:val="single" w:sz="4" w:space="0" w:color="auto"/>
              <w:right w:val="single" w:sz="4" w:space="0" w:color="auto"/>
            </w:tcBorders>
            <w:hideMark/>
          </w:tcPr>
          <w:p w14:paraId="26E3B8B7" w14:textId="77777777" w:rsidR="007E5AC8" w:rsidRDefault="007E5AC8" w:rsidP="007E5AC8">
            <w:pPr>
              <w:spacing w:after="0"/>
              <w:rPr>
                <w:sz w:val="16"/>
                <w:szCs w:val="16"/>
              </w:rPr>
            </w:pPr>
            <w:r>
              <w:rPr>
                <w:sz w:val="16"/>
                <w:szCs w:val="16"/>
              </w:rPr>
              <w:t>Private concession</w:t>
            </w:r>
          </w:p>
        </w:tc>
        <w:tc>
          <w:tcPr>
            <w:tcW w:w="1400" w:type="dxa"/>
            <w:tcBorders>
              <w:top w:val="single" w:sz="4" w:space="0" w:color="auto"/>
              <w:left w:val="single" w:sz="4" w:space="0" w:color="auto"/>
              <w:bottom w:val="single" w:sz="4" w:space="0" w:color="auto"/>
              <w:right w:val="single" w:sz="4" w:space="0" w:color="auto"/>
            </w:tcBorders>
            <w:hideMark/>
          </w:tcPr>
          <w:p w14:paraId="0931FC88" w14:textId="77777777" w:rsidR="007E5AC8" w:rsidRDefault="007E5AC8" w:rsidP="007E5AC8">
            <w:pPr>
              <w:spacing w:after="0"/>
              <w:rPr>
                <w:sz w:val="18"/>
                <w:szCs w:val="18"/>
              </w:rPr>
            </w:pPr>
            <w:r>
              <w:rPr>
                <w:sz w:val="18"/>
                <w:szCs w:val="18"/>
              </w:rPr>
              <w:t>-</w:t>
            </w:r>
          </w:p>
        </w:tc>
        <w:tc>
          <w:tcPr>
            <w:tcW w:w="887" w:type="dxa"/>
            <w:tcBorders>
              <w:top w:val="single" w:sz="4" w:space="0" w:color="auto"/>
              <w:left w:val="single" w:sz="4" w:space="0" w:color="auto"/>
              <w:bottom w:val="single" w:sz="4" w:space="0" w:color="auto"/>
              <w:right w:val="single" w:sz="4" w:space="0" w:color="auto"/>
            </w:tcBorders>
            <w:hideMark/>
          </w:tcPr>
          <w:p w14:paraId="5DB19BC9" w14:textId="77777777" w:rsidR="007E5AC8" w:rsidRDefault="007E5AC8" w:rsidP="007E5AC8">
            <w:pPr>
              <w:spacing w:after="0"/>
              <w:rPr>
                <w:sz w:val="16"/>
                <w:szCs w:val="16"/>
              </w:rPr>
            </w:pPr>
            <w:r>
              <w:rPr>
                <w:sz w:val="16"/>
                <w:szCs w:val="16"/>
              </w:rPr>
              <w:t>Created 1954</w:t>
            </w: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01B25892" w14:textId="77777777" w:rsidR="007E5AC8" w:rsidRDefault="007E5AC8" w:rsidP="007E5AC8">
            <w:pPr>
              <w:spacing w:after="0"/>
              <w:jc w:val="left"/>
              <w:rPr>
                <w:sz w:val="16"/>
                <w:szCs w:val="16"/>
              </w:rPr>
            </w:pPr>
          </w:p>
        </w:tc>
      </w:tr>
      <w:tr w:rsidR="007E5AC8" w14:paraId="62D8A4FA"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4256A23B" w14:textId="77777777" w:rsidR="007E5AC8" w:rsidRPr="001D75B4" w:rsidRDefault="007E5AC8" w:rsidP="007E5AC8">
            <w:pPr>
              <w:spacing w:after="0"/>
              <w:rPr>
                <w:sz w:val="18"/>
                <w:szCs w:val="18"/>
              </w:rPr>
            </w:pPr>
            <w:r w:rsidRPr="001D75B4">
              <w:rPr>
                <w:sz w:val="18"/>
                <w:szCs w:val="18"/>
              </w:rPr>
              <w:t>Corridor #1</w:t>
            </w:r>
          </w:p>
        </w:tc>
        <w:tc>
          <w:tcPr>
            <w:tcW w:w="2007" w:type="dxa"/>
            <w:tcBorders>
              <w:top w:val="single" w:sz="4" w:space="0" w:color="auto"/>
              <w:left w:val="single" w:sz="4" w:space="0" w:color="auto"/>
              <w:bottom w:val="single" w:sz="4" w:space="0" w:color="auto"/>
              <w:right w:val="single" w:sz="4" w:space="0" w:color="auto"/>
            </w:tcBorders>
          </w:tcPr>
          <w:p w14:paraId="0193FCE6" w14:textId="72064270" w:rsidR="007E5AC8" w:rsidRPr="001D75B4" w:rsidRDefault="007E5AC8" w:rsidP="007E5AC8">
            <w:pPr>
              <w:spacing w:after="0"/>
              <w:rPr>
                <w:sz w:val="18"/>
                <w:szCs w:val="18"/>
              </w:rPr>
            </w:pPr>
            <w:r w:rsidRPr="001D75B4">
              <w:rPr>
                <w:sz w:val="18"/>
                <w:szCs w:val="18"/>
                <w:lang w:val="fr-FR"/>
              </w:rPr>
              <w:t xml:space="preserve">Nahouri </w:t>
            </w:r>
          </w:p>
        </w:tc>
        <w:tc>
          <w:tcPr>
            <w:tcW w:w="1080" w:type="dxa"/>
            <w:tcBorders>
              <w:top w:val="single" w:sz="4" w:space="0" w:color="auto"/>
              <w:left w:val="single" w:sz="4" w:space="0" w:color="auto"/>
              <w:bottom w:val="single" w:sz="4" w:space="0" w:color="auto"/>
              <w:right w:val="single" w:sz="4" w:space="0" w:color="auto"/>
            </w:tcBorders>
            <w:hideMark/>
          </w:tcPr>
          <w:p w14:paraId="109A771F" w14:textId="480BA3B4" w:rsidR="007E5AC8" w:rsidRDefault="007E5AC8" w:rsidP="007E5AC8">
            <w:pPr>
              <w:spacing w:after="0"/>
              <w:rPr>
                <w:sz w:val="18"/>
                <w:szCs w:val="18"/>
              </w:rPr>
            </w:pPr>
            <w:r>
              <w:rPr>
                <w:sz w:val="18"/>
                <w:szCs w:val="18"/>
              </w:rPr>
              <w:t>4,500</w:t>
            </w:r>
          </w:p>
        </w:tc>
        <w:tc>
          <w:tcPr>
            <w:tcW w:w="1440" w:type="dxa"/>
            <w:tcBorders>
              <w:top w:val="single" w:sz="4" w:space="0" w:color="auto"/>
              <w:left w:val="single" w:sz="4" w:space="0" w:color="auto"/>
              <w:bottom w:val="single" w:sz="4" w:space="0" w:color="auto"/>
              <w:right w:val="single" w:sz="4" w:space="0" w:color="auto"/>
            </w:tcBorders>
            <w:hideMark/>
          </w:tcPr>
          <w:p w14:paraId="10D890E5" w14:textId="77777777" w:rsidR="007E5AC8" w:rsidRDefault="007E5AC8" w:rsidP="007E5AC8">
            <w:pPr>
              <w:spacing w:after="0"/>
              <w:rPr>
                <w:sz w:val="18"/>
                <w:szCs w:val="18"/>
              </w:rPr>
            </w:pPr>
            <w:r>
              <w:rPr>
                <w:sz w:val="18"/>
                <w:szCs w:val="18"/>
              </w:rPr>
              <w:t>Corridor</w:t>
            </w:r>
          </w:p>
        </w:tc>
        <w:tc>
          <w:tcPr>
            <w:tcW w:w="810" w:type="dxa"/>
            <w:tcBorders>
              <w:top w:val="single" w:sz="4" w:space="0" w:color="auto"/>
              <w:left w:val="single" w:sz="4" w:space="0" w:color="auto"/>
              <w:bottom w:val="single" w:sz="4" w:space="0" w:color="auto"/>
              <w:right w:val="single" w:sz="4" w:space="0" w:color="auto"/>
            </w:tcBorders>
            <w:hideMark/>
          </w:tcPr>
          <w:p w14:paraId="5F3B503F" w14:textId="77777777" w:rsidR="007E5AC8" w:rsidRDefault="007E5AC8" w:rsidP="007E5AC8">
            <w:pPr>
              <w:spacing w:after="0"/>
              <w:rPr>
                <w:sz w:val="18"/>
                <w:szCs w:val="18"/>
              </w:rPr>
            </w:pPr>
            <w:r>
              <w:rPr>
                <w:sz w:val="18"/>
                <w:szCs w:val="18"/>
              </w:rPr>
              <w:t>II</w:t>
            </w:r>
          </w:p>
        </w:tc>
        <w:tc>
          <w:tcPr>
            <w:tcW w:w="1440" w:type="dxa"/>
            <w:tcBorders>
              <w:top w:val="single" w:sz="4" w:space="0" w:color="auto"/>
              <w:left w:val="single" w:sz="4" w:space="0" w:color="auto"/>
              <w:bottom w:val="single" w:sz="4" w:space="0" w:color="auto"/>
              <w:right w:val="single" w:sz="4" w:space="0" w:color="auto"/>
            </w:tcBorders>
            <w:hideMark/>
          </w:tcPr>
          <w:p w14:paraId="01825D6D" w14:textId="77777777" w:rsidR="007E5AC8" w:rsidRDefault="007E5AC8" w:rsidP="007E5AC8">
            <w:pPr>
              <w:spacing w:after="0"/>
              <w:rPr>
                <w:sz w:val="16"/>
                <w:szCs w:val="16"/>
              </w:rPr>
            </w:pPr>
            <w:r>
              <w:rPr>
                <w:sz w:val="16"/>
                <w:szCs w:val="16"/>
              </w:rPr>
              <w:t>No</w:t>
            </w:r>
          </w:p>
        </w:tc>
        <w:tc>
          <w:tcPr>
            <w:tcW w:w="1400" w:type="dxa"/>
            <w:tcBorders>
              <w:top w:val="single" w:sz="4" w:space="0" w:color="auto"/>
              <w:left w:val="single" w:sz="4" w:space="0" w:color="auto"/>
              <w:bottom w:val="single" w:sz="4" w:space="0" w:color="auto"/>
              <w:right w:val="single" w:sz="4" w:space="0" w:color="auto"/>
            </w:tcBorders>
            <w:hideMark/>
          </w:tcPr>
          <w:p w14:paraId="0146DE97" w14:textId="77777777" w:rsidR="007E5AC8" w:rsidRDefault="007E5AC8" w:rsidP="007E5AC8">
            <w:pPr>
              <w:spacing w:after="0"/>
              <w:rPr>
                <w:sz w:val="18"/>
                <w:szCs w:val="18"/>
              </w:rPr>
            </w:pPr>
            <w:r>
              <w:rPr>
                <w:sz w:val="18"/>
                <w:szCs w:val="18"/>
              </w:rPr>
              <w:t>-</w:t>
            </w:r>
          </w:p>
        </w:tc>
        <w:tc>
          <w:tcPr>
            <w:tcW w:w="887" w:type="dxa"/>
            <w:tcBorders>
              <w:top w:val="single" w:sz="4" w:space="0" w:color="auto"/>
              <w:left w:val="single" w:sz="4" w:space="0" w:color="auto"/>
              <w:bottom w:val="single" w:sz="4" w:space="0" w:color="auto"/>
              <w:right w:val="single" w:sz="4" w:space="0" w:color="auto"/>
            </w:tcBorders>
            <w:hideMark/>
          </w:tcPr>
          <w:p w14:paraId="16D5FEFB" w14:textId="77777777" w:rsidR="007E5AC8" w:rsidRDefault="007E5AC8" w:rsidP="007E5AC8">
            <w:pPr>
              <w:spacing w:after="0"/>
              <w:jc w:val="left"/>
              <w:rPr>
                <w:sz w:val="16"/>
                <w:szCs w:val="16"/>
              </w:rPr>
            </w:pPr>
            <w:r>
              <w:rPr>
                <w:sz w:val="16"/>
                <w:szCs w:val="16"/>
              </w:rPr>
              <w:t xml:space="preserve">Not </w:t>
            </w:r>
            <w:proofErr w:type="spellStart"/>
            <w:r>
              <w:rPr>
                <w:sz w:val="16"/>
                <w:szCs w:val="16"/>
              </w:rPr>
              <w:t>gazetted</w:t>
            </w:r>
            <w:proofErr w:type="spellEnd"/>
            <w:r>
              <w:rPr>
                <w:rStyle w:val="Appelnotedebasdep"/>
                <w:sz w:val="16"/>
                <w:szCs w:val="16"/>
              </w:rPr>
              <w:t xml:space="preserve"> </w:t>
            </w:r>
            <w:r>
              <w:rPr>
                <w:rStyle w:val="Appelnotedebasdep"/>
                <w:sz w:val="16"/>
                <w:szCs w:val="16"/>
              </w:rPr>
              <w:footnoteReference w:id="3"/>
            </w: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2AA3A409" w14:textId="77777777" w:rsidR="007E5AC8" w:rsidRDefault="007E5AC8" w:rsidP="007E5AC8">
            <w:pPr>
              <w:spacing w:after="0"/>
              <w:jc w:val="left"/>
              <w:rPr>
                <w:sz w:val="16"/>
                <w:szCs w:val="16"/>
              </w:rPr>
            </w:pPr>
          </w:p>
        </w:tc>
      </w:tr>
      <w:tr w:rsidR="007E5AC8" w14:paraId="7BE2850A"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2C3DF9C1" w14:textId="77777777" w:rsidR="007E5AC8" w:rsidRPr="001D75B4" w:rsidRDefault="007E5AC8" w:rsidP="007E5AC8">
            <w:pPr>
              <w:spacing w:after="0"/>
              <w:rPr>
                <w:sz w:val="18"/>
                <w:szCs w:val="18"/>
              </w:rPr>
            </w:pPr>
            <w:r w:rsidRPr="001D75B4">
              <w:rPr>
                <w:sz w:val="18"/>
                <w:szCs w:val="18"/>
              </w:rPr>
              <w:t>Corridor #2</w:t>
            </w:r>
          </w:p>
        </w:tc>
        <w:tc>
          <w:tcPr>
            <w:tcW w:w="2007" w:type="dxa"/>
            <w:tcBorders>
              <w:top w:val="single" w:sz="4" w:space="0" w:color="auto"/>
              <w:left w:val="single" w:sz="4" w:space="0" w:color="auto"/>
              <w:bottom w:val="single" w:sz="4" w:space="0" w:color="auto"/>
              <w:right w:val="single" w:sz="4" w:space="0" w:color="auto"/>
            </w:tcBorders>
          </w:tcPr>
          <w:p w14:paraId="4D11E25F" w14:textId="752FA9B6" w:rsidR="007E5AC8" w:rsidRPr="001D75B4" w:rsidRDefault="007E5AC8" w:rsidP="007E5AC8">
            <w:pPr>
              <w:spacing w:after="0"/>
              <w:rPr>
                <w:sz w:val="18"/>
                <w:szCs w:val="18"/>
              </w:rPr>
            </w:pPr>
            <w:r w:rsidRPr="001D75B4">
              <w:rPr>
                <w:sz w:val="18"/>
                <w:szCs w:val="18"/>
                <w:lang w:val="fr-FR"/>
              </w:rPr>
              <w:t>Nahouri, Boulgou et Zoundwéogo</w:t>
            </w:r>
          </w:p>
        </w:tc>
        <w:tc>
          <w:tcPr>
            <w:tcW w:w="1080" w:type="dxa"/>
            <w:tcBorders>
              <w:top w:val="single" w:sz="4" w:space="0" w:color="auto"/>
              <w:left w:val="single" w:sz="4" w:space="0" w:color="auto"/>
              <w:bottom w:val="single" w:sz="4" w:space="0" w:color="auto"/>
              <w:right w:val="single" w:sz="4" w:space="0" w:color="auto"/>
            </w:tcBorders>
            <w:hideMark/>
          </w:tcPr>
          <w:p w14:paraId="60A324B2" w14:textId="6DA0CE29" w:rsidR="007E5AC8" w:rsidRDefault="007E5AC8" w:rsidP="007E5AC8">
            <w:pPr>
              <w:spacing w:after="0"/>
              <w:rPr>
                <w:sz w:val="18"/>
                <w:szCs w:val="18"/>
              </w:rPr>
            </w:pPr>
            <w:r>
              <w:rPr>
                <w:sz w:val="18"/>
                <w:szCs w:val="18"/>
              </w:rPr>
              <w:t>33,000</w:t>
            </w:r>
          </w:p>
        </w:tc>
        <w:tc>
          <w:tcPr>
            <w:tcW w:w="1440" w:type="dxa"/>
            <w:tcBorders>
              <w:top w:val="single" w:sz="4" w:space="0" w:color="auto"/>
              <w:left w:val="single" w:sz="4" w:space="0" w:color="auto"/>
              <w:bottom w:val="single" w:sz="4" w:space="0" w:color="auto"/>
              <w:right w:val="single" w:sz="4" w:space="0" w:color="auto"/>
            </w:tcBorders>
            <w:hideMark/>
          </w:tcPr>
          <w:p w14:paraId="6DC3BAB8" w14:textId="77777777" w:rsidR="007E5AC8" w:rsidRDefault="007E5AC8" w:rsidP="007E5AC8">
            <w:pPr>
              <w:spacing w:after="0"/>
              <w:rPr>
                <w:sz w:val="18"/>
                <w:szCs w:val="18"/>
              </w:rPr>
            </w:pPr>
            <w:r>
              <w:rPr>
                <w:sz w:val="18"/>
                <w:szCs w:val="18"/>
              </w:rPr>
              <w:t>Corridor</w:t>
            </w:r>
          </w:p>
        </w:tc>
        <w:tc>
          <w:tcPr>
            <w:tcW w:w="810" w:type="dxa"/>
            <w:tcBorders>
              <w:top w:val="single" w:sz="4" w:space="0" w:color="auto"/>
              <w:left w:val="single" w:sz="4" w:space="0" w:color="auto"/>
              <w:bottom w:val="single" w:sz="4" w:space="0" w:color="auto"/>
              <w:right w:val="single" w:sz="4" w:space="0" w:color="auto"/>
            </w:tcBorders>
            <w:hideMark/>
          </w:tcPr>
          <w:p w14:paraId="08DF20EE" w14:textId="77777777" w:rsidR="007E5AC8" w:rsidRDefault="007E5AC8" w:rsidP="007E5AC8">
            <w:pPr>
              <w:spacing w:after="0"/>
              <w:rPr>
                <w:sz w:val="18"/>
                <w:szCs w:val="18"/>
              </w:rPr>
            </w:pPr>
            <w:r>
              <w:rPr>
                <w:sz w:val="18"/>
                <w:szCs w:val="18"/>
              </w:rPr>
              <w:t>II</w:t>
            </w:r>
          </w:p>
        </w:tc>
        <w:tc>
          <w:tcPr>
            <w:tcW w:w="1440" w:type="dxa"/>
            <w:tcBorders>
              <w:top w:val="single" w:sz="4" w:space="0" w:color="auto"/>
              <w:left w:val="single" w:sz="4" w:space="0" w:color="auto"/>
              <w:bottom w:val="single" w:sz="4" w:space="0" w:color="auto"/>
              <w:right w:val="single" w:sz="4" w:space="0" w:color="auto"/>
            </w:tcBorders>
            <w:hideMark/>
          </w:tcPr>
          <w:p w14:paraId="72FEF624" w14:textId="77777777" w:rsidR="007E5AC8" w:rsidRDefault="007E5AC8" w:rsidP="007E5AC8">
            <w:pPr>
              <w:spacing w:after="0"/>
              <w:rPr>
                <w:sz w:val="16"/>
                <w:szCs w:val="16"/>
              </w:rPr>
            </w:pPr>
            <w:r>
              <w:rPr>
                <w:sz w:val="16"/>
                <w:szCs w:val="16"/>
              </w:rPr>
              <w:t>No</w:t>
            </w:r>
          </w:p>
        </w:tc>
        <w:tc>
          <w:tcPr>
            <w:tcW w:w="1400" w:type="dxa"/>
            <w:tcBorders>
              <w:top w:val="single" w:sz="4" w:space="0" w:color="auto"/>
              <w:left w:val="single" w:sz="4" w:space="0" w:color="auto"/>
              <w:bottom w:val="single" w:sz="4" w:space="0" w:color="auto"/>
              <w:right w:val="single" w:sz="4" w:space="0" w:color="auto"/>
            </w:tcBorders>
            <w:hideMark/>
          </w:tcPr>
          <w:p w14:paraId="3A35BF4F" w14:textId="77777777" w:rsidR="007E5AC8" w:rsidRDefault="007E5AC8" w:rsidP="007E5AC8">
            <w:pPr>
              <w:spacing w:after="0"/>
              <w:rPr>
                <w:sz w:val="18"/>
                <w:szCs w:val="18"/>
              </w:rPr>
            </w:pPr>
            <w:r>
              <w:rPr>
                <w:sz w:val="18"/>
                <w:szCs w:val="18"/>
              </w:rPr>
              <w:t>-</w:t>
            </w:r>
          </w:p>
        </w:tc>
        <w:tc>
          <w:tcPr>
            <w:tcW w:w="887" w:type="dxa"/>
            <w:tcBorders>
              <w:top w:val="single" w:sz="4" w:space="0" w:color="auto"/>
              <w:left w:val="single" w:sz="4" w:space="0" w:color="auto"/>
              <w:bottom w:val="single" w:sz="4" w:space="0" w:color="auto"/>
              <w:right w:val="single" w:sz="4" w:space="0" w:color="auto"/>
            </w:tcBorders>
            <w:hideMark/>
          </w:tcPr>
          <w:p w14:paraId="3AF919D5" w14:textId="77777777" w:rsidR="007E5AC8" w:rsidRDefault="007E5AC8" w:rsidP="007E5AC8">
            <w:pPr>
              <w:spacing w:after="0"/>
              <w:rPr>
                <w:sz w:val="16"/>
                <w:szCs w:val="16"/>
              </w:rPr>
            </w:pPr>
            <w:r>
              <w:rPr>
                <w:sz w:val="16"/>
                <w:szCs w:val="16"/>
              </w:rPr>
              <w:t xml:space="preserve">Not </w:t>
            </w:r>
            <w:proofErr w:type="spellStart"/>
            <w:r>
              <w:rPr>
                <w:sz w:val="16"/>
                <w:szCs w:val="16"/>
              </w:rPr>
              <w:t>gazetted</w:t>
            </w:r>
            <w:proofErr w:type="spellEnd"/>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0160DBF2" w14:textId="77777777" w:rsidR="007E5AC8" w:rsidRDefault="007E5AC8" w:rsidP="007E5AC8">
            <w:pPr>
              <w:spacing w:after="0"/>
              <w:jc w:val="left"/>
              <w:rPr>
                <w:sz w:val="16"/>
                <w:szCs w:val="16"/>
              </w:rPr>
            </w:pPr>
          </w:p>
        </w:tc>
      </w:tr>
      <w:tr w:rsidR="007E5AC8" w14:paraId="756103FC" w14:textId="77777777" w:rsidTr="00A63E29">
        <w:trPr>
          <w:jc w:val="center"/>
        </w:trPr>
        <w:tc>
          <w:tcPr>
            <w:tcW w:w="10292" w:type="dxa"/>
            <w:gridSpan w:val="8"/>
            <w:tcBorders>
              <w:top w:val="single" w:sz="4" w:space="0" w:color="auto"/>
              <w:left w:val="single" w:sz="4" w:space="0" w:color="auto"/>
              <w:bottom w:val="single" w:sz="4" w:space="0" w:color="auto"/>
              <w:right w:val="single" w:sz="4" w:space="0" w:color="auto"/>
            </w:tcBorders>
          </w:tcPr>
          <w:p w14:paraId="3C16BE54" w14:textId="4127FE29" w:rsidR="007E5AC8" w:rsidRPr="001D75B4" w:rsidRDefault="007E5AC8" w:rsidP="00A63E29">
            <w:pPr>
              <w:spacing w:after="0"/>
              <w:jc w:val="center"/>
              <w:rPr>
                <w:b/>
                <w:sz w:val="18"/>
                <w:szCs w:val="18"/>
              </w:rPr>
            </w:pPr>
            <w:r w:rsidRPr="001D75B4">
              <w:rPr>
                <w:szCs w:val="20"/>
                <w:lang w:val="en-GB"/>
              </w:rPr>
              <w:t>Village areas of hunting interest</w:t>
            </w:r>
            <w:r w:rsidRPr="001D75B4" w:rsidDel="0093108D">
              <w:rPr>
                <w:szCs w:val="20"/>
                <w:lang w:val="en-GB"/>
              </w:rPr>
              <w:t xml:space="preserve"> </w:t>
            </w:r>
            <w:r w:rsidRPr="001D75B4">
              <w:rPr>
                <w:b/>
                <w:sz w:val="18"/>
                <w:szCs w:val="18"/>
              </w:rPr>
              <w:t>(ZOVIC)</w:t>
            </w:r>
          </w:p>
        </w:tc>
        <w:tc>
          <w:tcPr>
            <w:tcW w:w="1223" w:type="dxa"/>
            <w:tcBorders>
              <w:top w:val="single" w:sz="4" w:space="0" w:color="auto"/>
              <w:left w:val="single" w:sz="4" w:space="0" w:color="auto"/>
              <w:bottom w:val="single" w:sz="4" w:space="0" w:color="auto"/>
              <w:right w:val="single" w:sz="4" w:space="0" w:color="auto"/>
            </w:tcBorders>
          </w:tcPr>
          <w:p w14:paraId="4F907EE5" w14:textId="77777777" w:rsidR="007E5AC8" w:rsidRPr="00F73A10" w:rsidRDefault="007E5AC8" w:rsidP="007E5AC8">
            <w:pPr>
              <w:spacing w:after="0"/>
              <w:rPr>
                <w:sz w:val="18"/>
                <w:szCs w:val="18"/>
              </w:rPr>
            </w:pPr>
          </w:p>
        </w:tc>
      </w:tr>
      <w:tr w:rsidR="006B3AD8" w:rsidRPr="0082290C" w14:paraId="323186C9"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25E2D0DC" w14:textId="77777777" w:rsidR="006B3AD8" w:rsidRPr="001D75B4" w:rsidRDefault="006B3AD8" w:rsidP="006B3AD8">
            <w:pPr>
              <w:spacing w:after="0"/>
              <w:rPr>
                <w:sz w:val="18"/>
                <w:szCs w:val="18"/>
              </w:rPr>
            </w:pPr>
            <w:proofErr w:type="spellStart"/>
            <w:r w:rsidRPr="001D75B4">
              <w:rPr>
                <w:sz w:val="18"/>
                <w:szCs w:val="18"/>
              </w:rPr>
              <w:t>Boala</w:t>
            </w:r>
            <w:proofErr w:type="spellEnd"/>
          </w:p>
        </w:tc>
        <w:tc>
          <w:tcPr>
            <w:tcW w:w="2007" w:type="dxa"/>
            <w:tcBorders>
              <w:top w:val="single" w:sz="4" w:space="0" w:color="auto"/>
              <w:left w:val="single" w:sz="4" w:space="0" w:color="auto"/>
              <w:bottom w:val="single" w:sz="4" w:space="0" w:color="auto"/>
              <w:right w:val="single" w:sz="4" w:space="0" w:color="auto"/>
            </w:tcBorders>
          </w:tcPr>
          <w:p w14:paraId="48373AC9" w14:textId="52904B05" w:rsidR="006B3AD8" w:rsidRPr="001D75B4" w:rsidRDefault="006B3AD8" w:rsidP="006B3AD8">
            <w:pPr>
              <w:spacing w:after="0"/>
              <w:rPr>
                <w:sz w:val="18"/>
                <w:szCs w:val="18"/>
              </w:rPr>
            </w:pPr>
            <w:r w:rsidRPr="001D75B4">
              <w:rPr>
                <w:sz w:val="18"/>
                <w:szCs w:val="18"/>
                <w:lang w:val="fr-FR"/>
              </w:rPr>
              <w:t>Sissili</w:t>
            </w:r>
          </w:p>
        </w:tc>
        <w:tc>
          <w:tcPr>
            <w:tcW w:w="1080" w:type="dxa"/>
            <w:tcBorders>
              <w:top w:val="single" w:sz="4" w:space="0" w:color="auto"/>
              <w:left w:val="single" w:sz="4" w:space="0" w:color="auto"/>
              <w:bottom w:val="single" w:sz="4" w:space="0" w:color="auto"/>
              <w:right w:val="single" w:sz="4" w:space="0" w:color="auto"/>
            </w:tcBorders>
            <w:hideMark/>
          </w:tcPr>
          <w:p w14:paraId="09735A92" w14:textId="7F4654FC" w:rsidR="006B3AD8" w:rsidRDefault="006B3AD8" w:rsidP="006B3AD8">
            <w:pPr>
              <w:spacing w:after="0"/>
              <w:rPr>
                <w:sz w:val="18"/>
                <w:szCs w:val="18"/>
              </w:rPr>
            </w:pPr>
            <w:r>
              <w:rPr>
                <w:sz w:val="18"/>
                <w:szCs w:val="18"/>
              </w:rPr>
              <w:t>1,007</w:t>
            </w:r>
          </w:p>
        </w:tc>
        <w:tc>
          <w:tcPr>
            <w:tcW w:w="1440" w:type="dxa"/>
            <w:tcBorders>
              <w:top w:val="single" w:sz="4" w:space="0" w:color="auto"/>
              <w:left w:val="single" w:sz="4" w:space="0" w:color="auto"/>
              <w:bottom w:val="single" w:sz="4" w:space="0" w:color="auto"/>
              <w:right w:val="single" w:sz="4" w:space="0" w:color="auto"/>
            </w:tcBorders>
            <w:hideMark/>
          </w:tcPr>
          <w:p w14:paraId="296653EE" w14:textId="77777777" w:rsidR="006B3AD8" w:rsidRDefault="006B3AD8" w:rsidP="006B3AD8">
            <w:pPr>
              <w:spacing w:after="0"/>
              <w:rPr>
                <w:sz w:val="18"/>
                <w:szCs w:val="18"/>
              </w:rPr>
            </w:pPr>
            <w:r>
              <w:rPr>
                <w:sz w:val="18"/>
                <w:szCs w:val="18"/>
              </w:rPr>
              <w:t>ZOVIC</w:t>
            </w:r>
          </w:p>
        </w:tc>
        <w:tc>
          <w:tcPr>
            <w:tcW w:w="810" w:type="dxa"/>
            <w:tcBorders>
              <w:top w:val="single" w:sz="4" w:space="0" w:color="auto"/>
              <w:left w:val="single" w:sz="4" w:space="0" w:color="auto"/>
              <w:bottom w:val="single" w:sz="4" w:space="0" w:color="auto"/>
              <w:right w:val="single" w:sz="4" w:space="0" w:color="auto"/>
            </w:tcBorders>
            <w:hideMark/>
          </w:tcPr>
          <w:p w14:paraId="55AE907A" w14:textId="77777777" w:rsidR="006B3AD8" w:rsidRDefault="006B3AD8" w:rsidP="006B3AD8">
            <w:pPr>
              <w:spacing w:after="0"/>
              <w:rPr>
                <w:sz w:val="18"/>
                <w:szCs w:val="18"/>
              </w:rPr>
            </w:pPr>
            <w:r>
              <w:rPr>
                <w:sz w:val="18"/>
                <w:szCs w:val="18"/>
              </w:rPr>
              <w:t>VI</w:t>
            </w:r>
          </w:p>
        </w:tc>
        <w:tc>
          <w:tcPr>
            <w:tcW w:w="1440" w:type="dxa"/>
            <w:tcBorders>
              <w:top w:val="single" w:sz="4" w:space="0" w:color="auto"/>
              <w:left w:val="single" w:sz="4" w:space="0" w:color="auto"/>
              <w:bottom w:val="single" w:sz="4" w:space="0" w:color="auto"/>
              <w:right w:val="single" w:sz="4" w:space="0" w:color="auto"/>
            </w:tcBorders>
            <w:hideMark/>
          </w:tcPr>
          <w:p w14:paraId="24E968F2" w14:textId="77777777" w:rsidR="006B3AD8" w:rsidRDefault="006B3AD8" w:rsidP="006B3AD8">
            <w:pPr>
              <w:spacing w:after="0"/>
              <w:rPr>
                <w:sz w:val="16"/>
                <w:szCs w:val="16"/>
              </w:rPr>
            </w:pPr>
            <w:r>
              <w:rPr>
                <w:sz w:val="16"/>
                <w:szCs w:val="16"/>
              </w:rPr>
              <w:t>CVGF</w:t>
            </w:r>
            <w:r>
              <w:rPr>
                <w:rStyle w:val="Appelnotedebasdep"/>
                <w:sz w:val="16"/>
                <w:szCs w:val="16"/>
              </w:rPr>
              <w:footnoteReference w:id="4"/>
            </w:r>
          </w:p>
        </w:tc>
        <w:tc>
          <w:tcPr>
            <w:tcW w:w="1400" w:type="dxa"/>
            <w:vMerge w:val="restart"/>
            <w:tcBorders>
              <w:top w:val="single" w:sz="4" w:space="0" w:color="auto"/>
              <w:left w:val="single" w:sz="4" w:space="0" w:color="auto"/>
              <w:bottom w:val="single" w:sz="4" w:space="0" w:color="auto"/>
              <w:right w:val="single" w:sz="4" w:space="0" w:color="auto"/>
            </w:tcBorders>
            <w:vAlign w:val="center"/>
            <w:hideMark/>
          </w:tcPr>
          <w:p w14:paraId="296BD07A" w14:textId="77777777" w:rsidR="006B3AD8" w:rsidRDefault="006B3AD8" w:rsidP="006B3AD8">
            <w:pPr>
              <w:spacing w:after="0"/>
              <w:rPr>
                <w:sz w:val="18"/>
                <w:szCs w:val="18"/>
                <w:lang w:val="en-CA"/>
              </w:rPr>
            </w:pPr>
            <w:r>
              <w:rPr>
                <w:sz w:val="16"/>
                <w:szCs w:val="16"/>
                <w:lang w:val="en-CA"/>
              </w:rPr>
              <w:t>Management plans and specifications outdated</w:t>
            </w:r>
          </w:p>
        </w:tc>
        <w:tc>
          <w:tcPr>
            <w:tcW w:w="887" w:type="dxa"/>
            <w:tcBorders>
              <w:top w:val="single" w:sz="4" w:space="0" w:color="auto"/>
              <w:left w:val="single" w:sz="4" w:space="0" w:color="auto"/>
              <w:bottom w:val="single" w:sz="4" w:space="0" w:color="auto"/>
              <w:right w:val="single" w:sz="4" w:space="0" w:color="auto"/>
            </w:tcBorders>
            <w:hideMark/>
          </w:tcPr>
          <w:p w14:paraId="28299384" w14:textId="77777777" w:rsidR="006B3AD8" w:rsidRDefault="006B3AD8" w:rsidP="006B3AD8">
            <w:pPr>
              <w:spacing w:after="0"/>
              <w:rPr>
                <w:sz w:val="16"/>
                <w:szCs w:val="16"/>
              </w:rPr>
            </w:pPr>
            <w:r>
              <w:rPr>
                <w:sz w:val="16"/>
                <w:szCs w:val="16"/>
              </w:rPr>
              <w:t>Created 1989</w:t>
            </w:r>
          </w:p>
        </w:tc>
        <w:tc>
          <w:tcPr>
            <w:tcW w:w="1223"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E0CF576" w14:textId="77777777" w:rsidR="006B3AD8" w:rsidRDefault="006B3AD8" w:rsidP="006B3AD8">
            <w:pPr>
              <w:spacing w:after="0"/>
              <w:rPr>
                <w:sz w:val="16"/>
                <w:szCs w:val="16"/>
                <w:lang w:val="en-CA"/>
              </w:rPr>
            </w:pPr>
            <w:r>
              <w:rPr>
                <w:sz w:val="16"/>
                <w:szCs w:val="16"/>
                <w:lang w:val="en-CA"/>
              </w:rPr>
              <w:t>Local authorities and communities under various arrangements</w:t>
            </w:r>
          </w:p>
        </w:tc>
      </w:tr>
      <w:tr w:rsidR="006B3AD8" w14:paraId="171790DF"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310C9B78" w14:textId="77777777" w:rsidR="006B3AD8" w:rsidRPr="001D75B4" w:rsidRDefault="006B3AD8" w:rsidP="006B3AD8">
            <w:pPr>
              <w:spacing w:after="0"/>
              <w:rPr>
                <w:sz w:val="18"/>
                <w:szCs w:val="18"/>
              </w:rPr>
            </w:pPr>
            <w:proofErr w:type="spellStart"/>
            <w:r w:rsidRPr="001D75B4">
              <w:rPr>
                <w:sz w:val="18"/>
                <w:szCs w:val="18"/>
              </w:rPr>
              <w:t>Kounou</w:t>
            </w:r>
            <w:proofErr w:type="spellEnd"/>
          </w:p>
        </w:tc>
        <w:tc>
          <w:tcPr>
            <w:tcW w:w="2007" w:type="dxa"/>
            <w:tcBorders>
              <w:top w:val="single" w:sz="4" w:space="0" w:color="auto"/>
              <w:left w:val="single" w:sz="4" w:space="0" w:color="auto"/>
              <w:bottom w:val="single" w:sz="4" w:space="0" w:color="auto"/>
              <w:right w:val="single" w:sz="4" w:space="0" w:color="auto"/>
            </w:tcBorders>
          </w:tcPr>
          <w:p w14:paraId="373B3805" w14:textId="049AEEEA" w:rsidR="006B3AD8" w:rsidRPr="001D75B4" w:rsidRDefault="006B3AD8" w:rsidP="006B3AD8">
            <w:pPr>
              <w:spacing w:after="0"/>
              <w:rPr>
                <w:sz w:val="18"/>
                <w:szCs w:val="18"/>
              </w:rPr>
            </w:pPr>
            <w:r w:rsidRPr="001D75B4">
              <w:rPr>
                <w:sz w:val="18"/>
                <w:szCs w:val="18"/>
                <w:lang w:val="fr-FR"/>
              </w:rPr>
              <w:t>Sissili</w:t>
            </w:r>
          </w:p>
        </w:tc>
        <w:tc>
          <w:tcPr>
            <w:tcW w:w="1080" w:type="dxa"/>
            <w:tcBorders>
              <w:top w:val="single" w:sz="4" w:space="0" w:color="auto"/>
              <w:left w:val="single" w:sz="4" w:space="0" w:color="auto"/>
              <w:bottom w:val="single" w:sz="4" w:space="0" w:color="auto"/>
              <w:right w:val="single" w:sz="4" w:space="0" w:color="auto"/>
            </w:tcBorders>
            <w:hideMark/>
          </w:tcPr>
          <w:p w14:paraId="4BB52B40" w14:textId="348A430E" w:rsidR="006B3AD8" w:rsidRDefault="006B3AD8" w:rsidP="006B3AD8">
            <w:pPr>
              <w:spacing w:after="0"/>
              <w:rPr>
                <w:sz w:val="18"/>
                <w:szCs w:val="18"/>
              </w:rPr>
            </w:pPr>
            <w:r>
              <w:rPr>
                <w:sz w:val="18"/>
                <w:szCs w:val="18"/>
              </w:rPr>
              <w:t>2,650</w:t>
            </w:r>
          </w:p>
        </w:tc>
        <w:tc>
          <w:tcPr>
            <w:tcW w:w="1440" w:type="dxa"/>
            <w:tcBorders>
              <w:top w:val="single" w:sz="4" w:space="0" w:color="auto"/>
              <w:left w:val="single" w:sz="4" w:space="0" w:color="auto"/>
              <w:bottom w:val="single" w:sz="4" w:space="0" w:color="auto"/>
              <w:right w:val="single" w:sz="4" w:space="0" w:color="auto"/>
            </w:tcBorders>
            <w:hideMark/>
          </w:tcPr>
          <w:p w14:paraId="00491C3B" w14:textId="77777777" w:rsidR="006B3AD8" w:rsidRDefault="006B3AD8" w:rsidP="006B3AD8">
            <w:pPr>
              <w:spacing w:after="0"/>
              <w:rPr>
                <w:sz w:val="18"/>
                <w:szCs w:val="18"/>
              </w:rPr>
            </w:pPr>
            <w:r>
              <w:rPr>
                <w:sz w:val="18"/>
                <w:szCs w:val="18"/>
              </w:rPr>
              <w:t>ZOVIC</w:t>
            </w:r>
          </w:p>
        </w:tc>
        <w:tc>
          <w:tcPr>
            <w:tcW w:w="810" w:type="dxa"/>
            <w:tcBorders>
              <w:top w:val="single" w:sz="4" w:space="0" w:color="auto"/>
              <w:left w:val="single" w:sz="4" w:space="0" w:color="auto"/>
              <w:bottom w:val="single" w:sz="4" w:space="0" w:color="auto"/>
              <w:right w:val="single" w:sz="4" w:space="0" w:color="auto"/>
            </w:tcBorders>
            <w:hideMark/>
          </w:tcPr>
          <w:p w14:paraId="0FCCBF14" w14:textId="77777777" w:rsidR="006B3AD8" w:rsidRDefault="006B3AD8" w:rsidP="006B3AD8">
            <w:pPr>
              <w:spacing w:after="0"/>
              <w:rPr>
                <w:sz w:val="18"/>
                <w:szCs w:val="18"/>
              </w:rPr>
            </w:pPr>
            <w:r>
              <w:rPr>
                <w:sz w:val="18"/>
                <w:szCs w:val="18"/>
              </w:rPr>
              <w:t>VI</w:t>
            </w:r>
          </w:p>
        </w:tc>
        <w:tc>
          <w:tcPr>
            <w:tcW w:w="1440" w:type="dxa"/>
            <w:tcBorders>
              <w:top w:val="single" w:sz="4" w:space="0" w:color="auto"/>
              <w:left w:val="single" w:sz="4" w:space="0" w:color="auto"/>
              <w:bottom w:val="single" w:sz="4" w:space="0" w:color="auto"/>
              <w:right w:val="single" w:sz="4" w:space="0" w:color="auto"/>
            </w:tcBorders>
            <w:hideMark/>
          </w:tcPr>
          <w:p w14:paraId="3CCB2C39" w14:textId="77777777" w:rsidR="006B3AD8" w:rsidRDefault="006B3AD8" w:rsidP="006B3AD8">
            <w:pPr>
              <w:spacing w:after="0"/>
              <w:rPr>
                <w:sz w:val="16"/>
                <w:szCs w:val="16"/>
              </w:rPr>
            </w:pPr>
            <w:r>
              <w:rPr>
                <w:sz w:val="16"/>
                <w:szCs w:val="16"/>
              </w:rPr>
              <w:t>CVGF</w:t>
            </w: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596C5344" w14:textId="77777777" w:rsidR="006B3AD8" w:rsidRDefault="006B3AD8" w:rsidP="006B3AD8">
            <w:pPr>
              <w:spacing w:after="0"/>
              <w:jc w:val="left"/>
              <w:rPr>
                <w:sz w:val="18"/>
                <w:szCs w:val="18"/>
                <w:lang w:val="en-CA"/>
              </w:rPr>
            </w:pPr>
          </w:p>
        </w:tc>
        <w:tc>
          <w:tcPr>
            <w:tcW w:w="887" w:type="dxa"/>
            <w:tcBorders>
              <w:top w:val="single" w:sz="4" w:space="0" w:color="auto"/>
              <w:left w:val="single" w:sz="4" w:space="0" w:color="auto"/>
              <w:bottom w:val="single" w:sz="4" w:space="0" w:color="auto"/>
              <w:right w:val="single" w:sz="4" w:space="0" w:color="auto"/>
            </w:tcBorders>
            <w:hideMark/>
          </w:tcPr>
          <w:p w14:paraId="2BC32B79" w14:textId="77777777" w:rsidR="006B3AD8" w:rsidRDefault="006B3AD8" w:rsidP="006B3AD8">
            <w:pPr>
              <w:spacing w:after="0"/>
              <w:rPr>
                <w:sz w:val="16"/>
                <w:szCs w:val="16"/>
              </w:rPr>
            </w:pPr>
            <w:r>
              <w:rPr>
                <w:sz w:val="16"/>
                <w:szCs w:val="16"/>
              </w:rPr>
              <w:t>Created 1989</w:t>
            </w: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79679DA4" w14:textId="77777777" w:rsidR="006B3AD8" w:rsidRDefault="006B3AD8" w:rsidP="006B3AD8">
            <w:pPr>
              <w:spacing w:after="0"/>
              <w:jc w:val="left"/>
              <w:rPr>
                <w:sz w:val="16"/>
                <w:szCs w:val="16"/>
                <w:lang w:val="en-CA"/>
              </w:rPr>
            </w:pPr>
          </w:p>
        </w:tc>
      </w:tr>
      <w:tr w:rsidR="006B3AD8" w14:paraId="04FA230E"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7E1D6AE3" w14:textId="77777777" w:rsidR="006B3AD8" w:rsidRPr="001D75B4" w:rsidRDefault="006B3AD8" w:rsidP="006B3AD8">
            <w:pPr>
              <w:spacing w:after="0"/>
              <w:rPr>
                <w:sz w:val="18"/>
                <w:szCs w:val="18"/>
              </w:rPr>
            </w:pPr>
            <w:proofErr w:type="spellStart"/>
            <w:r w:rsidRPr="001D75B4">
              <w:rPr>
                <w:sz w:val="18"/>
                <w:szCs w:val="18"/>
              </w:rPr>
              <w:t>Tassian</w:t>
            </w:r>
            <w:proofErr w:type="spellEnd"/>
          </w:p>
        </w:tc>
        <w:tc>
          <w:tcPr>
            <w:tcW w:w="2007" w:type="dxa"/>
            <w:tcBorders>
              <w:top w:val="single" w:sz="4" w:space="0" w:color="auto"/>
              <w:left w:val="single" w:sz="4" w:space="0" w:color="auto"/>
              <w:bottom w:val="single" w:sz="4" w:space="0" w:color="auto"/>
              <w:right w:val="single" w:sz="4" w:space="0" w:color="auto"/>
            </w:tcBorders>
          </w:tcPr>
          <w:p w14:paraId="4E76B2BD" w14:textId="46CC304B" w:rsidR="006B3AD8" w:rsidRPr="001D75B4" w:rsidRDefault="006B3AD8" w:rsidP="006B3AD8">
            <w:pPr>
              <w:spacing w:after="0"/>
              <w:rPr>
                <w:sz w:val="18"/>
                <w:szCs w:val="18"/>
              </w:rPr>
            </w:pPr>
            <w:r w:rsidRPr="001D75B4">
              <w:rPr>
                <w:sz w:val="18"/>
                <w:szCs w:val="18"/>
                <w:lang w:val="fr-FR"/>
              </w:rPr>
              <w:t xml:space="preserve">Sissili </w:t>
            </w:r>
          </w:p>
        </w:tc>
        <w:tc>
          <w:tcPr>
            <w:tcW w:w="1080" w:type="dxa"/>
            <w:tcBorders>
              <w:top w:val="single" w:sz="4" w:space="0" w:color="auto"/>
              <w:left w:val="single" w:sz="4" w:space="0" w:color="auto"/>
              <w:bottom w:val="single" w:sz="4" w:space="0" w:color="auto"/>
              <w:right w:val="single" w:sz="4" w:space="0" w:color="auto"/>
            </w:tcBorders>
            <w:hideMark/>
          </w:tcPr>
          <w:p w14:paraId="499A894A" w14:textId="322EF4EB" w:rsidR="006B3AD8" w:rsidRDefault="006B3AD8" w:rsidP="006B3AD8">
            <w:pPr>
              <w:spacing w:after="0"/>
              <w:rPr>
                <w:sz w:val="18"/>
                <w:szCs w:val="18"/>
              </w:rPr>
            </w:pPr>
            <w:r>
              <w:rPr>
                <w:sz w:val="18"/>
                <w:szCs w:val="18"/>
              </w:rPr>
              <w:t>3,345</w:t>
            </w:r>
          </w:p>
        </w:tc>
        <w:tc>
          <w:tcPr>
            <w:tcW w:w="1440" w:type="dxa"/>
            <w:tcBorders>
              <w:top w:val="single" w:sz="4" w:space="0" w:color="auto"/>
              <w:left w:val="single" w:sz="4" w:space="0" w:color="auto"/>
              <w:bottom w:val="single" w:sz="4" w:space="0" w:color="auto"/>
              <w:right w:val="single" w:sz="4" w:space="0" w:color="auto"/>
            </w:tcBorders>
            <w:hideMark/>
          </w:tcPr>
          <w:p w14:paraId="4891BB6B" w14:textId="77777777" w:rsidR="006B3AD8" w:rsidRDefault="006B3AD8" w:rsidP="006B3AD8">
            <w:pPr>
              <w:spacing w:after="0"/>
              <w:rPr>
                <w:sz w:val="18"/>
                <w:szCs w:val="18"/>
              </w:rPr>
            </w:pPr>
            <w:r>
              <w:rPr>
                <w:sz w:val="18"/>
                <w:szCs w:val="18"/>
              </w:rPr>
              <w:t>ZOVIC</w:t>
            </w:r>
          </w:p>
        </w:tc>
        <w:tc>
          <w:tcPr>
            <w:tcW w:w="810" w:type="dxa"/>
            <w:tcBorders>
              <w:top w:val="single" w:sz="4" w:space="0" w:color="auto"/>
              <w:left w:val="single" w:sz="4" w:space="0" w:color="auto"/>
              <w:bottom w:val="single" w:sz="4" w:space="0" w:color="auto"/>
              <w:right w:val="single" w:sz="4" w:space="0" w:color="auto"/>
            </w:tcBorders>
            <w:hideMark/>
          </w:tcPr>
          <w:p w14:paraId="19CFC20E" w14:textId="77777777" w:rsidR="006B3AD8" w:rsidRDefault="006B3AD8" w:rsidP="006B3AD8">
            <w:pPr>
              <w:spacing w:after="0"/>
              <w:rPr>
                <w:sz w:val="18"/>
                <w:szCs w:val="18"/>
              </w:rPr>
            </w:pPr>
            <w:r>
              <w:rPr>
                <w:sz w:val="18"/>
                <w:szCs w:val="18"/>
              </w:rPr>
              <w:t>VI</w:t>
            </w:r>
          </w:p>
        </w:tc>
        <w:tc>
          <w:tcPr>
            <w:tcW w:w="1440" w:type="dxa"/>
            <w:tcBorders>
              <w:top w:val="single" w:sz="4" w:space="0" w:color="auto"/>
              <w:left w:val="single" w:sz="4" w:space="0" w:color="auto"/>
              <w:bottom w:val="single" w:sz="4" w:space="0" w:color="auto"/>
              <w:right w:val="single" w:sz="4" w:space="0" w:color="auto"/>
            </w:tcBorders>
            <w:hideMark/>
          </w:tcPr>
          <w:p w14:paraId="52543FD1" w14:textId="77777777" w:rsidR="006B3AD8" w:rsidRDefault="006B3AD8" w:rsidP="006B3AD8">
            <w:pPr>
              <w:spacing w:after="0"/>
              <w:rPr>
                <w:sz w:val="16"/>
                <w:szCs w:val="16"/>
              </w:rPr>
            </w:pPr>
            <w:r>
              <w:rPr>
                <w:sz w:val="16"/>
                <w:szCs w:val="16"/>
              </w:rPr>
              <w:t>CVGF</w:t>
            </w: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05211FA1" w14:textId="77777777" w:rsidR="006B3AD8" w:rsidRDefault="006B3AD8" w:rsidP="006B3AD8">
            <w:pPr>
              <w:spacing w:after="0"/>
              <w:jc w:val="left"/>
              <w:rPr>
                <w:sz w:val="18"/>
                <w:szCs w:val="18"/>
                <w:lang w:val="en-CA"/>
              </w:rPr>
            </w:pPr>
          </w:p>
        </w:tc>
        <w:tc>
          <w:tcPr>
            <w:tcW w:w="887" w:type="dxa"/>
            <w:tcBorders>
              <w:top w:val="single" w:sz="4" w:space="0" w:color="auto"/>
              <w:left w:val="single" w:sz="4" w:space="0" w:color="auto"/>
              <w:bottom w:val="single" w:sz="4" w:space="0" w:color="auto"/>
              <w:right w:val="single" w:sz="4" w:space="0" w:color="auto"/>
            </w:tcBorders>
            <w:hideMark/>
          </w:tcPr>
          <w:p w14:paraId="62C709C6" w14:textId="77777777" w:rsidR="006B3AD8" w:rsidRDefault="006B3AD8" w:rsidP="006B3AD8">
            <w:pPr>
              <w:spacing w:after="0"/>
              <w:rPr>
                <w:sz w:val="16"/>
                <w:szCs w:val="16"/>
              </w:rPr>
            </w:pPr>
            <w:r>
              <w:rPr>
                <w:sz w:val="16"/>
                <w:szCs w:val="16"/>
              </w:rPr>
              <w:t>Created 1989</w:t>
            </w: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08CEEA2B" w14:textId="77777777" w:rsidR="006B3AD8" w:rsidRDefault="006B3AD8" w:rsidP="006B3AD8">
            <w:pPr>
              <w:spacing w:after="0"/>
              <w:jc w:val="left"/>
              <w:rPr>
                <w:sz w:val="16"/>
                <w:szCs w:val="16"/>
                <w:lang w:val="en-CA"/>
              </w:rPr>
            </w:pPr>
          </w:p>
        </w:tc>
      </w:tr>
      <w:tr w:rsidR="006B3AD8" w14:paraId="24F02236"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0B1F82BE" w14:textId="77777777" w:rsidR="006B3AD8" w:rsidRPr="001D75B4" w:rsidRDefault="006B3AD8" w:rsidP="006B3AD8">
            <w:pPr>
              <w:spacing w:after="0"/>
              <w:rPr>
                <w:sz w:val="18"/>
                <w:szCs w:val="18"/>
              </w:rPr>
            </w:pPr>
            <w:proofErr w:type="spellStart"/>
            <w:r w:rsidRPr="001D75B4">
              <w:rPr>
                <w:sz w:val="18"/>
                <w:szCs w:val="18"/>
              </w:rPr>
              <w:t>Neboun-Bori</w:t>
            </w:r>
            <w:proofErr w:type="spellEnd"/>
          </w:p>
        </w:tc>
        <w:tc>
          <w:tcPr>
            <w:tcW w:w="2007" w:type="dxa"/>
            <w:tcBorders>
              <w:top w:val="single" w:sz="4" w:space="0" w:color="auto"/>
              <w:left w:val="single" w:sz="4" w:space="0" w:color="auto"/>
              <w:bottom w:val="single" w:sz="4" w:space="0" w:color="auto"/>
              <w:right w:val="single" w:sz="4" w:space="0" w:color="auto"/>
            </w:tcBorders>
          </w:tcPr>
          <w:p w14:paraId="692B369B" w14:textId="22658A4F" w:rsidR="006B3AD8" w:rsidRPr="001D75B4" w:rsidRDefault="006B3AD8" w:rsidP="006B3AD8">
            <w:pPr>
              <w:spacing w:after="0"/>
              <w:rPr>
                <w:sz w:val="18"/>
                <w:szCs w:val="18"/>
              </w:rPr>
            </w:pPr>
            <w:r w:rsidRPr="001D75B4">
              <w:rPr>
                <w:sz w:val="18"/>
                <w:szCs w:val="18"/>
                <w:lang w:val="fr-FR"/>
              </w:rPr>
              <w:t>Nahouri</w:t>
            </w:r>
          </w:p>
        </w:tc>
        <w:tc>
          <w:tcPr>
            <w:tcW w:w="1080" w:type="dxa"/>
            <w:tcBorders>
              <w:top w:val="single" w:sz="4" w:space="0" w:color="auto"/>
              <w:left w:val="single" w:sz="4" w:space="0" w:color="auto"/>
              <w:bottom w:val="single" w:sz="4" w:space="0" w:color="auto"/>
              <w:right w:val="single" w:sz="4" w:space="0" w:color="auto"/>
            </w:tcBorders>
            <w:hideMark/>
          </w:tcPr>
          <w:p w14:paraId="52E75E68" w14:textId="12BC9EF7" w:rsidR="006B3AD8" w:rsidRDefault="006B3AD8" w:rsidP="006B3AD8">
            <w:pPr>
              <w:spacing w:after="0"/>
              <w:rPr>
                <w:sz w:val="18"/>
                <w:szCs w:val="18"/>
              </w:rPr>
            </w:pPr>
            <w:r>
              <w:rPr>
                <w:sz w:val="18"/>
                <w:szCs w:val="18"/>
              </w:rPr>
              <w:t>3,000</w:t>
            </w:r>
          </w:p>
        </w:tc>
        <w:tc>
          <w:tcPr>
            <w:tcW w:w="1440" w:type="dxa"/>
            <w:tcBorders>
              <w:top w:val="single" w:sz="4" w:space="0" w:color="auto"/>
              <w:left w:val="single" w:sz="4" w:space="0" w:color="auto"/>
              <w:bottom w:val="single" w:sz="4" w:space="0" w:color="auto"/>
              <w:right w:val="single" w:sz="4" w:space="0" w:color="auto"/>
            </w:tcBorders>
            <w:hideMark/>
          </w:tcPr>
          <w:p w14:paraId="111D9C24" w14:textId="77777777" w:rsidR="006B3AD8" w:rsidRDefault="006B3AD8" w:rsidP="006B3AD8">
            <w:pPr>
              <w:spacing w:after="0"/>
              <w:rPr>
                <w:sz w:val="18"/>
                <w:szCs w:val="18"/>
              </w:rPr>
            </w:pPr>
            <w:r>
              <w:rPr>
                <w:sz w:val="18"/>
                <w:szCs w:val="18"/>
              </w:rPr>
              <w:t>ZOVIC</w:t>
            </w:r>
          </w:p>
        </w:tc>
        <w:tc>
          <w:tcPr>
            <w:tcW w:w="810" w:type="dxa"/>
            <w:tcBorders>
              <w:top w:val="single" w:sz="4" w:space="0" w:color="auto"/>
              <w:left w:val="single" w:sz="4" w:space="0" w:color="auto"/>
              <w:bottom w:val="single" w:sz="4" w:space="0" w:color="auto"/>
              <w:right w:val="single" w:sz="4" w:space="0" w:color="auto"/>
            </w:tcBorders>
            <w:hideMark/>
          </w:tcPr>
          <w:p w14:paraId="37FBDB2F" w14:textId="77777777" w:rsidR="006B3AD8" w:rsidRDefault="006B3AD8" w:rsidP="006B3AD8">
            <w:pPr>
              <w:spacing w:after="0"/>
              <w:rPr>
                <w:sz w:val="18"/>
                <w:szCs w:val="18"/>
              </w:rPr>
            </w:pPr>
            <w:r>
              <w:rPr>
                <w:sz w:val="18"/>
                <w:szCs w:val="18"/>
              </w:rPr>
              <w:t>VI</w:t>
            </w:r>
          </w:p>
        </w:tc>
        <w:tc>
          <w:tcPr>
            <w:tcW w:w="1440" w:type="dxa"/>
            <w:tcBorders>
              <w:top w:val="single" w:sz="4" w:space="0" w:color="auto"/>
              <w:left w:val="single" w:sz="4" w:space="0" w:color="auto"/>
              <w:bottom w:val="single" w:sz="4" w:space="0" w:color="auto"/>
              <w:right w:val="single" w:sz="4" w:space="0" w:color="auto"/>
            </w:tcBorders>
            <w:hideMark/>
          </w:tcPr>
          <w:p w14:paraId="54146633" w14:textId="77777777" w:rsidR="006B3AD8" w:rsidRDefault="006B3AD8" w:rsidP="006B3AD8">
            <w:pPr>
              <w:spacing w:after="0"/>
              <w:rPr>
                <w:sz w:val="16"/>
                <w:szCs w:val="16"/>
              </w:rPr>
            </w:pPr>
            <w:r>
              <w:rPr>
                <w:sz w:val="16"/>
                <w:szCs w:val="16"/>
              </w:rPr>
              <w:t>CVGF</w:t>
            </w: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2DA1A159" w14:textId="77777777" w:rsidR="006B3AD8" w:rsidRDefault="006B3AD8" w:rsidP="006B3AD8">
            <w:pPr>
              <w:spacing w:after="0"/>
              <w:jc w:val="left"/>
              <w:rPr>
                <w:sz w:val="18"/>
                <w:szCs w:val="18"/>
                <w:lang w:val="en-CA"/>
              </w:rPr>
            </w:pPr>
          </w:p>
        </w:tc>
        <w:tc>
          <w:tcPr>
            <w:tcW w:w="887" w:type="dxa"/>
            <w:tcBorders>
              <w:top w:val="single" w:sz="4" w:space="0" w:color="auto"/>
              <w:left w:val="single" w:sz="4" w:space="0" w:color="auto"/>
              <w:bottom w:val="single" w:sz="4" w:space="0" w:color="auto"/>
              <w:right w:val="single" w:sz="4" w:space="0" w:color="auto"/>
            </w:tcBorders>
            <w:hideMark/>
          </w:tcPr>
          <w:p w14:paraId="2CB79F9C" w14:textId="77777777" w:rsidR="006B3AD8" w:rsidRDefault="006B3AD8" w:rsidP="006B3AD8">
            <w:pPr>
              <w:spacing w:after="0"/>
              <w:rPr>
                <w:sz w:val="16"/>
                <w:szCs w:val="16"/>
              </w:rPr>
            </w:pPr>
            <w:r>
              <w:rPr>
                <w:sz w:val="16"/>
                <w:szCs w:val="16"/>
              </w:rPr>
              <w:t>Created 1989</w:t>
            </w: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1B72FA11" w14:textId="77777777" w:rsidR="006B3AD8" w:rsidRDefault="006B3AD8" w:rsidP="006B3AD8">
            <w:pPr>
              <w:spacing w:after="0"/>
              <w:jc w:val="left"/>
              <w:rPr>
                <w:sz w:val="16"/>
                <w:szCs w:val="16"/>
                <w:lang w:val="en-CA"/>
              </w:rPr>
            </w:pPr>
          </w:p>
        </w:tc>
      </w:tr>
      <w:tr w:rsidR="006B3AD8" w14:paraId="64FEA048"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2B5D48C3" w14:textId="77777777" w:rsidR="006B3AD8" w:rsidRPr="001D75B4" w:rsidRDefault="006B3AD8" w:rsidP="006B3AD8">
            <w:pPr>
              <w:spacing w:after="0"/>
              <w:rPr>
                <w:sz w:val="18"/>
                <w:szCs w:val="18"/>
              </w:rPr>
            </w:pPr>
            <w:proofErr w:type="spellStart"/>
            <w:r w:rsidRPr="001D75B4">
              <w:rPr>
                <w:sz w:val="18"/>
                <w:szCs w:val="18"/>
              </w:rPr>
              <w:t>Boassan</w:t>
            </w:r>
            <w:proofErr w:type="spellEnd"/>
          </w:p>
        </w:tc>
        <w:tc>
          <w:tcPr>
            <w:tcW w:w="2007" w:type="dxa"/>
            <w:tcBorders>
              <w:top w:val="single" w:sz="4" w:space="0" w:color="auto"/>
              <w:left w:val="single" w:sz="4" w:space="0" w:color="auto"/>
              <w:bottom w:val="single" w:sz="4" w:space="0" w:color="auto"/>
              <w:right w:val="single" w:sz="4" w:space="0" w:color="auto"/>
            </w:tcBorders>
          </w:tcPr>
          <w:p w14:paraId="5564AC0E" w14:textId="2C77C31B" w:rsidR="006B3AD8" w:rsidRPr="001D75B4" w:rsidRDefault="006B3AD8" w:rsidP="006B3AD8">
            <w:pPr>
              <w:spacing w:after="0"/>
              <w:rPr>
                <w:sz w:val="18"/>
                <w:szCs w:val="18"/>
              </w:rPr>
            </w:pPr>
            <w:r w:rsidRPr="001D75B4">
              <w:rPr>
                <w:sz w:val="18"/>
                <w:szCs w:val="18"/>
                <w:lang w:val="fr-FR"/>
              </w:rPr>
              <w:t>Nahouri</w:t>
            </w:r>
          </w:p>
        </w:tc>
        <w:tc>
          <w:tcPr>
            <w:tcW w:w="1080" w:type="dxa"/>
            <w:tcBorders>
              <w:top w:val="single" w:sz="4" w:space="0" w:color="auto"/>
              <w:left w:val="single" w:sz="4" w:space="0" w:color="auto"/>
              <w:bottom w:val="single" w:sz="4" w:space="0" w:color="auto"/>
              <w:right w:val="single" w:sz="4" w:space="0" w:color="auto"/>
            </w:tcBorders>
            <w:hideMark/>
          </w:tcPr>
          <w:p w14:paraId="34BD1DD5" w14:textId="7F936A5F" w:rsidR="006B3AD8" w:rsidRDefault="006B3AD8" w:rsidP="006B3AD8">
            <w:pPr>
              <w:spacing w:after="0"/>
              <w:rPr>
                <w:sz w:val="18"/>
                <w:szCs w:val="18"/>
              </w:rPr>
            </w:pPr>
            <w:r>
              <w:rPr>
                <w:sz w:val="18"/>
                <w:szCs w:val="18"/>
              </w:rPr>
              <w:t>345</w:t>
            </w:r>
          </w:p>
        </w:tc>
        <w:tc>
          <w:tcPr>
            <w:tcW w:w="1440" w:type="dxa"/>
            <w:tcBorders>
              <w:top w:val="single" w:sz="4" w:space="0" w:color="auto"/>
              <w:left w:val="single" w:sz="4" w:space="0" w:color="auto"/>
              <w:bottom w:val="single" w:sz="4" w:space="0" w:color="auto"/>
              <w:right w:val="single" w:sz="4" w:space="0" w:color="auto"/>
            </w:tcBorders>
            <w:hideMark/>
          </w:tcPr>
          <w:p w14:paraId="562E48AC" w14:textId="77777777" w:rsidR="006B3AD8" w:rsidRDefault="006B3AD8" w:rsidP="006B3AD8">
            <w:pPr>
              <w:spacing w:after="0"/>
              <w:rPr>
                <w:sz w:val="18"/>
                <w:szCs w:val="18"/>
              </w:rPr>
            </w:pPr>
            <w:r>
              <w:rPr>
                <w:sz w:val="18"/>
                <w:szCs w:val="18"/>
              </w:rPr>
              <w:t>ZOVIC</w:t>
            </w:r>
          </w:p>
        </w:tc>
        <w:tc>
          <w:tcPr>
            <w:tcW w:w="810" w:type="dxa"/>
            <w:tcBorders>
              <w:top w:val="single" w:sz="4" w:space="0" w:color="auto"/>
              <w:left w:val="single" w:sz="4" w:space="0" w:color="auto"/>
              <w:bottom w:val="single" w:sz="4" w:space="0" w:color="auto"/>
              <w:right w:val="single" w:sz="4" w:space="0" w:color="auto"/>
            </w:tcBorders>
            <w:hideMark/>
          </w:tcPr>
          <w:p w14:paraId="48A6D596" w14:textId="77777777" w:rsidR="006B3AD8" w:rsidRDefault="006B3AD8" w:rsidP="006B3AD8">
            <w:pPr>
              <w:spacing w:after="0"/>
              <w:rPr>
                <w:sz w:val="18"/>
                <w:szCs w:val="18"/>
              </w:rPr>
            </w:pPr>
            <w:r>
              <w:rPr>
                <w:sz w:val="18"/>
                <w:szCs w:val="18"/>
              </w:rPr>
              <w:t>VI</w:t>
            </w:r>
          </w:p>
        </w:tc>
        <w:tc>
          <w:tcPr>
            <w:tcW w:w="1440" w:type="dxa"/>
            <w:tcBorders>
              <w:top w:val="single" w:sz="4" w:space="0" w:color="auto"/>
              <w:left w:val="single" w:sz="4" w:space="0" w:color="auto"/>
              <w:bottom w:val="single" w:sz="4" w:space="0" w:color="auto"/>
              <w:right w:val="single" w:sz="4" w:space="0" w:color="auto"/>
            </w:tcBorders>
            <w:hideMark/>
          </w:tcPr>
          <w:p w14:paraId="435CB2EF" w14:textId="77777777" w:rsidR="006B3AD8" w:rsidRDefault="006B3AD8" w:rsidP="006B3AD8">
            <w:pPr>
              <w:spacing w:after="0"/>
              <w:rPr>
                <w:sz w:val="16"/>
                <w:szCs w:val="16"/>
              </w:rPr>
            </w:pPr>
            <w:r>
              <w:rPr>
                <w:sz w:val="16"/>
                <w:szCs w:val="16"/>
              </w:rPr>
              <w:t>CVGF</w:t>
            </w: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564953B0" w14:textId="77777777" w:rsidR="006B3AD8" w:rsidRDefault="006B3AD8" w:rsidP="006B3AD8">
            <w:pPr>
              <w:spacing w:after="0"/>
              <w:jc w:val="left"/>
              <w:rPr>
                <w:sz w:val="18"/>
                <w:szCs w:val="18"/>
                <w:lang w:val="en-CA"/>
              </w:rPr>
            </w:pPr>
          </w:p>
        </w:tc>
        <w:tc>
          <w:tcPr>
            <w:tcW w:w="887" w:type="dxa"/>
            <w:tcBorders>
              <w:top w:val="single" w:sz="4" w:space="0" w:color="auto"/>
              <w:left w:val="single" w:sz="4" w:space="0" w:color="auto"/>
              <w:bottom w:val="single" w:sz="4" w:space="0" w:color="auto"/>
              <w:right w:val="single" w:sz="4" w:space="0" w:color="auto"/>
            </w:tcBorders>
            <w:hideMark/>
          </w:tcPr>
          <w:p w14:paraId="561C711C" w14:textId="77777777" w:rsidR="006B3AD8" w:rsidRDefault="006B3AD8" w:rsidP="006B3AD8">
            <w:pPr>
              <w:spacing w:after="0"/>
              <w:rPr>
                <w:sz w:val="16"/>
                <w:szCs w:val="16"/>
              </w:rPr>
            </w:pPr>
            <w:r>
              <w:rPr>
                <w:sz w:val="16"/>
                <w:szCs w:val="16"/>
              </w:rPr>
              <w:t>Created 1989</w:t>
            </w: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1C2C27C6" w14:textId="77777777" w:rsidR="006B3AD8" w:rsidRDefault="006B3AD8" w:rsidP="006B3AD8">
            <w:pPr>
              <w:spacing w:after="0"/>
              <w:jc w:val="left"/>
              <w:rPr>
                <w:sz w:val="16"/>
                <w:szCs w:val="16"/>
                <w:lang w:val="en-CA"/>
              </w:rPr>
            </w:pPr>
          </w:p>
        </w:tc>
      </w:tr>
      <w:tr w:rsidR="006B3AD8" w14:paraId="6FC2E446"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1757E3B1" w14:textId="77777777" w:rsidR="006B3AD8" w:rsidRPr="001D75B4" w:rsidRDefault="006B3AD8" w:rsidP="006B3AD8">
            <w:pPr>
              <w:spacing w:after="0"/>
              <w:rPr>
                <w:sz w:val="18"/>
                <w:szCs w:val="18"/>
              </w:rPr>
            </w:pPr>
            <w:proofErr w:type="spellStart"/>
            <w:r w:rsidRPr="001D75B4">
              <w:rPr>
                <w:sz w:val="18"/>
                <w:szCs w:val="18"/>
              </w:rPr>
              <w:t>Koumbili</w:t>
            </w:r>
            <w:proofErr w:type="spellEnd"/>
          </w:p>
        </w:tc>
        <w:tc>
          <w:tcPr>
            <w:tcW w:w="2007" w:type="dxa"/>
            <w:tcBorders>
              <w:top w:val="single" w:sz="4" w:space="0" w:color="auto"/>
              <w:left w:val="single" w:sz="4" w:space="0" w:color="auto"/>
              <w:bottom w:val="single" w:sz="4" w:space="0" w:color="auto"/>
              <w:right w:val="single" w:sz="4" w:space="0" w:color="auto"/>
            </w:tcBorders>
          </w:tcPr>
          <w:p w14:paraId="4ED6C8A0" w14:textId="0984A473" w:rsidR="006B3AD8" w:rsidRPr="001D75B4" w:rsidRDefault="006B3AD8" w:rsidP="006B3AD8">
            <w:pPr>
              <w:spacing w:after="0"/>
              <w:rPr>
                <w:sz w:val="18"/>
                <w:szCs w:val="18"/>
              </w:rPr>
            </w:pPr>
            <w:r w:rsidRPr="001D75B4">
              <w:rPr>
                <w:sz w:val="18"/>
                <w:szCs w:val="18"/>
                <w:lang w:val="fr-FR"/>
              </w:rPr>
              <w:t>Nahouri</w:t>
            </w:r>
          </w:p>
        </w:tc>
        <w:tc>
          <w:tcPr>
            <w:tcW w:w="1080" w:type="dxa"/>
            <w:tcBorders>
              <w:top w:val="single" w:sz="4" w:space="0" w:color="auto"/>
              <w:left w:val="single" w:sz="4" w:space="0" w:color="auto"/>
              <w:bottom w:val="single" w:sz="4" w:space="0" w:color="auto"/>
              <w:right w:val="single" w:sz="4" w:space="0" w:color="auto"/>
            </w:tcBorders>
            <w:hideMark/>
          </w:tcPr>
          <w:p w14:paraId="21C6C89B" w14:textId="224BBE78" w:rsidR="006B3AD8" w:rsidRDefault="006B3AD8" w:rsidP="006B3AD8">
            <w:pPr>
              <w:spacing w:after="0"/>
              <w:rPr>
                <w:sz w:val="18"/>
                <w:szCs w:val="18"/>
              </w:rPr>
            </w:pPr>
            <w:r>
              <w:rPr>
                <w:sz w:val="18"/>
                <w:szCs w:val="18"/>
              </w:rPr>
              <w:t>5,820</w:t>
            </w:r>
          </w:p>
        </w:tc>
        <w:tc>
          <w:tcPr>
            <w:tcW w:w="1440" w:type="dxa"/>
            <w:tcBorders>
              <w:top w:val="single" w:sz="4" w:space="0" w:color="auto"/>
              <w:left w:val="single" w:sz="4" w:space="0" w:color="auto"/>
              <w:bottom w:val="single" w:sz="4" w:space="0" w:color="auto"/>
              <w:right w:val="single" w:sz="4" w:space="0" w:color="auto"/>
            </w:tcBorders>
            <w:hideMark/>
          </w:tcPr>
          <w:p w14:paraId="620AAAD6" w14:textId="77777777" w:rsidR="006B3AD8" w:rsidRDefault="006B3AD8" w:rsidP="006B3AD8">
            <w:pPr>
              <w:spacing w:after="0"/>
              <w:rPr>
                <w:sz w:val="18"/>
                <w:szCs w:val="18"/>
              </w:rPr>
            </w:pPr>
            <w:r>
              <w:rPr>
                <w:sz w:val="18"/>
                <w:szCs w:val="18"/>
              </w:rPr>
              <w:t>ZOVIC</w:t>
            </w:r>
          </w:p>
        </w:tc>
        <w:tc>
          <w:tcPr>
            <w:tcW w:w="810" w:type="dxa"/>
            <w:tcBorders>
              <w:top w:val="single" w:sz="4" w:space="0" w:color="auto"/>
              <w:left w:val="single" w:sz="4" w:space="0" w:color="auto"/>
              <w:bottom w:val="single" w:sz="4" w:space="0" w:color="auto"/>
              <w:right w:val="single" w:sz="4" w:space="0" w:color="auto"/>
            </w:tcBorders>
            <w:hideMark/>
          </w:tcPr>
          <w:p w14:paraId="4E48CD5A" w14:textId="77777777" w:rsidR="006B3AD8" w:rsidRDefault="006B3AD8" w:rsidP="006B3AD8">
            <w:pPr>
              <w:spacing w:after="0"/>
              <w:rPr>
                <w:sz w:val="18"/>
                <w:szCs w:val="18"/>
              </w:rPr>
            </w:pPr>
            <w:r>
              <w:rPr>
                <w:sz w:val="18"/>
                <w:szCs w:val="18"/>
              </w:rPr>
              <w:t>VI</w:t>
            </w:r>
          </w:p>
        </w:tc>
        <w:tc>
          <w:tcPr>
            <w:tcW w:w="1440" w:type="dxa"/>
            <w:tcBorders>
              <w:top w:val="single" w:sz="4" w:space="0" w:color="auto"/>
              <w:left w:val="single" w:sz="4" w:space="0" w:color="auto"/>
              <w:bottom w:val="single" w:sz="4" w:space="0" w:color="auto"/>
              <w:right w:val="single" w:sz="4" w:space="0" w:color="auto"/>
            </w:tcBorders>
            <w:hideMark/>
          </w:tcPr>
          <w:p w14:paraId="59FAC7F7" w14:textId="77777777" w:rsidR="006B3AD8" w:rsidRDefault="006B3AD8" w:rsidP="006B3AD8">
            <w:pPr>
              <w:spacing w:after="0"/>
              <w:rPr>
                <w:sz w:val="16"/>
                <w:szCs w:val="16"/>
              </w:rPr>
            </w:pPr>
            <w:r>
              <w:rPr>
                <w:sz w:val="16"/>
                <w:szCs w:val="16"/>
              </w:rPr>
              <w:t>CVGF</w:t>
            </w: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04D63982" w14:textId="77777777" w:rsidR="006B3AD8" w:rsidRDefault="006B3AD8" w:rsidP="006B3AD8">
            <w:pPr>
              <w:spacing w:after="0"/>
              <w:jc w:val="left"/>
              <w:rPr>
                <w:sz w:val="18"/>
                <w:szCs w:val="18"/>
                <w:lang w:val="en-CA"/>
              </w:rPr>
            </w:pPr>
          </w:p>
        </w:tc>
        <w:tc>
          <w:tcPr>
            <w:tcW w:w="887" w:type="dxa"/>
            <w:tcBorders>
              <w:top w:val="single" w:sz="4" w:space="0" w:color="auto"/>
              <w:left w:val="single" w:sz="4" w:space="0" w:color="auto"/>
              <w:bottom w:val="single" w:sz="4" w:space="0" w:color="auto"/>
              <w:right w:val="single" w:sz="4" w:space="0" w:color="auto"/>
            </w:tcBorders>
            <w:hideMark/>
          </w:tcPr>
          <w:p w14:paraId="2968DD7C" w14:textId="77777777" w:rsidR="006B3AD8" w:rsidRDefault="006B3AD8" w:rsidP="006B3AD8">
            <w:pPr>
              <w:spacing w:after="0"/>
              <w:rPr>
                <w:sz w:val="16"/>
                <w:szCs w:val="16"/>
              </w:rPr>
            </w:pPr>
            <w:r>
              <w:rPr>
                <w:sz w:val="16"/>
                <w:szCs w:val="16"/>
              </w:rPr>
              <w:t>Created 1989</w:t>
            </w: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3705ACCC" w14:textId="77777777" w:rsidR="006B3AD8" w:rsidRDefault="006B3AD8" w:rsidP="006B3AD8">
            <w:pPr>
              <w:spacing w:after="0"/>
              <w:jc w:val="left"/>
              <w:rPr>
                <w:sz w:val="16"/>
                <w:szCs w:val="16"/>
                <w:lang w:val="en-CA"/>
              </w:rPr>
            </w:pPr>
          </w:p>
        </w:tc>
      </w:tr>
      <w:tr w:rsidR="006B3AD8" w14:paraId="5EF6D1D8"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22BC4D4A" w14:textId="77777777" w:rsidR="006B3AD8" w:rsidRPr="001D75B4" w:rsidRDefault="006B3AD8" w:rsidP="006B3AD8">
            <w:pPr>
              <w:spacing w:after="0"/>
              <w:rPr>
                <w:sz w:val="18"/>
                <w:szCs w:val="18"/>
              </w:rPr>
            </w:pPr>
            <w:proofErr w:type="spellStart"/>
            <w:r w:rsidRPr="001D75B4">
              <w:rPr>
                <w:sz w:val="18"/>
                <w:szCs w:val="18"/>
              </w:rPr>
              <w:t>Kountioro</w:t>
            </w:r>
            <w:proofErr w:type="spellEnd"/>
          </w:p>
        </w:tc>
        <w:tc>
          <w:tcPr>
            <w:tcW w:w="2007" w:type="dxa"/>
            <w:tcBorders>
              <w:top w:val="single" w:sz="4" w:space="0" w:color="auto"/>
              <w:left w:val="single" w:sz="4" w:space="0" w:color="auto"/>
              <w:bottom w:val="single" w:sz="4" w:space="0" w:color="auto"/>
              <w:right w:val="single" w:sz="4" w:space="0" w:color="auto"/>
            </w:tcBorders>
          </w:tcPr>
          <w:p w14:paraId="7DB3F3B3" w14:textId="40A587C0" w:rsidR="006B3AD8" w:rsidRPr="001D75B4" w:rsidRDefault="006B3AD8" w:rsidP="006B3AD8">
            <w:pPr>
              <w:spacing w:after="0"/>
              <w:rPr>
                <w:sz w:val="18"/>
                <w:szCs w:val="18"/>
              </w:rPr>
            </w:pPr>
            <w:r w:rsidRPr="001D75B4">
              <w:rPr>
                <w:sz w:val="18"/>
                <w:szCs w:val="18"/>
                <w:lang w:val="fr-FR"/>
              </w:rPr>
              <w:t>Nahouri</w:t>
            </w:r>
          </w:p>
        </w:tc>
        <w:tc>
          <w:tcPr>
            <w:tcW w:w="1080" w:type="dxa"/>
            <w:tcBorders>
              <w:top w:val="single" w:sz="4" w:space="0" w:color="auto"/>
              <w:left w:val="single" w:sz="4" w:space="0" w:color="auto"/>
              <w:bottom w:val="single" w:sz="4" w:space="0" w:color="auto"/>
              <w:right w:val="single" w:sz="4" w:space="0" w:color="auto"/>
            </w:tcBorders>
            <w:hideMark/>
          </w:tcPr>
          <w:p w14:paraId="2CEDCD1A" w14:textId="107899E1" w:rsidR="006B3AD8" w:rsidRDefault="006B3AD8" w:rsidP="006B3AD8">
            <w:pPr>
              <w:spacing w:after="0"/>
              <w:rPr>
                <w:sz w:val="18"/>
                <w:szCs w:val="18"/>
              </w:rPr>
            </w:pPr>
            <w:r>
              <w:rPr>
                <w:sz w:val="18"/>
                <w:szCs w:val="18"/>
              </w:rPr>
              <w:t>2,257</w:t>
            </w:r>
          </w:p>
        </w:tc>
        <w:tc>
          <w:tcPr>
            <w:tcW w:w="1440" w:type="dxa"/>
            <w:tcBorders>
              <w:top w:val="single" w:sz="4" w:space="0" w:color="auto"/>
              <w:left w:val="single" w:sz="4" w:space="0" w:color="auto"/>
              <w:bottom w:val="single" w:sz="4" w:space="0" w:color="auto"/>
              <w:right w:val="single" w:sz="4" w:space="0" w:color="auto"/>
            </w:tcBorders>
            <w:hideMark/>
          </w:tcPr>
          <w:p w14:paraId="39E22148" w14:textId="77777777" w:rsidR="006B3AD8" w:rsidRDefault="006B3AD8" w:rsidP="006B3AD8">
            <w:pPr>
              <w:spacing w:after="0"/>
              <w:rPr>
                <w:sz w:val="18"/>
                <w:szCs w:val="18"/>
              </w:rPr>
            </w:pPr>
            <w:r>
              <w:rPr>
                <w:sz w:val="18"/>
                <w:szCs w:val="18"/>
              </w:rPr>
              <w:t>ZOVIC</w:t>
            </w:r>
          </w:p>
        </w:tc>
        <w:tc>
          <w:tcPr>
            <w:tcW w:w="810" w:type="dxa"/>
            <w:tcBorders>
              <w:top w:val="single" w:sz="4" w:space="0" w:color="auto"/>
              <w:left w:val="single" w:sz="4" w:space="0" w:color="auto"/>
              <w:bottom w:val="single" w:sz="4" w:space="0" w:color="auto"/>
              <w:right w:val="single" w:sz="4" w:space="0" w:color="auto"/>
            </w:tcBorders>
            <w:hideMark/>
          </w:tcPr>
          <w:p w14:paraId="3323A1E5" w14:textId="77777777" w:rsidR="006B3AD8" w:rsidRDefault="006B3AD8" w:rsidP="006B3AD8">
            <w:pPr>
              <w:spacing w:after="0"/>
              <w:rPr>
                <w:sz w:val="18"/>
                <w:szCs w:val="18"/>
              </w:rPr>
            </w:pPr>
            <w:r>
              <w:rPr>
                <w:sz w:val="18"/>
                <w:szCs w:val="18"/>
              </w:rPr>
              <w:t>VI</w:t>
            </w:r>
          </w:p>
        </w:tc>
        <w:tc>
          <w:tcPr>
            <w:tcW w:w="1440" w:type="dxa"/>
            <w:tcBorders>
              <w:top w:val="single" w:sz="4" w:space="0" w:color="auto"/>
              <w:left w:val="single" w:sz="4" w:space="0" w:color="auto"/>
              <w:bottom w:val="single" w:sz="4" w:space="0" w:color="auto"/>
              <w:right w:val="single" w:sz="4" w:space="0" w:color="auto"/>
            </w:tcBorders>
            <w:hideMark/>
          </w:tcPr>
          <w:p w14:paraId="7906A6C1" w14:textId="77777777" w:rsidR="006B3AD8" w:rsidRDefault="006B3AD8" w:rsidP="006B3AD8">
            <w:pPr>
              <w:spacing w:after="0"/>
              <w:rPr>
                <w:sz w:val="16"/>
                <w:szCs w:val="16"/>
              </w:rPr>
            </w:pPr>
            <w:r>
              <w:rPr>
                <w:sz w:val="16"/>
                <w:szCs w:val="16"/>
              </w:rPr>
              <w:t>CVGF</w:t>
            </w: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0F382EC8" w14:textId="77777777" w:rsidR="006B3AD8" w:rsidRDefault="006B3AD8" w:rsidP="006B3AD8">
            <w:pPr>
              <w:spacing w:after="0"/>
              <w:jc w:val="left"/>
              <w:rPr>
                <w:sz w:val="18"/>
                <w:szCs w:val="18"/>
                <w:lang w:val="en-CA"/>
              </w:rPr>
            </w:pPr>
          </w:p>
        </w:tc>
        <w:tc>
          <w:tcPr>
            <w:tcW w:w="887" w:type="dxa"/>
            <w:tcBorders>
              <w:top w:val="single" w:sz="4" w:space="0" w:color="auto"/>
              <w:left w:val="single" w:sz="4" w:space="0" w:color="auto"/>
              <w:bottom w:val="single" w:sz="4" w:space="0" w:color="auto"/>
              <w:right w:val="single" w:sz="4" w:space="0" w:color="auto"/>
            </w:tcBorders>
            <w:hideMark/>
          </w:tcPr>
          <w:p w14:paraId="79675B16" w14:textId="77777777" w:rsidR="006B3AD8" w:rsidRDefault="006B3AD8" w:rsidP="006B3AD8">
            <w:pPr>
              <w:spacing w:after="0"/>
              <w:rPr>
                <w:sz w:val="16"/>
                <w:szCs w:val="16"/>
              </w:rPr>
            </w:pPr>
            <w:r>
              <w:rPr>
                <w:sz w:val="16"/>
                <w:szCs w:val="16"/>
              </w:rPr>
              <w:t>Created 1989</w:t>
            </w: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0D1E502F" w14:textId="77777777" w:rsidR="006B3AD8" w:rsidRDefault="006B3AD8" w:rsidP="006B3AD8">
            <w:pPr>
              <w:spacing w:after="0"/>
              <w:jc w:val="left"/>
              <w:rPr>
                <w:sz w:val="16"/>
                <w:szCs w:val="16"/>
                <w:lang w:val="en-CA"/>
              </w:rPr>
            </w:pPr>
          </w:p>
        </w:tc>
      </w:tr>
      <w:tr w:rsidR="006B3AD8" w14:paraId="767BE3CF"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3DDD4334" w14:textId="77777777" w:rsidR="006B3AD8" w:rsidRPr="001D75B4" w:rsidRDefault="006B3AD8" w:rsidP="006B3AD8">
            <w:pPr>
              <w:spacing w:after="0"/>
              <w:rPr>
                <w:sz w:val="18"/>
                <w:szCs w:val="18"/>
              </w:rPr>
            </w:pPr>
            <w:proofErr w:type="spellStart"/>
            <w:r w:rsidRPr="001D75B4">
              <w:rPr>
                <w:sz w:val="18"/>
                <w:szCs w:val="18"/>
              </w:rPr>
              <w:t>Natiédougou</w:t>
            </w:r>
            <w:proofErr w:type="spellEnd"/>
          </w:p>
        </w:tc>
        <w:tc>
          <w:tcPr>
            <w:tcW w:w="2007" w:type="dxa"/>
            <w:tcBorders>
              <w:top w:val="single" w:sz="4" w:space="0" w:color="auto"/>
              <w:left w:val="single" w:sz="4" w:space="0" w:color="auto"/>
              <w:bottom w:val="single" w:sz="4" w:space="0" w:color="auto"/>
              <w:right w:val="single" w:sz="4" w:space="0" w:color="auto"/>
            </w:tcBorders>
          </w:tcPr>
          <w:p w14:paraId="121B67BE" w14:textId="29559E87" w:rsidR="006B3AD8" w:rsidRPr="001D75B4" w:rsidRDefault="006B3AD8" w:rsidP="006B3AD8">
            <w:pPr>
              <w:spacing w:after="0"/>
              <w:rPr>
                <w:sz w:val="18"/>
                <w:szCs w:val="18"/>
              </w:rPr>
            </w:pPr>
            <w:r w:rsidRPr="001D75B4">
              <w:rPr>
                <w:sz w:val="18"/>
                <w:szCs w:val="18"/>
                <w:lang w:val="fr-FR"/>
              </w:rPr>
              <w:t>Nahouri</w:t>
            </w:r>
          </w:p>
        </w:tc>
        <w:tc>
          <w:tcPr>
            <w:tcW w:w="1080" w:type="dxa"/>
            <w:tcBorders>
              <w:top w:val="single" w:sz="4" w:space="0" w:color="auto"/>
              <w:left w:val="single" w:sz="4" w:space="0" w:color="auto"/>
              <w:bottom w:val="single" w:sz="4" w:space="0" w:color="auto"/>
              <w:right w:val="single" w:sz="4" w:space="0" w:color="auto"/>
            </w:tcBorders>
            <w:hideMark/>
          </w:tcPr>
          <w:p w14:paraId="6C6805C5" w14:textId="056BC2C3" w:rsidR="006B3AD8" w:rsidRDefault="006B3AD8" w:rsidP="006B3AD8">
            <w:pPr>
              <w:spacing w:after="0"/>
              <w:rPr>
                <w:sz w:val="18"/>
                <w:szCs w:val="18"/>
              </w:rPr>
            </w:pPr>
            <w:r>
              <w:rPr>
                <w:sz w:val="18"/>
                <w:szCs w:val="18"/>
              </w:rPr>
              <w:t>544</w:t>
            </w:r>
          </w:p>
        </w:tc>
        <w:tc>
          <w:tcPr>
            <w:tcW w:w="1440" w:type="dxa"/>
            <w:tcBorders>
              <w:top w:val="single" w:sz="4" w:space="0" w:color="auto"/>
              <w:left w:val="single" w:sz="4" w:space="0" w:color="auto"/>
              <w:bottom w:val="single" w:sz="4" w:space="0" w:color="auto"/>
              <w:right w:val="single" w:sz="4" w:space="0" w:color="auto"/>
            </w:tcBorders>
            <w:hideMark/>
          </w:tcPr>
          <w:p w14:paraId="6DB23546" w14:textId="77777777" w:rsidR="006B3AD8" w:rsidRDefault="006B3AD8" w:rsidP="006B3AD8">
            <w:pPr>
              <w:spacing w:after="0"/>
              <w:rPr>
                <w:sz w:val="18"/>
                <w:szCs w:val="18"/>
              </w:rPr>
            </w:pPr>
            <w:r>
              <w:rPr>
                <w:sz w:val="18"/>
                <w:szCs w:val="18"/>
              </w:rPr>
              <w:t>ZOVIC</w:t>
            </w:r>
          </w:p>
        </w:tc>
        <w:tc>
          <w:tcPr>
            <w:tcW w:w="810" w:type="dxa"/>
            <w:tcBorders>
              <w:top w:val="single" w:sz="4" w:space="0" w:color="auto"/>
              <w:left w:val="single" w:sz="4" w:space="0" w:color="auto"/>
              <w:bottom w:val="single" w:sz="4" w:space="0" w:color="auto"/>
              <w:right w:val="single" w:sz="4" w:space="0" w:color="auto"/>
            </w:tcBorders>
            <w:hideMark/>
          </w:tcPr>
          <w:p w14:paraId="68B2AF0B" w14:textId="77777777" w:rsidR="006B3AD8" w:rsidRDefault="006B3AD8" w:rsidP="006B3AD8">
            <w:pPr>
              <w:spacing w:after="0"/>
              <w:rPr>
                <w:sz w:val="18"/>
                <w:szCs w:val="18"/>
              </w:rPr>
            </w:pPr>
            <w:r>
              <w:rPr>
                <w:sz w:val="18"/>
                <w:szCs w:val="18"/>
              </w:rPr>
              <w:t>VI</w:t>
            </w:r>
          </w:p>
        </w:tc>
        <w:tc>
          <w:tcPr>
            <w:tcW w:w="1440" w:type="dxa"/>
            <w:tcBorders>
              <w:top w:val="single" w:sz="4" w:space="0" w:color="auto"/>
              <w:left w:val="single" w:sz="4" w:space="0" w:color="auto"/>
              <w:bottom w:val="single" w:sz="4" w:space="0" w:color="auto"/>
              <w:right w:val="single" w:sz="4" w:space="0" w:color="auto"/>
            </w:tcBorders>
            <w:hideMark/>
          </w:tcPr>
          <w:p w14:paraId="29F23980" w14:textId="77777777" w:rsidR="006B3AD8" w:rsidRDefault="006B3AD8" w:rsidP="006B3AD8">
            <w:pPr>
              <w:spacing w:after="0"/>
              <w:rPr>
                <w:sz w:val="16"/>
                <w:szCs w:val="16"/>
              </w:rPr>
            </w:pPr>
            <w:r>
              <w:rPr>
                <w:sz w:val="16"/>
                <w:szCs w:val="16"/>
              </w:rPr>
              <w:t>CVGF</w:t>
            </w: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4C94AAAE" w14:textId="77777777" w:rsidR="006B3AD8" w:rsidRDefault="006B3AD8" w:rsidP="006B3AD8">
            <w:pPr>
              <w:spacing w:after="0"/>
              <w:jc w:val="left"/>
              <w:rPr>
                <w:sz w:val="18"/>
                <w:szCs w:val="18"/>
                <w:lang w:val="en-CA"/>
              </w:rPr>
            </w:pPr>
          </w:p>
        </w:tc>
        <w:tc>
          <w:tcPr>
            <w:tcW w:w="887" w:type="dxa"/>
            <w:tcBorders>
              <w:top w:val="single" w:sz="4" w:space="0" w:color="auto"/>
              <w:left w:val="single" w:sz="4" w:space="0" w:color="auto"/>
              <w:bottom w:val="single" w:sz="4" w:space="0" w:color="auto"/>
              <w:right w:val="single" w:sz="4" w:space="0" w:color="auto"/>
            </w:tcBorders>
            <w:hideMark/>
          </w:tcPr>
          <w:p w14:paraId="7E64C47A" w14:textId="77777777" w:rsidR="006B3AD8" w:rsidRDefault="006B3AD8" w:rsidP="006B3AD8">
            <w:pPr>
              <w:spacing w:after="0"/>
              <w:rPr>
                <w:sz w:val="16"/>
                <w:szCs w:val="16"/>
              </w:rPr>
            </w:pPr>
            <w:r>
              <w:rPr>
                <w:sz w:val="16"/>
                <w:szCs w:val="16"/>
              </w:rPr>
              <w:t>Created 1989</w:t>
            </w: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7AD27267" w14:textId="77777777" w:rsidR="006B3AD8" w:rsidRDefault="006B3AD8" w:rsidP="006B3AD8">
            <w:pPr>
              <w:spacing w:after="0"/>
              <w:jc w:val="left"/>
              <w:rPr>
                <w:sz w:val="16"/>
                <w:szCs w:val="16"/>
                <w:lang w:val="en-CA"/>
              </w:rPr>
            </w:pPr>
          </w:p>
        </w:tc>
      </w:tr>
      <w:tr w:rsidR="006B3AD8" w14:paraId="7A1432B0"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09DF68EC" w14:textId="77777777" w:rsidR="006B3AD8" w:rsidRPr="001D75B4" w:rsidRDefault="006B3AD8" w:rsidP="006B3AD8">
            <w:pPr>
              <w:spacing w:after="0"/>
              <w:rPr>
                <w:sz w:val="18"/>
                <w:szCs w:val="18"/>
              </w:rPr>
            </w:pPr>
            <w:proofErr w:type="spellStart"/>
            <w:r w:rsidRPr="001D75B4">
              <w:rPr>
                <w:sz w:val="18"/>
                <w:szCs w:val="18"/>
              </w:rPr>
              <w:t>Walem-Tiakané</w:t>
            </w:r>
            <w:proofErr w:type="spellEnd"/>
          </w:p>
        </w:tc>
        <w:tc>
          <w:tcPr>
            <w:tcW w:w="2007" w:type="dxa"/>
            <w:tcBorders>
              <w:top w:val="single" w:sz="4" w:space="0" w:color="auto"/>
              <w:left w:val="single" w:sz="4" w:space="0" w:color="auto"/>
              <w:bottom w:val="single" w:sz="4" w:space="0" w:color="auto"/>
              <w:right w:val="single" w:sz="4" w:space="0" w:color="auto"/>
            </w:tcBorders>
          </w:tcPr>
          <w:p w14:paraId="776D69D6" w14:textId="54AF6959" w:rsidR="006B3AD8" w:rsidRPr="001D75B4" w:rsidRDefault="006B3AD8" w:rsidP="006B3AD8">
            <w:pPr>
              <w:spacing w:after="0"/>
              <w:rPr>
                <w:sz w:val="18"/>
                <w:szCs w:val="18"/>
              </w:rPr>
            </w:pPr>
            <w:r w:rsidRPr="001D75B4">
              <w:rPr>
                <w:sz w:val="18"/>
                <w:szCs w:val="18"/>
                <w:lang w:val="fr-FR"/>
              </w:rPr>
              <w:t>Nahouri</w:t>
            </w:r>
          </w:p>
        </w:tc>
        <w:tc>
          <w:tcPr>
            <w:tcW w:w="1080" w:type="dxa"/>
            <w:tcBorders>
              <w:top w:val="single" w:sz="4" w:space="0" w:color="auto"/>
              <w:left w:val="single" w:sz="4" w:space="0" w:color="auto"/>
              <w:bottom w:val="single" w:sz="4" w:space="0" w:color="auto"/>
              <w:right w:val="single" w:sz="4" w:space="0" w:color="auto"/>
            </w:tcBorders>
            <w:hideMark/>
          </w:tcPr>
          <w:p w14:paraId="5AC8EECA" w14:textId="78127708" w:rsidR="006B3AD8" w:rsidRDefault="006B3AD8" w:rsidP="006B3AD8">
            <w:pPr>
              <w:spacing w:after="0"/>
              <w:rPr>
                <w:sz w:val="18"/>
                <w:szCs w:val="18"/>
              </w:rPr>
            </w:pPr>
            <w:r>
              <w:rPr>
                <w:sz w:val="18"/>
                <w:szCs w:val="18"/>
              </w:rPr>
              <w:t>3195</w:t>
            </w:r>
          </w:p>
        </w:tc>
        <w:tc>
          <w:tcPr>
            <w:tcW w:w="1440" w:type="dxa"/>
            <w:tcBorders>
              <w:top w:val="single" w:sz="4" w:space="0" w:color="auto"/>
              <w:left w:val="single" w:sz="4" w:space="0" w:color="auto"/>
              <w:bottom w:val="single" w:sz="4" w:space="0" w:color="auto"/>
              <w:right w:val="single" w:sz="4" w:space="0" w:color="auto"/>
            </w:tcBorders>
            <w:hideMark/>
          </w:tcPr>
          <w:p w14:paraId="697D990A" w14:textId="77777777" w:rsidR="006B3AD8" w:rsidRDefault="006B3AD8" w:rsidP="006B3AD8">
            <w:pPr>
              <w:spacing w:after="0"/>
              <w:rPr>
                <w:sz w:val="18"/>
                <w:szCs w:val="18"/>
              </w:rPr>
            </w:pPr>
            <w:r>
              <w:rPr>
                <w:sz w:val="18"/>
                <w:szCs w:val="18"/>
              </w:rPr>
              <w:t>ZOVIC</w:t>
            </w:r>
          </w:p>
        </w:tc>
        <w:tc>
          <w:tcPr>
            <w:tcW w:w="810" w:type="dxa"/>
            <w:tcBorders>
              <w:top w:val="single" w:sz="4" w:space="0" w:color="auto"/>
              <w:left w:val="single" w:sz="4" w:space="0" w:color="auto"/>
              <w:bottom w:val="single" w:sz="4" w:space="0" w:color="auto"/>
              <w:right w:val="single" w:sz="4" w:space="0" w:color="auto"/>
            </w:tcBorders>
            <w:hideMark/>
          </w:tcPr>
          <w:p w14:paraId="126516C9" w14:textId="77777777" w:rsidR="006B3AD8" w:rsidRDefault="006B3AD8" w:rsidP="006B3AD8">
            <w:pPr>
              <w:spacing w:after="0"/>
              <w:rPr>
                <w:sz w:val="18"/>
                <w:szCs w:val="18"/>
              </w:rPr>
            </w:pPr>
            <w:r>
              <w:rPr>
                <w:sz w:val="18"/>
                <w:szCs w:val="18"/>
              </w:rPr>
              <w:t>VI</w:t>
            </w:r>
          </w:p>
        </w:tc>
        <w:tc>
          <w:tcPr>
            <w:tcW w:w="1440" w:type="dxa"/>
            <w:tcBorders>
              <w:top w:val="single" w:sz="4" w:space="0" w:color="auto"/>
              <w:left w:val="single" w:sz="4" w:space="0" w:color="auto"/>
              <w:bottom w:val="single" w:sz="4" w:space="0" w:color="auto"/>
              <w:right w:val="single" w:sz="4" w:space="0" w:color="auto"/>
            </w:tcBorders>
            <w:hideMark/>
          </w:tcPr>
          <w:p w14:paraId="4B27E40D" w14:textId="77777777" w:rsidR="006B3AD8" w:rsidRDefault="006B3AD8" w:rsidP="006B3AD8">
            <w:pPr>
              <w:spacing w:after="0"/>
              <w:rPr>
                <w:sz w:val="16"/>
                <w:szCs w:val="16"/>
              </w:rPr>
            </w:pPr>
            <w:r>
              <w:rPr>
                <w:sz w:val="16"/>
                <w:szCs w:val="16"/>
              </w:rPr>
              <w:t>CVGF</w:t>
            </w: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5464A80E" w14:textId="77777777" w:rsidR="006B3AD8" w:rsidRDefault="006B3AD8" w:rsidP="006B3AD8">
            <w:pPr>
              <w:spacing w:after="0"/>
              <w:jc w:val="left"/>
              <w:rPr>
                <w:sz w:val="18"/>
                <w:szCs w:val="18"/>
                <w:lang w:val="en-CA"/>
              </w:rPr>
            </w:pPr>
          </w:p>
        </w:tc>
        <w:tc>
          <w:tcPr>
            <w:tcW w:w="887" w:type="dxa"/>
            <w:tcBorders>
              <w:top w:val="single" w:sz="4" w:space="0" w:color="auto"/>
              <w:left w:val="single" w:sz="4" w:space="0" w:color="auto"/>
              <w:bottom w:val="single" w:sz="4" w:space="0" w:color="auto"/>
              <w:right w:val="single" w:sz="4" w:space="0" w:color="auto"/>
            </w:tcBorders>
            <w:hideMark/>
          </w:tcPr>
          <w:p w14:paraId="348FF90E" w14:textId="77777777" w:rsidR="006B3AD8" w:rsidRDefault="006B3AD8" w:rsidP="006B3AD8">
            <w:pPr>
              <w:spacing w:after="0"/>
              <w:rPr>
                <w:sz w:val="16"/>
                <w:szCs w:val="16"/>
              </w:rPr>
            </w:pPr>
            <w:r>
              <w:rPr>
                <w:sz w:val="16"/>
                <w:szCs w:val="16"/>
              </w:rPr>
              <w:t>Created 1989</w:t>
            </w: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12524B01" w14:textId="77777777" w:rsidR="006B3AD8" w:rsidRDefault="006B3AD8" w:rsidP="006B3AD8">
            <w:pPr>
              <w:spacing w:after="0"/>
              <w:jc w:val="left"/>
              <w:rPr>
                <w:sz w:val="16"/>
                <w:szCs w:val="16"/>
                <w:lang w:val="en-CA"/>
              </w:rPr>
            </w:pPr>
          </w:p>
        </w:tc>
      </w:tr>
      <w:tr w:rsidR="006B3AD8" w14:paraId="741419B0"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73E97528" w14:textId="77777777" w:rsidR="006B3AD8" w:rsidRPr="001D75B4" w:rsidRDefault="006B3AD8" w:rsidP="006B3AD8">
            <w:pPr>
              <w:spacing w:after="0"/>
              <w:rPr>
                <w:sz w:val="18"/>
                <w:szCs w:val="18"/>
              </w:rPr>
            </w:pPr>
            <w:proofErr w:type="spellStart"/>
            <w:r w:rsidRPr="001D75B4">
              <w:rPr>
                <w:sz w:val="18"/>
                <w:szCs w:val="18"/>
              </w:rPr>
              <w:t>Saro</w:t>
            </w:r>
            <w:proofErr w:type="spellEnd"/>
          </w:p>
        </w:tc>
        <w:tc>
          <w:tcPr>
            <w:tcW w:w="2007" w:type="dxa"/>
            <w:tcBorders>
              <w:top w:val="single" w:sz="4" w:space="0" w:color="auto"/>
              <w:left w:val="single" w:sz="4" w:space="0" w:color="auto"/>
              <w:bottom w:val="single" w:sz="4" w:space="0" w:color="auto"/>
              <w:right w:val="single" w:sz="4" w:space="0" w:color="auto"/>
            </w:tcBorders>
          </w:tcPr>
          <w:p w14:paraId="14878DD3" w14:textId="68696009" w:rsidR="006B3AD8" w:rsidRPr="001D75B4" w:rsidRDefault="006B3AD8" w:rsidP="006B3AD8">
            <w:pPr>
              <w:spacing w:after="0"/>
              <w:rPr>
                <w:sz w:val="18"/>
                <w:szCs w:val="18"/>
              </w:rPr>
            </w:pPr>
            <w:r w:rsidRPr="001D75B4">
              <w:rPr>
                <w:sz w:val="18"/>
                <w:szCs w:val="18"/>
                <w:lang w:val="fr-FR"/>
              </w:rPr>
              <w:t>Nahouri</w:t>
            </w:r>
          </w:p>
        </w:tc>
        <w:tc>
          <w:tcPr>
            <w:tcW w:w="1080" w:type="dxa"/>
            <w:tcBorders>
              <w:top w:val="single" w:sz="4" w:space="0" w:color="auto"/>
              <w:left w:val="single" w:sz="4" w:space="0" w:color="auto"/>
              <w:bottom w:val="single" w:sz="4" w:space="0" w:color="auto"/>
              <w:right w:val="single" w:sz="4" w:space="0" w:color="auto"/>
            </w:tcBorders>
            <w:hideMark/>
          </w:tcPr>
          <w:p w14:paraId="5E407D09" w14:textId="5AFC1A3D" w:rsidR="006B3AD8" w:rsidRDefault="006B3AD8" w:rsidP="006B3AD8">
            <w:pPr>
              <w:spacing w:after="0"/>
              <w:rPr>
                <w:sz w:val="18"/>
                <w:szCs w:val="18"/>
              </w:rPr>
            </w:pPr>
            <w:r>
              <w:rPr>
                <w:sz w:val="18"/>
                <w:szCs w:val="18"/>
              </w:rPr>
              <w:t>853</w:t>
            </w:r>
          </w:p>
        </w:tc>
        <w:tc>
          <w:tcPr>
            <w:tcW w:w="1440" w:type="dxa"/>
            <w:tcBorders>
              <w:top w:val="single" w:sz="4" w:space="0" w:color="auto"/>
              <w:left w:val="single" w:sz="4" w:space="0" w:color="auto"/>
              <w:bottom w:val="single" w:sz="4" w:space="0" w:color="auto"/>
              <w:right w:val="single" w:sz="4" w:space="0" w:color="auto"/>
            </w:tcBorders>
            <w:hideMark/>
          </w:tcPr>
          <w:p w14:paraId="6B09A5B2" w14:textId="77777777" w:rsidR="006B3AD8" w:rsidRDefault="006B3AD8" w:rsidP="006B3AD8">
            <w:pPr>
              <w:spacing w:after="0"/>
              <w:rPr>
                <w:sz w:val="18"/>
                <w:szCs w:val="18"/>
              </w:rPr>
            </w:pPr>
            <w:r>
              <w:rPr>
                <w:sz w:val="18"/>
                <w:szCs w:val="18"/>
              </w:rPr>
              <w:t>ZOVIC</w:t>
            </w:r>
          </w:p>
        </w:tc>
        <w:tc>
          <w:tcPr>
            <w:tcW w:w="810" w:type="dxa"/>
            <w:tcBorders>
              <w:top w:val="single" w:sz="4" w:space="0" w:color="auto"/>
              <w:left w:val="single" w:sz="4" w:space="0" w:color="auto"/>
              <w:bottom w:val="single" w:sz="4" w:space="0" w:color="auto"/>
              <w:right w:val="single" w:sz="4" w:space="0" w:color="auto"/>
            </w:tcBorders>
            <w:hideMark/>
          </w:tcPr>
          <w:p w14:paraId="6C269F4A" w14:textId="77777777" w:rsidR="006B3AD8" w:rsidRDefault="006B3AD8" w:rsidP="006B3AD8">
            <w:pPr>
              <w:spacing w:after="0"/>
              <w:rPr>
                <w:sz w:val="18"/>
                <w:szCs w:val="18"/>
              </w:rPr>
            </w:pPr>
            <w:r>
              <w:rPr>
                <w:sz w:val="18"/>
                <w:szCs w:val="18"/>
              </w:rPr>
              <w:t>VI</w:t>
            </w:r>
          </w:p>
        </w:tc>
        <w:tc>
          <w:tcPr>
            <w:tcW w:w="1440" w:type="dxa"/>
            <w:tcBorders>
              <w:top w:val="single" w:sz="4" w:space="0" w:color="auto"/>
              <w:left w:val="single" w:sz="4" w:space="0" w:color="auto"/>
              <w:bottom w:val="single" w:sz="4" w:space="0" w:color="auto"/>
              <w:right w:val="single" w:sz="4" w:space="0" w:color="auto"/>
            </w:tcBorders>
            <w:hideMark/>
          </w:tcPr>
          <w:p w14:paraId="20B9BD04" w14:textId="77777777" w:rsidR="006B3AD8" w:rsidRDefault="006B3AD8" w:rsidP="006B3AD8">
            <w:pPr>
              <w:spacing w:after="0"/>
              <w:rPr>
                <w:sz w:val="16"/>
                <w:szCs w:val="16"/>
              </w:rPr>
            </w:pPr>
            <w:r>
              <w:rPr>
                <w:sz w:val="16"/>
                <w:szCs w:val="16"/>
              </w:rPr>
              <w:t>CVGF</w:t>
            </w: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109501EC" w14:textId="77777777" w:rsidR="006B3AD8" w:rsidRDefault="006B3AD8" w:rsidP="006B3AD8">
            <w:pPr>
              <w:spacing w:after="0"/>
              <w:jc w:val="left"/>
              <w:rPr>
                <w:sz w:val="18"/>
                <w:szCs w:val="18"/>
                <w:lang w:val="en-CA"/>
              </w:rPr>
            </w:pPr>
          </w:p>
        </w:tc>
        <w:tc>
          <w:tcPr>
            <w:tcW w:w="887" w:type="dxa"/>
            <w:tcBorders>
              <w:top w:val="single" w:sz="4" w:space="0" w:color="auto"/>
              <w:left w:val="single" w:sz="4" w:space="0" w:color="auto"/>
              <w:bottom w:val="single" w:sz="4" w:space="0" w:color="auto"/>
              <w:right w:val="single" w:sz="4" w:space="0" w:color="auto"/>
            </w:tcBorders>
            <w:hideMark/>
          </w:tcPr>
          <w:p w14:paraId="3F776871" w14:textId="77777777" w:rsidR="006B3AD8" w:rsidRDefault="006B3AD8" w:rsidP="006B3AD8">
            <w:pPr>
              <w:spacing w:after="0"/>
              <w:rPr>
                <w:sz w:val="16"/>
                <w:szCs w:val="16"/>
              </w:rPr>
            </w:pPr>
            <w:r>
              <w:rPr>
                <w:sz w:val="16"/>
                <w:szCs w:val="16"/>
              </w:rPr>
              <w:t>Created 1989</w:t>
            </w: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62EE893F" w14:textId="77777777" w:rsidR="006B3AD8" w:rsidRDefault="006B3AD8" w:rsidP="006B3AD8">
            <w:pPr>
              <w:spacing w:after="0"/>
              <w:jc w:val="left"/>
              <w:rPr>
                <w:sz w:val="16"/>
                <w:szCs w:val="16"/>
                <w:lang w:val="en-CA"/>
              </w:rPr>
            </w:pPr>
          </w:p>
        </w:tc>
      </w:tr>
      <w:tr w:rsidR="006B3AD8" w14:paraId="24CBE077"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hideMark/>
          </w:tcPr>
          <w:p w14:paraId="422A730B" w14:textId="77777777" w:rsidR="006B3AD8" w:rsidRDefault="006B3AD8" w:rsidP="006B3AD8">
            <w:pPr>
              <w:spacing w:after="0"/>
              <w:rPr>
                <w:sz w:val="18"/>
                <w:szCs w:val="18"/>
              </w:rPr>
            </w:pPr>
            <w:proofErr w:type="spellStart"/>
            <w:r>
              <w:rPr>
                <w:sz w:val="18"/>
                <w:szCs w:val="18"/>
              </w:rPr>
              <w:t>Sya</w:t>
            </w:r>
            <w:proofErr w:type="spellEnd"/>
          </w:p>
        </w:tc>
        <w:tc>
          <w:tcPr>
            <w:tcW w:w="2007" w:type="dxa"/>
            <w:tcBorders>
              <w:top w:val="single" w:sz="4" w:space="0" w:color="auto"/>
              <w:left w:val="single" w:sz="4" w:space="0" w:color="auto"/>
              <w:bottom w:val="single" w:sz="4" w:space="0" w:color="auto"/>
              <w:right w:val="single" w:sz="4" w:space="0" w:color="auto"/>
            </w:tcBorders>
          </w:tcPr>
          <w:p w14:paraId="2F0593B6" w14:textId="2D9617E8" w:rsidR="006B3AD8" w:rsidRPr="00A63E29" w:rsidRDefault="006B3AD8" w:rsidP="006B3AD8">
            <w:pPr>
              <w:spacing w:after="0"/>
              <w:rPr>
                <w:sz w:val="18"/>
                <w:szCs w:val="18"/>
                <w:highlight w:val="yellow"/>
              </w:rPr>
            </w:pPr>
            <w:r w:rsidRPr="001D75B4">
              <w:rPr>
                <w:sz w:val="18"/>
                <w:szCs w:val="18"/>
                <w:lang w:val="fr-FR"/>
              </w:rPr>
              <w:t>Nahouri</w:t>
            </w:r>
          </w:p>
        </w:tc>
        <w:tc>
          <w:tcPr>
            <w:tcW w:w="1080" w:type="dxa"/>
            <w:tcBorders>
              <w:top w:val="single" w:sz="4" w:space="0" w:color="auto"/>
              <w:left w:val="single" w:sz="4" w:space="0" w:color="auto"/>
              <w:bottom w:val="single" w:sz="4" w:space="0" w:color="auto"/>
              <w:right w:val="single" w:sz="4" w:space="0" w:color="auto"/>
            </w:tcBorders>
            <w:hideMark/>
          </w:tcPr>
          <w:p w14:paraId="718C3B71" w14:textId="7CF71C4C" w:rsidR="006B3AD8" w:rsidRDefault="006B3AD8" w:rsidP="006B3AD8">
            <w:pPr>
              <w:spacing w:after="0"/>
              <w:rPr>
                <w:sz w:val="18"/>
                <w:szCs w:val="18"/>
              </w:rPr>
            </w:pPr>
            <w:r>
              <w:rPr>
                <w:sz w:val="18"/>
                <w:szCs w:val="18"/>
              </w:rPr>
              <w:t>1,265</w:t>
            </w:r>
          </w:p>
        </w:tc>
        <w:tc>
          <w:tcPr>
            <w:tcW w:w="1440" w:type="dxa"/>
            <w:tcBorders>
              <w:top w:val="single" w:sz="4" w:space="0" w:color="auto"/>
              <w:left w:val="single" w:sz="4" w:space="0" w:color="auto"/>
              <w:bottom w:val="single" w:sz="4" w:space="0" w:color="auto"/>
              <w:right w:val="single" w:sz="4" w:space="0" w:color="auto"/>
            </w:tcBorders>
            <w:hideMark/>
          </w:tcPr>
          <w:p w14:paraId="2BD16513" w14:textId="77777777" w:rsidR="006B3AD8" w:rsidRDefault="006B3AD8" w:rsidP="006B3AD8">
            <w:pPr>
              <w:spacing w:after="0"/>
              <w:rPr>
                <w:sz w:val="18"/>
                <w:szCs w:val="18"/>
              </w:rPr>
            </w:pPr>
            <w:r>
              <w:rPr>
                <w:sz w:val="18"/>
                <w:szCs w:val="18"/>
              </w:rPr>
              <w:t>ZOVIC</w:t>
            </w:r>
          </w:p>
        </w:tc>
        <w:tc>
          <w:tcPr>
            <w:tcW w:w="810" w:type="dxa"/>
            <w:tcBorders>
              <w:top w:val="single" w:sz="4" w:space="0" w:color="auto"/>
              <w:left w:val="single" w:sz="4" w:space="0" w:color="auto"/>
              <w:bottom w:val="single" w:sz="4" w:space="0" w:color="auto"/>
              <w:right w:val="single" w:sz="4" w:space="0" w:color="auto"/>
            </w:tcBorders>
            <w:hideMark/>
          </w:tcPr>
          <w:p w14:paraId="1B1F49AB" w14:textId="77777777" w:rsidR="006B3AD8" w:rsidRDefault="006B3AD8" w:rsidP="006B3AD8">
            <w:pPr>
              <w:spacing w:after="0"/>
              <w:rPr>
                <w:sz w:val="18"/>
                <w:szCs w:val="18"/>
              </w:rPr>
            </w:pPr>
            <w:r>
              <w:rPr>
                <w:sz w:val="18"/>
                <w:szCs w:val="18"/>
              </w:rPr>
              <w:t>VI</w:t>
            </w:r>
          </w:p>
        </w:tc>
        <w:tc>
          <w:tcPr>
            <w:tcW w:w="1440" w:type="dxa"/>
            <w:tcBorders>
              <w:top w:val="single" w:sz="4" w:space="0" w:color="auto"/>
              <w:left w:val="single" w:sz="4" w:space="0" w:color="auto"/>
              <w:bottom w:val="single" w:sz="4" w:space="0" w:color="auto"/>
              <w:right w:val="single" w:sz="4" w:space="0" w:color="auto"/>
            </w:tcBorders>
            <w:hideMark/>
          </w:tcPr>
          <w:p w14:paraId="1A59EEB4" w14:textId="77777777" w:rsidR="006B3AD8" w:rsidRDefault="006B3AD8" w:rsidP="006B3AD8">
            <w:pPr>
              <w:spacing w:after="0"/>
              <w:rPr>
                <w:sz w:val="16"/>
                <w:szCs w:val="16"/>
              </w:rPr>
            </w:pPr>
            <w:r>
              <w:rPr>
                <w:sz w:val="16"/>
                <w:szCs w:val="16"/>
              </w:rPr>
              <w:t>CVGF</w:t>
            </w: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0727311B" w14:textId="77777777" w:rsidR="006B3AD8" w:rsidRDefault="006B3AD8" w:rsidP="006B3AD8">
            <w:pPr>
              <w:spacing w:after="0"/>
              <w:jc w:val="left"/>
              <w:rPr>
                <w:sz w:val="18"/>
                <w:szCs w:val="18"/>
                <w:lang w:val="en-CA"/>
              </w:rPr>
            </w:pPr>
          </w:p>
        </w:tc>
        <w:tc>
          <w:tcPr>
            <w:tcW w:w="887" w:type="dxa"/>
            <w:tcBorders>
              <w:top w:val="single" w:sz="4" w:space="0" w:color="auto"/>
              <w:left w:val="single" w:sz="4" w:space="0" w:color="auto"/>
              <w:bottom w:val="single" w:sz="4" w:space="0" w:color="auto"/>
              <w:right w:val="single" w:sz="4" w:space="0" w:color="auto"/>
            </w:tcBorders>
            <w:hideMark/>
          </w:tcPr>
          <w:p w14:paraId="059397C1" w14:textId="77777777" w:rsidR="006B3AD8" w:rsidRDefault="006B3AD8" w:rsidP="006B3AD8">
            <w:pPr>
              <w:spacing w:after="0"/>
              <w:rPr>
                <w:sz w:val="16"/>
                <w:szCs w:val="16"/>
              </w:rPr>
            </w:pPr>
            <w:r>
              <w:rPr>
                <w:sz w:val="16"/>
                <w:szCs w:val="16"/>
              </w:rPr>
              <w:t>Created 1989</w:t>
            </w: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0A316A68" w14:textId="77777777" w:rsidR="006B3AD8" w:rsidRDefault="006B3AD8" w:rsidP="006B3AD8">
            <w:pPr>
              <w:spacing w:after="0"/>
              <w:jc w:val="left"/>
              <w:rPr>
                <w:sz w:val="16"/>
                <w:szCs w:val="16"/>
                <w:lang w:val="en-CA"/>
              </w:rPr>
            </w:pPr>
          </w:p>
        </w:tc>
      </w:tr>
      <w:tr w:rsidR="006B3AD8" w14:paraId="368AE302"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shd w:val="clear" w:color="auto" w:fill="D0CECE"/>
            <w:hideMark/>
          </w:tcPr>
          <w:p w14:paraId="3C6EF00D" w14:textId="77777777" w:rsidR="006B3AD8" w:rsidRDefault="006B3AD8" w:rsidP="006B3AD8">
            <w:pPr>
              <w:spacing w:after="0"/>
              <w:rPr>
                <w:b/>
                <w:sz w:val="17"/>
                <w:szCs w:val="17"/>
              </w:rPr>
            </w:pPr>
            <w:r>
              <w:rPr>
                <w:b/>
                <w:sz w:val="17"/>
                <w:szCs w:val="17"/>
              </w:rPr>
              <w:t>Total area ZOVICs</w:t>
            </w:r>
          </w:p>
        </w:tc>
        <w:tc>
          <w:tcPr>
            <w:tcW w:w="2007" w:type="dxa"/>
            <w:tcBorders>
              <w:top w:val="single" w:sz="4" w:space="0" w:color="auto"/>
              <w:left w:val="single" w:sz="4" w:space="0" w:color="auto"/>
              <w:bottom w:val="single" w:sz="4" w:space="0" w:color="auto"/>
              <w:right w:val="single" w:sz="4" w:space="0" w:color="auto"/>
            </w:tcBorders>
            <w:shd w:val="clear" w:color="auto" w:fill="D0CECE"/>
          </w:tcPr>
          <w:p w14:paraId="7EB376E6" w14:textId="77777777" w:rsidR="006B3AD8" w:rsidRDefault="006B3AD8" w:rsidP="006B3AD8">
            <w:pPr>
              <w:spacing w:after="0"/>
              <w:rPr>
                <w:b/>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D0CECE"/>
            <w:hideMark/>
          </w:tcPr>
          <w:p w14:paraId="06FBECC1" w14:textId="7BDA3F18" w:rsidR="006B3AD8" w:rsidRDefault="006B3AD8" w:rsidP="006B3AD8">
            <w:pPr>
              <w:spacing w:after="0"/>
              <w:rPr>
                <w:b/>
                <w:sz w:val="18"/>
                <w:szCs w:val="18"/>
              </w:rPr>
            </w:pPr>
            <w:r>
              <w:rPr>
                <w:b/>
                <w:sz w:val="18"/>
                <w:szCs w:val="18"/>
              </w:rPr>
              <w:t>24,281</w:t>
            </w:r>
          </w:p>
        </w:tc>
        <w:tc>
          <w:tcPr>
            <w:tcW w:w="7200" w:type="dxa"/>
            <w:gridSpan w:val="6"/>
            <w:tcBorders>
              <w:top w:val="single" w:sz="4" w:space="0" w:color="auto"/>
              <w:left w:val="single" w:sz="4" w:space="0" w:color="auto"/>
              <w:bottom w:val="single" w:sz="4" w:space="0" w:color="auto"/>
              <w:right w:val="single" w:sz="4" w:space="0" w:color="auto"/>
            </w:tcBorders>
          </w:tcPr>
          <w:p w14:paraId="09B66D47" w14:textId="77777777" w:rsidR="006B3AD8" w:rsidRDefault="006B3AD8" w:rsidP="006B3AD8">
            <w:pPr>
              <w:spacing w:after="0"/>
              <w:rPr>
                <w:sz w:val="18"/>
                <w:szCs w:val="18"/>
              </w:rPr>
            </w:pPr>
          </w:p>
        </w:tc>
      </w:tr>
      <w:tr w:rsidR="006B3AD8" w14:paraId="749EECF4" w14:textId="77777777" w:rsidTr="00A63E29">
        <w:trPr>
          <w:jc w:val="center"/>
        </w:trPr>
        <w:tc>
          <w:tcPr>
            <w:tcW w:w="1228" w:type="dxa"/>
            <w:tcBorders>
              <w:top w:val="single" w:sz="4" w:space="0" w:color="auto"/>
              <w:left w:val="single" w:sz="4" w:space="0" w:color="auto"/>
              <w:bottom w:val="single" w:sz="4" w:space="0" w:color="auto"/>
              <w:right w:val="single" w:sz="4" w:space="0" w:color="auto"/>
            </w:tcBorders>
            <w:shd w:val="clear" w:color="auto" w:fill="D9D9D9"/>
            <w:hideMark/>
          </w:tcPr>
          <w:p w14:paraId="09338FA2" w14:textId="77777777" w:rsidR="006B3AD8" w:rsidRDefault="006B3AD8" w:rsidP="006B3AD8">
            <w:pPr>
              <w:spacing w:after="0"/>
              <w:rPr>
                <w:b/>
                <w:sz w:val="18"/>
                <w:szCs w:val="18"/>
              </w:rPr>
            </w:pPr>
            <w:r>
              <w:rPr>
                <w:b/>
                <w:sz w:val="18"/>
                <w:szCs w:val="18"/>
              </w:rPr>
              <w:t>Total area PAs</w:t>
            </w:r>
          </w:p>
        </w:tc>
        <w:tc>
          <w:tcPr>
            <w:tcW w:w="2007" w:type="dxa"/>
            <w:tcBorders>
              <w:top w:val="single" w:sz="4" w:space="0" w:color="auto"/>
              <w:left w:val="single" w:sz="4" w:space="0" w:color="auto"/>
              <w:bottom w:val="single" w:sz="4" w:space="0" w:color="auto"/>
              <w:right w:val="single" w:sz="4" w:space="0" w:color="auto"/>
            </w:tcBorders>
            <w:shd w:val="clear" w:color="auto" w:fill="D9D9D9"/>
          </w:tcPr>
          <w:p w14:paraId="0D667A8B" w14:textId="77777777" w:rsidR="006B3AD8" w:rsidRDefault="006B3AD8" w:rsidP="006B3AD8">
            <w:pPr>
              <w:spacing w:after="0"/>
              <w:rPr>
                <w:b/>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D9D9D9"/>
            <w:hideMark/>
          </w:tcPr>
          <w:p w14:paraId="1A19ED68" w14:textId="5F0CE97E" w:rsidR="006B3AD8" w:rsidRDefault="006B3AD8" w:rsidP="006B3AD8">
            <w:pPr>
              <w:spacing w:after="0"/>
              <w:rPr>
                <w:b/>
                <w:sz w:val="18"/>
                <w:szCs w:val="18"/>
              </w:rPr>
            </w:pPr>
            <w:r>
              <w:rPr>
                <w:b/>
                <w:sz w:val="18"/>
                <w:szCs w:val="18"/>
              </w:rPr>
              <w:t>354,781</w:t>
            </w:r>
          </w:p>
        </w:tc>
        <w:tc>
          <w:tcPr>
            <w:tcW w:w="1440" w:type="dxa"/>
            <w:tcBorders>
              <w:top w:val="single" w:sz="4" w:space="0" w:color="auto"/>
              <w:left w:val="single" w:sz="4" w:space="0" w:color="auto"/>
              <w:bottom w:val="single" w:sz="4" w:space="0" w:color="auto"/>
              <w:right w:val="single" w:sz="4" w:space="0" w:color="auto"/>
            </w:tcBorders>
          </w:tcPr>
          <w:p w14:paraId="6FB5610E" w14:textId="77777777" w:rsidR="006B3AD8" w:rsidRDefault="006B3AD8" w:rsidP="006B3AD8">
            <w:pPr>
              <w:spacing w:after="0"/>
              <w:rPr>
                <w:sz w:val="18"/>
                <w:szCs w:val="18"/>
              </w:rPr>
            </w:pPr>
          </w:p>
        </w:tc>
        <w:tc>
          <w:tcPr>
            <w:tcW w:w="810" w:type="dxa"/>
            <w:tcBorders>
              <w:top w:val="single" w:sz="4" w:space="0" w:color="auto"/>
              <w:left w:val="single" w:sz="4" w:space="0" w:color="auto"/>
              <w:bottom w:val="single" w:sz="4" w:space="0" w:color="auto"/>
              <w:right w:val="single" w:sz="4" w:space="0" w:color="auto"/>
            </w:tcBorders>
          </w:tcPr>
          <w:p w14:paraId="1C5951B8" w14:textId="77777777" w:rsidR="006B3AD8" w:rsidRDefault="006B3AD8" w:rsidP="006B3AD8">
            <w:pPr>
              <w:spacing w:after="0"/>
              <w:rPr>
                <w:sz w:val="18"/>
                <w:szCs w:val="18"/>
              </w:rPr>
            </w:pPr>
          </w:p>
        </w:tc>
        <w:tc>
          <w:tcPr>
            <w:tcW w:w="1440" w:type="dxa"/>
            <w:tcBorders>
              <w:top w:val="single" w:sz="4" w:space="0" w:color="auto"/>
              <w:left w:val="single" w:sz="4" w:space="0" w:color="auto"/>
              <w:bottom w:val="single" w:sz="4" w:space="0" w:color="auto"/>
              <w:right w:val="single" w:sz="4" w:space="0" w:color="auto"/>
            </w:tcBorders>
          </w:tcPr>
          <w:p w14:paraId="29A0CE98" w14:textId="77777777" w:rsidR="006B3AD8" w:rsidRDefault="006B3AD8" w:rsidP="006B3AD8">
            <w:pPr>
              <w:spacing w:after="0"/>
              <w:rPr>
                <w:sz w:val="18"/>
                <w:szCs w:val="18"/>
                <w:lang w:val="en-CA"/>
              </w:rPr>
            </w:pPr>
          </w:p>
        </w:tc>
        <w:tc>
          <w:tcPr>
            <w:tcW w:w="1400" w:type="dxa"/>
            <w:tcBorders>
              <w:top w:val="single" w:sz="4" w:space="0" w:color="auto"/>
              <w:left w:val="single" w:sz="4" w:space="0" w:color="auto"/>
              <w:bottom w:val="single" w:sz="4" w:space="0" w:color="auto"/>
              <w:right w:val="single" w:sz="4" w:space="0" w:color="auto"/>
            </w:tcBorders>
          </w:tcPr>
          <w:p w14:paraId="19227364" w14:textId="77777777" w:rsidR="006B3AD8" w:rsidRDefault="006B3AD8" w:rsidP="006B3AD8">
            <w:pPr>
              <w:spacing w:after="0"/>
              <w:rPr>
                <w:sz w:val="18"/>
                <w:szCs w:val="18"/>
                <w:lang w:val="en-CA"/>
              </w:rPr>
            </w:pPr>
          </w:p>
        </w:tc>
        <w:tc>
          <w:tcPr>
            <w:tcW w:w="887" w:type="dxa"/>
            <w:tcBorders>
              <w:top w:val="single" w:sz="4" w:space="0" w:color="auto"/>
              <w:left w:val="single" w:sz="4" w:space="0" w:color="auto"/>
              <w:bottom w:val="single" w:sz="4" w:space="0" w:color="auto"/>
              <w:right w:val="single" w:sz="4" w:space="0" w:color="auto"/>
            </w:tcBorders>
          </w:tcPr>
          <w:p w14:paraId="59B17275" w14:textId="77777777" w:rsidR="006B3AD8" w:rsidRDefault="006B3AD8" w:rsidP="006B3AD8">
            <w:pPr>
              <w:spacing w:after="0"/>
              <w:rPr>
                <w:sz w:val="18"/>
                <w:szCs w:val="18"/>
                <w:lang w:val="en-CA"/>
              </w:rPr>
            </w:pPr>
          </w:p>
        </w:tc>
        <w:tc>
          <w:tcPr>
            <w:tcW w:w="1223" w:type="dxa"/>
            <w:tcBorders>
              <w:top w:val="single" w:sz="4" w:space="0" w:color="auto"/>
              <w:left w:val="single" w:sz="4" w:space="0" w:color="auto"/>
              <w:bottom w:val="single" w:sz="4" w:space="0" w:color="auto"/>
              <w:right w:val="single" w:sz="4" w:space="0" w:color="auto"/>
            </w:tcBorders>
          </w:tcPr>
          <w:p w14:paraId="0780D603" w14:textId="77777777" w:rsidR="006B3AD8" w:rsidRDefault="006B3AD8" w:rsidP="006B3AD8">
            <w:pPr>
              <w:spacing w:after="0"/>
              <w:rPr>
                <w:sz w:val="18"/>
                <w:szCs w:val="18"/>
                <w:lang w:val="en-CA"/>
              </w:rPr>
            </w:pPr>
          </w:p>
        </w:tc>
      </w:tr>
    </w:tbl>
    <w:p w14:paraId="0FF551DE" w14:textId="77777777" w:rsidR="00302BFE"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87DAD">
        <w:rPr>
          <w:rFonts w:ascii="Calibri" w:hAnsi="Calibri"/>
          <w:sz w:val="20"/>
          <w:szCs w:val="20"/>
          <w:lang w:val="en-GB"/>
        </w:rPr>
        <w:t xml:space="preserve">Further information on these </w:t>
      </w:r>
      <w:r>
        <w:rPr>
          <w:rFonts w:ascii="Calibri" w:hAnsi="Calibri"/>
          <w:sz w:val="20"/>
          <w:szCs w:val="20"/>
          <w:lang w:val="en-GB"/>
        </w:rPr>
        <w:t xml:space="preserve">existing and potential </w:t>
      </w:r>
      <w:r w:rsidRPr="00987DAD">
        <w:rPr>
          <w:rFonts w:ascii="Calibri" w:hAnsi="Calibri"/>
          <w:sz w:val="20"/>
          <w:szCs w:val="20"/>
          <w:lang w:val="en-GB"/>
        </w:rPr>
        <w:t>protected areas</w:t>
      </w:r>
      <w:r>
        <w:rPr>
          <w:rFonts w:ascii="Calibri" w:hAnsi="Calibri"/>
          <w:sz w:val="20"/>
          <w:szCs w:val="20"/>
          <w:lang w:val="en-GB"/>
        </w:rPr>
        <w:t xml:space="preserve"> </w:t>
      </w:r>
      <w:r w:rsidRPr="00987DAD">
        <w:rPr>
          <w:rFonts w:ascii="Calibri" w:hAnsi="Calibri"/>
          <w:sz w:val="20"/>
          <w:szCs w:val="20"/>
          <w:lang w:val="en-GB"/>
        </w:rPr>
        <w:t xml:space="preserve">is presented in </w:t>
      </w:r>
      <w:r w:rsidRPr="00CB2536">
        <w:rPr>
          <w:rFonts w:ascii="Calibri" w:hAnsi="Calibri"/>
          <w:sz w:val="20"/>
          <w:szCs w:val="20"/>
          <w:lang w:val="en-GB"/>
        </w:rPr>
        <w:t xml:space="preserve">Annex </w:t>
      </w:r>
      <w:r w:rsidR="009523FE" w:rsidRPr="00CB2536">
        <w:rPr>
          <w:rFonts w:ascii="Calibri" w:hAnsi="Calibri"/>
          <w:sz w:val="20"/>
          <w:szCs w:val="20"/>
          <w:lang w:val="en-GB"/>
        </w:rPr>
        <w:t>I</w:t>
      </w:r>
      <w:r>
        <w:rPr>
          <w:rFonts w:ascii="Calibri" w:hAnsi="Calibri"/>
          <w:sz w:val="20"/>
          <w:szCs w:val="20"/>
          <w:lang w:val="en-GB"/>
        </w:rPr>
        <w:t xml:space="preserve"> as part of the Target landscape profile</w:t>
      </w:r>
      <w:r w:rsidRPr="00987DAD">
        <w:rPr>
          <w:rFonts w:ascii="Calibri" w:hAnsi="Calibri"/>
          <w:sz w:val="20"/>
          <w:szCs w:val="20"/>
          <w:lang w:val="en-GB"/>
        </w:rPr>
        <w:t>.</w:t>
      </w:r>
    </w:p>
    <w:p w14:paraId="515263A0" w14:textId="77777777" w:rsidR="00302BFE" w:rsidRPr="000B09F8" w:rsidRDefault="00302BFE" w:rsidP="00302BFE">
      <w:pPr>
        <w:pStyle w:val="Paragraphedeliste"/>
        <w:tabs>
          <w:tab w:val="left" w:pos="284"/>
        </w:tabs>
        <w:ind w:left="0"/>
        <w:jc w:val="center"/>
        <w:rPr>
          <w:rFonts w:ascii="Calibri" w:hAnsi="Calibri"/>
          <w:noProof/>
          <w:sz w:val="16"/>
          <w:szCs w:val="16"/>
        </w:rPr>
      </w:pPr>
      <w:r>
        <w:rPr>
          <w:noProof/>
        </w:rPr>
        <w:lastRenderedPageBreak/>
        <w:drawing>
          <wp:inline distT="0" distB="0" distL="0" distR="0" wp14:anchorId="7C65F2D2" wp14:editId="6E21663C">
            <wp:extent cx="4239260" cy="3081655"/>
            <wp:effectExtent l="0" t="0" r="8890" b="444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9" cstate="print">
                      <a:extLst>
                        <a:ext uri="{28A0092B-C50C-407E-A947-70E740481C1C}">
                          <a14:useLocalDpi xmlns:a14="http://schemas.microsoft.com/office/drawing/2010/main" val="0"/>
                        </a:ext>
                      </a:extLst>
                    </a:blip>
                    <a:srcRect l="1649" t="2333" r="5318" b="1570"/>
                    <a:stretch>
                      <a:fillRect/>
                    </a:stretch>
                  </pic:blipFill>
                  <pic:spPr bwMode="auto">
                    <a:xfrm>
                      <a:off x="0" y="0"/>
                      <a:ext cx="4239260" cy="3081655"/>
                    </a:xfrm>
                    <a:prstGeom prst="rect">
                      <a:avLst/>
                    </a:prstGeom>
                    <a:noFill/>
                    <a:ln>
                      <a:noFill/>
                    </a:ln>
                  </pic:spPr>
                </pic:pic>
              </a:graphicData>
            </a:graphic>
          </wp:inline>
        </w:drawing>
      </w:r>
    </w:p>
    <w:p w14:paraId="60C4D0E2" w14:textId="364E41E3" w:rsidR="00302BFE" w:rsidRPr="001D75B4" w:rsidRDefault="00802D9D" w:rsidP="00302BFE">
      <w:pPr>
        <w:pStyle w:val="Paragraphedeliste"/>
        <w:tabs>
          <w:tab w:val="left" w:pos="284"/>
        </w:tabs>
        <w:ind w:left="0"/>
        <w:jc w:val="center"/>
        <w:rPr>
          <w:rFonts w:ascii="Calibri" w:hAnsi="Calibri"/>
          <w:b/>
          <w:sz w:val="20"/>
          <w:szCs w:val="20"/>
          <w:lang w:val="en-GB"/>
        </w:rPr>
      </w:pPr>
      <w:r w:rsidRPr="001D75B4">
        <w:rPr>
          <w:rFonts w:ascii="Calibri" w:hAnsi="Calibri"/>
          <w:b/>
          <w:sz w:val="20"/>
          <w:szCs w:val="20"/>
          <w:lang w:val="en-GB"/>
        </w:rPr>
        <w:t xml:space="preserve">Map </w:t>
      </w:r>
      <w:r w:rsidR="00302BFE" w:rsidRPr="001D75B4">
        <w:rPr>
          <w:rFonts w:ascii="Calibri" w:hAnsi="Calibri"/>
          <w:b/>
          <w:sz w:val="20"/>
          <w:szCs w:val="20"/>
          <w:lang w:val="en-GB"/>
        </w:rPr>
        <w:t>1. Protected Areas of the PONASI Complex.</w:t>
      </w:r>
    </w:p>
    <w:p w14:paraId="798E4D2F" w14:textId="0AD33CDB" w:rsidR="00302BFE" w:rsidRPr="005124EF"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1D75B4">
        <w:rPr>
          <w:rFonts w:ascii="Calibri" w:hAnsi="Calibri"/>
          <w:sz w:val="20"/>
          <w:szCs w:val="20"/>
          <w:lang w:val="en-GB"/>
        </w:rPr>
        <w:t>Despite the adequate coverage of the prote</w:t>
      </w:r>
      <w:r w:rsidRPr="00FD2241">
        <w:rPr>
          <w:rFonts w:ascii="Calibri" w:hAnsi="Calibri"/>
          <w:sz w:val="20"/>
          <w:szCs w:val="20"/>
          <w:lang w:val="en-GB"/>
        </w:rPr>
        <w:t xml:space="preserve">cted area network in terms of area (16%) and ecosystem representation and an approach promoting ecological connectivity and integration into regional dynamics, conservation efforts of many protected areas remain </w:t>
      </w:r>
      <w:proofErr w:type="gramStart"/>
      <w:r w:rsidRPr="00FD2241">
        <w:rPr>
          <w:rFonts w:ascii="Calibri" w:hAnsi="Calibri"/>
          <w:sz w:val="20"/>
          <w:szCs w:val="20"/>
          <w:lang w:val="en-GB"/>
        </w:rPr>
        <w:t>ineffective</w:t>
      </w:r>
      <w:proofErr w:type="gramEnd"/>
      <w:r w:rsidRPr="00FD2241">
        <w:rPr>
          <w:rFonts w:ascii="Calibri" w:hAnsi="Calibri"/>
          <w:sz w:val="20"/>
          <w:szCs w:val="20"/>
          <w:lang w:val="en-GB"/>
        </w:rPr>
        <w:t xml:space="preserve"> and the benefits g</w:t>
      </w:r>
      <w:r>
        <w:rPr>
          <w:rFonts w:ascii="Calibri" w:hAnsi="Calibri"/>
          <w:sz w:val="20"/>
          <w:szCs w:val="20"/>
          <w:lang w:val="en-GB"/>
        </w:rPr>
        <w:t>enerated by S</w:t>
      </w:r>
      <w:r w:rsidRPr="00FD2241">
        <w:rPr>
          <w:rFonts w:ascii="Calibri" w:hAnsi="Calibri"/>
          <w:sz w:val="20"/>
          <w:szCs w:val="20"/>
          <w:lang w:val="en-GB"/>
        </w:rPr>
        <w:t>tate and community protected areas are reduced by inten</w:t>
      </w:r>
      <w:r>
        <w:rPr>
          <w:rFonts w:ascii="Calibri" w:hAnsi="Calibri"/>
          <w:sz w:val="20"/>
          <w:szCs w:val="20"/>
          <w:lang w:val="en-GB"/>
        </w:rPr>
        <w:t>se human pressure at their periphery and within</w:t>
      </w:r>
      <w:r w:rsidRPr="00FD2241">
        <w:rPr>
          <w:rFonts w:ascii="Calibri" w:hAnsi="Calibri"/>
          <w:sz w:val="20"/>
          <w:szCs w:val="20"/>
          <w:lang w:val="en-GB"/>
        </w:rPr>
        <w:t>, e</w:t>
      </w:r>
      <w:r>
        <w:rPr>
          <w:rFonts w:ascii="Calibri" w:hAnsi="Calibri"/>
          <w:sz w:val="20"/>
          <w:szCs w:val="20"/>
          <w:lang w:val="en-GB"/>
        </w:rPr>
        <w:t>specially through cattle invasion</w:t>
      </w:r>
      <w:r w:rsidRPr="00FD2241">
        <w:rPr>
          <w:rFonts w:ascii="Calibri" w:hAnsi="Calibri"/>
          <w:sz w:val="20"/>
          <w:szCs w:val="20"/>
          <w:lang w:val="en-GB"/>
        </w:rPr>
        <w:t xml:space="preserve"> and poaching</w:t>
      </w:r>
      <w:r w:rsidRPr="005124EF">
        <w:rPr>
          <w:rFonts w:ascii="Calibri" w:hAnsi="Calibri"/>
          <w:sz w:val="20"/>
          <w:szCs w:val="20"/>
          <w:lang w:val="en-GB"/>
        </w:rPr>
        <w:t xml:space="preserve">. </w:t>
      </w:r>
      <w:r w:rsidR="00A87936" w:rsidRPr="00A63E29">
        <w:rPr>
          <w:rFonts w:ascii="Calibri" w:hAnsi="Calibri"/>
          <w:sz w:val="20"/>
          <w:szCs w:val="20"/>
          <w:lang w:val="en-GB"/>
        </w:rPr>
        <w:t xml:space="preserve">Poaching, the trade of bushmeat, and encroachment of local people into protected areas with concomitant fragmentation of natural habitat increases the </w:t>
      </w:r>
      <w:r w:rsidR="00124931" w:rsidRPr="00A63E29">
        <w:rPr>
          <w:rFonts w:ascii="Calibri" w:hAnsi="Calibri"/>
          <w:sz w:val="20"/>
          <w:szCs w:val="20"/>
          <w:lang w:val="en-GB"/>
        </w:rPr>
        <w:t>exposure of the human population to zoonotic diseases such as COVID.</w:t>
      </w:r>
      <w:r w:rsidR="00124931" w:rsidRPr="005124EF">
        <w:rPr>
          <w:rFonts w:ascii="Calibri" w:hAnsi="Calibri"/>
          <w:sz w:val="20"/>
          <w:szCs w:val="20"/>
          <w:lang w:val="en-GB"/>
        </w:rPr>
        <w:t xml:space="preserve"> </w:t>
      </w:r>
      <w:r w:rsidRPr="005124EF">
        <w:rPr>
          <w:rFonts w:ascii="Calibri" w:hAnsi="Calibri"/>
          <w:sz w:val="20"/>
          <w:szCs w:val="20"/>
          <w:lang w:val="en-GB"/>
        </w:rPr>
        <w:t>Similarly, most of the forestry and pastoral units created under the authority of local governments to provide ecosystem services and sustainable livelihoods to local communities have failed to deliver the expected benefits and fair sharing to all actors involved. Many classified forests are not managed to preserve their conservation potential and their monitoring by the forest service is limited. Although the involvement of local people in the protection of biological resources could lead to effective conservation measures for the benefit of both communities and biodiversity, communities neighbouring protected areas are not involved in decisions about their management</w:t>
      </w:r>
      <w:r w:rsidR="00124931" w:rsidRPr="005124EF">
        <w:rPr>
          <w:rFonts w:ascii="Calibri" w:hAnsi="Calibri"/>
          <w:sz w:val="20"/>
          <w:szCs w:val="20"/>
          <w:lang w:val="en-GB"/>
        </w:rPr>
        <w:t xml:space="preserve">, </w:t>
      </w:r>
      <w:r w:rsidR="00124931" w:rsidRPr="00A63E29">
        <w:rPr>
          <w:rFonts w:ascii="Calibri" w:hAnsi="Calibri"/>
          <w:sz w:val="20"/>
          <w:szCs w:val="20"/>
          <w:lang w:val="en-GB"/>
        </w:rPr>
        <w:t xml:space="preserve">despite being those most affected by human-wildlife conflicts and </w:t>
      </w:r>
      <w:r w:rsidR="009E5E39" w:rsidRPr="00A63E29">
        <w:rPr>
          <w:rFonts w:ascii="Calibri" w:hAnsi="Calibri"/>
          <w:sz w:val="20"/>
          <w:szCs w:val="20"/>
          <w:lang w:val="en-GB"/>
        </w:rPr>
        <w:t xml:space="preserve">potentially </w:t>
      </w:r>
      <w:r w:rsidR="00124931" w:rsidRPr="00A63E29">
        <w:rPr>
          <w:rFonts w:ascii="Calibri" w:hAnsi="Calibri"/>
          <w:sz w:val="20"/>
          <w:szCs w:val="20"/>
          <w:lang w:val="en-GB"/>
        </w:rPr>
        <w:t>exposed to zoonotic diseases</w:t>
      </w:r>
      <w:r w:rsidRPr="00A63E29">
        <w:rPr>
          <w:rFonts w:ascii="Calibri" w:hAnsi="Calibri"/>
          <w:sz w:val="20"/>
          <w:szCs w:val="20"/>
          <w:lang w:val="en-GB"/>
        </w:rPr>
        <w:t>.</w:t>
      </w:r>
      <w:r w:rsidRPr="005124EF">
        <w:rPr>
          <w:rFonts w:ascii="Calibri" w:hAnsi="Calibri"/>
          <w:sz w:val="20"/>
          <w:szCs w:val="20"/>
          <w:lang w:val="en-GB"/>
        </w:rPr>
        <w:t xml:space="preserve"> Also, despite the agreements reached between Burkina Faso and Ghana in 2008, protected areas and shared resources are not yet managed with a minimum of coordination on both sides of the border.</w:t>
      </w:r>
    </w:p>
    <w:p w14:paraId="6333F12B" w14:textId="77777777" w:rsidR="00302BFE" w:rsidRPr="00FD2241" w:rsidRDefault="00302BFE" w:rsidP="00302BFE">
      <w:pPr>
        <w:spacing w:before="240" w:after="120"/>
        <w:rPr>
          <w:b/>
          <w:szCs w:val="20"/>
          <w:lang w:val="en-GB"/>
        </w:rPr>
      </w:pPr>
      <w:r w:rsidRPr="00FD2241">
        <w:rPr>
          <w:b/>
          <w:szCs w:val="20"/>
          <w:lang w:val="en-GB"/>
        </w:rPr>
        <w:t xml:space="preserve">The PONASI </w:t>
      </w:r>
      <w:r>
        <w:rPr>
          <w:b/>
          <w:szCs w:val="20"/>
          <w:lang w:val="en-GB"/>
        </w:rPr>
        <w:t>P</w:t>
      </w:r>
      <w:r w:rsidRPr="00FD2241">
        <w:rPr>
          <w:b/>
          <w:szCs w:val="20"/>
          <w:lang w:val="en-GB"/>
        </w:rPr>
        <w:t xml:space="preserve">rotected </w:t>
      </w:r>
      <w:r>
        <w:rPr>
          <w:b/>
          <w:szCs w:val="20"/>
          <w:lang w:val="en-GB"/>
        </w:rPr>
        <w:t>A</w:t>
      </w:r>
      <w:r w:rsidRPr="00FD2241">
        <w:rPr>
          <w:b/>
          <w:szCs w:val="20"/>
          <w:lang w:val="en-GB"/>
        </w:rPr>
        <w:t xml:space="preserve">rea </w:t>
      </w:r>
      <w:r>
        <w:rPr>
          <w:b/>
          <w:szCs w:val="20"/>
          <w:lang w:val="en-GB"/>
        </w:rPr>
        <w:t>L</w:t>
      </w:r>
      <w:r w:rsidRPr="00FD2241">
        <w:rPr>
          <w:b/>
          <w:szCs w:val="20"/>
          <w:lang w:val="en-GB"/>
        </w:rPr>
        <w:t>andscape</w:t>
      </w:r>
    </w:p>
    <w:p w14:paraId="5AB7EA71" w14:textId="77777777" w:rsidR="00302BFE"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6A6E34">
        <w:rPr>
          <w:rFonts w:ascii="Calibri" w:hAnsi="Calibri"/>
          <w:sz w:val="20"/>
          <w:szCs w:val="20"/>
          <w:lang w:val="en-GB"/>
        </w:rPr>
        <w:t xml:space="preserve">The vast </w:t>
      </w:r>
      <w:r w:rsidRPr="006A6E34">
        <w:rPr>
          <w:rFonts w:ascii="Calibri" w:hAnsi="Calibri"/>
          <w:b/>
          <w:sz w:val="20"/>
          <w:szCs w:val="20"/>
          <w:lang w:val="en-GB"/>
        </w:rPr>
        <w:t xml:space="preserve">PONASI </w:t>
      </w:r>
      <w:r>
        <w:rPr>
          <w:rFonts w:ascii="Calibri" w:hAnsi="Calibri"/>
          <w:b/>
          <w:sz w:val="20"/>
          <w:szCs w:val="20"/>
          <w:lang w:val="en-GB"/>
        </w:rPr>
        <w:t xml:space="preserve">PA </w:t>
      </w:r>
      <w:r w:rsidRPr="006A6E34">
        <w:rPr>
          <w:rFonts w:ascii="Calibri" w:hAnsi="Calibri"/>
          <w:b/>
          <w:sz w:val="20"/>
          <w:szCs w:val="20"/>
          <w:lang w:val="en-GB"/>
        </w:rPr>
        <w:t>Landscape</w:t>
      </w:r>
      <w:r w:rsidRPr="006A6E34">
        <w:rPr>
          <w:rFonts w:ascii="Calibri" w:hAnsi="Calibri"/>
          <w:sz w:val="20"/>
          <w:szCs w:val="20"/>
          <w:lang w:val="en-GB"/>
        </w:rPr>
        <w:t xml:space="preserve"> - integrating the Protected Areas Complex and surrounding areas over 952,000 ha, or 3.5% of the country's area, south of the capital to the Ghanaian border - is the area targeted for integrated management in this proposed project. The protected area complex adjoins the area where the Volta River enters Ghana and serves as an ecological corridor for large mammals such as elephants to migrate from similar ecosystems of northern Ghana (including the </w:t>
      </w:r>
      <w:proofErr w:type="spellStart"/>
      <w:r w:rsidRPr="006A6E34">
        <w:rPr>
          <w:rFonts w:ascii="Calibri" w:hAnsi="Calibri"/>
          <w:sz w:val="20"/>
          <w:szCs w:val="20"/>
          <w:lang w:val="en-GB"/>
        </w:rPr>
        <w:t>Morago</w:t>
      </w:r>
      <w:proofErr w:type="spellEnd"/>
      <w:r w:rsidRPr="006A6E34">
        <w:rPr>
          <w:rFonts w:ascii="Calibri" w:hAnsi="Calibri"/>
          <w:sz w:val="20"/>
          <w:szCs w:val="20"/>
          <w:lang w:val="en-GB"/>
        </w:rPr>
        <w:t xml:space="preserve"> </w:t>
      </w:r>
      <w:r>
        <w:rPr>
          <w:rFonts w:ascii="Calibri" w:hAnsi="Calibri"/>
          <w:sz w:val="20"/>
          <w:szCs w:val="20"/>
          <w:lang w:val="en-GB"/>
        </w:rPr>
        <w:t>R</w:t>
      </w:r>
      <w:r w:rsidRPr="006A6E34">
        <w:rPr>
          <w:rFonts w:ascii="Calibri" w:hAnsi="Calibri"/>
          <w:sz w:val="20"/>
          <w:szCs w:val="20"/>
          <w:lang w:val="en-GB"/>
        </w:rPr>
        <w:t xml:space="preserve">iver area and the Mole National Park). </w:t>
      </w:r>
    </w:p>
    <w:p w14:paraId="5CA9D980" w14:textId="77777777" w:rsidR="00302BFE" w:rsidRPr="008D3BAA"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8D3BAA">
        <w:rPr>
          <w:rFonts w:ascii="Calibri" w:hAnsi="Calibri"/>
          <w:sz w:val="20"/>
          <w:szCs w:val="20"/>
          <w:lang w:val="en-GB"/>
        </w:rPr>
        <w:t>The PONASI PA landscape is reported to shelter some 600 to 800 elephants that occupy the entire landscape, often roami</w:t>
      </w:r>
      <w:r>
        <w:rPr>
          <w:rFonts w:ascii="Calibri" w:hAnsi="Calibri"/>
          <w:sz w:val="20"/>
          <w:szCs w:val="20"/>
          <w:lang w:val="en-GB"/>
        </w:rPr>
        <w:t>n</w:t>
      </w:r>
      <w:r w:rsidRPr="008D3BAA">
        <w:rPr>
          <w:rFonts w:ascii="Calibri" w:hAnsi="Calibri"/>
          <w:sz w:val="20"/>
          <w:szCs w:val="20"/>
          <w:lang w:val="en-GB"/>
        </w:rPr>
        <w:t xml:space="preserve">g along the sub-basins of the </w:t>
      </w:r>
      <w:proofErr w:type="spellStart"/>
      <w:r w:rsidRPr="008D3BAA">
        <w:rPr>
          <w:rFonts w:ascii="Calibri" w:hAnsi="Calibri"/>
          <w:sz w:val="20"/>
          <w:szCs w:val="20"/>
          <w:lang w:val="en-GB"/>
        </w:rPr>
        <w:t>Sissili</w:t>
      </w:r>
      <w:proofErr w:type="spellEnd"/>
      <w:r w:rsidRPr="008D3BAA">
        <w:rPr>
          <w:rFonts w:ascii="Calibri" w:hAnsi="Calibri"/>
          <w:sz w:val="20"/>
          <w:szCs w:val="20"/>
          <w:lang w:val="en-GB"/>
        </w:rPr>
        <w:t xml:space="preserve"> and </w:t>
      </w:r>
      <w:proofErr w:type="spellStart"/>
      <w:r w:rsidRPr="008D3BAA">
        <w:rPr>
          <w:rFonts w:ascii="Calibri" w:hAnsi="Calibri"/>
          <w:sz w:val="20"/>
          <w:szCs w:val="20"/>
          <w:lang w:val="en-GB"/>
        </w:rPr>
        <w:t>Nazinga</w:t>
      </w:r>
      <w:proofErr w:type="spellEnd"/>
      <w:r w:rsidRPr="008D3BAA">
        <w:rPr>
          <w:rFonts w:ascii="Calibri" w:hAnsi="Calibri"/>
          <w:sz w:val="20"/>
          <w:szCs w:val="20"/>
          <w:lang w:val="en-GB"/>
        </w:rPr>
        <w:t xml:space="preserve"> rivers, moving between protected areas, areas adjacent to Ghana and possibly another protected area in Burkina Faso, the Deux </w:t>
      </w:r>
      <w:proofErr w:type="spellStart"/>
      <w:r w:rsidRPr="008D3BAA">
        <w:rPr>
          <w:rFonts w:ascii="Calibri" w:hAnsi="Calibri"/>
          <w:sz w:val="20"/>
          <w:szCs w:val="20"/>
          <w:lang w:val="en-GB"/>
        </w:rPr>
        <w:t>Balés</w:t>
      </w:r>
      <w:proofErr w:type="spellEnd"/>
      <w:r w:rsidRPr="008D3BAA">
        <w:rPr>
          <w:rFonts w:ascii="Calibri" w:hAnsi="Calibri"/>
          <w:sz w:val="20"/>
          <w:szCs w:val="20"/>
          <w:lang w:val="en-GB"/>
        </w:rPr>
        <w:t xml:space="preserve"> NP. These are considered as the second largest elephant population in the country. The former elephant territory included the Kaboré-</w:t>
      </w:r>
      <w:proofErr w:type="spellStart"/>
      <w:r w:rsidRPr="008D3BAA">
        <w:rPr>
          <w:rFonts w:ascii="Calibri" w:hAnsi="Calibri"/>
          <w:sz w:val="20"/>
          <w:szCs w:val="20"/>
          <w:lang w:val="en-GB"/>
        </w:rPr>
        <w:t>Tambi</w:t>
      </w:r>
      <w:proofErr w:type="spellEnd"/>
      <w:r w:rsidRPr="008D3BAA">
        <w:rPr>
          <w:rFonts w:ascii="Calibri" w:hAnsi="Calibri"/>
          <w:sz w:val="20"/>
          <w:szCs w:val="20"/>
          <w:lang w:val="en-GB"/>
        </w:rPr>
        <w:t xml:space="preserve"> NP, but in the 1980s migrant farmers settled in their usual passage areas and almost all the elephants that had migrated to </w:t>
      </w:r>
      <w:proofErr w:type="spellStart"/>
      <w:r w:rsidRPr="008D3BAA">
        <w:rPr>
          <w:rFonts w:ascii="Calibri" w:hAnsi="Calibri"/>
          <w:sz w:val="20"/>
          <w:szCs w:val="20"/>
          <w:lang w:val="en-GB"/>
        </w:rPr>
        <w:t>Nazinga</w:t>
      </w:r>
      <w:proofErr w:type="spellEnd"/>
      <w:r w:rsidRPr="008D3BAA">
        <w:rPr>
          <w:rFonts w:ascii="Calibri" w:hAnsi="Calibri"/>
          <w:sz w:val="20"/>
          <w:szCs w:val="20"/>
          <w:lang w:val="en-GB"/>
        </w:rPr>
        <w:t xml:space="preserve"> could no longer return to the NP. Similarly, the seasonal migration of elephants along the </w:t>
      </w:r>
      <w:proofErr w:type="spellStart"/>
      <w:r w:rsidRPr="008D3BAA">
        <w:rPr>
          <w:rFonts w:ascii="Calibri" w:hAnsi="Calibri"/>
          <w:sz w:val="20"/>
          <w:szCs w:val="20"/>
          <w:lang w:val="en-GB"/>
        </w:rPr>
        <w:t>Nazinon</w:t>
      </w:r>
      <w:proofErr w:type="spellEnd"/>
      <w:r w:rsidRPr="008D3BAA">
        <w:rPr>
          <w:rFonts w:ascii="Calibri" w:hAnsi="Calibri"/>
          <w:sz w:val="20"/>
          <w:szCs w:val="20"/>
          <w:lang w:val="en-GB"/>
        </w:rPr>
        <w:t xml:space="preserve"> River to Ghana and vice versa is now much more difficult for the same reason. The consequences are that elephant populations are now confined to a very limited area, becoming much more vulnerable to poachers and the degradation of their ecosystems.</w:t>
      </w:r>
    </w:p>
    <w:p w14:paraId="7B09E547" w14:textId="77777777" w:rsidR="00302BFE"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B77F42">
        <w:rPr>
          <w:rFonts w:ascii="Calibri" w:hAnsi="Calibri"/>
          <w:sz w:val="20"/>
          <w:szCs w:val="20"/>
          <w:lang w:val="en-GB"/>
        </w:rPr>
        <w:t>Besides elephants</w:t>
      </w:r>
      <w:r w:rsidRPr="000C6838">
        <w:rPr>
          <w:rFonts w:ascii="Calibri" w:hAnsi="Calibri"/>
          <w:sz w:val="20"/>
          <w:szCs w:val="20"/>
          <w:lang w:val="en-GB"/>
        </w:rPr>
        <w:t xml:space="preserve">, the area has a rich biodiversity managed using various management and governance modes, which gives it a specific interest in the perspective of the replicability of the results and the lessons from the interventions that will be carried out there, initially to the whole of the PONASI landscape and possibly </w:t>
      </w:r>
      <w:proofErr w:type="gramStart"/>
      <w:r w:rsidRPr="000C6838">
        <w:rPr>
          <w:rFonts w:ascii="Calibri" w:hAnsi="Calibri"/>
          <w:sz w:val="20"/>
          <w:szCs w:val="20"/>
          <w:lang w:val="en-GB"/>
        </w:rPr>
        <w:t>country-wide</w:t>
      </w:r>
      <w:proofErr w:type="gramEnd"/>
      <w:r w:rsidRPr="000C6838">
        <w:rPr>
          <w:rFonts w:ascii="Calibri" w:hAnsi="Calibri"/>
          <w:sz w:val="20"/>
          <w:szCs w:val="20"/>
          <w:lang w:val="en-GB"/>
        </w:rPr>
        <w:t xml:space="preserve">. </w:t>
      </w:r>
      <w:r w:rsidRPr="00CB2536">
        <w:rPr>
          <w:rFonts w:ascii="Calibri" w:hAnsi="Calibri"/>
          <w:sz w:val="20"/>
          <w:szCs w:val="20"/>
          <w:lang w:val="en-CA"/>
        </w:rPr>
        <w:t xml:space="preserve">The PONASI complex appears today as an essential part of the West African-protected area network and plays a key role in West African wildlife conservation. It shelters amongst the highest densities of several large mammals that are highly threatened elsewhere in the sub-region such as the elephant, the </w:t>
      </w:r>
      <w:r w:rsidRPr="00CB2536">
        <w:rPr>
          <w:rFonts w:ascii="Calibri" w:hAnsi="Calibri"/>
          <w:sz w:val="20"/>
          <w:szCs w:val="20"/>
          <w:lang w:val="en-CA"/>
        </w:rPr>
        <w:lastRenderedPageBreak/>
        <w:t xml:space="preserve">waterbuck, the major </w:t>
      </w:r>
      <w:proofErr w:type="gramStart"/>
      <w:r w:rsidRPr="00CB2536">
        <w:rPr>
          <w:rFonts w:ascii="Calibri" w:hAnsi="Calibri"/>
          <w:sz w:val="20"/>
          <w:szCs w:val="20"/>
          <w:lang w:val="en-CA"/>
        </w:rPr>
        <w:t>hartebeest</w:t>
      </w:r>
      <w:proofErr w:type="gramEnd"/>
      <w:r w:rsidRPr="00CB2536">
        <w:rPr>
          <w:rFonts w:ascii="Calibri" w:hAnsi="Calibri"/>
          <w:sz w:val="20"/>
          <w:szCs w:val="20"/>
          <w:lang w:val="en-CA"/>
        </w:rPr>
        <w:t xml:space="preserve"> or the roan antelope.</w:t>
      </w:r>
      <w:r w:rsidRPr="00B77F42">
        <w:rPr>
          <w:rStyle w:val="Appelnotedebasdep"/>
          <w:rFonts w:ascii="Calibri" w:hAnsi="Calibri"/>
          <w:sz w:val="20"/>
          <w:szCs w:val="20"/>
          <w:lang w:val="en-CA"/>
        </w:rPr>
        <w:footnoteReference w:id="5"/>
      </w:r>
      <w:r w:rsidRPr="00B77F42">
        <w:rPr>
          <w:rFonts w:ascii="Calibri" w:hAnsi="Calibri"/>
          <w:sz w:val="20"/>
          <w:szCs w:val="20"/>
          <w:lang w:val="en-CA"/>
        </w:rPr>
        <w:t xml:space="preserve"> </w:t>
      </w:r>
      <w:r w:rsidRPr="00B77F42">
        <w:rPr>
          <w:rStyle w:val="Appelnotedebasdep"/>
          <w:rFonts w:ascii="Calibri" w:hAnsi="Calibri"/>
          <w:sz w:val="20"/>
          <w:szCs w:val="20"/>
          <w:lang w:val="en-CA"/>
        </w:rPr>
        <w:footnoteReference w:id="6"/>
      </w:r>
      <w:r>
        <w:rPr>
          <w:rFonts w:ascii="Calibri" w:hAnsi="Calibri"/>
          <w:sz w:val="20"/>
          <w:szCs w:val="20"/>
          <w:lang w:val="en-CA"/>
        </w:rPr>
        <w:t xml:space="preserve"> </w:t>
      </w:r>
      <w:r w:rsidRPr="000C6838">
        <w:rPr>
          <w:rFonts w:ascii="Calibri" w:hAnsi="Calibri"/>
          <w:sz w:val="20"/>
          <w:szCs w:val="20"/>
          <w:lang w:val="en-GB"/>
        </w:rPr>
        <w:t xml:space="preserve">It is essential to preserve the potential of this biodiversity-rich area to serve as a refuge from the progression of drought and desertification. Burkina Faso is an arid country, and the PONASI landscape serves as an ecological transition zone between the two climatic regions of North Sudan and South Sudan, which further emphasises the importance to preserve it in the context of climate change. </w:t>
      </w:r>
    </w:p>
    <w:p w14:paraId="45ADD692" w14:textId="41ED2D7B"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0C6838">
        <w:rPr>
          <w:rFonts w:ascii="Calibri" w:hAnsi="Calibri"/>
          <w:sz w:val="20"/>
          <w:szCs w:val="20"/>
          <w:lang w:val="en-GB"/>
        </w:rPr>
        <w:t xml:space="preserve">The PONASI PA landscape is classified as </w:t>
      </w:r>
      <w:r>
        <w:rPr>
          <w:rFonts w:ascii="Calibri" w:hAnsi="Calibri"/>
          <w:sz w:val="20"/>
          <w:szCs w:val="20"/>
          <w:lang w:val="en-GB"/>
        </w:rPr>
        <w:t xml:space="preserve">an </w:t>
      </w:r>
      <w:r w:rsidRPr="000C6838">
        <w:rPr>
          <w:rFonts w:ascii="Calibri" w:hAnsi="Calibri"/>
          <w:sz w:val="20"/>
          <w:szCs w:val="20"/>
          <w:lang w:val="en-GB"/>
        </w:rPr>
        <w:t>important area for bird conservation</w:t>
      </w:r>
      <w:r>
        <w:rPr>
          <w:rFonts w:ascii="Calibri" w:hAnsi="Calibri"/>
          <w:sz w:val="20"/>
          <w:szCs w:val="20"/>
          <w:lang w:val="en-GB"/>
        </w:rPr>
        <w:t xml:space="preserve"> (IBA)</w:t>
      </w:r>
      <w:r w:rsidRPr="000C6838">
        <w:rPr>
          <w:rFonts w:ascii="Calibri" w:hAnsi="Calibri"/>
          <w:sz w:val="20"/>
          <w:szCs w:val="20"/>
          <w:lang w:val="en-GB"/>
        </w:rPr>
        <w:t xml:space="preserve"> BF006</w:t>
      </w:r>
      <w:r w:rsidRPr="00FD2241">
        <w:rPr>
          <w:rStyle w:val="Appelnotedebasdep"/>
          <w:rFonts w:ascii="Calibri" w:hAnsi="Calibri"/>
          <w:sz w:val="20"/>
          <w:szCs w:val="20"/>
        </w:rPr>
        <w:footnoteReference w:id="7"/>
      </w:r>
      <w:r w:rsidRPr="000C6838">
        <w:rPr>
          <w:rFonts w:ascii="Calibri" w:hAnsi="Calibri"/>
          <w:sz w:val="20"/>
          <w:szCs w:val="20"/>
          <w:lang w:val="en-GB"/>
        </w:rPr>
        <w:t xml:space="preserve"> - </w:t>
      </w:r>
      <w:proofErr w:type="gramStart"/>
      <w:r w:rsidRPr="000C6838">
        <w:rPr>
          <w:rFonts w:ascii="Calibri" w:hAnsi="Calibri"/>
          <w:sz w:val="20"/>
          <w:szCs w:val="20"/>
          <w:lang w:val="en-GB"/>
        </w:rPr>
        <w:t>on the basis of</w:t>
      </w:r>
      <w:proofErr w:type="gramEnd"/>
      <w:r w:rsidRPr="000C6838">
        <w:rPr>
          <w:rFonts w:ascii="Calibri" w:hAnsi="Calibri"/>
          <w:sz w:val="20"/>
          <w:szCs w:val="20"/>
          <w:lang w:val="en-GB"/>
        </w:rPr>
        <w:t xml:space="preserve"> the criterion of the presence of restricted biome species, and as a Ramsar site (No 2366)</w:t>
      </w:r>
      <w:r w:rsidRPr="00FD2241">
        <w:rPr>
          <w:rStyle w:val="Appelnotedebasdep"/>
          <w:rFonts w:ascii="Calibri" w:hAnsi="Calibri"/>
          <w:sz w:val="20"/>
          <w:szCs w:val="20"/>
        </w:rPr>
        <w:footnoteReference w:id="8"/>
      </w:r>
      <w:r w:rsidRPr="000C6838">
        <w:rPr>
          <w:rFonts w:ascii="Calibri" w:hAnsi="Calibri"/>
          <w:sz w:val="20"/>
          <w:szCs w:val="20"/>
          <w:lang w:val="en-GB"/>
        </w:rPr>
        <w:t xml:space="preserve"> and work is underway to establish it as a Biosphere Reserve. It is a large ecological ensemble that is home to a great diversity of flora and fauna. It ensures the protection of the </w:t>
      </w:r>
      <w:proofErr w:type="spellStart"/>
      <w:r w:rsidRPr="000C6838">
        <w:rPr>
          <w:rFonts w:ascii="Calibri" w:hAnsi="Calibri"/>
          <w:sz w:val="20"/>
          <w:szCs w:val="20"/>
          <w:lang w:val="en-GB"/>
        </w:rPr>
        <w:t>Nazinon</w:t>
      </w:r>
      <w:proofErr w:type="spellEnd"/>
      <w:r w:rsidRPr="000C6838">
        <w:rPr>
          <w:rFonts w:ascii="Calibri" w:hAnsi="Calibri"/>
          <w:sz w:val="20"/>
          <w:szCs w:val="20"/>
          <w:lang w:val="en-GB"/>
        </w:rPr>
        <w:t xml:space="preserve"> River which is one of the three largest rivers in Burkina Faso. The site is very rich in wildlife. An important feature is the presence of the country's second largest elephant range (</w:t>
      </w:r>
      <w:r w:rsidRPr="000C6838">
        <w:rPr>
          <w:rFonts w:ascii="Calibri" w:hAnsi="Calibri"/>
          <w:i/>
          <w:sz w:val="20"/>
          <w:szCs w:val="20"/>
          <w:lang w:val="en-GB"/>
        </w:rPr>
        <w:t xml:space="preserve">Loxodonta </w:t>
      </w:r>
      <w:proofErr w:type="spellStart"/>
      <w:r w:rsidRPr="000C6838">
        <w:rPr>
          <w:rFonts w:ascii="Calibri" w:hAnsi="Calibri"/>
          <w:i/>
          <w:sz w:val="20"/>
          <w:szCs w:val="20"/>
          <w:lang w:val="en-GB"/>
        </w:rPr>
        <w:t>africana</w:t>
      </w:r>
      <w:proofErr w:type="spellEnd"/>
      <w:r w:rsidRPr="000C6838">
        <w:rPr>
          <w:rFonts w:ascii="Calibri" w:hAnsi="Calibri"/>
          <w:b/>
          <w:i/>
          <w:sz w:val="20"/>
          <w:szCs w:val="20"/>
          <w:lang w:val="en-GB"/>
        </w:rPr>
        <w:t xml:space="preserve"> </w:t>
      </w:r>
      <w:r w:rsidRPr="000C6838">
        <w:rPr>
          <w:rFonts w:ascii="Calibri" w:hAnsi="Calibri"/>
          <w:b/>
          <w:sz w:val="20"/>
          <w:szCs w:val="20"/>
          <w:lang w:val="en-GB"/>
        </w:rPr>
        <w:t>VU</w:t>
      </w:r>
      <w:r w:rsidRPr="000C6838">
        <w:rPr>
          <w:rFonts w:ascii="Calibri" w:hAnsi="Calibri"/>
          <w:sz w:val="20"/>
          <w:szCs w:val="20"/>
          <w:lang w:val="en-GB"/>
        </w:rPr>
        <w:t xml:space="preserve">), which is shared with a neighbouring country, Ghana. It is recognized as having the highest density of Cob </w:t>
      </w:r>
      <w:proofErr w:type="spellStart"/>
      <w:r w:rsidRPr="000C6838">
        <w:rPr>
          <w:rFonts w:ascii="Calibri" w:hAnsi="Calibri"/>
          <w:sz w:val="20"/>
          <w:szCs w:val="20"/>
          <w:lang w:val="en-GB"/>
        </w:rPr>
        <w:t>defassa</w:t>
      </w:r>
      <w:proofErr w:type="spellEnd"/>
      <w:r w:rsidRPr="000C6838">
        <w:rPr>
          <w:rFonts w:ascii="Calibri" w:hAnsi="Calibri"/>
          <w:sz w:val="20"/>
          <w:szCs w:val="20"/>
          <w:lang w:val="en-GB"/>
        </w:rPr>
        <w:t xml:space="preserve"> (</w:t>
      </w:r>
      <w:r w:rsidRPr="000C6838">
        <w:rPr>
          <w:rFonts w:ascii="Calibri" w:hAnsi="Calibri"/>
          <w:i/>
          <w:sz w:val="20"/>
          <w:szCs w:val="20"/>
          <w:lang w:val="en-GB"/>
        </w:rPr>
        <w:t xml:space="preserve">Kobus </w:t>
      </w:r>
      <w:proofErr w:type="spellStart"/>
      <w:r w:rsidRPr="000C6838">
        <w:rPr>
          <w:rFonts w:ascii="Calibri" w:hAnsi="Calibri"/>
          <w:i/>
          <w:sz w:val="20"/>
          <w:szCs w:val="20"/>
          <w:lang w:val="en-GB"/>
        </w:rPr>
        <w:t>ellipsiprymnus</w:t>
      </w:r>
      <w:proofErr w:type="spellEnd"/>
      <w:r w:rsidRPr="000C6838">
        <w:rPr>
          <w:rFonts w:ascii="Calibri" w:hAnsi="Calibri"/>
          <w:i/>
          <w:sz w:val="20"/>
          <w:szCs w:val="20"/>
          <w:lang w:val="en-GB"/>
        </w:rPr>
        <w:t xml:space="preserve"> ssp.</w:t>
      </w:r>
      <w:r w:rsidRPr="000C6838">
        <w:rPr>
          <w:rFonts w:ascii="Calibri" w:hAnsi="Calibri"/>
          <w:sz w:val="20"/>
          <w:szCs w:val="20"/>
          <w:lang w:val="en-GB"/>
        </w:rPr>
        <w:t xml:space="preserve"> </w:t>
      </w:r>
      <w:r w:rsidRPr="000C6838">
        <w:rPr>
          <w:rFonts w:ascii="Calibri" w:hAnsi="Calibri"/>
          <w:b/>
          <w:sz w:val="20"/>
          <w:szCs w:val="20"/>
          <w:lang w:val="en-GB"/>
        </w:rPr>
        <w:t>NT</w:t>
      </w:r>
      <w:r w:rsidRPr="000C6838">
        <w:rPr>
          <w:rFonts w:ascii="Calibri" w:hAnsi="Calibri"/>
          <w:sz w:val="20"/>
          <w:szCs w:val="20"/>
          <w:lang w:val="en-GB"/>
        </w:rPr>
        <w:t>) in West Africa. In addition to these species, the Complex is home to at least 39 species of mammals, including large savanna herbivores: buffalo, Antelopes, hartebeest, reedbuck, bushbuck, Grimm's duiker, red-flanked duiker, oribi, and warthog. More than ten (10) species of ungulates of great hunting and tourism value are found there. Large carnivores such as the lion and the panther have disappeared, but there are still small carnivores such as jackal, civet, genets, mongooses</w:t>
      </w:r>
      <w:r w:rsidRPr="00FD2241">
        <w:rPr>
          <w:rStyle w:val="Appelnotedebasdep"/>
          <w:rFonts w:ascii="Calibri" w:hAnsi="Calibri"/>
          <w:sz w:val="20"/>
          <w:szCs w:val="20"/>
        </w:rPr>
        <w:footnoteReference w:id="9"/>
      </w:r>
      <w:r w:rsidRPr="000C6838">
        <w:rPr>
          <w:rFonts w:ascii="Calibri" w:hAnsi="Calibri"/>
          <w:sz w:val="20"/>
          <w:szCs w:val="20"/>
          <w:lang w:val="en-GB"/>
        </w:rPr>
        <w:t xml:space="preserve"> as well as hyenas and primates such as red monkeys, </w:t>
      </w:r>
      <w:proofErr w:type="gramStart"/>
      <w:r w:rsidRPr="000C6838">
        <w:rPr>
          <w:rFonts w:ascii="Calibri" w:hAnsi="Calibri"/>
          <w:sz w:val="20"/>
          <w:szCs w:val="20"/>
          <w:lang w:val="en-GB"/>
        </w:rPr>
        <w:t>baboons</w:t>
      </w:r>
      <w:proofErr w:type="gramEnd"/>
      <w:r w:rsidRPr="000C6838">
        <w:rPr>
          <w:rFonts w:ascii="Calibri" w:hAnsi="Calibri"/>
          <w:sz w:val="20"/>
          <w:szCs w:val="20"/>
          <w:lang w:val="en-GB"/>
        </w:rPr>
        <w:t xml:space="preserve"> and grivets. In the PNKT, 122 bird species have been identified, while the total for </w:t>
      </w:r>
      <w:proofErr w:type="spellStart"/>
      <w:r w:rsidRPr="000C6838">
        <w:rPr>
          <w:rFonts w:ascii="Calibri" w:hAnsi="Calibri"/>
          <w:sz w:val="20"/>
          <w:szCs w:val="20"/>
          <w:lang w:val="en-GB"/>
        </w:rPr>
        <w:t>Nazinga</w:t>
      </w:r>
      <w:proofErr w:type="spellEnd"/>
      <w:r w:rsidRPr="000C6838">
        <w:rPr>
          <w:rFonts w:ascii="Calibri" w:hAnsi="Calibri"/>
          <w:sz w:val="20"/>
          <w:szCs w:val="20"/>
          <w:lang w:val="en-GB"/>
        </w:rPr>
        <w:t xml:space="preserve"> is 321 species, including 7 species of storks and 43 species of raptors. None of these species are endangered or endemic. On a global scale, it is an important reserve of the Afro-tropical domain located in the heart of West Africa. During the European winter, it is </w:t>
      </w:r>
      <w:r>
        <w:rPr>
          <w:rFonts w:ascii="Calibri" w:hAnsi="Calibri"/>
          <w:sz w:val="20"/>
          <w:szCs w:val="20"/>
          <w:lang w:val="en-GB"/>
        </w:rPr>
        <w:t xml:space="preserve">used as </w:t>
      </w:r>
      <w:r w:rsidRPr="000C6838">
        <w:rPr>
          <w:rFonts w:ascii="Calibri" w:hAnsi="Calibri"/>
          <w:sz w:val="20"/>
          <w:szCs w:val="20"/>
          <w:lang w:val="en-GB"/>
        </w:rPr>
        <w:t xml:space="preserve">a </w:t>
      </w:r>
      <w:r w:rsidRPr="00C31715">
        <w:rPr>
          <w:rFonts w:ascii="Calibri" w:hAnsi="Calibri"/>
          <w:sz w:val="20"/>
          <w:szCs w:val="20"/>
          <w:lang w:val="en-GB"/>
        </w:rPr>
        <w:t>stop</w:t>
      </w:r>
      <w:r w:rsidRPr="000C6838">
        <w:rPr>
          <w:rFonts w:ascii="Calibri" w:hAnsi="Calibri"/>
          <w:sz w:val="20"/>
          <w:szCs w:val="20"/>
          <w:lang w:val="en-GB"/>
        </w:rPr>
        <w:t xml:space="preserve"> in the migration circuit of some Western Palearctic migratory birds including </w:t>
      </w:r>
      <w:r w:rsidRPr="009667E6">
        <w:rPr>
          <w:rFonts w:ascii="Calibri" w:hAnsi="Calibri"/>
          <w:sz w:val="20"/>
          <w:szCs w:val="20"/>
          <w:lang w:val="en-GB"/>
        </w:rPr>
        <w:t>fully protected species such as storks.</w:t>
      </w:r>
    </w:p>
    <w:p w14:paraId="390D6998" w14:textId="48178A2E"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hAnsi="Calibri"/>
          <w:sz w:val="20"/>
          <w:szCs w:val="20"/>
          <w:lang w:val="en-GB"/>
        </w:rPr>
        <w:t xml:space="preserve">The flora is relatively rich, consisting of 89 woody species in 62 genera and 37 families. It includes </w:t>
      </w:r>
      <w:proofErr w:type="spellStart"/>
      <w:r w:rsidRPr="009667E6">
        <w:rPr>
          <w:rFonts w:ascii="Calibri" w:hAnsi="Calibri"/>
          <w:sz w:val="20"/>
          <w:szCs w:val="20"/>
          <w:lang w:val="en-GB"/>
        </w:rPr>
        <w:t>Combretaceae</w:t>
      </w:r>
      <w:proofErr w:type="spellEnd"/>
      <w:r w:rsidRPr="009667E6">
        <w:rPr>
          <w:rFonts w:ascii="Calibri" w:hAnsi="Calibri"/>
          <w:sz w:val="20"/>
          <w:szCs w:val="20"/>
          <w:lang w:val="en-GB"/>
        </w:rPr>
        <w:t xml:space="preserve">, Caesalpiniaceae, </w:t>
      </w:r>
      <w:proofErr w:type="spellStart"/>
      <w:r w:rsidRPr="009667E6">
        <w:rPr>
          <w:rFonts w:ascii="Calibri" w:hAnsi="Calibri"/>
          <w:sz w:val="20"/>
          <w:szCs w:val="20"/>
          <w:lang w:val="en-GB"/>
        </w:rPr>
        <w:t>Rubiacea</w:t>
      </w:r>
      <w:proofErr w:type="spellEnd"/>
      <w:r w:rsidRPr="009667E6">
        <w:rPr>
          <w:rFonts w:ascii="Calibri" w:hAnsi="Calibri"/>
          <w:sz w:val="20"/>
          <w:szCs w:val="20"/>
          <w:lang w:val="en-GB"/>
        </w:rPr>
        <w:t xml:space="preserve">, Mimosaceae, </w:t>
      </w:r>
      <w:proofErr w:type="spellStart"/>
      <w:r w:rsidRPr="009667E6">
        <w:rPr>
          <w:rFonts w:ascii="Calibri" w:hAnsi="Calibri"/>
          <w:sz w:val="20"/>
          <w:szCs w:val="20"/>
          <w:lang w:val="en-GB"/>
        </w:rPr>
        <w:t>Sapotaceae</w:t>
      </w:r>
      <w:proofErr w:type="spellEnd"/>
      <w:r w:rsidRPr="009667E6">
        <w:rPr>
          <w:rFonts w:ascii="Calibri" w:hAnsi="Calibri"/>
          <w:sz w:val="20"/>
          <w:szCs w:val="20"/>
          <w:lang w:val="en-GB"/>
        </w:rPr>
        <w:t xml:space="preserve">, </w:t>
      </w:r>
      <w:proofErr w:type="spellStart"/>
      <w:r w:rsidRPr="009667E6">
        <w:rPr>
          <w:rFonts w:ascii="Calibri" w:hAnsi="Calibri"/>
          <w:sz w:val="20"/>
          <w:szCs w:val="20"/>
          <w:lang w:val="en-GB"/>
        </w:rPr>
        <w:t>Ebenaceae</w:t>
      </w:r>
      <w:proofErr w:type="spellEnd"/>
      <w:r w:rsidRPr="009667E6">
        <w:rPr>
          <w:rFonts w:ascii="Calibri" w:hAnsi="Calibri"/>
          <w:sz w:val="20"/>
          <w:szCs w:val="20"/>
          <w:lang w:val="en-GB"/>
        </w:rPr>
        <w:t xml:space="preserve"> and other families. These renewable natural resources made up of Timber Forest Products and Non-Timber Forest Products (NTFP) play very important supply and economic functions for the population of the surrounding villages. </w:t>
      </w:r>
      <w:r w:rsidR="007F39C1" w:rsidRPr="009667E6">
        <w:rPr>
          <w:rFonts w:ascii="Calibri" w:hAnsi="Calibri"/>
          <w:sz w:val="20"/>
          <w:szCs w:val="20"/>
          <w:lang w:val="en-GB"/>
        </w:rPr>
        <w:t>Most of</w:t>
      </w:r>
      <w:r w:rsidRPr="009667E6">
        <w:rPr>
          <w:rFonts w:ascii="Calibri" w:hAnsi="Calibri"/>
          <w:sz w:val="20"/>
          <w:szCs w:val="20"/>
          <w:lang w:val="en-GB"/>
        </w:rPr>
        <w:t xml:space="preserve"> the supply of these natural resources is </w:t>
      </w:r>
      <w:r w:rsidR="007F39C1" w:rsidRPr="009667E6">
        <w:rPr>
          <w:rFonts w:ascii="Calibri" w:hAnsi="Calibri"/>
          <w:sz w:val="20"/>
          <w:szCs w:val="20"/>
          <w:lang w:val="en-GB"/>
        </w:rPr>
        <w:t>driven</w:t>
      </w:r>
      <w:r w:rsidRPr="009667E6">
        <w:rPr>
          <w:rFonts w:ascii="Calibri" w:hAnsi="Calibri"/>
          <w:sz w:val="20"/>
          <w:szCs w:val="20"/>
          <w:lang w:val="en-GB"/>
        </w:rPr>
        <w:t xml:space="preserve"> by energy needs including firewood.</w:t>
      </w:r>
      <w:r w:rsidRPr="009667E6">
        <w:rPr>
          <w:rStyle w:val="Appelnotedebasdep"/>
          <w:rFonts w:ascii="Calibri" w:hAnsi="Calibri"/>
          <w:sz w:val="20"/>
          <w:szCs w:val="20"/>
        </w:rPr>
        <w:t xml:space="preserve"> </w:t>
      </w:r>
      <w:r w:rsidRPr="009667E6">
        <w:rPr>
          <w:rStyle w:val="Appelnotedebasdep"/>
          <w:rFonts w:ascii="Calibri" w:hAnsi="Calibri"/>
          <w:sz w:val="20"/>
          <w:szCs w:val="20"/>
        </w:rPr>
        <w:footnoteReference w:id="10"/>
      </w:r>
      <w:r w:rsidRPr="009667E6">
        <w:rPr>
          <w:rFonts w:ascii="Calibri" w:hAnsi="Calibri"/>
          <w:sz w:val="20"/>
          <w:szCs w:val="20"/>
          <w:lang w:val="en-GB"/>
        </w:rPr>
        <w:t xml:space="preserve"> Eighteen (18) species recorded in the PONASI complex are considered as endangered, </w:t>
      </w:r>
      <w:proofErr w:type="gramStart"/>
      <w:r w:rsidRPr="009667E6">
        <w:rPr>
          <w:rFonts w:ascii="Calibri" w:hAnsi="Calibri"/>
          <w:sz w:val="20"/>
          <w:szCs w:val="20"/>
          <w:lang w:val="en-GB"/>
        </w:rPr>
        <w:t>threatened</w:t>
      </w:r>
      <w:proofErr w:type="gramEnd"/>
      <w:r w:rsidRPr="009667E6">
        <w:rPr>
          <w:rFonts w:ascii="Calibri" w:hAnsi="Calibri"/>
          <w:sz w:val="20"/>
          <w:szCs w:val="20"/>
          <w:lang w:val="en-GB"/>
        </w:rPr>
        <w:t xml:space="preserve"> and vulnerable, including vulnerable tree species such as </w:t>
      </w:r>
      <w:proofErr w:type="spellStart"/>
      <w:r w:rsidRPr="009667E6">
        <w:rPr>
          <w:rFonts w:ascii="Calibri" w:hAnsi="Calibri"/>
          <w:i/>
          <w:sz w:val="20"/>
          <w:szCs w:val="20"/>
          <w:lang w:val="en-GB"/>
        </w:rPr>
        <w:t>Afzelia</w:t>
      </w:r>
      <w:proofErr w:type="spellEnd"/>
      <w:r w:rsidRPr="009667E6">
        <w:rPr>
          <w:rFonts w:ascii="Calibri" w:hAnsi="Calibri"/>
          <w:i/>
          <w:sz w:val="20"/>
          <w:szCs w:val="20"/>
          <w:lang w:val="en-GB"/>
        </w:rPr>
        <w:t xml:space="preserve"> </w:t>
      </w:r>
      <w:proofErr w:type="spellStart"/>
      <w:r w:rsidRPr="009667E6">
        <w:rPr>
          <w:rFonts w:ascii="Calibri" w:hAnsi="Calibri"/>
          <w:i/>
          <w:sz w:val="20"/>
          <w:szCs w:val="20"/>
          <w:lang w:val="en-GB"/>
        </w:rPr>
        <w:t>africana</w:t>
      </w:r>
      <w:proofErr w:type="spellEnd"/>
      <w:r w:rsidRPr="009667E6">
        <w:rPr>
          <w:rFonts w:ascii="Calibri" w:hAnsi="Calibri"/>
          <w:i/>
          <w:sz w:val="20"/>
          <w:szCs w:val="20"/>
          <w:lang w:val="en-GB"/>
        </w:rPr>
        <w:t xml:space="preserve"> </w:t>
      </w:r>
      <w:r w:rsidRPr="009667E6">
        <w:rPr>
          <w:rFonts w:ascii="Calibri" w:hAnsi="Calibri"/>
          <w:sz w:val="20"/>
          <w:szCs w:val="20"/>
          <w:lang w:val="en-GB"/>
        </w:rPr>
        <w:t>(</w:t>
      </w:r>
      <w:r w:rsidRPr="009667E6">
        <w:rPr>
          <w:rFonts w:ascii="Calibri" w:hAnsi="Calibri"/>
          <w:b/>
          <w:sz w:val="20"/>
          <w:szCs w:val="20"/>
          <w:lang w:val="en-GB"/>
        </w:rPr>
        <w:t>VU</w:t>
      </w:r>
      <w:r w:rsidRPr="009667E6">
        <w:rPr>
          <w:rFonts w:ascii="Calibri" w:hAnsi="Calibri"/>
          <w:sz w:val="20"/>
          <w:szCs w:val="20"/>
          <w:lang w:val="en-GB"/>
        </w:rPr>
        <w:t xml:space="preserve">) and </w:t>
      </w:r>
      <w:r w:rsidRPr="009667E6">
        <w:rPr>
          <w:rFonts w:ascii="Calibri" w:hAnsi="Calibri"/>
          <w:i/>
          <w:sz w:val="20"/>
          <w:szCs w:val="20"/>
          <w:lang w:val="en-GB"/>
        </w:rPr>
        <w:t xml:space="preserve">Vitellaria </w:t>
      </w:r>
      <w:proofErr w:type="spellStart"/>
      <w:r w:rsidRPr="009667E6">
        <w:rPr>
          <w:rFonts w:ascii="Calibri" w:hAnsi="Calibri"/>
          <w:i/>
          <w:sz w:val="20"/>
          <w:szCs w:val="20"/>
          <w:lang w:val="en-GB"/>
        </w:rPr>
        <w:t>paradoxa</w:t>
      </w:r>
      <w:proofErr w:type="spellEnd"/>
      <w:r w:rsidRPr="009667E6">
        <w:rPr>
          <w:rFonts w:ascii="Calibri" w:hAnsi="Calibri"/>
          <w:i/>
          <w:sz w:val="20"/>
          <w:szCs w:val="20"/>
          <w:lang w:val="en-GB"/>
        </w:rPr>
        <w:t xml:space="preserve"> </w:t>
      </w:r>
      <w:r w:rsidRPr="009667E6">
        <w:rPr>
          <w:rFonts w:ascii="Calibri" w:hAnsi="Calibri"/>
          <w:sz w:val="20"/>
          <w:szCs w:val="20"/>
          <w:lang w:val="en-GB"/>
        </w:rPr>
        <w:t>(</w:t>
      </w:r>
      <w:r w:rsidRPr="009667E6">
        <w:rPr>
          <w:rFonts w:ascii="Calibri" w:hAnsi="Calibri"/>
          <w:b/>
          <w:sz w:val="20"/>
          <w:szCs w:val="20"/>
          <w:lang w:val="en-GB"/>
        </w:rPr>
        <w:t>VU</w:t>
      </w:r>
      <w:r w:rsidRPr="009667E6">
        <w:rPr>
          <w:rFonts w:ascii="Calibri" w:hAnsi="Calibri"/>
          <w:sz w:val="20"/>
          <w:szCs w:val="20"/>
          <w:lang w:val="en-GB"/>
        </w:rPr>
        <w:t>).</w:t>
      </w:r>
    </w:p>
    <w:p w14:paraId="5298BBCB" w14:textId="72663978"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hAnsi="Calibri"/>
          <w:sz w:val="20"/>
          <w:szCs w:val="20"/>
          <w:lang w:val="en-GB"/>
        </w:rPr>
        <w:t xml:space="preserve">The PONASI PA landscape is crossed by the </w:t>
      </w:r>
      <w:proofErr w:type="spellStart"/>
      <w:r w:rsidRPr="009667E6">
        <w:rPr>
          <w:rFonts w:ascii="Calibri" w:hAnsi="Calibri"/>
          <w:sz w:val="20"/>
          <w:szCs w:val="20"/>
          <w:lang w:val="en-GB"/>
        </w:rPr>
        <w:t>Nazinon</w:t>
      </w:r>
      <w:proofErr w:type="spellEnd"/>
      <w:r w:rsidRPr="009667E6">
        <w:rPr>
          <w:rFonts w:ascii="Calibri" w:hAnsi="Calibri"/>
          <w:sz w:val="20"/>
          <w:szCs w:val="20"/>
          <w:lang w:val="en-GB"/>
        </w:rPr>
        <w:t xml:space="preserve"> River and its tributaries </w:t>
      </w:r>
      <w:proofErr w:type="spellStart"/>
      <w:r w:rsidRPr="009667E6">
        <w:rPr>
          <w:rFonts w:ascii="Calibri" w:hAnsi="Calibri"/>
          <w:sz w:val="20"/>
          <w:szCs w:val="20"/>
          <w:lang w:val="en-GB"/>
        </w:rPr>
        <w:t>Sissili</w:t>
      </w:r>
      <w:proofErr w:type="spellEnd"/>
      <w:r w:rsidRPr="009667E6">
        <w:rPr>
          <w:rFonts w:ascii="Calibri" w:hAnsi="Calibri"/>
          <w:sz w:val="20"/>
          <w:szCs w:val="20"/>
          <w:lang w:val="en-GB"/>
        </w:rPr>
        <w:t xml:space="preserve">, </w:t>
      </w:r>
      <w:proofErr w:type="spellStart"/>
      <w:r w:rsidRPr="009667E6">
        <w:rPr>
          <w:rFonts w:ascii="Calibri" w:hAnsi="Calibri"/>
          <w:sz w:val="20"/>
          <w:szCs w:val="20"/>
          <w:lang w:val="en-GB"/>
        </w:rPr>
        <w:t>Dawevélé</w:t>
      </w:r>
      <w:proofErr w:type="spellEnd"/>
      <w:r w:rsidRPr="009667E6">
        <w:rPr>
          <w:rFonts w:ascii="Calibri" w:hAnsi="Calibri"/>
          <w:sz w:val="20"/>
          <w:szCs w:val="20"/>
          <w:lang w:val="en-GB"/>
        </w:rPr>
        <w:t xml:space="preserve">, and </w:t>
      </w:r>
      <w:proofErr w:type="spellStart"/>
      <w:r w:rsidRPr="009667E6">
        <w:rPr>
          <w:rFonts w:ascii="Calibri" w:hAnsi="Calibri"/>
          <w:sz w:val="20"/>
          <w:szCs w:val="20"/>
          <w:lang w:val="en-GB"/>
        </w:rPr>
        <w:t>Nazinga</w:t>
      </w:r>
      <w:proofErr w:type="spellEnd"/>
      <w:r w:rsidRPr="009667E6">
        <w:rPr>
          <w:rFonts w:ascii="Calibri" w:hAnsi="Calibri"/>
          <w:sz w:val="20"/>
          <w:szCs w:val="20"/>
          <w:lang w:val="en-GB"/>
        </w:rPr>
        <w:t xml:space="preserve">. There are also 11 reservoirs in the </w:t>
      </w:r>
      <w:proofErr w:type="spellStart"/>
      <w:r w:rsidRPr="009667E6">
        <w:rPr>
          <w:rFonts w:ascii="Calibri" w:hAnsi="Calibri"/>
          <w:sz w:val="20"/>
          <w:szCs w:val="20"/>
          <w:lang w:val="en-GB"/>
        </w:rPr>
        <w:t>Nazinga</w:t>
      </w:r>
      <w:proofErr w:type="spellEnd"/>
      <w:r w:rsidRPr="009667E6">
        <w:rPr>
          <w:rFonts w:ascii="Calibri" w:hAnsi="Calibri"/>
          <w:sz w:val="20"/>
          <w:szCs w:val="20"/>
          <w:lang w:val="en-GB"/>
        </w:rPr>
        <w:t xml:space="preserve"> Game Ranch. The regime of these rivers is intermittent, the water flowing period being from July to October, with ponds remaining in the bed of these rivers for the rest of the year. The availability of surface water is a major factor in the survival of the ecosystem's wildlife in the dry season.</w:t>
      </w:r>
    </w:p>
    <w:p w14:paraId="486930D7" w14:textId="27107E2A"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hAnsi="Calibri"/>
          <w:sz w:val="20"/>
          <w:szCs w:val="20"/>
          <w:lang w:val="en-GB"/>
        </w:rPr>
        <w:t xml:space="preserve">The PONASI PA landscape partially occupies the territories of nine (9) communes spread over three administrative regions, the East-Central, </w:t>
      </w:r>
      <w:proofErr w:type="gramStart"/>
      <w:r w:rsidRPr="009667E6">
        <w:rPr>
          <w:rFonts w:ascii="Calibri" w:hAnsi="Calibri"/>
          <w:sz w:val="20"/>
          <w:szCs w:val="20"/>
          <w:lang w:val="en-GB"/>
        </w:rPr>
        <w:t>South-Central</w:t>
      </w:r>
      <w:proofErr w:type="gramEnd"/>
      <w:r w:rsidRPr="009667E6">
        <w:rPr>
          <w:rFonts w:ascii="Calibri" w:hAnsi="Calibri"/>
          <w:sz w:val="20"/>
          <w:szCs w:val="20"/>
          <w:lang w:val="en-GB"/>
        </w:rPr>
        <w:t xml:space="preserve"> and West-central regions. The communes involved are those of </w:t>
      </w:r>
      <w:proofErr w:type="spellStart"/>
      <w:r w:rsidRPr="009667E6">
        <w:rPr>
          <w:rFonts w:ascii="Calibri" w:hAnsi="Calibri"/>
          <w:sz w:val="20"/>
          <w:szCs w:val="20"/>
          <w:lang w:val="en-GB"/>
        </w:rPr>
        <w:t>Zabré</w:t>
      </w:r>
      <w:proofErr w:type="spellEnd"/>
      <w:r w:rsidRPr="009667E6">
        <w:rPr>
          <w:rFonts w:ascii="Calibri" w:hAnsi="Calibri"/>
          <w:sz w:val="20"/>
          <w:szCs w:val="20"/>
          <w:lang w:val="en-GB"/>
        </w:rPr>
        <w:t xml:space="preserve">, </w:t>
      </w:r>
      <w:proofErr w:type="spellStart"/>
      <w:r w:rsidRPr="009667E6">
        <w:rPr>
          <w:rFonts w:ascii="Calibri" w:hAnsi="Calibri"/>
          <w:sz w:val="20"/>
          <w:szCs w:val="20"/>
          <w:lang w:val="en-GB"/>
        </w:rPr>
        <w:t>Zoaga</w:t>
      </w:r>
      <w:proofErr w:type="spellEnd"/>
      <w:r w:rsidRPr="009667E6">
        <w:rPr>
          <w:rFonts w:ascii="Calibri" w:hAnsi="Calibri"/>
          <w:sz w:val="20"/>
          <w:szCs w:val="20"/>
          <w:lang w:val="en-GB"/>
        </w:rPr>
        <w:t xml:space="preserve">, </w:t>
      </w:r>
      <w:proofErr w:type="spellStart"/>
      <w:r w:rsidRPr="009667E6">
        <w:rPr>
          <w:rFonts w:ascii="Calibri" w:hAnsi="Calibri"/>
          <w:sz w:val="20"/>
          <w:szCs w:val="20"/>
          <w:lang w:val="en-GB"/>
        </w:rPr>
        <w:t>Guiaro</w:t>
      </w:r>
      <w:proofErr w:type="spellEnd"/>
      <w:r w:rsidRPr="009667E6">
        <w:rPr>
          <w:rFonts w:ascii="Calibri" w:hAnsi="Calibri"/>
          <w:sz w:val="20"/>
          <w:szCs w:val="20"/>
          <w:lang w:val="en-GB"/>
        </w:rPr>
        <w:t xml:space="preserve">, Po, </w:t>
      </w:r>
      <w:proofErr w:type="spellStart"/>
      <w:r w:rsidRPr="009667E6">
        <w:rPr>
          <w:rFonts w:ascii="Calibri" w:hAnsi="Calibri"/>
          <w:sz w:val="20"/>
          <w:szCs w:val="20"/>
          <w:lang w:val="en-GB"/>
        </w:rPr>
        <w:t>Toécé</w:t>
      </w:r>
      <w:proofErr w:type="spellEnd"/>
      <w:r w:rsidRPr="009667E6">
        <w:rPr>
          <w:rFonts w:ascii="Calibri" w:hAnsi="Calibri"/>
          <w:sz w:val="20"/>
          <w:szCs w:val="20"/>
          <w:lang w:val="en-GB"/>
        </w:rPr>
        <w:t xml:space="preserve">, </w:t>
      </w:r>
      <w:proofErr w:type="spellStart"/>
      <w:r w:rsidRPr="009667E6">
        <w:rPr>
          <w:rFonts w:ascii="Calibri" w:hAnsi="Calibri"/>
          <w:sz w:val="20"/>
          <w:szCs w:val="20"/>
          <w:lang w:val="en-GB"/>
        </w:rPr>
        <w:t>Doulougou</w:t>
      </w:r>
      <w:proofErr w:type="spellEnd"/>
      <w:r w:rsidRPr="009667E6">
        <w:rPr>
          <w:rFonts w:ascii="Calibri" w:hAnsi="Calibri"/>
          <w:sz w:val="20"/>
          <w:szCs w:val="20"/>
          <w:lang w:val="en-GB"/>
        </w:rPr>
        <w:t xml:space="preserve">, </w:t>
      </w:r>
      <w:proofErr w:type="spellStart"/>
      <w:r w:rsidRPr="009667E6">
        <w:rPr>
          <w:rFonts w:ascii="Calibri" w:hAnsi="Calibri"/>
          <w:sz w:val="20"/>
          <w:szCs w:val="20"/>
          <w:lang w:val="en-GB"/>
        </w:rPr>
        <w:t>Biéha</w:t>
      </w:r>
      <w:proofErr w:type="spellEnd"/>
      <w:r w:rsidRPr="009667E6">
        <w:rPr>
          <w:rFonts w:ascii="Calibri" w:hAnsi="Calibri"/>
          <w:sz w:val="20"/>
          <w:szCs w:val="20"/>
          <w:lang w:val="en-GB"/>
        </w:rPr>
        <w:t xml:space="preserve">, </w:t>
      </w:r>
      <w:proofErr w:type="spellStart"/>
      <w:r w:rsidRPr="009667E6">
        <w:rPr>
          <w:rFonts w:ascii="Calibri" w:hAnsi="Calibri"/>
          <w:sz w:val="20"/>
          <w:szCs w:val="20"/>
          <w:lang w:val="en-GB"/>
        </w:rPr>
        <w:t>Sapouy</w:t>
      </w:r>
      <w:proofErr w:type="spellEnd"/>
      <w:r w:rsidRPr="009667E6">
        <w:rPr>
          <w:rFonts w:ascii="Calibri" w:hAnsi="Calibri"/>
          <w:sz w:val="20"/>
          <w:szCs w:val="20"/>
          <w:lang w:val="en-GB"/>
        </w:rPr>
        <w:t xml:space="preserve"> and </w:t>
      </w:r>
      <w:proofErr w:type="spellStart"/>
      <w:r w:rsidRPr="009667E6">
        <w:rPr>
          <w:rFonts w:ascii="Calibri" w:hAnsi="Calibri"/>
          <w:sz w:val="20"/>
          <w:szCs w:val="20"/>
          <w:lang w:val="en-GB"/>
        </w:rPr>
        <w:t>Nobéré</w:t>
      </w:r>
      <w:proofErr w:type="spellEnd"/>
      <w:r w:rsidRPr="009667E6">
        <w:rPr>
          <w:rFonts w:ascii="Calibri" w:hAnsi="Calibri"/>
          <w:sz w:val="20"/>
          <w:szCs w:val="20"/>
          <w:lang w:val="en-GB"/>
        </w:rPr>
        <w:t>.</w:t>
      </w:r>
    </w:p>
    <w:p w14:paraId="068376A2" w14:textId="3A8FEB34"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hAnsi="Calibri"/>
          <w:b/>
          <w:sz w:val="20"/>
          <w:szCs w:val="20"/>
          <w:lang w:val="en-GB"/>
        </w:rPr>
        <w:t xml:space="preserve"> Ecosystem services </w:t>
      </w:r>
      <w:r w:rsidRPr="009667E6">
        <w:rPr>
          <w:rFonts w:ascii="Calibri" w:hAnsi="Calibri"/>
          <w:sz w:val="20"/>
          <w:szCs w:val="20"/>
          <w:lang w:val="en-GB"/>
        </w:rPr>
        <w:t xml:space="preserve">The PONASI protected area complex, with its large forest area, helps to counter climate change through carbon sequestration and is a refuge for wildlife. The many ecosystem services it provides contribute to the fight against poverty and to strengthen the resilience of local communities to the adverse effects of climate change. The site is also a focal point for the preservation and dissemination of the genetic pool of fauna and flora for the restocking of related territories. The PONASI Complex is also home to many sites of importance for cultural traditions where people make ritual sacrifices, including the sacred groves in the Classified Forest / Hunting Area of </w:t>
      </w:r>
      <w:proofErr w:type="spellStart"/>
      <w:r w:rsidRPr="009667E6">
        <w:rPr>
          <w:rFonts w:ascii="Calibri" w:hAnsi="Calibri"/>
          <w:sz w:val="20"/>
          <w:szCs w:val="20"/>
          <w:lang w:val="en-GB"/>
        </w:rPr>
        <w:t>Sissili</w:t>
      </w:r>
      <w:proofErr w:type="spellEnd"/>
      <w:r w:rsidRPr="009667E6">
        <w:rPr>
          <w:rFonts w:ascii="Calibri" w:hAnsi="Calibri"/>
          <w:sz w:val="20"/>
          <w:szCs w:val="20"/>
          <w:lang w:val="en-GB"/>
        </w:rPr>
        <w:t>, the</w:t>
      </w:r>
      <w:r w:rsidRPr="009667E6">
        <w:rPr>
          <w:rFonts w:ascii="Calibri" w:hAnsi="Calibri"/>
          <w:i/>
          <w:sz w:val="20"/>
          <w:szCs w:val="20"/>
          <w:lang w:val="en-GB"/>
        </w:rPr>
        <w:t xml:space="preserve"> </w:t>
      </w:r>
      <w:r w:rsidRPr="009667E6">
        <w:rPr>
          <w:rFonts w:ascii="Calibri" w:hAnsi="Calibri"/>
          <w:sz w:val="20"/>
          <w:szCs w:val="20"/>
          <w:lang w:val="en-GB"/>
        </w:rPr>
        <w:t xml:space="preserve">sacred hills and sacred waterholes in the </w:t>
      </w:r>
      <w:proofErr w:type="spellStart"/>
      <w:r w:rsidRPr="009667E6">
        <w:rPr>
          <w:rFonts w:ascii="Calibri" w:hAnsi="Calibri"/>
          <w:sz w:val="20"/>
          <w:szCs w:val="20"/>
          <w:lang w:val="en-GB"/>
        </w:rPr>
        <w:t>Sissili</w:t>
      </w:r>
      <w:proofErr w:type="spellEnd"/>
      <w:r w:rsidRPr="009667E6">
        <w:rPr>
          <w:rFonts w:ascii="Calibri" w:hAnsi="Calibri"/>
          <w:sz w:val="20"/>
          <w:szCs w:val="20"/>
          <w:lang w:val="en-GB"/>
        </w:rPr>
        <w:t xml:space="preserve"> and in the </w:t>
      </w:r>
      <w:proofErr w:type="spellStart"/>
      <w:r w:rsidRPr="009667E6">
        <w:rPr>
          <w:rFonts w:ascii="Calibri" w:hAnsi="Calibri"/>
          <w:sz w:val="20"/>
          <w:szCs w:val="20"/>
          <w:lang w:val="en-GB"/>
        </w:rPr>
        <w:t>Nahouri</w:t>
      </w:r>
      <w:proofErr w:type="spellEnd"/>
      <w:r w:rsidRPr="009667E6">
        <w:rPr>
          <w:rFonts w:ascii="Calibri" w:hAnsi="Calibri"/>
          <w:sz w:val="20"/>
          <w:szCs w:val="20"/>
          <w:lang w:val="en-GB"/>
        </w:rPr>
        <w:t>.</w:t>
      </w:r>
    </w:p>
    <w:p w14:paraId="7C6AE61C" w14:textId="5DEE1FD4"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hAnsi="Calibri"/>
          <w:b/>
          <w:sz w:val="20"/>
          <w:szCs w:val="20"/>
          <w:lang w:val="en-GB"/>
        </w:rPr>
        <w:t>Populations within the PONASI landscape.</w:t>
      </w:r>
      <w:r w:rsidRPr="009667E6">
        <w:rPr>
          <w:rFonts w:ascii="Calibri" w:hAnsi="Calibri"/>
          <w:sz w:val="20"/>
          <w:szCs w:val="20"/>
          <w:lang w:val="en-GB"/>
        </w:rPr>
        <w:t xml:space="preserve"> The project is expected to affect approximately 487,961 people (52.8% women and 47.2% men) including 30,885 direct beneficiaries (18,531 women and 12,354 men)</w:t>
      </w:r>
      <w:r w:rsidRPr="009667E6">
        <w:rPr>
          <w:rStyle w:val="Appelnotedebasdep"/>
          <w:szCs w:val="20"/>
          <w:lang w:val="en-GB"/>
        </w:rPr>
        <w:footnoteReference w:id="11"/>
      </w:r>
      <w:r w:rsidRPr="009667E6">
        <w:rPr>
          <w:rFonts w:ascii="Calibri" w:hAnsi="Calibri"/>
          <w:sz w:val="20"/>
          <w:szCs w:val="20"/>
          <w:lang w:val="en-GB"/>
        </w:rPr>
        <w:t>. The average household</w:t>
      </w:r>
      <w:r w:rsidRPr="009667E6">
        <w:rPr>
          <w:rStyle w:val="Appelnotedebasdep"/>
          <w:szCs w:val="20"/>
          <w:lang w:val="en-GB"/>
        </w:rPr>
        <w:footnoteReference w:id="12"/>
      </w:r>
      <w:r w:rsidRPr="009667E6">
        <w:rPr>
          <w:rFonts w:ascii="Calibri" w:hAnsi="Calibri"/>
          <w:sz w:val="20"/>
          <w:szCs w:val="20"/>
          <w:lang w:val="en-GB"/>
        </w:rPr>
        <w:t xml:space="preserve"> size in the pilot sites is 7 members. Further details are presented in Annex </w:t>
      </w:r>
      <w:r w:rsidR="009523FE" w:rsidRPr="009667E6">
        <w:rPr>
          <w:rFonts w:ascii="Calibri" w:hAnsi="Calibri"/>
          <w:sz w:val="20"/>
          <w:szCs w:val="20"/>
          <w:lang w:val="en-GB"/>
        </w:rPr>
        <w:t>I</w:t>
      </w:r>
      <w:r w:rsidRPr="009667E6">
        <w:rPr>
          <w:rFonts w:ascii="Calibri" w:hAnsi="Calibri"/>
          <w:sz w:val="20"/>
          <w:szCs w:val="20"/>
          <w:lang w:val="en-GB"/>
        </w:rPr>
        <w:t xml:space="preserve">. The ethnic composition of the populations of the nine communes of the PONASI landscape area is very diverse and results from past movements of populations attracted by </w:t>
      </w:r>
      <w:proofErr w:type="spellStart"/>
      <w:r w:rsidRPr="009667E6">
        <w:rPr>
          <w:rFonts w:ascii="Calibri" w:hAnsi="Calibri"/>
          <w:sz w:val="20"/>
          <w:szCs w:val="20"/>
          <w:lang w:val="en-GB"/>
        </w:rPr>
        <w:t>favorable</w:t>
      </w:r>
      <w:proofErr w:type="spellEnd"/>
      <w:r w:rsidRPr="009667E6">
        <w:rPr>
          <w:rFonts w:ascii="Calibri" w:hAnsi="Calibri"/>
          <w:sz w:val="20"/>
          <w:szCs w:val="20"/>
          <w:lang w:val="en-GB"/>
        </w:rPr>
        <w:t xml:space="preserve"> grazing conditions. It is </w:t>
      </w:r>
      <w:r w:rsidRPr="009667E6">
        <w:rPr>
          <w:rFonts w:ascii="Calibri" w:hAnsi="Calibri"/>
          <w:sz w:val="20"/>
          <w:szCs w:val="20"/>
          <w:lang w:val="en-GB"/>
        </w:rPr>
        <w:lastRenderedPageBreak/>
        <w:t xml:space="preserve">described in more detail in Annex </w:t>
      </w:r>
      <w:r w:rsidR="009523FE" w:rsidRPr="009667E6">
        <w:rPr>
          <w:rFonts w:ascii="Calibri" w:hAnsi="Calibri"/>
          <w:sz w:val="20"/>
          <w:szCs w:val="20"/>
          <w:lang w:val="en-GB"/>
        </w:rPr>
        <w:t>I</w:t>
      </w:r>
      <w:r w:rsidRPr="009667E6">
        <w:rPr>
          <w:rFonts w:ascii="Calibri" w:hAnsi="Calibri"/>
          <w:sz w:val="20"/>
          <w:szCs w:val="20"/>
          <w:lang w:val="en-GB"/>
        </w:rPr>
        <w:t xml:space="preserve">. </w:t>
      </w:r>
      <w:bookmarkStart w:id="5" w:name="_Hlk13566873"/>
      <w:r w:rsidRPr="009667E6">
        <w:rPr>
          <w:rFonts w:ascii="Calibri" w:hAnsi="Calibri"/>
          <w:sz w:val="20"/>
          <w:szCs w:val="20"/>
          <w:lang w:val="en-CA"/>
        </w:rPr>
        <w:t xml:space="preserve">The human population around the </w:t>
      </w:r>
      <w:r w:rsidR="00F03A01" w:rsidRPr="009667E6">
        <w:rPr>
          <w:rFonts w:ascii="Calibri" w:hAnsi="Calibri"/>
          <w:sz w:val="20"/>
          <w:szCs w:val="20"/>
          <w:lang w:val="en-CA"/>
        </w:rPr>
        <w:t>RGN</w:t>
      </w:r>
      <w:r w:rsidRPr="009667E6">
        <w:rPr>
          <w:rFonts w:ascii="Calibri" w:hAnsi="Calibri"/>
          <w:sz w:val="20"/>
          <w:szCs w:val="20"/>
          <w:lang w:val="en-CA"/>
        </w:rPr>
        <w:t xml:space="preserve"> increased by a factor of 4.5 in 30 years</w:t>
      </w:r>
      <w:r w:rsidRPr="009667E6">
        <w:rPr>
          <w:rStyle w:val="Appelnotedebasdep"/>
          <w:lang w:val="en-CA"/>
        </w:rPr>
        <w:footnoteReference w:id="13"/>
      </w:r>
      <w:r w:rsidRPr="009667E6">
        <w:rPr>
          <w:lang w:val="en-CA"/>
        </w:rPr>
        <w:t xml:space="preserve">. </w:t>
      </w:r>
      <w:bookmarkEnd w:id="5"/>
      <w:r w:rsidRPr="009667E6">
        <w:rPr>
          <w:rFonts w:ascii="Calibri" w:hAnsi="Calibri"/>
          <w:sz w:val="20"/>
          <w:szCs w:val="20"/>
          <w:lang w:val="en-GB"/>
        </w:rPr>
        <w:t xml:space="preserve">In general, human density in the PONASI landscape is increasing rapidly due to migration of </w:t>
      </w:r>
      <w:proofErr w:type="spellStart"/>
      <w:r w:rsidRPr="009667E6">
        <w:rPr>
          <w:rFonts w:ascii="Calibri" w:hAnsi="Calibri"/>
          <w:sz w:val="20"/>
          <w:szCs w:val="20"/>
          <w:lang w:val="en-GB"/>
        </w:rPr>
        <w:t>Mossi</w:t>
      </w:r>
      <w:proofErr w:type="spellEnd"/>
      <w:r w:rsidRPr="009667E6">
        <w:rPr>
          <w:rFonts w:ascii="Calibri" w:hAnsi="Calibri"/>
          <w:sz w:val="20"/>
          <w:szCs w:val="20"/>
          <w:lang w:val="en-GB"/>
        </w:rPr>
        <w:t xml:space="preserve"> and Fulani from the ecologically precarious regions of the central and northern parts of the country</w:t>
      </w:r>
      <w:r w:rsidRPr="009667E6">
        <w:rPr>
          <w:lang w:val="en-CA"/>
        </w:rPr>
        <w:t xml:space="preserve"> </w:t>
      </w:r>
      <w:r w:rsidRPr="009667E6">
        <w:rPr>
          <w:rFonts w:ascii="Calibri" w:hAnsi="Calibri"/>
          <w:sz w:val="20"/>
          <w:szCs w:val="20"/>
          <w:lang w:val="en-CA"/>
        </w:rPr>
        <w:t>with different traditions and local resources use practices</w:t>
      </w:r>
      <w:r w:rsidRPr="009667E6">
        <w:rPr>
          <w:rStyle w:val="Appelnotedebasdep"/>
          <w:rFonts w:ascii="Calibri" w:hAnsi="Calibri"/>
          <w:sz w:val="20"/>
          <w:szCs w:val="20"/>
          <w:lang w:val="en-CA"/>
        </w:rPr>
        <w:footnoteReference w:id="14"/>
      </w:r>
      <w:r w:rsidRPr="009667E6">
        <w:rPr>
          <w:rFonts w:ascii="Calibri" w:hAnsi="Calibri"/>
          <w:sz w:val="20"/>
          <w:szCs w:val="20"/>
          <w:lang w:val="en-GB"/>
        </w:rPr>
        <w:t>, and the massive return of Burkinabe from the diaspora in recent years</w:t>
      </w:r>
      <w:r w:rsidRPr="009667E6">
        <w:rPr>
          <w:rStyle w:val="Appelnotedebasdep"/>
          <w:rFonts w:ascii="Calibri" w:hAnsi="Calibri"/>
          <w:sz w:val="20"/>
          <w:szCs w:val="20"/>
        </w:rPr>
        <w:footnoteReference w:id="15"/>
      </w:r>
      <w:r w:rsidRPr="009667E6">
        <w:rPr>
          <w:rFonts w:ascii="Calibri" w:hAnsi="Calibri"/>
          <w:sz w:val="20"/>
          <w:szCs w:val="20"/>
          <w:lang w:val="en-GB"/>
        </w:rPr>
        <w:t>.</w:t>
      </w:r>
    </w:p>
    <w:p w14:paraId="2C0AC865" w14:textId="5CFE43FE"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eastAsia="Times New Roman" w:hAnsi="Calibri"/>
          <w:i/>
          <w:iCs/>
          <w:color w:val="2F5496"/>
          <w:sz w:val="20"/>
          <w:szCs w:val="20"/>
          <w:lang w:val="en-GB"/>
        </w:rPr>
        <w:t>Standard of living of households</w:t>
      </w:r>
      <w:r w:rsidRPr="009667E6">
        <w:rPr>
          <w:rFonts w:ascii="Calibri" w:hAnsi="Calibri"/>
          <w:sz w:val="20"/>
          <w:szCs w:val="20"/>
          <w:lang w:val="en-GB"/>
        </w:rPr>
        <w:t>.</w:t>
      </w:r>
      <w:r w:rsidRPr="009667E6">
        <w:rPr>
          <w:rFonts w:ascii="Calibri" w:hAnsi="Calibri"/>
          <w:sz w:val="20"/>
          <w:szCs w:val="20"/>
          <w:shd w:val="clear" w:color="auto" w:fill="FFFFFF"/>
          <w:lang w:val="en-GB"/>
        </w:rPr>
        <w:t xml:space="preserve"> The prevalence of poverty in the project area as perceived by the population was estimated in a participatory manner based on defined criteria. Overall, people surveyed estimate that 61% of households are poor, 30% are moderately poor and 9% are rich. These estimates and the criteria defined by the persons consulted are further detailed in </w:t>
      </w:r>
      <w:r w:rsidRPr="009667E6">
        <w:rPr>
          <w:rFonts w:ascii="Calibri" w:hAnsi="Calibri"/>
          <w:sz w:val="20"/>
          <w:szCs w:val="20"/>
          <w:lang w:val="en-GB"/>
        </w:rPr>
        <w:t xml:space="preserve">Annex </w:t>
      </w:r>
      <w:r w:rsidR="009523FE" w:rsidRPr="009667E6">
        <w:rPr>
          <w:rFonts w:ascii="Calibri" w:hAnsi="Calibri"/>
          <w:sz w:val="20"/>
          <w:szCs w:val="20"/>
          <w:shd w:val="clear" w:color="auto" w:fill="FFFFFF"/>
          <w:lang w:val="en-GB"/>
        </w:rPr>
        <w:t>I</w:t>
      </w:r>
      <w:r w:rsidRPr="009667E6">
        <w:rPr>
          <w:rFonts w:ascii="Calibri" w:hAnsi="Calibri"/>
          <w:sz w:val="20"/>
          <w:szCs w:val="20"/>
          <w:shd w:val="clear" w:color="auto" w:fill="FFFFFF"/>
          <w:lang w:val="en-GB"/>
        </w:rPr>
        <w:t xml:space="preserve">. According to the main criteria defined by the populations, the possession of an </w:t>
      </w:r>
      <w:proofErr w:type="spellStart"/>
      <w:r w:rsidRPr="009667E6">
        <w:rPr>
          <w:rFonts w:ascii="Calibri" w:hAnsi="Calibri"/>
          <w:sz w:val="20"/>
          <w:szCs w:val="20"/>
          <w:shd w:val="clear" w:color="auto" w:fill="FFFFFF"/>
          <w:lang w:val="en-GB"/>
        </w:rPr>
        <w:t>agro</w:t>
      </w:r>
      <w:proofErr w:type="spellEnd"/>
      <w:r w:rsidRPr="009667E6">
        <w:rPr>
          <w:rFonts w:ascii="Calibri" w:hAnsi="Calibri"/>
          <w:sz w:val="20"/>
          <w:szCs w:val="20"/>
          <w:shd w:val="clear" w:color="auto" w:fill="FFFFFF"/>
          <w:lang w:val="en-GB"/>
        </w:rPr>
        <w:t xml:space="preserve">-pastoral capital and the production capacity are decisive in the improvement of the standard of living of households. The situation of the poor is </w:t>
      </w:r>
      <w:proofErr w:type="gramStart"/>
      <w:r w:rsidRPr="009667E6">
        <w:rPr>
          <w:rFonts w:ascii="Calibri" w:hAnsi="Calibri"/>
          <w:sz w:val="20"/>
          <w:szCs w:val="20"/>
          <w:shd w:val="clear" w:color="auto" w:fill="FFFFFF"/>
          <w:lang w:val="en-GB"/>
        </w:rPr>
        <w:t>all the more</w:t>
      </w:r>
      <w:proofErr w:type="gramEnd"/>
      <w:r w:rsidRPr="009667E6">
        <w:rPr>
          <w:rFonts w:ascii="Calibri" w:hAnsi="Calibri"/>
          <w:sz w:val="20"/>
          <w:szCs w:val="20"/>
          <w:shd w:val="clear" w:color="auto" w:fill="FFFFFF"/>
          <w:lang w:val="en-GB"/>
        </w:rPr>
        <w:t xml:space="preserve"> critical as it is almost impossible for them to obtain credit because of their insolvency. To be able to get supplies of cereals (on the market), these people lend their labour for a (paid) daily work, most often in the fields of others</w:t>
      </w:r>
      <w:r w:rsidRPr="009667E6">
        <w:rPr>
          <w:rFonts w:ascii="Calibri" w:hAnsi="Calibri"/>
          <w:sz w:val="20"/>
          <w:szCs w:val="20"/>
          <w:lang w:val="en-GB"/>
        </w:rPr>
        <w:t>.</w:t>
      </w:r>
    </w:p>
    <w:p w14:paraId="3F2ABD5B" w14:textId="79C0C658" w:rsidR="00594C4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bookmarkStart w:id="6" w:name="_Hlk4405622"/>
      <w:bookmarkStart w:id="7" w:name="_Toc2166310"/>
      <w:r w:rsidRPr="009667E6">
        <w:rPr>
          <w:rFonts w:ascii="Calibri" w:eastAsia="Times New Roman" w:hAnsi="Calibri"/>
          <w:i/>
          <w:iCs/>
          <w:color w:val="2F5496"/>
          <w:sz w:val="20"/>
          <w:szCs w:val="20"/>
          <w:lang w:val="en-GB"/>
        </w:rPr>
        <w:t>Local communities’ livelihoods and socio-economic benefits related to PAs</w:t>
      </w:r>
      <w:r w:rsidRPr="009667E6">
        <w:rPr>
          <w:rFonts w:ascii="Calibri" w:hAnsi="Calibri"/>
          <w:sz w:val="20"/>
          <w:szCs w:val="20"/>
          <w:lang w:val="en-GB"/>
        </w:rPr>
        <w:t xml:space="preserve">. </w:t>
      </w:r>
      <w:r w:rsidR="004755DC" w:rsidRPr="009667E6">
        <w:rPr>
          <w:rFonts w:ascii="Calibri" w:hAnsi="Calibri"/>
          <w:sz w:val="20"/>
          <w:szCs w:val="20"/>
          <w:lang w:val="en-GB"/>
        </w:rPr>
        <w:t>The direct and indirect s</w:t>
      </w:r>
      <w:r w:rsidRPr="009667E6">
        <w:rPr>
          <w:rFonts w:ascii="Calibri" w:hAnsi="Calibri"/>
          <w:sz w:val="20"/>
          <w:szCs w:val="20"/>
          <w:lang w:val="en-GB"/>
        </w:rPr>
        <w:t xml:space="preserve">ocio-economic benefits </w:t>
      </w:r>
      <w:r w:rsidR="004755DC" w:rsidRPr="009667E6">
        <w:rPr>
          <w:rFonts w:ascii="Calibri" w:hAnsi="Calibri"/>
          <w:sz w:val="20"/>
          <w:szCs w:val="20"/>
          <w:lang w:val="en-GB"/>
        </w:rPr>
        <w:t>associated with</w:t>
      </w:r>
      <w:r w:rsidRPr="009667E6">
        <w:rPr>
          <w:rFonts w:ascii="Calibri" w:hAnsi="Calibri"/>
          <w:sz w:val="20"/>
          <w:szCs w:val="20"/>
          <w:lang w:val="en-GB"/>
        </w:rPr>
        <w:t xml:space="preserve"> </w:t>
      </w:r>
      <w:r w:rsidR="004755DC" w:rsidRPr="009667E6">
        <w:rPr>
          <w:rFonts w:ascii="Calibri" w:hAnsi="Calibri"/>
          <w:sz w:val="20"/>
          <w:szCs w:val="20"/>
          <w:lang w:val="en-GB"/>
        </w:rPr>
        <w:t>the PONASI PA</w:t>
      </w:r>
      <w:r w:rsidRPr="009667E6">
        <w:rPr>
          <w:rFonts w:ascii="Calibri" w:hAnsi="Calibri"/>
          <w:sz w:val="20"/>
          <w:szCs w:val="20"/>
          <w:lang w:val="en-GB"/>
        </w:rPr>
        <w:t>s</w:t>
      </w:r>
      <w:r w:rsidRPr="009667E6">
        <w:rPr>
          <w:rStyle w:val="Appelnotedebasdep"/>
          <w:rFonts w:ascii="Calibri" w:hAnsi="Calibri"/>
          <w:sz w:val="20"/>
          <w:szCs w:val="20"/>
        </w:rPr>
        <w:t xml:space="preserve"> </w:t>
      </w:r>
      <w:r w:rsidRPr="009667E6">
        <w:rPr>
          <w:rStyle w:val="Appelnotedebasdep"/>
          <w:rFonts w:ascii="Calibri" w:hAnsi="Calibri"/>
          <w:sz w:val="20"/>
          <w:szCs w:val="20"/>
        </w:rPr>
        <w:footnoteReference w:id="16"/>
      </w:r>
      <w:r w:rsidRPr="009667E6">
        <w:rPr>
          <w:rFonts w:ascii="Calibri" w:hAnsi="Calibri"/>
          <w:sz w:val="20"/>
          <w:szCs w:val="20"/>
          <w:lang w:val="en-GB"/>
        </w:rPr>
        <w:t xml:space="preserve"> </w:t>
      </w:r>
      <w:bookmarkEnd w:id="6"/>
      <w:r w:rsidR="004755DC" w:rsidRPr="009667E6">
        <w:rPr>
          <w:rFonts w:ascii="Calibri" w:hAnsi="Calibri"/>
          <w:sz w:val="20"/>
          <w:szCs w:val="20"/>
          <w:lang w:val="en-GB"/>
        </w:rPr>
        <w:t xml:space="preserve">encompass </w:t>
      </w:r>
      <w:r w:rsidRPr="009667E6">
        <w:rPr>
          <w:rFonts w:ascii="Calibri" w:hAnsi="Calibri"/>
          <w:sz w:val="20"/>
          <w:szCs w:val="20"/>
          <w:lang w:val="en-GB"/>
        </w:rPr>
        <w:t>t</w:t>
      </w:r>
      <w:r w:rsidR="004755DC" w:rsidRPr="009667E6">
        <w:rPr>
          <w:rFonts w:ascii="Calibri" w:hAnsi="Calibri"/>
          <w:sz w:val="20"/>
          <w:szCs w:val="20"/>
          <w:lang w:val="en-GB"/>
        </w:rPr>
        <w:t>he</w:t>
      </w:r>
      <w:r w:rsidRPr="009667E6">
        <w:rPr>
          <w:rFonts w:ascii="Calibri" w:hAnsi="Calibri"/>
          <w:sz w:val="20"/>
          <w:szCs w:val="20"/>
          <w:lang w:val="en-GB"/>
        </w:rPr>
        <w:t xml:space="preserve"> livelihoods based on natural resource use</w:t>
      </w:r>
      <w:r w:rsidR="004755DC" w:rsidRPr="009667E6">
        <w:rPr>
          <w:rFonts w:ascii="Calibri" w:hAnsi="Calibri"/>
          <w:sz w:val="20"/>
          <w:szCs w:val="20"/>
          <w:lang w:val="en-GB"/>
        </w:rPr>
        <w:t>s across the landscape</w:t>
      </w:r>
      <w:r w:rsidRPr="009667E6">
        <w:rPr>
          <w:rFonts w:ascii="Calibri" w:hAnsi="Calibri"/>
          <w:sz w:val="20"/>
          <w:szCs w:val="20"/>
          <w:lang w:val="en-GB"/>
        </w:rPr>
        <w:t xml:space="preserve">, direct and indirect jobs created in </w:t>
      </w:r>
      <w:r w:rsidR="004755DC" w:rsidRPr="009667E6">
        <w:rPr>
          <w:rFonts w:ascii="Calibri" w:hAnsi="Calibri"/>
          <w:sz w:val="20"/>
          <w:szCs w:val="20"/>
          <w:lang w:val="en-GB"/>
        </w:rPr>
        <w:t xml:space="preserve">and around </w:t>
      </w:r>
      <w:r w:rsidRPr="009667E6">
        <w:rPr>
          <w:rFonts w:ascii="Calibri" w:hAnsi="Calibri"/>
          <w:sz w:val="20"/>
          <w:szCs w:val="20"/>
          <w:lang w:val="en-GB"/>
        </w:rPr>
        <w:t>protected areas, as well as improvement of farming and breeding activities conducted by neighbouring communities</w:t>
      </w:r>
      <w:r w:rsidR="00594C4E" w:rsidRPr="009667E6">
        <w:rPr>
          <w:rFonts w:ascii="Calibri" w:hAnsi="Calibri"/>
          <w:sz w:val="20"/>
          <w:szCs w:val="20"/>
          <w:lang w:val="en-GB"/>
        </w:rPr>
        <w:t xml:space="preserve"> due to more </w:t>
      </w:r>
      <w:proofErr w:type="spellStart"/>
      <w:r w:rsidR="00594C4E" w:rsidRPr="009667E6">
        <w:rPr>
          <w:rFonts w:ascii="Calibri" w:hAnsi="Calibri"/>
          <w:sz w:val="20"/>
          <w:szCs w:val="20"/>
          <w:lang w:val="en-GB"/>
        </w:rPr>
        <w:t>favorable</w:t>
      </w:r>
      <w:proofErr w:type="spellEnd"/>
      <w:r w:rsidR="00594C4E" w:rsidRPr="009667E6">
        <w:rPr>
          <w:rFonts w:ascii="Calibri" w:hAnsi="Calibri"/>
          <w:sz w:val="20"/>
          <w:szCs w:val="20"/>
          <w:lang w:val="en-GB"/>
        </w:rPr>
        <w:t xml:space="preserve"> environmental conditions in the vicinity of PAs</w:t>
      </w:r>
      <w:r w:rsidRPr="009667E6">
        <w:rPr>
          <w:rFonts w:ascii="Calibri" w:hAnsi="Calibri"/>
          <w:sz w:val="20"/>
          <w:szCs w:val="20"/>
          <w:lang w:val="en-GB"/>
        </w:rPr>
        <w:t xml:space="preserve">. </w:t>
      </w:r>
      <w:r w:rsidR="00C80F75" w:rsidRPr="009667E6">
        <w:rPr>
          <w:rFonts w:ascii="Calibri" w:hAnsi="Calibri"/>
          <w:sz w:val="20"/>
          <w:szCs w:val="20"/>
          <w:lang w:val="en-GB"/>
        </w:rPr>
        <w:t xml:space="preserve">Socio-economic benefits are presented in detail in Annex I. </w:t>
      </w:r>
      <w:r w:rsidR="004755DC" w:rsidRPr="009667E6">
        <w:rPr>
          <w:rFonts w:ascii="Calibri" w:hAnsi="Calibri"/>
          <w:sz w:val="20"/>
          <w:szCs w:val="20"/>
          <w:lang w:val="en-GB"/>
        </w:rPr>
        <w:t xml:space="preserve">Such livelihoods consist mainly of activities in the primary sector, namely agriculture which employs about 95% of the active population in the PONASI landscape, livestock, hunting, fishing, handicrafts, </w:t>
      </w:r>
      <w:proofErr w:type="gramStart"/>
      <w:r w:rsidR="004755DC" w:rsidRPr="009667E6">
        <w:rPr>
          <w:rFonts w:ascii="Calibri" w:hAnsi="Calibri"/>
          <w:sz w:val="20"/>
          <w:szCs w:val="20"/>
          <w:lang w:val="en-GB"/>
        </w:rPr>
        <w:t>firewood</w:t>
      </w:r>
      <w:proofErr w:type="gramEnd"/>
      <w:r w:rsidR="004755DC" w:rsidRPr="009667E6">
        <w:rPr>
          <w:rFonts w:ascii="Calibri" w:hAnsi="Calibri"/>
          <w:sz w:val="20"/>
          <w:szCs w:val="20"/>
          <w:lang w:val="en-GB"/>
        </w:rPr>
        <w:t xml:space="preserve"> and charcoal, harvesting of NTFPs and fodder, beekeeping, gravel mining and gold panning. </w:t>
      </w:r>
    </w:p>
    <w:p w14:paraId="59607A4A" w14:textId="57D9B2C9" w:rsidR="00302BFE" w:rsidRPr="009667E6" w:rsidRDefault="00C80F75"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hAnsi="Calibri"/>
          <w:sz w:val="20"/>
          <w:szCs w:val="20"/>
          <w:lang w:val="en-GB"/>
        </w:rPr>
        <w:t>Local communities’ benefits directly related to protected areas include (i) harvesting timber and non-timber forest products, including</w:t>
      </w:r>
      <w:r w:rsidR="00E45E6D" w:rsidRPr="009667E6">
        <w:rPr>
          <w:rFonts w:ascii="Calibri" w:hAnsi="Calibri"/>
          <w:sz w:val="20"/>
          <w:szCs w:val="20"/>
          <w:lang w:val="en-GB"/>
        </w:rPr>
        <w:t xml:space="preserve"> </w:t>
      </w:r>
      <w:r w:rsidRPr="009667E6">
        <w:rPr>
          <w:rFonts w:ascii="Calibri" w:hAnsi="Calibri"/>
          <w:sz w:val="20"/>
          <w:szCs w:val="20"/>
          <w:lang w:val="en-GB"/>
        </w:rPr>
        <w:t>hunting products</w:t>
      </w:r>
      <w:r w:rsidR="00E45E6D" w:rsidRPr="009667E6">
        <w:rPr>
          <w:rFonts w:ascii="Calibri" w:hAnsi="Calibri"/>
          <w:sz w:val="20"/>
          <w:szCs w:val="20"/>
          <w:lang w:val="en-GB"/>
        </w:rPr>
        <w:t xml:space="preserve"> </w:t>
      </w:r>
      <w:r w:rsidR="00CE07B1" w:rsidRPr="009667E6">
        <w:rPr>
          <w:rFonts w:ascii="Calibri" w:hAnsi="Calibri"/>
          <w:sz w:val="20"/>
          <w:szCs w:val="20"/>
          <w:lang w:val="en-GB"/>
        </w:rPr>
        <w:t>(</w:t>
      </w:r>
      <w:r w:rsidR="00E45E6D" w:rsidRPr="009667E6">
        <w:rPr>
          <w:rFonts w:ascii="Calibri" w:hAnsi="Calibri"/>
          <w:sz w:val="20"/>
          <w:szCs w:val="20"/>
          <w:lang w:val="en-GB"/>
        </w:rPr>
        <w:t xml:space="preserve">where hunting is </w:t>
      </w:r>
      <w:r w:rsidR="00D80570" w:rsidRPr="009667E6">
        <w:rPr>
          <w:rFonts w:ascii="Calibri" w:hAnsi="Calibri"/>
          <w:sz w:val="20"/>
          <w:szCs w:val="20"/>
          <w:lang w:val="en-GB"/>
        </w:rPr>
        <w:t>permitted</w:t>
      </w:r>
      <w:r w:rsidR="00CE07B1" w:rsidRPr="009667E6">
        <w:rPr>
          <w:rFonts w:ascii="Calibri" w:hAnsi="Calibri"/>
          <w:sz w:val="20"/>
          <w:szCs w:val="20"/>
          <w:lang w:val="en-GB"/>
        </w:rPr>
        <w:t>)</w:t>
      </w:r>
      <w:r w:rsidRPr="009667E6">
        <w:rPr>
          <w:rFonts w:ascii="Calibri" w:hAnsi="Calibri"/>
          <w:sz w:val="20"/>
          <w:szCs w:val="20"/>
          <w:lang w:val="en-GB"/>
        </w:rPr>
        <w:t xml:space="preserve">, (ii) jobs and side benefits related to hunting and vision tourism, and (iii) direct employment for the development and management of protected areas. </w:t>
      </w:r>
      <w:r w:rsidR="00302BFE" w:rsidRPr="009667E6">
        <w:rPr>
          <w:rFonts w:ascii="Calibri" w:hAnsi="Calibri"/>
          <w:sz w:val="20"/>
          <w:szCs w:val="20"/>
          <w:lang w:val="en-GB"/>
        </w:rPr>
        <w:t xml:space="preserve">Jobs created for </w:t>
      </w:r>
      <w:r w:rsidRPr="009667E6">
        <w:rPr>
          <w:rFonts w:ascii="Calibri" w:hAnsi="Calibri"/>
          <w:sz w:val="20"/>
          <w:szCs w:val="20"/>
          <w:lang w:val="en-GB"/>
        </w:rPr>
        <w:t>PA</w:t>
      </w:r>
      <w:r w:rsidR="00302BFE" w:rsidRPr="009667E6">
        <w:rPr>
          <w:rFonts w:ascii="Calibri" w:hAnsi="Calibri"/>
          <w:sz w:val="20"/>
          <w:szCs w:val="20"/>
          <w:lang w:val="en-GB"/>
        </w:rPr>
        <w:t xml:space="preserve"> development and management can generate substantial revenues for local communities. In three years (from 2010 to 2012), the development works carried out under the PAPSA project in the PONASI </w:t>
      </w:r>
      <w:r w:rsidR="00D94275" w:rsidRPr="009667E6">
        <w:rPr>
          <w:rFonts w:ascii="Calibri" w:hAnsi="Calibri"/>
          <w:sz w:val="20"/>
          <w:szCs w:val="20"/>
          <w:lang w:val="en-GB"/>
        </w:rPr>
        <w:t xml:space="preserve">PAs </w:t>
      </w:r>
      <w:r w:rsidR="00302BFE" w:rsidRPr="009667E6">
        <w:rPr>
          <w:rFonts w:ascii="Calibri" w:hAnsi="Calibri"/>
          <w:sz w:val="20"/>
          <w:szCs w:val="20"/>
          <w:lang w:val="en-GB"/>
        </w:rPr>
        <w:t xml:space="preserve">generated approximately US$ 76,500 (45 million </w:t>
      </w:r>
      <w:r w:rsidR="005E13EB" w:rsidRPr="009667E6">
        <w:rPr>
          <w:rFonts w:ascii="Calibri" w:hAnsi="Calibri"/>
          <w:sz w:val="20"/>
          <w:szCs w:val="20"/>
          <w:lang w:val="en-GB"/>
        </w:rPr>
        <w:t>CFA francs</w:t>
      </w:r>
      <w:r w:rsidR="00302BFE" w:rsidRPr="009667E6">
        <w:rPr>
          <w:rFonts w:ascii="Calibri" w:hAnsi="Calibri"/>
          <w:sz w:val="20"/>
          <w:szCs w:val="20"/>
          <w:lang w:val="en-GB"/>
        </w:rPr>
        <w:t xml:space="preserve">) for the local populations. Yet, such revenues totally depend on the availability of external funding. </w:t>
      </w:r>
    </w:p>
    <w:p w14:paraId="601A22B3" w14:textId="49A0BFF3" w:rsidR="00C56C62" w:rsidRPr="009667E6" w:rsidRDefault="00F3095F"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hAnsi="Calibri"/>
          <w:sz w:val="20"/>
          <w:szCs w:val="20"/>
          <w:lang w:val="en-CA"/>
        </w:rPr>
        <w:t>Protected areas help maintain the pool of wild animal populations hunted by local communities in adjacent terroirs.</w:t>
      </w:r>
      <w:r w:rsidR="00BC6003" w:rsidRPr="009667E6">
        <w:rPr>
          <w:rFonts w:ascii="Calibri" w:hAnsi="Calibri"/>
          <w:sz w:val="20"/>
          <w:szCs w:val="20"/>
          <w:lang w:val="en-CA"/>
        </w:rPr>
        <w:t xml:space="preserve"> </w:t>
      </w:r>
      <w:r w:rsidR="00CE07B1" w:rsidRPr="009667E6">
        <w:rPr>
          <w:rFonts w:ascii="Calibri" w:hAnsi="Calibri"/>
          <w:sz w:val="20"/>
          <w:szCs w:val="20"/>
          <w:lang w:val="en-CA"/>
        </w:rPr>
        <w:t xml:space="preserve">Local communities </w:t>
      </w:r>
      <w:r w:rsidR="00101930" w:rsidRPr="009667E6">
        <w:rPr>
          <w:rFonts w:ascii="Calibri" w:hAnsi="Calibri"/>
          <w:sz w:val="20"/>
          <w:szCs w:val="20"/>
          <w:lang w:val="en-CA"/>
        </w:rPr>
        <w:t>traditionally</w:t>
      </w:r>
      <w:r w:rsidR="00BC6003" w:rsidRPr="009667E6">
        <w:rPr>
          <w:rFonts w:ascii="Calibri" w:hAnsi="Calibri"/>
          <w:sz w:val="20"/>
          <w:szCs w:val="20"/>
          <w:lang w:val="en-CA"/>
        </w:rPr>
        <w:t xml:space="preserve"> </w:t>
      </w:r>
      <w:r w:rsidR="00101930" w:rsidRPr="009667E6">
        <w:rPr>
          <w:rFonts w:ascii="Calibri" w:hAnsi="Calibri"/>
          <w:sz w:val="20"/>
          <w:szCs w:val="20"/>
          <w:lang w:val="en-CA"/>
        </w:rPr>
        <w:t xml:space="preserve">hunt for </w:t>
      </w:r>
      <w:r w:rsidR="00BC6003" w:rsidRPr="009667E6">
        <w:rPr>
          <w:rFonts w:ascii="Calibri" w:hAnsi="Calibri"/>
          <w:sz w:val="20"/>
          <w:szCs w:val="20"/>
          <w:lang w:val="en-CA"/>
        </w:rPr>
        <w:t xml:space="preserve">subsistence within their village </w:t>
      </w:r>
      <w:r w:rsidRPr="009667E6">
        <w:rPr>
          <w:rFonts w:ascii="Calibri" w:hAnsi="Calibri"/>
          <w:sz w:val="20"/>
          <w:szCs w:val="20"/>
          <w:lang w:val="en-CA"/>
        </w:rPr>
        <w:t>terroir</w:t>
      </w:r>
      <w:r w:rsidR="00BC6003" w:rsidRPr="009667E6">
        <w:rPr>
          <w:rFonts w:ascii="Calibri" w:hAnsi="Calibri"/>
          <w:sz w:val="20"/>
          <w:szCs w:val="20"/>
          <w:lang w:val="en-CA"/>
        </w:rPr>
        <w:t xml:space="preserve"> to meet their individual and family needs but </w:t>
      </w:r>
      <w:r w:rsidR="00BC6003" w:rsidRPr="009667E6">
        <w:rPr>
          <w:rFonts w:ascii="Calibri" w:hAnsi="Calibri"/>
          <w:sz w:val="20"/>
          <w:szCs w:val="20"/>
          <w:lang w:val="en-GB"/>
        </w:rPr>
        <w:t xml:space="preserve">cannot </w:t>
      </w:r>
      <w:r w:rsidR="00CE07B1" w:rsidRPr="009667E6">
        <w:rPr>
          <w:rFonts w:ascii="Calibri" w:hAnsi="Calibri"/>
          <w:sz w:val="20"/>
          <w:szCs w:val="20"/>
          <w:lang w:val="en-GB"/>
        </w:rPr>
        <w:t>hunt</w:t>
      </w:r>
      <w:r w:rsidR="00BC6003" w:rsidRPr="009667E6">
        <w:rPr>
          <w:rFonts w:ascii="Calibri" w:hAnsi="Calibri"/>
          <w:sz w:val="20"/>
          <w:szCs w:val="20"/>
          <w:lang w:val="en-GB"/>
        </w:rPr>
        <w:t xml:space="preserve"> </w:t>
      </w:r>
      <w:r w:rsidR="00CE07B1" w:rsidRPr="009667E6">
        <w:rPr>
          <w:rFonts w:ascii="Calibri" w:hAnsi="Calibri"/>
          <w:sz w:val="20"/>
          <w:szCs w:val="20"/>
          <w:lang w:val="en-GB"/>
        </w:rPr>
        <w:t xml:space="preserve">in areas </w:t>
      </w:r>
      <w:r w:rsidR="00736B79" w:rsidRPr="009667E6">
        <w:rPr>
          <w:rFonts w:ascii="Calibri" w:hAnsi="Calibri"/>
          <w:sz w:val="20"/>
          <w:szCs w:val="20"/>
          <w:lang w:val="en-GB"/>
        </w:rPr>
        <w:t>conce</w:t>
      </w:r>
      <w:r w:rsidR="00CE07B1" w:rsidRPr="009667E6">
        <w:rPr>
          <w:rFonts w:ascii="Calibri" w:hAnsi="Calibri"/>
          <w:sz w:val="20"/>
          <w:szCs w:val="20"/>
          <w:lang w:val="en-GB"/>
        </w:rPr>
        <w:t>ded</w:t>
      </w:r>
      <w:r w:rsidR="00BC6003" w:rsidRPr="009667E6">
        <w:rPr>
          <w:rFonts w:ascii="Calibri" w:hAnsi="Calibri"/>
          <w:sz w:val="20"/>
          <w:szCs w:val="20"/>
          <w:lang w:val="en-GB"/>
        </w:rPr>
        <w:t xml:space="preserve"> for sport </w:t>
      </w:r>
      <w:r w:rsidR="00CE07B1" w:rsidRPr="009667E6">
        <w:rPr>
          <w:rFonts w:ascii="Calibri" w:hAnsi="Calibri"/>
          <w:sz w:val="20"/>
          <w:szCs w:val="20"/>
          <w:lang w:val="en-GB"/>
        </w:rPr>
        <w:t xml:space="preserve">or tourism </w:t>
      </w:r>
      <w:r w:rsidR="00BC6003" w:rsidRPr="009667E6">
        <w:rPr>
          <w:rFonts w:ascii="Calibri" w:hAnsi="Calibri"/>
          <w:sz w:val="20"/>
          <w:szCs w:val="20"/>
          <w:lang w:val="en-GB"/>
        </w:rPr>
        <w:t>hunting</w:t>
      </w:r>
      <w:r w:rsidR="00CE07B1" w:rsidRPr="009667E6">
        <w:rPr>
          <w:rFonts w:ascii="Calibri" w:hAnsi="Calibri"/>
          <w:sz w:val="20"/>
          <w:szCs w:val="20"/>
          <w:lang w:val="en-GB"/>
        </w:rPr>
        <w:t xml:space="preserve"> only </w:t>
      </w:r>
      <w:r w:rsidR="00101930" w:rsidRPr="009667E6">
        <w:rPr>
          <w:rFonts w:ascii="Calibri" w:hAnsi="Calibri"/>
          <w:sz w:val="20"/>
          <w:szCs w:val="20"/>
          <w:lang w:val="en-GB"/>
        </w:rPr>
        <w:t xml:space="preserve">accessible to </w:t>
      </w:r>
      <w:r w:rsidR="00CE07B1" w:rsidRPr="009667E6">
        <w:rPr>
          <w:rFonts w:ascii="Calibri" w:hAnsi="Calibri"/>
          <w:sz w:val="20"/>
          <w:szCs w:val="20"/>
          <w:lang w:val="en-GB"/>
        </w:rPr>
        <w:t>license holders</w:t>
      </w:r>
      <w:r w:rsidR="00BC6003" w:rsidRPr="009667E6">
        <w:rPr>
          <w:rFonts w:ascii="Calibri" w:hAnsi="Calibri"/>
          <w:sz w:val="20"/>
          <w:szCs w:val="20"/>
          <w:lang w:val="en-GB"/>
        </w:rPr>
        <w:t xml:space="preserve">. </w:t>
      </w:r>
      <w:r w:rsidR="00C56C62" w:rsidRPr="009667E6">
        <w:rPr>
          <w:rFonts w:ascii="Calibri" w:hAnsi="Calibri"/>
          <w:sz w:val="20"/>
          <w:szCs w:val="20"/>
          <w:lang w:val="en-GB"/>
        </w:rPr>
        <w:t xml:space="preserve">In the concessions, hunters are required to be accompanied by a guide, a </w:t>
      </w:r>
      <w:proofErr w:type="gramStart"/>
      <w:r w:rsidR="00C56C62" w:rsidRPr="009667E6">
        <w:rPr>
          <w:rFonts w:ascii="Calibri" w:hAnsi="Calibri"/>
          <w:sz w:val="20"/>
          <w:szCs w:val="20"/>
          <w:lang w:val="en-GB"/>
        </w:rPr>
        <w:t>tracker</w:t>
      </w:r>
      <w:proofErr w:type="gramEnd"/>
      <w:r w:rsidR="00C56C62" w:rsidRPr="009667E6">
        <w:rPr>
          <w:rFonts w:ascii="Calibri" w:hAnsi="Calibri"/>
          <w:sz w:val="20"/>
          <w:szCs w:val="20"/>
          <w:lang w:val="en-GB"/>
        </w:rPr>
        <w:t xml:space="preserve"> and a </w:t>
      </w:r>
      <w:r w:rsidR="00101930" w:rsidRPr="009667E6">
        <w:rPr>
          <w:rFonts w:ascii="Calibri" w:hAnsi="Calibri"/>
          <w:sz w:val="20"/>
          <w:szCs w:val="20"/>
          <w:lang w:val="en-GB"/>
        </w:rPr>
        <w:t>porter</w:t>
      </w:r>
      <w:r w:rsidR="00C56C62" w:rsidRPr="009667E6">
        <w:rPr>
          <w:rFonts w:ascii="Calibri" w:hAnsi="Calibri"/>
          <w:sz w:val="20"/>
          <w:szCs w:val="20"/>
          <w:lang w:val="en-GB"/>
        </w:rPr>
        <w:t xml:space="preserve">, and in village terroirs or village hunting areas (ZOVICs), hunters must hire the services of a tracker recruited from the village wildlife management committee (CVGF), </w:t>
      </w:r>
      <w:r w:rsidR="00DE3E2F" w:rsidRPr="009667E6">
        <w:rPr>
          <w:rFonts w:ascii="Calibri" w:hAnsi="Calibri"/>
          <w:sz w:val="20"/>
          <w:szCs w:val="20"/>
          <w:lang w:val="en-GB"/>
        </w:rPr>
        <w:t>thus</w:t>
      </w:r>
      <w:r w:rsidR="00C56C62" w:rsidRPr="009667E6">
        <w:rPr>
          <w:rFonts w:ascii="Calibri" w:hAnsi="Calibri"/>
          <w:sz w:val="20"/>
          <w:szCs w:val="20"/>
          <w:lang w:val="en-GB"/>
        </w:rPr>
        <w:t xml:space="preserve"> provid</w:t>
      </w:r>
      <w:r w:rsidR="00DE3E2F" w:rsidRPr="009667E6">
        <w:rPr>
          <w:rFonts w:ascii="Calibri" w:hAnsi="Calibri"/>
          <w:sz w:val="20"/>
          <w:szCs w:val="20"/>
          <w:lang w:val="en-GB"/>
        </w:rPr>
        <w:t>ing</w:t>
      </w:r>
      <w:r w:rsidR="00C56C62" w:rsidRPr="009667E6">
        <w:rPr>
          <w:rFonts w:ascii="Calibri" w:hAnsi="Calibri"/>
          <w:sz w:val="20"/>
          <w:szCs w:val="20"/>
          <w:lang w:val="en-GB"/>
        </w:rPr>
        <w:t xml:space="preserve"> jobs for local communities.</w:t>
      </w:r>
    </w:p>
    <w:p w14:paraId="10F2D37D" w14:textId="6949333B" w:rsidR="00DE3E2F" w:rsidRPr="009667E6" w:rsidRDefault="00DE1281" w:rsidP="00C46720">
      <w:pPr>
        <w:pStyle w:val="Paragraphedeliste"/>
        <w:numPr>
          <w:ilvl w:val="0"/>
          <w:numId w:val="32"/>
        </w:numPr>
        <w:tabs>
          <w:tab w:val="left" w:pos="284"/>
        </w:tabs>
        <w:spacing w:before="120" w:after="120"/>
        <w:ind w:left="0" w:firstLine="0"/>
        <w:jc w:val="both"/>
        <w:rPr>
          <w:rFonts w:asciiTheme="minorHAnsi" w:hAnsiTheme="minorHAnsi"/>
          <w:sz w:val="20"/>
          <w:szCs w:val="20"/>
          <w:lang w:val="en-GB"/>
        </w:rPr>
      </w:pPr>
      <w:r w:rsidRPr="009667E6">
        <w:rPr>
          <w:rFonts w:asciiTheme="minorHAnsi" w:hAnsiTheme="minorHAnsi"/>
          <w:sz w:val="20"/>
          <w:szCs w:val="20"/>
          <w:lang w:val="en-GB"/>
        </w:rPr>
        <w:t>B</w:t>
      </w:r>
      <w:r w:rsidR="00013DAF" w:rsidRPr="009667E6">
        <w:rPr>
          <w:rFonts w:asciiTheme="minorHAnsi" w:hAnsiTheme="minorHAnsi"/>
          <w:sz w:val="20"/>
          <w:szCs w:val="20"/>
          <w:lang w:val="en-GB"/>
        </w:rPr>
        <w:t>esides, B</w:t>
      </w:r>
      <w:r w:rsidRPr="009667E6">
        <w:rPr>
          <w:rFonts w:asciiTheme="minorHAnsi" w:hAnsiTheme="minorHAnsi"/>
          <w:sz w:val="20"/>
          <w:szCs w:val="20"/>
          <w:lang w:val="en-GB"/>
        </w:rPr>
        <w:t xml:space="preserve">urkina Faso’ </w:t>
      </w:r>
      <w:r w:rsidR="009B79A7" w:rsidRPr="009667E6">
        <w:rPr>
          <w:rFonts w:asciiTheme="minorHAnsi" w:hAnsiTheme="minorHAnsi"/>
          <w:sz w:val="20"/>
          <w:szCs w:val="20"/>
          <w:lang w:val="en-GB"/>
        </w:rPr>
        <w:t>legislation</w:t>
      </w:r>
      <w:r w:rsidR="00AA5DF5" w:rsidRPr="009667E6">
        <w:rPr>
          <w:rFonts w:asciiTheme="minorHAnsi" w:hAnsiTheme="minorHAnsi"/>
          <w:sz w:val="20"/>
          <w:szCs w:val="20"/>
          <w:lang w:val="en-GB"/>
        </w:rPr>
        <w:t xml:space="preserve"> </w:t>
      </w:r>
      <w:r w:rsidR="006C184F" w:rsidRPr="009667E6">
        <w:rPr>
          <w:rFonts w:asciiTheme="minorHAnsi" w:hAnsiTheme="minorHAnsi"/>
          <w:sz w:val="20"/>
          <w:szCs w:val="20"/>
          <w:lang w:val="en-GB"/>
        </w:rPr>
        <w:t>enables</w:t>
      </w:r>
      <w:r w:rsidRPr="009667E6">
        <w:rPr>
          <w:rFonts w:asciiTheme="minorHAnsi" w:hAnsiTheme="minorHAnsi"/>
          <w:sz w:val="20"/>
          <w:szCs w:val="20"/>
          <w:lang w:val="en-GB"/>
        </w:rPr>
        <w:t xml:space="preserve"> </w:t>
      </w:r>
      <w:r w:rsidR="00CA3DC9" w:rsidRPr="009667E6">
        <w:rPr>
          <w:rFonts w:asciiTheme="minorHAnsi" w:hAnsiTheme="minorHAnsi"/>
          <w:sz w:val="20"/>
          <w:szCs w:val="20"/>
          <w:lang w:val="en-GB"/>
        </w:rPr>
        <w:t xml:space="preserve">local </w:t>
      </w:r>
      <w:r w:rsidRPr="009667E6">
        <w:rPr>
          <w:rFonts w:asciiTheme="minorHAnsi" w:hAnsiTheme="minorHAnsi"/>
          <w:sz w:val="20"/>
          <w:szCs w:val="20"/>
          <w:lang w:val="en-GB"/>
        </w:rPr>
        <w:t xml:space="preserve">communities to benefit from wildlife hunting </w:t>
      </w:r>
      <w:r w:rsidR="00CA3DC9" w:rsidRPr="009667E6">
        <w:rPr>
          <w:rFonts w:asciiTheme="minorHAnsi" w:hAnsiTheme="minorHAnsi"/>
          <w:sz w:val="20"/>
          <w:szCs w:val="20"/>
          <w:lang w:val="en-GB"/>
        </w:rPr>
        <w:t>by</w:t>
      </w:r>
      <w:r w:rsidRPr="009667E6">
        <w:rPr>
          <w:rFonts w:asciiTheme="minorHAnsi" w:hAnsiTheme="minorHAnsi"/>
          <w:sz w:val="20"/>
          <w:szCs w:val="20"/>
          <w:lang w:val="en-GB"/>
        </w:rPr>
        <w:t xml:space="preserve"> </w:t>
      </w:r>
      <w:r w:rsidR="00CA3DC9" w:rsidRPr="009667E6">
        <w:rPr>
          <w:rFonts w:asciiTheme="minorHAnsi" w:hAnsiTheme="minorHAnsi"/>
          <w:sz w:val="20"/>
          <w:szCs w:val="20"/>
          <w:lang w:val="en-GB"/>
        </w:rPr>
        <w:t>entrusting them with game management</w:t>
      </w:r>
      <w:r w:rsidR="009B79A7" w:rsidRPr="009667E6">
        <w:rPr>
          <w:rFonts w:asciiTheme="minorHAnsi" w:hAnsiTheme="minorHAnsi"/>
          <w:sz w:val="20"/>
          <w:szCs w:val="20"/>
          <w:lang w:val="en-GB"/>
        </w:rPr>
        <w:t xml:space="preserve"> in</w:t>
      </w:r>
      <w:r w:rsidR="009B79A7" w:rsidRPr="009667E6">
        <w:rPr>
          <w:rFonts w:asciiTheme="minorHAnsi" w:hAnsiTheme="minorHAnsi"/>
          <w:noProof/>
          <w:sz w:val="20"/>
          <w:szCs w:val="20"/>
          <w:lang w:val="en-GB"/>
        </w:rPr>
        <w:t xml:space="preserve"> village hunting areas (ZOVIC) </w:t>
      </w:r>
      <w:r w:rsidR="00DE3E2F" w:rsidRPr="009667E6">
        <w:rPr>
          <w:rFonts w:asciiTheme="minorHAnsi" w:hAnsiTheme="minorHAnsi"/>
          <w:noProof/>
          <w:sz w:val="20"/>
          <w:szCs w:val="20"/>
          <w:lang w:val="en-GB"/>
        </w:rPr>
        <w:t xml:space="preserve">that they </w:t>
      </w:r>
      <w:r w:rsidR="009B79A7" w:rsidRPr="009667E6">
        <w:rPr>
          <w:rFonts w:asciiTheme="minorHAnsi" w:hAnsiTheme="minorHAnsi"/>
          <w:sz w:val="20"/>
          <w:szCs w:val="20"/>
          <w:lang w:val="en-GB"/>
        </w:rPr>
        <w:t>establish</w:t>
      </w:r>
      <w:r w:rsidR="009B79A7" w:rsidRPr="009667E6">
        <w:rPr>
          <w:rFonts w:asciiTheme="minorHAnsi" w:hAnsiTheme="minorHAnsi"/>
          <w:noProof/>
          <w:sz w:val="20"/>
          <w:szCs w:val="20"/>
          <w:lang w:val="en-GB"/>
        </w:rPr>
        <w:t xml:space="preserve"> themselves within their terroir. These</w:t>
      </w:r>
      <w:r w:rsidR="00302BFE" w:rsidRPr="009667E6">
        <w:rPr>
          <w:rFonts w:asciiTheme="minorHAnsi" w:hAnsiTheme="minorHAnsi"/>
          <w:noProof/>
          <w:sz w:val="20"/>
          <w:szCs w:val="20"/>
          <w:lang w:val="en-GB"/>
        </w:rPr>
        <w:t xml:space="preserve"> community-based protected areas </w:t>
      </w:r>
      <w:r w:rsidR="009B79A7" w:rsidRPr="009667E6">
        <w:rPr>
          <w:rFonts w:asciiTheme="minorHAnsi" w:hAnsiTheme="minorHAnsi"/>
          <w:sz w:val="20"/>
          <w:szCs w:val="20"/>
          <w:lang w:val="en-GB"/>
        </w:rPr>
        <w:t>are managed</w:t>
      </w:r>
      <w:r w:rsidR="00633BD2" w:rsidRPr="009667E6">
        <w:rPr>
          <w:rFonts w:asciiTheme="minorHAnsi" w:hAnsiTheme="minorHAnsi"/>
          <w:sz w:val="20"/>
          <w:szCs w:val="20"/>
          <w:lang w:val="en-GB"/>
        </w:rPr>
        <w:t xml:space="preserve"> through </w:t>
      </w:r>
      <w:r w:rsidR="00633BD2" w:rsidRPr="009667E6">
        <w:rPr>
          <w:rFonts w:asciiTheme="minorHAnsi" w:hAnsiTheme="minorHAnsi"/>
          <w:sz w:val="20"/>
          <w:szCs w:val="20"/>
          <w:lang w:val="en-CA"/>
        </w:rPr>
        <w:t>village committees for wildlife management (CVGF)</w:t>
      </w:r>
      <w:r w:rsidR="00633BD2" w:rsidRPr="009667E6">
        <w:rPr>
          <w:rFonts w:asciiTheme="minorHAnsi" w:hAnsiTheme="minorHAnsi"/>
          <w:sz w:val="20"/>
          <w:szCs w:val="20"/>
          <w:lang w:val="en-GB"/>
        </w:rPr>
        <w:t xml:space="preserve">. </w:t>
      </w:r>
      <w:r w:rsidR="00DE3E2F" w:rsidRPr="009667E6">
        <w:rPr>
          <w:rFonts w:asciiTheme="minorHAnsi" w:hAnsiTheme="minorHAnsi"/>
          <w:sz w:val="20"/>
          <w:szCs w:val="20"/>
          <w:lang w:val="en-GB"/>
        </w:rPr>
        <w:t>As provided in the</w:t>
      </w:r>
      <w:r w:rsidR="0000686D" w:rsidRPr="009667E6">
        <w:rPr>
          <w:rFonts w:asciiTheme="minorHAnsi" w:hAnsiTheme="minorHAnsi"/>
          <w:sz w:val="20"/>
          <w:szCs w:val="20"/>
          <w:lang w:val="en-GB"/>
        </w:rPr>
        <w:t xml:space="preserve"> legislation</w:t>
      </w:r>
      <w:r w:rsidR="00DE3E2F" w:rsidRPr="009667E6">
        <w:rPr>
          <w:rFonts w:asciiTheme="minorHAnsi" w:hAnsiTheme="minorHAnsi"/>
          <w:sz w:val="20"/>
          <w:szCs w:val="20"/>
          <w:lang w:val="en-GB"/>
        </w:rPr>
        <w:t>,</w:t>
      </w:r>
      <w:r w:rsidR="0000686D" w:rsidRPr="009667E6">
        <w:rPr>
          <w:rFonts w:asciiTheme="minorHAnsi" w:hAnsiTheme="minorHAnsi"/>
          <w:sz w:val="20"/>
          <w:szCs w:val="20"/>
          <w:lang w:val="en-GB"/>
        </w:rPr>
        <w:t xml:space="preserve"> communities may lease their ZOVIC to professionals for the lucrative organization of hunting activities. </w:t>
      </w:r>
      <w:r w:rsidR="00E2404F" w:rsidRPr="009667E6">
        <w:rPr>
          <w:rFonts w:asciiTheme="minorHAnsi" w:hAnsiTheme="minorHAnsi"/>
          <w:sz w:val="20"/>
          <w:szCs w:val="20"/>
          <w:lang w:val="en-GB"/>
        </w:rPr>
        <w:t>Local communities determine permissible activities within the ZOVICs with the assistance of decentralized technical services in charge of wildlife.</w:t>
      </w:r>
      <w:r w:rsidR="00E2404F" w:rsidRPr="009667E6">
        <w:rPr>
          <w:rFonts w:asciiTheme="minorHAnsi" w:hAnsiTheme="minorHAnsi"/>
          <w:sz w:val="20"/>
          <w:szCs w:val="20"/>
          <w:lang w:val="en-CA"/>
        </w:rPr>
        <w:t xml:space="preserve"> ZOVICs, through their CVGF, collect slaughter taxes (to be repaid to the State) and leasing taxes.</w:t>
      </w:r>
      <w:r w:rsidR="00E2404F" w:rsidRPr="009667E6">
        <w:rPr>
          <w:rFonts w:asciiTheme="minorHAnsi" w:hAnsiTheme="minorHAnsi"/>
          <w:sz w:val="20"/>
          <w:szCs w:val="20"/>
          <w:lang w:val="en-GB"/>
        </w:rPr>
        <w:t xml:space="preserve"> The autonomy of this management is however relative since the local populations still depend on the administration for the establishment and the control of the quotas and on the private sector to contact and bring clients (hunters). The potential for domination of one actor vis-à-vis another remains important. Local communities around the </w:t>
      </w:r>
      <w:proofErr w:type="spellStart"/>
      <w:r w:rsidR="00E2404F" w:rsidRPr="009667E6">
        <w:rPr>
          <w:rFonts w:asciiTheme="minorHAnsi" w:hAnsiTheme="minorHAnsi"/>
          <w:sz w:val="20"/>
          <w:szCs w:val="20"/>
          <w:lang w:val="en-GB"/>
        </w:rPr>
        <w:t>Nazinga</w:t>
      </w:r>
      <w:proofErr w:type="spellEnd"/>
      <w:r w:rsidR="00E2404F" w:rsidRPr="009667E6">
        <w:rPr>
          <w:rFonts w:asciiTheme="minorHAnsi" w:hAnsiTheme="minorHAnsi"/>
          <w:sz w:val="20"/>
          <w:szCs w:val="20"/>
          <w:lang w:val="en-GB"/>
        </w:rPr>
        <w:t xml:space="preserve"> Game Ranch have made such an agreement that entrusts the management and operation of small game hunting in their ZOVICs to the same private operator who holds the concession of hunting management in the RGN. This agreement provides that</w:t>
      </w:r>
      <w:r w:rsidR="00E2404F" w:rsidRPr="009667E6">
        <w:rPr>
          <w:rFonts w:asciiTheme="minorHAnsi" w:hAnsiTheme="minorHAnsi"/>
          <w:noProof/>
          <w:sz w:val="20"/>
          <w:szCs w:val="20"/>
          <w:lang w:val="en-GB"/>
        </w:rPr>
        <w:t xml:space="preserve"> income from small game hunting is shared with villagers </w:t>
      </w:r>
      <w:r w:rsidR="00E2404F" w:rsidRPr="009667E6">
        <w:rPr>
          <w:rFonts w:asciiTheme="minorHAnsi" w:hAnsiTheme="minorHAnsi"/>
          <w:sz w:val="20"/>
          <w:szCs w:val="20"/>
          <w:lang w:val="en-CA"/>
        </w:rPr>
        <w:t xml:space="preserve">through the activities they undertake in </w:t>
      </w:r>
      <w:proofErr w:type="gramStart"/>
      <w:r w:rsidR="00E2404F" w:rsidRPr="009667E6">
        <w:rPr>
          <w:rFonts w:asciiTheme="minorHAnsi" w:hAnsiTheme="minorHAnsi"/>
          <w:sz w:val="20"/>
          <w:szCs w:val="20"/>
          <w:lang w:val="en-CA"/>
        </w:rPr>
        <w:t>ZOVICs</w:t>
      </w:r>
      <w:proofErr w:type="gramEnd"/>
      <w:r w:rsidR="00E2404F" w:rsidRPr="009667E6">
        <w:rPr>
          <w:rFonts w:asciiTheme="minorHAnsi" w:hAnsiTheme="minorHAnsi"/>
          <w:sz w:val="20"/>
          <w:szCs w:val="20"/>
          <w:lang w:val="en-CA"/>
        </w:rPr>
        <w:t xml:space="preserve"> and jobs generated as part of the management and operation of the ZOVICs, including temporary and permanent jobs as trackers and village guards. These revenues are collected individually or collectively through the</w:t>
      </w:r>
      <w:r w:rsidR="00E2404F" w:rsidRPr="009667E6">
        <w:rPr>
          <w:rFonts w:asciiTheme="minorHAnsi" w:hAnsiTheme="minorHAnsi"/>
          <w:sz w:val="20"/>
          <w:szCs w:val="20"/>
        </w:rPr>
        <w:t xml:space="preserve"> </w:t>
      </w:r>
      <w:r w:rsidR="00E2404F" w:rsidRPr="009667E6">
        <w:rPr>
          <w:rFonts w:asciiTheme="minorHAnsi" w:hAnsiTheme="minorHAnsi"/>
          <w:sz w:val="20"/>
          <w:szCs w:val="20"/>
          <w:lang w:val="en-CA"/>
        </w:rPr>
        <w:t>CVGF. The agreement provides that villages benefit individually from annual revenues of 350,000 CFA francs (approximately 595 $US) paid by the concessionaire at the end of the hunting campaign, as a development tax for hunting areas, in addition to a daily rental tax of 7,500 CFA francs (approximately 13 $US) when the ZOVIC is used by hunters.</w:t>
      </w:r>
      <w:r w:rsidR="00E2404F" w:rsidRPr="009667E6">
        <w:rPr>
          <w:rFonts w:asciiTheme="minorHAnsi" w:hAnsiTheme="minorHAnsi"/>
          <w:sz w:val="20"/>
          <w:szCs w:val="20"/>
        </w:rPr>
        <w:t xml:space="preserve"> </w:t>
      </w:r>
      <w:r w:rsidR="00E2404F" w:rsidRPr="009667E6">
        <w:rPr>
          <w:rFonts w:asciiTheme="minorHAnsi" w:hAnsiTheme="minorHAnsi"/>
          <w:sz w:val="20"/>
          <w:szCs w:val="20"/>
          <w:lang w:val="en-CA"/>
        </w:rPr>
        <w:t>Such revenues were used to pay the people involved and finance the activities of the village wildlife management committee and projects of common interest to the whole village, such as boreholes. In addition, the meat from big game hunts was shared with the local population and the hunting guide or the concessionaire.</w:t>
      </w:r>
    </w:p>
    <w:p w14:paraId="14BF7473" w14:textId="69C23C22" w:rsidR="00D776BF" w:rsidRPr="009667E6" w:rsidRDefault="00187640"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bookmarkStart w:id="8" w:name="_Hlk14810493"/>
      <w:r w:rsidRPr="009667E6">
        <w:rPr>
          <w:rFonts w:asciiTheme="minorHAnsi" w:hAnsiTheme="minorHAnsi"/>
          <w:sz w:val="20"/>
          <w:szCs w:val="20"/>
          <w:lang w:val="en-CA"/>
        </w:rPr>
        <w:lastRenderedPageBreak/>
        <w:t xml:space="preserve">However, since the early ‘90s, the generation of revenues from the </w:t>
      </w:r>
      <w:r w:rsidR="00F03A01" w:rsidRPr="009667E6">
        <w:rPr>
          <w:rFonts w:asciiTheme="minorHAnsi" w:hAnsiTheme="minorHAnsi"/>
          <w:sz w:val="20"/>
          <w:szCs w:val="20"/>
          <w:lang w:val="en-CA"/>
        </w:rPr>
        <w:t>RGN</w:t>
      </w:r>
      <w:r w:rsidRPr="009667E6">
        <w:rPr>
          <w:rFonts w:asciiTheme="minorHAnsi" w:hAnsiTheme="minorHAnsi"/>
          <w:sz w:val="20"/>
          <w:szCs w:val="20"/>
          <w:lang w:val="en-CA"/>
        </w:rPr>
        <w:t xml:space="preserve"> wildlife resources was not optimized (</w:t>
      </w:r>
      <w:r w:rsidR="00855B78" w:rsidRPr="009667E6">
        <w:rPr>
          <w:rFonts w:asciiTheme="minorHAnsi" w:hAnsiTheme="minorHAnsi"/>
          <w:sz w:val="20"/>
          <w:szCs w:val="20"/>
          <w:lang w:val="en-CA"/>
        </w:rPr>
        <w:t>harvesting</w:t>
      </w:r>
      <w:r w:rsidRPr="009667E6">
        <w:rPr>
          <w:rFonts w:asciiTheme="minorHAnsi" w:hAnsiTheme="minorHAnsi"/>
          <w:sz w:val="20"/>
          <w:szCs w:val="20"/>
          <w:lang w:val="en-CA"/>
        </w:rPr>
        <w:t xml:space="preserve"> is no longer practiced, the tourist camp </w:t>
      </w:r>
      <w:r w:rsidR="00855B78" w:rsidRPr="009667E6">
        <w:rPr>
          <w:rFonts w:asciiTheme="minorHAnsi" w:hAnsiTheme="minorHAnsi"/>
          <w:sz w:val="20"/>
          <w:szCs w:val="20"/>
          <w:lang w:val="en-CA"/>
        </w:rPr>
        <w:t xml:space="preserve">was </w:t>
      </w:r>
      <w:r w:rsidRPr="009667E6">
        <w:rPr>
          <w:rFonts w:asciiTheme="minorHAnsi" w:hAnsiTheme="minorHAnsi"/>
          <w:sz w:val="20"/>
          <w:szCs w:val="20"/>
          <w:lang w:val="en-CA"/>
        </w:rPr>
        <w:t xml:space="preserve">in poor condition </w:t>
      </w:r>
      <w:r w:rsidR="00855B78" w:rsidRPr="009667E6">
        <w:rPr>
          <w:rFonts w:asciiTheme="minorHAnsi" w:hAnsiTheme="minorHAnsi"/>
          <w:sz w:val="20"/>
          <w:szCs w:val="20"/>
          <w:lang w:val="en-CA"/>
        </w:rPr>
        <w:t xml:space="preserve">for a while and </w:t>
      </w:r>
      <w:r w:rsidRPr="009667E6">
        <w:rPr>
          <w:rFonts w:asciiTheme="minorHAnsi" w:hAnsiTheme="minorHAnsi"/>
          <w:sz w:val="20"/>
          <w:szCs w:val="20"/>
          <w:lang w:val="en-CA"/>
        </w:rPr>
        <w:t>only recently renovated) and the economic benefits have not been shared with local communities for several years. T</w:t>
      </w:r>
      <w:r w:rsidR="007C78AF" w:rsidRPr="009667E6">
        <w:rPr>
          <w:rFonts w:ascii="Calibri" w:hAnsi="Calibri"/>
          <w:sz w:val="20"/>
          <w:szCs w:val="20"/>
          <w:lang w:val="en-CA"/>
        </w:rPr>
        <w:t xml:space="preserve">he rental of </w:t>
      </w:r>
      <w:r w:rsidR="00302BFE" w:rsidRPr="009667E6">
        <w:rPr>
          <w:rFonts w:ascii="Calibri" w:hAnsi="Calibri"/>
          <w:sz w:val="20"/>
          <w:szCs w:val="20"/>
          <w:lang w:val="en-CA"/>
        </w:rPr>
        <w:t>ZOVIC</w:t>
      </w:r>
      <w:r w:rsidR="007C78AF" w:rsidRPr="009667E6">
        <w:rPr>
          <w:rFonts w:ascii="Calibri" w:hAnsi="Calibri"/>
          <w:sz w:val="20"/>
          <w:szCs w:val="20"/>
          <w:lang w:val="en-CA"/>
        </w:rPr>
        <w:t>s</w:t>
      </w:r>
      <w:r w:rsidR="00302BFE" w:rsidRPr="009667E6">
        <w:rPr>
          <w:rFonts w:ascii="Calibri" w:hAnsi="Calibri"/>
          <w:sz w:val="20"/>
          <w:szCs w:val="20"/>
          <w:lang w:val="en-CA"/>
        </w:rPr>
        <w:t xml:space="preserve"> in the province of </w:t>
      </w:r>
      <w:proofErr w:type="spellStart"/>
      <w:r w:rsidR="00302BFE" w:rsidRPr="009667E6">
        <w:rPr>
          <w:rFonts w:ascii="Calibri" w:hAnsi="Calibri"/>
          <w:sz w:val="20"/>
          <w:szCs w:val="20"/>
          <w:lang w:val="en-CA"/>
        </w:rPr>
        <w:t>Nahouri</w:t>
      </w:r>
      <w:proofErr w:type="spellEnd"/>
      <w:r w:rsidR="00302BFE" w:rsidRPr="009667E6">
        <w:rPr>
          <w:rFonts w:ascii="Calibri" w:hAnsi="Calibri"/>
          <w:sz w:val="20"/>
          <w:szCs w:val="20"/>
          <w:lang w:val="en-CA"/>
        </w:rPr>
        <w:t xml:space="preserve"> for the 2007-2008 campaign generated revenue for </w:t>
      </w:r>
      <w:r w:rsidR="009D69F1" w:rsidRPr="009667E6">
        <w:rPr>
          <w:rFonts w:ascii="Calibri" w:hAnsi="Calibri"/>
          <w:sz w:val="20"/>
          <w:szCs w:val="20"/>
          <w:lang w:val="en-CA"/>
        </w:rPr>
        <w:t>all</w:t>
      </w:r>
      <w:r w:rsidR="007C78AF" w:rsidRPr="009667E6">
        <w:rPr>
          <w:rFonts w:ascii="Calibri" w:hAnsi="Calibri"/>
          <w:sz w:val="20"/>
          <w:szCs w:val="20"/>
          <w:lang w:val="en-CA"/>
        </w:rPr>
        <w:t xml:space="preserve"> </w:t>
      </w:r>
      <w:r w:rsidR="00302BFE" w:rsidRPr="009667E6">
        <w:rPr>
          <w:rFonts w:ascii="Calibri" w:hAnsi="Calibri"/>
          <w:sz w:val="20"/>
          <w:szCs w:val="20"/>
          <w:lang w:val="en-CA"/>
        </w:rPr>
        <w:t>villages of 1,867,500</w:t>
      </w:r>
      <w:r w:rsidR="007C78AF" w:rsidRPr="009667E6">
        <w:rPr>
          <w:rFonts w:ascii="Calibri" w:hAnsi="Calibri"/>
          <w:sz w:val="20"/>
          <w:szCs w:val="20"/>
          <w:lang w:val="en-CA"/>
        </w:rPr>
        <w:t xml:space="preserve"> CFA francs</w:t>
      </w:r>
      <w:r w:rsidR="00302BFE" w:rsidRPr="009667E6">
        <w:rPr>
          <w:rStyle w:val="Appelnotedebasdep"/>
          <w:rFonts w:asciiTheme="minorHAnsi" w:hAnsiTheme="minorHAnsi"/>
          <w:sz w:val="20"/>
        </w:rPr>
        <w:footnoteReference w:id="17"/>
      </w:r>
      <w:r w:rsidR="00845573" w:rsidRPr="009667E6">
        <w:rPr>
          <w:rFonts w:ascii="Calibri" w:hAnsi="Calibri"/>
          <w:sz w:val="20"/>
          <w:szCs w:val="20"/>
          <w:lang w:val="en-CA"/>
        </w:rPr>
        <w:t xml:space="preserve"> (approximately 3</w:t>
      </w:r>
      <w:r w:rsidR="009D69F1" w:rsidRPr="009667E6">
        <w:rPr>
          <w:rFonts w:ascii="Calibri" w:hAnsi="Calibri"/>
          <w:sz w:val="20"/>
          <w:szCs w:val="20"/>
          <w:lang w:val="en-CA"/>
        </w:rPr>
        <w:t>,</w:t>
      </w:r>
      <w:r w:rsidR="00845573" w:rsidRPr="009667E6">
        <w:rPr>
          <w:rFonts w:ascii="Calibri" w:hAnsi="Calibri"/>
          <w:sz w:val="20"/>
          <w:szCs w:val="20"/>
          <w:lang w:val="en-CA"/>
        </w:rPr>
        <w:t>175 $US)</w:t>
      </w:r>
      <w:r w:rsidR="00302BFE" w:rsidRPr="009667E6">
        <w:rPr>
          <w:rFonts w:ascii="Calibri" w:hAnsi="Calibri"/>
          <w:sz w:val="20"/>
          <w:szCs w:val="20"/>
          <w:lang w:val="en-CA"/>
        </w:rPr>
        <w:t>.</w:t>
      </w:r>
      <w:r w:rsidR="00302BFE" w:rsidRPr="009667E6">
        <w:rPr>
          <w:rFonts w:asciiTheme="minorHAnsi" w:hAnsiTheme="minorHAnsi"/>
          <w:sz w:val="20"/>
          <w:szCs w:val="20"/>
          <w:lang w:val="en-CA"/>
        </w:rPr>
        <w:t xml:space="preserve"> </w:t>
      </w:r>
      <w:bookmarkEnd w:id="8"/>
      <w:r w:rsidRPr="009667E6">
        <w:rPr>
          <w:rFonts w:ascii="Calibri" w:hAnsi="Calibri"/>
          <w:noProof/>
          <w:sz w:val="20"/>
          <w:szCs w:val="20"/>
          <w:lang w:val="en-CA"/>
        </w:rPr>
        <w:t>In r</w:t>
      </w:r>
      <w:r w:rsidRPr="009667E6">
        <w:rPr>
          <w:rFonts w:ascii="Calibri" w:hAnsi="Calibri"/>
          <w:noProof/>
          <w:sz w:val="20"/>
          <w:szCs w:val="20"/>
          <w:lang w:val="en-GB"/>
        </w:rPr>
        <w:t>ecent years, the concession holder Nahouri Safari who is currently managing the ZOVICs around the Nazinga Game Ranch ceased paying royalties to local communities on the grounds that this payment is conditional on the proper management and maintenance of ZOVICs and that these are now quite degraded. In addition, an analysis of game species monitored over 30 years in the Nazinga GR</w:t>
      </w:r>
      <w:r w:rsidRPr="009667E6">
        <w:rPr>
          <w:rStyle w:val="Appelnotedebasdep"/>
          <w:noProof/>
          <w:szCs w:val="20"/>
          <w:lang w:val="en-GB"/>
        </w:rPr>
        <w:footnoteReference w:id="18"/>
      </w:r>
      <w:r w:rsidRPr="009667E6">
        <w:rPr>
          <w:rFonts w:ascii="Calibri" w:hAnsi="Calibri"/>
          <w:noProof/>
          <w:sz w:val="20"/>
          <w:szCs w:val="20"/>
          <w:lang w:val="en-GB"/>
        </w:rPr>
        <w:t xml:space="preserve"> has shown declining trends for the small game populations that support subsistence hunting for local communities</w:t>
      </w:r>
      <w:r w:rsidRPr="009667E6">
        <w:rPr>
          <w:rFonts w:asciiTheme="minorHAnsi" w:hAnsiTheme="minorHAnsi"/>
          <w:noProof/>
          <w:sz w:val="20"/>
          <w:szCs w:val="20"/>
          <w:lang w:val="en-GB"/>
        </w:rPr>
        <w:t>. As a result, local</w:t>
      </w:r>
      <w:r w:rsidRPr="009667E6">
        <w:rPr>
          <w:rFonts w:ascii="Calibri" w:hAnsi="Calibri"/>
          <w:noProof/>
          <w:sz w:val="20"/>
          <w:szCs w:val="20"/>
          <w:lang w:val="en-GB"/>
        </w:rPr>
        <w:t xml:space="preserve"> communities </w:t>
      </w:r>
      <w:r w:rsidR="00283A84" w:rsidRPr="009667E6">
        <w:rPr>
          <w:rFonts w:ascii="Calibri" w:hAnsi="Calibri"/>
          <w:noProof/>
          <w:sz w:val="20"/>
          <w:szCs w:val="20"/>
          <w:lang w:val="en-GB"/>
        </w:rPr>
        <w:t xml:space="preserve">now </w:t>
      </w:r>
      <w:r w:rsidRPr="009667E6">
        <w:rPr>
          <w:rFonts w:ascii="Calibri" w:hAnsi="Calibri"/>
          <w:noProof/>
          <w:sz w:val="20"/>
          <w:szCs w:val="20"/>
          <w:lang w:val="en-GB"/>
        </w:rPr>
        <w:t>bear the most direct burden of hunting. They lose the right to use part of their land for the benefit of the concessionaire and can no longer practice their usual agro-pastoral activities while bearing the cost of agricultural and other losses due to invasions of wild animals.</w:t>
      </w:r>
    </w:p>
    <w:p w14:paraId="7663D40A" w14:textId="74A9E5E1" w:rsidR="00E825E9" w:rsidRPr="009667E6" w:rsidRDefault="00E825E9" w:rsidP="00C46720">
      <w:pPr>
        <w:pStyle w:val="Paragraphedeliste"/>
        <w:numPr>
          <w:ilvl w:val="0"/>
          <w:numId w:val="32"/>
        </w:numPr>
        <w:tabs>
          <w:tab w:val="left" w:pos="284"/>
        </w:tabs>
        <w:spacing w:before="120" w:after="120"/>
        <w:ind w:left="0" w:firstLine="0"/>
        <w:jc w:val="both"/>
        <w:rPr>
          <w:rFonts w:asciiTheme="minorHAnsi" w:hAnsiTheme="minorHAnsi"/>
          <w:sz w:val="20"/>
          <w:szCs w:val="20"/>
          <w:lang w:val="en-GB"/>
        </w:rPr>
      </w:pPr>
      <w:r w:rsidRPr="009667E6">
        <w:rPr>
          <w:rFonts w:asciiTheme="minorHAnsi" w:hAnsiTheme="minorHAnsi"/>
          <w:sz w:val="20"/>
          <w:szCs w:val="20"/>
          <w:lang w:val="en-CA"/>
        </w:rPr>
        <w:t xml:space="preserve">Local people currently do not seem motivated to conserve the </w:t>
      </w:r>
      <w:r w:rsidR="00F03A01" w:rsidRPr="009667E6">
        <w:rPr>
          <w:rFonts w:asciiTheme="minorHAnsi" w:hAnsiTheme="minorHAnsi"/>
          <w:sz w:val="20"/>
          <w:szCs w:val="20"/>
          <w:lang w:val="en-CA"/>
        </w:rPr>
        <w:t>RGN</w:t>
      </w:r>
      <w:r w:rsidRPr="009667E6">
        <w:rPr>
          <w:rFonts w:asciiTheme="minorHAnsi" w:hAnsiTheme="minorHAnsi"/>
          <w:sz w:val="20"/>
          <w:szCs w:val="20"/>
          <w:lang w:val="en-CA"/>
        </w:rPr>
        <w:t xml:space="preserve">’s wildlife because their participation in management decision-making is poor and they obtain quite low revenues from the </w:t>
      </w:r>
      <w:r w:rsidR="00F03A01" w:rsidRPr="009667E6">
        <w:rPr>
          <w:rFonts w:asciiTheme="minorHAnsi" w:hAnsiTheme="minorHAnsi"/>
          <w:sz w:val="20"/>
          <w:szCs w:val="20"/>
          <w:lang w:val="en-CA"/>
        </w:rPr>
        <w:t>RGN</w:t>
      </w:r>
      <w:r w:rsidRPr="009667E6">
        <w:rPr>
          <w:rFonts w:asciiTheme="minorHAnsi" w:hAnsiTheme="minorHAnsi"/>
          <w:sz w:val="20"/>
          <w:szCs w:val="20"/>
          <w:lang w:val="en-CA"/>
        </w:rPr>
        <w:t xml:space="preserve"> and their village hunting zones. When the </w:t>
      </w:r>
      <w:r w:rsidR="00F03A01" w:rsidRPr="009667E6">
        <w:rPr>
          <w:rFonts w:asciiTheme="minorHAnsi" w:hAnsiTheme="minorHAnsi"/>
          <w:sz w:val="20"/>
          <w:szCs w:val="20"/>
          <w:lang w:val="en-CA"/>
        </w:rPr>
        <w:t>RGN</w:t>
      </w:r>
      <w:r w:rsidRPr="009667E6">
        <w:rPr>
          <w:rFonts w:asciiTheme="minorHAnsi" w:hAnsiTheme="minorHAnsi"/>
          <w:sz w:val="20"/>
          <w:szCs w:val="20"/>
          <w:lang w:val="en-CA"/>
        </w:rPr>
        <w:t xml:space="preserve"> was created, local communities had </w:t>
      </w:r>
      <w:r w:rsidR="00076116" w:rsidRPr="009667E6">
        <w:rPr>
          <w:rFonts w:asciiTheme="minorHAnsi" w:hAnsiTheme="minorHAnsi"/>
          <w:sz w:val="20"/>
          <w:szCs w:val="20"/>
          <w:lang w:val="en-CA"/>
        </w:rPr>
        <w:t>willingly</w:t>
      </w:r>
      <w:r w:rsidRPr="009667E6">
        <w:rPr>
          <w:rFonts w:asciiTheme="minorHAnsi" w:hAnsiTheme="minorHAnsi"/>
          <w:sz w:val="20"/>
          <w:szCs w:val="20"/>
          <w:lang w:val="en-CA"/>
        </w:rPr>
        <w:t xml:space="preserve"> given up their land in the hope of a better future. Now, most immigration in the Center-South is from different ethnic groups coming from other parts of the country and which traditions and practices are not as respectful of local resources as are local ethnic groups</w:t>
      </w:r>
      <w:r w:rsidRPr="009667E6">
        <w:rPr>
          <w:rStyle w:val="Appelnotedebasdep"/>
          <w:rFonts w:asciiTheme="minorHAnsi" w:hAnsiTheme="minorHAnsi"/>
          <w:sz w:val="20"/>
          <w:szCs w:val="20"/>
          <w:lang w:val="en-CA"/>
        </w:rPr>
        <w:footnoteReference w:id="19"/>
      </w:r>
      <w:r w:rsidRPr="009667E6">
        <w:rPr>
          <w:rFonts w:asciiTheme="minorHAnsi" w:hAnsiTheme="minorHAnsi"/>
          <w:sz w:val="20"/>
          <w:szCs w:val="20"/>
          <w:lang w:val="en-CA"/>
        </w:rPr>
        <w:t xml:space="preserve">. </w:t>
      </w:r>
      <w:r w:rsidRPr="009667E6">
        <w:rPr>
          <w:rFonts w:asciiTheme="minorHAnsi" w:hAnsiTheme="minorHAnsi"/>
          <w:noProof/>
          <w:sz w:val="20"/>
          <w:szCs w:val="20"/>
          <w:lang w:val="en-GB"/>
        </w:rPr>
        <w:t>It is imperative to build the capacities of all concerned stakeholders, including immigrants, for the sustainable management of hunting activities, the maintenance and restoration of suitable habitats for wildlife, the provision of solutions to minimize HWC, and for addressing benefit sharing issues, to restore incentives for stakeholders to ensure the proper management of resources and habitats within ZOVICs and reduce encroachment and poaching in core PAs.</w:t>
      </w:r>
      <w:r w:rsidR="0073037A" w:rsidRPr="009667E6">
        <w:rPr>
          <w:rFonts w:asciiTheme="minorHAnsi" w:hAnsiTheme="minorHAnsi"/>
          <w:noProof/>
          <w:sz w:val="20"/>
          <w:szCs w:val="20"/>
          <w:lang w:val="en-GB"/>
        </w:rPr>
        <w:t xml:space="preserve"> The strategy of increasing revenue for local populations from conservation and sustainable management of ecosystems also needs to take into consideration the risks of the spreading of zoonotic diseases resulting from increased encroachment of human populations into natural ecosystems. </w:t>
      </w:r>
    </w:p>
    <w:p w14:paraId="7054A1F5" w14:textId="33815149" w:rsidR="00302BFE" w:rsidRPr="009667E6" w:rsidRDefault="00BF7D67"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hAnsi="Calibri"/>
          <w:sz w:val="20"/>
          <w:szCs w:val="20"/>
          <w:lang w:val="en-GB"/>
        </w:rPr>
        <w:t>Other benefits related to t</w:t>
      </w:r>
      <w:r w:rsidR="00302BFE" w:rsidRPr="009667E6">
        <w:rPr>
          <w:rFonts w:ascii="Calibri" w:hAnsi="Calibri"/>
          <w:sz w:val="20"/>
          <w:szCs w:val="20"/>
          <w:lang w:val="en-GB"/>
        </w:rPr>
        <w:t xml:space="preserve">he management of land adjacent to protected areas includes (i) agricultural production in riparian communities where SLM interventions such as soil </w:t>
      </w:r>
      <w:r w:rsidR="00CB2536" w:rsidRPr="009667E6">
        <w:rPr>
          <w:rFonts w:ascii="Calibri" w:hAnsi="Calibri"/>
          <w:sz w:val="20"/>
          <w:szCs w:val="20"/>
          <w:lang w:val="en-GB"/>
        </w:rPr>
        <w:t>defence</w:t>
      </w:r>
      <w:r w:rsidR="00302BFE" w:rsidRPr="009667E6">
        <w:rPr>
          <w:rFonts w:ascii="Calibri" w:hAnsi="Calibri"/>
          <w:sz w:val="20"/>
          <w:szCs w:val="20"/>
          <w:lang w:val="en-GB"/>
        </w:rPr>
        <w:t xml:space="preserve"> and restoration, and water and soil conservation (DRS/CES) activities, including </w:t>
      </w:r>
      <w:proofErr w:type="spellStart"/>
      <w:r w:rsidR="00302BFE" w:rsidRPr="009667E6">
        <w:rPr>
          <w:rFonts w:ascii="Calibri" w:hAnsi="Calibri"/>
          <w:sz w:val="20"/>
          <w:szCs w:val="20"/>
          <w:lang w:val="en-GB"/>
        </w:rPr>
        <w:t>zaï</w:t>
      </w:r>
      <w:proofErr w:type="spellEnd"/>
      <w:r w:rsidR="00302BFE" w:rsidRPr="009667E6">
        <w:rPr>
          <w:rFonts w:ascii="Calibri" w:hAnsi="Calibri"/>
          <w:sz w:val="20"/>
          <w:szCs w:val="20"/>
          <w:lang w:val="en-GB"/>
        </w:rPr>
        <w:t>, stone bunds, mounds, and the use of organic manure, have led to a substantial increase in yields for most cash crops and vegetable crops (further details are provided in Annex I. Target Landscape Profile - Benefits related to improving land management adjacent to PAs), (ii) increased livestock production through improved management of pastoral activity, fodder production and conflict management between herders and farmers, resulting in an increase in milk production, higher selling price for livestock in better condition thus higher revenues from cattle fattening activities (further details are provided in Annex I. Target Landscape Profile - Benefits related to improving land management adjacent to PAs), (iii) forestry sectors including a) the wood energy sector (firewood, charcoal), b) exploitation of fauna and fisheries which revenues keep decreasing due to reduced production, also related to poor management, c) exploitation of plant NTFPs dominated by the production of shea butter and which revenues could be improved if the value chains were better organized and the actors better structured at the grassroots level.</w:t>
      </w:r>
    </w:p>
    <w:p w14:paraId="79D6339B" w14:textId="6726DE2B"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hAnsi="Calibri"/>
          <w:sz w:val="20"/>
          <w:szCs w:val="20"/>
          <w:lang w:val="en-CA"/>
        </w:rPr>
        <w:t>Forest management worksites (CAF) have been set up since 1985 to stem the uncontrolled exploitation of wood, which is the main source of energy in Burkina Faso. According to the initial concept, management improvement was achieved through the constitution, training and accountability of forest management groups that managed according to development and management plans. The CAFs put in place have provided new sources of income for forest riparian populations through logging, NTFPs, and other jobs required for forest management, thus contributing to reduce poverty within these communities</w:t>
      </w:r>
      <w:r w:rsidR="00243B15" w:rsidRPr="009667E6">
        <w:rPr>
          <w:rStyle w:val="Appelnotedebasdep"/>
          <w:szCs w:val="20"/>
          <w:lang w:val="en-CA"/>
        </w:rPr>
        <w:footnoteReference w:id="20"/>
      </w:r>
      <w:r w:rsidRPr="009667E6">
        <w:rPr>
          <w:rFonts w:ascii="Calibri" w:hAnsi="Calibri"/>
          <w:sz w:val="20"/>
          <w:szCs w:val="20"/>
          <w:lang w:val="en-CA"/>
        </w:rPr>
        <w:t>. However, the sustainability of this participatory forest management model is compromised by the lack of reinvestment in the forest investment fund, the lack of reforestation and the trend to develop new natural forests, and the control of production by the State and wholesalers, so that local people do not perceive themselves as managers of their resources</w:t>
      </w:r>
      <w:r w:rsidR="00243B15" w:rsidRPr="009667E6">
        <w:rPr>
          <w:rStyle w:val="Appelnotedebasdep"/>
          <w:szCs w:val="20"/>
          <w:lang w:val="en-CA"/>
        </w:rPr>
        <w:footnoteReference w:id="21"/>
      </w:r>
      <w:r w:rsidRPr="009667E6">
        <w:rPr>
          <w:rFonts w:ascii="Calibri" w:hAnsi="Calibri"/>
          <w:sz w:val="20"/>
          <w:szCs w:val="20"/>
          <w:lang w:val="en-CA"/>
        </w:rPr>
        <w:t xml:space="preserve">. While CAFs </w:t>
      </w:r>
      <w:r w:rsidRPr="009667E6">
        <w:rPr>
          <w:rFonts w:ascii="Calibri" w:hAnsi="Calibri"/>
          <w:sz w:val="20"/>
          <w:szCs w:val="20"/>
          <w:lang w:val="en-GB"/>
        </w:rPr>
        <w:t xml:space="preserve">initially contributed considerably to the incomes of the actors, these have been diminishing since 2011 linked to a decline in timber production from forest management worksites (CAF) due to poor management. </w:t>
      </w:r>
      <w:r w:rsidRPr="009667E6">
        <w:rPr>
          <w:rFonts w:ascii="Calibri" w:hAnsi="Calibri"/>
          <w:sz w:val="20"/>
          <w:szCs w:val="20"/>
          <w:lang w:val="en-CA"/>
        </w:rPr>
        <w:t xml:space="preserve">CAFs are now dominated by a patchwork of fields, </w:t>
      </w:r>
      <w:proofErr w:type="gramStart"/>
      <w:r w:rsidRPr="009667E6">
        <w:rPr>
          <w:rFonts w:ascii="Calibri" w:hAnsi="Calibri"/>
          <w:sz w:val="20"/>
          <w:szCs w:val="20"/>
          <w:lang w:val="en-CA"/>
        </w:rPr>
        <w:t>fallows</w:t>
      </w:r>
      <w:proofErr w:type="gramEnd"/>
      <w:r w:rsidRPr="009667E6">
        <w:rPr>
          <w:rFonts w:ascii="Calibri" w:hAnsi="Calibri"/>
          <w:sz w:val="20"/>
          <w:szCs w:val="20"/>
          <w:lang w:val="en-CA"/>
        </w:rPr>
        <w:t xml:space="preserve"> and savannahs, and no longer have the ecological characteristics of forests</w:t>
      </w:r>
      <w:r w:rsidR="00DD2F24" w:rsidRPr="009667E6">
        <w:rPr>
          <w:rStyle w:val="Appelnotedebasdep"/>
          <w:szCs w:val="20"/>
          <w:lang w:val="en-CA"/>
        </w:rPr>
        <w:footnoteReference w:id="22"/>
      </w:r>
      <w:r w:rsidRPr="009667E6">
        <w:rPr>
          <w:rFonts w:ascii="Calibri" w:hAnsi="Calibri"/>
          <w:sz w:val="20"/>
          <w:szCs w:val="20"/>
          <w:lang w:val="en-CA"/>
        </w:rPr>
        <w:t>.</w:t>
      </w:r>
    </w:p>
    <w:p w14:paraId="2986A809" w14:textId="0627C200" w:rsidR="00302BFE" w:rsidRPr="009667E6" w:rsidRDefault="00302BFE" w:rsidP="00C46720">
      <w:pPr>
        <w:pStyle w:val="Paragraphedeliste"/>
        <w:numPr>
          <w:ilvl w:val="0"/>
          <w:numId w:val="32"/>
        </w:numPr>
        <w:tabs>
          <w:tab w:val="left" w:pos="284"/>
        </w:tabs>
        <w:spacing w:before="120" w:after="120"/>
        <w:ind w:left="0" w:firstLine="0"/>
        <w:jc w:val="both"/>
        <w:rPr>
          <w:rFonts w:asciiTheme="minorHAnsi" w:eastAsiaTheme="minorHAnsi" w:hAnsiTheme="minorHAnsi"/>
          <w:sz w:val="20"/>
          <w:szCs w:val="20"/>
          <w:lang w:val="en-CA" w:eastAsia="fr-CA"/>
        </w:rPr>
      </w:pPr>
      <w:r w:rsidRPr="009667E6">
        <w:rPr>
          <w:rFonts w:ascii="Calibri" w:hAnsi="Calibri"/>
          <w:noProof/>
          <w:sz w:val="20"/>
          <w:szCs w:val="20"/>
          <w:lang w:val="en-GB"/>
        </w:rPr>
        <w:t xml:space="preserve">The socio-economic benefits of the project in the PONASI landscape area complex </w:t>
      </w:r>
      <w:r w:rsidR="006C184F" w:rsidRPr="009667E6">
        <w:rPr>
          <w:rFonts w:ascii="Calibri" w:hAnsi="Calibri"/>
          <w:noProof/>
          <w:sz w:val="20"/>
          <w:szCs w:val="20"/>
          <w:lang w:val="en-GB"/>
        </w:rPr>
        <w:t>could</w:t>
      </w:r>
      <w:r w:rsidRPr="009667E6">
        <w:rPr>
          <w:rFonts w:ascii="Calibri" w:hAnsi="Calibri"/>
          <w:noProof/>
          <w:sz w:val="20"/>
          <w:szCs w:val="20"/>
          <w:lang w:val="en-GB"/>
        </w:rPr>
        <w:t xml:space="preserve"> be significant, but are currently well below their potential to contribute to the well-being and development of riparian communities. </w:t>
      </w:r>
      <w:r w:rsidR="006C184F" w:rsidRPr="009667E6">
        <w:rPr>
          <w:rFonts w:asciiTheme="minorHAnsi" w:hAnsiTheme="minorHAnsi"/>
          <w:sz w:val="20"/>
          <w:szCs w:val="20"/>
          <w:lang w:val="en-GB"/>
        </w:rPr>
        <w:t xml:space="preserve">Maintaining adequate flow of resources and </w:t>
      </w:r>
      <w:r w:rsidR="006C184F" w:rsidRPr="009667E6">
        <w:rPr>
          <w:rFonts w:asciiTheme="minorHAnsi" w:hAnsiTheme="minorHAnsi"/>
          <w:sz w:val="20"/>
          <w:szCs w:val="20"/>
          <w:lang w:val="en-GB"/>
        </w:rPr>
        <w:lastRenderedPageBreak/>
        <w:t>benefits to ensure the involvement and compensation of local communities for their contribution to the management of protected areas and the sustainable management of surrounding lands and resources is a fundamental challenge for this project.</w:t>
      </w:r>
      <w:r w:rsidR="006C184F" w:rsidRPr="009667E6">
        <w:rPr>
          <w:rFonts w:asciiTheme="minorHAnsi" w:eastAsiaTheme="minorHAnsi" w:hAnsiTheme="minorHAnsi"/>
          <w:sz w:val="20"/>
          <w:szCs w:val="20"/>
          <w:lang w:val="en-CA" w:eastAsia="fr-CA"/>
        </w:rPr>
        <w:t xml:space="preserve"> </w:t>
      </w:r>
      <w:r w:rsidRPr="009667E6">
        <w:rPr>
          <w:rFonts w:ascii="Calibri" w:hAnsi="Calibri"/>
          <w:noProof/>
          <w:sz w:val="20"/>
          <w:szCs w:val="20"/>
          <w:lang w:val="en-GB"/>
        </w:rPr>
        <w:t>Besides direct jobs, sustainable land management actions will contribute effectively to the improvement of agricultural productivity from which households derive most of their livelihoods. Sustainable management of ZOVICs, CAFs and other wooded areas will also contribute to improving and diversifying the livelihoods of local communities through improved availability of wood and non-wood resources and the development of promising value chains from these resources. Finally, strengthening the enabling conditions and potential of local people to benefit from the tourism activities taking place in the PONASI landscape and improving the management of human-wildlife conflicts will encourage local populations to protect wildlife.</w:t>
      </w:r>
    </w:p>
    <w:bookmarkEnd w:id="7"/>
    <w:p w14:paraId="2DE93C4F" w14:textId="23BE4B46" w:rsidR="00302BFE" w:rsidRPr="009667E6" w:rsidRDefault="00302BFE" w:rsidP="00302BFE">
      <w:pPr>
        <w:spacing w:before="120" w:after="120"/>
        <w:rPr>
          <w:b/>
          <w:sz w:val="22"/>
          <w:szCs w:val="22"/>
          <w:lang w:val="en-GB"/>
        </w:rPr>
      </w:pPr>
      <w:r w:rsidRPr="009667E6">
        <w:rPr>
          <w:b/>
          <w:lang w:val="en-GB"/>
        </w:rPr>
        <w:t>Environmental pressures / threats within the PONASI landscape area</w:t>
      </w:r>
    </w:p>
    <w:p w14:paraId="67BB70C6" w14:textId="5BF50A49"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hAnsi="Calibri"/>
          <w:sz w:val="20"/>
          <w:szCs w:val="20"/>
          <w:lang w:val="en-GB"/>
        </w:rPr>
        <w:t xml:space="preserve">Despite the importance of the primary sector for the Burkinabe economy, the </w:t>
      </w:r>
      <w:proofErr w:type="spellStart"/>
      <w:r w:rsidRPr="009667E6">
        <w:rPr>
          <w:rFonts w:ascii="Calibri" w:hAnsi="Calibri"/>
          <w:sz w:val="20"/>
          <w:szCs w:val="20"/>
          <w:lang w:val="en-GB"/>
        </w:rPr>
        <w:t>agro</w:t>
      </w:r>
      <w:proofErr w:type="spellEnd"/>
      <w:r w:rsidRPr="009667E6">
        <w:rPr>
          <w:rFonts w:ascii="Calibri" w:hAnsi="Calibri"/>
          <w:sz w:val="20"/>
          <w:szCs w:val="20"/>
          <w:lang w:val="en-GB"/>
        </w:rPr>
        <w:t>-</w:t>
      </w:r>
      <w:proofErr w:type="spellStart"/>
      <w:r w:rsidRPr="009667E6">
        <w:rPr>
          <w:rFonts w:ascii="Calibri" w:hAnsi="Calibri"/>
          <w:sz w:val="20"/>
          <w:szCs w:val="20"/>
          <w:lang w:val="en-GB"/>
        </w:rPr>
        <w:t>silvo</w:t>
      </w:r>
      <w:proofErr w:type="spellEnd"/>
      <w:r w:rsidRPr="009667E6">
        <w:rPr>
          <w:rFonts w:ascii="Calibri" w:hAnsi="Calibri"/>
          <w:sz w:val="20"/>
          <w:szCs w:val="20"/>
          <w:lang w:val="en-GB"/>
        </w:rPr>
        <w:t>-pastoral sector is in a precarious situation because of its close dependence on the capital of land and biodiversity resources. These resources are subject to continued degradation from a variety of pressures and threats.</w:t>
      </w:r>
      <w:r w:rsidRPr="009667E6">
        <w:t xml:space="preserve"> </w:t>
      </w:r>
      <w:r w:rsidRPr="009667E6">
        <w:rPr>
          <w:rFonts w:ascii="Calibri" w:hAnsi="Calibri"/>
          <w:sz w:val="20"/>
          <w:szCs w:val="20"/>
          <w:lang w:val="en-GB"/>
        </w:rPr>
        <w:t xml:space="preserve">Despite the importance of the primary sector for Burkina Faso's economy, the </w:t>
      </w:r>
      <w:proofErr w:type="spellStart"/>
      <w:r w:rsidRPr="009667E6">
        <w:rPr>
          <w:rFonts w:ascii="Calibri" w:hAnsi="Calibri"/>
          <w:sz w:val="20"/>
          <w:szCs w:val="20"/>
          <w:lang w:val="en-GB"/>
        </w:rPr>
        <w:t>agro</w:t>
      </w:r>
      <w:proofErr w:type="spellEnd"/>
      <w:r w:rsidRPr="009667E6">
        <w:rPr>
          <w:rFonts w:ascii="Calibri" w:hAnsi="Calibri"/>
          <w:sz w:val="20"/>
          <w:szCs w:val="20"/>
          <w:lang w:val="en-GB"/>
        </w:rPr>
        <w:t>-</w:t>
      </w:r>
      <w:proofErr w:type="spellStart"/>
      <w:r w:rsidRPr="009667E6">
        <w:rPr>
          <w:rFonts w:ascii="Calibri" w:hAnsi="Calibri"/>
          <w:sz w:val="20"/>
          <w:szCs w:val="20"/>
          <w:lang w:val="en-GB"/>
        </w:rPr>
        <w:t>sylvo</w:t>
      </w:r>
      <w:proofErr w:type="spellEnd"/>
      <w:r w:rsidRPr="009667E6">
        <w:rPr>
          <w:rFonts w:ascii="Calibri" w:hAnsi="Calibri"/>
          <w:sz w:val="20"/>
          <w:szCs w:val="20"/>
          <w:lang w:val="en-GB"/>
        </w:rPr>
        <w:t xml:space="preserve">-pastoral sector is in a precarious situation because of its close dependence on land and biodiversity resources. These resources are subject to a continuous degradation induced by a set of pressures and threats. The extent and integrity of the PONASI protected area landscape ecosystems and associated ecosystem services are threatened by several anthropogenic factors: i) fragmentation, encroachment and degradation of habitats through the expansion of agricultural, pastoral farms and destructive distillation of wood because of suitable land and to meet the ever-increasing needs for arable land of nearly two hundred villages surrounding the protected area complex including aggressive land grabbing by </w:t>
      </w:r>
      <w:r w:rsidRPr="009667E6">
        <w:rPr>
          <w:rFonts w:ascii="Calibri" w:hAnsi="Calibri"/>
          <w:i/>
          <w:sz w:val="20"/>
          <w:szCs w:val="20"/>
          <w:lang w:val="en-GB"/>
        </w:rPr>
        <w:t>agribusinessmen</w:t>
      </w:r>
      <w:r w:rsidRPr="009667E6">
        <w:rPr>
          <w:rFonts w:ascii="Calibri" w:hAnsi="Calibri"/>
          <w:sz w:val="20"/>
          <w:szCs w:val="20"/>
          <w:lang w:val="en-GB"/>
        </w:rPr>
        <w:t>, ii) unsustainable</w:t>
      </w:r>
      <w:r w:rsidRPr="009667E6">
        <w:rPr>
          <w:rFonts w:ascii="Calibri" w:hAnsi="Calibri"/>
          <w:color w:val="FF0000"/>
          <w:sz w:val="20"/>
          <w:szCs w:val="20"/>
          <w:lang w:val="en-GB"/>
        </w:rPr>
        <w:t xml:space="preserve"> </w:t>
      </w:r>
      <w:r w:rsidRPr="009667E6">
        <w:rPr>
          <w:rFonts w:ascii="Calibri" w:hAnsi="Calibri"/>
          <w:sz w:val="20"/>
          <w:szCs w:val="20"/>
          <w:lang w:val="en-GB"/>
        </w:rPr>
        <w:t>farming practices such as the use of cultural practices that are detrimental to the preservation and conservation of the environment, including the excessive use of herbicides and pesticides whose leaching into the ecosystem leads to the pollution of soils and water, and uncontrolled bush fires, iii) overexploitation of resources including illegal logging, including carbonization, unsustainable harvesting of non-timber forest products, and poaching of terrestrial and aquatic wildlife, including elephant wildlife, exacerbated by human / elephant conflict, iv) and industrial and artisanal mining activities for gold and other materials. v) These pressures, compounded by the effects of climate change, reduce the quantity and quality of biodiversity and soil resources, and have a negative impact on the food security and livelihoods of affected populations.</w:t>
      </w:r>
    </w:p>
    <w:p w14:paraId="1CE2401C" w14:textId="1F36FBD5" w:rsidR="00302BFE" w:rsidRPr="009667E6" w:rsidRDefault="00302BFE" w:rsidP="00302BFE">
      <w:pPr>
        <w:spacing w:before="120" w:after="120"/>
        <w:ind w:firstLine="720"/>
        <w:rPr>
          <w:szCs w:val="20"/>
          <w:lang w:val="en-GB"/>
        </w:rPr>
      </w:pPr>
      <w:r w:rsidRPr="009667E6">
        <w:rPr>
          <w:b/>
          <w:szCs w:val="20"/>
          <w:lang w:val="en-GB"/>
        </w:rPr>
        <w:t xml:space="preserve">Loss </w:t>
      </w:r>
      <w:r w:rsidRPr="009667E6">
        <w:rPr>
          <w:b/>
          <w:lang w:val="en-GB"/>
        </w:rPr>
        <w:t>and</w:t>
      </w:r>
      <w:r w:rsidRPr="009667E6">
        <w:rPr>
          <w:b/>
          <w:szCs w:val="20"/>
          <w:lang w:val="en-GB"/>
        </w:rPr>
        <w:t xml:space="preserve"> degradation of habitats within the PONASI landscape.</w:t>
      </w:r>
    </w:p>
    <w:p w14:paraId="2EC24665" w14:textId="40848CB6"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eastAsia="Times New Roman" w:hAnsi="Calibri"/>
          <w:i/>
          <w:iCs/>
          <w:color w:val="2F5496"/>
          <w:sz w:val="20"/>
          <w:szCs w:val="20"/>
          <w:lang w:val="en-GB"/>
        </w:rPr>
        <w:t xml:space="preserve">Loss of forest cover. </w:t>
      </w:r>
      <w:r w:rsidRPr="009667E6">
        <w:rPr>
          <w:rFonts w:ascii="Calibri" w:hAnsi="Calibri"/>
          <w:sz w:val="20"/>
          <w:szCs w:val="20"/>
          <w:lang w:val="en-GB"/>
        </w:rPr>
        <w:t>The conversion of forest relics and pastures, including the deforestation of natural vegetation, to meet the needs of the expansion of intensive commercial agriculture, as well as a significant increase in herd size, have led to the loss and degradation of habitats in some areas of the PONASI landscape area. Erosion, drought and flooding also contribute to habitat loss in all land use categories. As high-altitude zones are the most affected by erosion and drought, producers focus on wetlands and along rivers which in turn degrade rapidly. Losses of forest cover at the national level were estimated at 105,000 ha / year in 2007</w:t>
      </w:r>
      <w:r w:rsidRPr="009667E6">
        <w:rPr>
          <w:rStyle w:val="Appelnotedebasdep"/>
          <w:rFonts w:ascii="Calibri" w:hAnsi="Calibri"/>
          <w:sz w:val="20"/>
          <w:szCs w:val="20"/>
        </w:rPr>
        <w:footnoteReference w:id="23"/>
      </w:r>
      <w:r w:rsidRPr="009667E6">
        <w:rPr>
          <w:rFonts w:ascii="Calibri" w:hAnsi="Calibri"/>
          <w:sz w:val="20"/>
          <w:szCs w:val="20"/>
          <w:lang w:val="en-GB"/>
        </w:rPr>
        <w:t xml:space="preserve"> and at 1% on average per year between 1990 and 2010</w:t>
      </w:r>
      <w:r w:rsidRPr="009667E6">
        <w:rPr>
          <w:rStyle w:val="Appelnotedebasdep"/>
          <w:rFonts w:ascii="Calibri" w:hAnsi="Calibri"/>
          <w:sz w:val="20"/>
          <w:szCs w:val="20"/>
        </w:rPr>
        <w:footnoteReference w:id="24"/>
      </w:r>
      <w:r w:rsidRPr="009667E6">
        <w:rPr>
          <w:rFonts w:ascii="Calibri" w:hAnsi="Calibri"/>
          <w:sz w:val="20"/>
          <w:szCs w:val="20"/>
          <w:lang w:val="en-GB"/>
        </w:rPr>
        <w:t>. A study conducted as part of the 5</w:t>
      </w:r>
      <w:r w:rsidRPr="009667E6">
        <w:rPr>
          <w:rFonts w:ascii="Calibri" w:hAnsi="Calibri"/>
          <w:sz w:val="20"/>
          <w:szCs w:val="20"/>
          <w:vertAlign w:val="superscript"/>
          <w:lang w:val="en-GB"/>
        </w:rPr>
        <w:t>th</w:t>
      </w:r>
      <w:r w:rsidRPr="009667E6">
        <w:rPr>
          <w:rFonts w:ascii="Calibri" w:hAnsi="Calibri"/>
          <w:sz w:val="20"/>
          <w:szCs w:val="20"/>
          <w:lang w:val="en-GB"/>
        </w:rPr>
        <w:t xml:space="preserve"> national report to the CBD (2014) states that plant cover decreased by 11.5% and 17.4% respectively between 2007 and 2012 in areas of high and very high vegetation cover.</w:t>
      </w:r>
    </w:p>
    <w:p w14:paraId="21E1EE85" w14:textId="099351D3" w:rsidR="000444D2"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eastAsia="Times New Roman" w:hAnsi="Calibri"/>
          <w:i/>
          <w:iCs/>
          <w:color w:val="2F5496"/>
          <w:sz w:val="20"/>
          <w:szCs w:val="20"/>
          <w:lang w:val="en-GB"/>
        </w:rPr>
        <w:t>Agricultural expansion</w:t>
      </w:r>
      <w:r w:rsidRPr="009667E6">
        <w:rPr>
          <w:rFonts w:ascii="Calibri" w:hAnsi="Calibri"/>
          <w:sz w:val="20"/>
          <w:szCs w:val="20"/>
          <w:lang w:val="en-GB"/>
        </w:rPr>
        <w:t xml:space="preserve"> Between 1992 and 2014, in the PONASI area (provinces of </w:t>
      </w:r>
      <w:proofErr w:type="spellStart"/>
      <w:r w:rsidRPr="009667E6">
        <w:rPr>
          <w:rFonts w:ascii="Calibri" w:hAnsi="Calibri"/>
          <w:sz w:val="20"/>
          <w:szCs w:val="20"/>
          <w:lang w:val="en-GB"/>
        </w:rPr>
        <w:t>Bazega</w:t>
      </w:r>
      <w:proofErr w:type="spellEnd"/>
      <w:r w:rsidRPr="009667E6">
        <w:rPr>
          <w:rFonts w:ascii="Calibri" w:hAnsi="Calibri"/>
          <w:sz w:val="20"/>
          <w:szCs w:val="20"/>
          <w:lang w:val="en-GB"/>
        </w:rPr>
        <w:t xml:space="preserve">, </w:t>
      </w:r>
      <w:proofErr w:type="spellStart"/>
      <w:r w:rsidRPr="009667E6">
        <w:rPr>
          <w:rFonts w:ascii="Calibri" w:hAnsi="Calibri"/>
          <w:sz w:val="20"/>
          <w:szCs w:val="20"/>
          <w:lang w:val="en-GB"/>
        </w:rPr>
        <w:t>Nahouri</w:t>
      </w:r>
      <w:proofErr w:type="spellEnd"/>
      <w:r w:rsidRPr="009667E6">
        <w:rPr>
          <w:rFonts w:ascii="Calibri" w:hAnsi="Calibri"/>
          <w:sz w:val="20"/>
          <w:szCs w:val="20"/>
          <w:lang w:val="en-GB"/>
        </w:rPr>
        <w:t xml:space="preserve">, </w:t>
      </w:r>
      <w:proofErr w:type="spellStart"/>
      <w:r w:rsidRPr="009667E6">
        <w:rPr>
          <w:rFonts w:ascii="Calibri" w:hAnsi="Calibri"/>
          <w:sz w:val="20"/>
          <w:szCs w:val="20"/>
          <w:lang w:val="en-GB"/>
        </w:rPr>
        <w:t>Sissili</w:t>
      </w:r>
      <w:proofErr w:type="spellEnd"/>
      <w:r w:rsidRPr="009667E6">
        <w:rPr>
          <w:rFonts w:ascii="Calibri" w:hAnsi="Calibri"/>
          <w:sz w:val="20"/>
          <w:szCs w:val="20"/>
          <w:lang w:val="en-GB"/>
        </w:rPr>
        <w:t xml:space="preserve">, </w:t>
      </w:r>
      <w:proofErr w:type="spellStart"/>
      <w:r w:rsidRPr="009667E6">
        <w:rPr>
          <w:rFonts w:ascii="Calibri" w:hAnsi="Calibri"/>
          <w:sz w:val="20"/>
          <w:szCs w:val="20"/>
          <w:lang w:val="en-GB"/>
        </w:rPr>
        <w:t>Ziro</w:t>
      </w:r>
      <w:proofErr w:type="spellEnd"/>
      <w:r w:rsidRPr="009667E6">
        <w:rPr>
          <w:rFonts w:ascii="Calibri" w:hAnsi="Calibri"/>
          <w:sz w:val="20"/>
          <w:szCs w:val="20"/>
          <w:lang w:val="en-GB"/>
        </w:rPr>
        <w:t xml:space="preserve">), agricultural expansion through land clearing averaged 1% per year, with a peak of 1.4 % from 1992 to 2002. </w:t>
      </w:r>
      <w:r w:rsidRPr="009667E6">
        <w:rPr>
          <w:rFonts w:ascii="Calibri" w:hAnsi="Calibri"/>
          <w:sz w:val="20"/>
          <w:szCs w:val="20"/>
          <w:lang w:val="en-CA"/>
        </w:rPr>
        <w:t>The area devoted to cotton fields grew 7.6-fold between 1980 and 2007 to the current size of 570,000 ha, thus increasing the proportion of cultivated area dedicated to cotton versus food crops from 2 to 19 % between 1986 and 2007</w:t>
      </w:r>
      <w:r w:rsidRPr="009667E6">
        <w:rPr>
          <w:rStyle w:val="Appelnotedebasdep"/>
          <w:rFonts w:ascii="Calibri" w:hAnsi="Calibri"/>
          <w:sz w:val="20"/>
          <w:szCs w:val="20"/>
          <w:lang w:val="en-CA"/>
        </w:rPr>
        <w:footnoteReference w:id="25"/>
      </w:r>
      <w:r w:rsidRPr="009667E6">
        <w:rPr>
          <w:rFonts w:ascii="Calibri" w:hAnsi="Calibri"/>
          <w:sz w:val="20"/>
          <w:szCs w:val="20"/>
          <w:lang w:val="en-CA"/>
        </w:rPr>
        <w:t>.</w:t>
      </w:r>
      <w:r w:rsidRPr="009667E6">
        <w:rPr>
          <w:rFonts w:ascii="Calibri" w:hAnsi="Calibri"/>
          <w:sz w:val="20"/>
          <w:szCs w:val="20"/>
          <w:lang w:val="en-GB"/>
        </w:rPr>
        <w:t xml:space="preserve"> </w:t>
      </w:r>
      <w:r w:rsidR="00C01619" w:rsidRPr="009667E6">
        <w:rPr>
          <w:rFonts w:asciiTheme="minorHAnsi" w:hAnsiTheme="minorHAnsi"/>
          <w:sz w:val="20"/>
          <w:szCs w:val="20"/>
          <w:lang w:val="en-GB"/>
        </w:rPr>
        <w:t>I</w:t>
      </w:r>
      <w:r w:rsidR="00C01619" w:rsidRPr="009667E6">
        <w:rPr>
          <w:rFonts w:asciiTheme="minorHAnsi" w:hAnsiTheme="minorHAnsi"/>
          <w:sz w:val="20"/>
          <w:szCs w:val="20"/>
          <w:lang w:val="en-CA"/>
        </w:rPr>
        <w:t>n the central south region, the cotton production was multiplied by 21 between 1996 and 2007, reaching 15,500 t in 2007</w:t>
      </w:r>
      <w:r w:rsidR="00C01619" w:rsidRPr="009667E6">
        <w:rPr>
          <w:rFonts w:asciiTheme="minorHAnsi" w:hAnsiTheme="minorHAnsi"/>
          <w:sz w:val="20"/>
          <w:szCs w:val="20"/>
          <w:vertAlign w:val="superscript"/>
          <w:lang w:val="en-CA"/>
        </w:rPr>
        <w:t>23</w:t>
      </w:r>
      <w:r w:rsidR="00C01619" w:rsidRPr="009667E6">
        <w:rPr>
          <w:rFonts w:asciiTheme="minorHAnsi" w:hAnsiTheme="minorHAnsi"/>
          <w:sz w:val="20"/>
          <w:szCs w:val="20"/>
          <w:lang w:val="en-CA"/>
        </w:rPr>
        <w:t xml:space="preserve">. </w:t>
      </w:r>
      <w:r w:rsidRPr="009667E6">
        <w:rPr>
          <w:rFonts w:ascii="Calibri" w:hAnsi="Calibri"/>
          <w:sz w:val="20"/>
          <w:szCs w:val="20"/>
          <w:lang w:val="en-GB"/>
        </w:rPr>
        <w:t xml:space="preserve">Agricultural statistics show an annual increase of 3.6% of the areas effectively </w:t>
      </w:r>
      <w:r w:rsidR="000444D2" w:rsidRPr="009667E6">
        <w:rPr>
          <w:rFonts w:ascii="Calibri" w:hAnsi="Calibri"/>
          <w:sz w:val="20"/>
          <w:szCs w:val="20"/>
          <w:lang w:val="en-GB"/>
        </w:rPr>
        <w:t>cultivated</w:t>
      </w:r>
      <w:r w:rsidRPr="009667E6">
        <w:rPr>
          <w:rFonts w:ascii="Calibri" w:hAnsi="Calibri"/>
          <w:sz w:val="20"/>
          <w:szCs w:val="20"/>
          <w:lang w:val="en-GB"/>
        </w:rPr>
        <w:t xml:space="preserve"> between 1992 and 2015. </w:t>
      </w:r>
      <w:r w:rsidR="00FA5EE5" w:rsidRPr="009667E6">
        <w:rPr>
          <w:rFonts w:ascii="Calibri" w:hAnsi="Calibri"/>
          <w:sz w:val="20"/>
          <w:szCs w:val="20"/>
          <w:lang w:val="en-GB"/>
        </w:rPr>
        <w:t xml:space="preserve">However, the difference between these sown areas and the agricultural areas is </w:t>
      </w:r>
      <w:r w:rsidR="000444D2" w:rsidRPr="009667E6">
        <w:rPr>
          <w:rFonts w:ascii="Calibri" w:hAnsi="Calibri"/>
          <w:sz w:val="20"/>
          <w:szCs w:val="20"/>
          <w:lang w:val="en-GB"/>
        </w:rPr>
        <w:t>significant</w:t>
      </w:r>
      <w:r w:rsidR="00FA5EE5" w:rsidRPr="009667E6">
        <w:rPr>
          <w:rFonts w:ascii="Calibri" w:hAnsi="Calibri"/>
          <w:sz w:val="20"/>
          <w:szCs w:val="20"/>
          <w:lang w:val="en-GB"/>
        </w:rPr>
        <w:t xml:space="preserve"> and increases by more than 1% per year in the PONASI </w:t>
      </w:r>
      <w:r w:rsidR="000444D2" w:rsidRPr="009667E6">
        <w:rPr>
          <w:rFonts w:ascii="Calibri" w:hAnsi="Calibri"/>
          <w:sz w:val="20"/>
          <w:szCs w:val="20"/>
          <w:lang w:val="en-GB"/>
        </w:rPr>
        <w:t>area</w:t>
      </w:r>
      <w:r w:rsidR="00FA5EE5" w:rsidRPr="009667E6">
        <w:rPr>
          <w:rFonts w:ascii="Calibri" w:hAnsi="Calibri"/>
          <w:sz w:val="20"/>
          <w:szCs w:val="20"/>
          <w:lang w:val="en-GB"/>
        </w:rPr>
        <w:t xml:space="preserve">, </w:t>
      </w:r>
      <w:r w:rsidR="000444D2" w:rsidRPr="009667E6">
        <w:rPr>
          <w:rFonts w:ascii="Calibri" w:hAnsi="Calibri"/>
          <w:sz w:val="20"/>
          <w:szCs w:val="20"/>
          <w:lang w:val="en-GB"/>
        </w:rPr>
        <w:t>which shows that more and more land is being cleared for the purpose of cutting and selling wood or charcoal, without being cultivated</w:t>
      </w:r>
      <w:r w:rsidR="000444D2" w:rsidRPr="009667E6">
        <w:rPr>
          <w:rStyle w:val="Appelnotedebasdep"/>
          <w:szCs w:val="20"/>
          <w:lang w:val="en-GB"/>
        </w:rPr>
        <w:footnoteReference w:id="26"/>
      </w:r>
      <w:r w:rsidR="000444D2" w:rsidRPr="009667E6">
        <w:rPr>
          <w:rFonts w:ascii="Calibri" w:hAnsi="Calibri"/>
          <w:sz w:val="20"/>
          <w:szCs w:val="20"/>
          <w:lang w:val="en-GB"/>
        </w:rPr>
        <w:t xml:space="preserve">. Land grabbing in this area leads to massive clearing of land that is never cultivated. In the provinces of </w:t>
      </w:r>
      <w:proofErr w:type="spellStart"/>
      <w:r w:rsidR="000444D2" w:rsidRPr="009667E6">
        <w:rPr>
          <w:rFonts w:ascii="Calibri" w:hAnsi="Calibri"/>
          <w:sz w:val="20"/>
          <w:szCs w:val="20"/>
          <w:lang w:val="en-GB"/>
        </w:rPr>
        <w:t>Sissili</w:t>
      </w:r>
      <w:proofErr w:type="spellEnd"/>
      <w:r w:rsidR="000444D2" w:rsidRPr="009667E6">
        <w:rPr>
          <w:rFonts w:ascii="Calibri" w:hAnsi="Calibri"/>
          <w:sz w:val="20"/>
          <w:szCs w:val="20"/>
          <w:lang w:val="en-GB"/>
        </w:rPr>
        <w:t xml:space="preserve"> and </w:t>
      </w:r>
      <w:proofErr w:type="spellStart"/>
      <w:r w:rsidR="000444D2" w:rsidRPr="009667E6">
        <w:rPr>
          <w:rFonts w:ascii="Calibri" w:hAnsi="Calibri"/>
          <w:sz w:val="20"/>
          <w:szCs w:val="20"/>
          <w:lang w:val="en-GB"/>
        </w:rPr>
        <w:t>Ziro</w:t>
      </w:r>
      <w:proofErr w:type="spellEnd"/>
      <w:r w:rsidR="000444D2" w:rsidRPr="009667E6">
        <w:rPr>
          <w:rFonts w:ascii="Calibri" w:hAnsi="Calibri"/>
          <w:sz w:val="20"/>
          <w:szCs w:val="20"/>
          <w:lang w:val="en-GB"/>
        </w:rPr>
        <w:t>, large areas cleared by agribusinessmen have subsequently been converted into cashew orchards.</w:t>
      </w:r>
    </w:p>
    <w:p w14:paraId="751C6C6D" w14:textId="44E2726D"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eastAsia="Times New Roman" w:hAnsi="Calibri"/>
          <w:i/>
          <w:iCs/>
          <w:color w:val="2F5496"/>
          <w:sz w:val="20"/>
          <w:szCs w:val="20"/>
          <w:lang w:val="en-GB"/>
        </w:rPr>
        <w:t>Livestock increase</w:t>
      </w:r>
      <w:r w:rsidRPr="009667E6">
        <w:rPr>
          <w:rFonts w:ascii="Calibri" w:hAnsi="Calibri"/>
          <w:sz w:val="20"/>
          <w:szCs w:val="20"/>
          <w:lang w:val="en-GB"/>
        </w:rPr>
        <w:t xml:space="preserve"> Livestock has increased significantly over the last 15 years and of 2.8% per year from 2013 to 2017, requiring vast land areas and putting tremendous pressure on the rich resources of the PONASI landscape savannahs. In 2017, the South central and West central regions of the PONASI landscape were among those with the best fodder potential: the coverage rate was estimated at 140% and 152%, respectively, for a duration of 11 and 12 months</w:t>
      </w:r>
      <w:r w:rsidR="00C01619" w:rsidRPr="009667E6">
        <w:rPr>
          <w:rStyle w:val="Appelnotedebasdep"/>
          <w:szCs w:val="20"/>
          <w:lang w:val="en-GB"/>
        </w:rPr>
        <w:footnoteReference w:id="27"/>
      </w:r>
      <w:r w:rsidRPr="009667E6">
        <w:rPr>
          <w:rFonts w:ascii="Calibri" w:hAnsi="Calibri"/>
          <w:sz w:val="20"/>
          <w:szCs w:val="20"/>
          <w:lang w:val="en-GB"/>
        </w:rPr>
        <w:t>.</w:t>
      </w:r>
    </w:p>
    <w:p w14:paraId="5E789099" w14:textId="39CF79FD"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eastAsia="Times New Roman" w:hAnsi="Calibri"/>
          <w:i/>
          <w:iCs/>
          <w:color w:val="2F5496"/>
          <w:sz w:val="20"/>
          <w:szCs w:val="20"/>
          <w:lang w:val="en-GB"/>
        </w:rPr>
        <w:t>Decline in pasture productivity</w:t>
      </w:r>
      <w:r w:rsidRPr="009667E6">
        <w:rPr>
          <w:rFonts w:ascii="Calibri" w:hAnsi="Calibri"/>
          <w:sz w:val="20"/>
          <w:szCs w:val="20"/>
          <w:lang w:val="en-GB"/>
        </w:rPr>
        <w:t xml:space="preserve"> Declining grazing productivity, changing ecosystems, drying ponds and overgrazing have already severely affected the Sahel and are now spreading to the southern regions, forcing pastoralists to migrate to greener pastures and </w:t>
      </w:r>
      <w:r w:rsidRPr="009667E6">
        <w:rPr>
          <w:rFonts w:ascii="Calibri" w:hAnsi="Calibri"/>
          <w:sz w:val="20"/>
          <w:szCs w:val="20"/>
          <w:lang w:val="en-GB"/>
        </w:rPr>
        <w:lastRenderedPageBreak/>
        <w:t>leading to overexploitation of resources, land degradation and loss of productivity. These migrations also contribute to exacerbate land conflicts, as livestock production causes the dispersion and fragmentation of cultivated areas.</w:t>
      </w:r>
    </w:p>
    <w:p w14:paraId="5250394A" w14:textId="4369E412"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eastAsia="Times New Roman" w:hAnsi="Calibri"/>
          <w:i/>
          <w:iCs/>
          <w:color w:val="2F5496"/>
          <w:sz w:val="20"/>
          <w:szCs w:val="20"/>
          <w:lang w:val="en-GB"/>
        </w:rPr>
        <w:t xml:space="preserve">Grabbing </w:t>
      </w:r>
      <w:r w:rsidR="00CB2536" w:rsidRPr="009667E6">
        <w:rPr>
          <w:rFonts w:ascii="Calibri" w:eastAsia="Times New Roman" w:hAnsi="Calibri"/>
          <w:i/>
          <w:iCs/>
          <w:color w:val="2F5496"/>
          <w:sz w:val="20"/>
          <w:szCs w:val="20"/>
          <w:lang w:val="en-GB"/>
        </w:rPr>
        <w:t xml:space="preserve">local communities’ </w:t>
      </w:r>
      <w:r w:rsidRPr="009667E6">
        <w:rPr>
          <w:rFonts w:ascii="Calibri" w:eastAsia="Times New Roman" w:hAnsi="Calibri"/>
          <w:i/>
          <w:iCs/>
          <w:color w:val="2F5496"/>
          <w:sz w:val="20"/>
          <w:szCs w:val="20"/>
          <w:lang w:val="en-GB"/>
        </w:rPr>
        <w:t xml:space="preserve">land reserves by agribusiness investors. </w:t>
      </w:r>
      <w:r w:rsidRPr="009667E6">
        <w:rPr>
          <w:rFonts w:ascii="Calibri" w:hAnsi="Calibri"/>
          <w:sz w:val="20"/>
          <w:szCs w:val="20"/>
          <w:lang w:val="en-GB"/>
        </w:rPr>
        <w:t xml:space="preserve">Large plots of land in fertile areas are increasingly being acquired by large economic operators and people with important positions, the "new rich", who are embarking on agribusiness at the expense of family or small-scale farming. These lands, which were part of the traditional land reserves of local communities, have been fallow for 30 years. They were thus covered with dense woody vegetation as secondary forests with high ecosystem services and a high carbon value. A study by </w:t>
      </w:r>
      <w:r w:rsidR="00C01619" w:rsidRPr="009667E6">
        <w:rPr>
          <w:rFonts w:ascii="Calibri" w:hAnsi="Calibri"/>
          <w:sz w:val="20"/>
          <w:szCs w:val="20"/>
          <w:lang w:val="en-GB"/>
        </w:rPr>
        <w:t xml:space="preserve">the Coalition for the Safeguarding of African Genetic Heritage </w:t>
      </w:r>
      <w:r w:rsidRPr="009667E6">
        <w:rPr>
          <w:rFonts w:ascii="Calibri" w:hAnsi="Calibri"/>
          <w:sz w:val="20"/>
          <w:szCs w:val="20"/>
          <w:lang w:val="en-GB"/>
        </w:rPr>
        <w:t>(</w:t>
      </w:r>
      <w:r w:rsidR="00C01619" w:rsidRPr="009667E6">
        <w:rPr>
          <w:rFonts w:ascii="Calibri" w:hAnsi="Calibri"/>
          <w:sz w:val="20"/>
          <w:szCs w:val="20"/>
          <w:lang w:val="en-GB"/>
        </w:rPr>
        <w:t>COPAGEN</w:t>
      </w:r>
      <w:r w:rsidRPr="009667E6">
        <w:rPr>
          <w:rFonts w:ascii="Calibri" w:hAnsi="Calibri"/>
          <w:sz w:val="20"/>
          <w:szCs w:val="20"/>
          <w:lang w:val="en-GB"/>
        </w:rPr>
        <w:t xml:space="preserve">) in 2012 showed that the PONASI regions (West Central / </w:t>
      </w:r>
      <w:proofErr w:type="spellStart"/>
      <w:r w:rsidRPr="009667E6">
        <w:rPr>
          <w:rFonts w:ascii="Calibri" w:hAnsi="Calibri"/>
          <w:sz w:val="20"/>
          <w:szCs w:val="20"/>
          <w:lang w:val="en-GB"/>
        </w:rPr>
        <w:t>Ziro</w:t>
      </w:r>
      <w:proofErr w:type="spellEnd"/>
      <w:r w:rsidRPr="009667E6">
        <w:rPr>
          <w:rFonts w:ascii="Calibri" w:hAnsi="Calibri"/>
          <w:sz w:val="20"/>
          <w:szCs w:val="20"/>
          <w:lang w:val="en-GB"/>
        </w:rPr>
        <w:t xml:space="preserve"> and </w:t>
      </w:r>
      <w:proofErr w:type="spellStart"/>
      <w:r w:rsidRPr="009667E6">
        <w:rPr>
          <w:rFonts w:ascii="Calibri" w:hAnsi="Calibri"/>
          <w:sz w:val="20"/>
          <w:szCs w:val="20"/>
          <w:lang w:val="en-GB"/>
        </w:rPr>
        <w:t>Sissili</w:t>
      </w:r>
      <w:proofErr w:type="spellEnd"/>
      <w:r w:rsidRPr="009667E6">
        <w:rPr>
          <w:rFonts w:ascii="Calibri" w:hAnsi="Calibri"/>
          <w:sz w:val="20"/>
          <w:szCs w:val="20"/>
          <w:lang w:val="en-GB"/>
        </w:rPr>
        <w:t xml:space="preserve"> provinces and South Central / </w:t>
      </w:r>
      <w:proofErr w:type="spellStart"/>
      <w:r w:rsidRPr="009667E6">
        <w:rPr>
          <w:rFonts w:ascii="Calibri" w:hAnsi="Calibri"/>
          <w:sz w:val="20"/>
          <w:szCs w:val="20"/>
          <w:lang w:val="en-GB"/>
        </w:rPr>
        <w:t>Nahouri</w:t>
      </w:r>
      <w:proofErr w:type="spellEnd"/>
      <w:r w:rsidRPr="009667E6">
        <w:rPr>
          <w:rFonts w:ascii="Calibri" w:hAnsi="Calibri"/>
          <w:sz w:val="20"/>
          <w:szCs w:val="20"/>
          <w:lang w:val="en-GB"/>
        </w:rPr>
        <w:t xml:space="preserve"> province) were among the most affected. The areas thus grabbed have been estimated at 1,527,000 ha in 2017. The blatant lack of fairness and equity in these transactions abusing the naivety and destitution of peasants was denounced in the media (www.ecodufaso.com), illustrating the case of a land of over 500 hectares acquired in exchange for a motorbike.</w:t>
      </w:r>
    </w:p>
    <w:p w14:paraId="6AB2A173" w14:textId="75ED1BD0" w:rsidR="00302BFE" w:rsidRPr="009667E6" w:rsidRDefault="00302BFE" w:rsidP="00302BFE">
      <w:pPr>
        <w:spacing w:before="120" w:after="120"/>
        <w:ind w:firstLine="720"/>
        <w:rPr>
          <w:b/>
          <w:szCs w:val="20"/>
          <w:lang w:val="en-GB"/>
        </w:rPr>
      </w:pPr>
      <w:proofErr w:type="spellStart"/>
      <w:r w:rsidRPr="009667E6">
        <w:rPr>
          <w:b/>
          <w:szCs w:val="20"/>
          <w:lang w:val="en-GB"/>
        </w:rPr>
        <w:t>Agro</w:t>
      </w:r>
      <w:proofErr w:type="spellEnd"/>
      <w:r w:rsidRPr="009667E6">
        <w:rPr>
          <w:b/>
          <w:szCs w:val="20"/>
          <w:lang w:val="en-GB"/>
        </w:rPr>
        <w:t>-</w:t>
      </w:r>
      <w:proofErr w:type="spellStart"/>
      <w:r w:rsidRPr="009667E6">
        <w:rPr>
          <w:b/>
          <w:szCs w:val="20"/>
          <w:lang w:val="en-GB"/>
        </w:rPr>
        <w:t>sylvo</w:t>
      </w:r>
      <w:proofErr w:type="spellEnd"/>
      <w:r w:rsidRPr="009667E6">
        <w:rPr>
          <w:b/>
          <w:szCs w:val="20"/>
          <w:lang w:val="en-GB"/>
        </w:rPr>
        <w:t>-pastoral practices and harmful land management</w:t>
      </w:r>
    </w:p>
    <w:p w14:paraId="61E8A340" w14:textId="19D4F8A4"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eastAsia="Times New Roman" w:hAnsi="Calibri"/>
          <w:i/>
          <w:iCs/>
          <w:color w:val="2F5496"/>
          <w:sz w:val="20"/>
          <w:szCs w:val="20"/>
          <w:lang w:val="en-GB"/>
        </w:rPr>
        <w:t>Complete clearing, non-selective cutting of trees and without anti-erosion measures.</w:t>
      </w:r>
      <w:r w:rsidRPr="009667E6">
        <w:rPr>
          <w:rFonts w:ascii="Calibri" w:hAnsi="Calibri"/>
          <w:sz w:val="20"/>
          <w:szCs w:val="20"/>
          <w:lang w:val="en-GB"/>
        </w:rPr>
        <w:t xml:space="preserve"> The traditional methods of clearing by controlled fires, practiced for generations by the itinerant farmers of </w:t>
      </w:r>
      <w:proofErr w:type="spellStart"/>
      <w:r w:rsidRPr="009667E6">
        <w:rPr>
          <w:rFonts w:ascii="Calibri" w:hAnsi="Calibri"/>
          <w:sz w:val="20"/>
          <w:szCs w:val="20"/>
          <w:lang w:val="en-GB"/>
        </w:rPr>
        <w:t>Gourounsi</w:t>
      </w:r>
      <w:proofErr w:type="spellEnd"/>
      <w:r w:rsidRPr="009667E6">
        <w:rPr>
          <w:rFonts w:ascii="Calibri" w:hAnsi="Calibri"/>
          <w:sz w:val="20"/>
          <w:szCs w:val="20"/>
          <w:lang w:val="en-GB"/>
        </w:rPr>
        <w:t>, had allowed optimal conservation of the soil. Now, agri-food investors are clearing land indiscriminately, without sparing protected tree species, or implementing anti-erosion measures.</w:t>
      </w:r>
    </w:p>
    <w:p w14:paraId="34CBAC5C" w14:textId="61B26288"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eastAsia="Times New Roman" w:hAnsi="Calibri"/>
          <w:i/>
          <w:iCs/>
          <w:color w:val="2F5496"/>
          <w:sz w:val="20"/>
          <w:szCs w:val="20"/>
          <w:lang w:val="en-GB"/>
        </w:rPr>
        <w:t>Loss of soil fertility</w:t>
      </w:r>
      <w:r w:rsidRPr="009667E6">
        <w:rPr>
          <w:rFonts w:ascii="Calibri" w:hAnsi="Calibri"/>
          <w:sz w:val="20"/>
          <w:szCs w:val="20"/>
          <w:lang w:val="en-GB"/>
        </w:rPr>
        <w:t xml:space="preserve"> Exposed to the elements and the resulting erosion, the initial fertility of the soil is rapidly lost in five years, requiring then substantial inputs of </w:t>
      </w:r>
      <w:proofErr w:type="gramStart"/>
      <w:r w:rsidRPr="009667E6">
        <w:rPr>
          <w:rFonts w:ascii="Calibri" w:hAnsi="Calibri"/>
          <w:sz w:val="20"/>
          <w:szCs w:val="20"/>
          <w:lang w:val="en-GB"/>
        </w:rPr>
        <w:t>fertilizers</w:t>
      </w:r>
      <w:proofErr w:type="gramEnd"/>
      <w:r w:rsidRPr="009667E6">
        <w:rPr>
          <w:rFonts w:ascii="Calibri" w:hAnsi="Calibri"/>
          <w:sz w:val="20"/>
          <w:szCs w:val="20"/>
          <w:lang w:val="en-GB"/>
        </w:rPr>
        <w:t xml:space="preserve"> or causing the abandonment of land for new clearings. For rural households, these practices result from a lack of capacity to invest in maintaining fertility. For investors, these practices result from an ambition of land grabbing for the purpose of land immobilization and a lack of know-how and capacity to invest in intensive agriculture. It has been observed that most "</w:t>
      </w:r>
      <w:r w:rsidRPr="009667E6">
        <w:rPr>
          <w:rFonts w:ascii="Calibri" w:hAnsi="Calibri"/>
          <w:i/>
          <w:sz w:val="20"/>
          <w:szCs w:val="20"/>
          <w:lang w:val="en-GB"/>
        </w:rPr>
        <w:t>agribusiness</w:t>
      </w:r>
      <w:r w:rsidRPr="009667E6">
        <w:rPr>
          <w:rFonts w:ascii="Calibri" w:hAnsi="Calibri"/>
          <w:sz w:val="20"/>
          <w:szCs w:val="20"/>
          <w:lang w:val="en-GB"/>
        </w:rPr>
        <w:t xml:space="preserve"> projects" have never achieved their goal of high-yield productivity, even proving to be less profitable than traditional farms.</w:t>
      </w:r>
    </w:p>
    <w:p w14:paraId="04A024A9" w14:textId="4E4E39B8"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eastAsia="Times New Roman" w:hAnsi="Calibri"/>
          <w:i/>
          <w:iCs/>
          <w:color w:val="2F5496"/>
          <w:sz w:val="20"/>
          <w:szCs w:val="20"/>
          <w:lang w:val="en-GB"/>
        </w:rPr>
        <w:t xml:space="preserve">Excessive use of herbicides, </w:t>
      </w:r>
      <w:proofErr w:type="gramStart"/>
      <w:r w:rsidRPr="009667E6">
        <w:rPr>
          <w:rFonts w:ascii="Calibri" w:eastAsia="Times New Roman" w:hAnsi="Calibri"/>
          <w:i/>
          <w:iCs/>
          <w:color w:val="2F5496"/>
          <w:sz w:val="20"/>
          <w:szCs w:val="20"/>
          <w:lang w:val="en-GB"/>
        </w:rPr>
        <w:t>pesticides</w:t>
      </w:r>
      <w:proofErr w:type="gramEnd"/>
      <w:r w:rsidRPr="009667E6">
        <w:rPr>
          <w:rFonts w:ascii="Calibri" w:eastAsia="Times New Roman" w:hAnsi="Calibri"/>
          <w:i/>
          <w:iCs/>
          <w:color w:val="2F5496"/>
          <w:sz w:val="20"/>
          <w:szCs w:val="20"/>
          <w:lang w:val="en-GB"/>
        </w:rPr>
        <w:t xml:space="preserve"> and unregistered fertilizers</w:t>
      </w:r>
      <w:r w:rsidRPr="009667E6">
        <w:rPr>
          <w:rFonts w:ascii="Calibri" w:hAnsi="Calibri"/>
          <w:sz w:val="20"/>
          <w:szCs w:val="20"/>
          <w:lang w:val="en-GB"/>
        </w:rPr>
        <w:t xml:space="preserve"> Although reliable data on the subject are not available, the use of herbicides is booming in the PONASI Complex area. They are used more and more on farms (i) as a pre-sowing weed killer (allowing farmers to sow after full usage of weed killers and no tillage), (ii) to reduce weed germination (after </w:t>
      </w:r>
      <w:proofErr w:type="spellStart"/>
      <w:r w:rsidRPr="009667E6">
        <w:rPr>
          <w:rFonts w:ascii="Calibri" w:hAnsi="Calibri"/>
          <w:sz w:val="20"/>
          <w:szCs w:val="20"/>
          <w:lang w:val="en-GB"/>
        </w:rPr>
        <w:t>plowing</w:t>
      </w:r>
      <w:proofErr w:type="spellEnd"/>
      <w:r w:rsidRPr="009667E6">
        <w:rPr>
          <w:rFonts w:ascii="Calibri" w:hAnsi="Calibri"/>
          <w:sz w:val="20"/>
          <w:szCs w:val="20"/>
          <w:lang w:val="en-GB"/>
        </w:rPr>
        <w:t xml:space="preserve"> and sowing), (iii) as a total weed killer in orchards and even (iv) to clear new fields by minimizing manual labour. The herbicides used are not registered and are bought on the local market, abundantly supplied from Ghana. The herbicides, pesticides and fertilizers used in excess are leached and contaminate the soil and watercourses of the ecosystems. Their use in the production areas threatens the survival of bees and their pollination role as well as the production of honey. Already in 2006, a beekeeping cooperative had noted a drop of nearly 50% in the colonization of hives by bees in areas of high cotton production in the east of the country</w:t>
      </w:r>
      <w:r w:rsidRPr="009667E6">
        <w:rPr>
          <w:rStyle w:val="Appelnotedebasdep"/>
          <w:rFonts w:ascii="Calibri" w:hAnsi="Calibri"/>
          <w:sz w:val="20"/>
          <w:szCs w:val="20"/>
        </w:rPr>
        <w:footnoteReference w:id="28"/>
      </w:r>
      <w:r w:rsidRPr="009667E6">
        <w:rPr>
          <w:rFonts w:ascii="Calibri" w:hAnsi="Calibri"/>
          <w:sz w:val="20"/>
          <w:szCs w:val="20"/>
          <w:lang w:val="en-GB"/>
        </w:rPr>
        <w:t>. This phenomenon could also be observed in the PONASI complex, which is one of the cotton zones of SOFITEX and the FASOCOTON company.</w:t>
      </w:r>
    </w:p>
    <w:p w14:paraId="0EAB15B4" w14:textId="388C6C64"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eastAsia="Times New Roman" w:hAnsi="Calibri"/>
          <w:i/>
          <w:iCs/>
          <w:color w:val="2F5496"/>
          <w:sz w:val="20"/>
          <w:szCs w:val="20"/>
          <w:lang w:val="en-GB"/>
        </w:rPr>
        <w:t>Increased frequency and extent of uncontrolled bush fires</w:t>
      </w:r>
      <w:r w:rsidRPr="009667E6">
        <w:rPr>
          <w:rFonts w:ascii="Calibri" w:hAnsi="Calibri"/>
          <w:sz w:val="20"/>
          <w:szCs w:val="20"/>
          <w:lang w:val="en-GB"/>
        </w:rPr>
        <w:t>:</w:t>
      </w:r>
      <w:r w:rsidRPr="009667E6">
        <w:rPr>
          <w:rFonts w:ascii="Calibri" w:hAnsi="Calibri"/>
          <w:bCs/>
          <w:sz w:val="20"/>
          <w:szCs w:val="20"/>
          <w:lang w:val="en-GB"/>
        </w:rPr>
        <w:t xml:space="preserve"> In recent years, uncontrolled and large-scale bush fires in the PONASI landscape have been caused by slash-and-burn agriculture and, to some extent, exacerbated by climate change. In the </w:t>
      </w:r>
      <w:proofErr w:type="spellStart"/>
      <w:r w:rsidRPr="009667E6">
        <w:rPr>
          <w:rFonts w:ascii="Calibri" w:hAnsi="Calibri"/>
          <w:bCs/>
          <w:sz w:val="20"/>
          <w:szCs w:val="20"/>
          <w:lang w:val="en-GB"/>
        </w:rPr>
        <w:t>Sudanian</w:t>
      </w:r>
      <w:proofErr w:type="spellEnd"/>
      <w:r w:rsidRPr="009667E6">
        <w:rPr>
          <w:rFonts w:ascii="Calibri" w:hAnsi="Calibri"/>
          <w:bCs/>
          <w:sz w:val="20"/>
          <w:szCs w:val="20"/>
          <w:lang w:val="en-GB"/>
        </w:rPr>
        <w:t xml:space="preserve"> savannahs, where a continuous carpet of perennial grasses connects areas of dense vegetation cover, bush fires can be massive and destroy vast natural habitats. National statistics on bush fires since 2001</w:t>
      </w:r>
      <w:r w:rsidRPr="009667E6">
        <w:rPr>
          <w:rStyle w:val="Appelnotedebasdep"/>
          <w:bCs/>
          <w:szCs w:val="20"/>
          <w:lang w:val="en-GB"/>
        </w:rPr>
        <w:footnoteReference w:id="29"/>
      </w:r>
      <w:r w:rsidRPr="009667E6">
        <w:rPr>
          <w:rFonts w:ascii="Calibri" w:hAnsi="Calibri"/>
          <w:bCs/>
          <w:sz w:val="20"/>
          <w:szCs w:val="20"/>
          <w:lang w:val="en-GB"/>
        </w:rPr>
        <w:t xml:space="preserve"> show a decline in bushfire activity over the past 15 years, with a regression rate of 8.52% between 2001 and 2004 and 11% between 2010 and 2014. While the practice of fire remains high in protected areas and other classified forests, it is strongly declining in unclassified protected forests (forest estate of territorial communities). The regions with the highest frequency and magnitude of bush fires are those with high biomass potential to burn, which means large areas of reserves, </w:t>
      </w:r>
      <w:proofErr w:type="gramStart"/>
      <w:r w:rsidRPr="009667E6">
        <w:rPr>
          <w:rFonts w:ascii="Calibri" w:hAnsi="Calibri"/>
          <w:bCs/>
          <w:sz w:val="20"/>
          <w:szCs w:val="20"/>
          <w:lang w:val="en-GB"/>
        </w:rPr>
        <w:t>parks</w:t>
      </w:r>
      <w:proofErr w:type="gramEnd"/>
      <w:r w:rsidRPr="009667E6">
        <w:rPr>
          <w:rFonts w:ascii="Calibri" w:hAnsi="Calibri"/>
          <w:bCs/>
          <w:sz w:val="20"/>
          <w:szCs w:val="20"/>
          <w:lang w:val="en-GB"/>
        </w:rPr>
        <w:t xml:space="preserve"> and classified forests. Between 2001 and 2010 in the West-central and South-central regions of the PONASI complex, bush fires affected 25 to 28% of the territory. In 2014, these proportions were only 8% for the West central and 12% for the South central, mainly in the PNKT, the </w:t>
      </w:r>
      <w:proofErr w:type="spellStart"/>
      <w:r w:rsidRPr="009667E6">
        <w:rPr>
          <w:rFonts w:ascii="Calibri" w:hAnsi="Calibri"/>
          <w:bCs/>
          <w:sz w:val="20"/>
          <w:szCs w:val="20"/>
          <w:lang w:val="en-GB"/>
        </w:rPr>
        <w:t>Nazinga</w:t>
      </w:r>
      <w:proofErr w:type="spellEnd"/>
      <w:r w:rsidRPr="009667E6">
        <w:rPr>
          <w:rFonts w:ascii="Calibri" w:hAnsi="Calibri"/>
          <w:bCs/>
          <w:sz w:val="20"/>
          <w:szCs w:val="20"/>
          <w:lang w:val="en-GB"/>
        </w:rPr>
        <w:t xml:space="preserve"> Ranch and the classified forests of </w:t>
      </w:r>
      <w:proofErr w:type="spellStart"/>
      <w:r w:rsidRPr="009667E6">
        <w:rPr>
          <w:rFonts w:ascii="Calibri" w:hAnsi="Calibri"/>
          <w:bCs/>
          <w:sz w:val="20"/>
          <w:szCs w:val="20"/>
          <w:lang w:val="en-GB"/>
        </w:rPr>
        <w:t>Sissili</w:t>
      </w:r>
      <w:proofErr w:type="spellEnd"/>
      <w:r w:rsidRPr="009667E6">
        <w:rPr>
          <w:rFonts w:ascii="Calibri" w:hAnsi="Calibri"/>
          <w:bCs/>
          <w:sz w:val="20"/>
          <w:szCs w:val="20"/>
          <w:lang w:val="en-GB"/>
        </w:rPr>
        <w:t xml:space="preserve"> and </w:t>
      </w:r>
      <w:proofErr w:type="spellStart"/>
      <w:r w:rsidRPr="009667E6">
        <w:rPr>
          <w:rFonts w:ascii="Calibri" w:hAnsi="Calibri"/>
          <w:bCs/>
          <w:sz w:val="20"/>
          <w:szCs w:val="20"/>
          <w:lang w:val="en-GB"/>
        </w:rPr>
        <w:t>Nazinon</w:t>
      </w:r>
      <w:proofErr w:type="spellEnd"/>
      <w:r w:rsidRPr="009667E6">
        <w:rPr>
          <w:rFonts w:ascii="Calibri" w:hAnsi="Calibri"/>
          <w:bCs/>
          <w:sz w:val="20"/>
          <w:szCs w:val="20"/>
          <w:lang w:val="en-GB"/>
        </w:rPr>
        <w:t>.</w:t>
      </w:r>
      <w:r w:rsidRPr="009667E6">
        <w:rPr>
          <w:rStyle w:val="Appelnotedebasdep"/>
          <w:rFonts w:ascii="Calibri" w:hAnsi="Calibri" w:cs="Calibri"/>
          <w:sz w:val="20"/>
          <w:szCs w:val="20"/>
        </w:rPr>
        <w:footnoteReference w:id="30"/>
      </w:r>
    </w:p>
    <w:p w14:paraId="546C579B" w14:textId="3B9D710B" w:rsidR="00302BFE" w:rsidRPr="009667E6" w:rsidRDefault="00302BFE" w:rsidP="00302BFE">
      <w:pPr>
        <w:spacing w:before="240" w:after="120"/>
        <w:ind w:firstLine="720"/>
        <w:rPr>
          <w:b/>
          <w:szCs w:val="20"/>
          <w:lang w:val="en-GB"/>
        </w:rPr>
      </w:pPr>
      <w:r w:rsidRPr="009667E6">
        <w:rPr>
          <w:b/>
          <w:szCs w:val="20"/>
          <w:lang w:val="en-GB"/>
        </w:rPr>
        <w:t>Overexploitation of natural resources</w:t>
      </w:r>
    </w:p>
    <w:p w14:paraId="5B69BE82" w14:textId="77E56D62" w:rsidR="00302BFE" w:rsidRPr="009667E6" w:rsidRDefault="00302BFE" w:rsidP="00C46720">
      <w:pPr>
        <w:pStyle w:val="Paragraphedeliste"/>
        <w:numPr>
          <w:ilvl w:val="0"/>
          <w:numId w:val="32"/>
        </w:numPr>
        <w:tabs>
          <w:tab w:val="left" w:pos="284"/>
        </w:tabs>
        <w:spacing w:before="120" w:after="120"/>
        <w:ind w:left="0" w:firstLine="0"/>
        <w:jc w:val="both"/>
        <w:rPr>
          <w:rFonts w:ascii="Calibri" w:eastAsia="Times New Roman" w:hAnsi="Calibri"/>
          <w:iCs/>
          <w:sz w:val="20"/>
          <w:szCs w:val="20"/>
          <w:lang w:val="en-GB"/>
        </w:rPr>
      </w:pPr>
      <w:r w:rsidRPr="009667E6">
        <w:rPr>
          <w:rFonts w:ascii="Calibri" w:eastAsia="Times New Roman" w:hAnsi="Calibri"/>
          <w:i/>
          <w:iCs/>
          <w:color w:val="2F5496"/>
          <w:sz w:val="20"/>
          <w:szCs w:val="20"/>
          <w:lang w:val="en-GB"/>
        </w:rPr>
        <w:t>Overexploitation of fuelwood</w:t>
      </w:r>
      <w:r w:rsidRPr="009667E6">
        <w:rPr>
          <w:rFonts w:ascii="Calibri" w:hAnsi="Calibri"/>
          <w:sz w:val="20"/>
          <w:szCs w:val="20"/>
          <w:lang w:val="en-GB"/>
        </w:rPr>
        <w:t xml:space="preserve"> The PONASI area is referred to as the "wood park" of Ouagadougou, the capital city. The increased demand for firewood to supply not only Ouagadougou, but also other urbanized areas near the PONASI landscape area, is leading to overexploitation of timber, putting additional pressure on these scarce forest resources. During the period 2010 to 2015, the 8 forest management worksites (CAF) located in the PONASI zone produced 1,442,747 wood-energy stems intended mainly for the supply of the city of Ouagadougou and the chief towns of the communes</w:t>
      </w:r>
      <w:r w:rsidRPr="009667E6">
        <w:rPr>
          <w:rStyle w:val="Appelnotedebasdep"/>
          <w:szCs w:val="20"/>
          <w:lang w:val="fr-CA"/>
        </w:rPr>
        <w:footnoteReference w:id="31"/>
      </w:r>
      <w:r w:rsidRPr="009667E6">
        <w:rPr>
          <w:rFonts w:ascii="Calibri" w:hAnsi="Calibri"/>
          <w:sz w:val="20"/>
          <w:szCs w:val="20"/>
          <w:lang w:val="en-GB"/>
        </w:rPr>
        <w:t>. Data on charcoal is only available for the year 2015 and indicates the production of 312,900 quintals from two of the 8 projects in the area.</w:t>
      </w:r>
    </w:p>
    <w:p w14:paraId="34E11F5E" w14:textId="2ACE6A76" w:rsidR="008623A1" w:rsidRPr="009667E6" w:rsidRDefault="001E6847" w:rsidP="00C46720">
      <w:pPr>
        <w:pStyle w:val="Paragraphedeliste"/>
        <w:numPr>
          <w:ilvl w:val="0"/>
          <w:numId w:val="32"/>
        </w:numPr>
        <w:tabs>
          <w:tab w:val="left" w:pos="284"/>
        </w:tabs>
        <w:spacing w:before="120" w:after="120"/>
        <w:ind w:left="0" w:firstLine="0"/>
        <w:jc w:val="both"/>
        <w:rPr>
          <w:rFonts w:asciiTheme="minorHAnsi" w:eastAsia="Calibri" w:hAnsiTheme="minorHAnsi"/>
          <w:color w:val="000000"/>
          <w:sz w:val="20"/>
          <w:szCs w:val="20"/>
          <w:lang w:val="en-GB"/>
        </w:rPr>
      </w:pPr>
      <w:r w:rsidRPr="009667E6">
        <w:rPr>
          <w:rFonts w:ascii="Calibri" w:eastAsia="Times New Roman" w:hAnsi="Calibri"/>
          <w:i/>
          <w:iCs/>
          <w:color w:val="2F5496"/>
          <w:sz w:val="20"/>
          <w:szCs w:val="20"/>
          <w:lang w:val="en-GB"/>
        </w:rPr>
        <w:lastRenderedPageBreak/>
        <w:t>Wildlife p</w:t>
      </w:r>
      <w:r w:rsidR="00302BFE" w:rsidRPr="009667E6">
        <w:rPr>
          <w:rFonts w:ascii="Calibri" w:eastAsia="Times New Roman" w:hAnsi="Calibri"/>
          <w:i/>
          <w:iCs/>
          <w:color w:val="2F5496"/>
          <w:sz w:val="20"/>
          <w:szCs w:val="20"/>
          <w:lang w:val="en-GB"/>
        </w:rPr>
        <w:t>oaching</w:t>
      </w:r>
      <w:r w:rsidR="00302BFE" w:rsidRPr="009667E6">
        <w:rPr>
          <w:rFonts w:ascii="Calibri" w:hAnsi="Calibri"/>
          <w:sz w:val="20"/>
          <w:szCs w:val="20"/>
          <w:lang w:val="en-GB"/>
        </w:rPr>
        <w:t>.</w:t>
      </w:r>
      <w:r w:rsidR="00302BFE" w:rsidRPr="009667E6">
        <w:rPr>
          <w:rFonts w:ascii="Calibri" w:hAnsi="Calibri"/>
          <w:bCs/>
          <w:sz w:val="20"/>
          <w:szCs w:val="20"/>
          <w:lang w:val="en-GB"/>
        </w:rPr>
        <w:t xml:space="preserve"> </w:t>
      </w:r>
      <w:r w:rsidR="00302BFE" w:rsidRPr="009667E6">
        <w:rPr>
          <w:rFonts w:ascii="Calibri" w:eastAsia="Times New Roman" w:hAnsi="Calibri"/>
          <w:sz w:val="20"/>
          <w:szCs w:val="20"/>
          <w:lang w:val="en-GB"/>
        </w:rPr>
        <w:t xml:space="preserve">The intensity of conflict </w:t>
      </w:r>
      <w:r w:rsidR="00BF7D67" w:rsidRPr="009667E6">
        <w:rPr>
          <w:rFonts w:asciiTheme="minorHAnsi" w:eastAsia="Calibri" w:hAnsiTheme="minorHAnsi"/>
          <w:color w:val="000000"/>
          <w:sz w:val="20"/>
          <w:szCs w:val="20"/>
          <w:lang w:val="en-GB"/>
        </w:rPr>
        <w:t xml:space="preserve">with </w:t>
      </w:r>
      <w:r w:rsidR="00BF7D67" w:rsidRPr="009667E6">
        <w:rPr>
          <w:rFonts w:ascii="Calibri" w:eastAsia="Times New Roman" w:hAnsi="Calibri"/>
          <w:sz w:val="20"/>
          <w:szCs w:val="20"/>
          <w:lang w:val="en-GB"/>
        </w:rPr>
        <w:t xml:space="preserve">elephants </w:t>
      </w:r>
      <w:r w:rsidR="00302BFE" w:rsidRPr="009667E6">
        <w:rPr>
          <w:rFonts w:ascii="Calibri" w:eastAsia="Times New Roman" w:hAnsi="Calibri"/>
          <w:sz w:val="20"/>
          <w:szCs w:val="20"/>
          <w:lang w:val="en-GB"/>
        </w:rPr>
        <w:t xml:space="preserve">is very high in the farms </w:t>
      </w:r>
      <w:r w:rsidR="006367A4" w:rsidRPr="009667E6">
        <w:rPr>
          <w:rFonts w:asciiTheme="minorHAnsi" w:eastAsia="Calibri" w:hAnsiTheme="minorHAnsi"/>
          <w:color w:val="000000"/>
          <w:sz w:val="20"/>
          <w:szCs w:val="20"/>
          <w:lang w:val="en-GB"/>
        </w:rPr>
        <w:t xml:space="preserve">bordering </w:t>
      </w:r>
      <w:r w:rsidR="00302BFE" w:rsidRPr="009667E6">
        <w:rPr>
          <w:rFonts w:ascii="Calibri" w:eastAsia="Times New Roman" w:hAnsi="Calibri"/>
          <w:sz w:val="20"/>
          <w:szCs w:val="20"/>
          <w:lang w:val="en-GB"/>
        </w:rPr>
        <w:t>protected areas, such as the Kabore-</w:t>
      </w:r>
      <w:proofErr w:type="spellStart"/>
      <w:r w:rsidR="00302BFE" w:rsidRPr="009667E6">
        <w:rPr>
          <w:rFonts w:ascii="Calibri" w:eastAsia="Times New Roman" w:hAnsi="Calibri"/>
          <w:sz w:val="20"/>
          <w:szCs w:val="20"/>
          <w:lang w:val="en-GB"/>
        </w:rPr>
        <w:t>Tambi</w:t>
      </w:r>
      <w:proofErr w:type="spellEnd"/>
      <w:r w:rsidR="00302BFE" w:rsidRPr="009667E6">
        <w:rPr>
          <w:rFonts w:ascii="Calibri" w:eastAsia="Times New Roman" w:hAnsi="Calibri"/>
          <w:sz w:val="20"/>
          <w:szCs w:val="20"/>
          <w:lang w:val="en-GB"/>
        </w:rPr>
        <w:t xml:space="preserve"> National Park. Wildlife </w:t>
      </w:r>
      <w:r w:rsidR="006367A4" w:rsidRPr="009667E6">
        <w:rPr>
          <w:rFonts w:ascii="Calibri" w:eastAsia="Times New Roman" w:hAnsi="Calibri"/>
          <w:sz w:val="20"/>
          <w:szCs w:val="20"/>
          <w:lang w:val="en-GB"/>
        </w:rPr>
        <w:t>m</w:t>
      </w:r>
      <w:r w:rsidR="00302BFE" w:rsidRPr="009667E6">
        <w:rPr>
          <w:rFonts w:ascii="Calibri" w:eastAsia="Times New Roman" w:hAnsi="Calibri"/>
          <w:sz w:val="20"/>
          <w:szCs w:val="20"/>
          <w:lang w:val="en-GB"/>
        </w:rPr>
        <w:t xml:space="preserve">anagement </w:t>
      </w:r>
      <w:r w:rsidR="006367A4" w:rsidRPr="009667E6">
        <w:rPr>
          <w:rFonts w:ascii="Calibri" w:eastAsia="Times New Roman" w:hAnsi="Calibri"/>
          <w:sz w:val="20"/>
          <w:szCs w:val="20"/>
          <w:lang w:val="en-GB"/>
        </w:rPr>
        <w:t>a</w:t>
      </w:r>
      <w:r w:rsidR="00302BFE" w:rsidRPr="009667E6">
        <w:rPr>
          <w:rFonts w:ascii="Calibri" w:eastAsia="Times New Roman" w:hAnsi="Calibri"/>
          <w:sz w:val="20"/>
          <w:szCs w:val="20"/>
          <w:lang w:val="en-GB"/>
        </w:rPr>
        <w:t xml:space="preserve">uthorities have applied various interventions to deal with these HWC incidents with </w:t>
      </w:r>
      <w:r w:rsidR="00BF7D67" w:rsidRPr="009667E6">
        <w:rPr>
          <w:rFonts w:ascii="Calibri" w:eastAsia="Times New Roman" w:hAnsi="Calibri"/>
          <w:sz w:val="20"/>
          <w:szCs w:val="20"/>
          <w:lang w:val="en-GB"/>
        </w:rPr>
        <w:t>unequal</w:t>
      </w:r>
      <w:r w:rsidR="00302BFE" w:rsidRPr="009667E6">
        <w:rPr>
          <w:rFonts w:ascii="Calibri" w:eastAsia="Times New Roman" w:hAnsi="Calibri"/>
          <w:sz w:val="20"/>
          <w:szCs w:val="20"/>
          <w:lang w:val="en-GB"/>
        </w:rPr>
        <w:t xml:space="preserve"> success. Poverty, lack of enforcement capacity and</w:t>
      </w:r>
      <w:r w:rsidR="007346D9" w:rsidRPr="009667E6">
        <w:rPr>
          <w:rFonts w:ascii="Calibri" w:eastAsia="Times New Roman" w:hAnsi="Calibri"/>
          <w:sz w:val="20"/>
          <w:szCs w:val="20"/>
          <w:lang w:val="en-GB"/>
        </w:rPr>
        <w:t xml:space="preserve"> </w:t>
      </w:r>
      <w:r w:rsidR="00302BFE" w:rsidRPr="009667E6">
        <w:rPr>
          <w:rFonts w:ascii="Calibri" w:eastAsia="Times New Roman" w:hAnsi="Calibri"/>
          <w:sz w:val="20"/>
          <w:szCs w:val="20"/>
          <w:lang w:val="en-GB"/>
        </w:rPr>
        <w:t xml:space="preserve">the demand </w:t>
      </w:r>
      <w:r w:rsidR="008623A1" w:rsidRPr="009667E6">
        <w:rPr>
          <w:rFonts w:ascii="Calibri" w:eastAsia="Times New Roman" w:hAnsi="Calibri"/>
          <w:sz w:val="20"/>
          <w:szCs w:val="20"/>
          <w:lang w:val="en-GB"/>
        </w:rPr>
        <w:t>from</w:t>
      </w:r>
      <w:r w:rsidR="00302BFE" w:rsidRPr="009667E6">
        <w:rPr>
          <w:rFonts w:ascii="Calibri" w:eastAsia="Times New Roman" w:hAnsi="Calibri"/>
          <w:sz w:val="20"/>
          <w:szCs w:val="20"/>
          <w:lang w:val="en-GB"/>
        </w:rPr>
        <w:t xml:space="preserve"> consumer countries </w:t>
      </w:r>
      <w:r w:rsidR="008623A1" w:rsidRPr="009667E6">
        <w:rPr>
          <w:rFonts w:ascii="Calibri" w:eastAsia="Times New Roman" w:hAnsi="Calibri"/>
          <w:sz w:val="20"/>
          <w:szCs w:val="20"/>
          <w:lang w:val="en-GB"/>
        </w:rPr>
        <w:t>suppor</w:t>
      </w:r>
      <w:r w:rsidR="00302BFE" w:rsidRPr="009667E6">
        <w:rPr>
          <w:rFonts w:ascii="Calibri" w:eastAsia="Times New Roman" w:hAnsi="Calibri"/>
          <w:sz w:val="20"/>
          <w:szCs w:val="20"/>
          <w:lang w:val="en-GB"/>
        </w:rPr>
        <w:t>ting a</w:t>
      </w:r>
      <w:r w:rsidR="007346D9" w:rsidRPr="009667E6">
        <w:rPr>
          <w:rFonts w:ascii="Calibri" w:eastAsia="Times New Roman" w:hAnsi="Calibri"/>
          <w:sz w:val="20"/>
          <w:szCs w:val="20"/>
          <w:lang w:val="en-GB"/>
        </w:rPr>
        <w:t>n</w:t>
      </w:r>
      <w:r w:rsidR="00302BFE" w:rsidRPr="009667E6">
        <w:rPr>
          <w:rFonts w:ascii="Calibri" w:eastAsia="Times New Roman" w:hAnsi="Calibri"/>
          <w:sz w:val="20"/>
          <w:szCs w:val="20"/>
          <w:lang w:val="en-GB"/>
        </w:rPr>
        <w:t xml:space="preserve"> illicit trade market </w:t>
      </w:r>
      <w:r w:rsidR="008623A1" w:rsidRPr="009667E6">
        <w:rPr>
          <w:rFonts w:ascii="Calibri" w:eastAsia="Times New Roman" w:hAnsi="Calibri"/>
          <w:sz w:val="20"/>
          <w:szCs w:val="20"/>
          <w:lang w:val="en-GB"/>
        </w:rPr>
        <w:t>are</w:t>
      </w:r>
      <w:r w:rsidR="00302BFE" w:rsidRPr="009667E6">
        <w:rPr>
          <w:rFonts w:ascii="Calibri" w:eastAsia="Times New Roman" w:hAnsi="Calibri"/>
          <w:sz w:val="20"/>
          <w:szCs w:val="20"/>
          <w:lang w:val="en-GB"/>
        </w:rPr>
        <w:t xml:space="preserve"> the main causes of poaching. Poachers prey on almost all mammals, but the most sought</w:t>
      </w:r>
      <w:r w:rsidR="008623A1" w:rsidRPr="009667E6">
        <w:rPr>
          <w:rFonts w:ascii="Calibri" w:eastAsia="Times New Roman" w:hAnsi="Calibri"/>
          <w:sz w:val="20"/>
          <w:szCs w:val="20"/>
          <w:lang w:val="en-GB"/>
        </w:rPr>
        <w:t>-</w:t>
      </w:r>
      <w:r w:rsidR="00302BFE" w:rsidRPr="009667E6">
        <w:rPr>
          <w:rFonts w:ascii="Calibri" w:eastAsia="Times New Roman" w:hAnsi="Calibri"/>
          <w:sz w:val="20"/>
          <w:szCs w:val="20"/>
          <w:lang w:val="en-GB"/>
        </w:rPr>
        <w:t>after are the antelopes (</w:t>
      </w:r>
      <w:r w:rsidR="00302BFE" w:rsidRPr="009667E6">
        <w:rPr>
          <w:rFonts w:ascii="Calibri" w:eastAsia="Times New Roman" w:hAnsi="Calibri"/>
          <w:i/>
          <w:sz w:val="20"/>
          <w:szCs w:val="20"/>
          <w:lang w:val="en-GB"/>
        </w:rPr>
        <w:t xml:space="preserve">Hippotragus </w:t>
      </w:r>
      <w:proofErr w:type="spellStart"/>
      <w:r w:rsidR="00302BFE" w:rsidRPr="009667E6">
        <w:rPr>
          <w:rFonts w:ascii="Calibri" w:eastAsia="Times New Roman" w:hAnsi="Calibri"/>
          <w:i/>
          <w:sz w:val="20"/>
          <w:szCs w:val="20"/>
          <w:lang w:val="en-GB"/>
        </w:rPr>
        <w:t>equinus</w:t>
      </w:r>
      <w:proofErr w:type="spellEnd"/>
      <w:r w:rsidR="00302BFE" w:rsidRPr="009667E6">
        <w:rPr>
          <w:rFonts w:ascii="Calibri" w:eastAsia="Times New Roman" w:hAnsi="Calibri"/>
          <w:sz w:val="20"/>
          <w:szCs w:val="20"/>
          <w:lang w:val="en-GB"/>
        </w:rPr>
        <w:t>), the hartebeest (</w:t>
      </w:r>
      <w:proofErr w:type="spellStart"/>
      <w:r w:rsidR="00302BFE" w:rsidRPr="009667E6">
        <w:rPr>
          <w:rFonts w:ascii="Calibri" w:eastAsia="Times New Roman" w:hAnsi="Calibri"/>
          <w:i/>
          <w:sz w:val="20"/>
          <w:szCs w:val="20"/>
          <w:lang w:val="en-GB"/>
        </w:rPr>
        <w:t>Alcelephus</w:t>
      </w:r>
      <w:proofErr w:type="spellEnd"/>
      <w:r w:rsidR="00302BFE" w:rsidRPr="009667E6">
        <w:rPr>
          <w:rFonts w:ascii="Calibri" w:eastAsia="Times New Roman" w:hAnsi="Calibri"/>
          <w:i/>
          <w:sz w:val="20"/>
          <w:szCs w:val="20"/>
          <w:lang w:val="en-GB"/>
        </w:rPr>
        <w:t xml:space="preserve"> </w:t>
      </w:r>
      <w:proofErr w:type="spellStart"/>
      <w:r w:rsidR="00302BFE" w:rsidRPr="009667E6">
        <w:rPr>
          <w:rFonts w:ascii="Calibri" w:eastAsia="Times New Roman" w:hAnsi="Calibri"/>
          <w:i/>
          <w:sz w:val="20"/>
          <w:szCs w:val="20"/>
          <w:lang w:val="en-GB"/>
        </w:rPr>
        <w:t>buselaphus</w:t>
      </w:r>
      <w:proofErr w:type="spellEnd"/>
      <w:r w:rsidR="00302BFE" w:rsidRPr="009667E6">
        <w:rPr>
          <w:rFonts w:ascii="Calibri" w:eastAsia="Times New Roman" w:hAnsi="Calibri"/>
          <w:sz w:val="20"/>
          <w:szCs w:val="20"/>
          <w:lang w:val="en-GB"/>
        </w:rPr>
        <w:t>), the warthog (</w:t>
      </w:r>
      <w:r w:rsidR="00302BFE" w:rsidRPr="009667E6">
        <w:rPr>
          <w:rFonts w:ascii="Calibri" w:eastAsia="Times New Roman" w:hAnsi="Calibri"/>
          <w:i/>
          <w:sz w:val="20"/>
          <w:szCs w:val="20"/>
          <w:lang w:val="en-GB"/>
        </w:rPr>
        <w:t>Phacochoerus africanus</w:t>
      </w:r>
      <w:r w:rsidR="00302BFE" w:rsidRPr="009667E6">
        <w:rPr>
          <w:rFonts w:ascii="Calibri" w:eastAsia="Times New Roman" w:hAnsi="Calibri"/>
          <w:sz w:val="20"/>
          <w:szCs w:val="20"/>
          <w:lang w:val="en-GB"/>
        </w:rPr>
        <w:t>), the elephant (</w:t>
      </w:r>
      <w:r w:rsidR="00302BFE" w:rsidRPr="009667E6">
        <w:rPr>
          <w:rFonts w:ascii="Calibri" w:eastAsia="Times New Roman" w:hAnsi="Calibri"/>
          <w:i/>
          <w:sz w:val="20"/>
          <w:szCs w:val="20"/>
          <w:lang w:val="en-GB"/>
        </w:rPr>
        <w:t xml:space="preserve">Loxodonta </w:t>
      </w:r>
      <w:proofErr w:type="spellStart"/>
      <w:r w:rsidR="00302BFE" w:rsidRPr="009667E6">
        <w:rPr>
          <w:rFonts w:ascii="Calibri" w:eastAsia="Times New Roman" w:hAnsi="Calibri"/>
          <w:i/>
          <w:sz w:val="20"/>
          <w:szCs w:val="20"/>
          <w:lang w:val="en-GB"/>
        </w:rPr>
        <w:t>africana</w:t>
      </w:r>
      <w:proofErr w:type="spellEnd"/>
      <w:r w:rsidR="00302BFE" w:rsidRPr="009667E6">
        <w:rPr>
          <w:rFonts w:ascii="Calibri" w:eastAsia="Times New Roman" w:hAnsi="Calibri"/>
          <w:sz w:val="20"/>
          <w:szCs w:val="20"/>
          <w:lang w:val="en-GB"/>
        </w:rPr>
        <w:t xml:space="preserve"> - </w:t>
      </w:r>
      <w:r w:rsidR="00302BFE" w:rsidRPr="009667E6">
        <w:rPr>
          <w:rFonts w:ascii="Calibri" w:eastAsia="Times New Roman" w:hAnsi="Calibri"/>
          <w:b/>
          <w:sz w:val="20"/>
          <w:szCs w:val="20"/>
          <w:lang w:val="en-GB"/>
        </w:rPr>
        <w:t>VU</w:t>
      </w:r>
      <w:r w:rsidR="00302BFE" w:rsidRPr="009667E6">
        <w:rPr>
          <w:rFonts w:ascii="Calibri" w:eastAsia="Times New Roman" w:hAnsi="Calibri"/>
          <w:sz w:val="20"/>
          <w:szCs w:val="20"/>
          <w:lang w:val="en-GB"/>
        </w:rPr>
        <w:t>), the bushbuck (</w:t>
      </w:r>
      <w:r w:rsidR="00302BFE" w:rsidRPr="009667E6">
        <w:rPr>
          <w:rFonts w:ascii="Calibri" w:eastAsia="Times New Roman" w:hAnsi="Calibri"/>
          <w:i/>
          <w:sz w:val="20"/>
          <w:szCs w:val="20"/>
          <w:lang w:val="en-GB"/>
        </w:rPr>
        <w:t>Tragelaphus scriptus</w:t>
      </w:r>
      <w:r w:rsidR="00302BFE" w:rsidRPr="009667E6">
        <w:rPr>
          <w:rFonts w:ascii="Calibri" w:eastAsia="Times New Roman" w:hAnsi="Calibri"/>
          <w:sz w:val="20"/>
          <w:szCs w:val="20"/>
          <w:lang w:val="en-GB"/>
        </w:rPr>
        <w:t>), the oribi (</w:t>
      </w:r>
      <w:proofErr w:type="spellStart"/>
      <w:r w:rsidR="00302BFE" w:rsidRPr="009667E6">
        <w:rPr>
          <w:rFonts w:ascii="Calibri" w:eastAsia="Times New Roman" w:hAnsi="Calibri"/>
          <w:i/>
          <w:sz w:val="20"/>
          <w:szCs w:val="20"/>
          <w:lang w:val="en-GB"/>
        </w:rPr>
        <w:t>Ourebia</w:t>
      </w:r>
      <w:proofErr w:type="spellEnd"/>
      <w:r w:rsidR="00302BFE" w:rsidRPr="009667E6">
        <w:rPr>
          <w:rFonts w:ascii="Calibri" w:eastAsia="Times New Roman" w:hAnsi="Calibri"/>
          <w:i/>
          <w:sz w:val="20"/>
          <w:szCs w:val="20"/>
          <w:lang w:val="en-GB"/>
        </w:rPr>
        <w:t xml:space="preserve"> </w:t>
      </w:r>
      <w:proofErr w:type="spellStart"/>
      <w:r w:rsidR="00302BFE" w:rsidRPr="009667E6">
        <w:rPr>
          <w:rFonts w:ascii="Calibri" w:eastAsia="Times New Roman" w:hAnsi="Calibri"/>
          <w:i/>
          <w:sz w:val="20"/>
          <w:szCs w:val="20"/>
          <w:lang w:val="en-GB"/>
        </w:rPr>
        <w:t>ourebi</w:t>
      </w:r>
      <w:proofErr w:type="spellEnd"/>
      <w:r w:rsidR="00302BFE" w:rsidRPr="009667E6">
        <w:rPr>
          <w:rFonts w:ascii="Calibri" w:eastAsia="Times New Roman" w:hAnsi="Calibri"/>
          <w:sz w:val="20"/>
          <w:szCs w:val="20"/>
          <w:lang w:val="en-GB"/>
        </w:rPr>
        <w:t>), the Grimm's duiker (</w:t>
      </w:r>
      <w:proofErr w:type="spellStart"/>
      <w:r w:rsidR="00302BFE" w:rsidRPr="009667E6">
        <w:rPr>
          <w:rFonts w:ascii="Calibri" w:eastAsia="Times New Roman" w:hAnsi="Calibri"/>
          <w:i/>
          <w:sz w:val="20"/>
          <w:szCs w:val="20"/>
          <w:lang w:val="en-GB"/>
        </w:rPr>
        <w:t>Sylvicapra</w:t>
      </w:r>
      <w:proofErr w:type="spellEnd"/>
      <w:r w:rsidR="00302BFE" w:rsidRPr="009667E6">
        <w:rPr>
          <w:rFonts w:ascii="Calibri" w:eastAsia="Times New Roman" w:hAnsi="Calibri"/>
          <w:i/>
          <w:sz w:val="20"/>
          <w:szCs w:val="20"/>
          <w:lang w:val="en-GB"/>
        </w:rPr>
        <w:t xml:space="preserve"> </w:t>
      </w:r>
      <w:proofErr w:type="spellStart"/>
      <w:r w:rsidR="00302BFE" w:rsidRPr="009667E6">
        <w:rPr>
          <w:rFonts w:ascii="Calibri" w:eastAsia="Times New Roman" w:hAnsi="Calibri"/>
          <w:i/>
          <w:sz w:val="20"/>
          <w:szCs w:val="20"/>
          <w:lang w:val="en-GB"/>
        </w:rPr>
        <w:t>grimmia</w:t>
      </w:r>
      <w:proofErr w:type="spellEnd"/>
      <w:r w:rsidR="00302BFE" w:rsidRPr="009667E6">
        <w:rPr>
          <w:rFonts w:ascii="Calibri" w:eastAsia="Times New Roman" w:hAnsi="Calibri"/>
          <w:sz w:val="20"/>
          <w:szCs w:val="20"/>
          <w:lang w:val="en-GB"/>
        </w:rPr>
        <w:t>), the reedbuck (</w:t>
      </w:r>
      <w:proofErr w:type="spellStart"/>
      <w:r w:rsidR="00302BFE" w:rsidRPr="009667E6">
        <w:rPr>
          <w:rFonts w:ascii="Calibri" w:eastAsia="Times New Roman" w:hAnsi="Calibri"/>
          <w:i/>
          <w:sz w:val="20"/>
          <w:szCs w:val="20"/>
          <w:lang w:val="en-GB"/>
        </w:rPr>
        <w:t>Redunca</w:t>
      </w:r>
      <w:proofErr w:type="spellEnd"/>
      <w:r w:rsidR="00302BFE" w:rsidRPr="009667E6">
        <w:rPr>
          <w:rFonts w:ascii="Calibri" w:eastAsia="Times New Roman" w:hAnsi="Calibri"/>
          <w:i/>
          <w:sz w:val="20"/>
          <w:szCs w:val="20"/>
          <w:lang w:val="en-GB"/>
        </w:rPr>
        <w:t xml:space="preserve"> </w:t>
      </w:r>
      <w:proofErr w:type="spellStart"/>
      <w:r w:rsidR="00302BFE" w:rsidRPr="009667E6">
        <w:rPr>
          <w:rFonts w:ascii="Calibri" w:eastAsia="Times New Roman" w:hAnsi="Calibri"/>
          <w:i/>
          <w:sz w:val="20"/>
          <w:szCs w:val="20"/>
          <w:lang w:val="en-GB"/>
        </w:rPr>
        <w:t>redunca</w:t>
      </w:r>
      <w:proofErr w:type="spellEnd"/>
      <w:r w:rsidR="00302BFE" w:rsidRPr="009667E6">
        <w:rPr>
          <w:rFonts w:ascii="Calibri" w:eastAsia="Times New Roman" w:hAnsi="Calibri"/>
          <w:sz w:val="20"/>
          <w:szCs w:val="20"/>
          <w:lang w:val="en-GB"/>
        </w:rPr>
        <w:t xml:space="preserve">), the Buffon's </w:t>
      </w:r>
      <w:proofErr w:type="spellStart"/>
      <w:r w:rsidR="00302BFE" w:rsidRPr="009667E6">
        <w:rPr>
          <w:rFonts w:ascii="Calibri" w:eastAsia="Times New Roman" w:hAnsi="Calibri"/>
          <w:sz w:val="20"/>
          <w:szCs w:val="20"/>
          <w:lang w:val="en-GB"/>
        </w:rPr>
        <w:t>kob</w:t>
      </w:r>
      <w:proofErr w:type="spellEnd"/>
      <w:r w:rsidR="00302BFE" w:rsidRPr="009667E6">
        <w:rPr>
          <w:rFonts w:ascii="Calibri" w:eastAsia="Times New Roman" w:hAnsi="Calibri"/>
          <w:sz w:val="20"/>
          <w:szCs w:val="20"/>
          <w:lang w:val="en-GB"/>
        </w:rPr>
        <w:t xml:space="preserve"> (</w:t>
      </w:r>
      <w:r w:rsidR="00302BFE" w:rsidRPr="009667E6">
        <w:rPr>
          <w:rFonts w:ascii="Calibri" w:eastAsia="Times New Roman" w:hAnsi="Calibri"/>
          <w:i/>
          <w:sz w:val="20"/>
          <w:szCs w:val="20"/>
          <w:lang w:val="en-GB"/>
        </w:rPr>
        <w:t xml:space="preserve">Kobus </w:t>
      </w:r>
      <w:proofErr w:type="spellStart"/>
      <w:r w:rsidR="00302BFE" w:rsidRPr="009667E6">
        <w:rPr>
          <w:rFonts w:ascii="Calibri" w:eastAsia="Times New Roman" w:hAnsi="Calibri"/>
          <w:i/>
          <w:sz w:val="20"/>
          <w:szCs w:val="20"/>
          <w:lang w:val="en-GB"/>
        </w:rPr>
        <w:t>kob</w:t>
      </w:r>
      <w:proofErr w:type="spellEnd"/>
      <w:r w:rsidR="00302BFE" w:rsidRPr="009667E6">
        <w:rPr>
          <w:rFonts w:ascii="Calibri" w:eastAsia="Times New Roman" w:hAnsi="Calibri"/>
          <w:sz w:val="20"/>
          <w:szCs w:val="20"/>
          <w:lang w:val="en-GB"/>
        </w:rPr>
        <w:t>), the Bushbuck (</w:t>
      </w:r>
      <w:r w:rsidR="00302BFE" w:rsidRPr="009667E6">
        <w:rPr>
          <w:rFonts w:ascii="Calibri" w:eastAsia="Times New Roman" w:hAnsi="Calibri"/>
          <w:i/>
          <w:sz w:val="20"/>
          <w:szCs w:val="20"/>
          <w:lang w:val="en-GB"/>
        </w:rPr>
        <w:t xml:space="preserve">Kobus </w:t>
      </w:r>
      <w:proofErr w:type="spellStart"/>
      <w:r w:rsidR="00302BFE" w:rsidRPr="009667E6">
        <w:rPr>
          <w:rFonts w:ascii="Calibri" w:eastAsia="Times New Roman" w:hAnsi="Calibri"/>
          <w:i/>
          <w:sz w:val="20"/>
          <w:szCs w:val="20"/>
          <w:lang w:val="en-GB"/>
        </w:rPr>
        <w:t>ellipsiprymnus</w:t>
      </w:r>
      <w:proofErr w:type="spellEnd"/>
      <w:r w:rsidR="00302BFE" w:rsidRPr="009667E6">
        <w:rPr>
          <w:rFonts w:ascii="Calibri" w:eastAsia="Times New Roman" w:hAnsi="Calibri"/>
          <w:i/>
          <w:sz w:val="20"/>
          <w:szCs w:val="20"/>
          <w:lang w:val="en-GB"/>
        </w:rPr>
        <w:t xml:space="preserve"> </w:t>
      </w:r>
      <w:proofErr w:type="spellStart"/>
      <w:r w:rsidR="00302BFE" w:rsidRPr="009667E6">
        <w:rPr>
          <w:rFonts w:ascii="Calibri" w:eastAsia="Times New Roman" w:hAnsi="Calibri"/>
          <w:i/>
          <w:sz w:val="20"/>
          <w:szCs w:val="20"/>
          <w:lang w:val="en-GB"/>
        </w:rPr>
        <w:t>ssp</w:t>
      </w:r>
      <w:proofErr w:type="spellEnd"/>
      <w:r w:rsidR="00302BFE" w:rsidRPr="009667E6">
        <w:rPr>
          <w:rFonts w:ascii="Calibri" w:eastAsia="Times New Roman" w:hAnsi="Calibri"/>
          <w:i/>
          <w:sz w:val="20"/>
          <w:szCs w:val="20"/>
          <w:lang w:val="en-GB"/>
        </w:rPr>
        <w:t xml:space="preserve"> </w:t>
      </w:r>
      <w:proofErr w:type="spellStart"/>
      <w:r w:rsidR="00302BFE" w:rsidRPr="009667E6">
        <w:rPr>
          <w:rFonts w:ascii="Calibri" w:eastAsia="Times New Roman" w:hAnsi="Calibri"/>
          <w:i/>
          <w:sz w:val="20"/>
          <w:szCs w:val="20"/>
          <w:lang w:val="en-GB"/>
        </w:rPr>
        <w:t>defassa</w:t>
      </w:r>
      <w:proofErr w:type="spellEnd"/>
      <w:r w:rsidR="00302BFE" w:rsidRPr="009667E6">
        <w:rPr>
          <w:rFonts w:ascii="Calibri" w:eastAsia="Times New Roman" w:hAnsi="Calibri"/>
          <w:sz w:val="20"/>
          <w:szCs w:val="20"/>
          <w:lang w:val="en-GB"/>
        </w:rPr>
        <w:t xml:space="preserve"> - </w:t>
      </w:r>
      <w:r w:rsidR="00302BFE" w:rsidRPr="009667E6">
        <w:rPr>
          <w:rFonts w:ascii="Calibri" w:eastAsia="Times New Roman" w:hAnsi="Calibri"/>
          <w:b/>
          <w:sz w:val="20"/>
          <w:szCs w:val="20"/>
          <w:lang w:val="en-GB"/>
        </w:rPr>
        <w:t>NT</w:t>
      </w:r>
      <w:r w:rsidR="00302BFE" w:rsidRPr="009667E6">
        <w:rPr>
          <w:rFonts w:ascii="Calibri" w:eastAsia="Times New Roman" w:hAnsi="Calibri"/>
          <w:sz w:val="20"/>
          <w:szCs w:val="20"/>
          <w:lang w:val="en-GB"/>
        </w:rPr>
        <w:t>), and the buffalo (</w:t>
      </w:r>
      <w:proofErr w:type="spellStart"/>
      <w:r w:rsidR="00302BFE" w:rsidRPr="009667E6">
        <w:rPr>
          <w:rFonts w:ascii="Calibri" w:eastAsia="Times New Roman" w:hAnsi="Calibri"/>
          <w:i/>
          <w:sz w:val="20"/>
          <w:szCs w:val="20"/>
          <w:lang w:val="en-GB"/>
        </w:rPr>
        <w:t>Syncerus</w:t>
      </w:r>
      <w:proofErr w:type="spellEnd"/>
      <w:r w:rsidR="00302BFE" w:rsidRPr="009667E6">
        <w:rPr>
          <w:rFonts w:ascii="Calibri" w:eastAsia="Times New Roman" w:hAnsi="Calibri"/>
          <w:i/>
          <w:sz w:val="20"/>
          <w:szCs w:val="20"/>
          <w:lang w:val="en-GB"/>
        </w:rPr>
        <w:t xml:space="preserve"> </w:t>
      </w:r>
      <w:proofErr w:type="spellStart"/>
      <w:r w:rsidR="00302BFE" w:rsidRPr="009667E6">
        <w:rPr>
          <w:rFonts w:ascii="Calibri" w:eastAsia="Times New Roman" w:hAnsi="Calibri"/>
          <w:i/>
          <w:sz w:val="20"/>
          <w:szCs w:val="20"/>
          <w:lang w:val="en-GB"/>
        </w:rPr>
        <w:t>caffer</w:t>
      </w:r>
      <w:proofErr w:type="spellEnd"/>
      <w:r w:rsidR="00302BFE" w:rsidRPr="009667E6">
        <w:rPr>
          <w:rFonts w:ascii="Calibri" w:eastAsia="Times New Roman" w:hAnsi="Calibri"/>
          <w:sz w:val="20"/>
          <w:szCs w:val="20"/>
          <w:lang w:val="en-GB"/>
        </w:rPr>
        <w:t xml:space="preserve">). </w:t>
      </w:r>
      <w:r w:rsidR="000E3AD9" w:rsidRPr="009667E6">
        <w:rPr>
          <w:rFonts w:ascii="Calibri" w:eastAsia="Times New Roman" w:hAnsi="Calibri"/>
          <w:sz w:val="20"/>
          <w:szCs w:val="20"/>
          <w:lang w:val="en-GB"/>
        </w:rPr>
        <w:t>All</w:t>
      </w:r>
      <w:r w:rsidR="00302BFE" w:rsidRPr="009667E6">
        <w:rPr>
          <w:rFonts w:ascii="Calibri" w:eastAsia="Times New Roman" w:hAnsi="Calibri"/>
          <w:sz w:val="20"/>
          <w:szCs w:val="20"/>
          <w:lang w:val="en-GB"/>
        </w:rPr>
        <w:t xml:space="preserve"> these species are poached, but elephant poaching is getting more attention from PA managers. </w:t>
      </w:r>
      <w:r w:rsidR="005773F6" w:rsidRPr="009667E6">
        <w:rPr>
          <w:rFonts w:ascii="Calibri" w:eastAsia="Times New Roman" w:hAnsi="Calibri"/>
          <w:sz w:val="20"/>
          <w:szCs w:val="20"/>
          <w:lang w:val="en-GB"/>
        </w:rPr>
        <w:t xml:space="preserve">Poaching of elephants has increased since 2010 with the development of the ivory industry. </w:t>
      </w:r>
      <w:r w:rsidR="00302BFE" w:rsidRPr="009667E6">
        <w:rPr>
          <w:rFonts w:ascii="Calibri" w:eastAsia="Times New Roman" w:hAnsi="Calibri"/>
          <w:sz w:val="20"/>
          <w:szCs w:val="20"/>
          <w:lang w:val="en-GB"/>
        </w:rPr>
        <w:t xml:space="preserve">It has been estimated that </w:t>
      </w:r>
      <w:r w:rsidR="005773F6" w:rsidRPr="009667E6">
        <w:rPr>
          <w:rFonts w:ascii="Calibri" w:eastAsia="Times New Roman" w:hAnsi="Calibri"/>
          <w:sz w:val="20"/>
          <w:szCs w:val="20"/>
          <w:lang w:val="en-GB"/>
        </w:rPr>
        <w:t>about 200 elephants were killed at the national level from 2012 to 2014</w:t>
      </w:r>
      <w:r w:rsidR="00302BFE" w:rsidRPr="009667E6">
        <w:rPr>
          <w:rFonts w:ascii="Calibri" w:eastAsia="Times New Roman" w:hAnsi="Calibri"/>
          <w:sz w:val="20"/>
          <w:szCs w:val="20"/>
          <w:lang w:val="en-GB"/>
        </w:rPr>
        <w:t xml:space="preserve"> (personal interview with the Director of Wildlife and Hunting). </w:t>
      </w:r>
      <w:r w:rsidR="00090D3B" w:rsidRPr="009667E6">
        <w:rPr>
          <w:rFonts w:asciiTheme="minorHAnsi" w:hAnsiTheme="minorHAnsi"/>
          <w:sz w:val="20"/>
          <w:szCs w:val="20"/>
          <w:lang w:val="en-CA"/>
        </w:rPr>
        <w:t xml:space="preserve">In the </w:t>
      </w:r>
      <w:proofErr w:type="spellStart"/>
      <w:r w:rsidR="00090D3B" w:rsidRPr="009667E6">
        <w:rPr>
          <w:rFonts w:asciiTheme="minorHAnsi" w:hAnsiTheme="minorHAnsi"/>
          <w:sz w:val="20"/>
          <w:szCs w:val="20"/>
          <w:lang w:val="en-CA"/>
        </w:rPr>
        <w:t>Nazinga</w:t>
      </w:r>
      <w:proofErr w:type="spellEnd"/>
      <w:r w:rsidR="00090D3B" w:rsidRPr="009667E6">
        <w:rPr>
          <w:rFonts w:asciiTheme="minorHAnsi" w:hAnsiTheme="minorHAnsi"/>
          <w:sz w:val="20"/>
          <w:szCs w:val="20"/>
          <w:lang w:val="en-CA"/>
        </w:rPr>
        <w:t xml:space="preserve"> Game Ranch, human presence was detected over 11 % of the ranch area between 1985 and 1987, extended to 50 % between 1994 and 2000 and was at 67% in 2011</w:t>
      </w:r>
      <w:r w:rsidR="00090D3B" w:rsidRPr="009667E6">
        <w:rPr>
          <w:rStyle w:val="Appelnotedebasdep"/>
          <w:szCs w:val="20"/>
          <w:lang w:val="en-CA"/>
        </w:rPr>
        <w:footnoteReference w:id="32"/>
      </w:r>
      <w:r w:rsidR="00090D3B" w:rsidRPr="009667E6">
        <w:rPr>
          <w:rFonts w:asciiTheme="minorHAnsi" w:hAnsiTheme="minorHAnsi"/>
          <w:sz w:val="20"/>
          <w:szCs w:val="20"/>
          <w:lang w:val="en-CA"/>
        </w:rPr>
        <w:t>. This evolution is in line with the progressive expansion of illegal activities in the RGN in those years. Survey results indicate that large species were little affected despite increasing evidence of illegal activities, as poaching activities targeted mainly small species for local subsistence. Small animals are easier to shoot and carry than large ungulates, and easier to hide from wildlife officers and from village neighbours that could denounce them. In Burkina Faso, although bushmeat trade is permitted by law, there is no bushmeat traffic at the scale seen in Central Africa or in the coastal countries of West Africa, and illegal hunting is mostly practiced for self-subsistence purposes.</w:t>
      </w:r>
      <w:r w:rsidR="00EB32F4" w:rsidRPr="009667E6">
        <w:rPr>
          <w:rFonts w:asciiTheme="minorHAnsi" w:hAnsiTheme="minorHAnsi"/>
          <w:sz w:val="20"/>
          <w:szCs w:val="20"/>
          <w:lang w:val="en-CA"/>
        </w:rPr>
        <w:t xml:space="preserve"> Even where hunting is permitted, it should be kept in mind that the consumption of wild meat, potentially under unhygienic </w:t>
      </w:r>
      <w:r w:rsidR="009E5E39" w:rsidRPr="009667E6">
        <w:rPr>
          <w:rFonts w:asciiTheme="minorHAnsi" w:hAnsiTheme="minorHAnsi"/>
          <w:sz w:val="20"/>
          <w:szCs w:val="20"/>
          <w:lang w:val="en-CA"/>
        </w:rPr>
        <w:t xml:space="preserve">and uncontrolled </w:t>
      </w:r>
      <w:r w:rsidR="00EB32F4" w:rsidRPr="009667E6">
        <w:rPr>
          <w:rFonts w:asciiTheme="minorHAnsi" w:hAnsiTheme="minorHAnsi"/>
          <w:sz w:val="20"/>
          <w:szCs w:val="20"/>
          <w:lang w:val="en-CA"/>
        </w:rPr>
        <w:t xml:space="preserve">conditions, is a potential source of transmission of zoonotic disease agents from their wild hosts to human populations, as has happened in the COVID pandemic. </w:t>
      </w:r>
    </w:p>
    <w:p w14:paraId="5BDAEB4B" w14:textId="79EE06C8" w:rsidR="00302BFE" w:rsidRPr="009667E6" w:rsidRDefault="00302BFE" w:rsidP="00C46720">
      <w:pPr>
        <w:pStyle w:val="Paragraphedeliste"/>
        <w:numPr>
          <w:ilvl w:val="0"/>
          <w:numId w:val="32"/>
        </w:numPr>
        <w:tabs>
          <w:tab w:val="left" w:pos="284"/>
        </w:tabs>
        <w:spacing w:before="120" w:after="120"/>
        <w:ind w:left="0" w:firstLine="0"/>
        <w:jc w:val="both"/>
        <w:rPr>
          <w:rFonts w:ascii="Calibri" w:eastAsia="Times New Roman" w:hAnsi="Calibri"/>
          <w:iCs/>
          <w:sz w:val="20"/>
          <w:szCs w:val="20"/>
          <w:lang w:val="en-GB"/>
        </w:rPr>
      </w:pPr>
      <w:r w:rsidRPr="009667E6">
        <w:rPr>
          <w:rFonts w:ascii="Calibri" w:eastAsia="Times New Roman" w:hAnsi="Calibri"/>
          <w:sz w:val="20"/>
          <w:szCs w:val="20"/>
          <w:lang w:val="en-GB"/>
        </w:rPr>
        <w:t xml:space="preserve">In protected areas, poaching is more intense in areas where monitoring is ineffective because of difficult access or remoteness from forest ranger stations. Poaching is restrained during herd migration between protected areas because of the presence of local communities along the corridors. The location of the </w:t>
      </w:r>
      <w:proofErr w:type="spellStart"/>
      <w:r w:rsidRPr="009667E6">
        <w:rPr>
          <w:rFonts w:ascii="Calibri" w:eastAsia="Times New Roman" w:hAnsi="Calibri"/>
          <w:sz w:val="20"/>
          <w:szCs w:val="20"/>
          <w:lang w:val="en-GB"/>
        </w:rPr>
        <w:t>Nazinga</w:t>
      </w:r>
      <w:proofErr w:type="spellEnd"/>
      <w:r w:rsidRPr="009667E6">
        <w:rPr>
          <w:rFonts w:ascii="Calibri" w:eastAsia="Times New Roman" w:hAnsi="Calibri"/>
          <w:sz w:val="20"/>
          <w:szCs w:val="20"/>
          <w:lang w:val="en-GB"/>
        </w:rPr>
        <w:t xml:space="preserve"> Game Ranch on the Ghana-Burkina Faso border poses a particular problem, as wildlife poaching is more intense on the Ghanaian side and formal collaboration between rangers in both countries is weak, although an official agreement has been signed between the two countries</w:t>
      </w:r>
      <w:r w:rsidRPr="009667E6">
        <w:rPr>
          <w:rFonts w:ascii="Calibri" w:hAnsi="Calibri"/>
          <w:sz w:val="20"/>
          <w:szCs w:val="20"/>
          <w:lang w:val="en-GB"/>
        </w:rPr>
        <w:t>.</w:t>
      </w:r>
      <w:r w:rsidR="00BF2E9D" w:rsidRPr="009667E6">
        <w:rPr>
          <w:rFonts w:ascii="Calibri" w:hAnsi="Calibri"/>
          <w:sz w:val="20"/>
          <w:szCs w:val="20"/>
          <w:lang w:val="en-GB"/>
        </w:rPr>
        <w:t xml:space="preserve"> </w:t>
      </w:r>
      <w:r w:rsidRPr="009667E6">
        <w:rPr>
          <w:rFonts w:ascii="Calibri" w:hAnsi="Calibri"/>
          <w:sz w:val="20"/>
          <w:szCs w:val="20"/>
          <w:lang w:val="en-GB"/>
        </w:rPr>
        <w:t>When panther and lion skin smugglers were arrested in February 2019, pursuant to the provisions of the Forest Code 2011, the national media pointed out that the legislative aspects were a weak link in the enforcement of this law. 70 to 80% of the Forest Code violations would be settled amicably, so that legal proceedings to enforce the law are not frequent. Improvements are expected with the support of the NGO Conservation-Justice at the Ministry of the Environment.</w:t>
      </w:r>
    </w:p>
    <w:p w14:paraId="788190E9" w14:textId="4E740BA5" w:rsidR="005A1DF9"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eastAsia="Times New Roman" w:hAnsi="Calibri"/>
          <w:i/>
          <w:iCs/>
          <w:color w:val="2F5496"/>
          <w:sz w:val="20"/>
          <w:szCs w:val="20"/>
          <w:lang w:val="en-GB"/>
        </w:rPr>
        <w:t xml:space="preserve"> Overexploitation of non-timber forest products</w:t>
      </w:r>
      <w:r w:rsidRPr="009667E6">
        <w:rPr>
          <w:rFonts w:ascii="Calibri" w:hAnsi="Calibri"/>
          <w:sz w:val="20"/>
          <w:szCs w:val="20"/>
          <w:lang w:val="en-GB"/>
        </w:rPr>
        <w:t xml:space="preserve"> (NTFP). The disappearance of natural habitats in rural areas results in the reduction of NTFPs (fruits, seeds, leaves, gums, bark, mushrooms, honey, etc.). The growing demand for NTFPs on the market (affirmed by 95% of the actors in 2016 in the PONASI complex</w:t>
      </w:r>
      <w:r w:rsidRPr="009667E6">
        <w:rPr>
          <w:rStyle w:val="Appelnotedebasdep"/>
          <w:rFonts w:ascii="Calibri" w:hAnsi="Calibri"/>
          <w:sz w:val="20"/>
          <w:szCs w:val="20"/>
        </w:rPr>
        <w:footnoteReference w:id="33"/>
      </w:r>
      <w:r w:rsidRPr="009667E6">
        <w:rPr>
          <w:rFonts w:ascii="Calibri" w:hAnsi="Calibri"/>
          <w:sz w:val="20"/>
          <w:szCs w:val="20"/>
          <w:lang w:val="en-GB"/>
        </w:rPr>
        <w:t xml:space="preserve">) and the quest for diversification of income sources leads to the early exploitation of products such as shea kernels, </w:t>
      </w:r>
      <w:proofErr w:type="spellStart"/>
      <w:r w:rsidRPr="009667E6">
        <w:rPr>
          <w:rFonts w:ascii="Calibri" w:hAnsi="Calibri"/>
          <w:sz w:val="20"/>
          <w:szCs w:val="20"/>
          <w:lang w:val="en-GB"/>
        </w:rPr>
        <w:t>néré</w:t>
      </w:r>
      <w:proofErr w:type="spellEnd"/>
      <w:r w:rsidRPr="009667E6">
        <w:rPr>
          <w:rFonts w:ascii="Calibri" w:hAnsi="Calibri"/>
          <w:sz w:val="20"/>
          <w:szCs w:val="20"/>
          <w:lang w:val="en-GB"/>
        </w:rPr>
        <w:t xml:space="preserve"> fruits (</w:t>
      </w:r>
      <w:r w:rsidRPr="009667E6">
        <w:rPr>
          <w:rFonts w:ascii="Calibri" w:hAnsi="Calibri"/>
          <w:i/>
          <w:sz w:val="20"/>
          <w:szCs w:val="20"/>
          <w:lang w:val="en-GB"/>
        </w:rPr>
        <w:t xml:space="preserve">Parkia </w:t>
      </w:r>
      <w:proofErr w:type="spellStart"/>
      <w:r w:rsidRPr="009667E6">
        <w:rPr>
          <w:rFonts w:ascii="Calibri" w:hAnsi="Calibri"/>
          <w:i/>
          <w:sz w:val="20"/>
          <w:szCs w:val="20"/>
          <w:lang w:val="en-GB"/>
        </w:rPr>
        <w:t>biglobosa</w:t>
      </w:r>
      <w:proofErr w:type="spellEnd"/>
      <w:r w:rsidRPr="009667E6">
        <w:rPr>
          <w:rFonts w:ascii="Calibri" w:hAnsi="Calibri"/>
          <w:sz w:val="20"/>
          <w:szCs w:val="20"/>
          <w:lang w:val="en-GB"/>
        </w:rPr>
        <w:t xml:space="preserve">) and monkey bread, both in </w:t>
      </w:r>
      <w:proofErr w:type="spellStart"/>
      <w:r w:rsidRPr="009667E6">
        <w:rPr>
          <w:rFonts w:ascii="Calibri" w:hAnsi="Calibri"/>
          <w:sz w:val="20"/>
          <w:szCs w:val="20"/>
          <w:lang w:val="en-GB"/>
        </w:rPr>
        <w:t>agro</w:t>
      </w:r>
      <w:proofErr w:type="spellEnd"/>
      <w:r w:rsidRPr="009667E6">
        <w:rPr>
          <w:rFonts w:ascii="Calibri" w:hAnsi="Calibri"/>
          <w:sz w:val="20"/>
          <w:szCs w:val="20"/>
          <w:lang w:val="en-GB"/>
        </w:rPr>
        <w:t>-</w:t>
      </w:r>
      <w:proofErr w:type="spellStart"/>
      <w:r w:rsidRPr="009667E6">
        <w:rPr>
          <w:rFonts w:ascii="Calibri" w:hAnsi="Calibri"/>
          <w:sz w:val="20"/>
          <w:szCs w:val="20"/>
          <w:lang w:val="en-GB"/>
        </w:rPr>
        <w:t>sylvo</w:t>
      </w:r>
      <w:proofErr w:type="spellEnd"/>
      <w:r w:rsidRPr="009667E6">
        <w:rPr>
          <w:rFonts w:ascii="Calibri" w:hAnsi="Calibri"/>
          <w:sz w:val="20"/>
          <w:szCs w:val="20"/>
          <w:lang w:val="en-GB"/>
        </w:rPr>
        <w:t xml:space="preserve">-pastoral areas and in forests, thus compromising the natural regeneration of the species used, including shea, </w:t>
      </w:r>
      <w:proofErr w:type="spellStart"/>
      <w:r w:rsidRPr="009667E6">
        <w:rPr>
          <w:rFonts w:ascii="Calibri" w:hAnsi="Calibri"/>
          <w:sz w:val="20"/>
          <w:szCs w:val="20"/>
          <w:lang w:val="en-GB"/>
        </w:rPr>
        <w:t>néré</w:t>
      </w:r>
      <w:proofErr w:type="spellEnd"/>
      <w:r w:rsidRPr="009667E6">
        <w:rPr>
          <w:rFonts w:ascii="Calibri" w:hAnsi="Calibri"/>
          <w:sz w:val="20"/>
          <w:szCs w:val="20"/>
          <w:lang w:val="en-GB"/>
        </w:rPr>
        <w:t>, and baobab.</w:t>
      </w:r>
    </w:p>
    <w:p w14:paraId="33EC0985" w14:textId="31AD5E0E" w:rsidR="003F190A" w:rsidRPr="009667E6" w:rsidRDefault="00081E87" w:rsidP="00C46720">
      <w:pPr>
        <w:pStyle w:val="Paragraphedeliste"/>
        <w:numPr>
          <w:ilvl w:val="0"/>
          <w:numId w:val="32"/>
        </w:numPr>
        <w:tabs>
          <w:tab w:val="left" w:pos="284"/>
        </w:tabs>
        <w:spacing w:before="120" w:after="120"/>
        <w:ind w:left="0" w:firstLine="0"/>
        <w:jc w:val="both"/>
        <w:rPr>
          <w:rFonts w:ascii="Calibri" w:eastAsia="Times New Roman" w:hAnsi="Calibri"/>
          <w:iCs/>
          <w:sz w:val="20"/>
          <w:szCs w:val="20"/>
          <w:lang w:val="en-GB"/>
        </w:rPr>
      </w:pPr>
      <w:r w:rsidRPr="009667E6">
        <w:rPr>
          <w:rFonts w:ascii="Calibri" w:eastAsia="Times New Roman" w:hAnsi="Calibri"/>
          <w:i/>
          <w:iCs/>
          <w:color w:val="2F5496"/>
          <w:sz w:val="20"/>
          <w:szCs w:val="20"/>
          <w:lang w:val="en-GB"/>
        </w:rPr>
        <w:t xml:space="preserve">Ineffective </w:t>
      </w:r>
      <w:r w:rsidR="002642AF" w:rsidRPr="009667E6">
        <w:rPr>
          <w:rFonts w:ascii="Calibri" w:eastAsia="Times New Roman" w:hAnsi="Calibri"/>
          <w:i/>
          <w:iCs/>
          <w:color w:val="2F5496"/>
          <w:sz w:val="20"/>
          <w:szCs w:val="20"/>
          <w:lang w:val="en-GB"/>
        </w:rPr>
        <w:t xml:space="preserve">hunting </w:t>
      </w:r>
      <w:r w:rsidRPr="009667E6">
        <w:rPr>
          <w:rFonts w:ascii="Calibri" w:eastAsia="Times New Roman" w:hAnsi="Calibri"/>
          <w:i/>
          <w:iCs/>
          <w:color w:val="2F5496"/>
          <w:sz w:val="20"/>
          <w:szCs w:val="20"/>
          <w:lang w:val="en-GB"/>
        </w:rPr>
        <w:t>management within and around</w:t>
      </w:r>
      <w:r w:rsidR="00302BFE" w:rsidRPr="009667E6">
        <w:rPr>
          <w:rFonts w:ascii="Calibri" w:eastAsia="Times New Roman" w:hAnsi="Calibri"/>
          <w:i/>
          <w:iCs/>
          <w:color w:val="2F5496"/>
          <w:sz w:val="20"/>
          <w:szCs w:val="20"/>
          <w:lang w:val="en-GB"/>
        </w:rPr>
        <w:t xml:space="preserve"> PAs</w:t>
      </w:r>
      <w:r w:rsidR="00302BFE" w:rsidRPr="009667E6">
        <w:rPr>
          <w:rFonts w:ascii="Calibri" w:hAnsi="Calibri"/>
          <w:sz w:val="20"/>
          <w:szCs w:val="20"/>
          <w:lang w:val="en-GB"/>
        </w:rPr>
        <w:t xml:space="preserve">: </w:t>
      </w:r>
      <w:r w:rsidR="008F4C7F" w:rsidRPr="009667E6">
        <w:rPr>
          <w:rFonts w:asciiTheme="minorHAnsi" w:hAnsiTheme="minorHAnsi"/>
          <w:noProof/>
          <w:sz w:val="20"/>
          <w:szCs w:val="20"/>
          <w:lang w:val="en-GB"/>
        </w:rPr>
        <w:t xml:space="preserve">In State PAs, wildlife hunting is allowed </w:t>
      </w:r>
      <w:r w:rsidR="008F4C7F" w:rsidRPr="009667E6">
        <w:rPr>
          <w:rFonts w:asciiTheme="minorHAnsi" w:hAnsiTheme="minorHAnsi"/>
          <w:noProof/>
          <w:sz w:val="20"/>
          <w:szCs w:val="20"/>
          <w:lang w:val="en-CA"/>
        </w:rPr>
        <w:t xml:space="preserve">in partial wildlife reserves, game ranches and local refuges. In the PONASI, </w:t>
      </w:r>
      <w:r w:rsidR="008F4C7F" w:rsidRPr="009667E6">
        <w:rPr>
          <w:rFonts w:asciiTheme="minorHAnsi" w:hAnsiTheme="minorHAnsi"/>
          <w:sz w:val="20"/>
          <w:szCs w:val="20"/>
          <w:lang w:val="en-CA"/>
        </w:rPr>
        <w:t xml:space="preserve">big game /trophy hunting for tourists takes place in the </w:t>
      </w:r>
      <w:proofErr w:type="spellStart"/>
      <w:r w:rsidR="008F4C7F" w:rsidRPr="009667E6">
        <w:rPr>
          <w:rFonts w:asciiTheme="minorHAnsi" w:hAnsiTheme="minorHAnsi"/>
          <w:sz w:val="20"/>
          <w:szCs w:val="20"/>
          <w:lang w:val="en-CA"/>
        </w:rPr>
        <w:t>Nazinga</w:t>
      </w:r>
      <w:proofErr w:type="spellEnd"/>
      <w:r w:rsidR="008F4C7F" w:rsidRPr="009667E6">
        <w:rPr>
          <w:rFonts w:asciiTheme="minorHAnsi" w:hAnsiTheme="minorHAnsi"/>
          <w:sz w:val="20"/>
          <w:szCs w:val="20"/>
          <w:lang w:val="en-CA"/>
        </w:rPr>
        <w:t xml:space="preserve"> Game Ranch (RGN) and in the </w:t>
      </w:r>
      <w:proofErr w:type="spellStart"/>
      <w:r w:rsidR="008F4C7F" w:rsidRPr="009667E6">
        <w:rPr>
          <w:rFonts w:asciiTheme="minorHAnsi" w:hAnsiTheme="minorHAnsi"/>
          <w:sz w:val="20"/>
          <w:szCs w:val="20"/>
          <w:lang w:val="en-CA"/>
        </w:rPr>
        <w:t>Sissili</w:t>
      </w:r>
      <w:proofErr w:type="spellEnd"/>
      <w:r w:rsidR="008F4C7F" w:rsidRPr="009667E6">
        <w:rPr>
          <w:rFonts w:asciiTheme="minorHAnsi" w:hAnsiTheme="minorHAnsi"/>
          <w:sz w:val="20"/>
          <w:szCs w:val="20"/>
          <w:lang w:val="en-CA"/>
        </w:rPr>
        <w:t xml:space="preserve"> Classified Forest. Small game hunting for tourists and subsistence hunting for local communities are taking place in the ZOVICs surrounding the RGN. </w:t>
      </w:r>
      <w:r w:rsidR="008F4C7F" w:rsidRPr="009667E6">
        <w:rPr>
          <w:rFonts w:ascii="Calibri" w:hAnsi="Calibri"/>
          <w:bCs/>
          <w:sz w:val="20"/>
          <w:szCs w:val="20"/>
          <w:lang w:val="en-GB"/>
        </w:rPr>
        <w:t xml:space="preserve">Big and small game hunting in PAs and in ZOVICs are regulated and require the purchase of hunting permits by outside and local hunters and local communities. </w:t>
      </w:r>
      <w:r w:rsidR="008F4C7F" w:rsidRPr="009667E6">
        <w:rPr>
          <w:rFonts w:asciiTheme="minorHAnsi" w:hAnsiTheme="minorHAnsi"/>
          <w:sz w:val="20"/>
          <w:szCs w:val="20"/>
          <w:lang w:val="en-CA"/>
        </w:rPr>
        <w:t xml:space="preserve">Government is responsible for delivering permits and licences for sport and traditional hunting and </w:t>
      </w:r>
      <w:r w:rsidR="008F4C7F" w:rsidRPr="009667E6">
        <w:rPr>
          <w:rFonts w:asciiTheme="minorHAnsi" w:hAnsiTheme="minorHAnsi" w:cs="Swiss721BT-Roman"/>
          <w:sz w:val="20"/>
          <w:szCs w:val="20"/>
          <w:lang w:val="en-CA"/>
        </w:rPr>
        <w:t xml:space="preserve">collecting fees, </w:t>
      </w:r>
      <w:r w:rsidR="008F4C7F" w:rsidRPr="009667E6">
        <w:rPr>
          <w:rFonts w:asciiTheme="minorHAnsi" w:hAnsiTheme="minorHAnsi"/>
          <w:sz w:val="20"/>
          <w:szCs w:val="20"/>
          <w:lang w:val="en-CA"/>
        </w:rPr>
        <w:t xml:space="preserve">allocating areas for concessions, defining specifications for the management of concessions by concessionaires, monitoring the observation of such specifications and assessing concessions, surveillance, and determining hunting regulations and quotas. The central and decentralized services of the Ministry in charge of wildlife, organize and supervise the conduct of the hunting and tourism season. Concessionaires are responsible for managing the exploitation of wildlife for a fixed period following specifications agreed with the Government. </w:t>
      </w:r>
      <w:r w:rsidR="008F4C7F" w:rsidRPr="009667E6">
        <w:rPr>
          <w:rFonts w:ascii="Calibri" w:hAnsi="Calibri"/>
          <w:sz w:val="20"/>
          <w:szCs w:val="20"/>
          <w:lang w:val="en-CA"/>
        </w:rPr>
        <w:t>Royalties and taxes collected for the valuation of wildlife reserves are shared between the State and the local authorities.</w:t>
      </w:r>
      <w:r w:rsidR="008F4C7F" w:rsidRPr="009667E6">
        <w:rPr>
          <w:rStyle w:val="Appelnotedebasdep"/>
          <w:szCs w:val="20"/>
          <w:lang w:val="en-CA"/>
        </w:rPr>
        <w:footnoteReference w:id="34"/>
      </w:r>
      <w:r w:rsidR="00AC06E7" w:rsidRPr="009667E6">
        <w:rPr>
          <w:rFonts w:ascii="Calibri" w:hAnsi="Calibri"/>
          <w:sz w:val="20"/>
          <w:szCs w:val="20"/>
          <w:lang w:val="en-CA"/>
        </w:rPr>
        <w:t xml:space="preserve"> </w:t>
      </w:r>
      <w:r w:rsidR="00AC06E7" w:rsidRPr="009667E6">
        <w:rPr>
          <w:rFonts w:asciiTheme="minorHAnsi" w:hAnsiTheme="minorHAnsi"/>
          <w:sz w:val="20"/>
          <w:szCs w:val="20"/>
          <w:lang w:val="en-CA"/>
        </w:rPr>
        <w:t xml:space="preserve">Tourism/sport hunting </w:t>
      </w:r>
      <w:r w:rsidR="00AC06E7" w:rsidRPr="009667E6">
        <w:rPr>
          <w:rFonts w:asciiTheme="minorHAnsi" w:hAnsiTheme="minorHAnsi"/>
          <w:noProof/>
          <w:sz w:val="20"/>
          <w:szCs w:val="20"/>
          <w:lang w:val="en-GB"/>
        </w:rPr>
        <w:t>in core PAs is expected to generate benefits for local communities through providing jobs as hunting guides and trackers and the sharing of revenues and meat of killed animals.</w:t>
      </w:r>
    </w:p>
    <w:p w14:paraId="29B0E6DE" w14:textId="6F657B59" w:rsidR="00B22E63" w:rsidRPr="009667E6" w:rsidRDefault="00A037BE" w:rsidP="00C46720">
      <w:pPr>
        <w:pStyle w:val="Paragraphedeliste"/>
        <w:numPr>
          <w:ilvl w:val="0"/>
          <w:numId w:val="32"/>
        </w:numPr>
        <w:tabs>
          <w:tab w:val="left" w:pos="284"/>
        </w:tabs>
        <w:spacing w:before="120" w:after="120"/>
        <w:ind w:left="0" w:firstLine="0"/>
        <w:jc w:val="both"/>
        <w:rPr>
          <w:rFonts w:asciiTheme="minorHAnsi" w:eastAsia="Times New Roman" w:hAnsiTheme="minorHAnsi"/>
          <w:iCs/>
          <w:sz w:val="20"/>
          <w:szCs w:val="20"/>
          <w:lang w:val="en-GB"/>
        </w:rPr>
      </w:pPr>
      <w:r w:rsidRPr="009667E6">
        <w:rPr>
          <w:rFonts w:asciiTheme="minorHAnsi" w:hAnsiTheme="minorHAnsi"/>
          <w:noProof/>
          <w:sz w:val="20"/>
          <w:szCs w:val="20"/>
          <w:lang w:val="en-GB"/>
        </w:rPr>
        <w:t xml:space="preserve">The Nazinga Game Ranch was created in 1975 as a pilot project led by a Canadian NGO, the African Wildlife Husbandry Development Association, and was later co-managed by professionals with the Ministry of the Environment from 1984 to 1990. </w:t>
      </w:r>
      <w:r w:rsidR="00B22E63" w:rsidRPr="009667E6">
        <w:rPr>
          <w:rFonts w:asciiTheme="minorHAnsi" w:hAnsiTheme="minorHAnsi"/>
          <w:noProof/>
          <w:sz w:val="20"/>
          <w:szCs w:val="20"/>
          <w:lang w:val="en-GB"/>
        </w:rPr>
        <w:t xml:space="preserve">ZOVICs were created in parts of the village terroirs around the Nazinga Game Ranch to create an autonomous production system in which the local populations were responsible for the management and shared the benefits. Revenues came from wildlife viewing activities, international safari hunting, game hunting, traditional and commercial fishing by the local population in the ranch, as well as small </w:t>
      </w:r>
      <w:r w:rsidR="00B22E63" w:rsidRPr="009667E6">
        <w:rPr>
          <w:rFonts w:asciiTheme="minorHAnsi" w:hAnsiTheme="minorHAnsi"/>
          <w:noProof/>
          <w:sz w:val="20"/>
          <w:szCs w:val="20"/>
          <w:lang w:val="en-GB"/>
        </w:rPr>
        <w:lastRenderedPageBreak/>
        <w:t>game and bird safari hunting in peripheral ZOVICs</w:t>
      </w:r>
      <w:r w:rsidR="00B22E63" w:rsidRPr="009667E6">
        <w:rPr>
          <w:rFonts w:asciiTheme="minorHAnsi" w:hAnsiTheme="minorHAnsi"/>
          <w:noProof/>
          <w:sz w:val="20"/>
          <w:szCs w:val="20"/>
          <w:vertAlign w:val="superscript"/>
          <w:lang w:val="en-GB"/>
        </w:rPr>
        <w:footnoteReference w:id="35"/>
      </w:r>
      <w:r w:rsidR="00B22E63" w:rsidRPr="009667E6">
        <w:rPr>
          <w:rFonts w:asciiTheme="minorHAnsi" w:hAnsiTheme="minorHAnsi"/>
          <w:noProof/>
          <w:sz w:val="20"/>
          <w:szCs w:val="20"/>
          <w:lang w:val="en-GB"/>
        </w:rPr>
        <w:t>. When the Canadian NGO quit in 1990, the ranch remained under the sole management of the National Wildlife Service. Over time, local communities have conceded the management of small game hunting activities in their ZOVIC to a concessionaire. Nahouri Safari, who is currently managing the ZOVICs around the Nazinga Game Ranch, ceased paying the royalties (350 000 CFA francs - approx 595 $US) to local communities in recent years on the grounds that this payment is conditional on the proper management and maintenance of ZOVICs, which he claims are now quite degraded.</w:t>
      </w:r>
    </w:p>
    <w:p w14:paraId="71FCA166" w14:textId="40DA379B" w:rsidR="00A77C5B" w:rsidRPr="009667E6" w:rsidRDefault="00A77C5B" w:rsidP="00C46720">
      <w:pPr>
        <w:pStyle w:val="Paragraphedeliste"/>
        <w:numPr>
          <w:ilvl w:val="0"/>
          <w:numId w:val="32"/>
        </w:numPr>
        <w:tabs>
          <w:tab w:val="left" w:pos="284"/>
        </w:tabs>
        <w:spacing w:before="120" w:after="120"/>
        <w:ind w:left="0" w:firstLine="0"/>
        <w:jc w:val="both"/>
        <w:rPr>
          <w:rFonts w:asciiTheme="minorHAnsi" w:eastAsia="Times New Roman" w:hAnsiTheme="minorHAnsi"/>
          <w:iCs/>
          <w:sz w:val="20"/>
          <w:szCs w:val="20"/>
          <w:lang w:val="en-GB"/>
        </w:rPr>
      </w:pPr>
      <w:r w:rsidRPr="009667E6">
        <w:rPr>
          <w:rFonts w:asciiTheme="minorHAnsi" w:eastAsia="Times New Roman" w:hAnsiTheme="minorHAnsi"/>
          <w:iCs/>
          <w:sz w:val="20"/>
          <w:szCs w:val="20"/>
          <w:lang w:val="en-GB"/>
        </w:rPr>
        <w:t xml:space="preserve">While big game hunting did provide significant benefits to the Government and concessionaires, </w:t>
      </w:r>
      <w:r w:rsidRPr="009667E6">
        <w:rPr>
          <w:rFonts w:asciiTheme="minorHAnsi" w:hAnsiTheme="minorHAnsi"/>
          <w:noProof/>
          <w:sz w:val="20"/>
          <w:szCs w:val="20"/>
          <w:lang w:val="en-GB"/>
        </w:rPr>
        <w:t>t</w:t>
      </w:r>
      <w:r w:rsidR="00A037BE" w:rsidRPr="009667E6">
        <w:rPr>
          <w:rFonts w:asciiTheme="minorHAnsi" w:hAnsiTheme="minorHAnsi"/>
          <w:noProof/>
          <w:sz w:val="20"/>
          <w:szCs w:val="20"/>
          <w:lang w:val="en-GB"/>
        </w:rPr>
        <w:t xml:space="preserve">he small game populations that support small game hunting for tourists and subsistence hunting for local communities have been found to be declining and no longer provide significant benefits to the local populations. </w:t>
      </w:r>
      <w:r w:rsidR="00A037BE" w:rsidRPr="009667E6">
        <w:rPr>
          <w:rFonts w:asciiTheme="minorHAnsi" w:hAnsiTheme="minorHAnsi"/>
          <w:sz w:val="20"/>
          <w:szCs w:val="20"/>
          <w:lang w:val="en-GB"/>
        </w:rPr>
        <w:t xml:space="preserve">Indeed, </w:t>
      </w:r>
      <w:r w:rsidR="00A037BE" w:rsidRPr="009667E6">
        <w:rPr>
          <w:rFonts w:asciiTheme="minorHAnsi" w:hAnsiTheme="minorHAnsi"/>
          <w:sz w:val="20"/>
          <w:szCs w:val="20"/>
          <w:lang w:val="en-CA"/>
        </w:rPr>
        <w:t xml:space="preserve">the analysis of data collected </w:t>
      </w:r>
      <w:r w:rsidR="00A037BE" w:rsidRPr="009667E6">
        <w:rPr>
          <w:rFonts w:asciiTheme="minorHAnsi" w:hAnsiTheme="minorHAnsi"/>
          <w:sz w:val="20"/>
          <w:szCs w:val="20"/>
          <w:lang w:val="en-GB"/>
        </w:rPr>
        <w:t xml:space="preserve">over most of 30 years </w:t>
      </w:r>
      <w:r w:rsidR="00A037BE" w:rsidRPr="009667E6">
        <w:rPr>
          <w:rFonts w:asciiTheme="minorHAnsi" w:hAnsiTheme="minorHAnsi"/>
          <w:sz w:val="20"/>
          <w:szCs w:val="20"/>
          <w:lang w:val="en-CA"/>
        </w:rPr>
        <w:t>between 1981 and 2011 in the RGN</w:t>
      </w:r>
      <w:r w:rsidR="00A037BE" w:rsidRPr="009667E6">
        <w:rPr>
          <w:rStyle w:val="Appelnotedebasdep"/>
          <w:rFonts w:asciiTheme="minorHAnsi" w:hAnsiTheme="minorHAnsi"/>
          <w:sz w:val="20"/>
          <w:szCs w:val="20"/>
          <w:lang w:val="en-CA"/>
        </w:rPr>
        <w:footnoteReference w:id="36"/>
      </w:r>
      <w:r w:rsidR="00A037BE" w:rsidRPr="009667E6">
        <w:rPr>
          <w:rFonts w:asciiTheme="minorHAnsi" w:hAnsiTheme="minorHAnsi"/>
          <w:sz w:val="20"/>
          <w:szCs w:val="20"/>
          <w:lang w:val="en-CA"/>
        </w:rPr>
        <w:t xml:space="preserve"> have shown a significant population increase for large species (elephant, </w:t>
      </w:r>
      <w:proofErr w:type="gramStart"/>
      <w:r w:rsidR="00A037BE" w:rsidRPr="009667E6">
        <w:rPr>
          <w:rFonts w:asciiTheme="minorHAnsi" w:hAnsiTheme="minorHAnsi"/>
          <w:sz w:val="20"/>
          <w:szCs w:val="20"/>
          <w:lang w:val="en-CA"/>
        </w:rPr>
        <w:t>waterbuck</w:t>
      </w:r>
      <w:proofErr w:type="gramEnd"/>
      <w:r w:rsidR="00A037BE" w:rsidRPr="009667E6">
        <w:rPr>
          <w:rFonts w:asciiTheme="minorHAnsi" w:hAnsiTheme="minorHAnsi"/>
          <w:sz w:val="20"/>
          <w:szCs w:val="20"/>
          <w:lang w:val="en-CA"/>
        </w:rPr>
        <w:t xml:space="preserve"> and hartebeest populations: +6%, +9% and +9% yearly respectively), and decline for medium and small-sized antelope species (especially for common duiker and oribi: - 3% and -</w:t>
      </w:r>
      <w:r w:rsidR="00A037BE" w:rsidRPr="009667E6">
        <w:rPr>
          <w:rFonts w:asciiTheme="minorHAnsi" w:hAnsiTheme="minorHAnsi"/>
          <w:sz w:val="20"/>
          <w:szCs w:val="20"/>
        </w:rPr>
        <w:t> </w:t>
      </w:r>
      <w:r w:rsidR="00A037BE" w:rsidRPr="009667E6">
        <w:rPr>
          <w:rFonts w:asciiTheme="minorHAnsi" w:hAnsiTheme="minorHAnsi"/>
          <w:sz w:val="20"/>
          <w:szCs w:val="20"/>
          <w:lang w:val="en-CA"/>
        </w:rPr>
        <w:t>8% yearly respectively). On the one hand, increased densities of large species may be explained by a significant rainfall increase in those years, immigration from the nearby Kaboré-</w:t>
      </w:r>
      <w:proofErr w:type="spellStart"/>
      <w:r w:rsidR="00A037BE" w:rsidRPr="009667E6">
        <w:rPr>
          <w:rFonts w:asciiTheme="minorHAnsi" w:hAnsiTheme="minorHAnsi"/>
          <w:sz w:val="20"/>
          <w:szCs w:val="20"/>
          <w:lang w:val="en-CA"/>
        </w:rPr>
        <w:t>Tambi</w:t>
      </w:r>
      <w:proofErr w:type="spellEnd"/>
      <w:r w:rsidR="00A037BE" w:rsidRPr="009667E6">
        <w:rPr>
          <w:rFonts w:asciiTheme="minorHAnsi" w:hAnsiTheme="minorHAnsi"/>
          <w:sz w:val="20"/>
          <w:szCs w:val="20"/>
          <w:lang w:val="en-CA"/>
        </w:rPr>
        <w:t xml:space="preserve"> National Park and from surrounding areas due to increasing cultivation pressure, and to natural rate of increase. On the other hand, declining trends for common duiker and oribi may be related to </w:t>
      </w:r>
      <w:r w:rsidR="0089162F" w:rsidRPr="009667E6">
        <w:rPr>
          <w:rFonts w:asciiTheme="minorHAnsi" w:hAnsiTheme="minorHAnsi"/>
          <w:sz w:val="20"/>
          <w:szCs w:val="20"/>
          <w:lang w:val="en-CA"/>
        </w:rPr>
        <w:t>two main</w:t>
      </w:r>
      <w:r w:rsidR="00A037BE" w:rsidRPr="009667E6">
        <w:rPr>
          <w:rFonts w:asciiTheme="minorHAnsi" w:hAnsiTheme="minorHAnsi"/>
          <w:sz w:val="20"/>
          <w:szCs w:val="20"/>
          <w:lang w:val="en-CA"/>
        </w:rPr>
        <w:t xml:space="preserve"> factors: </w:t>
      </w:r>
      <w:r w:rsidR="00146922" w:rsidRPr="009667E6">
        <w:rPr>
          <w:rFonts w:asciiTheme="minorHAnsi" w:hAnsiTheme="minorHAnsi"/>
          <w:sz w:val="20"/>
          <w:szCs w:val="20"/>
          <w:lang w:val="en-CA"/>
        </w:rPr>
        <w:t xml:space="preserve">i) </w:t>
      </w:r>
      <w:r w:rsidR="0089162F" w:rsidRPr="009667E6">
        <w:rPr>
          <w:rFonts w:asciiTheme="minorHAnsi" w:hAnsiTheme="minorHAnsi"/>
          <w:noProof/>
          <w:sz w:val="20"/>
          <w:szCs w:val="20"/>
          <w:lang w:val="en-CA"/>
        </w:rPr>
        <w:t>M</w:t>
      </w:r>
      <w:r w:rsidR="0089162F" w:rsidRPr="009667E6">
        <w:rPr>
          <w:rFonts w:asciiTheme="minorHAnsi" w:hAnsiTheme="minorHAnsi"/>
          <w:noProof/>
          <w:sz w:val="20"/>
          <w:szCs w:val="20"/>
          <w:lang w:val="en-GB"/>
        </w:rPr>
        <w:t xml:space="preserve">anagement activities in the RGN have likely been reduced </w:t>
      </w:r>
      <w:r w:rsidR="00146922" w:rsidRPr="009667E6">
        <w:rPr>
          <w:rFonts w:asciiTheme="minorHAnsi" w:hAnsiTheme="minorHAnsi"/>
          <w:noProof/>
          <w:sz w:val="20"/>
          <w:szCs w:val="20"/>
          <w:lang w:val="en-GB"/>
        </w:rPr>
        <w:t xml:space="preserve">after the departure in 1990 of the NGO that established </w:t>
      </w:r>
      <w:r w:rsidR="0089162F" w:rsidRPr="009667E6">
        <w:rPr>
          <w:rFonts w:asciiTheme="minorHAnsi" w:hAnsiTheme="minorHAnsi"/>
          <w:noProof/>
          <w:sz w:val="20"/>
          <w:szCs w:val="20"/>
          <w:lang w:val="en-GB"/>
        </w:rPr>
        <w:t xml:space="preserve">the ranch </w:t>
      </w:r>
      <w:r w:rsidR="00146922" w:rsidRPr="009667E6">
        <w:rPr>
          <w:rFonts w:asciiTheme="minorHAnsi" w:hAnsiTheme="minorHAnsi"/>
          <w:noProof/>
          <w:sz w:val="20"/>
          <w:szCs w:val="20"/>
          <w:lang w:val="en-GB"/>
        </w:rPr>
        <w:t xml:space="preserve">which then fell under the sole management of the national wildlife service, </w:t>
      </w:r>
      <w:r w:rsidR="0089162F" w:rsidRPr="009667E6">
        <w:rPr>
          <w:rFonts w:asciiTheme="minorHAnsi" w:hAnsiTheme="minorHAnsi"/>
          <w:noProof/>
          <w:sz w:val="20"/>
          <w:szCs w:val="20"/>
          <w:lang w:val="en-GB"/>
        </w:rPr>
        <w:t xml:space="preserve">due to </w:t>
      </w:r>
      <w:r w:rsidR="00146922" w:rsidRPr="009667E6">
        <w:rPr>
          <w:rFonts w:asciiTheme="minorHAnsi" w:hAnsiTheme="minorHAnsi"/>
          <w:noProof/>
          <w:sz w:val="20"/>
          <w:szCs w:val="20"/>
          <w:lang w:val="en-GB"/>
        </w:rPr>
        <w:t>the lack of effective capitalization of the learnings of the pilot experience, and insufficient transfer of knowledge and skills to Government staff</w:t>
      </w:r>
      <w:r w:rsidR="0089162F" w:rsidRPr="009667E6">
        <w:rPr>
          <w:rFonts w:asciiTheme="minorHAnsi" w:hAnsiTheme="minorHAnsi"/>
          <w:noProof/>
          <w:sz w:val="20"/>
          <w:szCs w:val="20"/>
          <w:lang w:val="en-GB"/>
        </w:rPr>
        <w:t>. This</w:t>
      </w:r>
      <w:r w:rsidR="00146922" w:rsidRPr="009667E6">
        <w:rPr>
          <w:rFonts w:asciiTheme="minorHAnsi" w:hAnsiTheme="minorHAnsi"/>
          <w:noProof/>
          <w:sz w:val="20"/>
          <w:szCs w:val="20"/>
          <w:lang w:val="en-GB"/>
        </w:rPr>
        <w:t xml:space="preserve"> </w:t>
      </w:r>
      <w:r w:rsidR="0089162F" w:rsidRPr="009667E6">
        <w:rPr>
          <w:rFonts w:asciiTheme="minorHAnsi" w:hAnsiTheme="minorHAnsi"/>
          <w:noProof/>
          <w:sz w:val="20"/>
          <w:szCs w:val="20"/>
          <w:lang w:val="en-GB"/>
        </w:rPr>
        <w:t>would have</w:t>
      </w:r>
      <w:r w:rsidR="00146922" w:rsidRPr="009667E6">
        <w:rPr>
          <w:rFonts w:asciiTheme="minorHAnsi" w:hAnsiTheme="minorHAnsi"/>
          <w:noProof/>
          <w:sz w:val="20"/>
          <w:szCs w:val="20"/>
          <w:lang w:val="en-GB"/>
        </w:rPr>
        <w:t xml:space="preserve"> favoured </w:t>
      </w:r>
      <w:r w:rsidR="0089162F" w:rsidRPr="009667E6">
        <w:rPr>
          <w:rFonts w:asciiTheme="minorHAnsi" w:hAnsiTheme="minorHAnsi"/>
          <w:noProof/>
          <w:sz w:val="20"/>
          <w:szCs w:val="20"/>
          <w:lang w:val="en-GB"/>
        </w:rPr>
        <w:t xml:space="preserve">increased </w:t>
      </w:r>
      <w:r w:rsidR="00146922" w:rsidRPr="009667E6">
        <w:rPr>
          <w:rFonts w:asciiTheme="minorHAnsi" w:hAnsiTheme="minorHAnsi"/>
          <w:noProof/>
          <w:sz w:val="20"/>
          <w:szCs w:val="20"/>
          <w:lang w:val="en-GB"/>
        </w:rPr>
        <w:t>poaching (which mainly targets small species) and inappropriate capture levels through legal hunting</w:t>
      </w:r>
      <w:r w:rsidR="0089162F" w:rsidRPr="009667E6">
        <w:rPr>
          <w:rFonts w:asciiTheme="minorHAnsi" w:hAnsiTheme="minorHAnsi"/>
          <w:noProof/>
          <w:sz w:val="20"/>
          <w:szCs w:val="20"/>
          <w:lang w:val="en-GB"/>
        </w:rPr>
        <w:t>.</w:t>
      </w:r>
      <w:r w:rsidR="00146922" w:rsidRPr="009667E6">
        <w:rPr>
          <w:rFonts w:asciiTheme="minorHAnsi" w:hAnsiTheme="minorHAnsi"/>
          <w:noProof/>
          <w:sz w:val="20"/>
          <w:szCs w:val="20"/>
          <w:lang w:val="en-GB"/>
        </w:rPr>
        <w:t xml:space="preserve"> </w:t>
      </w:r>
      <w:r w:rsidR="00146922" w:rsidRPr="009667E6">
        <w:rPr>
          <w:rFonts w:asciiTheme="minorHAnsi" w:hAnsiTheme="minorHAnsi"/>
          <w:sz w:val="20"/>
          <w:szCs w:val="20"/>
          <w:lang w:val="en-CA"/>
        </w:rPr>
        <w:t xml:space="preserve">ii) </w:t>
      </w:r>
      <w:r w:rsidR="0089162F" w:rsidRPr="009667E6">
        <w:rPr>
          <w:rFonts w:asciiTheme="minorHAnsi" w:hAnsiTheme="minorHAnsi"/>
          <w:sz w:val="20"/>
          <w:szCs w:val="20"/>
          <w:lang w:val="en-CA"/>
        </w:rPr>
        <w:t>C</w:t>
      </w:r>
      <w:r w:rsidR="00146922" w:rsidRPr="009667E6">
        <w:rPr>
          <w:rFonts w:asciiTheme="minorHAnsi" w:hAnsiTheme="minorHAnsi"/>
          <w:sz w:val="20"/>
          <w:szCs w:val="20"/>
          <w:lang w:val="en-CA"/>
        </w:rPr>
        <w:t xml:space="preserve">ompetition for food resources between small and large </w:t>
      </w:r>
      <w:r w:rsidR="0089162F" w:rsidRPr="009667E6">
        <w:rPr>
          <w:rFonts w:asciiTheme="minorHAnsi" w:hAnsiTheme="minorHAnsi"/>
          <w:sz w:val="20"/>
          <w:szCs w:val="20"/>
          <w:lang w:val="en-CA"/>
        </w:rPr>
        <w:t xml:space="preserve">ungulate </w:t>
      </w:r>
      <w:r w:rsidR="00146922" w:rsidRPr="009667E6">
        <w:rPr>
          <w:rFonts w:asciiTheme="minorHAnsi" w:hAnsiTheme="minorHAnsi"/>
          <w:sz w:val="20"/>
          <w:szCs w:val="20"/>
          <w:lang w:val="en-CA"/>
        </w:rPr>
        <w:t>species</w:t>
      </w:r>
      <w:r w:rsidR="0089162F" w:rsidRPr="009667E6">
        <w:rPr>
          <w:rFonts w:asciiTheme="minorHAnsi" w:hAnsiTheme="minorHAnsi"/>
          <w:sz w:val="20"/>
          <w:szCs w:val="20"/>
          <w:lang w:val="en-CA"/>
        </w:rPr>
        <w:t xml:space="preserve"> </w:t>
      </w:r>
      <w:r w:rsidR="00B47A72" w:rsidRPr="009667E6">
        <w:rPr>
          <w:rFonts w:asciiTheme="minorHAnsi" w:hAnsiTheme="minorHAnsi"/>
          <w:sz w:val="20"/>
          <w:szCs w:val="20"/>
          <w:lang w:val="en-CA"/>
        </w:rPr>
        <w:t xml:space="preserve">or between mobile and resident species </w:t>
      </w:r>
      <w:r w:rsidR="0089162F" w:rsidRPr="009667E6">
        <w:rPr>
          <w:rFonts w:asciiTheme="minorHAnsi" w:hAnsiTheme="minorHAnsi"/>
          <w:sz w:val="20"/>
          <w:szCs w:val="20"/>
          <w:lang w:val="en-CA"/>
        </w:rPr>
        <w:t xml:space="preserve">may have favored </w:t>
      </w:r>
      <w:r w:rsidR="009D0DD8" w:rsidRPr="009667E6">
        <w:rPr>
          <w:rFonts w:asciiTheme="minorHAnsi" w:hAnsiTheme="minorHAnsi"/>
          <w:sz w:val="20"/>
          <w:szCs w:val="20"/>
          <w:lang w:val="en-CA"/>
        </w:rPr>
        <w:t xml:space="preserve">the </w:t>
      </w:r>
      <w:r w:rsidR="0089162F" w:rsidRPr="009667E6">
        <w:rPr>
          <w:rFonts w:asciiTheme="minorHAnsi" w:hAnsiTheme="minorHAnsi"/>
          <w:sz w:val="20"/>
          <w:szCs w:val="20"/>
          <w:lang w:val="en-CA"/>
        </w:rPr>
        <w:t>larger species</w:t>
      </w:r>
      <w:r w:rsidR="001A60BA" w:rsidRPr="009667E6">
        <w:rPr>
          <w:rFonts w:asciiTheme="minorHAnsi" w:hAnsiTheme="minorHAnsi"/>
          <w:sz w:val="20"/>
          <w:szCs w:val="20"/>
          <w:lang w:val="en-CA"/>
        </w:rPr>
        <w:t xml:space="preserve"> </w:t>
      </w:r>
      <w:r w:rsidR="0089162F" w:rsidRPr="009667E6">
        <w:rPr>
          <w:rFonts w:asciiTheme="minorHAnsi" w:hAnsiTheme="minorHAnsi"/>
          <w:sz w:val="20"/>
          <w:szCs w:val="20"/>
          <w:lang w:val="en-CA"/>
        </w:rPr>
        <w:t>which population size increased significantly during the same period</w:t>
      </w:r>
      <w:r w:rsidR="00146922" w:rsidRPr="009667E6">
        <w:rPr>
          <w:rFonts w:asciiTheme="minorHAnsi" w:hAnsiTheme="minorHAnsi"/>
          <w:sz w:val="20"/>
          <w:szCs w:val="20"/>
          <w:lang w:val="en-CA"/>
        </w:rPr>
        <w:t>.</w:t>
      </w:r>
      <w:r w:rsidR="007815F6" w:rsidRPr="009667E6">
        <w:rPr>
          <w:rFonts w:asciiTheme="minorHAnsi" w:hAnsiTheme="minorHAnsi"/>
          <w:szCs w:val="20"/>
          <w:lang w:val="en-CA"/>
        </w:rPr>
        <w:t xml:space="preserve"> </w:t>
      </w:r>
      <w:r w:rsidR="007815F6" w:rsidRPr="009667E6">
        <w:rPr>
          <w:rFonts w:asciiTheme="minorHAnsi" w:hAnsiTheme="minorHAnsi"/>
          <w:sz w:val="20"/>
          <w:szCs w:val="20"/>
          <w:lang w:val="en-CA"/>
        </w:rPr>
        <w:t xml:space="preserve">However, buffalos -a key species for safari hunting and game viewing- are likely to have had a limited competition impact on smaller herbivores due to the low densities (&lt;0.3 </w:t>
      </w:r>
      <w:proofErr w:type="spellStart"/>
      <w:r w:rsidR="007815F6" w:rsidRPr="009667E6">
        <w:rPr>
          <w:rFonts w:asciiTheme="minorHAnsi" w:hAnsiTheme="minorHAnsi"/>
          <w:sz w:val="20"/>
          <w:szCs w:val="20"/>
          <w:lang w:val="en-CA"/>
        </w:rPr>
        <w:t>ind</w:t>
      </w:r>
      <w:proofErr w:type="spellEnd"/>
      <w:r w:rsidR="007815F6" w:rsidRPr="009667E6">
        <w:rPr>
          <w:rFonts w:asciiTheme="minorHAnsi" w:hAnsiTheme="minorHAnsi"/>
          <w:sz w:val="20"/>
          <w:szCs w:val="20"/>
          <w:lang w:val="en-CA"/>
        </w:rPr>
        <w:t>/km</w:t>
      </w:r>
      <w:r w:rsidR="007815F6" w:rsidRPr="009667E6">
        <w:rPr>
          <w:rFonts w:asciiTheme="minorHAnsi" w:hAnsiTheme="minorHAnsi"/>
          <w:sz w:val="20"/>
          <w:szCs w:val="20"/>
          <w:vertAlign w:val="superscript"/>
          <w:lang w:val="en-CA"/>
        </w:rPr>
        <w:t>2</w:t>
      </w:r>
      <w:r w:rsidR="007815F6" w:rsidRPr="009667E6">
        <w:rPr>
          <w:rFonts w:asciiTheme="minorHAnsi" w:hAnsiTheme="minorHAnsi"/>
          <w:sz w:val="20"/>
          <w:szCs w:val="20"/>
          <w:lang w:val="en-CA"/>
        </w:rPr>
        <w:t>) measured over more than two decades in the RGN</w:t>
      </w:r>
      <w:r w:rsidR="007815F6" w:rsidRPr="009667E6">
        <w:rPr>
          <w:rStyle w:val="Appelnotedebasdep"/>
          <w:rFonts w:asciiTheme="minorHAnsi" w:hAnsiTheme="minorHAnsi"/>
          <w:sz w:val="20"/>
          <w:szCs w:val="20"/>
          <w:lang w:val="en-CA"/>
        </w:rPr>
        <w:footnoteReference w:id="37"/>
      </w:r>
      <w:r w:rsidR="007815F6" w:rsidRPr="009667E6">
        <w:rPr>
          <w:rFonts w:asciiTheme="minorHAnsi" w:hAnsiTheme="minorHAnsi"/>
          <w:sz w:val="20"/>
          <w:szCs w:val="20"/>
          <w:vertAlign w:val="superscript"/>
          <w:lang w:val="en-CA"/>
        </w:rPr>
        <w:t>,</w:t>
      </w:r>
      <w:r w:rsidR="007815F6" w:rsidRPr="009667E6">
        <w:rPr>
          <w:rStyle w:val="Appelnotedebasdep"/>
          <w:rFonts w:asciiTheme="minorHAnsi" w:hAnsiTheme="minorHAnsi"/>
          <w:sz w:val="20"/>
          <w:szCs w:val="20"/>
          <w:lang w:val="en-CA"/>
        </w:rPr>
        <w:footnoteReference w:id="38"/>
      </w:r>
      <w:r w:rsidR="007815F6" w:rsidRPr="009667E6">
        <w:rPr>
          <w:rFonts w:asciiTheme="minorHAnsi" w:hAnsiTheme="minorHAnsi"/>
          <w:sz w:val="20"/>
          <w:szCs w:val="20"/>
          <w:lang w:val="en-CA"/>
        </w:rPr>
        <w:t>, which were possibly due to excessive hunting and to poaching.</w:t>
      </w:r>
    </w:p>
    <w:p w14:paraId="65C56339" w14:textId="70BE17D9" w:rsidR="00A037BE" w:rsidRPr="009667E6" w:rsidRDefault="00A037BE" w:rsidP="00C46720">
      <w:pPr>
        <w:pStyle w:val="Paragraphedeliste"/>
        <w:numPr>
          <w:ilvl w:val="0"/>
          <w:numId w:val="32"/>
        </w:numPr>
        <w:tabs>
          <w:tab w:val="left" w:pos="284"/>
        </w:tabs>
        <w:spacing w:before="120" w:after="120"/>
        <w:ind w:left="0" w:firstLine="0"/>
        <w:jc w:val="both"/>
        <w:rPr>
          <w:rFonts w:asciiTheme="minorHAnsi" w:eastAsia="Times New Roman" w:hAnsiTheme="minorHAnsi"/>
          <w:iCs/>
          <w:sz w:val="20"/>
          <w:szCs w:val="20"/>
          <w:lang w:val="en-GB"/>
        </w:rPr>
      </w:pPr>
      <w:r w:rsidRPr="009667E6">
        <w:rPr>
          <w:rFonts w:ascii="Calibri" w:hAnsi="Calibri"/>
          <w:sz w:val="20"/>
          <w:szCs w:val="20"/>
          <w:lang w:val="en-CA"/>
        </w:rPr>
        <w:t xml:space="preserve">In the </w:t>
      </w:r>
      <w:proofErr w:type="spellStart"/>
      <w:r w:rsidRPr="009667E6">
        <w:rPr>
          <w:rFonts w:ascii="Calibri" w:hAnsi="Calibri"/>
          <w:sz w:val="20"/>
          <w:szCs w:val="20"/>
          <w:lang w:val="en-CA"/>
        </w:rPr>
        <w:t>Nazinga</w:t>
      </w:r>
      <w:proofErr w:type="spellEnd"/>
      <w:r w:rsidRPr="009667E6">
        <w:rPr>
          <w:rFonts w:ascii="Calibri" w:hAnsi="Calibri"/>
          <w:sz w:val="20"/>
          <w:szCs w:val="20"/>
          <w:lang w:val="en-CA"/>
        </w:rPr>
        <w:t xml:space="preserve"> Game Ranch, monitoring designed to assess population trends of medium and large mammals and occurrences of illegal activities such as poaching was conducted almost on a yearly basis from 1981 to 2011 and most results have been recorded in unpublished reports</w:t>
      </w:r>
      <w:r w:rsidRPr="009667E6">
        <w:rPr>
          <w:rStyle w:val="Appelnotedebasdep"/>
          <w:rFonts w:ascii="Calibri" w:hAnsi="Calibri"/>
          <w:sz w:val="20"/>
          <w:szCs w:val="20"/>
          <w:lang w:val="en-CA"/>
        </w:rPr>
        <w:footnoteReference w:id="39"/>
      </w:r>
      <w:r w:rsidRPr="009667E6">
        <w:rPr>
          <w:rFonts w:ascii="Calibri" w:hAnsi="Calibri"/>
          <w:sz w:val="20"/>
          <w:szCs w:val="20"/>
          <w:lang w:val="en-CA"/>
        </w:rPr>
        <w:t>.</w:t>
      </w:r>
      <w:r w:rsidRPr="009667E6">
        <w:rPr>
          <w:rFonts w:ascii="Calibri" w:hAnsi="Calibri"/>
          <w:bCs/>
          <w:sz w:val="20"/>
          <w:szCs w:val="20"/>
          <w:lang w:val="en-GB"/>
        </w:rPr>
        <w:t xml:space="preserve"> Currently, </w:t>
      </w:r>
      <w:r w:rsidR="009D0DD8" w:rsidRPr="009667E6">
        <w:rPr>
          <w:rFonts w:ascii="Calibri" w:hAnsi="Calibri"/>
          <w:bCs/>
          <w:sz w:val="20"/>
          <w:szCs w:val="20"/>
          <w:lang w:val="en-GB"/>
        </w:rPr>
        <w:t>the number of killed animals is</w:t>
      </w:r>
      <w:r w:rsidRPr="009667E6">
        <w:rPr>
          <w:rFonts w:ascii="Calibri" w:hAnsi="Calibri"/>
          <w:bCs/>
          <w:sz w:val="20"/>
          <w:szCs w:val="20"/>
          <w:lang w:val="en-GB"/>
        </w:rPr>
        <w:t xml:space="preserve"> no longer </w:t>
      </w:r>
      <w:r w:rsidR="009D0DD8" w:rsidRPr="009667E6">
        <w:rPr>
          <w:rFonts w:ascii="Calibri" w:hAnsi="Calibri"/>
          <w:bCs/>
          <w:sz w:val="20"/>
          <w:szCs w:val="20"/>
          <w:lang w:val="en-GB"/>
        </w:rPr>
        <w:t xml:space="preserve">systematically </w:t>
      </w:r>
      <w:r w:rsidRPr="009667E6">
        <w:rPr>
          <w:rFonts w:ascii="Calibri" w:hAnsi="Calibri"/>
          <w:bCs/>
          <w:sz w:val="20"/>
          <w:szCs w:val="20"/>
          <w:lang w:val="en-GB"/>
        </w:rPr>
        <w:t>monitored and th</w:t>
      </w:r>
      <w:r w:rsidR="009D0DD8" w:rsidRPr="009667E6">
        <w:rPr>
          <w:rFonts w:ascii="Calibri" w:hAnsi="Calibri"/>
          <w:bCs/>
          <w:sz w:val="20"/>
          <w:szCs w:val="20"/>
          <w:lang w:val="en-GB"/>
        </w:rPr>
        <w:t>is statistic</w:t>
      </w:r>
      <w:r w:rsidRPr="009667E6">
        <w:rPr>
          <w:rFonts w:ascii="Calibri" w:hAnsi="Calibri"/>
          <w:bCs/>
          <w:sz w:val="20"/>
          <w:szCs w:val="20"/>
          <w:lang w:val="en-GB"/>
        </w:rPr>
        <w:t xml:space="preserve"> </w:t>
      </w:r>
      <w:r w:rsidR="004708C8" w:rsidRPr="009667E6">
        <w:rPr>
          <w:rFonts w:ascii="Calibri" w:hAnsi="Calibri"/>
          <w:bCs/>
          <w:sz w:val="20"/>
          <w:szCs w:val="20"/>
          <w:lang w:val="en-GB"/>
        </w:rPr>
        <w:t>is</w:t>
      </w:r>
      <w:r w:rsidRPr="009667E6">
        <w:rPr>
          <w:rFonts w:ascii="Calibri" w:hAnsi="Calibri"/>
          <w:bCs/>
          <w:sz w:val="20"/>
          <w:szCs w:val="20"/>
          <w:lang w:val="en-GB"/>
        </w:rPr>
        <w:t xml:space="preserve"> extrapolated </w:t>
      </w:r>
      <w:r w:rsidR="004708C8" w:rsidRPr="009667E6">
        <w:rPr>
          <w:rFonts w:ascii="Calibri" w:hAnsi="Calibri"/>
          <w:bCs/>
          <w:sz w:val="20"/>
          <w:szCs w:val="20"/>
          <w:lang w:val="en-GB"/>
        </w:rPr>
        <w:t>from</w:t>
      </w:r>
      <w:r w:rsidRPr="009667E6">
        <w:rPr>
          <w:rFonts w:ascii="Calibri" w:hAnsi="Calibri"/>
          <w:bCs/>
          <w:sz w:val="20"/>
          <w:szCs w:val="20"/>
          <w:lang w:val="en-GB"/>
        </w:rPr>
        <w:t xml:space="preserve"> the number of hunting licenses issued</w:t>
      </w:r>
      <w:r w:rsidRPr="009667E6">
        <w:rPr>
          <w:rFonts w:ascii="Calibri" w:hAnsi="Calibri"/>
          <w:sz w:val="20"/>
          <w:szCs w:val="20"/>
          <w:lang w:val="en-GB"/>
        </w:rPr>
        <w:t>.</w:t>
      </w:r>
      <w:r w:rsidRPr="009667E6">
        <w:rPr>
          <w:rFonts w:ascii="Calibri" w:hAnsi="Calibri"/>
          <w:bCs/>
          <w:sz w:val="20"/>
          <w:szCs w:val="20"/>
          <w:lang w:val="en-CA"/>
        </w:rPr>
        <w:t xml:space="preserve"> </w:t>
      </w:r>
      <w:r w:rsidRPr="009667E6">
        <w:rPr>
          <w:rFonts w:asciiTheme="minorHAnsi" w:hAnsiTheme="minorHAnsi"/>
          <w:sz w:val="20"/>
          <w:szCs w:val="20"/>
          <w:lang w:val="en-GB"/>
        </w:rPr>
        <w:t>Under current procedures, hunting quotas should be determined during a national workshop to examine the potentialities and limitations of hunting areas, based on ecological monitoring data. However, since the monitoring of killings and abundance of exploited populations is not carried out consistently and according to a protocol to produce statistically valid data, the quotas or sustainable yield thresholds for the main exploited species are not based on rigorous science to ensure that hunting activities do not adversely affect the conservation objectives of core PAs and ZOVICs.</w:t>
      </w:r>
    </w:p>
    <w:p w14:paraId="0C43BEEE" w14:textId="67C5D513" w:rsidR="00302BFE" w:rsidRPr="009667E6" w:rsidRDefault="00302BFE" w:rsidP="00C46720">
      <w:pPr>
        <w:pStyle w:val="Paragraphedeliste"/>
        <w:numPr>
          <w:ilvl w:val="0"/>
          <w:numId w:val="32"/>
        </w:numPr>
        <w:tabs>
          <w:tab w:val="left" w:pos="284"/>
        </w:tabs>
        <w:spacing w:before="120" w:after="120"/>
        <w:ind w:left="0" w:firstLine="0"/>
        <w:jc w:val="both"/>
        <w:rPr>
          <w:rFonts w:ascii="Calibri" w:eastAsia="Calibri" w:hAnsi="Calibri"/>
          <w:color w:val="000000"/>
          <w:sz w:val="20"/>
          <w:szCs w:val="20"/>
          <w:lang w:val="en-GB"/>
        </w:rPr>
      </w:pPr>
      <w:bookmarkStart w:id="9" w:name="_Hlk4244849"/>
      <w:r w:rsidRPr="009667E6">
        <w:rPr>
          <w:rFonts w:ascii="Calibri" w:eastAsia="Times New Roman" w:hAnsi="Calibri"/>
          <w:i/>
          <w:iCs/>
          <w:color w:val="2F5496"/>
          <w:sz w:val="20"/>
          <w:szCs w:val="20"/>
          <w:lang w:val="en-GB"/>
        </w:rPr>
        <w:t xml:space="preserve"> Human-wildlife conflicts</w:t>
      </w:r>
      <w:r w:rsidRPr="009667E6">
        <w:rPr>
          <w:rFonts w:ascii="Calibri" w:hAnsi="Calibri"/>
          <w:sz w:val="20"/>
          <w:szCs w:val="20"/>
          <w:lang w:val="en-GB"/>
        </w:rPr>
        <w:t xml:space="preserve"> </w:t>
      </w:r>
      <w:bookmarkEnd w:id="9"/>
      <w:r w:rsidRPr="009667E6">
        <w:rPr>
          <w:rFonts w:ascii="Calibri" w:hAnsi="Calibri"/>
          <w:sz w:val="20"/>
          <w:szCs w:val="20"/>
          <w:lang w:val="en-GB"/>
        </w:rPr>
        <w:t xml:space="preserve">concern several species present in the landscape and are more frequent in the fields contiguous to protected areas. The current situation of human-elephant conflict is further detailed in Annex </w:t>
      </w:r>
      <w:r w:rsidR="009523FE" w:rsidRPr="009667E6">
        <w:rPr>
          <w:rFonts w:ascii="Calibri" w:hAnsi="Calibri"/>
          <w:sz w:val="20"/>
          <w:szCs w:val="20"/>
          <w:lang w:val="en-GB"/>
        </w:rPr>
        <w:t>L</w:t>
      </w:r>
      <w:r w:rsidRPr="009667E6">
        <w:rPr>
          <w:rFonts w:ascii="Calibri" w:hAnsi="Calibri"/>
          <w:sz w:val="20"/>
          <w:szCs w:val="20"/>
          <w:lang w:val="en-GB"/>
        </w:rPr>
        <w:t xml:space="preserve">, including the sites in the PONASI complex and the </w:t>
      </w:r>
      <w:proofErr w:type="spellStart"/>
      <w:r w:rsidRPr="009667E6">
        <w:rPr>
          <w:rFonts w:ascii="Calibri" w:hAnsi="Calibri"/>
          <w:sz w:val="20"/>
          <w:szCs w:val="20"/>
          <w:lang w:val="en-GB"/>
        </w:rPr>
        <w:t>Nazinga</w:t>
      </w:r>
      <w:proofErr w:type="spellEnd"/>
      <w:r w:rsidRPr="009667E6">
        <w:rPr>
          <w:rFonts w:ascii="Calibri" w:hAnsi="Calibri"/>
          <w:sz w:val="20"/>
          <w:szCs w:val="20"/>
          <w:lang w:val="en-GB"/>
        </w:rPr>
        <w:t>-PN Deux-</w:t>
      </w:r>
      <w:proofErr w:type="spellStart"/>
      <w:r w:rsidRPr="009667E6">
        <w:rPr>
          <w:rFonts w:ascii="Calibri" w:hAnsi="Calibri"/>
          <w:sz w:val="20"/>
          <w:szCs w:val="20"/>
          <w:lang w:val="en-GB"/>
        </w:rPr>
        <w:t>Balés</w:t>
      </w:r>
      <w:proofErr w:type="spellEnd"/>
      <w:r w:rsidRPr="009667E6">
        <w:rPr>
          <w:rFonts w:ascii="Calibri" w:hAnsi="Calibri"/>
          <w:sz w:val="20"/>
          <w:szCs w:val="20"/>
          <w:lang w:val="en-GB"/>
        </w:rPr>
        <w:t xml:space="preserve"> corridor. Human-Elephant Conflicts occur at the beginning and end of rainy seasons in sites that are less monitored by forest services (due to difficult access) and neighbouring communities. At the beginning of the rainy season, elephants (</w:t>
      </w:r>
      <w:r w:rsidRPr="009667E6">
        <w:rPr>
          <w:rFonts w:ascii="Calibri" w:hAnsi="Calibri"/>
          <w:i/>
          <w:sz w:val="20"/>
          <w:szCs w:val="20"/>
          <w:lang w:val="en-GB"/>
        </w:rPr>
        <w:t xml:space="preserve">Loxodonta </w:t>
      </w:r>
      <w:proofErr w:type="spellStart"/>
      <w:r w:rsidRPr="009667E6">
        <w:rPr>
          <w:rFonts w:ascii="Calibri" w:hAnsi="Calibri"/>
          <w:i/>
          <w:sz w:val="20"/>
          <w:szCs w:val="20"/>
          <w:lang w:val="en-GB"/>
        </w:rPr>
        <w:t>africana</w:t>
      </w:r>
      <w:proofErr w:type="spellEnd"/>
      <w:r w:rsidRPr="009667E6">
        <w:rPr>
          <w:rFonts w:ascii="Calibri" w:hAnsi="Calibri"/>
          <w:sz w:val="20"/>
          <w:szCs w:val="20"/>
          <w:lang w:val="en-GB"/>
        </w:rPr>
        <w:t xml:space="preserve"> - </w:t>
      </w:r>
      <w:r w:rsidRPr="009667E6">
        <w:rPr>
          <w:rFonts w:ascii="Calibri" w:hAnsi="Calibri"/>
          <w:b/>
          <w:sz w:val="20"/>
          <w:szCs w:val="20"/>
          <w:lang w:val="en-GB"/>
        </w:rPr>
        <w:t>VU</w:t>
      </w:r>
      <w:r w:rsidRPr="009667E6">
        <w:rPr>
          <w:rFonts w:ascii="Calibri" w:hAnsi="Calibri"/>
          <w:sz w:val="20"/>
          <w:szCs w:val="20"/>
          <w:lang w:val="en-GB"/>
        </w:rPr>
        <w:t xml:space="preserve">) migrate to the north of the PONASI complex, where there is water, grass, natural salt marshes, and a large space for movement, and return at the end of the rainy season, when the water level drops. Each time they move, they do damage to the lands (orchards, cornfields, etc.) of neighbouring villages. The recent creation of two corridors as part of the PAGEN project have significantly contributed to solving this problem and allowing elephant movements between the </w:t>
      </w:r>
      <w:proofErr w:type="spellStart"/>
      <w:r w:rsidRPr="009667E6">
        <w:rPr>
          <w:rFonts w:ascii="Calibri" w:hAnsi="Calibri"/>
          <w:sz w:val="20"/>
          <w:szCs w:val="20"/>
          <w:lang w:val="en-GB"/>
        </w:rPr>
        <w:t>Nazinga</w:t>
      </w:r>
      <w:proofErr w:type="spellEnd"/>
      <w:r w:rsidRPr="009667E6">
        <w:rPr>
          <w:rFonts w:ascii="Calibri" w:hAnsi="Calibri"/>
          <w:sz w:val="20"/>
          <w:szCs w:val="20"/>
          <w:lang w:val="en-GB"/>
        </w:rPr>
        <w:t xml:space="preserve"> Game Ranch and the PNKT. However, the status of the corridors has not yet been formalized and there is no management or zoning plan that prevents the application of any rules limiting access and use of resources and land and increasing the risk of humans and elephant wildlife encounters.</w:t>
      </w:r>
    </w:p>
    <w:p w14:paraId="1E0056E7" w14:textId="3998F4C8" w:rsidR="00302BFE" w:rsidRPr="009667E6" w:rsidRDefault="00302BFE" w:rsidP="00302BFE">
      <w:pPr>
        <w:spacing w:before="120" w:after="120"/>
        <w:ind w:firstLine="720"/>
        <w:rPr>
          <w:b/>
          <w:szCs w:val="20"/>
          <w:lang w:val="en-GB"/>
        </w:rPr>
      </w:pPr>
      <w:r w:rsidRPr="009667E6">
        <w:rPr>
          <w:b/>
          <w:szCs w:val="20"/>
          <w:lang w:val="en-GB"/>
        </w:rPr>
        <w:t>Industrial and artisanal mining activities</w:t>
      </w:r>
    </w:p>
    <w:p w14:paraId="0E12965E" w14:textId="3CEE0F8F"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eastAsia="Times New Roman" w:hAnsi="Calibri"/>
          <w:i/>
          <w:iCs/>
          <w:color w:val="2F5496"/>
          <w:sz w:val="20"/>
          <w:szCs w:val="20"/>
          <w:lang w:val="en-GB"/>
        </w:rPr>
        <w:t xml:space="preserve">Exploitation of gold. </w:t>
      </w:r>
      <w:r w:rsidRPr="009667E6">
        <w:rPr>
          <w:rFonts w:ascii="Calibri" w:hAnsi="Calibri"/>
          <w:sz w:val="20"/>
          <w:szCs w:val="20"/>
          <w:lang w:val="en-GB"/>
        </w:rPr>
        <w:t xml:space="preserve">The PONASI area is home to an active industrial gold mine whose quarry </w:t>
      </w:r>
      <w:proofErr w:type="gramStart"/>
      <w:r w:rsidRPr="009667E6">
        <w:rPr>
          <w:rFonts w:ascii="Calibri" w:hAnsi="Calibri"/>
          <w:sz w:val="20"/>
          <w:szCs w:val="20"/>
          <w:lang w:val="en-GB"/>
        </w:rPr>
        <w:t>is located in</w:t>
      </w:r>
      <w:proofErr w:type="gramEnd"/>
      <w:r w:rsidRPr="009667E6">
        <w:rPr>
          <w:rFonts w:ascii="Calibri" w:hAnsi="Calibri"/>
          <w:sz w:val="20"/>
          <w:szCs w:val="20"/>
          <w:lang w:val="en-GB"/>
        </w:rPr>
        <w:t xml:space="preserve"> the </w:t>
      </w:r>
      <w:proofErr w:type="spellStart"/>
      <w:r w:rsidRPr="009667E6">
        <w:rPr>
          <w:rFonts w:ascii="Calibri" w:hAnsi="Calibri"/>
          <w:sz w:val="20"/>
          <w:szCs w:val="20"/>
          <w:lang w:val="en-GB"/>
        </w:rPr>
        <w:t>Guiaro</w:t>
      </w:r>
      <w:proofErr w:type="spellEnd"/>
      <w:r w:rsidRPr="009667E6">
        <w:rPr>
          <w:rFonts w:ascii="Calibri" w:hAnsi="Calibri"/>
          <w:sz w:val="20"/>
          <w:szCs w:val="20"/>
          <w:lang w:val="en-GB"/>
        </w:rPr>
        <w:t xml:space="preserve"> </w:t>
      </w:r>
      <w:r w:rsidR="009363D6" w:rsidRPr="009667E6">
        <w:rPr>
          <w:rFonts w:ascii="Calibri" w:hAnsi="Calibri"/>
          <w:sz w:val="20"/>
          <w:szCs w:val="20"/>
          <w:lang w:val="en-GB"/>
        </w:rPr>
        <w:t>c</w:t>
      </w:r>
      <w:r w:rsidRPr="009667E6">
        <w:rPr>
          <w:rFonts w:ascii="Calibri" w:hAnsi="Calibri"/>
          <w:sz w:val="20"/>
          <w:szCs w:val="20"/>
          <w:lang w:val="en-GB"/>
        </w:rPr>
        <w:t xml:space="preserve">ommune and the industrial processing unit in the </w:t>
      </w:r>
      <w:r w:rsidR="009363D6" w:rsidRPr="009667E6">
        <w:rPr>
          <w:rFonts w:ascii="Calibri" w:hAnsi="Calibri"/>
          <w:sz w:val="20"/>
          <w:szCs w:val="20"/>
          <w:lang w:val="en-GB"/>
        </w:rPr>
        <w:t>commune</w:t>
      </w:r>
      <w:r w:rsidRPr="009667E6">
        <w:rPr>
          <w:rFonts w:ascii="Calibri" w:hAnsi="Calibri"/>
          <w:sz w:val="20"/>
          <w:szCs w:val="20"/>
          <w:lang w:val="en-GB"/>
        </w:rPr>
        <w:t xml:space="preserve"> of </w:t>
      </w:r>
      <w:proofErr w:type="spellStart"/>
      <w:r w:rsidRPr="009667E6">
        <w:rPr>
          <w:rFonts w:ascii="Calibri" w:hAnsi="Calibri"/>
          <w:sz w:val="20"/>
          <w:szCs w:val="20"/>
          <w:lang w:val="en-GB"/>
        </w:rPr>
        <w:t>Tiébélé</w:t>
      </w:r>
      <w:proofErr w:type="spellEnd"/>
      <w:r w:rsidRPr="009667E6">
        <w:rPr>
          <w:rFonts w:ascii="Calibri" w:hAnsi="Calibri"/>
          <w:sz w:val="20"/>
          <w:szCs w:val="20"/>
          <w:lang w:val="en-GB"/>
        </w:rPr>
        <w:t xml:space="preserve">, about 40 km to the east. Three other industrial mining licenses have also been granted. A gold mining site in the village of </w:t>
      </w:r>
      <w:proofErr w:type="spellStart"/>
      <w:r w:rsidRPr="009667E6">
        <w:rPr>
          <w:rFonts w:ascii="Calibri" w:hAnsi="Calibri"/>
          <w:sz w:val="20"/>
          <w:szCs w:val="20"/>
          <w:lang w:val="en-GB"/>
        </w:rPr>
        <w:t>Zerboko</w:t>
      </w:r>
      <w:proofErr w:type="spellEnd"/>
      <w:r w:rsidRPr="009667E6">
        <w:rPr>
          <w:rFonts w:ascii="Calibri" w:hAnsi="Calibri"/>
          <w:sz w:val="20"/>
          <w:szCs w:val="20"/>
          <w:lang w:val="en-GB"/>
        </w:rPr>
        <w:t xml:space="preserve"> (ZOAGA commune), is located next to Corridor No. 2, and threatens its integrity.</w:t>
      </w:r>
    </w:p>
    <w:p w14:paraId="7A1F3B55" w14:textId="54200E91"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eastAsia="Times New Roman" w:hAnsi="Calibri"/>
          <w:i/>
          <w:iCs/>
          <w:color w:val="2F5496"/>
          <w:sz w:val="20"/>
          <w:szCs w:val="20"/>
          <w:lang w:val="en-GB"/>
        </w:rPr>
        <w:lastRenderedPageBreak/>
        <w:t xml:space="preserve">Extraction of aggregates. </w:t>
      </w:r>
      <w:r w:rsidRPr="009667E6">
        <w:rPr>
          <w:rFonts w:ascii="Calibri" w:eastAsia="Times New Roman" w:hAnsi="Calibri"/>
          <w:kern w:val="2"/>
          <w:sz w:val="20"/>
          <w:szCs w:val="20"/>
          <w:lang w:val="en-GB" w:eastAsia="hi-IN" w:bidi="hi-IN"/>
        </w:rPr>
        <w:t xml:space="preserve">Sand, </w:t>
      </w:r>
      <w:proofErr w:type="gramStart"/>
      <w:r w:rsidRPr="009667E6">
        <w:rPr>
          <w:rFonts w:ascii="Calibri" w:eastAsia="Times New Roman" w:hAnsi="Calibri"/>
          <w:kern w:val="2"/>
          <w:sz w:val="20"/>
          <w:szCs w:val="20"/>
          <w:lang w:val="en-GB" w:eastAsia="hi-IN" w:bidi="hi-IN"/>
        </w:rPr>
        <w:t>gravel</w:t>
      </w:r>
      <w:proofErr w:type="gramEnd"/>
      <w:r w:rsidRPr="009667E6">
        <w:rPr>
          <w:rFonts w:ascii="Calibri" w:eastAsia="Times New Roman" w:hAnsi="Calibri"/>
          <w:kern w:val="2"/>
          <w:sz w:val="20"/>
          <w:szCs w:val="20"/>
          <w:lang w:val="en-GB" w:eastAsia="hi-IN" w:bidi="hi-IN"/>
        </w:rPr>
        <w:t xml:space="preserve"> and wild pebbles are extracted in the PNKT and corridors for commercial purposes. This situation is responsible for the degradation of certain ecosystems, erosion and the transport of solid materials being responsible for the filling of water bodies.</w:t>
      </w:r>
    </w:p>
    <w:p w14:paraId="1B342C02" w14:textId="52DF1767" w:rsidR="00302BFE" w:rsidRPr="009667E6" w:rsidRDefault="00302BFE" w:rsidP="00302BFE">
      <w:pPr>
        <w:spacing w:before="120" w:after="120"/>
        <w:ind w:firstLine="720"/>
        <w:rPr>
          <w:b/>
          <w:szCs w:val="20"/>
          <w:lang w:val="en-GB"/>
        </w:rPr>
      </w:pPr>
      <w:r w:rsidRPr="009667E6">
        <w:rPr>
          <w:b/>
          <w:szCs w:val="20"/>
          <w:lang w:val="en-GB"/>
        </w:rPr>
        <w:t>Climate change</w:t>
      </w:r>
    </w:p>
    <w:p w14:paraId="3B891395" w14:textId="08C5DE70"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hAnsi="Calibri"/>
          <w:sz w:val="20"/>
          <w:szCs w:val="20"/>
          <w:lang w:val="en-GB"/>
        </w:rPr>
        <w:t xml:space="preserve">The analysis of the projections for the coming years made in the framework of the 2015 National Adaptation Plan is summarized in some observations for the whole country according to which (i) the risk of a reduction in rainfall is low, however rainfall patterns are likely to be more spread out and more variable from year to year, with contrasting periods of torrential rains and longer drought periods, (ii) an increase in maximum and minimum temperatures of 2.5°C to 5°C is expected, (iii) significant increase in potential monthly evapotranspiration (2 to 10 mm) is expected. The likely consequences for natural and </w:t>
      </w:r>
      <w:proofErr w:type="spellStart"/>
      <w:r w:rsidRPr="009667E6">
        <w:rPr>
          <w:rFonts w:ascii="Calibri" w:hAnsi="Calibri"/>
          <w:sz w:val="20"/>
          <w:szCs w:val="20"/>
          <w:lang w:val="en-GB"/>
        </w:rPr>
        <w:t>agro</w:t>
      </w:r>
      <w:proofErr w:type="spellEnd"/>
      <w:r w:rsidRPr="009667E6">
        <w:rPr>
          <w:rFonts w:ascii="Calibri" w:hAnsi="Calibri"/>
          <w:sz w:val="20"/>
          <w:szCs w:val="20"/>
          <w:lang w:val="en-GB"/>
        </w:rPr>
        <w:t>-</w:t>
      </w:r>
      <w:proofErr w:type="spellStart"/>
      <w:r w:rsidRPr="009667E6">
        <w:rPr>
          <w:rFonts w:ascii="Calibri" w:hAnsi="Calibri"/>
          <w:sz w:val="20"/>
          <w:szCs w:val="20"/>
          <w:lang w:val="en-GB"/>
        </w:rPr>
        <w:t>sylvo</w:t>
      </w:r>
      <w:proofErr w:type="spellEnd"/>
      <w:r w:rsidRPr="009667E6">
        <w:rPr>
          <w:rFonts w:ascii="Calibri" w:hAnsi="Calibri"/>
          <w:sz w:val="20"/>
          <w:szCs w:val="20"/>
          <w:lang w:val="en-GB"/>
        </w:rPr>
        <w:t xml:space="preserve">-pastoral resources include: (i) increased risks to growth </w:t>
      </w:r>
      <w:r w:rsidR="006B58CC" w:rsidRPr="009667E6">
        <w:rPr>
          <w:rFonts w:ascii="Calibri" w:hAnsi="Calibri"/>
          <w:sz w:val="20"/>
          <w:szCs w:val="20"/>
          <w:lang w:val="en-GB"/>
        </w:rPr>
        <w:t xml:space="preserve">of </w:t>
      </w:r>
      <w:r w:rsidRPr="009667E6">
        <w:rPr>
          <w:rFonts w:ascii="Calibri" w:hAnsi="Calibri"/>
          <w:sz w:val="20"/>
          <w:szCs w:val="20"/>
          <w:lang w:val="en-GB"/>
        </w:rPr>
        <w:t xml:space="preserve">rainfed crops, (ii) more frequent and severe floods could lead to crop and biodiversity losses, (iii) ) an increase in potential evapotranspiration combined with anthropogenic activities could accelerate the degradation of vegetation cover, the decrease in groundwater recharge through infiltration, and a decrease in perennial surface water and watercourses and gallery forests (iv) the regeneration capacity of forest formations should no longer be able to compensate for the harvesting of wood to meet energy needs, (v) the scarcity of grazing lands and water bodies in the Sahelian zone should push pastoral activities to migrate further south, thus risking pressure on pastures in the southern regions of the country, including the PONASI landscape area. </w:t>
      </w:r>
      <w:r w:rsidRPr="009667E6">
        <w:rPr>
          <w:rFonts w:ascii="Calibri" w:hAnsi="Calibri"/>
          <w:sz w:val="20"/>
          <w:szCs w:val="20"/>
          <w:lang w:val="en-CA"/>
        </w:rPr>
        <w:t>Annual rainfall data show an irregular pattern from year to year. However, the global trend shows a significant increase in rainfall volumes (from 650 to 930 mm) between 1983 and 2013</w:t>
      </w:r>
      <w:r w:rsidRPr="009667E6">
        <w:rPr>
          <w:rStyle w:val="Appelnotedebasdep"/>
          <w:rFonts w:ascii="Calibri" w:hAnsi="Calibri"/>
          <w:sz w:val="20"/>
          <w:szCs w:val="20"/>
          <w:lang w:val="en-CA"/>
        </w:rPr>
        <w:footnoteReference w:id="40"/>
      </w:r>
      <w:r w:rsidRPr="009667E6">
        <w:rPr>
          <w:rFonts w:ascii="Calibri" w:hAnsi="Calibri"/>
          <w:sz w:val="20"/>
          <w:szCs w:val="20"/>
          <w:lang w:val="en-CA"/>
        </w:rPr>
        <w:t>.</w:t>
      </w:r>
    </w:p>
    <w:p w14:paraId="14C10037" w14:textId="58742C0B"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hAnsi="Calibri"/>
          <w:sz w:val="20"/>
          <w:szCs w:val="20"/>
          <w:u w:val="single"/>
          <w:lang w:val="en-GB"/>
        </w:rPr>
        <w:t>The cycle of biodiversity loss and land degradation and poverty</w:t>
      </w:r>
      <w:r w:rsidRPr="009667E6">
        <w:rPr>
          <w:rFonts w:ascii="Calibri" w:hAnsi="Calibri"/>
          <w:sz w:val="20"/>
          <w:szCs w:val="20"/>
          <w:lang w:val="en-GB"/>
        </w:rPr>
        <w:t>. The loss of biodiversity and land degradation, combined with the effects of climate change</w:t>
      </w:r>
      <w:r w:rsidR="006B58CC" w:rsidRPr="009667E6">
        <w:rPr>
          <w:rFonts w:ascii="Calibri" w:hAnsi="Calibri"/>
          <w:sz w:val="20"/>
          <w:szCs w:val="20"/>
          <w:lang w:val="en-GB"/>
        </w:rPr>
        <w:t xml:space="preserve"> and the impact of the recent COVID crisis</w:t>
      </w:r>
      <w:r w:rsidRPr="009667E6">
        <w:rPr>
          <w:rFonts w:ascii="Calibri" w:hAnsi="Calibri"/>
          <w:sz w:val="20"/>
          <w:szCs w:val="20"/>
          <w:lang w:val="en-GB"/>
        </w:rPr>
        <w:t xml:space="preserve">, worsen the poverty status of the most vulnerable segments of the population in the intervention zone and compromise the nutritional balance of households that do not have the resources and knowledge needed to adapt their means of production and use of natural resources. Low productivity and low wages in </w:t>
      </w:r>
      <w:proofErr w:type="spellStart"/>
      <w:r w:rsidRPr="009667E6">
        <w:rPr>
          <w:rFonts w:ascii="Calibri" w:hAnsi="Calibri"/>
          <w:sz w:val="20"/>
          <w:szCs w:val="20"/>
          <w:lang w:val="en-GB"/>
        </w:rPr>
        <w:t>agro</w:t>
      </w:r>
      <w:proofErr w:type="spellEnd"/>
      <w:r w:rsidRPr="009667E6">
        <w:rPr>
          <w:rFonts w:ascii="Calibri" w:hAnsi="Calibri"/>
          <w:sz w:val="20"/>
          <w:szCs w:val="20"/>
          <w:lang w:val="en-GB"/>
        </w:rPr>
        <w:t>-</w:t>
      </w:r>
      <w:proofErr w:type="spellStart"/>
      <w:r w:rsidRPr="009667E6">
        <w:rPr>
          <w:rFonts w:ascii="Calibri" w:hAnsi="Calibri"/>
          <w:sz w:val="20"/>
          <w:szCs w:val="20"/>
          <w:lang w:val="en-GB"/>
        </w:rPr>
        <w:t>sylvo</w:t>
      </w:r>
      <w:proofErr w:type="spellEnd"/>
      <w:r w:rsidRPr="009667E6">
        <w:rPr>
          <w:rFonts w:ascii="Calibri" w:hAnsi="Calibri"/>
          <w:sz w:val="20"/>
          <w:szCs w:val="20"/>
          <w:lang w:val="en-GB"/>
        </w:rPr>
        <w:t>-pastoral work discourage young people from investing in better and more sustainable practices and encourage them to leave rural areas for big cities in search of better incomes.</w:t>
      </w:r>
    </w:p>
    <w:p w14:paraId="4B320397" w14:textId="6649918E"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GB"/>
        </w:rPr>
      </w:pPr>
      <w:r w:rsidRPr="009667E6">
        <w:rPr>
          <w:rFonts w:ascii="Calibri" w:hAnsi="Calibri"/>
          <w:sz w:val="20"/>
          <w:szCs w:val="20"/>
          <w:lang w:val="en-CA"/>
        </w:rPr>
        <w:t>The long-term solution proposed in this project to address the drivers of biodiversity loss and land degradation is to adopt a landscape-scale management approach to ensure the sustainable management of the PONASI complex and its area of influence to ensure the preservation and integrity of the ecosystem services on which the livelihoods of local people depend.</w:t>
      </w:r>
    </w:p>
    <w:p w14:paraId="58C087E1" w14:textId="5B4962F1" w:rsidR="00302BFE" w:rsidRPr="009667E6" w:rsidRDefault="00302BFE" w:rsidP="00302BFE">
      <w:pPr>
        <w:spacing w:before="240" w:after="120"/>
        <w:ind w:firstLine="720"/>
        <w:rPr>
          <w:b/>
          <w:szCs w:val="20"/>
          <w:lang w:val="en-GB"/>
        </w:rPr>
      </w:pPr>
      <w:r w:rsidRPr="009667E6">
        <w:rPr>
          <w:b/>
          <w:szCs w:val="20"/>
          <w:lang w:val="en-GB"/>
        </w:rPr>
        <w:t>Barriers to implementing the long-term solution</w:t>
      </w:r>
    </w:p>
    <w:p w14:paraId="6D299C46" w14:textId="12B71C1B" w:rsidR="00302BFE" w:rsidRPr="009667E6" w:rsidRDefault="00302BFE" w:rsidP="00302BFE">
      <w:pPr>
        <w:pStyle w:val="Paragraphedeliste"/>
        <w:tabs>
          <w:tab w:val="left" w:pos="284"/>
        </w:tabs>
        <w:spacing w:before="120" w:after="120"/>
        <w:ind w:left="0"/>
        <w:jc w:val="both"/>
        <w:rPr>
          <w:rFonts w:ascii="Calibri" w:hAnsi="Calibri"/>
          <w:color w:val="4472C4"/>
          <w:sz w:val="20"/>
          <w:szCs w:val="20"/>
          <w:lang w:val="en-GB"/>
        </w:rPr>
      </w:pPr>
      <w:r w:rsidRPr="009667E6">
        <w:rPr>
          <w:rFonts w:ascii="Calibri" w:hAnsi="Calibri"/>
          <w:i/>
          <w:color w:val="4472C4"/>
          <w:sz w:val="20"/>
          <w:szCs w:val="20"/>
        </w:rPr>
        <w:t>Barrier# 1. Insufficient systemic and institutional capacity for integrated governance of land use</w:t>
      </w:r>
    </w:p>
    <w:p w14:paraId="705D2BF4" w14:textId="3448468D"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In Burkina Faso, many organizations concerned with the environment have different mandates and different jurisdictions. They often work independently, without appropriate coordination and complementarity.</w:t>
      </w:r>
    </w:p>
    <w:p w14:paraId="343F0266" w14:textId="2C9EB7A3" w:rsidR="004B3763"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At the national level, management and monitoring of protected areas and hunting areas is shared between OFINAP and the Wildlife and Hunting Directorate (DFRC) of the DGEF, while forests classified for forestry or ecosystem protection purposes are under the supervision of the Forest Directorate (</w:t>
      </w:r>
      <w:proofErr w:type="spellStart"/>
      <w:r w:rsidRPr="009667E6">
        <w:rPr>
          <w:rFonts w:ascii="Calibri" w:hAnsi="Calibri"/>
          <w:sz w:val="20"/>
          <w:szCs w:val="20"/>
          <w:lang w:val="en-CA"/>
        </w:rPr>
        <w:t>DiFor</w:t>
      </w:r>
      <w:proofErr w:type="spellEnd"/>
      <w:r w:rsidRPr="009667E6">
        <w:rPr>
          <w:rFonts w:ascii="Calibri" w:hAnsi="Calibri"/>
          <w:sz w:val="20"/>
          <w:szCs w:val="20"/>
          <w:lang w:val="en-CA"/>
        </w:rPr>
        <w:t xml:space="preserve">) of the DGEF. In the PONASI area, only the Ranch of </w:t>
      </w:r>
      <w:proofErr w:type="spellStart"/>
      <w:r w:rsidRPr="009667E6">
        <w:rPr>
          <w:rFonts w:ascii="Calibri" w:hAnsi="Calibri"/>
          <w:sz w:val="20"/>
          <w:szCs w:val="20"/>
          <w:lang w:val="en-CA"/>
        </w:rPr>
        <w:t>Nazinga</w:t>
      </w:r>
      <w:proofErr w:type="spellEnd"/>
      <w:r w:rsidRPr="009667E6">
        <w:rPr>
          <w:rFonts w:ascii="Calibri" w:hAnsi="Calibri"/>
          <w:sz w:val="20"/>
          <w:szCs w:val="20"/>
          <w:lang w:val="en-CA"/>
        </w:rPr>
        <w:t xml:space="preserve"> is under the management and monitoring of OFINAP. The PNKT is under the responsibility of the DGEF and of the Regional Directorates of the Ministry of the Environment. The </w:t>
      </w:r>
      <w:proofErr w:type="spellStart"/>
      <w:r w:rsidRPr="009667E6">
        <w:rPr>
          <w:rFonts w:ascii="Calibri" w:hAnsi="Calibri"/>
          <w:sz w:val="20"/>
          <w:szCs w:val="20"/>
          <w:lang w:val="en-CA"/>
        </w:rPr>
        <w:t>Sissili</w:t>
      </w:r>
      <w:proofErr w:type="spellEnd"/>
      <w:r w:rsidRPr="009667E6">
        <w:rPr>
          <w:rFonts w:ascii="Calibri" w:hAnsi="Calibri"/>
          <w:sz w:val="20"/>
          <w:szCs w:val="20"/>
          <w:lang w:val="en-CA"/>
        </w:rPr>
        <w:t xml:space="preserve"> Classified Forest is the subject of a hunting concession, which is in principle followed by the DFRC, while the </w:t>
      </w:r>
      <w:proofErr w:type="spellStart"/>
      <w:r w:rsidRPr="009667E6">
        <w:rPr>
          <w:rFonts w:ascii="Calibri" w:hAnsi="Calibri"/>
          <w:sz w:val="20"/>
          <w:szCs w:val="20"/>
          <w:lang w:val="en-CA"/>
        </w:rPr>
        <w:t>Nazinon</w:t>
      </w:r>
      <w:proofErr w:type="spellEnd"/>
      <w:r w:rsidRPr="009667E6">
        <w:rPr>
          <w:rFonts w:ascii="Calibri" w:hAnsi="Calibri"/>
          <w:sz w:val="20"/>
          <w:szCs w:val="20"/>
          <w:lang w:val="en-CA"/>
        </w:rPr>
        <w:t xml:space="preserve"> Classified Forest managed as a CAF is under the Directorate of Forests and Reforestation / General Directorate of Waters and Forests. Agencies such as DGEF, OFINAP and </w:t>
      </w:r>
      <w:r w:rsidRPr="009667E6">
        <w:rPr>
          <w:rFonts w:ascii="Calibri" w:hAnsi="Calibri" w:cs="Calibri"/>
          <w:sz w:val="20"/>
          <w:szCs w:val="20"/>
        </w:rPr>
        <w:t>DREEVCC</w:t>
      </w:r>
      <w:r w:rsidRPr="009667E6">
        <w:rPr>
          <w:rFonts w:ascii="Calibri" w:hAnsi="Calibri"/>
          <w:sz w:val="20"/>
          <w:szCs w:val="20"/>
          <w:lang w:val="en-CA"/>
        </w:rPr>
        <w:t xml:space="preserve"> operate independently at different levels, including for the PONASI complex.</w:t>
      </w:r>
      <w:r w:rsidR="005E57D8" w:rsidRPr="009667E6">
        <w:rPr>
          <w:rFonts w:ascii="Calibri" w:hAnsi="Calibri"/>
          <w:sz w:val="20"/>
          <w:szCs w:val="20"/>
          <w:lang w:val="en-CA"/>
        </w:rPr>
        <w:t xml:space="preserve"> </w:t>
      </w:r>
      <w:r w:rsidR="008A2C50" w:rsidRPr="009667E6">
        <w:rPr>
          <w:rFonts w:ascii="Calibri" w:hAnsi="Calibri"/>
          <w:sz w:val="20"/>
          <w:szCs w:val="20"/>
          <w:lang w:val="en-CA"/>
        </w:rPr>
        <w:t xml:space="preserve">Within the Directorate General of Water and Forests, ecological monitoring is under the supervision of the Department of Planning and Ecological Monitoring of the DFRC which includes 3 officers and 1 engineer. It can provide support to </w:t>
      </w:r>
      <w:proofErr w:type="gramStart"/>
      <w:r w:rsidR="008A2C50" w:rsidRPr="009667E6">
        <w:rPr>
          <w:rFonts w:ascii="Calibri" w:hAnsi="Calibri"/>
          <w:sz w:val="20"/>
          <w:szCs w:val="20"/>
          <w:lang w:val="en-CA"/>
        </w:rPr>
        <w:t>OFINAP</w:t>
      </w:r>
      <w:proofErr w:type="gramEnd"/>
      <w:r w:rsidR="008A2C50" w:rsidRPr="009667E6">
        <w:rPr>
          <w:rFonts w:ascii="Calibri" w:hAnsi="Calibri"/>
          <w:sz w:val="20"/>
          <w:szCs w:val="20"/>
          <w:lang w:val="en-CA"/>
        </w:rPr>
        <w:t xml:space="preserve"> and concessionaires as needed. </w:t>
      </w:r>
      <w:r w:rsidR="004B3763" w:rsidRPr="009667E6">
        <w:rPr>
          <w:rFonts w:ascii="Calibri" w:hAnsi="Calibri"/>
          <w:sz w:val="20"/>
          <w:szCs w:val="20"/>
          <w:lang w:val="en-CA"/>
        </w:rPr>
        <w:t>They are supported in the field by seven (7) forest stations and brigades set up specifically for P</w:t>
      </w:r>
      <w:r w:rsidR="00F03A01" w:rsidRPr="009667E6">
        <w:rPr>
          <w:rFonts w:ascii="Calibri" w:hAnsi="Calibri"/>
          <w:sz w:val="20"/>
          <w:szCs w:val="20"/>
          <w:lang w:val="en-CA"/>
        </w:rPr>
        <w:t>A</w:t>
      </w:r>
      <w:r w:rsidR="004B3763" w:rsidRPr="009667E6">
        <w:rPr>
          <w:rFonts w:ascii="Calibri" w:hAnsi="Calibri"/>
          <w:sz w:val="20"/>
          <w:szCs w:val="20"/>
          <w:lang w:val="en-CA"/>
        </w:rPr>
        <w:t>s,</w:t>
      </w:r>
      <w:r w:rsidR="00F03A01" w:rsidRPr="009667E6">
        <w:rPr>
          <w:rFonts w:ascii="Calibri" w:hAnsi="Calibri"/>
          <w:sz w:val="20"/>
          <w:szCs w:val="20"/>
          <w:lang w:val="en-CA"/>
        </w:rPr>
        <w:t xml:space="preserve"> four for the RGN and three for the PNKT, with respectively 10 (RGN) and 11 (PNKT) forest agents.</w:t>
      </w:r>
    </w:p>
    <w:p w14:paraId="6B21697E" w14:textId="4E3E4177"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 xml:space="preserve">Management units should be established for each protected area, such as the </w:t>
      </w:r>
      <w:proofErr w:type="spellStart"/>
      <w:r w:rsidRPr="009667E6">
        <w:rPr>
          <w:rFonts w:ascii="Calibri" w:hAnsi="Calibri"/>
          <w:sz w:val="20"/>
          <w:szCs w:val="20"/>
          <w:lang w:val="en-CA"/>
        </w:rPr>
        <w:t>Nazinga</w:t>
      </w:r>
      <w:proofErr w:type="spellEnd"/>
      <w:r w:rsidRPr="009667E6">
        <w:rPr>
          <w:rFonts w:ascii="Calibri" w:hAnsi="Calibri"/>
          <w:sz w:val="20"/>
          <w:szCs w:val="20"/>
          <w:lang w:val="en-CA"/>
        </w:rPr>
        <w:t xml:space="preserve"> Game Ranch Management Unit, but have not been established for the PNKT or for the </w:t>
      </w:r>
      <w:proofErr w:type="spellStart"/>
      <w:r w:rsidRPr="009667E6">
        <w:rPr>
          <w:rFonts w:ascii="Calibri" w:hAnsi="Calibri"/>
          <w:sz w:val="20"/>
          <w:szCs w:val="20"/>
          <w:lang w:val="en-CA"/>
        </w:rPr>
        <w:t>Sissili</w:t>
      </w:r>
      <w:proofErr w:type="spellEnd"/>
      <w:r w:rsidRPr="009667E6">
        <w:rPr>
          <w:rFonts w:ascii="Calibri" w:hAnsi="Calibri"/>
          <w:sz w:val="20"/>
          <w:szCs w:val="20"/>
          <w:lang w:val="en-CA"/>
        </w:rPr>
        <w:t xml:space="preserve"> CF. Hence, there is no joint governance and integration at the landscape level. There is a strong need for a platform to set up joint and coherent decision-making mechanisms and to ensure the harmonization of the different management jurisdictions within the landscape. In addition, there are no tools, </w:t>
      </w:r>
      <w:proofErr w:type="gramStart"/>
      <w:r w:rsidRPr="009667E6">
        <w:rPr>
          <w:rFonts w:ascii="Calibri" w:hAnsi="Calibri"/>
          <w:sz w:val="20"/>
          <w:szCs w:val="20"/>
          <w:lang w:val="en-CA"/>
        </w:rPr>
        <w:t>knowledge</w:t>
      </w:r>
      <w:proofErr w:type="gramEnd"/>
      <w:r w:rsidRPr="009667E6">
        <w:rPr>
          <w:rFonts w:ascii="Calibri" w:hAnsi="Calibri"/>
          <w:sz w:val="20"/>
          <w:szCs w:val="20"/>
          <w:lang w:val="en-CA"/>
        </w:rPr>
        <w:t xml:space="preserve"> and appropriate skills to support such a platform for better decision making and addressing both biodiversity concerns, sustainable land and resources management, climate change, and socio-economic benefits.</w:t>
      </w:r>
    </w:p>
    <w:p w14:paraId="7BD905B3" w14:textId="4C55AAE3"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lastRenderedPageBreak/>
        <w:t xml:space="preserve">Since 2009, with the support of several donors, including UNDP and the GEF, the Ministry in charge of Environment has initiated and developed processes of consultation and national and regional planning within the framework of the Country Partnership Program, notably in the Boucle du </w:t>
      </w:r>
      <w:proofErr w:type="spellStart"/>
      <w:r w:rsidRPr="009667E6">
        <w:rPr>
          <w:rFonts w:ascii="Calibri" w:hAnsi="Calibri"/>
          <w:sz w:val="20"/>
          <w:szCs w:val="20"/>
          <w:lang w:val="en-CA"/>
        </w:rPr>
        <w:t>Mouhoun</w:t>
      </w:r>
      <w:proofErr w:type="spellEnd"/>
      <w:r w:rsidRPr="009667E6">
        <w:rPr>
          <w:rFonts w:ascii="Calibri" w:hAnsi="Calibri"/>
          <w:sz w:val="20"/>
          <w:szCs w:val="20"/>
          <w:lang w:val="en-CA"/>
        </w:rPr>
        <w:t xml:space="preserve"> and the Center-West (which includes part of the PONASI landscape). However, these interventions were mainly focused on one environmental area, sustainable land management. New land-use planning tools and resources for maximizing benefits are needed to provide an adequate basis and analytical framework for sound decision-making that </w:t>
      </w:r>
      <w:proofErr w:type="gramStart"/>
      <w:r w:rsidRPr="009667E6">
        <w:rPr>
          <w:rFonts w:ascii="Calibri" w:hAnsi="Calibri"/>
          <w:sz w:val="20"/>
          <w:szCs w:val="20"/>
          <w:lang w:val="en-CA"/>
        </w:rPr>
        <w:t>takes into account</w:t>
      </w:r>
      <w:proofErr w:type="gramEnd"/>
      <w:r w:rsidRPr="009667E6">
        <w:rPr>
          <w:rFonts w:ascii="Calibri" w:hAnsi="Calibri"/>
          <w:sz w:val="20"/>
          <w:szCs w:val="20"/>
          <w:lang w:val="en-CA"/>
        </w:rPr>
        <w:t xml:space="preserve"> multiple environmental and socio-economic dimensions with a view to identifying synergies and reducing the inevitable trade-offs between the benefits provided by each of these areas.</w:t>
      </w:r>
    </w:p>
    <w:p w14:paraId="4FBC98D7" w14:textId="54AFA322"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There is also a lack of knowledge about the exact estimates of carbon stocks in the PONASI landscape, as well as the options/opportunities for carbon sequestration. Carbon mapping is essential to better understand the potential for sequestration and ecosystem valuation through the REDD+ system. Tools such as decision-making and carbon mapping will help strengthen the PONASI landscape management plan and provide an additional argument for protecting critical wildlife habitat, maintaining biodiversity and ecosystem services, while contributing to reduce emissions.</w:t>
      </w:r>
    </w:p>
    <w:p w14:paraId="114050D7" w14:textId="3E1D7194"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 xml:space="preserve">The REDD+ process initiated by Burkina Faso under the Forest Investment Program (FIP, financed by the WB and AfDB) will provide the country with a national REDD+ strategy and includes the development of national knowledge and capacities to estimate and monitor carbon stocks and a mechanism for collecting and redistributing profits to carbon project holders. The estimate of carbon stocks under the BIP covers one of the classified forests of the PONASI landscape, the </w:t>
      </w:r>
      <w:proofErr w:type="spellStart"/>
      <w:r w:rsidRPr="009667E6">
        <w:rPr>
          <w:rFonts w:ascii="Calibri" w:hAnsi="Calibri"/>
          <w:sz w:val="20"/>
          <w:szCs w:val="20"/>
          <w:lang w:val="en-CA"/>
        </w:rPr>
        <w:t>Nazinon</w:t>
      </w:r>
      <w:proofErr w:type="spellEnd"/>
      <w:r w:rsidRPr="009667E6">
        <w:rPr>
          <w:rFonts w:ascii="Calibri" w:hAnsi="Calibri"/>
          <w:sz w:val="20"/>
          <w:szCs w:val="20"/>
          <w:lang w:val="en-CA"/>
        </w:rPr>
        <w:t xml:space="preserve"> classified forest now managed as a forest management site (C</w:t>
      </w:r>
      <w:r w:rsidRPr="009667E6">
        <w:rPr>
          <w:rFonts w:ascii="Calibri" w:hAnsi="Calibri"/>
          <w:i/>
          <w:sz w:val="20"/>
          <w:szCs w:val="20"/>
          <w:lang w:val="en-CA"/>
        </w:rPr>
        <w:t xml:space="preserve">hantier </w:t>
      </w:r>
      <w:proofErr w:type="spellStart"/>
      <w:r w:rsidRPr="009667E6">
        <w:rPr>
          <w:rFonts w:ascii="Calibri" w:hAnsi="Calibri"/>
          <w:i/>
          <w:sz w:val="20"/>
          <w:szCs w:val="20"/>
          <w:lang w:val="en-CA"/>
        </w:rPr>
        <w:t>d’Aménagement</w:t>
      </w:r>
      <w:proofErr w:type="spellEnd"/>
      <w:r w:rsidRPr="009667E6">
        <w:rPr>
          <w:rFonts w:ascii="Calibri" w:hAnsi="Calibri"/>
          <w:i/>
          <w:sz w:val="20"/>
          <w:szCs w:val="20"/>
          <w:lang w:val="en-CA"/>
        </w:rPr>
        <w:t xml:space="preserve"> Forestier</w:t>
      </w:r>
      <w:r w:rsidRPr="009667E6">
        <w:rPr>
          <w:rFonts w:ascii="Calibri" w:hAnsi="Calibri"/>
          <w:sz w:val="20"/>
          <w:szCs w:val="20"/>
          <w:lang w:val="en-CA"/>
        </w:rPr>
        <w:t>).</w:t>
      </w:r>
    </w:p>
    <w:p w14:paraId="6B6A0EB0" w14:textId="385CB386"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 xml:space="preserve">Finally, there are no appropriate incentives or mechanisms to support the financing of landscape management. The experience gained by the MEGECC in the context of the </w:t>
      </w:r>
      <w:r w:rsidR="00D27B19" w:rsidRPr="009667E6">
        <w:rPr>
          <w:rFonts w:ascii="Calibri" w:hAnsi="Calibri"/>
          <w:sz w:val="20"/>
          <w:szCs w:val="20"/>
          <w:lang w:val="en-CA"/>
        </w:rPr>
        <w:t>GEF-financed Country Pilot Partnership (</w:t>
      </w:r>
      <w:r w:rsidRPr="009667E6">
        <w:rPr>
          <w:rFonts w:ascii="Calibri" w:hAnsi="Calibri"/>
          <w:sz w:val="20"/>
          <w:szCs w:val="20"/>
          <w:lang w:val="en-CA"/>
        </w:rPr>
        <w:t>CPP</w:t>
      </w:r>
      <w:r w:rsidR="00D27B19" w:rsidRPr="009667E6">
        <w:rPr>
          <w:rFonts w:ascii="Calibri" w:hAnsi="Calibri"/>
          <w:sz w:val="20"/>
          <w:szCs w:val="20"/>
          <w:lang w:val="en-CA"/>
        </w:rPr>
        <w:t>)</w:t>
      </w:r>
      <w:r w:rsidRPr="009667E6">
        <w:rPr>
          <w:rFonts w:ascii="Calibri" w:hAnsi="Calibri"/>
          <w:sz w:val="20"/>
          <w:szCs w:val="20"/>
          <w:lang w:val="en-CA"/>
        </w:rPr>
        <w:t xml:space="preserve"> program and in the framework of the PONASI project supported by the EU and </w:t>
      </w:r>
      <w:proofErr w:type="spellStart"/>
      <w:r w:rsidRPr="009667E6">
        <w:rPr>
          <w:rFonts w:ascii="Calibri" w:hAnsi="Calibri"/>
          <w:sz w:val="20"/>
          <w:szCs w:val="20"/>
          <w:lang w:val="en-CA"/>
        </w:rPr>
        <w:t>Naturama</w:t>
      </w:r>
      <w:proofErr w:type="spellEnd"/>
      <w:r w:rsidRPr="009667E6">
        <w:rPr>
          <w:rFonts w:ascii="Calibri" w:hAnsi="Calibri"/>
          <w:sz w:val="20"/>
          <w:szCs w:val="20"/>
          <w:lang w:val="en-CA"/>
        </w:rPr>
        <w:t xml:space="preserve"> has shown that the sustainability of consultation and partnership mechanisms for sustainable land management depends closely on the continued funding of the Platform and its autonomous operation. Another lesson from the CPP program is that the collaborative planning process, by making transparent the resource planning mobilized by the stakeholders in the partnership, significantly improves the funding of natural resource management and acts as an incentive to technical and financial partners to strengthen their actions in the region considered.</w:t>
      </w:r>
    </w:p>
    <w:p w14:paraId="5EC253D2" w14:textId="1466C301" w:rsidR="00302BFE" w:rsidRPr="009667E6" w:rsidRDefault="00302BFE" w:rsidP="00302BFE">
      <w:pPr>
        <w:pStyle w:val="Paragraphedeliste"/>
        <w:tabs>
          <w:tab w:val="left" w:pos="284"/>
        </w:tabs>
        <w:spacing w:before="120" w:after="120"/>
        <w:ind w:left="0"/>
        <w:jc w:val="both"/>
        <w:rPr>
          <w:rFonts w:ascii="Calibri" w:hAnsi="Calibri"/>
          <w:i/>
          <w:color w:val="4472C4"/>
          <w:sz w:val="20"/>
          <w:szCs w:val="20"/>
          <w:lang w:val="en-CA"/>
        </w:rPr>
      </w:pPr>
      <w:r w:rsidRPr="009667E6">
        <w:rPr>
          <w:rFonts w:ascii="Calibri" w:hAnsi="Calibri"/>
          <w:i/>
          <w:color w:val="4472C4"/>
          <w:sz w:val="20"/>
          <w:szCs w:val="20"/>
          <w:lang w:val="en-CA"/>
        </w:rPr>
        <w:t>Barrier No. 2. Low management effectiveness of the conservation areas.</w:t>
      </w:r>
    </w:p>
    <w:p w14:paraId="6016900E" w14:textId="7DD730BC"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Despite the official designation of PAs in the 1970s, the management effectiveness of the PONASI PA complex and individual PAs remained low. Administrative and technical supervision is the responsibility of various entities. The connectivity between the PAs was established through the creation of two corridors with the support of the PAGEN project but still needs to be secured. Basic infrastructure for management is non-existent or in poor condition, and revenue-generating sectors require a concerted revitalization initiative.</w:t>
      </w:r>
    </w:p>
    <w:p w14:paraId="5CA15116" w14:textId="478E7032"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 xml:space="preserve">Management plans for the </w:t>
      </w:r>
      <w:proofErr w:type="spellStart"/>
      <w:r w:rsidRPr="009667E6">
        <w:rPr>
          <w:rFonts w:ascii="Calibri" w:hAnsi="Calibri"/>
          <w:sz w:val="20"/>
          <w:szCs w:val="20"/>
          <w:lang w:val="en-CA"/>
        </w:rPr>
        <w:t>Nazinga</w:t>
      </w:r>
      <w:proofErr w:type="spellEnd"/>
      <w:r w:rsidRPr="009667E6">
        <w:rPr>
          <w:rFonts w:ascii="Calibri" w:hAnsi="Calibri"/>
          <w:sz w:val="20"/>
          <w:szCs w:val="20"/>
          <w:lang w:val="en-CA"/>
        </w:rPr>
        <w:t xml:space="preserve"> Game Ranch and the Kaboré-</w:t>
      </w:r>
      <w:proofErr w:type="spellStart"/>
      <w:r w:rsidRPr="009667E6">
        <w:rPr>
          <w:rFonts w:ascii="Calibri" w:hAnsi="Calibri"/>
          <w:sz w:val="20"/>
          <w:szCs w:val="20"/>
          <w:lang w:val="en-CA"/>
        </w:rPr>
        <w:t>Tambi</w:t>
      </w:r>
      <w:proofErr w:type="spellEnd"/>
      <w:r w:rsidRPr="009667E6">
        <w:rPr>
          <w:rFonts w:ascii="Calibri" w:hAnsi="Calibri"/>
          <w:sz w:val="20"/>
          <w:szCs w:val="20"/>
          <w:lang w:val="en-CA"/>
        </w:rPr>
        <w:t xml:space="preserve"> National Park need to be updated and validated and the </w:t>
      </w:r>
      <w:proofErr w:type="spellStart"/>
      <w:r w:rsidRPr="009667E6">
        <w:rPr>
          <w:rFonts w:ascii="Calibri" w:hAnsi="Calibri"/>
          <w:sz w:val="20"/>
          <w:szCs w:val="20"/>
          <w:lang w:val="en-CA"/>
        </w:rPr>
        <w:t>Sissili</w:t>
      </w:r>
      <w:proofErr w:type="spellEnd"/>
      <w:r w:rsidRPr="009667E6">
        <w:rPr>
          <w:rFonts w:ascii="Calibri" w:hAnsi="Calibri"/>
          <w:sz w:val="20"/>
          <w:szCs w:val="20"/>
          <w:lang w:val="en-CA"/>
        </w:rPr>
        <w:t xml:space="preserve"> Forest Reserve plan still needs to be developed. The status of this forest must be reconfirmed after unsuccessful attempts to decommission part of the forest to create a grazing area; its hunting management concession must be renewed and formalized. Only the PNKT draft management plan includes elements for an integrated landscape management approach and for a co-management relationship with neighboring park communities. There is no regular monitoring program for biodiversity except in </w:t>
      </w:r>
      <w:proofErr w:type="spellStart"/>
      <w:r w:rsidRPr="009667E6">
        <w:rPr>
          <w:rFonts w:ascii="Calibri" w:hAnsi="Calibri"/>
          <w:sz w:val="20"/>
          <w:szCs w:val="20"/>
          <w:lang w:val="en-CA"/>
        </w:rPr>
        <w:t>Nazinga</w:t>
      </w:r>
      <w:proofErr w:type="spellEnd"/>
      <w:r w:rsidR="00753B60" w:rsidRPr="009667E6">
        <w:rPr>
          <w:rFonts w:ascii="Calibri" w:hAnsi="Calibri"/>
          <w:sz w:val="20"/>
          <w:szCs w:val="20"/>
          <w:lang w:val="en-CA"/>
        </w:rPr>
        <w:t xml:space="preserve"> where </w:t>
      </w:r>
      <w:r w:rsidR="002642AF" w:rsidRPr="009667E6">
        <w:rPr>
          <w:rFonts w:ascii="Calibri" w:hAnsi="Calibri"/>
          <w:sz w:val="20"/>
          <w:szCs w:val="20"/>
          <w:lang w:val="en-CA"/>
        </w:rPr>
        <w:t>annual</w:t>
      </w:r>
      <w:r w:rsidR="00753B60" w:rsidRPr="009667E6">
        <w:rPr>
          <w:rFonts w:ascii="Calibri" w:hAnsi="Calibri"/>
          <w:sz w:val="20"/>
          <w:szCs w:val="20"/>
          <w:lang w:val="en-CA"/>
        </w:rPr>
        <w:t xml:space="preserve"> monitoring is limited to mammals</w:t>
      </w:r>
      <w:r w:rsidR="00300692" w:rsidRPr="009667E6">
        <w:rPr>
          <w:rFonts w:ascii="Calibri" w:hAnsi="Calibri"/>
          <w:sz w:val="20"/>
          <w:szCs w:val="20"/>
          <w:lang w:val="en-CA"/>
        </w:rPr>
        <w:t xml:space="preserve"> targeted by hunting</w:t>
      </w:r>
      <w:r w:rsidRPr="009667E6">
        <w:rPr>
          <w:rFonts w:ascii="Calibri" w:hAnsi="Calibri"/>
          <w:sz w:val="20"/>
          <w:szCs w:val="20"/>
          <w:lang w:val="en-CA"/>
        </w:rPr>
        <w:t xml:space="preserve">. </w:t>
      </w:r>
      <w:r w:rsidR="008A2C50" w:rsidRPr="009667E6">
        <w:rPr>
          <w:rFonts w:ascii="Calibri" w:hAnsi="Calibri"/>
          <w:sz w:val="20"/>
          <w:szCs w:val="20"/>
          <w:lang w:val="en-CA"/>
        </w:rPr>
        <w:t xml:space="preserve">An inventory was conducted in 2014 in the </w:t>
      </w:r>
      <w:proofErr w:type="spellStart"/>
      <w:r w:rsidR="008A2C50" w:rsidRPr="009667E6">
        <w:rPr>
          <w:rFonts w:ascii="Calibri" w:hAnsi="Calibri"/>
          <w:sz w:val="20"/>
          <w:szCs w:val="20"/>
          <w:lang w:val="en-CA"/>
        </w:rPr>
        <w:t>Sissili</w:t>
      </w:r>
      <w:proofErr w:type="spellEnd"/>
      <w:r w:rsidR="008A2C50" w:rsidRPr="009667E6">
        <w:rPr>
          <w:rFonts w:ascii="Calibri" w:hAnsi="Calibri"/>
          <w:sz w:val="20"/>
          <w:szCs w:val="20"/>
          <w:lang w:val="en-CA"/>
        </w:rPr>
        <w:t xml:space="preserve"> FC and the PNKT financed by the </w:t>
      </w:r>
      <w:proofErr w:type="spellStart"/>
      <w:r w:rsidR="008A2C50" w:rsidRPr="009667E6">
        <w:rPr>
          <w:rFonts w:ascii="Calibri" w:hAnsi="Calibri"/>
          <w:sz w:val="20"/>
          <w:szCs w:val="20"/>
          <w:lang w:val="en-CA"/>
        </w:rPr>
        <w:t>Bolgatenga</w:t>
      </w:r>
      <w:proofErr w:type="spellEnd"/>
      <w:r w:rsidR="008A2C50" w:rsidRPr="009667E6">
        <w:rPr>
          <w:rFonts w:ascii="Calibri" w:hAnsi="Calibri"/>
          <w:sz w:val="20"/>
          <w:szCs w:val="20"/>
          <w:lang w:val="en-CA"/>
        </w:rPr>
        <w:t xml:space="preserve">-Ouagadougou Power Line Connection Project as part of a protocol with the National Electricity Company of Burkina Faso. </w:t>
      </w:r>
      <w:proofErr w:type="gramStart"/>
      <w:r w:rsidRPr="009667E6">
        <w:rPr>
          <w:rFonts w:ascii="Calibri" w:hAnsi="Calibri"/>
          <w:sz w:val="20"/>
          <w:szCs w:val="20"/>
          <w:lang w:val="en-CA"/>
        </w:rPr>
        <w:t>With the exception of</w:t>
      </w:r>
      <w:proofErr w:type="gramEnd"/>
      <w:r w:rsidRPr="009667E6">
        <w:rPr>
          <w:rFonts w:ascii="Calibri" w:hAnsi="Calibri"/>
          <w:sz w:val="20"/>
          <w:szCs w:val="20"/>
          <w:lang w:val="en-CA"/>
        </w:rPr>
        <w:t xml:space="preserve"> hunting organized by and benefiting private concessionaires, there is no integrated program to provide vision tourism opportunities in protected areas that can bring substantial benefits to local communities.</w:t>
      </w:r>
      <w:r w:rsidR="005928D6" w:rsidRPr="009667E6">
        <w:rPr>
          <w:rFonts w:ascii="Calibri" w:hAnsi="Calibri"/>
          <w:sz w:val="20"/>
          <w:szCs w:val="20"/>
          <w:lang w:val="en-CA"/>
        </w:rPr>
        <w:t xml:space="preserve"> </w:t>
      </w:r>
    </w:p>
    <w:p w14:paraId="33B09754" w14:textId="2F1B14FA"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The status of several peripheral areas of protected areas in the state still needs to be formalized (CAF, Buffer Zone, some ZOVICs and corridors) to be able to consolidate or renew their management.</w:t>
      </w:r>
    </w:p>
    <w:p w14:paraId="18AA3F4B" w14:textId="304BA860"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 xml:space="preserve">Although co-management has emerged as a necessity, based on the active participation of local authorities and NGOs to ensure the mobilization of actors at all levels, it is still not in place, neither the capacity nor the tools to supervise it. The co-management of PAs would partially offset the financial limitations for the management of certain staff such as </w:t>
      </w:r>
      <w:proofErr w:type="spellStart"/>
      <w:r w:rsidRPr="009667E6">
        <w:rPr>
          <w:rFonts w:ascii="Calibri" w:hAnsi="Calibri"/>
          <w:sz w:val="20"/>
          <w:szCs w:val="20"/>
          <w:lang w:val="en-CA"/>
        </w:rPr>
        <w:t>ecoguards</w:t>
      </w:r>
      <w:proofErr w:type="spellEnd"/>
      <w:r w:rsidRPr="009667E6">
        <w:rPr>
          <w:rFonts w:ascii="Calibri" w:hAnsi="Calibri"/>
          <w:sz w:val="20"/>
          <w:szCs w:val="20"/>
          <w:lang w:val="en-CA"/>
        </w:rPr>
        <w:t>.</w:t>
      </w:r>
    </w:p>
    <w:p w14:paraId="564AE88D" w14:textId="32E682FF"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 xml:space="preserve">The PNKT is surrounded by 70 villages for a total of 30,000 inhabitants. Between 1993 and 2007, the management of the park was entrusted to the national NGO NATURAMA and progress has been made in supporting the livelihoods of the community, which has reduced anthropogenic pressures on the park. However, since the management of the park returned to the government, financial and human resources are insufficient to operationalize proper management to maintain these gains. There is no management </w:t>
      </w:r>
      <w:proofErr w:type="gramStart"/>
      <w:r w:rsidRPr="009667E6">
        <w:rPr>
          <w:rFonts w:ascii="Calibri" w:hAnsi="Calibri"/>
          <w:sz w:val="20"/>
          <w:szCs w:val="20"/>
          <w:lang w:val="en-CA"/>
        </w:rPr>
        <w:t>unit</w:t>
      </w:r>
      <w:proofErr w:type="gramEnd"/>
      <w:r w:rsidRPr="009667E6">
        <w:rPr>
          <w:rFonts w:ascii="Calibri" w:hAnsi="Calibri"/>
          <w:sz w:val="20"/>
          <w:szCs w:val="20"/>
          <w:lang w:val="en-CA"/>
        </w:rPr>
        <w:t xml:space="preserve"> and the park management infrastructure is deteriorated. Forest rangers are poorly equipped, lack the logistical means to carry out their essential tasks of surveillance and biodiversity monitoring, have few training opportunities, and no performance reward system.</w:t>
      </w:r>
    </w:p>
    <w:p w14:paraId="12C84DEE" w14:textId="60C7751F"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 xml:space="preserve">The establishment of two biological corridors covering 37,500 ha under the PAGEN project (Partnership for Improved Management of Natural Ecosystems - 2003-2007) resulted in an increase in wildlife populations and elephant movements between main PAs. </w:t>
      </w:r>
      <w:r w:rsidRPr="009667E6">
        <w:rPr>
          <w:rFonts w:ascii="Calibri" w:hAnsi="Calibri"/>
          <w:sz w:val="20"/>
          <w:szCs w:val="20"/>
          <w:lang w:val="en-CA"/>
        </w:rPr>
        <w:lastRenderedPageBreak/>
        <w:t>However, after the end of the project, surveillance decreased, and the situation started to reverse. Pastoralists have invaded the corridors, poaching has resumed, and bushfires have become more common, exerting pressure on wildlife attempting to use these corridors. It is urgent to formalize the statutes of the corridors to enable forest and surveillance agents to conduct their missions, to establish a permanent governance and co-management structure for corridors involving local authorities and local NGOs and associations, to develop co-management plans including zoning plans and to integrate these in the business plan for the complex of PAs, as well as a restoration plan for targeted habitat improvements with the full participation of community members.</w:t>
      </w:r>
    </w:p>
    <w:p w14:paraId="29625BBC" w14:textId="11A8D6A8"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At the same time, the government needs to develop and implement an effective elephant conservation plan for the entire PONASI landscape, in collaboration with local communities and with Ghanaian authorities. Transboundary agreements between Ghana and Burkina Faso to ensure the protection of elephant populations have never been implemented. At the same time, the movements of elephants within the PONASI landscape and in adjacent areas are not clearly understood, which hampers the creation of an additional corridor to ensure the connection of elephant corridors outside the PONASI landscape.</w:t>
      </w:r>
    </w:p>
    <w:p w14:paraId="3D65FE95" w14:textId="45FE32D1" w:rsidR="00302BFE" w:rsidRPr="009667E6" w:rsidRDefault="00302BFE" w:rsidP="00302BFE">
      <w:pPr>
        <w:pStyle w:val="Paragraphedeliste"/>
        <w:tabs>
          <w:tab w:val="left" w:pos="284"/>
        </w:tabs>
        <w:spacing w:before="120" w:after="120"/>
        <w:ind w:left="0"/>
        <w:jc w:val="both"/>
        <w:rPr>
          <w:rFonts w:ascii="Calibri" w:hAnsi="Calibri"/>
          <w:i/>
          <w:color w:val="4472C4"/>
          <w:sz w:val="20"/>
          <w:szCs w:val="20"/>
          <w:lang w:val="en-CA"/>
        </w:rPr>
      </w:pPr>
      <w:r w:rsidRPr="009667E6">
        <w:rPr>
          <w:rFonts w:ascii="Calibri" w:hAnsi="Calibri"/>
          <w:i/>
          <w:color w:val="4472C4"/>
          <w:sz w:val="20"/>
          <w:szCs w:val="20"/>
          <w:lang w:val="en-CA"/>
        </w:rPr>
        <w:t>Barrier # 3. Lack of incentives for the conservation and sustainable management of land and natural resources for stakeholders, including local communities, and insufficient capacity to sustainably manage resources and develop adequate incentives</w:t>
      </w:r>
    </w:p>
    <w:p w14:paraId="0CE47851" w14:textId="76A19C52"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Forest management worksites (CAFs) in the PONASI landscape are areas that are managed by communities in accordance with the principle of public participation in forest regulatory instruments. However, the capacity of communities to ensure sustainable management of land and natural resources is insufficient. First, sustainable land management is not well understood by communities. Although most planning and management tools (zoning, divisions, rules, etc.) have been established for a long time (in the years 1985), it is necessary to closely supervise communities to obtain their acceptance, and to provide up-to-date and practical measures, such as simplified zoning plans, enhanced hunting management measures and agreed management measures for conflicts between wildlife and livestock herds. Analysis of the evolution of CAFs over the last 20 to 30 years, including two CAFs in the PONASI area, shows that resources are better managed when the CAF is established on a state-owned forest and benefits from more rigorous monitoring of technical services. However, management practices in the CAF established in forests managed by communities fail to prevent a very significant degradation of forest resources to the point of questioning the viability of the development and management model established in Burkina Faso (PIF, 2018).</w:t>
      </w:r>
    </w:p>
    <w:p w14:paraId="33E87B44" w14:textId="1BF913C7"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 xml:space="preserve">Current farming practices are not sustainable. Land grabbing by private individuals, accelerated clearing for agricultural, </w:t>
      </w:r>
      <w:proofErr w:type="gramStart"/>
      <w:r w:rsidRPr="009667E6">
        <w:rPr>
          <w:rFonts w:ascii="Calibri" w:hAnsi="Calibri"/>
          <w:sz w:val="20"/>
          <w:szCs w:val="20"/>
          <w:lang w:val="en-CA"/>
        </w:rPr>
        <w:t>logging</w:t>
      </w:r>
      <w:proofErr w:type="gramEnd"/>
      <w:r w:rsidRPr="009667E6">
        <w:rPr>
          <w:rFonts w:ascii="Calibri" w:hAnsi="Calibri"/>
          <w:sz w:val="20"/>
          <w:szCs w:val="20"/>
          <w:lang w:val="en-CA"/>
        </w:rPr>
        <w:t xml:space="preserve"> and charcoal production purposes, and excessive use of unregistered pesticides and herbicides provide very little or no benefit to the local populations while posing a serious threat to PAs in the PONASI landscape.</w:t>
      </w:r>
    </w:p>
    <w:p w14:paraId="78CDB03F" w14:textId="488AACFC"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 xml:space="preserve">The poor valorization of the natural resources in the ZOVICs in addition to the lack of enforcement of regulatory texts, particularly </w:t>
      </w:r>
      <w:proofErr w:type="gramStart"/>
      <w:r w:rsidRPr="009667E6">
        <w:rPr>
          <w:rFonts w:ascii="Calibri" w:hAnsi="Calibri"/>
          <w:sz w:val="20"/>
          <w:szCs w:val="20"/>
          <w:lang w:val="en-CA"/>
        </w:rPr>
        <w:t>with regard to</w:t>
      </w:r>
      <w:proofErr w:type="gramEnd"/>
      <w:r w:rsidRPr="009667E6">
        <w:rPr>
          <w:rFonts w:ascii="Calibri" w:hAnsi="Calibri"/>
          <w:sz w:val="20"/>
          <w:szCs w:val="20"/>
          <w:lang w:val="en-CA"/>
        </w:rPr>
        <w:t xml:space="preserve"> the distribution of revenues from the exploitation of ZOVICs and PAs, are increasingly affecting the motivation of the communities towards conservation. Indeed, revenue generated by the exploitation of wildlife</w:t>
      </w:r>
      <w:r w:rsidRPr="009667E6">
        <w:rPr>
          <w:szCs w:val="20"/>
          <w:lang w:val="en-CA"/>
        </w:rPr>
        <w:t xml:space="preserve"> </w:t>
      </w:r>
      <w:r w:rsidRPr="009667E6">
        <w:rPr>
          <w:rFonts w:ascii="Calibri" w:hAnsi="Calibri"/>
          <w:sz w:val="20"/>
          <w:szCs w:val="20"/>
          <w:lang w:val="en-CA"/>
        </w:rPr>
        <w:t xml:space="preserve">does not profit much to local communities. State revenues mainly consist of permits (hunting, capture, vision), licenses (exploitation, guide, shops, restaurants), taxes, tracking fees, certificates of origin, the sale of stamps and provincial revenues. Concessionaire revenue consists mainly of the sale of safaris to tourists. The revenues of the population come from the rental of village hunting areas (ZOVICs), village hunting permits, tracking fees (50% paid to trackers), management fees (50% donated to the Collective Interest Fund), and the sale of game meat. Revenue from annual management fees, operating licenses and hunting / fishing guide licenses collected from 1997 to 2006 for 20 private hunting areas varied from year to year without increasing significantly during the period. According to data from </w:t>
      </w:r>
      <w:r w:rsidR="005C4073" w:rsidRPr="009667E6">
        <w:rPr>
          <w:rFonts w:ascii="Calibri" w:hAnsi="Calibri"/>
          <w:sz w:val="20"/>
          <w:szCs w:val="20"/>
          <w:lang w:val="en-CA"/>
        </w:rPr>
        <w:t xml:space="preserve">the Wildlife and Hunting Direction </w:t>
      </w:r>
      <w:r w:rsidRPr="009667E6">
        <w:rPr>
          <w:rFonts w:ascii="Calibri" w:hAnsi="Calibri"/>
          <w:sz w:val="20"/>
          <w:szCs w:val="20"/>
          <w:lang w:val="en-CA"/>
        </w:rPr>
        <w:t>(</w:t>
      </w:r>
      <w:r w:rsidR="005C4073" w:rsidRPr="009667E6">
        <w:rPr>
          <w:rFonts w:ascii="Calibri" w:hAnsi="Calibri"/>
          <w:sz w:val="20"/>
          <w:szCs w:val="20"/>
          <w:lang w:val="en-CA"/>
        </w:rPr>
        <w:t xml:space="preserve">DFC, </w:t>
      </w:r>
      <w:r w:rsidRPr="009667E6">
        <w:rPr>
          <w:rFonts w:ascii="Calibri" w:hAnsi="Calibri"/>
          <w:sz w:val="20"/>
          <w:szCs w:val="20"/>
          <w:lang w:val="en-CA"/>
        </w:rPr>
        <w:t xml:space="preserve">2006), the cumulated revenues from 1997 to 2006 </w:t>
      </w:r>
      <w:r w:rsidR="005C4073" w:rsidRPr="009667E6">
        <w:rPr>
          <w:rFonts w:ascii="Calibri" w:hAnsi="Calibri"/>
          <w:sz w:val="20"/>
          <w:szCs w:val="20"/>
          <w:lang w:val="en-CA"/>
        </w:rPr>
        <w:t>we</w:t>
      </w:r>
      <w:r w:rsidRPr="009667E6">
        <w:rPr>
          <w:rFonts w:ascii="Calibri" w:hAnsi="Calibri"/>
          <w:sz w:val="20"/>
          <w:szCs w:val="20"/>
          <w:lang w:val="en-CA"/>
        </w:rPr>
        <w:t>re unevenly distributed, with 75% accruing to private concessionaires, 22% to the State and only 3% to the population.</w:t>
      </w:r>
    </w:p>
    <w:p w14:paraId="05EF6B35" w14:textId="10C99D7E"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Compared to other land uses, communities derive very little revenue from protected areas: one (1) ha of food crops provides an annual income of about US$ 1,100 (650,000 CFA</w:t>
      </w:r>
      <w:r w:rsidR="005E13EB" w:rsidRPr="009667E6">
        <w:rPr>
          <w:rFonts w:ascii="Calibri" w:hAnsi="Calibri"/>
          <w:sz w:val="20"/>
          <w:szCs w:val="20"/>
          <w:lang w:val="en-CA"/>
        </w:rPr>
        <w:t xml:space="preserve"> francs</w:t>
      </w:r>
      <w:r w:rsidRPr="009667E6">
        <w:rPr>
          <w:rFonts w:ascii="Calibri" w:hAnsi="Calibri"/>
          <w:sz w:val="20"/>
          <w:szCs w:val="20"/>
          <w:lang w:val="en-CA"/>
        </w:rPr>
        <w:t xml:space="preserve">) to a household, while thousands of ha for fauna may yield about US$ 600 (350,000 </w:t>
      </w:r>
      <w:r w:rsidR="005E13EB" w:rsidRPr="009667E6">
        <w:rPr>
          <w:rFonts w:ascii="Calibri" w:hAnsi="Calibri"/>
          <w:sz w:val="20"/>
          <w:szCs w:val="20"/>
          <w:lang w:val="en-CA"/>
        </w:rPr>
        <w:t>CFA francs</w:t>
      </w:r>
      <w:r w:rsidRPr="009667E6">
        <w:rPr>
          <w:rFonts w:ascii="Calibri" w:hAnsi="Calibri"/>
          <w:sz w:val="20"/>
          <w:szCs w:val="20"/>
          <w:lang w:val="en-CA"/>
        </w:rPr>
        <w:t xml:space="preserve">) to the entire community. The Order No. 96-022/MEE/MICA/MEF on the setting of taxes, </w:t>
      </w:r>
      <w:proofErr w:type="gramStart"/>
      <w:r w:rsidRPr="009667E6">
        <w:rPr>
          <w:rFonts w:ascii="Calibri" w:hAnsi="Calibri"/>
          <w:sz w:val="20"/>
          <w:szCs w:val="20"/>
          <w:lang w:val="en-CA"/>
        </w:rPr>
        <w:t>royalties</w:t>
      </w:r>
      <w:proofErr w:type="gramEnd"/>
      <w:r w:rsidRPr="009667E6">
        <w:rPr>
          <w:rFonts w:ascii="Calibri" w:hAnsi="Calibri"/>
          <w:sz w:val="20"/>
          <w:szCs w:val="20"/>
          <w:lang w:val="en-CA"/>
        </w:rPr>
        <w:t xml:space="preserve"> and titles for the exploitation of wildlife in Burkina Faso is the legal framework for the sharing of royalties from hunting in Burkina Faso. Article 2 of this order fixes the annual concession management fee by type of protected area and Article 3 sets the distribution of the annual management fees that the concessionaire is required to pay to the State at 50% for village wildlife management committees. This tax is the only one that could provide direct benefits related to the management of protected areas to local communities </w:t>
      </w:r>
      <w:proofErr w:type="gramStart"/>
      <w:r w:rsidRPr="009667E6">
        <w:rPr>
          <w:rFonts w:ascii="Calibri" w:hAnsi="Calibri"/>
          <w:sz w:val="20"/>
          <w:szCs w:val="20"/>
          <w:lang w:val="en-CA"/>
        </w:rPr>
        <w:t>but in reality, it</w:t>
      </w:r>
      <w:proofErr w:type="gramEnd"/>
      <w:r w:rsidRPr="009667E6">
        <w:rPr>
          <w:rFonts w:ascii="Calibri" w:hAnsi="Calibri"/>
          <w:sz w:val="20"/>
          <w:szCs w:val="20"/>
          <w:lang w:val="en-CA"/>
        </w:rPr>
        <w:t xml:space="preserve"> is not paid to the village committees in spite of planned arrangements. Currently, there is </w:t>
      </w:r>
      <w:r w:rsidR="005C4073" w:rsidRPr="009667E6">
        <w:rPr>
          <w:rFonts w:ascii="Calibri" w:hAnsi="Calibri"/>
          <w:sz w:val="20"/>
          <w:szCs w:val="20"/>
          <w:lang w:val="en-CA"/>
        </w:rPr>
        <w:t>little</w:t>
      </w:r>
      <w:r w:rsidRPr="009667E6">
        <w:rPr>
          <w:rFonts w:ascii="Calibri" w:hAnsi="Calibri"/>
          <w:sz w:val="20"/>
          <w:szCs w:val="20"/>
          <w:lang w:val="en-CA"/>
        </w:rPr>
        <w:t xml:space="preserve"> incentive for communities to conserve and apply sustainable land and resource management practices. Income-generating activities related to protected areas, such as tourism, are lacking. Community training and viable partnerships with the private sector are needed to create alternative livelihoods.</w:t>
      </w:r>
    </w:p>
    <w:p w14:paraId="4CF08FB8" w14:textId="184B026B"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There is a need to highlight other ecosystem goods and services that benefit local communities as well as the value of conserving biodiversity as an asset for the development of income-generating activities, including sustainable value chains based on ecosystem goods and services and tourism activities. The link between biodiversity conservation, improved management of land and resources within protected areas and other landscape units, and improvement of their living conditions must be tangible and clearly perceived by communities, to encourage them to better protect resources in landscapes.</w:t>
      </w:r>
    </w:p>
    <w:p w14:paraId="43C659EA" w14:textId="294FABD3" w:rsidR="00302BFE" w:rsidRPr="009667E6" w:rsidRDefault="00302BFE" w:rsidP="00302BFE">
      <w:pPr>
        <w:pStyle w:val="Paragraphedeliste"/>
        <w:tabs>
          <w:tab w:val="left" w:pos="284"/>
        </w:tabs>
        <w:spacing w:before="120" w:after="120"/>
        <w:ind w:left="0"/>
        <w:jc w:val="both"/>
        <w:rPr>
          <w:rFonts w:ascii="Calibri" w:hAnsi="Calibri"/>
          <w:i/>
          <w:color w:val="4472C4"/>
          <w:sz w:val="20"/>
          <w:szCs w:val="20"/>
          <w:lang w:val="en-CA"/>
        </w:rPr>
      </w:pPr>
      <w:r w:rsidRPr="009667E6">
        <w:rPr>
          <w:rFonts w:ascii="Calibri" w:hAnsi="Calibri"/>
          <w:i/>
          <w:color w:val="4472C4"/>
          <w:sz w:val="20"/>
          <w:szCs w:val="20"/>
          <w:lang w:val="en-CA"/>
        </w:rPr>
        <w:lastRenderedPageBreak/>
        <w:t>Barrier # 4. Lack of adequate knowledge management and gender mainstreaming</w:t>
      </w:r>
    </w:p>
    <w:p w14:paraId="2B743835" w14:textId="4FC1FE7B"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 xml:space="preserve">The unreliability of the data and the lack of data collection, storage and sharing constitute a major obstacle to the establishment of adequate scientific monitoring of environmental threats in Burkina Faso. In addition, the minimum amount of information available poses challenges in sharing and scaling up successes and lessons learned from the many efforts of international, </w:t>
      </w:r>
      <w:proofErr w:type="gramStart"/>
      <w:r w:rsidRPr="009667E6">
        <w:rPr>
          <w:rFonts w:ascii="Calibri" w:hAnsi="Calibri"/>
          <w:sz w:val="20"/>
          <w:szCs w:val="20"/>
          <w:lang w:val="en-CA"/>
        </w:rPr>
        <w:t>national</w:t>
      </w:r>
      <w:proofErr w:type="gramEnd"/>
      <w:r w:rsidRPr="009667E6">
        <w:rPr>
          <w:rFonts w:ascii="Calibri" w:hAnsi="Calibri"/>
          <w:sz w:val="20"/>
          <w:szCs w:val="20"/>
          <w:lang w:val="en-CA"/>
        </w:rPr>
        <w:t xml:space="preserve"> and local actors in the environmental and natural resource management sectors across the country. Building capacity and sharing more reliable data is essential for moving towards better environmental governance and management.</w:t>
      </w:r>
    </w:p>
    <w:p w14:paraId="249D06B2" w14:textId="14FB4B18"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Insufficient understanding and documentation of the concept of gender hinders its proper consideration in development projects and programs. Most of the available data and statistics are not disaggregated by gender, so it is difficult to take this dimension into account in national development policies and programs and in governance systems. Women are indeed underrepresented in decision-making bodies in farmers' organizations (when mixed) and occupy mostly minor posts.</w:t>
      </w:r>
    </w:p>
    <w:p w14:paraId="3716B268" w14:textId="2CB717DA"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eastAsia="Calibri" w:hAnsi="Calibri" w:cs="Calibri"/>
          <w:i/>
          <w:noProof/>
          <w:color w:val="4472C4"/>
          <w:sz w:val="20"/>
          <w:szCs w:val="20"/>
          <w:lang w:val="en-CA" w:eastAsia="fr-CA"/>
        </w:rPr>
        <w:t xml:space="preserve">Consistency with national priorities. </w:t>
      </w:r>
      <w:r w:rsidRPr="009667E6">
        <w:rPr>
          <w:rFonts w:ascii="Calibri" w:hAnsi="Calibri"/>
          <w:sz w:val="20"/>
          <w:szCs w:val="20"/>
          <w:lang w:val="en-CA"/>
        </w:rPr>
        <w:t xml:space="preserve">Burkina Faso has developed and adopted a national strategy for biological diversity the period 2001 to 2025 and five-year action plans, the most recent one covering the period 2011-2015. The strategy/action plan is being revised to incorporate the Aichi Biodiversity Targets. The project is especially relevant to numerous target results identified in the action plan 2011-2015 and contributes to implement them, namely the following ones: Under the conservation sub-objective, Result 1.1 - improved involvement of local populations in the conservation and sustainable use of natural resources, especially that of women as main users; Result 1.6 - improved management of conservation areas; Result 1.7 - boundaries of conservation areas demarcated; Result 1.9 – wildlife rehabilitated; Result 1.10 - strengthened land use planning process; and under the sustainable use sub-objective, Result 2.1 involvement of populations in the management of biological resources promoted; Result 2.2 – enhanced value of biological resources; Result 2.4 – strengthened agroforestry and </w:t>
      </w:r>
      <w:proofErr w:type="spellStart"/>
      <w:r w:rsidRPr="009667E6">
        <w:rPr>
          <w:rFonts w:ascii="Calibri" w:hAnsi="Calibri"/>
          <w:sz w:val="20"/>
          <w:szCs w:val="20"/>
          <w:lang w:val="en-CA"/>
        </w:rPr>
        <w:t>agro</w:t>
      </w:r>
      <w:proofErr w:type="spellEnd"/>
      <w:r w:rsidRPr="009667E6">
        <w:rPr>
          <w:rFonts w:ascii="Calibri" w:hAnsi="Calibri"/>
          <w:sz w:val="20"/>
          <w:szCs w:val="20"/>
          <w:lang w:val="en-CA"/>
        </w:rPr>
        <w:t>-</w:t>
      </w:r>
      <w:proofErr w:type="spellStart"/>
      <w:r w:rsidRPr="009667E6">
        <w:rPr>
          <w:rFonts w:ascii="Calibri" w:hAnsi="Calibri"/>
          <w:sz w:val="20"/>
          <w:szCs w:val="20"/>
          <w:lang w:val="en-CA"/>
        </w:rPr>
        <w:t>silvo</w:t>
      </w:r>
      <w:proofErr w:type="spellEnd"/>
      <w:r w:rsidRPr="009667E6">
        <w:rPr>
          <w:rFonts w:ascii="Calibri" w:hAnsi="Calibri"/>
          <w:sz w:val="20"/>
          <w:szCs w:val="20"/>
          <w:lang w:val="en-CA"/>
        </w:rPr>
        <w:t>-pastoralism practices; Result 2.5 – reduced harmful activities towards biological resources; Result 2.6 – improved knowledge of biological resources; Result 2.10 for the sustainable management of wildlife and protected areas; Result 2.14 - increased income from the valorization of biological resources. This project also supports Burkina Faso’s commitments to the RAMSAR Convention, by improving the management of the PONASI landscape which was designated as a RAMSAR site in November 2018.</w:t>
      </w:r>
    </w:p>
    <w:p w14:paraId="7CC70E27" w14:textId="490FA0F7"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 xml:space="preserve">The project contributes to the objectives of the "10-year Strategic Framework Plan to strengthen the implementation of the Convention to Combat Desertification (2008-2018)", related to the UNCCD, specifically the objectives to improve the state of degraded ecosystems, and generate global benefits from the effective implementation of the Convention in synergy with the other two major environmental conventions such as the conservation of land and biodiversity resources and carbon sequestration. The project contributes to implementing Burkina Faso’s National Action Programme (NAP 2000) under UNCCD, which highlighted that the country is facing massive desertification and actions such as better land use planning and climate smart agriculture </w:t>
      </w:r>
      <w:proofErr w:type="gramStart"/>
      <w:r w:rsidRPr="009667E6">
        <w:rPr>
          <w:rFonts w:ascii="Calibri" w:hAnsi="Calibri"/>
          <w:sz w:val="20"/>
          <w:szCs w:val="20"/>
          <w:lang w:val="en-CA"/>
        </w:rPr>
        <w:t>have to</w:t>
      </w:r>
      <w:proofErr w:type="gramEnd"/>
      <w:r w:rsidRPr="009667E6">
        <w:rPr>
          <w:rFonts w:ascii="Calibri" w:hAnsi="Calibri"/>
          <w:sz w:val="20"/>
          <w:szCs w:val="20"/>
          <w:lang w:val="en-CA"/>
        </w:rPr>
        <w:t xml:space="preserve"> be promoted. Outcome 1 is setting up a governance framework and tools to involve stakeholders from multiple sectors in the integrated planning, </w:t>
      </w:r>
      <w:proofErr w:type="gramStart"/>
      <w:r w:rsidRPr="009667E6">
        <w:rPr>
          <w:rFonts w:ascii="Calibri" w:hAnsi="Calibri"/>
          <w:sz w:val="20"/>
          <w:szCs w:val="20"/>
          <w:lang w:val="en-CA"/>
        </w:rPr>
        <w:t>implementation</w:t>
      </w:r>
      <w:proofErr w:type="gramEnd"/>
      <w:r w:rsidRPr="009667E6">
        <w:rPr>
          <w:rFonts w:ascii="Calibri" w:hAnsi="Calibri"/>
          <w:sz w:val="20"/>
          <w:szCs w:val="20"/>
          <w:lang w:val="en-CA"/>
        </w:rPr>
        <w:t xml:space="preserve"> and monitoring of the PONASI landscape management plan. Through this, the project will address an important challenge identified in the NAP in 2000, namely the compartmentalization of the multiple institutions involved in rural development which complicates the coordination of actions and causes confusion to local communities due to sometimes contradictory discourse among various actors. Through providing a unified framework and supporting local communities in the implementation of sustainable agricultural, rangeland and pastoral practices, this outcome and the outcome 3 are addressing most other national challenges related to lack of community participation, natural resource exploitation and management methods that are increasingly inadequate to the current environmental conditions, the anarchic occupation of space aggravated by large population migrations giving rise to numerous conflicts, disordered movements of livestock transhumance and the exacerbation of competition for the use of natural resources, which are sources of social tensions.</w:t>
      </w:r>
    </w:p>
    <w:p w14:paraId="7B76EE38" w14:textId="024723EB" w:rsidR="00302BFE" w:rsidRPr="009667E6"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667E6">
        <w:rPr>
          <w:rFonts w:ascii="Calibri" w:hAnsi="Calibri"/>
          <w:sz w:val="20"/>
          <w:szCs w:val="20"/>
          <w:lang w:val="en-CA"/>
        </w:rPr>
        <w:t xml:space="preserve">In </w:t>
      </w:r>
      <w:proofErr w:type="gramStart"/>
      <w:r w:rsidRPr="009667E6">
        <w:rPr>
          <w:rFonts w:ascii="Calibri" w:hAnsi="Calibri"/>
          <w:sz w:val="20"/>
          <w:szCs w:val="20"/>
          <w:lang w:val="en-CA"/>
        </w:rPr>
        <w:t>all of</w:t>
      </w:r>
      <w:proofErr w:type="gramEnd"/>
      <w:r w:rsidRPr="009667E6">
        <w:rPr>
          <w:rFonts w:ascii="Calibri" w:hAnsi="Calibri"/>
          <w:sz w:val="20"/>
          <w:szCs w:val="20"/>
          <w:lang w:val="en-CA"/>
        </w:rPr>
        <w:t xml:space="preserve"> its components, the project includes several actions that contribute to implementing the National Plan for Adaptation to Climate Change 2015 which objectives in the environment and natural resources sector include increasing the resilience of ecosystems, improving biodiversity conservation, strengthening ecological research and monitoring, and mitigating GHG emissions.</w:t>
      </w:r>
    </w:p>
    <w:p w14:paraId="451324BE" w14:textId="61AFE595" w:rsidR="00EF6D8E" w:rsidRPr="00D57400"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8609CD">
        <w:rPr>
          <w:rFonts w:ascii="Calibri" w:hAnsi="Calibri"/>
          <w:sz w:val="20"/>
          <w:szCs w:val="20"/>
          <w:lang w:val="en-CA"/>
        </w:rPr>
        <w:t xml:space="preserve">The project supports Burkina Faso's national plan for economic and social development for 2016-2020 (PNDES), the main planning document at the national level, which allows the implementation of priority actions based on the Burkina 2015 foresight document and </w:t>
      </w:r>
      <w:proofErr w:type="gramStart"/>
      <w:r w:rsidRPr="008609CD">
        <w:rPr>
          <w:rFonts w:ascii="Calibri" w:hAnsi="Calibri"/>
          <w:sz w:val="20"/>
          <w:szCs w:val="20"/>
          <w:lang w:val="en-CA"/>
        </w:rPr>
        <w:t>taking into account</w:t>
      </w:r>
      <w:proofErr w:type="gramEnd"/>
      <w:r w:rsidRPr="008609CD">
        <w:rPr>
          <w:rFonts w:ascii="Calibri" w:hAnsi="Calibri"/>
          <w:sz w:val="20"/>
          <w:szCs w:val="20"/>
          <w:lang w:val="en-CA"/>
        </w:rPr>
        <w:t xml:space="preserve"> the Sustainable Development Goals (SDGs). Through its interventions, the project will contribute more specifically to the following strategic objectives: SO 1.3: Strengthen decentralization and promote good local governance; SO 2.4: Promote decent work and social protection for all, especially for young people and women; SO 3.1: Sustainable development of a productive and resilient </w:t>
      </w:r>
      <w:proofErr w:type="spellStart"/>
      <w:r w:rsidRPr="008609CD">
        <w:rPr>
          <w:rFonts w:ascii="Calibri" w:hAnsi="Calibri"/>
          <w:sz w:val="20"/>
          <w:szCs w:val="20"/>
          <w:lang w:val="en-CA"/>
        </w:rPr>
        <w:t>agri</w:t>
      </w:r>
      <w:proofErr w:type="spellEnd"/>
      <w:r w:rsidRPr="008609CD">
        <w:rPr>
          <w:rFonts w:ascii="Calibri" w:hAnsi="Calibri"/>
          <w:sz w:val="20"/>
          <w:szCs w:val="20"/>
          <w:lang w:val="en-CA"/>
        </w:rPr>
        <w:t>-</w:t>
      </w:r>
      <w:proofErr w:type="spellStart"/>
      <w:r w:rsidRPr="008609CD">
        <w:rPr>
          <w:rFonts w:ascii="Calibri" w:hAnsi="Calibri"/>
          <w:sz w:val="20"/>
          <w:szCs w:val="20"/>
          <w:lang w:val="en-CA"/>
        </w:rPr>
        <w:t>silvo</w:t>
      </w:r>
      <w:proofErr w:type="spellEnd"/>
      <w:r w:rsidRPr="008609CD">
        <w:rPr>
          <w:rFonts w:ascii="Calibri" w:hAnsi="Calibri"/>
          <w:sz w:val="20"/>
          <w:szCs w:val="20"/>
          <w:lang w:val="en-CA"/>
        </w:rPr>
        <w:t>-pastoral, fauna and fisheries sector, more market-oriented and based on the principles of sustainable development; and SO 3.5: Reverse the trend of environmental degradation and ensure sustainable management of natural and environmental resources. The project is in line with the 2025 Vision which stresses the importance of climate risks to sustainable development and economic growth, outlining the linkages with natural resource management and ecosystem services</w:t>
      </w:r>
      <w:bookmarkStart w:id="10" w:name="_Toc9961790"/>
      <w:bookmarkStart w:id="11" w:name="_Toc207800911"/>
      <w:r w:rsidR="00D57400">
        <w:rPr>
          <w:rFonts w:ascii="Calibri" w:hAnsi="Calibri"/>
          <w:sz w:val="20"/>
          <w:szCs w:val="20"/>
          <w:lang w:val="en-CA"/>
        </w:rPr>
        <w:t xml:space="preserve">. </w:t>
      </w:r>
    </w:p>
    <w:p w14:paraId="6B88E4A0" w14:textId="5158571F" w:rsidR="00302BFE" w:rsidRPr="00D218B7" w:rsidRDefault="00302BFE" w:rsidP="00302BFE">
      <w:pPr>
        <w:pStyle w:val="Titre1"/>
        <w:spacing w:before="0" w:after="0"/>
        <w:jc w:val="left"/>
        <w:rPr>
          <w:rFonts w:ascii="Calibri" w:hAnsi="Calibri"/>
          <w:szCs w:val="28"/>
        </w:rPr>
      </w:pPr>
      <w:r w:rsidRPr="00D218B7">
        <w:rPr>
          <w:rFonts w:ascii="Calibri" w:hAnsi="Calibri"/>
          <w:szCs w:val="28"/>
        </w:rPr>
        <w:lastRenderedPageBreak/>
        <w:t>Strategy</w:t>
      </w:r>
      <w:bookmarkEnd w:id="10"/>
      <w:r w:rsidRPr="00D218B7">
        <w:rPr>
          <w:rFonts w:ascii="Calibri" w:hAnsi="Calibri"/>
          <w:szCs w:val="28"/>
        </w:rPr>
        <w:t xml:space="preserve"> </w:t>
      </w:r>
      <w:bookmarkEnd w:id="11"/>
    </w:p>
    <w:p w14:paraId="7DB7C4CF" w14:textId="093EDA9A" w:rsidR="00302BFE" w:rsidRPr="00C8239C"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F16DE5">
        <w:rPr>
          <w:rFonts w:ascii="Calibri" w:hAnsi="Calibri"/>
          <w:sz w:val="20"/>
          <w:szCs w:val="20"/>
          <w:lang w:val="en-CA"/>
        </w:rPr>
        <w:t>The long-term solution proposed in this project to address the drivers of biodiversity loss and land degradation is to adopt a landscape-scale management approach to ensure the sustainable management of the PONASI complex and its area of influence to ensure the preservation and integrity of the ecosystem services on which the livelihoods of local people depend</w:t>
      </w:r>
      <w:r w:rsidRPr="00C8239C">
        <w:rPr>
          <w:rFonts w:ascii="Calibri" w:hAnsi="Calibri"/>
          <w:sz w:val="20"/>
          <w:szCs w:val="20"/>
          <w:lang w:val="en-CA"/>
        </w:rPr>
        <w:t>.</w:t>
      </w:r>
      <w:r w:rsidR="005928D6" w:rsidRPr="00C8239C">
        <w:rPr>
          <w:rFonts w:ascii="Calibri" w:hAnsi="Calibri"/>
          <w:sz w:val="20"/>
          <w:szCs w:val="20"/>
          <w:lang w:val="en-CA"/>
        </w:rPr>
        <w:t xml:space="preserve"> </w:t>
      </w:r>
      <w:r w:rsidR="005928D6" w:rsidRPr="00A63E29">
        <w:rPr>
          <w:rFonts w:ascii="Calibri" w:hAnsi="Calibri"/>
          <w:sz w:val="20"/>
          <w:szCs w:val="20"/>
          <w:lang w:val="en-CA"/>
        </w:rPr>
        <w:t>It thereby contributes to a “building back better” strategy that emphas</w:t>
      </w:r>
      <w:r w:rsidR="009E5E39" w:rsidRPr="00A63E29">
        <w:rPr>
          <w:rFonts w:ascii="Calibri" w:hAnsi="Calibri"/>
          <w:sz w:val="20"/>
          <w:szCs w:val="20"/>
          <w:lang w:val="en-CA"/>
        </w:rPr>
        <w:t>iz</w:t>
      </w:r>
      <w:r w:rsidR="005928D6" w:rsidRPr="00A63E29">
        <w:rPr>
          <w:rFonts w:ascii="Calibri" w:hAnsi="Calibri"/>
          <w:sz w:val="20"/>
          <w:szCs w:val="20"/>
          <w:lang w:val="en-CA"/>
        </w:rPr>
        <w:t>es the conservation of natural resources and income generation from their sustainable use for the local population.</w:t>
      </w:r>
      <w:r w:rsidR="005928D6" w:rsidRPr="00C8239C">
        <w:rPr>
          <w:rFonts w:ascii="Calibri" w:hAnsi="Calibri"/>
          <w:sz w:val="20"/>
          <w:szCs w:val="20"/>
          <w:lang w:val="en-CA"/>
        </w:rPr>
        <w:t xml:space="preserve"> </w:t>
      </w:r>
    </w:p>
    <w:p w14:paraId="0E062E9D" w14:textId="77777777" w:rsidR="00302BFE" w:rsidRPr="00096979"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096979">
        <w:rPr>
          <w:rFonts w:ascii="Calibri" w:hAnsi="Calibri"/>
          <w:sz w:val="20"/>
          <w:szCs w:val="20"/>
          <w:lang w:val="en-CA"/>
        </w:rPr>
        <w:t xml:space="preserve">The PONASI landscape is a complex socio-ecological system with a mosaic of land uses and resources, management modes, involving multiple stakeholders with different and sometimes divergent objectives and perspectives. The Project Theory of Change is based on the premise that the adoption of a landscape approach for the participatory development of a land-use plan, involving all relevant stakeholders and using tools to enable shared decision-making on a design that optimizes environmental and socioeconomic benefits, will foster ownership of the management </w:t>
      </w:r>
      <w:proofErr w:type="gramStart"/>
      <w:r w:rsidRPr="00096979">
        <w:rPr>
          <w:rFonts w:ascii="Calibri" w:hAnsi="Calibri"/>
          <w:sz w:val="20"/>
          <w:szCs w:val="20"/>
          <w:lang w:val="en-CA"/>
        </w:rPr>
        <w:t>solutions</w:t>
      </w:r>
      <w:proofErr w:type="gramEnd"/>
      <w:r w:rsidRPr="00096979">
        <w:rPr>
          <w:rFonts w:ascii="Calibri" w:hAnsi="Calibri"/>
          <w:sz w:val="20"/>
          <w:szCs w:val="20"/>
          <w:lang w:val="en-CA"/>
        </w:rPr>
        <w:t xml:space="preserve"> and improve the conservation of biodiversity, land, and ecosystem services within PAs and surrounding landscape. It is expected that improved conservation of biodiversity and ecosystem services will generate enough benefits at all levels to ensure continuity and replication of this management approach.</w:t>
      </w:r>
    </w:p>
    <w:p w14:paraId="1E3708CA" w14:textId="77777777" w:rsidR="00302BFE" w:rsidRPr="00F16DE5"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F16DE5">
        <w:rPr>
          <w:rFonts w:ascii="Calibri" w:hAnsi="Calibri"/>
          <w:sz w:val="20"/>
          <w:szCs w:val="20"/>
          <w:lang w:val="en-CA"/>
        </w:rPr>
        <w:t xml:space="preserve">Sectoral approaches for different land-use activities have largely dominated the resource management implemented by the Government and its development partners. While making positive contributions for individual sectors, none of these approaches has reflected the multisectoral nature of the PONASI landscape which includes local communities whose livelihoods mostly depend on natural resources, smallholder farms, protected areas, hunting and tourism enterprises, and resource-based enterprises such as agriculture, pastoralism, </w:t>
      </w:r>
      <w:proofErr w:type="gramStart"/>
      <w:r w:rsidRPr="00F16DE5">
        <w:rPr>
          <w:rFonts w:ascii="Calibri" w:hAnsi="Calibri"/>
          <w:sz w:val="20"/>
          <w:szCs w:val="20"/>
          <w:lang w:val="en-CA"/>
        </w:rPr>
        <w:t>forestry</w:t>
      </w:r>
      <w:proofErr w:type="gramEnd"/>
      <w:r w:rsidRPr="00F16DE5">
        <w:rPr>
          <w:rFonts w:ascii="Calibri" w:hAnsi="Calibri"/>
          <w:sz w:val="20"/>
          <w:szCs w:val="20"/>
          <w:lang w:val="en-CA"/>
        </w:rPr>
        <w:t xml:space="preserve"> and mining. While each of these sectors imposes a set of pressures on the environment, working on just one of the stressors at a time is not enough. Tackling all stressors jointly is necessary to be able to generate multiple global and local benefits to support the sustainability cycle.</w:t>
      </w:r>
    </w:p>
    <w:p w14:paraId="4058F95C" w14:textId="77777777" w:rsidR="00302BFE" w:rsidRPr="00F16DE5"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F16DE5">
        <w:rPr>
          <w:rFonts w:ascii="Calibri" w:hAnsi="Calibri"/>
          <w:sz w:val="20"/>
          <w:szCs w:val="20"/>
          <w:lang w:val="en-CA"/>
        </w:rPr>
        <w:t>The landscape approach tries to capture this complexity by viewing the landscape as a multifunctional mosaic of land and resource uses. The landscape scale provides a scale for management that allows for an overall view of the competing land-use interests and an understanding of necessary trade-offs within the system to better achieve multiple objectives connecting the local to the global</w:t>
      </w:r>
      <w:r w:rsidRPr="00F16DE5">
        <w:rPr>
          <w:rStyle w:val="Appelnotedebasdep"/>
          <w:rFonts w:ascii="Calibri" w:hAnsi="Calibri"/>
          <w:sz w:val="20"/>
          <w:szCs w:val="20"/>
          <w:lang w:val="en-CA"/>
        </w:rPr>
        <w:footnoteReference w:id="41"/>
      </w:r>
      <w:r w:rsidRPr="00F16DE5">
        <w:rPr>
          <w:rFonts w:ascii="Calibri" w:hAnsi="Calibri"/>
          <w:sz w:val="20"/>
          <w:szCs w:val="20"/>
          <w:lang w:val="en-CA"/>
        </w:rPr>
        <w:t xml:space="preserve">. The approach put forward by the project will allow to move away from single-institution, siloed </w:t>
      </w:r>
      <w:proofErr w:type="gramStart"/>
      <w:r w:rsidRPr="00F16DE5">
        <w:rPr>
          <w:rFonts w:ascii="Calibri" w:hAnsi="Calibri"/>
          <w:sz w:val="20"/>
          <w:szCs w:val="20"/>
          <w:lang w:val="en-CA"/>
        </w:rPr>
        <w:t>assessment</w:t>
      </w:r>
      <w:proofErr w:type="gramEnd"/>
      <w:r w:rsidRPr="00F16DE5">
        <w:rPr>
          <w:rFonts w:ascii="Calibri" w:hAnsi="Calibri"/>
          <w:sz w:val="20"/>
          <w:szCs w:val="20"/>
          <w:lang w:val="en-CA"/>
        </w:rPr>
        <w:t xml:space="preserve"> and planning to stakeholder-driven, participatory design, leading to collaborative decision-making.</w:t>
      </w:r>
    </w:p>
    <w:p w14:paraId="30631F4E" w14:textId="77777777" w:rsidR="00302BFE" w:rsidRPr="00F16DE5"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F16DE5">
        <w:rPr>
          <w:rFonts w:ascii="Calibri" w:hAnsi="Calibri"/>
          <w:sz w:val="20"/>
          <w:szCs w:val="20"/>
          <w:lang w:val="en-CA"/>
        </w:rPr>
        <w:t xml:space="preserve">The landscape approach allows multiple objectives to be considered simultaneously by considering how the interconnected components of the landscape can be managed to generate multiple benefits and balance various economic, </w:t>
      </w:r>
      <w:proofErr w:type="gramStart"/>
      <w:r w:rsidRPr="00F16DE5">
        <w:rPr>
          <w:rFonts w:ascii="Calibri" w:hAnsi="Calibri"/>
          <w:sz w:val="20"/>
          <w:szCs w:val="20"/>
          <w:lang w:val="en-CA"/>
        </w:rPr>
        <w:t>social</w:t>
      </w:r>
      <w:proofErr w:type="gramEnd"/>
      <w:r w:rsidRPr="00F16DE5">
        <w:rPr>
          <w:rFonts w:ascii="Calibri" w:hAnsi="Calibri"/>
          <w:sz w:val="20"/>
          <w:szCs w:val="20"/>
          <w:lang w:val="en-CA"/>
        </w:rPr>
        <w:t xml:space="preserve"> and environmental concerns. The participatory approach at the landscape scale is increasingly recognized as being appropriate to reconcile the many interests of people with different livelihoods, those of the agricultural, forestry, pastoral, mining and tourism sectors, and the global needs to conserve biodiversity and land resources; ecosystem services; and increase carbon sequestration and adaptation to climate change. With this approach, all local planning to improve local communities' living conditions should contribute to building a "whole" that generates benefits greater than the sum of the local benefits.</w:t>
      </w:r>
    </w:p>
    <w:p w14:paraId="65B4C7DA" w14:textId="77777777" w:rsidR="00302BFE" w:rsidRPr="00F16DE5"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F16DE5">
        <w:rPr>
          <w:rFonts w:ascii="Calibri" w:hAnsi="Calibri"/>
          <w:sz w:val="20"/>
          <w:szCs w:val="20"/>
          <w:lang w:val="en-CA"/>
        </w:rPr>
        <w:t xml:space="preserve">The effectiveness and sustainability of this management approach rests on the effective mobilization of financial resources to enable the implementation of the Master Plan, from governments at all levels, (national, regional and commune), from development partners, and especially on the fair and equitable sharing of the benefits generated through the various elements of the landscape among all stakeholders, including local communities. Indeed, although the exploitation of </w:t>
      </w:r>
      <w:r>
        <w:rPr>
          <w:rFonts w:ascii="Calibri" w:hAnsi="Calibri"/>
          <w:sz w:val="20"/>
          <w:szCs w:val="20"/>
          <w:lang w:val="en-CA"/>
        </w:rPr>
        <w:t>forest management worksites</w:t>
      </w:r>
      <w:r w:rsidRPr="00F16DE5">
        <w:rPr>
          <w:rFonts w:ascii="Calibri" w:hAnsi="Calibri"/>
          <w:sz w:val="20"/>
          <w:szCs w:val="20"/>
          <w:lang w:val="en-CA"/>
        </w:rPr>
        <w:t xml:space="preserve"> and hunting areas generates significant revenues, it has been shown that </w:t>
      </w:r>
      <w:proofErr w:type="gramStart"/>
      <w:r w:rsidRPr="00F16DE5">
        <w:rPr>
          <w:rFonts w:ascii="Calibri" w:hAnsi="Calibri"/>
          <w:sz w:val="20"/>
          <w:szCs w:val="20"/>
          <w:lang w:val="en-CA"/>
        </w:rPr>
        <w:t>the majority of</w:t>
      </w:r>
      <w:proofErr w:type="gramEnd"/>
      <w:r w:rsidRPr="00F16DE5">
        <w:rPr>
          <w:rFonts w:ascii="Calibri" w:hAnsi="Calibri"/>
          <w:sz w:val="20"/>
          <w:szCs w:val="20"/>
          <w:lang w:val="en-CA"/>
        </w:rPr>
        <w:t xml:space="preserve"> the profits accrue to transporters, hunting concessionaires and the State and that the share of the profits communities is very low, or even nil, even when it is provided for in agreements such as the case of ZOVICs.</w:t>
      </w:r>
    </w:p>
    <w:p w14:paraId="6363F233" w14:textId="12ECDE6A" w:rsidR="00302BFE" w:rsidRPr="0099310D"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F16DE5">
        <w:rPr>
          <w:rFonts w:ascii="Calibri" w:hAnsi="Calibri"/>
          <w:sz w:val="20"/>
          <w:szCs w:val="20"/>
          <w:lang w:val="en-CA"/>
        </w:rPr>
        <w:t xml:space="preserve">Greater involvement of local communities and equity of revenue and benefit sharing from biodiversity conservation and sustainable management of natural resources and ecosystem services will be cross-cutting elements of interventions under each component. Participatory </w:t>
      </w:r>
      <w:r w:rsidRPr="0099310D">
        <w:rPr>
          <w:rFonts w:ascii="Calibri" w:hAnsi="Calibri"/>
          <w:sz w:val="20"/>
          <w:szCs w:val="20"/>
          <w:lang w:val="en-CA"/>
        </w:rPr>
        <w:t xml:space="preserve">processes involving local users, technical </w:t>
      </w:r>
      <w:proofErr w:type="gramStart"/>
      <w:r w:rsidRPr="0099310D">
        <w:rPr>
          <w:rFonts w:ascii="Calibri" w:hAnsi="Calibri"/>
          <w:sz w:val="20"/>
          <w:szCs w:val="20"/>
          <w:lang w:val="en-CA"/>
        </w:rPr>
        <w:t>services</w:t>
      </w:r>
      <w:proofErr w:type="gramEnd"/>
      <w:r w:rsidRPr="0099310D">
        <w:rPr>
          <w:rFonts w:ascii="Calibri" w:hAnsi="Calibri"/>
          <w:sz w:val="20"/>
          <w:szCs w:val="20"/>
          <w:lang w:val="en-CA"/>
        </w:rPr>
        <w:t xml:space="preserve"> and authorities at all levels, are key for assessments, negotiations, decision-making, implementation, monitoring and evaluations, as they all need to change their perceptions and develop new knowledge in order to adopt innovative and improved practices and to allocate adequate resources to support their implementation. Land users will only take action to protect or invest into their land and resources if they perceive a threat to its productivity or are aware of the broader economic and environmental costs of their degradation.</w:t>
      </w:r>
      <w:r w:rsidR="00F545DC" w:rsidRPr="0099310D">
        <w:rPr>
          <w:rFonts w:ascii="Calibri" w:hAnsi="Calibri"/>
          <w:sz w:val="20"/>
          <w:szCs w:val="20"/>
          <w:lang w:val="en-CA"/>
        </w:rPr>
        <w:t xml:space="preserve"> </w:t>
      </w:r>
      <w:r w:rsidR="00046D08" w:rsidRPr="0099310D">
        <w:rPr>
          <w:rFonts w:asciiTheme="minorHAnsi" w:hAnsiTheme="minorHAnsi"/>
          <w:sz w:val="20"/>
          <w:szCs w:val="20"/>
          <w:lang w:val="en-CA"/>
        </w:rPr>
        <w:t xml:space="preserve">All of this must fundamentally rely on the sustainability of natural resource uses by local communities, tourists, hunters, gatherers, </w:t>
      </w:r>
      <w:r w:rsidR="00B01DB9" w:rsidRPr="0099310D">
        <w:rPr>
          <w:rFonts w:asciiTheme="minorHAnsi" w:hAnsiTheme="minorHAnsi"/>
          <w:sz w:val="20"/>
          <w:szCs w:val="20"/>
          <w:lang w:val="en-CA"/>
        </w:rPr>
        <w:t>and lumberjacks</w:t>
      </w:r>
      <w:r w:rsidR="00046D08" w:rsidRPr="0099310D">
        <w:rPr>
          <w:rFonts w:asciiTheme="minorHAnsi" w:hAnsiTheme="minorHAnsi"/>
          <w:sz w:val="20"/>
          <w:szCs w:val="20"/>
          <w:lang w:val="en-CA"/>
        </w:rPr>
        <w:t xml:space="preserve"> and will involve strengthening or establishing monitoring systems to provide complete, rigorous and </w:t>
      </w:r>
      <w:proofErr w:type="gramStart"/>
      <w:r w:rsidR="00046D08" w:rsidRPr="0099310D">
        <w:rPr>
          <w:rFonts w:asciiTheme="minorHAnsi" w:hAnsiTheme="minorHAnsi"/>
          <w:sz w:val="20"/>
          <w:szCs w:val="20"/>
          <w:lang w:val="en-CA"/>
        </w:rPr>
        <w:t>long term</w:t>
      </w:r>
      <w:proofErr w:type="gramEnd"/>
      <w:r w:rsidR="00046D08" w:rsidRPr="0099310D">
        <w:rPr>
          <w:rFonts w:asciiTheme="minorHAnsi" w:hAnsiTheme="minorHAnsi"/>
          <w:sz w:val="20"/>
          <w:szCs w:val="20"/>
          <w:lang w:val="en-CA"/>
        </w:rPr>
        <w:t xml:space="preserve"> information required to support scientific assessments of wildlife and flora populations and </w:t>
      </w:r>
      <w:r w:rsidR="00C7795E" w:rsidRPr="0099310D">
        <w:rPr>
          <w:rFonts w:asciiTheme="minorHAnsi" w:hAnsiTheme="minorHAnsi"/>
          <w:sz w:val="20"/>
          <w:szCs w:val="20"/>
          <w:lang w:val="en-CA"/>
        </w:rPr>
        <w:t>their</w:t>
      </w:r>
      <w:r w:rsidR="00046D08" w:rsidRPr="0099310D">
        <w:rPr>
          <w:rFonts w:asciiTheme="minorHAnsi" w:hAnsiTheme="minorHAnsi"/>
          <w:sz w:val="20"/>
          <w:szCs w:val="20"/>
          <w:lang w:val="en-CA"/>
        </w:rPr>
        <w:t xml:space="preserve"> habitats</w:t>
      </w:r>
      <w:r w:rsidR="00B01DB9" w:rsidRPr="0099310D">
        <w:rPr>
          <w:rFonts w:asciiTheme="minorHAnsi" w:hAnsiTheme="minorHAnsi"/>
          <w:sz w:val="20"/>
          <w:szCs w:val="20"/>
          <w:lang w:val="en-CA"/>
        </w:rPr>
        <w:t>,</w:t>
      </w:r>
      <w:r w:rsidR="00046D08" w:rsidRPr="0099310D">
        <w:rPr>
          <w:rFonts w:asciiTheme="minorHAnsi" w:hAnsiTheme="minorHAnsi"/>
          <w:sz w:val="20"/>
          <w:szCs w:val="20"/>
          <w:lang w:val="en-CA"/>
        </w:rPr>
        <w:t xml:space="preserve"> </w:t>
      </w:r>
      <w:r w:rsidR="00C7795E" w:rsidRPr="0099310D">
        <w:rPr>
          <w:rFonts w:asciiTheme="minorHAnsi" w:hAnsiTheme="minorHAnsi"/>
          <w:sz w:val="20"/>
          <w:szCs w:val="20"/>
          <w:lang w:val="en-CA"/>
        </w:rPr>
        <w:t>and decision-making</w:t>
      </w:r>
      <w:r w:rsidR="00046D08" w:rsidRPr="0099310D">
        <w:rPr>
          <w:rFonts w:asciiTheme="minorHAnsi" w:hAnsiTheme="minorHAnsi"/>
          <w:sz w:val="20"/>
          <w:szCs w:val="20"/>
          <w:lang w:val="en-CA"/>
        </w:rPr>
        <w:t xml:space="preserve"> </w:t>
      </w:r>
      <w:r w:rsidR="00C7795E" w:rsidRPr="0099310D">
        <w:rPr>
          <w:rFonts w:asciiTheme="minorHAnsi" w:hAnsiTheme="minorHAnsi"/>
          <w:sz w:val="20"/>
          <w:szCs w:val="20"/>
          <w:lang w:val="en-CA"/>
        </w:rPr>
        <w:t xml:space="preserve">regarding their </w:t>
      </w:r>
      <w:r w:rsidR="00046D08" w:rsidRPr="0099310D">
        <w:rPr>
          <w:rFonts w:asciiTheme="minorHAnsi" w:hAnsiTheme="minorHAnsi"/>
          <w:sz w:val="20"/>
          <w:szCs w:val="20"/>
          <w:lang w:val="en-CA"/>
        </w:rPr>
        <w:t>sustainabl</w:t>
      </w:r>
      <w:r w:rsidR="00C7795E" w:rsidRPr="0099310D">
        <w:rPr>
          <w:rFonts w:asciiTheme="minorHAnsi" w:hAnsiTheme="minorHAnsi"/>
          <w:sz w:val="20"/>
          <w:szCs w:val="20"/>
          <w:lang w:val="en-CA"/>
        </w:rPr>
        <w:t>e</w:t>
      </w:r>
      <w:r w:rsidR="00046D08" w:rsidRPr="0099310D">
        <w:rPr>
          <w:rFonts w:asciiTheme="minorHAnsi" w:hAnsiTheme="minorHAnsi"/>
          <w:sz w:val="20"/>
          <w:szCs w:val="20"/>
          <w:lang w:val="en-CA"/>
        </w:rPr>
        <w:t xml:space="preserve"> use.</w:t>
      </w:r>
    </w:p>
    <w:p w14:paraId="07856105" w14:textId="22B040C6" w:rsidR="00CC58FD" w:rsidRPr="00BA023E"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9310D">
        <w:rPr>
          <w:rFonts w:ascii="Calibri" w:hAnsi="Calibri"/>
          <w:sz w:val="20"/>
          <w:szCs w:val="20"/>
          <w:lang w:val="en-CA"/>
        </w:rPr>
        <w:t xml:space="preserve">It is essential that the various land and resource management regimes within the landscape generate sufficient benefits at all levels for local communities to perceive tangible, short- and medium-term interests resulting from the adoption of improved and sustainable </w:t>
      </w:r>
      <w:r w:rsidRPr="0099310D">
        <w:rPr>
          <w:rFonts w:ascii="Calibri" w:hAnsi="Calibri"/>
          <w:sz w:val="20"/>
          <w:szCs w:val="20"/>
          <w:lang w:val="en-CA"/>
        </w:rPr>
        <w:lastRenderedPageBreak/>
        <w:t>practices, and for the communal and regional authorities to agree to allocate the necessary resources for the planning and implementation of management prescriptions as well as the technical staff required to supervise and monitor</w:t>
      </w:r>
      <w:r w:rsidRPr="00F16DE5">
        <w:rPr>
          <w:rFonts w:ascii="Calibri" w:hAnsi="Calibri"/>
          <w:sz w:val="20"/>
          <w:szCs w:val="20"/>
          <w:lang w:val="en-CA"/>
        </w:rPr>
        <w:t xml:space="preserve"> local actors in the implementation of management </w:t>
      </w:r>
      <w:proofErr w:type="spellStart"/>
      <w:r w:rsidRPr="00F16DE5">
        <w:rPr>
          <w:rFonts w:ascii="Calibri" w:hAnsi="Calibri"/>
          <w:sz w:val="20"/>
          <w:szCs w:val="20"/>
          <w:lang w:val="en-CA"/>
        </w:rPr>
        <w:t>plans.</w:t>
      </w:r>
      <w:r w:rsidRPr="00A63E29">
        <w:rPr>
          <w:rFonts w:ascii="Calibri" w:hAnsi="Calibri"/>
          <w:sz w:val="20"/>
          <w:szCs w:val="20"/>
          <w:lang w:val="en-CA"/>
        </w:rPr>
        <w:t>The</w:t>
      </w:r>
      <w:proofErr w:type="spellEnd"/>
      <w:r w:rsidRPr="00A63E29">
        <w:rPr>
          <w:rFonts w:ascii="Calibri" w:hAnsi="Calibri"/>
          <w:sz w:val="20"/>
          <w:szCs w:val="20"/>
          <w:lang w:val="en-CA"/>
        </w:rPr>
        <w:t xml:space="preserve"> project objective is to safeguard critical wildlife habitat, biodiversity and ecosystem services in the PONASI Protected Area complex </w:t>
      </w:r>
      <w:r w:rsidRPr="00BA023E">
        <w:rPr>
          <w:rFonts w:ascii="Calibri" w:hAnsi="Calibri"/>
          <w:sz w:val="20"/>
          <w:szCs w:val="20"/>
          <w:lang w:val="en-CA"/>
        </w:rPr>
        <w:t>through integrated landscape management, generating multiple benefits for sustainable development in the southern central Burkina Faso.</w:t>
      </w:r>
      <w:r w:rsidR="00CC58FD" w:rsidRPr="00BA023E">
        <w:rPr>
          <w:rFonts w:ascii="Calibri" w:hAnsi="Calibri"/>
          <w:sz w:val="20"/>
          <w:szCs w:val="20"/>
          <w:lang w:val="en-CA"/>
        </w:rPr>
        <w:t xml:space="preserve"> This overall objective is broken down into 4 specific objectives, corresponding to the project components; these are: i) SO 1: Strengthen the PONASI integrated landscape management framework; ii) SO 2: Strengthen the PONASI protected area system; iii) SO 3: Strengthen sustainable land and resource management and diversify livelihoods; iv) SO 4: Contribute to gender mainstreaming and knowledge and learning management</w:t>
      </w:r>
      <w:r w:rsidR="00C919AA" w:rsidRPr="00BA023E">
        <w:rPr>
          <w:rFonts w:ascii="Calibri" w:hAnsi="Calibri"/>
          <w:sz w:val="20"/>
          <w:szCs w:val="20"/>
          <w:lang w:val="en-CA"/>
        </w:rPr>
        <w:t>.</w:t>
      </w:r>
    </w:p>
    <w:p w14:paraId="0501303E" w14:textId="77777777" w:rsidR="00302BFE" w:rsidRPr="00F16DE5"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F16DE5">
        <w:rPr>
          <w:rFonts w:ascii="Calibri" w:hAnsi="Calibri"/>
          <w:color w:val="212721"/>
          <w:sz w:val="20"/>
          <w:szCs w:val="20"/>
          <w:shd w:val="clear" w:color="auto" w:fill="FFFFFF"/>
          <w:lang w:val="en-CA"/>
        </w:rPr>
        <w:t xml:space="preserve">This will be achieved through four interwoven outcomes: strengthened institutions and coordinated governance at landscape level, increased management effectiveness of protected areas, sustainable livelihoods in </w:t>
      </w:r>
      <w:proofErr w:type="spellStart"/>
      <w:r w:rsidRPr="00F16DE5">
        <w:rPr>
          <w:rFonts w:ascii="Calibri" w:hAnsi="Calibri"/>
          <w:color w:val="212721"/>
          <w:sz w:val="20"/>
          <w:szCs w:val="20"/>
          <w:shd w:val="clear" w:color="auto" w:fill="FFFFFF"/>
          <w:lang w:val="en-CA"/>
        </w:rPr>
        <w:t>agro</w:t>
      </w:r>
      <w:proofErr w:type="spellEnd"/>
      <w:r w:rsidRPr="00F16DE5">
        <w:rPr>
          <w:rFonts w:ascii="Calibri" w:hAnsi="Calibri"/>
          <w:color w:val="212721"/>
          <w:sz w:val="20"/>
          <w:szCs w:val="20"/>
          <w:shd w:val="clear" w:color="auto" w:fill="FFFFFF"/>
          <w:lang w:val="en-CA"/>
        </w:rPr>
        <w:t>-</w:t>
      </w:r>
      <w:proofErr w:type="spellStart"/>
      <w:r w:rsidRPr="00F16DE5">
        <w:rPr>
          <w:rFonts w:ascii="Calibri" w:hAnsi="Calibri"/>
          <w:color w:val="212721"/>
          <w:sz w:val="20"/>
          <w:szCs w:val="20"/>
          <w:shd w:val="clear" w:color="auto" w:fill="FFFFFF"/>
          <w:lang w:val="en-CA"/>
        </w:rPr>
        <w:t>sylvo</w:t>
      </w:r>
      <w:proofErr w:type="spellEnd"/>
      <w:r w:rsidRPr="00F16DE5">
        <w:rPr>
          <w:rFonts w:ascii="Calibri" w:hAnsi="Calibri"/>
          <w:color w:val="212721"/>
          <w:sz w:val="20"/>
          <w:szCs w:val="20"/>
          <w:shd w:val="clear" w:color="auto" w:fill="FFFFFF"/>
          <w:lang w:val="en-CA"/>
        </w:rPr>
        <w:t xml:space="preserve">-pastoral community areas, and mainstreamed gender and knowledge management. Each of these outcomes constitutes a core component of the PONASI project. </w:t>
      </w:r>
      <w:r w:rsidRPr="00F16DE5">
        <w:rPr>
          <w:rFonts w:ascii="Calibri" w:hAnsi="Calibri"/>
          <w:sz w:val="20"/>
          <w:szCs w:val="20"/>
          <w:lang w:val="en-CA"/>
        </w:rPr>
        <w:t>Within landscape units, the effectiveness of protected area management will be improved through improved management tools and capacity development, and land and resource management will be enhanced through the introduction of a series of sustainable land and resource management practices that will generate multiple environmental and socio-economic benefits within the terroirs at the periphery of protected areas.</w:t>
      </w:r>
    </w:p>
    <w:p w14:paraId="19A4654F" w14:textId="64676EF6" w:rsidR="00302BFE" w:rsidRPr="00F16DE5" w:rsidRDefault="00736B22"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BA023E">
        <w:rPr>
          <w:rFonts w:ascii="Calibri" w:hAnsi="Calibri"/>
          <w:b/>
          <w:sz w:val="20"/>
          <w:szCs w:val="20"/>
          <w:lang w:val="en-CA"/>
        </w:rPr>
        <w:t xml:space="preserve">Project </w:t>
      </w:r>
      <w:r w:rsidR="000876F5" w:rsidRPr="00BA023E">
        <w:rPr>
          <w:rFonts w:ascii="Calibri" w:hAnsi="Calibri"/>
          <w:b/>
          <w:sz w:val="20"/>
          <w:szCs w:val="20"/>
          <w:lang w:val="en-CA"/>
        </w:rPr>
        <w:t>Component 1 "Framework for Integrated Landscape Management of PONASI with sustainable funding for its operation:</w:t>
      </w:r>
      <w:r w:rsidR="000876F5" w:rsidRPr="000876F5">
        <w:rPr>
          <w:rFonts w:ascii="Calibri" w:hAnsi="Calibri"/>
          <w:b/>
          <w:sz w:val="20"/>
          <w:szCs w:val="20"/>
          <w:lang w:val="en-CA"/>
        </w:rPr>
        <w:t xml:space="preserve"> </w:t>
      </w:r>
      <w:r w:rsidR="00302BFE" w:rsidRPr="00F16DE5">
        <w:rPr>
          <w:rFonts w:ascii="Calibri" w:hAnsi="Calibri"/>
          <w:sz w:val="20"/>
          <w:szCs w:val="20"/>
          <w:lang w:val="en-CA"/>
        </w:rPr>
        <w:t xml:space="preserve"> aims to implement an integrated management at the scale of the PONASI landscape. To achieve this, the steps consist of i) assessing and analysing the development problems and set goals based on a shared understanding of the problems and a common vision of the desired future for the landscape area, ii) identifying appropriate solutions and land/resource use practices, taking into account trade-offs and synergies between solutions, as well as carbon capture potential, through an environmental land-use planning process, iii) integrating these solutions into a landscape management master plan to ensure protection of core wildlife habitats and ecosystem services, and iv) defining management prescriptions for the various land units within the landscape. These prescriptions will be determined in the framework of activities aimed at improving the management of protected areas and </w:t>
      </w:r>
      <w:proofErr w:type="spellStart"/>
      <w:r w:rsidR="00302BFE" w:rsidRPr="00F16DE5">
        <w:rPr>
          <w:rFonts w:ascii="Calibri" w:hAnsi="Calibri"/>
          <w:sz w:val="20"/>
          <w:szCs w:val="20"/>
          <w:lang w:val="en-CA"/>
        </w:rPr>
        <w:t>agro</w:t>
      </w:r>
      <w:proofErr w:type="spellEnd"/>
      <w:r w:rsidR="00302BFE" w:rsidRPr="00F16DE5">
        <w:rPr>
          <w:rFonts w:ascii="Calibri" w:hAnsi="Calibri"/>
          <w:sz w:val="20"/>
          <w:szCs w:val="20"/>
          <w:lang w:val="en-CA"/>
        </w:rPr>
        <w:t>-</w:t>
      </w:r>
      <w:proofErr w:type="spellStart"/>
      <w:r w:rsidR="00302BFE" w:rsidRPr="00F16DE5">
        <w:rPr>
          <w:rFonts w:ascii="Calibri" w:hAnsi="Calibri"/>
          <w:sz w:val="20"/>
          <w:szCs w:val="20"/>
          <w:lang w:val="en-CA"/>
        </w:rPr>
        <w:t>silvo</w:t>
      </w:r>
      <w:proofErr w:type="spellEnd"/>
      <w:r w:rsidR="00302BFE" w:rsidRPr="00F16DE5">
        <w:rPr>
          <w:rFonts w:ascii="Calibri" w:hAnsi="Calibri"/>
          <w:sz w:val="20"/>
          <w:szCs w:val="20"/>
          <w:lang w:val="en-CA"/>
        </w:rPr>
        <w:t>-pastoral lands in components 2 and 3.</w:t>
      </w:r>
    </w:p>
    <w:p w14:paraId="52CF56AC" w14:textId="126C4C76" w:rsidR="00302BFE" w:rsidRPr="00BA023E"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F16DE5">
        <w:rPr>
          <w:rFonts w:ascii="Calibri" w:hAnsi="Calibri"/>
          <w:sz w:val="20"/>
          <w:szCs w:val="20"/>
          <w:lang w:val="en-CA"/>
        </w:rPr>
        <w:t>A multi-stakeholder platform established through this component will lead the consultation process to develop common understanding and enable required negotiations and joint decision-making. Negotiations and the participation of representatives from all relevant stakeholders will be important to achieve sustainable goals and solutions that reflect a common vision of the desired destiny for the PONASI landscape. To foster ownership of solutions, these negotiations must be transparent, equitable and based on mutual trust, including the inclusion of local communities and their knowledge</w:t>
      </w:r>
      <w:r w:rsidR="007B058E" w:rsidRPr="00A63E29">
        <w:rPr>
          <w:rFonts w:ascii="Calibri" w:hAnsi="Calibri"/>
          <w:sz w:val="20"/>
          <w:szCs w:val="20"/>
          <w:lang w:val="en-CA"/>
        </w:rPr>
        <w:t xml:space="preserve">, while </w:t>
      </w:r>
      <w:proofErr w:type="gramStart"/>
      <w:r w:rsidR="007B058E" w:rsidRPr="00A63E29">
        <w:rPr>
          <w:rFonts w:ascii="Calibri" w:hAnsi="Calibri"/>
          <w:sz w:val="20"/>
          <w:szCs w:val="20"/>
          <w:lang w:val="en-CA"/>
        </w:rPr>
        <w:t>taking into account</w:t>
      </w:r>
      <w:proofErr w:type="gramEnd"/>
      <w:r w:rsidR="007B058E" w:rsidRPr="00A63E29">
        <w:rPr>
          <w:rFonts w:ascii="Calibri" w:hAnsi="Calibri"/>
          <w:sz w:val="20"/>
          <w:szCs w:val="20"/>
          <w:lang w:val="en-CA"/>
        </w:rPr>
        <w:t xml:space="preserve"> current restrictions </w:t>
      </w:r>
      <w:r w:rsidR="000A1B84" w:rsidRPr="00A63E29">
        <w:rPr>
          <w:rFonts w:ascii="Calibri" w:hAnsi="Calibri"/>
          <w:sz w:val="20"/>
          <w:szCs w:val="20"/>
          <w:lang w:val="en-CA"/>
        </w:rPr>
        <w:t xml:space="preserve">(such as limitations of the size of meetings currently to maximum 50 participants) </w:t>
      </w:r>
      <w:r w:rsidR="007B058E" w:rsidRPr="00A63E29">
        <w:rPr>
          <w:rFonts w:ascii="Calibri" w:hAnsi="Calibri"/>
          <w:sz w:val="20"/>
          <w:szCs w:val="20"/>
          <w:lang w:val="en-CA"/>
        </w:rPr>
        <w:t xml:space="preserve">and the possibility of future restrictions of face-to-face meetings due </w:t>
      </w:r>
      <w:r w:rsidR="007B058E" w:rsidRPr="00BA023E">
        <w:rPr>
          <w:rFonts w:ascii="Calibri" w:hAnsi="Calibri"/>
          <w:sz w:val="20"/>
          <w:szCs w:val="20"/>
          <w:lang w:val="en-CA"/>
        </w:rPr>
        <w:t>to COVID</w:t>
      </w:r>
      <w:r w:rsidR="00BC453B" w:rsidRPr="00BA023E">
        <w:rPr>
          <w:rFonts w:ascii="Calibri" w:hAnsi="Calibri"/>
          <w:sz w:val="20"/>
          <w:szCs w:val="20"/>
          <w:lang w:val="en-CA"/>
        </w:rPr>
        <w:t xml:space="preserve"> 19</w:t>
      </w:r>
      <w:r w:rsidRPr="00BA023E">
        <w:rPr>
          <w:rFonts w:ascii="Calibri" w:hAnsi="Calibri"/>
          <w:sz w:val="20"/>
          <w:szCs w:val="20"/>
          <w:lang w:val="en-CA"/>
        </w:rPr>
        <w:t>.</w:t>
      </w:r>
    </w:p>
    <w:p w14:paraId="773CEF8E" w14:textId="2406B5E8" w:rsidR="00302BFE" w:rsidRPr="00F16DE5"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BA023E">
        <w:rPr>
          <w:rFonts w:ascii="Calibri" w:hAnsi="Calibri"/>
          <w:b/>
          <w:sz w:val="20"/>
          <w:szCs w:val="20"/>
          <w:lang w:val="en-CA"/>
        </w:rPr>
        <w:t xml:space="preserve">Project Component </w:t>
      </w:r>
      <w:r w:rsidR="00FD464C" w:rsidRPr="00BA023E">
        <w:rPr>
          <w:rFonts w:ascii="Calibri" w:hAnsi="Calibri"/>
          <w:b/>
          <w:sz w:val="20"/>
          <w:szCs w:val="20"/>
          <w:lang w:val="en-CA"/>
        </w:rPr>
        <w:t>2 of the project "Strengthening of the PONASI protected areas system":</w:t>
      </w:r>
      <w:r w:rsidR="00535BB9" w:rsidRPr="00BA023E">
        <w:rPr>
          <w:rFonts w:ascii="Calibri" w:hAnsi="Calibri"/>
          <w:sz w:val="20"/>
          <w:szCs w:val="20"/>
          <w:lang w:val="en-CA"/>
        </w:rPr>
        <w:t xml:space="preserve"> </w:t>
      </w:r>
      <w:r w:rsidRPr="00BA023E">
        <w:rPr>
          <w:rFonts w:ascii="Calibri" w:hAnsi="Calibri"/>
          <w:sz w:val="20"/>
          <w:szCs w:val="20"/>
          <w:lang w:val="en-CA"/>
        </w:rPr>
        <w:t xml:space="preserve">will focus on </w:t>
      </w:r>
      <w:r w:rsidR="00703FF6" w:rsidRPr="00BA023E">
        <w:rPr>
          <w:rFonts w:ascii="Calibri" w:hAnsi="Calibri"/>
          <w:sz w:val="20"/>
          <w:szCs w:val="20"/>
          <w:lang w:val="en-CA"/>
        </w:rPr>
        <w:t xml:space="preserve">strengthening </w:t>
      </w:r>
      <w:r w:rsidRPr="00BA023E">
        <w:rPr>
          <w:rFonts w:ascii="Calibri" w:hAnsi="Calibri"/>
          <w:sz w:val="20"/>
          <w:szCs w:val="20"/>
          <w:lang w:val="en-CA"/>
        </w:rPr>
        <w:t xml:space="preserve">the management effectiveness of PAs, including community PAs, ZOVICs, and wildlife corridors, </w:t>
      </w:r>
      <w:r w:rsidR="00703FF6" w:rsidRPr="00BA023E">
        <w:rPr>
          <w:rFonts w:ascii="Calibri" w:hAnsi="Calibri"/>
          <w:sz w:val="20"/>
          <w:szCs w:val="20"/>
          <w:lang w:val="en-CA"/>
        </w:rPr>
        <w:t xml:space="preserve">building </w:t>
      </w:r>
      <w:r w:rsidRPr="00BA023E">
        <w:rPr>
          <w:rFonts w:ascii="Calibri" w:hAnsi="Calibri"/>
          <w:sz w:val="20"/>
          <w:szCs w:val="20"/>
          <w:lang w:val="en-CA"/>
        </w:rPr>
        <w:t>capacity</w:t>
      </w:r>
      <w:r w:rsidRPr="00F16DE5">
        <w:rPr>
          <w:rFonts w:ascii="Calibri" w:hAnsi="Calibri"/>
          <w:sz w:val="20"/>
          <w:szCs w:val="20"/>
          <w:lang w:val="en-CA"/>
        </w:rPr>
        <w:t xml:space="preserve"> for the management of these PAs, and </w:t>
      </w:r>
      <w:proofErr w:type="gramStart"/>
      <w:r w:rsidRPr="00F16DE5">
        <w:rPr>
          <w:rFonts w:ascii="Calibri" w:hAnsi="Calibri"/>
          <w:sz w:val="20"/>
          <w:szCs w:val="20"/>
          <w:lang w:val="en-CA"/>
        </w:rPr>
        <w:t>a</w:t>
      </w:r>
      <w:proofErr w:type="gramEnd"/>
      <w:r w:rsidRPr="00F16DE5">
        <w:rPr>
          <w:rFonts w:ascii="Calibri" w:hAnsi="Calibri"/>
          <w:sz w:val="20"/>
          <w:szCs w:val="20"/>
          <w:lang w:val="en-CA"/>
        </w:rPr>
        <w:t xml:space="preserve"> </w:t>
      </w:r>
      <w:r w:rsidR="004A25B2">
        <w:rPr>
          <w:rFonts w:ascii="Calibri" w:hAnsi="Calibri"/>
          <w:sz w:val="20"/>
          <w:szCs w:val="20"/>
          <w:lang w:val="en-CA"/>
        </w:rPr>
        <w:t xml:space="preserve">elaborating a </w:t>
      </w:r>
      <w:r w:rsidRPr="00F16DE5">
        <w:rPr>
          <w:rFonts w:ascii="Calibri" w:hAnsi="Calibri"/>
          <w:sz w:val="20"/>
          <w:szCs w:val="20"/>
          <w:lang w:val="en-CA"/>
        </w:rPr>
        <w:t>protection plan for the elephants that use habitats within the PONASI landscape.</w:t>
      </w:r>
    </w:p>
    <w:p w14:paraId="7573D5C7" w14:textId="5CECA5CF" w:rsidR="00046D08" w:rsidRPr="0099310D"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3D7342">
        <w:rPr>
          <w:rFonts w:ascii="Calibri" w:hAnsi="Calibri"/>
          <w:sz w:val="20"/>
          <w:szCs w:val="20"/>
          <w:lang w:val="en-CA"/>
        </w:rPr>
        <w:t xml:space="preserve">The PAs of the PONASI complex are not effectively managed, </w:t>
      </w:r>
      <w:proofErr w:type="gramStart"/>
      <w:r w:rsidRPr="003D7342">
        <w:rPr>
          <w:rFonts w:ascii="Calibri" w:hAnsi="Calibri"/>
          <w:sz w:val="20"/>
          <w:szCs w:val="20"/>
          <w:lang w:val="en-CA"/>
        </w:rPr>
        <w:t>with the exception of</w:t>
      </w:r>
      <w:proofErr w:type="gramEnd"/>
      <w:r w:rsidRPr="003D7342">
        <w:rPr>
          <w:rFonts w:ascii="Calibri" w:hAnsi="Calibri"/>
          <w:sz w:val="20"/>
          <w:szCs w:val="20"/>
          <w:lang w:val="en-CA"/>
        </w:rPr>
        <w:t xml:space="preserve"> the </w:t>
      </w:r>
      <w:proofErr w:type="spellStart"/>
      <w:r w:rsidRPr="003D7342">
        <w:rPr>
          <w:rFonts w:ascii="Calibri" w:hAnsi="Calibri"/>
          <w:sz w:val="20"/>
          <w:szCs w:val="20"/>
          <w:lang w:val="en-CA"/>
        </w:rPr>
        <w:t>Nazinga</w:t>
      </w:r>
      <w:proofErr w:type="spellEnd"/>
      <w:r w:rsidRPr="003D7342">
        <w:rPr>
          <w:rFonts w:ascii="Calibri" w:hAnsi="Calibri"/>
          <w:sz w:val="20"/>
          <w:szCs w:val="20"/>
          <w:lang w:val="en-CA"/>
        </w:rPr>
        <w:t xml:space="preserve"> Game Ranch. PAs need to be strengthened and connected to increase the effective area of conservation to ensure the survival of large mammals such as elephants. In addition, well-managed PAs integrated into broader conservation strategies will not only maintain the integrity of habitats for biodiversity and ecosystem services, but also preserve their resilience to climate change and their capacity to sequester carbon.</w:t>
      </w:r>
      <w:r w:rsidR="008A2C50" w:rsidRPr="003D7342">
        <w:rPr>
          <w:rFonts w:ascii="Calibri" w:hAnsi="Calibri"/>
          <w:sz w:val="20"/>
          <w:szCs w:val="20"/>
          <w:lang w:val="en-CA"/>
        </w:rPr>
        <w:t xml:space="preserve"> </w:t>
      </w:r>
      <w:r w:rsidRPr="003D7342">
        <w:rPr>
          <w:rFonts w:ascii="Calibri" w:hAnsi="Calibri"/>
          <w:sz w:val="20"/>
          <w:szCs w:val="20"/>
          <w:lang w:val="en-CA"/>
        </w:rPr>
        <w:t xml:space="preserve">To foster the appropriation of protected areas by local populations and respect for their integrity and regulations, the project will develop </w:t>
      </w:r>
      <w:r w:rsidRPr="0099310D">
        <w:rPr>
          <w:rFonts w:ascii="Calibri" w:hAnsi="Calibri"/>
          <w:sz w:val="20"/>
          <w:szCs w:val="20"/>
          <w:lang w:val="en-CA"/>
        </w:rPr>
        <w:t>management tools that meet high quality standards and will put in place the capacities and tools to promote collaborative management of PAs that generates positive benefits for all stakeholders as well as for the conservation of biodiversity.</w:t>
      </w:r>
      <w:r w:rsidR="008A2C50" w:rsidRPr="0099310D">
        <w:rPr>
          <w:rFonts w:ascii="Calibri" w:hAnsi="Calibri"/>
          <w:sz w:val="20"/>
          <w:szCs w:val="20"/>
          <w:lang w:val="en-CA"/>
        </w:rPr>
        <w:t xml:space="preserve"> </w:t>
      </w:r>
    </w:p>
    <w:p w14:paraId="7DA1E4F1" w14:textId="07EAD753" w:rsidR="00E73212" w:rsidRPr="0099310D" w:rsidRDefault="00E73212"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99310D">
        <w:rPr>
          <w:rFonts w:ascii="Calibri" w:hAnsi="Calibri"/>
          <w:sz w:val="20"/>
          <w:szCs w:val="20"/>
          <w:lang w:val="en-CA"/>
        </w:rPr>
        <w:t xml:space="preserve">The project will focus on strengthening the capacities of stakeholders at all levels to fulfill their role in the management of protected areas </w:t>
      </w:r>
      <w:proofErr w:type="gramStart"/>
      <w:r w:rsidRPr="0099310D">
        <w:rPr>
          <w:rFonts w:ascii="Calibri" w:hAnsi="Calibri"/>
          <w:sz w:val="20"/>
          <w:szCs w:val="20"/>
          <w:lang w:val="en-CA"/>
        </w:rPr>
        <w:t>in order to</w:t>
      </w:r>
      <w:proofErr w:type="gramEnd"/>
      <w:r w:rsidRPr="0099310D">
        <w:rPr>
          <w:rFonts w:ascii="Calibri" w:hAnsi="Calibri"/>
          <w:sz w:val="20"/>
          <w:szCs w:val="20"/>
          <w:lang w:val="en-CA"/>
        </w:rPr>
        <w:t xml:space="preserve"> ensure the preservation of populations of flora and fauna and their habitats. First, from the onset of the project, enforcement effectiveness will be strengthened to tackle poaching and illicit or unregulated hunting. In parallel, monitoring capacities will be consolidated so that a rigorous monitoring of wildlife populations, </w:t>
      </w:r>
      <w:proofErr w:type="gramStart"/>
      <w:r w:rsidRPr="0099310D">
        <w:rPr>
          <w:rFonts w:ascii="Calibri" w:hAnsi="Calibri"/>
          <w:sz w:val="20"/>
          <w:szCs w:val="20"/>
          <w:lang w:val="en-CA"/>
        </w:rPr>
        <w:t>in particular those</w:t>
      </w:r>
      <w:proofErr w:type="gramEnd"/>
      <w:r w:rsidRPr="0099310D">
        <w:rPr>
          <w:rFonts w:ascii="Calibri" w:hAnsi="Calibri"/>
          <w:sz w:val="20"/>
          <w:szCs w:val="20"/>
          <w:lang w:val="en-CA"/>
        </w:rPr>
        <w:t xml:space="preserve"> targeted by hunting and poaching, provides an adequate knowledge base to undertake scientific assessments of their health and a sound basis to make management decisions that will ensure the restoration or maintenance of these populations. An exhaustive review of the benefits and disadvantages of tourist and traditional hunting and assessment of their sustainability will support a participatory reflection and decision-making regarding these activities in PAs and ZOVICs. Depending on animal populations’ health, some or all types of hunting may be suspended to allow their full recovery which will be closely monitored and rigorously assessed. In anticipation of the possible resumption of this activity in some part of the PONASI PA system -should population health improve adequately to support some hunting-, the project will strengthen stakeholders’ capacities to fulfil their role in the management of hunting activities to improve their sustainability, preserve biodiversity, and promote greater equity in the sharing of related benefits, thus restoring a system that provides adequate incentives to local communities to support PAs.</w:t>
      </w:r>
    </w:p>
    <w:p w14:paraId="510779EF" w14:textId="77777777" w:rsidR="00302BFE" w:rsidRPr="00F16DE5"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F16DE5">
        <w:rPr>
          <w:rFonts w:ascii="Calibri" w:hAnsi="Calibri"/>
          <w:sz w:val="20"/>
          <w:szCs w:val="20"/>
          <w:lang w:val="en-CA"/>
        </w:rPr>
        <w:lastRenderedPageBreak/>
        <w:t xml:space="preserve">The safety of corridors for elephants will be improved through their official recognition and demarcation, the restoration of critical habitats to restore their functionality, and the involvement of neighbouring communities in their preservation. At the same time, a </w:t>
      </w:r>
      <w:proofErr w:type="gramStart"/>
      <w:r w:rsidRPr="00F16DE5">
        <w:rPr>
          <w:rFonts w:ascii="Calibri" w:hAnsi="Calibri"/>
          <w:sz w:val="20"/>
          <w:szCs w:val="20"/>
          <w:lang w:val="en-CA"/>
        </w:rPr>
        <w:t>tightly-targeted</w:t>
      </w:r>
      <w:proofErr w:type="gramEnd"/>
      <w:r w:rsidRPr="00F16DE5">
        <w:rPr>
          <w:rFonts w:ascii="Calibri" w:hAnsi="Calibri"/>
          <w:sz w:val="20"/>
          <w:szCs w:val="20"/>
          <w:lang w:val="en-CA"/>
        </w:rPr>
        <w:t xml:space="preserve"> research program will document the movement of elephants within and around the PONASI landscape, including Ghana, with which cross-border surveillance and protection agreements will be renewed and implemented. A strategy to prevent and mitigate human-wildlife conflicts will be developed following the "SAFE Systems" approach and </w:t>
      </w:r>
      <w:proofErr w:type="gramStart"/>
      <w:r w:rsidRPr="00F16DE5">
        <w:rPr>
          <w:rFonts w:ascii="Calibri" w:hAnsi="Calibri"/>
          <w:sz w:val="20"/>
          <w:szCs w:val="20"/>
          <w:lang w:val="en-CA"/>
        </w:rPr>
        <w:t>all of</w:t>
      </w:r>
      <w:proofErr w:type="gramEnd"/>
      <w:r w:rsidRPr="00F16DE5">
        <w:rPr>
          <w:rFonts w:ascii="Calibri" w:hAnsi="Calibri"/>
          <w:sz w:val="20"/>
          <w:szCs w:val="20"/>
          <w:lang w:val="en-CA"/>
        </w:rPr>
        <w:t xml:space="preserve"> these elements will be used to develop a protection plan for elephants that frequent the PONASI landscape.</w:t>
      </w:r>
    </w:p>
    <w:p w14:paraId="26DD9447" w14:textId="514D213F" w:rsidR="00302BFE" w:rsidRPr="00F16DE5" w:rsidRDefault="00F07BA5"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BA023E">
        <w:rPr>
          <w:rFonts w:ascii="Calibri" w:hAnsi="Calibri"/>
          <w:b/>
          <w:sz w:val="20"/>
          <w:szCs w:val="20"/>
          <w:lang w:val="en-CA"/>
        </w:rPr>
        <w:t xml:space="preserve">Project Component 3 of the "Sustainable Land and Resource Management and Livelihood Diversification": </w:t>
      </w:r>
      <w:r w:rsidR="00302BFE" w:rsidRPr="00BA023E">
        <w:rPr>
          <w:rFonts w:ascii="Calibri" w:hAnsi="Calibri"/>
          <w:sz w:val="20"/>
          <w:szCs w:val="20"/>
          <w:lang w:val="en-CA"/>
        </w:rPr>
        <w:t xml:space="preserve">will focus on </w:t>
      </w:r>
      <w:proofErr w:type="spellStart"/>
      <w:r w:rsidR="00302BFE" w:rsidRPr="00BA023E">
        <w:rPr>
          <w:rFonts w:ascii="Calibri" w:hAnsi="Calibri"/>
          <w:sz w:val="20"/>
          <w:szCs w:val="20"/>
          <w:lang w:val="en-CA"/>
        </w:rPr>
        <w:t>agro</w:t>
      </w:r>
      <w:proofErr w:type="spellEnd"/>
      <w:r w:rsidR="00302BFE" w:rsidRPr="00BA023E">
        <w:rPr>
          <w:rFonts w:ascii="Calibri" w:hAnsi="Calibri"/>
          <w:sz w:val="20"/>
          <w:szCs w:val="20"/>
          <w:lang w:val="en-CA"/>
        </w:rPr>
        <w:t>-</w:t>
      </w:r>
      <w:proofErr w:type="spellStart"/>
      <w:r w:rsidR="00302BFE" w:rsidRPr="00F16DE5">
        <w:rPr>
          <w:rFonts w:ascii="Calibri" w:hAnsi="Calibri"/>
          <w:sz w:val="20"/>
          <w:szCs w:val="20"/>
          <w:lang w:val="en-CA"/>
        </w:rPr>
        <w:t>sylvo</w:t>
      </w:r>
      <w:proofErr w:type="spellEnd"/>
      <w:r w:rsidR="00302BFE" w:rsidRPr="00F16DE5">
        <w:rPr>
          <w:rFonts w:ascii="Calibri" w:hAnsi="Calibri"/>
          <w:sz w:val="20"/>
          <w:szCs w:val="20"/>
          <w:lang w:val="en-CA"/>
        </w:rPr>
        <w:t xml:space="preserve">-pastoral areas in the landscape surrounding protected areas and on the livelihoods of local communities based on sustainable use of natural resources linked to protected areas. In Burkina Faso, natural forests are mainly managed for fuelwood and grazing, and to a lesser extent for hunting and vision tourism. The production of fuel wood is concentrated in </w:t>
      </w:r>
      <w:r w:rsidR="00302BFE">
        <w:rPr>
          <w:rFonts w:ascii="Calibri" w:hAnsi="Calibri"/>
          <w:sz w:val="20"/>
          <w:szCs w:val="20"/>
          <w:lang w:val="en-CA"/>
        </w:rPr>
        <w:t>forest management worksites</w:t>
      </w:r>
      <w:r w:rsidR="00302BFE" w:rsidRPr="00F16DE5">
        <w:rPr>
          <w:rFonts w:ascii="Calibri" w:hAnsi="Calibri"/>
          <w:sz w:val="20"/>
          <w:szCs w:val="20"/>
          <w:lang w:val="en-CA"/>
        </w:rPr>
        <w:t xml:space="preserve"> that are managed according to management plans and specifications, but whose effects on the dynamics of forest resources are not sufficiently evaluated.</w:t>
      </w:r>
      <w:r w:rsidR="00302BFE" w:rsidRPr="00F16DE5">
        <w:rPr>
          <w:sz w:val="20"/>
          <w:szCs w:val="20"/>
        </w:rPr>
        <w:t xml:space="preserve"> </w:t>
      </w:r>
      <w:r w:rsidR="00302BFE" w:rsidRPr="00F16DE5">
        <w:rPr>
          <w:rFonts w:ascii="Calibri" w:hAnsi="Calibri"/>
          <w:sz w:val="20"/>
          <w:szCs w:val="20"/>
          <w:lang w:val="en-CA"/>
        </w:rPr>
        <w:t>Pastoral and hunting areas are not adequately managed, rarely have management plans and are not subject to systematic monitoring and evaluation. Management activities are limited to anti-poaching and the practice of early fires. Current land and resource use patterns are leading to rapid habitat degradation for wildlife, but also for the ecosystem services that local communities depend on for their livelihoods.</w:t>
      </w:r>
    </w:p>
    <w:p w14:paraId="1D8E2217" w14:textId="77777777" w:rsidR="00302BFE" w:rsidRPr="00F16DE5"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F16DE5">
        <w:rPr>
          <w:rFonts w:ascii="Calibri" w:hAnsi="Calibri"/>
          <w:sz w:val="20"/>
          <w:szCs w:val="20"/>
          <w:lang w:val="en-CA"/>
        </w:rPr>
        <w:t xml:space="preserve">Project interventions under this component will improve the sustainability of natural resource management and livelihoods in </w:t>
      </w:r>
      <w:proofErr w:type="spellStart"/>
      <w:r w:rsidRPr="00F16DE5">
        <w:rPr>
          <w:rFonts w:ascii="Calibri" w:hAnsi="Calibri"/>
          <w:sz w:val="20"/>
          <w:szCs w:val="20"/>
          <w:lang w:val="en-CA"/>
        </w:rPr>
        <w:t>agro</w:t>
      </w:r>
      <w:proofErr w:type="spellEnd"/>
      <w:r w:rsidRPr="00F16DE5">
        <w:rPr>
          <w:rFonts w:ascii="Calibri" w:hAnsi="Calibri"/>
          <w:sz w:val="20"/>
          <w:szCs w:val="20"/>
          <w:lang w:val="en-CA"/>
        </w:rPr>
        <w:t>-</w:t>
      </w:r>
      <w:proofErr w:type="spellStart"/>
      <w:r w:rsidRPr="00F16DE5">
        <w:rPr>
          <w:rFonts w:ascii="Calibri" w:hAnsi="Calibri"/>
          <w:sz w:val="20"/>
          <w:szCs w:val="20"/>
          <w:lang w:val="en-CA"/>
        </w:rPr>
        <w:t>sylvo</w:t>
      </w:r>
      <w:proofErr w:type="spellEnd"/>
      <w:r w:rsidRPr="00F16DE5">
        <w:rPr>
          <w:rFonts w:ascii="Calibri" w:hAnsi="Calibri"/>
          <w:sz w:val="20"/>
          <w:szCs w:val="20"/>
          <w:lang w:val="en-CA"/>
        </w:rPr>
        <w:t>-pastoral lands, consistent with the requirements of environmental landscape planning in component 1, and to develop sustainable livelihoods, through the establishment of tourism micro-enterprises as part of a landscape-scale strategy in relation to PAs, and support for NTFP processing value chains to benefit local communities, especially women.</w:t>
      </w:r>
    </w:p>
    <w:p w14:paraId="70BE8BF8" w14:textId="2454AFD5" w:rsidR="00302BFE" w:rsidRPr="00096979" w:rsidRDefault="003D561F"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BA023E">
        <w:rPr>
          <w:rFonts w:ascii="Calibri" w:hAnsi="Calibri"/>
          <w:b/>
          <w:sz w:val="20"/>
          <w:szCs w:val="20"/>
          <w:lang w:val="en-CA"/>
        </w:rPr>
        <w:t xml:space="preserve">Project </w:t>
      </w:r>
      <w:r w:rsidR="006902FC" w:rsidRPr="00BA023E">
        <w:rPr>
          <w:rFonts w:ascii="Calibri" w:hAnsi="Calibri"/>
          <w:b/>
          <w:sz w:val="20"/>
          <w:szCs w:val="20"/>
          <w:lang w:val="en-CA"/>
        </w:rPr>
        <w:t xml:space="preserve">Component 4 of the project "Gender Mainstreaming and Knowledge and Learning Management: </w:t>
      </w:r>
      <w:r w:rsidR="00302BFE" w:rsidRPr="00BA023E">
        <w:rPr>
          <w:rFonts w:ascii="Calibri" w:hAnsi="Calibri"/>
          <w:sz w:val="20"/>
          <w:szCs w:val="20"/>
          <w:lang w:val="en-CA"/>
        </w:rPr>
        <w:t>will mainstream</w:t>
      </w:r>
      <w:r w:rsidR="00302BFE" w:rsidRPr="00096979">
        <w:rPr>
          <w:rFonts w:ascii="Calibri" w:hAnsi="Calibri"/>
          <w:sz w:val="20"/>
          <w:szCs w:val="20"/>
          <w:lang w:val="en-CA"/>
        </w:rPr>
        <w:t xml:space="preserve"> transversal issues of knowledge and gender into project outputs and outcomes. This will be achieved through fostering women participation and ensuring that both men and women benefit equally from the project and that the concerns and experiences of the women are an integral part of the implementation and monitoring and evaluation of the project. To support the collaborative planning process across the landscape, the project will establish a management system for </w:t>
      </w:r>
      <w:r w:rsidR="00302BFE">
        <w:rPr>
          <w:rFonts w:ascii="Calibri" w:hAnsi="Calibri"/>
          <w:sz w:val="20"/>
          <w:szCs w:val="20"/>
          <w:lang w:val="en-CA"/>
        </w:rPr>
        <w:t xml:space="preserve">collecting </w:t>
      </w:r>
      <w:r w:rsidR="00302BFE" w:rsidRPr="00096979">
        <w:rPr>
          <w:rFonts w:ascii="Calibri" w:hAnsi="Calibri"/>
          <w:sz w:val="20"/>
          <w:szCs w:val="20"/>
          <w:lang w:val="en-CA"/>
        </w:rPr>
        <w:t>technical knowledge and lessons learned from the project experiences</w:t>
      </w:r>
      <w:r w:rsidR="00302BFE">
        <w:rPr>
          <w:rFonts w:ascii="Calibri" w:hAnsi="Calibri"/>
          <w:sz w:val="20"/>
          <w:szCs w:val="20"/>
          <w:lang w:val="en-CA"/>
        </w:rPr>
        <w:t>,</w:t>
      </w:r>
      <w:r w:rsidR="00302BFE" w:rsidRPr="00096979">
        <w:rPr>
          <w:rFonts w:ascii="Calibri" w:hAnsi="Calibri"/>
          <w:sz w:val="20"/>
          <w:szCs w:val="20"/>
          <w:lang w:val="en-CA"/>
        </w:rPr>
        <w:t xml:space="preserve"> </w:t>
      </w:r>
      <w:r w:rsidR="00302BFE" w:rsidRPr="00DF3864">
        <w:rPr>
          <w:rFonts w:ascii="Calibri" w:hAnsi="Calibri"/>
          <w:sz w:val="20"/>
          <w:szCs w:val="20"/>
          <w:lang w:val="en-CA"/>
        </w:rPr>
        <w:t>identified through the participatory monitoring</w:t>
      </w:r>
      <w:r w:rsidR="00302BFE" w:rsidRPr="00096979">
        <w:rPr>
          <w:rFonts w:ascii="Calibri" w:hAnsi="Calibri"/>
          <w:sz w:val="20"/>
          <w:szCs w:val="20"/>
          <w:lang w:val="en-CA"/>
        </w:rPr>
        <w:t xml:space="preserve"> and evaluation as part of the project annual planning process. New knowledge will be compiled, </w:t>
      </w:r>
      <w:proofErr w:type="gramStart"/>
      <w:r w:rsidR="00302BFE" w:rsidRPr="00096979">
        <w:rPr>
          <w:rFonts w:ascii="Calibri" w:hAnsi="Calibri"/>
          <w:sz w:val="20"/>
          <w:szCs w:val="20"/>
          <w:lang w:val="en-CA"/>
        </w:rPr>
        <w:t>disseminated</w:t>
      </w:r>
      <w:proofErr w:type="gramEnd"/>
      <w:r w:rsidR="00302BFE" w:rsidRPr="00096979">
        <w:rPr>
          <w:rFonts w:ascii="Calibri" w:hAnsi="Calibri"/>
          <w:sz w:val="20"/>
          <w:szCs w:val="20"/>
          <w:lang w:val="en-CA"/>
        </w:rPr>
        <w:t xml:space="preserve"> and integrated to allow for adaptive management at the landscape level, units of the landscape and village terroirs.</w:t>
      </w:r>
    </w:p>
    <w:p w14:paraId="5D1BF55A" w14:textId="6805A086" w:rsidR="007E0D06" w:rsidRPr="00BA023E" w:rsidRDefault="001D3D46" w:rsidP="00C46720">
      <w:pPr>
        <w:pStyle w:val="Paragraphedeliste"/>
        <w:numPr>
          <w:ilvl w:val="0"/>
          <w:numId w:val="32"/>
        </w:numPr>
        <w:tabs>
          <w:tab w:val="left" w:pos="284"/>
        </w:tabs>
        <w:spacing w:before="120" w:after="120"/>
        <w:ind w:left="0" w:firstLine="0"/>
        <w:jc w:val="both"/>
        <w:rPr>
          <w:rFonts w:ascii="Calibri" w:hAnsi="Calibri"/>
          <w:iCs/>
          <w:sz w:val="20"/>
          <w:szCs w:val="20"/>
        </w:rPr>
      </w:pPr>
      <w:r w:rsidRPr="00BA023E">
        <w:rPr>
          <w:rFonts w:ascii="Calibri" w:hAnsi="Calibri" w:cs="Calibri"/>
          <w:b/>
          <w:bCs/>
          <w:iCs/>
          <w:sz w:val="20"/>
          <w:szCs w:val="20"/>
        </w:rPr>
        <w:t>"Project Coordination and Management":</w:t>
      </w:r>
      <w:r w:rsidRPr="00BA023E">
        <w:rPr>
          <w:rFonts w:ascii="Calibri" w:hAnsi="Calibri" w:cs="Calibri"/>
          <w:iCs/>
          <w:sz w:val="20"/>
          <w:szCs w:val="20"/>
        </w:rPr>
        <w:t xml:space="preserve"> aims to ensure the administrative, </w:t>
      </w:r>
      <w:proofErr w:type="gramStart"/>
      <w:r w:rsidRPr="00BA023E">
        <w:rPr>
          <w:rFonts w:ascii="Calibri" w:hAnsi="Calibri" w:cs="Calibri"/>
          <w:iCs/>
          <w:sz w:val="20"/>
          <w:szCs w:val="20"/>
        </w:rPr>
        <w:t>financial</w:t>
      </w:r>
      <w:proofErr w:type="gramEnd"/>
      <w:r w:rsidRPr="00BA023E">
        <w:rPr>
          <w:rFonts w:ascii="Calibri" w:hAnsi="Calibri" w:cs="Calibri"/>
          <w:iCs/>
          <w:sz w:val="20"/>
          <w:szCs w:val="20"/>
        </w:rPr>
        <w:t xml:space="preserve"> and accounting management of activities.</w:t>
      </w:r>
      <w:r w:rsidR="007E0D06" w:rsidRPr="00BA023E">
        <w:rPr>
          <w:rFonts w:ascii="Calibri" w:hAnsi="Calibri"/>
          <w:iCs/>
          <w:sz w:val="20"/>
          <w:szCs w:val="20"/>
        </w:rPr>
        <w:t xml:space="preserve"> The achievement of this objective requires the following results: (i) the operational capacities of the actors are strengthened; (ii) the project management tools are operational; (iii) the project monitoring and evaluation system is operational; (iv) the technical skills of the project management staff are strengthened; (v) the visibility of the project activities is strengthened.</w:t>
      </w:r>
    </w:p>
    <w:p w14:paraId="703C3FEB" w14:textId="77777777" w:rsidR="001D3D46" w:rsidRPr="00BA023E" w:rsidRDefault="001D3D46" w:rsidP="00302BFE">
      <w:pPr>
        <w:pStyle w:val="Paragraphedeliste"/>
        <w:tabs>
          <w:tab w:val="left" w:pos="284"/>
        </w:tabs>
        <w:spacing w:before="120" w:after="120"/>
        <w:ind w:left="0"/>
        <w:jc w:val="both"/>
        <w:rPr>
          <w:rFonts w:ascii="Calibri" w:hAnsi="Calibri" w:cs="Calibri"/>
          <w:iCs/>
          <w:sz w:val="20"/>
          <w:szCs w:val="20"/>
        </w:rPr>
      </w:pPr>
    </w:p>
    <w:p w14:paraId="22D754F3" w14:textId="75DF17CF" w:rsidR="000F70A1" w:rsidRPr="00BA023E" w:rsidRDefault="000F70A1" w:rsidP="000F70A1">
      <w:pPr>
        <w:tabs>
          <w:tab w:val="left" w:pos="284"/>
        </w:tabs>
        <w:spacing w:before="120" w:after="120"/>
        <w:rPr>
          <w:b/>
          <w:bCs/>
          <w:iCs/>
          <w:szCs w:val="20"/>
        </w:rPr>
      </w:pPr>
      <w:r w:rsidRPr="00BA023E">
        <w:rPr>
          <w:b/>
          <w:bCs/>
          <w:iCs/>
          <w:szCs w:val="20"/>
        </w:rPr>
        <w:t>Justification and consistency of the project with national and international standards</w:t>
      </w:r>
    </w:p>
    <w:p w14:paraId="0AA16068" w14:textId="144A17D6" w:rsidR="0053733F" w:rsidRPr="00BA023E" w:rsidRDefault="002B4063" w:rsidP="000F70A1">
      <w:pPr>
        <w:tabs>
          <w:tab w:val="left" w:pos="284"/>
        </w:tabs>
        <w:spacing w:before="120" w:after="120"/>
        <w:rPr>
          <w:i/>
          <w:szCs w:val="20"/>
        </w:rPr>
      </w:pPr>
      <w:r w:rsidRPr="00BA023E">
        <w:rPr>
          <w:i/>
          <w:szCs w:val="20"/>
        </w:rPr>
        <w:t>Benefits for the global environment</w:t>
      </w:r>
    </w:p>
    <w:p w14:paraId="79813AAA" w14:textId="0D517784" w:rsidR="0016320F" w:rsidRPr="00BA023E" w:rsidRDefault="00B14103" w:rsidP="00A63E29">
      <w:pPr>
        <w:tabs>
          <w:tab w:val="left" w:pos="284"/>
        </w:tabs>
        <w:spacing w:before="120" w:after="120"/>
        <w:rPr>
          <w:iCs/>
          <w:szCs w:val="20"/>
        </w:rPr>
      </w:pPr>
      <w:r w:rsidRPr="00BA023E">
        <w:rPr>
          <w:iCs/>
          <w:szCs w:val="20"/>
        </w:rPr>
        <w:t>1.</w:t>
      </w:r>
      <w:r w:rsidRPr="00BA023E">
        <w:rPr>
          <w:iCs/>
          <w:szCs w:val="20"/>
        </w:rPr>
        <w:tab/>
        <w:t>The project will provide global environmental benefits related to BD conservation, reduced land degradation, improved resilience to climate change, and reduced GHG emissions. The project will provide the following global environmental benefits:</w:t>
      </w:r>
    </w:p>
    <w:p w14:paraId="4C9DE39C" w14:textId="77777777" w:rsidR="00302BFE" w:rsidRPr="00CB2536" w:rsidRDefault="00302BFE" w:rsidP="00C46720">
      <w:pPr>
        <w:pStyle w:val="NumberedParasinaPIF"/>
        <w:numPr>
          <w:ilvl w:val="0"/>
          <w:numId w:val="34"/>
        </w:numPr>
        <w:ind w:left="630" w:hanging="270"/>
        <w:rPr>
          <w:rFonts w:ascii="Calibri" w:hAnsi="Calibri" w:cs="Calibri"/>
          <w:noProof w:val="0"/>
          <w:sz w:val="20"/>
          <w:szCs w:val="20"/>
          <w:lang w:val="en-CA"/>
        </w:rPr>
      </w:pPr>
      <w:r w:rsidRPr="00BA023E">
        <w:rPr>
          <w:rFonts w:ascii="Calibri" w:hAnsi="Calibri" w:cs="Calibri"/>
          <w:noProof w:val="0"/>
          <w:sz w:val="20"/>
          <w:szCs w:val="20"/>
          <w:lang w:val="en-CA"/>
        </w:rPr>
        <w:t>3 State PAs totaling 293,000 ha, 11 community PAs totaling 24,281 ha, and 2 wildlife corridors totaling 37,500 ha – for an</w:t>
      </w:r>
      <w:r w:rsidRPr="00CB2536">
        <w:rPr>
          <w:rFonts w:ascii="Calibri" w:hAnsi="Calibri" w:cs="Calibri"/>
          <w:noProof w:val="0"/>
          <w:sz w:val="20"/>
          <w:szCs w:val="20"/>
          <w:lang w:val="en-CA"/>
        </w:rPr>
        <w:t xml:space="preserve"> overall total of 354,781 ha of PAs that are under improved protection and more effective management as reflected by increased METT </w:t>
      </w:r>
      <w:proofErr w:type="gramStart"/>
      <w:r w:rsidRPr="00CB2536">
        <w:rPr>
          <w:rFonts w:ascii="Calibri" w:hAnsi="Calibri" w:cs="Calibri"/>
          <w:noProof w:val="0"/>
          <w:sz w:val="20"/>
          <w:szCs w:val="20"/>
          <w:lang w:val="en-CA"/>
        </w:rPr>
        <w:t>scores;</w:t>
      </w:r>
      <w:proofErr w:type="gramEnd"/>
    </w:p>
    <w:p w14:paraId="6031A85E" w14:textId="77777777" w:rsidR="00302BFE" w:rsidRPr="00CB2536" w:rsidRDefault="00302BFE" w:rsidP="00C46720">
      <w:pPr>
        <w:pStyle w:val="NumberedParasinaPIF"/>
        <w:numPr>
          <w:ilvl w:val="0"/>
          <w:numId w:val="34"/>
        </w:numPr>
        <w:ind w:left="630" w:hanging="270"/>
        <w:rPr>
          <w:rFonts w:ascii="Calibri" w:hAnsi="Calibri" w:cs="Calibri"/>
          <w:noProof w:val="0"/>
          <w:sz w:val="20"/>
          <w:szCs w:val="20"/>
          <w:lang w:val="en-CA"/>
        </w:rPr>
      </w:pPr>
      <w:r w:rsidRPr="00CB2536">
        <w:rPr>
          <w:rFonts w:ascii="Calibri" w:hAnsi="Calibri" w:cs="Calibri"/>
          <w:noProof w:val="0"/>
          <w:sz w:val="20"/>
          <w:szCs w:val="20"/>
          <w:lang w:val="en-CA"/>
        </w:rPr>
        <w:t>PA estate increased by 33,000 ha to secure an elephant movement corridor (area included in the above</w:t>
      </w:r>
      <w:proofErr w:type="gramStart"/>
      <w:r w:rsidRPr="00CB2536">
        <w:rPr>
          <w:rFonts w:ascii="Calibri" w:hAnsi="Calibri" w:cs="Calibri"/>
          <w:noProof w:val="0"/>
          <w:sz w:val="20"/>
          <w:szCs w:val="20"/>
          <w:lang w:val="en-CA"/>
        </w:rPr>
        <w:t>);</w:t>
      </w:r>
      <w:proofErr w:type="gramEnd"/>
    </w:p>
    <w:p w14:paraId="6C151009" w14:textId="77777777" w:rsidR="00302BFE" w:rsidRPr="00CB2536" w:rsidRDefault="00302BFE" w:rsidP="00C46720">
      <w:pPr>
        <w:pStyle w:val="NumberedParasinaPIF"/>
        <w:numPr>
          <w:ilvl w:val="0"/>
          <w:numId w:val="34"/>
        </w:numPr>
        <w:ind w:left="630" w:hanging="270"/>
        <w:rPr>
          <w:rFonts w:ascii="Calibri" w:hAnsi="Calibri" w:cs="Calibri"/>
          <w:noProof w:val="0"/>
          <w:sz w:val="20"/>
          <w:szCs w:val="20"/>
          <w:lang w:val="en-CA"/>
        </w:rPr>
      </w:pPr>
      <w:bookmarkStart w:id="12" w:name="_Hlk511635887"/>
      <w:r w:rsidRPr="00CB2536">
        <w:rPr>
          <w:rFonts w:ascii="Calibri" w:hAnsi="Calibri" w:cs="Calibri"/>
          <w:noProof w:val="0"/>
          <w:sz w:val="20"/>
          <w:szCs w:val="20"/>
          <w:lang w:val="en-CA"/>
        </w:rPr>
        <w:t xml:space="preserve">enhanced protection of the PONASI complex of PAs as a Ramsar site and </w:t>
      </w:r>
      <w:proofErr w:type="gramStart"/>
      <w:r w:rsidRPr="00CB2536">
        <w:rPr>
          <w:rFonts w:ascii="Calibri" w:hAnsi="Calibri" w:cs="Calibri"/>
          <w:noProof w:val="0"/>
          <w:sz w:val="20"/>
          <w:szCs w:val="20"/>
          <w:lang w:val="en-CA"/>
        </w:rPr>
        <w:t>IBA;</w:t>
      </w:r>
      <w:proofErr w:type="gramEnd"/>
    </w:p>
    <w:bookmarkEnd w:id="12"/>
    <w:p w14:paraId="7F152D11" w14:textId="77777777" w:rsidR="00302BFE" w:rsidRPr="00CB2536" w:rsidRDefault="00302BFE" w:rsidP="00C46720">
      <w:pPr>
        <w:pStyle w:val="NumberedParasinaPIF"/>
        <w:numPr>
          <w:ilvl w:val="0"/>
          <w:numId w:val="34"/>
        </w:numPr>
        <w:ind w:left="630" w:hanging="270"/>
        <w:rPr>
          <w:rFonts w:ascii="Calibri" w:hAnsi="Calibri" w:cs="Calibri"/>
          <w:noProof w:val="0"/>
          <w:sz w:val="20"/>
          <w:szCs w:val="20"/>
          <w:lang w:val="en-CA"/>
        </w:rPr>
      </w:pPr>
      <w:r w:rsidRPr="00CB2536">
        <w:rPr>
          <w:rFonts w:ascii="Calibri" w:hAnsi="Calibri" w:cs="Calibri"/>
          <w:noProof w:val="0"/>
          <w:sz w:val="20"/>
          <w:szCs w:val="20"/>
          <w:lang w:val="en-CA"/>
        </w:rPr>
        <w:t xml:space="preserve">stabilization of a population of </w:t>
      </w:r>
      <w:r w:rsidR="00A2790B">
        <w:rPr>
          <w:rFonts w:ascii="Calibri" w:hAnsi="Calibri" w:cs="Calibri"/>
          <w:noProof w:val="0"/>
          <w:sz w:val="20"/>
          <w:szCs w:val="20"/>
          <w:lang w:val="en-CA"/>
        </w:rPr>
        <w:t>at least</w:t>
      </w:r>
      <w:r w:rsidRPr="00CB2536">
        <w:rPr>
          <w:rFonts w:ascii="Calibri" w:hAnsi="Calibri" w:cs="Calibri"/>
          <w:noProof w:val="0"/>
          <w:sz w:val="20"/>
          <w:szCs w:val="20"/>
          <w:lang w:val="en-CA"/>
        </w:rPr>
        <w:t xml:space="preserve"> 600 elephants (VU </w:t>
      </w:r>
      <w:r w:rsidRPr="00CB2536">
        <w:rPr>
          <w:rFonts w:ascii="Calibri" w:hAnsi="Calibri" w:cs="Calibri"/>
          <w:i/>
          <w:noProof w:val="0"/>
          <w:sz w:val="20"/>
          <w:szCs w:val="20"/>
          <w:lang w:val="en-CA"/>
        </w:rPr>
        <w:t xml:space="preserve">Loxodonta </w:t>
      </w:r>
      <w:proofErr w:type="spellStart"/>
      <w:r w:rsidRPr="00CB2536">
        <w:rPr>
          <w:rFonts w:ascii="Calibri" w:hAnsi="Calibri" w:cs="Calibri"/>
          <w:i/>
          <w:noProof w:val="0"/>
          <w:sz w:val="20"/>
          <w:szCs w:val="20"/>
          <w:lang w:val="en-CA"/>
        </w:rPr>
        <w:t>africana</w:t>
      </w:r>
      <w:proofErr w:type="spellEnd"/>
      <w:r w:rsidRPr="00CB2536">
        <w:rPr>
          <w:rFonts w:ascii="Calibri" w:hAnsi="Calibri" w:cs="Calibri"/>
          <w:noProof w:val="0"/>
          <w:sz w:val="20"/>
          <w:szCs w:val="20"/>
          <w:lang w:val="en-CA"/>
        </w:rPr>
        <w:t>) through enhanced protection of this 2</w:t>
      </w:r>
      <w:r w:rsidRPr="00CB2536">
        <w:rPr>
          <w:rFonts w:ascii="Calibri" w:hAnsi="Calibri" w:cs="Calibri"/>
          <w:noProof w:val="0"/>
          <w:sz w:val="20"/>
          <w:szCs w:val="20"/>
          <w:vertAlign w:val="superscript"/>
          <w:lang w:val="en-CA"/>
        </w:rPr>
        <w:t>nd</w:t>
      </w:r>
      <w:r w:rsidRPr="00CB2536">
        <w:rPr>
          <w:rFonts w:ascii="Calibri" w:hAnsi="Calibri" w:cs="Calibri"/>
          <w:noProof w:val="0"/>
          <w:sz w:val="20"/>
          <w:szCs w:val="20"/>
          <w:lang w:val="en-CA"/>
        </w:rPr>
        <w:t xml:space="preserve"> most important population of elephants in Burkina Faso, and improved connectivity between </w:t>
      </w:r>
      <w:proofErr w:type="spellStart"/>
      <w:r w:rsidRPr="00CB2536">
        <w:rPr>
          <w:rFonts w:ascii="Calibri" w:hAnsi="Calibri" w:cs="Calibri"/>
          <w:noProof w:val="0"/>
          <w:sz w:val="20"/>
          <w:szCs w:val="20"/>
          <w:lang w:val="en-CA"/>
        </w:rPr>
        <w:t>Nazinga</w:t>
      </w:r>
      <w:proofErr w:type="spellEnd"/>
      <w:r w:rsidRPr="00CB2536">
        <w:rPr>
          <w:rFonts w:ascii="Calibri" w:hAnsi="Calibri" w:cs="Calibri"/>
          <w:noProof w:val="0"/>
          <w:sz w:val="20"/>
          <w:szCs w:val="20"/>
          <w:lang w:val="en-CA"/>
        </w:rPr>
        <w:t xml:space="preserve"> and PNKT enabling elephant movements, through the creation, improved management in corridor #2 including the restoration of 11,000 ha, contributing to restore the natural routes of elephants within their range in the PONASI </w:t>
      </w:r>
      <w:proofErr w:type="gramStart"/>
      <w:r w:rsidRPr="00CB2536">
        <w:rPr>
          <w:rFonts w:ascii="Calibri" w:hAnsi="Calibri" w:cs="Calibri"/>
          <w:noProof w:val="0"/>
          <w:sz w:val="20"/>
          <w:szCs w:val="20"/>
          <w:lang w:val="en-CA"/>
        </w:rPr>
        <w:t>landscape;</w:t>
      </w:r>
      <w:proofErr w:type="gramEnd"/>
    </w:p>
    <w:p w14:paraId="6A6ED27E" w14:textId="77777777" w:rsidR="00302BFE" w:rsidRPr="00D61C93" w:rsidRDefault="00302BFE" w:rsidP="00C46720">
      <w:pPr>
        <w:pStyle w:val="NumberedParasinaPIF"/>
        <w:numPr>
          <w:ilvl w:val="0"/>
          <w:numId w:val="35"/>
        </w:numPr>
        <w:ind w:left="630" w:hanging="270"/>
        <w:rPr>
          <w:rFonts w:ascii="Calibri" w:hAnsi="Calibri" w:cs="Calibri"/>
          <w:noProof w:val="0"/>
          <w:sz w:val="20"/>
          <w:szCs w:val="20"/>
          <w:lang w:val="en-CA"/>
        </w:rPr>
      </w:pPr>
      <w:r w:rsidRPr="00CB2536">
        <w:rPr>
          <w:rFonts w:ascii="Calibri" w:hAnsi="Calibri" w:cs="Calibri"/>
          <w:noProof w:val="0"/>
          <w:sz w:val="20"/>
          <w:szCs w:val="20"/>
          <w:lang w:val="en-CA"/>
        </w:rPr>
        <w:t xml:space="preserve">Expanded implementation of </w:t>
      </w:r>
      <w:r w:rsidRPr="00CB2536">
        <w:rPr>
          <w:rFonts w:ascii="Calibri" w:hAnsi="Calibri" w:cs="Calibri"/>
          <w:sz w:val="20"/>
          <w:szCs w:val="20"/>
          <w:lang w:val="en-CA"/>
        </w:rPr>
        <w:t xml:space="preserve">CSA-SLM practices over </w:t>
      </w:r>
      <w:r w:rsidRPr="00CB2536">
        <w:rPr>
          <w:rFonts w:ascii="Calibri" w:hAnsi="Calibri" w:cs="Calibri"/>
          <w:noProof w:val="0"/>
          <w:sz w:val="20"/>
          <w:szCs w:val="20"/>
          <w:lang w:val="en-CA"/>
        </w:rPr>
        <w:t xml:space="preserve">129,478 ha in the </w:t>
      </w:r>
      <w:proofErr w:type="spellStart"/>
      <w:r w:rsidRPr="00CB2536">
        <w:rPr>
          <w:rFonts w:ascii="Calibri" w:hAnsi="Calibri" w:cs="Calibri"/>
          <w:noProof w:val="0"/>
          <w:sz w:val="20"/>
          <w:szCs w:val="20"/>
          <w:lang w:val="en-CA"/>
        </w:rPr>
        <w:t>agro</w:t>
      </w:r>
      <w:proofErr w:type="spellEnd"/>
      <w:r w:rsidRPr="00CB2536">
        <w:rPr>
          <w:rFonts w:ascii="Calibri" w:hAnsi="Calibri" w:cs="Calibri"/>
          <w:noProof w:val="0"/>
          <w:sz w:val="20"/>
          <w:szCs w:val="20"/>
          <w:lang w:val="en-CA"/>
        </w:rPr>
        <w:t>-</w:t>
      </w:r>
      <w:proofErr w:type="spellStart"/>
      <w:r w:rsidRPr="00CB2536">
        <w:rPr>
          <w:rFonts w:ascii="Calibri" w:hAnsi="Calibri" w:cs="Calibri"/>
          <w:noProof w:val="0"/>
          <w:sz w:val="20"/>
          <w:szCs w:val="20"/>
          <w:lang w:val="en-CA"/>
        </w:rPr>
        <w:t>sylvo</w:t>
      </w:r>
      <w:proofErr w:type="spellEnd"/>
      <w:r w:rsidRPr="00CB2536">
        <w:rPr>
          <w:rFonts w:ascii="Calibri" w:hAnsi="Calibri" w:cs="Calibri"/>
          <w:noProof w:val="0"/>
          <w:sz w:val="20"/>
          <w:szCs w:val="20"/>
          <w:lang w:val="en-CA"/>
        </w:rPr>
        <w:t xml:space="preserve">-pastoral lands with sustainable land and </w:t>
      </w:r>
      <w:r w:rsidRPr="00D61C93">
        <w:rPr>
          <w:rFonts w:ascii="Calibri" w:hAnsi="Calibri" w:cs="Calibri"/>
          <w:noProof w:val="0"/>
          <w:sz w:val="20"/>
          <w:szCs w:val="20"/>
          <w:lang w:val="en-CA"/>
        </w:rPr>
        <w:t>resource use practices that support land and biodiversity conservation while reducing GHG emissions</w:t>
      </w:r>
    </w:p>
    <w:p w14:paraId="388E2C93" w14:textId="77777777" w:rsidR="00302BFE" w:rsidRPr="00D61C93" w:rsidRDefault="00A2790B" w:rsidP="00C46720">
      <w:pPr>
        <w:pStyle w:val="NumberedParasinaPIF"/>
        <w:numPr>
          <w:ilvl w:val="0"/>
          <w:numId w:val="36"/>
        </w:numPr>
        <w:ind w:left="630" w:hanging="270"/>
        <w:rPr>
          <w:rFonts w:ascii="Calibri" w:hAnsi="Calibri" w:cs="Calibri"/>
          <w:sz w:val="20"/>
          <w:szCs w:val="20"/>
          <w:lang w:val="en-CA"/>
        </w:rPr>
      </w:pPr>
      <w:r w:rsidRPr="00D61C93">
        <w:rPr>
          <w:rFonts w:ascii="Calibri" w:hAnsi="Calibri" w:cs="Calibri"/>
          <w:sz w:val="20"/>
          <w:szCs w:val="20"/>
          <w:lang w:val="en-CA"/>
        </w:rPr>
        <w:t>5</w:t>
      </w:r>
      <w:r w:rsidR="00302BFE" w:rsidRPr="00D61C93">
        <w:rPr>
          <w:rFonts w:ascii="Calibri" w:hAnsi="Calibri" w:cs="Calibri"/>
          <w:sz w:val="20"/>
          <w:szCs w:val="20"/>
          <w:lang w:val="en-CA"/>
        </w:rPr>
        <w:t>,</w:t>
      </w:r>
      <w:r w:rsidRPr="00D61C93">
        <w:rPr>
          <w:rFonts w:ascii="Calibri" w:hAnsi="Calibri" w:cs="Calibri"/>
          <w:sz w:val="20"/>
          <w:szCs w:val="20"/>
          <w:lang w:val="en-CA"/>
        </w:rPr>
        <w:t>44</w:t>
      </w:r>
      <w:r w:rsidR="007C38A7" w:rsidRPr="00D61C93">
        <w:rPr>
          <w:rFonts w:ascii="Calibri" w:hAnsi="Calibri" w:cs="Calibri"/>
          <w:sz w:val="20"/>
          <w:szCs w:val="20"/>
          <w:lang w:val="en-CA"/>
        </w:rPr>
        <w:t>8</w:t>
      </w:r>
      <w:r w:rsidR="00302BFE" w:rsidRPr="00D61C93">
        <w:rPr>
          <w:rFonts w:ascii="Calibri" w:hAnsi="Calibri" w:cs="Calibri"/>
          <w:sz w:val="20"/>
          <w:szCs w:val="20"/>
          <w:lang w:val="en-CA"/>
        </w:rPr>
        <w:t>,</w:t>
      </w:r>
      <w:r w:rsidR="007C38A7" w:rsidRPr="00D61C93">
        <w:rPr>
          <w:rFonts w:ascii="Calibri" w:hAnsi="Calibri" w:cs="Calibri"/>
          <w:sz w:val="20"/>
          <w:szCs w:val="20"/>
          <w:lang w:val="en-CA"/>
        </w:rPr>
        <w:t>9</w:t>
      </w:r>
      <w:r w:rsidRPr="00D61C93">
        <w:rPr>
          <w:rFonts w:ascii="Calibri" w:hAnsi="Calibri" w:cs="Calibri"/>
          <w:sz w:val="20"/>
          <w:szCs w:val="20"/>
          <w:lang w:val="en-CA"/>
        </w:rPr>
        <w:t>2</w:t>
      </w:r>
      <w:r w:rsidR="007C38A7" w:rsidRPr="00D61C93">
        <w:rPr>
          <w:rFonts w:ascii="Calibri" w:hAnsi="Calibri" w:cs="Calibri"/>
          <w:sz w:val="20"/>
          <w:szCs w:val="20"/>
          <w:lang w:val="en-CA"/>
        </w:rPr>
        <w:t>4</w:t>
      </w:r>
      <w:r w:rsidR="00302BFE" w:rsidRPr="00D61C93">
        <w:rPr>
          <w:rFonts w:ascii="Calibri" w:hAnsi="Calibri" w:cs="Calibri"/>
          <w:sz w:val="20"/>
          <w:szCs w:val="20"/>
          <w:lang w:val="en-CA"/>
        </w:rPr>
        <w:t xml:space="preserve"> t CO</w:t>
      </w:r>
      <w:r w:rsidR="00302BFE" w:rsidRPr="00D61C93">
        <w:rPr>
          <w:rFonts w:ascii="Calibri" w:hAnsi="Calibri" w:cs="Calibri"/>
          <w:sz w:val="20"/>
          <w:szCs w:val="20"/>
          <w:vertAlign w:val="subscript"/>
          <w:lang w:val="en-CA"/>
        </w:rPr>
        <w:t>2eq</w:t>
      </w:r>
      <w:r w:rsidR="00302BFE" w:rsidRPr="00D61C93">
        <w:rPr>
          <w:rFonts w:ascii="Calibri" w:hAnsi="Calibri" w:cs="Calibri"/>
          <w:sz w:val="20"/>
          <w:szCs w:val="20"/>
          <w:lang w:val="en-CA"/>
        </w:rPr>
        <w:t xml:space="preserve"> avoided emissions of greenhouse gases by reducing deforestation and habitat restoration</w:t>
      </w:r>
    </w:p>
    <w:p w14:paraId="4150E675" w14:textId="77777777" w:rsidR="00302BFE" w:rsidRPr="00DF3864"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D61C93">
        <w:rPr>
          <w:rFonts w:ascii="Calibri" w:eastAsia="Calibri" w:hAnsi="Calibri" w:cs="Calibri"/>
          <w:i/>
          <w:noProof/>
          <w:color w:val="4472C4"/>
          <w:sz w:val="20"/>
          <w:szCs w:val="20"/>
          <w:lang w:val="en-CA" w:eastAsia="fr-CA"/>
        </w:rPr>
        <w:t>Relevance to the GEF objectives</w:t>
      </w:r>
      <w:r w:rsidRPr="00D61C93">
        <w:rPr>
          <w:rFonts w:ascii="Calibri" w:eastAsia="Calibri" w:hAnsi="Calibri" w:cs="Calibri"/>
          <w:noProof/>
          <w:sz w:val="20"/>
          <w:szCs w:val="20"/>
          <w:lang w:val="en-CA" w:eastAsia="fr-CA"/>
        </w:rPr>
        <w:t>. The project’s strategy includes actions to address objectives of the GEF Biodiversity Focal Area, the Land Degradation Focal Area and Climate</w:t>
      </w:r>
      <w:r w:rsidRPr="00DF3864">
        <w:rPr>
          <w:rFonts w:ascii="Calibri" w:eastAsia="Calibri" w:hAnsi="Calibri" w:cs="Calibri"/>
          <w:noProof/>
          <w:sz w:val="20"/>
          <w:szCs w:val="20"/>
          <w:lang w:val="en-CA" w:eastAsia="fr-CA"/>
        </w:rPr>
        <w:t xml:space="preserve"> Change Mitigation Focal Area. More specifically, the project is framed within BD Objective 1 (BD‐1: Improve Sustainability of Protected Area Systems, Program 2: Nature’s Last Stand: Expanding the Reach of the Global Protected Area Estate), LD Objective 1 (LD-1: Maintain or improve flow of agro-ecosystem services to sustain food production </w:t>
      </w:r>
      <w:r w:rsidRPr="00DF3864">
        <w:rPr>
          <w:rFonts w:ascii="Calibri" w:eastAsia="Calibri" w:hAnsi="Calibri" w:cs="Calibri"/>
          <w:noProof/>
          <w:sz w:val="20"/>
          <w:szCs w:val="20"/>
          <w:lang w:val="en-CA" w:eastAsia="fr-CA"/>
        </w:rPr>
        <w:lastRenderedPageBreak/>
        <w:t>and livelihoods, Program 2: SLM for Climate-Smart Agriculture), LD Objective 3 (LD-3: Reduce pressures on natural resources by managing competing land uses in broader landscapes, Program 4: Scaling-up sustainable land management through the Landscape Approach), and CCM Objective 2 (CCM-2: Demonstrate Systemic Impacts of Mitigation Options, Program 4: Promote conservation and enhancement of carbon stocks in forest and in other land uses, and support climate-smart agriculture).</w:t>
      </w:r>
    </w:p>
    <w:p w14:paraId="57A5F549" w14:textId="77777777" w:rsidR="00302BFE" w:rsidRPr="00DF3864"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DF3864">
        <w:rPr>
          <w:rFonts w:ascii="Calibri" w:eastAsia="Calibri" w:hAnsi="Calibri" w:cs="Calibri"/>
          <w:i/>
          <w:noProof/>
          <w:color w:val="4472C4"/>
          <w:sz w:val="20"/>
          <w:szCs w:val="20"/>
          <w:lang w:val="en-CA" w:eastAsia="fr-CA"/>
        </w:rPr>
        <w:t xml:space="preserve">Relevance to SDGs. </w:t>
      </w:r>
      <w:r w:rsidRPr="00DF3864">
        <w:rPr>
          <w:rFonts w:ascii="Calibri" w:eastAsia="Calibri" w:hAnsi="Calibri" w:cs="Calibri"/>
          <w:sz w:val="20"/>
          <w:szCs w:val="20"/>
        </w:rPr>
        <w:t>In addition, the project is part of United Nations Development Program’s (UNDP) effort to support the progress of Burkina Faso’s towards achieving the Sustainable Development Goals (SDGs). In particular, the project will contribute to achieving Goal 1 – End poverty in all its forms everywhere; Goal 2 – Promote sustainable agriculture; Goal 5 – Achieve gender equality and empower all women and girls; Goal 6 – Ensure access to water and sanitation for all; Goal 8 – Decent work and economic growth; Goal 12 – Sustainable consumption and production; Goal 13 – Take urgent action to combat climate change and its impacts; and Goal 15 – Protect, restore and promote sustainable use of terrestrial ecosystems, sustainably manage forests, combat desertification, and halt and reverse land degradation and halt biodiversity loss.</w:t>
      </w:r>
    </w:p>
    <w:p w14:paraId="14BFE91C" w14:textId="5C8E4F40" w:rsidR="00302BFE" w:rsidRDefault="00302BFE" w:rsidP="00C46720">
      <w:pPr>
        <w:pStyle w:val="Paragraphedeliste"/>
        <w:numPr>
          <w:ilvl w:val="0"/>
          <w:numId w:val="32"/>
        </w:numPr>
        <w:tabs>
          <w:tab w:val="left" w:pos="284"/>
        </w:tabs>
        <w:spacing w:before="120" w:after="120"/>
        <w:ind w:left="0" w:firstLine="0"/>
        <w:jc w:val="both"/>
        <w:rPr>
          <w:rFonts w:ascii="Calibri" w:hAnsi="Calibri"/>
          <w:sz w:val="20"/>
          <w:szCs w:val="20"/>
          <w:lang w:val="en-CA"/>
        </w:rPr>
      </w:pPr>
      <w:r w:rsidRPr="00EE201B">
        <w:rPr>
          <w:rFonts w:ascii="Calibri" w:eastAsia="Calibri" w:hAnsi="Calibri" w:cs="Calibri"/>
          <w:i/>
          <w:noProof/>
          <w:color w:val="4472C4"/>
          <w:sz w:val="20"/>
          <w:szCs w:val="20"/>
          <w:lang w:val="en-CA" w:eastAsia="fr-CA"/>
        </w:rPr>
        <w:t xml:space="preserve">Relevance to Aichi biodiversity targets. </w:t>
      </w:r>
      <w:r w:rsidRPr="00EE201B">
        <w:rPr>
          <w:rFonts w:ascii="Calibri" w:hAnsi="Calibri"/>
          <w:sz w:val="20"/>
          <w:szCs w:val="20"/>
          <w:lang w:val="en-CA"/>
        </w:rPr>
        <w:t xml:space="preserve">This project contributes to several Aichi Targets and to Burkina Faso’s commitments under the CBD. </w:t>
      </w:r>
      <w:r w:rsidRPr="00EE201B">
        <w:rPr>
          <w:rFonts w:ascii="Calibri" w:eastAsia="MS Mincho" w:hAnsi="Calibri"/>
          <w:sz w:val="20"/>
          <w:szCs w:val="20"/>
          <w:lang w:val="en-CA"/>
        </w:rPr>
        <w:t>Under all components, it involves e</w:t>
      </w:r>
      <w:proofErr w:type="spellStart"/>
      <w:r w:rsidRPr="00EE201B">
        <w:rPr>
          <w:rFonts w:ascii="Calibri" w:eastAsia="MS Mincho" w:hAnsi="Calibri"/>
          <w:sz w:val="20"/>
          <w:szCs w:val="20"/>
        </w:rPr>
        <w:t>xtensive</w:t>
      </w:r>
      <w:proofErr w:type="spellEnd"/>
      <w:r w:rsidRPr="00EE201B">
        <w:rPr>
          <w:rFonts w:ascii="Calibri" w:eastAsia="MS Mincho" w:hAnsi="Calibri"/>
          <w:sz w:val="20"/>
          <w:szCs w:val="20"/>
        </w:rPr>
        <w:t xml:space="preserve"> participatory processes involving stakeholders at all levels across the landscape to be included in environmental decision-making and planning which involves raising their awareness on the impacts of environmental degradation on the regional and local economy and livelihoods and on the urgency of halting environmental pressures related to unsustainable use of natural resources, thus contributing to Aichi target 1. By mainstreaming biodiversity priorities and ecosystem services in the land-use planning in the surrounding landscape, including through the certification of shea production areas, and including incentives to foster compliance to the PONASI landscape master plan developed following the landscape approach, the project will contribute to Aichi target 2 on integration of biodiversity values into national planning and reporting, to Aichi target 3 on positive incentives for the conservation and sustainable use of biodiversity, and to Aichi target 14 on restoring and safeguarding ecosystems that provide services that are essential to local communities livelihoods. This plan that will be developed through a widely participatory process including authorities at regional and commune levels will be officially endorsed by them and by national authorities and will include prescriptions for protection and productive land units within the landscape to support and improve conservation and sustainable use of natural resources, thus contributing to Aichi target 4. The development of these management prescriptions will </w:t>
      </w:r>
      <w:proofErr w:type="gramStart"/>
      <w:r w:rsidRPr="00EE201B">
        <w:rPr>
          <w:rFonts w:ascii="Calibri" w:eastAsia="MS Mincho" w:hAnsi="Calibri"/>
          <w:sz w:val="20"/>
          <w:szCs w:val="20"/>
        </w:rPr>
        <w:t>take into account</w:t>
      </w:r>
      <w:proofErr w:type="gramEnd"/>
      <w:r w:rsidRPr="00EE201B">
        <w:rPr>
          <w:rFonts w:ascii="Calibri" w:eastAsia="MS Mincho" w:hAnsi="Calibri"/>
          <w:sz w:val="20"/>
          <w:szCs w:val="20"/>
        </w:rPr>
        <w:t xml:space="preserve"> traditional knowledge on the management of natural resources, namely women knowledge as regards NTFP, in line with Aichi target 18. The project is also clearly contributing to Aichi targets 5, 7 and 15: interventions under component 1 will document carbon stock estimations within the PONASI landscape to integrate the REDD+ mechanism which will serve as an important incentive to reduce deforestation, and interventions under component 3, output 3.2 are specifically targeting the various types of forest areas in the landscape to ensure their sustainable management. </w:t>
      </w:r>
      <w:r w:rsidRPr="00EE201B">
        <w:rPr>
          <w:rFonts w:ascii="Calibri" w:hAnsi="Calibri"/>
          <w:sz w:val="20"/>
          <w:szCs w:val="20"/>
          <w:lang w:val="en-CA"/>
        </w:rPr>
        <w:t>The project is contributing to Aichi target 11 related to the conservation of well-connected systems of PAs through strengthening the management of the PONASI complex of PAs over 321,781 ha and gazetting and securing the corridor #2 over 33,000 ha. As a contribution to Aichi target 12, the conservation of elephants is the major biodiversity focus of this project which, beyond improving the management of PAs including ecological corridors to secure elephants’ habitats, includes a specific output to develop a protection plan based on the SAFE Systems approach and on a targeted research project to better understand elephant movements within and around the PONASI landscape. The project provides for the development and operation of an information system to monitor the implementation of the Landscape Management Master Plan and related impacts, based on selected biodiversity and socio-economic indicators. In addition, component 4 provides for the dissemination of technical knowledge and learnings collated throughout the project implementation, thus contributing to Aichi target 19.</w:t>
      </w:r>
    </w:p>
    <w:p w14:paraId="0A2D128C" w14:textId="63603772" w:rsidR="007C70C8" w:rsidRPr="00BA023E" w:rsidRDefault="00D21F62" w:rsidP="00A63E29">
      <w:pPr>
        <w:tabs>
          <w:tab w:val="left" w:pos="284"/>
        </w:tabs>
        <w:spacing w:before="120" w:after="120"/>
        <w:rPr>
          <w:szCs w:val="20"/>
          <w:u w:val="single"/>
          <w:lang w:val="en-CA"/>
        </w:rPr>
      </w:pPr>
      <w:r w:rsidRPr="00BA023E">
        <w:rPr>
          <w:szCs w:val="20"/>
          <w:u w:val="single"/>
          <w:lang w:val="en-CA"/>
        </w:rPr>
        <w:t xml:space="preserve">43. </w:t>
      </w:r>
      <w:r w:rsidR="007C70C8" w:rsidRPr="00BA023E">
        <w:rPr>
          <w:szCs w:val="20"/>
          <w:u w:val="single"/>
          <w:lang w:val="en-CA"/>
        </w:rPr>
        <w:t xml:space="preserve">Relevance to the NDRs.  </w:t>
      </w:r>
    </w:p>
    <w:p w14:paraId="7E2D2872" w14:textId="77777777" w:rsidR="007C70C8" w:rsidRPr="00BA023E" w:rsidRDefault="007C70C8" w:rsidP="00A63E29">
      <w:pPr>
        <w:tabs>
          <w:tab w:val="left" w:pos="284"/>
        </w:tabs>
        <w:spacing w:before="120" w:after="120"/>
        <w:rPr>
          <w:szCs w:val="20"/>
          <w:lang w:val="en-CA"/>
        </w:rPr>
      </w:pPr>
      <w:r w:rsidRPr="00BA023E">
        <w:rPr>
          <w:szCs w:val="20"/>
          <w:lang w:val="en-CA"/>
        </w:rPr>
        <w:t xml:space="preserve">The project will contribute to the operationalization of Axis 3 "consolidate the development of human capital and national solidarity" and Axis 4 "energize the sectors that are conducive to the economy and employment" of the PNDES 2 (2021-2025), through the strategic objectives: 3.4 "promote decent employment and social protection for all, particularly for young people and women", 4. 1 "to develop a productive and resilient </w:t>
      </w:r>
      <w:proofErr w:type="spellStart"/>
      <w:r w:rsidRPr="00BA023E">
        <w:rPr>
          <w:szCs w:val="20"/>
          <w:lang w:val="en-CA"/>
        </w:rPr>
        <w:t>agro</w:t>
      </w:r>
      <w:proofErr w:type="spellEnd"/>
      <w:r w:rsidRPr="00BA023E">
        <w:rPr>
          <w:szCs w:val="20"/>
          <w:lang w:val="en-CA"/>
        </w:rPr>
        <w:t>-</w:t>
      </w:r>
      <w:proofErr w:type="spellStart"/>
      <w:r w:rsidRPr="00BA023E">
        <w:rPr>
          <w:szCs w:val="20"/>
          <w:lang w:val="en-CA"/>
        </w:rPr>
        <w:t>sylvo</w:t>
      </w:r>
      <w:proofErr w:type="spellEnd"/>
      <w:r w:rsidRPr="00BA023E">
        <w:rPr>
          <w:szCs w:val="20"/>
          <w:lang w:val="en-CA"/>
        </w:rPr>
        <w:t xml:space="preserve">-pastoral, wildlife and fisheries sector that is more market-oriented" and 4.5 "to reverse the degradation of the environment and natural resources in order to promote climate resilience and reduce greenhouse gas emissions". </w:t>
      </w:r>
    </w:p>
    <w:p w14:paraId="2575A855" w14:textId="77777777" w:rsidR="007C70C8" w:rsidRPr="00BA023E" w:rsidRDefault="007C70C8" w:rsidP="00A63E29">
      <w:pPr>
        <w:tabs>
          <w:tab w:val="left" w:pos="284"/>
        </w:tabs>
        <w:spacing w:before="120" w:after="120"/>
        <w:rPr>
          <w:szCs w:val="20"/>
          <w:lang w:val="en-CA"/>
        </w:rPr>
      </w:pPr>
      <w:r w:rsidRPr="00BA023E">
        <w:rPr>
          <w:szCs w:val="20"/>
          <w:lang w:val="en-CA"/>
        </w:rPr>
        <w:t xml:space="preserve">The project will also contribute to the operationalization of the sectoral policy of </w:t>
      </w:r>
      <w:proofErr w:type="spellStart"/>
      <w:r w:rsidRPr="00BA023E">
        <w:rPr>
          <w:szCs w:val="20"/>
          <w:lang w:val="en-CA"/>
        </w:rPr>
        <w:t>agro</w:t>
      </w:r>
      <w:proofErr w:type="spellEnd"/>
      <w:r w:rsidRPr="00BA023E">
        <w:rPr>
          <w:szCs w:val="20"/>
          <w:lang w:val="en-CA"/>
        </w:rPr>
        <w:t>-</w:t>
      </w:r>
      <w:proofErr w:type="spellStart"/>
      <w:r w:rsidRPr="00BA023E">
        <w:rPr>
          <w:szCs w:val="20"/>
          <w:lang w:val="en-CA"/>
        </w:rPr>
        <w:t>sylvo</w:t>
      </w:r>
      <w:proofErr w:type="spellEnd"/>
      <w:r w:rsidRPr="00BA023E">
        <w:rPr>
          <w:szCs w:val="20"/>
          <w:lang w:val="en-CA"/>
        </w:rPr>
        <w:t>-pastoral production, through its strategic axis 3: "sustainable management of resources" and more specifically at the level of SO 3.1: "preserve and protect forest and wildlife resources in a sustainable manner".</w:t>
      </w:r>
    </w:p>
    <w:p w14:paraId="2DC795BA" w14:textId="77777777" w:rsidR="007C70C8" w:rsidRPr="00BA023E" w:rsidRDefault="007C70C8" w:rsidP="00A63E29">
      <w:pPr>
        <w:tabs>
          <w:tab w:val="left" w:pos="284"/>
        </w:tabs>
        <w:spacing w:before="120" w:after="120"/>
        <w:rPr>
          <w:szCs w:val="20"/>
          <w:lang w:val="en-CA"/>
        </w:rPr>
      </w:pPr>
      <w:r w:rsidRPr="00BA023E">
        <w:rPr>
          <w:szCs w:val="20"/>
          <w:lang w:val="en-CA"/>
        </w:rPr>
        <w:t xml:space="preserve">Finally, the project will contribute to the implementation of the National Strategy for the Environment (SNE; 2019-2023) through SO 1 of axis 1 of the said strategy, relating to the sustainable management of forest resources. </w:t>
      </w:r>
    </w:p>
    <w:p w14:paraId="215E86C1" w14:textId="77777777" w:rsidR="00302BFE" w:rsidRPr="00BA023E" w:rsidRDefault="00302BFE" w:rsidP="00302BFE">
      <w:pPr>
        <w:pStyle w:val="Paragraphedeliste"/>
        <w:tabs>
          <w:tab w:val="left" w:pos="720"/>
        </w:tabs>
        <w:autoSpaceDE w:val="0"/>
        <w:autoSpaceDN w:val="0"/>
        <w:adjustRightInd w:val="0"/>
        <w:ind w:left="0"/>
        <w:jc w:val="both"/>
        <w:rPr>
          <w:rFonts w:ascii="Calibri" w:eastAsia="Calibri" w:hAnsi="Calibri" w:cs="Calibri"/>
          <w:noProof/>
          <w:sz w:val="20"/>
          <w:szCs w:val="20"/>
          <w:lang w:val="en-CA" w:eastAsia="fr-CA"/>
        </w:rPr>
      </w:pPr>
    </w:p>
    <w:p w14:paraId="69B2ED92" w14:textId="7FA8AF1A" w:rsidR="00302BFE" w:rsidRPr="00A63E29" w:rsidRDefault="00C12980" w:rsidP="00302BFE">
      <w:pPr>
        <w:pStyle w:val="Paragraphedeliste"/>
        <w:tabs>
          <w:tab w:val="left" w:pos="284"/>
        </w:tabs>
        <w:spacing w:before="120" w:after="120"/>
        <w:ind w:left="0"/>
        <w:jc w:val="both"/>
        <w:rPr>
          <w:rFonts w:ascii="Calibri" w:eastAsia="Calibri" w:hAnsi="Calibri" w:cs="Calibri"/>
          <w:b/>
          <w:bCs/>
          <w:noProof/>
          <w:sz w:val="22"/>
          <w:szCs w:val="22"/>
          <w:lang w:val="en-CA" w:eastAsia="fr-CA"/>
        </w:rPr>
      </w:pPr>
      <w:r w:rsidRPr="00BA023E">
        <w:rPr>
          <w:rFonts w:ascii="Calibri" w:eastAsia="Calibri" w:hAnsi="Calibri" w:cs="Calibri"/>
          <w:b/>
          <w:bCs/>
          <w:noProof/>
          <w:sz w:val="22"/>
          <w:szCs w:val="22"/>
          <w:lang w:val="en-CA" w:eastAsia="fr-CA"/>
        </w:rPr>
        <w:t>Theory of project change</w:t>
      </w:r>
    </w:p>
    <w:p w14:paraId="08502B3E" w14:textId="77777777" w:rsidR="00C12980" w:rsidRDefault="00C12980" w:rsidP="00302BFE">
      <w:pPr>
        <w:pStyle w:val="Paragraphedeliste"/>
        <w:tabs>
          <w:tab w:val="left" w:pos="284"/>
        </w:tabs>
        <w:spacing w:before="120" w:after="120"/>
        <w:ind w:left="0"/>
        <w:jc w:val="both"/>
        <w:rPr>
          <w:rFonts w:ascii="Calibri" w:eastAsia="Calibri" w:hAnsi="Calibri" w:cs="Calibri"/>
          <w:noProof/>
          <w:sz w:val="20"/>
          <w:szCs w:val="20"/>
          <w:lang w:val="en-CA" w:eastAsia="fr-CA"/>
        </w:rPr>
      </w:pPr>
    </w:p>
    <w:p w14:paraId="42645AB4" w14:textId="1050D6E1" w:rsidR="00C12980" w:rsidRDefault="00C12980" w:rsidP="00302BFE">
      <w:pPr>
        <w:pStyle w:val="Paragraphedeliste"/>
        <w:tabs>
          <w:tab w:val="left" w:pos="284"/>
        </w:tabs>
        <w:spacing w:before="120" w:after="120"/>
        <w:ind w:left="0"/>
        <w:jc w:val="both"/>
        <w:rPr>
          <w:rFonts w:ascii="Calibri" w:eastAsia="Calibri" w:hAnsi="Calibri" w:cs="Calibri"/>
          <w:noProof/>
          <w:sz w:val="20"/>
          <w:szCs w:val="20"/>
          <w:lang w:val="en-CA" w:eastAsia="fr-CA"/>
        </w:rPr>
        <w:sectPr w:rsidR="00C12980" w:rsidSect="00243B15">
          <w:footerReference w:type="default" r:id="rId20"/>
          <w:footerReference w:type="first" r:id="rId21"/>
          <w:pgSz w:w="12240" w:h="15840" w:code="1"/>
          <w:pgMar w:top="720" w:right="720" w:bottom="720" w:left="720" w:header="720" w:footer="431" w:gutter="0"/>
          <w:cols w:space="708"/>
          <w:titlePg/>
          <w:docGrid w:linePitch="360"/>
        </w:sectPr>
      </w:pPr>
    </w:p>
    <w:p w14:paraId="1EF874E6" w14:textId="77777777" w:rsidR="00302BFE" w:rsidRDefault="00302BFE" w:rsidP="00302BFE">
      <w:pPr>
        <w:pStyle w:val="Paragraphedeliste"/>
        <w:tabs>
          <w:tab w:val="left" w:pos="720"/>
        </w:tabs>
        <w:autoSpaceDE w:val="0"/>
        <w:autoSpaceDN w:val="0"/>
        <w:adjustRightInd w:val="0"/>
        <w:ind w:left="0"/>
        <w:jc w:val="both"/>
        <w:rPr>
          <w:rFonts w:ascii="Calibri" w:hAnsi="Calibri" w:cs="Calibri"/>
          <w:sz w:val="20"/>
          <w:szCs w:val="20"/>
          <w:lang w:val="en-CA"/>
        </w:rPr>
      </w:pPr>
      <w:r>
        <w:rPr>
          <w:noProof/>
        </w:rPr>
        <w:lastRenderedPageBreak/>
        <mc:AlternateContent>
          <mc:Choice Requires="wps">
            <w:drawing>
              <wp:anchor distT="0" distB="0" distL="114300" distR="114300" simplePos="0" relativeHeight="251676672" behindDoc="0" locked="0" layoutInCell="1" allowOverlap="1" wp14:anchorId="125C070F" wp14:editId="6F877648">
                <wp:simplePos x="0" y="0"/>
                <wp:positionH relativeFrom="margin">
                  <wp:posOffset>-579120</wp:posOffset>
                </wp:positionH>
                <wp:positionV relativeFrom="paragraph">
                  <wp:posOffset>-368935</wp:posOffset>
                </wp:positionV>
                <wp:extent cx="636270" cy="571500"/>
                <wp:effectExtent l="0" t="0" r="11430" b="19050"/>
                <wp:wrapNone/>
                <wp:docPr id="182"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571500"/>
                        </a:xfrm>
                        <a:prstGeom prst="rect">
                          <a:avLst/>
                        </a:prstGeom>
                        <a:solidFill>
                          <a:sysClr val="window" lastClr="FFFFFF"/>
                        </a:solidFill>
                        <a:ln w="25400" cap="flat" cmpd="sng" algn="ctr">
                          <a:solidFill>
                            <a:srgbClr val="4BACC6"/>
                          </a:solidFill>
                          <a:prstDash val="solid"/>
                        </a:ln>
                        <a:effectLst/>
                      </wps:spPr>
                      <wps:txbx>
                        <w:txbxContent>
                          <w:p w14:paraId="152B069D" w14:textId="77777777" w:rsidR="00ED1ADA" w:rsidRDefault="00ED1ADA" w:rsidP="00302BFE">
                            <w:pPr>
                              <w:pStyle w:val="NormalWeb"/>
                              <w:spacing w:after="0"/>
                              <w:jc w:val="center"/>
                              <w:rPr>
                                <w:color w:val="C45911"/>
                                <w:sz w:val="16"/>
                                <w:szCs w:val="16"/>
                              </w:rPr>
                            </w:pPr>
                            <w:r>
                              <w:rPr>
                                <w:b/>
                                <w:bCs/>
                                <w:color w:val="000000"/>
                                <w:kern w:val="24"/>
                                <w:sz w:val="16"/>
                                <w:szCs w:val="16"/>
                              </w:rPr>
                              <w:t>Project Impacts</w:t>
                            </w:r>
                          </w:p>
                        </w:txbxContent>
                      </wps:txbx>
                      <wps:bodyPr wrap="square"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rect w14:anchorId="125C070F" id="Rectangle 182" o:spid="_x0000_s1026" style="position:absolute;left:0;text-align:left;margin-left:-45.6pt;margin-top:-29.05pt;width:50.1pt;height:4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" fillcolor="window" strokecolor="#4bacc6" strokeweight="2pt">
                <v:path arrowok="t"/>
                <v:textbox inset="3.38303mm,1.6915mm,3.38303mm,1.6915mm">
                  <w:txbxContent>
                    <w:p w14:paraId="152B069D" w14:textId="77777777" w:rsidR="00ED1ADA" w:rsidRDefault="00ED1ADA" w:rsidP="00302BFE">
                      <w:pPr>
                        <w:pStyle w:val="NormalWeb"/>
                        <w:spacing w:after="0"/>
                        <w:jc w:val="center"/>
                        <w:rPr>
                          <w:color w:val="C45911"/>
                          <w:sz w:val="16"/>
                          <w:szCs w:val="16"/>
                        </w:rPr>
                      </w:pPr>
                      <w:r>
                        <w:rPr>
                          <w:b/>
                          <w:bCs/>
                          <w:color w:val="000000"/>
                          <w:kern w:val="24"/>
                          <w:sz w:val="16"/>
                          <w:szCs w:val="16"/>
                        </w:rPr>
                        <w:t>Project Impacts</w:t>
                      </w:r>
                    </w:p>
                  </w:txbxContent>
                </v:textbox>
                <w10:wrap anchorx="margin"/>
              </v:rect>
            </w:pict>
          </mc:Fallback>
        </mc:AlternateContent>
      </w:r>
    </w:p>
    <w:p w14:paraId="3CA9564D" w14:textId="77777777" w:rsidR="00302BFE" w:rsidRDefault="00302BFE" w:rsidP="00302BFE">
      <w:pPr>
        <w:rPr>
          <w:rFonts w:ascii="Times New Roman" w:hAnsi="Times New Roman"/>
          <w:i/>
          <w:color w:val="000000"/>
          <w:szCs w:val="20"/>
          <w:lang w:val="en-CA"/>
        </w:rPr>
      </w:pPr>
      <w:r>
        <w:rPr>
          <w:noProof/>
        </w:rPr>
        <mc:AlternateContent>
          <mc:Choice Requires="wps">
            <w:drawing>
              <wp:anchor distT="0" distB="0" distL="114300" distR="114300" simplePos="0" relativeHeight="251674624" behindDoc="0" locked="0" layoutInCell="1" allowOverlap="1" wp14:anchorId="3AD18BF6" wp14:editId="13F3341C">
                <wp:simplePos x="0" y="0"/>
                <wp:positionH relativeFrom="margin">
                  <wp:posOffset>-612775</wp:posOffset>
                </wp:positionH>
                <wp:positionV relativeFrom="paragraph">
                  <wp:posOffset>235585</wp:posOffset>
                </wp:positionV>
                <wp:extent cx="669925" cy="456565"/>
                <wp:effectExtent l="0" t="0" r="15875" b="19685"/>
                <wp:wrapNone/>
                <wp:docPr id="166"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456565"/>
                        </a:xfrm>
                        <a:prstGeom prst="rect">
                          <a:avLst/>
                        </a:prstGeom>
                        <a:solidFill>
                          <a:sysClr val="window" lastClr="FFFFFF"/>
                        </a:solidFill>
                        <a:ln w="25400" cap="flat" cmpd="sng" algn="ctr">
                          <a:solidFill>
                            <a:srgbClr val="70AD47">
                              <a:lumMod val="75000"/>
                            </a:srgbClr>
                          </a:solidFill>
                          <a:prstDash val="solid"/>
                        </a:ln>
                        <a:effectLst/>
                      </wps:spPr>
                      <wps:txbx>
                        <w:txbxContent>
                          <w:p w14:paraId="33A84070" w14:textId="77777777" w:rsidR="00ED1ADA" w:rsidRDefault="00ED1ADA" w:rsidP="00302BFE">
                            <w:pPr>
                              <w:pStyle w:val="NormalWeb"/>
                              <w:ind w:left="-113" w:right="-113"/>
                              <w:jc w:val="center"/>
                              <w:rPr>
                                <w:sz w:val="16"/>
                                <w:szCs w:val="16"/>
                              </w:rPr>
                            </w:pPr>
                            <w:r>
                              <w:rPr>
                                <w:b/>
                                <w:bCs/>
                                <w:color w:val="000000"/>
                                <w:kern w:val="24"/>
                                <w:sz w:val="16"/>
                                <w:szCs w:val="16"/>
                              </w:rPr>
                              <w:t>Project Outcomes</w:t>
                            </w:r>
                          </w:p>
                        </w:txbxContent>
                      </wps:txbx>
                      <wps:bodyPr wrap="square" lIns="121789" tIns="60894" rIns="121789" bIns="60894" spcCol="0" rtlCol="0" anchor="ctr"/>
                    </wps:wsp>
                  </a:graphicData>
                </a:graphic>
                <wp14:sizeRelH relativeFrom="page">
                  <wp14:pctWidth>0</wp14:pctWidth>
                </wp14:sizeRelH>
                <wp14:sizeRelV relativeFrom="page">
                  <wp14:pctHeight>0</wp14:pctHeight>
                </wp14:sizeRelV>
              </wp:anchor>
            </w:drawing>
          </mc:Choice>
          <mc:Fallback>
            <w:pict>
              <v:rect w14:anchorId="3AD18BF6" id="Rectangle 166" o:spid="_x0000_s1027" style="position:absolute;left:0;text-align:left;margin-left:-48.25pt;margin-top:18.55pt;width:52.75pt;height:35.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" fillcolor="window" strokecolor="#548235" strokeweight="2pt">
                <v:path arrowok="t"/>
                <v:textbox inset="3.38303mm,1.6915mm,3.38303mm,1.6915mm">
                  <w:txbxContent>
                    <w:p w14:paraId="33A84070" w14:textId="77777777" w:rsidR="00ED1ADA" w:rsidRDefault="00ED1ADA" w:rsidP="00302BFE">
                      <w:pPr>
                        <w:pStyle w:val="NormalWeb"/>
                        <w:ind w:left="-113" w:right="-113"/>
                        <w:jc w:val="center"/>
                        <w:rPr>
                          <w:sz w:val="16"/>
                          <w:szCs w:val="16"/>
                        </w:rPr>
                      </w:pPr>
                      <w:r>
                        <w:rPr>
                          <w:b/>
                          <w:bCs/>
                          <w:color w:val="000000"/>
                          <w:kern w:val="24"/>
                          <w:sz w:val="16"/>
                          <w:szCs w:val="16"/>
                        </w:rPr>
                        <w:t>Project Outcomes</w:t>
                      </w:r>
                    </w:p>
                  </w:txbxContent>
                </v:textbox>
                <w10:wrap anchorx="margin"/>
              </v:rect>
            </w:pict>
          </mc:Fallback>
        </mc:AlternateContent>
      </w:r>
      <w:r>
        <w:rPr>
          <w:noProof/>
        </w:rPr>
        <mc:AlternateContent>
          <mc:Choice Requires="wps">
            <w:drawing>
              <wp:anchor distT="0" distB="0" distL="114300" distR="114300" simplePos="0" relativeHeight="251666432" behindDoc="0" locked="0" layoutInCell="1" allowOverlap="1" wp14:anchorId="7422E48B" wp14:editId="79A6A88C">
                <wp:simplePos x="0" y="0"/>
                <wp:positionH relativeFrom="margin">
                  <wp:posOffset>4384675</wp:posOffset>
                </wp:positionH>
                <wp:positionV relativeFrom="paragraph">
                  <wp:posOffset>1139190</wp:posOffset>
                </wp:positionV>
                <wp:extent cx="207010" cy="8061325"/>
                <wp:effectExtent l="0" t="2858" r="18733" b="18732"/>
                <wp:wrapNone/>
                <wp:docPr id="145" name="Accolade ouvrant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07010" cy="8061325"/>
                        </a:xfrm>
                        <a:prstGeom prst="leftBrace">
                          <a:avLst>
                            <a:gd name="adj1" fmla="val 8333"/>
                            <a:gd name="adj2" fmla="val 50431"/>
                          </a:avLst>
                        </a:prstGeom>
                        <a:noFill/>
                        <a:ln w="9525" cap="flat" cmpd="sng" algn="ctr">
                          <a:solidFill>
                            <a:srgbClr val="4F81BD">
                              <a:shade val="95000"/>
                              <a:satMod val="105000"/>
                            </a:srgbClr>
                          </a:solidFill>
                          <a:prstDash val="solid"/>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70EB45B1"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145" o:spid="_x0000_s1026" type="#_x0000_t87" style="position:absolute;margin-left:345.25pt;margin-top:89.7pt;width:16.3pt;height:634.75pt;rotation:90;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" adj="46,10893" strokecolor="#4a7ebb">
                <w10:wrap anchorx="margin"/>
              </v:shape>
            </w:pict>
          </mc:Fallback>
        </mc:AlternateContent>
      </w:r>
      <w:r>
        <w:rPr>
          <w:noProof/>
        </w:rPr>
        <mc:AlternateContent>
          <mc:Choice Requires="wps">
            <w:drawing>
              <wp:anchor distT="0" distB="0" distL="114300" distR="114300" simplePos="0" relativeHeight="251668480" behindDoc="0" locked="0" layoutInCell="1" allowOverlap="1" wp14:anchorId="099CED09" wp14:editId="643E3494">
                <wp:simplePos x="0" y="0"/>
                <wp:positionH relativeFrom="margin">
                  <wp:posOffset>257810</wp:posOffset>
                </wp:positionH>
                <wp:positionV relativeFrom="paragraph">
                  <wp:posOffset>-532765</wp:posOffset>
                </wp:positionV>
                <wp:extent cx="902970" cy="701040"/>
                <wp:effectExtent l="0" t="0" r="11430" b="22860"/>
                <wp:wrapNone/>
                <wp:docPr id="172" name="Zone de texte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2970" cy="701040"/>
                        </a:xfrm>
                        <a:prstGeom prst="rect">
                          <a:avLst/>
                        </a:prstGeom>
                        <a:noFill/>
                        <a:ln w="12700">
                          <a:solidFill>
                            <a:srgbClr val="4BACC6"/>
                          </a:solidFill>
                        </a:ln>
                      </wps:spPr>
                      <wps:txbx>
                        <w:txbxContent>
                          <w:p w14:paraId="5D2F160C" w14:textId="77777777" w:rsidR="00ED1ADA" w:rsidRDefault="00ED1ADA" w:rsidP="00302BFE">
                            <w:pPr>
                              <w:pStyle w:val="NormalWeb"/>
                              <w:spacing w:after="0"/>
                              <w:ind w:left="-113" w:right="-113"/>
                              <w:jc w:val="center"/>
                              <w:rPr>
                                <w:sz w:val="14"/>
                                <w:szCs w:val="14"/>
                                <w:lang w:val="en-CA"/>
                              </w:rPr>
                            </w:pPr>
                            <w:r>
                              <w:rPr>
                                <w:sz w:val="14"/>
                                <w:szCs w:val="14"/>
                                <w:lang w:val="en-CA"/>
                              </w:rPr>
                              <w:t>Increased management effectiveness over 321,781 ha of existing terrestrial protected areas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099CED09" id="_x0000_t202" coordsize="21600,21600" o:spt="202" path="m,l,21600r21600,l21600,xe">
                <v:stroke joinstyle="miter"/>
                <v:path gradientshapeok="t" o:connecttype="rect"/>
              </v:shapetype>
              <v:shape id="Zone de texte 172" o:spid="_x0000_s1028" type="#_x0000_t202" style="position:absolute;left:0;text-align:left;margin-left:20.3pt;margin-top:-41.95pt;width:71.1pt;height:55.2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" filled="f" strokecolor="#4bacc6" strokeweight="1pt">
                <v:path arrowok="t"/>
                <v:textbox>
                  <w:txbxContent>
                    <w:p w14:paraId="5D2F160C" w14:textId="77777777" w:rsidR="00ED1ADA" w:rsidRDefault="00ED1ADA" w:rsidP="00302BFE">
                      <w:pPr>
                        <w:pStyle w:val="NormalWeb"/>
                        <w:spacing w:after="0"/>
                        <w:ind w:left="-113" w:right="-113"/>
                        <w:jc w:val="center"/>
                        <w:rPr>
                          <w:sz w:val="14"/>
                          <w:szCs w:val="14"/>
                          <w:lang w:val="en-CA"/>
                        </w:rPr>
                      </w:pPr>
                      <w:r>
                        <w:rPr>
                          <w:sz w:val="14"/>
                          <w:szCs w:val="14"/>
                          <w:lang w:val="en-CA"/>
                        </w:rPr>
                        <w:t>Increased management effectiveness over 321,781 ha of existing terrestrial protected areas</w:t>
                      </w:r>
                    </w:p>
                  </w:txbxContent>
                </v:textbox>
                <w10:wrap anchorx="margin"/>
              </v:shape>
            </w:pict>
          </mc:Fallback>
        </mc:AlternateContent>
      </w:r>
      <w:r>
        <w:rPr>
          <w:noProof/>
        </w:rPr>
        <mc:AlternateContent>
          <mc:Choice Requires="wps">
            <w:drawing>
              <wp:anchor distT="0" distB="0" distL="114300" distR="114300" simplePos="0" relativeHeight="251669504" behindDoc="0" locked="0" layoutInCell="1" allowOverlap="1" wp14:anchorId="41740874" wp14:editId="1B751931">
                <wp:simplePos x="0" y="0"/>
                <wp:positionH relativeFrom="margin">
                  <wp:posOffset>4425315</wp:posOffset>
                </wp:positionH>
                <wp:positionV relativeFrom="paragraph">
                  <wp:posOffset>264795</wp:posOffset>
                </wp:positionV>
                <wp:extent cx="2458720" cy="541020"/>
                <wp:effectExtent l="0" t="0" r="17780" b="11430"/>
                <wp:wrapNone/>
                <wp:docPr id="174" name="Zone de texte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8085" cy="541020"/>
                        </a:xfrm>
                        <a:prstGeom prst="rect">
                          <a:avLst/>
                        </a:prstGeom>
                        <a:noFill/>
                        <a:ln w="19050">
                          <a:solidFill>
                            <a:srgbClr val="70AD47">
                              <a:lumMod val="75000"/>
                            </a:srgbClr>
                          </a:solidFill>
                        </a:ln>
                      </wps:spPr>
                      <wps:txbx>
                        <w:txbxContent>
                          <w:p w14:paraId="75017605" w14:textId="77777777" w:rsidR="00ED1ADA" w:rsidRDefault="00ED1ADA" w:rsidP="00302BFE">
                            <w:pPr>
                              <w:pStyle w:val="NormalWeb"/>
                              <w:spacing w:before="0" w:beforeAutospacing="0" w:after="0" w:afterAutospacing="0"/>
                              <w:jc w:val="center"/>
                              <w:rPr>
                                <w:sz w:val="14"/>
                                <w:szCs w:val="14"/>
                                <w:lang w:val="en-CA"/>
                              </w:rPr>
                            </w:pPr>
                            <w:r>
                              <w:rPr>
                                <w:sz w:val="14"/>
                                <w:szCs w:val="14"/>
                                <w:lang w:val="en-CA"/>
                              </w:rPr>
                              <w:t>Adoption of effective agro-silvo-pastoral integrated management practices by local communities within the PONASI landscape</w:t>
                            </w:r>
                          </w:p>
                          <w:p w14:paraId="5419A702" w14:textId="77777777" w:rsidR="00ED1ADA" w:rsidRDefault="00ED1ADA" w:rsidP="00302BFE">
                            <w:pPr>
                              <w:pStyle w:val="NormalWeb"/>
                              <w:spacing w:before="0" w:beforeAutospacing="0" w:after="0" w:afterAutospacing="0"/>
                              <w:jc w:val="center"/>
                              <w:rPr>
                                <w:sz w:val="14"/>
                                <w:szCs w:val="14"/>
                                <w:lang w:val="en-CA"/>
                              </w:rPr>
                            </w:pPr>
                            <w:r>
                              <w:rPr>
                                <w:sz w:val="14"/>
                                <w:szCs w:val="14"/>
                                <w:lang w:val="en-CA"/>
                              </w:rPr>
                              <w:t>Diversified livelihoods of local communities through the development of PA-related tourism and forest products-based value chains</w:t>
                            </w:r>
                          </w:p>
                        </w:txbxContent>
                      </wps:txbx>
                      <wps:bodyPr wrap="square" lIns="2"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41740874" id="Zone de texte 174" o:spid="_x0000_s1029" type="#_x0000_t202" style="position:absolute;left:0;text-align:left;margin-left:348.45pt;margin-top:20.85pt;width:193.6pt;height:42.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" filled="f" strokecolor="#548235" strokeweight="1.5pt">
                <v:path arrowok="t"/>
                <v:textbox inset="6e-5mm,0,0,0">
                  <w:txbxContent>
                    <w:p w14:paraId="75017605" w14:textId="77777777" w:rsidR="00ED1ADA" w:rsidRDefault="00ED1ADA" w:rsidP="00302BFE">
                      <w:pPr>
                        <w:pStyle w:val="NormalWeb"/>
                        <w:spacing w:before="0" w:beforeAutospacing="0" w:after="0" w:afterAutospacing="0"/>
                        <w:jc w:val="center"/>
                        <w:rPr>
                          <w:sz w:val="14"/>
                          <w:szCs w:val="14"/>
                          <w:lang w:val="en-CA"/>
                        </w:rPr>
                      </w:pPr>
                      <w:r>
                        <w:rPr>
                          <w:sz w:val="14"/>
                          <w:szCs w:val="14"/>
                          <w:lang w:val="en-CA"/>
                        </w:rPr>
                        <w:t>Adoption of effective agro-silvo-pastoral integrated management practices by local communities within the PONASI landscape</w:t>
                      </w:r>
                    </w:p>
                    <w:p w14:paraId="5419A702" w14:textId="77777777" w:rsidR="00ED1ADA" w:rsidRDefault="00ED1ADA" w:rsidP="00302BFE">
                      <w:pPr>
                        <w:pStyle w:val="NormalWeb"/>
                        <w:spacing w:before="0" w:beforeAutospacing="0" w:after="0" w:afterAutospacing="0"/>
                        <w:jc w:val="center"/>
                        <w:rPr>
                          <w:sz w:val="14"/>
                          <w:szCs w:val="14"/>
                          <w:lang w:val="en-CA"/>
                        </w:rPr>
                      </w:pPr>
                      <w:r>
                        <w:rPr>
                          <w:sz w:val="14"/>
                          <w:szCs w:val="14"/>
                          <w:lang w:val="en-CA"/>
                        </w:rPr>
                        <w:t>Diversified livelihoods of local communities through the development of PA-related tourism and forest products-based value chains</w:t>
                      </w:r>
                    </w:p>
                  </w:txbxContent>
                </v:textbox>
                <w10:wrap anchorx="margin"/>
              </v:shape>
            </w:pict>
          </mc:Fallback>
        </mc:AlternateContent>
      </w:r>
      <w:r>
        <w:rPr>
          <w:noProof/>
        </w:rPr>
        <mc:AlternateContent>
          <mc:Choice Requires="wps">
            <w:drawing>
              <wp:anchor distT="0" distB="0" distL="114300" distR="114300" simplePos="0" relativeHeight="251680768" behindDoc="0" locked="0" layoutInCell="1" allowOverlap="1" wp14:anchorId="7654387A" wp14:editId="18078BB2">
                <wp:simplePos x="0" y="0"/>
                <wp:positionH relativeFrom="margin">
                  <wp:posOffset>1239520</wp:posOffset>
                </wp:positionH>
                <wp:positionV relativeFrom="paragraph">
                  <wp:posOffset>-544195</wp:posOffset>
                </wp:positionV>
                <wp:extent cx="824230" cy="728980"/>
                <wp:effectExtent l="0" t="0" r="13970" b="13970"/>
                <wp:wrapNone/>
                <wp:docPr id="127" name="Zone de texte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4230" cy="728980"/>
                        </a:xfrm>
                        <a:prstGeom prst="rect">
                          <a:avLst/>
                        </a:prstGeom>
                        <a:noFill/>
                        <a:ln w="12700">
                          <a:solidFill>
                            <a:srgbClr val="4BACC6"/>
                          </a:solidFill>
                        </a:ln>
                      </wps:spPr>
                      <wps:txbx>
                        <w:txbxContent>
                          <w:p w14:paraId="775AD28C" w14:textId="77777777" w:rsidR="00ED1ADA" w:rsidRDefault="00ED1ADA" w:rsidP="00302BFE">
                            <w:pPr>
                              <w:pStyle w:val="NormalWeb"/>
                              <w:spacing w:after="0"/>
                              <w:ind w:left="-113" w:right="-113"/>
                              <w:jc w:val="center"/>
                              <w:rPr>
                                <w:sz w:val="14"/>
                                <w:szCs w:val="14"/>
                                <w:lang w:val="en-CA"/>
                              </w:rPr>
                            </w:pPr>
                            <w:r w:rsidRPr="006E490C">
                              <w:rPr>
                                <w:sz w:val="14"/>
                                <w:szCs w:val="14"/>
                                <w:lang w:val="en-CA"/>
                              </w:rPr>
                              <w:t>Protected areas estate increased by 33,000 ha to secure a corridor for elephant movements</w:t>
                            </w:r>
                            <w:r>
                              <w:rPr>
                                <w:sz w:val="14"/>
                                <w:szCs w:val="14"/>
                                <w:lang w:val="en-CA"/>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654387A" id="Zone de texte 127" o:spid="_x0000_s1030" type="#_x0000_t202" style="position:absolute;left:0;text-align:left;margin-left:97.6pt;margin-top:-42.85pt;width:64.9pt;height:57.4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" filled="f" strokecolor="#4bacc6" strokeweight="1pt">
                <v:path arrowok="t"/>
                <v:textbox>
                  <w:txbxContent>
                    <w:p w14:paraId="775AD28C" w14:textId="77777777" w:rsidR="00ED1ADA" w:rsidRDefault="00ED1ADA" w:rsidP="00302BFE">
                      <w:pPr>
                        <w:pStyle w:val="NormalWeb"/>
                        <w:spacing w:after="0"/>
                        <w:ind w:left="-113" w:right="-113"/>
                        <w:jc w:val="center"/>
                        <w:rPr>
                          <w:sz w:val="14"/>
                          <w:szCs w:val="14"/>
                          <w:lang w:val="en-CA"/>
                        </w:rPr>
                      </w:pPr>
                      <w:r w:rsidRPr="006E490C">
                        <w:rPr>
                          <w:sz w:val="14"/>
                          <w:szCs w:val="14"/>
                          <w:lang w:val="en-CA"/>
                        </w:rPr>
                        <w:t>Protected areas estate increased by 33,000 ha to secure a corridor for elephant movements</w:t>
                      </w:r>
                      <w:r>
                        <w:rPr>
                          <w:sz w:val="14"/>
                          <w:szCs w:val="14"/>
                          <w:lang w:val="en-CA"/>
                        </w:rPr>
                        <w:t xml:space="preserve"> </w:t>
                      </w:r>
                    </w:p>
                  </w:txbxContent>
                </v:textbox>
                <w10:wrap anchorx="margin"/>
              </v:shape>
            </w:pict>
          </mc:Fallback>
        </mc:AlternateContent>
      </w:r>
      <w:r>
        <w:rPr>
          <w:noProof/>
        </w:rPr>
        <mc:AlternateContent>
          <mc:Choice Requires="wps">
            <w:drawing>
              <wp:anchor distT="0" distB="0" distL="114300" distR="114300" simplePos="0" relativeHeight="251682816" behindDoc="0" locked="0" layoutInCell="1" allowOverlap="1" wp14:anchorId="7486EA60" wp14:editId="76DA6659">
                <wp:simplePos x="0" y="0"/>
                <wp:positionH relativeFrom="margin">
                  <wp:posOffset>2148840</wp:posOffset>
                </wp:positionH>
                <wp:positionV relativeFrom="paragraph">
                  <wp:posOffset>-516255</wp:posOffset>
                </wp:positionV>
                <wp:extent cx="790575" cy="700405"/>
                <wp:effectExtent l="0" t="0" r="28575" b="23495"/>
                <wp:wrapNone/>
                <wp:docPr id="126" name="Zone de texte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9940" cy="700405"/>
                        </a:xfrm>
                        <a:prstGeom prst="rect">
                          <a:avLst/>
                        </a:prstGeom>
                        <a:noFill/>
                        <a:ln w="12700">
                          <a:solidFill>
                            <a:srgbClr val="4BACC6"/>
                          </a:solidFill>
                        </a:ln>
                      </wps:spPr>
                      <wps:txbx>
                        <w:txbxContent>
                          <w:p w14:paraId="71A95813" w14:textId="77777777" w:rsidR="00ED1ADA" w:rsidRDefault="00ED1ADA" w:rsidP="00302BFE">
                            <w:pPr>
                              <w:pStyle w:val="NormalWeb"/>
                              <w:ind w:left="-90" w:right="-72"/>
                              <w:jc w:val="center"/>
                              <w:rPr>
                                <w:sz w:val="14"/>
                                <w:szCs w:val="14"/>
                                <w:lang w:val="en-CA"/>
                              </w:rPr>
                            </w:pPr>
                            <w:r w:rsidRPr="006E490C">
                              <w:rPr>
                                <w:sz w:val="14"/>
                                <w:szCs w:val="14"/>
                                <w:lang w:val="en-CA"/>
                              </w:rPr>
                              <w:t>Stabilization of a population of about 600 elephants using the PONASI landscape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486EA60" id="Zone de texte 126" o:spid="_x0000_s1031" type="#_x0000_t202" style="position:absolute;left:0;text-align:left;margin-left:169.2pt;margin-top:-40.65pt;width:62.25pt;height:55.1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" filled="f" strokecolor="#4bacc6" strokeweight="1pt">
                <v:path arrowok="t"/>
                <v:textbox>
                  <w:txbxContent>
                    <w:p w14:paraId="71A95813" w14:textId="77777777" w:rsidR="00ED1ADA" w:rsidRDefault="00ED1ADA" w:rsidP="00302BFE">
                      <w:pPr>
                        <w:pStyle w:val="NormalWeb"/>
                        <w:ind w:left="-90" w:right="-72"/>
                        <w:jc w:val="center"/>
                        <w:rPr>
                          <w:sz w:val="14"/>
                          <w:szCs w:val="14"/>
                          <w:lang w:val="en-CA"/>
                        </w:rPr>
                      </w:pPr>
                      <w:r w:rsidRPr="006E490C">
                        <w:rPr>
                          <w:sz w:val="14"/>
                          <w:szCs w:val="14"/>
                          <w:lang w:val="en-CA"/>
                        </w:rPr>
                        <w:t>Stabilization of a population of about 600 elephants using the PONASI landscape</w:t>
                      </w:r>
                    </w:p>
                  </w:txbxContent>
                </v:textbox>
                <w10:wrap anchorx="margin"/>
              </v:shape>
            </w:pict>
          </mc:Fallback>
        </mc:AlternateContent>
      </w:r>
      <w:r>
        <w:rPr>
          <w:noProof/>
        </w:rPr>
        <mc:AlternateContent>
          <mc:Choice Requires="wps">
            <w:drawing>
              <wp:anchor distT="0" distB="0" distL="114300" distR="114300" simplePos="0" relativeHeight="251683840" behindDoc="0" locked="0" layoutInCell="1" allowOverlap="1" wp14:anchorId="33955FBD" wp14:editId="0486B5CC">
                <wp:simplePos x="0" y="0"/>
                <wp:positionH relativeFrom="margin">
                  <wp:posOffset>4089400</wp:posOffset>
                </wp:positionH>
                <wp:positionV relativeFrom="paragraph">
                  <wp:posOffset>-516255</wp:posOffset>
                </wp:positionV>
                <wp:extent cx="1519555" cy="671195"/>
                <wp:effectExtent l="0" t="0" r="23495" b="14605"/>
                <wp:wrapNone/>
                <wp:docPr id="125" name="Zone de texte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8920" cy="671195"/>
                        </a:xfrm>
                        <a:prstGeom prst="rect">
                          <a:avLst/>
                        </a:prstGeom>
                        <a:noFill/>
                        <a:ln w="12700">
                          <a:solidFill>
                            <a:srgbClr val="4BACC6"/>
                          </a:solidFill>
                        </a:ln>
                      </wps:spPr>
                      <wps:txbx>
                        <w:txbxContent>
                          <w:p w14:paraId="3652C66B" w14:textId="77777777" w:rsidR="00ED1ADA" w:rsidRDefault="00ED1ADA" w:rsidP="00302BFE">
                            <w:pPr>
                              <w:pStyle w:val="NormalWeb"/>
                              <w:spacing w:before="0" w:beforeAutospacing="0" w:after="0" w:afterAutospacing="0"/>
                              <w:ind w:left="-170" w:right="-170"/>
                              <w:jc w:val="center"/>
                              <w:rPr>
                                <w:sz w:val="14"/>
                                <w:szCs w:val="14"/>
                                <w:lang w:val="en-CA"/>
                              </w:rPr>
                            </w:pPr>
                            <w:r w:rsidRPr="006E490C">
                              <w:rPr>
                                <w:sz w:val="14"/>
                                <w:szCs w:val="14"/>
                                <w:lang w:val="en-CA"/>
                              </w:rPr>
                              <w:t>28,365 people, 60% of whom are women, benefit from improved agricultural, pastoral and forestry activities and 1,500 people, 50% of whom are women, benefit from paid work for PA management</w:t>
                            </w:r>
                          </w:p>
                          <w:p w14:paraId="2092C672" w14:textId="77777777" w:rsidR="00ED1ADA" w:rsidRDefault="00ED1ADA" w:rsidP="00302BFE">
                            <w:pPr>
                              <w:pStyle w:val="NormalWeb"/>
                              <w:spacing w:after="0"/>
                              <w:ind w:left="-113" w:right="-113"/>
                              <w:jc w:val="center"/>
                              <w:rPr>
                                <w:sz w:val="14"/>
                                <w:szCs w:val="14"/>
                                <w:lang w:val="en-CA"/>
                              </w:rPr>
                            </w:pPr>
                          </w:p>
                          <w:p w14:paraId="39D3D982" w14:textId="77777777" w:rsidR="00ED1ADA" w:rsidRDefault="00ED1ADA" w:rsidP="00302BFE">
                            <w:pPr>
                              <w:pStyle w:val="NormalWeb"/>
                              <w:spacing w:after="0"/>
                              <w:ind w:left="-113" w:right="-113"/>
                              <w:jc w:val="center"/>
                              <w:rPr>
                                <w:sz w:val="14"/>
                                <w:szCs w:val="14"/>
                                <w:lang w:val="en-CA"/>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3955FBD" id="Zone de texte 125" o:spid="_x0000_s1032" type="#_x0000_t202" style="position:absolute;left:0;text-align:left;margin-left:322pt;margin-top:-40.65pt;width:119.65pt;height:52.8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" filled="f" strokecolor="#4bacc6" strokeweight="1pt">
                <v:path arrowok="t"/>
                <v:textbox>
                  <w:txbxContent>
                    <w:p w14:paraId="3652C66B" w14:textId="77777777" w:rsidR="00ED1ADA" w:rsidRDefault="00ED1ADA" w:rsidP="00302BFE">
                      <w:pPr>
                        <w:pStyle w:val="NormalWeb"/>
                        <w:spacing w:before="0" w:beforeAutospacing="0" w:after="0" w:afterAutospacing="0"/>
                        <w:ind w:left="-170" w:right="-170"/>
                        <w:jc w:val="center"/>
                        <w:rPr>
                          <w:sz w:val="14"/>
                          <w:szCs w:val="14"/>
                          <w:lang w:val="en-CA"/>
                        </w:rPr>
                      </w:pPr>
                      <w:r w:rsidRPr="006E490C">
                        <w:rPr>
                          <w:sz w:val="14"/>
                          <w:szCs w:val="14"/>
                          <w:lang w:val="en-CA"/>
                        </w:rPr>
                        <w:t>28,365 people, 60% of whom are women, benefit from improved agricultural, pastoral and forestry activities and 1,500 people, 50% of whom are women, benefit from paid work for PA management</w:t>
                      </w:r>
                    </w:p>
                    <w:p w14:paraId="2092C672" w14:textId="77777777" w:rsidR="00ED1ADA" w:rsidRDefault="00ED1ADA" w:rsidP="00302BFE">
                      <w:pPr>
                        <w:pStyle w:val="NormalWeb"/>
                        <w:spacing w:after="0"/>
                        <w:ind w:left="-113" w:right="-113"/>
                        <w:jc w:val="center"/>
                        <w:rPr>
                          <w:sz w:val="14"/>
                          <w:szCs w:val="14"/>
                          <w:lang w:val="en-CA"/>
                        </w:rPr>
                      </w:pPr>
                    </w:p>
                    <w:p w14:paraId="39D3D982" w14:textId="77777777" w:rsidR="00ED1ADA" w:rsidRDefault="00ED1ADA" w:rsidP="00302BFE">
                      <w:pPr>
                        <w:pStyle w:val="NormalWeb"/>
                        <w:spacing w:after="0"/>
                        <w:ind w:left="-113" w:right="-113"/>
                        <w:jc w:val="center"/>
                        <w:rPr>
                          <w:sz w:val="14"/>
                          <w:szCs w:val="14"/>
                          <w:lang w:val="en-CA"/>
                        </w:rPr>
                      </w:pPr>
                    </w:p>
                  </w:txbxContent>
                </v:textbox>
                <w10:wrap anchorx="margin"/>
              </v:shape>
            </w:pict>
          </mc:Fallback>
        </mc:AlternateContent>
      </w:r>
      <w:r>
        <w:rPr>
          <w:noProof/>
        </w:rPr>
        <mc:AlternateContent>
          <mc:Choice Requires="wps">
            <w:drawing>
              <wp:anchor distT="0" distB="0" distL="114300" distR="114300" simplePos="0" relativeHeight="251684864" behindDoc="0" locked="0" layoutInCell="1" allowOverlap="1" wp14:anchorId="3EF9084F" wp14:editId="72C09730">
                <wp:simplePos x="0" y="0"/>
                <wp:positionH relativeFrom="margin">
                  <wp:posOffset>6990080</wp:posOffset>
                </wp:positionH>
                <wp:positionV relativeFrom="paragraph">
                  <wp:posOffset>-499110</wp:posOffset>
                </wp:positionV>
                <wp:extent cx="1696085" cy="700405"/>
                <wp:effectExtent l="0" t="0" r="18415" b="23495"/>
                <wp:wrapNone/>
                <wp:docPr id="124" name="Zone de texte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6085" cy="700405"/>
                        </a:xfrm>
                        <a:prstGeom prst="rect">
                          <a:avLst/>
                        </a:prstGeom>
                        <a:noFill/>
                        <a:ln w="12700">
                          <a:solidFill>
                            <a:srgbClr val="4BACC6"/>
                          </a:solidFill>
                        </a:ln>
                      </wps:spPr>
                      <wps:txbx>
                        <w:txbxContent>
                          <w:p w14:paraId="7644935F" w14:textId="77777777" w:rsidR="00ED1ADA" w:rsidRDefault="00ED1ADA" w:rsidP="00302BFE">
                            <w:pPr>
                              <w:pStyle w:val="NormalWeb"/>
                              <w:spacing w:after="0"/>
                              <w:ind w:left="-113" w:right="-113"/>
                              <w:jc w:val="center"/>
                              <w:rPr>
                                <w:sz w:val="14"/>
                                <w:szCs w:val="14"/>
                                <w:lang w:val="en-CA"/>
                              </w:rPr>
                            </w:pPr>
                            <w:r w:rsidRPr="006E490C">
                              <w:rPr>
                                <w:sz w:val="14"/>
                                <w:szCs w:val="14"/>
                                <w:lang w:val="en-CA"/>
                              </w:rPr>
                              <w:t>129,478 ha of area devoted to improved agro-silvo-pastoral and climate-resilient agriculture practices and 11,000 ha of restored agroforestry ecosystems, thus preserving biodiversity and important ecosystem services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EF9084F" id="Zone de texte 124" o:spid="_x0000_s1033" type="#_x0000_t202" style="position:absolute;left:0;text-align:left;margin-left:550.4pt;margin-top:-39.3pt;width:133.55pt;height:55.1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" filled="f" strokecolor="#4bacc6" strokeweight="1pt">
                <v:path arrowok="t"/>
                <v:textbox>
                  <w:txbxContent>
                    <w:p w14:paraId="7644935F" w14:textId="77777777" w:rsidR="00ED1ADA" w:rsidRDefault="00ED1ADA" w:rsidP="00302BFE">
                      <w:pPr>
                        <w:pStyle w:val="NormalWeb"/>
                        <w:spacing w:after="0"/>
                        <w:ind w:left="-113" w:right="-113"/>
                        <w:jc w:val="center"/>
                        <w:rPr>
                          <w:sz w:val="14"/>
                          <w:szCs w:val="14"/>
                          <w:lang w:val="en-CA"/>
                        </w:rPr>
                      </w:pPr>
                      <w:r w:rsidRPr="006E490C">
                        <w:rPr>
                          <w:sz w:val="14"/>
                          <w:szCs w:val="14"/>
                          <w:lang w:val="en-CA"/>
                        </w:rPr>
                        <w:t>129,478 ha of area devoted to improved agro-silvo-pastoral and climate-resilient agriculture practices and 11,000 ha of restored agroforestry ecosystems, thus preserving biodiversity and important ecosystem services</w:t>
                      </w:r>
                    </w:p>
                  </w:txbxContent>
                </v:textbox>
                <w10:wrap anchorx="margin"/>
              </v:shape>
            </w:pict>
          </mc:Fallback>
        </mc:AlternateContent>
      </w:r>
      <w:r>
        <w:rPr>
          <w:noProof/>
        </w:rPr>
        <mc:AlternateContent>
          <mc:Choice Requires="wps">
            <w:drawing>
              <wp:anchor distT="0" distB="0" distL="114300" distR="114300" simplePos="0" relativeHeight="251686912" behindDoc="0" locked="0" layoutInCell="1" allowOverlap="1" wp14:anchorId="6174FA21" wp14:editId="5FACC131">
                <wp:simplePos x="0" y="0"/>
                <wp:positionH relativeFrom="margin">
                  <wp:posOffset>2590165</wp:posOffset>
                </wp:positionH>
                <wp:positionV relativeFrom="paragraph">
                  <wp:posOffset>280670</wp:posOffset>
                </wp:positionV>
                <wp:extent cx="1770380" cy="424815"/>
                <wp:effectExtent l="0" t="0" r="20320" b="13335"/>
                <wp:wrapNone/>
                <wp:docPr id="123" name="Zone de texte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0380" cy="424815"/>
                        </a:xfrm>
                        <a:prstGeom prst="rect">
                          <a:avLst/>
                        </a:prstGeom>
                        <a:noFill/>
                        <a:ln w="19050">
                          <a:solidFill>
                            <a:srgbClr val="70AD47">
                              <a:lumMod val="75000"/>
                            </a:srgbClr>
                          </a:solidFill>
                        </a:ln>
                      </wps:spPr>
                      <wps:txbx>
                        <w:txbxContent>
                          <w:p w14:paraId="29870777" w14:textId="77777777" w:rsidR="00ED1ADA" w:rsidRDefault="00ED1ADA" w:rsidP="00302BFE">
                            <w:pPr>
                              <w:pStyle w:val="NormalWeb"/>
                              <w:spacing w:before="0" w:beforeAutospacing="0" w:after="0" w:afterAutospacing="0"/>
                              <w:jc w:val="center"/>
                              <w:rPr>
                                <w:sz w:val="14"/>
                                <w:szCs w:val="14"/>
                                <w:lang w:val="en-CA"/>
                              </w:rPr>
                            </w:pPr>
                            <w:r>
                              <w:rPr>
                                <w:sz w:val="14"/>
                                <w:szCs w:val="14"/>
                                <w:lang w:val="en-CA"/>
                              </w:rPr>
                              <w:t>Increased capacity of PA management agencies</w:t>
                            </w:r>
                          </w:p>
                          <w:p w14:paraId="3C36349A" w14:textId="77777777" w:rsidR="00ED1ADA" w:rsidRDefault="00ED1ADA" w:rsidP="00302BFE">
                            <w:pPr>
                              <w:pStyle w:val="NormalWeb"/>
                              <w:spacing w:before="0" w:beforeAutospacing="0" w:after="0" w:afterAutospacing="0"/>
                              <w:jc w:val="center"/>
                              <w:rPr>
                                <w:sz w:val="14"/>
                                <w:szCs w:val="14"/>
                                <w:lang w:val="en-CA"/>
                              </w:rPr>
                            </w:pPr>
                            <w:r>
                              <w:rPr>
                                <w:sz w:val="14"/>
                                <w:szCs w:val="14"/>
                                <w:lang w:val="en-CA"/>
                              </w:rPr>
                              <w:t>Establishment and effective management of new and existing PAs</w:t>
                            </w:r>
                          </w:p>
                        </w:txbxContent>
                      </wps:txbx>
                      <wps:bodyPr wrap="square" t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6174FA21" id="Zone de texte 123" o:spid="_x0000_s1034" type="#_x0000_t202" style="position:absolute;left:0;text-align:left;margin-left:203.95pt;margin-top:22.1pt;width:139.4pt;height:33.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" filled="f" strokecolor="#548235" strokeweight="1.5pt">
                <v:path arrowok="t"/>
                <v:textbox inset=",0,,0">
                  <w:txbxContent>
                    <w:p w14:paraId="29870777" w14:textId="77777777" w:rsidR="00ED1ADA" w:rsidRDefault="00ED1ADA" w:rsidP="00302BFE">
                      <w:pPr>
                        <w:pStyle w:val="NormalWeb"/>
                        <w:spacing w:before="0" w:beforeAutospacing="0" w:after="0" w:afterAutospacing="0"/>
                        <w:jc w:val="center"/>
                        <w:rPr>
                          <w:sz w:val="14"/>
                          <w:szCs w:val="14"/>
                          <w:lang w:val="en-CA"/>
                        </w:rPr>
                      </w:pPr>
                      <w:r>
                        <w:rPr>
                          <w:sz w:val="14"/>
                          <w:szCs w:val="14"/>
                          <w:lang w:val="en-CA"/>
                        </w:rPr>
                        <w:t>Increased capacity of PA management agencies</w:t>
                      </w:r>
                    </w:p>
                    <w:p w14:paraId="3C36349A" w14:textId="77777777" w:rsidR="00ED1ADA" w:rsidRDefault="00ED1ADA" w:rsidP="00302BFE">
                      <w:pPr>
                        <w:pStyle w:val="NormalWeb"/>
                        <w:spacing w:before="0" w:beforeAutospacing="0" w:after="0" w:afterAutospacing="0"/>
                        <w:jc w:val="center"/>
                        <w:rPr>
                          <w:sz w:val="14"/>
                          <w:szCs w:val="14"/>
                          <w:lang w:val="en-CA"/>
                        </w:rPr>
                      </w:pPr>
                      <w:r>
                        <w:rPr>
                          <w:sz w:val="14"/>
                          <w:szCs w:val="14"/>
                          <w:lang w:val="en-CA"/>
                        </w:rPr>
                        <w:t>Establishment and effective management of new and existing PAs</w:t>
                      </w:r>
                    </w:p>
                  </w:txbxContent>
                </v:textbox>
                <w10:wrap anchorx="margin"/>
              </v:shape>
            </w:pict>
          </mc:Fallback>
        </mc:AlternateContent>
      </w:r>
      <w:r>
        <w:rPr>
          <w:noProof/>
        </w:rPr>
        <mc:AlternateContent>
          <mc:Choice Requires="wps">
            <w:drawing>
              <wp:anchor distT="0" distB="0" distL="114300" distR="114300" simplePos="0" relativeHeight="251692032" behindDoc="0" locked="0" layoutInCell="1" allowOverlap="1" wp14:anchorId="017C62A6" wp14:editId="1BE138B9">
                <wp:simplePos x="0" y="0"/>
                <wp:positionH relativeFrom="column">
                  <wp:posOffset>258445</wp:posOffset>
                </wp:positionH>
                <wp:positionV relativeFrom="paragraph">
                  <wp:posOffset>264160</wp:posOffset>
                </wp:positionV>
                <wp:extent cx="2216785" cy="440690"/>
                <wp:effectExtent l="0" t="0" r="12065" b="16510"/>
                <wp:wrapNone/>
                <wp:docPr id="171" name="Zone de texte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785" cy="440690"/>
                        </a:xfrm>
                        <a:prstGeom prst="rect">
                          <a:avLst/>
                        </a:prstGeom>
                        <a:noFill/>
                        <a:ln w="19050">
                          <a:solidFill>
                            <a:srgbClr val="70AD47">
                              <a:lumMod val="75000"/>
                            </a:srgbClr>
                          </a:solidFill>
                        </a:ln>
                      </wps:spPr>
                      <wps:txbx>
                        <w:txbxContent>
                          <w:p w14:paraId="60A13CFD" w14:textId="77777777" w:rsidR="00ED1ADA" w:rsidRDefault="00ED1ADA" w:rsidP="00302BFE">
                            <w:pPr>
                              <w:pStyle w:val="NormalWeb"/>
                              <w:spacing w:before="0" w:beforeAutospacing="0" w:after="0" w:afterAutospacing="0"/>
                              <w:jc w:val="center"/>
                              <w:rPr>
                                <w:sz w:val="14"/>
                                <w:szCs w:val="14"/>
                                <w:lang w:val="en-CA"/>
                              </w:rPr>
                            </w:pPr>
                            <w:r>
                              <w:rPr>
                                <w:sz w:val="14"/>
                                <w:szCs w:val="14"/>
                                <w:lang w:val="en-CA"/>
                              </w:rPr>
                              <w:t>Harmonized framework developed collaboratively for the integrated management of the PONASI landscape covering 952,000 ha to optimize the environmental and socio-economic benefits</w:t>
                            </w:r>
                          </w:p>
                        </w:txbxContent>
                      </wps:txbx>
                      <wps:bodyPr wrap="square" t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017C62A6" id="Zone de texte 171" o:spid="_x0000_s1035" type="#_x0000_t202" style="position:absolute;left:0;text-align:left;margin-left:20.35pt;margin-top:20.8pt;width:174.55pt;height:34.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" filled="f" strokecolor="#548235" strokeweight="1.5pt">
                <v:path arrowok="t"/>
                <v:textbox inset=",0,,0">
                  <w:txbxContent>
                    <w:p w14:paraId="60A13CFD" w14:textId="77777777" w:rsidR="00ED1ADA" w:rsidRDefault="00ED1ADA" w:rsidP="00302BFE">
                      <w:pPr>
                        <w:pStyle w:val="NormalWeb"/>
                        <w:spacing w:before="0" w:beforeAutospacing="0" w:after="0" w:afterAutospacing="0"/>
                        <w:jc w:val="center"/>
                        <w:rPr>
                          <w:sz w:val="14"/>
                          <w:szCs w:val="14"/>
                          <w:lang w:val="en-CA"/>
                        </w:rPr>
                      </w:pPr>
                      <w:r>
                        <w:rPr>
                          <w:sz w:val="14"/>
                          <w:szCs w:val="14"/>
                          <w:lang w:val="en-CA"/>
                        </w:rPr>
                        <w:t>Harmonized framework developed collaboratively for the integrated management of the PONASI landscape covering 952,000 ha to optimize the environmental and socio-economic benefits</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2A49D073" wp14:editId="6CCE9671">
                <wp:simplePos x="0" y="0"/>
                <wp:positionH relativeFrom="column">
                  <wp:posOffset>254000</wp:posOffset>
                </wp:positionH>
                <wp:positionV relativeFrom="paragraph">
                  <wp:posOffset>877570</wp:posOffset>
                </wp:positionV>
                <wp:extent cx="2341245" cy="882650"/>
                <wp:effectExtent l="0" t="0" r="20955" b="12700"/>
                <wp:wrapNone/>
                <wp:docPr id="122" name="Zone de texte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1245" cy="882650"/>
                        </a:xfrm>
                        <a:prstGeom prst="rect">
                          <a:avLst/>
                        </a:prstGeom>
                        <a:solidFill>
                          <a:sysClr val="window" lastClr="FFFFFF"/>
                        </a:solidFill>
                        <a:ln w="12700" cap="flat" cmpd="sng" algn="ctr">
                          <a:solidFill>
                            <a:srgbClr val="FFC000"/>
                          </a:solidFill>
                          <a:prstDash val="solid"/>
                          <a:miter lim="800000"/>
                        </a:ln>
                        <a:effectLst/>
                      </wps:spPr>
                      <wps:txbx>
                        <w:txbxContent>
                          <w:p w14:paraId="31598B75" w14:textId="77777777" w:rsidR="00ED1ADA" w:rsidRDefault="00ED1ADA" w:rsidP="00302BFE">
                            <w:pPr>
                              <w:pStyle w:val="NormalWeb"/>
                              <w:spacing w:before="0" w:beforeAutospacing="0" w:after="0" w:afterAutospacing="0"/>
                              <w:jc w:val="center"/>
                              <w:rPr>
                                <w:sz w:val="13"/>
                                <w:szCs w:val="13"/>
                                <w:lang w:val="en-CA"/>
                              </w:rPr>
                            </w:pPr>
                            <w:r>
                              <w:rPr>
                                <w:sz w:val="13"/>
                                <w:szCs w:val="13"/>
                                <w:lang w:val="en-CA"/>
                              </w:rPr>
                              <w:t>- The preservation of biodiversity and ecosystem services is a priority issue for regional and local authorities who agree to participate in the planning of land and resource use in the landscape and to mobilize the necessary co-financing for its implementation</w:t>
                            </w:r>
                          </w:p>
                          <w:p w14:paraId="5347DB7F" w14:textId="77777777" w:rsidR="00ED1ADA" w:rsidRDefault="00ED1ADA" w:rsidP="00302BFE">
                            <w:pPr>
                              <w:pStyle w:val="NormalWeb"/>
                              <w:spacing w:before="0" w:beforeAutospacing="0" w:after="0" w:afterAutospacing="0"/>
                              <w:jc w:val="center"/>
                              <w:rPr>
                                <w:sz w:val="13"/>
                                <w:szCs w:val="13"/>
                                <w:lang w:val="en-CA"/>
                              </w:rPr>
                            </w:pPr>
                            <w:r>
                              <w:rPr>
                                <w:sz w:val="13"/>
                                <w:szCs w:val="13"/>
                                <w:lang w:val="en-CA"/>
                              </w:rPr>
                              <w:t>- Regional and communal authorities have adequate capacity to mobilize enough resources for the implementation of the landscape management plan and its requirements</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2A49D073" id="Zone de texte 122" o:spid="_x0000_s1036" type="#_x0000_t202" style="position:absolute;left:0;text-align:left;margin-left:20pt;margin-top:69.1pt;width:184.35pt;height:6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" fillcolor="window" strokecolor="#ffc000" strokeweight="1pt">
                <v:path arrowok="t"/>
                <v:textbox inset="3.38303mm,1.6915mm,3.38303mm,1.6915mm">
                  <w:txbxContent>
                    <w:p w14:paraId="31598B75" w14:textId="77777777" w:rsidR="00ED1ADA" w:rsidRDefault="00ED1ADA" w:rsidP="00302BFE">
                      <w:pPr>
                        <w:pStyle w:val="NormalWeb"/>
                        <w:spacing w:before="0" w:beforeAutospacing="0" w:after="0" w:afterAutospacing="0"/>
                        <w:jc w:val="center"/>
                        <w:rPr>
                          <w:sz w:val="13"/>
                          <w:szCs w:val="13"/>
                          <w:lang w:val="en-CA"/>
                        </w:rPr>
                      </w:pPr>
                      <w:r>
                        <w:rPr>
                          <w:sz w:val="13"/>
                          <w:szCs w:val="13"/>
                          <w:lang w:val="en-CA"/>
                        </w:rPr>
                        <w:t>- The preservation of biodiversity and ecosystem services is a priority issue for regional and local authorities who agree to participate in the planning of land and resource use in the landscape and to mobilize the necessary co-financing for its implementation</w:t>
                      </w:r>
                    </w:p>
                    <w:p w14:paraId="5347DB7F" w14:textId="77777777" w:rsidR="00ED1ADA" w:rsidRDefault="00ED1ADA" w:rsidP="00302BFE">
                      <w:pPr>
                        <w:pStyle w:val="NormalWeb"/>
                        <w:spacing w:before="0" w:beforeAutospacing="0" w:after="0" w:afterAutospacing="0"/>
                        <w:jc w:val="center"/>
                        <w:rPr>
                          <w:sz w:val="13"/>
                          <w:szCs w:val="13"/>
                          <w:lang w:val="en-CA"/>
                        </w:rPr>
                      </w:pPr>
                      <w:r>
                        <w:rPr>
                          <w:sz w:val="13"/>
                          <w:szCs w:val="13"/>
                          <w:lang w:val="en-CA"/>
                        </w:rPr>
                        <w:t>- Regional and communal authorities have adequate capacity to mobilize enough resources for the implementation of the landscape management plan and its requirements</w:t>
                      </w:r>
                    </w:p>
                  </w:txbxContent>
                </v:textbox>
              </v:shape>
            </w:pict>
          </mc:Fallback>
        </mc:AlternateContent>
      </w:r>
      <w:r>
        <w:rPr>
          <w:noProof/>
        </w:rPr>
        <mc:AlternateContent>
          <mc:Choice Requires="wps">
            <w:drawing>
              <wp:anchor distT="0" distB="0" distL="114300" distR="114300" simplePos="0" relativeHeight="251694080" behindDoc="0" locked="0" layoutInCell="1" allowOverlap="1" wp14:anchorId="4C6E5A42" wp14:editId="4089791B">
                <wp:simplePos x="0" y="0"/>
                <wp:positionH relativeFrom="column">
                  <wp:posOffset>2854325</wp:posOffset>
                </wp:positionH>
                <wp:positionV relativeFrom="paragraph">
                  <wp:posOffset>893445</wp:posOffset>
                </wp:positionV>
                <wp:extent cx="2055495" cy="795020"/>
                <wp:effectExtent l="0" t="0" r="20955" b="24130"/>
                <wp:wrapNone/>
                <wp:docPr id="121" name="Zone de texte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5495" cy="795020"/>
                        </a:xfrm>
                        <a:prstGeom prst="rect">
                          <a:avLst/>
                        </a:prstGeom>
                        <a:solidFill>
                          <a:sysClr val="window" lastClr="FFFFFF"/>
                        </a:solidFill>
                        <a:ln w="12700" cap="flat" cmpd="sng" algn="ctr">
                          <a:solidFill>
                            <a:srgbClr val="FFC000"/>
                          </a:solidFill>
                          <a:prstDash val="solid"/>
                          <a:miter lim="800000"/>
                        </a:ln>
                        <a:effectLst/>
                      </wps:spPr>
                      <wps:txbx>
                        <w:txbxContent>
                          <w:p w14:paraId="09D62F80" w14:textId="77777777" w:rsidR="00ED1ADA" w:rsidRDefault="00ED1ADA" w:rsidP="00302BFE">
                            <w:pPr>
                              <w:pStyle w:val="NormalWeb"/>
                              <w:spacing w:before="0" w:beforeAutospacing="0" w:after="0" w:afterAutospacing="0"/>
                              <w:jc w:val="center"/>
                              <w:rPr>
                                <w:sz w:val="13"/>
                                <w:szCs w:val="13"/>
                                <w:lang w:val="en-CA"/>
                              </w:rPr>
                            </w:pPr>
                            <w:r>
                              <w:rPr>
                                <w:sz w:val="13"/>
                                <w:szCs w:val="13"/>
                                <w:lang w:val="en-CA"/>
                              </w:rPr>
                              <w:t>The Government allocates adequate resources (staff and operational budget) to ensure the effective management of all PAs in the PONASI landscape</w:t>
                            </w:r>
                          </w:p>
                          <w:p w14:paraId="78E8F280" w14:textId="77777777" w:rsidR="00ED1ADA" w:rsidRDefault="00ED1ADA" w:rsidP="00302BFE">
                            <w:pPr>
                              <w:pStyle w:val="NormalWeb"/>
                              <w:spacing w:before="0" w:beforeAutospacing="0" w:after="0" w:afterAutospacing="0"/>
                              <w:jc w:val="center"/>
                              <w:rPr>
                                <w:sz w:val="13"/>
                                <w:szCs w:val="13"/>
                                <w:lang w:val="en-CA"/>
                              </w:rPr>
                            </w:pPr>
                            <w:r>
                              <w:rPr>
                                <w:sz w:val="13"/>
                                <w:szCs w:val="13"/>
                                <w:lang w:val="en-CA"/>
                              </w:rPr>
                              <w:t>Stakeholders' (local populations and authorities, OFINAP, DGEF, technical services, private concessionaires) full support to the objectives of improving the management of PAs</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4C6E5A42" id="Zone de texte 121" o:spid="_x0000_s1037" type="#_x0000_t202" style="position:absolute;left:0;text-align:left;margin-left:224.75pt;margin-top:70.35pt;width:161.85pt;height:62.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" fillcolor="window" strokecolor="#ffc000" strokeweight="1pt">
                <v:path arrowok="t"/>
                <v:textbox inset="3.38303mm,1.6915mm,3.38303mm,1.6915mm">
                  <w:txbxContent>
                    <w:p w14:paraId="09D62F80" w14:textId="77777777" w:rsidR="00ED1ADA" w:rsidRDefault="00ED1ADA" w:rsidP="00302BFE">
                      <w:pPr>
                        <w:pStyle w:val="NormalWeb"/>
                        <w:spacing w:before="0" w:beforeAutospacing="0" w:after="0" w:afterAutospacing="0"/>
                        <w:jc w:val="center"/>
                        <w:rPr>
                          <w:sz w:val="13"/>
                          <w:szCs w:val="13"/>
                          <w:lang w:val="en-CA"/>
                        </w:rPr>
                      </w:pPr>
                      <w:r>
                        <w:rPr>
                          <w:sz w:val="13"/>
                          <w:szCs w:val="13"/>
                          <w:lang w:val="en-CA"/>
                        </w:rPr>
                        <w:t>The Government allocates adequate resources (staff and operational budget) to ensure the effective management of all PAs in the PONASI landscape</w:t>
                      </w:r>
                    </w:p>
                    <w:p w14:paraId="78E8F280" w14:textId="77777777" w:rsidR="00ED1ADA" w:rsidRDefault="00ED1ADA" w:rsidP="00302BFE">
                      <w:pPr>
                        <w:pStyle w:val="NormalWeb"/>
                        <w:spacing w:before="0" w:beforeAutospacing="0" w:after="0" w:afterAutospacing="0"/>
                        <w:jc w:val="center"/>
                        <w:rPr>
                          <w:sz w:val="13"/>
                          <w:szCs w:val="13"/>
                          <w:lang w:val="en-CA"/>
                        </w:rPr>
                      </w:pPr>
                      <w:r>
                        <w:rPr>
                          <w:sz w:val="13"/>
                          <w:szCs w:val="13"/>
                          <w:lang w:val="en-CA"/>
                        </w:rPr>
                        <w:t>Stakeholders' (local populations and authorities, OFINAP, DGEF, technical services, private concessionaires) full support to the objectives of improving the management of PAs</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74F7E68F" wp14:editId="6554EF69">
                <wp:simplePos x="0" y="0"/>
                <wp:positionH relativeFrom="column">
                  <wp:posOffset>5269865</wp:posOffset>
                </wp:positionH>
                <wp:positionV relativeFrom="paragraph">
                  <wp:posOffset>1025525</wp:posOffset>
                </wp:positionV>
                <wp:extent cx="1622425" cy="534035"/>
                <wp:effectExtent l="0" t="0" r="15875" b="18415"/>
                <wp:wrapNone/>
                <wp:docPr id="120" name="Zone de texte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2425" cy="533400"/>
                        </a:xfrm>
                        <a:prstGeom prst="rect">
                          <a:avLst/>
                        </a:prstGeom>
                        <a:solidFill>
                          <a:sysClr val="window" lastClr="FFFFFF"/>
                        </a:solidFill>
                        <a:ln w="12700" cap="flat" cmpd="sng" algn="ctr">
                          <a:solidFill>
                            <a:srgbClr val="FFC000"/>
                          </a:solidFill>
                          <a:prstDash val="solid"/>
                          <a:miter lim="800000"/>
                        </a:ln>
                        <a:effectLst/>
                      </wps:spPr>
                      <wps:txbx>
                        <w:txbxContent>
                          <w:p w14:paraId="330BD0D9" w14:textId="77777777" w:rsidR="00ED1ADA" w:rsidRDefault="00ED1ADA" w:rsidP="00302BFE">
                            <w:pPr>
                              <w:pStyle w:val="NormalWeb"/>
                              <w:spacing w:after="0"/>
                              <w:ind w:left="-181" w:right="-142"/>
                              <w:jc w:val="center"/>
                              <w:rPr>
                                <w:sz w:val="14"/>
                                <w:szCs w:val="14"/>
                                <w:lang w:val="en-CA"/>
                              </w:rPr>
                            </w:pPr>
                            <w:r>
                              <w:rPr>
                                <w:sz w:val="14"/>
                                <w:szCs w:val="14"/>
                                <w:lang w:val="en-CA"/>
                              </w:rPr>
                              <w:t>Willingness of male and female stakeholders to adapt their practices and adopt improved and more sustainable production systems</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74F7E68F" id="Zone de texte 120" o:spid="_x0000_s1038" type="#_x0000_t202" style="position:absolute;left:0;text-align:left;margin-left:414.95pt;margin-top:80.75pt;width:127.75pt;height:42.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" fillcolor="window" strokecolor="#ffc000" strokeweight="1pt">
                <v:path arrowok="t"/>
                <v:textbox inset="3.38303mm,1.6915mm,3.38303mm,1.6915mm">
                  <w:txbxContent>
                    <w:p w14:paraId="330BD0D9" w14:textId="77777777" w:rsidR="00ED1ADA" w:rsidRDefault="00ED1ADA" w:rsidP="00302BFE">
                      <w:pPr>
                        <w:pStyle w:val="NormalWeb"/>
                        <w:spacing w:after="0"/>
                        <w:ind w:left="-181" w:right="-142"/>
                        <w:jc w:val="center"/>
                        <w:rPr>
                          <w:sz w:val="14"/>
                          <w:szCs w:val="14"/>
                          <w:lang w:val="en-CA"/>
                        </w:rPr>
                      </w:pPr>
                      <w:r>
                        <w:rPr>
                          <w:sz w:val="14"/>
                          <w:szCs w:val="14"/>
                          <w:lang w:val="en-CA"/>
                        </w:rPr>
                        <w:t>Willingness of male and female stakeholders to adapt their practices and adopt improved and more sustainable production systems</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06718BE7" wp14:editId="4D10E0F4">
                <wp:simplePos x="0" y="0"/>
                <wp:positionH relativeFrom="column">
                  <wp:posOffset>7146925</wp:posOffset>
                </wp:positionH>
                <wp:positionV relativeFrom="paragraph">
                  <wp:posOffset>1026795</wp:posOffset>
                </wp:positionV>
                <wp:extent cx="1691005" cy="730885"/>
                <wp:effectExtent l="0" t="0" r="23495" b="12065"/>
                <wp:wrapNone/>
                <wp:docPr id="119" name="Zone de texte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1005" cy="730885"/>
                        </a:xfrm>
                        <a:prstGeom prst="rect">
                          <a:avLst/>
                        </a:prstGeom>
                        <a:solidFill>
                          <a:sysClr val="window" lastClr="FFFFFF"/>
                        </a:solidFill>
                        <a:ln w="12700" cap="flat" cmpd="sng" algn="ctr">
                          <a:solidFill>
                            <a:srgbClr val="FFC000"/>
                          </a:solidFill>
                          <a:prstDash val="solid"/>
                          <a:miter lim="800000"/>
                        </a:ln>
                        <a:effectLst/>
                      </wps:spPr>
                      <wps:txbx>
                        <w:txbxContent>
                          <w:p w14:paraId="30DF8B84" w14:textId="77777777" w:rsidR="00ED1ADA" w:rsidRDefault="00ED1ADA" w:rsidP="00302BFE">
                            <w:pPr>
                              <w:pStyle w:val="NormalWeb"/>
                              <w:spacing w:after="0"/>
                              <w:ind w:left="-181" w:right="-142"/>
                              <w:jc w:val="center"/>
                              <w:rPr>
                                <w:sz w:val="14"/>
                                <w:szCs w:val="14"/>
                                <w:lang w:val="en-CA"/>
                              </w:rPr>
                            </w:pPr>
                            <w:r>
                              <w:rPr>
                                <w:sz w:val="14"/>
                                <w:szCs w:val="14"/>
                                <w:lang w:val="en-CA"/>
                              </w:rPr>
                              <w:t>Every structure represented in the consultation framework encourages participation of women to the consultation framework for the integrated management of the PONASI landscape and has the possibility of proposing one or more women</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06718BE7" id="Zone de texte 119" o:spid="_x0000_s1039" type="#_x0000_t202" style="position:absolute;left:0;text-align:left;margin-left:562.75pt;margin-top:80.85pt;width:133.15pt;height:57.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" fillcolor="window" strokecolor="#ffc000" strokeweight="1pt">
                <v:path arrowok="t"/>
                <v:textbox inset="3.38303mm,1.6915mm,3.38303mm,1.6915mm">
                  <w:txbxContent>
                    <w:p w14:paraId="30DF8B84" w14:textId="77777777" w:rsidR="00ED1ADA" w:rsidRDefault="00ED1ADA" w:rsidP="00302BFE">
                      <w:pPr>
                        <w:pStyle w:val="NormalWeb"/>
                        <w:spacing w:after="0"/>
                        <w:ind w:left="-181" w:right="-142"/>
                        <w:jc w:val="center"/>
                        <w:rPr>
                          <w:sz w:val="14"/>
                          <w:szCs w:val="14"/>
                          <w:lang w:val="en-CA"/>
                        </w:rPr>
                      </w:pPr>
                      <w:r>
                        <w:rPr>
                          <w:sz w:val="14"/>
                          <w:szCs w:val="14"/>
                          <w:lang w:val="en-CA"/>
                        </w:rPr>
                        <w:t>Every structure represented in the consultation framework encourages participation of women to the consultation framework for the integrated management of the PONASI landscape and has the possibility of proposing one or more women</w:t>
                      </w:r>
                    </w:p>
                  </w:txbxContent>
                </v:textbox>
              </v:shape>
            </w:pict>
          </mc:Fallback>
        </mc:AlternateContent>
      </w:r>
      <w:r>
        <w:rPr>
          <w:noProof/>
        </w:rPr>
        <mc:AlternateContent>
          <mc:Choice Requires="wps">
            <w:drawing>
              <wp:anchor distT="0" distB="0" distL="114300" distR="114300" simplePos="0" relativeHeight="251707392" behindDoc="0" locked="0" layoutInCell="1" allowOverlap="1" wp14:anchorId="1B92C7C9" wp14:editId="69072702">
                <wp:simplePos x="0" y="0"/>
                <wp:positionH relativeFrom="margin">
                  <wp:posOffset>6944995</wp:posOffset>
                </wp:positionH>
                <wp:positionV relativeFrom="paragraph">
                  <wp:posOffset>247015</wp:posOffset>
                </wp:positionV>
                <wp:extent cx="1992630" cy="645160"/>
                <wp:effectExtent l="0" t="0" r="26670" b="21590"/>
                <wp:wrapNone/>
                <wp:docPr id="118" name="Zone de texte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2630" cy="644525"/>
                        </a:xfrm>
                        <a:prstGeom prst="rect">
                          <a:avLst/>
                        </a:prstGeom>
                        <a:noFill/>
                        <a:ln w="19050">
                          <a:solidFill>
                            <a:srgbClr val="70AD47">
                              <a:lumMod val="75000"/>
                            </a:srgbClr>
                          </a:solidFill>
                        </a:ln>
                      </wps:spPr>
                      <wps:txbx>
                        <w:txbxContent>
                          <w:p w14:paraId="687426EE" w14:textId="77777777" w:rsidR="00ED1ADA" w:rsidRDefault="00ED1ADA" w:rsidP="00302BFE">
                            <w:pPr>
                              <w:pStyle w:val="NormalWeb"/>
                              <w:spacing w:before="0" w:beforeAutospacing="0" w:after="0" w:afterAutospacing="0"/>
                              <w:jc w:val="center"/>
                              <w:rPr>
                                <w:sz w:val="14"/>
                                <w:szCs w:val="14"/>
                                <w:lang w:val="en-CA"/>
                              </w:rPr>
                            </w:pPr>
                            <w:r>
                              <w:rPr>
                                <w:sz w:val="14"/>
                                <w:szCs w:val="14"/>
                                <w:lang w:val="en-CA"/>
                              </w:rPr>
                              <w:t>Increased opportunities for women to benefit from the SNRM and PA-related value chains within the PONASI landscape</w:t>
                            </w:r>
                          </w:p>
                          <w:p w14:paraId="4B06645B" w14:textId="77777777" w:rsidR="00ED1ADA" w:rsidRDefault="00ED1ADA" w:rsidP="00302BFE">
                            <w:pPr>
                              <w:pStyle w:val="NormalWeb"/>
                              <w:spacing w:before="0" w:beforeAutospacing="0" w:after="0" w:afterAutospacing="0"/>
                              <w:jc w:val="center"/>
                              <w:rPr>
                                <w:sz w:val="14"/>
                                <w:szCs w:val="14"/>
                                <w:lang w:val="en-CA"/>
                              </w:rPr>
                            </w:pPr>
                            <w:r>
                              <w:rPr>
                                <w:sz w:val="14"/>
                                <w:szCs w:val="14"/>
                                <w:lang w:val="en-CA"/>
                              </w:rPr>
                              <w:t>Appropriation of the knowledge developed for its replication across the PONASI landscape and in the country</w:t>
                            </w:r>
                          </w:p>
                        </w:txbxContent>
                      </wps:txbx>
                      <wps:bodyPr wrap="square" lIns="2"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1B92C7C9" id="Zone de texte 118" o:spid="_x0000_s1040" type="#_x0000_t202" style="position:absolute;left:0;text-align:left;margin-left:546.85pt;margin-top:19.45pt;width:156.9pt;height:50.8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" filled="f" strokecolor="#548235" strokeweight="1.5pt">
                <v:path arrowok="t"/>
                <v:textbox inset="6e-5mm,0,0,0">
                  <w:txbxContent>
                    <w:p w14:paraId="687426EE" w14:textId="77777777" w:rsidR="00ED1ADA" w:rsidRDefault="00ED1ADA" w:rsidP="00302BFE">
                      <w:pPr>
                        <w:pStyle w:val="NormalWeb"/>
                        <w:spacing w:before="0" w:beforeAutospacing="0" w:after="0" w:afterAutospacing="0"/>
                        <w:jc w:val="center"/>
                        <w:rPr>
                          <w:sz w:val="14"/>
                          <w:szCs w:val="14"/>
                          <w:lang w:val="en-CA"/>
                        </w:rPr>
                      </w:pPr>
                      <w:r>
                        <w:rPr>
                          <w:sz w:val="14"/>
                          <w:szCs w:val="14"/>
                          <w:lang w:val="en-CA"/>
                        </w:rPr>
                        <w:t>Increased opportunities for women to benefit from the SNRM and PA-related value chains within the PONASI landscape</w:t>
                      </w:r>
                    </w:p>
                    <w:p w14:paraId="4B06645B" w14:textId="77777777" w:rsidR="00ED1ADA" w:rsidRDefault="00ED1ADA" w:rsidP="00302BFE">
                      <w:pPr>
                        <w:pStyle w:val="NormalWeb"/>
                        <w:spacing w:before="0" w:beforeAutospacing="0" w:after="0" w:afterAutospacing="0"/>
                        <w:jc w:val="center"/>
                        <w:rPr>
                          <w:sz w:val="14"/>
                          <w:szCs w:val="14"/>
                          <w:lang w:val="en-CA"/>
                        </w:rPr>
                      </w:pPr>
                      <w:r>
                        <w:rPr>
                          <w:sz w:val="14"/>
                          <w:szCs w:val="14"/>
                          <w:lang w:val="en-CA"/>
                        </w:rPr>
                        <w:t>Appropriation of the knowledge developed for its replication across the PONASI landscape and in the country</w:t>
                      </w:r>
                    </w:p>
                  </w:txbxContent>
                </v:textbox>
                <w10:wrap anchorx="margin"/>
              </v:shape>
            </w:pict>
          </mc:Fallback>
        </mc:AlternateContent>
      </w:r>
      <w:r>
        <w:rPr>
          <w:noProof/>
        </w:rPr>
        <mc:AlternateContent>
          <mc:Choice Requires="wps">
            <w:drawing>
              <wp:anchor distT="0" distB="0" distL="114300" distR="114300" simplePos="0" relativeHeight="251709440" behindDoc="0" locked="0" layoutInCell="1" allowOverlap="1" wp14:anchorId="52707262" wp14:editId="3EE100B4">
                <wp:simplePos x="0" y="0"/>
                <wp:positionH relativeFrom="margin">
                  <wp:posOffset>1122680</wp:posOffset>
                </wp:positionH>
                <wp:positionV relativeFrom="paragraph">
                  <wp:posOffset>1708785</wp:posOffset>
                </wp:positionV>
                <wp:extent cx="149860" cy="164465"/>
                <wp:effectExtent l="0" t="45403" r="90488" b="14287"/>
                <wp:wrapNone/>
                <wp:docPr id="117" name="Connecteur : en angl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flipV="1">
                          <a:off x="0" y="0"/>
                          <a:ext cx="149860" cy="164465"/>
                        </a:xfrm>
                        <a:prstGeom prst="bentConnector3">
                          <a:avLst>
                            <a:gd name="adj1" fmla="val 39366"/>
                          </a:avLst>
                        </a:prstGeom>
                        <a:noFill/>
                        <a:ln w="9525">
                          <a:solidFill>
                            <a:srgbClr val="4A7EBB"/>
                          </a:solidFill>
                          <a:miter lim="800000"/>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type w14:anchorId="740DEA02"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 en angle 117" o:spid="_x0000_s1026" type="#_x0000_t34" style="position:absolute;margin-left:88.4pt;margin-top:134.55pt;width:11.8pt;height:12.95pt;rotation:90;flip:x y;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" adj="8503" strokecolor="#4a7ebb">
                <v:stroke endarrow="block"/>
                <w10:wrap anchorx="margin"/>
              </v:shape>
            </w:pict>
          </mc:Fallback>
        </mc:AlternateContent>
      </w:r>
      <w:r>
        <w:rPr>
          <w:noProof/>
        </w:rPr>
        <mc:AlternateContent>
          <mc:Choice Requires="wps">
            <w:drawing>
              <wp:anchor distT="0" distB="0" distL="114300" distR="114300" simplePos="0" relativeHeight="251710464" behindDoc="0" locked="0" layoutInCell="1" allowOverlap="1" wp14:anchorId="58E4D0D5" wp14:editId="5D2C543E">
                <wp:simplePos x="0" y="0"/>
                <wp:positionH relativeFrom="margin">
                  <wp:posOffset>3682365</wp:posOffset>
                </wp:positionH>
                <wp:positionV relativeFrom="paragraph">
                  <wp:posOffset>1647190</wp:posOffset>
                </wp:positionV>
                <wp:extent cx="212725" cy="240030"/>
                <wp:effectExtent l="5398" t="32702" r="59372" b="21273"/>
                <wp:wrapNone/>
                <wp:docPr id="116" name="Connecteur : en angl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flipV="1">
                          <a:off x="0" y="0"/>
                          <a:ext cx="212725" cy="239395"/>
                        </a:xfrm>
                        <a:prstGeom prst="bentConnector3">
                          <a:avLst>
                            <a:gd name="adj1" fmla="val 39366"/>
                          </a:avLst>
                        </a:prstGeom>
                        <a:noFill/>
                        <a:ln w="9525">
                          <a:solidFill>
                            <a:srgbClr val="4A7EBB"/>
                          </a:solidFill>
                          <a:miter lim="800000"/>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768DF828" id="Connecteur : en angle 116" o:spid="_x0000_s1026" type="#_x0000_t34" style="position:absolute;margin-left:289.95pt;margin-top:129.7pt;width:16.75pt;height:18.9pt;rotation:90;flip:x y;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" adj="8503" strokecolor="#4a7ebb">
                <v:stroke endarrow="block"/>
                <w10:wrap anchorx="margin"/>
              </v:shape>
            </w:pict>
          </mc:Fallback>
        </mc:AlternateContent>
      </w:r>
      <w:r>
        <w:rPr>
          <w:noProof/>
        </w:rPr>
        <mc:AlternateContent>
          <mc:Choice Requires="wps">
            <w:drawing>
              <wp:anchor distT="0" distB="0" distL="114300" distR="114300" simplePos="0" relativeHeight="251711488" behindDoc="0" locked="0" layoutInCell="1" allowOverlap="1" wp14:anchorId="08A8B8B3" wp14:editId="4BC26D43">
                <wp:simplePos x="0" y="0"/>
                <wp:positionH relativeFrom="column">
                  <wp:posOffset>1329690</wp:posOffset>
                </wp:positionH>
                <wp:positionV relativeFrom="paragraph">
                  <wp:posOffset>705485</wp:posOffset>
                </wp:positionV>
                <wp:extent cx="45720" cy="174625"/>
                <wp:effectExtent l="38100" t="38100" r="49530" b="15875"/>
                <wp:wrapNone/>
                <wp:docPr id="115" name="Connecteur droit avec flèch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085" cy="17462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270FB09" id="_x0000_t32" coordsize="21600,21600" o:spt="32" o:oned="t" path="m,l21600,21600e" filled="f">
                <v:path arrowok="t" fillok="f" o:connecttype="none"/>
                <o:lock v:ext="edit" shapetype="t"/>
              </v:shapetype>
              <v:shape id="Connecteur droit avec flèche 115" o:spid="_x0000_s1026" type="#_x0000_t32" style="position:absolute;margin-left:104.7pt;margin-top:55.55pt;width:3.6pt;height:13.7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" strokecolor="#4472c4" strokeweight=".5pt">
                <v:stroke endarrow="block" joinstyle="miter"/>
                <o:lock v:ext="edit" shapetype="f"/>
              </v:shape>
            </w:pict>
          </mc:Fallback>
        </mc:AlternateContent>
      </w:r>
      <w:r>
        <w:rPr>
          <w:noProof/>
        </w:rPr>
        <mc:AlternateContent>
          <mc:Choice Requires="wps">
            <w:drawing>
              <wp:anchor distT="0" distB="0" distL="114300" distR="114300" simplePos="0" relativeHeight="251712512" behindDoc="0" locked="0" layoutInCell="1" allowOverlap="1" wp14:anchorId="7CE6930E" wp14:editId="34A4799F">
                <wp:simplePos x="0" y="0"/>
                <wp:positionH relativeFrom="column">
                  <wp:posOffset>3482975</wp:posOffset>
                </wp:positionH>
                <wp:positionV relativeFrom="paragraph">
                  <wp:posOffset>705485</wp:posOffset>
                </wp:positionV>
                <wp:extent cx="325755" cy="174625"/>
                <wp:effectExtent l="38100" t="38100" r="17145" b="34925"/>
                <wp:wrapNone/>
                <wp:docPr id="110" name="Connecteur droit avec flèch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25755" cy="17462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3BBC89D" id="Connecteur droit avec flèche 110" o:spid="_x0000_s1026" type="#_x0000_t32" style="position:absolute;margin-left:274.25pt;margin-top:55.55pt;width:25.65pt;height:13.75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" strokecolor="#4472c4" strokeweight=".5pt">
                <v:stroke endarrow="block" joinstyle="miter"/>
                <o:lock v:ext="edit" shapetype="f"/>
              </v:shape>
            </w:pict>
          </mc:Fallback>
        </mc:AlternateContent>
      </w:r>
      <w:r>
        <w:rPr>
          <w:noProof/>
        </w:rPr>
        <mc:AlternateContent>
          <mc:Choice Requires="wps">
            <w:drawing>
              <wp:anchor distT="0" distB="0" distL="114300" distR="114300" simplePos="0" relativeHeight="251713536" behindDoc="0" locked="0" layoutInCell="1" allowOverlap="1" wp14:anchorId="24DA9437" wp14:editId="7074D872">
                <wp:simplePos x="0" y="0"/>
                <wp:positionH relativeFrom="column">
                  <wp:posOffset>5741035</wp:posOffset>
                </wp:positionH>
                <wp:positionV relativeFrom="paragraph">
                  <wp:posOffset>808990</wp:posOffset>
                </wp:positionV>
                <wp:extent cx="278130" cy="208915"/>
                <wp:effectExtent l="38100" t="38100" r="26670" b="19685"/>
                <wp:wrapNone/>
                <wp:docPr id="109" name="Connecteur droit avec flèch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78130" cy="20828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5C5415A" id="Connecteur droit avec flèche 109" o:spid="_x0000_s1026" type="#_x0000_t32" style="position:absolute;margin-left:452.05pt;margin-top:63.7pt;width:21.9pt;height:16.45pt;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" strokecolor="#4472c4" strokeweight=".5pt">
                <v:stroke endarrow="block" joinstyle="miter"/>
                <o:lock v:ext="edit" shapetype="f"/>
              </v:shape>
            </w:pict>
          </mc:Fallback>
        </mc:AlternateContent>
      </w:r>
      <w:r>
        <w:rPr>
          <w:noProof/>
        </w:rPr>
        <mc:AlternateContent>
          <mc:Choice Requires="wps">
            <w:drawing>
              <wp:anchor distT="0" distB="0" distL="114300" distR="114300" simplePos="0" relativeHeight="251714560" behindDoc="0" locked="0" layoutInCell="1" allowOverlap="1" wp14:anchorId="4DA07EC8" wp14:editId="212C91C1">
                <wp:simplePos x="0" y="0"/>
                <wp:positionH relativeFrom="column">
                  <wp:posOffset>7870825</wp:posOffset>
                </wp:positionH>
                <wp:positionV relativeFrom="paragraph">
                  <wp:posOffset>875030</wp:posOffset>
                </wp:positionV>
                <wp:extent cx="61595" cy="140970"/>
                <wp:effectExtent l="38100" t="38100" r="33655" b="30480"/>
                <wp:wrapNone/>
                <wp:docPr id="108" name="Connecteur droit avec flèch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1595" cy="14033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1B12509" id="Connecteur droit avec flèche 108" o:spid="_x0000_s1026" type="#_x0000_t32" style="position:absolute;margin-left:619.75pt;margin-top:68.9pt;width:4.85pt;height:11.1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" strokecolor="#4472c4" strokeweight=".5pt">
                <v:stroke endarrow="block" joinstyle="miter"/>
                <o:lock v:ext="edit" shapetype="f"/>
              </v:shape>
            </w:pict>
          </mc:Fallback>
        </mc:AlternateContent>
      </w:r>
      <w:r>
        <w:rPr>
          <w:noProof/>
        </w:rPr>
        <mc:AlternateContent>
          <mc:Choice Requires="wps">
            <w:drawing>
              <wp:anchor distT="0" distB="0" distL="114300" distR="114300" simplePos="0" relativeHeight="251715584" behindDoc="0" locked="0" layoutInCell="1" allowOverlap="1" wp14:anchorId="45E05D73" wp14:editId="4B6DD16E">
                <wp:simplePos x="0" y="0"/>
                <wp:positionH relativeFrom="column">
                  <wp:posOffset>5676900</wp:posOffset>
                </wp:positionH>
                <wp:positionV relativeFrom="paragraph">
                  <wp:posOffset>-499110</wp:posOffset>
                </wp:positionV>
                <wp:extent cx="1250315" cy="660400"/>
                <wp:effectExtent l="0" t="0" r="26035" b="25400"/>
                <wp:wrapNone/>
                <wp:docPr id="307" name="Zone de texte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315" cy="6604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14AB3FC" w14:textId="77777777" w:rsidR="00ED1ADA" w:rsidRDefault="00ED1ADA" w:rsidP="00302BFE">
                            <w:pPr>
                              <w:spacing w:after="0"/>
                              <w:ind w:left="-113" w:right="-113"/>
                              <w:jc w:val="center"/>
                              <w:rPr>
                                <w:rFonts w:ascii="Times New Roman" w:hAnsi="Times New Roman"/>
                                <w:sz w:val="14"/>
                                <w:szCs w:val="14"/>
                                <w:lang w:val="en-CA"/>
                              </w:rPr>
                            </w:pPr>
                            <w:r w:rsidRPr="006E490C">
                              <w:rPr>
                                <w:rFonts w:ascii="Times New Roman" w:hAnsi="Times New Roman"/>
                                <w:sz w:val="14"/>
                                <w:szCs w:val="14"/>
                                <w:lang w:val="en-CA"/>
                              </w:rPr>
                              <w:t>Increased income for 200 men and 620 women from sustainable NTFP value chains and for 60 men and 140 women from PA related tourism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E05D73" id="Zone de texte 307" o:spid="_x0000_s1041" type="#_x0000_t202" style="position:absolute;left:0;text-align:left;margin-left:447pt;margin-top:-39.3pt;width:98.45pt;height:5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" fillcolor="white [3201]" strokecolor="#4472c4 [3204]" strokeweight="1pt">
                <v:textbox>
                  <w:txbxContent>
                    <w:p w14:paraId="214AB3FC" w14:textId="77777777" w:rsidR="00ED1ADA" w:rsidRDefault="00ED1ADA" w:rsidP="00302BFE">
                      <w:pPr>
                        <w:spacing w:after="0"/>
                        <w:ind w:left="-113" w:right="-113"/>
                        <w:jc w:val="center"/>
                        <w:rPr>
                          <w:rFonts w:ascii="Times New Roman" w:hAnsi="Times New Roman"/>
                          <w:sz w:val="14"/>
                          <w:szCs w:val="14"/>
                          <w:lang w:val="en-CA"/>
                        </w:rPr>
                      </w:pPr>
                      <w:r w:rsidRPr="006E490C">
                        <w:rPr>
                          <w:rFonts w:ascii="Times New Roman" w:hAnsi="Times New Roman"/>
                          <w:sz w:val="14"/>
                          <w:szCs w:val="14"/>
                          <w:lang w:val="en-CA"/>
                        </w:rPr>
                        <w:t>Increased income for 200 men and 620 women from sustainable NTFP value chains and for 60 men and 140 women from PA related tourism</w:t>
                      </w:r>
                    </w:p>
                  </w:txbxContent>
                </v:textbox>
              </v:shape>
            </w:pict>
          </mc:Fallback>
        </mc:AlternateContent>
      </w:r>
      <w:r>
        <w:rPr>
          <w:noProof/>
        </w:rPr>
        <mc:AlternateContent>
          <mc:Choice Requires="wps">
            <w:drawing>
              <wp:anchor distT="0" distB="0" distL="114300" distR="114300" simplePos="0" relativeHeight="251716608" behindDoc="0" locked="0" layoutInCell="1" allowOverlap="1" wp14:anchorId="4F083BD5" wp14:editId="09EC302D">
                <wp:simplePos x="0" y="0"/>
                <wp:positionH relativeFrom="margin">
                  <wp:posOffset>3023870</wp:posOffset>
                </wp:positionH>
                <wp:positionV relativeFrom="paragraph">
                  <wp:posOffset>-516255</wp:posOffset>
                </wp:positionV>
                <wp:extent cx="1003935" cy="700405"/>
                <wp:effectExtent l="0" t="0" r="24765" b="23495"/>
                <wp:wrapNone/>
                <wp:docPr id="107" name="Zone de texte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3300" cy="700405"/>
                        </a:xfrm>
                        <a:prstGeom prst="rect">
                          <a:avLst/>
                        </a:prstGeom>
                        <a:noFill/>
                        <a:ln w="12700">
                          <a:solidFill>
                            <a:srgbClr val="4BACC6"/>
                          </a:solidFill>
                        </a:ln>
                      </wps:spPr>
                      <wps:txbx>
                        <w:txbxContent>
                          <w:p w14:paraId="51253A7D" w14:textId="77777777" w:rsidR="00ED1ADA" w:rsidRDefault="00ED1ADA" w:rsidP="00302BFE">
                            <w:pPr>
                              <w:pStyle w:val="NormalWeb"/>
                              <w:ind w:left="-90" w:right="-72"/>
                              <w:jc w:val="center"/>
                              <w:rPr>
                                <w:sz w:val="14"/>
                                <w:szCs w:val="14"/>
                                <w:lang w:val="en-CA"/>
                              </w:rPr>
                            </w:pPr>
                            <w:r w:rsidRPr="00D61C93">
                              <w:rPr>
                                <w:sz w:val="14"/>
                                <w:szCs w:val="14"/>
                              </w:rPr>
                              <w:t>5,448,924</w:t>
                            </w:r>
                            <w:r w:rsidRPr="00D61C93">
                              <w:rPr>
                                <w:sz w:val="14"/>
                                <w:szCs w:val="14"/>
                                <w:lang w:val="en-CA"/>
                              </w:rPr>
                              <w:t xml:space="preserve"> tCO</w:t>
                            </w:r>
                            <w:r w:rsidRPr="00D61C93">
                              <w:rPr>
                                <w:sz w:val="14"/>
                                <w:szCs w:val="14"/>
                                <w:vertAlign w:val="subscript"/>
                                <w:lang w:val="en-CA"/>
                              </w:rPr>
                              <w:t>2eq</w:t>
                            </w:r>
                            <w:r>
                              <w:rPr>
                                <w:sz w:val="14"/>
                                <w:szCs w:val="14"/>
                                <w:lang w:val="en-CA"/>
                              </w:rPr>
                              <w:t xml:space="preserve"> of avoided greenhouse gas emissions through reduced deforestation and habitat restoration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F083BD5" id="Zone de texte 107" o:spid="_x0000_s1042" type="#_x0000_t202" style="position:absolute;left:0;text-align:left;margin-left:238.1pt;margin-top:-40.65pt;width:79.05pt;height:55.1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" filled="f" strokecolor="#4bacc6" strokeweight="1pt">
                <v:path arrowok="t"/>
                <v:textbox>
                  <w:txbxContent>
                    <w:p w14:paraId="51253A7D" w14:textId="77777777" w:rsidR="00ED1ADA" w:rsidRDefault="00ED1ADA" w:rsidP="00302BFE">
                      <w:pPr>
                        <w:pStyle w:val="NormalWeb"/>
                        <w:ind w:left="-90" w:right="-72"/>
                        <w:jc w:val="center"/>
                        <w:rPr>
                          <w:sz w:val="14"/>
                          <w:szCs w:val="14"/>
                          <w:lang w:val="en-CA"/>
                        </w:rPr>
                      </w:pPr>
                      <w:r w:rsidRPr="00D61C93">
                        <w:rPr>
                          <w:sz w:val="14"/>
                          <w:szCs w:val="14"/>
                        </w:rPr>
                        <w:t>5,448,924</w:t>
                      </w:r>
                      <w:r w:rsidRPr="00D61C93">
                        <w:rPr>
                          <w:sz w:val="14"/>
                          <w:szCs w:val="14"/>
                          <w:lang w:val="en-CA"/>
                        </w:rPr>
                        <w:t xml:space="preserve"> tCO</w:t>
                      </w:r>
                      <w:r w:rsidRPr="00D61C93">
                        <w:rPr>
                          <w:sz w:val="14"/>
                          <w:szCs w:val="14"/>
                          <w:vertAlign w:val="subscript"/>
                          <w:lang w:val="en-CA"/>
                        </w:rPr>
                        <w:t>2eq</w:t>
                      </w:r>
                      <w:r>
                        <w:rPr>
                          <w:sz w:val="14"/>
                          <w:szCs w:val="14"/>
                          <w:lang w:val="en-CA"/>
                        </w:rPr>
                        <w:t xml:space="preserve"> of avoided greenhouse gas emissions through reduced deforestation and habitat restoration</w:t>
                      </w:r>
                    </w:p>
                  </w:txbxContent>
                </v:textbox>
                <w10:wrap anchorx="margin"/>
              </v:shape>
            </w:pict>
          </mc:Fallback>
        </mc:AlternateContent>
      </w:r>
      <w:r>
        <w:rPr>
          <w:noProof/>
        </w:rPr>
        <mc:AlternateContent>
          <mc:Choice Requires="wps">
            <w:drawing>
              <wp:anchor distT="0" distB="0" distL="114300" distR="114300" simplePos="0" relativeHeight="251667456" behindDoc="0" locked="0" layoutInCell="1" allowOverlap="1" wp14:anchorId="4500E100" wp14:editId="4DC48EBF">
                <wp:simplePos x="0" y="0"/>
                <wp:positionH relativeFrom="margin">
                  <wp:posOffset>4451350</wp:posOffset>
                </wp:positionH>
                <wp:positionV relativeFrom="paragraph">
                  <wp:posOffset>374015</wp:posOffset>
                </wp:positionV>
                <wp:extent cx="252095" cy="8540750"/>
                <wp:effectExtent l="8573" t="0" r="23177" b="23178"/>
                <wp:wrapNone/>
                <wp:docPr id="106" name="Accolade ouvrant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52095" cy="8540750"/>
                        </a:xfrm>
                        <a:prstGeom prst="leftBrace">
                          <a:avLst>
                            <a:gd name="adj1" fmla="val 8333"/>
                            <a:gd name="adj2" fmla="val 48553"/>
                          </a:avLst>
                        </a:prstGeom>
                        <a:noFill/>
                        <a:ln w="9525" cap="flat" cmpd="sng" algn="ctr">
                          <a:solidFill>
                            <a:srgbClr val="4F81BD">
                              <a:shade val="95000"/>
                              <a:satMod val="105000"/>
                            </a:srgbClr>
                          </a:solidFill>
                          <a:prstDash val="solid"/>
                        </a:ln>
                        <a:effectLst/>
                      </wps:spPr>
                      <wps:bodyPr wrap="square" rtlCol="0" anchor="ctr">
                        <a:noAutofit/>
                      </wps:bodyPr>
                    </wps:wsp>
                  </a:graphicData>
                </a:graphic>
                <wp14:sizeRelH relativeFrom="page">
                  <wp14:pctWidth>0</wp14:pctWidth>
                </wp14:sizeRelH>
                <wp14:sizeRelV relativeFrom="margin">
                  <wp14:pctHeight>0</wp14:pctHeight>
                </wp14:sizeRelV>
              </wp:anchor>
            </w:drawing>
          </mc:Choice>
          <mc:Fallback>
            <w:pict>
              <v:shape w14:anchorId="532399A1" id="Accolade ouvrante 106" o:spid="_x0000_s1026" type="#_x0000_t87" style="position:absolute;margin-left:350.5pt;margin-top:29.45pt;width:19.85pt;height:672.5pt;rotation:-90;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" adj="53,10487" strokecolor="#4a7ebb">
                <w10:wrap anchorx="margin"/>
              </v:shape>
            </w:pict>
          </mc:Fallback>
        </mc:AlternateContent>
      </w:r>
    </w:p>
    <w:p w14:paraId="47608B09" w14:textId="77777777" w:rsidR="00302BFE" w:rsidRDefault="00302BFE" w:rsidP="00302BFE">
      <w:pPr>
        <w:spacing w:after="0" w:line="220" w:lineRule="exact"/>
        <w:rPr>
          <w:rFonts w:ascii="Times New Roman" w:hAnsi="Times New Roman"/>
          <w:lang w:val="en-CA"/>
        </w:rPr>
      </w:pPr>
    </w:p>
    <w:p w14:paraId="5DC2A18C" w14:textId="77777777" w:rsidR="00302BFE" w:rsidRDefault="00302BFE" w:rsidP="00302BFE">
      <w:pPr>
        <w:spacing w:after="0" w:line="220" w:lineRule="exact"/>
        <w:rPr>
          <w:rFonts w:ascii="Times New Roman" w:hAnsi="Times New Roman"/>
          <w:lang w:val="en-CA"/>
        </w:rPr>
      </w:pPr>
    </w:p>
    <w:p w14:paraId="0EBC6A6E" w14:textId="77777777" w:rsidR="00302BFE" w:rsidRDefault="00302BFE" w:rsidP="00302BFE">
      <w:pPr>
        <w:spacing w:after="0" w:line="220" w:lineRule="exact"/>
        <w:rPr>
          <w:rFonts w:ascii="Times New Roman" w:hAnsi="Times New Roman"/>
          <w:lang w:val="en-CA"/>
        </w:rPr>
      </w:pPr>
    </w:p>
    <w:p w14:paraId="6D4BA705" w14:textId="77777777" w:rsidR="00302BFE" w:rsidRDefault="00302BFE" w:rsidP="00302BFE">
      <w:pPr>
        <w:spacing w:after="0" w:line="220" w:lineRule="exact"/>
        <w:rPr>
          <w:rFonts w:ascii="Times New Roman" w:hAnsi="Times New Roman"/>
          <w:lang w:val="en-CA"/>
        </w:rPr>
      </w:pPr>
    </w:p>
    <w:p w14:paraId="0A535957" w14:textId="77777777" w:rsidR="00302BFE" w:rsidRDefault="00302BFE" w:rsidP="00302BFE">
      <w:pPr>
        <w:spacing w:after="0" w:line="220" w:lineRule="exact"/>
        <w:rPr>
          <w:rFonts w:ascii="Times New Roman" w:hAnsi="Times New Roman"/>
          <w:lang w:val="en-CA"/>
        </w:rPr>
      </w:pPr>
      <w:r>
        <w:rPr>
          <w:noProof/>
        </w:rPr>
        <mc:AlternateContent>
          <mc:Choice Requires="wps">
            <w:drawing>
              <wp:anchor distT="0" distB="0" distL="114300" distR="114300" simplePos="0" relativeHeight="251708416" behindDoc="0" locked="0" layoutInCell="1" allowOverlap="1" wp14:anchorId="08A515C0" wp14:editId="40400A7E">
                <wp:simplePos x="0" y="0"/>
                <wp:positionH relativeFrom="column">
                  <wp:posOffset>-612775</wp:posOffset>
                </wp:positionH>
                <wp:positionV relativeFrom="paragraph">
                  <wp:posOffset>175260</wp:posOffset>
                </wp:positionV>
                <wp:extent cx="673735" cy="667385"/>
                <wp:effectExtent l="0" t="0" r="12065" b="18415"/>
                <wp:wrapNone/>
                <wp:docPr id="105" name="Zone de texte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2475" cy="766445"/>
                        </a:xfrm>
                        <a:prstGeom prst="rect">
                          <a:avLst/>
                        </a:prstGeom>
                        <a:solidFill>
                          <a:sysClr val="window" lastClr="FFFFFF"/>
                        </a:solidFill>
                        <a:ln w="12700" cap="flat" cmpd="sng" algn="ctr">
                          <a:solidFill>
                            <a:srgbClr val="FFC000"/>
                          </a:solidFill>
                          <a:prstDash val="solid"/>
                          <a:miter lim="800000"/>
                        </a:ln>
                        <a:effectLst/>
                      </wps:spPr>
                      <wps:txbx>
                        <w:txbxContent>
                          <w:p w14:paraId="1ED986FE" w14:textId="77777777" w:rsidR="00ED1ADA" w:rsidRDefault="00ED1ADA" w:rsidP="00302BFE">
                            <w:pPr>
                              <w:pStyle w:val="NormalWeb"/>
                              <w:spacing w:after="0"/>
                              <w:ind w:left="-180" w:right="-144"/>
                              <w:jc w:val="center"/>
                              <w:rPr>
                                <w:b/>
                                <w:sz w:val="16"/>
                                <w:szCs w:val="16"/>
                                <w:lang w:val="fr-CA"/>
                              </w:rPr>
                            </w:pPr>
                            <w:r>
                              <w:rPr>
                                <w:b/>
                                <w:sz w:val="16"/>
                                <w:szCs w:val="16"/>
                              </w:rPr>
                              <w:t>Assumptions</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08A515C0" id="Zone de texte 105" o:spid="_x0000_s1043" type="#_x0000_t202" style="position:absolute;left:0;text-align:left;margin-left:-48.25pt;margin-top:13.8pt;width:53.05pt;height:52.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" fillcolor="window" strokecolor="#ffc000" strokeweight="1pt">
                <v:path arrowok="t"/>
                <v:textbox inset="3.38303mm,1.6915mm,3.38303mm,1.6915mm">
                  <w:txbxContent>
                    <w:p w14:paraId="1ED986FE" w14:textId="77777777" w:rsidR="00ED1ADA" w:rsidRDefault="00ED1ADA" w:rsidP="00302BFE">
                      <w:pPr>
                        <w:pStyle w:val="NormalWeb"/>
                        <w:spacing w:after="0"/>
                        <w:ind w:left="-180" w:right="-144"/>
                        <w:jc w:val="center"/>
                        <w:rPr>
                          <w:b/>
                          <w:sz w:val="16"/>
                          <w:szCs w:val="16"/>
                          <w:lang w:val="fr-CA"/>
                        </w:rPr>
                      </w:pPr>
                      <w:r>
                        <w:rPr>
                          <w:b/>
                          <w:sz w:val="16"/>
                          <w:szCs w:val="16"/>
                        </w:rPr>
                        <w:t>Assumptions</w:t>
                      </w:r>
                    </w:p>
                  </w:txbxContent>
                </v:textbox>
              </v:shape>
            </w:pict>
          </mc:Fallback>
        </mc:AlternateContent>
      </w:r>
    </w:p>
    <w:p w14:paraId="3A970F16" w14:textId="77777777" w:rsidR="00302BFE" w:rsidRDefault="00302BFE" w:rsidP="00302BFE">
      <w:pPr>
        <w:spacing w:after="0" w:line="220" w:lineRule="exact"/>
        <w:rPr>
          <w:rFonts w:ascii="Times New Roman" w:hAnsi="Times New Roman"/>
          <w:lang w:val="en-CA"/>
        </w:rPr>
      </w:pPr>
    </w:p>
    <w:p w14:paraId="502A8679" w14:textId="77777777" w:rsidR="00302BFE" w:rsidRDefault="00302BFE" w:rsidP="00302BFE">
      <w:pPr>
        <w:spacing w:after="0" w:line="220" w:lineRule="exact"/>
        <w:rPr>
          <w:rFonts w:ascii="Times New Roman" w:hAnsi="Times New Roman"/>
          <w:lang w:val="en-CA"/>
        </w:rPr>
      </w:pPr>
    </w:p>
    <w:p w14:paraId="0A75B4BD" w14:textId="77777777" w:rsidR="00302BFE" w:rsidRDefault="00302BFE" w:rsidP="00302BFE">
      <w:pPr>
        <w:spacing w:after="0" w:line="220" w:lineRule="exact"/>
        <w:rPr>
          <w:rFonts w:ascii="Times New Roman" w:hAnsi="Times New Roman"/>
          <w:lang w:val="en-CA"/>
        </w:rPr>
      </w:pPr>
    </w:p>
    <w:p w14:paraId="60A375E6" w14:textId="77777777" w:rsidR="00302BFE" w:rsidRDefault="00302BFE" w:rsidP="00302BFE">
      <w:pPr>
        <w:spacing w:after="0" w:line="220" w:lineRule="exact"/>
        <w:rPr>
          <w:rFonts w:ascii="Times New Roman" w:hAnsi="Times New Roman"/>
          <w:lang w:val="en-CA"/>
        </w:rPr>
      </w:pPr>
    </w:p>
    <w:p w14:paraId="79EEDE14" w14:textId="77777777" w:rsidR="00302BFE" w:rsidRDefault="00302BFE" w:rsidP="00302BFE">
      <w:pPr>
        <w:spacing w:after="0" w:line="220" w:lineRule="exact"/>
        <w:rPr>
          <w:rFonts w:ascii="Times New Roman" w:hAnsi="Times New Roman"/>
          <w:lang w:val="en-CA"/>
        </w:rPr>
      </w:pPr>
    </w:p>
    <w:p w14:paraId="5BCAAA30" w14:textId="77777777" w:rsidR="00302BFE" w:rsidRDefault="00302BFE" w:rsidP="00302BFE">
      <w:pPr>
        <w:spacing w:after="0" w:line="220" w:lineRule="exact"/>
        <w:rPr>
          <w:rFonts w:ascii="Times New Roman" w:hAnsi="Times New Roman"/>
          <w:lang w:val="en-CA"/>
        </w:rPr>
      </w:pPr>
      <w:r>
        <w:rPr>
          <w:noProof/>
        </w:rPr>
        <mc:AlternateContent>
          <mc:Choice Requires="wps">
            <w:drawing>
              <wp:anchor distT="0" distB="0" distL="114300" distR="114300" simplePos="0" relativeHeight="251698176" behindDoc="0" locked="0" layoutInCell="1" allowOverlap="1" wp14:anchorId="73DF4FE6" wp14:editId="5909195F">
                <wp:simplePos x="0" y="0"/>
                <wp:positionH relativeFrom="margin">
                  <wp:posOffset>5827395</wp:posOffset>
                </wp:positionH>
                <wp:positionV relativeFrom="paragraph">
                  <wp:posOffset>70485</wp:posOffset>
                </wp:positionV>
                <wp:extent cx="328930" cy="196850"/>
                <wp:effectExtent l="66040" t="29210" r="22860" b="22860"/>
                <wp:wrapNone/>
                <wp:docPr id="104" name="Connecteur : en angl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V="1">
                          <a:off x="0" y="0"/>
                          <a:ext cx="225425" cy="327660"/>
                        </a:xfrm>
                        <a:prstGeom prst="bentConnector3">
                          <a:avLst>
                            <a:gd name="adj1" fmla="val 35799"/>
                          </a:avLst>
                        </a:prstGeom>
                        <a:noFill/>
                        <a:ln w="9525">
                          <a:solidFill>
                            <a:srgbClr val="4A7EBB"/>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07DEE29" id="Connecteur : en angle 104" o:spid="_x0000_s1026" type="#_x0000_t34" style="position:absolute;margin-left:458.85pt;margin-top:5.55pt;width:25.9pt;height:15.5pt;rotation:90;flip:y;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" adj="7733" strokecolor="#4a7ebb">
                <v:stroke endarrow="block"/>
                <w10:wrap anchorx="margin"/>
              </v:shape>
            </w:pict>
          </mc:Fallback>
        </mc:AlternateContent>
      </w:r>
    </w:p>
    <w:p w14:paraId="08EFD646" w14:textId="77777777" w:rsidR="00302BFE" w:rsidRDefault="00122E02" w:rsidP="00302BFE">
      <w:pPr>
        <w:spacing w:after="0" w:line="220" w:lineRule="exact"/>
        <w:rPr>
          <w:rFonts w:ascii="Times New Roman" w:hAnsi="Times New Roman"/>
          <w:lang w:val="en-CA"/>
        </w:rPr>
      </w:pPr>
      <w:r>
        <w:rPr>
          <w:noProof/>
        </w:rPr>
        <mc:AlternateContent>
          <mc:Choice Requires="wps">
            <w:drawing>
              <wp:anchor distT="0" distB="0" distL="114300" distR="114300" simplePos="0" relativeHeight="251722752" behindDoc="0" locked="0" layoutInCell="1" allowOverlap="1" wp14:anchorId="4D1F443A" wp14:editId="4389426E">
                <wp:simplePos x="0" y="0"/>
                <wp:positionH relativeFrom="column">
                  <wp:posOffset>239395</wp:posOffset>
                </wp:positionH>
                <wp:positionV relativeFrom="paragraph">
                  <wp:posOffset>127000</wp:posOffset>
                </wp:positionV>
                <wp:extent cx="2297430" cy="1816100"/>
                <wp:effectExtent l="0" t="0" r="26670" b="12700"/>
                <wp:wrapSquare wrapText="bothSides"/>
                <wp:docPr id="102" name="Rectangle : coins arrondis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7430" cy="1816100"/>
                        </a:xfrm>
                        <a:prstGeom prst="roundRect">
                          <a:avLst/>
                        </a:prstGeom>
                        <a:noFill/>
                        <a:ln w="19050" cap="flat" cmpd="sng" algn="ctr">
                          <a:solidFill>
                            <a:srgbClr val="5B9BD5">
                              <a:lumMod val="75000"/>
                            </a:srgbClr>
                          </a:solidFill>
                          <a:prstDash val="sysDash"/>
                        </a:ln>
                        <a:effectLst/>
                      </wps:spPr>
                      <wps:txbx>
                        <w:txbxContent>
                          <w:p w14:paraId="51AED420" w14:textId="77777777" w:rsidR="00ED1ADA" w:rsidRDefault="00ED1ADA" w:rsidP="00302BFE">
                            <w:pPr>
                              <w:spacing w:after="0"/>
                              <w:ind w:left="-851"/>
                              <w:rPr>
                                <w:sz w:val="16"/>
                                <w:szCs w:val="16"/>
                              </w:rPr>
                            </w:pPr>
                          </w:p>
                        </w:txbxContent>
                      </wps:txbx>
                      <wps:bodyPr wrap="square" rtlCol="0" anchor="ctr">
                        <a:noAutofit/>
                      </wps:bodyPr>
                    </wps:wsp>
                  </a:graphicData>
                </a:graphic>
                <wp14:sizeRelH relativeFrom="page">
                  <wp14:pctWidth>0</wp14:pctWidth>
                </wp14:sizeRelH>
                <wp14:sizeRelV relativeFrom="margin">
                  <wp14:pctHeight>0</wp14:pctHeight>
                </wp14:sizeRelV>
              </wp:anchor>
            </w:drawing>
          </mc:Choice>
          <mc:Fallback>
            <w:pict>
              <v:roundrect w14:anchorId="4D1F443A" id="Rectangle : coins arrondis 102" o:spid="_x0000_s1044" style="position:absolute;left:0;text-align:left;margin-left:18.85pt;margin-top:10pt;width:180.9pt;height:14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" filled="f" strokecolor="#2e75b6" strokeweight="1.5pt">
                <v:stroke dashstyle="3 1"/>
                <v:path arrowok="t"/>
                <v:textbox>
                  <w:txbxContent>
                    <w:p w14:paraId="51AED420" w14:textId="77777777" w:rsidR="00ED1ADA" w:rsidRDefault="00ED1ADA" w:rsidP="00302BFE">
                      <w:pPr>
                        <w:spacing w:after="0"/>
                        <w:ind w:left="-851"/>
                        <w:rPr>
                          <w:sz w:val="16"/>
                          <w:szCs w:val="16"/>
                        </w:rPr>
                      </w:pPr>
                    </w:p>
                  </w:txbxContent>
                </v:textbox>
                <w10:wrap type="square"/>
              </v:roundrect>
            </w:pict>
          </mc:Fallback>
        </mc:AlternateContent>
      </w:r>
      <w:r w:rsidR="00302BFE">
        <w:rPr>
          <w:noProof/>
        </w:rPr>
        <mc:AlternateContent>
          <mc:Choice Requires="wps">
            <w:drawing>
              <wp:anchor distT="0" distB="0" distL="114300" distR="114300" simplePos="0" relativeHeight="251673600" behindDoc="0" locked="0" layoutInCell="1" allowOverlap="1" wp14:anchorId="03C65C3E" wp14:editId="6BCD67AD">
                <wp:simplePos x="0" y="0"/>
                <wp:positionH relativeFrom="margin">
                  <wp:posOffset>-579120</wp:posOffset>
                </wp:positionH>
                <wp:positionV relativeFrom="paragraph">
                  <wp:posOffset>155575</wp:posOffset>
                </wp:positionV>
                <wp:extent cx="687705" cy="1714500"/>
                <wp:effectExtent l="0" t="0" r="17145" b="19050"/>
                <wp:wrapNone/>
                <wp:docPr id="163"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1714500"/>
                        </a:xfrm>
                        <a:prstGeom prst="rect">
                          <a:avLst/>
                        </a:prstGeom>
                        <a:solidFill>
                          <a:sysClr val="window" lastClr="FFFFFF"/>
                        </a:solidFill>
                        <a:ln w="25400" cap="flat" cmpd="sng" algn="ctr">
                          <a:solidFill>
                            <a:srgbClr val="5B9BD5">
                              <a:lumMod val="75000"/>
                            </a:srgbClr>
                          </a:solidFill>
                          <a:prstDash val="solid"/>
                        </a:ln>
                        <a:effectLst/>
                      </wps:spPr>
                      <wps:txbx>
                        <w:txbxContent>
                          <w:p w14:paraId="7268EDE5" w14:textId="77777777" w:rsidR="00ED1ADA" w:rsidRDefault="00ED1ADA" w:rsidP="00302BFE">
                            <w:pPr>
                              <w:pStyle w:val="NormalWeb"/>
                              <w:spacing w:after="0"/>
                              <w:jc w:val="center"/>
                              <w:rPr>
                                <w:color w:val="C45911"/>
                                <w:sz w:val="16"/>
                                <w:szCs w:val="16"/>
                              </w:rPr>
                            </w:pPr>
                            <w:r>
                              <w:rPr>
                                <w:b/>
                                <w:bCs/>
                                <w:color w:val="000000"/>
                                <w:kern w:val="24"/>
                                <w:sz w:val="16"/>
                                <w:szCs w:val="16"/>
                              </w:rPr>
                              <w:t>Project Outputs</w:t>
                            </w:r>
                          </w:p>
                        </w:txbxContent>
                      </wps:txbx>
                      <wps:bodyPr wrap="square"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rect w14:anchorId="03C65C3E" id="Rectangle 163" o:spid="_x0000_s1045" style="position:absolute;left:0;text-align:left;margin-left:-45.6pt;margin-top:12.25pt;width:54.15pt;height:13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" fillcolor="window" strokecolor="#2e75b6" strokeweight="2pt">
                <v:path arrowok="t"/>
                <v:textbox inset="3.38303mm,1.6915mm,3.38303mm,1.6915mm">
                  <w:txbxContent>
                    <w:p w14:paraId="7268EDE5" w14:textId="77777777" w:rsidR="00ED1ADA" w:rsidRDefault="00ED1ADA" w:rsidP="00302BFE">
                      <w:pPr>
                        <w:pStyle w:val="NormalWeb"/>
                        <w:spacing w:after="0"/>
                        <w:jc w:val="center"/>
                        <w:rPr>
                          <w:color w:val="C45911"/>
                          <w:sz w:val="16"/>
                          <w:szCs w:val="16"/>
                        </w:rPr>
                      </w:pPr>
                      <w:r>
                        <w:rPr>
                          <w:b/>
                          <w:bCs/>
                          <w:color w:val="000000"/>
                          <w:kern w:val="24"/>
                          <w:sz w:val="16"/>
                          <w:szCs w:val="16"/>
                        </w:rPr>
                        <w:t>Project Outputs</w:t>
                      </w:r>
                    </w:p>
                  </w:txbxContent>
                </v:textbox>
                <w10:wrap anchorx="margin"/>
              </v:rect>
            </w:pict>
          </mc:Fallback>
        </mc:AlternateContent>
      </w:r>
      <w:r w:rsidR="00302BFE">
        <w:rPr>
          <w:noProof/>
        </w:rPr>
        <mc:AlternateContent>
          <mc:Choice Requires="wps">
            <w:drawing>
              <wp:anchor distT="0" distB="0" distL="114300" distR="114300" simplePos="0" relativeHeight="251706368" behindDoc="0" locked="0" layoutInCell="1" allowOverlap="1" wp14:anchorId="420F37AE" wp14:editId="5CD7F456">
                <wp:simplePos x="0" y="0"/>
                <wp:positionH relativeFrom="margin">
                  <wp:posOffset>7889875</wp:posOffset>
                </wp:positionH>
                <wp:positionV relativeFrom="paragraph">
                  <wp:posOffset>53340</wp:posOffset>
                </wp:positionV>
                <wp:extent cx="219075" cy="178435"/>
                <wp:effectExtent l="77470" t="36830" r="29845" b="10795"/>
                <wp:wrapNone/>
                <wp:docPr id="103" name="Connecteur : en angl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V="1">
                          <a:off x="0" y="0"/>
                          <a:ext cx="169545" cy="167640"/>
                        </a:xfrm>
                        <a:prstGeom prst="bentConnector3">
                          <a:avLst>
                            <a:gd name="adj1" fmla="val 35799"/>
                          </a:avLst>
                        </a:prstGeom>
                        <a:noFill/>
                        <a:ln w="9525">
                          <a:solidFill>
                            <a:srgbClr val="4A7EBB"/>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EC091EE" id="Connecteur : en angle 103" o:spid="_x0000_s1026" type="#_x0000_t34" style="position:absolute;margin-left:621.25pt;margin-top:4.2pt;width:17.25pt;height:14.05pt;rotation:90;flip:y;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" adj="7733" strokecolor="#4a7ebb">
                <v:stroke endarrow="block"/>
                <w10:wrap anchorx="margin"/>
              </v:shape>
            </w:pict>
          </mc:Fallback>
        </mc:AlternateContent>
      </w:r>
    </w:p>
    <w:p w14:paraId="73FBDEF1" w14:textId="77777777" w:rsidR="00302BFE" w:rsidRDefault="00122E02" w:rsidP="00302BFE">
      <w:pPr>
        <w:spacing w:after="0" w:line="220" w:lineRule="exact"/>
        <w:rPr>
          <w:rFonts w:ascii="Times New Roman" w:hAnsi="Times New Roman"/>
          <w:lang w:val="en-CA"/>
        </w:rPr>
      </w:pPr>
      <w:r>
        <w:rPr>
          <w:noProof/>
        </w:rPr>
        <mc:AlternateContent>
          <mc:Choice Requires="wps">
            <w:drawing>
              <wp:anchor distT="0" distB="0" distL="114300" distR="114300" simplePos="0" relativeHeight="251665408" behindDoc="0" locked="0" layoutInCell="1" allowOverlap="1" wp14:anchorId="63C5772F" wp14:editId="297A2E27">
                <wp:simplePos x="0" y="0"/>
                <wp:positionH relativeFrom="margin">
                  <wp:posOffset>2713939</wp:posOffset>
                </wp:positionH>
                <wp:positionV relativeFrom="paragraph">
                  <wp:posOffset>8992</wp:posOffset>
                </wp:positionV>
                <wp:extent cx="2032000" cy="1736471"/>
                <wp:effectExtent l="0" t="0" r="25400" b="16510"/>
                <wp:wrapNone/>
                <wp:docPr id="187" name="Rectangle : coins arrondis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00" cy="1736471"/>
                        </a:xfrm>
                        <a:prstGeom prst="roundRect">
                          <a:avLst/>
                        </a:prstGeom>
                        <a:noFill/>
                        <a:ln w="19050" cap="flat" cmpd="sng" algn="ctr">
                          <a:solidFill>
                            <a:srgbClr val="5B9BD5">
                              <a:lumMod val="75000"/>
                            </a:srgbClr>
                          </a:solidFill>
                          <a:prstDash val="sysDash"/>
                        </a:ln>
                        <a:effectLst/>
                      </wps:spPr>
                      <wps:bodyPr rtlCol="0" anchor="ctr"/>
                    </wps:wsp>
                  </a:graphicData>
                </a:graphic>
                <wp14:sizeRelH relativeFrom="margin">
                  <wp14:pctWidth>0</wp14:pctWidth>
                </wp14:sizeRelH>
                <wp14:sizeRelV relativeFrom="margin">
                  <wp14:pctHeight>0</wp14:pctHeight>
                </wp14:sizeRelV>
              </wp:anchor>
            </w:drawing>
          </mc:Choice>
          <mc:Fallback>
            <w:pict>
              <v:roundrect w14:anchorId="1FF06B8F" id="Rectangle : coins arrondis 187" o:spid="_x0000_s1026" style="position:absolute;margin-left:213.7pt;margin-top:.7pt;width:160pt;height:136.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" filled="f" strokecolor="#2e75b6" strokeweight="1.5pt">
                <v:stroke dashstyle="3 1"/>
                <v:path arrowok="t"/>
                <w10:wrap anchorx="margin"/>
              </v:roundrect>
            </w:pict>
          </mc:Fallback>
        </mc:AlternateContent>
      </w:r>
      <w:r>
        <w:rPr>
          <w:noProof/>
        </w:rPr>
        <mc:AlternateContent>
          <mc:Choice Requires="wpg">
            <w:drawing>
              <wp:anchor distT="0" distB="0" distL="114300" distR="114300" simplePos="0" relativeHeight="251699200" behindDoc="0" locked="0" layoutInCell="1" allowOverlap="1" wp14:anchorId="4F494D1B" wp14:editId="4A1FF4D3">
                <wp:simplePos x="0" y="0"/>
                <wp:positionH relativeFrom="column">
                  <wp:posOffset>284480</wp:posOffset>
                </wp:positionH>
                <wp:positionV relativeFrom="paragraph">
                  <wp:posOffset>45085</wp:posOffset>
                </wp:positionV>
                <wp:extent cx="2270760" cy="1699895"/>
                <wp:effectExtent l="0" t="0" r="15240" b="14605"/>
                <wp:wrapNone/>
                <wp:docPr id="95" name="Groupe 95"/>
                <wp:cNvGraphicFramePr/>
                <a:graphic xmlns:a="http://schemas.openxmlformats.org/drawingml/2006/main">
                  <a:graphicData uri="http://schemas.microsoft.com/office/word/2010/wordprocessingGroup">
                    <wpg:wgp>
                      <wpg:cNvGrpSpPr/>
                      <wpg:grpSpPr bwMode="auto">
                        <a:xfrm>
                          <a:off x="0" y="0"/>
                          <a:ext cx="2270760" cy="1699895"/>
                          <a:chOff x="1868731" y="36265"/>
                          <a:chExt cx="1589794" cy="1715830"/>
                        </a:xfrm>
                      </wpg:grpSpPr>
                      <wps:wsp>
                        <wps:cNvPr id="111" name="TextBox 85"/>
                        <wps:cNvSpPr txBox="1">
                          <a:spLocks/>
                        </wps:cNvSpPr>
                        <wps:spPr bwMode="auto">
                          <a:xfrm>
                            <a:off x="1878893" y="36265"/>
                            <a:ext cx="1574543" cy="377089"/>
                          </a:xfrm>
                          <a:prstGeom prst="rect">
                            <a:avLst/>
                          </a:prstGeom>
                          <a:noFill/>
                          <a:ln w="9525">
                            <a:solidFill>
                              <a:srgbClr val="4BACC6"/>
                            </a:solidFill>
                            <a:miter lim="800000"/>
                            <a:headEnd/>
                            <a:tailEnd/>
                          </a:ln>
                          <a:extLst>
                            <a:ext uri="{909E8E84-426E-40DD-AFC4-6F175D3DCCD1}">
                              <a14:hiddenFill xmlns:a14="http://schemas.microsoft.com/office/drawing/2010/main">
                                <a:solidFill>
                                  <a:srgbClr val="FFFFFF"/>
                                </a:solidFill>
                              </a14:hiddenFill>
                            </a:ext>
                          </a:extLst>
                        </wps:spPr>
                        <wps:txbx>
                          <w:txbxContent>
                            <w:p w14:paraId="200F320B" w14:textId="77777777" w:rsidR="00ED1ADA" w:rsidRDefault="00ED1ADA" w:rsidP="00302BFE">
                              <w:pPr>
                                <w:pStyle w:val="NormalWeb"/>
                                <w:spacing w:before="0" w:beforeAutospacing="0" w:after="0" w:afterAutospacing="0"/>
                                <w:ind w:left="-113" w:right="-113"/>
                                <w:jc w:val="center"/>
                                <w:rPr>
                                  <w:sz w:val="12"/>
                                  <w:szCs w:val="12"/>
                                  <w:lang w:val="en-CA"/>
                                </w:rPr>
                              </w:pPr>
                              <w:r>
                                <w:rPr>
                                  <w:sz w:val="12"/>
                                  <w:szCs w:val="12"/>
                                  <w:lang w:val="en-CA"/>
                                </w:rPr>
                                <w:t>Enhanced and operationalized co-governance mechanism of the landscape as a platform for joint decision on land and resource use and harmonization of different jurisdictions</w:t>
                              </w:r>
                            </w:p>
                          </w:txbxContent>
                        </wps:txbx>
                        <wps:bodyPr rot="0" vert="horz" wrap="square" lIns="91440" tIns="0" rIns="91440" bIns="0" anchor="ctr" anchorCtr="0" upright="1">
                          <a:noAutofit/>
                        </wps:bodyPr>
                      </wps:wsp>
                      <wps:wsp>
                        <wps:cNvPr id="112" name="TextBox 85"/>
                        <wps:cNvSpPr txBox="1">
                          <a:spLocks/>
                        </wps:cNvSpPr>
                        <wps:spPr bwMode="auto">
                          <a:xfrm>
                            <a:off x="1878971" y="412768"/>
                            <a:ext cx="1574465" cy="417213"/>
                          </a:xfrm>
                          <a:prstGeom prst="rect">
                            <a:avLst/>
                          </a:prstGeom>
                          <a:noFill/>
                          <a:ln w="9525">
                            <a:solidFill>
                              <a:srgbClr val="4BACC6"/>
                            </a:solidFill>
                            <a:miter lim="800000"/>
                            <a:headEnd/>
                            <a:tailEnd/>
                          </a:ln>
                          <a:extLst>
                            <a:ext uri="{909E8E84-426E-40DD-AFC4-6F175D3DCCD1}">
                              <a14:hiddenFill xmlns:a14="http://schemas.microsoft.com/office/drawing/2010/main">
                                <a:solidFill>
                                  <a:srgbClr val="FFFFFF"/>
                                </a:solidFill>
                              </a14:hiddenFill>
                            </a:ext>
                          </a:extLst>
                        </wps:spPr>
                        <wps:txbx>
                          <w:txbxContent>
                            <w:p w14:paraId="455D485C" w14:textId="77777777" w:rsidR="00ED1ADA" w:rsidRDefault="00ED1ADA" w:rsidP="00302BFE">
                              <w:pPr>
                                <w:pStyle w:val="NormalWeb"/>
                                <w:spacing w:before="0" w:beforeAutospacing="0" w:after="0" w:afterAutospacing="0"/>
                                <w:ind w:left="-170" w:right="-170"/>
                                <w:jc w:val="center"/>
                                <w:rPr>
                                  <w:sz w:val="12"/>
                                  <w:szCs w:val="12"/>
                                  <w:lang w:val="en-CA"/>
                                </w:rPr>
                              </w:pPr>
                              <w:r>
                                <w:rPr>
                                  <w:sz w:val="12"/>
                                  <w:szCs w:val="12"/>
                                  <w:lang w:val="en-CA"/>
                                </w:rPr>
                                <w:t>Spatial planning methodology to visualize impacts of economic activities and offsets to support land use decision making maximizing environmental and economic benefits</w:t>
                              </w:r>
                            </w:p>
                          </w:txbxContent>
                        </wps:txbx>
                        <wps:bodyPr rot="0" vert="horz" wrap="square" lIns="91440" tIns="0" rIns="91440" bIns="0" anchor="ctr" anchorCtr="0" upright="1">
                          <a:noAutofit/>
                        </wps:bodyPr>
                      </wps:wsp>
                      <wps:wsp>
                        <wps:cNvPr id="113" name="TextBox 85"/>
                        <wps:cNvSpPr txBox="1">
                          <a:spLocks/>
                        </wps:cNvSpPr>
                        <wps:spPr bwMode="auto">
                          <a:xfrm>
                            <a:off x="1884216" y="833565"/>
                            <a:ext cx="1574309" cy="328295"/>
                          </a:xfrm>
                          <a:prstGeom prst="rect">
                            <a:avLst/>
                          </a:prstGeom>
                          <a:noFill/>
                          <a:ln w="9525">
                            <a:solidFill>
                              <a:srgbClr val="4BACC6"/>
                            </a:solidFill>
                            <a:miter lim="800000"/>
                            <a:headEnd/>
                            <a:tailEnd/>
                          </a:ln>
                          <a:extLst>
                            <a:ext uri="{909E8E84-426E-40DD-AFC4-6F175D3DCCD1}">
                              <a14:hiddenFill xmlns:a14="http://schemas.microsoft.com/office/drawing/2010/main">
                                <a:solidFill>
                                  <a:srgbClr val="FFFFFF"/>
                                </a:solidFill>
                              </a14:hiddenFill>
                            </a:ext>
                          </a:extLst>
                        </wps:spPr>
                        <wps:txbx>
                          <w:txbxContent>
                            <w:p w14:paraId="719B71B2" w14:textId="77777777" w:rsidR="00ED1ADA" w:rsidRDefault="00ED1ADA" w:rsidP="00302BFE">
                              <w:pPr>
                                <w:pStyle w:val="NormalWeb"/>
                                <w:spacing w:before="0" w:beforeAutospacing="0" w:after="0" w:afterAutospacing="0"/>
                                <w:ind w:left="-170" w:right="-170"/>
                                <w:jc w:val="center"/>
                                <w:rPr>
                                  <w:sz w:val="12"/>
                                  <w:szCs w:val="12"/>
                                  <w:lang w:val="en-CA"/>
                                </w:rPr>
                              </w:pPr>
                              <w:r>
                                <w:rPr>
                                  <w:sz w:val="12"/>
                                  <w:szCs w:val="12"/>
                                  <w:lang w:val="en-CA"/>
                                </w:rPr>
                                <w:t>Accurate and documented estimates of available carbon stocks in the landscape to inform the development of the landscape management plan</w:t>
                              </w:r>
                            </w:p>
                          </w:txbxContent>
                        </wps:txbx>
                        <wps:bodyPr rot="0" vert="horz" wrap="square" lIns="91440" tIns="0" rIns="91440" bIns="0" anchor="ctr" anchorCtr="0" upright="1">
                          <a:noAutofit/>
                        </wps:bodyPr>
                      </wps:wsp>
                      <wps:wsp>
                        <wps:cNvPr id="114" name="TextBox 85"/>
                        <wps:cNvSpPr txBox="1">
                          <a:spLocks/>
                        </wps:cNvSpPr>
                        <wps:spPr bwMode="auto">
                          <a:xfrm>
                            <a:off x="1868731" y="1462481"/>
                            <a:ext cx="1568166" cy="289614"/>
                          </a:xfrm>
                          <a:prstGeom prst="rect">
                            <a:avLst/>
                          </a:prstGeom>
                          <a:noFill/>
                          <a:ln w="9525">
                            <a:solidFill>
                              <a:srgbClr val="4BACC6"/>
                            </a:solidFill>
                            <a:miter lim="800000"/>
                            <a:headEnd/>
                            <a:tailEnd/>
                          </a:ln>
                          <a:extLst>
                            <a:ext uri="{909E8E84-426E-40DD-AFC4-6F175D3DCCD1}">
                              <a14:hiddenFill xmlns:a14="http://schemas.microsoft.com/office/drawing/2010/main">
                                <a:solidFill>
                                  <a:srgbClr val="FFFFFF"/>
                                </a:solidFill>
                              </a14:hiddenFill>
                            </a:ext>
                          </a:extLst>
                        </wps:spPr>
                        <wps:txbx>
                          <w:txbxContent>
                            <w:p w14:paraId="20FFC6BE" w14:textId="77777777" w:rsidR="00ED1ADA" w:rsidRDefault="00ED1ADA" w:rsidP="00302BFE">
                              <w:pPr>
                                <w:pStyle w:val="NormalWeb"/>
                                <w:spacing w:before="0" w:beforeAutospacing="0" w:after="0" w:afterAutospacing="0"/>
                                <w:ind w:left="-113" w:right="-113"/>
                                <w:jc w:val="center"/>
                                <w:rPr>
                                  <w:sz w:val="12"/>
                                  <w:szCs w:val="12"/>
                                  <w:lang w:val="en-CA"/>
                                </w:rPr>
                              </w:pPr>
                              <w:r>
                                <w:rPr>
                                  <w:sz w:val="12"/>
                                  <w:szCs w:val="12"/>
                                  <w:lang w:val="en-CA"/>
                                </w:rPr>
                                <w:t>Sustainable and equitable management requirements for the different units of the territory and mechanisms for monitoring and implementing the Master Plan</w:t>
                              </w:r>
                            </w:p>
                          </w:txbxContent>
                        </wps:txbx>
                        <wps:bodyPr rot="0" vert="horz" wrap="square" lIns="91440" tIns="0" rIns="91440" bIns="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F494D1B" id="Groupe 95" o:spid="_x0000_s1046" style="position:absolute;left:0;text-align:left;margin-left:22.4pt;margin-top:3.55pt;width:178.8pt;height:133.85pt;z-index:251699200;mso-width-relative:margin;mso-height-relative:margin" coordorigin="18687,362" coordsize="15897,17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">
                <v:shape id="TextBox 85" o:spid="_x0000_s1047" type="#_x0000_t202" style="position:absolute;left:18788;top:362;width:15746;height:37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" filled="f" strokecolor="#4bacc6">
                  <v:path arrowok="t"/>
                  <v:textbox inset=",0,,0">
                    <w:txbxContent>
                      <w:p w14:paraId="200F320B" w14:textId="77777777" w:rsidR="00ED1ADA" w:rsidRDefault="00ED1ADA" w:rsidP="00302BFE">
                        <w:pPr>
                          <w:pStyle w:val="NormalWeb"/>
                          <w:spacing w:before="0" w:beforeAutospacing="0" w:after="0" w:afterAutospacing="0"/>
                          <w:ind w:left="-113" w:right="-113"/>
                          <w:jc w:val="center"/>
                          <w:rPr>
                            <w:sz w:val="12"/>
                            <w:szCs w:val="12"/>
                            <w:lang w:val="en-CA"/>
                          </w:rPr>
                        </w:pPr>
                        <w:r>
                          <w:rPr>
                            <w:sz w:val="12"/>
                            <w:szCs w:val="12"/>
                            <w:lang w:val="en-CA"/>
                          </w:rPr>
                          <w:t>Enhanced and operationalized co-governance mechanism of the landscape as a platform for joint decision on land and resource use and harmonization of different jurisdictions</w:t>
                        </w:r>
                      </w:p>
                    </w:txbxContent>
                  </v:textbox>
                </v:shape>
                <v:shape id="TextBox 85" o:spid="_x0000_s1048" type="#_x0000_t202" style="position:absolute;left:18789;top:4127;width:15745;height:4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" filled="f" strokecolor="#4bacc6">
                  <v:path arrowok="t"/>
                  <v:textbox inset=",0,,0">
                    <w:txbxContent>
                      <w:p w14:paraId="455D485C" w14:textId="77777777" w:rsidR="00ED1ADA" w:rsidRDefault="00ED1ADA" w:rsidP="00302BFE">
                        <w:pPr>
                          <w:pStyle w:val="NormalWeb"/>
                          <w:spacing w:before="0" w:beforeAutospacing="0" w:after="0" w:afterAutospacing="0"/>
                          <w:ind w:left="-170" w:right="-170"/>
                          <w:jc w:val="center"/>
                          <w:rPr>
                            <w:sz w:val="12"/>
                            <w:szCs w:val="12"/>
                            <w:lang w:val="en-CA"/>
                          </w:rPr>
                        </w:pPr>
                        <w:r>
                          <w:rPr>
                            <w:sz w:val="12"/>
                            <w:szCs w:val="12"/>
                            <w:lang w:val="en-CA"/>
                          </w:rPr>
                          <w:t>Spatial planning methodology to visualize impacts of economic activities and offsets to support land use decision making maximizing environmental and economic benefits</w:t>
                        </w:r>
                      </w:p>
                    </w:txbxContent>
                  </v:textbox>
                </v:shape>
                <v:shape id="TextBox 85" o:spid="_x0000_s1049" type="#_x0000_t202" style="position:absolute;left:18842;top:8335;width:15743;height:3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" filled="f" strokecolor="#4bacc6">
                  <v:path arrowok="t"/>
                  <v:textbox inset=",0,,0">
                    <w:txbxContent>
                      <w:p w14:paraId="719B71B2" w14:textId="77777777" w:rsidR="00ED1ADA" w:rsidRDefault="00ED1ADA" w:rsidP="00302BFE">
                        <w:pPr>
                          <w:pStyle w:val="NormalWeb"/>
                          <w:spacing w:before="0" w:beforeAutospacing="0" w:after="0" w:afterAutospacing="0"/>
                          <w:ind w:left="-170" w:right="-170"/>
                          <w:jc w:val="center"/>
                          <w:rPr>
                            <w:sz w:val="12"/>
                            <w:szCs w:val="12"/>
                            <w:lang w:val="en-CA"/>
                          </w:rPr>
                        </w:pPr>
                        <w:r>
                          <w:rPr>
                            <w:sz w:val="12"/>
                            <w:szCs w:val="12"/>
                            <w:lang w:val="en-CA"/>
                          </w:rPr>
                          <w:t>Accurate and documented estimates of available carbon stocks in the landscape to inform the development of the landscape management plan</w:t>
                        </w:r>
                      </w:p>
                    </w:txbxContent>
                  </v:textbox>
                </v:shape>
                <v:shape id="TextBox 85" o:spid="_x0000_s1050" type="#_x0000_t202" style="position:absolute;left:18687;top:14624;width:15681;height:2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" filled="f" strokecolor="#4bacc6">
                  <v:path arrowok="t"/>
                  <v:textbox inset=",0,,0">
                    <w:txbxContent>
                      <w:p w14:paraId="20FFC6BE" w14:textId="77777777" w:rsidR="00ED1ADA" w:rsidRDefault="00ED1ADA" w:rsidP="00302BFE">
                        <w:pPr>
                          <w:pStyle w:val="NormalWeb"/>
                          <w:spacing w:before="0" w:beforeAutospacing="0" w:after="0" w:afterAutospacing="0"/>
                          <w:ind w:left="-113" w:right="-113"/>
                          <w:jc w:val="center"/>
                          <w:rPr>
                            <w:sz w:val="12"/>
                            <w:szCs w:val="12"/>
                            <w:lang w:val="en-CA"/>
                          </w:rPr>
                        </w:pPr>
                        <w:r>
                          <w:rPr>
                            <w:sz w:val="12"/>
                            <w:szCs w:val="12"/>
                            <w:lang w:val="en-CA"/>
                          </w:rPr>
                          <w:t>Sustainable and equitable management requirements for the different units of the territory and mechanisms for monitoring and implementing the Master Plan</w:t>
                        </w:r>
                      </w:p>
                    </w:txbxContent>
                  </v:textbox>
                </v:shape>
              </v:group>
            </w:pict>
          </mc:Fallback>
        </mc:AlternateContent>
      </w:r>
      <w:r>
        <w:rPr>
          <w:noProof/>
        </w:rPr>
        <mc:AlternateContent>
          <mc:Choice Requires="wps">
            <w:drawing>
              <wp:anchor distT="45720" distB="45720" distL="114300" distR="114300" simplePos="0" relativeHeight="251703296" behindDoc="0" locked="0" layoutInCell="1" allowOverlap="1" wp14:anchorId="470031B2" wp14:editId="6D7F5AD8">
                <wp:simplePos x="0" y="0"/>
                <wp:positionH relativeFrom="column">
                  <wp:posOffset>4958715</wp:posOffset>
                </wp:positionH>
                <wp:positionV relativeFrom="paragraph">
                  <wp:posOffset>87630</wp:posOffset>
                </wp:positionV>
                <wp:extent cx="1861820" cy="438150"/>
                <wp:effectExtent l="0" t="0" r="24130" b="19050"/>
                <wp:wrapSquare wrapText="bothSides"/>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1820" cy="438150"/>
                        </a:xfrm>
                        <a:prstGeom prst="rect">
                          <a:avLst/>
                        </a:prstGeom>
                        <a:solidFill>
                          <a:sysClr val="window" lastClr="FFFFFF"/>
                        </a:solidFill>
                        <a:ln w="6350" cap="flat" cmpd="sng" algn="ctr">
                          <a:solidFill>
                            <a:srgbClr val="00B0F0"/>
                          </a:solidFill>
                          <a:prstDash val="solid"/>
                          <a:miter lim="800000"/>
                          <a:headEnd/>
                          <a:tailEnd/>
                        </a:ln>
                        <a:effectLst/>
                      </wps:spPr>
                      <wps:txbx>
                        <w:txbxContent>
                          <w:p w14:paraId="0F5DDE00" w14:textId="77777777" w:rsidR="00ED1ADA" w:rsidRDefault="00ED1ADA" w:rsidP="00302BFE">
                            <w:pPr>
                              <w:spacing w:after="0"/>
                              <w:ind w:left="-113" w:right="-113"/>
                              <w:jc w:val="center"/>
                              <w:rPr>
                                <w:rFonts w:ascii="Times New Roman" w:hAnsi="Times New Roman"/>
                                <w:sz w:val="12"/>
                                <w:szCs w:val="12"/>
                                <w:lang w:val="en-CA"/>
                              </w:rPr>
                            </w:pPr>
                            <w:r>
                              <w:rPr>
                                <w:rFonts w:ascii="Times New Roman" w:hAnsi="Times New Roman"/>
                                <w:sz w:val="12"/>
                                <w:szCs w:val="12"/>
                                <w:lang w:val="en-CA"/>
                              </w:rPr>
                              <w:t>SLM practices implemented by communities within the PONASI landscape to reduce threats to PAs and increase food security and agro-sylvopastoral productivity and resilience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0031B2" id="Zone de texte 217" o:spid="_x0000_s1051" type="#_x0000_t202" style="position:absolute;left:0;text-align:left;margin-left:390.45pt;margin-top:6.9pt;width:146.6pt;height:34.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" fillcolor="window" strokecolor="#00b0f0" strokeweight=".5pt">
                <v:textbox>
                  <w:txbxContent>
                    <w:p w14:paraId="0F5DDE00" w14:textId="77777777" w:rsidR="00ED1ADA" w:rsidRDefault="00ED1ADA" w:rsidP="00302BFE">
                      <w:pPr>
                        <w:spacing w:after="0"/>
                        <w:ind w:left="-113" w:right="-113"/>
                        <w:jc w:val="center"/>
                        <w:rPr>
                          <w:rFonts w:ascii="Times New Roman" w:hAnsi="Times New Roman"/>
                          <w:sz w:val="12"/>
                          <w:szCs w:val="12"/>
                          <w:lang w:val="en-CA"/>
                        </w:rPr>
                      </w:pPr>
                      <w:r>
                        <w:rPr>
                          <w:rFonts w:ascii="Times New Roman" w:hAnsi="Times New Roman"/>
                          <w:sz w:val="12"/>
                          <w:szCs w:val="12"/>
                          <w:lang w:val="en-CA"/>
                        </w:rPr>
                        <w:t>SLM practices implemented by communities within the PONASI landscape to reduce threats to PAs and increase food security and agro-sylvopastoral productivity and resilience</w:t>
                      </w:r>
                    </w:p>
                  </w:txbxContent>
                </v:textbox>
                <w10:wrap type="square"/>
              </v:shape>
            </w:pict>
          </mc:Fallback>
        </mc:AlternateContent>
      </w:r>
      <w:r>
        <w:rPr>
          <w:noProof/>
        </w:rPr>
        <mc:AlternateContent>
          <mc:Choice Requires="wps">
            <w:drawing>
              <wp:anchor distT="0" distB="0" distL="114300" distR="114300" simplePos="0" relativeHeight="251721728" behindDoc="0" locked="0" layoutInCell="1" allowOverlap="1" wp14:anchorId="49CD00DC" wp14:editId="58A6E371">
                <wp:simplePos x="0" y="0"/>
                <wp:positionH relativeFrom="column">
                  <wp:posOffset>4907915</wp:posOffset>
                </wp:positionH>
                <wp:positionV relativeFrom="paragraph">
                  <wp:posOffset>34925</wp:posOffset>
                </wp:positionV>
                <wp:extent cx="1957070" cy="1725295"/>
                <wp:effectExtent l="0" t="0" r="24130" b="27305"/>
                <wp:wrapSquare wrapText="bothSides"/>
                <wp:docPr id="100" name="Rectangle : coins arrondis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7070" cy="1725295"/>
                        </a:xfrm>
                        <a:prstGeom prst="roundRect">
                          <a:avLst>
                            <a:gd name="adj" fmla="val 15587"/>
                          </a:avLst>
                        </a:prstGeom>
                        <a:noFill/>
                        <a:ln w="19050" cap="flat" cmpd="sng" algn="ctr">
                          <a:solidFill>
                            <a:srgbClr val="5B9BD5">
                              <a:lumMod val="75000"/>
                            </a:srgbClr>
                          </a:solidFill>
                          <a:prstDash val="sysDash"/>
                        </a:ln>
                        <a:effectLst/>
                      </wps:spPr>
                      <wps:txbx>
                        <w:txbxContent>
                          <w:p w14:paraId="523A9FBB" w14:textId="77777777" w:rsidR="00ED1ADA" w:rsidRDefault="00ED1ADA" w:rsidP="00302BFE">
                            <w:pPr>
                              <w:jc w:val="center"/>
                            </w:pPr>
                          </w:p>
                        </w:txbxContent>
                      </wps:txbx>
                      <wps:bodyPr wrap="square" rtlCol="0" anchor="ctr">
                        <a:noAutofit/>
                      </wps:bodyPr>
                    </wps:wsp>
                  </a:graphicData>
                </a:graphic>
                <wp14:sizeRelH relativeFrom="page">
                  <wp14:pctWidth>0</wp14:pctWidth>
                </wp14:sizeRelH>
                <wp14:sizeRelV relativeFrom="page">
                  <wp14:pctHeight>0</wp14:pctHeight>
                </wp14:sizeRelV>
              </wp:anchor>
            </w:drawing>
          </mc:Choice>
          <mc:Fallback>
            <w:pict>
              <v:roundrect w14:anchorId="49CD00DC" id="Rectangle : coins arrondis 100" o:spid="_x0000_s1052" style="position:absolute;left:0;text-align:left;margin-left:386.45pt;margin-top:2.75pt;width:154.1pt;height:135.8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2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" filled="f" strokecolor="#2e75b6" strokeweight="1.5pt">
                <v:stroke dashstyle="3 1"/>
                <v:path arrowok="t"/>
                <v:textbox>
                  <w:txbxContent>
                    <w:p w14:paraId="523A9FBB" w14:textId="77777777" w:rsidR="00ED1ADA" w:rsidRDefault="00ED1ADA" w:rsidP="00302BFE">
                      <w:pPr>
                        <w:jc w:val="center"/>
                      </w:pPr>
                    </w:p>
                  </w:txbxContent>
                </v:textbox>
                <w10:wrap type="square"/>
              </v:roundrect>
            </w:pict>
          </mc:Fallback>
        </mc:AlternateContent>
      </w:r>
      <w:r w:rsidR="00302BFE">
        <w:rPr>
          <w:rFonts w:ascii="Times New Roman" w:hAnsi="Times New Roman"/>
          <w:noProof/>
          <w:lang w:val="en-CA"/>
        </w:rPr>
        <mc:AlternateContent>
          <mc:Choice Requires="wps">
            <w:drawing>
              <wp:anchor distT="0" distB="0" distL="114300" distR="114300" simplePos="0" relativeHeight="251725824" behindDoc="0" locked="0" layoutInCell="1" allowOverlap="1" wp14:anchorId="157058FE" wp14:editId="1212D42E">
                <wp:simplePos x="0" y="0"/>
                <wp:positionH relativeFrom="column">
                  <wp:posOffset>6984365</wp:posOffset>
                </wp:positionH>
                <wp:positionV relativeFrom="paragraph">
                  <wp:posOffset>107950</wp:posOffset>
                </wp:positionV>
                <wp:extent cx="1906905" cy="1685290"/>
                <wp:effectExtent l="0" t="0" r="17145" b="10160"/>
                <wp:wrapSquare wrapText="bothSides"/>
                <wp:docPr id="101" name="Rectangle : coins arrondis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6905" cy="1685290"/>
                        </a:xfrm>
                        <a:prstGeom prst="roundRect">
                          <a:avLst/>
                        </a:prstGeom>
                        <a:noFill/>
                        <a:ln w="19050" cap="flat" cmpd="sng" algn="ctr">
                          <a:solidFill>
                            <a:srgbClr val="5B9BD5">
                              <a:lumMod val="75000"/>
                            </a:srgbClr>
                          </a:solidFill>
                          <a:prstDash val="sysDash"/>
                        </a:ln>
                        <a:effectLst/>
                      </wps:spPr>
                      <wps:txbx>
                        <w:txbxContent>
                          <w:p w14:paraId="045342EA" w14:textId="77777777" w:rsidR="00ED1ADA" w:rsidRDefault="00ED1ADA" w:rsidP="00302BFE">
                            <w:pPr>
                              <w:spacing w:after="0"/>
                              <w:ind w:left="-851"/>
                              <w:rPr>
                                <w:sz w:val="16"/>
                                <w:szCs w:val="16"/>
                              </w:rPr>
                            </w:pPr>
                          </w:p>
                        </w:txbxContent>
                      </wps:txbx>
                      <wps:bodyPr wrap="square" rtlCol="0" anchor="ctr">
                        <a:noAutofit/>
                      </wps:bodyPr>
                    </wps:wsp>
                  </a:graphicData>
                </a:graphic>
                <wp14:sizeRelH relativeFrom="page">
                  <wp14:pctWidth>0</wp14:pctWidth>
                </wp14:sizeRelH>
                <wp14:sizeRelV relativeFrom="margin">
                  <wp14:pctHeight>0</wp14:pctHeight>
                </wp14:sizeRelV>
              </wp:anchor>
            </w:drawing>
          </mc:Choice>
          <mc:Fallback>
            <w:pict>
              <v:roundrect w14:anchorId="157058FE" id="Rectangle : coins arrondis 101" o:spid="_x0000_s1053" style="position:absolute;left:0;text-align:left;margin-left:549.95pt;margin-top:8.5pt;width:150.15pt;height:132.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" filled="f" strokecolor="#2e75b6" strokeweight="1.5pt">
                <v:stroke dashstyle="3 1"/>
                <v:path arrowok="t"/>
                <v:textbox>
                  <w:txbxContent>
                    <w:p w14:paraId="045342EA" w14:textId="77777777" w:rsidR="00ED1ADA" w:rsidRDefault="00ED1ADA" w:rsidP="00302BFE">
                      <w:pPr>
                        <w:spacing w:after="0"/>
                        <w:ind w:left="-851"/>
                        <w:rPr>
                          <w:sz w:val="16"/>
                          <w:szCs w:val="16"/>
                        </w:rPr>
                      </w:pPr>
                    </w:p>
                  </w:txbxContent>
                </v:textbox>
                <w10:wrap type="square"/>
              </v:roundrect>
            </w:pict>
          </mc:Fallback>
        </mc:AlternateContent>
      </w:r>
    </w:p>
    <w:p w14:paraId="20A4C780" w14:textId="77777777" w:rsidR="00302BFE" w:rsidRDefault="00302BFE" w:rsidP="00302BFE">
      <w:pPr>
        <w:spacing w:after="0" w:line="220" w:lineRule="exact"/>
        <w:rPr>
          <w:rFonts w:ascii="Times New Roman" w:hAnsi="Times New Roman"/>
          <w:lang w:val="en-CA"/>
        </w:rPr>
      </w:pPr>
      <w:r>
        <w:rPr>
          <w:noProof/>
        </w:rPr>
        <mc:AlternateContent>
          <mc:Choice Requires="wps">
            <w:drawing>
              <wp:anchor distT="0" distB="0" distL="114300" distR="114300" simplePos="0" relativeHeight="251700224" behindDoc="0" locked="0" layoutInCell="1" allowOverlap="1" wp14:anchorId="77629C42" wp14:editId="1D118EFC">
                <wp:simplePos x="0" y="0"/>
                <wp:positionH relativeFrom="column">
                  <wp:posOffset>2713507</wp:posOffset>
                </wp:positionH>
                <wp:positionV relativeFrom="paragraph">
                  <wp:posOffset>9753</wp:posOffset>
                </wp:positionV>
                <wp:extent cx="2034540" cy="222885"/>
                <wp:effectExtent l="0" t="0" r="22860" b="24765"/>
                <wp:wrapNone/>
                <wp:docPr id="94"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222885"/>
                        </a:xfrm>
                        <a:prstGeom prst="rect">
                          <a:avLst/>
                        </a:prstGeom>
                        <a:noFill/>
                        <a:ln>
                          <a:solidFill>
                            <a:srgbClr val="4BACC6"/>
                          </a:solidFill>
                        </a:ln>
                      </wps:spPr>
                      <wps:txbx>
                        <w:txbxContent>
                          <w:p w14:paraId="2C8539E9" w14:textId="77777777" w:rsidR="00ED1ADA" w:rsidRDefault="00ED1ADA" w:rsidP="00302BFE">
                            <w:pPr>
                              <w:spacing w:after="0"/>
                              <w:ind w:left="-113" w:right="-113"/>
                              <w:jc w:val="center"/>
                              <w:rPr>
                                <w:rFonts w:ascii="Times New Roman" w:hAnsi="Times New Roman"/>
                                <w:sz w:val="12"/>
                                <w:szCs w:val="12"/>
                                <w:lang w:val="en-CA"/>
                              </w:rPr>
                            </w:pPr>
                            <w:r>
                              <w:rPr>
                                <w:rFonts w:ascii="Times New Roman" w:hAnsi="Times New Roman"/>
                                <w:sz w:val="12"/>
                                <w:szCs w:val="12"/>
                                <w:lang w:val="en-CA"/>
                              </w:rPr>
                              <w:t>Institutional and individual capacities of PA agencies improved through targeted interventions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77629C42" id="Rectangle 94" o:spid="_x0000_s1054" style="position:absolute;left:0;text-align:left;margin-left:213.65pt;margin-top:.75pt;width:160.2pt;height:17.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" filled="f" strokecolor="#4bacc6">
                <v:path arrowok="t"/>
                <v:textbox inset="0,0,0,0">
                  <w:txbxContent>
                    <w:p w14:paraId="2C8539E9" w14:textId="77777777" w:rsidR="00ED1ADA" w:rsidRDefault="00ED1ADA" w:rsidP="00302BFE">
                      <w:pPr>
                        <w:spacing w:after="0"/>
                        <w:ind w:left="-113" w:right="-113"/>
                        <w:jc w:val="center"/>
                        <w:rPr>
                          <w:rFonts w:ascii="Times New Roman" w:hAnsi="Times New Roman"/>
                          <w:sz w:val="12"/>
                          <w:szCs w:val="12"/>
                          <w:lang w:val="en-CA"/>
                        </w:rPr>
                      </w:pPr>
                      <w:r>
                        <w:rPr>
                          <w:rFonts w:ascii="Times New Roman" w:hAnsi="Times New Roman"/>
                          <w:sz w:val="12"/>
                          <w:szCs w:val="12"/>
                          <w:lang w:val="en-CA"/>
                        </w:rPr>
                        <w:t>Institutional and individual capacities of PA agencies improved through targeted interventions</w:t>
                      </w:r>
                    </w:p>
                  </w:txbxContent>
                </v:textbox>
              </v:rect>
            </w:pict>
          </mc:Fallback>
        </mc:AlternateContent>
      </w:r>
    </w:p>
    <w:p w14:paraId="6C864E64" w14:textId="77777777" w:rsidR="00302BFE" w:rsidRDefault="00AA0598" w:rsidP="00302BFE">
      <w:pPr>
        <w:spacing w:after="0" w:line="220" w:lineRule="exact"/>
        <w:rPr>
          <w:rFonts w:ascii="Times New Roman" w:hAnsi="Times New Roman"/>
          <w:lang w:val="en-CA"/>
        </w:rPr>
      </w:pPr>
      <w:r>
        <w:rPr>
          <w:noProof/>
        </w:rPr>
        <mc:AlternateContent>
          <mc:Choice Requires="wps">
            <w:drawing>
              <wp:anchor distT="0" distB="0" distL="114300" distR="114300" simplePos="0" relativeHeight="251726848" behindDoc="0" locked="0" layoutInCell="1" allowOverlap="1" wp14:anchorId="45A70887" wp14:editId="33FEF89D">
                <wp:simplePos x="0" y="0"/>
                <wp:positionH relativeFrom="column">
                  <wp:posOffset>6999150</wp:posOffset>
                </wp:positionH>
                <wp:positionV relativeFrom="paragraph">
                  <wp:posOffset>32001</wp:posOffset>
                </wp:positionV>
                <wp:extent cx="1892300" cy="426720"/>
                <wp:effectExtent l="0" t="0" r="12700" b="11430"/>
                <wp:wrapNone/>
                <wp:docPr id="93" name="Zone de texte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426720"/>
                        </a:xfrm>
                        <a:prstGeom prst="rect">
                          <a:avLst/>
                        </a:prstGeom>
                        <a:solidFill>
                          <a:sysClr val="window" lastClr="FFFFFF"/>
                        </a:solidFill>
                        <a:ln w="6350">
                          <a:solidFill>
                            <a:srgbClr val="5B9BD5">
                              <a:lumMod val="60000"/>
                              <a:lumOff val="40000"/>
                            </a:srgbClr>
                          </a:solidFill>
                        </a:ln>
                      </wps:spPr>
                      <wps:txbx>
                        <w:txbxContent>
                          <w:p w14:paraId="68EFDF56" w14:textId="77777777" w:rsidR="00ED1ADA" w:rsidRPr="000536DB" w:rsidRDefault="00ED1ADA" w:rsidP="00302BFE">
                            <w:pPr>
                              <w:spacing w:after="0"/>
                              <w:ind w:left="-113" w:right="-113"/>
                              <w:jc w:val="center"/>
                              <w:rPr>
                                <w:rFonts w:ascii="Times New Roman" w:hAnsi="Times New Roman"/>
                                <w:sz w:val="12"/>
                                <w:szCs w:val="12"/>
                                <w:lang w:val="en-CA"/>
                              </w:rPr>
                            </w:pPr>
                            <w:r w:rsidRPr="00E12122">
                              <w:rPr>
                                <w:rFonts w:ascii="Times New Roman" w:hAnsi="Times New Roman"/>
                                <w:sz w:val="14"/>
                                <w:szCs w:val="14"/>
                                <w:lang w:val="en-CA"/>
                              </w:rPr>
                              <w:t>Effective participation of women in project implementation and monitoring of the effects of gender mainstreaming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70887" id="Zone de texte 93" o:spid="_x0000_s1055" type="#_x0000_t202" style="position:absolute;left:0;text-align:left;margin-left:551.1pt;margin-top:2.5pt;width:149pt;height:33.6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" fillcolor="window" strokecolor="#9dc3e6" strokeweight=".5pt">
                <v:path arrowok="t"/>
                <v:textbox>
                  <w:txbxContent>
                    <w:p w14:paraId="68EFDF56" w14:textId="77777777" w:rsidR="00ED1ADA" w:rsidRPr="000536DB" w:rsidRDefault="00ED1ADA" w:rsidP="00302BFE">
                      <w:pPr>
                        <w:spacing w:after="0"/>
                        <w:ind w:left="-113" w:right="-113"/>
                        <w:jc w:val="center"/>
                        <w:rPr>
                          <w:rFonts w:ascii="Times New Roman" w:hAnsi="Times New Roman"/>
                          <w:sz w:val="12"/>
                          <w:szCs w:val="12"/>
                          <w:lang w:val="en-CA"/>
                        </w:rPr>
                      </w:pPr>
                      <w:r w:rsidRPr="00E12122">
                        <w:rPr>
                          <w:rFonts w:ascii="Times New Roman" w:hAnsi="Times New Roman"/>
                          <w:sz w:val="14"/>
                          <w:szCs w:val="14"/>
                          <w:lang w:val="en-CA"/>
                        </w:rPr>
                        <w:t>Effective participation of women in project implementation and monitoring of the effects of gender mainstreaming plan</w:t>
                      </w:r>
                    </w:p>
                  </w:txbxContent>
                </v:textbox>
              </v:shape>
            </w:pict>
          </mc:Fallback>
        </mc:AlternateContent>
      </w:r>
    </w:p>
    <w:p w14:paraId="777A4ACF" w14:textId="77777777" w:rsidR="00302BFE" w:rsidRDefault="00122E02" w:rsidP="00302BFE">
      <w:pPr>
        <w:spacing w:after="0" w:line="220" w:lineRule="exact"/>
        <w:rPr>
          <w:rFonts w:ascii="Times New Roman" w:hAnsi="Times New Roman"/>
          <w:lang w:val="en-CA"/>
        </w:rPr>
      </w:pPr>
      <w:r>
        <w:rPr>
          <w:noProof/>
        </w:rPr>
        <mc:AlternateContent>
          <mc:Choice Requires="wps">
            <w:drawing>
              <wp:anchor distT="0" distB="0" distL="114300" distR="114300" simplePos="0" relativeHeight="251701248" behindDoc="0" locked="0" layoutInCell="1" allowOverlap="1" wp14:anchorId="57946325" wp14:editId="72AC608C">
                <wp:simplePos x="0" y="0"/>
                <wp:positionH relativeFrom="column">
                  <wp:posOffset>2713863</wp:posOffset>
                </wp:positionH>
                <wp:positionV relativeFrom="paragraph">
                  <wp:posOffset>8204</wp:posOffset>
                </wp:positionV>
                <wp:extent cx="2007235" cy="367030"/>
                <wp:effectExtent l="0" t="0" r="12065" b="13970"/>
                <wp:wrapNone/>
                <wp:docPr id="92" name="Zone de texte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7235" cy="367030"/>
                        </a:xfrm>
                        <a:prstGeom prst="rect">
                          <a:avLst/>
                        </a:prstGeom>
                        <a:solidFill>
                          <a:sysClr val="window" lastClr="FFFFFF"/>
                        </a:solidFill>
                        <a:ln w="6350">
                          <a:solidFill>
                            <a:srgbClr val="5B9BD5">
                              <a:lumMod val="60000"/>
                              <a:lumOff val="40000"/>
                            </a:srgbClr>
                          </a:solidFill>
                        </a:ln>
                      </wps:spPr>
                      <wps:txbx>
                        <w:txbxContent>
                          <w:p w14:paraId="282AB559" w14:textId="77777777" w:rsidR="00ED1ADA" w:rsidRDefault="00ED1ADA" w:rsidP="00302BFE">
                            <w:pPr>
                              <w:spacing w:after="0"/>
                              <w:ind w:left="-113" w:right="-113"/>
                              <w:jc w:val="center"/>
                              <w:rPr>
                                <w:rFonts w:ascii="Times New Roman" w:hAnsi="Times New Roman"/>
                                <w:sz w:val="12"/>
                                <w:szCs w:val="12"/>
                                <w:lang w:val="en-CA"/>
                              </w:rPr>
                            </w:pPr>
                            <w:r>
                              <w:rPr>
                                <w:rFonts w:ascii="Times New Roman" w:hAnsi="Times New Roman"/>
                                <w:sz w:val="12"/>
                                <w:szCs w:val="12"/>
                                <w:lang w:val="en-CA"/>
                              </w:rPr>
                              <w:t>Management effectiveness of PAs in the PONASI complex - Kabore-Tambi NP, Nazinga Game Ranch, and Sissili Classified Forest– strengthened through by a series of technical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46325" id="Zone de texte 92" o:spid="_x0000_s1056" type="#_x0000_t202" style="position:absolute;left:0;text-align:left;margin-left:213.7pt;margin-top:.65pt;width:158.05pt;height:28.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" fillcolor="window" strokecolor="#9dc3e6" strokeweight=".5pt">
                <v:path arrowok="t"/>
                <v:textbox>
                  <w:txbxContent>
                    <w:p w14:paraId="282AB559" w14:textId="77777777" w:rsidR="00ED1ADA" w:rsidRDefault="00ED1ADA" w:rsidP="00302BFE">
                      <w:pPr>
                        <w:spacing w:after="0"/>
                        <w:ind w:left="-113" w:right="-113"/>
                        <w:jc w:val="center"/>
                        <w:rPr>
                          <w:rFonts w:ascii="Times New Roman" w:hAnsi="Times New Roman"/>
                          <w:sz w:val="12"/>
                          <w:szCs w:val="12"/>
                          <w:lang w:val="en-CA"/>
                        </w:rPr>
                      </w:pPr>
                      <w:r>
                        <w:rPr>
                          <w:rFonts w:ascii="Times New Roman" w:hAnsi="Times New Roman"/>
                          <w:sz w:val="12"/>
                          <w:szCs w:val="12"/>
                          <w:lang w:val="en-CA"/>
                        </w:rPr>
                        <w:t>Management effectiveness of PAs in the PONASI complex - Kabore-Tambi NP, Nazinga Game Ranch, and Sissili Classified Forest– strengthened through by a series of technical support</w:t>
                      </w:r>
                    </w:p>
                  </w:txbxContent>
                </v:textbox>
              </v:shape>
            </w:pict>
          </mc:Fallback>
        </mc:AlternateContent>
      </w:r>
      <w:r>
        <w:rPr>
          <w:noProof/>
        </w:rPr>
        <mc:AlternateContent>
          <mc:Choice Requires="wps">
            <w:drawing>
              <wp:anchor distT="45720" distB="45720" distL="114300" distR="114300" simplePos="0" relativeHeight="251704320" behindDoc="0" locked="0" layoutInCell="1" allowOverlap="1" wp14:anchorId="5A00E075" wp14:editId="6EAFBD3F">
                <wp:simplePos x="0" y="0"/>
                <wp:positionH relativeFrom="column">
                  <wp:posOffset>4947920</wp:posOffset>
                </wp:positionH>
                <wp:positionV relativeFrom="paragraph">
                  <wp:posOffset>75565</wp:posOffset>
                </wp:positionV>
                <wp:extent cx="1890395" cy="438150"/>
                <wp:effectExtent l="0" t="0" r="14605" b="19050"/>
                <wp:wrapSquare wrapText="bothSides"/>
                <wp:docPr id="98" name="Zone de texte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0395" cy="438150"/>
                        </a:xfrm>
                        <a:prstGeom prst="rect">
                          <a:avLst/>
                        </a:prstGeom>
                        <a:solidFill>
                          <a:sysClr val="window" lastClr="FFFFFF"/>
                        </a:solidFill>
                        <a:ln w="6350" cap="flat" cmpd="sng" algn="ctr">
                          <a:solidFill>
                            <a:srgbClr val="00B0F0"/>
                          </a:solidFill>
                          <a:prstDash val="solid"/>
                          <a:miter lim="800000"/>
                          <a:headEnd/>
                          <a:tailEnd/>
                        </a:ln>
                        <a:effectLst/>
                      </wps:spPr>
                      <wps:txbx>
                        <w:txbxContent>
                          <w:p w14:paraId="6E4B2B6B" w14:textId="77777777" w:rsidR="00ED1ADA" w:rsidRDefault="00ED1ADA" w:rsidP="00302BFE">
                            <w:pPr>
                              <w:spacing w:after="0"/>
                              <w:ind w:left="-170" w:right="-170"/>
                              <w:jc w:val="center"/>
                              <w:rPr>
                                <w:rFonts w:ascii="Times New Roman" w:hAnsi="Times New Roman"/>
                                <w:sz w:val="12"/>
                                <w:szCs w:val="12"/>
                                <w:lang w:val="en-CA"/>
                              </w:rPr>
                            </w:pPr>
                            <w:r>
                              <w:rPr>
                                <w:rFonts w:ascii="Times New Roman" w:hAnsi="Times New Roman"/>
                                <w:sz w:val="12"/>
                                <w:szCs w:val="12"/>
                                <w:lang w:val="en-CA"/>
                              </w:rPr>
                              <w:t>SNRM improved in community forests through the collaborative development and implementation of simplified zoning plans, strengthening forest management and human-wildlife conflict management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A00E075" id="Zone de texte 98" o:spid="_x0000_s1057" type="#_x0000_t202" style="position:absolute;left:0;text-align:left;margin-left:389.6pt;margin-top:5.95pt;width:148.85pt;height:34.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" fillcolor="window" strokecolor="#00b0f0" strokeweight=".5pt">
                <v:textbox>
                  <w:txbxContent>
                    <w:p w14:paraId="6E4B2B6B" w14:textId="77777777" w:rsidR="00ED1ADA" w:rsidRDefault="00ED1ADA" w:rsidP="00302BFE">
                      <w:pPr>
                        <w:spacing w:after="0"/>
                        <w:ind w:left="-170" w:right="-170"/>
                        <w:jc w:val="center"/>
                        <w:rPr>
                          <w:rFonts w:ascii="Times New Roman" w:hAnsi="Times New Roman"/>
                          <w:sz w:val="12"/>
                          <w:szCs w:val="12"/>
                          <w:lang w:val="en-CA"/>
                        </w:rPr>
                      </w:pPr>
                      <w:r>
                        <w:rPr>
                          <w:rFonts w:ascii="Times New Roman" w:hAnsi="Times New Roman"/>
                          <w:sz w:val="12"/>
                          <w:szCs w:val="12"/>
                          <w:lang w:val="en-CA"/>
                        </w:rPr>
                        <w:t>SNRM improved in community forests through the collaborative development and implementation of simplified zoning plans, strengthening forest management and human-wildlife conflict management</w:t>
                      </w:r>
                    </w:p>
                  </w:txbxContent>
                </v:textbox>
                <w10:wrap type="square"/>
              </v:shape>
            </w:pict>
          </mc:Fallback>
        </mc:AlternateContent>
      </w:r>
    </w:p>
    <w:p w14:paraId="2994EA66" w14:textId="77777777" w:rsidR="00302BFE" w:rsidRDefault="00302BFE" w:rsidP="00302BFE">
      <w:pPr>
        <w:spacing w:after="0" w:line="220" w:lineRule="exact"/>
        <w:rPr>
          <w:rFonts w:ascii="Times New Roman" w:hAnsi="Times New Roman"/>
          <w:lang w:val="en-CA"/>
        </w:rPr>
      </w:pPr>
    </w:p>
    <w:p w14:paraId="50F126FE" w14:textId="77777777" w:rsidR="00302BFE" w:rsidRDefault="00302BFE" w:rsidP="00302BFE">
      <w:pPr>
        <w:spacing w:after="0" w:line="220" w:lineRule="exact"/>
        <w:rPr>
          <w:rFonts w:ascii="Times New Roman" w:hAnsi="Times New Roman"/>
          <w:lang w:val="en-CA"/>
        </w:rPr>
      </w:pPr>
    </w:p>
    <w:p w14:paraId="4E71B33E" w14:textId="77777777" w:rsidR="00302BFE" w:rsidRDefault="00122E02" w:rsidP="00302BFE">
      <w:pPr>
        <w:spacing w:after="0" w:line="220" w:lineRule="exact"/>
        <w:rPr>
          <w:rFonts w:ascii="Times New Roman" w:hAnsi="Times New Roman"/>
          <w:lang w:val="en-CA"/>
        </w:rPr>
      </w:pPr>
      <w:r>
        <w:rPr>
          <w:noProof/>
        </w:rPr>
        <mc:AlternateContent>
          <mc:Choice Requires="wps">
            <w:drawing>
              <wp:anchor distT="0" distB="0" distL="114300" distR="114300" simplePos="0" relativeHeight="251702272" behindDoc="0" locked="0" layoutInCell="1" allowOverlap="1" wp14:anchorId="66FC046F" wp14:editId="6D42FB8D">
                <wp:simplePos x="0" y="0"/>
                <wp:positionH relativeFrom="column">
                  <wp:posOffset>2746908</wp:posOffset>
                </wp:positionH>
                <wp:positionV relativeFrom="paragraph">
                  <wp:posOffset>4699</wp:posOffset>
                </wp:positionV>
                <wp:extent cx="2007235" cy="357505"/>
                <wp:effectExtent l="0" t="0" r="12065" b="23495"/>
                <wp:wrapNone/>
                <wp:docPr id="97" name="Zone de texte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7235" cy="357505"/>
                        </a:xfrm>
                        <a:prstGeom prst="rect">
                          <a:avLst/>
                        </a:prstGeom>
                        <a:solidFill>
                          <a:sysClr val="window" lastClr="FFFFFF"/>
                        </a:solidFill>
                        <a:ln w="6350">
                          <a:solidFill>
                            <a:srgbClr val="5B9BD5">
                              <a:lumMod val="60000"/>
                              <a:lumOff val="40000"/>
                            </a:srgbClr>
                          </a:solidFill>
                        </a:ln>
                      </wps:spPr>
                      <wps:txbx>
                        <w:txbxContent>
                          <w:p w14:paraId="6FA77ECE" w14:textId="77777777" w:rsidR="00ED1ADA" w:rsidRDefault="00ED1ADA" w:rsidP="00302BFE">
                            <w:pPr>
                              <w:pStyle w:val="NormalWeb"/>
                              <w:spacing w:after="0"/>
                              <w:ind w:left="-115" w:right="-115"/>
                              <w:jc w:val="center"/>
                              <w:rPr>
                                <w:sz w:val="12"/>
                                <w:szCs w:val="12"/>
                                <w:lang w:val="en-CA"/>
                              </w:rPr>
                            </w:pPr>
                            <w:r>
                              <w:rPr>
                                <w:sz w:val="12"/>
                                <w:szCs w:val="12"/>
                                <w:lang w:val="en-CA"/>
                              </w:rPr>
                              <w:t>Wildlife corridor governance and management regime established and operationalized for corridors # 1 and # 2 linking major forest blocks and conservation areas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C046F" id="Zone de texte 97" o:spid="_x0000_s1058" type="#_x0000_t202" style="position:absolute;left:0;text-align:left;margin-left:216.3pt;margin-top:.35pt;width:158.05pt;height:28.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" fillcolor="window" strokecolor="#9dc3e6" strokeweight=".5pt">
                <v:path arrowok="t"/>
                <v:textbox>
                  <w:txbxContent>
                    <w:p w14:paraId="6FA77ECE" w14:textId="77777777" w:rsidR="00ED1ADA" w:rsidRDefault="00ED1ADA" w:rsidP="00302BFE">
                      <w:pPr>
                        <w:pStyle w:val="NormalWeb"/>
                        <w:spacing w:after="0"/>
                        <w:ind w:left="-115" w:right="-115"/>
                        <w:jc w:val="center"/>
                        <w:rPr>
                          <w:sz w:val="12"/>
                          <w:szCs w:val="12"/>
                          <w:lang w:val="en-CA"/>
                        </w:rPr>
                      </w:pPr>
                      <w:r>
                        <w:rPr>
                          <w:sz w:val="12"/>
                          <w:szCs w:val="12"/>
                          <w:lang w:val="en-CA"/>
                        </w:rPr>
                        <w:t>Wildlife corridor governance and management regime established and operationalized for corridors # 1 and # 2 linking major forest blocks and conservation areas</w:t>
                      </w:r>
                    </w:p>
                  </w:txbxContent>
                </v:textbox>
              </v:shape>
            </w:pict>
          </mc:Fallback>
        </mc:AlternateContent>
      </w:r>
      <w:r>
        <w:rPr>
          <w:noProof/>
        </w:rPr>
        <mc:AlternateContent>
          <mc:Choice Requires="wps">
            <w:drawing>
              <wp:anchor distT="45720" distB="45720" distL="114300" distR="114300" simplePos="0" relativeHeight="251705344" behindDoc="0" locked="0" layoutInCell="1" allowOverlap="1" wp14:anchorId="3DB93946" wp14:editId="05D6FF63">
                <wp:simplePos x="0" y="0"/>
                <wp:positionH relativeFrom="column">
                  <wp:posOffset>4912360</wp:posOffset>
                </wp:positionH>
                <wp:positionV relativeFrom="paragraph">
                  <wp:posOffset>89535</wp:posOffset>
                </wp:positionV>
                <wp:extent cx="1954530" cy="356870"/>
                <wp:effectExtent l="0" t="0" r="26670" b="24130"/>
                <wp:wrapSquare wrapText="bothSides"/>
                <wp:docPr id="99" name="Zone de text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4530" cy="356870"/>
                        </a:xfrm>
                        <a:prstGeom prst="rect">
                          <a:avLst/>
                        </a:prstGeom>
                        <a:solidFill>
                          <a:sysClr val="window" lastClr="FFFFFF"/>
                        </a:solidFill>
                        <a:ln w="6350" cap="flat" cmpd="sng" algn="ctr">
                          <a:solidFill>
                            <a:srgbClr val="00B0F0"/>
                          </a:solidFill>
                          <a:prstDash val="solid"/>
                          <a:miter lim="800000"/>
                          <a:headEnd/>
                          <a:tailEnd/>
                        </a:ln>
                        <a:effectLst/>
                      </wps:spPr>
                      <wps:txbx>
                        <w:txbxContent>
                          <w:p w14:paraId="4D6A52CD" w14:textId="77777777" w:rsidR="00ED1ADA" w:rsidRDefault="00ED1ADA" w:rsidP="00302BFE">
                            <w:pPr>
                              <w:pStyle w:val="NormalWeb"/>
                              <w:spacing w:after="0"/>
                              <w:ind w:left="-113" w:right="-113"/>
                              <w:jc w:val="center"/>
                              <w:rPr>
                                <w:sz w:val="12"/>
                                <w:szCs w:val="12"/>
                                <w:lang w:val="en-CA"/>
                              </w:rPr>
                            </w:pPr>
                            <w:r>
                              <w:rPr>
                                <w:sz w:val="12"/>
                                <w:szCs w:val="12"/>
                                <w:lang w:val="en-CA"/>
                              </w:rPr>
                              <w:t>Sustainable tourism enterprises are established, providing alternative livelihoods to communities and incentives for conservation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B93946" id="Zone de texte 99" o:spid="_x0000_s1059" type="#_x0000_t202" style="position:absolute;left:0;text-align:left;margin-left:386.8pt;margin-top:7.05pt;width:153.9pt;height:28.1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" fillcolor="window" strokecolor="#00b0f0" strokeweight=".5pt">
                <v:textbox>
                  <w:txbxContent>
                    <w:p w14:paraId="4D6A52CD" w14:textId="77777777" w:rsidR="00ED1ADA" w:rsidRDefault="00ED1ADA" w:rsidP="00302BFE">
                      <w:pPr>
                        <w:pStyle w:val="NormalWeb"/>
                        <w:spacing w:after="0"/>
                        <w:ind w:left="-113" w:right="-113"/>
                        <w:jc w:val="center"/>
                        <w:rPr>
                          <w:sz w:val="12"/>
                          <w:szCs w:val="12"/>
                          <w:lang w:val="en-CA"/>
                        </w:rPr>
                      </w:pPr>
                      <w:r>
                        <w:rPr>
                          <w:sz w:val="12"/>
                          <w:szCs w:val="12"/>
                          <w:lang w:val="en-CA"/>
                        </w:rPr>
                        <w:t>Sustainable tourism enterprises are established, providing alternative livelihoods to communities and incentives for conservation</w:t>
                      </w:r>
                    </w:p>
                  </w:txbxContent>
                </v:textbox>
                <w10:wrap type="square"/>
              </v:shape>
            </w:pict>
          </mc:Fallback>
        </mc:AlternateContent>
      </w:r>
      <w:r w:rsidR="00302BFE">
        <w:rPr>
          <w:noProof/>
        </w:rPr>
        <mc:AlternateContent>
          <mc:Choice Requires="wps">
            <w:drawing>
              <wp:anchor distT="0" distB="0" distL="114300" distR="114300" simplePos="0" relativeHeight="251727872" behindDoc="0" locked="0" layoutInCell="1" allowOverlap="1" wp14:anchorId="24101AFC" wp14:editId="18E7FADC">
                <wp:simplePos x="0" y="0"/>
                <wp:positionH relativeFrom="column">
                  <wp:posOffset>7005140</wp:posOffset>
                </wp:positionH>
                <wp:positionV relativeFrom="paragraph">
                  <wp:posOffset>52010</wp:posOffset>
                </wp:positionV>
                <wp:extent cx="1892300" cy="426720"/>
                <wp:effectExtent l="0" t="0" r="12700" b="11430"/>
                <wp:wrapNone/>
                <wp:docPr id="96" name="Zone de texte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426720"/>
                        </a:xfrm>
                        <a:prstGeom prst="rect">
                          <a:avLst/>
                        </a:prstGeom>
                        <a:solidFill>
                          <a:sysClr val="window" lastClr="FFFFFF"/>
                        </a:solidFill>
                        <a:ln w="6350">
                          <a:solidFill>
                            <a:srgbClr val="5B9BD5">
                              <a:lumMod val="60000"/>
                              <a:lumOff val="40000"/>
                            </a:srgbClr>
                          </a:solidFill>
                        </a:ln>
                      </wps:spPr>
                      <wps:txbx>
                        <w:txbxContent>
                          <w:p w14:paraId="682CC8C2" w14:textId="77777777" w:rsidR="00ED1ADA" w:rsidRPr="00165376" w:rsidRDefault="00ED1ADA" w:rsidP="00302BFE">
                            <w:pPr>
                              <w:spacing w:after="0"/>
                              <w:ind w:left="-113" w:right="-113"/>
                              <w:jc w:val="center"/>
                              <w:rPr>
                                <w:rFonts w:ascii="Times New Roman" w:hAnsi="Times New Roman"/>
                                <w:sz w:val="12"/>
                                <w:szCs w:val="12"/>
                                <w:lang w:val="en-CA"/>
                              </w:rPr>
                            </w:pPr>
                            <w:r w:rsidRPr="00165376">
                              <w:rPr>
                                <w:rFonts w:ascii="Times New Roman" w:hAnsi="Times New Roman"/>
                                <w:sz w:val="14"/>
                                <w:szCs w:val="14"/>
                                <w:lang w:val="en-CA"/>
                              </w:rPr>
                              <w:t>Knowledge, experiences and lessons compiled and widely disseminated to be replicated at the scale of the PONASI landscape and in the country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01AFC" id="Zone de texte 96" o:spid="_x0000_s1060" type="#_x0000_t202" style="position:absolute;left:0;text-align:left;margin-left:551.6pt;margin-top:4.1pt;width:149pt;height:33.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" fillcolor="window" strokecolor="#9dc3e6" strokeweight=".5pt">
                <v:path arrowok="t"/>
                <v:textbox>
                  <w:txbxContent>
                    <w:p w14:paraId="682CC8C2" w14:textId="77777777" w:rsidR="00ED1ADA" w:rsidRPr="00165376" w:rsidRDefault="00ED1ADA" w:rsidP="00302BFE">
                      <w:pPr>
                        <w:spacing w:after="0"/>
                        <w:ind w:left="-113" w:right="-113"/>
                        <w:jc w:val="center"/>
                        <w:rPr>
                          <w:rFonts w:ascii="Times New Roman" w:hAnsi="Times New Roman"/>
                          <w:sz w:val="12"/>
                          <w:szCs w:val="12"/>
                          <w:lang w:val="en-CA"/>
                        </w:rPr>
                      </w:pPr>
                      <w:r w:rsidRPr="00165376">
                        <w:rPr>
                          <w:rFonts w:ascii="Times New Roman" w:hAnsi="Times New Roman"/>
                          <w:sz w:val="14"/>
                          <w:szCs w:val="14"/>
                          <w:lang w:val="en-CA"/>
                        </w:rPr>
                        <w:t>Knowledge, experiences and lessons compiled and widely disseminated to be replicated at the scale of the PONASI landscape and in the country</w:t>
                      </w:r>
                    </w:p>
                  </w:txbxContent>
                </v:textbox>
              </v:shape>
            </w:pict>
          </mc:Fallback>
        </mc:AlternateContent>
      </w:r>
    </w:p>
    <w:p w14:paraId="7AF62A9C" w14:textId="77777777" w:rsidR="00302BFE" w:rsidRDefault="00302BFE" w:rsidP="00302BFE">
      <w:pPr>
        <w:spacing w:after="0" w:line="220" w:lineRule="exact"/>
        <w:jc w:val="right"/>
        <w:rPr>
          <w:rFonts w:ascii="Times New Roman" w:hAnsi="Times New Roman"/>
          <w:b/>
          <w:sz w:val="24"/>
          <w:lang w:val="en-CA"/>
        </w:rPr>
      </w:pPr>
    </w:p>
    <w:p w14:paraId="50CDA1C0" w14:textId="77777777" w:rsidR="00302BFE" w:rsidRDefault="00122E02" w:rsidP="00302BFE">
      <w:pPr>
        <w:spacing w:after="0" w:line="220" w:lineRule="exact"/>
        <w:jc w:val="right"/>
        <w:rPr>
          <w:rFonts w:ascii="Times New Roman" w:hAnsi="Times New Roman"/>
          <w:b/>
          <w:sz w:val="24"/>
          <w:lang w:val="en-CA"/>
        </w:rPr>
      </w:pPr>
      <w:r>
        <w:rPr>
          <w:noProof/>
        </w:rPr>
        <mc:AlternateContent>
          <mc:Choice Requires="wps">
            <w:drawing>
              <wp:anchor distT="0" distB="0" distL="114300" distR="114300" simplePos="0" relativeHeight="251718656" behindDoc="0" locked="0" layoutInCell="1" allowOverlap="1" wp14:anchorId="168F7E13" wp14:editId="19E46291">
                <wp:simplePos x="0" y="0"/>
                <wp:positionH relativeFrom="column">
                  <wp:posOffset>296088</wp:posOffset>
                </wp:positionH>
                <wp:positionV relativeFrom="paragraph">
                  <wp:posOffset>49487</wp:posOffset>
                </wp:positionV>
                <wp:extent cx="2241550" cy="294005"/>
                <wp:effectExtent l="0" t="0" r="25400" b="10795"/>
                <wp:wrapNone/>
                <wp:docPr id="91" name="Zone de texte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1550" cy="294005"/>
                        </a:xfrm>
                        <a:prstGeom prst="rect">
                          <a:avLst/>
                        </a:prstGeom>
                        <a:noFill/>
                        <a:ln w="9525">
                          <a:solidFill>
                            <a:srgbClr val="4BACC6"/>
                          </a:solidFill>
                          <a:miter lim="800000"/>
                          <a:headEnd/>
                          <a:tailEnd/>
                        </a:ln>
                        <a:extLst>
                          <a:ext uri="{909E8E84-426E-40DD-AFC4-6F175D3DCCD1}">
                            <a14:hiddenFill xmlns:a14="http://schemas.microsoft.com/office/drawing/2010/main">
                              <a:solidFill>
                                <a:srgbClr val="FFFFFF"/>
                              </a:solidFill>
                            </a14:hiddenFill>
                          </a:ext>
                        </a:extLst>
                      </wps:spPr>
                      <wps:txbx>
                        <w:txbxContent>
                          <w:p w14:paraId="45802C5A" w14:textId="77777777" w:rsidR="00ED1ADA" w:rsidRDefault="00ED1ADA" w:rsidP="00302BFE">
                            <w:pPr>
                              <w:pStyle w:val="NormalWeb"/>
                              <w:spacing w:before="0" w:beforeAutospacing="0" w:after="0" w:afterAutospacing="0"/>
                              <w:ind w:left="-113" w:right="-113"/>
                              <w:jc w:val="center"/>
                              <w:rPr>
                                <w:sz w:val="12"/>
                                <w:szCs w:val="12"/>
                                <w:lang w:val="en-CA"/>
                              </w:rPr>
                            </w:pPr>
                            <w:r>
                              <w:rPr>
                                <w:sz w:val="12"/>
                                <w:szCs w:val="12"/>
                                <w:lang w:val="en-CA"/>
                              </w:rPr>
                              <w:t>PONASI Landscape Management Master Plan developed to guide integrated and harmonized management over the next 15 years</w:t>
                            </w:r>
                          </w:p>
                        </w:txbxContent>
                      </wps:txbx>
                      <wps:bodyPr rot="0" vert="horz" wrap="square" lIns="91440" tIns="0" rIns="9144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68F7E13" id="Zone de texte 91" o:spid="_x0000_s1061" type="#_x0000_t202" style="position:absolute;left:0;text-align:left;margin-left:23.3pt;margin-top:3.9pt;width:176.5pt;height:23.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" filled="f" strokecolor="#4bacc6">
                <v:path arrowok="t"/>
                <v:textbox inset=",0,,0">
                  <w:txbxContent>
                    <w:p w14:paraId="45802C5A" w14:textId="77777777" w:rsidR="00ED1ADA" w:rsidRDefault="00ED1ADA" w:rsidP="00302BFE">
                      <w:pPr>
                        <w:pStyle w:val="NormalWeb"/>
                        <w:spacing w:before="0" w:beforeAutospacing="0" w:after="0" w:afterAutospacing="0"/>
                        <w:ind w:left="-113" w:right="-113"/>
                        <w:jc w:val="center"/>
                        <w:rPr>
                          <w:sz w:val="12"/>
                          <w:szCs w:val="12"/>
                          <w:lang w:val="en-CA"/>
                        </w:rPr>
                      </w:pPr>
                      <w:r>
                        <w:rPr>
                          <w:sz w:val="12"/>
                          <w:szCs w:val="12"/>
                          <w:lang w:val="en-CA"/>
                        </w:rPr>
                        <w:t>PONASI Landscape Management Master Plan developed to guide integrated and harmonized management over the next 15 years</w:t>
                      </w:r>
                    </w:p>
                  </w:txbxContent>
                </v:textbox>
              </v:shape>
            </w:pict>
          </mc:Fallback>
        </mc:AlternateContent>
      </w:r>
    </w:p>
    <w:p w14:paraId="7BC31EFC" w14:textId="77777777" w:rsidR="00302BFE" w:rsidRDefault="00122E02" w:rsidP="00302BFE">
      <w:pPr>
        <w:spacing w:after="0" w:line="220" w:lineRule="exact"/>
        <w:rPr>
          <w:rFonts w:ascii="Times New Roman" w:hAnsi="Times New Roman"/>
          <w:b/>
          <w:szCs w:val="20"/>
          <w:lang w:val="en-CA"/>
        </w:rPr>
      </w:pPr>
      <w:r>
        <w:rPr>
          <w:noProof/>
        </w:rPr>
        <mc:AlternateContent>
          <mc:Choice Requires="wps">
            <w:drawing>
              <wp:anchor distT="0" distB="0" distL="114300" distR="114300" simplePos="0" relativeHeight="251720704" behindDoc="0" locked="0" layoutInCell="1" allowOverlap="1" wp14:anchorId="69A608F9" wp14:editId="21B3306B">
                <wp:simplePos x="0" y="0"/>
                <wp:positionH relativeFrom="column">
                  <wp:posOffset>2728494</wp:posOffset>
                </wp:positionH>
                <wp:positionV relativeFrom="paragraph">
                  <wp:posOffset>12649</wp:posOffset>
                </wp:positionV>
                <wp:extent cx="2007235" cy="278130"/>
                <wp:effectExtent l="0" t="0" r="12065" b="26670"/>
                <wp:wrapNone/>
                <wp:docPr id="89" name="Zone de texte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7235" cy="278130"/>
                        </a:xfrm>
                        <a:prstGeom prst="rect">
                          <a:avLst/>
                        </a:prstGeom>
                        <a:solidFill>
                          <a:sysClr val="window" lastClr="FFFFFF"/>
                        </a:solidFill>
                        <a:ln w="6350">
                          <a:solidFill>
                            <a:srgbClr val="5B9BD5">
                              <a:lumMod val="60000"/>
                              <a:lumOff val="40000"/>
                            </a:srgbClr>
                          </a:solidFill>
                        </a:ln>
                      </wps:spPr>
                      <wps:txbx>
                        <w:txbxContent>
                          <w:p w14:paraId="607E7B7F" w14:textId="77777777" w:rsidR="00ED1ADA" w:rsidRDefault="00ED1ADA" w:rsidP="00302BFE">
                            <w:pPr>
                              <w:pStyle w:val="NormalWeb"/>
                              <w:spacing w:after="0"/>
                              <w:ind w:left="-115" w:right="-115"/>
                              <w:jc w:val="center"/>
                              <w:rPr>
                                <w:sz w:val="12"/>
                                <w:szCs w:val="12"/>
                                <w:lang w:val="en-CA"/>
                              </w:rPr>
                            </w:pPr>
                            <w:r>
                              <w:rPr>
                                <w:sz w:val="12"/>
                                <w:szCs w:val="12"/>
                                <w:lang w:val="en-CA"/>
                              </w:rPr>
                              <w:t>Effective plan to protect elephants across the PONASI landscape developed and implemented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608F9" id="Zone de texte 89" o:spid="_x0000_s1062" type="#_x0000_t202" style="position:absolute;left:0;text-align:left;margin-left:214.85pt;margin-top:1pt;width:158.05pt;height:21.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" fillcolor="window" strokecolor="#9dc3e6" strokeweight=".5pt">
                <v:path arrowok="t"/>
                <v:textbox>
                  <w:txbxContent>
                    <w:p w14:paraId="607E7B7F" w14:textId="77777777" w:rsidR="00ED1ADA" w:rsidRDefault="00ED1ADA" w:rsidP="00302BFE">
                      <w:pPr>
                        <w:pStyle w:val="NormalWeb"/>
                        <w:spacing w:after="0"/>
                        <w:ind w:left="-115" w:right="-115"/>
                        <w:jc w:val="center"/>
                        <w:rPr>
                          <w:sz w:val="12"/>
                          <w:szCs w:val="12"/>
                          <w:lang w:val="en-CA"/>
                        </w:rPr>
                      </w:pPr>
                      <w:r>
                        <w:rPr>
                          <w:sz w:val="12"/>
                          <w:szCs w:val="12"/>
                          <w:lang w:val="en-CA"/>
                        </w:rPr>
                        <w:t>Effective plan to protect elephants across the PONASI landscape developed and implemented</w:t>
                      </w:r>
                    </w:p>
                  </w:txbxContent>
                </v:textbox>
              </v:shape>
            </w:pict>
          </mc:Fallback>
        </mc:AlternateContent>
      </w:r>
      <w:r w:rsidR="00302BFE">
        <w:rPr>
          <w:noProof/>
        </w:rPr>
        <mc:AlternateContent>
          <mc:Choice Requires="wps">
            <w:drawing>
              <wp:anchor distT="45720" distB="45720" distL="114300" distR="114300" simplePos="0" relativeHeight="251719680" behindDoc="0" locked="0" layoutInCell="1" allowOverlap="1" wp14:anchorId="72554B4A" wp14:editId="4D364E98">
                <wp:simplePos x="0" y="0"/>
                <wp:positionH relativeFrom="column">
                  <wp:posOffset>4996815</wp:posOffset>
                </wp:positionH>
                <wp:positionV relativeFrom="paragraph">
                  <wp:posOffset>26670</wp:posOffset>
                </wp:positionV>
                <wp:extent cx="1809115" cy="354330"/>
                <wp:effectExtent l="0" t="0" r="19685" b="26670"/>
                <wp:wrapSquare wrapText="bothSides"/>
                <wp:docPr id="90" name="Zone de texte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115" cy="354330"/>
                        </a:xfrm>
                        <a:prstGeom prst="rect">
                          <a:avLst/>
                        </a:prstGeom>
                        <a:solidFill>
                          <a:sysClr val="window" lastClr="FFFFFF"/>
                        </a:solidFill>
                        <a:ln w="6350" cap="flat" cmpd="sng" algn="ctr">
                          <a:solidFill>
                            <a:srgbClr val="00B0F0"/>
                          </a:solidFill>
                          <a:prstDash val="solid"/>
                          <a:miter lim="800000"/>
                          <a:headEnd/>
                          <a:tailEnd/>
                        </a:ln>
                        <a:effectLst/>
                      </wps:spPr>
                      <wps:txbx>
                        <w:txbxContent>
                          <w:p w14:paraId="1A1C9A90" w14:textId="77777777" w:rsidR="00ED1ADA" w:rsidRDefault="00ED1ADA" w:rsidP="00302BFE">
                            <w:pPr>
                              <w:pStyle w:val="NormalWeb"/>
                              <w:spacing w:after="0"/>
                              <w:ind w:left="-115" w:right="-115"/>
                              <w:jc w:val="center"/>
                              <w:rPr>
                                <w:sz w:val="12"/>
                                <w:szCs w:val="12"/>
                                <w:lang w:val="en-CA"/>
                              </w:rPr>
                            </w:pPr>
                            <w:r>
                              <w:rPr>
                                <w:sz w:val="12"/>
                                <w:szCs w:val="12"/>
                                <w:lang w:val="en-CA"/>
                              </w:rPr>
                              <w:t>Sustainable local NWFP value chains are established, providing sustainable livelihoods for women and vulnerable people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554B4A" id="Zone de texte 90" o:spid="_x0000_s1063" type="#_x0000_t202" style="position:absolute;left:0;text-align:left;margin-left:393.45pt;margin-top:2.1pt;width:142.45pt;height:27.9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" fillcolor="window" strokecolor="#00b0f0" strokeweight=".5pt">
                <v:textbox>
                  <w:txbxContent>
                    <w:p w14:paraId="1A1C9A90" w14:textId="77777777" w:rsidR="00ED1ADA" w:rsidRDefault="00ED1ADA" w:rsidP="00302BFE">
                      <w:pPr>
                        <w:pStyle w:val="NormalWeb"/>
                        <w:spacing w:after="0"/>
                        <w:ind w:left="-115" w:right="-115"/>
                        <w:jc w:val="center"/>
                        <w:rPr>
                          <w:sz w:val="12"/>
                          <w:szCs w:val="12"/>
                          <w:lang w:val="en-CA"/>
                        </w:rPr>
                      </w:pPr>
                      <w:r>
                        <w:rPr>
                          <w:sz w:val="12"/>
                          <w:szCs w:val="12"/>
                          <w:lang w:val="en-CA"/>
                        </w:rPr>
                        <w:t>Sustainable local NWFP value chains are established, providing sustainable livelihoods for women and vulnerable people</w:t>
                      </w:r>
                    </w:p>
                  </w:txbxContent>
                </v:textbox>
                <w10:wrap type="square"/>
              </v:shape>
            </w:pict>
          </mc:Fallback>
        </mc:AlternateContent>
      </w:r>
    </w:p>
    <w:p w14:paraId="07889A65" w14:textId="77777777" w:rsidR="00302BFE" w:rsidRDefault="00302BFE" w:rsidP="00302BFE">
      <w:pPr>
        <w:spacing w:after="0" w:line="220" w:lineRule="exact"/>
        <w:rPr>
          <w:rFonts w:ascii="Times New Roman" w:hAnsi="Times New Roman"/>
          <w:b/>
          <w:szCs w:val="20"/>
          <w:lang w:val="en-CA"/>
        </w:rPr>
      </w:pPr>
    </w:p>
    <w:p w14:paraId="1E97B716" w14:textId="77777777" w:rsidR="00302BFE" w:rsidRDefault="00302BFE" w:rsidP="00302BFE">
      <w:pPr>
        <w:spacing w:after="0" w:line="220" w:lineRule="exact"/>
        <w:rPr>
          <w:rFonts w:ascii="Times New Roman" w:hAnsi="Times New Roman"/>
          <w:b/>
          <w:sz w:val="24"/>
          <w:lang w:val="en-CA"/>
        </w:rPr>
      </w:pPr>
    </w:p>
    <w:p w14:paraId="3D5788C8" w14:textId="77777777" w:rsidR="00302BFE" w:rsidRDefault="00302BFE" w:rsidP="00302BFE">
      <w:pPr>
        <w:spacing w:after="0" w:line="220" w:lineRule="exact"/>
        <w:rPr>
          <w:rFonts w:ascii="Times New Roman" w:hAnsi="Times New Roman"/>
          <w:b/>
          <w:sz w:val="24"/>
          <w:lang w:val="en-CA"/>
        </w:rPr>
      </w:pPr>
      <w:r>
        <w:rPr>
          <w:noProof/>
        </w:rPr>
        <mc:AlternateContent>
          <mc:Choice Requires="wps">
            <w:drawing>
              <wp:anchor distT="0" distB="0" distL="114300" distR="114300" simplePos="0" relativeHeight="251697152" behindDoc="0" locked="0" layoutInCell="1" allowOverlap="1" wp14:anchorId="3771E8AC" wp14:editId="27F7E4F4">
                <wp:simplePos x="0" y="0"/>
                <wp:positionH relativeFrom="margin">
                  <wp:posOffset>8121650</wp:posOffset>
                </wp:positionH>
                <wp:positionV relativeFrom="paragraph">
                  <wp:posOffset>62865</wp:posOffset>
                </wp:positionV>
                <wp:extent cx="364490" cy="429895"/>
                <wp:effectExtent l="81597" t="32703" r="21908" b="21907"/>
                <wp:wrapNone/>
                <wp:docPr id="87" name="Connecteur : en angl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V="1">
                          <a:off x="0" y="0"/>
                          <a:ext cx="363855" cy="429895"/>
                        </a:xfrm>
                        <a:prstGeom prst="bentConnector3">
                          <a:avLst>
                            <a:gd name="adj1" fmla="val 67807"/>
                          </a:avLst>
                        </a:prstGeom>
                        <a:noFill/>
                        <a:ln w="9525">
                          <a:solidFill>
                            <a:srgbClr val="4A7EBB"/>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5D79250" id="Connecteur : en angle 87" o:spid="_x0000_s1026" type="#_x0000_t34" style="position:absolute;margin-left:639.5pt;margin-top:4.95pt;width:28.7pt;height:33.85pt;rotation:90;flip:y;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" adj="14646" strokecolor="#4a7ebb">
                <v:stroke endarrow="block"/>
                <w10:wrap anchorx="margin"/>
              </v:shape>
            </w:pict>
          </mc:Fallback>
        </mc:AlternateContent>
      </w:r>
      <w:r>
        <w:rPr>
          <w:noProof/>
        </w:rPr>
        <mc:AlternateContent>
          <mc:Choice Requires="wps">
            <w:drawing>
              <wp:anchor distT="0" distB="0" distL="114300" distR="114300" simplePos="0" relativeHeight="251675648" behindDoc="0" locked="0" layoutInCell="1" allowOverlap="1" wp14:anchorId="6C172FA4" wp14:editId="508B9FF6">
                <wp:simplePos x="0" y="0"/>
                <wp:positionH relativeFrom="margin">
                  <wp:posOffset>3244850</wp:posOffset>
                </wp:positionH>
                <wp:positionV relativeFrom="paragraph">
                  <wp:posOffset>46355</wp:posOffset>
                </wp:positionV>
                <wp:extent cx="480695" cy="506730"/>
                <wp:effectExtent l="6033" t="32067" r="77787" b="20638"/>
                <wp:wrapNone/>
                <wp:docPr id="184" name="Connecteur : en angl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flipV="1">
                          <a:off x="0" y="0"/>
                          <a:ext cx="480060" cy="506730"/>
                        </a:xfrm>
                        <a:prstGeom prst="bentConnector3">
                          <a:avLst>
                            <a:gd name="adj1" fmla="val 64912"/>
                          </a:avLst>
                        </a:prstGeom>
                        <a:noFill/>
                        <a:ln w="9525">
                          <a:solidFill>
                            <a:srgbClr val="4A7EBB"/>
                          </a:solidFill>
                          <a:miter lim="800000"/>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1F1934C7" id="Connecteur : en angle 184" o:spid="_x0000_s1026" type="#_x0000_t34" style="position:absolute;margin-left:255.5pt;margin-top:3.65pt;width:37.85pt;height:39.9pt;rotation:90;flip:x 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" adj="14021" strokecolor="#4a7ebb">
                <v:stroke endarrow="block"/>
                <w10:wrap anchorx="margin"/>
              </v:shape>
            </w:pict>
          </mc:Fallback>
        </mc:AlternateContent>
      </w:r>
      <w:r>
        <w:rPr>
          <w:noProof/>
        </w:rPr>
        <mc:AlternateContent>
          <mc:Choice Requires="wps">
            <w:drawing>
              <wp:anchor distT="0" distB="0" distL="114300" distR="114300" simplePos="0" relativeHeight="251691008" behindDoc="0" locked="0" layoutInCell="1" allowOverlap="1" wp14:anchorId="17848419" wp14:editId="51CC83DB">
                <wp:simplePos x="0" y="0"/>
                <wp:positionH relativeFrom="margin">
                  <wp:posOffset>6005830</wp:posOffset>
                </wp:positionH>
                <wp:positionV relativeFrom="paragraph">
                  <wp:posOffset>36195</wp:posOffset>
                </wp:positionV>
                <wp:extent cx="311150" cy="429895"/>
                <wp:effectExtent l="73977" t="40323" r="29528" b="10477"/>
                <wp:wrapNone/>
                <wp:docPr id="86" name="Connecteur : en angl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V="1">
                          <a:off x="0" y="0"/>
                          <a:ext cx="310515" cy="429260"/>
                        </a:xfrm>
                        <a:prstGeom prst="bentConnector3">
                          <a:avLst>
                            <a:gd name="adj1" fmla="val 61085"/>
                          </a:avLst>
                        </a:prstGeom>
                        <a:noFill/>
                        <a:ln w="9525">
                          <a:solidFill>
                            <a:srgbClr val="4A7EBB"/>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B084902" id="Connecteur : en angle 86" o:spid="_x0000_s1026" type="#_x0000_t34" style="position:absolute;margin-left:472.9pt;margin-top:2.85pt;width:24.5pt;height:33.85pt;rotation:90;flip:y;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" adj="13194" strokecolor="#4a7ebb">
                <v:stroke endarrow="block"/>
                <w10:wrap anchorx="margin"/>
              </v:shape>
            </w:pict>
          </mc:Fallback>
        </mc:AlternateContent>
      </w:r>
      <w:r>
        <w:rPr>
          <w:noProof/>
        </w:rPr>
        <mc:AlternateContent>
          <mc:Choice Requires="wps">
            <w:drawing>
              <wp:anchor distT="0" distB="0" distL="114300" distR="114300" simplePos="0" relativeHeight="251685888" behindDoc="0" locked="0" layoutInCell="1" allowOverlap="1" wp14:anchorId="2DEB3B0E" wp14:editId="34456167">
                <wp:simplePos x="0" y="0"/>
                <wp:positionH relativeFrom="margin">
                  <wp:posOffset>773430</wp:posOffset>
                </wp:positionH>
                <wp:positionV relativeFrom="paragraph">
                  <wp:posOffset>187325</wp:posOffset>
                </wp:positionV>
                <wp:extent cx="401955" cy="264160"/>
                <wp:effectExtent l="0" t="45402" r="66992" b="9843"/>
                <wp:wrapNone/>
                <wp:docPr id="85" name="Connecteur : en angl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flipV="1">
                          <a:off x="0" y="0"/>
                          <a:ext cx="401955" cy="264160"/>
                        </a:xfrm>
                        <a:prstGeom prst="bentConnector3">
                          <a:avLst>
                            <a:gd name="adj1" fmla="val 69142"/>
                          </a:avLst>
                        </a:prstGeom>
                        <a:noFill/>
                        <a:ln w="9525">
                          <a:solidFill>
                            <a:srgbClr val="4A7EBB"/>
                          </a:solidFill>
                          <a:miter lim="800000"/>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50569DAE" id="Connecteur : en angle 85" o:spid="_x0000_s1026" type="#_x0000_t34" style="position:absolute;margin-left:60.9pt;margin-top:14.75pt;width:31.65pt;height:20.8pt;rotation:90;flip:x y;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" adj="14935" strokecolor="#4a7ebb">
                <v:stroke endarrow="block"/>
                <w10:wrap anchorx="margin"/>
              </v:shape>
            </w:pict>
          </mc:Fallback>
        </mc:AlternateContent>
      </w:r>
    </w:p>
    <w:p w14:paraId="62272690" w14:textId="77777777" w:rsidR="00302BFE" w:rsidRDefault="00122E02" w:rsidP="00302BFE">
      <w:pPr>
        <w:spacing w:after="0" w:line="220" w:lineRule="exact"/>
        <w:rPr>
          <w:rFonts w:ascii="Times New Roman" w:hAnsi="Times New Roman"/>
          <w:b/>
          <w:sz w:val="24"/>
          <w:lang w:val="en-CA"/>
        </w:rPr>
      </w:pPr>
      <w:r>
        <w:rPr>
          <w:noProof/>
        </w:rPr>
        <mc:AlternateContent>
          <mc:Choice Requires="wps">
            <w:drawing>
              <wp:anchor distT="0" distB="0" distL="114300" distR="114300" simplePos="0" relativeHeight="251677696" behindDoc="0" locked="0" layoutInCell="1" allowOverlap="1" wp14:anchorId="64B673AC" wp14:editId="468083B9">
                <wp:simplePos x="0" y="0"/>
                <wp:positionH relativeFrom="column">
                  <wp:posOffset>869950</wp:posOffset>
                </wp:positionH>
                <wp:positionV relativeFrom="paragraph">
                  <wp:posOffset>110490</wp:posOffset>
                </wp:positionV>
                <wp:extent cx="1198880" cy="207010"/>
                <wp:effectExtent l="0" t="0" r="0" b="2540"/>
                <wp:wrapSquare wrapText="bothSides"/>
                <wp:docPr id="179" name="Zone de texte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8880" cy="207010"/>
                        </a:xfrm>
                        <a:prstGeom prst="rect">
                          <a:avLst/>
                        </a:prstGeom>
                        <a:noFill/>
                        <a:ln>
                          <a:noFill/>
                        </a:ln>
                        <a:effectLst/>
                        <a:extLst>
                          <a:ext uri="{C572A759-6A51-4108-AA02-DFA0A04FC94B}"/>
                        </a:extLst>
                      </wps:spPr>
                      <wps:txbx>
                        <w:txbxContent>
                          <w:p w14:paraId="15661CFC" w14:textId="77777777" w:rsidR="00ED1ADA" w:rsidRDefault="00ED1ADA" w:rsidP="00302BFE">
                            <w:pPr>
                              <w:jc w:val="center"/>
                              <w:rPr>
                                <w:rFonts w:ascii="Times New Roman" w:hAnsi="Times New Roman"/>
                                <w:b/>
                                <w:sz w:val="16"/>
                                <w:szCs w:val="16"/>
                              </w:rPr>
                            </w:pPr>
                            <w:r>
                              <w:rPr>
                                <w:rFonts w:ascii="Times New Roman" w:hAnsi="Times New Roman"/>
                                <w:b/>
                                <w:sz w:val="16"/>
                                <w:szCs w:val="16"/>
                              </w:rPr>
                              <w:t>Component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4B673AC" id="Zone de texte 179" o:spid="_x0000_s1064" type="#_x0000_t202" style="position:absolute;left:0;text-align:left;margin-left:68.5pt;margin-top:8.7pt;width:94.4pt;height:16.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" filled="f" stroked="f">
                <v:textbox>
                  <w:txbxContent>
                    <w:p w14:paraId="15661CFC" w14:textId="77777777" w:rsidR="00ED1ADA" w:rsidRDefault="00ED1ADA" w:rsidP="00302BFE">
                      <w:pPr>
                        <w:jc w:val="center"/>
                        <w:rPr>
                          <w:rFonts w:ascii="Times New Roman" w:hAnsi="Times New Roman"/>
                          <w:b/>
                          <w:sz w:val="16"/>
                          <w:szCs w:val="16"/>
                        </w:rPr>
                      </w:pPr>
                      <w:r>
                        <w:rPr>
                          <w:rFonts w:ascii="Times New Roman" w:hAnsi="Times New Roman"/>
                          <w:b/>
                          <w:sz w:val="16"/>
                          <w:szCs w:val="16"/>
                        </w:rPr>
                        <w:t>Component 1</w:t>
                      </w:r>
                    </w:p>
                  </w:txbxContent>
                </v:textbox>
                <w10:wrap type="square"/>
              </v:shape>
            </w:pict>
          </mc:Fallback>
        </mc:AlternateContent>
      </w:r>
      <w:r>
        <w:rPr>
          <w:noProof/>
        </w:rPr>
        <mc:AlternateContent>
          <mc:Choice Requires="wps">
            <w:drawing>
              <wp:anchor distT="0" distB="0" distL="114300" distR="114300" simplePos="0" relativeHeight="251687936" behindDoc="0" locked="0" layoutInCell="1" allowOverlap="1" wp14:anchorId="4B4A1BCF" wp14:editId="7519B89A">
                <wp:simplePos x="0" y="0"/>
                <wp:positionH relativeFrom="column">
                  <wp:posOffset>5022215</wp:posOffset>
                </wp:positionH>
                <wp:positionV relativeFrom="paragraph">
                  <wp:posOffset>28575</wp:posOffset>
                </wp:positionV>
                <wp:extent cx="1090295" cy="228600"/>
                <wp:effectExtent l="0" t="0" r="0" b="0"/>
                <wp:wrapSquare wrapText="bothSides"/>
                <wp:docPr id="84" name="Zone de texte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0295" cy="228600"/>
                        </a:xfrm>
                        <a:prstGeom prst="rect">
                          <a:avLst/>
                        </a:prstGeom>
                        <a:noFill/>
                        <a:ln>
                          <a:noFill/>
                        </a:ln>
                        <a:effectLst/>
                        <a:extLst>
                          <a:ext uri="{C572A759-6A51-4108-AA02-DFA0A04FC94B}"/>
                        </a:extLst>
                      </wps:spPr>
                      <wps:txbx>
                        <w:txbxContent>
                          <w:p w14:paraId="0D3E365B" w14:textId="77777777" w:rsidR="00ED1ADA" w:rsidRDefault="00ED1ADA" w:rsidP="00302BFE">
                            <w:pPr>
                              <w:jc w:val="center"/>
                              <w:rPr>
                                <w:rFonts w:ascii="Times New Roman" w:hAnsi="Times New Roman"/>
                                <w:b/>
                                <w:sz w:val="16"/>
                                <w:szCs w:val="16"/>
                              </w:rPr>
                            </w:pPr>
                            <w:r>
                              <w:rPr>
                                <w:rFonts w:ascii="Times New Roman" w:hAnsi="Times New Roman"/>
                                <w:b/>
                                <w:sz w:val="16"/>
                                <w:szCs w:val="16"/>
                              </w:rPr>
                              <w:t>Component 3</w:t>
                            </w:r>
                          </w:p>
                          <w:p w14:paraId="26B7FCEE" w14:textId="77777777" w:rsidR="00ED1ADA" w:rsidRDefault="00ED1A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4A1BCF" id="Zone de texte 84" o:spid="_x0000_s1065" type="#_x0000_t202" style="position:absolute;left:0;text-align:left;margin-left:395.45pt;margin-top:2.25pt;width:85.85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" filled="f" stroked="f">
                <v:textbox>
                  <w:txbxContent>
                    <w:p w14:paraId="0D3E365B" w14:textId="77777777" w:rsidR="00ED1ADA" w:rsidRDefault="00ED1ADA" w:rsidP="00302BFE">
                      <w:pPr>
                        <w:jc w:val="center"/>
                        <w:rPr>
                          <w:rFonts w:ascii="Times New Roman" w:hAnsi="Times New Roman"/>
                          <w:b/>
                          <w:sz w:val="16"/>
                          <w:szCs w:val="16"/>
                        </w:rPr>
                      </w:pPr>
                      <w:r>
                        <w:rPr>
                          <w:rFonts w:ascii="Times New Roman" w:hAnsi="Times New Roman"/>
                          <w:b/>
                          <w:sz w:val="16"/>
                          <w:szCs w:val="16"/>
                        </w:rPr>
                        <w:t>Component 3</w:t>
                      </w:r>
                    </w:p>
                    <w:p w14:paraId="26B7FCEE" w14:textId="77777777" w:rsidR="00ED1ADA" w:rsidRDefault="00ED1ADA"/>
                  </w:txbxContent>
                </v:textbox>
                <w10:wrap type="square"/>
              </v:shape>
            </w:pict>
          </mc:Fallback>
        </mc:AlternateContent>
      </w:r>
      <w:r w:rsidR="00302BFE">
        <w:rPr>
          <w:noProof/>
        </w:rPr>
        <mc:AlternateContent>
          <mc:Choice Requires="wps">
            <w:drawing>
              <wp:anchor distT="0" distB="0" distL="114300" distR="114300" simplePos="0" relativeHeight="251679744" behindDoc="0" locked="0" layoutInCell="1" allowOverlap="1" wp14:anchorId="76CBD511" wp14:editId="04B9E763">
                <wp:simplePos x="0" y="0"/>
                <wp:positionH relativeFrom="column">
                  <wp:posOffset>7298055</wp:posOffset>
                </wp:positionH>
                <wp:positionV relativeFrom="paragraph">
                  <wp:posOffset>64135</wp:posOffset>
                </wp:positionV>
                <wp:extent cx="802640" cy="227965"/>
                <wp:effectExtent l="0" t="0" r="0" b="635"/>
                <wp:wrapSquare wrapText="bothSides"/>
                <wp:docPr id="180" name="Zone de texte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2640" cy="227965"/>
                        </a:xfrm>
                        <a:prstGeom prst="rect">
                          <a:avLst/>
                        </a:prstGeom>
                        <a:noFill/>
                        <a:ln>
                          <a:noFill/>
                        </a:ln>
                        <a:effectLst/>
                        <a:extLst>
                          <a:ext uri="{C572A759-6A51-4108-AA02-DFA0A04FC94B}"/>
                        </a:extLst>
                      </wps:spPr>
                      <wps:txbx>
                        <w:txbxContent>
                          <w:p w14:paraId="69D20531" w14:textId="77777777" w:rsidR="00ED1ADA" w:rsidRDefault="00ED1ADA" w:rsidP="00302BFE">
                            <w:pPr>
                              <w:jc w:val="center"/>
                              <w:rPr>
                                <w:rFonts w:ascii="Times New Roman" w:hAnsi="Times New Roman"/>
                                <w:b/>
                                <w:sz w:val="16"/>
                                <w:szCs w:val="16"/>
                              </w:rPr>
                            </w:pPr>
                            <w:r>
                              <w:rPr>
                                <w:rFonts w:ascii="Times New Roman" w:hAnsi="Times New Roman"/>
                                <w:b/>
                                <w:sz w:val="16"/>
                                <w:szCs w:val="16"/>
                              </w:rPr>
                              <w:t>Component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6CBD511" id="Zone de texte 180" o:spid="_x0000_s1066" type="#_x0000_t202" style="position:absolute;left:0;text-align:left;margin-left:574.65pt;margin-top:5.05pt;width:63.2pt;height:17.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" filled="f" stroked="f">
                <v:textbox>
                  <w:txbxContent>
                    <w:p w14:paraId="69D20531" w14:textId="77777777" w:rsidR="00ED1ADA" w:rsidRDefault="00ED1ADA" w:rsidP="00302BFE">
                      <w:pPr>
                        <w:jc w:val="center"/>
                        <w:rPr>
                          <w:rFonts w:ascii="Times New Roman" w:hAnsi="Times New Roman"/>
                          <w:b/>
                          <w:sz w:val="16"/>
                          <w:szCs w:val="16"/>
                        </w:rPr>
                      </w:pPr>
                      <w:r>
                        <w:rPr>
                          <w:rFonts w:ascii="Times New Roman" w:hAnsi="Times New Roman"/>
                          <w:b/>
                          <w:sz w:val="16"/>
                          <w:szCs w:val="16"/>
                        </w:rPr>
                        <w:t>Component 4</w:t>
                      </w:r>
                    </w:p>
                  </w:txbxContent>
                </v:textbox>
                <w10:wrap type="square"/>
              </v:shape>
            </w:pict>
          </mc:Fallback>
        </mc:AlternateContent>
      </w:r>
    </w:p>
    <w:p w14:paraId="12FF4E36" w14:textId="77777777" w:rsidR="00302BFE" w:rsidRDefault="00122E02" w:rsidP="00302BFE">
      <w:pPr>
        <w:spacing w:after="0" w:line="220" w:lineRule="exact"/>
        <w:rPr>
          <w:rFonts w:ascii="Times New Roman" w:hAnsi="Times New Roman"/>
          <w:b/>
          <w:sz w:val="24"/>
          <w:lang w:val="en-CA"/>
        </w:rPr>
      </w:pPr>
      <w:r>
        <w:rPr>
          <w:noProof/>
        </w:rPr>
        <mc:AlternateContent>
          <mc:Choice Requires="wps">
            <w:drawing>
              <wp:anchor distT="0" distB="0" distL="114300" distR="114300" simplePos="0" relativeHeight="251678720" behindDoc="0" locked="0" layoutInCell="1" allowOverlap="1" wp14:anchorId="6AEE7E54" wp14:editId="5A7153A6">
                <wp:simplePos x="0" y="0"/>
                <wp:positionH relativeFrom="column">
                  <wp:posOffset>3001010</wp:posOffset>
                </wp:positionH>
                <wp:positionV relativeFrom="paragraph">
                  <wp:posOffset>9525</wp:posOffset>
                </wp:positionV>
                <wp:extent cx="1372870" cy="228600"/>
                <wp:effectExtent l="0" t="0" r="0" b="0"/>
                <wp:wrapSquare wrapText="bothSides"/>
                <wp:docPr id="177" name="Zone de texte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2870" cy="228600"/>
                        </a:xfrm>
                        <a:prstGeom prst="rect">
                          <a:avLst/>
                        </a:prstGeom>
                        <a:noFill/>
                        <a:ln>
                          <a:noFill/>
                        </a:ln>
                        <a:effectLst/>
                        <a:extLst>
                          <a:ext uri="{C572A759-6A51-4108-AA02-DFA0A04FC94B}"/>
                        </a:extLst>
                      </wps:spPr>
                      <wps:txbx>
                        <w:txbxContent>
                          <w:p w14:paraId="53E72ABE" w14:textId="77777777" w:rsidR="00ED1ADA" w:rsidRDefault="00ED1ADA" w:rsidP="00302BFE">
                            <w:pPr>
                              <w:jc w:val="center"/>
                              <w:rPr>
                                <w:rFonts w:ascii="Times New Roman" w:hAnsi="Times New Roman"/>
                                <w:b/>
                                <w:sz w:val="16"/>
                                <w:szCs w:val="16"/>
                              </w:rPr>
                            </w:pPr>
                            <w:r>
                              <w:rPr>
                                <w:rFonts w:ascii="Times New Roman" w:hAnsi="Times New Roman"/>
                                <w:b/>
                                <w:sz w:val="16"/>
                                <w:szCs w:val="16"/>
                              </w:rPr>
                              <w:t>Component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AEE7E54" id="Zone de texte 177" o:spid="_x0000_s1067" type="#_x0000_t202" style="position:absolute;left:0;text-align:left;margin-left:236.3pt;margin-top:.75pt;width:108.1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" filled="f" stroked="f">
                <v:textbox>
                  <w:txbxContent>
                    <w:p w14:paraId="53E72ABE" w14:textId="77777777" w:rsidR="00ED1ADA" w:rsidRDefault="00ED1ADA" w:rsidP="00302BFE">
                      <w:pPr>
                        <w:jc w:val="center"/>
                        <w:rPr>
                          <w:rFonts w:ascii="Times New Roman" w:hAnsi="Times New Roman"/>
                          <w:b/>
                          <w:sz w:val="16"/>
                          <w:szCs w:val="16"/>
                        </w:rPr>
                      </w:pPr>
                      <w:r>
                        <w:rPr>
                          <w:rFonts w:ascii="Times New Roman" w:hAnsi="Times New Roman"/>
                          <w:b/>
                          <w:sz w:val="16"/>
                          <w:szCs w:val="16"/>
                        </w:rPr>
                        <w:t>Component 2</w:t>
                      </w:r>
                    </w:p>
                  </w:txbxContent>
                </v:textbox>
                <w10:wrap type="square"/>
              </v:shape>
            </w:pict>
          </mc:Fallback>
        </mc:AlternateContent>
      </w:r>
      <w:r w:rsidR="00302BFE">
        <w:rPr>
          <w:noProof/>
        </w:rPr>
        <mc:AlternateContent>
          <mc:Choice Requires="wps">
            <w:drawing>
              <wp:anchor distT="0" distB="0" distL="114300" distR="114300" simplePos="0" relativeHeight="251672576" behindDoc="0" locked="0" layoutInCell="1" allowOverlap="1" wp14:anchorId="48A30050" wp14:editId="304FE451">
                <wp:simplePos x="0" y="0"/>
                <wp:positionH relativeFrom="margin">
                  <wp:posOffset>-546735</wp:posOffset>
                </wp:positionH>
                <wp:positionV relativeFrom="paragraph">
                  <wp:posOffset>185420</wp:posOffset>
                </wp:positionV>
                <wp:extent cx="652780" cy="421640"/>
                <wp:effectExtent l="0" t="0" r="13970" b="16510"/>
                <wp:wrapNone/>
                <wp:docPr id="161"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421640"/>
                        </a:xfrm>
                        <a:prstGeom prst="rect">
                          <a:avLst/>
                        </a:prstGeom>
                        <a:solidFill>
                          <a:sysClr val="window" lastClr="FFFFFF"/>
                        </a:solidFill>
                        <a:ln w="25400" cap="flat" cmpd="sng" algn="ctr">
                          <a:solidFill>
                            <a:srgbClr val="FFFF00"/>
                          </a:solidFill>
                          <a:prstDash val="solid"/>
                        </a:ln>
                        <a:effectLst/>
                      </wps:spPr>
                      <wps:txbx>
                        <w:txbxContent>
                          <w:p w14:paraId="7E069B1F" w14:textId="77777777" w:rsidR="00ED1ADA" w:rsidRDefault="00ED1ADA" w:rsidP="00302BFE">
                            <w:pPr>
                              <w:pStyle w:val="NormalWeb"/>
                              <w:spacing w:after="0"/>
                              <w:jc w:val="center"/>
                              <w:rPr>
                                <w:sz w:val="16"/>
                                <w:szCs w:val="16"/>
                                <w:lang w:val="fr-CA"/>
                              </w:rPr>
                            </w:pPr>
                            <w:r>
                              <w:rPr>
                                <w:b/>
                                <w:bCs/>
                                <w:color w:val="000000"/>
                                <w:kern w:val="24"/>
                                <w:sz w:val="16"/>
                                <w:szCs w:val="16"/>
                              </w:rPr>
                              <w:t>Barriers</w:t>
                            </w:r>
                          </w:p>
                        </w:txbxContent>
                      </wps:txbx>
                      <wps:bodyPr wrap="square" lIns="121789" tIns="60894" rIns="121789" bIns="60894" spcCol="0" rtlCol="0" anchor="ctr"/>
                    </wps:wsp>
                  </a:graphicData>
                </a:graphic>
                <wp14:sizeRelH relativeFrom="page">
                  <wp14:pctWidth>0</wp14:pctWidth>
                </wp14:sizeRelH>
                <wp14:sizeRelV relativeFrom="page">
                  <wp14:pctHeight>0</wp14:pctHeight>
                </wp14:sizeRelV>
              </wp:anchor>
            </w:drawing>
          </mc:Choice>
          <mc:Fallback>
            <w:pict>
              <v:rect w14:anchorId="48A30050" id="Rectangle 161" o:spid="_x0000_s1068" style="position:absolute;left:0;text-align:left;margin-left:-43.05pt;margin-top:14.6pt;width:51.4pt;height:33.2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" fillcolor="window" strokecolor="yellow" strokeweight="2pt">
                <v:path arrowok="t"/>
                <v:textbox inset="3.38303mm,1.6915mm,3.38303mm,1.6915mm">
                  <w:txbxContent>
                    <w:p w14:paraId="7E069B1F" w14:textId="77777777" w:rsidR="00ED1ADA" w:rsidRDefault="00ED1ADA" w:rsidP="00302BFE">
                      <w:pPr>
                        <w:pStyle w:val="NormalWeb"/>
                        <w:spacing w:after="0"/>
                        <w:jc w:val="center"/>
                        <w:rPr>
                          <w:sz w:val="16"/>
                          <w:szCs w:val="16"/>
                          <w:lang w:val="fr-CA"/>
                        </w:rPr>
                      </w:pPr>
                      <w:r>
                        <w:rPr>
                          <w:b/>
                          <w:bCs/>
                          <w:color w:val="000000"/>
                          <w:kern w:val="24"/>
                          <w:sz w:val="16"/>
                          <w:szCs w:val="16"/>
                        </w:rPr>
                        <w:t>Barriers</w:t>
                      </w:r>
                    </w:p>
                  </w:txbxContent>
                </v:textbox>
                <w10:wrap anchorx="margin"/>
              </v:rect>
            </w:pict>
          </mc:Fallback>
        </mc:AlternateContent>
      </w:r>
    </w:p>
    <w:p w14:paraId="676836AC" w14:textId="77777777" w:rsidR="00302BFE" w:rsidRDefault="00302BFE" w:rsidP="00302BFE">
      <w:pPr>
        <w:spacing w:after="0" w:line="220" w:lineRule="exact"/>
        <w:rPr>
          <w:rFonts w:ascii="Times New Roman" w:hAnsi="Times New Roman"/>
          <w:b/>
          <w:sz w:val="24"/>
          <w:lang w:val="en-CA"/>
        </w:rPr>
      </w:pPr>
      <w:r>
        <w:rPr>
          <w:noProof/>
        </w:rPr>
        <mc:AlternateContent>
          <mc:Choice Requires="wps">
            <w:drawing>
              <wp:anchor distT="0" distB="0" distL="114300" distR="114300" simplePos="0" relativeHeight="251681792" behindDoc="0" locked="0" layoutInCell="1" allowOverlap="1" wp14:anchorId="03F6B672" wp14:editId="2AC1DDAD">
                <wp:simplePos x="0" y="0"/>
                <wp:positionH relativeFrom="margin">
                  <wp:posOffset>7331075</wp:posOffset>
                </wp:positionH>
                <wp:positionV relativeFrom="paragraph">
                  <wp:posOffset>43180</wp:posOffset>
                </wp:positionV>
                <wp:extent cx="1555115" cy="556260"/>
                <wp:effectExtent l="0" t="0" r="26035" b="15240"/>
                <wp:wrapThrough wrapText="bothSides">
                  <wp:wrapPolygon edited="0">
                    <wp:start x="0" y="0"/>
                    <wp:lineTo x="0" y="21452"/>
                    <wp:lineTo x="21697" y="21452"/>
                    <wp:lineTo x="21697" y="0"/>
                    <wp:lineTo x="0" y="0"/>
                  </wp:wrapPolygon>
                </wp:wrapThrough>
                <wp:docPr id="181" name="Zone de texte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115" cy="556260"/>
                        </a:xfrm>
                        <a:prstGeom prst="rect">
                          <a:avLst/>
                        </a:prstGeom>
                        <a:solidFill>
                          <a:sysClr val="window" lastClr="FFFFFF"/>
                        </a:solidFill>
                        <a:ln w="25400" cap="flat" cmpd="sng" algn="ctr">
                          <a:solidFill>
                            <a:srgbClr val="FFFF00"/>
                          </a:solidFill>
                          <a:prstDash val="solid"/>
                        </a:ln>
                        <a:effectLst/>
                      </wps:spPr>
                      <wps:txbx>
                        <w:txbxContent>
                          <w:p w14:paraId="09BAF2ED" w14:textId="77777777" w:rsidR="00ED1ADA" w:rsidRDefault="00ED1ADA" w:rsidP="00302BFE">
                            <w:pPr>
                              <w:pStyle w:val="NormalWeb"/>
                              <w:spacing w:after="0"/>
                              <w:ind w:left="-180" w:right="-138"/>
                              <w:jc w:val="center"/>
                              <w:rPr>
                                <w:sz w:val="14"/>
                                <w:szCs w:val="14"/>
                                <w:lang w:val="en-CA"/>
                              </w:rPr>
                            </w:pPr>
                            <w:r>
                              <w:rPr>
                                <w:sz w:val="14"/>
                                <w:szCs w:val="14"/>
                                <w:lang w:val="en-CA"/>
                              </w:rPr>
                              <w:t>Lack of adequate knowledge management and gender mainstreaming in policies and programs</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03F6B672" id="Zone de texte 181" o:spid="_x0000_s1069" type="#_x0000_t202" style="position:absolute;left:0;text-align:left;margin-left:577.25pt;margin-top:3.4pt;width:122.45pt;height:43.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" fillcolor="window" strokecolor="yellow" strokeweight="2pt">
                <v:path arrowok="t"/>
                <v:textbox inset="3.38303mm,1.6915mm,3.38303mm,1.6915mm">
                  <w:txbxContent>
                    <w:p w14:paraId="09BAF2ED" w14:textId="77777777" w:rsidR="00ED1ADA" w:rsidRDefault="00ED1ADA" w:rsidP="00302BFE">
                      <w:pPr>
                        <w:pStyle w:val="NormalWeb"/>
                        <w:spacing w:after="0"/>
                        <w:ind w:left="-180" w:right="-138"/>
                        <w:jc w:val="center"/>
                        <w:rPr>
                          <w:sz w:val="14"/>
                          <w:szCs w:val="14"/>
                          <w:lang w:val="en-CA"/>
                        </w:rPr>
                      </w:pPr>
                      <w:r>
                        <w:rPr>
                          <w:sz w:val="14"/>
                          <w:szCs w:val="14"/>
                          <w:lang w:val="en-CA"/>
                        </w:rPr>
                        <w:t>Lack of adequate knowledge management and gender mainstreaming in policies and programs</w:t>
                      </w:r>
                    </w:p>
                  </w:txbxContent>
                </v:textbox>
                <w10:wrap type="through" anchorx="margin"/>
              </v:shape>
            </w:pict>
          </mc:Fallback>
        </mc:AlternateContent>
      </w:r>
      <w:r>
        <w:rPr>
          <w:noProof/>
        </w:rPr>
        <mc:AlternateContent>
          <mc:Choice Requires="wps">
            <w:drawing>
              <wp:anchor distT="0" distB="0" distL="114300" distR="114300" simplePos="0" relativeHeight="251670528" behindDoc="0" locked="0" layoutInCell="1" allowOverlap="1" wp14:anchorId="6A61FA68" wp14:editId="4BD04956">
                <wp:simplePos x="0" y="0"/>
                <wp:positionH relativeFrom="margin">
                  <wp:posOffset>2854325</wp:posOffset>
                </wp:positionH>
                <wp:positionV relativeFrom="paragraph">
                  <wp:posOffset>146685</wp:posOffset>
                </wp:positionV>
                <wp:extent cx="1403350" cy="445135"/>
                <wp:effectExtent l="0" t="0" r="25400" b="12065"/>
                <wp:wrapNone/>
                <wp:docPr id="154" name="Zone de texte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0" cy="445135"/>
                        </a:xfrm>
                        <a:prstGeom prst="rect">
                          <a:avLst/>
                        </a:prstGeom>
                        <a:solidFill>
                          <a:sysClr val="window" lastClr="FFFFFF"/>
                        </a:solidFill>
                        <a:ln w="25400" cap="flat" cmpd="sng" algn="ctr">
                          <a:solidFill>
                            <a:srgbClr val="FFFF00"/>
                          </a:solidFill>
                          <a:prstDash val="solid"/>
                        </a:ln>
                        <a:effectLst/>
                      </wps:spPr>
                      <wps:txbx>
                        <w:txbxContent>
                          <w:p w14:paraId="5B59A987" w14:textId="77777777" w:rsidR="00ED1ADA" w:rsidRDefault="00ED1ADA" w:rsidP="00302BFE">
                            <w:pPr>
                              <w:pStyle w:val="NormalWeb"/>
                              <w:spacing w:after="0"/>
                              <w:ind w:right="50"/>
                              <w:jc w:val="center"/>
                              <w:rPr>
                                <w:sz w:val="14"/>
                                <w:szCs w:val="14"/>
                                <w:lang w:val="en-CA"/>
                              </w:rPr>
                            </w:pPr>
                            <w:r>
                              <w:rPr>
                                <w:sz w:val="14"/>
                                <w:szCs w:val="14"/>
                                <w:lang w:val="en-CA"/>
                              </w:rPr>
                              <w:t>Lack of capacity and low efficiency of conservation area management</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6A61FA68" id="Zone de texte 154" o:spid="_x0000_s1070" type="#_x0000_t202" style="position:absolute;left:0;text-align:left;margin-left:224.75pt;margin-top:11.55pt;width:110.5pt;height:35.0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" fillcolor="window" strokecolor="yellow" strokeweight="2pt">
                <v:path arrowok="t"/>
                <v:textbox inset="3.38303mm,1.6915mm,3.38303mm,1.6915mm">
                  <w:txbxContent>
                    <w:p w14:paraId="5B59A987" w14:textId="77777777" w:rsidR="00ED1ADA" w:rsidRDefault="00ED1ADA" w:rsidP="00302BFE">
                      <w:pPr>
                        <w:pStyle w:val="NormalWeb"/>
                        <w:spacing w:after="0"/>
                        <w:ind w:right="50"/>
                        <w:jc w:val="center"/>
                        <w:rPr>
                          <w:sz w:val="14"/>
                          <w:szCs w:val="14"/>
                          <w:lang w:val="en-CA"/>
                        </w:rPr>
                      </w:pPr>
                      <w:r>
                        <w:rPr>
                          <w:sz w:val="14"/>
                          <w:szCs w:val="14"/>
                          <w:lang w:val="en-CA"/>
                        </w:rPr>
                        <w:t>Lack of capacity and low efficiency of conservation area management</w:t>
                      </w:r>
                    </w:p>
                  </w:txbxContent>
                </v:textbox>
                <w10:wrap anchorx="margin"/>
              </v:shape>
            </w:pict>
          </mc:Fallback>
        </mc:AlternateContent>
      </w:r>
      <w:r>
        <w:rPr>
          <w:noProof/>
        </w:rPr>
        <mc:AlternateContent>
          <mc:Choice Requires="wps">
            <w:drawing>
              <wp:anchor distT="0" distB="0" distL="114300" distR="114300" simplePos="0" relativeHeight="251688960" behindDoc="0" locked="0" layoutInCell="1" allowOverlap="1" wp14:anchorId="109A551E" wp14:editId="0BC01075">
                <wp:simplePos x="0" y="0"/>
                <wp:positionH relativeFrom="margin">
                  <wp:posOffset>4699000</wp:posOffset>
                </wp:positionH>
                <wp:positionV relativeFrom="paragraph">
                  <wp:posOffset>6350</wp:posOffset>
                </wp:positionV>
                <wp:extent cx="2476500" cy="628650"/>
                <wp:effectExtent l="0" t="0" r="19050" b="19050"/>
                <wp:wrapNone/>
                <wp:docPr id="83" name="Zone de texte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0" cy="628650"/>
                        </a:xfrm>
                        <a:prstGeom prst="rect">
                          <a:avLst/>
                        </a:prstGeom>
                        <a:solidFill>
                          <a:sysClr val="window" lastClr="FFFFFF"/>
                        </a:solidFill>
                        <a:ln w="25400" cap="flat" cmpd="sng" algn="ctr">
                          <a:solidFill>
                            <a:srgbClr val="FFFF00"/>
                          </a:solidFill>
                          <a:prstDash val="solid"/>
                        </a:ln>
                        <a:effectLst/>
                      </wps:spPr>
                      <wps:txbx>
                        <w:txbxContent>
                          <w:p w14:paraId="649A1F23" w14:textId="77777777" w:rsidR="00ED1ADA" w:rsidRDefault="00ED1ADA" w:rsidP="00302BFE">
                            <w:pPr>
                              <w:pStyle w:val="NormalWeb"/>
                              <w:spacing w:after="0"/>
                              <w:ind w:left="-180" w:right="-138"/>
                              <w:jc w:val="center"/>
                              <w:rPr>
                                <w:sz w:val="14"/>
                                <w:szCs w:val="14"/>
                                <w:lang w:val="en-CA"/>
                              </w:rPr>
                            </w:pPr>
                            <w:r>
                              <w:rPr>
                                <w:sz w:val="14"/>
                                <w:szCs w:val="14"/>
                                <w:lang w:val="en-CA"/>
                              </w:rPr>
                              <w:t>Lack of incentives for the conservation and sustainable management of land and natural resources for stakeholders, including local communities, and insufficient capacity to sustainably manage resources and develop adequate incentives</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109A551E" id="Zone de texte 83" o:spid="_x0000_s1071" type="#_x0000_t202" style="position:absolute;left:0;text-align:left;margin-left:370pt;margin-top:.5pt;width:195pt;height:49.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" fillcolor="window" strokecolor="yellow" strokeweight="2pt">
                <v:path arrowok="t"/>
                <v:textbox inset="3.38303mm,1.6915mm,3.38303mm,1.6915mm">
                  <w:txbxContent>
                    <w:p w14:paraId="649A1F23" w14:textId="77777777" w:rsidR="00ED1ADA" w:rsidRDefault="00ED1ADA" w:rsidP="00302BFE">
                      <w:pPr>
                        <w:pStyle w:val="NormalWeb"/>
                        <w:spacing w:after="0"/>
                        <w:ind w:left="-180" w:right="-138"/>
                        <w:jc w:val="center"/>
                        <w:rPr>
                          <w:sz w:val="14"/>
                          <w:szCs w:val="14"/>
                          <w:lang w:val="en-CA"/>
                        </w:rPr>
                      </w:pPr>
                      <w:r>
                        <w:rPr>
                          <w:sz w:val="14"/>
                          <w:szCs w:val="14"/>
                          <w:lang w:val="en-CA"/>
                        </w:rPr>
                        <w:t>Lack of incentives for the conservation and sustainable management of land and natural resources for stakeholders, including local communities, and insufficient capacity to sustainably manage resources and develop adequate incentives</w:t>
                      </w:r>
                    </w:p>
                  </w:txbxContent>
                </v:textbox>
                <w10:wrap anchorx="margin"/>
              </v:shape>
            </w:pict>
          </mc:Fallback>
        </mc:AlternateContent>
      </w:r>
      <w:r>
        <w:rPr>
          <w:noProof/>
        </w:rPr>
        <mc:AlternateContent>
          <mc:Choice Requires="wps">
            <w:drawing>
              <wp:anchor distT="0" distB="0" distL="114300" distR="114300" simplePos="0" relativeHeight="251671552" behindDoc="0" locked="0" layoutInCell="1" allowOverlap="1" wp14:anchorId="62440097" wp14:editId="65D78183">
                <wp:simplePos x="0" y="0"/>
                <wp:positionH relativeFrom="margin">
                  <wp:posOffset>374015</wp:posOffset>
                </wp:positionH>
                <wp:positionV relativeFrom="paragraph">
                  <wp:posOffset>114935</wp:posOffset>
                </wp:positionV>
                <wp:extent cx="2036445" cy="464185"/>
                <wp:effectExtent l="0" t="0" r="20955" b="12065"/>
                <wp:wrapNone/>
                <wp:docPr id="155" name="Zone de texte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6445" cy="464185"/>
                        </a:xfrm>
                        <a:prstGeom prst="rect">
                          <a:avLst/>
                        </a:prstGeom>
                        <a:solidFill>
                          <a:sysClr val="window" lastClr="FFFFFF"/>
                        </a:solidFill>
                        <a:ln w="25400" cap="flat" cmpd="sng" algn="ctr">
                          <a:solidFill>
                            <a:srgbClr val="FFFF00"/>
                          </a:solidFill>
                          <a:prstDash val="solid"/>
                        </a:ln>
                        <a:effectLst/>
                      </wps:spPr>
                      <wps:txbx>
                        <w:txbxContent>
                          <w:p w14:paraId="0B5A5806" w14:textId="77777777" w:rsidR="00ED1ADA" w:rsidRDefault="00ED1ADA" w:rsidP="00302BFE">
                            <w:pPr>
                              <w:pStyle w:val="NormalWeb"/>
                              <w:spacing w:after="0"/>
                              <w:ind w:right="50"/>
                              <w:jc w:val="center"/>
                              <w:rPr>
                                <w:sz w:val="14"/>
                                <w:szCs w:val="14"/>
                                <w:lang w:val="en-CA"/>
                              </w:rPr>
                            </w:pPr>
                            <w:r>
                              <w:rPr>
                                <w:sz w:val="14"/>
                                <w:szCs w:val="14"/>
                                <w:lang w:val="en-CA"/>
                              </w:rPr>
                              <w:t>Insufficient systemic and institutional capacity for integrated land-use governance at the landscape level</w:t>
                            </w:r>
                          </w:p>
                        </w:txbxContent>
                      </wps:txbx>
                      <wps:bodyPr wrap="square"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shape w14:anchorId="62440097" id="Zone de texte 155" o:spid="_x0000_s1072" type="#_x0000_t202" style="position:absolute;left:0;text-align:left;margin-left:29.45pt;margin-top:9.05pt;width:160.35pt;height:36.5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" fillcolor="window" strokecolor="yellow" strokeweight="2pt">
                <v:path arrowok="t"/>
                <v:textbox inset="3.38303mm,1.6915mm,3.38303mm,1.6915mm">
                  <w:txbxContent>
                    <w:p w14:paraId="0B5A5806" w14:textId="77777777" w:rsidR="00ED1ADA" w:rsidRDefault="00ED1ADA" w:rsidP="00302BFE">
                      <w:pPr>
                        <w:pStyle w:val="NormalWeb"/>
                        <w:spacing w:after="0"/>
                        <w:ind w:right="50"/>
                        <w:jc w:val="center"/>
                        <w:rPr>
                          <w:sz w:val="14"/>
                          <w:szCs w:val="14"/>
                          <w:lang w:val="en-CA"/>
                        </w:rPr>
                      </w:pPr>
                      <w:r>
                        <w:rPr>
                          <w:sz w:val="14"/>
                          <w:szCs w:val="14"/>
                          <w:lang w:val="en-CA"/>
                        </w:rPr>
                        <w:t>Insufficient systemic and institutional capacity for integrated land-use governance at the landscape level</w:t>
                      </w:r>
                    </w:p>
                  </w:txbxContent>
                </v:textbox>
                <w10:wrap anchorx="margin"/>
              </v:shape>
            </w:pict>
          </mc:Fallback>
        </mc:AlternateContent>
      </w:r>
    </w:p>
    <w:p w14:paraId="24064226" w14:textId="77777777" w:rsidR="00302BFE" w:rsidRDefault="00302BFE" w:rsidP="00302BFE">
      <w:pPr>
        <w:spacing w:after="0" w:line="220" w:lineRule="exact"/>
        <w:rPr>
          <w:rFonts w:ascii="Times New Roman" w:hAnsi="Times New Roman"/>
          <w:b/>
          <w:sz w:val="24"/>
          <w:lang w:val="en-CA"/>
        </w:rPr>
      </w:pPr>
    </w:p>
    <w:p w14:paraId="1F24613B" w14:textId="77777777" w:rsidR="00302BFE" w:rsidRDefault="00302BFE" w:rsidP="00302BFE">
      <w:pPr>
        <w:spacing w:after="0" w:line="220" w:lineRule="exact"/>
        <w:rPr>
          <w:rFonts w:ascii="Times New Roman" w:hAnsi="Times New Roman"/>
          <w:b/>
          <w:sz w:val="24"/>
          <w:lang w:val="en-CA"/>
        </w:rPr>
      </w:pPr>
    </w:p>
    <w:p w14:paraId="51B2DB77" w14:textId="77777777" w:rsidR="00302BFE" w:rsidRDefault="00302BFE" w:rsidP="00302BFE">
      <w:pPr>
        <w:spacing w:after="0" w:line="220" w:lineRule="exact"/>
        <w:rPr>
          <w:rFonts w:ascii="Times New Roman" w:hAnsi="Times New Roman"/>
          <w:b/>
          <w:sz w:val="24"/>
          <w:lang w:val="en-CA"/>
        </w:rPr>
      </w:pPr>
    </w:p>
    <w:p w14:paraId="559A4590" w14:textId="77777777" w:rsidR="00302BFE" w:rsidRDefault="00302BFE" w:rsidP="00302BFE">
      <w:pPr>
        <w:spacing w:after="0" w:line="220" w:lineRule="exact"/>
        <w:rPr>
          <w:rFonts w:ascii="Times New Roman" w:hAnsi="Times New Roman"/>
          <w:b/>
          <w:sz w:val="24"/>
          <w:lang w:val="en-CA"/>
        </w:rPr>
      </w:pPr>
      <w:r>
        <w:rPr>
          <w:noProof/>
        </w:rPr>
        <mc:AlternateContent>
          <mc:Choice Requires="wps">
            <w:drawing>
              <wp:anchor distT="0" distB="0" distL="36195" distR="36195" simplePos="0" relativeHeight="251664384" behindDoc="1" locked="0" layoutInCell="1" allowOverlap="0" wp14:anchorId="17906492" wp14:editId="196EF0AF">
                <wp:simplePos x="0" y="0"/>
                <wp:positionH relativeFrom="margin">
                  <wp:posOffset>-634365</wp:posOffset>
                </wp:positionH>
                <wp:positionV relativeFrom="paragraph">
                  <wp:posOffset>217170</wp:posOffset>
                </wp:positionV>
                <wp:extent cx="856615" cy="374015"/>
                <wp:effectExtent l="0" t="0" r="19685" b="26035"/>
                <wp:wrapTight wrapText="bothSides">
                  <wp:wrapPolygon edited="0">
                    <wp:start x="0" y="0"/>
                    <wp:lineTo x="0" y="22003"/>
                    <wp:lineTo x="21616" y="22003"/>
                    <wp:lineTo x="21616" y="0"/>
                    <wp:lineTo x="0" y="0"/>
                  </wp:wrapPolygon>
                </wp:wrapTight>
                <wp:docPr id="160"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5355" cy="374015"/>
                        </a:xfrm>
                        <a:prstGeom prst="rect">
                          <a:avLst/>
                        </a:prstGeom>
                        <a:solidFill>
                          <a:sysClr val="window" lastClr="FFFFFF"/>
                        </a:solidFill>
                        <a:ln w="25400" cap="flat" cmpd="sng" algn="ctr">
                          <a:solidFill>
                            <a:srgbClr val="C0504D"/>
                          </a:solidFill>
                          <a:prstDash val="solid"/>
                        </a:ln>
                        <a:effectLst/>
                      </wps:spPr>
                      <wps:txbx>
                        <w:txbxContent>
                          <w:p w14:paraId="383DD102" w14:textId="77777777" w:rsidR="00ED1ADA" w:rsidRDefault="00ED1ADA" w:rsidP="00302BFE">
                            <w:pPr>
                              <w:pStyle w:val="NormalWeb"/>
                              <w:spacing w:after="0"/>
                              <w:jc w:val="center"/>
                              <w:rPr>
                                <w:sz w:val="16"/>
                                <w:szCs w:val="16"/>
                                <w:lang w:val="fr-CA"/>
                              </w:rPr>
                            </w:pPr>
                            <w:r>
                              <w:rPr>
                                <w:b/>
                                <w:bCs/>
                                <w:color w:val="000000"/>
                                <w:kern w:val="24"/>
                                <w:sz w:val="16"/>
                                <w:szCs w:val="16"/>
                              </w:rPr>
                              <w:t>Development Challenge</w:t>
                            </w:r>
                          </w:p>
                        </w:txbxContent>
                      </wps:txbx>
                      <wps:bodyPr wrap="square"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rect w14:anchorId="17906492" id="Rectangle 160" o:spid="_x0000_s1073" style="position:absolute;left:0;text-align:left;margin-left:-49.95pt;margin-top:17.1pt;width:67.45pt;height:29.45pt;z-index:-251652096;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" o:allowoverlap="f" fillcolor="window" strokecolor="#c0504d" strokeweight="2pt">
                <v:path arrowok="t"/>
                <v:textbox inset="3.38303mm,1.6915mm,3.38303mm,1.6915mm">
                  <w:txbxContent>
                    <w:p w14:paraId="383DD102" w14:textId="77777777" w:rsidR="00ED1ADA" w:rsidRDefault="00ED1ADA" w:rsidP="00302BFE">
                      <w:pPr>
                        <w:pStyle w:val="NormalWeb"/>
                        <w:spacing w:after="0"/>
                        <w:jc w:val="center"/>
                        <w:rPr>
                          <w:sz w:val="16"/>
                          <w:szCs w:val="16"/>
                          <w:lang w:val="fr-CA"/>
                        </w:rPr>
                      </w:pPr>
                      <w:r>
                        <w:rPr>
                          <w:b/>
                          <w:bCs/>
                          <w:color w:val="000000"/>
                          <w:kern w:val="24"/>
                          <w:sz w:val="16"/>
                          <w:szCs w:val="16"/>
                        </w:rPr>
                        <w:t>Development Challenge</w:t>
                      </w:r>
                    </w:p>
                  </w:txbxContent>
                </v:textbox>
                <w10:wrap type="tight" anchorx="margin"/>
              </v:rect>
            </w:pict>
          </mc:Fallback>
        </mc:AlternateContent>
      </w:r>
    </w:p>
    <w:p w14:paraId="1A6B7D48" w14:textId="77777777" w:rsidR="00302BFE" w:rsidRDefault="00302BFE" w:rsidP="00302BFE">
      <w:pPr>
        <w:spacing w:after="0" w:line="220" w:lineRule="exact"/>
        <w:rPr>
          <w:rFonts w:ascii="Times New Roman" w:hAnsi="Times New Roman"/>
          <w:b/>
          <w:sz w:val="24"/>
          <w:lang w:val="en-CA"/>
        </w:rPr>
      </w:pPr>
      <w:r>
        <w:rPr>
          <w:noProof/>
        </w:rPr>
        <mc:AlternateContent>
          <mc:Choice Requires="wps">
            <w:drawing>
              <wp:anchor distT="0" distB="0" distL="114300" distR="114300" simplePos="0" relativeHeight="251663360" behindDoc="1" locked="0" layoutInCell="1" allowOverlap="1" wp14:anchorId="50143387" wp14:editId="3209A699">
                <wp:simplePos x="0" y="0"/>
                <wp:positionH relativeFrom="margin">
                  <wp:posOffset>819150</wp:posOffset>
                </wp:positionH>
                <wp:positionV relativeFrom="paragraph">
                  <wp:posOffset>82550</wp:posOffset>
                </wp:positionV>
                <wp:extent cx="7577455" cy="361950"/>
                <wp:effectExtent l="0" t="0" r="23495" b="19050"/>
                <wp:wrapSquare wrapText="bothSides"/>
                <wp:docPr id="149" name="Zone de texte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77455" cy="361950"/>
                        </a:xfrm>
                        <a:prstGeom prst="rect">
                          <a:avLst/>
                        </a:prstGeom>
                        <a:solidFill>
                          <a:sysClr val="window" lastClr="FFFFFF"/>
                        </a:solidFill>
                        <a:ln w="25400" cap="flat" cmpd="sng" algn="ctr">
                          <a:solidFill>
                            <a:srgbClr val="C0504D"/>
                          </a:solidFill>
                          <a:prstDash val="solid"/>
                        </a:ln>
                        <a:effectLst/>
                      </wps:spPr>
                      <wps:txbx>
                        <w:txbxContent>
                          <w:p w14:paraId="19E57B92" w14:textId="77777777" w:rsidR="00ED1ADA" w:rsidRDefault="00ED1ADA" w:rsidP="00302BFE">
                            <w:pPr>
                              <w:pStyle w:val="NormalWeb"/>
                              <w:spacing w:after="0"/>
                              <w:ind w:left="-113" w:right="-142"/>
                              <w:jc w:val="center"/>
                              <w:rPr>
                                <w:sz w:val="14"/>
                                <w:szCs w:val="14"/>
                                <w:lang w:val="en-CA"/>
                              </w:rPr>
                            </w:pPr>
                            <w:r>
                              <w:rPr>
                                <w:sz w:val="14"/>
                                <w:szCs w:val="14"/>
                                <w:lang w:val="en-CA"/>
                              </w:rPr>
                              <w:t>Apply a landscape management approach to preserve the integrity of ecosystem services and the richness of biodiversity, by designing a management framework to establish synergies and offsets between landscape units, improving the efficiency of the ecosystem management of protected areas and introducing a series of sustainable management practices that will have multiple benefits.</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50143387" id="Zone de texte 149" o:spid="_x0000_s1074" type="#_x0000_t202" style="position:absolute;left:0;text-align:left;margin-left:64.5pt;margin-top:6.5pt;width:596.65pt;height:28.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" fillcolor="window" strokecolor="#c0504d" strokeweight="2pt">
                <v:path arrowok="t"/>
                <v:textbox inset="3.38303mm,1.6915mm,3.38303mm,1.6915mm">
                  <w:txbxContent>
                    <w:p w14:paraId="19E57B92" w14:textId="77777777" w:rsidR="00ED1ADA" w:rsidRDefault="00ED1ADA" w:rsidP="00302BFE">
                      <w:pPr>
                        <w:pStyle w:val="NormalWeb"/>
                        <w:spacing w:after="0"/>
                        <w:ind w:left="-113" w:right="-142"/>
                        <w:jc w:val="center"/>
                        <w:rPr>
                          <w:sz w:val="14"/>
                          <w:szCs w:val="14"/>
                          <w:lang w:val="en-CA"/>
                        </w:rPr>
                      </w:pPr>
                      <w:r>
                        <w:rPr>
                          <w:sz w:val="14"/>
                          <w:szCs w:val="14"/>
                          <w:lang w:val="en-CA"/>
                        </w:rPr>
                        <w:t>Apply a landscape management approach to preserve the integrity of ecosystem services and the richness of biodiversity, by designing a management framework to establish synergies and offsets between landscape units, improving the efficiency of the ecosystem management of protected areas and introducing a series of sustainable management practices that will have multiple benefits.</w:t>
                      </w:r>
                    </w:p>
                  </w:txbxContent>
                </v:textbox>
                <w10:wrap type="square" anchorx="margin"/>
              </v:shape>
            </w:pict>
          </mc:Fallback>
        </mc:AlternateContent>
      </w:r>
    </w:p>
    <w:p w14:paraId="28B1F013" w14:textId="77777777" w:rsidR="00302BFE" w:rsidRDefault="00302BFE" w:rsidP="00302BFE">
      <w:pPr>
        <w:spacing w:after="0" w:line="220" w:lineRule="exact"/>
        <w:rPr>
          <w:rFonts w:ascii="Times New Roman" w:hAnsi="Times New Roman"/>
          <w:b/>
          <w:sz w:val="24"/>
          <w:lang w:val="en-CA"/>
        </w:rPr>
      </w:pPr>
    </w:p>
    <w:p w14:paraId="4D53D63A" w14:textId="77777777" w:rsidR="00302BFE" w:rsidRDefault="00302BFE" w:rsidP="00302BFE">
      <w:pPr>
        <w:spacing w:after="0" w:line="220" w:lineRule="exact"/>
        <w:rPr>
          <w:rFonts w:ascii="Times New Roman" w:hAnsi="Times New Roman"/>
          <w:b/>
          <w:sz w:val="24"/>
          <w:lang w:val="en-CA"/>
        </w:rPr>
      </w:pPr>
    </w:p>
    <w:p w14:paraId="244E5A4B" w14:textId="77777777" w:rsidR="00302BFE" w:rsidRDefault="00302BFE" w:rsidP="00302BFE">
      <w:pPr>
        <w:spacing w:after="0" w:line="220" w:lineRule="exact"/>
        <w:rPr>
          <w:rFonts w:ascii="Times New Roman" w:hAnsi="Times New Roman"/>
          <w:b/>
          <w:sz w:val="24"/>
          <w:lang w:val="en-CA"/>
        </w:rPr>
      </w:pPr>
      <w:r>
        <w:rPr>
          <w:noProof/>
        </w:rPr>
        <mc:AlternateContent>
          <mc:Choice Requires="wpg">
            <w:drawing>
              <wp:anchor distT="0" distB="0" distL="114300" distR="114300" simplePos="0" relativeHeight="251689984" behindDoc="0" locked="0" layoutInCell="1" allowOverlap="1" wp14:anchorId="37490C48" wp14:editId="0868F1B0">
                <wp:simplePos x="0" y="0"/>
                <wp:positionH relativeFrom="column">
                  <wp:posOffset>-712470</wp:posOffset>
                </wp:positionH>
                <wp:positionV relativeFrom="paragraph">
                  <wp:posOffset>175260</wp:posOffset>
                </wp:positionV>
                <wp:extent cx="9425940" cy="476885"/>
                <wp:effectExtent l="0" t="0" r="22860" b="18415"/>
                <wp:wrapNone/>
                <wp:docPr id="77" name="Groupe 77"/>
                <wp:cNvGraphicFramePr/>
                <a:graphic xmlns:a="http://schemas.openxmlformats.org/drawingml/2006/main">
                  <a:graphicData uri="http://schemas.microsoft.com/office/word/2010/wordprocessingGroup">
                    <wpg:wgp>
                      <wpg:cNvGrpSpPr/>
                      <wpg:grpSpPr bwMode="auto">
                        <a:xfrm>
                          <a:off x="0" y="0"/>
                          <a:ext cx="9425940" cy="476885"/>
                          <a:chOff x="0" y="0"/>
                          <a:chExt cx="9426023" cy="477474"/>
                        </a:xfrm>
                      </wpg:grpSpPr>
                      <wps:wsp>
                        <wps:cNvPr id="78" name="TextBox 3"/>
                        <wps:cNvSpPr txBox="1">
                          <a:spLocks/>
                        </wps:cNvSpPr>
                        <wps:spPr bwMode="auto">
                          <a:xfrm>
                            <a:off x="8455450" y="34423"/>
                            <a:ext cx="970573" cy="435094"/>
                          </a:xfrm>
                          <a:prstGeom prst="rect">
                            <a:avLst/>
                          </a:prstGeom>
                          <a:solidFill>
                            <a:srgbClr val="FFFFFF"/>
                          </a:solidFill>
                          <a:ln w="25400" algn="ctr">
                            <a:solidFill>
                              <a:srgbClr val="00B050"/>
                            </a:solidFill>
                            <a:miter lim="800000"/>
                            <a:headEnd/>
                            <a:tailEnd/>
                          </a:ln>
                        </wps:spPr>
                        <wps:txbx>
                          <w:txbxContent>
                            <w:p w14:paraId="20EC7660" w14:textId="77777777" w:rsidR="00ED1ADA" w:rsidRDefault="00ED1ADA" w:rsidP="00302BFE">
                              <w:pPr>
                                <w:pStyle w:val="NormalWeb"/>
                                <w:spacing w:after="0"/>
                                <w:ind w:left="-90" w:right="-47"/>
                                <w:jc w:val="center"/>
                                <w:rPr>
                                  <w:sz w:val="16"/>
                                  <w:szCs w:val="16"/>
                                  <w:lang w:val="fr-CA"/>
                                </w:rPr>
                              </w:pPr>
                              <w:r>
                                <w:rPr>
                                  <w:b/>
                                  <w:sz w:val="16"/>
                                  <w:szCs w:val="16"/>
                                </w:rPr>
                                <w:t>Climate change</w:t>
                              </w:r>
                            </w:p>
                          </w:txbxContent>
                        </wps:txbx>
                        <wps:bodyPr rot="0" vert="horz" wrap="square" lIns="121789" tIns="60894" rIns="121789" bIns="60894" anchor="ctr" anchorCtr="0" upright="1">
                          <a:noAutofit/>
                        </wps:bodyPr>
                      </wps:wsp>
                      <wps:wsp>
                        <wps:cNvPr id="79" name="TextBox 15"/>
                        <wps:cNvSpPr txBox="1">
                          <a:spLocks/>
                        </wps:cNvSpPr>
                        <wps:spPr bwMode="auto">
                          <a:xfrm>
                            <a:off x="3080170" y="17778"/>
                            <a:ext cx="1845508" cy="451581"/>
                          </a:xfrm>
                          <a:prstGeom prst="rect">
                            <a:avLst/>
                          </a:prstGeom>
                          <a:solidFill>
                            <a:srgbClr val="FFFFFF"/>
                          </a:solidFill>
                          <a:ln w="25400" algn="ctr">
                            <a:solidFill>
                              <a:srgbClr val="00B050"/>
                            </a:solidFill>
                            <a:miter lim="800000"/>
                            <a:headEnd/>
                            <a:tailEnd/>
                          </a:ln>
                        </wps:spPr>
                        <wps:txbx>
                          <w:txbxContent>
                            <w:p w14:paraId="71074656" w14:textId="77777777" w:rsidR="00ED1ADA" w:rsidRDefault="00ED1ADA" w:rsidP="00302BFE">
                              <w:pPr>
                                <w:pStyle w:val="NormalWeb"/>
                                <w:spacing w:after="0"/>
                                <w:ind w:left="-72" w:right="-72"/>
                                <w:jc w:val="center"/>
                                <w:rPr>
                                  <w:sz w:val="16"/>
                                  <w:szCs w:val="16"/>
                                  <w:lang w:val="en-CA"/>
                                </w:rPr>
                              </w:pPr>
                              <w:r>
                                <w:rPr>
                                  <w:b/>
                                  <w:sz w:val="16"/>
                                  <w:szCs w:val="16"/>
                                  <w:lang w:val="en-CA"/>
                                </w:rPr>
                                <w:t>Unsustainable agro-forestry-pastoral and land management practices</w:t>
                              </w:r>
                            </w:p>
                          </w:txbxContent>
                        </wps:txbx>
                        <wps:bodyPr rot="0" vert="horz" wrap="square" lIns="121789" tIns="60894" rIns="121789" bIns="60894" anchor="ctr" anchorCtr="0" upright="1">
                          <a:noAutofit/>
                        </wps:bodyPr>
                      </wps:wsp>
                      <wps:wsp>
                        <wps:cNvPr id="80" name="3 Rectángulo"/>
                        <wps:cNvSpPr>
                          <a:spLocks/>
                        </wps:cNvSpPr>
                        <wps:spPr bwMode="auto">
                          <a:xfrm>
                            <a:off x="0" y="34409"/>
                            <a:ext cx="938151" cy="410757"/>
                          </a:xfrm>
                          <a:prstGeom prst="rect">
                            <a:avLst/>
                          </a:prstGeom>
                          <a:solidFill>
                            <a:srgbClr val="FFFFFF"/>
                          </a:solidFill>
                          <a:ln w="25400" algn="ctr">
                            <a:solidFill>
                              <a:srgbClr val="00B050"/>
                            </a:solidFill>
                            <a:miter lim="800000"/>
                            <a:headEnd/>
                            <a:tailEnd/>
                          </a:ln>
                        </wps:spPr>
                        <wps:txbx>
                          <w:txbxContent>
                            <w:p w14:paraId="2298745E" w14:textId="77777777" w:rsidR="00ED1ADA" w:rsidRDefault="00ED1ADA" w:rsidP="00302BFE">
                              <w:pPr>
                                <w:pStyle w:val="NormalWeb"/>
                                <w:spacing w:after="0"/>
                                <w:jc w:val="center"/>
                                <w:rPr>
                                  <w:b/>
                                  <w:bCs/>
                                  <w:color w:val="000000"/>
                                  <w:kern w:val="24"/>
                                  <w:sz w:val="16"/>
                                  <w:szCs w:val="16"/>
                                  <w:lang w:val="fr-CA"/>
                                </w:rPr>
                              </w:pPr>
                              <w:r>
                                <w:rPr>
                                  <w:b/>
                                  <w:bCs/>
                                  <w:color w:val="000000"/>
                                  <w:kern w:val="24"/>
                                  <w:sz w:val="16"/>
                                  <w:szCs w:val="16"/>
                                </w:rPr>
                                <w:t>Environmental problems</w:t>
                              </w:r>
                            </w:p>
                          </w:txbxContent>
                        </wps:txbx>
                        <wps:bodyPr rot="0" vert="horz" wrap="square" lIns="121789" tIns="60894" rIns="121789" bIns="60894" anchor="ctr" anchorCtr="0" upright="1">
                          <a:noAutofit/>
                        </wps:bodyPr>
                      </wps:wsp>
                      <wps:wsp>
                        <wps:cNvPr id="81" name="TextBox 15"/>
                        <wps:cNvSpPr txBox="1">
                          <a:spLocks/>
                        </wps:cNvSpPr>
                        <wps:spPr bwMode="auto">
                          <a:xfrm>
                            <a:off x="1093146" y="0"/>
                            <a:ext cx="1757054" cy="477474"/>
                          </a:xfrm>
                          <a:prstGeom prst="rect">
                            <a:avLst/>
                          </a:prstGeom>
                          <a:solidFill>
                            <a:srgbClr val="FFFFFF"/>
                          </a:solidFill>
                          <a:ln w="25400" algn="ctr">
                            <a:solidFill>
                              <a:srgbClr val="00B050"/>
                            </a:solidFill>
                            <a:miter lim="800000"/>
                            <a:headEnd/>
                            <a:tailEnd/>
                          </a:ln>
                        </wps:spPr>
                        <wps:txbx>
                          <w:txbxContent>
                            <w:p w14:paraId="33B06668" w14:textId="77777777" w:rsidR="00ED1ADA" w:rsidRDefault="00ED1ADA" w:rsidP="00302BFE">
                              <w:pPr>
                                <w:pStyle w:val="NormalWeb"/>
                                <w:spacing w:after="0"/>
                                <w:jc w:val="center"/>
                                <w:rPr>
                                  <w:sz w:val="16"/>
                                  <w:szCs w:val="16"/>
                                  <w:lang w:val="fr-CA"/>
                                </w:rPr>
                              </w:pPr>
                              <w:r>
                                <w:rPr>
                                  <w:b/>
                                  <w:sz w:val="16"/>
                                  <w:szCs w:val="16"/>
                                  <w:lang w:val="fr-CA"/>
                                </w:rPr>
                                <w:t>Habitat loss and degradation</w:t>
                              </w:r>
                            </w:p>
                          </w:txbxContent>
                        </wps:txbx>
                        <wps:bodyPr rot="0" vert="horz" wrap="square" lIns="121789" tIns="60894" rIns="121789" bIns="60894" anchor="ctr" anchorCtr="0" upright="1">
                          <a:noAutofit/>
                        </wps:bodyPr>
                      </wps:wsp>
                      <wps:wsp>
                        <wps:cNvPr id="82" name="TextBox 3"/>
                        <wps:cNvSpPr txBox="1">
                          <a:spLocks/>
                        </wps:cNvSpPr>
                        <wps:spPr bwMode="auto">
                          <a:xfrm>
                            <a:off x="5132408" y="17789"/>
                            <a:ext cx="1582310" cy="427744"/>
                          </a:xfrm>
                          <a:prstGeom prst="rect">
                            <a:avLst/>
                          </a:prstGeom>
                          <a:solidFill>
                            <a:srgbClr val="FFFFFF"/>
                          </a:solidFill>
                          <a:ln w="25400" algn="ctr">
                            <a:solidFill>
                              <a:srgbClr val="00B050"/>
                            </a:solidFill>
                            <a:miter lim="800000"/>
                            <a:headEnd/>
                            <a:tailEnd/>
                          </a:ln>
                        </wps:spPr>
                        <wps:txbx>
                          <w:txbxContent>
                            <w:p w14:paraId="16487F61" w14:textId="77777777" w:rsidR="00ED1ADA" w:rsidRDefault="00ED1ADA" w:rsidP="00302BFE">
                              <w:pPr>
                                <w:pStyle w:val="NormalWeb"/>
                                <w:spacing w:after="0"/>
                                <w:jc w:val="center"/>
                                <w:rPr>
                                  <w:i/>
                                  <w:sz w:val="16"/>
                                  <w:szCs w:val="16"/>
                                </w:rPr>
                              </w:pPr>
                              <w:r>
                                <w:rPr>
                                  <w:b/>
                                  <w:sz w:val="16"/>
                                  <w:szCs w:val="16"/>
                                </w:rPr>
                                <w:t>Overexploitation of natural resources</w:t>
                              </w:r>
                            </w:p>
                          </w:txbxContent>
                        </wps:txbx>
                        <wps:bodyPr rot="0" vert="horz" wrap="square" lIns="121789" tIns="60894" rIns="121789" bIns="60894"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37490C48" id="Groupe 77" o:spid="_x0000_s1075" style="position:absolute;left:0;text-align:left;margin-left:-56.1pt;margin-top:13.8pt;width:742.2pt;height:37.55pt;z-index:251689984;mso-height-relative:margin" coordsize="94260,4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">
                <v:shape id="TextBox 3" o:spid="_x0000_s1076" type="#_x0000_t202" style="position:absolute;left:84554;top:344;width:9706;height:43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" strokecolor="#00b050" strokeweight="2pt">
                  <v:path arrowok="t"/>
                  <v:textbox inset="3.38303mm,1.6915mm,3.38303mm,1.6915mm">
                    <w:txbxContent>
                      <w:p w14:paraId="20EC7660" w14:textId="77777777" w:rsidR="00ED1ADA" w:rsidRDefault="00ED1ADA" w:rsidP="00302BFE">
                        <w:pPr>
                          <w:pStyle w:val="NormalWeb"/>
                          <w:spacing w:after="0"/>
                          <w:ind w:left="-90" w:right="-47"/>
                          <w:jc w:val="center"/>
                          <w:rPr>
                            <w:sz w:val="16"/>
                            <w:szCs w:val="16"/>
                            <w:lang w:val="fr-CA"/>
                          </w:rPr>
                        </w:pPr>
                        <w:r>
                          <w:rPr>
                            <w:b/>
                            <w:sz w:val="16"/>
                            <w:szCs w:val="16"/>
                          </w:rPr>
                          <w:t>Climate change</w:t>
                        </w:r>
                      </w:p>
                    </w:txbxContent>
                  </v:textbox>
                </v:shape>
                <v:shape id="TextBox 15" o:spid="_x0000_s1077" type="#_x0000_t202" style="position:absolute;left:30801;top:177;width:18455;height:4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" strokecolor="#00b050" strokeweight="2pt">
                  <v:path arrowok="t"/>
                  <v:textbox inset="3.38303mm,1.6915mm,3.38303mm,1.6915mm">
                    <w:txbxContent>
                      <w:p w14:paraId="71074656" w14:textId="77777777" w:rsidR="00ED1ADA" w:rsidRDefault="00ED1ADA" w:rsidP="00302BFE">
                        <w:pPr>
                          <w:pStyle w:val="NormalWeb"/>
                          <w:spacing w:after="0"/>
                          <w:ind w:left="-72" w:right="-72"/>
                          <w:jc w:val="center"/>
                          <w:rPr>
                            <w:sz w:val="16"/>
                            <w:szCs w:val="16"/>
                            <w:lang w:val="en-CA"/>
                          </w:rPr>
                        </w:pPr>
                        <w:r>
                          <w:rPr>
                            <w:b/>
                            <w:sz w:val="16"/>
                            <w:szCs w:val="16"/>
                            <w:lang w:val="en-CA"/>
                          </w:rPr>
                          <w:t>Unsustainable agro-forestry-pastoral and land management practices</w:t>
                        </w:r>
                      </w:p>
                    </w:txbxContent>
                  </v:textbox>
                </v:shape>
                <v:rect id="3 Rectángulo" o:spid="_x0000_s1078" style="position:absolute;top:344;width:9381;height:41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" strokecolor="#00b050" strokeweight="2pt">
                  <v:path arrowok="t"/>
                  <v:textbox inset="3.38303mm,1.6915mm,3.38303mm,1.6915mm">
                    <w:txbxContent>
                      <w:p w14:paraId="2298745E" w14:textId="77777777" w:rsidR="00ED1ADA" w:rsidRDefault="00ED1ADA" w:rsidP="00302BFE">
                        <w:pPr>
                          <w:pStyle w:val="NormalWeb"/>
                          <w:spacing w:after="0"/>
                          <w:jc w:val="center"/>
                          <w:rPr>
                            <w:b/>
                            <w:bCs/>
                            <w:color w:val="000000"/>
                            <w:kern w:val="24"/>
                            <w:sz w:val="16"/>
                            <w:szCs w:val="16"/>
                            <w:lang w:val="fr-CA"/>
                          </w:rPr>
                        </w:pPr>
                        <w:r>
                          <w:rPr>
                            <w:b/>
                            <w:bCs/>
                            <w:color w:val="000000"/>
                            <w:kern w:val="24"/>
                            <w:sz w:val="16"/>
                            <w:szCs w:val="16"/>
                          </w:rPr>
                          <w:t>Environmental problems</w:t>
                        </w:r>
                      </w:p>
                    </w:txbxContent>
                  </v:textbox>
                </v:rect>
                <v:shape id="TextBox 15" o:spid="_x0000_s1079" type="#_x0000_t202" style="position:absolute;left:10931;width:17571;height:4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" strokecolor="#00b050" strokeweight="2pt">
                  <v:path arrowok="t"/>
                  <v:textbox inset="3.38303mm,1.6915mm,3.38303mm,1.6915mm">
                    <w:txbxContent>
                      <w:p w14:paraId="33B06668" w14:textId="77777777" w:rsidR="00ED1ADA" w:rsidRDefault="00ED1ADA" w:rsidP="00302BFE">
                        <w:pPr>
                          <w:pStyle w:val="NormalWeb"/>
                          <w:spacing w:after="0"/>
                          <w:jc w:val="center"/>
                          <w:rPr>
                            <w:sz w:val="16"/>
                            <w:szCs w:val="16"/>
                            <w:lang w:val="fr-CA"/>
                          </w:rPr>
                        </w:pPr>
                        <w:r>
                          <w:rPr>
                            <w:b/>
                            <w:sz w:val="16"/>
                            <w:szCs w:val="16"/>
                            <w:lang w:val="fr-CA"/>
                          </w:rPr>
                          <w:t>Habitat loss and degradation</w:t>
                        </w:r>
                      </w:p>
                    </w:txbxContent>
                  </v:textbox>
                </v:shape>
                <v:shape id="TextBox 3" o:spid="_x0000_s1080" type="#_x0000_t202" style="position:absolute;left:51324;top:177;width:15823;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" strokecolor="#00b050" strokeweight="2pt">
                  <v:path arrowok="t"/>
                  <v:textbox inset="3.38303mm,1.6915mm,3.38303mm,1.6915mm">
                    <w:txbxContent>
                      <w:p w14:paraId="16487F61" w14:textId="77777777" w:rsidR="00ED1ADA" w:rsidRDefault="00ED1ADA" w:rsidP="00302BFE">
                        <w:pPr>
                          <w:pStyle w:val="NormalWeb"/>
                          <w:spacing w:after="0"/>
                          <w:jc w:val="center"/>
                          <w:rPr>
                            <w:i/>
                            <w:sz w:val="16"/>
                            <w:szCs w:val="16"/>
                          </w:rPr>
                        </w:pPr>
                        <w:r>
                          <w:rPr>
                            <w:b/>
                            <w:sz w:val="16"/>
                            <w:szCs w:val="16"/>
                          </w:rPr>
                          <w:t>Overexploitation of natural resources</w:t>
                        </w:r>
                      </w:p>
                    </w:txbxContent>
                  </v:textbox>
                </v:shape>
              </v:group>
            </w:pict>
          </mc:Fallback>
        </mc:AlternateContent>
      </w:r>
      <w:r>
        <w:rPr>
          <w:noProof/>
        </w:rPr>
        <mc:AlternateContent>
          <mc:Choice Requires="wps">
            <w:drawing>
              <wp:anchor distT="0" distB="0" distL="114300" distR="114300" simplePos="0" relativeHeight="251717632" behindDoc="0" locked="0" layoutInCell="1" allowOverlap="1" wp14:anchorId="3D0CA403" wp14:editId="28FCCDF9">
                <wp:simplePos x="0" y="0"/>
                <wp:positionH relativeFrom="column">
                  <wp:posOffset>6138545</wp:posOffset>
                </wp:positionH>
                <wp:positionV relativeFrom="paragraph">
                  <wp:posOffset>166370</wp:posOffset>
                </wp:positionV>
                <wp:extent cx="1471295" cy="429260"/>
                <wp:effectExtent l="0" t="0" r="14605" b="27940"/>
                <wp:wrapNone/>
                <wp:docPr id="76" name="Zone de texte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71295" cy="429260"/>
                        </a:xfrm>
                        <a:prstGeom prst="rect">
                          <a:avLst/>
                        </a:prstGeom>
                        <a:solidFill>
                          <a:srgbClr val="FFFFFF"/>
                        </a:solidFill>
                        <a:ln w="25400" algn="ctr">
                          <a:solidFill>
                            <a:srgbClr val="00B050"/>
                          </a:solidFill>
                          <a:miter lim="800000"/>
                          <a:headEnd/>
                          <a:tailEnd/>
                        </a:ln>
                      </wps:spPr>
                      <wps:txbx>
                        <w:txbxContent>
                          <w:p w14:paraId="44FCDD25" w14:textId="77777777" w:rsidR="00ED1ADA" w:rsidRDefault="00ED1ADA" w:rsidP="00302BFE">
                            <w:pPr>
                              <w:pStyle w:val="NormalWeb"/>
                              <w:spacing w:after="0"/>
                              <w:ind w:left="-90" w:right="-47"/>
                              <w:jc w:val="center"/>
                              <w:rPr>
                                <w:sz w:val="16"/>
                                <w:szCs w:val="16"/>
                              </w:rPr>
                            </w:pPr>
                            <w:r>
                              <w:rPr>
                                <w:b/>
                                <w:sz w:val="16"/>
                                <w:szCs w:val="16"/>
                              </w:rPr>
                              <w:t>Industrial and artisanal mining activities</w:t>
                            </w:r>
                          </w:p>
                        </w:txbxContent>
                      </wps:txbx>
                      <wps:bodyPr rot="0" vert="horz" wrap="square" lIns="121789" tIns="60894" rIns="121789" bIns="60894"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D0CA403" id="Zone de texte 76" o:spid="_x0000_s1081" type="#_x0000_t202" style="position:absolute;left:0;text-align:left;margin-left:483.35pt;margin-top:13.1pt;width:115.85pt;height:33.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" strokecolor="#00b050" strokeweight="2pt">
                <v:path arrowok="t"/>
                <v:textbox inset="3.38303mm,1.6915mm,3.38303mm,1.6915mm">
                  <w:txbxContent>
                    <w:p w14:paraId="44FCDD25" w14:textId="77777777" w:rsidR="00ED1ADA" w:rsidRDefault="00ED1ADA" w:rsidP="00302BFE">
                      <w:pPr>
                        <w:pStyle w:val="NormalWeb"/>
                        <w:spacing w:after="0"/>
                        <w:ind w:left="-90" w:right="-47"/>
                        <w:jc w:val="center"/>
                        <w:rPr>
                          <w:sz w:val="16"/>
                          <w:szCs w:val="16"/>
                        </w:rPr>
                      </w:pPr>
                      <w:r>
                        <w:rPr>
                          <w:b/>
                          <w:sz w:val="16"/>
                          <w:szCs w:val="16"/>
                        </w:rPr>
                        <w:t>Industrial and artisanal mining activities</w:t>
                      </w:r>
                    </w:p>
                  </w:txbxContent>
                </v:textbox>
              </v:shape>
            </w:pict>
          </mc:Fallback>
        </mc:AlternateContent>
      </w:r>
    </w:p>
    <w:p w14:paraId="6CEAC64F" w14:textId="77777777" w:rsidR="00302BFE" w:rsidRDefault="00302BFE" w:rsidP="00302BFE">
      <w:pPr>
        <w:spacing w:after="0" w:line="220" w:lineRule="exact"/>
        <w:rPr>
          <w:rFonts w:ascii="Times New Roman" w:hAnsi="Times New Roman"/>
          <w:b/>
          <w:sz w:val="24"/>
          <w:lang w:val="en-CA"/>
        </w:rPr>
      </w:pPr>
    </w:p>
    <w:p w14:paraId="05C6C774" w14:textId="77777777" w:rsidR="00302BFE" w:rsidRDefault="00302BFE" w:rsidP="00302BFE">
      <w:pPr>
        <w:spacing w:after="0" w:line="220" w:lineRule="exact"/>
        <w:rPr>
          <w:rFonts w:ascii="Times New Roman" w:hAnsi="Times New Roman"/>
          <w:b/>
          <w:sz w:val="24"/>
          <w:lang w:val="en-CA"/>
        </w:rPr>
      </w:pPr>
    </w:p>
    <w:p w14:paraId="35DE5F45" w14:textId="77777777" w:rsidR="00302BFE" w:rsidRDefault="00302BFE" w:rsidP="00302BFE">
      <w:pPr>
        <w:spacing w:after="0"/>
        <w:jc w:val="left"/>
        <w:rPr>
          <w:rFonts w:cs="Calibri"/>
          <w:szCs w:val="20"/>
          <w:lang w:val="en-CA"/>
        </w:rPr>
        <w:sectPr w:rsidR="00302BFE">
          <w:pgSz w:w="15840" w:h="12240" w:orient="landscape"/>
          <w:pgMar w:top="1440" w:right="1440" w:bottom="1440" w:left="1440" w:header="720" w:footer="432" w:gutter="0"/>
          <w:cols w:space="720"/>
        </w:sectPr>
      </w:pPr>
    </w:p>
    <w:p w14:paraId="2EF9A166" w14:textId="77777777" w:rsidR="00302BFE" w:rsidRPr="00C1668B" w:rsidRDefault="00302BFE" w:rsidP="00302BFE">
      <w:pPr>
        <w:spacing w:before="120" w:after="120"/>
        <w:jc w:val="left"/>
        <w:rPr>
          <w:szCs w:val="20"/>
        </w:rPr>
      </w:pPr>
    </w:p>
    <w:p w14:paraId="39B19CE6" w14:textId="77777777" w:rsidR="00302BFE" w:rsidRPr="0094042F" w:rsidRDefault="00302BFE" w:rsidP="00302BFE">
      <w:pPr>
        <w:pStyle w:val="Titre1"/>
        <w:spacing w:before="0" w:after="0"/>
        <w:rPr>
          <w:rFonts w:ascii="Calibri" w:hAnsi="Calibri"/>
          <w:szCs w:val="28"/>
        </w:rPr>
      </w:pPr>
      <w:bookmarkStart w:id="13" w:name="_Toc9961791"/>
      <w:r w:rsidRPr="0094042F">
        <w:rPr>
          <w:rFonts w:ascii="Calibri" w:hAnsi="Calibri"/>
          <w:szCs w:val="28"/>
        </w:rPr>
        <w:t>Results and Partnerships</w:t>
      </w:r>
      <w:bookmarkEnd w:id="13"/>
      <w:r w:rsidRPr="0094042F">
        <w:rPr>
          <w:rFonts w:ascii="Calibri" w:hAnsi="Calibri"/>
          <w:szCs w:val="28"/>
        </w:rPr>
        <w:t xml:space="preserve"> </w:t>
      </w:r>
    </w:p>
    <w:p w14:paraId="63529715" w14:textId="77777777" w:rsidR="003C3F01" w:rsidRDefault="003C3F01" w:rsidP="003C3F01">
      <w:pPr>
        <w:tabs>
          <w:tab w:val="left" w:pos="2742"/>
        </w:tabs>
        <w:spacing w:after="120"/>
        <w:contextualSpacing/>
        <w:jc w:val="left"/>
        <w:rPr>
          <w:bCs/>
          <w:szCs w:val="20"/>
        </w:rPr>
      </w:pPr>
    </w:p>
    <w:p w14:paraId="22B2B381" w14:textId="727AEEEC" w:rsidR="003C3F01" w:rsidRPr="00BA023E" w:rsidRDefault="003C3F01" w:rsidP="00BE65D5">
      <w:pPr>
        <w:tabs>
          <w:tab w:val="left" w:pos="2742"/>
        </w:tabs>
        <w:spacing w:after="120"/>
        <w:contextualSpacing/>
        <w:rPr>
          <w:bCs/>
          <w:szCs w:val="20"/>
        </w:rPr>
      </w:pPr>
      <w:r w:rsidRPr="00BA023E">
        <w:rPr>
          <w:bCs/>
          <w:szCs w:val="20"/>
        </w:rPr>
        <w:t xml:space="preserve">During PPG the project has been screened to identify any potential social and environmental risk and the related mitigation measures. The SESP has been developed and is attached to the </w:t>
      </w:r>
      <w:proofErr w:type="spellStart"/>
      <w:r w:rsidRPr="00BA023E">
        <w:rPr>
          <w:bCs/>
          <w:szCs w:val="20"/>
        </w:rPr>
        <w:t>ProDoc</w:t>
      </w:r>
      <w:proofErr w:type="spellEnd"/>
      <w:r w:rsidRPr="00BA023E">
        <w:rPr>
          <w:bCs/>
          <w:szCs w:val="20"/>
        </w:rPr>
        <w:t>.</w:t>
      </w:r>
    </w:p>
    <w:p w14:paraId="3C9D17BB" w14:textId="7F46E344" w:rsidR="003C3F01" w:rsidRPr="00BA023E" w:rsidRDefault="003C3F01" w:rsidP="00BE65D5">
      <w:pPr>
        <w:tabs>
          <w:tab w:val="left" w:pos="2742"/>
        </w:tabs>
        <w:spacing w:after="120"/>
        <w:contextualSpacing/>
        <w:rPr>
          <w:bCs/>
          <w:szCs w:val="20"/>
        </w:rPr>
      </w:pPr>
      <w:r w:rsidRPr="00BA023E">
        <w:rPr>
          <w:bCs/>
          <w:szCs w:val="20"/>
        </w:rPr>
        <w:t>In the SESP and in the ESMF</w:t>
      </w:r>
      <w:r w:rsidR="005979FD" w:rsidRPr="00BA023E">
        <w:rPr>
          <w:bCs/>
          <w:szCs w:val="20"/>
        </w:rPr>
        <w:t>,</w:t>
      </w:r>
      <w:r w:rsidRPr="00BA023E">
        <w:rPr>
          <w:bCs/>
          <w:szCs w:val="20"/>
        </w:rPr>
        <w:t xml:space="preserve"> in attachment to the </w:t>
      </w:r>
      <w:proofErr w:type="spellStart"/>
      <w:r w:rsidRPr="00BA023E">
        <w:rPr>
          <w:bCs/>
          <w:szCs w:val="20"/>
        </w:rPr>
        <w:t>ProDoc</w:t>
      </w:r>
      <w:proofErr w:type="spellEnd"/>
      <w:r w:rsidRPr="00BA023E">
        <w:rPr>
          <w:bCs/>
          <w:szCs w:val="20"/>
        </w:rPr>
        <w:t>, the assessment and the management processes</w:t>
      </w:r>
      <w:r w:rsidR="003D0E6E" w:rsidRPr="00BA023E">
        <w:rPr>
          <w:bCs/>
          <w:szCs w:val="20"/>
        </w:rPr>
        <w:t xml:space="preserve"> of social and environmental risks</w:t>
      </w:r>
      <w:r w:rsidRPr="00BA023E">
        <w:rPr>
          <w:bCs/>
          <w:szCs w:val="20"/>
        </w:rPr>
        <w:t xml:space="preserve"> have been identified and explained.</w:t>
      </w:r>
    </w:p>
    <w:p w14:paraId="71A43FCA" w14:textId="6A569BDE" w:rsidR="003C3F01" w:rsidRPr="00BA023E" w:rsidRDefault="003C3F01" w:rsidP="00BE65D5">
      <w:pPr>
        <w:tabs>
          <w:tab w:val="left" w:pos="2742"/>
        </w:tabs>
        <w:spacing w:after="120"/>
        <w:contextualSpacing/>
        <w:rPr>
          <w:bCs/>
          <w:szCs w:val="20"/>
        </w:rPr>
      </w:pPr>
      <w:r w:rsidRPr="00BA023E">
        <w:rPr>
          <w:bCs/>
          <w:szCs w:val="20"/>
        </w:rPr>
        <w:t xml:space="preserve">A focus on Indigenous Peoples and on FPIC </w:t>
      </w:r>
      <w:r w:rsidRPr="00BA023E">
        <w:rPr>
          <w:bCs/>
          <w:iCs/>
          <w:color w:val="4472C4"/>
          <w:szCs w:val="20"/>
          <w:lang w:val="en-GB"/>
        </w:rPr>
        <w:t xml:space="preserve">(Free, Prior and Informed Consent) </w:t>
      </w:r>
      <w:r w:rsidRPr="00BA023E">
        <w:rPr>
          <w:bCs/>
          <w:szCs w:val="20"/>
        </w:rPr>
        <w:t xml:space="preserve">has been made and the outputs and activities that </w:t>
      </w:r>
      <w:proofErr w:type="gramStart"/>
      <w:r w:rsidRPr="00BA023E">
        <w:rPr>
          <w:bCs/>
          <w:szCs w:val="20"/>
        </w:rPr>
        <w:t>have to</w:t>
      </w:r>
      <w:proofErr w:type="gramEnd"/>
      <w:r w:rsidRPr="00BA023E">
        <w:rPr>
          <w:bCs/>
          <w:szCs w:val="20"/>
        </w:rPr>
        <w:t xml:space="preserve"> follow FPIC have been identified</w:t>
      </w:r>
      <w:r w:rsidR="003D0E6E" w:rsidRPr="00BA023E">
        <w:rPr>
          <w:bCs/>
          <w:szCs w:val="20"/>
        </w:rPr>
        <w:t xml:space="preserve"> here below.</w:t>
      </w:r>
    </w:p>
    <w:p w14:paraId="48E2B0F7" w14:textId="10B9C897" w:rsidR="003C3F01" w:rsidRDefault="003D0E6E" w:rsidP="00BE65D5">
      <w:pPr>
        <w:tabs>
          <w:tab w:val="left" w:pos="2742"/>
        </w:tabs>
        <w:spacing w:after="120"/>
        <w:contextualSpacing/>
        <w:rPr>
          <w:bCs/>
          <w:szCs w:val="20"/>
        </w:rPr>
      </w:pPr>
      <w:r w:rsidRPr="00BA023E">
        <w:rPr>
          <w:bCs/>
          <w:szCs w:val="20"/>
        </w:rPr>
        <w:t>T</w:t>
      </w:r>
      <w:r w:rsidR="003C3F01" w:rsidRPr="00BA023E">
        <w:rPr>
          <w:bCs/>
          <w:szCs w:val="20"/>
        </w:rPr>
        <w:t>he assessment and management processes needed to comply with SES UNDP have been identified</w:t>
      </w:r>
      <w:r w:rsidRPr="00BA023E">
        <w:rPr>
          <w:bCs/>
          <w:szCs w:val="20"/>
        </w:rPr>
        <w:t xml:space="preserve"> all along the description of the </w:t>
      </w:r>
      <w:r w:rsidR="005979FD" w:rsidRPr="00BA023E">
        <w:rPr>
          <w:bCs/>
          <w:szCs w:val="20"/>
        </w:rPr>
        <w:t>E</w:t>
      </w:r>
      <w:r w:rsidRPr="00BA023E">
        <w:rPr>
          <w:bCs/>
          <w:szCs w:val="20"/>
        </w:rPr>
        <w:t xml:space="preserve">xpected </w:t>
      </w:r>
      <w:r w:rsidR="005979FD" w:rsidRPr="00BA023E">
        <w:rPr>
          <w:bCs/>
          <w:szCs w:val="20"/>
        </w:rPr>
        <w:t>R</w:t>
      </w:r>
      <w:r w:rsidRPr="00BA023E">
        <w:rPr>
          <w:bCs/>
          <w:szCs w:val="20"/>
        </w:rPr>
        <w:t>esults</w:t>
      </w:r>
      <w:r w:rsidR="003C3F01" w:rsidRPr="00BA023E">
        <w:rPr>
          <w:bCs/>
          <w:szCs w:val="20"/>
        </w:rPr>
        <w:t>. All the details have been explained in the SESP and in the ESMF</w:t>
      </w:r>
      <w:r w:rsidR="005979FD" w:rsidRPr="00BA023E">
        <w:rPr>
          <w:bCs/>
          <w:szCs w:val="20"/>
        </w:rPr>
        <w:t>.</w:t>
      </w:r>
    </w:p>
    <w:p w14:paraId="6DDCEB09" w14:textId="3F297F3B" w:rsidR="00302BFE" w:rsidRDefault="00302BFE" w:rsidP="00302BFE">
      <w:pPr>
        <w:tabs>
          <w:tab w:val="left" w:pos="2742"/>
        </w:tabs>
        <w:spacing w:before="240" w:after="120"/>
        <w:jc w:val="left"/>
        <w:rPr>
          <w:b/>
          <w:szCs w:val="20"/>
        </w:rPr>
      </w:pPr>
      <w:r w:rsidRPr="001D7CE3">
        <w:rPr>
          <w:b/>
          <w:szCs w:val="20"/>
        </w:rPr>
        <w:t>Expected Results</w:t>
      </w:r>
    </w:p>
    <w:p w14:paraId="7723338A" w14:textId="77777777" w:rsidR="003C3F01" w:rsidRPr="00BE65D5" w:rsidRDefault="003C3F01" w:rsidP="00755BF9">
      <w:pPr>
        <w:tabs>
          <w:tab w:val="left" w:pos="2742"/>
        </w:tabs>
        <w:spacing w:after="120"/>
        <w:contextualSpacing/>
        <w:jc w:val="left"/>
        <w:rPr>
          <w:bCs/>
          <w:szCs w:val="20"/>
        </w:rPr>
      </w:pPr>
    </w:p>
    <w:p w14:paraId="4F319D0C" w14:textId="77777777" w:rsidR="00302BFE" w:rsidRPr="005F3825" w:rsidRDefault="00302BFE" w:rsidP="00302BFE">
      <w:pPr>
        <w:spacing w:before="120" w:after="120"/>
        <w:rPr>
          <w:b/>
          <w:szCs w:val="20"/>
          <w:lang w:val="en-GB"/>
        </w:rPr>
      </w:pPr>
      <w:r w:rsidRPr="005F3825">
        <w:rPr>
          <w:b/>
          <w:szCs w:val="20"/>
          <w:lang w:val="en-GB"/>
        </w:rPr>
        <w:t>Component 1. Framework for Integrated Landscape Management of PONASI with sustainable financing for its operation</w:t>
      </w:r>
    </w:p>
    <w:p w14:paraId="3D62BB0A" w14:textId="77777777" w:rsidR="00302BFE" w:rsidRPr="005F3825" w:rsidRDefault="00302BFE" w:rsidP="00302BFE">
      <w:pPr>
        <w:spacing w:before="120" w:after="120"/>
        <w:ind w:left="284"/>
        <w:rPr>
          <w:b/>
          <w:szCs w:val="20"/>
          <w:lang w:val="en-GB"/>
        </w:rPr>
      </w:pPr>
      <w:r w:rsidRPr="002764C7">
        <w:rPr>
          <w:b/>
          <w:szCs w:val="20"/>
          <w:lang w:val="en-GB"/>
        </w:rPr>
        <w:t xml:space="preserve">Outcome 1.1 Updated, </w:t>
      </w:r>
      <w:proofErr w:type="gramStart"/>
      <w:r w:rsidRPr="002764C7">
        <w:rPr>
          <w:b/>
          <w:szCs w:val="20"/>
          <w:lang w:val="en-GB"/>
        </w:rPr>
        <w:t>strengthened</w:t>
      </w:r>
      <w:proofErr w:type="gramEnd"/>
      <w:r w:rsidRPr="002764C7">
        <w:rPr>
          <w:b/>
          <w:szCs w:val="20"/>
          <w:lang w:val="en-GB"/>
        </w:rPr>
        <w:t xml:space="preserve"> and operationalized PONASI landscape co-governance mechanism to ensure concerted, integrated and equitable management of land and resource use within the 952,000-ha landscape and maximize environmental and socio-economic benefits.</w:t>
      </w:r>
    </w:p>
    <w:p w14:paraId="0FAE34C5"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 xml:space="preserve">The PONASI landscape includes multi-use protected areas incorporating central areas dedicated to stricter conservation, and peripheral areas allocated to community </w:t>
      </w:r>
      <w:proofErr w:type="spellStart"/>
      <w:r w:rsidRPr="005F3825">
        <w:rPr>
          <w:rFonts w:ascii="Calibri" w:hAnsi="Calibri"/>
          <w:sz w:val="20"/>
          <w:szCs w:val="20"/>
          <w:lang w:val="en-GB"/>
        </w:rPr>
        <w:t>valorization</w:t>
      </w:r>
      <w:proofErr w:type="spellEnd"/>
      <w:r w:rsidRPr="005F3825">
        <w:rPr>
          <w:rFonts w:ascii="Calibri" w:hAnsi="Calibri"/>
          <w:sz w:val="20"/>
          <w:szCs w:val="20"/>
          <w:lang w:val="en-GB"/>
        </w:rPr>
        <w:t xml:space="preserve"> of natural resources (ZOVIC, CAF and pastoral areas) and to concessionaires for their </w:t>
      </w:r>
      <w:proofErr w:type="spellStart"/>
      <w:r w:rsidRPr="005F3825">
        <w:rPr>
          <w:rFonts w:ascii="Calibri" w:hAnsi="Calibri"/>
          <w:sz w:val="20"/>
          <w:szCs w:val="20"/>
          <w:lang w:val="en-GB"/>
        </w:rPr>
        <w:t>valorization</w:t>
      </w:r>
      <w:proofErr w:type="spellEnd"/>
      <w:r w:rsidRPr="005F3825">
        <w:rPr>
          <w:rFonts w:ascii="Calibri" w:hAnsi="Calibri"/>
          <w:sz w:val="20"/>
          <w:szCs w:val="20"/>
          <w:lang w:val="en-GB"/>
        </w:rPr>
        <w:t xml:space="preserve"> by hunting and vision tourism. The </w:t>
      </w:r>
      <w:r>
        <w:rPr>
          <w:rFonts w:ascii="Calibri" w:hAnsi="Calibri"/>
          <w:sz w:val="20"/>
          <w:szCs w:val="20"/>
          <w:lang w:val="en-GB"/>
        </w:rPr>
        <w:t>whole</w:t>
      </w:r>
      <w:r w:rsidRPr="005F3825">
        <w:rPr>
          <w:rFonts w:ascii="Calibri" w:hAnsi="Calibri"/>
          <w:sz w:val="20"/>
          <w:szCs w:val="20"/>
          <w:lang w:val="en-GB"/>
        </w:rPr>
        <w:t xml:space="preserve"> is in line with the concept of IUCN Category V, which has been developed around the world under the concept of landscape where the safeguarding of the integrity of the area involves </w:t>
      </w:r>
      <w:proofErr w:type="gramStart"/>
      <w:r w:rsidRPr="005F3825">
        <w:rPr>
          <w:rFonts w:ascii="Calibri" w:hAnsi="Calibri"/>
          <w:sz w:val="20"/>
          <w:szCs w:val="20"/>
          <w:lang w:val="en-GB"/>
        </w:rPr>
        <w:t>taking into account</w:t>
      </w:r>
      <w:proofErr w:type="gramEnd"/>
      <w:r w:rsidRPr="005F3825">
        <w:rPr>
          <w:rFonts w:ascii="Calibri" w:hAnsi="Calibri"/>
          <w:sz w:val="20"/>
          <w:szCs w:val="20"/>
          <w:lang w:val="en-GB"/>
        </w:rPr>
        <w:t xml:space="preserve"> the human-nature interaction. </w:t>
      </w:r>
    </w:p>
    <w:p w14:paraId="292B1DA5"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 xml:space="preserve">Simultaneous consideration of the benefits of different uses of land and natural resources and the interests of all actors involved makes it possible to identify, mitigate and compensate for the inevitable trade-offs necessary to optimize global and socio-economic benefits at the scale of the landscape. However, such an exercise requires a concerted, </w:t>
      </w:r>
      <w:proofErr w:type="gramStart"/>
      <w:r w:rsidRPr="005F3825">
        <w:rPr>
          <w:rFonts w:ascii="Calibri" w:hAnsi="Calibri"/>
          <w:sz w:val="20"/>
          <w:szCs w:val="20"/>
          <w:lang w:val="en-GB"/>
        </w:rPr>
        <w:t>efficient</w:t>
      </w:r>
      <w:proofErr w:type="gramEnd"/>
      <w:r w:rsidRPr="005F3825">
        <w:rPr>
          <w:rFonts w:ascii="Calibri" w:hAnsi="Calibri"/>
          <w:sz w:val="20"/>
          <w:szCs w:val="20"/>
          <w:lang w:val="en-GB"/>
        </w:rPr>
        <w:t xml:space="preserve"> and equitable system of governance in which the representatives of the populations, local authorities and relevant government departments each have a real right of decision for the management of the entire landscape. The multi-stakeholder management body will serve as a platform for harmonizing different management jurisdictions on specific management units within the landscape (</w:t>
      </w:r>
      <w:proofErr w:type="gramStart"/>
      <w:r w:rsidRPr="005F3825">
        <w:rPr>
          <w:rFonts w:ascii="Calibri" w:hAnsi="Calibri"/>
          <w:sz w:val="20"/>
          <w:szCs w:val="20"/>
          <w:lang w:val="en-GB"/>
        </w:rPr>
        <w:t>e.g.</w:t>
      </w:r>
      <w:proofErr w:type="gramEnd"/>
      <w:r w:rsidRPr="005F3825">
        <w:rPr>
          <w:rFonts w:ascii="Calibri" w:hAnsi="Calibri"/>
          <w:sz w:val="20"/>
          <w:szCs w:val="20"/>
          <w:lang w:val="en-GB"/>
        </w:rPr>
        <w:t xml:space="preserve"> DGEF, OFINAP, DREEVCC, DREP), local authorities, Regional Councils, and representatives of resource users (Regional Chambers of Agriculture, Forest Management Unions, Cooperatives for the exploitation of non-timber forest products, Hunters' Associations and Hunting Concession holders).</w:t>
      </w:r>
    </w:p>
    <w:p w14:paraId="761CFFA1" w14:textId="61380935" w:rsidR="00302BFE" w:rsidRDefault="00302BFE" w:rsidP="00302BFE">
      <w:pPr>
        <w:spacing w:before="240" w:after="120"/>
        <w:rPr>
          <w:b/>
          <w:szCs w:val="20"/>
          <w:lang w:val="en-GB"/>
        </w:rPr>
      </w:pPr>
      <w:r w:rsidRPr="005F3825">
        <w:rPr>
          <w:b/>
          <w:szCs w:val="20"/>
          <w:lang w:val="en-GB"/>
        </w:rPr>
        <w:t xml:space="preserve">Output 1.1 The "PONASI Landscape Co-Governance Mechanism" is updated, </w:t>
      </w:r>
      <w:proofErr w:type="gramStart"/>
      <w:r w:rsidRPr="005F3825">
        <w:rPr>
          <w:b/>
          <w:szCs w:val="20"/>
          <w:lang w:val="en-GB"/>
        </w:rPr>
        <w:t>strengthened</w:t>
      </w:r>
      <w:proofErr w:type="gramEnd"/>
      <w:r w:rsidRPr="005F3825">
        <w:rPr>
          <w:b/>
          <w:szCs w:val="20"/>
          <w:lang w:val="en-GB"/>
        </w:rPr>
        <w:t xml:space="preserve"> and operationalized as an integrated platform serving as a joint decision-making mechanism for land and resource use within the landscape</w:t>
      </w:r>
    </w:p>
    <w:p w14:paraId="2FE090FA" w14:textId="77777777" w:rsidR="004F4706" w:rsidRPr="000F3E26" w:rsidRDefault="004F4706" w:rsidP="004F4706">
      <w:pPr>
        <w:spacing w:before="120" w:after="0"/>
        <w:contextualSpacing/>
        <w:rPr>
          <w:bCs/>
          <w:szCs w:val="20"/>
          <w:lang w:val="en-GB"/>
        </w:rPr>
      </w:pPr>
      <w:r w:rsidRPr="000F3E26">
        <w:rPr>
          <w:bCs/>
          <w:szCs w:val="20"/>
          <w:lang w:val="en-GB"/>
        </w:rPr>
        <w:t xml:space="preserve">To assess and manage the impacts of this Output, as indicated in the SESP – in attachment to the </w:t>
      </w:r>
      <w:proofErr w:type="spellStart"/>
      <w:r w:rsidRPr="000F3E26">
        <w:rPr>
          <w:bCs/>
          <w:szCs w:val="20"/>
          <w:lang w:val="en-GB"/>
        </w:rPr>
        <w:t>ProDoc</w:t>
      </w:r>
      <w:proofErr w:type="spellEnd"/>
      <w:r w:rsidRPr="000F3E26">
        <w:rPr>
          <w:bCs/>
          <w:szCs w:val="20"/>
          <w:lang w:val="en-GB"/>
        </w:rPr>
        <w:t xml:space="preserve"> – the following assessment and management processes will be put in place, to comply with UNDP SES:</w:t>
      </w:r>
    </w:p>
    <w:p w14:paraId="55269C2A" w14:textId="77777777" w:rsidR="004F4706" w:rsidRPr="000F3E26" w:rsidRDefault="004F4706" w:rsidP="004F4706">
      <w:pPr>
        <w:spacing w:before="120" w:after="0"/>
        <w:contextualSpacing/>
        <w:rPr>
          <w:bCs/>
          <w:szCs w:val="20"/>
          <w:u w:val="single"/>
          <w:lang w:val="en-GB"/>
        </w:rPr>
      </w:pPr>
      <w:r w:rsidRPr="000F3E26">
        <w:rPr>
          <w:bCs/>
          <w:szCs w:val="20"/>
          <w:u w:val="single"/>
          <w:lang w:val="en-GB"/>
        </w:rPr>
        <w:t>Assessments:</w:t>
      </w:r>
    </w:p>
    <w:p w14:paraId="4541CCD3" w14:textId="77777777" w:rsidR="004F4706" w:rsidRPr="000F3E26" w:rsidRDefault="004F4706" w:rsidP="004F4706">
      <w:pPr>
        <w:spacing w:before="120" w:after="0"/>
        <w:contextualSpacing/>
        <w:rPr>
          <w:bCs/>
          <w:szCs w:val="20"/>
          <w:lang w:val="en-GB"/>
        </w:rPr>
      </w:pPr>
      <w:r w:rsidRPr="000F3E26">
        <w:rPr>
          <w:bCs/>
          <w:szCs w:val="20"/>
          <w:lang w:val="en-GB"/>
        </w:rPr>
        <w:t>SESA (Strategic Social and Environmental Assessment)</w:t>
      </w:r>
    </w:p>
    <w:p w14:paraId="085BA521" w14:textId="77777777" w:rsidR="004F4706" w:rsidRPr="000F3E26" w:rsidRDefault="004F4706" w:rsidP="004F4706">
      <w:pPr>
        <w:spacing w:before="120" w:after="0"/>
        <w:contextualSpacing/>
        <w:rPr>
          <w:bCs/>
          <w:szCs w:val="20"/>
          <w:lang w:val="en-GB"/>
        </w:rPr>
      </w:pPr>
      <w:r w:rsidRPr="000F3E26">
        <w:t>ESIA (Environmental and Social Impact Assessment)</w:t>
      </w:r>
    </w:p>
    <w:p w14:paraId="3EDA9ABC" w14:textId="77777777" w:rsidR="004F4706" w:rsidRPr="000F3E26" w:rsidRDefault="004F4706" w:rsidP="004F4706">
      <w:pPr>
        <w:spacing w:before="120" w:after="0"/>
        <w:contextualSpacing/>
        <w:rPr>
          <w:u w:val="single"/>
        </w:rPr>
      </w:pPr>
      <w:r w:rsidRPr="000F3E26">
        <w:rPr>
          <w:u w:val="single"/>
        </w:rPr>
        <w:t>Management:</w:t>
      </w:r>
    </w:p>
    <w:p w14:paraId="636EFD87" w14:textId="77777777" w:rsidR="004F4706" w:rsidRPr="000F3E26" w:rsidRDefault="004F4706" w:rsidP="004F4706">
      <w:pPr>
        <w:spacing w:before="120" w:after="120"/>
        <w:contextualSpacing/>
        <w:rPr>
          <w:rFonts w:asciiTheme="minorHAnsi" w:hAnsiTheme="minorHAnsi" w:cstheme="minorHAnsi"/>
          <w:szCs w:val="20"/>
        </w:rPr>
      </w:pPr>
      <w:r w:rsidRPr="000F3E26">
        <w:rPr>
          <w:rFonts w:asciiTheme="minorHAnsi" w:hAnsiTheme="minorHAnsi" w:cstheme="minorHAnsi"/>
          <w:szCs w:val="20"/>
        </w:rPr>
        <w:t>SESA report and recommendations (Actions Matrix)</w:t>
      </w:r>
    </w:p>
    <w:p w14:paraId="34011F14" w14:textId="77777777" w:rsidR="004F4706" w:rsidRPr="000F3E26" w:rsidRDefault="004F4706" w:rsidP="004F4706">
      <w:pPr>
        <w:spacing w:before="120" w:after="120"/>
        <w:contextualSpacing/>
        <w:rPr>
          <w:rFonts w:asciiTheme="minorHAnsi" w:hAnsiTheme="minorHAnsi" w:cstheme="minorHAnsi"/>
          <w:szCs w:val="20"/>
        </w:rPr>
      </w:pPr>
      <w:r w:rsidRPr="000F3E26">
        <w:rPr>
          <w:rFonts w:asciiTheme="minorHAnsi" w:hAnsiTheme="minorHAnsi" w:cstheme="minorHAnsi"/>
          <w:szCs w:val="20"/>
        </w:rPr>
        <w:t>Comprehensive Stakeholder Engagement Plan</w:t>
      </w:r>
    </w:p>
    <w:p w14:paraId="2A11FF7C" w14:textId="77777777" w:rsidR="004F4706" w:rsidRPr="000F3E26" w:rsidRDefault="004F4706" w:rsidP="004F4706">
      <w:pPr>
        <w:spacing w:before="120" w:after="120"/>
        <w:contextualSpacing/>
        <w:rPr>
          <w:rFonts w:asciiTheme="minorHAnsi" w:hAnsiTheme="minorHAnsi" w:cstheme="minorHAnsi"/>
          <w:szCs w:val="20"/>
        </w:rPr>
      </w:pPr>
      <w:r w:rsidRPr="000F3E26">
        <w:rPr>
          <w:rFonts w:asciiTheme="minorHAnsi" w:hAnsiTheme="minorHAnsi" w:cstheme="minorHAnsi"/>
          <w:szCs w:val="20"/>
        </w:rPr>
        <w:t>Indigenous People Plan</w:t>
      </w:r>
    </w:p>
    <w:p w14:paraId="0F82FAE3" w14:textId="77777777" w:rsidR="004F4706" w:rsidRPr="000F3E26" w:rsidRDefault="004F4706" w:rsidP="004F4706">
      <w:pPr>
        <w:spacing w:before="120" w:after="120"/>
        <w:contextualSpacing/>
        <w:rPr>
          <w:rFonts w:asciiTheme="minorHAnsi" w:hAnsiTheme="minorHAnsi" w:cstheme="minorHAnsi"/>
          <w:szCs w:val="20"/>
        </w:rPr>
      </w:pPr>
      <w:r w:rsidRPr="000F3E26">
        <w:rPr>
          <w:rFonts w:asciiTheme="minorHAnsi" w:hAnsiTheme="minorHAnsi" w:cstheme="minorHAnsi"/>
          <w:szCs w:val="20"/>
        </w:rPr>
        <w:t xml:space="preserve">Gender Action Plan </w:t>
      </w:r>
    </w:p>
    <w:p w14:paraId="2EDF8AD7" w14:textId="655111B5" w:rsidR="004F4706" w:rsidRPr="000F3E26" w:rsidRDefault="004F4706" w:rsidP="004F4706">
      <w:pPr>
        <w:spacing w:before="120"/>
        <w:contextualSpacing/>
        <w:rPr>
          <w:bCs/>
          <w:szCs w:val="20"/>
          <w:lang w:val="en-GB"/>
        </w:rPr>
      </w:pPr>
      <w:r w:rsidRPr="000F3E26">
        <w:rPr>
          <w:rFonts w:asciiTheme="minorHAnsi" w:hAnsiTheme="minorHAnsi" w:cstheme="minorHAnsi"/>
          <w:szCs w:val="20"/>
        </w:rPr>
        <w:t>ESMP</w:t>
      </w:r>
      <w:r w:rsidR="00E30D67" w:rsidRPr="000F3E26">
        <w:rPr>
          <w:rFonts w:asciiTheme="minorHAnsi" w:hAnsiTheme="minorHAnsi" w:cstheme="minorHAnsi"/>
          <w:szCs w:val="20"/>
        </w:rPr>
        <w:t xml:space="preserve"> (Environmental and Social Management Plan)</w:t>
      </w:r>
    </w:p>
    <w:p w14:paraId="281BF72B" w14:textId="77777777" w:rsidR="00C97C6D" w:rsidRPr="000F3E26" w:rsidRDefault="00C97C6D" w:rsidP="00755BF9">
      <w:pPr>
        <w:spacing w:before="120"/>
        <w:contextualSpacing/>
        <w:rPr>
          <w:bCs/>
          <w:szCs w:val="20"/>
          <w:lang w:val="en-GB"/>
        </w:rPr>
      </w:pPr>
    </w:p>
    <w:p w14:paraId="5187C8A3" w14:textId="55CDAEBF" w:rsidR="00302BFE" w:rsidRPr="000F3E26" w:rsidRDefault="00302BFE" w:rsidP="00302BFE">
      <w:pPr>
        <w:spacing w:before="120" w:after="120"/>
        <w:rPr>
          <w:i/>
          <w:color w:val="4472C4"/>
          <w:szCs w:val="20"/>
          <w:lang w:val="en-GB"/>
        </w:rPr>
      </w:pPr>
      <w:r w:rsidRPr="000F3E26">
        <w:rPr>
          <w:i/>
          <w:color w:val="4472C4"/>
          <w:szCs w:val="20"/>
          <w:lang w:val="en-GB"/>
        </w:rPr>
        <w:t xml:space="preserve">1.1.1 Establishment of the PONASI landscape co-governance mechanism. </w:t>
      </w:r>
    </w:p>
    <w:p w14:paraId="4EB5BF56" w14:textId="5CB2F66C" w:rsidR="00820B54" w:rsidRPr="00BE65D5" w:rsidRDefault="00820B54" w:rsidP="00302BFE">
      <w:pPr>
        <w:spacing w:before="120" w:after="120"/>
        <w:rPr>
          <w:iCs/>
          <w:color w:val="4472C4"/>
          <w:szCs w:val="20"/>
          <w:lang w:val="en-GB"/>
        </w:rPr>
      </w:pPr>
      <w:r w:rsidRPr="000F3E26">
        <w:rPr>
          <w:iCs/>
          <w:color w:val="4472C4"/>
          <w:szCs w:val="20"/>
          <w:lang w:val="en-GB"/>
        </w:rPr>
        <w:t xml:space="preserve">For this activity, the FPIC (Free, Prior and Informed Consent) process </w:t>
      </w:r>
      <w:proofErr w:type="gramStart"/>
      <w:r w:rsidR="00F84490" w:rsidRPr="000F3E26">
        <w:rPr>
          <w:iCs/>
          <w:color w:val="4472C4"/>
          <w:szCs w:val="20"/>
          <w:lang w:val="en-GB"/>
        </w:rPr>
        <w:t>has to</w:t>
      </w:r>
      <w:proofErr w:type="gramEnd"/>
      <w:r w:rsidRPr="000F3E26">
        <w:rPr>
          <w:iCs/>
          <w:color w:val="4472C4"/>
          <w:szCs w:val="20"/>
          <w:lang w:val="en-GB"/>
        </w:rPr>
        <w:t xml:space="preserve"> be ensured</w:t>
      </w:r>
    </w:p>
    <w:p w14:paraId="6128E683" w14:textId="77777777" w:rsidR="00302BFE" w:rsidRPr="000D427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hAnsi="Calibri"/>
          <w:sz w:val="20"/>
          <w:szCs w:val="20"/>
          <w:lang w:val="en-GB"/>
        </w:rPr>
        <w:t>T</w:t>
      </w:r>
      <w:r w:rsidR="001B25BB" w:rsidRPr="000D4277">
        <w:rPr>
          <w:rFonts w:ascii="Calibri" w:hAnsi="Calibri"/>
          <w:sz w:val="20"/>
          <w:szCs w:val="20"/>
          <w:lang w:val="en-GB"/>
        </w:rPr>
        <w:t>o establish</w:t>
      </w:r>
      <w:r w:rsidR="00A06E39" w:rsidRPr="000D4277">
        <w:rPr>
          <w:rFonts w:ascii="Calibri" w:hAnsi="Calibri"/>
          <w:sz w:val="20"/>
          <w:szCs w:val="20"/>
          <w:lang w:val="en-GB"/>
        </w:rPr>
        <w:t xml:space="preserve"> the PONASI landscape co-governance mechanism, t</w:t>
      </w:r>
      <w:r w:rsidRPr="000D4277">
        <w:rPr>
          <w:rFonts w:ascii="Calibri" w:hAnsi="Calibri"/>
          <w:sz w:val="20"/>
          <w:szCs w:val="20"/>
          <w:lang w:val="en-GB"/>
        </w:rPr>
        <w:t xml:space="preserve">he project will build on the results and lessons learned i) from the </w:t>
      </w:r>
      <w:r w:rsidRPr="000D4277">
        <w:rPr>
          <w:rFonts w:ascii="Calibri" w:hAnsi="Calibri"/>
          <w:i/>
          <w:sz w:val="20"/>
          <w:szCs w:val="20"/>
          <w:lang w:val="en-GB"/>
        </w:rPr>
        <w:t>PONASI</w:t>
      </w:r>
      <w:r w:rsidRPr="000D4277">
        <w:rPr>
          <w:rFonts w:ascii="Calibri" w:hAnsi="Calibri"/>
          <w:sz w:val="20"/>
          <w:szCs w:val="20"/>
          <w:lang w:val="en-GB"/>
        </w:rPr>
        <w:t xml:space="preserve"> project implemented from 2014 to 2017 by </w:t>
      </w:r>
      <w:proofErr w:type="spellStart"/>
      <w:r w:rsidRPr="000D4277">
        <w:rPr>
          <w:rFonts w:ascii="Calibri" w:hAnsi="Calibri"/>
          <w:sz w:val="20"/>
          <w:szCs w:val="20"/>
          <w:lang w:val="en-GB"/>
        </w:rPr>
        <w:t>Naturama</w:t>
      </w:r>
      <w:proofErr w:type="spellEnd"/>
      <w:r w:rsidRPr="000D4277">
        <w:rPr>
          <w:rFonts w:ascii="Calibri" w:hAnsi="Calibri"/>
          <w:sz w:val="20"/>
          <w:szCs w:val="20"/>
          <w:lang w:val="en-GB"/>
        </w:rPr>
        <w:t xml:space="preserve">/GRET/AFAUDEB and funded by the EU which set up the foundations of an alliance between the Government and the local groups and institutions for a concerted management of the PONASI protected </w:t>
      </w:r>
      <w:r w:rsidRPr="000D4277">
        <w:rPr>
          <w:rFonts w:ascii="Calibri" w:hAnsi="Calibri"/>
          <w:sz w:val="20"/>
          <w:szCs w:val="20"/>
          <w:lang w:val="en-GB"/>
        </w:rPr>
        <w:lastRenderedPageBreak/>
        <w:t>area complex, and ii) from the GEF-</w:t>
      </w:r>
      <w:r w:rsidR="00D27B19" w:rsidRPr="000D4277">
        <w:rPr>
          <w:rFonts w:ascii="Calibri" w:hAnsi="Calibri"/>
          <w:sz w:val="20"/>
          <w:szCs w:val="20"/>
          <w:lang w:val="en-GB"/>
        </w:rPr>
        <w:t>financed</w:t>
      </w:r>
      <w:r w:rsidRPr="000D4277">
        <w:rPr>
          <w:rFonts w:ascii="Calibri" w:hAnsi="Calibri"/>
          <w:sz w:val="20"/>
          <w:szCs w:val="20"/>
          <w:lang w:val="en-GB"/>
        </w:rPr>
        <w:t xml:space="preserve"> Country </w:t>
      </w:r>
      <w:r w:rsidR="00D27B19" w:rsidRPr="000D4277">
        <w:rPr>
          <w:rFonts w:ascii="Calibri" w:hAnsi="Calibri"/>
          <w:sz w:val="20"/>
          <w:szCs w:val="20"/>
          <w:lang w:val="en-GB"/>
        </w:rPr>
        <w:t xml:space="preserve">Pilot </w:t>
      </w:r>
      <w:r w:rsidRPr="000D4277">
        <w:rPr>
          <w:rFonts w:ascii="Calibri" w:hAnsi="Calibri"/>
          <w:sz w:val="20"/>
          <w:szCs w:val="20"/>
          <w:lang w:val="en-GB"/>
        </w:rPr>
        <w:t>Partnership (CPP) for Sustainable Land Management and its sub-programs in multi-stakeholder partnership for the local governance of natural resources and at the landscape scale, more particularly the consultation platform for planning and the National Observatory of the Environment and Sustainable Development for environmental monitoring based on indicators.</w:t>
      </w:r>
    </w:p>
    <w:p w14:paraId="79200C7F" w14:textId="77777777" w:rsidR="00302BFE" w:rsidRPr="000D427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hAnsi="Calibri"/>
          <w:sz w:val="20"/>
          <w:szCs w:val="20"/>
          <w:lang w:val="en-GB"/>
        </w:rPr>
        <w:t>To foster their adherence to the landscape management plan, local communities and stakeholders will be placed at the heart of the decision-making process, allowing them to understand land use options including associated costs and benefits, and to contribute to decisions on priority actions. Private sector participation will be important to provide a stable market for forest products and resources sustainably managed by local communities. Ecotourism and other private sector companies that are compatible with conservation goals will contribute to sustainable management and restoration efforts. While the public sector may be reluctant to get involved in this participatory process and to spend significant funds for sustainable management and restoration, it could be approached with proposals to offset their carbon footprint through forest regeneration. This option will be explored with the support of ongoing FIP initiatives.</w:t>
      </w:r>
    </w:p>
    <w:p w14:paraId="5D8C6D54"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 xml:space="preserve">The missions, </w:t>
      </w:r>
      <w:proofErr w:type="gramStart"/>
      <w:r w:rsidRPr="005F3825">
        <w:rPr>
          <w:rFonts w:ascii="Calibri" w:hAnsi="Calibri"/>
          <w:sz w:val="20"/>
          <w:szCs w:val="20"/>
          <w:lang w:val="en-GB"/>
        </w:rPr>
        <w:t>composition</w:t>
      </w:r>
      <w:proofErr w:type="gramEnd"/>
      <w:r w:rsidRPr="005F3825">
        <w:rPr>
          <w:rFonts w:ascii="Calibri" w:hAnsi="Calibri"/>
          <w:sz w:val="20"/>
          <w:szCs w:val="20"/>
          <w:lang w:val="en-GB"/>
        </w:rPr>
        <w:t xml:space="preserve"> and </w:t>
      </w:r>
      <w:r>
        <w:rPr>
          <w:rFonts w:ascii="Calibri" w:hAnsi="Calibri"/>
          <w:sz w:val="20"/>
          <w:szCs w:val="20"/>
          <w:lang w:val="en-GB"/>
        </w:rPr>
        <w:t>operation</w:t>
      </w:r>
      <w:r w:rsidRPr="005F3825">
        <w:rPr>
          <w:rFonts w:ascii="Calibri" w:hAnsi="Calibri"/>
          <w:sz w:val="20"/>
          <w:szCs w:val="20"/>
          <w:lang w:val="en-GB"/>
        </w:rPr>
        <w:t xml:space="preserve"> of the "PONASI Landscape co-governance mechanism" will integrate the fact that the PONASI landscape extends over 3 </w:t>
      </w:r>
      <w:r>
        <w:rPr>
          <w:rFonts w:ascii="Calibri" w:hAnsi="Calibri"/>
          <w:sz w:val="20"/>
          <w:szCs w:val="20"/>
          <w:lang w:val="en-GB"/>
        </w:rPr>
        <w:t>r</w:t>
      </w:r>
      <w:r w:rsidRPr="005F3825">
        <w:rPr>
          <w:rFonts w:ascii="Calibri" w:hAnsi="Calibri"/>
          <w:sz w:val="20"/>
          <w:szCs w:val="20"/>
          <w:lang w:val="en-GB"/>
        </w:rPr>
        <w:t>egions (inter-regional platform).</w:t>
      </w:r>
      <w:r>
        <w:rPr>
          <w:rFonts w:ascii="Calibri" w:hAnsi="Calibri"/>
          <w:sz w:val="20"/>
          <w:szCs w:val="20"/>
          <w:lang w:val="en-GB"/>
        </w:rPr>
        <w:t xml:space="preserve"> </w:t>
      </w:r>
      <w:r w:rsidRPr="00F52082">
        <w:rPr>
          <w:rFonts w:ascii="Calibri" w:hAnsi="Calibri"/>
          <w:sz w:val="20"/>
          <w:szCs w:val="20"/>
          <w:lang w:val="en-GB"/>
        </w:rPr>
        <w:t>It is proposed that this joint decision-making mechanism for land use in the PONASI landscape be chaired by the President of the South-Central Regional Council, assisted by the other two Presidents of Regional Councils as Vice-Presidents (the order may also provide for a functional co-presidency)</w:t>
      </w:r>
      <w:r>
        <w:rPr>
          <w:rFonts w:ascii="Calibri" w:hAnsi="Calibri"/>
          <w:sz w:val="20"/>
          <w:szCs w:val="20"/>
          <w:lang w:val="en-GB"/>
        </w:rPr>
        <w:t xml:space="preserve"> and that it </w:t>
      </w:r>
      <w:r w:rsidRPr="00F52082">
        <w:rPr>
          <w:rFonts w:ascii="Calibri" w:hAnsi="Calibri"/>
          <w:sz w:val="20"/>
          <w:szCs w:val="20"/>
          <w:lang w:val="en-GB"/>
        </w:rPr>
        <w:t>has the following attributions</w:t>
      </w:r>
      <w:r w:rsidRPr="005F3825">
        <w:rPr>
          <w:rFonts w:ascii="Calibri" w:hAnsi="Calibri"/>
          <w:sz w:val="20"/>
          <w:szCs w:val="20"/>
          <w:lang w:val="en-GB"/>
        </w:rPr>
        <w:t>:</w:t>
      </w:r>
    </w:p>
    <w:p w14:paraId="6F4B1FD5" w14:textId="77777777" w:rsidR="00302BFE" w:rsidRPr="000842A4" w:rsidRDefault="00302BFE" w:rsidP="00C46720">
      <w:pPr>
        <w:pStyle w:val="Paragraphedeliste"/>
        <w:numPr>
          <w:ilvl w:val="0"/>
          <w:numId w:val="15"/>
        </w:numPr>
        <w:autoSpaceDE w:val="0"/>
        <w:autoSpaceDN w:val="0"/>
        <w:adjustRightInd w:val="0"/>
        <w:spacing w:before="120" w:after="120"/>
        <w:ind w:left="567" w:hanging="284"/>
        <w:contextualSpacing/>
        <w:jc w:val="both"/>
        <w:rPr>
          <w:rFonts w:ascii="Calibri" w:hAnsi="Calibri"/>
          <w:sz w:val="20"/>
          <w:szCs w:val="20"/>
          <w:lang w:val="en-GB"/>
        </w:rPr>
      </w:pPr>
      <w:r w:rsidRPr="000842A4">
        <w:rPr>
          <w:rFonts w:ascii="Calibri" w:hAnsi="Calibri"/>
          <w:sz w:val="20"/>
          <w:szCs w:val="20"/>
          <w:lang w:val="en-GB"/>
        </w:rPr>
        <w:t xml:space="preserve">Harmonize the different management jurisdictions on specific management units within the landscape, including the protected areas of the State, wildlife corridors, ZOVICs as community protected areas, forest massifs as well as village and communal forests, CAFs, pastoral areas, transhumance corridors, and </w:t>
      </w:r>
      <w:proofErr w:type="spellStart"/>
      <w:r w:rsidRPr="000842A4">
        <w:rPr>
          <w:rFonts w:ascii="Calibri" w:hAnsi="Calibri"/>
          <w:sz w:val="20"/>
          <w:szCs w:val="20"/>
          <w:lang w:val="en-GB"/>
        </w:rPr>
        <w:t>agro</w:t>
      </w:r>
      <w:proofErr w:type="spellEnd"/>
      <w:r w:rsidRPr="000842A4">
        <w:rPr>
          <w:rFonts w:ascii="Calibri" w:hAnsi="Calibri"/>
          <w:sz w:val="20"/>
          <w:szCs w:val="20"/>
          <w:lang w:val="en-GB"/>
        </w:rPr>
        <w:t>-</w:t>
      </w:r>
      <w:proofErr w:type="spellStart"/>
      <w:r w:rsidRPr="000842A4">
        <w:rPr>
          <w:rFonts w:ascii="Calibri" w:hAnsi="Calibri"/>
          <w:sz w:val="20"/>
          <w:szCs w:val="20"/>
          <w:lang w:val="en-GB"/>
        </w:rPr>
        <w:t>sylvo</w:t>
      </w:r>
      <w:proofErr w:type="spellEnd"/>
      <w:r w:rsidRPr="000842A4">
        <w:rPr>
          <w:rFonts w:ascii="Calibri" w:hAnsi="Calibri"/>
          <w:sz w:val="20"/>
          <w:szCs w:val="20"/>
          <w:lang w:val="en-GB"/>
        </w:rPr>
        <w:t xml:space="preserve">-pastoral lands: </w:t>
      </w:r>
    </w:p>
    <w:p w14:paraId="301112EF" w14:textId="67420F7D" w:rsidR="00302BFE" w:rsidRDefault="00302BFE" w:rsidP="00C46720">
      <w:pPr>
        <w:pStyle w:val="Paragraphedeliste"/>
        <w:numPr>
          <w:ilvl w:val="0"/>
          <w:numId w:val="16"/>
        </w:numPr>
        <w:autoSpaceDE w:val="0"/>
        <w:autoSpaceDN w:val="0"/>
        <w:adjustRightInd w:val="0"/>
        <w:spacing w:before="120" w:after="120"/>
        <w:ind w:left="993" w:hanging="218"/>
        <w:contextualSpacing/>
        <w:rPr>
          <w:rFonts w:ascii="Calibri" w:hAnsi="Calibri"/>
          <w:sz w:val="20"/>
          <w:szCs w:val="20"/>
          <w:lang w:val="en-GB"/>
        </w:rPr>
      </w:pPr>
      <w:r w:rsidRPr="005F3825">
        <w:rPr>
          <w:rFonts w:ascii="Calibri" w:hAnsi="Calibri"/>
          <w:sz w:val="20"/>
          <w:szCs w:val="20"/>
          <w:lang w:val="en-GB"/>
        </w:rPr>
        <w:t>DGEF, OFINAP, DREEVCCs,</w:t>
      </w:r>
    </w:p>
    <w:p w14:paraId="6C590DB7" w14:textId="4C001590" w:rsidR="00C756F3" w:rsidRPr="007E0D06" w:rsidRDefault="00C756F3" w:rsidP="00C46720">
      <w:pPr>
        <w:pStyle w:val="Paragraphedeliste"/>
        <w:numPr>
          <w:ilvl w:val="0"/>
          <w:numId w:val="16"/>
        </w:numPr>
        <w:autoSpaceDE w:val="0"/>
        <w:autoSpaceDN w:val="0"/>
        <w:adjustRightInd w:val="0"/>
        <w:spacing w:before="120" w:after="120"/>
        <w:ind w:left="993" w:hanging="218"/>
        <w:contextualSpacing/>
        <w:rPr>
          <w:rFonts w:ascii="Calibri" w:hAnsi="Calibri"/>
          <w:sz w:val="20"/>
          <w:szCs w:val="20"/>
          <w:lang w:val="en-GB"/>
        </w:rPr>
      </w:pPr>
      <w:r w:rsidRPr="007E0D06">
        <w:rPr>
          <w:rFonts w:ascii="Calibri" w:hAnsi="Calibri"/>
          <w:sz w:val="20"/>
          <w:szCs w:val="20"/>
          <w:lang w:val="en-GB"/>
        </w:rPr>
        <w:t>A representative of the national designated authority of the Ramsar Convention</w:t>
      </w:r>
    </w:p>
    <w:p w14:paraId="1A102BAD" w14:textId="77777777" w:rsidR="00302BFE" w:rsidRPr="005F3825" w:rsidRDefault="00302BFE" w:rsidP="00C46720">
      <w:pPr>
        <w:pStyle w:val="Paragraphedeliste"/>
        <w:numPr>
          <w:ilvl w:val="0"/>
          <w:numId w:val="16"/>
        </w:numPr>
        <w:autoSpaceDE w:val="0"/>
        <w:autoSpaceDN w:val="0"/>
        <w:adjustRightInd w:val="0"/>
        <w:spacing w:before="120" w:after="120"/>
        <w:ind w:left="993" w:hanging="218"/>
        <w:contextualSpacing/>
        <w:rPr>
          <w:rFonts w:ascii="Calibri" w:hAnsi="Calibri"/>
          <w:sz w:val="20"/>
          <w:szCs w:val="20"/>
          <w:lang w:val="en-GB"/>
        </w:rPr>
      </w:pPr>
      <w:r w:rsidRPr="005F3825">
        <w:rPr>
          <w:rFonts w:ascii="Calibri" w:hAnsi="Calibri"/>
          <w:sz w:val="20"/>
          <w:szCs w:val="20"/>
          <w:lang w:val="en-GB"/>
        </w:rPr>
        <w:t>devolved technical structures in charge of Planning (DREP) and rural sector departments (Agriculture, Livestock, Water</w:t>
      </w:r>
      <w:proofErr w:type="gramStart"/>
      <w:r w:rsidRPr="005F3825">
        <w:rPr>
          <w:rFonts w:ascii="Calibri" w:hAnsi="Calibri"/>
          <w:sz w:val="20"/>
          <w:szCs w:val="20"/>
          <w:lang w:val="en-GB"/>
        </w:rPr>
        <w:t>);</w:t>
      </w:r>
      <w:proofErr w:type="gramEnd"/>
    </w:p>
    <w:p w14:paraId="79683EF2" w14:textId="77777777" w:rsidR="00302BFE" w:rsidRPr="005F3825" w:rsidRDefault="00302BFE" w:rsidP="00C46720">
      <w:pPr>
        <w:pStyle w:val="Paragraphedeliste"/>
        <w:numPr>
          <w:ilvl w:val="0"/>
          <w:numId w:val="16"/>
        </w:numPr>
        <w:autoSpaceDE w:val="0"/>
        <w:autoSpaceDN w:val="0"/>
        <w:adjustRightInd w:val="0"/>
        <w:spacing w:before="120" w:after="120"/>
        <w:ind w:left="993" w:hanging="218"/>
        <w:contextualSpacing/>
        <w:rPr>
          <w:rFonts w:ascii="Calibri" w:hAnsi="Calibri"/>
          <w:sz w:val="20"/>
          <w:szCs w:val="20"/>
          <w:lang w:val="en-GB"/>
        </w:rPr>
      </w:pPr>
      <w:r w:rsidRPr="005F3825">
        <w:rPr>
          <w:rFonts w:ascii="Calibri" w:hAnsi="Calibri"/>
          <w:sz w:val="20"/>
          <w:szCs w:val="20"/>
          <w:lang w:val="en-GB"/>
        </w:rPr>
        <w:t>local authorities (</w:t>
      </w:r>
      <w:r w:rsidRPr="002764C7">
        <w:rPr>
          <w:rFonts w:ascii="Calibri" w:hAnsi="Calibri"/>
          <w:sz w:val="20"/>
          <w:szCs w:val="20"/>
          <w:lang w:val="en-GB"/>
        </w:rPr>
        <w:t>communes</w:t>
      </w:r>
      <w:r w:rsidRPr="005F3825">
        <w:rPr>
          <w:rFonts w:ascii="Calibri" w:hAnsi="Calibri"/>
          <w:sz w:val="20"/>
          <w:szCs w:val="20"/>
          <w:lang w:val="en-GB"/>
        </w:rPr>
        <w:t xml:space="preserve"> and regions</w:t>
      </w:r>
      <w:proofErr w:type="gramStart"/>
      <w:r w:rsidRPr="005F3825">
        <w:rPr>
          <w:rFonts w:ascii="Calibri" w:hAnsi="Calibri"/>
          <w:sz w:val="20"/>
          <w:szCs w:val="20"/>
          <w:lang w:val="en-GB"/>
        </w:rPr>
        <w:t>);</w:t>
      </w:r>
      <w:proofErr w:type="gramEnd"/>
    </w:p>
    <w:p w14:paraId="2F43C579" w14:textId="77777777" w:rsidR="00302BFE" w:rsidRPr="005F3825" w:rsidRDefault="00302BFE" w:rsidP="00C46720">
      <w:pPr>
        <w:pStyle w:val="Paragraphedeliste"/>
        <w:numPr>
          <w:ilvl w:val="0"/>
          <w:numId w:val="16"/>
        </w:numPr>
        <w:autoSpaceDE w:val="0"/>
        <w:autoSpaceDN w:val="0"/>
        <w:adjustRightInd w:val="0"/>
        <w:spacing w:before="120" w:after="120"/>
        <w:ind w:left="993" w:hanging="218"/>
        <w:contextualSpacing/>
        <w:rPr>
          <w:rFonts w:ascii="Calibri" w:hAnsi="Calibri"/>
          <w:sz w:val="20"/>
          <w:szCs w:val="20"/>
          <w:lang w:val="en-CA"/>
        </w:rPr>
      </w:pPr>
      <w:r w:rsidRPr="005F3825">
        <w:rPr>
          <w:rFonts w:ascii="Calibri" w:hAnsi="Calibri"/>
          <w:sz w:val="20"/>
          <w:szCs w:val="20"/>
          <w:lang w:val="en-CA"/>
        </w:rPr>
        <w:t xml:space="preserve">Regional Councils for Gender </w:t>
      </w:r>
      <w:proofErr w:type="gramStart"/>
      <w:r w:rsidRPr="005F3825">
        <w:rPr>
          <w:rFonts w:ascii="Calibri" w:hAnsi="Calibri"/>
          <w:sz w:val="20"/>
          <w:szCs w:val="20"/>
          <w:lang w:val="en-CA"/>
        </w:rPr>
        <w:t>Promotion;</w:t>
      </w:r>
      <w:proofErr w:type="gramEnd"/>
    </w:p>
    <w:p w14:paraId="55FB7AAA" w14:textId="77777777" w:rsidR="00302BFE" w:rsidRPr="005F3825" w:rsidRDefault="00302BFE" w:rsidP="00C46720">
      <w:pPr>
        <w:pStyle w:val="Paragraphedeliste"/>
        <w:numPr>
          <w:ilvl w:val="0"/>
          <w:numId w:val="16"/>
        </w:numPr>
        <w:autoSpaceDE w:val="0"/>
        <w:autoSpaceDN w:val="0"/>
        <w:adjustRightInd w:val="0"/>
        <w:spacing w:before="120" w:after="120"/>
        <w:ind w:left="993" w:hanging="218"/>
        <w:contextualSpacing/>
        <w:rPr>
          <w:rFonts w:ascii="Calibri" w:hAnsi="Calibri"/>
          <w:sz w:val="20"/>
          <w:szCs w:val="20"/>
          <w:lang w:val="en-GB"/>
        </w:rPr>
      </w:pPr>
      <w:r w:rsidRPr="005F3825">
        <w:rPr>
          <w:rFonts w:ascii="Calibri" w:hAnsi="Calibri"/>
          <w:sz w:val="20"/>
          <w:szCs w:val="20"/>
          <w:lang w:val="en-GB"/>
        </w:rPr>
        <w:t xml:space="preserve">representatives of resource users: Regional Chambers of Agriculture, Forest Management Unions, Hunters' Associations and </w:t>
      </w:r>
      <w:r>
        <w:rPr>
          <w:rFonts w:ascii="Calibri" w:hAnsi="Calibri"/>
          <w:sz w:val="20"/>
          <w:szCs w:val="20"/>
          <w:lang w:val="en-GB"/>
        </w:rPr>
        <w:t>h</w:t>
      </w:r>
      <w:r w:rsidRPr="005F3825">
        <w:rPr>
          <w:rFonts w:ascii="Calibri" w:hAnsi="Calibri"/>
          <w:sz w:val="20"/>
          <w:szCs w:val="20"/>
          <w:lang w:val="en-GB"/>
        </w:rPr>
        <w:t xml:space="preserve">unting concession </w:t>
      </w:r>
      <w:proofErr w:type="gramStart"/>
      <w:r w:rsidRPr="005F3825">
        <w:rPr>
          <w:rFonts w:ascii="Calibri" w:hAnsi="Calibri"/>
          <w:sz w:val="20"/>
          <w:szCs w:val="20"/>
          <w:lang w:val="en-GB"/>
        </w:rPr>
        <w:t>holders;</w:t>
      </w:r>
      <w:proofErr w:type="gramEnd"/>
    </w:p>
    <w:p w14:paraId="2B9D9F14" w14:textId="77777777" w:rsidR="00302BFE" w:rsidRPr="002764C7" w:rsidRDefault="00302BFE" w:rsidP="00C46720">
      <w:pPr>
        <w:pStyle w:val="Paragraphedeliste"/>
        <w:numPr>
          <w:ilvl w:val="0"/>
          <w:numId w:val="16"/>
        </w:numPr>
        <w:autoSpaceDE w:val="0"/>
        <w:autoSpaceDN w:val="0"/>
        <w:adjustRightInd w:val="0"/>
        <w:spacing w:before="120" w:after="120"/>
        <w:ind w:left="993" w:hanging="218"/>
        <w:contextualSpacing/>
        <w:rPr>
          <w:rFonts w:ascii="Calibri" w:hAnsi="Calibri"/>
          <w:sz w:val="20"/>
          <w:szCs w:val="20"/>
          <w:lang w:val="en-GB"/>
        </w:rPr>
      </w:pPr>
      <w:r w:rsidRPr="005F3825">
        <w:rPr>
          <w:rFonts w:ascii="Calibri" w:hAnsi="Calibri"/>
          <w:sz w:val="20"/>
          <w:szCs w:val="20"/>
          <w:lang w:val="en-GB"/>
        </w:rPr>
        <w:t xml:space="preserve">projects and public development </w:t>
      </w:r>
      <w:r w:rsidRPr="002764C7">
        <w:rPr>
          <w:rFonts w:ascii="Calibri" w:hAnsi="Calibri"/>
          <w:sz w:val="20"/>
          <w:szCs w:val="20"/>
          <w:lang w:val="en-GB"/>
        </w:rPr>
        <w:t xml:space="preserve">programs in the rural sector involved in the PONASI </w:t>
      </w:r>
      <w:proofErr w:type="gramStart"/>
      <w:r w:rsidRPr="002764C7">
        <w:rPr>
          <w:rFonts w:ascii="Calibri" w:hAnsi="Calibri"/>
          <w:sz w:val="20"/>
          <w:szCs w:val="20"/>
          <w:lang w:val="en-GB"/>
        </w:rPr>
        <w:t>landscape;</w:t>
      </w:r>
      <w:proofErr w:type="gramEnd"/>
    </w:p>
    <w:p w14:paraId="58EC9B81" w14:textId="77777777" w:rsidR="00302BFE" w:rsidRPr="002764C7" w:rsidRDefault="00302BFE" w:rsidP="00C46720">
      <w:pPr>
        <w:pStyle w:val="Paragraphedeliste"/>
        <w:numPr>
          <w:ilvl w:val="0"/>
          <w:numId w:val="16"/>
        </w:numPr>
        <w:autoSpaceDE w:val="0"/>
        <w:autoSpaceDN w:val="0"/>
        <w:adjustRightInd w:val="0"/>
        <w:spacing w:before="120" w:after="120"/>
        <w:ind w:left="993" w:hanging="218"/>
        <w:contextualSpacing/>
        <w:jc w:val="both"/>
        <w:rPr>
          <w:rFonts w:ascii="Calibri" w:hAnsi="Calibri"/>
          <w:sz w:val="20"/>
          <w:szCs w:val="20"/>
          <w:lang w:val="en-GB"/>
        </w:rPr>
      </w:pPr>
      <w:r w:rsidRPr="002764C7">
        <w:rPr>
          <w:rFonts w:ascii="Calibri" w:hAnsi="Calibri"/>
          <w:sz w:val="20"/>
          <w:szCs w:val="20"/>
          <w:lang w:val="en-GB"/>
        </w:rPr>
        <w:t>national and international NGOs active in the field of conservation and sustainable land and resource management in the PONASI landscape.</w:t>
      </w:r>
    </w:p>
    <w:p w14:paraId="08168A85" w14:textId="77777777" w:rsidR="00302BFE" w:rsidRPr="005F3825" w:rsidRDefault="00302BFE" w:rsidP="00C46720">
      <w:pPr>
        <w:pStyle w:val="Paragraphedeliste"/>
        <w:numPr>
          <w:ilvl w:val="0"/>
          <w:numId w:val="15"/>
        </w:numPr>
        <w:autoSpaceDE w:val="0"/>
        <w:autoSpaceDN w:val="0"/>
        <w:adjustRightInd w:val="0"/>
        <w:spacing w:before="120" w:after="120"/>
        <w:ind w:left="567" w:hanging="284"/>
        <w:contextualSpacing/>
        <w:jc w:val="both"/>
        <w:rPr>
          <w:rFonts w:ascii="Calibri" w:hAnsi="Calibri"/>
          <w:sz w:val="20"/>
          <w:szCs w:val="20"/>
          <w:lang w:val="en-GB"/>
        </w:rPr>
      </w:pPr>
      <w:r w:rsidRPr="005F3825">
        <w:rPr>
          <w:rFonts w:ascii="Calibri" w:hAnsi="Calibri"/>
          <w:sz w:val="20"/>
          <w:szCs w:val="20"/>
          <w:lang w:val="en-GB"/>
        </w:rPr>
        <w:t xml:space="preserve">Harmonize stakeholder approaches or interventions with regard to conservation and sustainable land and resource management at the PONASI landscape </w:t>
      </w:r>
      <w:proofErr w:type="gramStart"/>
      <w:r w:rsidRPr="005F3825">
        <w:rPr>
          <w:rFonts w:ascii="Calibri" w:hAnsi="Calibri"/>
          <w:sz w:val="20"/>
          <w:szCs w:val="20"/>
          <w:lang w:val="en-GB"/>
        </w:rPr>
        <w:t>level;</w:t>
      </w:r>
      <w:proofErr w:type="gramEnd"/>
    </w:p>
    <w:p w14:paraId="63CCBDF2" w14:textId="77777777" w:rsidR="00302BFE" w:rsidRPr="005F3825" w:rsidRDefault="00302BFE" w:rsidP="00C46720">
      <w:pPr>
        <w:pStyle w:val="Paragraphedeliste"/>
        <w:numPr>
          <w:ilvl w:val="0"/>
          <w:numId w:val="15"/>
        </w:numPr>
        <w:autoSpaceDE w:val="0"/>
        <w:autoSpaceDN w:val="0"/>
        <w:adjustRightInd w:val="0"/>
        <w:spacing w:before="120" w:after="120"/>
        <w:ind w:left="567" w:hanging="284"/>
        <w:contextualSpacing/>
        <w:jc w:val="both"/>
        <w:rPr>
          <w:rFonts w:ascii="Calibri" w:hAnsi="Calibri"/>
          <w:sz w:val="20"/>
          <w:szCs w:val="20"/>
          <w:lang w:val="en-GB"/>
        </w:rPr>
      </w:pPr>
      <w:r w:rsidRPr="005F3825">
        <w:rPr>
          <w:rFonts w:ascii="Calibri" w:hAnsi="Calibri"/>
          <w:sz w:val="20"/>
          <w:szCs w:val="20"/>
          <w:lang w:val="en-GB"/>
        </w:rPr>
        <w:t xml:space="preserve">Lead the development and validation of an environmental land use planning tool as a spatial planning methodology, as a system for visualizing the impacts of economic activities on the landscape with a clear articulation of trade- offs, to support decision-making on land use that maximizes environmental and economic </w:t>
      </w:r>
      <w:proofErr w:type="gramStart"/>
      <w:r w:rsidRPr="005F3825">
        <w:rPr>
          <w:rFonts w:ascii="Calibri" w:hAnsi="Calibri"/>
          <w:sz w:val="20"/>
          <w:szCs w:val="20"/>
          <w:lang w:val="en-GB"/>
        </w:rPr>
        <w:t>benefits;</w:t>
      </w:r>
      <w:proofErr w:type="gramEnd"/>
    </w:p>
    <w:p w14:paraId="409FDE81" w14:textId="77777777" w:rsidR="00302BFE" w:rsidRPr="005F3825" w:rsidRDefault="00302BFE" w:rsidP="00C46720">
      <w:pPr>
        <w:pStyle w:val="Paragraphedeliste"/>
        <w:numPr>
          <w:ilvl w:val="0"/>
          <w:numId w:val="15"/>
        </w:numPr>
        <w:autoSpaceDE w:val="0"/>
        <w:autoSpaceDN w:val="0"/>
        <w:adjustRightInd w:val="0"/>
        <w:spacing w:before="120" w:after="120"/>
        <w:ind w:left="567" w:hanging="284"/>
        <w:contextualSpacing/>
        <w:jc w:val="both"/>
        <w:rPr>
          <w:rFonts w:ascii="Calibri" w:hAnsi="Calibri"/>
          <w:sz w:val="20"/>
          <w:szCs w:val="20"/>
          <w:lang w:val="en-GB"/>
        </w:rPr>
      </w:pPr>
      <w:r w:rsidRPr="005F3825">
        <w:rPr>
          <w:rFonts w:ascii="Calibri" w:hAnsi="Calibri"/>
          <w:sz w:val="20"/>
          <w:szCs w:val="20"/>
          <w:lang w:val="en-GB"/>
        </w:rPr>
        <w:t xml:space="preserve">Monitor the application of the Environmental Land Use Planning Tool, including the development and implementation of the PONASI Landscape Management Master Plan over the next 15 </w:t>
      </w:r>
      <w:proofErr w:type="gramStart"/>
      <w:r w:rsidRPr="005F3825">
        <w:rPr>
          <w:rFonts w:ascii="Calibri" w:hAnsi="Calibri"/>
          <w:sz w:val="20"/>
          <w:szCs w:val="20"/>
          <w:lang w:val="en-GB"/>
        </w:rPr>
        <w:t>years;</w:t>
      </w:r>
      <w:proofErr w:type="gramEnd"/>
    </w:p>
    <w:p w14:paraId="5027E2CA" w14:textId="77777777" w:rsidR="00302BFE" w:rsidRPr="005F3825" w:rsidRDefault="00302BFE" w:rsidP="00C46720">
      <w:pPr>
        <w:pStyle w:val="Paragraphedeliste"/>
        <w:numPr>
          <w:ilvl w:val="0"/>
          <w:numId w:val="15"/>
        </w:numPr>
        <w:autoSpaceDE w:val="0"/>
        <w:autoSpaceDN w:val="0"/>
        <w:adjustRightInd w:val="0"/>
        <w:spacing w:before="120" w:after="120"/>
        <w:ind w:left="567" w:hanging="284"/>
        <w:contextualSpacing/>
        <w:jc w:val="both"/>
        <w:rPr>
          <w:rFonts w:ascii="Calibri" w:hAnsi="Calibri"/>
          <w:sz w:val="20"/>
          <w:szCs w:val="20"/>
          <w:lang w:val="en-GB"/>
        </w:rPr>
      </w:pPr>
      <w:r w:rsidRPr="005F3825">
        <w:rPr>
          <w:rFonts w:ascii="Calibri" w:hAnsi="Calibri"/>
          <w:sz w:val="20"/>
          <w:szCs w:val="20"/>
          <w:lang w:val="en-GB"/>
        </w:rPr>
        <w:t xml:space="preserve">Coordinate the interventions of all stakeholders in biodiversity conservation and </w:t>
      </w:r>
      <w:proofErr w:type="gramStart"/>
      <w:r w:rsidRPr="005F3825">
        <w:rPr>
          <w:rFonts w:ascii="Calibri" w:hAnsi="Calibri"/>
          <w:sz w:val="20"/>
          <w:szCs w:val="20"/>
          <w:lang w:val="en-GB"/>
        </w:rPr>
        <w:t>SLM;</w:t>
      </w:r>
      <w:proofErr w:type="gramEnd"/>
    </w:p>
    <w:p w14:paraId="253436C0" w14:textId="77777777" w:rsidR="00302BFE" w:rsidRPr="005F3825" w:rsidRDefault="00302BFE" w:rsidP="00C46720">
      <w:pPr>
        <w:pStyle w:val="Paragraphedeliste"/>
        <w:numPr>
          <w:ilvl w:val="0"/>
          <w:numId w:val="15"/>
        </w:numPr>
        <w:autoSpaceDE w:val="0"/>
        <w:autoSpaceDN w:val="0"/>
        <w:adjustRightInd w:val="0"/>
        <w:spacing w:before="120" w:after="120"/>
        <w:ind w:left="567" w:hanging="284"/>
        <w:contextualSpacing/>
        <w:jc w:val="both"/>
        <w:rPr>
          <w:rFonts w:ascii="Calibri" w:hAnsi="Calibri"/>
          <w:sz w:val="20"/>
          <w:szCs w:val="20"/>
          <w:lang w:val="en-GB"/>
        </w:rPr>
      </w:pPr>
      <w:r w:rsidRPr="005F3825">
        <w:rPr>
          <w:rFonts w:ascii="Calibri" w:hAnsi="Calibri"/>
          <w:sz w:val="20"/>
          <w:szCs w:val="20"/>
          <w:lang w:val="en-GB"/>
        </w:rPr>
        <w:t xml:space="preserve">Ensure that the principles of biodiversity conservation and SLM are taken into account in projects and programs at the regional level and in decentralized local development planning </w:t>
      </w:r>
      <w:proofErr w:type="gramStart"/>
      <w:r w:rsidRPr="005F3825">
        <w:rPr>
          <w:rFonts w:ascii="Calibri" w:hAnsi="Calibri"/>
          <w:sz w:val="20"/>
          <w:szCs w:val="20"/>
          <w:lang w:val="en-GB"/>
        </w:rPr>
        <w:t>tools;</w:t>
      </w:r>
      <w:proofErr w:type="gramEnd"/>
    </w:p>
    <w:p w14:paraId="5F2535A5" w14:textId="317C892D" w:rsidR="00302BFE" w:rsidRPr="000F3E26" w:rsidRDefault="00302BFE" w:rsidP="00C46720">
      <w:pPr>
        <w:pStyle w:val="Paragraphedeliste"/>
        <w:numPr>
          <w:ilvl w:val="0"/>
          <w:numId w:val="15"/>
        </w:numPr>
        <w:autoSpaceDE w:val="0"/>
        <w:autoSpaceDN w:val="0"/>
        <w:adjustRightInd w:val="0"/>
        <w:spacing w:before="120" w:after="120"/>
        <w:ind w:left="567" w:hanging="284"/>
        <w:contextualSpacing/>
        <w:jc w:val="both"/>
        <w:rPr>
          <w:rFonts w:ascii="Calibri" w:hAnsi="Calibri"/>
          <w:sz w:val="20"/>
          <w:szCs w:val="20"/>
          <w:lang w:val="en-GB"/>
        </w:rPr>
      </w:pPr>
      <w:r w:rsidRPr="005F3825">
        <w:rPr>
          <w:rFonts w:ascii="Calibri" w:hAnsi="Calibri"/>
          <w:sz w:val="20"/>
          <w:szCs w:val="20"/>
          <w:lang w:val="en-GB"/>
        </w:rPr>
        <w:t xml:space="preserve">Contribute to disseminate information on the progress and achievements of the project with the support of the communication </w:t>
      </w:r>
      <w:r w:rsidRPr="000F3E26">
        <w:rPr>
          <w:rFonts w:ascii="Calibri" w:hAnsi="Calibri"/>
          <w:sz w:val="20"/>
          <w:szCs w:val="20"/>
          <w:lang w:val="en-GB"/>
        </w:rPr>
        <w:t xml:space="preserve">manager of </w:t>
      </w:r>
      <w:r w:rsidR="006F161F" w:rsidRPr="000F3E26">
        <w:rPr>
          <w:rFonts w:ascii="Calibri" w:hAnsi="Calibri"/>
          <w:sz w:val="20"/>
          <w:szCs w:val="20"/>
          <w:lang w:val="en-GB"/>
        </w:rPr>
        <w:t xml:space="preserve">the Project Coordination </w:t>
      </w:r>
      <w:proofErr w:type="gramStart"/>
      <w:r w:rsidR="006F161F" w:rsidRPr="000F3E26">
        <w:rPr>
          <w:rFonts w:ascii="Calibri" w:hAnsi="Calibri"/>
          <w:sz w:val="20"/>
          <w:szCs w:val="20"/>
          <w:lang w:val="en-GB"/>
        </w:rPr>
        <w:t>Unit</w:t>
      </w:r>
      <w:r w:rsidRPr="000F3E26">
        <w:rPr>
          <w:rFonts w:ascii="Calibri" w:hAnsi="Calibri"/>
          <w:sz w:val="20"/>
          <w:szCs w:val="20"/>
          <w:lang w:val="en-GB"/>
        </w:rPr>
        <w:t>;</w:t>
      </w:r>
      <w:proofErr w:type="gramEnd"/>
    </w:p>
    <w:p w14:paraId="3187E93D" w14:textId="77777777" w:rsidR="00302BFE" w:rsidRPr="005F3825" w:rsidRDefault="00302BFE" w:rsidP="00C46720">
      <w:pPr>
        <w:pStyle w:val="Paragraphedeliste"/>
        <w:numPr>
          <w:ilvl w:val="0"/>
          <w:numId w:val="15"/>
        </w:numPr>
        <w:autoSpaceDE w:val="0"/>
        <w:autoSpaceDN w:val="0"/>
        <w:adjustRightInd w:val="0"/>
        <w:spacing w:before="120" w:after="120"/>
        <w:ind w:left="567" w:hanging="284"/>
        <w:contextualSpacing/>
        <w:jc w:val="both"/>
        <w:rPr>
          <w:rFonts w:ascii="Calibri" w:hAnsi="Calibri"/>
          <w:sz w:val="20"/>
          <w:szCs w:val="20"/>
          <w:lang w:val="en-GB"/>
        </w:rPr>
      </w:pPr>
      <w:r w:rsidRPr="005F3825">
        <w:rPr>
          <w:rFonts w:ascii="Calibri" w:hAnsi="Calibri"/>
          <w:sz w:val="20"/>
          <w:szCs w:val="20"/>
          <w:lang w:val="en-GB"/>
        </w:rPr>
        <w:t xml:space="preserve">Contribute to disseminate the results of scientific studies on biodiversity conservation and sustainable management of lands and resources applicable to PONASI landscape </w:t>
      </w:r>
      <w:proofErr w:type="gramStart"/>
      <w:r w:rsidRPr="005F3825">
        <w:rPr>
          <w:rFonts w:ascii="Calibri" w:hAnsi="Calibri"/>
          <w:sz w:val="20"/>
          <w:szCs w:val="20"/>
          <w:lang w:val="en-GB"/>
        </w:rPr>
        <w:t>issues;</w:t>
      </w:r>
      <w:proofErr w:type="gramEnd"/>
    </w:p>
    <w:p w14:paraId="460B8B06" w14:textId="77777777" w:rsidR="00302BFE" w:rsidRPr="005F3825" w:rsidRDefault="00302BFE" w:rsidP="00C46720">
      <w:pPr>
        <w:pStyle w:val="Paragraphedeliste"/>
        <w:numPr>
          <w:ilvl w:val="0"/>
          <w:numId w:val="15"/>
        </w:numPr>
        <w:autoSpaceDE w:val="0"/>
        <w:autoSpaceDN w:val="0"/>
        <w:adjustRightInd w:val="0"/>
        <w:spacing w:before="120" w:after="120"/>
        <w:ind w:left="568" w:hanging="284"/>
        <w:jc w:val="both"/>
        <w:rPr>
          <w:rFonts w:ascii="Calibri" w:hAnsi="Calibri"/>
          <w:sz w:val="20"/>
          <w:szCs w:val="20"/>
          <w:lang w:val="en-GB"/>
        </w:rPr>
      </w:pPr>
      <w:r w:rsidRPr="005F3825">
        <w:rPr>
          <w:rFonts w:ascii="Calibri" w:hAnsi="Calibri"/>
          <w:sz w:val="20"/>
          <w:szCs w:val="20"/>
          <w:lang w:val="en-GB"/>
        </w:rPr>
        <w:t>Develop partnerships with national institutions and structures concerned with SLM issues and biodiversity conservation.</w:t>
      </w:r>
    </w:p>
    <w:p w14:paraId="43E1320E"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 xml:space="preserve">The mechanism will have a permanent technical core (made up of the </w:t>
      </w:r>
      <w:r w:rsidR="00A06E39">
        <w:rPr>
          <w:rFonts w:ascii="Calibri" w:hAnsi="Calibri"/>
          <w:sz w:val="20"/>
          <w:szCs w:val="20"/>
          <w:lang w:val="en-GB"/>
        </w:rPr>
        <w:t>key</w:t>
      </w:r>
      <w:r w:rsidRPr="005F3825">
        <w:rPr>
          <w:rFonts w:ascii="Calibri" w:hAnsi="Calibri"/>
          <w:sz w:val="20"/>
          <w:szCs w:val="20"/>
          <w:lang w:val="en-GB"/>
        </w:rPr>
        <w:t xml:space="preserve"> conservation and SLM actors of the three Regions) led by the Regional Director in charge of the Environment of the South-</w:t>
      </w:r>
      <w:proofErr w:type="spellStart"/>
      <w:r w:rsidRPr="005F3825">
        <w:rPr>
          <w:rFonts w:ascii="Calibri" w:hAnsi="Calibri"/>
          <w:sz w:val="20"/>
          <w:szCs w:val="20"/>
          <w:lang w:val="en-GB"/>
        </w:rPr>
        <w:t>Center</w:t>
      </w:r>
      <w:proofErr w:type="spellEnd"/>
      <w:r w:rsidRPr="005F3825">
        <w:rPr>
          <w:rFonts w:ascii="Calibri" w:hAnsi="Calibri"/>
          <w:sz w:val="20"/>
          <w:szCs w:val="20"/>
          <w:lang w:val="en-GB"/>
        </w:rPr>
        <w:t>, assisted by the other two of the two other Directors West-Central and East Central) and having as Rapporteurs the Regional Directors of Economy and Planning. The permanent technical core will be responsible for:</w:t>
      </w:r>
    </w:p>
    <w:p w14:paraId="314A2ADD" w14:textId="77777777" w:rsidR="00302BFE" w:rsidRPr="005F3825" w:rsidRDefault="00302BFE" w:rsidP="00C46720">
      <w:pPr>
        <w:pStyle w:val="Paragraphedeliste"/>
        <w:numPr>
          <w:ilvl w:val="0"/>
          <w:numId w:val="18"/>
        </w:numPr>
        <w:autoSpaceDE w:val="0"/>
        <w:autoSpaceDN w:val="0"/>
        <w:adjustRightInd w:val="0"/>
        <w:spacing w:before="120" w:after="120"/>
        <w:ind w:left="567" w:hanging="284"/>
        <w:contextualSpacing/>
        <w:jc w:val="both"/>
        <w:rPr>
          <w:rFonts w:ascii="Calibri" w:hAnsi="Calibri"/>
          <w:sz w:val="20"/>
          <w:szCs w:val="20"/>
          <w:lang w:val="en-GB"/>
        </w:rPr>
      </w:pPr>
      <w:r w:rsidRPr="005F3825">
        <w:rPr>
          <w:rFonts w:ascii="Calibri" w:hAnsi="Calibri"/>
          <w:sz w:val="20"/>
          <w:szCs w:val="20"/>
          <w:lang w:val="en-GB"/>
        </w:rPr>
        <w:t xml:space="preserve">Contributing to the operation of the PONASI Landscape Co-governance Mechanism, for which he will act as </w:t>
      </w:r>
      <w:proofErr w:type="gramStart"/>
      <w:r w:rsidRPr="005F3825">
        <w:rPr>
          <w:rFonts w:ascii="Calibri" w:hAnsi="Calibri"/>
          <w:sz w:val="20"/>
          <w:szCs w:val="20"/>
          <w:lang w:val="en-GB"/>
        </w:rPr>
        <w:t>secretary;</w:t>
      </w:r>
      <w:proofErr w:type="gramEnd"/>
    </w:p>
    <w:p w14:paraId="055B29B8" w14:textId="77777777" w:rsidR="00302BFE" w:rsidRPr="005F3825" w:rsidRDefault="00302BFE" w:rsidP="00C46720">
      <w:pPr>
        <w:pStyle w:val="Paragraphedeliste"/>
        <w:numPr>
          <w:ilvl w:val="0"/>
          <w:numId w:val="18"/>
        </w:numPr>
        <w:autoSpaceDE w:val="0"/>
        <w:autoSpaceDN w:val="0"/>
        <w:adjustRightInd w:val="0"/>
        <w:spacing w:before="120" w:after="120"/>
        <w:ind w:left="567" w:hanging="284"/>
        <w:contextualSpacing/>
        <w:jc w:val="both"/>
        <w:rPr>
          <w:rFonts w:ascii="Calibri" w:hAnsi="Calibri"/>
          <w:sz w:val="20"/>
          <w:szCs w:val="20"/>
          <w:lang w:val="en-GB"/>
        </w:rPr>
      </w:pPr>
      <w:r w:rsidRPr="005F3825">
        <w:rPr>
          <w:rFonts w:ascii="Calibri" w:hAnsi="Calibri"/>
          <w:sz w:val="20"/>
          <w:szCs w:val="20"/>
          <w:lang w:val="en-GB"/>
        </w:rPr>
        <w:t xml:space="preserve">Initiating work programs, annual multi-stakeholder investment plans submitted to the Stakeholder Assembly of the Co-Governance </w:t>
      </w:r>
      <w:proofErr w:type="gramStart"/>
      <w:r w:rsidRPr="005F3825">
        <w:rPr>
          <w:rFonts w:ascii="Calibri" w:hAnsi="Calibri"/>
          <w:sz w:val="20"/>
          <w:szCs w:val="20"/>
          <w:lang w:val="en-GB"/>
        </w:rPr>
        <w:t>Mechanism;</w:t>
      </w:r>
      <w:proofErr w:type="gramEnd"/>
    </w:p>
    <w:p w14:paraId="155C2B9F" w14:textId="77777777" w:rsidR="00302BFE" w:rsidRPr="005F3825" w:rsidRDefault="00302BFE" w:rsidP="00C46720">
      <w:pPr>
        <w:pStyle w:val="Paragraphedeliste"/>
        <w:numPr>
          <w:ilvl w:val="0"/>
          <w:numId w:val="18"/>
        </w:numPr>
        <w:autoSpaceDE w:val="0"/>
        <w:autoSpaceDN w:val="0"/>
        <w:adjustRightInd w:val="0"/>
        <w:spacing w:before="120" w:after="120"/>
        <w:ind w:left="567" w:hanging="284"/>
        <w:contextualSpacing/>
        <w:jc w:val="both"/>
        <w:rPr>
          <w:rFonts w:ascii="Calibri" w:hAnsi="Calibri"/>
          <w:sz w:val="20"/>
          <w:szCs w:val="20"/>
          <w:lang w:val="en-GB"/>
        </w:rPr>
      </w:pPr>
      <w:r w:rsidRPr="005F3825">
        <w:rPr>
          <w:rFonts w:ascii="Calibri" w:hAnsi="Calibri"/>
          <w:sz w:val="20"/>
          <w:szCs w:val="20"/>
          <w:lang w:val="en-GB"/>
        </w:rPr>
        <w:t xml:space="preserve">Prepare annual reports reporting on the progress report of the platform's activities and submit them to the stakeholder </w:t>
      </w:r>
      <w:proofErr w:type="gramStart"/>
      <w:r w:rsidRPr="005F3825">
        <w:rPr>
          <w:rFonts w:ascii="Calibri" w:hAnsi="Calibri"/>
          <w:sz w:val="20"/>
          <w:szCs w:val="20"/>
          <w:lang w:val="en-GB"/>
        </w:rPr>
        <w:t>assembly;</w:t>
      </w:r>
      <w:proofErr w:type="gramEnd"/>
    </w:p>
    <w:p w14:paraId="0C0239F2" w14:textId="77777777" w:rsidR="00302BFE" w:rsidRPr="005F3825" w:rsidRDefault="00302BFE" w:rsidP="00C46720">
      <w:pPr>
        <w:pStyle w:val="Paragraphedeliste"/>
        <w:numPr>
          <w:ilvl w:val="0"/>
          <w:numId w:val="18"/>
        </w:numPr>
        <w:autoSpaceDE w:val="0"/>
        <w:autoSpaceDN w:val="0"/>
        <w:adjustRightInd w:val="0"/>
        <w:spacing w:before="120" w:after="120"/>
        <w:ind w:left="567" w:hanging="284"/>
        <w:contextualSpacing/>
        <w:jc w:val="both"/>
        <w:rPr>
          <w:rFonts w:ascii="Calibri" w:hAnsi="Calibri"/>
          <w:sz w:val="20"/>
          <w:szCs w:val="20"/>
          <w:lang w:val="en-GB"/>
        </w:rPr>
      </w:pPr>
      <w:r w:rsidRPr="005F3825">
        <w:rPr>
          <w:rFonts w:ascii="Calibri" w:hAnsi="Calibri"/>
          <w:sz w:val="20"/>
          <w:szCs w:val="20"/>
          <w:lang w:val="en-GB"/>
        </w:rPr>
        <w:t xml:space="preserve">Disseminate results of studies and research on biodiversity conservation and </w:t>
      </w:r>
      <w:proofErr w:type="gramStart"/>
      <w:r w:rsidRPr="005F3825">
        <w:rPr>
          <w:rFonts w:ascii="Calibri" w:hAnsi="Calibri"/>
          <w:sz w:val="20"/>
          <w:szCs w:val="20"/>
          <w:lang w:val="en-GB"/>
        </w:rPr>
        <w:t>SLM;</w:t>
      </w:r>
      <w:proofErr w:type="gramEnd"/>
    </w:p>
    <w:p w14:paraId="4C75C1D2" w14:textId="77777777" w:rsidR="00302BFE" w:rsidRPr="005F3825" w:rsidRDefault="00302BFE" w:rsidP="00C46720">
      <w:pPr>
        <w:pStyle w:val="Paragraphedeliste"/>
        <w:numPr>
          <w:ilvl w:val="0"/>
          <w:numId w:val="18"/>
        </w:numPr>
        <w:autoSpaceDE w:val="0"/>
        <w:autoSpaceDN w:val="0"/>
        <w:adjustRightInd w:val="0"/>
        <w:spacing w:before="120" w:after="120"/>
        <w:ind w:left="568" w:hanging="284"/>
        <w:jc w:val="both"/>
        <w:rPr>
          <w:rFonts w:ascii="Calibri" w:hAnsi="Calibri"/>
          <w:sz w:val="20"/>
          <w:szCs w:val="20"/>
          <w:lang w:val="en-GB"/>
        </w:rPr>
      </w:pPr>
      <w:r w:rsidRPr="005F3825">
        <w:rPr>
          <w:rFonts w:ascii="Calibri" w:hAnsi="Calibri"/>
          <w:sz w:val="20"/>
          <w:szCs w:val="20"/>
          <w:lang w:val="en-GB"/>
        </w:rPr>
        <w:lastRenderedPageBreak/>
        <w:t>Perform any mission to improve the performance of the PONASI Landscape Co-governance Mechanism.</w:t>
      </w:r>
    </w:p>
    <w:p w14:paraId="5C996503" w14:textId="77777777" w:rsidR="00302BFE" w:rsidRPr="000D4277" w:rsidRDefault="00302BFE" w:rsidP="00C46720">
      <w:pPr>
        <w:pStyle w:val="Paragraphedeliste"/>
        <w:numPr>
          <w:ilvl w:val="0"/>
          <w:numId w:val="14"/>
        </w:numPr>
        <w:tabs>
          <w:tab w:val="left" w:pos="284"/>
        </w:tabs>
        <w:spacing w:before="120"/>
        <w:ind w:left="0" w:firstLine="0"/>
        <w:jc w:val="both"/>
        <w:rPr>
          <w:rFonts w:ascii="Calibri" w:hAnsi="Calibri"/>
          <w:sz w:val="20"/>
          <w:szCs w:val="20"/>
          <w:lang w:val="en-GB"/>
        </w:rPr>
      </w:pPr>
      <w:r w:rsidRPr="000D4277">
        <w:rPr>
          <w:rFonts w:ascii="Calibri" w:hAnsi="Calibri"/>
          <w:sz w:val="20"/>
          <w:szCs w:val="20"/>
          <w:lang w:val="en-GB"/>
        </w:rPr>
        <w:t xml:space="preserve">Under the leadership of the Minister of Territorial Administration and Decentralization (MTAD) and through a participatory process guided by an international consultant expert in environmental land-use planning, the previously established multi-stakeholder management body will be updated, and its membership revised through the following tasks: </w:t>
      </w:r>
    </w:p>
    <w:p w14:paraId="03C50820" w14:textId="77777777" w:rsidR="00302BFE" w:rsidRPr="00127AA3" w:rsidRDefault="00302BFE" w:rsidP="00C46720">
      <w:pPr>
        <w:pStyle w:val="Paragraphedeliste"/>
        <w:numPr>
          <w:ilvl w:val="0"/>
          <w:numId w:val="57"/>
        </w:numPr>
        <w:autoSpaceDE w:val="0"/>
        <w:autoSpaceDN w:val="0"/>
        <w:adjustRightInd w:val="0"/>
        <w:spacing w:before="120" w:after="120"/>
        <w:ind w:left="709" w:hanging="218"/>
        <w:contextualSpacing/>
        <w:rPr>
          <w:rFonts w:ascii="Calibri" w:hAnsi="Calibri"/>
          <w:sz w:val="20"/>
          <w:szCs w:val="20"/>
          <w:lang w:val="en-GB"/>
        </w:rPr>
      </w:pPr>
      <w:r w:rsidRPr="00127AA3">
        <w:rPr>
          <w:rFonts w:ascii="Calibri" w:hAnsi="Calibri"/>
          <w:sz w:val="20"/>
          <w:szCs w:val="20"/>
          <w:lang w:val="en-GB"/>
        </w:rPr>
        <w:t xml:space="preserve">identification of the mission of the co-governance </w:t>
      </w:r>
      <w:proofErr w:type="gramStart"/>
      <w:r w:rsidRPr="00127AA3">
        <w:rPr>
          <w:rFonts w:ascii="Calibri" w:hAnsi="Calibri"/>
          <w:sz w:val="20"/>
          <w:szCs w:val="20"/>
          <w:lang w:val="en-GB"/>
        </w:rPr>
        <w:t>mechanism;</w:t>
      </w:r>
      <w:proofErr w:type="gramEnd"/>
      <w:r w:rsidRPr="00127AA3">
        <w:rPr>
          <w:rFonts w:ascii="Calibri" w:hAnsi="Calibri"/>
          <w:sz w:val="20"/>
          <w:szCs w:val="20"/>
          <w:lang w:val="en-GB"/>
        </w:rPr>
        <w:t xml:space="preserve"> </w:t>
      </w:r>
    </w:p>
    <w:p w14:paraId="38D5538C" w14:textId="77777777" w:rsidR="00302BFE" w:rsidRDefault="00302BFE" w:rsidP="00C46720">
      <w:pPr>
        <w:pStyle w:val="Paragraphedeliste"/>
        <w:numPr>
          <w:ilvl w:val="0"/>
          <w:numId w:val="57"/>
        </w:numPr>
        <w:autoSpaceDE w:val="0"/>
        <w:autoSpaceDN w:val="0"/>
        <w:adjustRightInd w:val="0"/>
        <w:spacing w:before="120" w:after="120"/>
        <w:ind w:left="709" w:hanging="218"/>
        <w:contextualSpacing/>
        <w:rPr>
          <w:rFonts w:ascii="Calibri" w:hAnsi="Calibri"/>
          <w:sz w:val="20"/>
          <w:szCs w:val="20"/>
          <w:lang w:val="en-GB"/>
        </w:rPr>
      </w:pPr>
      <w:r w:rsidRPr="005F3825">
        <w:rPr>
          <w:rFonts w:ascii="Calibri" w:hAnsi="Calibri"/>
          <w:sz w:val="20"/>
          <w:szCs w:val="20"/>
          <w:lang w:val="en-GB"/>
        </w:rPr>
        <w:t xml:space="preserve">analysis of stakeholders in landscape management at all levels, including local and community actors and proposal of composition and identification of roles of each party in the </w:t>
      </w:r>
      <w:proofErr w:type="gramStart"/>
      <w:r w:rsidRPr="005F3825">
        <w:rPr>
          <w:rFonts w:ascii="Calibri" w:hAnsi="Calibri"/>
          <w:sz w:val="20"/>
          <w:szCs w:val="20"/>
          <w:lang w:val="en-GB"/>
        </w:rPr>
        <w:t>process;</w:t>
      </w:r>
      <w:proofErr w:type="gramEnd"/>
      <w:r w:rsidRPr="005F3825">
        <w:rPr>
          <w:rFonts w:ascii="Calibri" w:hAnsi="Calibri"/>
          <w:sz w:val="20"/>
          <w:szCs w:val="20"/>
          <w:lang w:val="en-GB"/>
        </w:rPr>
        <w:t xml:space="preserve"> </w:t>
      </w:r>
    </w:p>
    <w:p w14:paraId="6AF2E3DE" w14:textId="77777777" w:rsidR="00302BFE" w:rsidRDefault="00302BFE" w:rsidP="00C46720">
      <w:pPr>
        <w:pStyle w:val="Paragraphedeliste"/>
        <w:numPr>
          <w:ilvl w:val="0"/>
          <w:numId w:val="57"/>
        </w:numPr>
        <w:autoSpaceDE w:val="0"/>
        <w:autoSpaceDN w:val="0"/>
        <w:adjustRightInd w:val="0"/>
        <w:spacing w:before="120" w:after="120"/>
        <w:ind w:left="709" w:hanging="218"/>
        <w:contextualSpacing/>
        <w:rPr>
          <w:rFonts w:ascii="Calibri" w:hAnsi="Calibri"/>
          <w:sz w:val="20"/>
          <w:szCs w:val="20"/>
          <w:lang w:val="en-GB"/>
        </w:rPr>
      </w:pPr>
      <w:r w:rsidRPr="005F3825">
        <w:rPr>
          <w:rFonts w:ascii="Calibri" w:hAnsi="Calibri"/>
          <w:sz w:val="20"/>
          <w:szCs w:val="20"/>
          <w:lang w:val="en-GB"/>
        </w:rPr>
        <w:t xml:space="preserve">participatory confirmation / validation of the proposed </w:t>
      </w:r>
      <w:proofErr w:type="gramStart"/>
      <w:r w:rsidRPr="005F3825">
        <w:rPr>
          <w:rFonts w:ascii="Calibri" w:hAnsi="Calibri"/>
          <w:sz w:val="20"/>
          <w:szCs w:val="20"/>
          <w:lang w:val="en-GB"/>
        </w:rPr>
        <w:t>composition</w:t>
      </w:r>
      <w:r>
        <w:rPr>
          <w:rFonts w:ascii="Calibri" w:hAnsi="Calibri"/>
          <w:sz w:val="20"/>
          <w:szCs w:val="20"/>
          <w:lang w:val="en-GB"/>
        </w:rPr>
        <w:t>;</w:t>
      </w:r>
      <w:proofErr w:type="gramEnd"/>
      <w:r w:rsidRPr="005F3825">
        <w:rPr>
          <w:rFonts w:ascii="Calibri" w:hAnsi="Calibri"/>
          <w:sz w:val="20"/>
          <w:szCs w:val="20"/>
          <w:lang w:val="en-GB"/>
        </w:rPr>
        <w:t xml:space="preserve"> </w:t>
      </w:r>
    </w:p>
    <w:p w14:paraId="031CBCD4" w14:textId="77777777" w:rsidR="00302BFE" w:rsidRDefault="00302BFE" w:rsidP="00C46720">
      <w:pPr>
        <w:pStyle w:val="Paragraphedeliste"/>
        <w:numPr>
          <w:ilvl w:val="0"/>
          <w:numId w:val="57"/>
        </w:numPr>
        <w:autoSpaceDE w:val="0"/>
        <w:autoSpaceDN w:val="0"/>
        <w:adjustRightInd w:val="0"/>
        <w:spacing w:before="120" w:after="120"/>
        <w:ind w:left="709" w:hanging="218"/>
        <w:contextualSpacing/>
        <w:rPr>
          <w:rFonts w:ascii="Calibri" w:hAnsi="Calibri"/>
          <w:sz w:val="20"/>
          <w:szCs w:val="20"/>
          <w:lang w:val="en-GB"/>
        </w:rPr>
      </w:pPr>
      <w:r w:rsidRPr="005F3825">
        <w:rPr>
          <w:rFonts w:ascii="Calibri" w:hAnsi="Calibri"/>
          <w:sz w:val="20"/>
          <w:szCs w:val="20"/>
          <w:lang w:val="en-GB"/>
        </w:rPr>
        <w:t>identification of the selection criteria for the members of the mechanism (apart from the representatives of the institutions, the participants in the mechanism will be identified by the representative organizations of the stakeholders, ensuring geographic and gender</w:t>
      </w:r>
      <w:r w:rsidRPr="00A43AB3">
        <w:rPr>
          <w:rFonts w:ascii="Calibri" w:hAnsi="Calibri"/>
          <w:sz w:val="20"/>
          <w:szCs w:val="20"/>
          <w:lang w:val="en-GB"/>
        </w:rPr>
        <w:t xml:space="preserve"> representativeness</w:t>
      </w:r>
      <w:proofErr w:type="gramStart"/>
      <w:r w:rsidRPr="005F3825">
        <w:rPr>
          <w:rFonts w:ascii="Calibri" w:hAnsi="Calibri"/>
          <w:sz w:val="20"/>
          <w:szCs w:val="20"/>
          <w:lang w:val="en-GB"/>
        </w:rPr>
        <w:t>)</w:t>
      </w:r>
      <w:r>
        <w:rPr>
          <w:rFonts w:ascii="Calibri" w:hAnsi="Calibri"/>
          <w:sz w:val="20"/>
          <w:szCs w:val="20"/>
          <w:lang w:val="en-GB"/>
        </w:rPr>
        <w:t>;</w:t>
      </w:r>
      <w:proofErr w:type="gramEnd"/>
    </w:p>
    <w:p w14:paraId="0084CA31" w14:textId="77777777" w:rsidR="00302BFE" w:rsidRDefault="00302BFE" w:rsidP="00C46720">
      <w:pPr>
        <w:pStyle w:val="Paragraphedeliste"/>
        <w:numPr>
          <w:ilvl w:val="0"/>
          <w:numId w:val="57"/>
        </w:numPr>
        <w:autoSpaceDE w:val="0"/>
        <w:autoSpaceDN w:val="0"/>
        <w:adjustRightInd w:val="0"/>
        <w:spacing w:before="120" w:after="120"/>
        <w:ind w:left="709" w:hanging="218"/>
        <w:contextualSpacing/>
        <w:rPr>
          <w:rFonts w:ascii="Calibri" w:hAnsi="Calibri"/>
          <w:sz w:val="20"/>
          <w:szCs w:val="20"/>
          <w:lang w:val="en-GB"/>
        </w:rPr>
      </w:pPr>
      <w:r w:rsidRPr="005F3825">
        <w:rPr>
          <w:rFonts w:ascii="Calibri" w:hAnsi="Calibri"/>
          <w:sz w:val="20"/>
          <w:szCs w:val="20"/>
          <w:lang w:val="en-GB"/>
        </w:rPr>
        <w:t xml:space="preserve">identification of </w:t>
      </w:r>
      <w:r>
        <w:rPr>
          <w:rFonts w:ascii="Calibri" w:hAnsi="Calibri"/>
          <w:sz w:val="20"/>
          <w:szCs w:val="20"/>
          <w:lang w:val="en-GB"/>
        </w:rPr>
        <w:t xml:space="preserve">a </w:t>
      </w:r>
      <w:r w:rsidRPr="005F3825">
        <w:rPr>
          <w:rFonts w:ascii="Calibri" w:hAnsi="Calibri"/>
          <w:sz w:val="20"/>
          <w:szCs w:val="20"/>
          <w:lang w:val="en-GB"/>
        </w:rPr>
        <w:t xml:space="preserve">consultation mechanism with local communities to ensure integration of their priorities and concerns into management </w:t>
      </w:r>
      <w:proofErr w:type="gramStart"/>
      <w:r w:rsidRPr="005F3825">
        <w:rPr>
          <w:rFonts w:ascii="Calibri" w:hAnsi="Calibri"/>
          <w:sz w:val="20"/>
          <w:szCs w:val="20"/>
          <w:lang w:val="en-GB"/>
        </w:rPr>
        <w:t>decisions</w:t>
      </w:r>
      <w:r>
        <w:rPr>
          <w:rFonts w:ascii="Calibri" w:hAnsi="Calibri"/>
          <w:sz w:val="20"/>
          <w:szCs w:val="20"/>
          <w:lang w:val="en-GB"/>
        </w:rPr>
        <w:t>;</w:t>
      </w:r>
      <w:proofErr w:type="gramEnd"/>
    </w:p>
    <w:p w14:paraId="014D5D9F" w14:textId="77777777" w:rsidR="00302BFE" w:rsidRDefault="00302BFE" w:rsidP="00C46720">
      <w:pPr>
        <w:pStyle w:val="Paragraphedeliste"/>
        <w:numPr>
          <w:ilvl w:val="0"/>
          <w:numId w:val="57"/>
        </w:numPr>
        <w:autoSpaceDE w:val="0"/>
        <w:autoSpaceDN w:val="0"/>
        <w:adjustRightInd w:val="0"/>
        <w:ind w:left="708" w:hanging="215"/>
        <w:rPr>
          <w:rFonts w:ascii="Calibri" w:hAnsi="Calibri"/>
          <w:sz w:val="20"/>
          <w:szCs w:val="20"/>
          <w:lang w:val="en-GB"/>
        </w:rPr>
      </w:pPr>
      <w:r w:rsidRPr="005F3825">
        <w:rPr>
          <w:rFonts w:ascii="Calibri" w:hAnsi="Calibri"/>
          <w:sz w:val="20"/>
          <w:szCs w:val="20"/>
          <w:lang w:val="en-GB"/>
        </w:rPr>
        <w:t xml:space="preserve">identification of </w:t>
      </w:r>
      <w:r>
        <w:rPr>
          <w:rFonts w:ascii="Calibri" w:hAnsi="Calibri"/>
          <w:sz w:val="20"/>
          <w:szCs w:val="20"/>
          <w:lang w:val="en-GB"/>
        </w:rPr>
        <w:t xml:space="preserve">a </w:t>
      </w:r>
      <w:r w:rsidRPr="005F3825">
        <w:rPr>
          <w:rFonts w:ascii="Calibri" w:hAnsi="Calibri"/>
          <w:sz w:val="20"/>
          <w:szCs w:val="20"/>
          <w:lang w:val="en-GB"/>
        </w:rPr>
        <w:t xml:space="preserve">conflict resolution mechanism within the </w:t>
      </w:r>
      <w:proofErr w:type="gramStart"/>
      <w:r w:rsidRPr="005F3825">
        <w:rPr>
          <w:rFonts w:ascii="Calibri" w:hAnsi="Calibri"/>
          <w:sz w:val="20"/>
          <w:szCs w:val="20"/>
          <w:lang w:val="en-GB"/>
        </w:rPr>
        <w:t>landscape</w:t>
      </w:r>
      <w:r>
        <w:rPr>
          <w:rFonts w:ascii="Calibri" w:hAnsi="Calibri"/>
          <w:sz w:val="20"/>
          <w:szCs w:val="20"/>
          <w:lang w:val="en-GB"/>
        </w:rPr>
        <w:t>;</w:t>
      </w:r>
      <w:proofErr w:type="gramEnd"/>
    </w:p>
    <w:p w14:paraId="100D607F" w14:textId="77777777" w:rsidR="00B70216" w:rsidRPr="000D4277" w:rsidRDefault="00B70216" w:rsidP="00C46720">
      <w:pPr>
        <w:pStyle w:val="Paragraphedeliste"/>
        <w:numPr>
          <w:ilvl w:val="0"/>
          <w:numId w:val="57"/>
        </w:numPr>
        <w:autoSpaceDE w:val="0"/>
        <w:autoSpaceDN w:val="0"/>
        <w:adjustRightInd w:val="0"/>
        <w:ind w:left="708" w:hanging="215"/>
        <w:rPr>
          <w:rFonts w:ascii="Calibri" w:hAnsi="Calibri"/>
          <w:sz w:val="20"/>
          <w:szCs w:val="20"/>
          <w:lang w:val="en-GB"/>
        </w:rPr>
      </w:pPr>
      <w:r w:rsidRPr="000D4277">
        <w:rPr>
          <w:rFonts w:ascii="Calibri" w:hAnsi="Calibri"/>
          <w:sz w:val="20"/>
          <w:szCs w:val="20"/>
          <w:lang w:val="en-GB"/>
        </w:rPr>
        <w:t xml:space="preserve">legal validation of the composition and missions of the co-governance mechanism and the permanent technical core by a legal consultant recruited by the </w:t>
      </w:r>
      <w:proofErr w:type="gramStart"/>
      <w:r w:rsidRPr="000D4277">
        <w:rPr>
          <w:rFonts w:ascii="Calibri" w:hAnsi="Calibri"/>
          <w:sz w:val="20"/>
          <w:szCs w:val="20"/>
          <w:lang w:val="en-GB"/>
        </w:rPr>
        <w:t>project;</w:t>
      </w:r>
      <w:proofErr w:type="gramEnd"/>
    </w:p>
    <w:p w14:paraId="6C3B9047" w14:textId="77777777" w:rsidR="00302BFE" w:rsidRPr="000D4277" w:rsidRDefault="00B70216" w:rsidP="00C46720">
      <w:pPr>
        <w:pStyle w:val="Paragraphedeliste"/>
        <w:numPr>
          <w:ilvl w:val="0"/>
          <w:numId w:val="57"/>
        </w:numPr>
        <w:autoSpaceDE w:val="0"/>
        <w:autoSpaceDN w:val="0"/>
        <w:adjustRightInd w:val="0"/>
        <w:spacing w:after="120"/>
        <w:ind w:left="709" w:hanging="215"/>
        <w:rPr>
          <w:rFonts w:ascii="Calibri" w:hAnsi="Calibri"/>
          <w:sz w:val="20"/>
          <w:szCs w:val="20"/>
          <w:lang w:val="en-GB"/>
        </w:rPr>
      </w:pPr>
      <w:r w:rsidRPr="000D4277">
        <w:rPr>
          <w:rFonts w:ascii="Calibri" w:hAnsi="Calibri"/>
          <w:sz w:val="20"/>
          <w:szCs w:val="20"/>
          <w:lang w:val="en-GB"/>
        </w:rPr>
        <w:t xml:space="preserve">development of a decree by the legal consultant to </w:t>
      </w:r>
      <w:r w:rsidR="00302BFE" w:rsidRPr="000D4277">
        <w:rPr>
          <w:rFonts w:ascii="Calibri" w:hAnsi="Calibri"/>
          <w:sz w:val="20"/>
          <w:szCs w:val="20"/>
          <w:lang w:val="en-GB"/>
        </w:rPr>
        <w:t>formaliz</w:t>
      </w:r>
      <w:r w:rsidRPr="000D4277">
        <w:rPr>
          <w:rFonts w:ascii="Calibri" w:hAnsi="Calibri"/>
          <w:sz w:val="20"/>
          <w:szCs w:val="20"/>
          <w:lang w:val="en-GB"/>
        </w:rPr>
        <w:t>e</w:t>
      </w:r>
      <w:r w:rsidR="00302BFE" w:rsidRPr="000D4277">
        <w:rPr>
          <w:rFonts w:ascii="Calibri" w:hAnsi="Calibri"/>
          <w:sz w:val="20"/>
          <w:szCs w:val="20"/>
          <w:lang w:val="en-GB"/>
        </w:rPr>
        <w:t xml:space="preserve"> the PONASI landscape co-governance mechanism by an order of the Minister of Territorial Administration and Decentralization, on the creation, composition, </w:t>
      </w:r>
      <w:proofErr w:type="gramStart"/>
      <w:r w:rsidR="00302BFE" w:rsidRPr="000D4277">
        <w:rPr>
          <w:rFonts w:ascii="Calibri" w:hAnsi="Calibri"/>
          <w:sz w:val="20"/>
          <w:szCs w:val="20"/>
          <w:lang w:val="en-GB"/>
        </w:rPr>
        <w:t>responsibilities</w:t>
      </w:r>
      <w:proofErr w:type="gramEnd"/>
      <w:r w:rsidR="00302BFE" w:rsidRPr="000D4277">
        <w:rPr>
          <w:rFonts w:ascii="Calibri" w:hAnsi="Calibri"/>
          <w:sz w:val="20"/>
          <w:szCs w:val="20"/>
          <w:lang w:val="en-GB"/>
        </w:rPr>
        <w:t xml:space="preserve"> and operation of the mechanism.</w:t>
      </w:r>
    </w:p>
    <w:p w14:paraId="441AE345" w14:textId="77777777" w:rsidR="00302BFE" w:rsidRPr="000F3E26" w:rsidRDefault="00302BFE" w:rsidP="00302BFE">
      <w:pPr>
        <w:spacing w:before="120" w:after="120"/>
        <w:rPr>
          <w:i/>
          <w:color w:val="4472C4"/>
          <w:szCs w:val="20"/>
          <w:lang w:val="en-GB"/>
        </w:rPr>
      </w:pPr>
      <w:r w:rsidRPr="000F3E26">
        <w:rPr>
          <w:i/>
          <w:color w:val="4472C4"/>
          <w:szCs w:val="20"/>
          <w:lang w:val="en-GB"/>
        </w:rPr>
        <w:t>1.1.2 Operationalizing the co-governance mechanism.</w:t>
      </w:r>
    </w:p>
    <w:p w14:paraId="7F890672" w14:textId="30200E26" w:rsidR="00F84490" w:rsidRPr="000F3E26" w:rsidRDefault="00F84490" w:rsidP="00755BF9">
      <w:pPr>
        <w:spacing w:before="120" w:after="120"/>
        <w:rPr>
          <w:iCs/>
          <w:color w:val="4472C4"/>
          <w:szCs w:val="20"/>
          <w:lang w:val="en-GB"/>
        </w:rPr>
      </w:pPr>
      <w:r w:rsidRPr="000F3E26">
        <w:rPr>
          <w:iCs/>
          <w:color w:val="4472C4"/>
          <w:szCs w:val="20"/>
          <w:lang w:val="en-GB"/>
        </w:rPr>
        <w:t xml:space="preserve">For this activity, the FPIC (Free, Prior and Informed Consent) process </w:t>
      </w:r>
      <w:proofErr w:type="gramStart"/>
      <w:r w:rsidRPr="000F3E26">
        <w:rPr>
          <w:iCs/>
          <w:color w:val="4472C4"/>
          <w:szCs w:val="20"/>
          <w:lang w:val="en-GB"/>
        </w:rPr>
        <w:t>has to</w:t>
      </w:r>
      <w:proofErr w:type="gramEnd"/>
      <w:r w:rsidRPr="000F3E26">
        <w:rPr>
          <w:iCs/>
          <w:color w:val="4472C4"/>
          <w:szCs w:val="20"/>
          <w:lang w:val="en-GB"/>
        </w:rPr>
        <w:t xml:space="preserve"> be ensured</w:t>
      </w:r>
    </w:p>
    <w:p w14:paraId="568D9446" w14:textId="3601D65A" w:rsidR="00302BFE" w:rsidRPr="000F3E26"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F3E26">
        <w:rPr>
          <w:rFonts w:ascii="Calibri" w:hAnsi="Calibri"/>
          <w:sz w:val="20"/>
          <w:szCs w:val="20"/>
          <w:lang w:val="en-GB"/>
        </w:rPr>
        <w:t>The</w:t>
      </w:r>
      <w:r w:rsidR="00A06E39" w:rsidRPr="000F3E26">
        <w:rPr>
          <w:rFonts w:ascii="Calibri" w:hAnsi="Calibri"/>
          <w:sz w:val="20"/>
          <w:szCs w:val="20"/>
          <w:lang w:val="en-GB"/>
        </w:rPr>
        <w:t xml:space="preserve"> </w:t>
      </w:r>
      <w:r w:rsidRPr="000F3E26">
        <w:rPr>
          <w:rFonts w:ascii="Calibri" w:hAnsi="Calibri"/>
          <w:sz w:val="20"/>
          <w:szCs w:val="20"/>
          <w:lang w:val="en-GB"/>
        </w:rPr>
        <w:t xml:space="preserve">international expert in environmental land use planning </w:t>
      </w:r>
      <w:r w:rsidR="00C90C19" w:rsidRPr="000F3E26">
        <w:rPr>
          <w:rFonts w:ascii="Calibri" w:hAnsi="Calibri"/>
          <w:sz w:val="20"/>
          <w:szCs w:val="20"/>
          <w:lang w:val="en-GB"/>
        </w:rPr>
        <w:t>will</w:t>
      </w:r>
      <w:r w:rsidRPr="000F3E26">
        <w:rPr>
          <w:rFonts w:ascii="Calibri" w:hAnsi="Calibri"/>
          <w:sz w:val="20"/>
          <w:szCs w:val="20"/>
          <w:lang w:val="en-GB"/>
        </w:rPr>
        <w:t xml:space="preserve"> propose</w:t>
      </w:r>
      <w:r w:rsidR="00C90C19" w:rsidRPr="000F3E26">
        <w:rPr>
          <w:rFonts w:ascii="Calibri" w:hAnsi="Calibri"/>
          <w:sz w:val="20"/>
          <w:szCs w:val="20"/>
          <w:lang w:val="en-GB"/>
        </w:rPr>
        <w:t xml:space="preserve"> operating rules for the co-governance mechanism</w:t>
      </w:r>
      <w:r w:rsidRPr="000F3E26">
        <w:rPr>
          <w:rFonts w:ascii="Calibri" w:hAnsi="Calibri"/>
          <w:sz w:val="20"/>
          <w:szCs w:val="20"/>
          <w:lang w:val="en-GB"/>
        </w:rPr>
        <w:t>, after consultation with the parties concerned and taking into account past experiences, to ensure that the mechanism can adequately fulfil its assignments, including the identification of the financial needs necessary for its autonomous operation (operational budget), the mobilization of the required resources, and its articulations with the management committees of the various land units (PA co-management committees, ZOVIC wildlife management committees and unions, CAF management committees, groups, cooperatives or forest management committees of communal and village forests as provided for under local charters and development and management plans).</w:t>
      </w:r>
      <w:r w:rsidR="00404607" w:rsidRPr="000F3E26">
        <w:rPr>
          <w:rFonts w:ascii="Calibri" w:hAnsi="Calibri"/>
          <w:sz w:val="20"/>
          <w:szCs w:val="20"/>
          <w:lang w:val="en-GB"/>
        </w:rPr>
        <w:t xml:space="preserve"> All meetings and trainings will respect and </w:t>
      </w:r>
      <w:proofErr w:type="gramStart"/>
      <w:r w:rsidR="00404607" w:rsidRPr="000F3E26">
        <w:rPr>
          <w:rFonts w:ascii="Calibri" w:hAnsi="Calibri"/>
          <w:sz w:val="20"/>
          <w:szCs w:val="20"/>
          <w:lang w:val="en-GB"/>
        </w:rPr>
        <w:t>take into account</w:t>
      </w:r>
      <w:proofErr w:type="gramEnd"/>
      <w:r w:rsidR="00404607" w:rsidRPr="000F3E26">
        <w:rPr>
          <w:rFonts w:ascii="Calibri" w:hAnsi="Calibri"/>
          <w:sz w:val="20"/>
          <w:szCs w:val="20"/>
          <w:lang w:val="en-GB"/>
        </w:rPr>
        <w:t xml:space="preserve"> restrictions due to COVID on maximum number of participants</w:t>
      </w:r>
      <w:r w:rsidR="00E82387" w:rsidRPr="000F3E26">
        <w:rPr>
          <w:rFonts w:ascii="Calibri" w:hAnsi="Calibri"/>
          <w:sz w:val="20"/>
          <w:szCs w:val="20"/>
          <w:lang w:val="en-GB"/>
        </w:rPr>
        <w:t xml:space="preserve"> (currently to maximum 50 participants)</w:t>
      </w:r>
      <w:r w:rsidR="00404607" w:rsidRPr="000F3E26">
        <w:rPr>
          <w:rFonts w:ascii="Calibri" w:hAnsi="Calibri"/>
          <w:sz w:val="20"/>
          <w:szCs w:val="20"/>
          <w:lang w:val="en-GB"/>
        </w:rPr>
        <w:t xml:space="preserve">, social distancing, hygiene etc. </w:t>
      </w:r>
    </w:p>
    <w:p w14:paraId="107E22D7" w14:textId="77777777" w:rsidR="00302BFE" w:rsidRPr="000F3E26"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0F3E26">
        <w:rPr>
          <w:rFonts w:ascii="Calibri" w:hAnsi="Calibri"/>
          <w:i/>
          <w:color w:val="4472C4"/>
          <w:sz w:val="20"/>
          <w:szCs w:val="20"/>
          <w:lang w:val="en-GB"/>
        </w:rPr>
        <w:t>1.1.3 Capacity building of stakeholders in landscape management at all levels to ensure optimal and open input from stakeholders</w:t>
      </w:r>
    </w:p>
    <w:p w14:paraId="128FDBF5" w14:textId="0216EB54" w:rsidR="00F84490" w:rsidRPr="000F3E26" w:rsidRDefault="00F84490" w:rsidP="00755BF9">
      <w:pPr>
        <w:spacing w:before="120" w:after="120"/>
        <w:rPr>
          <w:iCs/>
          <w:color w:val="4472C4"/>
          <w:szCs w:val="20"/>
          <w:lang w:val="en-GB"/>
        </w:rPr>
      </w:pPr>
      <w:r w:rsidRPr="000F3E26">
        <w:rPr>
          <w:iCs/>
          <w:color w:val="4472C4"/>
          <w:szCs w:val="20"/>
          <w:lang w:val="en-GB"/>
        </w:rPr>
        <w:t xml:space="preserve">For this activity, the FPIC (Free, Prior and Informed Consent) process </w:t>
      </w:r>
      <w:proofErr w:type="gramStart"/>
      <w:r w:rsidRPr="000F3E26">
        <w:rPr>
          <w:iCs/>
          <w:color w:val="4472C4"/>
          <w:szCs w:val="20"/>
          <w:lang w:val="en-GB"/>
        </w:rPr>
        <w:t>has to</w:t>
      </w:r>
      <w:proofErr w:type="gramEnd"/>
      <w:r w:rsidRPr="000F3E26">
        <w:rPr>
          <w:iCs/>
          <w:color w:val="4472C4"/>
          <w:szCs w:val="20"/>
          <w:lang w:val="en-GB"/>
        </w:rPr>
        <w:t xml:space="preserve"> be ensured</w:t>
      </w:r>
    </w:p>
    <w:p w14:paraId="520B4AAD" w14:textId="2287F53B" w:rsidR="00302BFE" w:rsidRPr="000D427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F3E26">
        <w:rPr>
          <w:rFonts w:ascii="Calibri" w:hAnsi="Calibri"/>
          <w:sz w:val="20"/>
          <w:szCs w:val="20"/>
          <w:lang w:val="en-GB"/>
        </w:rPr>
        <w:t xml:space="preserve">In close collaboration with the </w:t>
      </w:r>
      <w:r w:rsidR="000D4277" w:rsidRPr="000F3E26">
        <w:rPr>
          <w:rFonts w:ascii="Calibri" w:hAnsi="Calibri" w:cs="Calibri"/>
          <w:sz w:val="20"/>
          <w:szCs w:val="20"/>
        </w:rPr>
        <w:t>Ministry of Territorial Administration and Decentralization</w:t>
      </w:r>
      <w:r w:rsidR="000D4277" w:rsidRPr="000F3E26">
        <w:rPr>
          <w:rFonts w:ascii="Calibri" w:hAnsi="Calibri"/>
          <w:sz w:val="20"/>
          <w:szCs w:val="20"/>
          <w:lang w:val="en-GB"/>
        </w:rPr>
        <w:t xml:space="preserve"> (</w:t>
      </w:r>
      <w:r w:rsidRPr="000F3E26">
        <w:rPr>
          <w:rFonts w:ascii="Calibri" w:hAnsi="Calibri"/>
          <w:sz w:val="20"/>
          <w:szCs w:val="20"/>
          <w:lang w:val="en-GB"/>
        </w:rPr>
        <w:t>MTAD</w:t>
      </w:r>
      <w:r w:rsidR="000D4277" w:rsidRPr="000F3E26">
        <w:rPr>
          <w:rFonts w:ascii="Calibri" w:hAnsi="Calibri"/>
          <w:sz w:val="20"/>
          <w:szCs w:val="20"/>
          <w:lang w:val="en-GB"/>
        </w:rPr>
        <w:t>)</w:t>
      </w:r>
      <w:r w:rsidRPr="000F3E26">
        <w:rPr>
          <w:rFonts w:ascii="Calibri" w:hAnsi="Calibri"/>
          <w:sz w:val="20"/>
          <w:szCs w:val="20"/>
          <w:lang w:val="en-GB"/>
        </w:rPr>
        <w:t xml:space="preserve"> and the MEE</w:t>
      </w:r>
      <w:r w:rsidR="00EC2571" w:rsidRPr="000F3E26">
        <w:rPr>
          <w:rFonts w:ascii="Calibri" w:hAnsi="Calibri"/>
          <w:sz w:val="20"/>
          <w:szCs w:val="20"/>
          <w:lang w:val="en-GB"/>
        </w:rPr>
        <w:t>A</w:t>
      </w:r>
      <w:r w:rsidRPr="000F3E26">
        <w:rPr>
          <w:rFonts w:ascii="Calibri" w:hAnsi="Calibri"/>
          <w:sz w:val="20"/>
          <w:szCs w:val="20"/>
          <w:lang w:val="en-GB"/>
        </w:rPr>
        <w:t>, namely</w:t>
      </w:r>
      <w:r w:rsidR="00A054D1">
        <w:rPr>
          <w:rFonts w:ascii="Calibri" w:hAnsi="Calibri"/>
          <w:sz w:val="20"/>
          <w:szCs w:val="20"/>
          <w:lang w:val="en-GB"/>
        </w:rPr>
        <w:t xml:space="preserve"> the</w:t>
      </w:r>
      <w:r w:rsidRPr="000F3E26">
        <w:rPr>
          <w:rFonts w:ascii="Calibri" w:hAnsi="Calibri"/>
          <w:sz w:val="20"/>
          <w:szCs w:val="20"/>
          <w:lang w:val="en-GB"/>
        </w:rPr>
        <w:t xml:space="preserve"> </w:t>
      </w:r>
      <w:proofErr w:type="spellStart"/>
      <w:r w:rsidR="00F22EC8" w:rsidRPr="00F22EC8">
        <w:rPr>
          <w:rFonts w:ascii="Calibri" w:hAnsi="Calibri"/>
          <w:sz w:val="20"/>
          <w:szCs w:val="20"/>
          <w:highlight w:val="green"/>
          <w:lang w:val="en-GB"/>
        </w:rPr>
        <w:t>Ministere</w:t>
      </w:r>
      <w:proofErr w:type="spellEnd"/>
      <w:r w:rsidR="00F22EC8" w:rsidRPr="00F22EC8">
        <w:rPr>
          <w:rFonts w:ascii="Calibri" w:hAnsi="Calibri"/>
          <w:sz w:val="20"/>
          <w:szCs w:val="20"/>
          <w:highlight w:val="green"/>
          <w:lang w:val="en-GB"/>
        </w:rPr>
        <w:t xml:space="preserve"> de </w:t>
      </w:r>
      <w:proofErr w:type="spellStart"/>
      <w:r w:rsidR="00F22EC8" w:rsidRPr="00F22EC8">
        <w:rPr>
          <w:rFonts w:ascii="Calibri" w:hAnsi="Calibri"/>
          <w:sz w:val="20"/>
          <w:szCs w:val="20"/>
          <w:highlight w:val="green"/>
          <w:lang w:val="en-GB"/>
        </w:rPr>
        <w:t>l'environnement</w:t>
      </w:r>
      <w:proofErr w:type="spellEnd"/>
      <w:r w:rsidR="00F22EC8" w:rsidRPr="00F22EC8">
        <w:rPr>
          <w:rFonts w:ascii="Calibri" w:hAnsi="Calibri"/>
          <w:sz w:val="20"/>
          <w:szCs w:val="20"/>
          <w:highlight w:val="green"/>
          <w:lang w:val="en-GB"/>
        </w:rPr>
        <w:t xml:space="preserve">, de </w:t>
      </w:r>
      <w:proofErr w:type="spellStart"/>
      <w:r w:rsidR="00F22EC8" w:rsidRPr="00F22EC8">
        <w:rPr>
          <w:rFonts w:ascii="Calibri" w:hAnsi="Calibri"/>
          <w:sz w:val="20"/>
          <w:szCs w:val="20"/>
          <w:highlight w:val="green"/>
          <w:lang w:val="en-GB"/>
        </w:rPr>
        <w:t>l'eau</w:t>
      </w:r>
      <w:proofErr w:type="spellEnd"/>
      <w:r w:rsidR="00F22EC8" w:rsidRPr="00F22EC8">
        <w:rPr>
          <w:rFonts w:ascii="Calibri" w:hAnsi="Calibri"/>
          <w:sz w:val="20"/>
          <w:szCs w:val="20"/>
          <w:highlight w:val="green"/>
          <w:lang w:val="en-GB"/>
        </w:rPr>
        <w:t xml:space="preserve"> et de </w:t>
      </w:r>
      <w:proofErr w:type="spellStart"/>
      <w:r w:rsidR="00F22EC8" w:rsidRPr="00F22EC8">
        <w:rPr>
          <w:rFonts w:ascii="Calibri" w:hAnsi="Calibri"/>
          <w:sz w:val="20"/>
          <w:szCs w:val="20"/>
          <w:highlight w:val="green"/>
          <w:lang w:val="en-GB"/>
        </w:rPr>
        <w:t>l"Assainissement</w:t>
      </w:r>
      <w:proofErr w:type="spellEnd"/>
      <w:r w:rsidRPr="00F22EC8">
        <w:rPr>
          <w:rFonts w:ascii="Calibri" w:hAnsi="Calibri"/>
          <w:sz w:val="20"/>
          <w:szCs w:val="20"/>
          <w:highlight w:val="green"/>
          <w:lang w:val="en-GB"/>
        </w:rPr>
        <w:t>,</w:t>
      </w:r>
      <w:r w:rsidRPr="000F3E26">
        <w:rPr>
          <w:rFonts w:ascii="Calibri" w:hAnsi="Calibri"/>
          <w:sz w:val="20"/>
          <w:szCs w:val="20"/>
          <w:lang w:val="en-GB"/>
        </w:rPr>
        <w:t xml:space="preserve"> DGEF, OFINAP and the DREE</w:t>
      </w:r>
      <w:r w:rsidR="00EC2571" w:rsidRPr="000F3E26">
        <w:rPr>
          <w:rFonts w:ascii="Calibri" w:hAnsi="Calibri"/>
          <w:sz w:val="20"/>
          <w:szCs w:val="20"/>
          <w:lang w:val="en-GB"/>
        </w:rPr>
        <w:t>EA</w:t>
      </w:r>
      <w:r w:rsidRPr="000F3E26">
        <w:rPr>
          <w:rFonts w:ascii="Calibri" w:hAnsi="Calibri"/>
          <w:sz w:val="20"/>
          <w:szCs w:val="20"/>
          <w:lang w:val="en-GB"/>
        </w:rPr>
        <w:t xml:space="preserve"> in the three regions, the environmental land use planning expert will coordinate the identification of capacities to</w:t>
      </w:r>
      <w:r w:rsidRPr="000D4277">
        <w:rPr>
          <w:rFonts w:ascii="Calibri" w:hAnsi="Calibri"/>
          <w:sz w:val="20"/>
          <w:szCs w:val="20"/>
          <w:lang w:val="en-GB"/>
        </w:rPr>
        <w:t xml:space="preserve"> be developed for the different actors involved in the collaborative management process and will develop a targeted training plan which he will implement for the most part, with the support of environmental NGOs working with local communities in the PONASI area.</w:t>
      </w:r>
      <w:r w:rsidR="00404607">
        <w:rPr>
          <w:rFonts w:ascii="Calibri" w:hAnsi="Calibri"/>
          <w:sz w:val="20"/>
          <w:szCs w:val="20"/>
          <w:lang w:val="en-GB"/>
        </w:rPr>
        <w:t xml:space="preserve"> </w:t>
      </w:r>
    </w:p>
    <w:p w14:paraId="163CAE02"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The capacities of the multi-stakeholder management body will be strengthened in terms of abilities to lead the processes of planning, negotiating with competing interests, and making decision</w:t>
      </w:r>
      <w:r>
        <w:rPr>
          <w:rFonts w:ascii="Calibri" w:hAnsi="Calibri"/>
          <w:sz w:val="20"/>
          <w:szCs w:val="20"/>
          <w:lang w:val="en-GB"/>
        </w:rPr>
        <w:t>s</w:t>
      </w:r>
      <w:r w:rsidRPr="005F3825">
        <w:rPr>
          <w:rFonts w:ascii="Calibri" w:hAnsi="Calibri"/>
          <w:sz w:val="20"/>
          <w:szCs w:val="20"/>
          <w:lang w:val="en-GB"/>
        </w:rPr>
        <w:t xml:space="preserve"> on the land and resource development and planning priorities at landscape level to reduce conflicts of interest between different users. Lead agencies in the planning process (governmental and non-governmental organizations) must have the ability to engage with a broad range of stakeholders, facilitate the process, generate and disseminate key data or information, and connect with the private sector and development partners within the landscape and beyond, to provide the financial resources and support needed to implement the master plan for  the development of the landscape  and generate benefits from natural resources and its ecosystem services.</w:t>
      </w:r>
    </w:p>
    <w:p w14:paraId="30EC506E"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Pr>
          <w:rFonts w:ascii="Calibri" w:hAnsi="Calibri"/>
          <w:sz w:val="20"/>
          <w:szCs w:val="20"/>
          <w:lang w:val="en-GB"/>
        </w:rPr>
        <w:t>Other</w:t>
      </w:r>
      <w:r w:rsidRPr="005F3825">
        <w:rPr>
          <w:rFonts w:ascii="Calibri" w:hAnsi="Calibri"/>
          <w:sz w:val="20"/>
          <w:szCs w:val="20"/>
          <w:lang w:val="en-GB"/>
        </w:rPr>
        <w:t xml:space="preserve"> issues addressed in the training plan will include</w:t>
      </w:r>
      <w:r>
        <w:rPr>
          <w:rFonts w:ascii="Calibri" w:hAnsi="Calibri"/>
          <w:sz w:val="20"/>
          <w:szCs w:val="20"/>
          <w:lang w:val="en-GB"/>
        </w:rPr>
        <w:t>, but need not be limited to:</w:t>
      </w:r>
      <w:r w:rsidRPr="005F3825">
        <w:rPr>
          <w:rFonts w:ascii="Calibri" w:hAnsi="Calibri"/>
          <w:sz w:val="20"/>
          <w:szCs w:val="20"/>
          <w:lang w:val="en-GB"/>
        </w:rPr>
        <w:t xml:space="preserve"> (i) the </w:t>
      </w:r>
      <w:r w:rsidRPr="00137E4E">
        <w:rPr>
          <w:rFonts w:ascii="Calibri" w:hAnsi="Calibri"/>
          <w:sz w:val="20"/>
          <w:szCs w:val="20"/>
          <w:lang w:val="en-GB"/>
        </w:rPr>
        <w:t>characteristics</w:t>
      </w:r>
      <w:r w:rsidRPr="005F3825">
        <w:rPr>
          <w:rFonts w:ascii="Calibri" w:hAnsi="Calibri"/>
          <w:sz w:val="20"/>
          <w:szCs w:val="20"/>
          <w:lang w:val="en-GB"/>
        </w:rPr>
        <w:t xml:space="preserve"> of landscape-scale management (as compared to other similar approaches such as integrated ecosystem management, watershed management, etc.), including the concepts of trade-offs and synergies (ii) raising awareness among stakeholders, including men and women, on the recent years environmental trends and the urgency to </w:t>
      </w:r>
      <w:r>
        <w:rPr>
          <w:rFonts w:ascii="Calibri" w:hAnsi="Calibri"/>
          <w:sz w:val="20"/>
          <w:szCs w:val="20"/>
          <w:lang w:val="en-GB"/>
        </w:rPr>
        <w:t>take action</w:t>
      </w:r>
      <w:r w:rsidRPr="005F3825">
        <w:rPr>
          <w:rFonts w:ascii="Calibri" w:hAnsi="Calibri"/>
          <w:sz w:val="20"/>
          <w:szCs w:val="20"/>
          <w:lang w:val="en-GB"/>
        </w:rPr>
        <w:t xml:space="preserve"> to preserve biodiversity, land resources and ecosystem services - leading to the development of a common vision to guide integrated landscape management, (iii) </w:t>
      </w:r>
      <w:r>
        <w:rPr>
          <w:rFonts w:ascii="Calibri" w:hAnsi="Calibri"/>
          <w:sz w:val="20"/>
          <w:szCs w:val="20"/>
          <w:lang w:val="en-GB"/>
        </w:rPr>
        <w:t xml:space="preserve">the </w:t>
      </w:r>
      <w:r w:rsidRPr="005F3825">
        <w:rPr>
          <w:rFonts w:ascii="Calibri" w:hAnsi="Calibri"/>
          <w:sz w:val="20"/>
          <w:szCs w:val="20"/>
          <w:lang w:val="en-GB"/>
        </w:rPr>
        <w:t xml:space="preserve">use of the environmental </w:t>
      </w:r>
      <w:r>
        <w:rPr>
          <w:rFonts w:ascii="Calibri" w:hAnsi="Calibri"/>
          <w:sz w:val="20"/>
          <w:szCs w:val="20"/>
          <w:lang w:val="en-GB"/>
        </w:rPr>
        <w:t xml:space="preserve">land use </w:t>
      </w:r>
      <w:r w:rsidRPr="005F3825">
        <w:rPr>
          <w:rFonts w:ascii="Calibri" w:hAnsi="Calibri"/>
          <w:sz w:val="20"/>
          <w:szCs w:val="20"/>
          <w:lang w:val="en-GB"/>
        </w:rPr>
        <w:t xml:space="preserve">planning tool to generate key data or information, interpretation and dissemination of these results to assist decision-making, in formats accessible to different categories of stakeholders, (iv) dialogue with a wide range of stakeholders with different and even divergent interests, taking care to include women as well as men, and facilitation of a process of negotiation, including conflict prevention and management, </w:t>
      </w:r>
      <w:r>
        <w:rPr>
          <w:rFonts w:ascii="Calibri" w:hAnsi="Calibri"/>
          <w:sz w:val="20"/>
          <w:szCs w:val="20"/>
          <w:lang w:val="en-GB"/>
        </w:rPr>
        <w:t xml:space="preserve">and </w:t>
      </w:r>
      <w:r w:rsidRPr="005F3825">
        <w:rPr>
          <w:rFonts w:ascii="Calibri" w:hAnsi="Calibri"/>
          <w:sz w:val="20"/>
          <w:szCs w:val="20"/>
          <w:lang w:val="en-GB"/>
        </w:rPr>
        <w:t>(v) building partnerships with the private sector and development partners.</w:t>
      </w:r>
    </w:p>
    <w:p w14:paraId="74D64D4C" w14:textId="77777777" w:rsidR="00302BFE" w:rsidRPr="005F3825" w:rsidRDefault="00302BFE" w:rsidP="00302BFE">
      <w:pPr>
        <w:pStyle w:val="Paragraphedeliste"/>
        <w:tabs>
          <w:tab w:val="left" w:pos="284"/>
        </w:tabs>
        <w:spacing w:before="240" w:after="120"/>
        <w:ind w:left="0"/>
        <w:jc w:val="both"/>
        <w:rPr>
          <w:rFonts w:ascii="Calibri" w:hAnsi="Calibri"/>
          <w:sz w:val="20"/>
          <w:szCs w:val="20"/>
          <w:lang w:val="en-GB"/>
        </w:rPr>
      </w:pPr>
      <w:r w:rsidRPr="005F3825">
        <w:rPr>
          <w:rFonts w:ascii="Calibri" w:hAnsi="Calibri"/>
          <w:b/>
          <w:sz w:val="20"/>
          <w:szCs w:val="20"/>
          <w:lang w:val="en-GB"/>
        </w:rPr>
        <w:lastRenderedPageBreak/>
        <w:t>Output 1.2 The territorial planning tool is adopted as a spatial planning methodology allowing the visualization of the impacts of economic activities on the landscape with a clear articulation of trade-offs, to support the decision-making on a use of lands maximizing environmental and economic benefits.</w:t>
      </w:r>
    </w:p>
    <w:p w14:paraId="5C60456F" w14:textId="444EABEA" w:rsidR="00302BFE" w:rsidRPr="0004263C"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04263C">
        <w:rPr>
          <w:rFonts w:ascii="Calibri" w:hAnsi="Calibri"/>
          <w:i/>
          <w:color w:val="4472C4"/>
          <w:sz w:val="20"/>
          <w:szCs w:val="20"/>
          <w:lang w:val="en-GB"/>
        </w:rPr>
        <w:t>1.2.1 Valuation of ecosystem goods and services (ES) produced by the various units of the PONASI landscape</w:t>
      </w:r>
    </w:p>
    <w:p w14:paraId="192604E8" w14:textId="5529A8C4" w:rsidR="00F84490" w:rsidRPr="00BE65D5" w:rsidRDefault="00F84490" w:rsidP="00BE65D5">
      <w:pPr>
        <w:spacing w:before="120" w:after="120"/>
        <w:rPr>
          <w:iCs/>
          <w:color w:val="4472C4"/>
          <w:szCs w:val="20"/>
          <w:lang w:val="en-GB"/>
        </w:rPr>
      </w:pPr>
      <w:r w:rsidRPr="0004263C">
        <w:rPr>
          <w:iCs/>
          <w:color w:val="4472C4"/>
          <w:szCs w:val="20"/>
          <w:lang w:val="en-GB"/>
        </w:rPr>
        <w:t xml:space="preserve">For this activity, the FPIC (Free, Prior and Informed Consent) process </w:t>
      </w:r>
      <w:proofErr w:type="gramStart"/>
      <w:r w:rsidRPr="0004263C">
        <w:rPr>
          <w:iCs/>
          <w:color w:val="4472C4"/>
          <w:szCs w:val="20"/>
          <w:lang w:val="en-GB"/>
        </w:rPr>
        <w:t>has to</w:t>
      </w:r>
      <w:proofErr w:type="gramEnd"/>
      <w:r w:rsidRPr="0004263C">
        <w:rPr>
          <w:iCs/>
          <w:color w:val="4472C4"/>
          <w:szCs w:val="20"/>
          <w:lang w:val="en-GB"/>
        </w:rPr>
        <w:t xml:space="preserve"> be ensured</w:t>
      </w:r>
    </w:p>
    <w:p w14:paraId="745491A8" w14:textId="77777777" w:rsidR="00467A90" w:rsidRPr="000D4277" w:rsidRDefault="0067208F"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hAnsi="Calibri"/>
          <w:sz w:val="20"/>
          <w:szCs w:val="20"/>
          <w:lang w:val="en-GB"/>
        </w:rPr>
        <w:t xml:space="preserve">Environmental land use planning will be based on the valuation of the ecosystem goods and services (ES) produced by the different units of the PONASI landscape with a view to optimizing them at the scale of the PONASI landscape. </w:t>
      </w:r>
      <w:r w:rsidR="00C90C19" w:rsidRPr="000D4277">
        <w:rPr>
          <w:rFonts w:ascii="Calibri" w:hAnsi="Calibri"/>
          <w:sz w:val="20"/>
          <w:szCs w:val="20"/>
          <w:lang w:val="en-GB"/>
        </w:rPr>
        <w:t xml:space="preserve">The project will recruit an environmental consulting firm to conduct an interdisciplinary assessment and valuation study of key ecosystem goods and services produced by the various units of the PONASI landscape. </w:t>
      </w:r>
    </w:p>
    <w:p w14:paraId="6B64CE2B" w14:textId="77777777" w:rsidR="00467A90" w:rsidRPr="000D4277" w:rsidRDefault="00BE6BAD"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hAnsi="Calibri"/>
          <w:sz w:val="20"/>
          <w:szCs w:val="20"/>
          <w:lang w:val="en-GB"/>
        </w:rPr>
        <w:t xml:space="preserve">The planning process will enable making decisions that form the basis of the formulation of the PONASI Landscape Master Plan to guide management over the next 15 years. </w:t>
      </w:r>
      <w:r w:rsidR="00467A90" w:rsidRPr="000D4277">
        <w:rPr>
          <w:rFonts w:ascii="Calibri" w:hAnsi="Calibri"/>
          <w:sz w:val="20"/>
          <w:szCs w:val="20"/>
          <w:lang w:val="en-GB"/>
        </w:rPr>
        <w:t xml:space="preserve">The process or </w:t>
      </w:r>
      <w:r w:rsidR="00467A90" w:rsidRPr="000D4277">
        <w:rPr>
          <w:rFonts w:ascii="Calibri" w:hAnsi="Calibri"/>
          <w:i/>
          <w:sz w:val="20"/>
          <w:szCs w:val="20"/>
          <w:lang w:val="en-GB"/>
        </w:rPr>
        <w:t>"tool"</w:t>
      </w:r>
      <w:r w:rsidR="00467A90" w:rsidRPr="000D4277">
        <w:rPr>
          <w:rFonts w:ascii="Calibri" w:hAnsi="Calibri"/>
          <w:sz w:val="20"/>
          <w:szCs w:val="20"/>
          <w:lang w:val="en-GB"/>
        </w:rPr>
        <w:t xml:space="preserve"> of environmental planning for land use will be developed through a participatory process guided by an expert mobilized by the Project and involving the project management team as well as the members of the Permanent Technical Core of the Co-governance Mechanism. The process will thus serve to train or introduce actors to the use of the TESSA tool. It will be monitored, </w:t>
      </w:r>
      <w:proofErr w:type="gramStart"/>
      <w:r w:rsidR="00467A90" w:rsidRPr="000D4277">
        <w:rPr>
          <w:rFonts w:ascii="Calibri" w:hAnsi="Calibri"/>
          <w:sz w:val="20"/>
          <w:szCs w:val="20"/>
          <w:lang w:val="en-GB"/>
        </w:rPr>
        <w:t>reviewed</w:t>
      </w:r>
      <w:proofErr w:type="gramEnd"/>
      <w:r w:rsidR="00467A90" w:rsidRPr="000D4277">
        <w:rPr>
          <w:rFonts w:ascii="Calibri" w:hAnsi="Calibri"/>
          <w:sz w:val="20"/>
          <w:szCs w:val="20"/>
          <w:lang w:val="en-GB"/>
        </w:rPr>
        <w:t xml:space="preserve"> and validated by the Landscape Co-governance Mechanism.</w:t>
      </w:r>
    </w:p>
    <w:p w14:paraId="15463671" w14:textId="77777777" w:rsidR="00302BFE" w:rsidRPr="000D4277" w:rsidRDefault="00467A90"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hAnsi="Calibri"/>
          <w:sz w:val="20"/>
          <w:szCs w:val="20"/>
          <w:lang w:val="en-GB"/>
        </w:rPr>
        <w:t xml:space="preserve">Involving </w:t>
      </w:r>
      <w:r w:rsidR="00BE6BAD" w:rsidRPr="000D4277">
        <w:rPr>
          <w:rFonts w:ascii="Calibri" w:hAnsi="Calibri"/>
          <w:sz w:val="20"/>
          <w:szCs w:val="20"/>
          <w:lang w:val="en-GB"/>
        </w:rPr>
        <w:t>the above-mentioned stakeholders</w:t>
      </w:r>
      <w:r w:rsidRPr="000D4277">
        <w:rPr>
          <w:rFonts w:ascii="Calibri" w:hAnsi="Calibri"/>
          <w:sz w:val="20"/>
          <w:szCs w:val="20"/>
          <w:lang w:val="en-GB"/>
        </w:rPr>
        <w:t>,</w:t>
      </w:r>
      <w:r w:rsidR="00B70216" w:rsidRPr="000D4277">
        <w:rPr>
          <w:rFonts w:ascii="Calibri" w:hAnsi="Calibri"/>
          <w:sz w:val="20"/>
          <w:szCs w:val="20"/>
          <w:lang w:val="en-GB"/>
        </w:rPr>
        <w:t xml:space="preserve"> under the guidance of the international expert,</w:t>
      </w:r>
      <w:r w:rsidRPr="000D4277">
        <w:rPr>
          <w:rFonts w:ascii="Calibri" w:hAnsi="Calibri"/>
          <w:sz w:val="20"/>
          <w:szCs w:val="20"/>
          <w:lang w:val="en-GB"/>
        </w:rPr>
        <w:t xml:space="preserve"> t</w:t>
      </w:r>
      <w:r w:rsidR="00302BFE" w:rsidRPr="000D4277">
        <w:rPr>
          <w:rFonts w:ascii="Calibri" w:hAnsi="Calibri"/>
          <w:sz w:val="20"/>
          <w:szCs w:val="20"/>
          <w:lang w:val="en-GB"/>
        </w:rPr>
        <w:t>he environmental land use planning process will proceed as follows:</w:t>
      </w:r>
    </w:p>
    <w:p w14:paraId="41A35967" w14:textId="77777777" w:rsidR="00302BFE" w:rsidRPr="000D4277" w:rsidRDefault="00302BFE" w:rsidP="00C46720">
      <w:pPr>
        <w:pStyle w:val="Paragraphedeliste"/>
        <w:numPr>
          <w:ilvl w:val="0"/>
          <w:numId w:val="55"/>
        </w:numPr>
        <w:spacing w:before="120" w:after="120"/>
        <w:contextualSpacing/>
        <w:rPr>
          <w:rFonts w:ascii="Calibri" w:hAnsi="Calibri"/>
          <w:sz w:val="20"/>
          <w:szCs w:val="20"/>
          <w:lang w:val="en-GB"/>
        </w:rPr>
      </w:pPr>
      <w:r w:rsidRPr="000D4277">
        <w:rPr>
          <w:rFonts w:ascii="Calibri" w:hAnsi="Calibri"/>
          <w:sz w:val="20"/>
          <w:szCs w:val="20"/>
          <w:lang w:val="en-GB"/>
        </w:rPr>
        <w:t xml:space="preserve">Recruitment of a </w:t>
      </w:r>
      <w:r w:rsidR="00143184" w:rsidRPr="000D4277">
        <w:rPr>
          <w:rFonts w:ascii="Calibri" w:hAnsi="Calibri"/>
          <w:sz w:val="20"/>
          <w:szCs w:val="20"/>
          <w:lang w:val="en-GB"/>
        </w:rPr>
        <w:t xml:space="preserve">land-use planning </w:t>
      </w:r>
      <w:r w:rsidRPr="000D4277">
        <w:rPr>
          <w:rFonts w:ascii="Calibri" w:hAnsi="Calibri"/>
          <w:sz w:val="20"/>
          <w:szCs w:val="20"/>
          <w:lang w:val="en-GB"/>
        </w:rPr>
        <w:t xml:space="preserve">national consultant to </w:t>
      </w:r>
      <w:r w:rsidR="00143184" w:rsidRPr="000D4277">
        <w:rPr>
          <w:rFonts w:ascii="Calibri" w:hAnsi="Calibri"/>
          <w:sz w:val="20"/>
          <w:szCs w:val="20"/>
          <w:lang w:val="en-GB"/>
        </w:rPr>
        <w:t>assist</w:t>
      </w:r>
      <w:r w:rsidRPr="000D4277">
        <w:rPr>
          <w:rFonts w:ascii="Calibri" w:hAnsi="Calibri"/>
          <w:sz w:val="20"/>
          <w:szCs w:val="20"/>
          <w:lang w:val="en-GB"/>
        </w:rPr>
        <w:t xml:space="preserve"> the </w:t>
      </w:r>
      <w:r w:rsidR="00143184" w:rsidRPr="000D4277">
        <w:rPr>
          <w:rFonts w:ascii="Calibri" w:hAnsi="Calibri"/>
          <w:sz w:val="20"/>
          <w:szCs w:val="20"/>
          <w:lang w:val="en-GB"/>
        </w:rPr>
        <w:t xml:space="preserve">international land-use planning expert, including for the </w:t>
      </w:r>
      <w:r w:rsidRPr="000D4277">
        <w:rPr>
          <w:rFonts w:ascii="Calibri" w:hAnsi="Calibri"/>
          <w:sz w:val="20"/>
          <w:szCs w:val="20"/>
          <w:lang w:val="en-GB"/>
        </w:rPr>
        <w:t xml:space="preserve">collection of available information, data, ES assessments on the state of resources and ecosystem services provided by each unit of the </w:t>
      </w:r>
      <w:proofErr w:type="gramStart"/>
      <w:r w:rsidRPr="000D4277">
        <w:rPr>
          <w:rFonts w:ascii="Calibri" w:hAnsi="Calibri"/>
          <w:sz w:val="20"/>
          <w:szCs w:val="20"/>
          <w:lang w:val="en-GB"/>
        </w:rPr>
        <w:t>landscape;</w:t>
      </w:r>
      <w:proofErr w:type="gramEnd"/>
    </w:p>
    <w:p w14:paraId="32A9A1C8" w14:textId="77777777" w:rsidR="00302BFE" w:rsidRPr="000D4277" w:rsidRDefault="00302BFE" w:rsidP="00C46720">
      <w:pPr>
        <w:pStyle w:val="Paragraphedeliste"/>
        <w:numPr>
          <w:ilvl w:val="0"/>
          <w:numId w:val="55"/>
        </w:numPr>
        <w:spacing w:before="120" w:after="120"/>
        <w:contextualSpacing/>
        <w:rPr>
          <w:rFonts w:ascii="Calibri" w:hAnsi="Calibri"/>
          <w:sz w:val="20"/>
          <w:szCs w:val="20"/>
          <w:lang w:val="en-GB"/>
        </w:rPr>
      </w:pPr>
      <w:r w:rsidRPr="000D4277">
        <w:rPr>
          <w:rFonts w:ascii="Calibri" w:hAnsi="Calibri"/>
          <w:sz w:val="20"/>
          <w:szCs w:val="20"/>
          <w:lang w:val="en-GB"/>
        </w:rPr>
        <w:t xml:space="preserve">Recruitment of an environmental firm to conduct an interdisciplinary assessment and valuation of key ecosystem goods and services (ES) in the various units within the PONASI landscape, using the TESSA tool and </w:t>
      </w:r>
      <w:r w:rsidR="00C90C19" w:rsidRPr="000D4277">
        <w:rPr>
          <w:rFonts w:ascii="Calibri" w:hAnsi="Calibri"/>
          <w:sz w:val="20"/>
          <w:szCs w:val="20"/>
          <w:lang w:val="en-GB"/>
        </w:rPr>
        <w:t>building from</w:t>
      </w:r>
      <w:r w:rsidRPr="000D4277">
        <w:rPr>
          <w:rFonts w:ascii="Calibri" w:hAnsi="Calibri"/>
          <w:sz w:val="20"/>
          <w:szCs w:val="20"/>
          <w:lang w:val="en-GB"/>
        </w:rPr>
        <w:t xml:space="preserve"> relevant existing </w:t>
      </w:r>
      <w:r w:rsidR="00C90C19" w:rsidRPr="000D4277">
        <w:rPr>
          <w:rFonts w:ascii="Calibri" w:hAnsi="Calibri"/>
          <w:sz w:val="20"/>
          <w:szCs w:val="20"/>
          <w:lang w:val="en-GB"/>
        </w:rPr>
        <w:t>surveys and assessments</w:t>
      </w:r>
      <w:r w:rsidRPr="000D4277">
        <w:rPr>
          <w:rFonts w:ascii="Calibri" w:hAnsi="Calibri"/>
          <w:sz w:val="20"/>
          <w:szCs w:val="20"/>
          <w:lang w:val="en-GB"/>
        </w:rPr>
        <w:t xml:space="preserve"> conducted in the </w:t>
      </w:r>
      <w:proofErr w:type="gramStart"/>
      <w:r w:rsidRPr="000D4277">
        <w:rPr>
          <w:rFonts w:ascii="Calibri" w:hAnsi="Calibri"/>
          <w:sz w:val="20"/>
          <w:szCs w:val="20"/>
          <w:lang w:val="en-GB"/>
        </w:rPr>
        <w:t>area;</w:t>
      </w:r>
      <w:proofErr w:type="gramEnd"/>
    </w:p>
    <w:p w14:paraId="30B03592" w14:textId="77777777" w:rsidR="00302BFE" w:rsidRPr="005F3825" w:rsidRDefault="00302BFE" w:rsidP="00C46720">
      <w:pPr>
        <w:pStyle w:val="Paragraphedeliste"/>
        <w:numPr>
          <w:ilvl w:val="0"/>
          <w:numId w:val="55"/>
        </w:numPr>
        <w:spacing w:before="120" w:after="120"/>
        <w:contextualSpacing/>
        <w:jc w:val="both"/>
        <w:rPr>
          <w:rFonts w:ascii="Calibri" w:hAnsi="Calibri"/>
          <w:sz w:val="20"/>
          <w:szCs w:val="20"/>
          <w:lang w:val="en-GB"/>
        </w:rPr>
      </w:pPr>
      <w:r w:rsidRPr="005F3825">
        <w:rPr>
          <w:rFonts w:ascii="Calibri" w:hAnsi="Calibri"/>
          <w:sz w:val="20"/>
          <w:szCs w:val="20"/>
          <w:lang w:val="en-GB"/>
        </w:rPr>
        <w:t>Analysis (using relevant tools) of synergies and trade-offs between:</w:t>
      </w:r>
    </w:p>
    <w:p w14:paraId="7303F98D" w14:textId="77777777" w:rsidR="00302BFE" w:rsidRPr="005F3825" w:rsidRDefault="00302BFE" w:rsidP="00C46720">
      <w:pPr>
        <w:pStyle w:val="Paragraphedeliste"/>
        <w:numPr>
          <w:ilvl w:val="1"/>
          <w:numId w:val="17"/>
        </w:numPr>
        <w:spacing w:before="120" w:after="120"/>
        <w:contextualSpacing/>
        <w:rPr>
          <w:rFonts w:ascii="Calibri" w:hAnsi="Calibri"/>
          <w:sz w:val="20"/>
          <w:szCs w:val="20"/>
          <w:lang w:val="en-GB"/>
        </w:rPr>
      </w:pPr>
      <w:r>
        <w:rPr>
          <w:rFonts w:ascii="Calibri" w:hAnsi="Calibri"/>
          <w:sz w:val="20"/>
          <w:szCs w:val="20"/>
          <w:lang w:val="en-GB"/>
        </w:rPr>
        <w:t xml:space="preserve">key </w:t>
      </w:r>
      <w:r w:rsidRPr="005F3825">
        <w:rPr>
          <w:rFonts w:ascii="Calibri" w:hAnsi="Calibri"/>
          <w:sz w:val="20"/>
          <w:szCs w:val="20"/>
          <w:lang w:val="en-GB"/>
        </w:rPr>
        <w:t>ESs produced by different landscape units under different land use and resource use scenarios</w:t>
      </w:r>
    </w:p>
    <w:p w14:paraId="7A899C6A" w14:textId="77777777" w:rsidR="00302BFE" w:rsidRPr="005F3825" w:rsidRDefault="00302BFE" w:rsidP="00C46720">
      <w:pPr>
        <w:pStyle w:val="Paragraphedeliste"/>
        <w:numPr>
          <w:ilvl w:val="1"/>
          <w:numId w:val="17"/>
        </w:numPr>
        <w:spacing w:before="120" w:after="120"/>
        <w:contextualSpacing/>
        <w:jc w:val="both"/>
        <w:rPr>
          <w:rFonts w:ascii="Calibri" w:hAnsi="Calibri"/>
          <w:sz w:val="20"/>
          <w:szCs w:val="20"/>
          <w:lang w:val="en-GB"/>
        </w:rPr>
      </w:pPr>
      <w:r>
        <w:rPr>
          <w:rFonts w:ascii="Calibri" w:hAnsi="Calibri"/>
          <w:sz w:val="20"/>
          <w:szCs w:val="20"/>
          <w:lang w:val="en-GB"/>
        </w:rPr>
        <w:t xml:space="preserve">key </w:t>
      </w:r>
      <w:r w:rsidRPr="005F3825">
        <w:rPr>
          <w:rFonts w:ascii="Calibri" w:hAnsi="Calibri"/>
          <w:sz w:val="20"/>
          <w:szCs w:val="20"/>
          <w:lang w:val="en-GB"/>
        </w:rPr>
        <w:t>ESs provided within the same unit</w:t>
      </w:r>
    </w:p>
    <w:p w14:paraId="0C429B00" w14:textId="77777777" w:rsidR="00302BFE" w:rsidRPr="005F3825" w:rsidRDefault="00302BFE" w:rsidP="00C46720">
      <w:pPr>
        <w:pStyle w:val="Paragraphedeliste"/>
        <w:numPr>
          <w:ilvl w:val="0"/>
          <w:numId w:val="56"/>
        </w:numPr>
        <w:spacing w:before="120" w:after="120"/>
        <w:contextualSpacing/>
        <w:jc w:val="both"/>
        <w:rPr>
          <w:rFonts w:ascii="Calibri" w:hAnsi="Calibri"/>
          <w:sz w:val="20"/>
          <w:szCs w:val="20"/>
          <w:lang w:val="en-GB"/>
        </w:rPr>
      </w:pPr>
      <w:r w:rsidRPr="005F3825">
        <w:rPr>
          <w:rFonts w:ascii="Calibri" w:hAnsi="Calibri"/>
          <w:sz w:val="20"/>
          <w:szCs w:val="20"/>
          <w:lang w:val="en-GB"/>
        </w:rPr>
        <w:t xml:space="preserve">The identification of the best combinations and technology packages (identified under outputs 3.1, 3.2 and 3.3) that maximize land-use benefits at the landscape scale, for biodiversity conservation, sustaining of ecosystem services and socio-economic development at local, </w:t>
      </w:r>
      <w:proofErr w:type="gramStart"/>
      <w:r w:rsidR="009363D6">
        <w:rPr>
          <w:rFonts w:ascii="Calibri" w:hAnsi="Calibri"/>
          <w:sz w:val="20"/>
          <w:szCs w:val="20"/>
          <w:lang w:val="en-GB"/>
        </w:rPr>
        <w:t>communal</w:t>
      </w:r>
      <w:proofErr w:type="gramEnd"/>
      <w:r w:rsidRPr="005F3825">
        <w:rPr>
          <w:rFonts w:ascii="Calibri" w:hAnsi="Calibri"/>
          <w:sz w:val="20"/>
          <w:szCs w:val="20"/>
          <w:lang w:val="en-GB"/>
        </w:rPr>
        <w:t xml:space="preserve"> and regional levels.</w:t>
      </w:r>
    </w:p>
    <w:p w14:paraId="724118A7" w14:textId="77777777" w:rsidR="00302BFE" w:rsidRDefault="00302BFE" w:rsidP="00C46720">
      <w:pPr>
        <w:pStyle w:val="Paragraphedeliste"/>
        <w:numPr>
          <w:ilvl w:val="0"/>
          <w:numId w:val="56"/>
        </w:numPr>
        <w:rPr>
          <w:rFonts w:ascii="Calibri" w:hAnsi="Calibri"/>
          <w:sz w:val="20"/>
          <w:szCs w:val="20"/>
          <w:lang w:val="en-GB"/>
        </w:rPr>
      </w:pPr>
      <w:r w:rsidRPr="005F3825">
        <w:rPr>
          <w:rFonts w:ascii="Calibri" w:hAnsi="Calibri"/>
          <w:sz w:val="20"/>
          <w:szCs w:val="20"/>
          <w:lang w:val="en-GB"/>
        </w:rPr>
        <w:t>Assessment of the impacts of land use changes on different stakeholders, identification of mitigation and compensation measures to support the negotiation process</w:t>
      </w:r>
    </w:p>
    <w:p w14:paraId="465BADB6" w14:textId="77777777" w:rsidR="00302BFE" w:rsidRPr="005F3825" w:rsidRDefault="00302BFE" w:rsidP="00C46720">
      <w:pPr>
        <w:pStyle w:val="Paragraphedeliste"/>
        <w:numPr>
          <w:ilvl w:val="0"/>
          <w:numId w:val="56"/>
        </w:numPr>
        <w:rPr>
          <w:rFonts w:ascii="Calibri" w:hAnsi="Calibri"/>
          <w:sz w:val="20"/>
          <w:szCs w:val="20"/>
          <w:lang w:val="en-GB"/>
        </w:rPr>
      </w:pPr>
      <w:r w:rsidRPr="005F3825">
        <w:rPr>
          <w:rFonts w:ascii="Calibri" w:hAnsi="Calibri"/>
          <w:sz w:val="20"/>
          <w:szCs w:val="20"/>
          <w:lang w:val="en-GB"/>
        </w:rPr>
        <w:t>Making recommendations for necessary changes in production systems and practices that maximize benefits at all levels</w:t>
      </w:r>
    </w:p>
    <w:p w14:paraId="46240073" w14:textId="77777777" w:rsidR="00302BFE" w:rsidRPr="000D427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hAnsi="Calibri"/>
          <w:sz w:val="20"/>
          <w:szCs w:val="20"/>
          <w:lang w:val="en-GB"/>
        </w:rPr>
        <w:t xml:space="preserve">From a collection of tools for measuring, </w:t>
      </w:r>
      <w:proofErr w:type="gramStart"/>
      <w:r w:rsidRPr="000D4277">
        <w:rPr>
          <w:rFonts w:ascii="Calibri" w:hAnsi="Calibri"/>
          <w:sz w:val="20"/>
          <w:szCs w:val="20"/>
          <w:lang w:val="en-GB"/>
        </w:rPr>
        <w:t>modelling</w:t>
      </w:r>
      <w:proofErr w:type="gramEnd"/>
      <w:r w:rsidRPr="000D4277">
        <w:rPr>
          <w:rFonts w:ascii="Calibri" w:hAnsi="Calibri"/>
          <w:sz w:val="20"/>
          <w:szCs w:val="20"/>
          <w:lang w:val="en-GB"/>
        </w:rPr>
        <w:t xml:space="preserve"> and evaluating ecosystem services (ES) by IUCN</w:t>
      </w:r>
      <w:r w:rsidRPr="000D4277">
        <w:rPr>
          <w:rStyle w:val="Appelnotedebasdep"/>
          <w:rFonts w:ascii="Calibri" w:hAnsi="Calibri"/>
          <w:sz w:val="20"/>
          <w:szCs w:val="20"/>
        </w:rPr>
        <w:footnoteReference w:id="42"/>
      </w:r>
      <w:r w:rsidRPr="000D4277">
        <w:rPr>
          <w:rFonts w:ascii="Calibri" w:hAnsi="Calibri"/>
          <w:sz w:val="20"/>
          <w:szCs w:val="20"/>
          <w:lang w:val="en-GB"/>
        </w:rPr>
        <w:t>, the Toolkit for Ecosystem Service Site-based Assessment.V.2.0 (TESSA)</w:t>
      </w:r>
      <w:r w:rsidRPr="000D4277">
        <w:rPr>
          <w:rStyle w:val="Appelnotedebasdep"/>
          <w:szCs w:val="20"/>
          <w:lang w:val="en-GB"/>
        </w:rPr>
        <w:footnoteReference w:id="43"/>
      </w:r>
      <w:r w:rsidRPr="000D4277">
        <w:rPr>
          <w:rFonts w:ascii="Calibri" w:hAnsi="Calibri"/>
          <w:sz w:val="20"/>
          <w:szCs w:val="20"/>
          <w:lang w:val="en-GB"/>
        </w:rPr>
        <w:t xml:space="preserve"> was selected as an appropriate tool for environmental land use planning that can be easily managed, including by the actors in the field. TESSA is an open-access toolkit currently available in English (Version 2.0) and French (Version 1.2) which can be requested online that provides accessible and inexpensive guidance for methods to evaluate the benefits people derive from nature at </w:t>
      </w:r>
      <w:proofErr w:type="gramStart"/>
      <w:r w:rsidRPr="000D4277">
        <w:rPr>
          <w:rFonts w:ascii="Calibri" w:hAnsi="Calibri"/>
          <w:sz w:val="20"/>
          <w:szCs w:val="20"/>
          <w:lang w:val="en-GB"/>
        </w:rPr>
        <w:t>particular sites</w:t>
      </w:r>
      <w:proofErr w:type="gramEnd"/>
      <w:r w:rsidRPr="000D4277">
        <w:rPr>
          <w:rFonts w:ascii="Calibri" w:hAnsi="Calibri"/>
          <w:sz w:val="20"/>
          <w:szCs w:val="20"/>
          <w:lang w:val="en-GB"/>
        </w:rPr>
        <w:t>. TESSA generates information that can be used to influence decision-making. It does not require specific computer modelling skills but requires stakeholder involvement and encourages the collection of primary data using the methods provided.</w:t>
      </w:r>
    </w:p>
    <w:p w14:paraId="6E3213BE" w14:textId="3A3C43E4" w:rsidR="00302BFE" w:rsidRPr="0004263C"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04263C">
        <w:rPr>
          <w:rFonts w:ascii="Calibri" w:hAnsi="Calibri"/>
          <w:i/>
          <w:color w:val="4472C4"/>
          <w:sz w:val="20"/>
          <w:szCs w:val="20"/>
          <w:lang w:val="en-GB"/>
        </w:rPr>
        <w:t>1.2.2 Establishment of a consolidated environmental information system to support the environmental land use planning process.</w:t>
      </w:r>
    </w:p>
    <w:p w14:paraId="35054FC1" w14:textId="29900086" w:rsidR="00F84490" w:rsidRPr="00BE65D5" w:rsidRDefault="00F84490" w:rsidP="00BE65D5">
      <w:pPr>
        <w:spacing w:before="120" w:after="120"/>
        <w:rPr>
          <w:iCs/>
          <w:color w:val="4472C4"/>
          <w:szCs w:val="20"/>
          <w:lang w:val="en-GB"/>
        </w:rPr>
      </w:pPr>
      <w:r w:rsidRPr="0004263C">
        <w:rPr>
          <w:iCs/>
          <w:color w:val="4472C4"/>
          <w:szCs w:val="20"/>
          <w:lang w:val="en-GB"/>
        </w:rPr>
        <w:t xml:space="preserve">For this activity, the FPIC (Free, Prior and Informed Consent) process </w:t>
      </w:r>
      <w:proofErr w:type="gramStart"/>
      <w:r w:rsidRPr="0004263C">
        <w:rPr>
          <w:iCs/>
          <w:color w:val="4472C4"/>
          <w:szCs w:val="20"/>
          <w:lang w:val="en-GB"/>
        </w:rPr>
        <w:t>has to</w:t>
      </w:r>
      <w:proofErr w:type="gramEnd"/>
      <w:r w:rsidRPr="0004263C">
        <w:rPr>
          <w:iCs/>
          <w:color w:val="4472C4"/>
          <w:szCs w:val="20"/>
          <w:lang w:val="en-GB"/>
        </w:rPr>
        <w:t xml:space="preserve"> be ensured</w:t>
      </w:r>
    </w:p>
    <w:p w14:paraId="122C434E" w14:textId="77777777" w:rsidR="006A0F99" w:rsidRPr="000D427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0D4277">
        <w:rPr>
          <w:rFonts w:ascii="Calibri" w:hAnsi="Calibri"/>
          <w:sz w:val="20"/>
          <w:szCs w:val="20"/>
          <w:lang w:val="en-CA"/>
        </w:rPr>
        <w:t xml:space="preserve">The </w:t>
      </w:r>
      <w:r w:rsidR="005A61BC" w:rsidRPr="000D4277">
        <w:rPr>
          <w:rFonts w:ascii="Calibri" w:hAnsi="Calibri"/>
          <w:sz w:val="20"/>
          <w:szCs w:val="20"/>
          <w:lang w:val="en-CA"/>
        </w:rPr>
        <w:t xml:space="preserve">project will recruit an international expert in design and management of information systems to design and establish a consolidated environmental information system to support </w:t>
      </w:r>
      <w:r w:rsidR="006A0F99" w:rsidRPr="000D4277">
        <w:rPr>
          <w:rFonts w:ascii="Calibri" w:hAnsi="Calibri"/>
          <w:sz w:val="20"/>
          <w:szCs w:val="20"/>
          <w:lang w:val="en-CA"/>
        </w:rPr>
        <w:t>decision-making on</w:t>
      </w:r>
      <w:r w:rsidR="005A61BC" w:rsidRPr="000D4277">
        <w:rPr>
          <w:rFonts w:ascii="Calibri" w:hAnsi="Calibri"/>
          <w:sz w:val="20"/>
          <w:szCs w:val="20"/>
          <w:lang w:val="en-CA"/>
        </w:rPr>
        <w:t xml:space="preserve"> environmental land use planning </w:t>
      </w:r>
      <w:r w:rsidR="006A0F99" w:rsidRPr="000D4277">
        <w:rPr>
          <w:rFonts w:ascii="Calibri" w:hAnsi="Calibri"/>
          <w:sz w:val="20"/>
          <w:szCs w:val="20"/>
          <w:lang w:val="en-CA"/>
        </w:rPr>
        <w:t>and monitoring the implementation of the landscape master plan</w:t>
      </w:r>
      <w:r w:rsidR="005A61BC" w:rsidRPr="000D4277">
        <w:rPr>
          <w:rFonts w:ascii="Calibri" w:hAnsi="Calibri"/>
          <w:sz w:val="20"/>
          <w:szCs w:val="20"/>
          <w:lang w:val="en-CA"/>
        </w:rPr>
        <w:t xml:space="preserve">, </w:t>
      </w:r>
      <w:r w:rsidRPr="000D4277">
        <w:rPr>
          <w:rFonts w:ascii="Calibri" w:hAnsi="Calibri"/>
          <w:sz w:val="20"/>
          <w:szCs w:val="20"/>
          <w:lang w:val="en-CA"/>
        </w:rPr>
        <w:t>building on existing data</w:t>
      </w:r>
      <w:r w:rsidR="005A61BC" w:rsidRPr="000D4277">
        <w:rPr>
          <w:rFonts w:ascii="Calibri" w:hAnsi="Calibri"/>
          <w:sz w:val="20"/>
          <w:szCs w:val="20"/>
          <w:lang w:val="en-CA"/>
        </w:rPr>
        <w:t>bases</w:t>
      </w:r>
      <w:r w:rsidRPr="000D4277">
        <w:rPr>
          <w:rFonts w:ascii="Calibri" w:hAnsi="Calibri"/>
          <w:sz w:val="20"/>
          <w:szCs w:val="20"/>
          <w:lang w:val="en-CA"/>
        </w:rPr>
        <w:t xml:space="preserve"> on environment and natural resources in the PONASI landscape</w:t>
      </w:r>
      <w:r w:rsidR="005A61BC" w:rsidRPr="000D4277">
        <w:rPr>
          <w:rFonts w:ascii="Calibri" w:hAnsi="Calibri"/>
          <w:sz w:val="20"/>
          <w:szCs w:val="20"/>
          <w:lang w:val="en-CA"/>
        </w:rPr>
        <w:t>, including mapping documents, on biodiversity, forestry, agriculture and pastoralism</w:t>
      </w:r>
      <w:r w:rsidR="006A0F99" w:rsidRPr="000D4277">
        <w:rPr>
          <w:rFonts w:ascii="Calibri" w:hAnsi="Calibri"/>
          <w:sz w:val="20"/>
          <w:szCs w:val="20"/>
          <w:lang w:val="en-CA"/>
        </w:rPr>
        <w:t>, as well as other sectors that may have an impact on ecosystem services (e.g. mining in the PONASI area)</w:t>
      </w:r>
      <w:r w:rsidRPr="000D4277">
        <w:rPr>
          <w:rFonts w:ascii="Calibri" w:hAnsi="Calibri"/>
          <w:sz w:val="20"/>
          <w:szCs w:val="20"/>
          <w:lang w:val="en-CA"/>
        </w:rPr>
        <w:t xml:space="preserve">. This information system will both guide work under the Components 2 and 3 and will also serve to collect information obtained through monitoring the project implementation in pilot sites. </w:t>
      </w:r>
      <w:r w:rsidR="006A0F99" w:rsidRPr="000D4277">
        <w:rPr>
          <w:rFonts w:ascii="Calibri" w:hAnsi="Calibri"/>
          <w:sz w:val="20"/>
          <w:szCs w:val="20"/>
          <w:lang w:val="en-CA"/>
        </w:rPr>
        <w:t>Tasks of the expert will include assessment of the reliability and quality of existing data, development of p</w:t>
      </w:r>
      <w:r w:rsidRPr="000D4277">
        <w:rPr>
          <w:rFonts w:ascii="Calibri" w:hAnsi="Calibri"/>
          <w:sz w:val="20"/>
          <w:szCs w:val="20"/>
          <w:lang w:val="en-CA"/>
        </w:rPr>
        <w:t xml:space="preserve">rotocols for standardizing and classifying </w:t>
      </w:r>
      <w:r w:rsidRPr="000D4277">
        <w:rPr>
          <w:rFonts w:ascii="Calibri" w:hAnsi="Calibri"/>
          <w:sz w:val="20"/>
          <w:szCs w:val="20"/>
          <w:lang w:val="en-CA"/>
        </w:rPr>
        <w:lastRenderedPageBreak/>
        <w:t xml:space="preserve">existing databases </w:t>
      </w:r>
      <w:r w:rsidR="006A0F99" w:rsidRPr="000D4277">
        <w:rPr>
          <w:rFonts w:ascii="Calibri" w:hAnsi="Calibri"/>
          <w:sz w:val="20"/>
          <w:szCs w:val="20"/>
          <w:lang w:val="en-CA"/>
        </w:rPr>
        <w:t xml:space="preserve">to </w:t>
      </w:r>
      <w:r w:rsidRPr="000D4277">
        <w:rPr>
          <w:rFonts w:ascii="Calibri" w:hAnsi="Calibri"/>
          <w:sz w:val="20"/>
          <w:szCs w:val="20"/>
          <w:lang w:val="en-CA"/>
        </w:rPr>
        <w:t>ma</w:t>
      </w:r>
      <w:r w:rsidR="006A0F99" w:rsidRPr="000D4277">
        <w:rPr>
          <w:rFonts w:ascii="Calibri" w:hAnsi="Calibri"/>
          <w:sz w:val="20"/>
          <w:szCs w:val="20"/>
          <w:lang w:val="en-CA"/>
        </w:rPr>
        <w:t>k</w:t>
      </w:r>
      <w:r w:rsidRPr="000D4277">
        <w:rPr>
          <w:rFonts w:ascii="Calibri" w:hAnsi="Calibri"/>
          <w:sz w:val="20"/>
          <w:szCs w:val="20"/>
          <w:lang w:val="en-CA"/>
        </w:rPr>
        <w:t>e</w:t>
      </w:r>
      <w:r w:rsidR="006A0F99" w:rsidRPr="000D4277">
        <w:rPr>
          <w:rFonts w:ascii="Calibri" w:hAnsi="Calibri"/>
          <w:sz w:val="20"/>
          <w:szCs w:val="20"/>
          <w:lang w:val="en-CA"/>
        </w:rPr>
        <w:t xml:space="preserve"> them</w:t>
      </w:r>
      <w:r w:rsidRPr="000D4277">
        <w:rPr>
          <w:rFonts w:ascii="Calibri" w:hAnsi="Calibri"/>
          <w:sz w:val="20"/>
          <w:szCs w:val="20"/>
          <w:lang w:val="en-CA"/>
        </w:rPr>
        <w:t xml:space="preserve"> available to all relevant stakeholders involved in the planning process</w:t>
      </w:r>
      <w:r w:rsidR="00B131A6" w:rsidRPr="000D4277">
        <w:rPr>
          <w:rFonts w:ascii="Calibri" w:hAnsi="Calibri"/>
          <w:sz w:val="20"/>
          <w:szCs w:val="20"/>
          <w:lang w:val="en-CA"/>
        </w:rPr>
        <w:t>.</w:t>
      </w:r>
      <w:r w:rsidR="006A0F99" w:rsidRPr="000D4277">
        <w:rPr>
          <w:rFonts w:ascii="Calibri" w:hAnsi="Calibri"/>
          <w:sz w:val="20"/>
          <w:szCs w:val="20"/>
          <w:lang w:val="en-CA"/>
        </w:rPr>
        <w:t xml:space="preserve"> </w:t>
      </w:r>
      <w:r w:rsidR="00B131A6" w:rsidRPr="000D4277">
        <w:rPr>
          <w:rFonts w:ascii="Calibri" w:hAnsi="Calibri"/>
          <w:sz w:val="20"/>
          <w:szCs w:val="20"/>
          <w:lang w:val="en-CA"/>
        </w:rPr>
        <w:t xml:space="preserve">The consultant will </w:t>
      </w:r>
      <w:r w:rsidR="006A0F99" w:rsidRPr="000D4277">
        <w:rPr>
          <w:rFonts w:ascii="Calibri" w:hAnsi="Calibri"/>
          <w:sz w:val="20"/>
          <w:szCs w:val="20"/>
          <w:lang w:val="en-CA"/>
        </w:rPr>
        <w:t>supervis</w:t>
      </w:r>
      <w:r w:rsidR="00B131A6" w:rsidRPr="000D4277">
        <w:rPr>
          <w:rFonts w:ascii="Calibri" w:hAnsi="Calibri"/>
          <w:sz w:val="20"/>
          <w:szCs w:val="20"/>
          <w:lang w:val="en-CA"/>
        </w:rPr>
        <w:t>e</w:t>
      </w:r>
      <w:r w:rsidR="006A0F99" w:rsidRPr="000D4277">
        <w:rPr>
          <w:rFonts w:ascii="Calibri" w:hAnsi="Calibri"/>
          <w:sz w:val="20"/>
          <w:szCs w:val="20"/>
          <w:lang w:val="en-CA"/>
        </w:rPr>
        <w:t xml:space="preserve"> </w:t>
      </w:r>
      <w:r w:rsidR="00B131A6" w:rsidRPr="000D4277">
        <w:rPr>
          <w:rFonts w:ascii="Calibri" w:hAnsi="Calibri"/>
          <w:sz w:val="20"/>
          <w:szCs w:val="20"/>
          <w:lang w:val="en-CA"/>
        </w:rPr>
        <w:t xml:space="preserve">the implementation of information systems to </w:t>
      </w:r>
      <w:r w:rsidR="006A0F99" w:rsidRPr="000D4277">
        <w:rPr>
          <w:rFonts w:ascii="Calibri" w:hAnsi="Calibri"/>
          <w:sz w:val="20"/>
          <w:szCs w:val="20"/>
          <w:lang w:val="en-CA"/>
        </w:rPr>
        <w:t>monitor</w:t>
      </w:r>
      <w:r w:rsidR="00B131A6" w:rsidRPr="000D4277">
        <w:rPr>
          <w:rFonts w:ascii="Calibri" w:hAnsi="Calibri"/>
          <w:sz w:val="20"/>
          <w:szCs w:val="20"/>
          <w:lang w:val="en-CA"/>
        </w:rPr>
        <w:t xml:space="preserve"> land-use </w:t>
      </w:r>
      <w:proofErr w:type="gramStart"/>
      <w:r w:rsidR="00B131A6" w:rsidRPr="000D4277">
        <w:rPr>
          <w:rFonts w:ascii="Calibri" w:hAnsi="Calibri"/>
          <w:sz w:val="20"/>
          <w:szCs w:val="20"/>
          <w:lang w:val="en-CA"/>
        </w:rPr>
        <w:t>in order to</w:t>
      </w:r>
      <w:proofErr w:type="gramEnd"/>
      <w:r w:rsidR="00B131A6" w:rsidRPr="000D4277">
        <w:rPr>
          <w:rFonts w:ascii="Calibri" w:hAnsi="Calibri"/>
          <w:sz w:val="20"/>
          <w:szCs w:val="20"/>
          <w:lang w:val="en-CA"/>
        </w:rPr>
        <w:t xml:space="preserve"> estimate GHG emissions and uptakes, biodiversity, poaching</w:t>
      </w:r>
      <w:r w:rsidR="0031155E" w:rsidRPr="000D4277">
        <w:rPr>
          <w:rFonts w:ascii="Calibri" w:hAnsi="Calibri"/>
          <w:sz w:val="20"/>
          <w:szCs w:val="20"/>
          <w:lang w:val="en-CA"/>
        </w:rPr>
        <w:t>,</w:t>
      </w:r>
      <w:r w:rsidR="00B131A6" w:rsidRPr="000D4277">
        <w:rPr>
          <w:rFonts w:ascii="Calibri" w:hAnsi="Calibri"/>
          <w:sz w:val="20"/>
          <w:szCs w:val="20"/>
          <w:lang w:val="en-CA"/>
        </w:rPr>
        <w:t xml:space="preserve"> HWC</w:t>
      </w:r>
      <w:r w:rsidR="0031155E" w:rsidRPr="000D4277">
        <w:rPr>
          <w:rFonts w:ascii="Calibri" w:hAnsi="Calibri"/>
          <w:sz w:val="20"/>
          <w:szCs w:val="20"/>
          <w:lang w:val="en-CA"/>
        </w:rPr>
        <w:t xml:space="preserve"> and all other issues required to support the sound management od the landscape</w:t>
      </w:r>
      <w:r w:rsidR="00B131A6" w:rsidRPr="000D4277">
        <w:rPr>
          <w:rFonts w:ascii="Calibri" w:hAnsi="Calibri"/>
          <w:sz w:val="20"/>
          <w:szCs w:val="20"/>
          <w:lang w:val="en-CA"/>
        </w:rPr>
        <w:t>.</w:t>
      </w:r>
    </w:p>
    <w:p w14:paraId="4EE35737" w14:textId="7EF07F0E" w:rsidR="00B378B6" w:rsidRPr="00D61C93"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6E490C">
        <w:rPr>
          <w:rFonts w:ascii="Calibri" w:hAnsi="Calibri"/>
          <w:sz w:val="20"/>
          <w:szCs w:val="20"/>
          <w:lang w:val="en-CA"/>
        </w:rPr>
        <w:t xml:space="preserve">The environmental land use planning information system will provide key input for better decision-making. It will include i) links to existing databases (web, GIS, maps, etc.), ii) compiled and updated environmental statistics, iii) indicators for the environmental land use planning, iv) GIS databases and maps for key elements of the planning process, such as maps integrating PAs and other priority areas for biodiversity, land degradation, and other key issues, v) risk analysis of main sectoral production activities including agriculture, mining, logging, charcoal making, hunting. </w:t>
      </w:r>
      <w:r w:rsidR="0031155E">
        <w:rPr>
          <w:rFonts w:ascii="Calibri" w:hAnsi="Calibri"/>
          <w:sz w:val="20"/>
          <w:szCs w:val="20"/>
          <w:lang w:val="en-CA"/>
        </w:rPr>
        <w:t>The</w:t>
      </w:r>
      <w:r w:rsidRPr="006E490C">
        <w:rPr>
          <w:rFonts w:ascii="Calibri" w:hAnsi="Calibri"/>
          <w:sz w:val="20"/>
          <w:szCs w:val="20"/>
          <w:lang w:val="en-CA"/>
        </w:rPr>
        <w:t xml:space="preserve"> expert in design and management of data systems will make recommendations on </w:t>
      </w:r>
      <w:r w:rsidR="0031155E">
        <w:rPr>
          <w:rFonts w:ascii="Calibri" w:hAnsi="Calibri"/>
          <w:sz w:val="20"/>
          <w:szCs w:val="20"/>
          <w:lang w:val="en-CA"/>
        </w:rPr>
        <w:t>the</w:t>
      </w:r>
      <w:r w:rsidRPr="006E490C">
        <w:rPr>
          <w:rFonts w:ascii="Calibri" w:hAnsi="Calibri"/>
          <w:sz w:val="20"/>
          <w:szCs w:val="20"/>
          <w:lang w:val="en-CA"/>
        </w:rPr>
        <w:t xml:space="preserve"> institutional anchoring</w:t>
      </w:r>
      <w:r w:rsidR="0031155E">
        <w:rPr>
          <w:rFonts w:ascii="Calibri" w:hAnsi="Calibri"/>
          <w:sz w:val="20"/>
          <w:szCs w:val="20"/>
          <w:lang w:val="en-CA"/>
        </w:rPr>
        <w:t xml:space="preserve"> of the information system</w:t>
      </w:r>
      <w:r w:rsidRPr="006E490C">
        <w:rPr>
          <w:rFonts w:ascii="Calibri" w:hAnsi="Calibri"/>
          <w:sz w:val="20"/>
          <w:szCs w:val="20"/>
          <w:lang w:val="en-CA"/>
        </w:rPr>
        <w:t xml:space="preserve">, the responsibility for its management, and the financing of its operation and its update </w:t>
      </w:r>
      <w:r w:rsidRPr="00D61C93">
        <w:rPr>
          <w:rFonts w:ascii="Calibri" w:hAnsi="Calibri"/>
          <w:sz w:val="20"/>
          <w:szCs w:val="20"/>
          <w:lang w:val="en-CA"/>
        </w:rPr>
        <w:t xml:space="preserve">for ensure its </w:t>
      </w:r>
      <w:r w:rsidR="000D4277" w:rsidRPr="00D61C93">
        <w:rPr>
          <w:rFonts w:ascii="Calibri" w:hAnsi="Calibri"/>
          <w:sz w:val="20"/>
          <w:szCs w:val="20"/>
          <w:lang w:val="en-CA"/>
        </w:rPr>
        <w:t>sustainability and</w:t>
      </w:r>
      <w:r w:rsidRPr="00D61C93">
        <w:rPr>
          <w:rFonts w:ascii="Calibri" w:hAnsi="Calibri"/>
          <w:sz w:val="20"/>
          <w:szCs w:val="20"/>
          <w:lang w:val="en-CA"/>
        </w:rPr>
        <w:t xml:space="preserve"> will ensure the training of all stakeholders interested in consulting the information system and contribute to its updating. Preferred institutional anchoring will be to integrate this database within the </w:t>
      </w:r>
      <w:r w:rsidRPr="00D61C93">
        <w:rPr>
          <w:rFonts w:ascii="Calibri" w:hAnsi="Calibri"/>
          <w:sz w:val="20"/>
          <w:szCs w:val="20"/>
        </w:rPr>
        <w:t xml:space="preserve">National Observatory of the Environment and Sustainable Development (ONEDD). </w:t>
      </w:r>
      <w:r w:rsidRPr="00D61C93">
        <w:rPr>
          <w:rFonts w:ascii="Calibri" w:hAnsi="Calibri"/>
          <w:sz w:val="20"/>
          <w:szCs w:val="20"/>
          <w:lang w:val="en-GB"/>
        </w:rPr>
        <w:t xml:space="preserve">ONEDD is a mechanism in support to </w:t>
      </w:r>
      <w:proofErr w:type="spellStart"/>
      <w:r w:rsidR="0004263C" w:rsidRPr="0004263C">
        <w:rPr>
          <w:rFonts w:ascii="Calibri" w:hAnsi="Calibri"/>
          <w:sz w:val="20"/>
          <w:szCs w:val="20"/>
          <w:highlight w:val="green"/>
          <w:lang w:val="en-GB"/>
        </w:rPr>
        <w:t>Ministere</w:t>
      </w:r>
      <w:proofErr w:type="spellEnd"/>
      <w:r w:rsidR="0004263C" w:rsidRPr="0004263C">
        <w:rPr>
          <w:rFonts w:ascii="Calibri" w:hAnsi="Calibri"/>
          <w:sz w:val="20"/>
          <w:szCs w:val="20"/>
          <w:highlight w:val="green"/>
          <w:lang w:val="en-GB"/>
        </w:rPr>
        <w:t xml:space="preserve"> de </w:t>
      </w:r>
      <w:proofErr w:type="spellStart"/>
      <w:r w:rsidR="0004263C" w:rsidRPr="0004263C">
        <w:rPr>
          <w:rFonts w:ascii="Calibri" w:hAnsi="Calibri"/>
          <w:sz w:val="20"/>
          <w:szCs w:val="20"/>
          <w:highlight w:val="green"/>
          <w:lang w:val="en-GB"/>
        </w:rPr>
        <w:t>l'environnement</w:t>
      </w:r>
      <w:proofErr w:type="spellEnd"/>
      <w:r w:rsidR="0004263C" w:rsidRPr="0004263C">
        <w:rPr>
          <w:rFonts w:ascii="Calibri" w:hAnsi="Calibri"/>
          <w:sz w:val="20"/>
          <w:szCs w:val="20"/>
          <w:highlight w:val="green"/>
          <w:lang w:val="en-GB"/>
        </w:rPr>
        <w:t xml:space="preserve">, de </w:t>
      </w:r>
      <w:proofErr w:type="spellStart"/>
      <w:r w:rsidR="0004263C" w:rsidRPr="0004263C">
        <w:rPr>
          <w:rFonts w:ascii="Calibri" w:hAnsi="Calibri"/>
          <w:sz w:val="20"/>
          <w:szCs w:val="20"/>
          <w:highlight w:val="green"/>
          <w:lang w:val="en-GB"/>
        </w:rPr>
        <w:t>l'eau</w:t>
      </w:r>
      <w:proofErr w:type="spellEnd"/>
      <w:r w:rsidR="0004263C" w:rsidRPr="0004263C">
        <w:rPr>
          <w:rFonts w:ascii="Calibri" w:hAnsi="Calibri"/>
          <w:sz w:val="20"/>
          <w:szCs w:val="20"/>
          <w:highlight w:val="green"/>
          <w:lang w:val="en-GB"/>
        </w:rPr>
        <w:t xml:space="preserve"> et de </w:t>
      </w:r>
      <w:proofErr w:type="spellStart"/>
      <w:r w:rsidR="0004263C" w:rsidRPr="0004263C">
        <w:rPr>
          <w:rFonts w:ascii="Calibri" w:hAnsi="Calibri"/>
          <w:sz w:val="20"/>
          <w:szCs w:val="20"/>
          <w:highlight w:val="green"/>
          <w:lang w:val="en-GB"/>
        </w:rPr>
        <w:t>l"Assainissement</w:t>
      </w:r>
      <w:proofErr w:type="spellEnd"/>
      <w:r w:rsidRPr="00D61C93">
        <w:rPr>
          <w:rFonts w:ascii="Calibri" w:hAnsi="Calibri"/>
          <w:sz w:val="20"/>
          <w:szCs w:val="20"/>
          <w:lang w:val="en-GB"/>
        </w:rPr>
        <w:t xml:space="preserve"> and its various divisions in the form of a system for surveillance and monitoring-evaluation of the environment and sustainable development. As part of its missions, ONEDD provides direct support to the National Partnership Program for Sustainable Land Management of the </w:t>
      </w:r>
      <w:proofErr w:type="spellStart"/>
      <w:r w:rsidR="0004263C" w:rsidRPr="0004263C">
        <w:rPr>
          <w:rFonts w:ascii="Calibri" w:hAnsi="Calibri"/>
          <w:sz w:val="20"/>
          <w:szCs w:val="20"/>
          <w:highlight w:val="green"/>
          <w:lang w:val="en-GB"/>
        </w:rPr>
        <w:t>Ministere</w:t>
      </w:r>
      <w:proofErr w:type="spellEnd"/>
      <w:r w:rsidR="0004263C" w:rsidRPr="0004263C">
        <w:rPr>
          <w:rFonts w:ascii="Calibri" w:hAnsi="Calibri"/>
          <w:sz w:val="20"/>
          <w:szCs w:val="20"/>
          <w:highlight w:val="green"/>
          <w:lang w:val="en-GB"/>
        </w:rPr>
        <w:t xml:space="preserve"> de </w:t>
      </w:r>
      <w:proofErr w:type="spellStart"/>
      <w:r w:rsidR="0004263C" w:rsidRPr="0004263C">
        <w:rPr>
          <w:rFonts w:ascii="Calibri" w:hAnsi="Calibri"/>
          <w:sz w:val="20"/>
          <w:szCs w:val="20"/>
          <w:highlight w:val="green"/>
          <w:lang w:val="en-GB"/>
        </w:rPr>
        <w:t>l'environnement</w:t>
      </w:r>
      <w:proofErr w:type="spellEnd"/>
      <w:r w:rsidR="0004263C" w:rsidRPr="0004263C">
        <w:rPr>
          <w:rFonts w:ascii="Calibri" w:hAnsi="Calibri"/>
          <w:sz w:val="20"/>
          <w:szCs w:val="20"/>
          <w:highlight w:val="green"/>
          <w:lang w:val="en-GB"/>
        </w:rPr>
        <w:t xml:space="preserve">, de </w:t>
      </w:r>
      <w:proofErr w:type="spellStart"/>
      <w:r w:rsidR="0004263C" w:rsidRPr="0004263C">
        <w:rPr>
          <w:rFonts w:ascii="Calibri" w:hAnsi="Calibri"/>
          <w:sz w:val="20"/>
          <w:szCs w:val="20"/>
          <w:highlight w:val="green"/>
          <w:lang w:val="en-GB"/>
        </w:rPr>
        <w:t>l'eau</w:t>
      </w:r>
      <w:proofErr w:type="spellEnd"/>
      <w:r w:rsidR="0004263C" w:rsidRPr="0004263C">
        <w:rPr>
          <w:rFonts w:ascii="Calibri" w:hAnsi="Calibri"/>
          <w:sz w:val="20"/>
          <w:szCs w:val="20"/>
          <w:highlight w:val="green"/>
          <w:lang w:val="en-GB"/>
        </w:rPr>
        <w:t xml:space="preserve"> et de </w:t>
      </w:r>
      <w:proofErr w:type="spellStart"/>
      <w:r w:rsidR="0004263C" w:rsidRPr="0004263C">
        <w:rPr>
          <w:rFonts w:ascii="Calibri" w:hAnsi="Calibri"/>
          <w:sz w:val="20"/>
          <w:szCs w:val="20"/>
          <w:highlight w:val="green"/>
          <w:lang w:val="en-GB"/>
        </w:rPr>
        <w:t>l"Assainissement</w:t>
      </w:r>
      <w:proofErr w:type="spellEnd"/>
      <w:r w:rsidRPr="00D61C93">
        <w:rPr>
          <w:rFonts w:ascii="Calibri" w:hAnsi="Calibri"/>
          <w:sz w:val="20"/>
          <w:szCs w:val="20"/>
          <w:lang w:val="en-GB"/>
        </w:rPr>
        <w:t xml:space="preserve">, </w:t>
      </w:r>
      <w:proofErr w:type="gramStart"/>
      <w:r w:rsidRPr="00D61C93">
        <w:rPr>
          <w:rFonts w:ascii="Calibri" w:hAnsi="Calibri"/>
          <w:sz w:val="20"/>
          <w:szCs w:val="20"/>
          <w:lang w:val="en-GB"/>
        </w:rPr>
        <w:t>in particular to</w:t>
      </w:r>
      <w:proofErr w:type="gramEnd"/>
      <w:r w:rsidRPr="00D61C93">
        <w:rPr>
          <w:rFonts w:ascii="Calibri" w:hAnsi="Calibri"/>
          <w:sz w:val="20"/>
          <w:szCs w:val="20"/>
          <w:lang w:val="en-GB"/>
        </w:rPr>
        <w:t xml:space="preserve"> ensure monitoring and evaluation within the framework of the United Nations conventions </w:t>
      </w:r>
      <w:r w:rsidR="00772516" w:rsidRPr="00D61C93">
        <w:rPr>
          <w:rFonts w:ascii="Calibri" w:hAnsi="Calibri"/>
          <w:sz w:val="20"/>
          <w:szCs w:val="20"/>
          <w:lang w:val="en-GB"/>
        </w:rPr>
        <w:t>to C</w:t>
      </w:r>
      <w:r w:rsidRPr="00D61C93">
        <w:rPr>
          <w:rFonts w:ascii="Calibri" w:hAnsi="Calibri"/>
          <w:sz w:val="20"/>
          <w:szCs w:val="20"/>
          <w:lang w:val="en-GB"/>
        </w:rPr>
        <w:t xml:space="preserve">ombat Desertification, </w:t>
      </w:r>
      <w:r w:rsidR="00772516" w:rsidRPr="00D61C93">
        <w:rPr>
          <w:rFonts w:ascii="Calibri" w:hAnsi="Calibri"/>
          <w:sz w:val="20"/>
          <w:szCs w:val="20"/>
          <w:lang w:val="en-GB"/>
        </w:rPr>
        <w:t xml:space="preserve">on </w:t>
      </w:r>
      <w:r w:rsidRPr="00D61C93">
        <w:rPr>
          <w:rFonts w:ascii="Calibri" w:hAnsi="Calibri"/>
          <w:sz w:val="20"/>
          <w:szCs w:val="20"/>
          <w:lang w:val="en-GB"/>
        </w:rPr>
        <w:t xml:space="preserve">Climate Change and </w:t>
      </w:r>
      <w:r w:rsidR="00772516" w:rsidRPr="00D61C93">
        <w:rPr>
          <w:rFonts w:ascii="Calibri" w:hAnsi="Calibri"/>
          <w:sz w:val="20"/>
          <w:szCs w:val="20"/>
          <w:lang w:val="en-GB"/>
        </w:rPr>
        <w:t xml:space="preserve">on </w:t>
      </w:r>
      <w:r w:rsidRPr="00D61C93">
        <w:rPr>
          <w:rFonts w:ascii="Calibri" w:hAnsi="Calibri"/>
          <w:sz w:val="20"/>
          <w:szCs w:val="20"/>
          <w:lang w:val="en-GB"/>
        </w:rPr>
        <w:t>Biological Diversity.</w:t>
      </w:r>
      <w:r w:rsidR="00B378B6" w:rsidRPr="00D61C93">
        <w:rPr>
          <w:rFonts w:ascii="Calibri" w:hAnsi="Calibri"/>
          <w:sz w:val="20"/>
          <w:szCs w:val="20"/>
          <w:lang w:val="en-GB"/>
        </w:rPr>
        <w:t xml:space="preserve"> </w:t>
      </w:r>
      <w:r w:rsidR="00B378B6" w:rsidRPr="00D61C93">
        <w:rPr>
          <w:rFonts w:ascii="Calibri" w:hAnsi="Calibri"/>
          <w:sz w:val="20"/>
          <w:szCs w:val="20"/>
          <w:lang w:val="en-CA"/>
        </w:rPr>
        <w:t>The Department of IT Services within the MEEVCC which is responsible for ensuring the consistency of information systems developed in accordance with the master plan of the Ministry and for training of personnel in the IT field will be associated with the establishment of this information system.</w:t>
      </w:r>
    </w:p>
    <w:p w14:paraId="04D4227E" w14:textId="1470CDB4" w:rsidR="00302BFE" w:rsidRPr="0004263C"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04263C">
        <w:rPr>
          <w:rFonts w:ascii="Calibri" w:hAnsi="Calibri"/>
          <w:i/>
          <w:color w:val="4472C4"/>
          <w:sz w:val="20"/>
          <w:szCs w:val="20"/>
          <w:lang w:val="en-GB"/>
        </w:rPr>
        <w:t>1.2.3 Criteria and standards for biodiversity conservation and sustainable land and ecosystem services management</w:t>
      </w:r>
    </w:p>
    <w:p w14:paraId="46902EA2" w14:textId="25C79363" w:rsidR="00F84490" w:rsidRPr="00BE65D5" w:rsidRDefault="00F84490" w:rsidP="00BE65D5">
      <w:pPr>
        <w:spacing w:before="120" w:after="120"/>
        <w:rPr>
          <w:iCs/>
          <w:color w:val="4472C4"/>
          <w:szCs w:val="20"/>
          <w:lang w:val="en-GB"/>
        </w:rPr>
      </w:pPr>
      <w:r w:rsidRPr="0004263C">
        <w:rPr>
          <w:iCs/>
          <w:color w:val="4472C4"/>
          <w:szCs w:val="20"/>
          <w:lang w:val="en-GB"/>
        </w:rPr>
        <w:t xml:space="preserve">For this activity, the FPIC (Free, Prior and Informed Consent) process </w:t>
      </w:r>
      <w:proofErr w:type="gramStart"/>
      <w:r w:rsidRPr="0004263C">
        <w:rPr>
          <w:iCs/>
          <w:color w:val="4472C4"/>
          <w:szCs w:val="20"/>
          <w:lang w:val="en-GB"/>
        </w:rPr>
        <w:t>has to</w:t>
      </w:r>
      <w:proofErr w:type="gramEnd"/>
      <w:r w:rsidRPr="0004263C">
        <w:rPr>
          <w:iCs/>
          <w:color w:val="4472C4"/>
          <w:szCs w:val="20"/>
          <w:lang w:val="en-GB"/>
        </w:rPr>
        <w:t xml:space="preserve"> be ensured</w:t>
      </w:r>
    </w:p>
    <w:p w14:paraId="593BE85B" w14:textId="77777777" w:rsidR="00302BFE" w:rsidRPr="000D427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hAnsi="Calibri" w:cs="TimesNewRomanPSMT"/>
          <w:sz w:val="20"/>
          <w:szCs w:val="20"/>
          <w:lang w:val="en-CA"/>
        </w:rPr>
        <w:t xml:space="preserve">A key step will be to define and agree on criteria to guide the ELUP process for the PONASI landscape, including SLM, BD and ecosystem services conservation criteria </w:t>
      </w:r>
      <w:r w:rsidR="0031155E" w:rsidRPr="000D4277">
        <w:rPr>
          <w:rFonts w:ascii="Calibri" w:hAnsi="Calibri" w:cs="TimesNewRomanPSMT"/>
          <w:sz w:val="20"/>
          <w:szCs w:val="20"/>
          <w:lang w:val="en-CA"/>
        </w:rPr>
        <w:t>t</w:t>
      </w:r>
      <w:r w:rsidRPr="000D4277">
        <w:rPr>
          <w:rFonts w:ascii="Calibri" w:hAnsi="Calibri" w:cs="TimesNewRomanPSMT"/>
          <w:sz w:val="20"/>
          <w:szCs w:val="20"/>
          <w:lang w:val="en-CA"/>
        </w:rPr>
        <w:t>o defin</w:t>
      </w:r>
      <w:r w:rsidR="0031155E" w:rsidRPr="000D4277">
        <w:rPr>
          <w:rFonts w:ascii="Calibri" w:hAnsi="Calibri" w:cs="TimesNewRomanPSMT"/>
          <w:sz w:val="20"/>
          <w:szCs w:val="20"/>
          <w:lang w:val="en-CA"/>
        </w:rPr>
        <w:t>e</w:t>
      </w:r>
      <w:r w:rsidRPr="000D4277">
        <w:rPr>
          <w:rFonts w:ascii="Calibri" w:hAnsi="Calibri" w:cs="TimesNewRomanPSMT"/>
          <w:sz w:val="20"/>
          <w:szCs w:val="20"/>
          <w:lang w:val="en-CA"/>
        </w:rPr>
        <w:t xml:space="preserve"> </w:t>
      </w:r>
      <w:r w:rsidR="0031155E" w:rsidRPr="000D4277">
        <w:rPr>
          <w:rFonts w:ascii="Calibri" w:hAnsi="Calibri" w:cs="TimesNewRomanPSMT"/>
          <w:sz w:val="20"/>
          <w:szCs w:val="20"/>
          <w:lang w:val="en-CA"/>
        </w:rPr>
        <w:t xml:space="preserve">various restriction </w:t>
      </w:r>
      <w:r w:rsidRPr="000D4277">
        <w:rPr>
          <w:rFonts w:ascii="Calibri" w:hAnsi="Calibri" w:cs="TimesNewRomanPSMT"/>
          <w:sz w:val="20"/>
          <w:szCs w:val="20"/>
          <w:lang w:val="en-CA"/>
        </w:rPr>
        <w:t xml:space="preserve">scenarios </w:t>
      </w:r>
      <w:r w:rsidR="0031155E" w:rsidRPr="000D4277">
        <w:rPr>
          <w:rFonts w:ascii="Calibri" w:hAnsi="Calibri" w:cs="TimesNewRomanPSMT"/>
          <w:sz w:val="20"/>
          <w:szCs w:val="20"/>
          <w:lang w:val="en-CA"/>
        </w:rPr>
        <w:t>in</w:t>
      </w:r>
      <w:r w:rsidRPr="000D4277">
        <w:rPr>
          <w:rFonts w:ascii="Calibri" w:hAnsi="Calibri" w:cs="TimesNewRomanPSMT"/>
          <w:sz w:val="20"/>
          <w:szCs w:val="20"/>
          <w:lang w:val="en-CA"/>
        </w:rPr>
        <w:t xml:space="preserve"> </w:t>
      </w:r>
      <w:r w:rsidR="0031155E" w:rsidRPr="000D4277">
        <w:rPr>
          <w:rFonts w:ascii="Calibri" w:hAnsi="Calibri" w:cs="TimesNewRomanPSMT"/>
          <w:sz w:val="20"/>
          <w:szCs w:val="20"/>
          <w:lang w:val="en-CA"/>
        </w:rPr>
        <w:t xml:space="preserve">different </w:t>
      </w:r>
      <w:r w:rsidRPr="000D4277">
        <w:rPr>
          <w:rFonts w:ascii="Calibri" w:hAnsi="Calibri" w:cs="TimesNewRomanPSMT"/>
          <w:sz w:val="20"/>
          <w:szCs w:val="20"/>
          <w:lang w:val="en-CA"/>
        </w:rPr>
        <w:t xml:space="preserve">land-use </w:t>
      </w:r>
      <w:r w:rsidR="0031155E" w:rsidRPr="000D4277">
        <w:rPr>
          <w:rFonts w:ascii="Calibri" w:hAnsi="Calibri" w:cs="TimesNewRomanPSMT"/>
          <w:sz w:val="20"/>
          <w:szCs w:val="20"/>
          <w:lang w:val="en-CA"/>
        </w:rPr>
        <w:t xml:space="preserve">areas </w:t>
      </w:r>
      <w:r w:rsidRPr="000D4277">
        <w:rPr>
          <w:rFonts w:ascii="Calibri" w:hAnsi="Calibri" w:cs="TimesNewRomanPSMT"/>
          <w:sz w:val="20"/>
          <w:szCs w:val="20"/>
          <w:lang w:val="en-CA"/>
        </w:rPr>
        <w:t xml:space="preserve">and production practice in priority areas. Working in close coordination with </w:t>
      </w:r>
      <w:r w:rsidR="00CA6069" w:rsidRPr="000D4277">
        <w:rPr>
          <w:rFonts w:ascii="Calibri" w:hAnsi="Calibri" w:cs="TimesNewRomanPSMT"/>
          <w:sz w:val="20"/>
          <w:szCs w:val="20"/>
          <w:lang w:val="en-CA"/>
        </w:rPr>
        <w:t xml:space="preserve">Components 2 and 3 </w:t>
      </w:r>
      <w:r w:rsidRPr="000D4277">
        <w:rPr>
          <w:rFonts w:ascii="Calibri" w:hAnsi="Calibri" w:cs="TimesNewRomanPSMT"/>
          <w:sz w:val="20"/>
          <w:szCs w:val="20"/>
          <w:lang w:val="en-CA"/>
        </w:rPr>
        <w:t xml:space="preserve">results </w:t>
      </w:r>
      <w:r w:rsidR="00CA6069" w:rsidRPr="000D4277">
        <w:rPr>
          <w:rFonts w:ascii="Calibri" w:hAnsi="Calibri" w:cs="TimesNewRomanPSMT"/>
          <w:sz w:val="20"/>
          <w:szCs w:val="20"/>
          <w:lang w:val="en-CA"/>
        </w:rPr>
        <w:t>identifying best practices</w:t>
      </w:r>
      <w:r w:rsidRPr="000D4277">
        <w:rPr>
          <w:rFonts w:ascii="Calibri" w:hAnsi="Calibri" w:cs="TimesNewRomanPSMT"/>
          <w:sz w:val="20"/>
          <w:szCs w:val="20"/>
          <w:lang w:val="en-CA"/>
        </w:rPr>
        <w:t xml:space="preserve">, the project will support procedures and tools to be used at different levels to develop the land use master plan and to implement it. </w:t>
      </w:r>
      <w:r w:rsidR="00CA6069" w:rsidRPr="000D4277">
        <w:rPr>
          <w:rFonts w:ascii="Calibri" w:hAnsi="Calibri" w:cs="TimesNewRomanPSMT"/>
          <w:sz w:val="20"/>
          <w:szCs w:val="20"/>
          <w:lang w:val="en-CA"/>
        </w:rPr>
        <w:t xml:space="preserve">The project expert in environmental land-use planning will provide guidance for the identification and adoption of criteria for </w:t>
      </w:r>
      <w:r w:rsidR="0024478B" w:rsidRPr="000D4277">
        <w:rPr>
          <w:rFonts w:ascii="Calibri" w:hAnsi="Calibri" w:cs="TimesNewRomanPSMT"/>
          <w:sz w:val="20"/>
          <w:szCs w:val="20"/>
          <w:lang w:val="en-CA"/>
        </w:rPr>
        <w:t>SLM</w:t>
      </w:r>
      <w:r w:rsidR="00CA6069" w:rsidRPr="000D4277">
        <w:rPr>
          <w:rFonts w:ascii="Calibri" w:hAnsi="Calibri" w:cs="TimesNewRomanPSMT"/>
          <w:sz w:val="20"/>
          <w:szCs w:val="20"/>
          <w:lang w:val="en-CA"/>
        </w:rPr>
        <w:t xml:space="preserve"> and conservation of biodiversity and ES</w:t>
      </w:r>
      <w:r w:rsidR="00143184" w:rsidRPr="000D4277">
        <w:rPr>
          <w:rFonts w:ascii="Calibri" w:hAnsi="Calibri" w:cs="TimesNewRomanPSMT"/>
          <w:sz w:val="20"/>
          <w:szCs w:val="20"/>
          <w:lang w:val="en-CA"/>
        </w:rPr>
        <w:t xml:space="preserve">. </w:t>
      </w:r>
      <w:r w:rsidRPr="000D4277">
        <w:rPr>
          <w:rFonts w:ascii="Calibri" w:hAnsi="Calibri" w:cs="TimesNewRomanPSMT"/>
          <w:sz w:val="20"/>
          <w:szCs w:val="20"/>
          <w:lang w:val="en-CA"/>
        </w:rPr>
        <w:t xml:space="preserve">Through round tables, negotiations and workshops these instruments and approaches will be discussed with key stakeholders including </w:t>
      </w:r>
      <w:r w:rsidR="00143184" w:rsidRPr="000D4277">
        <w:rPr>
          <w:rFonts w:ascii="Calibri" w:hAnsi="Calibri" w:cs="TimesNewRomanPSMT"/>
          <w:sz w:val="20"/>
          <w:szCs w:val="20"/>
          <w:lang w:val="en-CA"/>
        </w:rPr>
        <w:t xml:space="preserve">institutional </w:t>
      </w:r>
      <w:r w:rsidRPr="000D4277">
        <w:rPr>
          <w:rFonts w:ascii="Calibri" w:hAnsi="Calibri" w:cs="TimesNewRomanPSMT"/>
          <w:sz w:val="20"/>
          <w:szCs w:val="20"/>
          <w:lang w:val="en-CA"/>
        </w:rPr>
        <w:t>representatives of the main sectors</w:t>
      </w:r>
      <w:r w:rsidR="00143184" w:rsidRPr="000D4277">
        <w:rPr>
          <w:rFonts w:ascii="Calibri" w:hAnsi="Calibri" w:cs="TimesNewRomanPSMT"/>
          <w:sz w:val="20"/>
          <w:szCs w:val="20"/>
          <w:lang w:val="en-CA"/>
        </w:rPr>
        <w:t xml:space="preserve">, </w:t>
      </w:r>
      <w:proofErr w:type="gramStart"/>
      <w:r w:rsidR="00143184" w:rsidRPr="000D4277">
        <w:rPr>
          <w:rFonts w:ascii="Calibri" w:hAnsi="Calibri" w:cs="TimesNewRomanPSMT"/>
          <w:sz w:val="20"/>
          <w:szCs w:val="20"/>
          <w:lang w:val="en-CA"/>
        </w:rPr>
        <w:t>i.e.</w:t>
      </w:r>
      <w:proofErr w:type="gramEnd"/>
      <w:r w:rsidR="00143184" w:rsidRPr="000D4277">
        <w:rPr>
          <w:rFonts w:ascii="Calibri" w:hAnsi="Calibri" w:cs="TimesNewRomanPSMT"/>
          <w:sz w:val="20"/>
          <w:szCs w:val="20"/>
          <w:lang w:val="en-CA"/>
        </w:rPr>
        <w:t xml:space="preserve"> agriculture, forestry, pastoralism, and mining.</w:t>
      </w:r>
      <w:r w:rsidRPr="000D4277">
        <w:rPr>
          <w:rFonts w:ascii="Calibri" w:hAnsi="Calibri" w:cs="TimesNewRomanPSMT"/>
          <w:sz w:val="20"/>
          <w:szCs w:val="20"/>
          <w:lang w:val="en-CA"/>
        </w:rPr>
        <w:t xml:space="preserve"> They will include criteria and standards for biodiversity conservation, sustainable </w:t>
      </w:r>
      <w:proofErr w:type="gramStart"/>
      <w:r w:rsidRPr="000D4277">
        <w:rPr>
          <w:rFonts w:ascii="Calibri" w:hAnsi="Calibri" w:cs="TimesNewRomanPSMT"/>
          <w:sz w:val="20"/>
          <w:szCs w:val="20"/>
          <w:lang w:val="en-CA"/>
        </w:rPr>
        <w:t>land</w:t>
      </w:r>
      <w:proofErr w:type="gramEnd"/>
      <w:r w:rsidRPr="000D4277">
        <w:rPr>
          <w:rFonts w:ascii="Calibri" w:hAnsi="Calibri" w:cs="TimesNewRomanPSMT"/>
          <w:sz w:val="20"/>
          <w:szCs w:val="20"/>
          <w:lang w:val="en-CA"/>
        </w:rPr>
        <w:t xml:space="preserve"> and ecosystem services management, as a basis for ELUP. These criteria may also be incorporated into the EIA guidelines by sector and ecosystem type, including potential restrictions that could be identified for priority sites for elephant conservation or combatting land degradation and pollution in land units. These guidelines will be mainstreamed into relevant sectoral programmes that channel resources to regions and communes for supporting production. </w:t>
      </w:r>
      <w:r w:rsidR="00143184" w:rsidRPr="000D4277">
        <w:rPr>
          <w:rFonts w:ascii="Calibri" w:hAnsi="Calibri" w:cs="TimesNewRomanPSMT"/>
          <w:sz w:val="20"/>
          <w:szCs w:val="20"/>
          <w:lang w:val="en-CA"/>
        </w:rPr>
        <w:t xml:space="preserve">Therefore, the master plan will provide a policy framework to mainstream environmental, </w:t>
      </w:r>
      <w:proofErr w:type="gramStart"/>
      <w:r w:rsidR="00143184" w:rsidRPr="000D4277">
        <w:rPr>
          <w:rFonts w:ascii="Calibri" w:hAnsi="Calibri" w:cs="TimesNewRomanPSMT"/>
          <w:sz w:val="20"/>
          <w:szCs w:val="20"/>
          <w:lang w:val="en-CA"/>
        </w:rPr>
        <w:t>social</w:t>
      </w:r>
      <w:proofErr w:type="gramEnd"/>
      <w:r w:rsidR="00143184" w:rsidRPr="000D4277">
        <w:rPr>
          <w:rFonts w:ascii="Calibri" w:hAnsi="Calibri" w:cs="TimesNewRomanPSMT"/>
          <w:sz w:val="20"/>
          <w:szCs w:val="20"/>
          <w:lang w:val="en-CA"/>
        </w:rPr>
        <w:t xml:space="preserve"> and economic variables in development planning and sector financing.</w:t>
      </w:r>
    </w:p>
    <w:p w14:paraId="6A4DC7D1" w14:textId="77777777" w:rsidR="00302BFE" w:rsidRPr="005F3825" w:rsidRDefault="00302BFE" w:rsidP="00302BFE">
      <w:pPr>
        <w:pStyle w:val="Paragraphedeliste"/>
        <w:tabs>
          <w:tab w:val="left" w:pos="284"/>
        </w:tabs>
        <w:spacing w:before="240" w:after="120"/>
        <w:ind w:left="0"/>
        <w:jc w:val="both"/>
        <w:rPr>
          <w:rFonts w:ascii="Calibri" w:hAnsi="Calibri"/>
          <w:b/>
          <w:sz w:val="20"/>
          <w:szCs w:val="20"/>
          <w:lang w:val="en-GB"/>
        </w:rPr>
      </w:pPr>
      <w:r w:rsidRPr="005F3825">
        <w:rPr>
          <w:rFonts w:ascii="Calibri" w:eastAsia="Cambria" w:hAnsi="Calibri"/>
          <w:b/>
          <w:sz w:val="20"/>
          <w:szCs w:val="20"/>
          <w:lang w:val="en-GB"/>
        </w:rPr>
        <w:t>Output 1.3 Accurate and well-documented estimates of carbon stocks within the PONASI landscape are available to contribute to the process of assessing the benefits associated with different land and resource uses</w:t>
      </w:r>
    </w:p>
    <w:p w14:paraId="44F7982F" w14:textId="199BDC62" w:rsidR="00302BFE" w:rsidRPr="000D427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hAnsi="Calibri"/>
          <w:sz w:val="20"/>
          <w:szCs w:val="20"/>
          <w:lang w:val="en-GB"/>
        </w:rPr>
        <w:t xml:space="preserve">The Forest Investment </w:t>
      </w:r>
      <w:r w:rsidRPr="00D7470E">
        <w:rPr>
          <w:rFonts w:ascii="Calibri" w:hAnsi="Calibri"/>
          <w:sz w:val="20"/>
          <w:szCs w:val="20"/>
          <w:lang w:val="en-GB"/>
        </w:rPr>
        <w:t>Program (P</w:t>
      </w:r>
      <w:r w:rsidR="00F9118A" w:rsidRPr="00D7470E">
        <w:rPr>
          <w:rFonts w:ascii="Calibri" w:hAnsi="Calibri"/>
          <w:sz w:val="20"/>
          <w:szCs w:val="20"/>
          <w:lang w:val="en-GB"/>
        </w:rPr>
        <w:t>IF</w:t>
      </w:r>
      <w:r w:rsidRPr="00D7470E">
        <w:rPr>
          <w:rFonts w:ascii="Calibri" w:hAnsi="Calibri"/>
          <w:sz w:val="20"/>
          <w:szCs w:val="20"/>
          <w:lang w:val="en-GB"/>
        </w:rPr>
        <w:t>) is setting</w:t>
      </w:r>
      <w:r w:rsidRPr="000D4277">
        <w:rPr>
          <w:rFonts w:ascii="Calibri" w:hAnsi="Calibri"/>
          <w:sz w:val="20"/>
          <w:szCs w:val="20"/>
          <w:lang w:val="en-GB"/>
        </w:rPr>
        <w:t xml:space="preserve"> up a</w:t>
      </w:r>
      <w:r w:rsidR="00BE6BAD" w:rsidRPr="000D4277">
        <w:rPr>
          <w:rFonts w:ascii="Calibri" w:hAnsi="Calibri"/>
          <w:sz w:val="20"/>
          <w:szCs w:val="20"/>
          <w:lang w:val="en-GB"/>
        </w:rPr>
        <w:t xml:space="preserve"> Monitoring-Reporting-Verification</w:t>
      </w:r>
      <w:r w:rsidRPr="000D4277">
        <w:rPr>
          <w:rFonts w:ascii="Calibri" w:hAnsi="Calibri"/>
          <w:sz w:val="20"/>
          <w:szCs w:val="20"/>
          <w:lang w:val="en-GB"/>
        </w:rPr>
        <w:t xml:space="preserve"> </w:t>
      </w:r>
      <w:r w:rsidR="00BE6BAD" w:rsidRPr="000D4277">
        <w:rPr>
          <w:rFonts w:ascii="Calibri" w:hAnsi="Calibri"/>
          <w:sz w:val="20"/>
          <w:szCs w:val="20"/>
          <w:lang w:val="en-GB"/>
        </w:rPr>
        <w:t>(</w:t>
      </w:r>
      <w:r w:rsidRPr="000D4277">
        <w:rPr>
          <w:rFonts w:ascii="Calibri" w:hAnsi="Calibri"/>
          <w:sz w:val="20"/>
          <w:szCs w:val="20"/>
          <w:lang w:val="en-GB"/>
        </w:rPr>
        <w:t>MRV</w:t>
      </w:r>
      <w:r w:rsidR="00BE6BAD" w:rsidRPr="000D4277">
        <w:rPr>
          <w:rFonts w:ascii="Calibri" w:hAnsi="Calibri"/>
          <w:sz w:val="20"/>
          <w:szCs w:val="20"/>
          <w:lang w:val="en-GB"/>
        </w:rPr>
        <w:t>)</w:t>
      </w:r>
      <w:r w:rsidRPr="000D4277">
        <w:rPr>
          <w:rFonts w:ascii="Calibri" w:hAnsi="Calibri"/>
          <w:sz w:val="20"/>
          <w:szCs w:val="20"/>
          <w:lang w:val="en-GB"/>
        </w:rPr>
        <w:t xml:space="preserve"> process within the DGEEVCC as part of the development of the REDD+ process in Burkina Faso. Project interventions will be </w:t>
      </w:r>
      <w:r w:rsidR="00F17DF6" w:rsidRPr="000D4277">
        <w:rPr>
          <w:rFonts w:ascii="Calibri" w:hAnsi="Calibri"/>
          <w:sz w:val="20"/>
          <w:szCs w:val="20"/>
          <w:lang w:val="en-GB"/>
        </w:rPr>
        <w:t>consistent with</w:t>
      </w:r>
      <w:r w:rsidRPr="000D4277">
        <w:rPr>
          <w:rFonts w:ascii="Calibri" w:hAnsi="Calibri"/>
          <w:sz w:val="20"/>
          <w:szCs w:val="20"/>
          <w:lang w:val="en-GB"/>
        </w:rPr>
        <w:t xml:space="preserve"> the ongoing process and adopt procedures and tools put in place by the FIP. The MRV process for REDD+ measure</w:t>
      </w:r>
      <w:r w:rsidR="00F17DF6" w:rsidRPr="000D4277">
        <w:rPr>
          <w:rFonts w:ascii="Calibri" w:hAnsi="Calibri"/>
          <w:sz w:val="20"/>
          <w:szCs w:val="20"/>
          <w:lang w:val="en-GB"/>
        </w:rPr>
        <w:t>s</w:t>
      </w:r>
      <w:r w:rsidRPr="000D4277">
        <w:rPr>
          <w:rFonts w:ascii="Calibri" w:hAnsi="Calibri"/>
          <w:sz w:val="20"/>
          <w:szCs w:val="20"/>
          <w:lang w:val="en-GB"/>
        </w:rPr>
        <w:t>, report</w:t>
      </w:r>
      <w:r w:rsidR="00F17DF6" w:rsidRPr="000D4277">
        <w:rPr>
          <w:rFonts w:ascii="Calibri" w:hAnsi="Calibri"/>
          <w:sz w:val="20"/>
          <w:szCs w:val="20"/>
          <w:lang w:val="en-GB"/>
        </w:rPr>
        <w:t xml:space="preserve">s </w:t>
      </w:r>
      <w:r w:rsidRPr="000D4277">
        <w:rPr>
          <w:rFonts w:ascii="Calibri" w:hAnsi="Calibri"/>
          <w:sz w:val="20"/>
          <w:szCs w:val="20"/>
          <w:lang w:val="en-GB"/>
        </w:rPr>
        <w:t>and verif</w:t>
      </w:r>
      <w:r w:rsidR="00F17DF6" w:rsidRPr="000D4277">
        <w:rPr>
          <w:rFonts w:ascii="Calibri" w:hAnsi="Calibri"/>
          <w:sz w:val="20"/>
          <w:szCs w:val="20"/>
          <w:lang w:val="en-GB"/>
        </w:rPr>
        <w:t>y</w:t>
      </w:r>
      <w:r w:rsidRPr="000D4277">
        <w:rPr>
          <w:rFonts w:ascii="Calibri" w:hAnsi="Calibri"/>
          <w:sz w:val="20"/>
          <w:szCs w:val="20"/>
          <w:lang w:val="en-GB"/>
        </w:rPr>
        <w:t xml:space="preserve"> forests variation over time </w:t>
      </w:r>
      <w:r w:rsidR="00F17DF6" w:rsidRPr="000D4277">
        <w:rPr>
          <w:rFonts w:ascii="Calibri" w:hAnsi="Calibri"/>
          <w:sz w:val="20"/>
          <w:szCs w:val="20"/>
          <w:lang w:val="en-GB"/>
        </w:rPr>
        <w:t>and</w:t>
      </w:r>
      <w:r w:rsidRPr="000D4277">
        <w:rPr>
          <w:rFonts w:ascii="Calibri" w:hAnsi="Calibri"/>
          <w:sz w:val="20"/>
          <w:szCs w:val="20"/>
          <w:lang w:val="en-GB"/>
        </w:rPr>
        <w:t xml:space="preserve"> associated GHG emissions and removals</w:t>
      </w:r>
      <w:r w:rsidR="005A61BC" w:rsidRPr="000D4277">
        <w:rPr>
          <w:rFonts w:ascii="Calibri" w:hAnsi="Calibri"/>
          <w:sz w:val="20"/>
          <w:szCs w:val="20"/>
          <w:lang w:val="en-GB"/>
        </w:rPr>
        <w:t xml:space="preserve">, so that </w:t>
      </w:r>
      <w:r w:rsidRPr="000D4277">
        <w:rPr>
          <w:rFonts w:ascii="Calibri" w:hAnsi="Calibri"/>
          <w:sz w:val="20"/>
          <w:szCs w:val="20"/>
          <w:lang w:val="en-GB"/>
        </w:rPr>
        <w:t xml:space="preserve">emissions reductions and removals in the forest sector result in payments based on tracking changes in terrestrial carbon stocks. Direct measurement includes field measurements and remote sensing and can be complemented by modelling. </w:t>
      </w:r>
      <w:r w:rsidR="005A61BC" w:rsidRPr="000D4277">
        <w:rPr>
          <w:rFonts w:ascii="Calibri" w:hAnsi="Calibri"/>
          <w:sz w:val="20"/>
          <w:szCs w:val="20"/>
          <w:lang w:val="en-GB"/>
        </w:rPr>
        <w:t>I</w:t>
      </w:r>
      <w:r w:rsidRPr="000D4277">
        <w:rPr>
          <w:rFonts w:ascii="Calibri" w:hAnsi="Calibri"/>
          <w:sz w:val="20"/>
          <w:szCs w:val="20"/>
          <w:lang w:val="en-GB"/>
        </w:rPr>
        <w:t xml:space="preserve">nformation includes forest-related data and GHG estimates, as well as the methodologies used to obtain them. </w:t>
      </w:r>
      <w:r w:rsidRPr="000D4277">
        <w:rPr>
          <w:rFonts w:ascii="Calibri" w:hAnsi="Calibri"/>
          <w:sz w:val="20"/>
          <w:szCs w:val="20"/>
          <w:lang w:val="en-CA"/>
        </w:rPr>
        <w:t>The field methodology will follow the recommendations of the IPCC, which has published a field manual on measures to estimate carbon stocks</w:t>
      </w:r>
      <w:r w:rsidRPr="000D4277">
        <w:rPr>
          <w:rStyle w:val="Appelnotedebasdep"/>
          <w:rFonts w:ascii="Calibri" w:hAnsi="Calibri"/>
          <w:szCs w:val="20"/>
          <w:lang w:val="fr-CA"/>
        </w:rPr>
        <w:footnoteReference w:id="44"/>
      </w:r>
      <w:r w:rsidRPr="000D4277">
        <w:rPr>
          <w:rFonts w:ascii="Calibri" w:hAnsi="Calibri"/>
          <w:sz w:val="20"/>
          <w:szCs w:val="20"/>
          <w:lang w:val="en-CA"/>
        </w:rPr>
        <w:t>.</w:t>
      </w:r>
    </w:p>
    <w:p w14:paraId="69961532" w14:textId="77777777" w:rsidR="00302BFE" w:rsidRPr="000D427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0D4277">
        <w:rPr>
          <w:rFonts w:ascii="Calibri" w:hAnsi="Calibri"/>
          <w:sz w:val="20"/>
          <w:szCs w:val="20"/>
          <w:lang w:val="en-CA"/>
        </w:rPr>
        <w:t xml:space="preserve">Initially, the project will </w:t>
      </w:r>
      <w:r w:rsidR="00502220" w:rsidRPr="000D4277">
        <w:rPr>
          <w:rFonts w:ascii="Calibri" w:hAnsi="Calibri"/>
          <w:sz w:val="20"/>
          <w:szCs w:val="20"/>
          <w:lang w:val="en-CA"/>
        </w:rPr>
        <w:t xml:space="preserve">recruit a forest engineer/REDD+ specialist to be supported by field assistants to </w:t>
      </w:r>
      <w:r w:rsidRPr="000D4277">
        <w:rPr>
          <w:rFonts w:ascii="Calibri" w:hAnsi="Calibri"/>
          <w:sz w:val="20"/>
          <w:szCs w:val="20"/>
          <w:lang w:val="en-CA"/>
        </w:rPr>
        <w:t>assess the availability of forest inventory data for the forest types in the PONASI landscape, both within protected areas and communal land and villagers and private lands, to deploy MRV process in all the forest types in the PONASI landscape. The evaluation of the baseline will use data from remote sensing, complemented by direct field sampling. The project will follow protocols on field methods and sampling strategies developed by the FIP</w:t>
      </w:r>
      <w:r w:rsidR="00502220" w:rsidRPr="000D4277">
        <w:rPr>
          <w:rFonts w:ascii="Calibri" w:hAnsi="Calibri"/>
          <w:sz w:val="20"/>
          <w:szCs w:val="20"/>
          <w:lang w:val="en-CA"/>
        </w:rPr>
        <w:t>.</w:t>
      </w:r>
      <w:r w:rsidRPr="000D4277">
        <w:rPr>
          <w:rFonts w:ascii="Calibri" w:hAnsi="Calibri"/>
          <w:sz w:val="20"/>
          <w:szCs w:val="20"/>
          <w:lang w:val="en-CA"/>
        </w:rPr>
        <w:t xml:space="preserve"> </w:t>
      </w:r>
      <w:r w:rsidR="00502220" w:rsidRPr="000D4277">
        <w:rPr>
          <w:rFonts w:ascii="Calibri" w:hAnsi="Calibri"/>
          <w:sz w:val="20"/>
          <w:szCs w:val="20"/>
          <w:lang w:val="en-CA"/>
        </w:rPr>
        <w:t>P</w:t>
      </w:r>
      <w:r w:rsidRPr="000D4277">
        <w:rPr>
          <w:rFonts w:ascii="Calibri" w:hAnsi="Calibri"/>
          <w:sz w:val="20"/>
          <w:szCs w:val="20"/>
          <w:lang w:val="en-CA"/>
        </w:rPr>
        <w:t xml:space="preserve">ermanent sampling plots will be identified </w:t>
      </w:r>
      <w:r w:rsidR="00502220" w:rsidRPr="000D4277">
        <w:rPr>
          <w:rFonts w:ascii="Calibri" w:hAnsi="Calibri"/>
          <w:sz w:val="20"/>
          <w:szCs w:val="20"/>
          <w:lang w:val="en-CA"/>
        </w:rPr>
        <w:t xml:space="preserve">within the PONASI landscape </w:t>
      </w:r>
      <w:r w:rsidRPr="000D4277">
        <w:rPr>
          <w:rFonts w:ascii="Calibri" w:hAnsi="Calibri"/>
          <w:sz w:val="20"/>
          <w:szCs w:val="20"/>
          <w:lang w:val="en-CA"/>
        </w:rPr>
        <w:t xml:space="preserve">to enable tracking of carbon stocks on a rigorous basis. </w:t>
      </w:r>
      <w:r w:rsidR="00502220" w:rsidRPr="000D4277">
        <w:rPr>
          <w:rFonts w:ascii="Calibri" w:hAnsi="Calibri"/>
          <w:sz w:val="20"/>
          <w:szCs w:val="20"/>
          <w:lang w:val="en-CA"/>
        </w:rPr>
        <w:t>To</w:t>
      </w:r>
      <w:r w:rsidRPr="000D4277">
        <w:rPr>
          <w:rFonts w:ascii="Calibri" w:hAnsi="Calibri"/>
          <w:sz w:val="20"/>
          <w:szCs w:val="20"/>
          <w:lang w:val="en-CA"/>
        </w:rPr>
        <w:t xml:space="preserve"> document a</w:t>
      </w:r>
      <w:r w:rsidR="00502220" w:rsidRPr="000D4277">
        <w:rPr>
          <w:rFonts w:ascii="Calibri" w:hAnsi="Calibri"/>
          <w:sz w:val="20"/>
          <w:szCs w:val="20"/>
          <w:lang w:val="en-CA"/>
        </w:rPr>
        <w:t>ll</w:t>
      </w:r>
      <w:r w:rsidRPr="000D4277">
        <w:rPr>
          <w:rFonts w:ascii="Calibri" w:hAnsi="Calibri"/>
          <w:sz w:val="20"/>
          <w:szCs w:val="20"/>
          <w:lang w:val="en-CA"/>
        </w:rPr>
        <w:t xml:space="preserve"> type</w:t>
      </w:r>
      <w:r w:rsidR="00502220" w:rsidRPr="000D4277">
        <w:rPr>
          <w:rFonts w:ascii="Calibri" w:hAnsi="Calibri"/>
          <w:sz w:val="20"/>
          <w:szCs w:val="20"/>
          <w:lang w:val="en-CA"/>
        </w:rPr>
        <w:t>s</w:t>
      </w:r>
      <w:r w:rsidRPr="000D4277">
        <w:rPr>
          <w:rFonts w:ascii="Calibri" w:hAnsi="Calibri"/>
          <w:sz w:val="20"/>
          <w:szCs w:val="20"/>
          <w:lang w:val="en-CA"/>
        </w:rPr>
        <w:t xml:space="preserve"> of land-use change</w:t>
      </w:r>
      <w:r w:rsidR="00502220" w:rsidRPr="000D4277">
        <w:rPr>
          <w:rFonts w:ascii="Calibri" w:hAnsi="Calibri"/>
          <w:sz w:val="20"/>
          <w:szCs w:val="20"/>
          <w:lang w:val="en-CA"/>
        </w:rPr>
        <w:t>, t</w:t>
      </w:r>
      <w:r w:rsidRPr="000D4277">
        <w:rPr>
          <w:rFonts w:ascii="Calibri" w:hAnsi="Calibri"/>
          <w:sz w:val="20"/>
          <w:szCs w:val="20"/>
          <w:lang w:val="en-CA"/>
        </w:rPr>
        <w:t xml:space="preserve">he project will </w:t>
      </w:r>
      <w:r w:rsidR="00502220" w:rsidRPr="000D4277">
        <w:rPr>
          <w:rFonts w:ascii="Calibri" w:hAnsi="Calibri"/>
          <w:sz w:val="20"/>
          <w:szCs w:val="20"/>
          <w:lang w:val="en-CA"/>
        </w:rPr>
        <w:t xml:space="preserve">collaborate with regional and commune services to </w:t>
      </w:r>
      <w:r w:rsidRPr="000D4277">
        <w:rPr>
          <w:rFonts w:ascii="Calibri" w:hAnsi="Calibri"/>
          <w:sz w:val="20"/>
          <w:szCs w:val="20"/>
          <w:lang w:val="en-CA"/>
        </w:rPr>
        <w:t xml:space="preserve">put in place a land use and change monitoring system to produce the data needed to estimate GHG emissions and </w:t>
      </w:r>
      <w:r w:rsidR="00502220" w:rsidRPr="000D4277">
        <w:rPr>
          <w:rFonts w:ascii="Calibri" w:hAnsi="Calibri"/>
          <w:sz w:val="20"/>
          <w:szCs w:val="20"/>
          <w:lang w:val="en-CA"/>
        </w:rPr>
        <w:t>uptakes</w:t>
      </w:r>
      <w:r w:rsidRPr="000D4277">
        <w:rPr>
          <w:rFonts w:ascii="Calibri" w:hAnsi="Calibri"/>
          <w:sz w:val="20"/>
          <w:szCs w:val="20"/>
          <w:lang w:val="en-CA"/>
        </w:rPr>
        <w:t xml:space="preserve">. This </w:t>
      </w:r>
      <w:r w:rsidRPr="000D4277">
        <w:rPr>
          <w:rFonts w:ascii="Calibri" w:hAnsi="Calibri"/>
          <w:sz w:val="20"/>
          <w:szCs w:val="20"/>
          <w:lang w:val="en-CA"/>
        </w:rPr>
        <w:lastRenderedPageBreak/>
        <w:t xml:space="preserve">work will produce a reference map of the forest area and other land uses </w:t>
      </w:r>
      <w:r w:rsidR="00502220" w:rsidRPr="000D4277">
        <w:rPr>
          <w:rFonts w:ascii="Calibri" w:hAnsi="Calibri"/>
          <w:sz w:val="20"/>
          <w:szCs w:val="20"/>
          <w:lang w:val="en-CA"/>
        </w:rPr>
        <w:t>that will facilitate</w:t>
      </w:r>
      <w:r w:rsidRPr="000D4277">
        <w:rPr>
          <w:rFonts w:ascii="Calibri" w:hAnsi="Calibri"/>
          <w:sz w:val="20"/>
          <w:szCs w:val="20"/>
          <w:lang w:val="en-CA"/>
        </w:rPr>
        <w:t xml:space="preserve"> ground-truthing assessments of carbon stocks in different types of forests and other land uses.</w:t>
      </w:r>
    </w:p>
    <w:p w14:paraId="3DB7FC00" w14:textId="57C809AF" w:rsidR="00302BFE" w:rsidRPr="000D4277" w:rsidRDefault="00DD4E18"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hAnsi="Calibri"/>
          <w:sz w:val="20"/>
          <w:szCs w:val="20"/>
          <w:lang w:val="en-CA"/>
        </w:rPr>
        <w:t>The project will recruit a F</w:t>
      </w:r>
      <w:r w:rsidR="00F50FA8" w:rsidRPr="000D4277">
        <w:rPr>
          <w:rFonts w:ascii="Calibri" w:hAnsi="Calibri"/>
          <w:sz w:val="20"/>
          <w:szCs w:val="20"/>
          <w:lang w:val="en-CA"/>
        </w:rPr>
        <w:t xml:space="preserve">orest </w:t>
      </w:r>
      <w:r w:rsidRPr="000D4277">
        <w:rPr>
          <w:rFonts w:ascii="Calibri" w:hAnsi="Calibri"/>
          <w:sz w:val="20"/>
          <w:szCs w:val="20"/>
          <w:lang w:val="en-CA"/>
        </w:rPr>
        <w:t>E</w:t>
      </w:r>
      <w:r w:rsidR="00F50FA8" w:rsidRPr="000D4277">
        <w:rPr>
          <w:rFonts w:ascii="Calibri" w:hAnsi="Calibri"/>
          <w:sz w:val="20"/>
          <w:szCs w:val="20"/>
          <w:lang w:val="en-CA"/>
        </w:rPr>
        <w:t xml:space="preserve">ngineer/REDD+ </w:t>
      </w:r>
      <w:r w:rsidRPr="000D4277">
        <w:rPr>
          <w:rFonts w:ascii="Calibri" w:hAnsi="Calibri"/>
          <w:sz w:val="20"/>
          <w:szCs w:val="20"/>
          <w:lang w:val="en-CA"/>
        </w:rPr>
        <w:t>S</w:t>
      </w:r>
      <w:r w:rsidR="00F50FA8" w:rsidRPr="000D4277">
        <w:rPr>
          <w:rFonts w:ascii="Calibri" w:hAnsi="Calibri"/>
          <w:sz w:val="20"/>
          <w:szCs w:val="20"/>
          <w:lang w:val="en-CA"/>
        </w:rPr>
        <w:t xml:space="preserve">pecialist </w:t>
      </w:r>
      <w:r w:rsidRPr="000D4277">
        <w:rPr>
          <w:rFonts w:ascii="Calibri" w:hAnsi="Calibri"/>
          <w:sz w:val="20"/>
          <w:szCs w:val="20"/>
          <w:lang w:val="en-CA"/>
        </w:rPr>
        <w:t>to carry out t</w:t>
      </w:r>
      <w:r w:rsidR="00302BFE" w:rsidRPr="000D4277">
        <w:rPr>
          <w:rFonts w:ascii="Calibri" w:hAnsi="Calibri"/>
          <w:sz w:val="20"/>
          <w:szCs w:val="20"/>
          <w:lang w:val="en-GB"/>
        </w:rPr>
        <w:t xml:space="preserve">he estimation of carbon stocks in the PONASI landscape using the carbon mapping, measurement and monitoring tools developed and implemented as part of the Forestry Investment </w:t>
      </w:r>
      <w:r w:rsidR="00302BFE" w:rsidRPr="00D7470E">
        <w:rPr>
          <w:rFonts w:ascii="Calibri" w:hAnsi="Calibri"/>
          <w:sz w:val="20"/>
          <w:szCs w:val="20"/>
          <w:lang w:val="en-GB"/>
        </w:rPr>
        <w:t>Program (</w:t>
      </w:r>
      <w:r w:rsidR="003248C8" w:rsidRPr="00D7470E">
        <w:rPr>
          <w:rFonts w:ascii="Calibri" w:hAnsi="Calibri"/>
          <w:sz w:val="20"/>
          <w:szCs w:val="20"/>
          <w:lang w:val="en-GB"/>
        </w:rPr>
        <w:t>P</w:t>
      </w:r>
      <w:r w:rsidR="00302BFE" w:rsidRPr="00D7470E">
        <w:rPr>
          <w:rFonts w:ascii="Calibri" w:hAnsi="Calibri"/>
          <w:sz w:val="20"/>
          <w:szCs w:val="20"/>
          <w:lang w:val="en-GB"/>
        </w:rPr>
        <w:t>I</w:t>
      </w:r>
      <w:r w:rsidR="003248C8" w:rsidRPr="00D7470E">
        <w:rPr>
          <w:rFonts w:ascii="Calibri" w:hAnsi="Calibri"/>
          <w:sz w:val="20"/>
          <w:szCs w:val="20"/>
          <w:lang w:val="en-GB"/>
        </w:rPr>
        <w:t>F</w:t>
      </w:r>
      <w:r w:rsidR="00302BFE" w:rsidRPr="00D7470E">
        <w:rPr>
          <w:rFonts w:ascii="Calibri" w:hAnsi="Calibri"/>
          <w:sz w:val="20"/>
          <w:szCs w:val="20"/>
          <w:lang w:val="en-GB"/>
        </w:rPr>
        <w:t>). These</w:t>
      </w:r>
      <w:r w:rsidR="00302BFE" w:rsidRPr="000D4277">
        <w:rPr>
          <w:rFonts w:ascii="Calibri" w:hAnsi="Calibri"/>
          <w:sz w:val="20"/>
          <w:szCs w:val="20"/>
          <w:lang w:val="en-GB"/>
        </w:rPr>
        <w:t xml:space="preserve"> estimates will be based on applicable international models and updated data from the second National Forest Inventory (IFN2, 2014) and will contribute to the assessment of benefits from different land use scenarios as part of the development of the landscape management plan. The use of the TESSA tool will be coupled with the deployment of the MRV system within the landscape in coordination with the FIP which has already set up this measurement system in the </w:t>
      </w:r>
      <w:proofErr w:type="spellStart"/>
      <w:r w:rsidR="00302BFE" w:rsidRPr="000D4277">
        <w:rPr>
          <w:rFonts w:ascii="Calibri" w:hAnsi="Calibri"/>
          <w:sz w:val="20"/>
          <w:szCs w:val="20"/>
          <w:lang w:val="en-GB"/>
        </w:rPr>
        <w:t>Nazinon</w:t>
      </w:r>
      <w:proofErr w:type="spellEnd"/>
      <w:r w:rsidR="00302BFE" w:rsidRPr="000D4277">
        <w:rPr>
          <w:rFonts w:ascii="Calibri" w:hAnsi="Calibri"/>
          <w:sz w:val="20"/>
          <w:szCs w:val="20"/>
          <w:lang w:val="en-GB"/>
        </w:rPr>
        <w:t xml:space="preserve"> classified forest. </w:t>
      </w:r>
      <w:r w:rsidR="00B53B50" w:rsidRPr="000D4277">
        <w:rPr>
          <w:rFonts w:ascii="Calibri" w:hAnsi="Calibri"/>
          <w:sz w:val="20"/>
          <w:szCs w:val="20"/>
          <w:lang w:val="en-GB"/>
        </w:rPr>
        <w:t xml:space="preserve">Two </w:t>
      </w:r>
      <w:r w:rsidR="00B53B50" w:rsidRPr="000D4277">
        <w:rPr>
          <w:rFonts w:ascii="Calibri" w:hAnsi="Calibri"/>
          <w:sz w:val="20"/>
          <w:szCs w:val="20"/>
          <w:lang w:val="en-CA"/>
        </w:rPr>
        <w:t xml:space="preserve">Field Assistants will provide support to the Forest Engineer in the field assessment of carbon stocks in the forest areas of the PONASI landscape, support the establishment of baseline situation </w:t>
      </w:r>
      <w:proofErr w:type="gramStart"/>
      <w:r w:rsidR="00B53B50" w:rsidRPr="000D4277">
        <w:rPr>
          <w:rFonts w:ascii="Calibri" w:hAnsi="Calibri"/>
          <w:sz w:val="20"/>
          <w:szCs w:val="20"/>
          <w:lang w:val="en-CA"/>
        </w:rPr>
        <w:t>on the basis of</w:t>
      </w:r>
      <w:proofErr w:type="gramEnd"/>
      <w:r w:rsidR="00B53B50" w:rsidRPr="000D4277">
        <w:rPr>
          <w:rFonts w:ascii="Calibri" w:hAnsi="Calibri"/>
          <w:sz w:val="20"/>
          <w:szCs w:val="20"/>
          <w:lang w:val="en-CA"/>
        </w:rPr>
        <w:t xml:space="preserve"> data of the forest inventory, and field verification of land use, to support monitoring and documenting changes in land and forest use at the project mid term and end.</w:t>
      </w:r>
    </w:p>
    <w:p w14:paraId="564B67DC" w14:textId="4BF50CE1" w:rsidR="00302BFE" w:rsidRPr="003248C8"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5F3825">
        <w:rPr>
          <w:rFonts w:ascii="Calibri" w:hAnsi="Calibri"/>
          <w:sz w:val="20"/>
          <w:szCs w:val="20"/>
          <w:lang w:val="en-CA"/>
        </w:rPr>
        <w:t>The ongoing process at the national level for carbon stock estimates and documentation does not involve communities but the project will evaluate the opportunity to integrate local communities in MRV. The integration of local communities, while requiring a strong process of stakeholder engagement and capacity building, can have real benefits for improving the sustainability of local forest management by generating medium-term benefits for local communities while generating long-term global benefits.</w:t>
      </w:r>
      <w:r w:rsidR="00764DD0">
        <w:rPr>
          <w:rFonts w:ascii="Calibri" w:hAnsi="Calibri"/>
          <w:sz w:val="20"/>
          <w:szCs w:val="20"/>
          <w:lang w:val="en-CA"/>
        </w:rPr>
        <w:t xml:space="preserve"> </w:t>
      </w:r>
      <w:r w:rsidR="00764DD0" w:rsidRPr="00A63E29">
        <w:rPr>
          <w:rFonts w:ascii="Calibri" w:hAnsi="Calibri"/>
          <w:sz w:val="20"/>
          <w:szCs w:val="20"/>
          <w:lang w:val="en-CA"/>
        </w:rPr>
        <w:t>Where communities are engaged in MRV activities and corresponding training, care will be taken to respect guidelines on maximum group numbers, social distancing, hygiene measures etc. and to include COVID related contents (</w:t>
      </w:r>
      <w:proofErr w:type="spellStart"/>
      <w:proofErr w:type="gramStart"/>
      <w:r w:rsidR="00764DD0" w:rsidRPr="00A63E29">
        <w:rPr>
          <w:rFonts w:ascii="Calibri" w:hAnsi="Calibri"/>
          <w:sz w:val="20"/>
          <w:szCs w:val="20"/>
          <w:lang w:val="en-CA"/>
        </w:rPr>
        <w:t>eg</w:t>
      </w:r>
      <w:proofErr w:type="spellEnd"/>
      <w:proofErr w:type="gramEnd"/>
      <w:r w:rsidR="00764DD0" w:rsidRPr="00A63E29">
        <w:rPr>
          <w:rFonts w:ascii="Calibri" w:hAnsi="Calibri"/>
          <w:sz w:val="20"/>
          <w:szCs w:val="20"/>
          <w:lang w:val="en-CA"/>
        </w:rPr>
        <w:t xml:space="preserve"> hand-washing, face masks, </w:t>
      </w:r>
      <w:proofErr w:type="spellStart"/>
      <w:r w:rsidR="00764DD0" w:rsidRPr="00A63E29">
        <w:rPr>
          <w:rFonts w:ascii="Calibri" w:hAnsi="Calibri"/>
          <w:sz w:val="20"/>
          <w:szCs w:val="20"/>
          <w:lang w:val="en-CA"/>
        </w:rPr>
        <w:t>etc</w:t>
      </w:r>
      <w:proofErr w:type="spellEnd"/>
      <w:r w:rsidR="00764DD0" w:rsidRPr="00A63E29">
        <w:rPr>
          <w:rFonts w:ascii="Calibri" w:hAnsi="Calibri"/>
          <w:sz w:val="20"/>
          <w:szCs w:val="20"/>
          <w:lang w:val="en-CA"/>
        </w:rPr>
        <w:t>) into training programs where possible.</w:t>
      </w:r>
      <w:r w:rsidR="00764DD0" w:rsidRPr="003248C8">
        <w:rPr>
          <w:rFonts w:ascii="Calibri" w:hAnsi="Calibri"/>
          <w:sz w:val="20"/>
          <w:szCs w:val="20"/>
          <w:lang w:val="en-CA"/>
        </w:rPr>
        <w:t xml:space="preserve"> </w:t>
      </w:r>
    </w:p>
    <w:p w14:paraId="25DC574A"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 xml:space="preserve">The monitoring and the effective documentation of the actions carried out in the various territorial units of the PONASI landscape will have to be clearly inscribed in the sustainable and equitable management prescriptions which will be contained in one form or the other of a joint agreement: local charters, </w:t>
      </w:r>
      <w:proofErr w:type="gramStart"/>
      <w:r w:rsidRPr="005F3825">
        <w:rPr>
          <w:rFonts w:ascii="Calibri" w:hAnsi="Calibri"/>
          <w:sz w:val="20"/>
          <w:szCs w:val="20"/>
          <w:lang w:val="en-GB"/>
        </w:rPr>
        <w:t>specifications</w:t>
      </w:r>
      <w:proofErr w:type="gramEnd"/>
      <w:r w:rsidRPr="005F3825">
        <w:rPr>
          <w:rFonts w:ascii="Calibri" w:hAnsi="Calibri"/>
          <w:sz w:val="20"/>
          <w:szCs w:val="20"/>
          <w:lang w:val="en-GB"/>
        </w:rPr>
        <w:t xml:space="preserve"> or standard management contracts (see output 1.5). This will involve State structures (OFINAP, DGEF, DREEVCC), State projects and programs as well as non-governmental partners conducting actions in the project area affecting the conservation and sustainable management of ecosystems and lands in general, CAFs and private actors</w:t>
      </w:r>
      <w:r w:rsidRPr="005F3825">
        <w:rPr>
          <w:rFonts w:ascii="Calibri" w:eastAsia="Times New Roman" w:hAnsi="Calibri"/>
          <w:color w:val="000000"/>
          <w:sz w:val="20"/>
          <w:szCs w:val="20"/>
          <w:lang w:val="en-GB"/>
        </w:rPr>
        <w:t>.</w:t>
      </w:r>
    </w:p>
    <w:p w14:paraId="110D68BC" w14:textId="5CA6B288" w:rsidR="00302BFE" w:rsidRDefault="00302BFE" w:rsidP="00302BFE">
      <w:pPr>
        <w:pStyle w:val="Paragraphedeliste"/>
        <w:tabs>
          <w:tab w:val="left" w:pos="284"/>
        </w:tabs>
        <w:spacing w:before="240" w:after="120"/>
        <w:ind w:left="0"/>
        <w:jc w:val="both"/>
        <w:rPr>
          <w:rFonts w:ascii="Calibri" w:hAnsi="Calibri"/>
          <w:b/>
          <w:sz w:val="20"/>
          <w:szCs w:val="20"/>
          <w:lang w:val="en-GB"/>
        </w:rPr>
      </w:pPr>
      <w:r w:rsidRPr="005F3825">
        <w:rPr>
          <w:rFonts w:ascii="Calibri" w:hAnsi="Calibri"/>
          <w:b/>
          <w:sz w:val="20"/>
          <w:szCs w:val="20"/>
          <w:lang w:val="en-GB"/>
        </w:rPr>
        <w:t>Output 1.4 Development of the PONASI Landscape Management Master Plan to guide the management of the PONASI landscape over the next 15 years</w:t>
      </w:r>
    </w:p>
    <w:p w14:paraId="68565CD3" w14:textId="6A15D64D" w:rsidR="004F4706" w:rsidRPr="00D7470E" w:rsidRDefault="004F4706" w:rsidP="004F4706">
      <w:pPr>
        <w:spacing w:before="120" w:after="0"/>
        <w:contextualSpacing/>
        <w:rPr>
          <w:bCs/>
          <w:szCs w:val="20"/>
          <w:lang w:val="en-GB"/>
        </w:rPr>
      </w:pPr>
      <w:r w:rsidRPr="00D7470E">
        <w:rPr>
          <w:bCs/>
          <w:szCs w:val="20"/>
          <w:lang w:val="en-GB"/>
        </w:rPr>
        <w:t xml:space="preserve">To assess and manage the impacts of this Output, as indicated in the SESP – in attachment to the </w:t>
      </w:r>
      <w:proofErr w:type="spellStart"/>
      <w:r w:rsidRPr="00D7470E">
        <w:rPr>
          <w:bCs/>
          <w:szCs w:val="20"/>
          <w:lang w:val="en-GB"/>
        </w:rPr>
        <w:t>ProDoc</w:t>
      </w:r>
      <w:proofErr w:type="spellEnd"/>
      <w:r w:rsidRPr="00D7470E">
        <w:rPr>
          <w:bCs/>
          <w:szCs w:val="20"/>
          <w:lang w:val="en-GB"/>
        </w:rPr>
        <w:t xml:space="preserve"> – the following assessment and management processes will be put in place, to comply with UNDP SES:</w:t>
      </w:r>
    </w:p>
    <w:p w14:paraId="64BCBCDF" w14:textId="77777777" w:rsidR="00C97C6D" w:rsidRPr="00D7470E" w:rsidRDefault="00C97C6D" w:rsidP="00C97C6D">
      <w:pPr>
        <w:spacing w:before="120" w:after="0"/>
        <w:contextualSpacing/>
        <w:rPr>
          <w:bCs/>
          <w:szCs w:val="20"/>
          <w:u w:val="single"/>
          <w:lang w:val="en-GB"/>
        </w:rPr>
      </w:pPr>
      <w:r w:rsidRPr="00D7470E">
        <w:rPr>
          <w:bCs/>
          <w:szCs w:val="20"/>
          <w:u w:val="single"/>
          <w:lang w:val="en-GB"/>
        </w:rPr>
        <w:t>Assessments:</w:t>
      </w:r>
    </w:p>
    <w:p w14:paraId="37A6AEF7" w14:textId="77777777" w:rsidR="00C97C6D" w:rsidRPr="00D7470E" w:rsidRDefault="00C97C6D" w:rsidP="00C97C6D">
      <w:pPr>
        <w:spacing w:before="120" w:after="0"/>
        <w:contextualSpacing/>
        <w:rPr>
          <w:bCs/>
          <w:szCs w:val="20"/>
          <w:lang w:val="en-GB"/>
        </w:rPr>
      </w:pPr>
      <w:r w:rsidRPr="00D7470E">
        <w:rPr>
          <w:bCs/>
          <w:szCs w:val="20"/>
          <w:lang w:val="en-GB"/>
        </w:rPr>
        <w:t>SESA (Strategic Social and Environmental Assessment)</w:t>
      </w:r>
    </w:p>
    <w:p w14:paraId="1092FCDF" w14:textId="77777777" w:rsidR="00C97C6D" w:rsidRPr="00D7470E" w:rsidRDefault="00C97C6D" w:rsidP="00C97C6D">
      <w:pPr>
        <w:spacing w:before="120" w:after="0"/>
        <w:contextualSpacing/>
        <w:rPr>
          <w:bCs/>
          <w:szCs w:val="20"/>
          <w:lang w:val="en-GB"/>
        </w:rPr>
      </w:pPr>
      <w:r w:rsidRPr="00D7470E">
        <w:t>ESIA (Environmental and Social Impact Assessment)</w:t>
      </w:r>
    </w:p>
    <w:p w14:paraId="71FBA0E5" w14:textId="77777777" w:rsidR="00C97C6D" w:rsidRPr="00D7470E" w:rsidRDefault="00C97C6D" w:rsidP="00C97C6D">
      <w:pPr>
        <w:spacing w:before="120" w:after="0"/>
        <w:contextualSpacing/>
        <w:rPr>
          <w:u w:val="single"/>
        </w:rPr>
      </w:pPr>
      <w:r w:rsidRPr="00D7470E">
        <w:rPr>
          <w:u w:val="single"/>
        </w:rPr>
        <w:t>Management:</w:t>
      </w:r>
    </w:p>
    <w:p w14:paraId="5D585FA2" w14:textId="77777777" w:rsidR="00C97C6D" w:rsidRPr="00D7470E" w:rsidRDefault="00C97C6D" w:rsidP="00C97C6D">
      <w:pPr>
        <w:spacing w:before="120" w:after="120"/>
        <w:contextualSpacing/>
        <w:rPr>
          <w:rFonts w:asciiTheme="minorHAnsi" w:hAnsiTheme="minorHAnsi" w:cstheme="minorHAnsi"/>
          <w:szCs w:val="20"/>
        </w:rPr>
      </w:pPr>
      <w:r w:rsidRPr="00D7470E">
        <w:rPr>
          <w:rFonts w:asciiTheme="minorHAnsi" w:hAnsiTheme="minorHAnsi" w:cstheme="minorHAnsi"/>
          <w:szCs w:val="20"/>
        </w:rPr>
        <w:t>SESA report and recommendations (Actions Matrix)</w:t>
      </w:r>
    </w:p>
    <w:p w14:paraId="2259C02A" w14:textId="77777777" w:rsidR="00C97C6D" w:rsidRPr="00D7470E" w:rsidRDefault="00C97C6D" w:rsidP="00C97C6D">
      <w:pPr>
        <w:spacing w:before="120" w:after="120"/>
        <w:contextualSpacing/>
        <w:rPr>
          <w:rFonts w:asciiTheme="minorHAnsi" w:hAnsiTheme="minorHAnsi" w:cstheme="minorHAnsi"/>
          <w:szCs w:val="20"/>
        </w:rPr>
      </w:pPr>
      <w:r w:rsidRPr="00D7470E">
        <w:rPr>
          <w:rFonts w:asciiTheme="minorHAnsi" w:hAnsiTheme="minorHAnsi" w:cstheme="minorHAnsi"/>
          <w:szCs w:val="20"/>
        </w:rPr>
        <w:t>Comprehensive Stakeholder Engagement Plan</w:t>
      </w:r>
    </w:p>
    <w:p w14:paraId="682DDDD4" w14:textId="77777777" w:rsidR="00C97C6D" w:rsidRPr="00D7470E" w:rsidRDefault="00C97C6D" w:rsidP="00C97C6D">
      <w:pPr>
        <w:spacing w:before="120" w:after="120"/>
        <w:contextualSpacing/>
        <w:rPr>
          <w:rFonts w:asciiTheme="minorHAnsi" w:hAnsiTheme="minorHAnsi" w:cstheme="minorHAnsi"/>
          <w:szCs w:val="20"/>
        </w:rPr>
      </w:pPr>
      <w:r w:rsidRPr="00D7470E">
        <w:rPr>
          <w:rFonts w:asciiTheme="minorHAnsi" w:hAnsiTheme="minorHAnsi" w:cstheme="minorHAnsi"/>
          <w:szCs w:val="20"/>
        </w:rPr>
        <w:t>Indigenous People Plan</w:t>
      </w:r>
    </w:p>
    <w:p w14:paraId="42A3EE4C" w14:textId="77777777" w:rsidR="00C97C6D" w:rsidRPr="00D7470E" w:rsidRDefault="00C97C6D" w:rsidP="00C97C6D">
      <w:pPr>
        <w:spacing w:before="120" w:after="120"/>
        <w:contextualSpacing/>
        <w:rPr>
          <w:rFonts w:asciiTheme="minorHAnsi" w:hAnsiTheme="minorHAnsi" w:cstheme="minorHAnsi"/>
          <w:szCs w:val="20"/>
        </w:rPr>
      </w:pPr>
      <w:r w:rsidRPr="00D7470E">
        <w:rPr>
          <w:rFonts w:asciiTheme="minorHAnsi" w:hAnsiTheme="minorHAnsi" w:cstheme="minorHAnsi"/>
          <w:szCs w:val="20"/>
        </w:rPr>
        <w:t xml:space="preserve">Gender Action Plan </w:t>
      </w:r>
    </w:p>
    <w:p w14:paraId="021BE8FF" w14:textId="79BED96B" w:rsidR="00C97C6D" w:rsidRPr="00D7470E" w:rsidRDefault="00C97C6D" w:rsidP="00BE65D5">
      <w:pPr>
        <w:spacing w:before="120"/>
        <w:contextualSpacing/>
        <w:rPr>
          <w:bCs/>
          <w:szCs w:val="20"/>
          <w:lang w:val="en-GB"/>
        </w:rPr>
      </w:pPr>
      <w:r w:rsidRPr="00D7470E">
        <w:rPr>
          <w:rFonts w:asciiTheme="minorHAnsi" w:hAnsiTheme="minorHAnsi" w:cstheme="minorHAnsi"/>
          <w:szCs w:val="20"/>
        </w:rPr>
        <w:t>ESMP</w:t>
      </w:r>
    </w:p>
    <w:p w14:paraId="4A77A646" w14:textId="751F34D2" w:rsidR="00302BFE" w:rsidRPr="00D7470E"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D7470E">
        <w:rPr>
          <w:rFonts w:ascii="Calibri" w:hAnsi="Calibri"/>
          <w:i/>
          <w:color w:val="4472C4"/>
          <w:sz w:val="20"/>
          <w:szCs w:val="20"/>
          <w:lang w:val="en-GB"/>
        </w:rPr>
        <w:t>1.4.1 Development of the PONASI Landscape Management Master Plan</w:t>
      </w:r>
    </w:p>
    <w:p w14:paraId="493A555F" w14:textId="76D0E630" w:rsidR="001F23E3" w:rsidRPr="00BE65D5" w:rsidRDefault="001F23E3" w:rsidP="00BE65D5">
      <w:pPr>
        <w:spacing w:before="120" w:after="120"/>
        <w:rPr>
          <w:iCs/>
          <w:color w:val="4472C4"/>
          <w:szCs w:val="20"/>
          <w:lang w:val="en-GB"/>
        </w:rPr>
      </w:pPr>
      <w:r w:rsidRPr="00D7470E">
        <w:rPr>
          <w:iCs/>
          <w:color w:val="4472C4"/>
          <w:szCs w:val="20"/>
          <w:lang w:val="en-GB"/>
        </w:rPr>
        <w:t xml:space="preserve">For this activity, the FPIC (Free, Prior and Informed Consent) process </w:t>
      </w:r>
      <w:proofErr w:type="gramStart"/>
      <w:r w:rsidRPr="00D7470E">
        <w:rPr>
          <w:iCs/>
          <w:color w:val="4472C4"/>
          <w:szCs w:val="20"/>
          <w:lang w:val="en-GB"/>
        </w:rPr>
        <w:t>has to</w:t>
      </w:r>
      <w:proofErr w:type="gramEnd"/>
      <w:r w:rsidRPr="00D7470E">
        <w:rPr>
          <w:iCs/>
          <w:color w:val="4472C4"/>
          <w:szCs w:val="20"/>
          <w:lang w:val="en-GB"/>
        </w:rPr>
        <w:t xml:space="preserve"> be ensured</w:t>
      </w:r>
    </w:p>
    <w:p w14:paraId="6B32AB30" w14:textId="77777777" w:rsidR="00F50FA8" w:rsidRPr="00FA524C" w:rsidRDefault="00F50FA8"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FA524C">
        <w:rPr>
          <w:rFonts w:ascii="Calibri" w:hAnsi="Calibri"/>
          <w:sz w:val="20"/>
          <w:szCs w:val="20"/>
          <w:lang w:val="en-GB"/>
        </w:rPr>
        <w:t xml:space="preserve">The development of the PONASI Landscape Management Master Plan and the environmental land use planning process will be contracted out to an International Expert in Environmental Land Use Planning supported by a national Environmental Land Use Planning Specialist. The Master Plan will incorporate the findings of the environmental land use planning process. Its elaboration will involve closely all the stakeholders including the local authorities (Regions and Communes). The process and its conclusions will involve at least two validation steps by the co-governance mechanism, </w:t>
      </w:r>
      <w:proofErr w:type="gramStart"/>
      <w:r w:rsidRPr="00FA524C">
        <w:rPr>
          <w:rFonts w:ascii="Calibri" w:hAnsi="Calibri"/>
          <w:sz w:val="20"/>
          <w:szCs w:val="20"/>
          <w:lang w:val="en-GB"/>
        </w:rPr>
        <w:t>i.e.</w:t>
      </w:r>
      <w:proofErr w:type="gramEnd"/>
      <w:r w:rsidRPr="00FA524C">
        <w:rPr>
          <w:rFonts w:ascii="Calibri" w:hAnsi="Calibri"/>
          <w:sz w:val="20"/>
          <w:szCs w:val="20"/>
          <w:lang w:val="en-GB"/>
        </w:rPr>
        <w:t xml:space="preserve"> the validation of the terms of reference of the firm responsible for developing the Master Plan and the validation of the Master Plan itself. For efficiency and effectiveness purposes, the same </w:t>
      </w:r>
      <w:r>
        <w:rPr>
          <w:rFonts w:ascii="Calibri" w:hAnsi="Calibri"/>
          <w:sz w:val="20"/>
          <w:szCs w:val="20"/>
          <w:lang w:val="en-GB"/>
        </w:rPr>
        <w:t>international expert</w:t>
      </w:r>
      <w:r w:rsidRPr="00FA524C">
        <w:rPr>
          <w:rFonts w:ascii="Calibri" w:hAnsi="Calibri"/>
          <w:sz w:val="20"/>
          <w:szCs w:val="20"/>
          <w:lang w:val="en-GB"/>
        </w:rPr>
        <w:t xml:space="preserve"> </w:t>
      </w:r>
      <w:r>
        <w:rPr>
          <w:rFonts w:ascii="Calibri" w:hAnsi="Calibri"/>
          <w:sz w:val="20"/>
          <w:szCs w:val="20"/>
          <w:lang w:val="en-GB"/>
        </w:rPr>
        <w:t>will</w:t>
      </w:r>
      <w:r w:rsidRPr="00FA524C">
        <w:rPr>
          <w:rFonts w:ascii="Calibri" w:hAnsi="Calibri"/>
          <w:sz w:val="20"/>
          <w:szCs w:val="20"/>
          <w:lang w:val="en-GB"/>
        </w:rPr>
        <w:t xml:space="preserve"> be asked to (i) train stakeholders </w:t>
      </w:r>
      <w:r>
        <w:rPr>
          <w:rFonts w:ascii="Calibri" w:hAnsi="Calibri"/>
          <w:sz w:val="20"/>
          <w:szCs w:val="20"/>
          <w:lang w:val="en-GB"/>
        </w:rPr>
        <w:t>o</w:t>
      </w:r>
      <w:r w:rsidRPr="00FA524C">
        <w:rPr>
          <w:rFonts w:ascii="Calibri" w:hAnsi="Calibri"/>
          <w:sz w:val="20"/>
          <w:szCs w:val="20"/>
          <w:lang w:val="en-GB"/>
        </w:rPr>
        <w:t>n the use of the TESSA tool</w:t>
      </w:r>
      <w:r>
        <w:rPr>
          <w:rFonts w:ascii="Calibri" w:hAnsi="Calibri"/>
          <w:sz w:val="20"/>
          <w:szCs w:val="20"/>
          <w:lang w:val="en-GB"/>
        </w:rPr>
        <w:t xml:space="preserve"> and on the landscape planning approach</w:t>
      </w:r>
      <w:r w:rsidRPr="00FA524C">
        <w:rPr>
          <w:rFonts w:ascii="Calibri" w:hAnsi="Calibri"/>
          <w:sz w:val="20"/>
          <w:szCs w:val="20"/>
          <w:lang w:val="en-GB"/>
        </w:rPr>
        <w:t xml:space="preserve">, (ii) </w:t>
      </w:r>
      <w:r>
        <w:rPr>
          <w:rFonts w:ascii="Calibri" w:hAnsi="Calibri"/>
          <w:sz w:val="20"/>
          <w:szCs w:val="20"/>
          <w:lang w:val="en-GB"/>
        </w:rPr>
        <w:t xml:space="preserve">guide and </w:t>
      </w:r>
      <w:r w:rsidRPr="00FA524C">
        <w:rPr>
          <w:rFonts w:ascii="Calibri" w:hAnsi="Calibri"/>
          <w:sz w:val="20"/>
          <w:szCs w:val="20"/>
          <w:lang w:val="en-GB"/>
        </w:rPr>
        <w:t xml:space="preserve">oversee the </w:t>
      </w:r>
      <w:r>
        <w:rPr>
          <w:rFonts w:ascii="Calibri" w:hAnsi="Calibri"/>
          <w:sz w:val="20"/>
          <w:szCs w:val="20"/>
          <w:lang w:val="en-GB"/>
        </w:rPr>
        <w:t xml:space="preserve">participatory process for the </w:t>
      </w:r>
      <w:r w:rsidRPr="00FA524C">
        <w:rPr>
          <w:rFonts w:ascii="Calibri" w:hAnsi="Calibri"/>
          <w:sz w:val="20"/>
          <w:szCs w:val="20"/>
          <w:lang w:val="en-GB"/>
        </w:rPr>
        <w:t>development the of landscape management master plan and (iii) oversee the integration of the requirements of sustainable and equitable management of the different territory units as well as monitoring mechanisms.</w:t>
      </w:r>
    </w:p>
    <w:p w14:paraId="11DE2F86" w14:textId="77777777" w:rsidR="00302BFE" w:rsidRPr="005F3825" w:rsidRDefault="00F50FA8"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F50FA8">
        <w:rPr>
          <w:rFonts w:ascii="Calibri" w:hAnsi="Calibri"/>
          <w:sz w:val="20"/>
          <w:szCs w:val="20"/>
          <w:lang w:val="en-GB"/>
        </w:rPr>
        <w:t>T</w:t>
      </w:r>
      <w:r w:rsidR="00302BFE" w:rsidRPr="005F3825">
        <w:rPr>
          <w:rFonts w:ascii="Calibri" w:hAnsi="Calibri"/>
          <w:sz w:val="20"/>
          <w:szCs w:val="20"/>
          <w:lang w:val="en-GB"/>
        </w:rPr>
        <w:t xml:space="preserve">he Master Plan </w:t>
      </w:r>
      <w:r>
        <w:rPr>
          <w:rFonts w:ascii="Calibri" w:hAnsi="Calibri"/>
          <w:sz w:val="20"/>
          <w:szCs w:val="20"/>
          <w:lang w:val="en-GB"/>
        </w:rPr>
        <w:t>will be</w:t>
      </w:r>
      <w:r w:rsidR="00302BFE" w:rsidRPr="005F3825">
        <w:rPr>
          <w:rFonts w:ascii="Calibri" w:hAnsi="Calibri"/>
          <w:sz w:val="20"/>
          <w:szCs w:val="20"/>
          <w:lang w:val="en-GB"/>
        </w:rPr>
        <w:t xml:space="preserve"> developed to guide the management of the PONASI landscape over the next 15 years using the territorial planning tool and carbon mapping tools. This plan will ensure the protection of critical wildlife habitats, including corridors, and the preservation of biodiversity and ecosystem services, taking full account of the reduction of GHG emissions. The PONASI </w:t>
      </w:r>
      <w:r w:rsidR="00302BFE" w:rsidRPr="005F3825">
        <w:rPr>
          <w:rFonts w:ascii="Calibri" w:hAnsi="Calibri"/>
          <w:sz w:val="20"/>
          <w:szCs w:val="20"/>
          <w:lang w:val="en-GB"/>
        </w:rPr>
        <w:lastRenderedPageBreak/>
        <w:t xml:space="preserve">Landscape Management Master Plan is the steering instrument that introduces the spatial dimension in strategic decision-making concerning the management of the PONASI complex. It will set out, in the form of general guidelines, the objectives and priority measures of landscape management in its different territorial units as defined in this project (PA, Corridors, ZOVICs, CAF, Community Forests, </w:t>
      </w:r>
      <w:proofErr w:type="spellStart"/>
      <w:r w:rsidR="00302BFE" w:rsidRPr="005F3825">
        <w:rPr>
          <w:rFonts w:ascii="Calibri" w:hAnsi="Calibri"/>
          <w:sz w:val="20"/>
          <w:szCs w:val="20"/>
          <w:lang w:val="en-GB"/>
        </w:rPr>
        <w:t>agro</w:t>
      </w:r>
      <w:proofErr w:type="spellEnd"/>
      <w:r w:rsidR="00302BFE" w:rsidRPr="005F3825">
        <w:rPr>
          <w:rFonts w:ascii="Calibri" w:hAnsi="Calibri"/>
          <w:sz w:val="20"/>
          <w:szCs w:val="20"/>
          <w:lang w:val="en-GB"/>
        </w:rPr>
        <w:t xml:space="preserve">-pastoral lands, </w:t>
      </w:r>
      <w:proofErr w:type="spellStart"/>
      <w:r w:rsidR="00302BFE" w:rsidRPr="005F3825">
        <w:rPr>
          <w:rFonts w:ascii="Calibri" w:hAnsi="Calibri"/>
          <w:sz w:val="20"/>
          <w:szCs w:val="20"/>
          <w:lang w:val="en-GB"/>
        </w:rPr>
        <w:t>silvo</w:t>
      </w:r>
      <w:proofErr w:type="spellEnd"/>
      <w:r w:rsidR="00302BFE" w:rsidRPr="005F3825">
        <w:rPr>
          <w:rFonts w:ascii="Calibri" w:hAnsi="Calibri"/>
          <w:sz w:val="20"/>
          <w:szCs w:val="20"/>
          <w:lang w:val="en-GB"/>
        </w:rPr>
        <w:t>-pastoral areas), that it will best translate in space in the form of a planning map. These guidelines will then guide all the stakeholders involved in the project in the definition of multiannual and annual actions and targets as foreseen in the results framework (see outputs of Components 2 and 3). The Management Master Plan will also include a financing plan, an elephant conservation plan (developed under output 2.4), Human-Wildlife Conflict Management Plan (developed under Output 2.4), and a tourism development plan based on a clear concession system (developed under output 3.4).</w:t>
      </w:r>
    </w:p>
    <w:p w14:paraId="13D1EE7D"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As an inter-regional planning tool, the PONASI Landscape Management Master Plan will have to be articulated with the relevant and validated tools for planning and sustainable development of the territory whose scale covers all or part of the territory of the landscape. It should also articulate with the regional plans for planning and sustainable development of the territory</w:t>
      </w:r>
      <w:r w:rsidRPr="005F3825">
        <w:rPr>
          <w:rStyle w:val="Appelnotedebasdep"/>
          <w:rFonts w:ascii="Calibri" w:hAnsi="Calibri"/>
          <w:sz w:val="20"/>
          <w:szCs w:val="20"/>
        </w:rPr>
        <w:footnoteReference w:id="45"/>
      </w:r>
      <w:r w:rsidRPr="005F3825">
        <w:rPr>
          <w:rFonts w:ascii="Calibri" w:hAnsi="Calibri"/>
          <w:sz w:val="20"/>
          <w:szCs w:val="20"/>
          <w:lang w:val="en-GB"/>
        </w:rPr>
        <w:t xml:space="preserve">, regional development plans, communal development plans, including </w:t>
      </w:r>
      <w:proofErr w:type="gramStart"/>
      <w:r w:rsidRPr="005F3825">
        <w:rPr>
          <w:rFonts w:ascii="Calibri" w:hAnsi="Calibri"/>
          <w:sz w:val="20"/>
          <w:szCs w:val="20"/>
          <w:lang w:val="en-GB"/>
        </w:rPr>
        <w:t>in particular the</w:t>
      </w:r>
      <w:proofErr w:type="gramEnd"/>
      <w:r w:rsidRPr="005F3825">
        <w:rPr>
          <w:rFonts w:ascii="Calibri" w:hAnsi="Calibri"/>
          <w:sz w:val="20"/>
          <w:szCs w:val="20"/>
          <w:lang w:val="en-GB"/>
        </w:rPr>
        <w:t xml:space="preserve"> Integrated Ecosystem Management Plan in the neighbouring </w:t>
      </w:r>
      <w:r w:rsidR="009363D6">
        <w:rPr>
          <w:rFonts w:ascii="Calibri" w:hAnsi="Calibri"/>
          <w:sz w:val="20"/>
          <w:szCs w:val="20"/>
          <w:lang w:val="en-GB"/>
        </w:rPr>
        <w:t>communes</w:t>
      </w:r>
      <w:r w:rsidRPr="005F3825">
        <w:rPr>
          <w:rFonts w:ascii="Calibri" w:hAnsi="Calibri"/>
          <w:sz w:val="20"/>
          <w:szCs w:val="20"/>
          <w:lang w:val="en-GB"/>
        </w:rPr>
        <w:t xml:space="preserve"> of the PONASI complex developed under the PNGT2-3 project. The PONASI Landscape Management Master Plan can contribute to the improvement or adaptation of the visions, </w:t>
      </w:r>
      <w:proofErr w:type="gramStart"/>
      <w:r w:rsidRPr="005F3825">
        <w:rPr>
          <w:rFonts w:ascii="Calibri" w:hAnsi="Calibri"/>
          <w:sz w:val="20"/>
          <w:szCs w:val="20"/>
          <w:lang w:val="en-GB"/>
        </w:rPr>
        <w:t>objectives</w:t>
      </w:r>
      <w:proofErr w:type="gramEnd"/>
      <w:r w:rsidRPr="005F3825">
        <w:rPr>
          <w:rFonts w:ascii="Calibri" w:hAnsi="Calibri"/>
          <w:sz w:val="20"/>
          <w:szCs w:val="20"/>
          <w:lang w:val="en-GB"/>
        </w:rPr>
        <w:t xml:space="preserve"> and strategies of these planning documents, in connection with the particular requirements of sustainable management of the PONASI landscape.</w:t>
      </w:r>
    </w:p>
    <w:p w14:paraId="77B6FDD5"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The PONASI Protected Area Complex has been registered as Burkina Faso RAMSAR Site No. 2366</w:t>
      </w:r>
      <w:r w:rsidRPr="005F3825">
        <w:rPr>
          <w:rStyle w:val="Appelnotedebasdep"/>
          <w:rFonts w:ascii="Calibri" w:hAnsi="Calibri"/>
          <w:sz w:val="20"/>
          <w:szCs w:val="20"/>
        </w:rPr>
        <w:footnoteReference w:id="46"/>
      </w:r>
      <w:r w:rsidRPr="005F3825">
        <w:rPr>
          <w:rFonts w:ascii="Calibri" w:hAnsi="Calibri"/>
          <w:sz w:val="20"/>
          <w:szCs w:val="20"/>
          <w:lang w:val="en-GB"/>
        </w:rPr>
        <w:t xml:space="preserve"> in November 2018, and steps are under way to register it as a UNESCO Biosphere Reserve. The development of the PONASI Landscape Management Master Plan will integrate the requirements of the RAMSAR Convention in terms of management plan, despite slight discrepancies between the areas covered by each of the designations.</w:t>
      </w:r>
    </w:p>
    <w:p w14:paraId="4234DF12" w14:textId="77777777" w:rsidR="00302BFE" w:rsidRPr="005F3825" w:rsidRDefault="00302BFE" w:rsidP="00302BFE">
      <w:pPr>
        <w:pStyle w:val="Paragraphedeliste"/>
        <w:tabs>
          <w:tab w:val="left" w:pos="284"/>
        </w:tabs>
        <w:spacing w:before="120" w:after="120"/>
        <w:ind w:left="0"/>
        <w:jc w:val="both"/>
        <w:rPr>
          <w:rFonts w:ascii="Calibri" w:hAnsi="Calibri"/>
          <w:color w:val="4472C4"/>
          <w:sz w:val="20"/>
          <w:szCs w:val="20"/>
          <w:lang w:val="en-GB"/>
        </w:rPr>
      </w:pPr>
      <w:r w:rsidRPr="005F3825">
        <w:rPr>
          <w:rFonts w:ascii="Calibri" w:hAnsi="Calibri"/>
          <w:i/>
          <w:color w:val="4472C4"/>
          <w:sz w:val="20"/>
          <w:szCs w:val="20"/>
          <w:lang w:val="en-GB"/>
        </w:rPr>
        <w:t>1.4.2 Approval of the PONASI Landscape Management Master Plan.</w:t>
      </w:r>
    </w:p>
    <w:p w14:paraId="015E97C6" w14:textId="77777777" w:rsidR="00302BFE" w:rsidRPr="000D427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hAnsi="Calibri"/>
          <w:sz w:val="20"/>
          <w:szCs w:val="20"/>
          <w:lang w:val="en-GB"/>
        </w:rPr>
        <w:t>The Master Plan will be approved by the Co-Governance Mechanism in view of its implementation. As a consensual multi-stakeholder working tool of the Project, its approval is not subject to any specific legal requirements, as stakeholder engagement gives it sufficient enforcement strength.</w:t>
      </w:r>
      <w:r w:rsidR="00B53B50" w:rsidRPr="000D4277">
        <w:rPr>
          <w:rFonts w:ascii="Calibri" w:hAnsi="Calibri"/>
          <w:sz w:val="20"/>
          <w:szCs w:val="20"/>
          <w:lang w:val="en-GB"/>
        </w:rPr>
        <w:t xml:space="preserve"> However, prior to approval, a legal consultant hired by the project will verify the compliance of the master plan with the national policy and legislative framework.</w:t>
      </w:r>
    </w:p>
    <w:p w14:paraId="24F13F6D" w14:textId="2BDA9CC1" w:rsidR="00302BFE" w:rsidRDefault="00302BFE" w:rsidP="00302BFE">
      <w:pPr>
        <w:pStyle w:val="Paragraphedeliste"/>
        <w:tabs>
          <w:tab w:val="left" w:pos="284"/>
        </w:tabs>
        <w:spacing w:before="120" w:after="120"/>
        <w:ind w:left="0"/>
        <w:jc w:val="both"/>
        <w:rPr>
          <w:rFonts w:ascii="Calibri" w:hAnsi="Calibri"/>
          <w:b/>
          <w:sz w:val="20"/>
          <w:szCs w:val="20"/>
          <w:lang w:val="en-GB"/>
        </w:rPr>
      </w:pPr>
      <w:r w:rsidRPr="00DA06FB">
        <w:rPr>
          <w:rFonts w:ascii="Calibri" w:hAnsi="Calibri"/>
          <w:b/>
          <w:sz w:val="20"/>
          <w:szCs w:val="20"/>
          <w:lang w:val="en-GB"/>
        </w:rPr>
        <w:t>Output 1.5 Sustainable and equitable management requirements for the different units of the territory, including effective enforcement and monitoring mechanisms, conflict prevention/management mechanisms, monitoring implementation compliance, monitoring of biodiversity and ecosystems, and a range of incentives and disincentives, support to the implementation of the PONASI Landscape Management Master Plan.</w:t>
      </w:r>
    </w:p>
    <w:p w14:paraId="60EE7788" w14:textId="26D42F1D" w:rsidR="004F4706" w:rsidRPr="00D7470E" w:rsidRDefault="004F4706" w:rsidP="004F4706">
      <w:pPr>
        <w:spacing w:before="120" w:after="0"/>
        <w:contextualSpacing/>
        <w:rPr>
          <w:bCs/>
          <w:szCs w:val="20"/>
          <w:lang w:val="en-GB"/>
        </w:rPr>
      </w:pPr>
      <w:r w:rsidRPr="00D7470E">
        <w:rPr>
          <w:bCs/>
          <w:szCs w:val="20"/>
          <w:lang w:val="en-GB"/>
        </w:rPr>
        <w:t xml:space="preserve">To assess and manage the impacts of this Output, as indicated in the SESP – in attachment to the </w:t>
      </w:r>
      <w:proofErr w:type="spellStart"/>
      <w:r w:rsidRPr="00D7470E">
        <w:rPr>
          <w:bCs/>
          <w:szCs w:val="20"/>
          <w:lang w:val="en-GB"/>
        </w:rPr>
        <w:t>ProDoc</w:t>
      </w:r>
      <w:proofErr w:type="spellEnd"/>
      <w:r w:rsidRPr="00D7470E">
        <w:rPr>
          <w:bCs/>
          <w:szCs w:val="20"/>
          <w:lang w:val="en-GB"/>
        </w:rPr>
        <w:t xml:space="preserve"> – the following assessment and management processes will be put in place, to comply with UNDP SES:</w:t>
      </w:r>
    </w:p>
    <w:p w14:paraId="376C8588" w14:textId="77777777" w:rsidR="004F4706" w:rsidRPr="00D7470E" w:rsidRDefault="004F4706" w:rsidP="004F4706">
      <w:pPr>
        <w:spacing w:before="120" w:after="0"/>
        <w:contextualSpacing/>
        <w:rPr>
          <w:bCs/>
          <w:szCs w:val="20"/>
          <w:u w:val="single"/>
          <w:lang w:val="en-GB"/>
        </w:rPr>
      </w:pPr>
      <w:r w:rsidRPr="00D7470E">
        <w:rPr>
          <w:bCs/>
          <w:szCs w:val="20"/>
          <w:u w:val="single"/>
          <w:lang w:val="en-GB"/>
        </w:rPr>
        <w:t>Assessments:</w:t>
      </w:r>
    </w:p>
    <w:p w14:paraId="594B862D" w14:textId="77777777" w:rsidR="004F4706" w:rsidRPr="00D7470E" w:rsidRDefault="004F4706" w:rsidP="004F4706">
      <w:pPr>
        <w:spacing w:before="120" w:after="0"/>
        <w:contextualSpacing/>
        <w:rPr>
          <w:bCs/>
          <w:szCs w:val="20"/>
          <w:lang w:val="en-GB"/>
        </w:rPr>
      </w:pPr>
      <w:r w:rsidRPr="00D7470E">
        <w:rPr>
          <w:bCs/>
          <w:szCs w:val="20"/>
          <w:lang w:val="en-GB"/>
        </w:rPr>
        <w:t>SESA (Strategic Social and Environmental Assessment)</w:t>
      </w:r>
    </w:p>
    <w:p w14:paraId="41674909" w14:textId="77777777" w:rsidR="004F4706" w:rsidRPr="00D7470E" w:rsidRDefault="004F4706" w:rsidP="004F4706">
      <w:pPr>
        <w:spacing w:before="120" w:after="0"/>
        <w:contextualSpacing/>
        <w:rPr>
          <w:bCs/>
          <w:szCs w:val="20"/>
          <w:lang w:val="en-GB"/>
        </w:rPr>
      </w:pPr>
      <w:r w:rsidRPr="00D7470E">
        <w:t>ESIA (Environmental and Social Impact Assessment)</w:t>
      </w:r>
    </w:p>
    <w:p w14:paraId="3269AC32" w14:textId="77777777" w:rsidR="004F4706" w:rsidRPr="00D7470E" w:rsidRDefault="004F4706" w:rsidP="004F4706">
      <w:pPr>
        <w:spacing w:before="120" w:after="0"/>
        <w:contextualSpacing/>
        <w:rPr>
          <w:u w:val="single"/>
        </w:rPr>
      </w:pPr>
      <w:r w:rsidRPr="00D7470E">
        <w:rPr>
          <w:u w:val="single"/>
        </w:rPr>
        <w:t>Management:</w:t>
      </w:r>
    </w:p>
    <w:p w14:paraId="1AFFD069" w14:textId="77777777" w:rsidR="004F4706" w:rsidRPr="00D7470E" w:rsidRDefault="004F4706" w:rsidP="004F4706">
      <w:pPr>
        <w:spacing w:before="120" w:after="120"/>
        <w:contextualSpacing/>
        <w:rPr>
          <w:rFonts w:asciiTheme="minorHAnsi" w:hAnsiTheme="minorHAnsi" w:cstheme="minorHAnsi"/>
          <w:szCs w:val="20"/>
        </w:rPr>
      </w:pPr>
      <w:r w:rsidRPr="00D7470E">
        <w:rPr>
          <w:rFonts w:asciiTheme="minorHAnsi" w:hAnsiTheme="minorHAnsi" w:cstheme="minorHAnsi"/>
          <w:szCs w:val="20"/>
        </w:rPr>
        <w:t>SESA report and recommendations (Actions Matrix)</w:t>
      </w:r>
    </w:p>
    <w:p w14:paraId="62EB023E" w14:textId="77777777" w:rsidR="004F4706" w:rsidRPr="00D7470E" w:rsidRDefault="004F4706" w:rsidP="004F4706">
      <w:pPr>
        <w:spacing w:before="120" w:after="120"/>
        <w:contextualSpacing/>
        <w:rPr>
          <w:rFonts w:asciiTheme="minorHAnsi" w:hAnsiTheme="minorHAnsi" w:cstheme="minorHAnsi"/>
          <w:szCs w:val="20"/>
        </w:rPr>
      </w:pPr>
      <w:r w:rsidRPr="00D7470E">
        <w:rPr>
          <w:rFonts w:asciiTheme="minorHAnsi" w:hAnsiTheme="minorHAnsi" w:cstheme="minorHAnsi"/>
          <w:szCs w:val="20"/>
        </w:rPr>
        <w:t>Comprehensive Stakeholder Engagement Plan</w:t>
      </w:r>
    </w:p>
    <w:p w14:paraId="6CC1E3E8" w14:textId="77777777" w:rsidR="004F4706" w:rsidRPr="00D7470E" w:rsidRDefault="004F4706" w:rsidP="004F4706">
      <w:pPr>
        <w:spacing w:before="120" w:after="120"/>
        <w:contextualSpacing/>
        <w:rPr>
          <w:rFonts w:asciiTheme="minorHAnsi" w:hAnsiTheme="minorHAnsi" w:cstheme="minorHAnsi"/>
          <w:szCs w:val="20"/>
        </w:rPr>
      </w:pPr>
      <w:r w:rsidRPr="00D7470E">
        <w:rPr>
          <w:rFonts w:asciiTheme="minorHAnsi" w:hAnsiTheme="minorHAnsi" w:cstheme="minorHAnsi"/>
          <w:szCs w:val="20"/>
        </w:rPr>
        <w:t>Indigenous People Plan</w:t>
      </w:r>
    </w:p>
    <w:p w14:paraId="65511DE3" w14:textId="77777777" w:rsidR="004F4706" w:rsidRPr="00D7470E" w:rsidRDefault="004F4706" w:rsidP="004F4706">
      <w:pPr>
        <w:spacing w:before="120" w:after="120"/>
        <w:contextualSpacing/>
        <w:rPr>
          <w:rFonts w:asciiTheme="minorHAnsi" w:hAnsiTheme="minorHAnsi" w:cstheme="minorHAnsi"/>
          <w:szCs w:val="20"/>
        </w:rPr>
      </w:pPr>
      <w:r w:rsidRPr="00D7470E">
        <w:rPr>
          <w:rFonts w:asciiTheme="minorHAnsi" w:hAnsiTheme="minorHAnsi" w:cstheme="minorHAnsi"/>
          <w:szCs w:val="20"/>
        </w:rPr>
        <w:t xml:space="preserve">Gender Action Plan </w:t>
      </w:r>
    </w:p>
    <w:p w14:paraId="7CBC5AA5" w14:textId="02656A6D" w:rsidR="004F4706" w:rsidRPr="00D7470E" w:rsidRDefault="004F4706" w:rsidP="00BE65D5">
      <w:pPr>
        <w:spacing w:before="120"/>
        <w:contextualSpacing/>
        <w:rPr>
          <w:bCs/>
          <w:szCs w:val="20"/>
          <w:lang w:val="en-GB"/>
        </w:rPr>
      </w:pPr>
      <w:r w:rsidRPr="00D7470E">
        <w:rPr>
          <w:rFonts w:asciiTheme="minorHAnsi" w:hAnsiTheme="minorHAnsi" w:cstheme="minorHAnsi"/>
          <w:szCs w:val="20"/>
        </w:rPr>
        <w:t>ESMP</w:t>
      </w:r>
    </w:p>
    <w:p w14:paraId="561B10CA" w14:textId="471BB6CC" w:rsidR="00302BFE" w:rsidRPr="00D7470E"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D7470E">
        <w:rPr>
          <w:rFonts w:ascii="Calibri" w:hAnsi="Calibri"/>
          <w:i/>
          <w:color w:val="4472C4"/>
          <w:sz w:val="20"/>
          <w:szCs w:val="20"/>
          <w:lang w:val="en-GB"/>
        </w:rPr>
        <w:t xml:space="preserve">1.5.1 Establishment of management prescriptions for the various territory units within the PONASI landscape (protected areas of the State, wildlife corridors, ZOVICs, community forests, CAF, </w:t>
      </w:r>
      <w:proofErr w:type="spellStart"/>
      <w:r w:rsidRPr="00D7470E">
        <w:rPr>
          <w:rFonts w:ascii="Calibri" w:hAnsi="Calibri"/>
          <w:i/>
          <w:color w:val="4472C4"/>
          <w:sz w:val="20"/>
          <w:szCs w:val="20"/>
          <w:lang w:val="en-GB"/>
        </w:rPr>
        <w:t>agro</w:t>
      </w:r>
      <w:proofErr w:type="spellEnd"/>
      <w:r w:rsidRPr="00D7470E">
        <w:rPr>
          <w:rFonts w:ascii="Calibri" w:hAnsi="Calibri"/>
          <w:i/>
          <w:color w:val="4472C4"/>
          <w:sz w:val="20"/>
          <w:szCs w:val="20"/>
          <w:lang w:val="en-GB"/>
        </w:rPr>
        <w:t xml:space="preserve">-pastoral and </w:t>
      </w:r>
      <w:proofErr w:type="spellStart"/>
      <w:r w:rsidRPr="00D7470E">
        <w:rPr>
          <w:rFonts w:ascii="Calibri" w:hAnsi="Calibri"/>
          <w:i/>
          <w:color w:val="4472C4"/>
          <w:sz w:val="20"/>
          <w:szCs w:val="20"/>
          <w:lang w:val="en-GB"/>
        </w:rPr>
        <w:t>sylvopastoral</w:t>
      </w:r>
      <w:proofErr w:type="spellEnd"/>
      <w:r w:rsidRPr="00D7470E">
        <w:rPr>
          <w:rFonts w:ascii="Calibri" w:hAnsi="Calibri"/>
          <w:i/>
          <w:color w:val="4472C4"/>
          <w:sz w:val="20"/>
          <w:szCs w:val="20"/>
          <w:lang w:val="en-GB"/>
        </w:rPr>
        <w:t xml:space="preserve"> lands).</w:t>
      </w:r>
    </w:p>
    <w:p w14:paraId="0D409797" w14:textId="74B58BC4" w:rsidR="001F23E3" w:rsidRPr="001F23E3" w:rsidRDefault="001F23E3" w:rsidP="00BE65D5">
      <w:pPr>
        <w:spacing w:before="120" w:after="120"/>
        <w:rPr>
          <w:iCs/>
          <w:color w:val="4472C4"/>
          <w:szCs w:val="20"/>
          <w:lang w:val="en-GB"/>
        </w:rPr>
      </w:pPr>
      <w:r w:rsidRPr="00D7470E">
        <w:rPr>
          <w:iCs/>
          <w:color w:val="4472C4"/>
          <w:szCs w:val="20"/>
          <w:lang w:val="en-GB"/>
        </w:rPr>
        <w:t xml:space="preserve">For this activity, the FPIC (Free, Prior and Informed Consent) process </w:t>
      </w:r>
      <w:proofErr w:type="gramStart"/>
      <w:r w:rsidRPr="00D7470E">
        <w:rPr>
          <w:iCs/>
          <w:color w:val="4472C4"/>
          <w:szCs w:val="20"/>
          <w:lang w:val="en-GB"/>
        </w:rPr>
        <w:t>has to</w:t>
      </w:r>
      <w:proofErr w:type="gramEnd"/>
      <w:r w:rsidRPr="00D7470E">
        <w:rPr>
          <w:iCs/>
          <w:color w:val="4472C4"/>
          <w:szCs w:val="20"/>
          <w:lang w:val="en-GB"/>
        </w:rPr>
        <w:t xml:space="preserve"> be ensured</w:t>
      </w:r>
    </w:p>
    <w:p w14:paraId="675FF2B4" w14:textId="12FBE51D"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 xml:space="preserve">The use of the TESSA tool will have </w:t>
      </w:r>
      <w:r w:rsidR="00F50FA8">
        <w:rPr>
          <w:rFonts w:ascii="Calibri" w:hAnsi="Calibri"/>
          <w:sz w:val="20"/>
          <w:szCs w:val="20"/>
          <w:lang w:val="en-GB"/>
        </w:rPr>
        <w:t>enabled</w:t>
      </w:r>
      <w:r w:rsidRPr="005F3825">
        <w:rPr>
          <w:rFonts w:ascii="Calibri" w:hAnsi="Calibri"/>
          <w:sz w:val="20"/>
          <w:szCs w:val="20"/>
          <w:lang w:val="en-GB"/>
        </w:rPr>
        <w:t xml:space="preserve"> (see output 1.2 above) to (i) collect data on the state of the resources of each territorial unit of the landscape, (ii) evaluate</w:t>
      </w:r>
      <w:r w:rsidRPr="005F3825">
        <w:rPr>
          <w:rFonts w:ascii="Calibri" w:hAnsi="Calibri"/>
          <w:color w:val="FF0000"/>
          <w:sz w:val="20"/>
          <w:szCs w:val="20"/>
          <w:lang w:val="en-GB"/>
        </w:rPr>
        <w:t xml:space="preserve"> </w:t>
      </w:r>
      <w:r w:rsidRPr="005F3825">
        <w:rPr>
          <w:rFonts w:ascii="Calibri" w:hAnsi="Calibri"/>
          <w:sz w:val="20"/>
          <w:szCs w:val="20"/>
          <w:lang w:val="en-GB"/>
        </w:rPr>
        <w:t xml:space="preserve">the ecosystem goods and services (ES) provided by each of these units, (iii) define the best combinations of land-use technology packages that maximize benefits at all levels and (iv) define the objectives and priority management actions of the various territory units, contained in the Landscape Management Master Plan. The orientations of the </w:t>
      </w:r>
      <w:r w:rsidRPr="005F3825">
        <w:rPr>
          <w:rFonts w:ascii="Calibri" w:hAnsi="Calibri"/>
          <w:sz w:val="20"/>
          <w:szCs w:val="20"/>
          <w:lang w:val="en-GB"/>
        </w:rPr>
        <w:lastRenderedPageBreak/>
        <w:t>Master Plan will guide all stakeholders involved in the project in the definition of multiannual and annual actions and targets as planned in the results framework (see outputs of components 2 and 3).</w:t>
      </w:r>
    </w:p>
    <w:p w14:paraId="66EED953" w14:textId="77777777" w:rsidR="00302BFE" w:rsidRPr="00FA524C"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5F3825">
        <w:rPr>
          <w:rFonts w:ascii="Calibri" w:hAnsi="Calibri"/>
          <w:sz w:val="20"/>
          <w:szCs w:val="20"/>
          <w:lang w:val="en-CA"/>
        </w:rPr>
        <w:t>The sustainable and equitable management requirements identified for each landscape unit under Components 2 (Protected Areas) and 3 (</w:t>
      </w:r>
      <w:proofErr w:type="spellStart"/>
      <w:r w:rsidRPr="005F3825">
        <w:rPr>
          <w:rFonts w:ascii="Calibri" w:hAnsi="Calibri"/>
          <w:sz w:val="20"/>
          <w:szCs w:val="20"/>
          <w:lang w:val="en-CA"/>
        </w:rPr>
        <w:t>Agro</w:t>
      </w:r>
      <w:proofErr w:type="spellEnd"/>
      <w:r w:rsidRPr="005F3825">
        <w:rPr>
          <w:rFonts w:ascii="Calibri" w:hAnsi="Calibri"/>
          <w:sz w:val="20"/>
          <w:szCs w:val="20"/>
          <w:lang w:val="en-CA"/>
        </w:rPr>
        <w:t>-</w:t>
      </w:r>
      <w:proofErr w:type="spellStart"/>
      <w:r w:rsidRPr="005F3825">
        <w:rPr>
          <w:rFonts w:ascii="Calibri" w:hAnsi="Calibri"/>
          <w:sz w:val="20"/>
          <w:szCs w:val="20"/>
          <w:lang w:val="en-CA"/>
        </w:rPr>
        <w:t>Sylvo</w:t>
      </w:r>
      <w:proofErr w:type="spellEnd"/>
      <w:r w:rsidRPr="005F3825">
        <w:rPr>
          <w:rFonts w:ascii="Calibri" w:hAnsi="Calibri"/>
          <w:sz w:val="20"/>
          <w:szCs w:val="20"/>
          <w:lang w:val="en-CA"/>
        </w:rPr>
        <w:t xml:space="preserve">-Pastoral Management Areas) </w:t>
      </w:r>
      <w:r w:rsidR="008325B1">
        <w:rPr>
          <w:rFonts w:ascii="Calibri" w:hAnsi="Calibri"/>
          <w:sz w:val="20"/>
          <w:szCs w:val="20"/>
          <w:lang w:val="en-CA"/>
        </w:rPr>
        <w:t>will</w:t>
      </w:r>
      <w:r w:rsidRPr="005F3825">
        <w:rPr>
          <w:rFonts w:ascii="Calibri" w:hAnsi="Calibri"/>
          <w:sz w:val="20"/>
          <w:szCs w:val="20"/>
          <w:lang w:val="en-CA"/>
        </w:rPr>
        <w:t xml:space="preserve"> be in line with the directions defined through the spatial planning process. </w:t>
      </w:r>
      <w:r w:rsidRPr="005F3825">
        <w:rPr>
          <w:rFonts w:ascii="Calibri" w:hAnsi="Calibri"/>
          <w:sz w:val="20"/>
          <w:szCs w:val="20"/>
          <w:lang w:val="en-GB"/>
        </w:rPr>
        <w:t>These management requirements for the different land units as well as the monitoring mechanisms will be annexed to the Master Plan as part of its implementation strategy. Depending on the territorial units, these sustainable and equitable management requirements will be contained in (i) local charters, (ii) specifications or (iii) standard management contracts.</w:t>
      </w:r>
    </w:p>
    <w:p w14:paraId="7414419B" w14:textId="77777777" w:rsidR="00302BFE" w:rsidRPr="005F3825" w:rsidRDefault="00302BFE" w:rsidP="00302BFE">
      <w:pPr>
        <w:pStyle w:val="Paragraphedeliste"/>
        <w:tabs>
          <w:tab w:val="left" w:pos="284"/>
        </w:tabs>
        <w:spacing w:before="120" w:after="120"/>
        <w:ind w:left="0"/>
        <w:jc w:val="both"/>
        <w:rPr>
          <w:rFonts w:ascii="Calibri" w:hAnsi="Calibri"/>
          <w:color w:val="4472C4"/>
          <w:sz w:val="20"/>
          <w:szCs w:val="20"/>
          <w:lang w:val="en-GB"/>
        </w:rPr>
      </w:pPr>
      <w:r w:rsidRPr="005F3825">
        <w:rPr>
          <w:rFonts w:ascii="Calibri" w:hAnsi="Calibri"/>
          <w:i/>
          <w:color w:val="4472C4"/>
          <w:sz w:val="20"/>
          <w:szCs w:val="20"/>
          <w:lang w:val="en-GB"/>
        </w:rPr>
        <w:t>1.5.2 Monitoring system for the implementation of the master plan and its effects, including the monitoring of biodiversity and ecosystems.</w:t>
      </w:r>
    </w:p>
    <w:p w14:paraId="4825CC32" w14:textId="0578A0EE" w:rsidR="00302BFE" w:rsidRPr="006E490C"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6E490C">
        <w:rPr>
          <w:rFonts w:ascii="Calibri" w:hAnsi="Calibri"/>
          <w:sz w:val="20"/>
          <w:szCs w:val="20"/>
          <w:lang w:val="en-GB"/>
        </w:rPr>
        <w:t xml:space="preserve">Progress in the implementation of the Landscape Management Master Plan and its effects on biodiversity, land resources and ecosystem services will be documented from the multi-stakeholder annual reports prepared by the Project Coordination Unit with support from the Technical Core of the co-management framework (the platform); this report will be informed by all stakeholders who implement activities (including management of natural forests, agricultural, hunting and pastoral areas, and SLM) funded by the project and other co-donors: devolved technical services, Associations and NGOs. For </w:t>
      </w:r>
      <w:r>
        <w:rPr>
          <w:rFonts w:ascii="Calibri" w:hAnsi="Calibri"/>
          <w:sz w:val="20"/>
          <w:szCs w:val="20"/>
          <w:lang w:val="en-GB"/>
        </w:rPr>
        <w:t>forest management worksites</w:t>
      </w:r>
      <w:r w:rsidRPr="006E490C">
        <w:rPr>
          <w:rFonts w:ascii="Calibri" w:hAnsi="Calibri"/>
          <w:sz w:val="20"/>
          <w:szCs w:val="20"/>
          <w:lang w:val="en-GB"/>
        </w:rPr>
        <w:t xml:space="preserve"> (CAFs), the main sources of information will be the forest services and other associations or NGOs such as Tree Aid. </w:t>
      </w:r>
      <w:r w:rsidRPr="00E72276">
        <w:rPr>
          <w:rFonts w:ascii="Calibri" w:hAnsi="Calibri"/>
          <w:sz w:val="20"/>
          <w:szCs w:val="20"/>
          <w:lang w:val="en-GB"/>
        </w:rPr>
        <w:t xml:space="preserve">This monitoring system and its databases based on the project outcome indicators, and possibly expanded to include additional indicators according to evolving needs, </w:t>
      </w:r>
      <w:r w:rsidRPr="00E72276">
        <w:rPr>
          <w:rFonts w:ascii="Calibri" w:hAnsi="Calibri"/>
          <w:sz w:val="20"/>
          <w:szCs w:val="20"/>
          <w:lang w:val="en-CA"/>
        </w:rPr>
        <w:t xml:space="preserve">will be anchored in a permanent national institutional, the </w:t>
      </w:r>
      <w:r w:rsidRPr="00E72276">
        <w:rPr>
          <w:rFonts w:ascii="Calibri" w:hAnsi="Calibri"/>
          <w:sz w:val="20"/>
          <w:szCs w:val="20"/>
        </w:rPr>
        <w:t xml:space="preserve">National Observatory of the Environment and Sustainable Development (ONEDD) which </w:t>
      </w:r>
      <w:r w:rsidRPr="00E72276">
        <w:rPr>
          <w:rFonts w:ascii="Calibri" w:hAnsi="Calibri"/>
          <w:sz w:val="20"/>
          <w:szCs w:val="20"/>
          <w:lang w:val="en-GB"/>
        </w:rPr>
        <w:t xml:space="preserve">supports the </w:t>
      </w:r>
      <w:proofErr w:type="spellStart"/>
      <w:r w:rsidR="00884089" w:rsidRPr="00884089">
        <w:rPr>
          <w:rFonts w:ascii="Calibri" w:hAnsi="Calibri"/>
          <w:sz w:val="20"/>
          <w:szCs w:val="20"/>
          <w:highlight w:val="green"/>
          <w:lang w:val="en-GB"/>
        </w:rPr>
        <w:t>Ministere</w:t>
      </w:r>
      <w:proofErr w:type="spellEnd"/>
      <w:r w:rsidR="00884089" w:rsidRPr="00884089">
        <w:rPr>
          <w:rFonts w:ascii="Calibri" w:hAnsi="Calibri"/>
          <w:sz w:val="20"/>
          <w:szCs w:val="20"/>
          <w:highlight w:val="green"/>
          <w:lang w:val="en-GB"/>
        </w:rPr>
        <w:t xml:space="preserve"> de </w:t>
      </w:r>
      <w:proofErr w:type="spellStart"/>
      <w:r w:rsidR="00884089" w:rsidRPr="00884089">
        <w:rPr>
          <w:rFonts w:ascii="Calibri" w:hAnsi="Calibri"/>
          <w:sz w:val="20"/>
          <w:szCs w:val="20"/>
          <w:highlight w:val="green"/>
          <w:lang w:val="en-GB"/>
        </w:rPr>
        <w:t>l'environnement</w:t>
      </w:r>
      <w:proofErr w:type="spellEnd"/>
      <w:r w:rsidR="00884089" w:rsidRPr="00884089">
        <w:rPr>
          <w:rFonts w:ascii="Calibri" w:hAnsi="Calibri"/>
          <w:sz w:val="20"/>
          <w:szCs w:val="20"/>
          <w:highlight w:val="green"/>
          <w:lang w:val="en-GB"/>
        </w:rPr>
        <w:t xml:space="preserve">, de </w:t>
      </w:r>
      <w:proofErr w:type="spellStart"/>
      <w:r w:rsidR="00884089" w:rsidRPr="00884089">
        <w:rPr>
          <w:rFonts w:ascii="Calibri" w:hAnsi="Calibri"/>
          <w:sz w:val="20"/>
          <w:szCs w:val="20"/>
          <w:highlight w:val="green"/>
          <w:lang w:val="en-GB"/>
        </w:rPr>
        <w:t>l'eau</w:t>
      </w:r>
      <w:proofErr w:type="spellEnd"/>
      <w:r w:rsidR="00884089" w:rsidRPr="00884089">
        <w:rPr>
          <w:rFonts w:ascii="Calibri" w:hAnsi="Calibri"/>
          <w:sz w:val="20"/>
          <w:szCs w:val="20"/>
          <w:highlight w:val="green"/>
          <w:lang w:val="en-GB"/>
        </w:rPr>
        <w:t xml:space="preserve"> et de </w:t>
      </w:r>
      <w:proofErr w:type="spellStart"/>
      <w:r w:rsidR="00884089" w:rsidRPr="00884089">
        <w:rPr>
          <w:rFonts w:ascii="Calibri" w:hAnsi="Calibri"/>
          <w:sz w:val="20"/>
          <w:szCs w:val="20"/>
          <w:highlight w:val="green"/>
          <w:lang w:val="en-GB"/>
        </w:rPr>
        <w:t>l"Assainissement</w:t>
      </w:r>
      <w:proofErr w:type="spellEnd"/>
      <w:r w:rsidRPr="00E72276">
        <w:rPr>
          <w:rFonts w:ascii="Calibri" w:hAnsi="Calibri"/>
          <w:sz w:val="20"/>
          <w:szCs w:val="20"/>
          <w:lang w:val="en-GB"/>
        </w:rPr>
        <w:t>.</w:t>
      </w:r>
    </w:p>
    <w:p w14:paraId="6D1781CA"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CA"/>
        </w:rPr>
        <w:t xml:space="preserve">The platform will coordinate annual multi-stakeholder planning and monitoring and evaluation of activities, including activities and investments in the development and management of natural forests, grazing areas, in SLM in agricultural areas and in the management of protected areas, ZOVICs and corridors within the landscape. </w:t>
      </w:r>
      <w:r w:rsidRPr="005F3825">
        <w:rPr>
          <w:rFonts w:ascii="Calibri" w:hAnsi="Calibri"/>
          <w:sz w:val="20"/>
          <w:szCs w:val="20"/>
          <w:lang w:val="en-GB"/>
        </w:rPr>
        <w:t>The monitoring and evaluation will use the same indicators that will be informed by each stakeholder and therefore by the annual multi-stakeholder report.</w:t>
      </w:r>
    </w:p>
    <w:p w14:paraId="39DB043D" w14:textId="73BFCA40" w:rsidR="00302BFE"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5F3825">
        <w:rPr>
          <w:rFonts w:ascii="Calibri" w:hAnsi="Calibri"/>
          <w:i/>
          <w:color w:val="4472C4"/>
          <w:sz w:val="20"/>
          <w:szCs w:val="20"/>
          <w:lang w:val="en-GB"/>
        </w:rPr>
        <w:t>1.5.3 Design and implementation of incentives and disincentives to promote compliance to the Master Plan.</w:t>
      </w:r>
    </w:p>
    <w:p w14:paraId="1FBEE752" w14:textId="63EFD348" w:rsidR="001F23E3" w:rsidRPr="001F23E3" w:rsidRDefault="001F23E3" w:rsidP="00BE65D5">
      <w:pPr>
        <w:spacing w:before="120" w:after="120"/>
        <w:rPr>
          <w:iCs/>
          <w:color w:val="4472C4"/>
          <w:szCs w:val="20"/>
          <w:lang w:val="en-GB"/>
        </w:rPr>
      </w:pPr>
      <w:r w:rsidRPr="00884089">
        <w:rPr>
          <w:iCs/>
          <w:color w:val="4472C4"/>
          <w:szCs w:val="20"/>
          <w:lang w:val="en-GB"/>
        </w:rPr>
        <w:t xml:space="preserve">For this activity, the FPIC (Free, Prior and Informed Consent) process </w:t>
      </w:r>
      <w:proofErr w:type="gramStart"/>
      <w:r w:rsidRPr="00884089">
        <w:rPr>
          <w:iCs/>
          <w:color w:val="4472C4"/>
          <w:szCs w:val="20"/>
          <w:lang w:val="en-GB"/>
        </w:rPr>
        <w:t>has to</w:t>
      </w:r>
      <w:proofErr w:type="gramEnd"/>
      <w:r w:rsidRPr="00884089">
        <w:rPr>
          <w:iCs/>
          <w:color w:val="4472C4"/>
          <w:szCs w:val="20"/>
          <w:lang w:val="en-GB"/>
        </w:rPr>
        <w:t xml:space="preserve"> be ensured</w:t>
      </w:r>
    </w:p>
    <w:p w14:paraId="223E7AB1" w14:textId="77777777" w:rsidR="00302BFE" w:rsidRPr="000D4277" w:rsidRDefault="008325B1"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hAnsi="Calibri"/>
          <w:sz w:val="20"/>
          <w:szCs w:val="20"/>
          <w:lang w:val="en-GB"/>
        </w:rPr>
        <w:t>The land-use planning expert will propose a set of incentives and disincentives to promote compliance. T</w:t>
      </w:r>
      <w:r w:rsidR="00302BFE" w:rsidRPr="000D4277">
        <w:rPr>
          <w:rFonts w:ascii="Calibri" w:hAnsi="Calibri"/>
          <w:sz w:val="20"/>
          <w:szCs w:val="20"/>
          <w:lang w:val="en-GB"/>
        </w:rPr>
        <w:t xml:space="preserve">hese incentive and dissuasive measures will be </w:t>
      </w:r>
      <w:r w:rsidRPr="000D4277">
        <w:rPr>
          <w:rFonts w:ascii="Calibri" w:hAnsi="Calibri"/>
          <w:sz w:val="20"/>
          <w:szCs w:val="20"/>
          <w:lang w:val="en-GB"/>
        </w:rPr>
        <w:t>included</w:t>
      </w:r>
      <w:r w:rsidR="00302BFE" w:rsidRPr="000D4277">
        <w:rPr>
          <w:rFonts w:ascii="Calibri" w:hAnsi="Calibri"/>
          <w:sz w:val="20"/>
          <w:szCs w:val="20"/>
          <w:lang w:val="en-GB"/>
        </w:rPr>
        <w:t xml:space="preserve"> in the sustainable and equitable management prescriptions of the different territorial units themselves </w:t>
      </w:r>
      <w:r w:rsidRPr="000D4277">
        <w:rPr>
          <w:rFonts w:ascii="Calibri" w:hAnsi="Calibri"/>
          <w:sz w:val="20"/>
          <w:szCs w:val="20"/>
          <w:lang w:val="en-GB"/>
        </w:rPr>
        <w:t>included</w:t>
      </w:r>
      <w:r w:rsidR="00302BFE" w:rsidRPr="000D4277">
        <w:rPr>
          <w:rFonts w:ascii="Calibri" w:hAnsi="Calibri"/>
          <w:sz w:val="20"/>
          <w:szCs w:val="20"/>
          <w:lang w:val="en-GB"/>
        </w:rPr>
        <w:t xml:space="preserve"> in local charters, </w:t>
      </w:r>
      <w:proofErr w:type="gramStart"/>
      <w:r w:rsidR="00302BFE" w:rsidRPr="000D4277">
        <w:rPr>
          <w:rFonts w:ascii="Calibri" w:hAnsi="Calibri"/>
          <w:sz w:val="20"/>
          <w:szCs w:val="20"/>
          <w:lang w:val="en-GB"/>
        </w:rPr>
        <w:t>specifications</w:t>
      </w:r>
      <w:proofErr w:type="gramEnd"/>
      <w:r w:rsidR="00302BFE" w:rsidRPr="000D4277">
        <w:rPr>
          <w:rFonts w:ascii="Calibri" w:hAnsi="Calibri"/>
          <w:sz w:val="20"/>
          <w:szCs w:val="20"/>
          <w:lang w:val="en-GB"/>
        </w:rPr>
        <w:t xml:space="preserve"> or standard management contracts. The purpose here is to </w:t>
      </w:r>
      <w:r w:rsidR="0096658E" w:rsidRPr="000D4277">
        <w:rPr>
          <w:rFonts w:ascii="Calibri" w:hAnsi="Calibri"/>
          <w:sz w:val="20"/>
          <w:szCs w:val="20"/>
          <w:lang w:val="en-GB"/>
        </w:rPr>
        <w:t>associate</w:t>
      </w:r>
      <w:r w:rsidR="00302BFE" w:rsidRPr="000D4277">
        <w:rPr>
          <w:rFonts w:ascii="Calibri" w:hAnsi="Calibri"/>
          <w:sz w:val="20"/>
          <w:szCs w:val="20"/>
          <w:lang w:val="en-GB"/>
        </w:rPr>
        <w:t xml:space="preserve"> responsibilities or commitments </w:t>
      </w:r>
      <w:r w:rsidRPr="000D4277">
        <w:rPr>
          <w:rFonts w:ascii="Calibri" w:hAnsi="Calibri"/>
          <w:sz w:val="20"/>
          <w:szCs w:val="20"/>
          <w:lang w:val="en-GB"/>
        </w:rPr>
        <w:t>(</w:t>
      </w:r>
      <w:r w:rsidR="00302BFE" w:rsidRPr="000D4277">
        <w:rPr>
          <w:rFonts w:ascii="Calibri" w:hAnsi="Calibri"/>
          <w:sz w:val="20"/>
          <w:szCs w:val="20"/>
          <w:lang w:val="en-GB"/>
        </w:rPr>
        <w:t xml:space="preserve">recorded in a local charter, </w:t>
      </w:r>
      <w:proofErr w:type="gramStart"/>
      <w:r w:rsidR="00302BFE" w:rsidRPr="000D4277">
        <w:rPr>
          <w:rFonts w:ascii="Calibri" w:hAnsi="Calibri"/>
          <w:sz w:val="20"/>
          <w:szCs w:val="20"/>
          <w:lang w:val="en-GB"/>
        </w:rPr>
        <w:t>specifications</w:t>
      </w:r>
      <w:proofErr w:type="gramEnd"/>
      <w:r w:rsidR="00302BFE" w:rsidRPr="000D4277">
        <w:rPr>
          <w:rFonts w:ascii="Calibri" w:hAnsi="Calibri"/>
          <w:sz w:val="20"/>
          <w:szCs w:val="20"/>
          <w:lang w:val="en-GB"/>
        </w:rPr>
        <w:t xml:space="preserve"> or a standard management contract</w:t>
      </w:r>
      <w:r w:rsidR="0096658E" w:rsidRPr="000D4277">
        <w:rPr>
          <w:rFonts w:ascii="Calibri" w:hAnsi="Calibri"/>
          <w:sz w:val="20"/>
          <w:szCs w:val="20"/>
          <w:lang w:val="en-GB"/>
        </w:rPr>
        <w:t>)</w:t>
      </w:r>
      <w:r w:rsidR="00302BFE" w:rsidRPr="000D4277">
        <w:rPr>
          <w:rFonts w:ascii="Calibri" w:hAnsi="Calibri"/>
          <w:sz w:val="20"/>
          <w:szCs w:val="20"/>
          <w:lang w:val="en-GB"/>
        </w:rPr>
        <w:t xml:space="preserve">, </w:t>
      </w:r>
      <w:r w:rsidR="0096658E" w:rsidRPr="000D4277">
        <w:rPr>
          <w:rFonts w:ascii="Calibri" w:hAnsi="Calibri"/>
          <w:sz w:val="20"/>
          <w:szCs w:val="20"/>
          <w:lang w:val="en-GB"/>
        </w:rPr>
        <w:t>with</w:t>
      </w:r>
      <w:r w:rsidR="00302BFE" w:rsidRPr="000D4277">
        <w:rPr>
          <w:rFonts w:ascii="Calibri" w:hAnsi="Calibri"/>
          <w:sz w:val="20"/>
          <w:szCs w:val="20"/>
          <w:lang w:val="en-GB"/>
        </w:rPr>
        <w:t xml:space="preserve"> means of control </w:t>
      </w:r>
      <w:r w:rsidR="0096658E" w:rsidRPr="000D4277">
        <w:rPr>
          <w:rFonts w:ascii="Calibri" w:hAnsi="Calibri"/>
          <w:sz w:val="20"/>
          <w:szCs w:val="20"/>
          <w:lang w:val="en-GB"/>
        </w:rPr>
        <w:t>for</w:t>
      </w:r>
      <w:r w:rsidR="00302BFE" w:rsidRPr="000D4277">
        <w:rPr>
          <w:rFonts w:ascii="Calibri" w:hAnsi="Calibri"/>
          <w:sz w:val="20"/>
          <w:szCs w:val="20"/>
          <w:lang w:val="en-GB"/>
        </w:rPr>
        <w:t xml:space="preserve"> their application and the penalties incurred in case of </w:t>
      </w:r>
      <w:r w:rsidR="0096658E" w:rsidRPr="000D4277">
        <w:rPr>
          <w:rFonts w:ascii="Calibri" w:hAnsi="Calibri"/>
          <w:sz w:val="20"/>
          <w:szCs w:val="20"/>
          <w:lang w:val="en-GB"/>
        </w:rPr>
        <w:t>non-compliance</w:t>
      </w:r>
      <w:r w:rsidR="00302BFE" w:rsidRPr="000D4277">
        <w:rPr>
          <w:rFonts w:ascii="Calibri" w:hAnsi="Calibri"/>
          <w:sz w:val="20"/>
          <w:szCs w:val="20"/>
          <w:lang w:val="en-GB"/>
        </w:rPr>
        <w:t xml:space="preserve">, or conversely incentives in the form of profits related to the positive results generated by the application of charters, specifications or standard contracts, </w:t>
      </w:r>
      <w:r w:rsidR="0096658E" w:rsidRPr="000D4277">
        <w:rPr>
          <w:rFonts w:ascii="Calibri" w:hAnsi="Calibri"/>
          <w:sz w:val="20"/>
          <w:szCs w:val="20"/>
          <w:lang w:val="en-GB"/>
        </w:rPr>
        <w:t>including benefits or premiums granted for avoided carbon emissions</w:t>
      </w:r>
      <w:r w:rsidR="00302BFE" w:rsidRPr="000D4277">
        <w:rPr>
          <w:rFonts w:ascii="Calibri" w:hAnsi="Calibri"/>
          <w:sz w:val="20"/>
          <w:szCs w:val="20"/>
          <w:lang w:val="en-GB"/>
        </w:rPr>
        <w:t>.</w:t>
      </w:r>
    </w:p>
    <w:p w14:paraId="51F5ACAB" w14:textId="028953B1" w:rsidR="00302BFE"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5F3825">
        <w:rPr>
          <w:rFonts w:ascii="Calibri" w:hAnsi="Calibri"/>
          <w:i/>
          <w:color w:val="4472C4"/>
          <w:sz w:val="20"/>
          <w:szCs w:val="20"/>
          <w:lang w:val="en-GB"/>
        </w:rPr>
        <w:t>1.5.4 Establishment of a mechanism to monitor compliance and prevent/manage conflicts.</w:t>
      </w:r>
    </w:p>
    <w:p w14:paraId="695C5B4E" w14:textId="6834591A" w:rsidR="001F23E3" w:rsidRPr="001F23E3" w:rsidRDefault="001F23E3" w:rsidP="00BE65D5">
      <w:pPr>
        <w:spacing w:before="120" w:after="120"/>
        <w:rPr>
          <w:iCs/>
          <w:color w:val="4472C4"/>
          <w:szCs w:val="20"/>
          <w:lang w:val="en-GB"/>
        </w:rPr>
      </w:pPr>
      <w:r w:rsidRPr="00884089">
        <w:rPr>
          <w:iCs/>
          <w:color w:val="4472C4"/>
          <w:szCs w:val="20"/>
          <w:lang w:val="en-GB"/>
        </w:rPr>
        <w:t xml:space="preserve">For this activity, the FPIC (Free, Prior and Informed Consent) process </w:t>
      </w:r>
      <w:proofErr w:type="gramStart"/>
      <w:r w:rsidRPr="00884089">
        <w:rPr>
          <w:iCs/>
          <w:color w:val="4472C4"/>
          <w:szCs w:val="20"/>
          <w:lang w:val="en-GB"/>
        </w:rPr>
        <w:t>has to</w:t>
      </w:r>
      <w:proofErr w:type="gramEnd"/>
      <w:r w:rsidRPr="00884089">
        <w:rPr>
          <w:iCs/>
          <w:color w:val="4472C4"/>
          <w:szCs w:val="20"/>
          <w:lang w:val="en-GB"/>
        </w:rPr>
        <w:t xml:space="preserve"> be ensured</w:t>
      </w:r>
    </w:p>
    <w:p w14:paraId="58EE0A31"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70719A">
        <w:rPr>
          <w:rFonts w:ascii="Calibri" w:hAnsi="Calibri"/>
          <w:sz w:val="20"/>
          <w:szCs w:val="20"/>
          <w:lang w:val="en-CA"/>
        </w:rPr>
        <w:t xml:space="preserve">Under this output, the </w:t>
      </w:r>
      <w:r w:rsidRPr="0070719A">
        <w:rPr>
          <w:rFonts w:ascii="Calibri" w:hAnsi="Calibri"/>
          <w:sz w:val="20"/>
          <w:szCs w:val="20"/>
          <w:lang w:val="en-GB"/>
        </w:rPr>
        <w:t>project will establish a project-level Grievance Redress Mechanism (GRM), in line with mandatory Social and Environmental Standards (SES) for all of UNDP’s projects and programmes, and with UNDP’s corporate Stakeholder Response Mechanism (SRM)</w:t>
      </w:r>
      <w:r w:rsidRPr="0070719A">
        <w:rPr>
          <w:rStyle w:val="Appelnotedebasdep"/>
          <w:rFonts w:ascii="Calibri" w:hAnsi="Calibri"/>
          <w:sz w:val="20"/>
          <w:szCs w:val="20"/>
          <w:lang w:val="en-GB"/>
        </w:rPr>
        <w:footnoteReference w:id="47"/>
      </w:r>
      <w:r w:rsidRPr="0070719A">
        <w:rPr>
          <w:rFonts w:ascii="Calibri" w:hAnsi="Calibri"/>
          <w:sz w:val="20"/>
          <w:szCs w:val="20"/>
          <w:lang w:val="en-GB"/>
        </w:rPr>
        <w:t xml:space="preserve">. </w:t>
      </w:r>
      <w:r w:rsidRPr="0070719A">
        <w:rPr>
          <w:rFonts w:ascii="Calibri" w:hAnsi="Calibri"/>
          <w:sz w:val="20"/>
          <w:szCs w:val="20"/>
          <w:lang w:val="en-CA"/>
        </w:rPr>
        <w:t>A GRM is designed for collaborative problem solving, as a “first line” recourse for situations in which, despite proactive stakeholder engagement, some stakeholders have a concern about the project’s potential impacts on them. A GRM is intended to be accessible, collaborative, expeditious, and effective in resolving concerns through dialogue, joint fact-finding, negotiation, and problem solving. To increase the likelihood that the GRM will be effective in providing resolution of stakeholder grievances, it will be designed following these guiding principles: legitimate (enabling trust from the stakeholder groups); accessible (known to all stakeholder groups); predictable (clear and known procedure); equitable (aggrieved parties have reasonable access to sources of information, advice and expertise necessary to engage in the grievance process on fair, informed and respectful terms); transparent (parties informed about progress); rights compatible; enabling continuous learning ; and based on engagement and dialogue. The steps in a grievance resolution mechanism include i) communicating grievances through a variety of channels and register grievance; ii) acknowledging the grievance communicated; iii) assessing eligibility of the issue for the GRM; iv) assigning responsibility to the most appropriate institution or individual; v) developing a proposed response; vi) communicating the proposed response to complainant and seeking agreement on the response; vii) implementing the response to resolve the grievance; viii) reviewing the response if unsuccessful; and ix) closing out if the response has been successful or referring the grievance if the grievance has not been resolved.</w:t>
      </w:r>
    </w:p>
    <w:p w14:paraId="3F09CD1F" w14:textId="05C5F2A0" w:rsidR="00302BFE" w:rsidRPr="00FF7C64"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lastRenderedPageBreak/>
        <w:t xml:space="preserve">The compliance monitoring and grievance / prevention mechanism will </w:t>
      </w:r>
      <w:r>
        <w:rPr>
          <w:rFonts w:ascii="Calibri" w:hAnsi="Calibri"/>
          <w:sz w:val="20"/>
          <w:szCs w:val="20"/>
          <w:lang w:val="en-GB"/>
        </w:rPr>
        <w:t>include</w:t>
      </w:r>
      <w:r w:rsidRPr="005F3825">
        <w:rPr>
          <w:rFonts w:ascii="Calibri" w:hAnsi="Calibri"/>
          <w:sz w:val="20"/>
          <w:szCs w:val="20"/>
          <w:lang w:val="en-GB"/>
        </w:rPr>
        <w:t xml:space="preserve"> the establishment of a window allowing all stakeholders, and in particular local communities, to register grievances or disputes related to the implementation of the project in general and the application / enforcement of disincentives or incentives. The mechanism will define the procedures for managing conflicts at different levels: local, communal, regional and landscape levels. These procedures may draw on those used by other development projects to manage negative social impact management processes, including community-based impact resulting from the implementation of common natural resource or land resource management actions at the local level</w:t>
      </w:r>
      <w:r w:rsidRPr="00FF7C64">
        <w:rPr>
          <w:rFonts w:ascii="Calibri" w:hAnsi="Calibri"/>
          <w:sz w:val="20"/>
          <w:szCs w:val="20"/>
          <w:lang w:val="en-GB"/>
        </w:rPr>
        <w:t>.</w:t>
      </w:r>
      <w:r w:rsidR="00764DD0" w:rsidRPr="00FF7C64">
        <w:rPr>
          <w:rFonts w:ascii="Calibri" w:hAnsi="Calibri"/>
          <w:sz w:val="20"/>
          <w:szCs w:val="20"/>
          <w:lang w:val="en-GB"/>
        </w:rPr>
        <w:t xml:space="preserve"> </w:t>
      </w:r>
      <w:r w:rsidR="00764DD0" w:rsidRPr="00A63E29">
        <w:rPr>
          <w:rFonts w:ascii="Calibri" w:hAnsi="Calibri"/>
          <w:sz w:val="20"/>
          <w:szCs w:val="20"/>
          <w:lang w:val="en-GB"/>
        </w:rPr>
        <w:t>Care will be taken to establish mechanisms that allow reporting grievances by phone to reduce unnecessary travel, especially while travel restrictions due to COVID are active or might be reinstated.</w:t>
      </w:r>
      <w:r w:rsidR="00764DD0" w:rsidRPr="00FF7C64">
        <w:rPr>
          <w:rFonts w:ascii="Calibri" w:hAnsi="Calibri"/>
          <w:sz w:val="20"/>
          <w:szCs w:val="20"/>
          <w:lang w:val="en-GB"/>
        </w:rPr>
        <w:t xml:space="preserve"> </w:t>
      </w:r>
    </w:p>
    <w:p w14:paraId="760EF780" w14:textId="77777777" w:rsidR="00302BFE" w:rsidRPr="005F3825" w:rsidRDefault="00302BFE" w:rsidP="00302BFE">
      <w:pPr>
        <w:pStyle w:val="Paragraphedeliste"/>
        <w:tabs>
          <w:tab w:val="left" w:pos="284"/>
        </w:tabs>
        <w:spacing w:before="120" w:after="120"/>
        <w:ind w:left="0"/>
        <w:jc w:val="both"/>
        <w:rPr>
          <w:rFonts w:ascii="Calibri" w:hAnsi="Calibri"/>
          <w:color w:val="4472C4"/>
          <w:sz w:val="20"/>
          <w:szCs w:val="20"/>
          <w:lang w:val="en-GB"/>
        </w:rPr>
      </w:pPr>
      <w:r w:rsidRPr="005F3825">
        <w:rPr>
          <w:rFonts w:ascii="Calibri" w:hAnsi="Calibri"/>
          <w:i/>
          <w:color w:val="4472C4"/>
          <w:sz w:val="20"/>
          <w:szCs w:val="20"/>
          <w:lang w:val="en-GB"/>
        </w:rPr>
        <w:t>1.5.5 Support for the implementation of the PONASI Landscape Management Master Plan.</w:t>
      </w:r>
    </w:p>
    <w:p w14:paraId="3739D027"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To be implemented, the plan must mobilize financial resources in addition to those of GEF. This will be done firstly through the co-financing announced under the project</w:t>
      </w:r>
      <w:r w:rsidR="0096658E">
        <w:rPr>
          <w:rFonts w:ascii="Calibri" w:hAnsi="Calibri"/>
          <w:sz w:val="20"/>
          <w:szCs w:val="20"/>
          <w:lang w:val="en-GB"/>
        </w:rPr>
        <w:t>.</w:t>
      </w:r>
      <w:r w:rsidRPr="005F3825">
        <w:rPr>
          <w:rFonts w:ascii="Calibri" w:hAnsi="Calibri"/>
          <w:sz w:val="20"/>
          <w:szCs w:val="20"/>
          <w:lang w:val="en-GB"/>
        </w:rPr>
        <w:t xml:space="preserve"> The Project Coordination Unit will ensure that the signatories of co-financing letters keep their commitments, </w:t>
      </w:r>
      <w:proofErr w:type="gramStart"/>
      <w:r w:rsidRPr="005F3825">
        <w:rPr>
          <w:rFonts w:ascii="Calibri" w:hAnsi="Calibri"/>
          <w:sz w:val="20"/>
          <w:szCs w:val="20"/>
          <w:lang w:val="en-GB"/>
        </w:rPr>
        <w:t>in particular by</w:t>
      </w:r>
      <w:proofErr w:type="gramEnd"/>
      <w:r w:rsidRPr="005F3825">
        <w:rPr>
          <w:rFonts w:ascii="Calibri" w:hAnsi="Calibri"/>
          <w:sz w:val="20"/>
          <w:szCs w:val="20"/>
          <w:lang w:val="en-GB"/>
        </w:rPr>
        <w:t xml:space="preserve"> setting up a bilateral and even a multilateral mechanism (open to committed parties) for transparent monitoring with each of them. This mechanism should be pursued autonomously thereafter (following the evolution of indicator 5 of the strategic results framework: </w:t>
      </w:r>
      <w:r w:rsidRPr="005F3825">
        <w:rPr>
          <w:rFonts w:ascii="Calibri" w:hAnsi="Calibri"/>
          <w:i/>
          <w:sz w:val="20"/>
          <w:szCs w:val="20"/>
          <w:lang w:val="en-GB"/>
        </w:rPr>
        <w:t xml:space="preserve">Proportion of resources devoted annually to the </w:t>
      </w:r>
      <w:r>
        <w:rPr>
          <w:rFonts w:ascii="Calibri" w:hAnsi="Calibri"/>
          <w:i/>
          <w:sz w:val="20"/>
          <w:szCs w:val="20"/>
          <w:lang w:val="en-GB"/>
        </w:rPr>
        <w:t>operation</w:t>
      </w:r>
      <w:r w:rsidRPr="005F3825">
        <w:rPr>
          <w:rFonts w:ascii="Calibri" w:hAnsi="Calibri"/>
          <w:i/>
          <w:sz w:val="20"/>
          <w:szCs w:val="20"/>
          <w:lang w:val="en-GB"/>
        </w:rPr>
        <w:t xml:space="preserve"> of a co-governance mechanism for the concerted management of the PONASI landscape funded by GEF resources</w:t>
      </w:r>
      <w:r w:rsidRPr="005F3825">
        <w:rPr>
          <w:rFonts w:ascii="Calibri" w:hAnsi="Calibri"/>
          <w:sz w:val="20"/>
          <w:szCs w:val="20"/>
          <w:lang w:val="en-GB"/>
        </w:rPr>
        <w:t>. The progressive mobilization of contributions from the State, Ministries, the own resources of regional and local authorities, and contributions from the private sector - through the perception of benefits generated by better management of land use at the landscape level - will allow the GEF contribution to be proportionately decreasing.</w:t>
      </w:r>
    </w:p>
    <w:p w14:paraId="3FF33C50" w14:textId="77777777" w:rsidR="00302BFE" w:rsidRPr="005F3825" w:rsidRDefault="00302BFE" w:rsidP="00302BFE">
      <w:pPr>
        <w:spacing w:before="240" w:after="120"/>
        <w:rPr>
          <w:b/>
          <w:szCs w:val="20"/>
          <w:lang w:val="en-GB"/>
        </w:rPr>
      </w:pPr>
      <w:r w:rsidRPr="005F3825">
        <w:rPr>
          <w:b/>
          <w:szCs w:val="20"/>
          <w:lang w:val="en-GB"/>
        </w:rPr>
        <w:t>Component 2. Strengthening the PONASI Protected Area System</w:t>
      </w:r>
    </w:p>
    <w:p w14:paraId="715DA239" w14:textId="4334C7FF" w:rsidR="00302BFE" w:rsidRDefault="00302BFE" w:rsidP="00302BFE">
      <w:pPr>
        <w:spacing w:before="120" w:after="120"/>
        <w:ind w:left="284"/>
        <w:rPr>
          <w:b/>
          <w:szCs w:val="20"/>
          <w:lang w:val="en-GB"/>
        </w:rPr>
      </w:pPr>
      <w:r w:rsidRPr="005F3825">
        <w:rPr>
          <w:b/>
          <w:szCs w:val="20"/>
          <w:lang w:val="en-GB"/>
        </w:rPr>
        <w:t>Outcome 2.1 Increased institutional capacity of protected area management agencies (OFINAP and DGEF) to manage knowledge and design rules for the use and development of natural resources</w:t>
      </w:r>
    </w:p>
    <w:p w14:paraId="7C1D0F76" w14:textId="2CBECD53" w:rsidR="004F4706" w:rsidRPr="00A815EA" w:rsidRDefault="004F4706" w:rsidP="004F4706">
      <w:pPr>
        <w:spacing w:before="120" w:after="0"/>
        <w:contextualSpacing/>
        <w:rPr>
          <w:bCs/>
          <w:szCs w:val="20"/>
          <w:lang w:val="en-GB"/>
        </w:rPr>
      </w:pPr>
      <w:r w:rsidRPr="00A815EA">
        <w:rPr>
          <w:bCs/>
          <w:szCs w:val="20"/>
          <w:lang w:val="en-GB"/>
        </w:rPr>
        <w:t xml:space="preserve">To assess and manage the impacts of this Outcome, as indicated in the SESP – in attachment to the </w:t>
      </w:r>
      <w:proofErr w:type="spellStart"/>
      <w:r w:rsidRPr="00A815EA">
        <w:rPr>
          <w:bCs/>
          <w:szCs w:val="20"/>
          <w:lang w:val="en-GB"/>
        </w:rPr>
        <w:t>ProDoc</w:t>
      </w:r>
      <w:proofErr w:type="spellEnd"/>
      <w:r w:rsidRPr="00A815EA">
        <w:rPr>
          <w:bCs/>
          <w:szCs w:val="20"/>
          <w:lang w:val="en-GB"/>
        </w:rPr>
        <w:t xml:space="preserve"> – the following assessment and management processes will be put in place, to comply with UNDP SES:</w:t>
      </w:r>
    </w:p>
    <w:p w14:paraId="01E729DE" w14:textId="77777777" w:rsidR="004F4706" w:rsidRPr="00A815EA" w:rsidRDefault="004F4706" w:rsidP="004F4706">
      <w:pPr>
        <w:spacing w:before="120" w:after="0"/>
        <w:contextualSpacing/>
        <w:rPr>
          <w:bCs/>
          <w:szCs w:val="20"/>
          <w:u w:val="single"/>
          <w:lang w:val="en-GB"/>
        </w:rPr>
      </w:pPr>
      <w:r w:rsidRPr="00A815EA">
        <w:rPr>
          <w:bCs/>
          <w:szCs w:val="20"/>
          <w:u w:val="single"/>
          <w:lang w:val="en-GB"/>
        </w:rPr>
        <w:t>Assessments:</w:t>
      </w:r>
    </w:p>
    <w:p w14:paraId="5AE952C8" w14:textId="79A0D08D" w:rsidR="004F4706" w:rsidRPr="00A815EA" w:rsidRDefault="004F4706" w:rsidP="004F4706">
      <w:pPr>
        <w:spacing w:before="120" w:after="120"/>
        <w:contextualSpacing/>
        <w:rPr>
          <w:rFonts w:asciiTheme="minorHAnsi" w:hAnsiTheme="minorHAnsi" w:cstheme="minorHAnsi"/>
          <w:szCs w:val="20"/>
        </w:rPr>
      </w:pPr>
      <w:r w:rsidRPr="00A815EA">
        <w:rPr>
          <w:rFonts w:asciiTheme="minorHAnsi" w:hAnsiTheme="minorHAnsi" w:cstheme="minorHAnsi"/>
          <w:szCs w:val="20"/>
        </w:rPr>
        <w:t>ESIA</w:t>
      </w:r>
    </w:p>
    <w:p w14:paraId="296DBCE4" w14:textId="2ED7A5EC" w:rsidR="004F4706" w:rsidRPr="00A815EA" w:rsidRDefault="004F4706" w:rsidP="004F4706">
      <w:pPr>
        <w:spacing w:before="120" w:after="120"/>
        <w:contextualSpacing/>
        <w:rPr>
          <w:rFonts w:asciiTheme="minorHAnsi" w:hAnsiTheme="minorHAnsi" w:cstheme="minorHAnsi"/>
          <w:b/>
          <w:szCs w:val="20"/>
        </w:rPr>
      </w:pPr>
      <w:r w:rsidRPr="00A815EA">
        <w:rPr>
          <w:rFonts w:asciiTheme="minorHAnsi" w:hAnsiTheme="minorHAnsi" w:cstheme="minorHAnsi"/>
          <w:szCs w:val="20"/>
        </w:rPr>
        <w:t>Gender Analysis</w:t>
      </w:r>
    </w:p>
    <w:p w14:paraId="22050E20" w14:textId="5D152BDA" w:rsidR="004F4706" w:rsidRPr="00A815EA" w:rsidRDefault="004F4706" w:rsidP="00BE65D5">
      <w:pPr>
        <w:spacing w:before="120" w:after="120"/>
        <w:contextualSpacing/>
        <w:rPr>
          <w:rFonts w:asciiTheme="minorHAnsi" w:hAnsiTheme="minorHAnsi" w:cstheme="minorHAnsi"/>
          <w:szCs w:val="20"/>
          <w:u w:val="single"/>
        </w:rPr>
      </w:pPr>
      <w:r w:rsidRPr="00A815EA">
        <w:rPr>
          <w:rFonts w:asciiTheme="minorHAnsi" w:hAnsiTheme="minorHAnsi" w:cstheme="minorHAnsi"/>
          <w:szCs w:val="20"/>
          <w:u w:val="single"/>
        </w:rPr>
        <w:t>Management</w:t>
      </w:r>
    </w:p>
    <w:p w14:paraId="0B2CFD77" w14:textId="77777777" w:rsidR="004F4706" w:rsidRPr="00A815EA" w:rsidRDefault="004F4706" w:rsidP="004F4706">
      <w:pPr>
        <w:spacing w:before="120" w:after="120"/>
        <w:contextualSpacing/>
        <w:rPr>
          <w:rFonts w:asciiTheme="minorHAnsi" w:hAnsiTheme="minorHAnsi" w:cstheme="minorHAnsi"/>
          <w:szCs w:val="20"/>
        </w:rPr>
      </w:pPr>
      <w:r w:rsidRPr="00A815EA">
        <w:rPr>
          <w:rFonts w:asciiTheme="minorHAnsi" w:hAnsiTheme="minorHAnsi" w:cstheme="minorHAnsi"/>
          <w:szCs w:val="20"/>
        </w:rPr>
        <w:t>Comprehensive Stakeholder Engagement Plan</w:t>
      </w:r>
    </w:p>
    <w:p w14:paraId="58047C7F" w14:textId="77777777" w:rsidR="004F4706" w:rsidRPr="00A815EA" w:rsidRDefault="004F4706" w:rsidP="004F4706">
      <w:pPr>
        <w:spacing w:before="120" w:after="120"/>
        <w:contextualSpacing/>
        <w:rPr>
          <w:rFonts w:asciiTheme="minorHAnsi" w:hAnsiTheme="minorHAnsi" w:cstheme="minorHAnsi"/>
          <w:szCs w:val="20"/>
        </w:rPr>
      </w:pPr>
      <w:r w:rsidRPr="00A815EA">
        <w:rPr>
          <w:rFonts w:asciiTheme="minorHAnsi" w:hAnsiTheme="minorHAnsi" w:cstheme="minorHAnsi"/>
          <w:szCs w:val="20"/>
        </w:rPr>
        <w:t>Indigenous People Plan</w:t>
      </w:r>
    </w:p>
    <w:p w14:paraId="3F28EBCE" w14:textId="77777777" w:rsidR="004F4706" w:rsidRPr="00A815EA" w:rsidRDefault="004F4706" w:rsidP="004F4706">
      <w:pPr>
        <w:spacing w:before="120" w:after="120"/>
        <w:contextualSpacing/>
        <w:rPr>
          <w:rFonts w:asciiTheme="minorHAnsi" w:hAnsiTheme="minorHAnsi" w:cstheme="minorHAnsi"/>
          <w:szCs w:val="20"/>
        </w:rPr>
      </w:pPr>
      <w:r w:rsidRPr="00A815EA">
        <w:rPr>
          <w:rFonts w:asciiTheme="minorHAnsi" w:hAnsiTheme="minorHAnsi" w:cstheme="minorHAnsi"/>
          <w:szCs w:val="20"/>
        </w:rPr>
        <w:t xml:space="preserve">Gender Action Plan </w:t>
      </w:r>
    </w:p>
    <w:p w14:paraId="29B47659" w14:textId="1FEB053F" w:rsidR="004F4706" w:rsidRPr="005F3825" w:rsidRDefault="004F4706" w:rsidP="00BE65D5">
      <w:pPr>
        <w:spacing w:before="120" w:after="120"/>
        <w:rPr>
          <w:b/>
          <w:szCs w:val="20"/>
          <w:lang w:val="en-GB"/>
        </w:rPr>
      </w:pPr>
      <w:r w:rsidRPr="00A815EA">
        <w:rPr>
          <w:rFonts w:asciiTheme="minorHAnsi" w:hAnsiTheme="minorHAnsi" w:cstheme="minorHAnsi"/>
          <w:szCs w:val="20"/>
        </w:rPr>
        <w:t>ESMP</w:t>
      </w:r>
    </w:p>
    <w:p w14:paraId="30256AC1" w14:textId="57F47E98" w:rsidR="00302BFE" w:rsidRDefault="00302BFE" w:rsidP="00302BFE">
      <w:pPr>
        <w:spacing w:before="120" w:after="120"/>
        <w:ind w:left="284"/>
        <w:rPr>
          <w:b/>
          <w:szCs w:val="20"/>
          <w:lang w:val="en-GB"/>
        </w:rPr>
      </w:pPr>
      <w:r w:rsidRPr="005F3825">
        <w:rPr>
          <w:b/>
          <w:szCs w:val="20"/>
          <w:lang w:val="en-GB"/>
        </w:rPr>
        <w:t>Outcome 2.2 Increased effectiveness of protected area management on 354,781 ha including State protected areas, community protected areas and wildlife corridors within the PONASI complex</w:t>
      </w:r>
    </w:p>
    <w:p w14:paraId="546A6A88" w14:textId="77777777" w:rsidR="004F4706" w:rsidRPr="00A815EA" w:rsidRDefault="004F4706" w:rsidP="004F4706">
      <w:pPr>
        <w:spacing w:before="120" w:after="0"/>
        <w:contextualSpacing/>
        <w:rPr>
          <w:bCs/>
          <w:szCs w:val="20"/>
          <w:lang w:val="en-GB"/>
        </w:rPr>
      </w:pPr>
      <w:r w:rsidRPr="00A815EA">
        <w:rPr>
          <w:bCs/>
          <w:szCs w:val="20"/>
          <w:lang w:val="en-GB"/>
        </w:rPr>
        <w:t xml:space="preserve">To assess and manage the impacts of this Output, as indicated in the SESP – in attachment to the </w:t>
      </w:r>
      <w:proofErr w:type="spellStart"/>
      <w:r w:rsidRPr="00A815EA">
        <w:rPr>
          <w:bCs/>
          <w:szCs w:val="20"/>
          <w:lang w:val="en-GB"/>
        </w:rPr>
        <w:t>ProDoc</w:t>
      </w:r>
      <w:proofErr w:type="spellEnd"/>
      <w:r w:rsidRPr="00A815EA">
        <w:rPr>
          <w:bCs/>
          <w:szCs w:val="20"/>
          <w:lang w:val="en-GB"/>
        </w:rPr>
        <w:t xml:space="preserve"> – the following assessment and management processes will be put in place, to comply with UNDP SES:</w:t>
      </w:r>
    </w:p>
    <w:p w14:paraId="1185CBC9" w14:textId="77777777" w:rsidR="004F4706" w:rsidRPr="00A815EA" w:rsidRDefault="004F4706" w:rsidP="004F4706">
      <w:pPr>
        <w:spacing w:before="120" w:after="0"/>
        <w:contextualSpacing/>
        <w:rPr>
          <w:bCs/>
          <w:szCs w:val="20"/>
          <w:u w:val="single"/>
          <w:lang w:val="en-GB"/>
        </w:rPr>
      </w:pPr>
      <w:r w:rsidRPr="00A815EA">
        <w:rPr>
          <w:bCs/>
          <w:szCs w:val="20"/>
          <w:u w:val="single"/>
          <w:lang w:val="en-GB"/>
        </w:rPr>
        <w:t>Assessments:</w:t>
      </w:r>
    </w:p>
    <w:p w14:paraId="54E79278" w14:textId="77777777" w:rsidR="004F4706" w:rsidRPr="00A815EA" w:rsidRDefault="004F4706" w:rsidP="004F4706">
      <w:pPr>
        <w:spacing w:before="120" w:after="0"/>
        <w:contextualSpacing/>
        <w:rPr>
          <w:bCs/>
          <w:szCs w:val="20"/>
          <w:lang w:val="en-GB"/>
        </w:rPr>
      </w:pPr>
      <w:r w:rsidRPr="00A815EA">
        <w:rPr>
          <w:bCs/>
          <w:szCs w:val="20"/>
          <w:lang w:val="en-GB"/>
        </w:rPr>
        <w:t>SESA (Strategic Social and Environmental Assessment)</w:t>
      </w:r>
    </w:p>
    <w:p w14:paraId="52EAE520" w14:textId="77777777" w:rsidR="004F4706" w:rsidRPr="00A815EA" w:rsidRDefault="004F4706" w:rsidP="004F4706">
      <w:pPr>
        <w:spacing w:before="120" w:after="0"/>
        <w:contextualSpacing/>
        <w:rPr>
          <w:bCs/>
          <w:szCs w:val="20"/>
          <w:lang w:val="en-GB"/>
        </w:rPr>
      </w:pPr>
      <w:r w:rsidRPr="00A815EA">
        <w:t>ESIA (Environmental and Social Impact Assessment)</w:t>
      </w:r>
    </w:p>
    <w:p w14:paraId="1864ED2C" w14:textId="77777777" w:rsidR="004F4706" w:rsidRPr="00A815EA" w:rsidRDefault="004F4706" w:rsidP="004F4706">
      <w:pPr>
        <w:spacing w:before="120" w:after="0"/>
        <w:contextualSpacing/>
        <w:rPr>
          <w:u w:val="single"/>
        </w:rPr>
      </w:pPr>
      <w:r w:rsidRPr="00A815EA">
        <w:rPr>
          <w:u w:val="single"/>
        </w:rPr>
        <w:t>Management:</w:t>
      </w:r>
    </w:p>
    <w:p w14:paraId="72EB5DB7" w14:textId="77777777" w:rsidR="004F4706" w:rsidRPr="00A815EA" w:rsidRDefault="004F4706" w:rsidP="004F4706">
      <w:pPr>
        <w:spacing w:before="120" w:after="120"/>
        <w:contextualSpacing/>
        <w:rPr>
          <w:rFonts w:asciiTheme="minorHAnsi" w:hAnsiTheme="minorHAnsi" w:cstheme="minorHAnsi"/>
          <w:szCs w:val="20"/>
        </w:rPr>
      </w:pPr>
      <w:r w:rsidRPr="00A815EA">
        <w:rPr>
          <w:rFonts w:asciiTheme="minorHAnsi" w:hAnsiTheme="minorHAnsi" w:cstheme="minorHAnsi"/>
          <w:szCs w:val="20"/>
        </w:rPr>
        <w:t>SESA report and recommendations (Actions Matrix)</w:t>
      </w:r>
    </w:p>
    <w:p w14:paraId="4A77202E" w14:textId="77777777" w:rsidR="004F4706" w:rsidRPr="00A815EA" w:rsidRDefault="004F4706" w:rsidP="004F4706">
      <w:pPr>
        <w:spacing w:before="120" w:after="120"/>
        <w:contextualSpacing/>
        <w:rPr>
          <w:rFonts w:asciiTheme="minorHAnsi" w:hAnsiTheme="minorHAnsi" w:cstheme="minorHAnsi"/>
          <w:szCs w:val="20"/>
        </w:rPr>
      </w:pPr>
      <w:r w:rsidRPr="00A815EA">
        <w:rPr>
          <w:rFonts w:asciiTheme="minorHAnsi" w:hAnsiTheme="minorHAnsi" w:cstheme="minorHAnsi"/>
          <w:szCs w:val="20"/>
        </w:rPr>
        <w:t>Comprehensive Stakeholder Engagement Plan</w:t>
      </w:r>
    </w:p>
    <w:p w14:paraId="571A515D" w14:textId="77777777" w:rsidR="004F4706" w:rsidRPr="00A815EA" w:rsidRDefault="004F4706" w:rsidP="004F4706">
      <w:pPr>
        <w:spacing w:before="120" w:after="120"/>
        <w:contextualSpacing/>
        <w:rPr>
          <w:rFonts w:asciiTheme="minorHAnsi" w:hAnsiTheme="minorHAnsi" w:cstheme="minorHAnsi"/>
          <w:szCs w:val="20"/>
        </w:rPr>
      </w:pPr>
      <w:r w:rsidRPr="00A815EA">
        <w:rPr>
          <w:rFonts w:asciiTheme="minorHAnsi" w:hAnsiTheme="minorHAnsi" w:cstheme="minorHAnsi"/>
          <w:szCs w:val="20"/>
        </w:rPr>
        <w:t>Indigenous People Plan</w:t>
      </w:r>
    </w:p>
    <w:p w14:paraId="27B02FA8" w14:textId="77777777" w:rsidR="004F4706" w:rsidRPr="00A815EA" w:rsidRDefault="004F4706" w:rsidP="004F4706">
      <w:pPr>
        <w:spacing w:before="120" w:after="120"/>
        <w:contextualSpacing/>
        <w:rPr>
          <w:rFonts w:asciiTheme="minorHAnsi" w:hAnsiTheme="minorHAnsi" w:cstheme="minorHAnsi"/>
          <w:szCs w:val="20"/>
        </w:rPr>
      </w:pPr>
      <w:r w:rsidRPr="00A815EA">
        <w:rPr>
          <w:rFonts w:asciiTheme="minorHAnsi" w:hAnsiTheme="minorHAnsi" w:cstheme="minorHAnsi"/>
          <w:szCs w:val="20"/>
        </w:rPr>
        <w:t xml:space="preserve">Gender Action Plan </w:t>
      </w:r>
    </w:p>
    <w:p w14:paraId="59A9713F" w14:textId="694F18AA" w:rsidR="004F4706" w:rsidRPr="00BE65D5" w:rsidRDefault="004F4706" w:rsidP="00BE65D5">
      <w:pPr>
        <w:spacing w:before="120"/>
        <w:contextualSpacing/>
        <w:rPr>
          <w:bCs/>
          <w:szCs w:val="20"/>
          <w:lang w:val="en-GB"/>
        </w:rPr>
      </w:pPr>
      <w:r w:rsidRPr="00A815EA">
        <w:rPr>
          <w:rFonts w:asciiTheme="minorHAnsi" w:hAnsiTheme="minorHAnsi" w:cstheme="minorHAnsi"/>
          <w:szCs w:val="20"/>
        </w:rPr>
        <w:t>ESMP</w:t>
      </w:r>
    </w:p>
    <w:p w14:paraId="267D464E" w14:textId="77777777" w:rsidR="00302BFE" w:rsidRPr="00793D18"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793D18">
        <w:rPr>
          <w:rFonts w:ascii="Calibri" w:eastAsia="Cambria" w:hAnsi="Calibri"/>
          <w:sz w:val="20"/>
          <w:szCs w:val="20"/>
          <w:lang w:val="en-GB"/>
        </w:rPr>
        <w:t>The work under this component will strengthen the institutional capacity for the management of the PONASI complex and increase the effectiveness of the management of protected areas and individual corridors. Through this component, the project will enhance the institutional capacity of protected area agencies, as measured by the UNDP Capacity Development Dashboard. It will also improve management effectiveness in 354,781 ha of PA including State-managed PAs, ZOVICs (community protected areas), and two wildlife corridors in the PONASI complex, as indicated by: (i) Increased METT scores for individual sites (</w:t>
      </w:r>
      <w:r w:rsidRPr="00793D18">
        <w:rPr>
          <w:rFonts w:ascii="Calibri" w:hAnsi="Calibri"/>
          <w:sz w:val="20"/>
          <w:szCs w:val="20"/>
          <w:lang w:val="en-CA"/>
        </w:rPr>
        <w:t>PNKT</w:t>
      </w:r>
      <w:r w:rsidRPr="00793D18">
        <w:rPr>
          <w:rFonts w:ascii="Calibri" w:eastAsia="Cambria" w:hAnsi="Calibri"/>
          <w:sz w:val="20"/>
          <w:szCs w:val="20"/>
          <w:lang w:val="en-GB"/>
        </w:rPr>
        <w:t xml:space="preserve">, </w:t>
      </w:r>
      <w:proofErr w:type="spellStart"/>
      <w:r w:rsidRPr="00793D18">
        <w:rPr>
          <w:rFonts w:ascii="Calibri" w:eastAsia="Cambria" w:hAnsi="Calibri"/>
          <w:sz w:val="20"/>
          <w:szCs w:val="20"/>
          <w:lang w:val="en-GB"/>
        </w:rPr>
        <w:t>Sissili</w:t>
      </w:r>
      <w:proofErr w:type="spellEnd"/>
      <w:r w:rsidRPr="00793D18">
        <w:rPr>
          <w:rFonts w:ascii="Calibri" w:eastAsia="Cambria" w:hAnsi="Calibri"/>
          <w:sz w:val="20"/>
          <w:szCs w:val="20"/>
          <w:lang w:val="en-GB"/>
        </w:rPr>
        <w:t xml:space="preserve">, </w:t>
      </w:r>
      <w:proofErr w:type="spellStart"/>
      <w:r w:rsidRPr="00793D18">
        <w:rPr>
          <w:rFonts w:ascii="Calibri" w:eastAsia="Cambria" w:hAnsi="Calibri"/>
          <w:sz w:val="20"/>
          <w:szCs w:val="20"/>
          <w:lang w:val="en-GB"/>
        </w:rPr>
        <w:t>Nazinga</w:t>
      </w:r>
      <w:proofErr w:type="spellEnd"/>
      <w:r w:rsidRPr="00793D18">
        <w:rPr>
          <w:rFonts w:ascii="Calibri" w:eastAsia="Cambria" w:hAnsi="Calibri"/>
          <w:sz w:val="20"/>
          <w:szCs w:val="20"/>
          <w:lang w:val="en-GB"/>
        </w:rPr>
        <w:t>, ZOVIC), reflecting improved management; (ii) biodiversity indicators showing an improvement in biodiversity and the state of the ecosystem in each PA; (iii) stable or increasing elephant population in the PONASI complex compared to the currently estimated 600.</w:t>
      </w:r>
    </w:p>
    <w:p w14:paraId="2EFEF029"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Pr>
          <w:rFonts w:ascii="Calibri" w:hAnsi="Calibri"/>
          <w:sz w:val="20"/>
          <w:szCs w:val="20"/>
          <w:lang w:val="en-GB"/>
        </w:rPr>
        <w:lastRenderedPageBreak/>
        <w:t xml:space="preserve">The </w:t>
      </w:r>
      <w:r w:rsidRPr="00E80A9B">
        <w:rPr>
          <w:rFonts w:ascii="Calibri" w:hAnsi="Calibri"/>
          <w:sz w:val="20"/>
          <w:szCs w:val="20"/>
          <w:lang w:val="en-GB"/>
        </w:rPr>
        <w:t>PONASI complex</w:t>
      </w:r>
      <w:r>
        <w:rPr>
          <w:rFonts w:ascii="Calibri" w:hAnsi="Calibri"/>
          <w:sz w:val="20"/>
          <w:szCs w:val="20"/>
          <w:lang w:val="en-GB"/>
        </w:rPr>
        <w:t xml:space="preserve"> has been recently designated as a Ramsar site under the Ramsar Convention, and s</w:t>
      </w:r>
      <w:r w:rsidRPr="00E80A9B">
        <w:rPr>
          <w:rFonts w:ascii="Calibri" w:hAnsi="Calibri"/>
          <w:sz w:val="20"/>
          <w:szCs w:val="20"/>
          <w:lang w:val="en-GB"/>
        </w:rPr>
        <w:t xml:space="preserve">teps are underway to classify </w:t>
      </w:r>
      <w:r>
        <w:rPr>
          <w:rFonts w:ascii="Calibri" w:hAnsi="Calibri"/>
          <w:sz w:val="20"/>
          <w:szCs w:val="20"/>
          <w:lang w:val="en-GB"/>
        </w:rPr>
        <w:t xml:space="preserve">it </w:t>
      </w:r>
      <w:r w:rsidRPr="00E80A9B">
        <w:rPr>
          <w:rFonts w:ascii="Calibri" w:hAnsi="Calibri"/>
          <w:sz w:val="20"/>
          <w:szCs w:val="20"/>
          <w:lang w:val="en-GB"/>
        </w:rPr>
        <w:t xml:space="preserve">as a Biosphere Reserve under the UNESCO MAB program. This global status allows protected areas to be harmoniously integrated into the adjacent rural area by providing dynamic, </w:t>
      </w:r>
      <w:proofErr w:type="gramStart"/>
      <w:r w:rsidRPr="00E80A9B">
        <w:rPr>
          <w:rFonts w:ascii="Calibri" w:hAnsi="Calibri"/>
          <w:sz w:val="20"/>
          <w:szCs w:val="20"/>
          <w:lang w:val="en-GB"/>
        </w:rPr>
        <w:t>realistic</w:t>
      </w:r>
      <w:proofErr w:type="gramEnd"/>
      <w:r w:rsidRPr="00E80A9B">
        <w:rPr>
          <w:rFonts w:ascii="Calibri" w:hAnsi="Calibri"/>
          <w:sz w:val="20"/>
          <w:szCs w:val="20"/>
          <w:lang w:val="en-GB"/>
        </w:rPr>
        <w:t xml:space="preserve"> and negotiated solutions that enable subsistence economies and traditional production systems to co-exist with protected and conserved ecosystems. This scheme is perfectly consistent with the landscape approach adopted by the project. The process of developing management tools </w:t>
      </w:r>
      <w:r>
        <w:rPr>
          <w:rFonts w:ascii="Calibri" w:hAnsi="Calibri"/>
          <w:sz w:val="20"/>
          <w:szCs w:val="20"/>
          <w:lang w:val="en-GB"/>
        </w:rPr>
        <w:t xml:space="preserve">for individual PAs </w:t>
      </w:r>
      <w:r w:rsidRPr="00E80A9B">
        <w:rPr>
          <w:rFonts w:ascii="Calibri" w:hAnsi="Calibri"/>
          <w:sz w:val="20"/>
          <w:szCs w:val="20"/>
          <w:lang w:val="en-GB"/>
        </w:rPr>
        <w:t xml:space="preserve">and </w:t>
      </w:r>
      <w:r>
        <w:rPr>
          <w:rFonts w:ascii="Calibri" w:hAnsi="Calibri"/>
          <w:sz w:val="20"/>
          <w:szCs w:val="20"/>
          <w:lang w:val="en-GB"/>
        </w:rPr>
        <w:t xml:space="preserve">for </w:t>
      </w:r>
      <w:r w:rsidRPr="00E80A9B">
        <w:rPr>
          <w:rFonts w:ascii="Calibri" w:hAnsi="Calibri"/>
          <w:sz w:val="20"/>
          <w:szCs w:val="20"/>
          <w:lang w:val="en-GB"/>
        </w:rPr>
        <w:t xml:space="preserve">the </w:t>
      </w:r>
      <w:r>
        <w:rPr>
          <w:rFonts w:ascii="Calibri" w:hAnsi="Calibri"/>
          <w:sz w:val="20"/>
          <w:szCs w:val="20"/>
          <w:lang w:val="en-GB"/>
        </w:rPr>
        <w:t>entire</w:t>
      </w:r>
      <w:r w:rsidRPr="00E80A9B">
        <w:rPr>
          <w:rFonts w:ascii="Calibri" w:hAnsi="Calibri"/>
          <w:sz w:val="20"/>
          <w:szCs w:val="20"/>
          <w:lang w:val="en-GB"/>
        </w:rPr>
        <w:t xml:space="preserve"> PONASI landscape will </w:t>
      </w:r>
      <w:proofErr w:type="gramStart"/>
      <w:r w:rsidRPr="00E80A9B">
        <w:rPr>
          <w:rFonts w:ascii="Calibri" w:hAnsi="Calibri"/>
          <w:sz w:val="20"/>
          <w:szCs w:val="20"/>
          <w:lang w:val="en-GB"/>
        </w:rPr>
        <w:t>take into account</w:t>
      </w:r>
      <w:proofErr w:type="gramEnd"/>
      <w:r w:rsidRPr="00E80A9B">
        <w:rPr>
          <w:rFonts w:ascii="Calibri" w:hAnsi="Calibri"/>
          <w:sz w:val="20"/>
          <w:szCs w:val="20"/>
          <w:lang w:val="en-GB"/>
        </w:rPr>
        <w:t xml:space="preserve"> the requirements </w:t>
      </w:r>
      <w:r>
        <w:rPr>
          <w:rFonts w:ascii="Calibri" w:hAnsi="Calibri"/>
          <w:sz w:val="20"/>
          <w:szCs w:val="20"/>
          <w:lang w:val="en-GB"/>
        </w:rPr>
        <w:t>related to</w:t>
      </w:r>
      <w:r w:rsidRPr="00E80A9B">
        <w:rPr>
          <w:rFonts w:ascii="Calibri" w:hAnsi="Calibri"/>
          <w:sz w:val="20"/>
          <w:szCs w:val="20"/>
          <w:lang w:val="en-GB"/>
        </w:rPr>
        <w:t xml:space="preserve"> th</w:t>
      </w:r>
      <w:r>
        <w:rPr>
          <w:rFonts w:ascii="Calibri" w:hAnsi="Calibri"/>
          <w:sz w:val="20"/>
          <w:szCs w:val="20"/>
          <w:lang w:val="en-GB"/>
        </w:rPr>
        <w:t>e</w:t>
      </w:r>
      <w:r w:rsidRPr="00E80A9B">
        <w:rPr>
          <w:rFonts w:ascii="Calibri" w:hAnsi="Calibri"/>
          <w:sz w:val="20"/>
          <w:szCs w:val="20"/>
          <w:lang w:val="en-GB"/>
        </w:rPr>
        <w:t>s</w:t>
      </w:r>
      <w:r>
        <w:rPr>
          <w:rFonts w:ascii="Calibri" w:hAnsi="Calibri"/>
          <w:sz w:val="20"/>
          <w:szCs w:val="20"/>
          <w:lang w:val="en-GB"/>
        </w:rPr>
        <w:t>e</w:t>
      </w:r>
      <w:r w:rsidRPr="00E80A9B">
        <w:rPr>
          <w:rFonts w:ascii="Calibri" w:hAnsi="Calibri"/>
          <w:sz w:val="20"/>
          <w:szCs w:val="20"/>
          <w:lang w:val="en-GB"/>
        </w:rPr>
        <w:t xml:space="preserve"> designation</w:t>
      </w:r>
      <w:r>
        <w:rPr>
          <w:rFonts w:ascii="Calibri" w:hAnsi="Calibri"/>
          <w:sz w:val="20"/>
          <w:szCs w:val="20"/>
          <w:lang w:val="en-GB"/>
        </w:rPr>
        <w:t>s</w:t>
      </w:r>
      <w:r w:rsidRPr="00E80A9B">
        <w:rPr>
          <w:rFonts w:ascii="Calibri" w:hAnsi="Calibri"/>
          <w:sz w:val="20"/>
          <w:szCs w:val="20"/>
          <w:lang w:val="en-GB"/>
        </w:rPr>
        <w:t>.</w:t>
      </w:r>
    </w:p>
    <w:p w14:paraId="055015DC" w14:textId="77777777" w:rsidR="00302BFE" w:rsidRPr="005F3825" w:rsidRDefault="00302BFE" w:rsidP="00302BFE">
      <w:pPr>
        <w:spacing w:before="240" w:after="120"/>
        <w:rPr>
          <w:rFonts w:eastAsia="Cambria"/>
          <w:szCs w:val="20"/>
          <w:lang w:val="en-GB"/>
        </w:rPr>
      </w:pPr>
      <w:r w:rsidRPr="005F3825">
        <w:rPr>
          <w:b/>
          <w:szCs w:val="20"/>
          <w:lang w:val="en-GB"/>
        </w:rPr>
        <w:t>Output 2.1 Institutional and individual capacities within PA agencies are enhanced through targeted capacity building interventions.</w:t>
      </w:r>
      <w:r w:rsidRPr="005F3825">
        <w:rPr>
          <w:rFonts w:eastAsia="Cambria"/>
          <w:szCs w:val="20"/>
          <w:lang w:val="en-GB"/>
        </w:rPr>
        <w:t xml:space="preserve"> </w:t>
      </w:r>
    </w:p>
    <w:p w14:paraId="6C635EE7" w14:textId="7341B874" w:rsidR="00302BFE" w:rsidRPr="00FF7C64"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Cambria" w:hAnsi="Calibri"/>
          <w:sz w:val="20"/>
          <w:szCs w:val="20"/>
          <w:lang w:val="en-GB"/>
        </w:rPr>
        <w:t>Institutions will be strengthened, as well as the profile of their staff, to ensure, among other things, planning and implementation capacity, community engagement, monitoring and evaluation, and financial mobilization. Staff will be equipped, trained and operational, and the basic infrastructure needed for PA management is repaired or constructed. The Capacity Building Program will increase the capacity of PA managers and operational staff to adapt to new challenges by using innovative approaches, including addressing the global challenge of long-term funding for PAs.</w:t>
      </w:r>
      <w:r w:rsidR="001E5CCF">
        <w:rPr>
          <w:rFonts w:ascii="Calibri" w:eastAsia="Cambria" w:hAnsi="Calibri"/>
          <w:sz w:val="20"/>
          <w:szCs w:val="20"/>
          <w:lang w:val="en-GB"/>
        </w:rPr>
        <w:t xml:space="preserve"> </w:t>
      </w:r>
      <w:r w:rsidR="001E5CCF" w:rsidRPr="00A63E29">
        <w:rPr>
          <w:rFonts w:ascii="Calibri" w:eastAsia="Cambria" w:hAnsi="Calibri"/>
          <w:sz w:val="20"/>
          <w:szCs w:val="20"/>
          <w:lang w:val="en-GB"/>
        </w:rPr>
        <w:t>All capacity building activities will strictly respect COVID guidelines and will incorporate basic trainings on COVID response measures such hygiene (</w:t>
      </w:r>
      <w:proofErr w:type="spellStart"/>
      <w:proofErr w:type="gramStart"/>
      <w:r w:rsidR="001E5CCF" w:rsidRPr="00A63E29">
        <w:rPr>
          <w:rFonts w:ascii="Calibri" w:eastAsia="Cambria" w:hAnsi="Calibri"/>
          <w:sz w:val="20"/>
          <w:szCs w:val="20"/>
          <w:lang w:val="en-GB"/>
        </w:rPr>
        <w:t>eg</w:t>
      </w:r>
      <w:proofErr w:type="spellEnd"/>
      <w:proofErr w:type="gramEnd"/>
      <w:r w:rsidR="001E5CCF" w:rsidRPr="00A63E29">
        <w:rPr>
          <w:rFonts w:ascii="Calibri" w:eastAsia="Cambria" w:hAnsi="Calibri"/>
          <w:sz w:val="20"/>
          <w:szCs w:val="20"/>
          <w:lang w:val="en-GB"/>
        </w:rPr>
        <w:t xml:space="preserve"> hand washing).</w:t>
      </w:r>
      <w:r w:rsidR="001E5CCF" w:rsidRPr="00FF7C64">
        <w:rPr>
          <w:rFonts w:ascii="Calibri" w:eastAsia="Cambria" w:hAnsi="Calibri"/>
          <w:sz w:val="20"/>
          <w:szCs w:val="20"/>
          <w:lang w:val="en-GB"/>
        </w:rPr>
        <w:t xml:space="preserve"> </w:t>
      </w:r>
    </w:p>
    <w:p w14:paraId="3B3CB6C9" w14:textId="77777777" w:rsidR="00302BFE" w:rsidRPr="005F3825" w:rsidRDefault="00302BFE" w:rsidP="00302BFE">
      <w:pPr>
        <w:spacing w:before="120" w:after="120"/>
        <w:rPr>
          <w:i/>
          <w:color w:val="4472C4"/>
          <w:szCs w:val="20"/>
          <w:lang w:val="en-GB"/>
        </w:rPr>
      </w:pPr>
      <w:r w:rsidRPr="000D4277">
        <w:rPr>
          <w:i/>
          <w:color w:val="4472C4"/>
          <w:szCs w:val="20"/>
          <w:lang w:val="en-GB"/>
        </w:rPr>
        <w:t xml:space="preserve">2.1.1 The institutional </w:t>
      </w:r>
      <w:r w:rsidR="0053434B" w:rsidRPr="000D4277">
        <w:rPr>
          <w:i/>
          <w:color w:val="4472C4"/>
          <w:szCs w:val="20"/>
          <w:lang w:val="en-GB"/>
        </w:rPr>
        <w:t>and legislative framework</w:t>
      </w:r>
      <w:r w:rsidRPr="000D4277">
        <w:rPr>
          <w:i/>
          <w:color w:val="4472C4"/>
          <w:szCs w:val="20"/>
          <w:lang w:val="en-GB"/>
        </w:rPr>
        <w:t xml:space="preserve"> enables effective, </w:t>
      </w:r>
      <w:proofErr w:type="gramStart"/>
      <w:r w:rsidRPr="000D4277">
        <w:rPr>
          <w:i/>
          <w:color w:val="4472C4"/>
          <w:szCs w:val="20"/>
          <w:lang w:val="en-GB"/>
        </w:rPr>
        <w:t>efficient</w:t>
      </w:r>
      <w:proofErr w:type="gramEnd"/>
      <w:r w:rsidRPr="000D4277">
        <w:rPr>
          <w:i/>
          <w:color w:val="4472C4"/>
          <w:szCs w:val="20"/>
          <w:lang w:val="en-GB"/>
        </w:rPr>
        <w:t xml:space="preserve"> and collaborative management of the PONASI protected areas</w:t>
      </w:r>
    </w:p>
    <w:p w14:paraId="233D0208" w14:textId="753570DD" w:rsidR="00302BFE" w:rsidRPr="000D427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eastAsia="Cambria" w:hAnsi="Calibri"/>
          <w:sz w:val="20"/>
          <w:szCs w:val="20"/>
          <w:u w:val="single"/>
          <w:lang w:val="en-GB"/>
        </w:rPr>
        <w:t>Institutions in charge of PA management</w:t>
      </w:r>
      <w:r w:rsidRPr="000D4277">
        <w:rPr>
          <w:rFonts w:ascii="Calibri" w:hAnsi="Calibri"/>
          <w:sz w:val="20"/>
          <w:szCs w:val="20"/>
          <w:lang w:val="en-GB"/>
        </w:rPr>
        <w:t xml:space="preserve">. The three core PAs of the PONASI complex are under different institutions’ authority: DGEF, OFINAP and DREEVCC. A management unit is in place for the </w:t>
      </w:r>
      <w:proofErr w:type="spellStart"/>
      <w:r w:rsidRPr="000D4277">
        <w:rPr>
          <w:rFonts w:ascii="Calibri" w:hAnsi="Calibri"/>
          <w:sz w:val="20"/>
          <w:szCs w:val="20"/>
          <w:lang w:val="en-GB"/>
        </w:rPr>
        <w:t>Nazinga</w:t>
      </w:r>
      <w:proofErr w:type="spellEnd"/>
      <w:r w:rsidRPr="000D4277">
        <w:rPr>
          <w:rFonts w:ascii="Calibri" w:hAnsi="Calibri"/>
          <w:sz w:val="20"/>
          <w:szCs w:val="20"/>
          <w:lang w:val="en-GB"/>
        </w:rPr>
        <w:t xml:space="preserve"> GR but there is none for the </w:t>
      </w:r>
      <w:r w:rsidRPr="000D4277">
        <w:rPr>
          <w:rFonts w:ascii="Calibri" w:hAnsi="Calibri"/>
          <w:sz w:val="20"/>
          <w:szCs w:val="20"/>
          <w:lang w:val="en-CA"/>
        </w:rPr>
        <w:t>PNKT,</w:t>
      </w:r>
      <w:r w:rsidRPr="000D4277">
        <w:rPr>
          <w:rFonts w:ascii="Calibri" w:hAnsi="Calibri"/>
          <w:sz w:val="20"/>
          <w:szCs w:val="20"/>
          <w:lang w:val="en-GB"/>
        </w:rPr>
        <w:t xml:space="preserve"> the </w:t>
      </w:r>
      <w:proofErr w:type="spellStart"/>
      <w:r w:rsidRPr="000D4277">
        <w:rPr>
          <w:rFonts w:ascii="Calibri" w:hAnsi="Calibri"/>
          <w:sz w:val="20"/>
          <w:szCs w:val="20"/>
          <w:lang w:val="en-GB"/>
        </w:rPr>
        <w:t>Sissili</w:t>
      </w:r>
      <w:proofErr w:type="spellEnd"/>
      <w:r w:rsidRPr="000D4277">
        <w:rPr>
          <w:rFonts w:ascii="Calibri" w:hAnsi="Calibri"/>
          <w:sz w:val="20"/>
          <w:szCs w:val="20"/>
          <w:lang w:val="en-GB"/>
        </w:rPr>
        <w:t xml:space="preserve"> CF or the corridors. The project support will initially identify the optimal institutional arrangement for the management of PAs of the PONASI complex, and accordingly, support the implementation of these arrangements. The project will thus recruit an expert consultant in PA management support the facilitation of a workshop gathering relevant institutions and stakeholders involved in the management of PAs and their resources to identify the most effective and efficient institutional arrangement to ensure the management of the State protected areas (</w:t>
      </w:r>
      <w:proofErr w:type="spellStart"/>
      <w:r w:rsidRPr="000D4277">
        <w:rPr>
          <w:rFonts w:ascii="Calibri" w:hAnsi="Calibri"/>
          <w:sz w:val="20"/>
          <w:szCs w:val="20"/>
          <w:lang w:val="en-GB"/>
        </w:rPr>
        <w:t>Nazinga</w:t>
      </w:r>
      <w:proofErr w:type="spellEnd"/>
      <w:r w:rsidRPr="000D4277">
        <w:rPr>
          <w:rFonts w:ascii="Calibri" w:hAnsi="Calibri"/>
          <w:sz w:val="20"/>
          <w:szCs w:val="20"/>
          <w:lang w:val="en-GB"/>
        </w:rPr>
        <w:t xml:space="preserve">, </w:t>
      </w:r>
      <w:proofErr w:type="spellStart"/>
      <w:r w:rsidRPr="000D4277">
        <w:rPr>
          <w:rFonts w:ascii="Calibri" w:hAnsi="Calibri"/>
          <w:sz w:val="20"/>
          <w:szCs w:val="20"/>
          <w:lang w:val="en-GB"/>
        </w:rPr>
        <w:t>Sissili</w:t>
      </w:r>
      <w:proofErr w:type="spellEnd"/>
      <w:r w:rsidRPr="000D4277">
        <w:rPr>
          <w:rFonts w:ascii="Calibri" w:hAnsi="Calibri"/>
          <w:sz w:val="20"/>
          <w:szCs w:val="20"/>
          <w:lang w:val="en-GB"/>
        </w:rPr>
        <w:t xml:space="preserve">, PNKT) and of both corridors. </w:t>
      </w:r>
      <w:r w:rsidRPr="00E72276">
        <w:rPr>
          <w:rFonts w:ascii="Calibri" w:hAnsi="Calibri"/>
          <w:sz w:val="20"/>
          <w:szCs w:val="20"/>
          <w:lang w:val="en-GB"/>
        </w:rPr>
        <w:t>Options for the institutional arrangement would include maintaining the status quo or handing over the supervision of all PAs of the PONASI complex (</w:t>
      </w:r>
      <w:proofErr w:type="spellStart"/>
      <w:r w:rsidRPr="00E72276">
        <w:rPr>
          <w:rFonts w:ascii="Calibri" w:hAnsi="Calibri"/>
          <w:sz w:val="20"/>
          <w:szCs w:val="20"/>
          <w:lang w:val="en-GB"/>
        </w:rPr>
        <w:t>Nazinga</w:t>
      </w:r>
      <w:proofErr w:type="spellEnd"/>
      <w:r w:rsidRPr="00E72276">
        <w:rPr>
          <w:rFonts w:ascii="Calibri" w:hAnsi="Calibri"/>
          <w:sz w:val="20"/>
          <w:szCs w:val="20"/>
          <w:lang w:val="en-GB"/>
        </w:rPr>
        <w:t xml:space="preserve"> GR, </w:t>
      </w:r>
      <w:r w:rsidRPr="00E72276">
        <w:rPr>
          <w:rFonts w:ascii="Calibri" w:hAnsi="Calibri"/>
          <w:sz w:val="20"/>
          <w:szCs w:val="20"/>
          <w:lang w:val="en-CA"/>
        </w:rPr>
        <w:t>PNKT</w:t>
      </w:r>
      <w:r w:rsidRPr="00E72276">
        <w:rPr>
          <w:rFonts w:ascii="Calibri" w:hAnsi="Calibri"/>
          <w:sz w:val="20"/>
          <w:szCs w:val="20"/>
          <w:lang w:val="en-GB"/>
        </w:rPr>
        <w:t xml:space="preserve">, </w:t>
      </w:r>
      <w:proofErr w:type="spellStart"/>
      <w:r w:rsidRPr="00E72276">
        <w:rPr>
          <w:rFonts w:ascii="Calibri" w:hAnsi="Calibri"/>
          <w:sz w:val="20"/>
          <w:szCs w:val="20"/>
          <w:lang w:val="en-GB"/>
        </w:rPr>
        <w:t>Sissili</w:t>
      </w:r>
      <w:proofErr w:type="spellEnd"/>
      <w:r w:rsidRPr="00E72276">
        <w:rPr>
          <w:rFonts w:ascii="Calibri" w:hAnsi="Calibri"/>
          <w:sz w:val="20"/>
          <w:szCs w:val="20"/>
          <w:lang w:val="en-GB"/>
        </w:rPr>
        <w:t xml:space="preserve"> CF and corridors # 1 and # 2) to OFINAP. Options for site-level management may be to appoint conservators to oversee staff and operations for each of the main protected areas, </w:t>
      </w:r>
      <w:proofErr w:type="spellStart"/>
      <w:r w:rsidRPr="00E72276">
        <w:rPr>
          <w:rFonts w:ascii="Calibri" w:hAnsi="Calibri"/>
          <w:sz w:val="20"/>
          <w:szCs w:val="20"/>
          <w:lang w:val="en-GB"/>
        </w:rPr>
        <w:t>Nazinga</w:t>
      </w:r>
      <w:proofErr w:type="spellEnd"/>
      <w:r w:rsidRPr="00E72276">
        <w:rPr>
          <w:rFonts w:ascii="Calibri" w:hAnsi="Calibri"/>
          <w:sz w:val="20"/>
          <w:szCs w:val="20"/>
          <w:lang w:val="en-GB"/>
        </w:rPr>
        <w:t xml:space="preserve">, </w:t>
      </w:r>
      <w:proofErr w:type="spellStart"/>
      <w:r w:rsidRPr="00E72276">
        <w:rPr>
          <w:rFonts w:ascii="Calibri" w:hAnsi="Calibri"/>
          <w:sz w:val="20"/>
          <w:szCs w:val="20"/>
          <w:lang w:val="en-GB"/>
        </w:rPr>
        <w:t>Sissili</w:t>
      </w:r>
      <w:proofErr w:type="spellEnd"/>
      <w:r w:rsidRPr="00E72276">
        <w:rPr>
          <w:rFonts w:ascii="Calibri" w:hAnsi="Calibri"/>
          <w:sz w:val="20"/>
          <w:szCs w:val="20"/>
          <w:lang w:val="en-GB"/>
        </w:rPr>
        <w:t xml:space="preserve"> and </w:t>
      </w:r>
      <w:r w:rsidRPr="00E72276">
        <w:rPr>
          <w:rFonts w:ascii="Calibri" w:hAnsi="Calibri"/>
          <w:sz w:val="20"/>
          <w:szCs w:val="20"/>
          <w:lang w:val="en-CA"/>
        </w:rPr>
        <w:t>PNKT</w:t>
      </w:r>
      <w:r w:rsidRPr="00E72276">
        <w:rPr>
          <w:rFonts w:ascii="Calibri" w:hAnsi="Calibri"/>
          <w:sz w:val="20"/>
          <w:szCs w:val="20"/>
          <w:lang w:val="en-GB"/>
        </w:rPr>
        <w:t>, which would at the same time manage corridors # 1 and # 2, or to appoint a single Conservator for all protected areas, including corridors, to coordinate technical teams based on individual sites, and</w:t>
      </w:r>
      <w:r w:rsidRPr="00E72276">
        <w:rPr>
          <w:rFonts w:ascii="Calibri" w:eastAsia="Cambria" w:hAnsi="Calibri"/>
          <w:sz w:val="20"/>
          <w:szCs w:val="20"/>
          <w:lang w:val="en-GB"/>
        </w:rPr>
        <w:t xml:space="preserve"> lead the implementation of the business plan for the PAs of the PONASI complex. </w:t>
      </w:r>
      <w:r w:rsidRPr="00E72276">
        <w:rPr>
          <w:rFonts w:ascii="Calibri" w:hAnsi="Calibri"/>
          <w:sz w:val="20"/>
          <w:szCs w:val="20"/>
          <w:lang w:val="en-GB"/>
        </w:rPr>
        <w:t xml:space="preserve">This second option would facilitate the harmonization of the monitoring and management of animal populations that move within the PONASI landscape, from one protected area to another, including corridors, while allowing a more efficient sharing of human, technical and material resources according to the needs of each site, including a common information system. Depending on the selected optimal scenario, the project will support either the establishment of new management units for the </w:t>
      </w:r>
      <w:r w:rsidRPr="00E72276">
        <w:rPr>
          <w:rFonts w:ascii="Calibri" w:hAnsi="Calibri"/>
          <w:sz w:val="20"/>
          <w:szCs w:val="20"/>
          <w:lang w:val="en-CA"/>
        </w:rPr>
        <w:t>PNKT</w:t>
      </w:r>
      <w:r w:rsidRPr="00E72276">
        <w:rPr>
          <w:rFonts w:ascii="Calibri" w:hAnsi="Calibri"/>
          <w:sz w:val="20"/>
          <w:szCs w:val="20"/>
          <w:lang w:val="en-GB"/>
        </w:rPr>
        <w:t xml:space="preserve"> and the </w:t>
      </w:r>
      <w:proofErr w:type="spellStart"/>
      <w:r w:rsidRPr="00E72276">
        <w:rPr>
          <w:rFonts w:ascii="Calibri" w:hAnsi="Calibri"/>
          <w:sz w:val="20"/>
          <w:szCs w:val="20"/>
          <w:lang w:val="en-GB"/>
        </w:rPr>
        <w:t>Sissili</w:t>
      </w:r>
      <w:proofErr w:type="spellEnd"/>
      <w:r w:rsidRPr="00E72276">
        <w:rPr>
          <w:rFonts w:ascii="Calibri" w:hAnsi="Calibri"/>
          <w:sz w:val="20"/>
          <w:szCs w:val="20"/>
          <w:lang w:val="en-GB"/>
        </w:rPr>
        <w:t xml:space="preserve"> CF, or the revision of the status of the </w:t>
      </w:r>
      <w:proofErr w:type="spellStart"/>
      <w:r w:rsidRPr="00E72276">
        <w:rPr>
          <w:rFonts w:ascii="Calibri" w:hAnsi="Calibri"/>
          <w:sz w:val="20"/>
          <w:szCs w:val="20"/>
          <w:lang w:val="en-GB"/>
        </w:rPr>
        <w:t>Nazinga</w:t>
      </w:r>
      <w:proofErr w:type="spellEnd"/>
      <w:r w:rsidRPr="00E72276">
        <w:rPr>
          <w:rFonts w:ascii="Calibri" w:hAnsi="Calibri"/>
          <w:sz w:val="20"/>
          <w:szCs w:val="20"/>
          <w:lang w:val="en-GB"/>
        </w:rPr>
        <w:t xml:space="preserve"> Management Unit and the responsible institution, OFINAP, to oversee all sites. </w:t>
      </w:r>
      <w:r w:rsidR="0053434B" w:rsidRPr="00E72276">
        <w:rPr>
          <w:rFonts w:ascii="Calibri" w:hAnsi="Calibri"/>
          <w:sz w:val="20"/>
          <w:szCs w:val="20"/>
          <w:lang w:val="en-GB"/>
        </w:rPr>
        <w:t xml:space="preserve">A legal consultant will review the statutes of the institutions to verify the legal feasibility of entrusting the management of all PAs of the PONASI complex to OFINAP. </w:t>
      </w:r>
      <w:r w:rsidRPr="00E72276">
        <w:rPr>
          <w:rFonts w:ascii="Calibri" w:hAnsi="Calibri"/>
          <w:sz w:val="20"/>
          <w:szCs w:val="20"/>
          <w:lang w:val="en-GB"/>
        </w:rPr>
        <w:t xml:space="preserve">The project will also support advocacy with </w:t>
      </w:r>
      <w:r w:rsidRPr="00A815EA">
        <w:rPr>
          <w:rFonts w:ascii="Calibri" w:hAnsi="Calibri"/>
          <w:sz w:val="20"/>
          <w:szCs w:val="20"/>
          <w:lang w:val="en-GB"/>
        </w:rPr>
        <w:t>the ME</w:t>
      </w:r>
      <w:r w:rsidR="00C3693C" w:rsidRPr="00A815EA">
        <w:rPr>
          <w:rFonts w:ascii="Calibri" w:hAnsi="Calibri"/>
          <w:sz w:val="20"/>
          <w:szCs w:val="20"/>
          <w:lang w:val="en-GB"/>
        </w:rPr>
        <w:t>EA</w:t>
      </w:r>
      <w:r w:rsidRPr="00A815EA">
        <w:rPr>
          <w:rFonts w:ascii="Calibri" w:hAnsi="Calibri"/>
          <w:sz w:val="20"/>
          <w:szCs w:val="20"/>
          <w:lang w:val="en-GB"/>
        </w:rPr>
        <w:t xml:space="preserve"> authorities</w:t>
      </w:r>
      <w:r w:rsidRPr="00E72276">
        <w:rPr>
          <w:rFonts w:ascii="Calibri" w:hAnsi="Calibri"/>
          <w:sz w:val="20"/>
          <w:szCs w:val="20"/>
          <w:lang w:val="en-GB"/>
        </w:rPr>
        <w:t xml:space="preserve"> for the assignment of additional staff as needed to ensure adequate surveillance of PAs and update of biodiversity monitoring and surveillance databases.</w:t>
      </w:r>
      <w:r w:rsidRPr="000D4277">
        <w:rPr>
          <w:rFonts w:ascii="Calibri" w:hAnsi="Calibri"/>
          <w:sz w:val="20"/>
          <w:szCs w:val="20"/>
          <w:lang w:val="en-GB"/>
        </w:rPr>
        <w:t xml:space="preserve"> The valuation of ecosystem goods and services within the PONASI PA complex and surrounding landscape carried out as part of the activities under output 1.2.1 will provide the necessary arguments to support this advocacy. </w:t>
      </w:r>
    </w:p>
    <w:p w14:paraId="7683AB8B" w14:textId="77777777" w:rsidR="00302BFE" w:rsidRPr="000D427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eastAsia="Cambria" w:hAnsi="Calibri"/>
          <w:sz w:val="20"/>
          <w:szCs w:val="20"/>
          <w:u w:val="single"/>
          <w:lang w:val="en-GB"/>
        </w:rPr>
        <w:t>Collaborative management framework</w:t>
      </w:r>
      <w:r w:rsidRPr="000D4277">
        <w:rPr>
          <w:rFonts w:ascii="Calibri" w:hAnsi="Calibri"/>
          <w:sz w:val="20"/>
          <w:szCs w:val="20"/>
          <w:lang w:val="en-GB"/>
        </w:rPr>
        <w:t xml:space="preserve">. Although the strategic documents advocate greater involvement of local communities and a fairer sharing of the benefits of PAs, the various evaluations are unanimous in noting that local communities do not benefit significantly from PAs. Therefore, the project will support the operationalization of collaborative management involving communities neighbouring protected areas and will support, as needed, the revision of the statutes of the institutions in charge of PAs (OFINAP, DGEF and DREEVCC) to </w:t>
      </w:r>
      <w:proofErr w:type="gramStart"/>
      <w:r w:rsidRPr="000D4277">
        <w:rPr>
          <w:rFonts w:ascii="Calibri" w:hAnsi="Calibri"/>
          <w:sz w:val="20"/>
          <w:szCs w:val="20"/>
          <w:lang w:val="en-GB"/>
        </w:rPr>
        <w:t>take into account</w:t>
      </w:r>
      <w:proofErr w:type="gramEnd"/>
      <w:r w:rsidRPr="000D4277">
        <w:rPr>
          <w:rFonts w:ascii="Calibri" w:hAnsi="Calibri"/>
          <w:sz w:val="20"/>
          <w:szCs w:val="20"/>
          <w:lang w:val="en-GB"/>
        </w:rPr>
        <w:t xml:space="preserve"> the collaborative management of PAs. </w:t>
      </w:r>
      <w:r w:rsidR="0053434B" w:rsidRPr="000D4277">
        <w:rPr>
          <w:rFonts w:ascii="Calibri" w:hAnsi="Calibri"/>
          <w:sz w:val="20"/>
          <w:szCs w:val="20"/>
          <w:lang w:val="en-GB"/>
        </w:rPr>
        <w:t xml:space="preserve">A legal consultant will examine the statutes of the institutions in charge of PAs to </w:t>
      </w:r>
      <w:r w:rsidR="00772ECA" w:rsidRPr="000D4277">
        <w:rPr>
          <w:rFonts w:ascii="Calibri" w:hAnsi="Calibri"/>
          <w:sz w:val="20"/>
          <w:szCs w:val="20"/>
          <w:lang w:val="en-GB"/>
        </w:rPr>
        <w:t>verify whether</w:t>
      </w:r>
      <w:r w:rsidR="00F44B50" w:rsidRPr="000D4277">
        <w:rPr>
          <w:rFonts w:ascii="Calibri" w:hAnsi="Calibri"/>
          <w:sz w:val="20"/>
          <w:szCs w:val="20"/>
          <w:lang w:val="en-GB"/>
        </w:rPr>
        <w:t xml:space="preserve"> </w:t>
      </w:r>
      <w:r w:rsidR="00A3008F" w:rsidRPr="000D4277">
        <w:rPr>
          <w:rFonts w:ascii="Calibri" w:hAnsi="Calibri"/>
          <w:sz w:val="20"/>
          <w:szCs w:val="20"/>
          <w:lang w:val="en-GB"/>
        </w:rPr>
        <w:t xml:space="preserve">legislative </w:t>
      </w:r>
      <w:r w:rsidR="00772ECA" w:rsidRPr="000D4277">
        <w:rPr>
          <w:rFonts w:ascii="Calibri" w:hAnsi="Calibri"/>
          <w:sz w:val="20"/>
          <w:szCs w:val="20"/>
          <w:lang w:val="en-GB"/>
        </w:rPr>
        <w:t xml:space="preserve">constraints </w:t>
      </w:r>
      <w:r w:rsidR="00A3008F" w:rsidRPr="000D4277">
        <w:rPr>
          <w:rFonts w:ascii="Calibri" w:hAnsi="Calibri"/>
          <w:sz w:val="20"/>
          <w:szCs w:val="20"/>
          <w:lang w:val="en-GB"/>
        </w:rPr>
        <w:t xml:space="preserve">exist </w:t>
      </w:r>
      <w:r w:rsidR="00772ECA" w:rsidRPr="000D4277">
        <w:rPr>
          <w:rFonts w:ascii="Calibri" w:hAnsi="Calibri"/>
          <w:sz w:val="20"/>
          <w:szCs w:val="20"/>
          <w:lang w:val="en-GB"/>
        </w:rPr>
        <w:t>that would limit the</w:t>
      </w:r>
      <w:r w:rsidR="00F44B50" w:rsidRPr="000D4277">
        <w:rPr>
          <w:rFonts w:ascii="Calibri" w:hAnsi="Calibri"/>
          <w:sz w:val="20"/>
          <w:szCs w:val="20"/>
          <w:lang w:val="en-GB"/>
        </w:rPr>
        <w:t xml:space="preserve"> collaborati</w:t>
      </w:r>
      <w:r w:rsidR="00772ECA" w:rsidRPr="000D4277">
        <w:rPr>
          <w:rFonts w:ascii="Calibri" w:hAnsi="Calibri"/>
          <w:sz w:val="20"/>
          <w:szCs w:val="20"/>
          <w:lang w:val="en-GB"/>
        </w:rPr>
        <w:t>on of</w:t>
      </w:r>
      <w:r w:rsidR="00F44B50" w:rsidRPr="000D4277">
        <w:rPr>
          <w:rFonts w:ascii="Calibri" w:hAnsi="Calibri"/>
          <w:sz w:val="20"/>
          <w:szCs w:val="20"/>
          <w:lang w:val="en-GB"/>
        </w:rPr>
        <w:t xml:space="preserve"> </w:t>
      </w:r>
      <w:r w:rsidR="00A3008F" w:rsidRPr="000D4277">
        <w:rPr>
          <w:rFonts w:ascii="Calibri" w:hAnsi="Calibri"/>
          <w:sz w:val="20"/>
          <w:szCs w:val="20"/>
          <w:lang w:val="en-GB"/>
        </w:rPr>
        <w:t xml:space="preserve">neighbouring </w:t>
      </w:r>
      <w:r w:rsidR="00772ECA" w:rsidRPr="000D4277">
        <w:rPr>
          <w:rFonts w:ascii="Calibri" w:hAnsi="Calibri"/>
          <w:sz w:val="20"/>
          <w:szCs w:val="20"/>
          <w:lang w:val="en-GB"/>
        </w:rPr>
        <w:t xml:space="preserve">communities in the </w:t>
      </w:r>
      <w:r w:rsidR="00F44B50" w:rsidRPr="000D4277">
        <w:rPr>
          <w:rFonts w:ascii="Calibri" w:hAnsi="Calibri"/>
          <w:sz w:val="20"/>
          <w:szCs w:val="20"/>
          <w:lang w:val="en-GB"/>
        </w:rPr>
        <w:t>management of PAs</w:t>
      </w:r>
      <w:r w:rsidR="00A3008F" w:rsidRPr="000D4277">
        <w:rPr>
          <w:rFonts w:ascii="Calibri" w:hAnsi="Calibri"/>
          <w:sz w:val="20"/>
          <w:szCs w:val="20"/>
          <w:lang w:val="en-GB"/>
        </w:rPr>
        <w:t>, and where appropriate, make recommendations to remove these constraints</w:t>
      </w:r>
      <w:r w:rsidR="00F44B50" w:rsidRPr="000D4277">
        <w:rPr>
          <w:rFonts w:ascii="Calibri" w:hAnsi="Calibri"/>
          <w:sz w:val="20"/>
          <w:szCs w:val="20"/>
          <w:lang w:val="en-GB"/>
        </w:rPr>
        <w:t>.</w:t>
      </w:r>
    </w:p>
    <w:p w14:paraId="3458EE01" w14:textId="77777777" w:rsidR="00302BFE" w:rsidRPr="000D427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eastAsia="Cambria" w:hAnsi="Calibri"/>
          <w:sz w:val="20"/>
          <w:szCs w:val="20"/>
          <w:u w:val="single"/>
          <w:lang w:val="en-GB"/>
        </w:rPr>
        <w:t>PA Collaborative Management Committees</w:t>
      </w:r>
      <w:r w:rsidRPr="000D4277">
        <w:rPr>
          <w:rFonts w:ascii="Calibri" w:hAnsi="Calibri"/>
          <w:sz w:val="20"/>
          <w:szCs w:val="20"/>
          <w:lang w:val="en-GB"/>
        </w:rPr>
        <w:t xml:space="preserve">. The project will also support the establishment of collaborative PA management committees for each site, to allow consultation between the traditional authorities, the </w:t>
      </w:r>
      <w:proofErr w:type="gramStart"/>
      <w:r w:rsidRPr="000D4277">
        <w:rPr>
          <w:rFonts w:ascii="Calibri" w:hAnsi="Calibri"/>
          <w:sz w:val="20"/>
          <w:szCs w:val="20"/>
          <w:lang w:val="en-GB"/>
        </w:rPr>
        <w:t>CVDs</w:t>
      </w:r>
      <w:proofErr w:type="gramEnd"/>
      <w:r w:rsidRPr="000D4277">
        <w:rPr>
          <w:rFonts w:ascii="Calibri" w:hAnsi="Calibri"/>
          <w:sz w:val="20"/>
          <w:szCs w:val="20"/>
          <w:lang w:val="en-GB"/>
        </w:rPr>
        <w:t xml:space="preserve"> and the PA managers. The project will work with the structures established by previous projects such as the local committees in the </w:t>
      </w:r>
      <w:r w:rsidRPr="000D4277">
        <w:rPr>
          <w:rFonts w:ascii="Calibri" w:hAnsi="Calibri"/>
          <w:sz w:val="20"/>
          <w:szCs w:val="20"/>
          <w:lang w:val="en-CA"/>
        </w:rPr>
        <w:t>PNKT</w:t>
      </w:r>
      <w:r w:rsidRPr="000D4277">
        <w:rPr>
          <w:rFonts w:ascii="Calibri" w:hAnsi="Calibri"/>
          <w:sz w:val="20"/>
          <w:szCs w:val="20"/>
          <w:lang w:val="en-GB"/>
        </w:rPr>
        <w:t xml:space="preserve"> villages supported by </w:t>
      </w:r>
      <w:proofErr w:type="spellStart"/>
      <w:r w:rsidRPr="000D4277">
        <w:rPr>
          <w:rFonts w:ascii="Calibri" w:hAnsi="Calibri"/>
          <w:sz w:val="20"/>
          <w:szCs w:val="20"/>
          <w:lang w:val="en-GB"/>
        </w:rPr>
        <w:t>Naturama</w:t>
      </w:r>
      <w:proofErr w:type="spellEnd"/>
      <w:r w:rsidRPr="000D4277">
        <w:rPr>
          <w:rFonts w:ascii="Calibri" w:hAnsi="Calibri"/>
          <w:sz w:val="20"/>
          <w:szCs w:val="20"/>
          <w:lang w:val="en-GB"/>
        </w:rPr>
        <w:t xml:space="preserve">, with the village development associations, and the Wildlife Management Committees for community PAs, ZOVICs. The role and composition of the existing structures will be re-evaluated according to clearly defined criteria to ensure that the required profiles are present within these groups to revitalize community members’ motivation and mobilization, to solicit the support of partners to implement their sustainable development plan, and to advocate the conservation values of biodiversity. </w:t>
      </w:r>
      <w:r w:rsidR="00F44B50" w:rsidRPr="000D4277">
        <w:rPr>
          <w:rFonts w:ascii="Calibri" w:hAnsi="Calibri"/>
          <w:sz w:val="20"/>
          <w:szCs w:val="20"/>
          <w:lang w:val="en-GB"/>
        </w:rPr>
        <w:t>A community mobilization specialist recruited by the</w:t>
      </w:r>
      <w:r w:rsidRPr="000D4277">
        <w:rPr>
          <w:rFonts w:ascii="Calibri" w:hAnsi="Calibri"/>
          <w:sz w:val="20"/>
          <w:szCs w:val="20"/>
          <w:lang w:val="en-GB"/>
        </w:rPr>
        <w:t xml:space="preserve"> project will support consultation meetings with these structures and influential community members to assess their composition and capacities, identify necessary changes and support capacity building.</w:t>
      </w:r>
    </w:p>
    <w:p w14:paraId="52AF759A" w14:textId="523E03C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Cambria" w:hAnsi="Calibri"/>
          <w:sz w:val="20"/>
          <w:szCs w:val="20"/>
          <w:u w:val="single"/>
          <w:lang w:val="en-GB"/>
        </w:rPr>
        <w:lastRenderedPageBreak/>
        <w:t>Forum of consultation of committees and other stakeholders of PAs, ZOVICs and corridors within the PONASI landscape</w:t>
      </w:r>
      <w:r w:rsidRPr="005F3825">
        <w:rPr>
          <w:rFonts w:ascii="Calibri" w:eastAsia="Cambria" w:hAnsi="Calibri"/>
          <w:sz w:val="20"/>
          <w:szCs w:val="20"/>
          <w:lang w:val="en-GB"/>
        </w:rPr>
        <w:t xml:space="preserve">. A PA Consultative Forum will be established to ensure the harmonization of management plans at the site level, the monitoring of their implementation and evaluation of their effects, and participation in the co-governance mechanism of the landscape. This forum will meet annually to discuss the planning and implementation of PA management plans and assess their effects. The PA Conservator(s) will chair these discussions, with the support of the Community Mobilization Officer. This consultation forum will bring together representatives of managers of PAs, ZOVICs, private concessionaires, representatives of resource user groups, local authorities and technical services of Water and Forestry department. As a first step, the project will support the logistical and technical organization of these meetings to ensure the compliance with the procedures and the regularity of the </w:t>
      </w:r>
      <w:r w:rsidR="00B1378C">
        <w:rPr>
          <w:rFonts w:ascii="Calibri" w:eastAsia="Cambria" w:hAnsi="Calibri"/>
          <w:sz w:val="20"/>
          <w:szCs w:val="20"/>
          <w:lang w:val="en-GB"/>
        </w:rPr>
        <w:t>monitoring</w:t>
      </w:r>
      <w:r w:rsidRPr="005F3825">
        <w:rPr>
          <w:rFonts w:ascii="Calibri" w:eastAsia="Cambria" w:hAnsi="Calibri"/>
          <w:sz w:val="20"/>
          <w:szCs w:val="20"/>
          <w:lang w:val="en-GB"/>
        </w:rPr>
        <w:t xml:space="preserve">. GEF funding and project support </w:t>
      </w:r>
      <w:r w:rsidRPr="00D61C93">
        <w:rPr>
          <w:rFonts w:ascii="Calibri" w:eastAsia="Cambria" w:hAnsi="Calibri"/>
          <w:sz w:val="20"/>
          <w:szCs w:val="20"/>
          <w:lang w:val="en-GB"/>
        </w:rPr>
        <w:t>will gradually decrease as PA governance structures develop capacity and autonomy and are better funded.</w:t>
      </w:r>
    </w:p>
    <w:p w14:paraId="303F7B99" w14:textId="3B4B30FC" w:rsidR="00302BFE" w:rsidRDefault="00302BFE" w:rsidP="00302BFE">
      <w:pPr>
        <w:spacing w:before="120" w:after="120"/>
        <w:rPr>
          <w:i/>
          <w:color w:val="4472C4"/>
          <w:szCs w:val="20"/>
          <w:lang w:val="en-GB"/>
        </w:rPr>
      </w:pPr>
      <w:r w:rsidRPr="00D61C93">
        <w:rPr>
          <w:i/>
          <w:color w:val="4472C4"/>
          <w:szCs w:val="20"/>
          <w:lang w:val="en-GB"/>
        </w:rPr>
        <w:t xml:space="preserve">2.1.2 An information system for monitoring, analysis, </w:t>
      </w:r>
      <w:proofErr w:type="gramStart"/>
      <w:r w:rsidRPr="00D61C93">
        <w:rPr>
          <w:i/>
          <w:color w:val="4472C4"/>
          <w:szCs w:val="20"/>
          <w:lang w:val="en-GB"/>
        </w:rPr>
        <w:t>mapping</w:t>
      </w:r>
      <w:proofErr w:type="gramEnd"/>
      <w:r w:rsidRPr="00D61C93">
        <w:rPr>
          <w:i/>
          <w:color w:val="4472C4"/>
          <w:szCs w:val="20"/>
          <w:lang w:val="en-GB"/>
        </w:rPr>
        <w:t xml:space="preserve"> and dissemination of knowledge is implemented and allows adaptive management of protected areas at the scale of the PONASI complex and for individual sites</w:t>
      </w:r>
    </w:p>
    <w:p w14:paraId="4EA2F4A9" w14:textId="39D4A6B0" w:rsidR="001F23E3" w:rsidRPr="00BE65D5" w:rsidRDefault="001F23E3" w:rsidP="00302BFE">
      <w:pPr>
        <w:spacing w:before="120" w:after="120"/>
        <w:rPr>
          <w:iCs/>
          <w:color w:val="4472C4"/>
          <w:szCs w:val="20"/>
          <w:lang w:val="en-GB"/>
        </w:rPr>
      </w:pPr>
      <w:r w:rsidRPr="00A815EA">
        <w:rPr>
          <w:iCs/>
          <w:color w:val="4472C4"/>
          <w:szCs w:val="20"/>
          <w:lang w:val="en-GB"/>
        </w:rPr>
        <w:t xml:space="preserve">For this activity, the FPIC (Free, Prior and Informed Consent) process </w:t>
      </w:r>
      <w:proofErr w:type="gramStart"/>
      <w:r w:rsidRPr="00A815EA">
        <w:rPr>
          <w:iCs/>
          <w:color w:val="4472C4"/>
          <w:szCs w:val="20"/>
          <w:lang w:val="en-GB"/>
        </w:rPr>
        <w:t>has to</w:t>
      </w:r>
      <w:proofErr w:type="gramEnd"/>
      <w:r w:rsidRPr="00A815EA">
        <w:rPr>
          <w:iCs/>
          <w:color w:val="4472C4"/>
          <w:szCs w:val="20"/>
          <w:lang w:val="en-GB"/>
        </w:rPr>
        <w:t xml:space="preserve"> be ensured</w:t>
      </w:r>
    </w:p>
    <w:p w14:paraId="0E757094" w14:textId="1B2DB3ED" w:rsidR="00302BFE" w:rsidRPr="00D61C93" w:rsidRDefault="00302BFE" w:rsidP="00C46720">
      <w:pPr>
        <w:pStyle w:val="Paragraphedeliste"/>
        <w:numPr>
          <w:ilvl w:val="0"/>
          <w:numId w:val="14"/>
        </w:numPr>
        <w:tabs>
          <w:tab w:val="left" w:pos="284"/>
        </w:tabs>
        <w:spacing w:before="120" w:after="120"/>
        <w:ind w:left="0" w:firstLine="0"/>
        <w:jc w:val="both"/>
        <w:rPr>
          <w:rFonts w:asciiTheme="minorHAnsi" w:hAnsiTheme="minorHAnsi"/>
          <w:sz w:val="20"/>
          <w:szCs w:val="20"/>
          <w:lang w:val="en-GB"/>
        </w:rPr>
      </w:pPr>
      <w:r w:rsidRPr="00D61C93">
        <w:rPr>
          <w:rFonts w:asciiTheme="minorHAnsi" w:hAnsiTheme="minorHAnsi"/>
          <w:sz w:val="20"/>
          <w:szCs w:val="20"/>
          <w:lang w:val="en-GB"/>
        </w:rPr>
        <w:t xml:space="preserve">The project will support the establishment of a GIS office dedicated to PONASI PAs, the constitution of databases and their access through a website </w:t>
      </w:r>
      <w:proofErr w:type="gramStart"/>
      <w:r w:rsidRPr="00D61C93">
        <w:rPr>
          <w:rFonts w:asciiTheme="minorHAnsi" w:hAnsiTheme="minorHAnsi"/>
          <w:sz w:val="20"/>
          <w:szCs w:val="20"/>
          <w:lang w:val="en-GB"/>
        </w:rPr>
        <w:t>in order to</w:t>
      </w:r>
      <w:proofErr w:type="gramEnd"/>
      <w:r w:rsidRPr="00D61C93">
        <w:rPr>
          <w:rFonts w:asciiTheme="minorHAnsi" w:hAnsiTheme="minorHAnsi"/>
          <w:sz w:val="20"/>
          <w:szCs w:val="20"/>
          <w:lang w:val="en-GB"/>
        </w:rPr>
        <w:t xml:space="preserve"> make essential information accessible to PA managers and the public</w:t>
      </w:r>
      <w:r w:rsidR="00E72276" w:rsidRPr="00D61C93">
        <w:rPr>
          <w:rFonts w:asciiTheme="minorHAnsi" w:hAnsiTheme="minorHAnsi"/>
          <w:sz w:val="20"/>
          <w:szCs w:val="20"/>
          <w:lang w:val="en-GB"/>
        </w:rPr>
        <w:t xml:space="preserve">. </w:t>
      </w:r>
      <w:r w:rsidR="00477C55" w:rsidRPr="00D61C93">
        <w:rPr>
          <w:rFonts w:asciiTheme="minorHAnsi" w:hAnsiTheme="minorHAnsi"/>
          <w:sz w:val="20"/>
          <w:szCs w:val="20"/>
          <w:lang w:val="en-GB"/>
        </w:rPr>
        <w:t>Ecological m</w:t>
      </w:r>
      <w:proofErr w:type="spellStart"/>
      <w:r w:rsidR="00E72276" w:rsidRPr="00D61C93">
        <w:rPr>
          <w:rFonts w:asciiTheme="minorHAnsi" w:hAnsiTheme="minorHAnsi"/>
          <w:sz w:val="20"/>
          <w:szCs w:val="20"/>
        </w:rPr>
        <w:t>onitoring</w:t>
      </w:r>
      <w:proofErr w:type="spellEnd"/>
      <w:r w:rsidR="00E72276" w:rsidRPr="00D61C93">
        <w:rPr>
          <w:rFonts w:asciiTheme="minorHAnsi" w:hAnsiTheme="minorHAnsi"/>
          <w:sz w:val="20"/>
          <w:szCs w:val="20"/>
        </w:rPr>
        <w:t xml:space="preserve"> will be conducted under the supervision of the </w:t>
      </w:r>
      <w:r w:rsidR="00E72276" w:rsidRPr="00D61C93">
        <w:rPr>
          <w:rFonts w:ascii="Calibri" w:hAnsi="Calibri"/>
          <w:sz w:val="20"/>
          <w:szCs w:val="20"/>
          <w:lang w:val="en-CA"/>
        </w:rPr>
        <w:t xml:space="preserve">Department of Planning and Ecological Monitoring of the DFRC </w:t>
      </w:r>
      <w:r w:rsidR="00477C55" w:rsidRPr="00D61C93">
        <w:rPr>
          <w:rFonts w:ascii="Calibri" w:hAnsi="Calibri"/>
          <w:sz w:val="20"/>
          <w:szCs w:val="20"/>
          <w:lang w:val="en-CA"/>
        </w:rPr>
        <w:t xml:space="preserve">supported in the field by seven (7) forest stations and brigades </w:t>
      </w:r>
      <w:r w:rsidR="001B7D4D" w:rsidRPr="00D61C93">
        <w:rPr>
          <w:rFonts w:ascii="Calibri" w:hAnsi="Calibri"/>
          <w:sz w:val="20"/>
          <w:szCs w:val="20"/>
          <w:lang w:val="en-CA"/>
        </w:rPr>
        <w:t>dedicated</w:t>
      </w:r>
      <w:r w:rsidR="00477C55" w:rsidRPr="00D61C93">
        <w:rPr>
          <w:rFonts w:ascii="Calibri" w:hAnsi="Calibri"/>
          <w:sz w:val="20"/>
          <w:szCs w:val="20"/>
          <w:lang w:val="en-CA"/>
        </w:rPr>
        <w:t xml:space="preserve"> to PAs (4 for the RGN and 3 for the PNKT) with respectively 10 (RGN) and 11 (PNKT) forest agents</w:t>
      </w:r>
      <w:r w:rsidRPr="00D61C93">
        <w:rPr>
          <w:rFonts w:asciiTheme="minorHAnsi" w:hAnsiTheme="minorHAnsi"/>
          <w:sz w:val="20"/>
          <w:szCs w:val="20"/>
          <w:lang w:val="en-GB"/>
        </w:rPr>
        <w:t>:</w:t>
      </w:r>
    </w:p>
    <w:p w14:paraId="4A6CA8FE"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sz w:val="20"/>
          <w:lang w:val="en-GB"/>
        </w:rPr>
      </w:pPr>
      <w:r w:rsidRPr="00D61C93">
        <w:rPr>
          <w:rFonts w:ascii="Calibri" w:eastAsia="Cambria" w:hAnsi="Calibri"/>
          <w:sz w:val="20"/>
          <w:szCs w:val="20"/>
          <w:u w:val="single"/>
          <w:lang w:val="en-GB"/>
        </w:rPr>
        <w:t>A GIS-office for the PA complex is set up and operational</w:t>
      </w:r>
      <w:r w:rsidRPr="00D61C93">
        <w:rPr>
          <w:rFonts w:ascii="Calibri" w:hAnsi="Calibri"/>
          <w:i/>
          <w:iCs/>
          <w:color w:val="4472C4"/>
          <w:sz w:val="20"/>
          <w:lang w:val="en-GB"/>
        </w:rPr>
        <w:t xml:space="preserve">. </w:t>
      </w:r>
      <w:r w:rsidRPr="00D61C93">
        <w:rPr>
          <w:rFonts w:ascii="Calibri" w:hAnsi="Calibri"/>
          <w:sz w:val="20"/>
          <w:lang w:val="en-GB"/>
        </w:rPr>
        <w:t xml:space="preserve">A new GIS service entirely dedicated to the PA system will be put in place and </w:t>
      </w:r>
      <w:r w:rsidR="00A3008F" w:rsidRPr="00D61C93">
        <w:rPr>
          <w:rFonts w:ascii="Calibri" w:hAnsi="Calibri"/>
          <w:sz w:val="20"/>
          <w:lang w:val="en-GB"/>
        </w:rPr>
        <w:t xml:space="preserve">equipment will be procured for PA offices and for the institution in charge of the PAs of the PONASI (to cover the needs of 3 PAs, 2 corridors and 11 ZOVICs). This </w:t>
      </w:r>
      <w:r w:rsidRPr="00D61C93">
        <w:rPr>
          <w:rFonts w:ascii="Calibri" w:hAnsi="Calibri"/>
          <w:sz w:val="20"/>
          <w:lang w:val="en-GB"/>
        </w:rPr>
        <w:t>will involve:</w:t>
      </w:r>
    </w:p>
    <w:p w14:paraId="459C0033" w14:textId="73F917EC" w:rsidR="00302BFE" w:rsidRPr="00D61C93" w:rsidRDefault="00A3008F" w:rsidP="00C46720">
      <w:pPr>
        <w:numPr>
          <w:ilvl w:val="0"/>
          <w:numId w:val="20"/>
        </w:numPr>
        <w:adjustRightInd w:val="0"/>
        <w:spacing w:before="60"/>
        <w:rPr>
          <w:lang w:val="en-GB"/>
        </w:rPr>
      </w:pPr>
      <w:r w:rsidRPr="00D61C93">
        <w:rPr>
          <w:u w:val="single"/>
          <w:lang w:val="en-GB"/>
        </w:rPr>
        <w:t>The a</w:t>
      </w:r>
      <w:r w:rsidR="00302BFE" w:rsidRPr="00D61C93">
        <w:rPr>
          <w:u w:val="single"/>
          <w:lang w:val="en-GB"/>
        </w:rPr>
        <w:t xml:space="preserve">cquisition of hardware and software needed for </w:t>
      </w:r>
      <w:r w:rsidR="004A25B2" w:rsidRPr="00D61C93">
        <w:rPr>
          <w:u w:val="single"/>
          <w:lang w:val="en-GB"/>
        </w:rPr>
        <w:t xml:space="preserve">georeferenced </w:t>
      </w:r>
      <w:r w:rsidR="00302BFE" w:rsidRPr="00D61C93">
        <w:rPr>
          <w:u w:val="single"/>
          <w:lang w:val="en-GB"/>
        </w:rPr>
        <w:t xml:space="preserve">data collection and data </w:t>
      </w:r>
      <w:r w:rsidRPr="00D61C93">
        <w:rPr>
          <w:u w:val="single"/>
          <w:lang w:val="en-GB"/>
        </w:rPr>
        <w:t>capture, processing and reporting</w:t>
      </w:r>
      <w:r w:rsidR="00302BFE" w:rsidRPr="00D61C93">
        <w:rPr>
          <w:lang w:val="en-GB"/>
        </w:rPr>
        <w:t xml:space="preserve">, a database management system, a graphical user interface for easy use, and query, </w:t>
      </w:r>
      <w:proofErr w:type="gramStart"/>
      <w:r w:rsidR="00302BFE" w:rsidRPr="00D61C93">
        <w:rPr>
          <w:lang w:val="en-GB"/>
        </w:rPr>
        <w:t>analysis</w:t>
      </w:r>
      <w:proofErr w:type="gramEnd"/>
      <w:r w:rsidR="00302BFE" w:rsidRPr="00D61C93">
        <w:rPr>
          <w:lang w:val="en-GB"/>
        </w:rPr>
        <w:t xml:space="preserve"> and visualization tools. The equipment </w:t>
      </w:r>
      <w:r w:rsidRPr="00D61C93">
        <w:rPr>
          <w:lang w:val="en-GB"/>
        </w:rPr>
        <w:t>will</w:t>
      </w:r>
      <w:r w:rsidR="00302BFE" w:rsidRPr="00D61C93">
        <w:rPr>
          <w:lang w:val="en-GB"/>
        </w:rPr>
        <w:t xml:space="preserve"> include GPS, cameras, </w:t>
      </w:r>
      <w:proofErr w:type="gramStart"/>
      <w:r w:rsidRPr="00D61C93">
        <w:rPr>
          <w:lang w:val="en-GB"/>
        </w:rPr>
        <w:t>laptop</w:t>
      </w:r>
      <w:proofErr w:type="gramEnd"/>
      <w:r w:rsidRPr="00D61C93">
        <w:rPr>
          <w:lang w:val="en-GB"/>
        </w:rPr>
        <w:t xml:space="preserve"> and </w:t>
      </w:r>
      <w:r w:rsidR="00302BFE" w:rsidRPr="00D61C93">
        <w:rPr>
          <w:lang w:val="en-GB"/>
        </w:rPr>
        <w:t>desktop</w:t>
      </w:r>
      <w:r w:rsidRPr="00D61C93">
        <w:rPr>
          <w:lang w:val="en-GB"/>
        </w:rPr>
        <w:t xml:space="preserve"> computers</w:t>
      </w:r>
      <w:r w:rsidR="00302BFE" w:rsidRPr="00D61C93">
        <w:rPr>
          <w:lang w:val="en-GB"/>
        </w:rPr>
        <w:t xml:space="preserve"> for capturing data from each PA, computer</w:t>
      </w:r>
      <w:r w:rsidRPr="00D61C93">
        <w:rPr>
          <w:lang w:val="en-GB"/>
        </w:rPr>
        <w:t>s</w:t>
      </w:r>
      <w:r w:rsidR="00302BFE" w:rsidRPr="00D61C93">
        <w:rPr>
          <w:lang w:val="en-GB"/>
        </w:rPr>
        <w:t xml:space="preserve"> with large storage capacity and large screen</w:t>
      </w:r>
      <w:r w:rsidRPr="00D61C93">
        <w:rPr>
          <w:lang w:val="en-GB"/>
        </w:rPr>
        <w:t>s</w:t>
      </w:r>
      <w:r w:rsidR="00302BFE" w:rsidRPr="00D61C93">
        <w:rPr>
          <w:lang w:val="en-GB"/>
        </w:rPr>
        <w:t>, backup system</w:t>
      </w:r>
      <w:r w:rsidRPr="00D61C93">
        <w:rPr>
          <w:lang w:val="en-GB"/>
        </w:rPr>
        <w:t>s</w:t>
      </w:r>
      <w:r w:rsidR="00302BFE" w:rsidRPr="00D61C93">
        <w:rPr>
          <w:lang w:val="en-GB"/>
        </w:rPr>
        <w:t xml:space="preserve"> with high storage capacity, large size map printer</w:t>
      </w:r>
      <w:r w:rsidRPr="00D61C93">
        <w:rPr>
          <w:lang w:val="en-GB"/>
        </w:rPr>
        <w:t>s</w:t>
      </w:r>
      <w:r w:rsidR="00302BFE" w:rsidRPr="00D61C93">
        <w:rPr>
          <w:lang w:val="en-GB"/>
        </w:rPr>
        <w:t>, digitizer and specialized software.</w:t>
      </w:r>
    </w:p>
    <w:p w14:paraId="0CC07BE6" w14:textId="77777777" w:rsidR="00302BFE" w:rsidRPr="00D61C93" w:rsidRDefault="00A3008F" w:rsidP="00C46720">
      <w:pPr>
        <w:numPr>
          <w:ilvl w:val="0"/>
          <w:numId w:val="20"/>
        </w:numPr>
        <w:adjustRightInd w:val="0"/>
        <w:spacing w:before="60"/>
        <w:rPr>
          <w:lang w:val="en-GB"/>
        </w:rPr>
      </w:pPr>
      <w:r w:rsidRPr="00D61C93">
        <w:rPr>
          <w:u w:val="single"/>
          <w:lang w:val="en-GB"/>
        </w:rPr>
        <w:t>The r</w:t>
      </w:r>
      <w:r w:rsidR="00302BFE" w:rsidRPr="00D61C93">
        <w:rPr>
          <w:u w:val="single"/>
          <w:lang w:val="en-GB"/>
        </w:rPr>
        <w:t xml:space="preserve">ecruitment of a GIS expert dedicated to PAs </w:t>
      </w:r>
    </w:p>
    <w:p w14:paraId="4F5DD216" w14:textId="77777777" w:rsidR="00302BFE" w:rsidRPr="000D4277" w:rsidRDefault="00302BFE" w:rsidP="00C46720">
      <w:pPr>
        <w:pStyle w:val="Paragraphedeliste"/>
        <w:numPr>
          <w:ilvl w:val="0"/>
          <w:numId w:val="14"/>
        </w:numPr>
        <w:tabs>
          <w:tab w:val="left" w:pos="284"/>
        </w:tabs>
        <w:spacing w:before="120" w:after="120"/>
        <w:ind w:left="0" w:firstLine="0"/>
        <w:jc w:val="both"/>
        <w:rPr>
          <w:rFonts w:ascii="Calibri" w:hAnsi="Calibri"/>
          <w:sz w:val="20"/>
          <w:lang w:val="en-GB"/>
        </w:rPr>
      </w:pPr>
      <w:r w:rsidRPr="00D61C93">
        <w:rPr>
          <w:rFonts w:ascii="Calibri" w:eastAsia="Cambria" w:hAnsi="Calibri"/>
          <w:sz w:val="20"/>
          <w:szCs w:val="20"/>
          <w:u w:val="single"/>
          <w:lang w:val="en-GB"/>
        </w:rPr>
        <w:t>A database including the monitoring of biodiversity and of the pressures that affect it, and accessible to stakeholders, allows better planning of PA management</w:t>
      </w:r>
      <w:r w:rsidRPr="00D61C93">
        <w:rPr>
          <w:rFonts w:ascii="Calibri" w:hAnsi="Calibri"/>
          <w:i/>
          <w:iCs/>
          <w:color w:val="4472C4"/>
          <w:sz w:val="20"/>
          <w:lang w:val="en-GB"/>
        </w:rPr>
        <w:t>.</w:t>
      </w:r>
      <w:r w:rsidRPr="00D61C93">
        <w:rPr>
          <w:rFonts w:ascii="Calibri" w:hAnsi="Calibri"/>
          <w:sz w:val="20"/>
          <w:lang w:val="en-GB"/>
        </w:rPr>
        <w:t xml:space="preserve"> The project will </w:t>
      </w:r>
      <w:r w:rsidRPr="00D61C93">
        <w:rPr>
          <w:rFonts w:ascii="Calibri" w:hAnsi="Calibri"/>
          <w:sz w:val="20"/>
          <w:szCs w:val="20"/>
          <w:lang w:val="en-GB"/>
        </w:rPr>
        <w:t xml:space="preserve">recruit a GIS expert to </w:t>
      </w:r>
      <w:r w:rsidRPr="00D61C93">
        <w:rPr>
          <w:rFonts w:ascii="Calibri" w:hAnsi="Calibri"/>
          <w:sz w:val="20"/>
          <w:lang w:val="en-GB"/>
        </w:rPr>
        <w:t xml:space="preserve">develop a georeferenced database using the ARCGIS software and building on existing databases (such as the one established as part of the PAGEN project) and data collected in the </w:t>
      </w:r>
      <w:proofErr w:type="spellStart"/>
      <w:r w:rsidRPr="00D61C93">
        <w:rPr>
          <w:rFonts w:ascii="Calibri" w:hAnsi="Calibri"/>
          <w:sz w:val="20"/>
          <w:lang w:val="en-GB"/>
        </w:rPr>
        <w:t>Nazinga</w:t>
      </w:r>
      <w:proofErr w:type="spellEnd"/>
      <w:r w:rsidRPr="00D61C93">
        <w:rPr>
          <w:rFonts w:ascii="Calibri" w:hAnsi="Calibri"/>
          <w:sz w:val="20"/>
          <w:lang w:val="en-GB"/>
        </w:rPr>
        <w:t xml:space="preserve"> Game Ranch </w:t>
      </w:r>
      <w:r w:rsidR="0028552C" w:rsidRPr="00D61C93">
        <w:rPr>
          <w:rFonts w:ascii="Calibri" w:hAnsi="Calibri"/>
          <w:sz w:val="20"/>
          <w:lang w:val="en-GB"/>
        </w:rPr>
        <w:t>between 1981 and 2011,</w:t>
      </w:r>
      <w:r w:rsidRPr="00D61C93">
        <w:rPr>
          <w:rFonts w:ascii="Calibri" w:hAnsi="Calibri"/>
          <w:sz w:val="20"/>
          <w:lang w:val="en-GB"/>
        </w:rPr>
        <w:t xml:space="preserve"> and </w:t>
      </w:r>
      <w:r w:rsidR="0028552C" w:rsidRPr="00D61C93">
        <w:rPr>
          <w:rFonts w:ascii="Calibri" w:hAnsi="Calibri"/>
          <w:sz w:val="20"/>
          <w:lang w:val="en-GB"/>
        </w:rPr>
        <w:t xml:space="preserve">sporadically </w:t>
      </w:r>
      <w:r w:rsidRPr="00D61C93">
        <w:rPr>
          <w:rFonts w:ascii="Calibri" w:hAnsi="Calibri"/>
          <w:sz w:val="20"/>
          <w:lang w:val="en-GB"/>
        </w:rPr>
        <w:t>in the Kaboré-</w:t>
      </w:r>
      <w:proofErr w:type="spellStart"/>
      <w:r w:rsidRPr="00D61C93">
        <w:rPr>
          <w:rFonts w:ascii="Calibri" w:hAnsi="Calibri"/>
          <w:sz w:val="20"/>
          <w:lang w:val="en-GB"/>
        </w:rPr>
        <w:t>Tambi</w:t>
      </w:r>
      <w:proofErr w:type="spellEnd"/>
      <w:r w:rsidRPr="00D61C93">
        <w:rPr>
          <w:rFonts w:ascii="Calibri" w:hAnsi="Calibri"/>
          <w:sz w:val="20"/>
          <w:lang w:val="en-GB"/>
        </w:rPr>
        <w:t xml:space="preserve"> NP. The GIS and cartographic database will be a tool accessible to all stakeholders and will be updated on a regular basis</w:t>
      </w:r>
      <w:r w:rsidRPr="000D4277">
        <w:rPr>
          <w:rFonts w:ascii="Calibri" w:hAnsi="Calibri"/>
          <w:sz w:val="20"/>
          <w:lang w:val="en-GB"/>
        </w:rPr>
        <w:t xml:space="preserve"> to support the participatory planning process. The creation of this database will include a protocol specifying the conditions of access and use to ensure the protection of strategic or sensitive data and their sharing with relevant users.</w:t>
      </w:r>
      <w:r w:rsidRPr="000D4277">
        <w:rPr>
          <w:rFonts w:ascii="Calibri" w:hAnsi="Calibri"/>
          <w:color w:val="000000"/>
          <w:sz w:val="20"/>
          <w:lang w:val="en-GB"/>
        </w:rPr>
        <w:t xml:space="preserve"> Existing data on PAs of the PONASI complex will also be integrated into appropriate global and regional databases to make them accessible to different types of users.</w:t>
      </w:r>
    </w:p>
    <w:p w14:paraId="5D518449" w14:textId="042AC127" w:rsidR="00302BFE" w:rsidRPr="0099310D" w:rsidRDefault="00302BFE" w:rsidP="00C46720">
      <w:pPr>
        <w:pStyle w:val="Paragraphedeliste"/>
        <w:numPr>
          <w:ilvl w:val="0"/>
          <w:numId w:val="14"/>
        </w:numPr>
        <w:tabs>
          <w:tab w:val="left" w:pos="284"/>
        </w:tabs>
        <w:spacing w:before="120" w:after="120"/>
        <w:ind w:left="0" w:firstLine="0"/>
        <w:jc w:val="both"/>
        <w:rPr>
          <w:rFonts w:ascii="Calibri" w:hAnsi="Calibri"/>
          <w:color w:val="000000"/>
          <w:sz w:val="20"/>
          <w:lang w:val="en-GB"/>
        </w:rPr>
      </w:pPr>
      <w:r w:rsidRPr="0099310D">
        <w:rPr>
          <w:rFonts w:ascii="Calibri" w:hAnsi="Calibri"/>
          <w:color w:val="000000"/>
          <w:sz w:val="20"/>
          <w:lang w:val="en-GB"/>
        </w:rPr>
        <w:t>To the extent possible, the GIS-PA database will include data from the following categories: Administrative subdivisions; towns and villages; road infrastructure and main tracks; major ecosystems including forests, rivers and major tributaries; species occurrence/distribution (mammals, birds and other taxa</w:t>
      </w:r>
      <w:r w:rsidR="00C94691" w:rsidRPr="0099310D">
        <w:rPr>
          <w:rFonts w:ascii="Calibri" w:hAnsi="Calibri"/>
          <w:color w:val="000000"/>
          <w:sz w:val="20"/>
          <w:lang w:val="en-GB"/>
        </w:rPr>
        <w:t xml:space="preserve">, </w:t>
      </w:r>
      <w:r w:rsidR="00C94691" w:rsidRPr="0099310D">
        <w:rPr>
          <w:rFonts w:asciiTheme="minorHAnsi" w:hAnsiTheme="minorHAnsi"/>
          <w:color w:val="000000"/>
          <w:sz w:val="20"/>
          <w:szCs w:val="20"/>
          <w:lang w:val="en-GB"/>
        </w:rPr>
        <w:t>including all game species</w:t>
      </w:r>
      <w:r w:rsidRPr="0099310D">
        <w:rPr>
          <w:rFonts w:ascii="Calibri" w:hAnsi="Calibri"/>
          <w:color w:val="000000"/>
          <w:sz w:val="20"/>
          <w:lang w:val="en-GB"/>
        </w:rPr>
        <w:t xml:space="preserve">); distribution of key habitats for terrestrial and aquatic wildlife; boundary coordinates of State and community PAs; land occupation and use outside PAs; land status (identification of public, private, and community domains); population (human) distribution; major pressures and threats on biodiversity, habitats and PAs, including </w:t>
      </w:r>
      <w:r w:rsidR="00FE2A49" w:rsidRPr="0099310D">
        <w:rPr>
          <w:rFonts w:ascii="Calibri" w:hAnsi="Calibri"/>
          <w:color w:val="000000"/>
          <w:sz w:val="20"/>
          <w:lang w:val="en-GB"/>
        </w:rPr>
        <w:t xml:space="preserve">hunting, fishing, logging, </w:t>
      </w:r>
      <w:r w:rsidRPr="0099310D">
        <w:rPr>
          <w:rFonts w:ascii="Calibri" w:hAnsi="Calibri"/>
          <w:color w:val="000000"/>
          <w:sz w:val="20"/>
          <w:lang w:val="en-GB"/>
        </w:rPr>
        <w:t>HWC and poaching; ecosystem services and goods provided by the PAs to local populations; cultural, historical and ecotourism sites. New categories of data will be added based on management needs of the PA system</w:t>
      </w:r>
      <w:r w:rsidRPr="0099310D">
        <w:rPr>
          <w:rFonts w:ascii="Calibri" w:hAnsi="Calibri"/>
          <w:sz w:val="20"/>
          <w:lang w:val="en-GB"/>
        </w:rPr>
        <w:t>.</w:t>
      </w:r>
    </w:p>
    <w:p w14:paraId="1B4CCCBF" w14:textId="5A7DDDBD"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color w:val="000000"/>
          <w:sz w:val="20"/>
          <w:lang w:val="en-GB"/>
        </w:rPr>
      </w:pPr>
      <w:r w:rsidRPr="00D61C93">
        <w:rPr>
          <w:rFonts w:ascii="Calibri" w:hAnsi="Calibri"/>
          <w:color w:val="000000"/>
          <w:sz w:val="20"/>
          <w:lang w:val="en-GB"/>
        </w:rPr>
        <w:t xml:space="preserve">The database will be housed in a permanent institutional structure and as far as possible, integrated within the national system to ensure long-term data protection. The GIS expert will assess the feasibility of integrating the database into the National Observatory on the Environment and Sustainable Development (ONEDD) under </w:t>
      </w:r>
      <w:r w:rsidRPr="00A815EA">
        <w:rPr>
          <w:rFonts w:ascii="Calibri" w:hAnsi="Calibri"/>
          <w:color w:val="000000"/>
          <w:sz w:val="20"/>
          <w:lang w:val="en-GB"/>
        </w:rPr>
        <w:t>the MEE</w:t>
      </w:r>
      <w:r w:rsidR="006B57FA" w:rsidRPr="00A815EA">
        <w:rPr>
          <w:rFonts w:ascii="Calibri" w:hAnsi="Calibri"/>
          <w:color w:val="000000"/>
          <w:sz w:val="20"/>
          <w:lang w:val="en-GB"/>
        </w:rPr>
        <w:t>A</w:t>
      </w:r>
      <w:r w:rsidRPr="00D61C93">
        <w:rPr>
          <w:rFonts w:ascii="Calibri" w:hAnsi="Calibri"/>
          <w:color w:val="000000"/>
          <w:sz w:val="20"/>
          <w:lang w:val="en-GB"/>
        </w:rPr>
        <w:t xml:space="preserve">. ONEDD is a mechanism providing support to the </w:t>
      </w:r>
      <w:proofErr w:type="spellStart"/>
      <w:r w:rsidR="00A815EA" w:rsidRPr="00AC1C65">
        <w:rPr>
          <w:rFonts w:ascii="Calibri" w:hAnsi="Calibri"/>
          <w:color w:val="000000"/>
          <w:sz w:val="20"/>
          <w:highlight w:val="green"/>
          <w:lang w:val="en-GB"/>
        </w:rPr>
        <w:t>Ministere</w:t>
      </w:r>
      <w:proofErr w:type="spellEnd"/>
      <w:r w:rsidR="00A815EA" w:rsidRPr="00AC1C65">
        <w:rPr>
          <w:rFonts w:ascii="Calibri" w:hAnsi="Calibri"/>
          <w:color w:val="000000"/>
          <w:sz w:val="20"/>
          <w:highlight w:val="green"/>
          <w:lang w:val="en-GB"/>
        </w:rPr>
        <w:t xml:space="preserve"> de </w:t>
      </w:r>
      <w:proofErr w:type="spellStart"/>
      <w:r w:rsidR="00A815EA" w:rsidRPr="00AC1C65">
        <w:rPr>
          <w:rFonts w:ascii="Calibri" w:hAnsi="Calibri"/>
          <w:color w:val="000000"/>
          <w:sz w:val="20"/>
          <w:highlight w:val="green"/>
          <w:lang w:val="en-GB"/>
        </w:rPr>
        <w:t>l'environnement</w:t>
      </w:r>
      <w:proofErr w:type="spellEnd"/>
      <w:r w:rsidR="00A815EA" w:rsidRPr="00AC1C65">
        <w:rPr>
          <w:rFonts w:ascii="Calibri" w:hAnsi="Calibri"/>
          <w:color w:val="000000"/>
          <w:sz w:val="20"/>
          <w:highlight w:val="green"/>
          <w:lang w:val="en-GB"/>
        </w:rPr>
        <w:t xml:space="preserve">, de </w:t>
      </w:r>
      <w:proofErr w:type="spellStart"/>
      <w:r w:rsidR="00A815EA" w:rsidRPr="00AC1C65">
        <w:rPr>
          <w:rFonts w:ascii="Calibri" w:hAnsi="Calibri"/>
          <w:color w:val="000000"/>
          <w:sz w:val="20"/>
          <w:highlight w:val="green"/>
          <w:lang w:val="en-GB"/>
        </w:rPr>
        <w:t>l'eau</w:t>
      </w:r>
      <w:proofErr w:type="spellEnd"/>
      <w:r w:rsidR="00A815EA" w:rsidRPr="00AC1C65">
        <w:rPr>
          <w:rFonts w:ascii="Calibri" w:hAnsi="Calibri"/>
          <w:color w:val="000000"/>
          <w:sz w:val="20"/>
          <w:highlight w:val="green"/>
          <w:lang w:val="en-GB"/>
        </w:rPr>
        <w:t xml:space="preserve"> et de </w:t>
      </w:r>
      <w:proofErr w:type="spellStart"/>
      <w:r w:rsidR="00A815EA" w:rsidRPr="00AC1C65">
        <w:rPr>
          <w:rFonts w:ascii="Calibri" w:hAnsi="Calibri"/>
          <w:color w:val="000000"/>
          <w:sz w:val="20"/>
          <w:highlight w:val="green"/>
          <w:lang w:val="en-GB"/>
        </w:rPr>
        <w:t>l"Assainissement</w:t>
      </w:r>
      <w:proofErr w:type="spellEnd"/>
      <w:r w:rsidRPr="00AC1C65">
        <w:rPr>
          <w:rFonts w:ascii="Calibri" w:hAnsi="Calibri"/>
          <w:color w:val="000000"/>
          <w:sz w:val="20"/>
          <w:highlight w:val="green"/>
          <w:lang w:val="en-GB"/>
        </w:rPr>
        <w:t xml:space="preserve"> </w:t>
      </w:r>
      <w:r w:rsidRPr="00AC1C65">
        <w:rPr>
          <w:rFonts w:ascii="Calibri" w:hAnsi="Calibri"/>
          <w:color w:val="000000"/>
          <w:sz w:val="20"/>
          <w:lang w:val="en-GB"/>
        </w:rPr>
        <w:t>and</w:t>
      </w:r>
      <w:r w:rsidRPr="00D61C93">
        <w:rPr>
          <w:rFonts w:ascii="Calibri" w:hAnsi="Calibri"/>
          <w:color w:val="000000"/>
          <w:sz w:val="20"/>
          <w:lang w:val="en-GB"/>
        </w:rPr>
        <w:t xml:space="preserve"> its various divisions (DPCIE, DPE and DCIME) in terms of surveillance and monitoring-evaluation of the environment and sustainable development. If feasible, the GIS expert will achieve this integration with the collaboration of the officers in charge of the observatory.</w:t>
      </w:r>
    </w:p>
    <w:p w14:paraId="6C578843" w14:textId="68734452" w:rsidR="00302BFE" w:rsidRPr="0099310D"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D61C93">
        <w:rPr>
          <w:rFonts w:ascii="Calibri" w:eastAsia="Cambria" w:hAnsi="Calibri"/>
          <w:sz w:val="20"/>
          <w:szCs w:val="20"/>
          <w:u w:val="single"/>
          <w:lang w:val="en-GB"/>
        </w:rPr>
        <w:t>A website for the PA system</w:t>
      </w:r>
      <w:r w:rsidRPr="006E490C">
        <w:rPr>
          <w:rFonts w:ascii="Calibri" w:eastAsia="Cambria" w:hAnsi="Calibri"/>
          <w:sz w:val="20"/>
          <w:szCs w:val="20"/>
          <w:u w:val="single"/>
          <w:lang w:val="en-GB"/>
        </w:rPr>
        <w:t xml:space="preserve"> provides access to information on the PA system and a PA database is secured in a permanent institutional structure</w:t>
      </w:r>
      <w:r w:rsidRPr="006E490C">
        <w:rPr>
          <w:rFonts w:ascii="Calibri" w:hAnsi="Calibri"/>
          <w:i/>
          <w:iCs/>
          <w:color w:val="4472C4"/>
          <w:sz w:val="20"/>
          <w:szCs w:val="20"/>
          <w:lang w:val="en-GB"/>
        </w:rPr>
        <w:t>.</w:t>
      </w:r>
      <w:r w:rsidRPr="006E490C">
        <w:rPr>
          <w:rFonts w:ascii="Calibri" w:hAnsi="Calibri"/>
          <w:sz w:val="20"/>
          <w:szCs w:val="20"/>
          <w:lang w:val="en-GB"/>
        </w:rPr>
        <w:t xml:space="preserve"> </w:t>
      </w:r>
      <w:r>
        <w:rPr>
          <w:rFonts w:ascii="Calibri" w:hAnsi="Calibri"/>
          <w:sz w:val="20"/>
          <w:szCs w:val="20"/>
          <w:lang w:val="en-GB"/>
        </w:rPr>
        <w:t xml:space="preserve">The </w:t>
      </w:r>
      <w:r w:rsidRPr="006E490C">
        <w:rPr>
          <w:rFonts w:ascii="Calibri" w:hAnsi="Calibri"/>
          <w:sz w:val="20"/>
          <w:szCs w:val="20"/>
          <w:lang w:val="en-GB"/>
        </w:rPr>
        <w:t xml:space="preserve">GIS expert </w:t>
      </w:r>
      <w:r>
        <w:rPr>
          <w:rFonts w:ascii="Calibri" w:hAnsi="Calibri"/>
          <w:sz w:val="20"/>
          <w:szCs w:val="20"/>
          <w:lang w:val="en-GB"/>
        </w:rPr>
        <w:t>will</w:t>
      </w:r>
      <w:r w:rsidRPr="006E490C">
        <w:rPr>
          <w:rFonts w:ascii="Calibri" w:hAnsi="Calibri"/>
          <w:sz w:val="20"/>
          <w:szCs w:val="20"/>
          <w:lang w:val="en-GB"/>
        </w:rPr>
        <w:t xml:space="preserve"> develop a website dedicated to the PA complex. During the project, the GIS expert will be also responsible for updating, disseminating and sharing data on PAs and biodiversity in Burkina Faso with the World Database on Protected Areas of the IUCN World Commission on Protected Areas, the Global Biodiversity Information Facility (GBIF), the West Africa Regional Observatory for Biodiversity and Protected Areas, which is being set up with the support of the BIOPAMA program, and any </w:t>
      </w:r>
      <w:r w:rsidRPr="0099310D">
        <w:rPr>
          <w:rFonts w:ascii="Calibri" w:hAnsi="Calibri"/>
          <w:sz w:val="20"/>
          <w:szCs w:val="20"/>
          <w:lang w:val="en-GB"/>
        </w:rPr>
        <w:lastRenderedPageBreak/>
        <w:t xml:space="preserve">other database related to international environmental conventions and global organizations like the Alliance for Zero Extinction and </w:t>
      </w:r>
      <w:r w:rsidRPr="0099310D">
        <w:rPr>
          <w:rFonts w:asciiTheme="minorHAnsi" w:hAnsiTheme="minorHAnsi"/>
          <w:sz w:val="20"/>
          <w:szCs w:val="20"/>
          <w:lang w:val="en-GB"/>
        </w:rPr>
        <w:t>Birdlife International.</w:t>
      </w:r>
      <w:r w:rsidRPr="0099310D">
        <w:rPr>
          <w:rFonts w:ascii="Calibri" w:hAnsi="Calibri"/>
          <w:sz w:val="20"/>
          <w:szCs w:val="20"/>
          <w:lang w:val="en-GB"/>
        </w:rPr>
        <w:t xml:space="preserve"> </w:t>
      </w:r>
    </w:p>
    <w:p w14:paraId="05976774" w14:textId="6FB66398" w:rsidR="00522D0E" w:rsidRPr="0099310D" w:rsidRDefault="00522D0E" w:rsidP="00C46720">
      <w:pPr>
        <w:pStyle w:val="Paragraphedeliste"/>
        <w:numPr>
          <w:ilvl w:val="0"/>
          <w:numId w:val="14"/>
        </w:numPr>
        <w:tabs>
          <w:tab w:val="left" w:pos="284"/>
        </w:tabs>
        <w:spacing w:before="120" w:after="120"/>
        <w:ind w:left="0" w:firstLine="0"/>
        <w:jc w:val="both"/>
        <w:rPr>
          <w:rFonts w:asciiTheme="minorHAnsi" w:hAnsiTheme="minorHAnsi"/>
          <w:sz w:val="20"/>
          <w:szCs w:val="20"/>
          <w:lang w:val="en-CA"/>
        </w:rPr>
      </w:pPr>
      <w:r w:rsidRPr="0099310D">
        <w:rPr>
          <w:rFonts w:asciiTheme="minorHAnsi" w:hAnsiTheme="minorHAnsi"/>
          <w:sz w:val="20"/>
          <w:szCs w:val="20"/>
          <w:u w:val="single"/>
          <w:lang w:val="en-CA"/>
        </w:rPr>
        <w:t>A third-party independent assessment of animal populations</w:t>
      </w:r>
      <w:r w:rsidRPr="0099310D">
        <w:rPr>
          <w:rFonts w:asciiTheme="minorHAnsi" w:hAnsiTheme="minorHAnsi"/>
          <w:sz w:val="20"/>
          <w:szCs w:val="20"/>
          <w:lang w:val="en-CA"/>
        </w:rPr>
        <w:t xml:space="preserve"> will be undertaken to analyse population trends for big and small game species, and for other key species that are not targeted by hunting activities. This assessment will take advantage of the recent data collected during the first 3 years assessments through the monitoring system strengthened with the project support and will cover all PAs, including the PNKT where hunting is forbidden, to enable comparisons of populations that have been differently subjected to hunting pressure. Environmental parameters, including water and green pasture availability throughout the year, should be </w:t>
      </w:r>
      <w:proofErr w:type="gramStart"/>
      <w:r w:rsidRPr="0099310D">
        <w:rPr>
          <w:rFonts w:asciiTheme="minorHAnsi" w:hAnsiTheme="minorHAnsi"/>
          <w:sz w:val="20"/>
          <w:szCs w:val="20"/>
          <w:lang w:val="en-CA"/>
        </w:rPr>
        <w:t>taken into account</w:t>
      </w:r>
      <w:proofErr w:type="gramEnd"/>
      <w:r w:rsidRPr="0099310D">
        <w:rPr>
          <w:rFonts w:asciiTheme="minorHAnsi" w:hAnsiTheme="minorHAnsi"/>
          <w:sz w:val="20"/>
          <w:szCs w:val="20"/>
          <w:lang w:val="en-CA"/>
        </w:rPr>
        <w:t xml:space="preserve"> in the analyzes as explanatory factors. Also, as these protected areas are located close to large cotton cultivation areas where excessive use of pesticides is reported, hunting may not be the only pressure factor involved. This assessment should lead to the formulation of recommendations regarding the capacity of game species populations to withstand hunting pressures and will be accompanied by an assessment of the management capacities of the structures responsible for hunting management within the Government, the concessionaires and the village hunting management committees. Ideally, this assessment would take place in the third year of the project so that its recommendations are taken into consideration and supported by the project mid-term review. The project will recruit an independent expert, </w:t>
      </w:r>
      <w:proofErr w:type="gramStart"/>
      <w:r w:rsidRPr="0099310D">
        <w:rPr>
          <w:rFonts w:asciiTheme="minorHAnsi" w:hAnsiTheme="minorHAnsi"/>
          <w:sz w:val="20"/>
          <w:szCs w:val="20"/>
          <w:lang w:val="en-CA"/>
        </w:rPr>
        <w:t>i.e.</w:t>
      </w:r>
      <w:proofErr w:type="gramEnd"/>
      <w:r w:rsidRPr="0099310D">
        <w:rPr>
          <w:rFonts w:asciiTheme="minorHAnsi" w:hAnsiTheme="minorHAnsi"/>
          <w:sz w:val="20"/>
          <w:szCs w:val="20"/>
          <w:lang w:val="en-CA"/>
        </w:rPr>
        <w:t xml:space="preserve"> not engaged in any other activity of the project, and with experience in the country, to assess population’s health of game species and provide a professional opinion on the viability of the proposed activities including the proficiency of the concessionaires to manage the areas.</w:t>
      </w:r>
    </w:p>
    <w:p w14:paraId="085F71C2" w14:textId="044F13F2" w:rsidR="001F23E3" w:rsidRDefault="00302BFE" w:rsidP="00302BFE">
      <w:pPr>
        <w:spacing w:before="120" w:after="120"/>
        <w:rPr>
          <w:i/>
          <w:color w:val="4472C4"/>
          <w:szCs w:val="20"/>
          <w:lang w:val="en-GB"/>
        </w:rPr>
      </w:pPr>
      <w:r w:rsidRPr="005F3825">
        <w:rPr>
          <w:i/>
          <w:color w:val="4472C4"/>
          <w:szCs w:val="20"/>
          <w:lang w:val="en-GB"/>
        </w:rPr>
        <w:t xml:space="preserve">2.1.3 </w:t>
      </w:r>
      <w:r>
        <w:rPr>
          <w:i/>
          <w:color w:val="4472C4"/>
          <w:szCs w:val="20"/>
          <w:lang w:val="en-GB"/>
        </w:rPr>
        <w:t>Capacity development</w:t>
      </w:r>
      <w:r w:rsidRPr="005F3825">
        <w:rPr>
          <w:i/>
          <w:color w:val="4472C4"/>
          <w:szCs w:val="20"/>
          <w:lang w:val="en-GB"/>
        </w:rPr>
        <w:t xml:space="preserve"> program developed and implemented</w:t>
      </w:r>
    </w:p>
    <w:p w14:paraId="68BCEAE7" w14:textId="52DA1121" w:rsidR="001F23E3" w:rsidRPr="00AC1C65" w:rsidRDefault="001F23E3" w:rsidP="00302BFE">
      <w:pPr>
        <w:spacing w:before="120" w:after="120"/>
        <w:rPr>
          <w:iCs/>
          <w:color w:val="4472C4"/>
          <w:szCs w:val="20"/>
          <w:lang w:val="en-GB"/>
        </w:rPr>
      </w:pPr>
      <w:r w:rsidRPr="00AC1C65">
        <w:rPr>
          <w:iCs/>
          <w:color w:val="4472C4"/>
          <w:szCs w:val="20"/>
          <w:lang w:val="en-GB"/>
        </w:rPr>
        <w:t xml:space="preserve">For this activity, the FPIC (Free, Prior and Informed Consent) process </w:t>
      </w:r>
      <w:proofErr w:type="gramStart"/>
      <w:r w:rsidRPr="00AC1C65">
        <w:rPr>
          <w:iCs/>
          <w:color w:val="4472C4"/>
          <w:szCs w:val="20"/>
          <w:lang w:val="en-GB"/>
        </w:rPr>
        <w:t>has to</w:t>
      </w:r>
      <w:proofErr w:type="gramEnd"/>
      <w:r w:rsidRPr="00AC1C65">
        <w:rPr>
          <w:iCs/>
          <w:color w:val="4472C4"/>
          <w:szCs w:val="20"/>
          <w:lang w:val="en-GB"/>
        </w:rPr>
        <w:t xml:space="preserve"> be ensured</w:t>
      </w:r>
    </w:p>
    <w:p w14:paraId="0274FA68" w14:textId="6014B38A" w:rsidR="00302BFE" w:rsidRPr="00AC1C6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bookmarkStart w:id="14" w:name="_Hlk8924056"/>
      <w:r w:rsidRPr="00AC1C65">
        <w:rPr>
          <w:rFonts w:ascii="Calibri" w:hAnsi="Calibri"/>
          <w:sz w:val="20"/>
          <w:szCs w:val="20"/>
          <w:lang w:val="en-GB"/>
        </w:rPr>
        <w:t>The project will support the development and implementation of a capacity development plan formulated in terms of the know-how / skills / knowledge required to carry out the tasks assigned to each function, so that the main groups of stakeholders are able to fulfil the role expected of them in the collaborative PA management process, including corridors and ZOVICs. These stakeholders include community / village structures concerned with the collaborative management of PAs, PA management units, eco-guards and rangers,</w:t>
      </w:r>
      <w:r w:rsidR="007E0D06" w:rsidRPr="00AC1C65">
        <w:rPr>
          <w:rFonts w:ascii="Calibri" w:hAnsi="Calibri"/>
          <w:sz w:val="20"/>
          <w:szCs w:val="20"/>
          <w:lang w:val="en-GB"/>
        </w:rPr>
        <w:t xml:space="preserve"> t</w:t>
      </w:r>
      <w:r w:rsidRPr="00AC1C65">
        <w:rPr>
          <w:rFonts w:ascii="Calibri" w:hAnsi="Calibri"/>
          <w:sz w:val="20"/>
          <w:szCs w:val="20"/>
          <w:lang w:val="en-GB"/>
        </w:rPr>
        <w:t>he staff of OFINAP, DGEF, DREEVCCs and their subdivisions, community groups users of natural resources, private concessionaires and other economic operators, and traditional and local authorities</w:t>
      </w:r>
      <w:r w:rsidRPr="00AC1C65">
        <w:rPr>
          <w:rFonts w:ascii="Calibri" w:eastAsia="Batang" w:hAnsi="Calibri"/>
          <w:sz w:val="20"/>
          <w:lang w:val="en-GB" w:eastAsia="ko-KR"/>
        </w:rPr>
        <w:t>.</w:t>
      </w:r>
      <w:bookmarkEnd w:id="14"/>
    </w:p>
    <w:p w14:paraId="5CB72299" w14:textId="77777777" w:rsidR="00302BFE" w:rsidRPr="000D427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hAnsi="Calibri"/>
          <w:sz w:val="20"/>
          <w:szCs w:val="20"/>
          <w:lang w:val="en-GB"/>
        </w:rPr>
        <w:t xml:space="preserve">The </w:t>
      </w:r>
      <w:r w:rsidRPr="000D4277">
        <w:rPr>
          <w:rFonts w:ascii="Calibri" w:eastAsia="Cambria" w:hAnsi="Calibri"/>
          <w:sz w:val="20"/>
          <w:szCs w:val="20"/>
          <w:u w:val="single"/>
          <w:lang w:val="en-GB"/>
        </w:rPr>
        <w:t>development of the training program</w:t>
      </w:r>
      <w:r w:rsidRPr="000D4277">
        <w:rPr>
          <w:rFonts w:ascii="Calibri" w:hAnsi="Calibri"/>
          <w:color w:val="4472C4"/>
          <w:sz w:val="20"/>
          <w:szCs w:val="20"/>
          <w:lang w:val="en-GB"/>
        </w:rPr>
        <w:t xml:space="preserve"> </w:t>
      </w:r>
      <w:r w:rsidRPr="000D4277">
        <w:rPr>
          <w:rFonts w:ascii="Calibri" w:hAnsi="Calibri"/>
          <w:sz w:val="20"/>
          <w:szCs w:val="20"/>
          <w:lang w:val="en-GB"/>
        </w:rPr>
        <w:t xml:space="preserve">will be based on the capacity assessment of OFINAP and DGEF (Annex </w:t>
      </w:r>
      <w:r w:rsidR="009523FE" w:rsidRPr="000D4277">
        <w:rPr>
          <w:rFonts w:ascii="Calibri" w:hAnsi="Calibri"/>
          <w:sz w:val="20"/>
          <w:szCs w:val="20"/>
          <w:lang w:val="en-GB"/>
        </w:rPr>
        <w:t>Q</w:t>
      </w:r>
      <w:r w:rsidRPr="000D4277">
        <w:rPr>
          <w:rFonts w:ascii="Calibri" w:hAnsi="Calibri"/>
          <w:sz w:val="20"/>
          <w:szCs w:val="20"/>
          <w:lang w:val="en-GB"/>
        </w:rPr>
        <w:t xml:space="preserve">) which highlights the priorities in terms of capacities to be developed, namely the capacity to monitor and evaluate, and the capacity to generate, access and use information and knowledge. Currently, OFINAP performs an annual evaluation of its operations under its strategic plan, but these evaluations are not included in a monitoring and evaluation plan </w:t>
      </w:r>
      <w:r w:rsidR="003575FA">
        <w:rPr>
          <w:rFonts w:ascii="Calibri" w:hAnsi="Calibri"/>
          <w:sz w:val="20"/>
          <w:szCs w:val="20"/>
          <w:lang w:val="en-GB"/>
        </w:rPr>
        <w:t>which defines</w:t>
      </w:r>
      <w:r w:rsidRPr="000D4277">
        <w:rPr>
          <w:rFonts w:ascii="Calibri" w:hAnsi="Calibri"/>
          <w:sz w:val="20"/>
          <w:szCs w:val="20"/>
          <w:lang w:val="en-GB"/>
        </w:rPr>
        <w:t xml:space="preserve"> the terms of the evaluations. The DGEF does not have a defined monitoring and evaluation plan. </w:t>
      </w:r>
    </w:p>
    <w:p w14:paraId="78B737F9" w14:textId="77777777" w:rsidR="00302BFE" w:rsidRPr="000D427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0D4277">
        <w:rPr>
          <w:rFonts w:ascii="Calibri" w:hAnsi="Calibri"/>
          <w:sz w:val="20"/>
          <w:szCs w:val="20"/>
          <w:lang w:val="en-GB"/>
        </w:rPr>
        <w:t>Capacities to be developed / strengthened will include, but not be limited to:</w:t>
      </w:r>
    </w:p>
    <w:p w14:paraId="27EB4DFC" w14:textId="77777777" w:rsidR="00302BFE" w:rsidRPr="000D4277" w:rsidRDefault="00302BFE" w:rsidP="00C46720">
      <w:pPr>
        <w:numPr>
          <w:ilvl w:val="0"/>
          <w:numId w:val="20"/>
        </w:numPr>
        <w:adjustRightInd w:val="0"/>
        <w:spacing w:before="60"/>
        <w:rPr>
          <w:lang w:val="en-GB"/>
        </w:rPr>
      </w:pPr>
      <w:r w:rsidRPr="000D4277">
        <w:rPr>
          <w:lang w:val="en-GB"/>
        </w:rPr>
        <w:t xml:space="preserve">capacities of the monitoring and evaluation staff of OFINAP and DGEF to monitor and evaluate the implementation of PA management </w:t>
      </w:r>
      <w:proofErr w:type="gramStart"/>
      <w:r w:rsidRPr="000D4277">
        <w:rPr>
          <w:lang w:val="en-GB"/>
        </w:rPr>
        <w:t>plans;</w:t>
      </w:r>
      <w:proofErr w:type="gramEnd"/>
    </w:p>
    <w:p w14:paraId="091B8036" w14:textId="77777777" w:rsidR="00302BFE" w:rsidRPr="00AC1C65" w:rsidRDefault="00302BFE" w:rsidP="00C46720">
      <w:pPr>
        <w:numPr>
          <w:ilvl w:val="0"/>
          <w:numId w:val="20"/>
        </w:numPr>
        <w:adjustRightInd w:val="0"/>
        <w:spacing w:before="60"/>
        <w:rPr>
          <w:lang w:val="en-GB"/>
        </w:rPr>
      </w:pPr>
      <w:r w:rsidRPr="000D4277">
        <w:rPr>
          <w:lang w:val="en-GB"/>
        </w:rPr>
        <w:t xml:space="preserve">communication skills of PA managers to negotiate with local communities and other PA stakeholders, foster collaboration, and resolve conflicts, including skills required to advocate for conservation measures likely to affect agricultural expansion by agribusinessmen or </w:t>
      </w:r>
      <w:r w:rsidRPr="00AC1C65">
        <w:rPr>
          <w:lang w:val="en-GB"/>
        </w:rPr>
        <w:t xml:space="preserve">traditional activities that have adverse effects on </w:t>
      </w:r>
      <w:proofErr w:type="gramStart"/>
      <w:r w:rsidRPr="00AC1C65">
        <w:rPr>
          <w:lang w:val="en-GB"/>
        </w:rPr>
        <w:t>biodiversity;</w:t>
      </w:r>
      <w:proofErr w:type="gramEnd"/>
    </w:p>
    <w:p w14:paraId="1859FEC1" w14:textId="15389CE9" w:rsidR="00E57554" w:rsidRPr="00AC1C65" w:rsidRDefault="00E57554" w:rsidP="00C46720">
      <w:pPr>
        <w:numPr>
          <w:ilvl w:val="0"/>
          <w:numId w:val="20"/>
        </w:numPr>
        <w:adjustRightInd w:val="0"/>
        <w:spacing w:before="60"/>
        <w:rPr>
          <w:lang w:val="en-GB"/>
        </w:rPr>
      </w:pPr>
      <w:r w:rsidRPr="00AC1C65">
        <w:rPr>
          <w:lang w:val="en-GB"/>
        </w:rPr>
        <w:t xml:space="preserve">capacities of </w:t>
      </w:r>
      <w:proofErr w:type="spellStart"/>
      <w:r w:rsidRPr="00AC1C65">
        <w:rPr>
          <w:lang w:val="en-GB"/>
        </w:rPr>
        <w:t>ecoguards</w:t>
      </w:r>
      <w:proofErr w:type="spellEnd"/>
      <w:r w:rsidRPr="00AC1C65">
        <w:rPr>
          <w:lang w:val="en-GB"/>
        </w:rPr>
        <w:t xml:space="preserve"> and</w:t>
      </w:r>
      <w:r w:rsidR="00147930" w:rsidRPr="00AC1C65">
        <w:rPr>
          <w:lang w:val="en-GB"/>
        </w:rPr>
        <w:t xml:space="preserve"> personnel of Waters et Forests</w:t>
      </w:r>
      <w:r w:rsidRPr="00AC1C65">
        <w:rPr>
          <w:lang w:val="en-GB"/>
        </w:rPr>
        <w:t xml:space="preserve"> rangers to carry out ecological monitoring, including the use of GPS and entry of GIS-based </w:t>
      </w:r>
      <w:proofErr w:type="gramStart"/>
      <w:r w:rsidRPr="00AC1C65">
        <w:rPr>
          <w:lang w:val="en-GB"/>
        </w:rPr>
        <w:t>data;</w:t>
      </w:r>
      <w:proofErr w:type="gramEnd"/>
    </w:p>
    <w:p w14:paraId="7F124BEA" w14:textId="77777777" w:rsidR="00302BFE" w:rsidRPr="000D4277" w:rsidRDefault="00302BFE" w:rsidP="00C46720">
      <w:pPr>
        <w:numPr>
          <w:ilvl w:val="0"/>
          <w:numId w:val="20"/>
        </w:numPr>
        <w:adjustRightInd w:val="0"/>
        <w:spacing w:before="60"/>
        <w:rPr>
          <w:lang w:val="en-GB"/>
        </w:rPr>
      </w:pPr>
      <w:r w:rsidRPr="000D4277">
        <w:rPr>
          <w:lang w:val="en-GB"/>
        </w:rPr>
        <w:t xml:space="preserve">capacities of PA staff and partners to provide a tourism experience that is cost-effective for village communities, of high quality for clients, and safe for the natural and cultural heritage. This training will be part of activity 3.4.3 under component </w:t>
      </w:r>
      <w:proofErr w:type="gramStart"/>
      <w:r w:rsidRPr="000D4277">
        <w:rPr>
          <w:lang w:val="en-GB"/>
        </w:rPr>
        <w:t>3;</w:t>
      </w:r>
      <w:proofErr w:type="gramEnd"/>
    </w:p>
    <w:p w14:paraId="5890C797" w14:textId="3C4372E7" w:rsidR="00302BFE" w:rsidRPr="0099310D" w:rsidRDefault="00302BFE" w:rsidP="00C46720">
      <w:pPr>
        <w:numPr>
          <w:ilvl w:val="0"/>
          <w:numId w:val="20"/>
        </w:numPr>
        <w:adjustRightInd w:val="0"/>
        <w:spacing w:before="60"/>
        <w:rPr>
          <w:lang w:val="en-GB"/>
        </w:rPr>
      </w:pPr>
      <w:r w:rsidRPr="000D4277">
        <w:rPr>
          <w:lang w:val="en-GB"/>
        </w:rPr>
        <w:t xml:space="preserve">capacities of Village Committees members for collaborative management of PAs and on the role of community structures in the negotiations about resource use and zoning of PAs, and in the participatory development, monitoring and evaluation of PA management plans, and for mobilizing communities for development work in PAs (restoration, ANR, protection of water and soil resources, etc.) and capacities of local communities to defend their environmental and natural resource rights in the PA </w:t>
      </w:r>
      <w:r w:rsidRPr="0099310D">
        <w:rPr>
          <w:lang w:val="en-GB"/>
        </w:rPr>
        <w:t>collaborative management process</w:t>
      </w:r>
      <w:r w:rsidR="00E57554" w:rsidRPr="0099310D">
        <w:rPr>
          <w:lang w:val="en-GB"/>
        </w:rPr>
        <w:t>;</w:t>
      </w:r>
    </w:p>
    <w:p w14:paraId="056FF655" w14:textId="28CB0F41" w:rsidR="00E73212" w:rsidRPr="0099310D" w:rsidRDefault="00E73212" w:rsidP="00C46720">
      <w:pPr>
        <w:numPr>
          <w:ilvl w:val="0"/>
          <w:numId w:val="20"/>
        </w:numPr>
        <w:adjustRightInd w:val="0"/>
        <w:spacing w:before="60"/>
        <w:rPr>
          <w:lang w:val="en-GB"/>
        </w:rPr>
      </w:pPr>
      <w:r w:rsidRPr="0099310D">
        <w:rPr>
          <w:lang w:val="en-GB"/>
        </w:rPr>
        <w:t xml:space="preserve">capacities and skills and equipment of </w:t>
      </w:r>
      <w:proofErr w:type="spellStart"/>
      <w:r w:rsidRPr="0099310D">
        <w:rPr>
          <w:lang w:val="en-GB"/>
        </w:rPr>
        <w:t>ecoguards</w:t>
      </w:r>
      <w:proofErr w:type="spellEnd"/>
      <w:r w:rsidRPr="0099310D">
        <w:rPr>
          <w:lang w:val="en-GB"/>
        </w:rPr>
        <w:t>, forest rangers, PA managers and all staff engaged in or responsible for wildlife enforcement patrols</w:t>
      </w:r>
      <w:r w:rsidRPr="0099310D">
        <w:rPr>
          <w:rFonts w:eastAsia="Batang"/>
          <w:lang w:val="en-GB" w:eastAsia="ko-KR"/>
        </w:rPr>
        <w:t xml:space="preserve"> to fight poaching effectively and safely, by developing collaboration with local communities, between PAs, and across borders with Ghana partners for the establishment of an effective surveillance network and a rapid response strategy, improving knowledge of relevant laws, prosecution procedures (establishing reports of offenses and drafting of minutes), improving knowledge of research techniques and identification of poaching indices, adopting strategies adapted to the different threats so as not to put themselves in danger, and using GPS (guidance and navigation principles, data collection method) and VHF / UHF radio;</w:t>
      </w:r>
    </w:p>
    <w:p w14:paraId="6A64902C" w14:textId="77777777" w:rsidR="00E73212" w:rsidRPr="000D4277" w:rsidRDefault="00E73212" w:rsidP="00C46720">
      <w:pPr>
        <w:numPr>
          <w:ilvl w:val="0"/>
          <w:numId w:val="20"/>
        </w:numPr>
        <w:adjustRightInd w:val="0"/>
        <w:spacing w:before="60"/>
        <w:rPr>
          <w:lang w:val="en-GB"/>
        </w:rPr>
      </w:pPr>
      <w:r w:rsidRPr="000D4277">
        <w:rPr>
          <w:lang w:val="en-GB"/>
        </w:rPr>
        <w:lastRenderedPageBreak/>
        <w:t xml:space="preserve">capacities of </w:t>
      </w:r>
      <w:proofErr w:type="spellStart"/>
      <w:r w:rsidRPr="000D4277">
        <w:rPr>
          <w:lang w:val="en-GB"/>
        </w:rPr>
        <w:t>ecoguards</w:t>
      </w:r>
      <w:proofErr w:type="spellEnd"/>
      <w:r w:rsidRPr="000D4277">
        <w:rPr>
          <w:lang w:val="en-GB"/>
        </w:rPr>
        <w:t xml:space="preserve">, forest rangers, PA managers and all staff engaged in or responsible for wildlife enforcement patrols to use the SMART (Spatial Monitoring and Reporting Tool) approach to plan surveillance and report results to combat poaching and other illegal activities, including initial basic training in data entry, analysis and reporting for </w:t>
      </w:r>
      <w:proofErr w:type="spellStart"/>
      <w:r w:rsidRPr="000D4277">
        <w:rPr>
          <w:lang w:val="en-GB"/>
        </w:rPr>
        <w:t>ecoguards</w:t>
      </w:r>
      <w:proofErr w:type="spellEnd"/>
      <w:r w:rsidRPr="000D4277">
        <w:rPr>
          <w:lang w:val="en-GB"/>
        </w:rPr>
        <w:t xml:space="preserve"> and forest rangers, and further training for site managers and their staff to allow them to take advantage of SMART specific features;</w:t>
      </w:r>
    </w:p>
    <w:p w14:paraId="20B8B44A" w14:textId="77777777" w:rsidR="00302BFE" w:rsidRPr="0099310D" w:rsidRDefault="00302BFE" w:rsidP="00C46720">
      <w:pPr>
        <w:numPr>
          <w:ilvl w:val="0"/>
          <w:numId w:val="20"/>
        </w:numPr>
        <w:adjustRightInd w:val="0"/>
        <w:spacing w:before="60"/>
        <w:rPr>
          <w:lang w:val="en-GB"/>
        </w:rPr>
      </w:pPr>
      <w:r w:rsidRPr="006F0042">
        <w:rPr>
          <w:lang w:val="en-GB"/>
        </w:rPr>
        <w:t xml:space="preserve">capacities of Water and Forests officers, judicial police, customs, and security forces to ensure effective enforcement of the flora </w:t>
      </w:r>
      <w:r w:rsidRPr="0099310D">
        <w:rPr>
          <w:lang w:val="en-GB"/>
        </w:rPr>
        <w:t xml:space="preserve">and fauna protection legislation for including criminal proceedings, actions and prosecutions, and the preparation of official </w:t>
      </w:r>
      <w:proofErr w:type="gramStart"/>
      <w:r w:rsidRPr="0099310D">
        <w:rPr>
          <w:lang w:val="en-GB"/>
        </w:rPr>
        <w:t>reports;</w:t>
      </w:r>
      <w:proofErr w:type="gramEnd"/>
    </w:p>
    <w:p w14:paraId="3AE83152" w14:textId="77777777" w:rsidR="0065354D" w:rsidRPr="0099310D" w:rsidRDefault="00302BFE" w:rsidP="00C46720">
      <w:pPr>
        <w:numPr>
          <w:ilvl w:val="0"/>
          <w:numId w:val="20"/>
        </w:numPr>
        <w:adjustRightInd w:val="0"/>
        <w:spacing w:before="60"/>
        <w:rPr>
          <w:lang w:val="en-GB"/>
        </w:rPr>
      </w:pPr>
      <w:r w:rsidRPr="0099310D">
        <w:rPr>
          <w:lang w:val="en-GB"/>
        </w:rPr>
        <w:t xml:space="preserve">awareness and information of local communities and the general public about the legal provisions in force regarding illicit activities affecting flora and fauna, especially poaching, the risks incurred by offenders and applicable </w:t>
      </w:r>
      <w:proofErr w:type="gramStart"/>
      <w:r w:rsidRPr="0099310D">
        <w:rPr>
          <w:lang w:val="en-GB"/>
        </w:rPr>
        <w:t>penalties</w:t>
      </w:r>
      <w:r w:rsidR="0065354D" w:rsidRPr="0099310D">
        <w:rPr>
          <w:lang w:val="en-GB"/>
        </w:rPr>
        <w:t>;</w:t>
      </w:r>
      <w:proofErr w:type="gramEnd"/>
    </w:p>
    <w:p w14:paraId="68E946DC" w14:textId="2C5E5ADE" w:rsidR="00302BFE" w:rsidRPr="0099310D" w:rsidRDefault="0065354D" w:rsidP="00C46720">
      <w:pPr>
        <w:numPr>
          <w:ilvl w:val="0"/>
          <w:numId w:val="20"/>
        </w:numPr>
        <w:adjustRightInd w:val="0"/>
        <w:spacing w:before="60"/>
        <w:rPr>
          <w:lang w:val="en-GB"/>
        </w:rPr>
      </w:pPr>
      <w:r w:rsidRPr="0099310D">
        <w:rPr>
          <w:rFonts w:eastAsia="Times New Roman" w:cs="Arial"/>
          <w:color w:val="212529"/>
          <w:szCs w:val="20"/>
          <w:lang w:val="en-CA" w:eastAsia="en-GB"/>
        </w:rPr>
        <w:t xml:space="preserve">subject to a recommendation </w:t>
      </w:r>
      <w:r w:rsidR="00C91BDD" w:rsidRPr="0099310D">
        <w:rPr>
          <w:rFonts w:eastAsia="Times New Roman" w:cs="Arial"/>
          <w:color w:val="212529"/>
          <w:szCs w:val="20"/>
          <w:lang w:val="en-CA" w:eastAsia="en-GB"/>
        </w:rPr>
        <w:t>from the expert assessment of the status of game species that hunting activities may be resumed in a foreseeable future</w:t>
      </w:r>
      <w:r w:rsidRPr="0099310D">
        <w:rPr>
          <w:rFonts w:eastAsia="Times New Roman" w:cs="Arial"/>
          <w:color w:val="212529"/>
          <w:szCs w:val="20"/>
          <w:lang w:val="en-CA" w:eastAsia="en-GB"/>
        </w:rPr>
        <w:t xml:space="preserve">, the project will support </w:t>
      </w:r>
      <w:r w:rsidR="00C906B8" w:rsidRPr="0099310D">
        <w:rPr>
          <w:lang w:val="en-GB"/>
        </w:rPr>
        <w:t xml:space="preserve">capacity </w:t>
      </w:r>
      <w:r w:rsidRPr="0099310D">
        <w:rPr>
          <w:rFonts w:eastAsia="Times New Roman" w:cs="Arial"/>
          <w:color w:val="212529"/>
          <w:szCs w:val="20"/>
          <w:lang w:val="en-CA" w:eastAsia="en-GB"/>
        </w:rPr>
        <w:t xml:space="preserve">building </w:t>
      </w:r>
      <w:r w:rsidR="00C906B8" w:rsidRPr="0099310D">
        <w:rPr>
          <w:rFonts w:eastAsia="Times New Roman" w:cs="Arial"/>
          <w:color w:val="212529"/>
          <w:szCs w:val="20"/>
          <w:lang w:val="en-CA" w:eastAsia="en-GB"/>
        </w:rPr>
        <w:t xml:space="preserve">for </w:t>
      </w:r>
      <w:r w:rsidRPr="0099310D">
        <w:rPr>
          <w:lang w:val="en-GB"/>
        </w:rPr>
        <w:t xml:space="preserve">the stakeholders responsible for overseeing or implementing hunting management in line with related activities under the output 2.2.2 to strengthen the sustainability of hunting management: i) Government officers in the central and decentralized directions, namely </w:t>
      </w:r>
      <w:r w:rsidRPr="0099310D">
        <w:rPr>
          <w:szCs w:val="20"/>
          <w:lang w:val="en-CA"/>
        </w:rPr>
        <w:t>the Department of Planning and Ecological Monitoring of the DFRC,</w:t>
      </w:r>
      <w:r w:rsidRPr="0099310D">
        <w:rPr>
          <w:lang w:val="en-GB"/>
        </w:rPr>
        <w:t xml:space="preserve"> and </w:t>
      </w:r>
      <w:r w:rsidRPr="0099310D">
        <w:rPr>
          <w:szCs w:val="20"/>
          <w:lang w:val="en-GB"/>
        </w:rPr>
        <w:t xml:space="preserve">technical services </w:t>
      </w:r>
      <w:r w:rsidRPr="0099310D">
        <w:rPr>
          <w:lang w:val="en-GB"/>
        </w:rPr>
        <w:t>in charge of wildlife</w:t>
      </w:r>
      <w:r w:rsidRPr="0099310D">
        <w:rPr>
          <w:szCs w:val="20"/>
          <w:lang w:val="en-CA"/>
        </w:rPr>
        <w:t>,</w:t>
      </w:r>
      <w:r w:rsidRPr="0099310D">
        <w:rPr>
          <w:lang w:val="en-GB"/>
        </w:rPr>
        <w:t xml:space="preserve"> to fulfil the State’s sovereign functions of </w:t>
      </w:r>
      <w:r w:rsidRPr="0099310D">
        <w:rPr>
          <w:rFonts w:asciiTheme="minorHAnsi" w:hAnsiTheme="minorHAnsi" w:cs="Swiss721BT-Roman"/>
          <w:szCs w:val="20"/>
          <w:lang w:val="en-CA"/>
        </w:rPr>
        <w:t>monitoring and assessing resources and habitats to allocate areas, assign permits and licenses</w:t>
      </w:r>
      <w:r w:rsidRPr="0099310D">
        <w:rPr>
          <w:rFonts w:asciiTheme="minorHAnsi" w:hAnsiTheme="minorHAnsi"/>
          <w:szCs w:val="20"/>
          <w:lang w:val="en-CA"/>
        </w:rPr>
        <w:t xml:space="preserve"> for sport and traditional hunting</w:t>
      </w:r>
      <w:r w:rsidRPr="0099310D">
        <w:rPr>
          <w:rFonts w:asciiTheme="minorHAnsi" w:hAnsiTheme="minorHAnsi" w:cs="Swiss721BT-Roman"/>
          <w:szCs w:val="20"/>
          <w:lang w:val="en-CA"/>
        </w:rPr>
        <w:t xml:space="preserve">, defining regulations and quotas and monitoring captures against established quotas, planning and implementing surveillance, </w:t>
      </w:r>
      <w:r w:rsidRPr="0099310D">
        <w:rPr>
          <w:rFonts w:asciiTheme="minorHAnsi" w:hAnsiTheme="minorHAnsi"/>
          <w:szCs w:val="20"/>
          <w:lang w:val="en-CA"/>
        </w:rPr>
        <w:t xml:space="preserve">defining specifications for the management of concessions by concessionaires, assessing the observation of such specifications by concessions and the ability of concessionaires to manage concessions effectively, and assisting local communities in managing </w:t>
      </w:r>
      <w:r w:rsidRPr="0099310D">
        <w:rPr>
          <w:rFonts w:asciiTheme="minorHAnsi" w:hAnsiTheme="minorHAnsi"/>
          <w:szCs w:val="20"/>
          <w:lang w:val="en-GB"/>
        </w:rPr>
        <w:t xml:space="preserve">the ZOVICs; </w:t>
      </w:r>
      <w:r w:rsidRPr="0099310D">
        <w:rPr>
          <w:lang w:val="en-GB"/>
        </w:rPr>
        <w:t xml:space="preserve">and ii) local community members involved in ZOVICs (namely village hunting management committees) to fulfil their role in the management of hunting activities, including monitoring and assessing resources and habitats to support management decision-making and </w:t>
      </w:r>
      <w:r w:rsidRPr="0099310D">
        <w:rPr>
          <w:szCs w:val="20"/>
          <w:lang w:val="en-GB"/>
        </w:rPr>
        <w:t>determination of permissible activities within the ZOVICs</w:t>
      </w:r>
      <w:r w:rsidR="00302BFE" w:rsidRPr="0099310D">
        <w:rPr>
          <w:lang w:val="en-GB"/>
        </w:rPr>
        <w:t>.</w:t>
      </w:r>
    </w:p>
    <w:p w14:paraId="4E0D95D1" w14:textId="05164FCD" w:rsidR="00BA5E51" w:rsidRPr="00D61C93" w:rsidRDefault="00302BFE" w:rsidP="00C46720">
      <w:pPr>
        <w:pStyle w:val="Paragraphedeliste"/>
        <w:numPr>
          <w:ilvl w:val="0"/>
          <w:numId w:val="14"/>
        </w:numPr>
        <w:tabs>
          <w:tab w:val="left" w:pos="284"/>
        </w:tabs>
        <w:spacing w:before="120" w:after="120"/>
        <w:ind w:left="0" w:firstLine="0"/>
        <w:jc w:val="both"/>
        <w:rPr>
          <w:rFonts w:asciiTheme="minorHAnsi" w:hAnsiTheme="minorHAnsi"/>
          <w:sz w:val="20"/>
          <w:szCs w:val="20"/>
          <w:lang w:val="en-CA"/>
        </w:rPr>
      </w:pPr>
      <w:r w:rsidRPr="009E6CE7">
        <w:rPr>
          <w:rFonts w:asciiTheme="minorHAnsi" w:eastAsia="Cambria" w:hAnsiTheme="minorHAnsi"/>
          <w:sz w:val="20"/>
          <w:szCs w:val="20"/>
          <w:lang w:val="en-GB"/>
        </w:rPr>
        <w:t>Guidelines for training rangers, eco-guards and PA managers involved in anti-poaching have been developed by the International Ranger Federation and its partners (Southern African Wildlife College, PAMS Foundation, WWF, African Parks Network, The Thin Green Line Foundation</w:t>
      </w:r>
      <w:r w:rsidRPr="009E6CE7">
        <w:rPr>
          <w:rFonts w:asciiTheme="minorHAnsi" w:hAnsiTheme="minorHAnsi"/>
          <w:sz w:val="20"/>
          <w:szCs w:val="20"/>
        </w:rPr>
        <w:t>)</w:t>
      </w:r>
      <w:r w:rsidRPr="009E6CE7">
        <w:rPr>
          <w:rStyle w:val="Appelnotedebasdep"/>
          <w:rFonts w:asciiTheme="minorHAnsi" w:eastAsia="Cambria" w:hAnsiTheme="minorHAnsi"/>
          <w:sz w:val="20"/>
          <w:szCs w:val="20"/>
        </w:rPr>
        <w:footnoteReference w:id="48"/>
      </w:r>
      <w:r w:rsidRPr="009E6CE7">
        <w:rPr>
          <w:rFonts w:asciiTheme="minorHAnsi" w:eastAsia="Cambria" w:hAnsiTheme="minorHAnsi"/>
          <w:sz w:val="20"/>
          <w:szCs w:val="20"/>
          <w:lang w:val="en-GB"/>
        </w:rPr>
        <w:t xml:space="preserve"> and as part of the SMART approach and are available online. The International Ranger Federation’s publication presents international standards of good practice to help improve the standards of effectiveness of the tactics and strategies employed by rangers in the field and enhance their level of safety in their work in protected areas, facing armed poachers who illegally exploit fauna and flora species. Based on these guidelines, clear </w:t>
      </w:r>
      <w:proofErr w:type="gramStart"/>
      <w:r w:rsidRPr="009E6CE7">
        <w:rPr>
          <w:rFonts w:asciiTheme="minorHAnsi" w:eastAsia="Cambria" w:hAnsiTheme="minorHAnsi"/>
          <w:sz w:val="20"/>
          <w:szCs w:val="20"/>
          <w:lang w:val="en-GB"/>
        </w:rPr>
        <w:t>guidance</w:t>
      </w:r>
      <w:proofErr w:type="gramEnd"/>
      <w:r w:rsidRPr="009E6CE7">
        <w:rPr>
          <w:rFonts w:asciiTheme="minorHAnsi" w:eastAsia="Cambria" w:hAnsiTheme="minorHAnsi"/>
          <w:sz w:val="20"/>
          <w:szCs w:val="20"/>
          <w:lang w:val="en-GB"/>
        </w:rPr>
        <w:t xml:space="preserve"> and procedures for enforcing regulations will be identified and communicated to all stakeholders engaged in surveillance and enforcement of regulations for all PAs. These guidelines and procedures will include stringent rules on the violation of human rights to prevent any community member, eco-guard or ranger directly or indirectly involved in surveillance activities under the project from being </w:t>
      </w:r>
      <w:r w:rsidRPr="00D61C93">
        <w:rPr>
          <w:rFonts w:asciiTheme="minorHAnsi" w:eastAsia="Cambria" w:hAnsiTheme="minorHAnsi"/>
          <w:sz w:val="20"/>
          <w:szCs w:val="20"/>
          <w:lang w:val="en-GB"/>
        </w:rPr>
        <w:t xml:space="preserve">implicated in a case of violence against vulnerable local populations. </w:t>
      </w:r>
      <w:r w:rsidR="005106FA" w:rsidRPr="00D61C93">
        <w:rPr>
          <w:rFonts w:asciiTheme="minorHAnsi" w:hAnsiTheme="minorHAnsi"/>
          <w:sz w:val="20"/>
          <w:szCs w:val="20"/>
          <w:lang w:val="en-CA"/>
        </w:rPr>
        <w:t xml:space="preserve">Service providers for different elements will be determined in the first year of project either through a procurement process or based on collaborative advantage analysis as per the UNDP rules and regulations. </w:t>
      </w:r>
      <w:r w:rsidR="009E6CE7" w:rsidRPr="00D61C93">
        <w:rPr>
          <w:rFonts w:asciiTheme="minorHAnsi" w:hAnsiTheme="minorHAnsi"/>
          <w:sz w:val="20"/>
          <w:szCs w:val="20"/>
          <w:lang w:val="en-CA"/>
        </w:rPr>
        <w:t xml:space="preserve">Possible providers for training on the SMART approach to monitor and report on poaching occurrences include the IUCN Regional Office (based in Ouagadougou) and WCS (without representation in Burkina Faso, the nearest office </w:t>
      </w:r>
      <w:proofErr w:type="gramStart"/>
      <w:r w:rsidR="009E6CE7" w:rsidRPr="00D61C93">
        <w:rPr>
          <w:rFonts w:asciiTheme="minorHAnsi" w:hAnsiTheme="minorHAnsi"/>
          <w:sz w:val="20"/>
          <w:szCs w:val="20"/>
          <w:lang w:val="en-CA"/>
        </w:rPr>
        <w:t>being located in</w:t>
      </w:r>
      <w:proofErr w:type="gramEnd"/>
      <w:r w:rsidR="009E6CE7" w:rsidRPr="00D61C93">
        <w:rPr>
          <w:rFonts w:asciiTheme="minorHAnsi" w:hAnsiTheme="minorHAnsi"/>
          <w:sz w:val="20"/>
          <w:szCs w:val="20"/>
          <w:lang w:val="en-CA"/>
        </w:rPr>
        <w:t xml:space="preserve"> Cameroon).</w:t>
      </w:r>
      <w:r w:rsidR="009E6CE7" w:rsidRPr="00D61C93">
        <w:rPr>
          <w:rFonts w:asciiTheme="minorHAnsi" w:hAnsiTheme="minorHAnsi"/>
          <w:sz w:val="20"/>
          <w:szCs w:val="20"/>
          <w:lang w:val="en-CA" w:eastAsia="fr-CA"/>
        </w:rPr>
        <w:t xml:space="preserve"> Another potential provider for technical training is </w:t>
      </w:r>
      <w:r w:rsidR="009E6CE7" w:rsidRPr="00D61C93">
        <w:rPr>
          <w:rFonts w:asciiTheme="minorHAnsi" w:hAnsiTheme="minorHAnsi"/>
          <w:bCs/>
          <w:sz w:val="20"/>
          <w:szCs w:val="20"/>
          <w:lang w:val="en-CA"/>
        </w:rPr>
        <w:t>Wildlife Angel (wilang.org), a Non-Profit Organization with a permanent branch in Burkina Faso</w:t>
      </w:r>
      <w:r w:rsidR="009E6CE7" w:rsidRPr="00D61C93">
        <w:rPr>
          <w:rStyle w:val="Appelnotedebasdep"/>
          <w:bCs/>
          <w:szCs w:val="20"/>
          <w:lang w:val="en-CA"/>
        </w:rPr>
        <w:footnoteReference w:id="49"/>
      </w:r>
      <w:r w:rsidR="009E6CE7" w:rsidRPr="00D61C93">
        <w:rPr>
          <w:rFonts w:asciiTheme="minorHAnsi" w:hAnsiTheme="minorHAnsi"/>
          <w:bCs/>
          <w:sz w:val="20"/>
          <w:szCs w:val="20"/>
          <w:lang w:val="en-CA"/>
        </w:rPr>
        <w:t xml:space="preserve"> since 2017, specialised in organizing natural and wildlife parks protection, especially in West Africa. The NGO conducts effective actions to reduce poaching in areas under their responsibility, and enforce anti-poaching teams' compliance with human rights regulations, especially those of poachers. </w:t>
      </w:r>
      <w:r w:rsidR="00BA5E51" w:rsidRPr="00D61C93">
        <w:rPr>
          <w:rFonts w:asciiTheme="minorHAnsi" w:hAnsiTheme="minorHAnsi"/>
          <w:bCs/>
          <w:sz w:val="20"/>
          <w:szCs w:val="20"/>
          <w:lang w:val="en-CA"/>
        </w:rPr>
        <w:t>Their approach is technical and military but also includes involving local communities and traditional authorities in the fight against poaching to establish an information network to anticipate poachers’ presence and adapt response.</w:t>
      </w:r>
    </w:p>
    <w:p w14:paraId="1AB9215C" w14:textId="2D2A8C8D"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D61C93">
        <w:rPr>
          <w:rFonts w:ascii="Calibri" w:eastAsia="Cambria" w:hAnsi="Calibri"/>
          <w:sz w:val="20"/>
          <w:szCs w:val="20"/>
          <w:u w:val="single"/>
          <w:lang w:val="en-GB"/>
        </w:rPr>
        <w:t>Implementation of the capacity building program</w:t>
      </w:r>
      <w:r w:rsidRPr="00D61C93">
        <w:rPr>
          <w:rFonts w:ascii="Calibri" w:eastAsia="Cambria" w:hAnsi="Calibri"/>
          <w:color w:val="4472C4"/>
          <w:sz w:val="20"/>
          <w:szCs w:val="20"/>
          <w:lang w:val="en-GB"/>
        </w:rPr>
        <w:t xml:space="preserve"> </w:t>
      </w:r>
      <w:r w:rsidRPr="00D61C93">
        <w:rPr>
          <w:rFonts w:ascii="Calibri" w:eastAsia="Cambria" w:hAnsi="Calibri"/>
          <w:sz w:val="20"/>
          <w:szCs w:val="20"/>
          <w:lang w:val="en-GB"/>
        </w:rPr>
        <w:t xml:space="preserve">will be based on guidelines provided by the IUCN publication "Training of Protected Area Personnel: Guidelines for Planning and Management", and the publication of Lotter </w:t>
      </w:r>
      <w:r w:rsidRPr="00D61C93">
        <w:rPr>
          <w:rFonts w:ascii="Calibri" w:eastAsia="Cambria" w:hAnsi="Calibri"/>
          <w:i/>
          <w:sz w:val="20"/>
          <w:szCs w:val="20"/>
          <w:lang w:val="en-GB"/>
        </w:rPr>
        <w:t>et al</w:t>
      </w:r>
      <w:r w:rsidRPr="00D61C93">
        <w:rPr>
          <w:rFonts w:ascii="Calibri" w:eastAsia="Cambria" w:hAnsi="Calibri"/>
          <w:sz w:val="20"/>
          <w:szCs w:val="20"/>
          <w:lang w:val="en-GB"/>
        </w:rPr>
        <w:t xml:space="preserve">. 2016 "Anti-poaching in and around protected areas. Guidelines for training guards". The project will </w:t>
      </w:r>
      <w:r w:rsidR="00F44B50" w:rsidRPr="00D61C93">
        <w:rPr>
          <w:rFonts w:ascii="Calibri" w:eastAsia="Cambria" w:hAnsi="Calibri"/>
          <w:sz w:val="20"/>
          <w:szCs w:val="20"/>
          <w:lang w:val="en-GB"/>
        </w:rPr>
        <w:t>work with</w:t>
      </w:r>
      <w:r w:rsidRPr="00D61C93">
        <w:rPr>
          <w:rFonts w:ascii="Calibri" w:eastAsia="Cambria" w:hAnsi="Calibri"/>
          <w:sz w:val="20"/>
          <w:szCs w:val="20"/>
          <w:lang w:val="en-GB"/>
        </w:rPr>
        <w:t xml:space="preserve"> national academic institutions, including the National School of Water and Forests of the MEGECC, to offer targeted thematic and practical training in the workplace for staff and professionals of the PAs and other actors, </w:t>
      </w:r>
      <w:proofErr w:type="gramStart"/>
      <w:r w:rsidRPr="00D61C93">
        <w:rPr>
          <w:rFonts w:ascii="Calibri" w:eastAsia="Cambria" w:hAnsi="Calibri"/>
          <w:sz w:val="20"/>
          <w:szCs w:val="20"/>
          <w:lang w:val="en-GB"/>
        </w:rPr>
        <w:t>on the basis of</w:t>
      </w:r>
      <w:proofErr w:type="gramEnd"/>
      <w:r w:rsidRPr="00D61C93">
        <w:rPr>
          <w:rFonts w:ascii="Calibri" w:eastAsia="Cambria" w:hAnsi="Calibri"/>
          <w:sz w:val="20"/>
          <w:szCs w:val="20"/>
          <w:lang w:val="en-GB"/>
        </w:rPr>
        <w:t xml:space="preserve"> the capacity development plan. The training program will be integrated into the curriculum of these institutions. The project will also promote self-learning and establish a list of web sites including online training modules (available in French) on PA issues and biodiversity conservation to encourage staff to continually maintain and improve their skills. </w:t>
      </w:r>
    </w:p>
    <w:p w14:paraId="4B4175B4" w14:textId="58A7D42D" w:rsidR="00302BFE" w:rsidRPr="009E350B"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D61C93">
        <w:rPr>
          <w:rFonts w:ascii="Calibri" w:eastAsia="Cambria" w:hAnsi="Calibri"/>
          <w:sz w:val="20"/>
          <w:szCs w:val="20"/>
          <w:u w:val="single"/>
          <w:lang w:val="en-GB"/>
        </w:rPr>
        <w:t>Infrastructure and equipment</w:t>
      </w:r>
      <w:r w:rsidRPr="00D61C93">
        <w:rPr>
          <w:rFonts w:ascii="Calibri" w:hAnsi="Calibri"/>
          <w:sz w:val="20"/>
          <w:szCs w:val="20"/>
          <w:lang w:val="en-GB"/>
        </w:rPr>
        <w:t xml:space="preserve">: The main PA management units will have workspaces and essential equipment to fulfil their functions. The </w:t>
      </w:r>
      <w:proofErr w:type="spellStart"/>
      <w:r w:rsidRPr="00D61C93">
        <w:rPr>
          <w:rFonts w:ascii="Calibri" w:hAnsi="Calibri"/>
          <w:sz w:val="20"/>
          <w:szCs w:val="20"/>
          <w:lang w:val="en-GB"/>
        </w:rPr>
        <w:t>Nazinga</w:t>
      </w:r>
      <w:proofErr w:type="spellEnd"/>
      <w:r w:rsidRPr="00D61C93">
        <w:rPr>
          <w:rFonts w:ascii="Calibri" w:hAnsi="Calibri"/>
          <w:sz w:val="20"/>
          <w:szCs w:val="20"/>
          <w:lang w:val="en-GB"/>
        </w:rPr>
        <w:t xml:space="preserve"> and </w:t>
      </w:r>
      <w:proofErr w:type="spellStart"/>
      <w:r w:rsidRPr="00D61C93">
        <w:rPr>
          <w:rFonts w:ascii="Calibri" w:hAnsi="Calibri"/>
          <w:sz w:val="20"/>
          <w:szCs w:val="20"/>
          <w:lang w:val="en-GB"/>
        </w:rPr>
        <w:t>Sissili</w:t>
      </w:r>
      <w:proofErr w:type="spellEnd"/>
      <w:r w:rsidRPr="00D61C93">
        <w:rPr>
          <w:rFonts w:ascii="Calibri" w:hAnsi="Calibri"/>
          <w:sz w:val="20"/>
          <w:szCs w:val="20"/>
          <w:lang w:val="en-GB"/>
        </w:rPr>
        <w:t xml:space="preserve"> PAs are subject to concessions and the management is the responsibility of the concessionaire. On the other hand, the </w:t>
      </w:r>
      <w:r w:rsidRPr="00D61C93">
        <w:rPr>
          <w:rFonts w:ascii="Calibri" w:hAnsi="Calibri"/>
          <w:sz w:val="20"/>
          <w:szCs w:val="20"/>
          <w:lang w:val="en-CA"/>
        </w:rPr>
        <w:t>PNKT</w:t>
      </w:r>
      <w:r w:rsidRPr="00D61C93">
        <w:rPr>
          <w:rFonts w:ascii="Calibri" w:hAnsi="Calibri"/>
          <w:sz w:val="20"/>
          <w:szCs w:val="20"/>
          <w:lang w:val="en-GB"/>
        </w:rPr>
        <w:t xml:space="preserve"> is not subject to any concession and the project will concentrate its support in infrastructures and equipment to supplement the supports previously provided in the previous projects. A new building will be constructed to provide adequate </w:t>
      </w:r>
      <w:r w:rsidRPr="00D61C93">
        <w:rPr>
          <w:rFonts w:ascii="Calibri" w:hAnsi="Calibri"/>
          <w:sz w:val="20"/>
          <w:szCs w:val="20"/>
          <w:lang w:val="en-GB"/>
        </w:rPr>
        <w:lastRenderedPageBreak/>
        <w:t xml:space="preserve">space for PA management unit offices, common workspaces available to partners, volunteers, trainees, scientific visitors </w:t>
      </w:r>
      <w:r w:rsidRPr="00D61C93">
        <w:rPr>
          <w:rFonts w:ascii="Calibri" w:hAnsi="Calibri" w:cs="Calibri Light"/>
          <w:sz w:val="20"/>
          <w:szCs w:val="20"/>
        </w:rPr>
        <w:t>and tourist facilities (</w:t>
      </w:r>
      <w:proofErr w:type="gramStart"/>
      <w:r w:rsidRPr="00D61C93">
        <w:rPr>
          <w:rFonts w:ascii="Calibri" w:hAnsi="Calibri" w:cs="Calibri Light"/>
          <w:sz w:val="20"/>
          <w:szCs w:val="20"/>
        </w:rPr>
        <w:t>e.g.</w:t>
      </w:r>
      <w:proofErr w:type="gramEnd"/>
      <w:r w:rsidRPr="00D61C93">
        <w:rPr>
          <w:rFonts w:ascii="Calibri" w:hAnsi="Calibri" w:cs="Calibri Light"/>
          <w:sz w:val="20"/>
          <w:szCs w:val="20"/>
        </w:rPr>
        <w:t xml:space="preserve"> visitor reception, park presentation, etc.)</w:t>
      </w:r>
      <w:r w:rsidRPr="00D61C93">
        <w:rPr>
          <w:rFonts w:ascii="Calibri" w:hAnsi="Calibri"/>
          <w:sz w:val="20"/>
          <w:szCs w:val="20"/>
          <w:lang w:val="en-GB"/>
        </w:rPr>
        <w:t xml:space="preserve">. </w:t>
      </w:r>
      <w:proofErr w:type="gramStart"/>
      <w:r w:rsidRPr="00D61C93">
        <w:rPr>
          <w:rFonts w:ascii="Calibri" w:hAnsi="Calibri"/>
          <w:sz w:val="20"/>
          <w:szCs w:val="20"/>
          <w:lang w:val="en-GB"/>
        </w:rPr>
        <w:t>In order to</w:t>
      </w:r>
      <w:proofErr w:type="gramEnd"/>
      <w:r w:rsidRPr="00D61C93">
        <w:rPr>
          <w:rFonts w:ascii="Calibri" w:hAnsi="Calibri"/>
          <w:sz w:val="20"/>
          <w:szCs w:val="20"/>
          <w:lang w:val="en-GB"/>
        </w:rPr>
        <w:t xml:space="preserve"> avoid negative impacts on the protected area and sensitive resources and </w:t>
      </w:r>
      <w:r w:rsidRPr="00D61C93">
        <w:rPr>
          <w:rFonts w:ascii="Calibri" w:hAnsi="Calibri" w:cs="Calibri Light"/>
          <w:sz w:val="20"/>
          <w:szCs w:val="20"/>
        </w:rPr>
        <w:t>to be consistent with legal constraints,</w:t>
      </w:r>
      <w:r w:rsidRPr="00D61C93">
        <w:rPr>
          <w:rFonts w:ascii="Calibri" w:hAnsi="Calibri"/>
          <w:sz w:val="20"/>
          <w:szCs w:val="20"/>
          <w:lang w:val="en-GB"/>
        </w:rPr>
        <w:t xml:space="preserve"> the building will be located </w:t>
      </w:r>
      <w:r w:rsidRPr="00D61C93">
        <w:rPr>
          <w:rFonts w:ascii="Calibri" w:hAnsi="Calibri" w:cs="Calibri Light"/>
          <w:sz w:val="20"/>
          <w:szCs w:val="20"/>
        </w:rPr>
        <w:t xml:space="preserve">at the park entrance, </w:t>
      </w:r>
      <w:r w:rsidRPr="00D61C93">
        <w:rPr>
          <w:rFonts w:ascii="Calibri" w:hAnsi="Calibri"/>
          <w:sz w:val="20"/>
          <w:szCs w:val="20"/>
          <w:lang w:val="en-GB"/>
        </w:rPr>
        <w:t xml:space="preserve">outside </w:t>
      </w:r>
      <w:r w:rsidRPr="00D61C93">
        <w:rPr>
          <w:rFonts w:ascii="Calibri" w:hAnsi="Calibri" w:cs="Calibri Light"/>
          <w:sz w:val="20"/>
          <w:szCs w:val="20"/>
        </w:rPr>
        <w:t>the park boundaries</w:t>
      </w:r>
      <w:r w:rsidRPr="00D61C93">
        <w:rPr>
          <w:rFonts w:ascii="Calibri" w:hAnsi="Calibri"/>
          <w:sz w:val="20"/>
          <w:szCs w:val="20"/>
          <w:lang w:val="en-GB"/>
        </w:rPr>
        <w:t xml:space="preserve">. </w:t>
      </w:r>
      <w:r w:rsidRPr="00D61C93">
        <w:rPr>
          <w:rFonts w:ascii="Calibri" w:hAnsi="Calibri" w:cs="Calibri Light"/>
          <w:sz w:val="20"/>
          <w:szCs w:val="20"/>
        </w:rPr>
        <w:t xml:space="preserve">The visitor complex will be strategically located regarding </w:t>
      </w:r>
      <w:r w:rsidR="00E73212" w:rsidRPr="00D61C93">
        <w:rPr>
          <w:rFonts w:ascii="Calibri" w:hAnsi="Calibri" w:cs="Calibri Light"/>
          <w:sz w:val="20"/>
          <w:szCs w:val="20"/>
        </w:rPr>
        <w:t>visitors’</w:t>
      </w:r>
      <w:r w:rsidRPr="00D61C93">
        <w:rPr>
          <w:rFonts w:ascii="Calibri" w:hAnsi="Calibri" w:cs="Calibri Light"/>
          <w:sz w:val="20"/>
          <w:szCs w:val="20"/>
        </w:rPr>
        <w:t xml:space="preserve"> access to the main attractions, entrance gates and access route, and the building architecture and surrounding landscape will be designed following sustainable design principles. This will include furniture, equipment, electrification with solar panels and natural cooling systems, water provision including through water harvesting and grey-water recycling. The establishment of the </w:t>
      </w:r>
      <w:r w:rsidRPr="00AC1C65">
        <w:rPr>
          <w:rFonts w:ascii="Calibri" w:hAnsi="Calibri" w:cs="Calibri Light"/>
          <w:sz w:val="20"/>
          <w:szCs w:val="20"/>
        </w:rPr>
        <w:t xml:space="preserve">visitor complex will be preceded by the elaboration of a feasibility study and a business plan and an environmental impact assessment. </w:t>
      </w:r>
      <w:r w:rsidRPr="00AC1C65">
        <w:rPr>
          <w:rFonts w:ascii="Calibri" w:hAnsi="Calibri"/>
          <w:sz w:val="20"/>
          <w:szCs w:val="20"/>
          <w:lang w:val="en-GB"/>
        </w:rPr>
        <w:t>Six (6) observation towers or platforms will be constructed in strategic locations of the PAs to contribute to monitoring and tourist use. ECOSAN-style public toilets will be built at key points for PAs visitors and staff.</w:t>
      </w:r>
      <w:r w:rsidR="001E5CCF" w:rsidRPr="00AC1C65">
        <w:rPr>
          <w:rFonts w:ascii="Calibri" w:hAnsi="Calibri"/>
          <w:sz w:val="20"/>
          <w:szCs w:val="20"/>
          <w:lang w:val="en-GB"/>
        </w:rPr>
        <w:t xml:space="preserve"> Care</w:t>
      </w:r>
      <w:r w:rsidR="001E5CCF" w:rsidRPr="00A63E29">
        <w:rPr>
          <w:rFonts w:ascii="Calibri" w:hAnsi="Calibri"/>
          <w:sz w:val="20"/>
          <w:szCs w:val="20"/>
          <w:lang w:val="en-GB"/>
        </w:rPr>
        <w:t xml:space="preserve"> will be given to design the visitor </w:t>
      </w:r>
      <w:proofErr w:type="spellStart"/>
      <w:r w:rsidR="001E5CCF" w:rsidRPr="00A63E29">
        <w:rPr>
          <w:rFonts w:ascii="Calibri" w:hAnsi="Calibri"/>
          <w:sz w:val="20"/>
          <w:szCs w:val="20"/>
          <w:lang w:val="en-GB"/>
        </w:rPr>
        <w:t>center</w:t>
      </w:r>
      <w:proofErr w:type="spellEnd"/>
      <w:r w:rsidR="001E5CCF" w:rsidRPr="00A63E29">
        <w:rPr>
          <w:rFonts w:ascii="Calibri" w:hAnsi="Calibri"/>
          <w:sz w:val="20"/>
          <w:szCs w:val="20"/>
          <w:lang w:val="en-GB"/>
        </w:rPr>
        <w:t xml:space="preserve"> in such a way that there is sufficient space in key areas to respect recommended social distancing and that waiting areas are suitably designed to </w:t>
      </w:r>
      <w:proofErr w:type="gramStart"/>
      <w:r w:rsidR="001E5CCF" w:rsidRPr="00A63E29">
        <w:rPr>
          <w:rFonts w:ascii="Calibri" w:hAnsi="Calibri"/>
          <w:sz w:val="20"/>
          <w:szCs w:val="20"/>
          <w:lang w:val="en-GB"/>
        </w:rPr>
        <w:t>comfortably and safely accommodate visitors</w:t>
      </w:r>
      <w:proofErr w:type="gramEnd"/>
      <w:r w:rsidR="001E5CCF" w:rsidRPr="00A63E29">
        <w:rPr>
          <w:rFonts w:ascii="Calibri" w:hAnsi="Calibri"/>
          <w:sz w:val="20"/>
          <w:szCs w:val="20"/>
          <w:lang w:val="en-GB"/>
        </w:rPr>
        <w:t xml:space="preserve"> during waiting times before they can enter the visitor </w:t>
      </w:r>
      <w:proofErr w:type="spellStart"/>
      <w:r w:rsidR="001E5CCF" w:rsidRPr="00A63E29">
        <w:rPr>
          <w:rFonts w:ascii="Calibri" w:hAnsi="Calibri"/>
          <w:sz w:val="20"/>
          <w:szCs w:val="20"/>
          <w:lang w:val="en-GB"/>
        </w:rPr>
        <w:t>center</w:t>
      </w:r>
      <w:proofErr w:type="spellEnd"/>
      <w:r w:rsidR="001E5CCF" w:rsidRPr="00A63E29">
        <w:rPr>
          <w:rFonts w:ascii="Calibri" w:hAnsi="Calibri"/>
          <w:sz w:val="20"/>
          <w:szCs w:val="20"/>
          <w:lang w:val="en-GB"/>
        </w:rPr>
        <w:t xml:space="preserve"> during peak times.</w:t>
      </w:r>
      <w:r w:rsidR="001E5CCF" w:rsidRPr="009E350B">
        <w:rPr>
          <w:rFonts w:ascii="Calibri" w:hAnsi="Calibri"/>
          <w:sz w:val="20"/>
          <w:szCs w:val="20"/>
          <w:lang w:val="en-GB"/>
        </w:rPr>
        <w:t xml:space="preserve"> </w:t>
      </w:r>
    </w:p>
    <w:p w14:paraId="294D4578"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D61C93">
        <w:rPr>
          <w:rFonts w:ascii="Calibri" w:hAnsi="Calibri"/>
          <w:sz w:val="20"/>
          <w:szCs w:val="20"/>
          <w:lang w:val="en-GB"/>
        </w:rPr>
        <w:t>The basic equipment required for the management of protected areas, particularly for ecological monitoring and surveillance and anti-poaching activities, will be identified for each site, and the means of transport according to the extent of the area to monitor. This will involve acquiring the following equipment:</w:t>
      </w:r>
    </w:p>
    <w:p w14:paraId="146EE696" w14:textId="77777777" w:rsidR="00302BFE" w:rsidRPr="00D61C93" w:rsidRDefault="00302BFE" w:rsidP="00C46720">
      <w:pPr>
        <w:numPr>
          <w:ilvl w:val="0"/>
          <w:numId w:val="19"/>
        </w:numPr>
        <w:spacing w:after="0"/>
        <w:ind w:left="680" w:hanging="340"/>
        <w:rPr>
          <w:szCs w:val="20"/>
          <w:lang w:val="en-GB"/>
        </w:rPr>
      </w:pPr>
      <w:r w:rsidRPr="00D61C93">
        <w:rPr>
          <w:szCs w:val="20"/>
          <w:lang w:val="en-GB"/>
        </w:rPr>
        <w:t xml:space="preserve">Vehicles (a 4x4 vehicle for the </w:t>
      </w:r>
      <w:r w:rsidRPr="00D61C93">
        <w:rPr>
          <w:szCs w:val="20"/>
          <w:lang w:val="en-CA"/>
        </w:rPr>
        <w:t>PNKT</w:t>
      </w:r>
      <w:r w:rsidRPr="00D61C93">
        <w:rPr>
          <w:szCs w:val="20"/>
          <w:lang w:val="en-GB"/>
        </w:rPr>
        <w:t xml:space="preserve"> management unit / motorcycles for the eco-guards of the 3 PAs</w:t>
      </w:r>
      <w:proofErr w:type="gramStart"/>
      <w:r w:rsidRPr="00D61C93">
        <w:rPr>
          <w:szCs w:val="20"/>
          <w:lang w:val="en-GB"/>
        </w:rPr>
        <w:t>);</w:t>
      </w:r>
      <w:proofErr w:type="gramEnd"/>
    </w:p>
    <w:p w14:paraId="7D90C1BC" w14:textId="77777777" w:rsidR="00302BFE" w:rsidRPr="00D61C93" w:rsidRDefault="00302BFE" w:rsidP="00C46720">
      <w:pPr>
        <w:numPr>
          <w:ilvl w:val="0"/>
          <w:numId w:val="19"/>
        </w:numPr>
        <w:spacing w:after="0"/>
        <w:ind w:left="680" w:hanging="340"/>
        <w:rPr>
          <w:szCs w:val="20"/>
          <w:lang w:val="en-GB"/>
        </w:rPr>
      </w:pPr>
      <w:r w:rsidRPr="00D61C93">
        <w:rPr>
          <w:szCs w:val="20"/>
          <w:lang w:val="en-GB"/>
        </w:rPr>
        <w:t>Uniforms and equipment for eco-guards and rangers of the 3 PAs (tents, backpacks, mattresses, torches, water bottles, dinner pails – further detail provided in the budget note 18</w:t>
      </w:r>
      <w:proofErr w:type="gramStart"/>
      <w:r w:rsidRPr="00D61C93">
        <w:rPr>
          <w:szCs w:val="20"/>
          <w:lang w:val="en-GB"/>
        </w:rPr>
        <w:t>);</w:t>
      </w:r>
      <w:proofErr w:type="gramEnd"/>
    </w:p>
    <w:p w14:paraId="356540CF" w14:textId="77777777" w:rsidR="00302BFE" w:rsidRPr="00D61C93" w:rsidRDefault="00302BFE" w:rsidP="00C46720">
      <w:pPr>
        <w:numPr>
          <w:ilvl w:val="0"/>
          <w:numId w:val="19"/>
        </w:numPr>
        <w:spacing w:after="0"/>
        <w:ind w:left="680" w:hanging="340"/>
        <w:rPr>
          <w:szCs w:val="20"/>
          <w:lang w:val="en-GB"/>
        </w:rPr>
      </w:pPr>
      <w:r w:rsidRPr="00D61C93">
        <w:rPr>
          <w:szCs w:val="20"/>
          <w:lang w:val="en-GB"/>
        </w:rPr>
        <w:t xml:space="preserve">Equipment for surveys, ecological monitoring and anti-poaching activities: including GPS, compasses, binoculars, digital </w:t>
      </w:r>
      <w:proofErr w:type="gramStart"/>
      <w:r w:rsidRPr="00D61C93">
        <w:rPr>
          <w:szCs w:val="20"/>
          <w:lang w:val="en-GB"/>
        </w:rPr>
        <w:t>cameras;</w:t>
      </w:r>
      <w:proofErr w:type="gramEnd"/>
    </w:p>
    <w:p w14:paraId="08741441" w14:textId="77777777" w:rsidR="00302BFE" w:rsidRPr="00D61C93" w:rsidRDefault="00302BFE" w:rsidP="00C46720">
      <w:pPr>
        <w:numPr>
          <w:ilvl w:val="0"/>
          <w:numId w:val="19"/>
        </w:numPr>
        <w:spacing w:after="0"/>
        <w:ind w:left="680" w:hanging="340"/>
        <w:rPr>
          <w:szCs w:val="20"/>
          <w:lang w:val="en-GB"/>
        </w:rPr>
      </w:pPr>
      <w:r w:rsidRPr="00D61C93">
        <w:rPr>
          <w:szCs w:val="20"/>
          <w:lang w:val="en-GB"/>
        </w:rPr>
        <w:t xml:space="preserve">First aid kits (for surveillance teams, PA offices / reception </w:t>
      </w:r>
      <w:proofErr w:type="spellStart"/>
      <w:r w:rsidRPr="00D61C93">
        <w:rPr>
          <w:szCs w:val="20"/>
          <w:lang w:val="en-GB"/>
        </w:rPr>
        <w:t>centers</w:t>
      </w:r>
      <w:proofErr w:type="spellEnd"/>
      <w:proofErr w:type="gramStart"/>
      <w:r w:rsidRPr="00D61C93">
        <w:rPr>
          <w:szCs w:val="20"/>
          <w:lang w:val="en-GB"/>
        </w:rPr>
        <w:t>);</w:t>
      </w:r>
      <w:proofErr w:type="gramEnd"/>
    </w:p>
    <w:p w14:paraId="6839A6ED" w14:textId="77777777" w:rsidR="00302BFE" w:rsidRPr="00D61C93" w:rsidRDefault="00302BFE" w:rsidP="00C46720">
      <w:pPr>
        <w:numPr>
          <w:ilvl w:val="0"/>
          <w:numId w:val="19"/>
        </w:numPr>
        <w:spacing w:after="0"/>
        <w:ind w:left="680" w:hanging="340"/>
        <w:rPr>
          <w:szCs w:val="20"/>
          <w:lang w:val="en-GB"/>
        </w:rPr>
      </w:pPr>
      <w:r w:rsidRPr="00D61C93">
        <w:rPr>
          <w:szCs w:val="20"/>
          <w:lang w:val="en-GB"/>
        </w:rPr>
        <w:t xml:space="preserve">Communication equipment for PA staff, rangers and eco-guards: depending on the coverage and reliability of the mobile network within the project's intervention sites, the project will acquire cellular phones and / or radio equipment allowing rapid transmission of information concerning incidents or illegal </w:t>
      </w:r>
      <w:proofErr w:type="gramStart"/>
      <w:r w:rsidRPr="00D61C93">
        <w:rPr>
          <w:szCs w:val="20"/>
          <w:lang w:val="en-GB"/>
        </w:rPr>
        <w:t>activities;</w:t>
      </w:r>
      <w:proofErr w:type="gramEnd"/>
    </w:p>
    <w:p w14:paraId="06C5BD79" w14:textId="77777777" w:rsidR="00302BFE" w:rsidRPr="00D61C93" w:rsidRDefault="00302BFE" w:rsidP="00C46720">
      <w:pPr>
        <w:numPr>
          <w:ilvl w:val="0"/>
          <w:numId w:val="19"/>
        </w:numPr>
        <w:spacing w:after="0"/>
        <w:ind w:left="680" w:hanging="340"/>
        <w:rPr>
          <w:szCs w:val="20"/>
          <w:lang w:val="en-GB"/>
        </w:rPr>
      </w:pPr>
      <w:r w:rsidRPr="00D61C93">
        <w:rPr>
          <w:szCs w:val="20"/>
          <w:lang w:val="en-GB"/>
        </w:rPr>
        <w:t xml:space="preserve">Office equipment for the </w:t>
      </w:r>
      <w:r w:rsidRPr="00D61C93">
        <w:rPr>
          <w:szCs w:val="20"/>
          <w:lang w:val="en-CA"/>
        </w:rPr>
        <w:t>PNKT</w:t>
      </w:r>
      <w:r w:rsidRPr="00D61C93">
        <w:rPr>
          <w:szCs w:val="20"/>
          <w:lang w:val="en-GB"/>
        </w:rPr>
        <w:t xml:space="preserve"> office (basic furniture, furniture for a meeting room, desktop computers, inverters, external hard disk, printer, digitizer, video projector).</w:t>
      </w:r>
    </w:p>
    <w:p w14:paraId="6B028998" w14:textId="77777777" w:rsidR="00302BFE" w:rsidRPr="00D61C93" w:rsidRDefault="00302BFE" w:rsidP="00302BFE">
      <w:pPr>
        <w:spacing w:before="240" w:after="120"/>
        <w:rPr>
          <w:b/>
          <w:szCs w:val="20"/>
          <w:lang w:val="en-GB"/>
        </w:rPr>
      </w:pPr>
      <w:r w:rsidRPr="00D61C93">
        <w:rPr>
          <w:b/>
          <w:szCs w:val="20"/>
          <w:lang w:val="en-GB"/>
        </w:rPr>
        <w:t>Output 2.2 The management effectiveness of the State-managed PAs of the PONASI complex - Kabore-</w:t>
      </w:r>
      <w:proofErr w:type="spellStart"/>
      <w:r w:rsidRPr="00D61C93">
        <w:rPr>
          <w:b/>
          <w:szCs w:val="20"/>
          <w:lang w:val="en-GB"/>
        </w:rPr>
        <w:t>Tambi</w:t>
      </w:r>
      <w:proofErr w:type="spellEnd"/>
      <w:r w:rsidRPr="00D61C93">
        <w:rPr>
          <w:b/>
          <w:szCs w:val="20"/>
          <w:lang w:val="en-GB"/>
        </w:rPr>
        <w:t xml:space="preserve"> (169,000 ha), </w:t>
      </w:r>
      <w:proofErr w:type="spellStart"/>
      <w:r w:rsidRPr="00D61C93">
        <w:rPr>
          <w:b/>
          <w:szCs w:val="20"/>
          <w:lang w:val="en-GB"/>
        </w:rPr>
        <w:t>Nazinga</w:t>
      </w:r>
      <w:proofErr w:type="spellEnd"/>
      <w:r w:rsidRPr="00D61C93">
        <w:rPr>
          <w:b/>
          <w:szCs w:val="20"/>
          <w:lang w:val="en-GB"/>
        </w:rPr>
        <w:t xml:space="preserve"> (91,300 ha) and </w:t>
      </w:r>
      <w:proofErr w:type="spellStart"/>
      <w:r w:rsidRPr="00D61C93">
        <w:rPr>
          <w:b/>
          <w:szCs w:val="20"/>
          <w:lang w:val="en-GB"/>
        </w:rPr>
        <w:t>Sissili</w:t>
      </w:r>
      <w:proofErr w:type="spellEnd"/>
      <w:r w:rsidRPr="00D61C93">
        <w:rPr>
          <w:b/>
          <w:szCs w:val="20"/>
          <w:lang w:val="en-GB"/>
        </w:rPr>
        <w:t xml:space="preserve"> (32,700 ha), including corridors # 1 (4,500 ha) and # 2 (33,000 ha) - is reinforced by a series of technical support. </w:t>
      </w:r>
    </w:p>
    <w:p w14:paraId="5B6586BA"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D61C93">
        <w:rPr>
          <w:rFonts w:ascii="Calibri" w:hAnsi="Calibri"/>
          <w:sz w:val="20"/>
          <w:szCs w:val="20"/>
          <w:lang w:val="en-GB"/>
        </w:rPr>
        <w:t>These supports include the establishment and institutionalization of long-term management plans for PAs, which will be translated into annual operational programs, the consolidation of infrastructure and essential management equipment, a business plan for all PAs, sustainable management measures for the species used especially in hunting areas, a collaborative management approach involving communities. The management and development plans, the business plan for the PA complex, and the elephant and exploited species conservation plans will be subsidiary elements of the overall landscape management master plan. The project will explore collaborative approaches with communities bordering PAs to improve the contribution of PAs to t</w:t>
      </w:r>
      <w:r w:rsidRPr="005F3825">
        <w:rPr>
          <w:rFonts w:ascii="Calibri" w:hAnsi="Calibri"/>
          <w:sz w:val="20"/>
          <w:szCs w:val="20"/>
          <w:lang w:val="en-GB"/>
        </w:rPr>
        <w:t>heir quality of life and their perception of these benefits in relation to PAs. This should help develop the ownership of PAs and help reduce pressure from the activities of neighbouring communities</w:t>
      </w:r>
      <w:r w:rsidRPr="005F3825">
        <w:rPr>
          <w:rFonts w:ascii="Calibri" w:eastAsia="Cambria" w:hAnsi="Calibri"/>
          <w:sz w:val="20"/>
          <w:szCs w:val="20"/>
          <w:lang w:val="en-GB"/>
        </w:rPr>
        <w:t>.</w:t>
      </w:r>
    </w:p>
    <w:p w14:paraId="60EE66CF" w14:textId="12D0056B" w:rsidR="00302BFE" w:rsidRDefault="00302BFE" w:rsidP="00302BFE">
      <w:pPr>
        <w:spacing w:before="120" w:after="120"/>
        <w:rPr>
          <w:i/>
          <w:color w:val="4472C4"/>
          <w:szCs w:val="20"/>
          <w:lang w:val="en-GB"/>
        </w:rPr>
      </w:pPr>
      <w:r w:rsidRPr="005F3825">
        <w:rPr>
          <w:i/>
          <w:color w:val="4472C4"/>
          <w:szCs w:val="20"/>
          <w:lang w:val="en-GB"/>
        </w:rPr>
        <w:t xml:space="preserve">2.2.1. </w:t>
      </w:r>
      <w:r w:rsidRPr="00EF0411">
        <w:rPr>
          <w:i/>
          <w:color w:val="4472C4"/>
          <w:szCs w:val="20"/>
          <w:lang w:val="en-GB"/>
        </w:rPr>
        <w:t>Clarification / revision of the status and boundaries of the PAs</w:t>
      </w:r>
      <w:r>
        <w:rPr>
          <w:i/>
          <w:color w:val="4472C4"/>
          <w:szCs w:val="20"/>
          <w:lang w:val="en-GB"/>
        </w:rPr>
        <w:t xml:space="preserve"> of the PONASI complex</w:t>
      </w:r>
    </w:p>
    <w:p w14:paraId="516C98F6" w14:textId="79D4E98D" w:rsidR="001F23E3" w:rsidRPr="00BE65D5" w:rsidRDefault="001F23E3" w:rsidP="00302BFE">
      <w:pPr>
        <w:spacing w:before="120" w:after="120"/>
        <w:rPr>
          <w:iCs/>
          <w:color w:val="4472C4"/>
          <w:szCs w:val="20"/>
          <w:lang w:val="en-GB"/>
        </w:rPr>
      </w:pPr>
      <w:r w:rsidRPr="00AC1C65">
        <w:rPr>
          <w:iCs/>
          <w:color w:val="4472C4"/>
          <w:szCs w:val="20"/>
          <w:lang w:val="en-GB"/>
        </w:rPr>
        <w:t xml:space="preserve">For this activity, the FPIC (Free, Prior and Informed Consent) process </w:t>
      </w:r>
      <w:proofErr w:type="gramStart"/>
      <w:r w:rsidRPr="00AC1C65">
        <w:rPr>
          <w:iCs/>
          <w:color w:val="4472C4"/>
          <w:szCs w:val="20"/>
          <w:lang w:val="en-GB"/>
        </w:rPr>
        <w:t>has to</w:t>
      </w:r>
      <w:proofErr w:type="gramEnd"/>
      <w:r w:rsidRPr="00AC1C65">
        <w:rPr>
          <w:iCs/>
          <w:color w:val="4472C4"/>
          <w:szCs w:val="20"/>
          <w:lang w:val="en-GB"/>
        </w:rPr>
        <w:t xml:space="preserve"> be ensured</w:t>
      </w:r>
    </w:p>
    <w:p w14:paraId="34EAF9DA" w14:textId="77777777" w:rsidR="00302BFE" w:rsidRPr="00B43F59"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B43F59">
        <w:rPr>
          <w:rFonts w:ascii="Calibri" w:hAnsi="Calibri"/>
          <w:sz w:val="20"/>
          <w:szCs w:val="20"/>
          <w:lang w:val="en-CA"/>
        </w:rPr>
        <w:t>The project will provide support to ensure that all protected areas have a clear status and are known to all stakeholders, have a clear and appropriate delimitation to promote effective management, and that the use of their resources is consistent with their classification texts.</w:t>
      </w:r>
    </w:p>
    <w:p w14:paraId="357FF431" w14:textId="77777777" w:rsidR="00302BFE" w:rsidRPr="00793D18"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793D18">
        <w:rPr>
          <w:rFonts w:ascii="Calibri" w:hAnsi="Calibri"/>
          <w:i/>
          <w:color w:val="4472C4"/>
          <w:sz w:val="20"/>
          <w:szCs w:val="20"/>
          <w:lang w:val="en-GB"/>
        </w:rPr>
        <w:t xml:space="preserve">Formal creation of corridor # 2. </w:t>
      </w:r>
      <w:r w:rsidRPr="00793D18">
        <w:rPr>
          <w:rFonts w:ascii="Calibri" w:hAnsi="Calibri"/>
          <w:sz w:val="20"/>
          <w:szCs w:val="20"/>
          <w:lang w:val="en-GB"/>
        </w:rPr>
        <w:t xml:space="preserve">To restore movement of elephants within the PONASI Protected Area Complex and between the complex and adjacent areas, particularly those in northern Ghana, the PAGEN project has initiated the delineation of two corridors: corridor no. 1, linking the </w:t>
      </w:r>
      <w:r w:rsidRPr="00793D18">
        <w:rPr>
          <w:rFonts w:ascii="Calibri" w:hAnsi="Calibri"/>
          <w:sz w:val="20"/>
          <w:szCs w:val="20"/>
          <w:lang w:val="en-CA"/>
        </w:rPr>
        <w:t>PNKT</w:t>
      </w:r>
      <w:r w:rsidRPr="00793D18">
        <w:rPr>
          <w:rFonts w:ascii="Calibri" w:hAnsi="Calibri"/>
          <w:sz w:val="20"/>
          <w:szCs w:val="20"/>
          <w:lang w:val="en-GB"/>
        </w:rPr>
        <w:t xml:space="preserve"> to the </w:t>
      </w:r>
      <w:proofErr w:type="spellStart"/>
      <w:r w:rsidRPr="00793D18">
        <w:rPr>
          <w:rFonts w:ascii="Calibri" w:hAnsi="Calibri"/>
          <w:sz w:val="20"/>
          <w:szCs w:val="20"/>
          <w:lang w:val="en-GB"/>
        </w:rPr>
        <w:t>Nazinga</w:t>
      </w:r>
      <w:proofErr w:type="spellEnd"/>
      <w:r w:rsidRPr="00793D18">
        <w:rPr>
          <w:rFonts w:ascii="Calibri" w:hAnsi="Calibri"/>
          <w:sz w:val="20"/>
          <w:szCs w:val="20"/>
          <w:lang w:val="en-GB"/>
        </w:rPr>
        <w:t xml:space="preserve"> Game Ranch, covering an area of 4,500 ha, and Corridor No. 2, connecting the south-east of the </w:t>
      </w:r>
      <w:r w:rsidRPr="00793D18">
        <w:rPr>
          <w:rFonts w:ascii="Calibri" w:hAnsi="Calibri"/>
          <w:sz w:val="20"/>
          <w:szCs w:val="20"/>
          <w:lang w:val="en-CA"/>
        </w:rPr>
        <w:t>PNKT</w:t>
      </w:r>
      <w:r w:rsidRPr="00793D18">
        <w:rPr>
          <w:rFonts w:ascii="Calibri" w:hAnsi="Calibri"/>
          <w:sz w:val="20"/>
          <w:szCs w:val="20"/>
          <w:lang w:val="en-GB"/>
        </w:rPr>
        <w:t xml:space="preserve"> to northern Ghana, covering an area of 33,000 ha. The premature termination of the project has prevented the finalization of the texts formalizing the creation of the corridors, leaving the riparian communities facing an ambiguous situation that threatens the security of the corridor.</w:t>
      </w:r>
    </w:p>
    <w:p w14:paraId="08C7C708" w14:textId="77777777" w:rsidR="00302BFE" w:rsidRPr="00793D18"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793D18">
        <w:rPr>
          <w:rFonts w:ascii="Calibri" w:hAnsi="Calibri"/>
          <w:sz w:val="20"/>
          <w:szCs w:val="20"/>
          <w:lang w:val="en-GB"/>
        </w:rPr>
        <w:t xml:space="preserve">The formalization of the status of Corridor # 2 south-east of </w:t>
      </w:r>
      <w:r w:rsidRPr="00793D18">
        <w:rPr>
          <w:rFonts w:ascii="Calibri" w:hAnsi="Calibri"/>
          <w:sz w:val="20"/>
          <w:szCs w:val="20"/>
          <w:lang w:val="en-CA"/>
        </w:rPr>
        <w:t>PNKT</w:t>
      </w:r>
      <w:r w:rsidRPr="00793D18">
        <w:rPr>
          <w:rFonts w:ascii="Calibri" w:hAnsi="Calibri"/>
          <w:sz w:val="20"/>
          <w:szCs w:val="20"/>
          <w:lang w:val="en-GB"/>
        </w:rPr>
        <w:t xml:space="preserve"> linking the national park to northern Ghana will involve the following steps:</w:t>
      </w:r>
    </w:p>
    <w:p w14:paraId="732B3F77" w14:textId="77777777" w:rsidR="00302BFE" w:rsidRPr="005F3825" w:rsidRDefault="00302BFE" w:rsidP="00C46720">
      <w:pPr>
        <w:pStyle w:val="Paragraphedeliste"/>
        <w:numPr>
          <w:ilvl w:val="0"/>
          <w:numId w:val="22"/>
        </w:numPr>
        <w:spacing w:before="120" w:after="120"/>
        <w:contextualSpacing/>
        <w:jc w:val="both"/>
        <w:rPr>
          <w:rFonts w:ascii="Calibri" w:hAnsi="Calibri"/>
          <w:sz w:val="20"/>
          <w:szCs w:val="20"/>
          <w:lang w:val="en-GB"/>
        </w:rPr>
      </w:pPr>
      <w:r w:rsidRPr="005F3825">
        <w:rPr>
          <w:rFonts w:ascii="Calibri" w:hAnsi="Calibri"/>
          <w:sz w:val="20"/>
          <w:szCs w:val="20"/>
          <w:lang w:val="en-GB"/>
        </w:rPr>
        <w:t xml:space="preserve">Conducting preliminary socio-economic surveys to verify the perceptions of local communities and the actual impacts of corridor establishment in the framework of the PAGEN project to check if compensation measures are </w:t>
      </w:r>
      <w:proofErr w:type="gramStart"/>
      <w:r w:rsidRPr="005F3825">
        <w:rPr>
          <w:rFonts w:ascii="Calibri" w:hAnsi="Calibri"/>
          <w:sz w:val="20"/>
          <w:szCs w:val="20"/>
          <w:lang w:val="en-GB"/>
        </w:rPr>
        <w:t>required;</w:t>
      </w:r>
      <w:proofErr w:type="gramEnd"/>
    </w:p>
    <w:p w14:paraId="5D2EB5F5" w14:textId="77777777" w:rsidR="00302BFE" w:rsidRPr="005F3825" w:rsidRDefault="00302BFE" w:rsidP="00C46720">
      <w:pPr>
        <w:pStyle w:val="Paragraphedeliste"/>
        <w:numPr>
          <w:ilvl w:val="0"/>
          <w:numId w:val="22"/>
        </w:numPr>
        <w:spacing w:before="120" w:after="120"/>
        <w:ind w:left="714" w:hanging="357"/>
        <w:contextualSpacing/>
        <w:jc w:val="both"/>
        <w:rPr>
          <w:rFonts w:ascii="Calibri" w:hAnsi="Calibri"/>
          <w:sz w:val="20"/>
          <w:szCs w:val="20"/>
          <w:lang w:val="en-GB"/>
        </w:rPr>
      </w:pPr>
      <w:r w:rsidRPr="005F3825">
        <w:rPr>
          <w:rFonts w:ascii="Calibri" w:hAnsi="Calibri"/>
          <w:sz w:val="20"/>
          <w:szCs w:val="20"/>
          <w:lang w:val="en-GB"/>
        </w:rPr>
        <w:lastRenderedPageBreak/>
        <w:t xml:space="preserve">Prior sensitization of communities along the corridor on the concept of co-management as described in the steps prior to the negotiation of voluntary agreements in output </w:t>
      </w:r>
      <w:proofErr w:type="gramStart"/>
      <w:r w:rsidRPr="005F3825">
        <w:rPr>
          <w:rFonts w:ascii="Calibri" w:hAnsi="Calibri"/>
          <w:sz w:val="20"/>
          <w:szCs w:val="20"/>
          <w:lang w:val="en-GB"/>
        </w:rPr>
        <w:t>2.2.3;</w:t>
      </w:r>
      <w:proofErr w:type="gramEnd"/>
    </w:p>
    <w:p w14:paraId="64077069" w14:textId="77777777" w:rsidR="00302BFE" w:rsidRPr="005F3825" w:rsidRDefault="00302BFE" w:rsidP="00C46720">
      <w:pPr>
        <w:pStyle w:val="Paragraphedeliste"/>
        <w:numPr>
          <w:ilvl w:val="0"/>
          <w:numId w:val="22"/>
        </w:numPr>
        <w:spacing w:before="120" w:after="120"/>
        <w:ind w:left="714" w:hanging="357"/>
        <w:contextualSpacing/>
        <w:jc w:val="both"/>
        <w:rPr>
          <w:rFonts w:ascii="Calibri" w:hAnsi="Calibri"/>
          <w:sz w:val="20"/>
          <w:szCs w:val="20"/>
          <w:lang w:val="en-GB"/>
        </w:rPr>
      </w:pPr>
      <w:r w:rsidRPr="005F3825">
        <w:rPr>
          <w:rFonts w:ascii="Calibri" w:hAnsi="Calibri"/>
          <w:sz w:val="20"/>
          <w:szCs w:val="20"/>
          <w:lang w:val="en-GB"/>
        </w:rPr>
        <w:t xml:space="preserve">An assessment of the state of habitats and natural resources essential for the conservation of elephants and large and medium-sized mammals during their movements and the identification of interventions required for the restoration of essential ecosystem </w:t>
      </w:r>
      <w:proofErr w:type="gramStart"/>
      <w:r w:rsidRPr="005F3825">
        <w:rPr>
          <w:rFonts w:ascii="Calibri" w:hAnsi="Calibri"/>
          <w:sz w:val="20"/>
          <w:szCs w:val="20"/>
          <w:lang w:val="en-GB"/>
        </w:rPr>
        <w:t>services;</w:t>
      </w:r>
      <w:proofErr w:type="gramEnd"/>
    </w:p>
    <w:p w14:paraId="0C706861" w14:textId="77777777" w:rsidR="00302BFE" w:rsidRPr="005F3825" w:rsidRDefault="00302BFE" w:rsidP="00C46720">
      <w:pPr>
        <w:pStyle w:val="Paragraphedeliste"/>
        <w:numPr>
          <w:ilvl w:val="0"/>
          <w:numId w:val="22"/>
        </w:numPr>
        <w:spacing w:before="120" w:after="120"/>
        <w:ind w:left="714" w:hanging="357"/>
        <w:contextualSpacing/>
        <w:jc w:val="both"/>
        <w:rPr>
          <w:rFonts w:ascii="Calibri" w:hAnsi="Calibri"/>
          <w:sz w:val="20"/>
          <w:szCs w:val="20"/>
          <w:lang w:val="en-GB"/>
        </w:rPr>
      </w:pPr>
      <w:r w:rsidRPr="005F3825">
        <w:rPr>
          <w:rFonts w:ascii="Calibri" w:hAnsi="Calibri"/>
          <w:sz w:val="20"/>
          <w:szCs w:val="20"/>
          <w:lang w:val="en-GB"/>
        </w:rPr>
        <w:t xml:space="preserve">Participatory definition and validation of conservation objectives and the delineation of Corridor # 2 </w:t>
      </w:r>
      <w:r>
        <w:rPr>
          <w:rFonts w:ascii="Calibri" w:hAnsi="Calibri"/>
          <w:sz w:val="20"/>
          <w:szCs w:val="20"/>
          <w:lang w:val="en-GB"/>
        </w:rPr>
        <w:t xml:space="preserve">(should revisions be required) </w:t>
      </w:r>
      <w:r w:rsidRPr="005F3825">
        <w:rPr>
          <w:rFonts w:ascii="Calibri" w:hAnsi="Calibri"/>
          <w:sz w:val="20"/>
          <w:szCs w:val="20"/>
          <w:lang w:val="en-GB"/>
        </w:rPr>
        <w:t xml:space="preserve">by involving all concerned and affected stakeholders and the signing of voluntary agreements by neighbouring communities regarding their commitment to </w:t>
      </w:r>
      <w:r>
        <w:rPr>
          <w:rFonts w:ascii="Calibri" w:hAnsi="Calibri"/>
          <w:sz w:val="20"/>
          <w:szCs w:val="20"/>
          <w:lang w:val="en-GB"/>
        </w:rPr>
        <w:t xml:space="preserve">get </w:t>
      </w:r>
      <w:r w:rsidRPr="005F3825">
        <w:rPr>
          <w:rFonts w:ascii="Calibri" w:hAnsi="Calibri"/>
          <w:sz w:val="20"/>
          <w:szCs w:val="20"/>
          <w:lang w:val="en-GB"/>
        </w:rPr>
        <w:t>involve</w:t>
      </w:r>
      <w:r>
        <w:rPr>
          <w:rFonts w:ascii="Calibri" w:hAnsi="Calibri"/>
          <w:sz w:val="20"/>
          <w:szCs w:val="20"/>
          <w:lang w:val="en-GB"/>
        </w:rPr>
        <w:t>d</w:t>
      </w:r>
      <w:r w:rsidRPr="005F3825">
        <w:rPr>
          <w:rFonts w:ascii="Calibri" w:hAnsi="Calibri"/>
          <w:sz w:val="20"/>
          <w:szCs w:val="20"/>
          <w:lang w:val="en-GB"/>
        </w:rPr>
        <w:t xml:space="preserve"> in the collaborative management </w:t>
      </w:r>
      <w:r>
        <w:rPr>
          <w:rFonts w:ascii="Calibri" w:hAnsi="Calibri"/>
          <w:sz w:val="20"/>
          <w:szCs w:val="20"/>
          <w:lang w:val="en-GB"/>
        </w:rPr>
        <w:t xml:space="preserve">of the </w:t>
      </w:r>
      <w:proofErr w:type="gramStart"/>
      <w:r w:rsidRPr="005F3825">
        <w:rPr>
          <w:rFonts w:ascii="Calibri" w:hAnsi="Calibri"/>
          <w:sz w:val="20"/>
          <w:szCs w:val="20"/>
          <w:lang w:val="en-GB"/>
        </w:rPr>
        <w:t>corridor;</w:t>
      </w:r>
      <w:proofErr w:type="gramEnd"/>
    </w:p>
    <w:p w14:paraId="4F610ADC" w14:textId="77777777" w:rsidR="00302BFE" w:rsidRPr="005F3825" w:rsidRDefault="00302BFE" w:rsidP="00C46720">
      <w:pPr>
        <w:pStyle w:val="Paragraphedeliste"/>
        <w:numPr>
          <w:ilvl w:val="0"/>
          <w:numId w:val="22"/>
        </w:numPr>
        <w:spacing w:before="120" w:after="120"/>
        <w:ind w:left="714" w:hanging="357"/>
        <w:contextualSpacing/>
        <w:jc w:val="both"/>
        <w:rPr>
          <w:rFonts w:ascii="Calibri" w:hAnsi="Calibri"/>
          <w:sz w:val="20"/>
          <w:szCs w:val="20"/>
          <w:lang w:val="en-GB"/>
        </w:rPr>
      </w:pPr>
      <w:r w:rsidRPr="005F3825">
        <w:rPr>
          <w:rFonts w:ascii="Calibri" w:hAnsi="Calibri"/>
          <w:sz w:val="20"/>
          <w:szCs w:val="20"/>
          <w:lang w:val="en-GB"/>
        </w:rPr>
        <w:t xml:space="preserve">The submission and adoption of the text formalizing the creation of the corridor and its dissemination to </w:t>
      </w:r>
      <w:r>
        <w:rPr>
          <w:rFonts w:ascii="Calibri" w:hAnsi="Calibri"/>
          <w:sz w:val="20"/>
          <w:szCs w:val="20"/>
          <w:lang w:val="en-GB"/>
        </w:rPr>
        <w:t>relevant</w:t>
      </w:r>
      <w:r w:rsidRPr="005F3825">
        <w:rPr>
          <w:rFonts w:ascii="Calibri" w:hAnsi="Calibri"/>
          <w:sz w:val="20"/>
          <w:szCs w:val="20"/>
          <w:lang w:val="en-GB"/>
        </w:rPr>
        <w:t xml:space="preserve"> stakeholders, especially the neighbouring communities, and the general </w:t>
      </w:r>
      <w:proofErr w:type="gramStart"/>
      <w:r w:rsidRPr="005F3825">
        <w:rPr>
          <w:rFonts w:ascii="Calibri" w:hAnsi="Calibri"/>
          <w:sz w:val="20"/>
          <w:szCs w:val="20"/>
          <w:lang w:val="en-GB"/>
        </w:rPr>
        <w:t>public;</w:t>
      </w:r>
      <w:proofErr w:type="gramEnd"/>
    </w:p>
    <w:p w14:paraId="58EA678C" w14:textId="77777777" w:rsidR="00302BFE" w:rsidRPr="005F3825" w:rsidRDefault="00302BFE" w:rsidP="00C46720">
      <w:pPr>
        <w:pStyle w:val="Paragraphedeliste"/>
        <w:numPr>
          <w:ilvl w:val="0"/>
          <w:numId w:val="22"/>
        </w:numPr>
        <w:spacing w:before="120" w:after="120"/>
        <w:ind w:left="714" w:hanging="357"/>
        <w:jc w:val="both"/>
        <w:rPr>
          <w:rFonts w:ascii="Calibri" w:hAnsi="Calibri"/>
          <w:sz w:val="20"/>
          <w:szCs w:val="20"/>
          <w:lang w:val="en-GB"/>
        </w:rPr>
      </w:pPr>
      <w:r w:rsidRPr="005F3825">
        <w:rPr>
          <w:rFonts w:ascii="Calibri" w:hAnsi="Calibri"/>
          <w:sz w:val="20"/>
          <w:szCs w:val="20"/>
          <w:lang w:val="en-GB"/>
        </w:rPr>
        <w:t>The demarcation of boundaries by the installation of clearly visible landmarks</w:t>
      </w:r>
      <w:r>
        <w:rPr>
          <w:rFonts w:ascii="Calibri" w:hAnsi="Calibri"/>
          <w:sz w:val="20"/>
          <w:szCs w:val="20"/>
          <w:lang w:val="en-GB"/>
        </w:rPr>
        <w:t>, involving local communities as workers</w:t>
      </w:r>
      <w:r w:rsidRPr="005F3825">
        <w:rPr>
          <w:rFonts w:ascii="Calibri" w:hAnsi="Calibri"/>
          <w:sz w:val="20"/>
          <w:szCs w:val="20"/>
          <w:lang w:val="en-GB"/>
        </w:rPr>
        <w:t>.</w:t>
      </w:r>
    </w:p>
    <w:p w14:paraId="33934698" w14:textId="74513552" w:rsidR="00302BFE" w:rsidRPr="00B43F59"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B43F59">
        <w:rPr>
          <w:rFonts w:ascii="Calibri" w:hAnsi="Calibri"/>
          <w:i/>
          <w:color w:val="4472C4"/>
          <w:sz w:val="20"/>
          <w:szCs w:val="20"/>
          <w:lang w:val="en-GB"/>
        </w:rPr>
        <w:t xml:space="preserve">Revision of the southern boundary of the </w:t>
      </w:r>
      <w:proofErr w:type="spellStart"/>
      <w:r w:rsidRPr="00B43F59">
        <w:rPr>
          <w:rFonts w:ascii="Calibri" w:hAnsi="Calibri"/>
          <w:i/>
          <w:color w:val="4472C4"/>
          <w:sz w:val="20"/>
          <w:szCs w:val="20"/>
          <w:lang w:val="en-GB"/>
        </w:rPr>
        <w:t>Nazinga</w:t>
      </w:r>
      <w:proofErr w:type="spellEnd"/>
      <w:r w:rsidRPr="00B43F59">
        <w:rPr>
          <w:rFonts w:ascii="Calibri" w:hAnsi="Calibri"/>
          <w:i/>
          <w:color w:val="4472C4"/>
          <w:sz w:val="20"/>
          <w:szCs w:val="20"/>
          <w:lang w:val="en-GB"/>
        </w:rPr>
        <w:t xml:space="preserve"> Game Ranch.</w:t>
      </w:r>
      <w:r w:rsidRPr="00B43F59">
        <w:rPr>
          <w:rFonts w:ascii="Calibri" w:hAnsi="Calibri"/>
          <w:sz w:val="20"/>
          <w:szCs w:val="20"/>
          <w:lang w:val="en-GB"/>
        </w:rPr>
        <w:t xml:space="preserve"> </w:t>
      </w:r>
      <w:r w:rsidRPr="00F96D82">
        <w:rPr>
          <w:rFonts w:ascii="Calibri" w:hAnsi="Calibri"/>
          <w:sz w:val="20"/>
          <w:szCs w:val="20"/>
          <w:lang w:val="en-GB"/>
        </w:rPr>
        <w:t xml:space="preserve">The southern delineation of the </w:t>
      </w:r>
      <w:proofErr w:type="spellStart"/>
      <w:r w:rsidRPr="00F96D82">
        <w:rPr>
          <w:rFonts w:ascii="Calibri" w:hAnsi="Calibri"/>
          <w:sz w:val="20"/>
          <w:szCs w:val="20"/>
          <w:lang w:val="en-GB"/>
        </w:rPr>
        <w:t>Nazinga</w:t>
      </w:r>
      <w:proofErr w:type="spellEnd"/>
      <w:r w:rsidRPr="00F96D82">
        <w:rPr>
          <w:rFonts w:ascii="Calibri" w:hAnsi="Calibri"/>
          <w:sz w:val="20"/>
          <w:szCs w:val="20"/>
          <w:lang w:val="en-GB"/>
        </w:rPr>
        <w:t xml:space="preserve"> Game Ranch (</w:t>
      </w:r>
      <w:r w:rsidR="00F03A01">
        <w:rPr>
          <w:rFonts w:ascii="Calibri" w:hAnsi="Calibri"/>
          <w:sz w:val="20"/>
          <w:szCs w:val="20"/>
          <w:lang w:val="en-GB"/>
        </w:rPr>
        <w:t>RGN</w:t>
      </w:r>
      <w:r w:rsidRPr="00F96D82">
        <w:rPr>
          <w:rFonts w:ascii="Calibri" w:hAnsi="Calibri"/>
          <w:sz w:val="20"/>
          <w:szCs w:val="20"/>
          <w:lang w:val="en-GB"/>
        </w:rPr>
        <w:t xml:space="preserve">), along the Ghana border, leaves an unprotected interspace vulnerable to poaching, and this space is presumably used by elephants for their transboundary movement. The project will support the adjustment of the boundaries of the </w:t>
      </w:r>
      <w:r w:rsidR="00F03A01">
        <w:rPr>
          <w:rFonts w:ascii="Calibri" w:hAnsi="Calibri"/>
          <w:sz w:val="20"/>
          <w:szCs w:val="20"/>
          <w:lang w:val="en-GB"/>
        </w:rPr>
        <w:t>RGN</w:t>
      </w:r>
      <w:r w:rsidRPr="00F96D82">
        <w:rPr>
          <w:rFonts w:ascii="Calibri" w:hAnsi="Calibri"/>
          <w:sz w:val="20"/>
          <w:szCs w:val="20"/>
          <w:lang w:val="en-GB"/>
        </w:rPr>
        <w:t xml:space="preserve"> to include this space within the protected area, up to the limit of the Ghanaian border, and the preparation of an amendment or a new ordinance.</w:t>
      </w:r>
    </w:p>
    <w:p w14:paraId="3407FBCD"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B43F59">
        <w:rPr>
          <w:rFonts w:ascii="Calibri" w:hAnsi="Calibri"/>
          <w:i/>
          <w:color w:val="4472C4"/>
          <w:sz w:val="20"/>
          <w:szCs w:val="20"/>
          <w:lang w:val="en-CA"/>
        </w:rPr>
        <w:t xml:space="preserve">Clarification and awareness of the status of the </w:t>
      </w:r>
      <w:proofErr w:type="spellStart"/>
      <w:r w:rsidRPr="00B43F59">
        <w:rPr>
          <w:rFonts w:ascii="Calibri" w:hAnsi="Calibri"/>
          <w:i/>
          <w:color w:val="4472C4"/>
          <w:sz w:val="20"/>
          <w:szCs w:val="20"/>
          <w:lang w:val="en-CA"/>
        </w:rPr>
        <w:t>Sissili</w:t>
      </w:r>
      <w:proofErr w:type="spellEnd"/>
      <w:r w:rsidRPr="00B43F59">
        <w:rPr>
          <w:rFonts w:ascii="Calibri" w:hAnsi="Calibri"/>
          <w:i/>
          <w:color w:val="4472C4"/>
          <w:sz w:val="20"/>
          <w:szCs w:val="20"/>
          <w:lang w:val="en-CA"/>
        </w:rPr>
        <w:t xml:space="preserve"> Classified Forest.</w:t>
      </w:r>
      <w:r w:rsidRPr="00B43F59">
        <w:rPr>
          <w:rFonts w:ascii="Calibri" w:hAnsi="Calibri"/>
          <w:sz w:val="20"/>
          <w:szCs w:val="20"/>
          <w:lang w:val="en-CA"/>
        </w:rPr>
        <w:t xml:space="preserve"> At the time of its classification, the </w:t>
      </w:r>
      <w:proofErr w:type="spellStart"/>
      <w:r w:rsidRPr="00B43F59">
        <w:rPr>
          <w:rFonts w:ascii="Calibri" w:hAnsi="Calibri"/>
          <w:sz w:val="20"/>
          <w:szCs w:val="20"/>
          <w:lang w:val="en-CA"/>
        </w:rPr>
        <w:t>Sissili</w:t>
      </w:r>
      <w:proofErr w:type="spellEnd"/>
      <w:r w:rsidRPr="00B43F59">
        <w:rPr>
          <w:rFonts w:ascii="Calibri" w:hAnsi="Calibri"/>
          <w:sz w:val="20"/>
          <w:szCs w:val="20"/>
          <w:lang w:val="en-CA"/>
        </w:rPr>
        <w:t xml:space="preserve"> classified forest (SCF) had an area of 32,700 ha spread over the territories of three current communes: </w:t>
      </w:r>
      <w:proofErr w:type="spellStart"/>
      <w:r w:rsidRPr="00B43F59">
        <w:rPr>
          <w:rFonts w:ascii="Calibri" w:hAnsi="Calibri"/>
          <w:sz w:val="20"/>
          <w:szCs w:val="20"/>
          <w:lang w:val="en-CA"/>
        </w:rPr>
        <w:t>Bieha</w:t>
      </w:r>
      <w:proofErr w:type="spellEnd"/>
      <w:r w:rsidRPr="00B43F59">
        <w:rPr>
          <w:rFonts w:ascii="Calibri" w:hAnsi="Calibri"/>
          <w:sz w:val="20"/>
          <w:szCs w:val="20"/>
          <w:lang w:val="en-CA"/>
        </w:rPr>
        <w:t xml:space="preserve">, </w:t>
      </w:r>
      <w:proofErr w:type="spellStart"/>
      <w:r w:rsidRPr="00B43F59">
        <w:rPr>
          <w:rFonts w:ascii="Calibri" w:hAnsi="Calibri"/>
          <w:sz w:val="20"/>
          <w:szCs w:val="20"/>
          <w:lang w:val="en-CA"/>
        </w:rPr>
        <w:t>Cassou</w:t>
      </w:r>
      <w:proofErr w:type="spellEnd"/>
      <w:r w:rsidRPr="00B43F59">
        <w:rPr>
          <w:rFonts w:ascii="Calibri" w:hAnsi="Calibri"/>
          <w:sz w:val="20"/>
          <w:szCs w:val="20"/>
          <w:lang w:val="en-CA"/>
        </w:rPr>
        <w:t xml:space="preserve"> and </w:t>
      </w:r>
      <w:proofErr w:type="spellStart"/>
      <w:r w:rsidRPr="00B43F59">
        <w:rPr>
          <w:rFonts w:ascii="Calibri" w:hAnsi="Calibri"/>
          <w:sz w:val="20"/>
          <w:szCs w:val="20"/>
          <w:lang w:val="en-CA"/>
        </w:rPr>
        <w:t>Sapouy</w:t>
      </w:r>
      <w:proofErr w:type="spellEnd"/>
      <w:r w:rsidRPr="00B43F59">
        <w:rPr>
          <w:rFonts w:ascii="Calibri" w:hAnsi="Calibri"/>
          <w:sz w:val="20"/>
          <w:szCs w:val="20"/>
          <w:lang w:val="en-CA"/>
        </w:rPr>
        <w:t xml:space="preserve">. During the "Democratic and Popular Revolution" (1984-1987), the High Commissioner of </w:t>
      </w:r>
      <w:proofErr w:type="spellStart"/>
      <w:r w:rsidRPr="00B43F59">
        <w:rPr>
          <w:rFonts w:ascii="Calibri" w:hAnsi="Calibri"/>
          <w:sz w:val="20"/>
          <w:szCs w:val="20"/>
          <w:lang w:val="en-CA"/>
        </w:rPr>
        <w:t>Sissili</w:t>
      </w:r>
      <w:proofErr w:type="spellEnd"/>
      <w:r w:rsidRPr="00B43F59">
        <w:rPr>
          <w:rFonts w:ascii="Calibri" w:hAnsi="Calibri"/>
          <w:sz w:val="20"/>
          <w:szCs w:val="20"/>
          <w:lang w:val="en-CA"/>
        </w:rPr>
        <w:t xml:space="preserve"> tried to annex part of the SCF to create the pastoral zone of </w:t>
      </w:r>
      <w:proofErr w:type="spellStart"/>
      <w:r w:rsidRPr="00B43F59">
        <w:rPr>
          <w:rFonts w:ascii="Calibri" w:hAnsi="Calibri"/>
          <w:sz w:val="20"/>
          <w:szCs w:val="20"/>
          <w:lang w:val="en-CA"/>
        </w:rPr>
        <w:t>Yalé</w:t>
      </w:r>
      <w:proofErr w:type="spellEnd"/>
      <w:r w:rsidRPr="00B43F59">
        <w:rPr>
          <w:rFonts w:ascii="Calibri" w:hAnsi="Calibri"/>
          <w:sz w:val="20"/>
          <w:szCs w:val="20"/>
          <w:lang w:val="en-CA"/>
        </w:rPr>
        <w:t xml:space="preserve"> but met the resistance of </w:t>
      </w:r>
      <w:proofErr w:type="spellStart"/>
      <w:r w:rsidRPr="00B43F59">
        <w:rPr>
          <w:rFonts w:ascii="Calibri" w:hAnsi="Calibri"/>
          <w:sz w:val="20"/>
          <w:szCs w:val="20"/>
          <w:lang w:val="en-CA"/>
        </w:rPr>
        <w:t>agro</w:t>
      </w:r>
      <w:proofErr w:type="spellEnd"/>
      <w:r w:rsidRPr="00B43F59">
        <w:rPr>
          <w:rFonts w:ascii="Calibri" w:hAnsi="Calibri"/>
          <w:sz w:val="20"/>
          <w:szCs w:val="20"/>
          <w:lang w:val="en-CA"/>
        </w:rPr>
        <w:t xml:space="preserve">-pastoralists adjacent villages. The Ministry in charge of forests has canceled the regulatory act of the provincial authority, which has no power to decommission a classified forest. In 1996, the classified forest was conceded for hunting to a private operator. In recent years, the Forestry Department has been demanding the departure of farmers and herders from the portion of the classified forest that was the object of the attempted conversion to pastoral areas. The intervention of the PONASI Project in this area will help the Government by spreading its message on the actual status of the classified forest to the local </w:t>
      </w:r>
      <w:r w:rsidRPr="00D61C93">
        <w:rPr>
          <w:rFonts w:ascii="Calibri" w:hAnsi="Calibri"/>
          <w:sz w:val="20"/>
          <w:szCs w:val="20"/>
          <w:lang w:val="en-CA"/>
        </w:rPr>
        <w:t>populations and the permitted uses as defined in the classification order.</w:t>
      </w:r>
    </w:p>
    <w:p w14:paraId="3153C55C" w14:textId="7E17D2DE" w:rsidR="00302BFE" w:rsidRPr="004610C9" w:rsidRDefault="004610C9"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D61C93">
        <w:rPr>
          <w:rFonts w:asciiTheme="minorHAnsi" w:hAnsiTheme="minorHAnsi"/>
          <w:sz w:val="20"/>
          <w:szCs w:val="20"/>
          <w:lang w:val="en-CA"/>
        </w:rPr>
        <w:t xml:space="preserve">The private concessionaire, the late </w:t>
      </w:r>
      <w:proofErr w:type="spellStart"/>
      <w:r w:rsidRPr="00D61C93">
        <w:rPr>
          <w:rFonts w:asciiTheme="minorHAnsi" w:hAnsiTheme="minorHAnsi"/>
          <w:sz w:val="20"/>
          <w:szCs w:val="20"/>
          <w:lang w:val="en-CA"/>
        </w:rPr>
        <w:t>Mr</w:t>
      </w:r>
      <w:proofErr w:type="spellEnd"/>
      <w:r w:rsidRPr="00D61C93">
        <w:rPr>
          <w:rFonts w:asciiTheme="minorHAnsi" w:hAnsiTheme="minorHAnsi"/>
          <w:sz w:val="20"/>
          <w:szCs w:val="20"/>
          <w:lang w:val="en-CA"/>
        </w:rPr>
        <w:t xml:space="preserve"> Norbert Zongo, to whom the management of the </w:t>
      </w:r>
      <w:proofErr w:type="spellStart"/>
      <w:r w:rsidRPr="00D61C93">
        <w:rPr>
          <w:rFonts w:asciiTheme="minorHAnsi" w:hAnsiTheme="minorHAnsi"/>
          <w:sz w:val="20"/>
          <w:szCs w:val="20"/>
          <w:lang w:val="en-CA"/>
        </w:rPr>
        <w:t>Sissili</w:t>
      </w:r>
      <w:proofErr w:type="spellEnd"/>
      <w:r w:rsidRPr="00D61C93">
        <w:rPr>
          <w:rFonts w:asciiTheme="minorHAnsi" w:hAnsiTheme="minorHAnsi"/>
          <w:sz w:val="20"/>
          <w:szCs w:val="20"/>
          <w:lang w:val="en-CA"/>
        </w:rPr>
        <w:t xml:space="preserve"> CF was granted in 1996 died in December 1998. Although his family members had taken over the management, albeit in a less sustained manner, by 2001 the state of the hunting area had deteriorated considerably</w:t>
      </w:r>
      <w:r w:rsidRPr="00D61C93">
        <w:rPr>
          <w:rFonts w:ascii="Calibri" w:hAnsi="Calibri"/>
          <w:sz w:val="20"/>
          <w:szCs w:val="20"/>
          <w:lang w:val="en-CA"/>
        </w:rPr>
        <w:t xml:space="preserve">. </w:t>
      </w:r>
      <w:r w:rsidR="00302BFE" w:rsidRPr="00D61C93">
        <w:rPr>
          <w:rFonts w:ascii="Calibri" w:hAnsi="Calibri"/>
          <w:sz w:val="20"/>
          <w:szCs w:val="20"/>
          <w:lang w:val="en-CA"/>
        </w:rPr>
        <w:t>The specifications related to the concession are not respected, the development and management plan has not been drawn up, the operating reports are not systematically submitted, the trackers are not motivated and do not show up not at work, so the exploitation of the forest is minimal. As a result, neighboring villages no longer benefiting from hunting products have expressed dissatisfaction and complained. This situation persists since the SCF hunting concession does not benefit from adequate monitoring of the Water and Forest Administration</w:t>
      </w:r>
      <w:r w:rsidR="00302BFE" w:rsidRPr="004A7704">
        <w:rPr>
          <w:rFonts w:ascii="Calibri" w:hAnsi="Calibri"/>
          <w:sz w:val="20"/>
          <w:szCs w:val="20"/>
          <w:lang w:val="en-CA"/>
        </w:rPr>
        <w:t xml:space="preserve">, presumably because of the history and </w:t>
      </w:r>
      <w:r w:rsidR="003575FA" w:rsidRPr="004A7704">
        <w:rPr>
          <w:rFonts w:ascii="Calibri" w:hAnsi="Calibri"/>
          <w:sz w:val="20"/>
          <w:szCs w:val="20"/>
          <w:lang w:val="en-CA"/>
        </w:rPr>
        <w:t>grief</w:t>
      </w:r>
      <w:r w:rsidR="00302BFE" w:rsidRPr="004A7704">
        <w:rPr>
          <w:rFonts w:ascii="Calibri" w:hAnsi="Calibri"/>
          <w:sz w:val="20"/>
          <w:szCs w:val="20"/>
          <w:lang w:val="en-CA"/>
        </w:rPr>
        <w:t xml:space="preserve"> that </w:t>
      </w:r>
      <w:r w:rsidR="003575FA" w:rsidRPr="004A7704">
        <w:rPr>
          <w:rFonts w:ascii="Calibri" w:hAnsi="Calibri"/>
          <w:sz w:val="20"/>
          <w:szCs w:val="20"/>
          <w:lang w:val="en-CA"/>
        </w:rPr>
        <w:t>still</w:t>
      </w:r>
      <w:r w:rsidR="00302BFE" w:rsidRPr="004A7704">
        <w:rPr>
          <w:rFonts w:ascii="Calibri" w:hAnsi="Calibri"/>
          <w:sz w:val="20"/>
          <w:szCs w:val="20"/>
          <w:lang w:val="en-CA"/>
        </w:rPr>
        <w:t xml:space="preserve"> surround the tragic disappearance of the legal concessionaire. The idea of entrusting the management of the </w:t>
      </w:r>
      <w:proofErr w:type="spellStart"/>
      <w:r w:rsidR="00302BFE" w:rsidRPr="004A7704">
        <w:rPr>
          <w:rFonts w:ascii="Calibri" w:hAnsi="Calibri"/>
          <w:sz w:val="20"/>
          <w:szCs w:val="20"/>
          <w:lang w:val="en-CA"/>
        </w:rPr>
        <w:t>Sissili</w:t>
      </w:r>
      <w:proofErr w:type="spellEnd"/>
      <w:r w:rsidR="00302BFE" w:rsidRPr="004A7704">
        <w:rPr>
          <w:rFonts w:ascii="Calibri" w:hAnsi="Calibri"/>
          <w:sz w:val="20"/>
          <w:szCs w:val="20"/>
          <w:lang w:val="en-CA"/>
        </w:rPr>
        <w:t xml:space="preserve"> Hunting Area/CF to the </w:t>
      </w:r>
      <w:proofErr w:type="spellStart"/>
      <w:r w:rsidR="00302BFE" w:rsidRPr="004A7704">
        <w:rPr>
          <w:rFonts w:ascii="Calibri" w:hAnsi="Calibri"/>
          <w:sz w:val="20"/>
          <w:szCs w:val="20"/>
          <w:lang w:val="en-CA"/>
        </w:rPr>
        <w:t>Nazinga</w:t>
      </w:r>
      <w:proofErr w:type="spellEnd"/>
      <w:r w:rsidR="00302BFE" w:rsidRPr="004A7704">
        <w:rPr>
          <w:rFonts w:ascii="Calibri" w:hAnsi="Calibri"/>
          <w:sz w:val="20"/>
          <w:szCs w:val="20"/>
          <w:lang w:val="en-CA"/>
        </w:rPr>
        <w:t xml:space="preserve"> Game Ranch or the concession to the ZOVIC manager of </w:t>
      </w:r>
      <w:proofErr w:type="spellStart"/>
      <w:r w:rsidR="00302BFE" w:rsidRPr="004A7704">
        <w:rPr>
          <w:rFonts w:ascii="Calibri" w:hAnsi="Calibri"/>
          <w:sz w:val="20"/>
          <w:szCs w:val="20"/>
          <w:lang w:val="en-CA"/>
        </w:rPr>
        <w:t>Neboun-Bori</w:t>
      </w:r>
      <w:proofErr w:type="spellEnd"/>
      <w:r w:rsidR="00302BFE" w:rsidRPr="004A7704">
        <w:rPr>
          <w:rFonts w:ascii="Calibri" w:hAnsi="Calibri"/>
          <w:sz w:val="20"/>
          <w:szCs w:val="20"/>
          <w:lang w:val="en-CA"/>
        </w:rPr>
        <w:t xml:space="preserve"> did not materialize. </w:t>
      </w:r>
      <w:r w:rsidRPr="004610C9">
        <w:rPr>
          <w:rFonts w:asciiTheme="minorHAnsi" w:hAnsiTheme="minorHAnsi"/>
          <w:sz w:val="20"/>
          <w:szCs w:val="20"/>
          <w:lang w:val="en-CA"/>
        </w:rPr>
        <w:t xml:space="preserve">Friends of the first concessionaire are willing to invest in restoring the potential of the area and the interest of hunters and tourists, but this requires the establishment of new legal arrangements. </w:t>
      </w:r>
      <w:r w:rsidR="00302BFE" w:rsidRPr="004610C9">
        <w:rPr>
          <w:rFonts w:ascii="Calibri" w:hAnsi="Calibri"/>
          <w:sz w:val="20"/>
          <w:szCs w:val="20"/>
          <w:lang w:val="en-CA"/>
        </w:rPr>
        <w:t>The project will provide support to regularize this situation and ensure that the protected area has the necessary tools for its effective management.</w:t>
      </w:r>
    </w:p>
    <w:p w14:paraId="75C724BF" w14:textId="7810AEE5" w:rsidR="00302BFE" w:rsidRDefault="00302BFE" w:rsidP="00302BFE">
      <w:pPr>
        <w:spacing w:before="120" w:after="120"/>
        <w:rPr>
          <w:i/>
          <w:color w:val="4472C4"/>
          <w:szCs w:val="20"/>
          <w:lang w:val="en-GB"/>
        </w:rPr>
      </w:pPr>
      <w:r w:rsidRPr="005F3825">
        <w:rPr>
          <w:i/>
          <w:color w:val="4472C4"/>
          <w:szCs w:val="20"/>
          <w:lang w:val="en-GB"/>
        </w:rPr>
        <w:t xml:space="preserve">2.2.2. Management plans for </w:t>
      </w:r>
      <w:proofErr w:type="spellStart"/>
      <w:r w:rsidRPr="005F3825">
        <w:rPr>
          <w:i/>
          <w:color w:val="4472C4"/>
          <w:szCs w:val="20"/>
          <w:lang w:val="en-GB"/>
        </w:rPr>
        <w:t>Nazinga</w:t>
      </w:r>
      <w:proofErr w:type="spellEnd"/>
      <w:r w:rsidRPr="005F3825">
        <w:rPr>
          <w:i/>
          <w:color w:val="4472C4"/>
          <w:szCs w:val="20"/>
          <w:lang w:val="en-GB"/>
        </w:rPr>
        <w:t xml:space="preserve">, </w:t>
      </w:r>
      <w:r w:rsidRPr="00793D18">
        <w:rPr>
          <w:i/>
          <w:color w:val="4472C4"/>
          <w:szCs w:val="20"/>
          <w:lang w:val="en-GB"/>
        </w:rPr>
        <w:t>PNKT</w:t>
      </w:r>
      <w:r w:rsidRPr="005F3825">
        <w:rPr>
          <w:i/>
          <w:color w:val="4472C4"/>
          <w:szCs w:val="20"/>
          <w:lang w:val="en-GB"/>
        </w:rPr>
        <w:t xml:space="preserve"> and </w:t>
      </w:r>
      <w:proofErr w:type="spellStart"/>
      <w:r w:rsidRPr="005F3825">
        <w:rPr>
          <w:i/>
          <w:color w:val="4472C4"/>
          <w:szCs w:val="20"/>
          <w:lang w:val="en-GB"/>
        </w:rPr>
        <w:t>Sissili</w:t>
      </w:r>
      <w:proofErr w:type="spellEnd"/>
      <w:r w:rsidRPr="005F3825">
        <w:rPr>
          <w:i/>
          <w:color w:val="4472C4"/>
          <w:szCs w:val="20"/>
          <w:lang w:val="en-GB"/>
        </w:rPr>
        <w:t xml:space="preserve"> PAs, including corridors # 1 and # 2 developed and implemented</w:t>
      </w:r>
    </w:p>
    <w:p w14:paraId="33127DF4" w14:textId="540C2DD2" w:rsidR="001F23E3" w:rsidRPr="00BE65D5" w:rsidRDefault="001F23E3" w:rsidP="00302BFE">
      <w:pPr>
        <w:spacing w:before="120" w:after="120"/>
        <w:rPr>
          <w:iCs/>
          <w:color w:val="4472C4"/>
          <w:szCs w:val="20"/>
          <w:lang w:val="en-GB"/>
        </w:rPr>
      </w:pPr>
      <w:r w:rsidRPr="004E03CC">
        <w:rPr>
          <w:iCs/>
          <w:color w:val="4472C4"/>
          <w:szCs w:val="20"/>
          <w:lang w:val="en-GB"/>
        </w:rPr>
        <w:t xml:space="preserve">For this activity, the FPIC (Free, Prior and Informed Consent) process </w:t>
      </w:r>
      <w:proofErr w:type="gramStart"/>
      <w:r w:rsidRPr="004E03CC">
        <w:rPr>
          <w:iCs/>
          <w:color w:val="4472C4"/>
          <w:szCs w:val="20"/>
          <w:lang w:val="en-GB"/>
        </w:rPr>
        <w:t>has to</w:t>
      </w:r>
      <w:proofErr w:type="gramEnd"/>
      <w:r w:rsidRPr="004E03CC">
        <w:rPr>
          <w:iCs/>
          <w:color w:val="4472C4"/>
          <w:szCs w:val="20"/>
          <w:lang w:val="en-GB"/>
        </w:rPr>
        <w:t xml:space="preserve"> be ensured</w:t>
      </w:r>
    </w:p>
    <w:p w14:paraId="73D9BAC8"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 xml:space="preserve">Protected area management planning involves assessing and recording site conditions, assessing current and projected needs and threats, developing strategies, and planning specific activities to address these threats. Planning includes the definition of tasks and responsibilities, a timeline for achieving objectives, </w:t>
      </w:r>
      <w:proofErr w:type="gramStart"/>
      <w:r w:rsidRPr="005F3825">
        <w:rPr>
          <w:rFonts w:ascii="Calibri" w:hAnsi="Calibri"/>
          <w:sz w:val="20"/>
          <w:szCs w:val="20"/>
          <w:lang w:val="en-GB"/>
        </w:rPr>
        <w:t>indicators</w:t>
      </w:r>
      <w:proofErr w:type="gramEnd"/>
      <w:r w:rsidRPr="005F3825">
        <w:rPr>
          <w:rFonts w:ascii="Calibri" w:hAnsi="Calibri"/>
          <w:sz w:val="20"/>
          <w:szCs w:val="20"/>
          <w:lang w:val="en-GB"/>
        </w:rPr>
        <w:t xml:space="preserve"> and targets against which progress can be measured, and resource requirements. Planning will be carried out for long- and short-term-time horizons: strategic planning to achieve broad objectives for all PAs in the complex and over a 5 to 10-year horizon, and clear operational planning for carrying out specific activities to reach the annual targets for each of the sites.</w:t>
      </w:r>
    </w:p>
    <w:p w14:paraId="02DF6D31"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Cambria" w:hAnsi="Calibri"/>
          <w:sz w:val="20"/>
          <w:szCs w:val="20"/>
          <w:u w:val="single"/>
          <w:lang w:val="en-GB"/>
        </w:rPr>
        <w:t>Templates and development guides for all PA management tools</w:t>
      </w:r>
      <w:r w:rsidRPr="005F3825">
        <w:rPr>
          <w:rFonts w:ascii="Calibri" w:hAnsi="Calibri"/>
          <w:color w:val="4472C4"/>
          <w:sz w:val="20"/>
          <w:szCs w:val="20"/>
          <w:lang w:val="en-GB"/>
        </w:rPr>
        <w:t xml:space="preserve"> </w:t>
      </w:r>
      <w:r w:rsidRPr="005F3825">
        <w:rPr>
          <w:rFonts w:ascii="Calibri" w:hAnsi="Calibri"/>
          <w:sz w:val="20"/>
          <w:szCs w:val="20"/>
          <w:lang w:val="en-GB"/>
        </w:rPr>
        <w:t xml:space="preserve">(15-year management and financing plan, operational management plans and annual budgets). Templates and guides will be developed in collaboration </w:t>
      </w:r>
      <w:proofErr w:type="gramStart"/>
      <w:r w:rsidRPr="005F3825">
        <w:rPr>
          <w:rFonts w:ascii="Calibri" w:hAnsi="Calibri"/>
          <w:sz w:val="20"/>
          <w:szCs w:val="20"/>
          <w:lang w:val="en-GB"/>
        </w:rPr>
        <w:t>with in</w:t>
      </w:r>
      <w:proofErr w:type="gramEnd"/>
      <w:r w:rsidRPr="005F3825">
        <w:rPr>
          <w:rFonts w:ascii="Calibri" w:hAnsi="Calibri"/>
          <w:sz w:val="20"/>
          <w:szCs w:val="20"/>
          <w:lang w:val="en-GB"/>
        </w:rPr>
        <w:t xml:space="preserve"> collaboration with the staff of OFINAP, DGEF and DREEVCC, to meet the latest international standards to guide the preparation of all management tools, including a 15-year Strategic Management Plan and Funding Plan, and the Annual Operational Management Plan and Budget. These documents will specify procedures and requirements in terms of mechanisms and structures for stakeholder participation, collection and sharing of ecological monitoring data, </w:t>
      </w:r>
      <w:proofErr w:type="gramStart"/>
      <w:r w:rsidRPr="005F3825">
        <w:rPr>
          <w:rFonts w:ascii="Calibri" w:hAnsi="Calibri"/>
          <w:sz w:val="20"/>
          <w:szCs w:val="20"/>
          <w:lang w:val="en-GB"/>
        </w:rPr>
        <w:t>identification</w:t>
      </w:r>
      <w:proofErr w:type="gramEnd"/>
      <w:r w:rsidRPr="005F3825">
        <w:rPr>
          <w:rFonts w:ascii="Calibri" w:hAnsi="Calibri"/>
          <w:sz w:val="20"/>
          <w:szCs w:val="20"/>
          <w:lang w:val="en-GB"/>
        </w:rPr>
        <w:t xml:space="preserve"> and analysis of issues (threats / conflicts), and definition of objectives and identification of priority actions for achieving the objectives. Management plans will include participatory zoning and regulations on rights of access and use of space and resources for each area. Zoning and regulations will have been defined during the negotiations for the determination of Collaborative Management Agreements in Activity 2.2.3. The use of these tools (templates and guidelines) by all PA </w:t>
      </w:r>
      <w:r w:rsidRPr="005F3825">
        <w:rPr>
          <w:rFonts w:ascii="Calibri" w:hAnsi="Calibri"/>
          <w:sz w:val="20"/>
          <w:szCs w:val="20"/>
          <w:lang w:val="en-GB"/>
        </w:rPr>
        <w:lastRenderedPageBreak/>
        <w:t xml:space="preserve">management units will promote the production of documents and the implementation of procedures that meet the highest quality standards and needs of Burkina Faso, while promoting the autonomous </w:t>
      </w:r>
      <w:r>
        <w:rPr>
          <w:rFonts w:ascii="Calibri" w:hAnsi="Calibri"/>
          <w:sz w:val="20"/>
          <w:szCs w:val="20"/>
          <w:lang w:val="en-GB"/>
        </w:rPr>
        <w:t>operation</w:t>
      </w:r>
      <w:r w:rsidRPr="005F3825">
        <w:rPr>
          <w:rFonts w:ascii="Calibri" w:hAnsi="Calibri"/>
          <w:sz w:val="20"/>
          <w:szCs w:val="20"/>
          <w:lang w:val="en-GB"/>
        </w:rPr>
        <w:t xml:space="preserve"> of local governance structures.</w:t>
      </w:r>
    </w:p>
    <w:p w14:paraId="506C9EE2"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Cambria" w:hAnsi="Calibri"/>
          <w:sz w:val="20"/>
          <w:szCs w:val="20"/>
          <w:u w:val="single"/>
          <w:lang w:val="en-GB"/>
        </w:rPr>
        <w:t>Support to Management Committees for Negotiations and Development of Participatory Management Plans for PAs and Corridors</w:t>
      </w:r>
      <w:r w:rsidRPr="005F3825">
        <w:rPr>
          <w:rFonts w:ascii="Calibri" w:hAnsi="Calibri"/>
          <w:sz w:val="20"/>
          <w:szCs w:val="20"/>
          <w:lang w:val="en-GB"/>
        </w:rPr>
        <w:t xml:space="preserve"> meeting objectives, including defining and validating zoning, identifying measures to prevent or mitigate the impact of threats and pressures that affect the integrity of biodiversity resources and ecosystem services. The project will recruit community mobilization assistants and seek the support of NGOs involved with PA riparian communities, such as </w:t>
      </w:r>
      <w:proofErr w:type="spellStart"/>
      <w:r w:rsidRPr="005F3825">
        <w:rPr>
          <w:rFonts w:ascii="Calibri" w:hAnsi="Calibri"/>
          <w:sz w:val="20"/>
          <w:szCs w:val="20"/>
          <w:lang w:val="en-GB"/>
        </w:rPr>
        <w:t>Naturama</w:t>
      </w:r>
      <w:proofErr w:type="spellEnd"/>
      <w:r>
        <w:rPr>
          <w:rFonts w:ascii="Calibri" w:hAnsi="Calibri"/>
          <w:sz w:val="20"/>
          <w:szCs w:val="20"/>
          <w:lang w:val="en-GB"/>
        </w:rPr>
        <w:t>, Tree Aid</w:t>
      </w:r>
      <w:r w:rsidRPr="005F3825">
        <w:rPr>
          <w:rFonts w:ascii="Calibri" w:hAnsi="Calibri"/>
          <w:sz w:val="20"/>
          <w:szCs w:val="20"/>
          <w:lang w:val="en-GB"/>
        </w:rPr>
        <w:t xml:space="preserve"> and </w:t>
      </w:r>
      <w:proofErr w:type="spellStart"/>
      <w:r w:rsidRPr="005F3825">
        <w:rPr>
          <w:rFonts w:ascii="Calibri" w:hAnsi="Calibri"/>
          <w:sz w:val="20"/>
          <w:szCs w:val="20"/>
          <w:lang w:val="en-GB"/>
        </w:rPr>
        <w:t>Natudev</w:t>
      </w:r>
      <w:proofErr w:type="spellEnd"/>
      <w:r w:rsidRPr="005F3825">
        <w:rPr>
          <w:rFonts w:ascii="Calibri" w:hAnsi="Calibri"/>
          <w:sz w:val="20"/>
          <w:szCs w:val="20"/>
          <w:lang w:val="en-GB"/>
        </w:rPr>
        <w:t xml:space="preserve">, to assist Collaborative Management Committees to follow the procedures and conduct negotiations for the development of the five-year management plans for each site (including the funding plan and the monitoring and surveillance protocols) as well as the drafting of annual work plans. The supervision of the process by the OFINAP and the DGEF will, among other things, ensure the conformity of the PA rules with the national regulations in force, </w:t>
      </w:r>
      <w:proofErr w:type="gramStart"/>
      <w:r w:rsidRPr="005F3825">
        <w:rPr>
          <w:rFonts w:ascii="Calibri" w:hAnsi="Calibri"/>
          <w:sz w:val="20"/>
          <w:szCs w:val="20"/>
          <w:lang w:val="en-GB"/>
        </w:rPr>
        <w:t>in particular defined</w:t>
      </w:r>
      <w:proofErr w:type="gramEnd"/>
      <w:r w:rsidRPr="005F3825">
        <w:rPr>
          <w:rFonts w:ascii="Calibri" w:hAnsi="Calibri"/>
          <w:sz w:val="20"/>
          <w:szCs w:val="20"/>
          <w:lang w:val="en-GB"/>
        </w:rPr>
        <w:t xml:space="preserve"> in the Forest Code 2011. The participation of the local authorities in charge of the environment and spatial planning, including communes, at the negotiations will ensure the coherence and integration of these plans with the planning of land use and resources at the level of communes and regions.</w:t>
      </w:r>
    </w:p>
    <w:p w14:paraId="2DEB5F2F" w14:textId="77777777" w:rsidR="00784CCC" w:rsidRPr="0099310D" w:rsidRDefault="00C21856" w:rsidP="00C46720">
      <w:pPr>
        <w:pStyle w:val="Paragraphedeliste"/>
        <w:numPr>
          <w:ilvl w:val="0"/>
          <w:numId w:val="14"/>
        </w:numPr>
        <w:tabs>
          <w:tab w:val="left" w:pos="284"/>
        </w:tabs>
        <w:spacing w:before="120" w:after="120"/>
        <w:ind w:left="0" w:firstLine="0"/>
        <w:jc w:val="both"/>
        <w:rPr>
          <w:rFonts w:ascii="Calibri" w:eastAsia="Cambria" w:hAnsi="Calibri"/>
          <w:sz w:val="20"/>
          <w:szCs w:val="20"/>
          <w:lang w:val="en-GB"/>
        </w:rPr>
      </w:pPr>
      <w:bookmarkStart w:id="15" w:name="_Hlk14169758"/>
      <w:r w:rsidRPr="0099310D">
        <w:rPr>
          <w:rFonts w:ascii="Calibri" w:eastAsia="Cambria" w:hAnsi="Calibri"/>
          <w:sz w:val="20"/>
          <w:szCs w:val="20"/>
          <w:u w:val="single"/>
          <w:lang w:val="en-GB"/>
        </w:rPr>
        <w:t>Avoid</w:t>
      </w:r>
      <w:r w:rsidR="005B7C83" w:rsidRPr="0099310D">
        <w:rPr>
          <w:rFonts w:ascii="Calibri" w:eastAsia="Cambria" w:hAnsi="Calibri"/>
          <w:sz w:val="20"/>
          <w:szCs w:val="20"/>
          <w:u w:val="single"/>
          <w:lang w:val="en-GB"/>
        </w:rPr>
        <w:t>ing the impacts of</w:t>
      </w:r>
      <w:r w:rsidR="004E6D7B" w:rsidRPr="0099310D">
        <w:rPr>
          <w:rFonts w:ascii="Calibri" w:eastAsia="Cambria" w:hAnsi="Calibri"/>
          <w:sz w:val="20"/>
          <w:szCs w:val="20"/>
          <w:u w:val="single"/>
          <w:lang w:val="en-GB"/>
        </w:rPr>
        <w:t xml:space="preserve"> unsustainable hunting pressure</w:t>
      </w:r>
      <w:r w:rsidR="00302BFE" w:rsidRPr="0099310D">
        <w:rPr>
          <w:rFonts w:ascii="Calibri" w:eastAsia="Cambria" w:hAnsi="Calibri"/>
          <w:sz w:val="20"/>
          <w:szCs w:val="20"/>
          <w:lang w:val="en-GB"/>
        </w:rPr>
        <w:t xml:space="preserve">. </w:t>
      </w:r>
    </w:p>
    <w:tbl>
      <w:tblPr>
        <w:tblStyle w:val="Grilledutableau"/>
        <w:tblW w:w="0" w:type="auto"/>
        <w:tblInd w:w="279" w:type="dxa"/>
        <w:tblLook w:val="04A0" w:firstRow="1" w:lastRow="0" w:firstColumn="1" w:lastColumn="0" w:noHBand="0" w:noVBand="1"/>
      </w:tblPr>
      <w:tblGrid>
        <w:gridCol w:w="10348"/>
      </w:tblGrid>
      <w:tr w:rsidR="00784CCC" w14:paraId="78393C65" w14:textId="77777777" w:rsidTr="006479CE">
        <w:tc>
          <w:tcPr>
            <w:tcW w:w="10348" w:type="dxa"/>
          </w:tcPr>
          <w:p w14:paraId="4CD8993A" w14:textId="57F996A1" w:rsidR="00784CCC" w:rsidRPr="0099310D" w:rsidRDefault="00784CCC" w:rsidP="00784CCC">
            <w:pPr>
              <w:pStyle w:val="Paragraphedeliste"/>
              <w:tabs>
                <w:tab w:val="left" w:pos="284"/>
              </w:tabs>
              <w:ind w:left="0"/>
              <w:jc w:val="both"/>
              <w:rPr>
                <w:rFonts w:ascii="Calibri" w:hAnsi="Calibri"/>
                <w:sz w:val="18"/>
                <w:szCs w:val="18"/>
                <w:lang w:val="en-CA"/>
              </w:rPr>
            </w:pPr>
            <w:r w:rsidRPr="00D61C93">
              <w:rPr>
                <w:rFonts w:ascii="Calibri" w:hAnsi="Calibri"/>
                <w:sz w:val="18"/>
                <w:szCs w:val="18"/>
                <w:lang w:val="en-GB"/>
              </w:rPr>
              <w:t xml:space="preserve">Big and small game hunting could have negative effects on wildlife populations if practiced without sound knowledge-based regulation and management, which would have a negative cascading effect on the ecosystem, and waste assets for non-consumptive and consumptive uses of PAs. </w:t>
            </w:r>
            <w:r w:rsidR="001070F0" w:rsidRPr="004E03CC">
              <w:rPr>
                <w:rFonts w:ascii="Calibri" w:hAnsi="Calibri"/>
                <w:sz w:val="18"/>
                <w:szCs w:val="18"/>
                <w:lang w:val="en-GB"/>
              </w:rPr>
              <w:t xml:space="preserve">Hunting and the consumption of wild meat under uncontrolled conditions is also a risk factor in the </w:t>
            </w:r>
            <w:r w:rsidR="00C46720" w:rsidRPr="004E03CC">
              <w:rPr>
                <w:rFonts w:ascii="Calibri" w:hAnsi="Calibri"/>
                <w:sz w:val="18"/>
                <w:szCs w:val="18"/>
                <w:lang w:val="en-GB"/>
              </w:rPr>
              <w:t>sp</w:t>
            </w:r>
            <w:r w:rsidR="001070F0" w:rsidRPr="004E03CC">
              <w:rPr>
                <w:rFonts w:ascii="Calibri" w:hAnsi="Calibri"/>
                <w:sz w:val="18"/>
                <w:szCs w:val="18"/>
                <w:lang w:val="en-GB"/>
              </w:rPr>
              <w:t xml:space="preserve">read of known and yet unknown zoonotic diseases. </w:t>
            </w:r>
            <w:r w:rsidRPr="004E03CC">
              <w:rPr>
                <w:rFonts w:ascii="Calibri" w:hAnsi="Calibri"/>
                <w:sz w:val="18"/>
                <w:szCs w:val="18"/>
                <w:lang w:val="en-GB"/>
              </w:rPr>
              <w:t>According</w:t>
            </w:r>
            <w:r w:rsidRPr="00D61C93">
              <w:rPr>
                <w:rFonts w:ascii="Calibri" w:hAnsi="Calibri"/>
                <w:sz w:val="18"/>
                <w:szCs w:val="18"/>
                <w:lang w:val="en-GB"/>
              </w:rPr>
              <w:t xml:space="preserve"> to the optimal scenario envisioned when ZOVICs were created, </w:t>
            </w:r>
            <w:r w:rsidRPr="00D61C93">
              <w:rPr>
                <w:rFonts w:ascii="Calibri" w:hAnsi="Calibri"/>
                <w:sz w:val="18"/>
                <w:szCs w:val="18"/>
                <w:lang w:val="en-CA"/>
              </w:rPr>
              <w:t xml:space="preserve">small game </w:t>
            </w:r>
            <w:r w:rsidR="00C46720">
              <w:rPr>
                <w:rFonts w:ascii="Calibri" w:hAnsi="Calibri"/>
                <w:sz w:val="18"/>
                <w:szCs w:val="18"/>
                <w:lang w:val="en-CA"/>
              </w:rPr>
              <w:t>sp</w:t>
            </w:r>
            <w:r w:rsidRPr="00D61C93">
              <w:rPr>
                <w:rFonts w:ascii="Calibri" w:hAnsi="Calibri"/>
                <w:sz w:val="18"/>
                <w:szCs w:val="18"/>
                <w:lang w:val="en-CA"/>
              </w:rPr>
              <w:t xml:space="preserve">ecies should benefit local communities through supporting their subsistence hunting, providing a source of income through the renting or concession of ZOVICs to private concessionaires for small game hunting, and contributing to provide tourism-related employment, whether vision or hunting, as </w:t>
            </w:r>
            <w:proofErr w:type="spellStart"/>
            <w:r w:rsidRPr="00D61C93">
              <w:rPr>
                <w:rFonts w:ascii="Calibri" w:hAnsi="Calibri"/>
                <w:sz w:val="18"/>
                <w:szCs w:val="18"/>
                <w:lang w:val="en-CA"/>
              </w:rPr>
              <w:t>ecoguards</w:t>
            </w:r>
            <w:proofErr w:type="spellEnd"/>
            <w:r w:rsidRPr="00D61C93">
              <w:rPr>
                <w:rFonts w:ascii="Calibri" w:hAnsi="Calibri"/>
                <w:sz w:val="18"/>
                <w:szCs w:val="18"/>
                <w:lang w:val="en-CA"/>
              </w:rPr>
              <w:t xml:space="preserve"> or trackers. These benefits have not been realized in recent </w:t>
            </w:r>
            <w:r w:rsidRPr="0099310D">
              <w:rPr>
                <w:rFonts w:ascii="Calibri" w:hAnsi="Calibri"/>
                <w:sz w:val="18"/>
                <w:szCs w:val="18"/>
                <w:lang w:val="en-CA"/>
              </w:rPr>
              <w:t xml:space="preserve">years for various reasons including the poor condition of </w:t>
            </w:r>
            <w:proofErr w:type="gramStart"/>
            <w:r w:rsidRPr="0099310D">
              <w:rPr>
                <w:rFonts w:ascii="Calibri" w:hAnsi="Calibri"/>
                <w:sz w:val="18"/>
                <w:szCs w:val="18"/>
                <w:lang w:val="en-CA"/>
              </w:rPr>
              <w:t>ZOVICs, but</w:t>
            </w:r>
            <w:proofErr w:type="gramEnd"/>
            <w:r w:rsidRPr="0099310D">
              <w:rPr>
                <w:rFonts w:ascii="Calibri" w:hAnsi="Calibri"/>
                <w:sz w:val="18"/>
                <w:szCs w:val="18"/>
                <w:lang w:val="en-CA"/>
              </w:rPr>
              <w:t xml:space="preserve"> need to be reinstated to foster ownership of protected areas, reduce the need for illegal incursions and activities by local communities at the periphery of PAs and encourage them to preserve critical habitats for these wildlife </w:t>
            </w:r>
            <w:r w:rsidR="00C46720">
              <w:rPr>
                <w:rFonts w:ascii="Calibri" w:hAnsi="Calibri"/>
                <w:sz w:val="18"/>
                <w:szCs w:val="18"/>
                <w:lang w:val="en-CA"/>
              </w:rPr>
              <w:t>sp</w:t>
            </w:r>
            <w:r w:rsidRPr="0099310D">
              <w:rPr>
                <w:rFonts w:ascii="Calibri" w:hAnsi="Calibri"/>
                <w:sz w:val="18"/>
                <w:szCs w:val="18"/>
                <w:lang w:val="en-CA"/>
              </w:rPr>
              <w:t xml:space="preserve">ecies and thereby for biodiversity in general, including </w:t>
            </w:r>
            <w:r w:rsidR="00C46720">
              <w:rPr>
                <w:rFonts w:ascii="Calibri" w:hAnsi="Calibri"/>
                <w:sz w:val="18"/>
                <w:szCs w:val="18"/>
                <w:lang w:val="en-CA"/>
              </w:rPr>
              <w:t>sp</w:t>
            </w:r>
            <w:r w:rsidRPr="0099310D">
              <w:rPr>
                <w:rFonts w:ascii="Calibri" w:hAnsi="Calibri"/>
                <w:sz w:val="18"/>
                <w:szCs w:val="18"/>
                <w:lang w:val="en-CA"/>
              </w:rPr>
              <w:t>ecies of global importance.</w:t>
            </w:r>
          </w:p>
          <w:p w14:paraId="4ADF6BD9" w14:textId="6A3DF6D3" w:rsidR="00413432" w:rsidRPr="00413432" w:rsidRDefault="006479CE" w:rsidP="00413432">
            <w:pPr>
              <w:pStyle w:val="Paragraphedeliste"/>
              <w:tabs>
                <w:tab w:val="left" w:pos="284"/>
              </w:tabs>
              <w:spacing w:before="60"/>
              <w:ind w:left="0"/>
              <w:jc w:val="both"/>
              <w:rPr>
                <w:rFonts w:asciiTheme="minorHAnsi" w:hAnsiTheme="minorHAnsi"/>
                <w:sz w:val="18"/>
                <w:szCs w:val="18"/>
                <w:highlight w:val="yellow"/>
                <w:lang w:val="en-GB"/>
              </w:rPr>
            </w:pPr>
            <w:r w:rsidRPr="0099310D">
              <w:rPr>
                <w:rFonts w:asciiTheme="minorHAnsi" w:hAnsiTheme="minorHAnsi"/>
                <w:sz w:val="18"/>
                <w:szCs w:val="18"/>
                <w:lang w:val="en-CA"/>
              </w:rPr>
              <w:t>Yet, i</w:t>
            </w:r>
            <w:r w:rsidR="00413432" w:rsidRPr="0099310D">
              <w:rPr>
                <w:rFonts w:asciiTheme="minorHAnsi" w:hAnsiTheme="minorHAnsi"/>
                <w:sz w:val="18"/>
                <w:szCs w:val="18"/>
                <w:lang w:val="en-CA"/>
              </w:rPr>
              <w:t xml:space="preserve">nterviews conducted during the PRODOC development phase have shown that the RGN experience is largely perceived among national stakeholders as a success story that has enabled the maintenance of populations of large mammal </w:t>
            </w:r>
            <w:r w:rsidR="00C46720">
              <w:rPr>
                <w:rFonts w:asciiTheme="minorHAnsi" w:hAnsiTheme="minorHAnsi"/>
                <w:sz w:val="18"/>
                <w:szCs w:val="18"/>
                <w:lang w:val="en-CA"/>
              </w:rPr>
              <w:t>sp</w:t>
            </w:r>
            <w:r w:rsidR="00413432" w:rsidRPr="0099310D">
              <w:rPr>
                <w:rFonts w:asciiTheme="minorHAnsi" w:hAnsiTheme="minorHAnsi"/>
                <w:sz w:val="18"/>
                <w:szCs w:val="18"/>
                <w:lang w:val="en-CA"/>
              </w:rPr>
              <w:t xml:space="preserve">ecies thanks to infrastructures, </w:t>
            </w:r>
            <w:r w:rsidR="00C46720">
              <w:rPr>
                <w:rFonts w:asciiTheme="minorHAnsi" w:hAnsiTheme="minorHAnsi"/>
                <w:sz w:val="18"/>
                <w:szCs w:val="18"/>
                <w:lang w:val="en-CA"/>
              </w:rPr>
              <w:t>esp</w:t>
            </w:r>
            <w:r w:rsidR="00413432" w:rsidRPr="0099310D">
              <w:rPr>
                <w:rFonts w:asciiTheme="minorHAnsi" w:hAnsiTheme="minorHAnsi"/>
                <w:sz w:val="18"/>
                <w:szCs w:val="18"/>
                <w:lang w:val="en-CA"/>
              </w:rPr>
              <w:t xml:space="preserve">ecially hydraulic works, and hunting activities that generate revenue to finance them. Somewhat diverging findings, such as the analysis published by Bouché </w:t>
            </w:r>
            <w:r w:rsidR="00413432" w:rsidRPr="0099310D">
              <w:rPr>
                <w:rFonts w:asciiTheme="minorHAnsi" w:hAnsiTheme="minorHAnsi"/>
                <w:i/>
                <w:iCs/>
                <w:sz w:val="18"/>
                <w:szCs w:val="18"/>
                <w:lang w:val="en-CA"/>
              </w:rPr>
              <w:t>et al</w:t>
            </w:r>
            <w:r w:rsidR="00413432" w:rsidRPr="0099310D">
              <w:rPr>
                <w:rFonts w:asciiTheme="minorHAnsi" w:hAnsiTheme="minorHAnsi"/>
                <w:sz w:val="18"/>
                <w:szCs w:val="18"/>
                <w:lang w:val="en-CA"/>
              </w:rPr>
              <w:t xml:space="preserve">. 2016, are little disseminated, </w:t>
            </w:r>
            <w:proofErr w:type="gramStart"/>
            <w:r w:rsidR="00413432" w:rsidRPr="0099310D">
              <w:rPr>
                <w:rFonts w:asciiTheme="minorHAnsi" w:hAnsiTheme="minorHAnsi"/>
                <w:sz w:val="18"/>
                <w:szCs w:val="18"/>
                <w:lang w:val="en-CA"/>
              </w:rPr>
              <w:t>known</w:t>
            </w:r>
            <w:proofErr w:type="gramEnd"/>
            <w:r w:rsidR="00413432" w:rsidRPr="0099310D">
              <w:rPr>
                <w:rFonts w:asciiTheme="minorHAnsi" w:hAnsiTheme="minorHAnsi"/>
                <w:sz w:val="18"/>
                <w:szCs w:val="18"/>
                <w:lang w:val="en-CA"/>
              </w:rPr>
              <w:t xml:space="preserve"> or acknowledged by concerned actors. It is therefore difficult to envisage that the project may unilaterally impose a ban on hunting in the areas currently open to this activity as this would jeopardize the acceptability of the whole project by all stakeholders.</w:t>
            </w:r>
          </w:p>
        </w:tc>
      </w:tr>
    </w:tbl>
    <w:p w14:paraId="5A4C9951" w14:textId="77777777" w:rsidR="007E6AF2" w:rsidRPr="0099310D" w:rsidRDefault="007E6AF2" w:rsidP="00375471">
      <w:pPr>
        <w:pStyle w:val="Paragraphedeliste"/>
        <w:tabs>
          <w:tab w:val="left" w:pos="284"/>
        </w:tabs>
        <w:spacing w:before="120" w:after="120"/>
        <w:ind w:left="0"/>
        <w:jc w:val="both"/>
        <w:rPr>
          <w:rFonts w:ascii="Calibri" w:eastAsia="Cambria" w:hAnsi="Calibri"/>
          <w:sz w:val="20"/>
          <w:szCs w:val="20"/>
          <w:lang w:val="en-GB"/>
        </w:rPr>
      </w:pPr>
      <w:r w:rsidRPr="0099310D">
        <w:rPr>
          <w:rFonts w:ascii="Calibri" w:eastAsia="Cambria" w:hAnsi="Calibri"/>
          <w:sz w:val="20"/>
          <w:szCs w:val="20"/>
          <w:lang w:val="en-GB"/>
        </w:rPr>
        <w:t>The project will address the issue of hunting sustainability in successive stages:</w:t>
      </w:r>
    </w:p>
    <w:p w14:paraId="496B3924" w14:textId="3A03EF5F" w:rsidR="00F465F9" w:rsidRPr="0099310D" w:rsidRDefault="00D04158" w:rsidP="00C46720">
      <w:pPr>
        <w:pStyle w:val="Paragraphedeliste"/>
        <w:numPr>
          <w:ilvl w:val="0"/>
          <w:numId w:val="61"/>
        </w:numPr>
        <w:tabs>
          <w:tab w:val="left" w:pos="709"/>
        </w:tabs>
        <w:spacing w:before="120" w:after="120"/>
        <w:ind w:left="709" w:firstLine="5"/>
        <w:jc w:val="both"/>
        <w:rPr>
          <w:rFonts w:asciiTheme="minorHAnsi" w:hAnsiTheme="minorHAnsi"/>
          <w:sz w:val="20"/>
          <w:szCs w:val="20"/>
          <w:lang w:val="en-CA"/>
        </w:rPr>
      </w:pPr>
      <w:r w:rsidRPr="0099310D">
        <w:rPr>
          <w:rFonts w:asciiTheme="minorHAnsi" w:hAnsiTheme="minorHAnsi"/>
          <w:sz w:val="20"/>
          <w:szCs w:val="20"/>
          <w:lang w:val="en-CA"/>
        </w:rPr>
        <w:t>T</w:t>
      </w:r>
      <w:r w:rsidR="00D04DF3" w:rsidRPr="0099310D">
        <w:rPr>
          <w:rFonts w:asciiTheme="minorHAnsi" w:hAnsiTheme="minorHAnsi"/>
          <w:sz w:val="20"/>
          <w:szCs w:val="20"/>
          <w:lang w:val="en-CA"/>
        </w:rPr>
        <w:t xml:space="preserve">he project will </w:t>
      </w:r>
      <w:r w:rsidRPr="0099310D">
        <w:rPr>
          <w:rFonts w:asciiTheme="minorHAnsi" w:hAnsiTheme="minorHAnsi"/>
          <w:sz w:val="20"/>
          <w:szCs w:val="20"/>
          <w:lang w:val="en-CA"/>
        </w:rPr>
        <w:t>collaborate</w:t>
      </w:r>
      <w:r w:rsidR="00D04DF3" w:rsidRPr="0099310D">
        <w:rPr>
          <w:rFonts w:asciiTheme="minorHAnsi" w:hAnsiTheme="minorHAnsi"/>
          <w:sz w:val="20"/>
          <w:szCs w:val="20"/>
          <w:lang w:val="en-CA"/>
        </w:rPr>
        <w:t xml:space="preserve"> with the Direction </w:t>
      </w:r>
      <w:r w:rsidR="00D04DF3" w:rsidRPr="004E03CC">
        <w:rPr>
          <w:rFonts w:asciiTheme="minorHAnsi" w:hAnsiTheme="minorHAnsi"/>
          <w:sz w:val="20"/>
          <w:szCs w:val="20"/>
          <w:lang w:val="en-CA"/>
        </w:rPr>
        <w:t xml:space="preserve">of Wildlife and </w:t>
      </w:r>
      <w:r w:rsidR="00F16B6B" w:rsidRPr="004E03CC">
        <w:rPr>
          <w:rFonts w:asciiTheme="minorHAnsi" w:hAnsiTheme="minorHAnsi"/>
          <w:sz w:val="20"/>
          <w:szCs w:val="20"/>
          <w:lang w:val="en-CA"/>
        </w:rPr>
        <w:t>hunting resources</w:t>
      </w:r>
      <w:r w:rsidR="00D04DF3" w:rsidRPr="004E03CC">
        <w:rPr>
          <w:rFonts w:asciiTheme="minorHAnsi" w:hAnsiTheme="minorHAnsi"/>
          <w:sz w:val="20"/>
          <w:szCs w:val="20"/>
          <w:lang w:val="en-CA"/>
        </w:rPr>
        <w:t xml:space="preserve">, </w:t>
      </w:r>
      <w:r w:rsidR="00F465F9" w:rsidRPr="004E03CC">
        <w:rPr>
          <w:rFonts w:asciiTheme="minorHAnsi" w:hAnsiTheme="minorHAnsi"/>
          <w:sz w:val="20"/>
          <w:szCs w:val="20"/>
          <w:lang w:val="en-CA"/>
        </w:rPr>
        <w:t>OFINAP</w:t>
      </w:r>
      <w:r w:rsidR="00F465F9" w:rsidRPr="0099310D">
        <w:rPr>
          <w:rFonts w:asciiTheme="minorHAnsi" w:hAnsiTheme="minorHAnsi"/>
          <w:sz w:val="20"/>
          <w:szCs w:val="20"/>
          <w:lang w:val="en-CA"/>
        </w:rPr>
        <w:t xml:space="preserve"> and DGEF to address the findings of the scientific analysis of the status of mammal populations over 30 years in the RGN and in the ZOVICs</w:t>
      </w:r>
      <w:r w:rsidR="00F465F9" w:rsidRPr="0099310D">
        <w:rPr>
          <w:rStyle w:val="Appelnotedebasdep"/>
          <w:rFonts w:asciiTheme="minorHAnsi" w:hAnsiTheme="minorHAnsi"/>
          <w:sz w:val="20"/>
          <w:szCs w:val="20"/>
          <w:lang w:val="en-CA"/>
        </w:rPr>
        <w:footnoteReference w:id="50"/>
      </w:r>
      <w:r w:rsidR="00F465F9" w:rsidRPr="0099310D">
        <w:rPr>
          <w:rFonts w:asciiTheme="minorHAnsi" w:hAnsiTheme="minorHAnsi"/>
          <w:sz w:val="20"/>
          <w:szCs w:val="20"/>
          <w:lang w:val="en-CA"/>
        </w:rPr>
        <w:t xml:space="preserve"> indicating a decrease in small mammal populations targeted by hunting and organize a participatory reflection among all concerned stakeholders to develop a common understanding of the impacts of hunting activities in the RGN, the </w:t>
      </w:r>
      <w:proofErr w:type="spellStart"/>
      <w:r w:rsidR="00F465F9" w:rsidRPr="0099310D">
        <w:rPr>
          <w:rFonts w:asciiTheme="minorHAnsi" w:hAnsiTheme="minorHAnsi"/>
          <w:sz w:val="20"/>
          <w:szCs w:val="20"/>
          <w:lang w:val="en-CA"/>
        </w:rPr>
        <w:t>Sissili</w:t>
      </w:r>
      <w:proofErr w:type="spellEnd"/>
      <w:r w:rsidR="00F465F9" w:rsidRPr="0099310D">
        <w:rPr>
          <w:rFonts w:asciiTheme="minorHAnsi" w:hAnsiTheme="minorHAnsi"/>
          <w:sz w:val="20"/>
          <w:szCs w:val="20"/>
          <w:lang w:val="en-CA"/>
        </w:rPr>
        <w:t xml:space="preserve"> CF and the ZOVICs. The project will therefore recruit </w:t>
      </w:r>
      <w:r w:rsidR="00F465F9" w:rsidRPr="0099310D">
        <w:rPr>
          <w:rFonts w:ascii="Calibri" w:hAnsi="Calibri"/>
          <w:sz w:val="20"/>
          <w:szCs w:val="20"/>
          <w:lang w:val="en-GB"/>
        </w:rPr>
        <w:t xml:space="preserve">a wildlife expert to compile and analyse </w:t>
      </w:r>
      <w:r w:rsidR="00F465F9" w:rsidRPr="0099310D">
        <w:rPr>
          <w:rFonts w:asciiTheme="minorHAnsi" w:hAnsiTheme="minorHAnsi"/>
          <w:sz w:val="20"/>
          <w:szCs w:val="20"/>
          <w:lang w:val="en-CA"/>
        </w:rPr>
        <w:t xml:space="preserve">existing knowledge (such as </w:t>
      </w:r>
      <w:r w:rsidR="00894B16" w:rsidRPr="0099310D">
        <w:rPr>
          <w:rFonts w:asciiTheme="minorHAnsi" w:hAnsiTheme="minorHAnsi"/>
          <w:sz w:val="20"/>
          <w:szCs w:val="20"/>
          <w:lang w:val="en-CA"/>
        </w:rPr>
        <w:t xml:space="preserve">the </w:t>
      </w:r>
      <w:r w:rsidR="00F465F9" w:rsidRPr="0099310D">
        <w:rPr>
          <w:rFonts w:asciiTheme="minorHAnsi" w:hAnsiTheme="minorHAnsi"/>
          <w:sz w:val="20"/>
          <w:szCs w:val="20"/>
          <w:lang w:val="en-CA"/>
        </w:rPr>
        <w:t xml:space="preserve">databases used in Bouché </w:t>
      </w:r>
      <w:r w:rsidR="00F465F9" w:rsidRPr="0099310D">
        <w:rPr>
          <w:rFonts w:asciiTheme="minorHAnsi" w:hAnsiTheme="minorHAnsi"/>
          <w:i/>
          <w:iCs/>
          <w:sz w:val="20"/>
          <w:szCs w:val="20"/>
          <w:lang w:val="en-CA"/>
        </w:rPr>
        <w:t>et al</w:t>
      </w:r>
      <w:r w:rsidR="00F465F9" w:rsidRPr="0099310D">
        <w:rPr>
          <w:rFonts w:asciiTheme="minorHAnsi" w:hAnsiTheme="minorHAnsi"/>
          <w:sz w:val="20"/>
          <w:szCs w:val="20"/>
          <w:lang w:val="en-CA"/>
        </w:rPr>
        <w:t xml:space="preserve">. 2016), publications, conduct interviews with relevant stakeholders, and </w:t>
      </w:r>
      <w:r w:rsidR="00470D4B" w:rsidRPr="0099310D">
        <w:rPr>
          <w:rFonts w:asciiTheme="minorHAnsi" w:hAnsiTheme="minorHAnsi"/>
          <w:sz w:val="20"/>
          <w:szCs w:val="20"/>
          <w:lang w:val="en-CA"/>
        </w:rPr>
        <w:t>review</w:t>
      </w:r>
      <w:r w:rsidR="00F465F9" w:rsidRPr="0099310D">
        <w:rPr>
          <w:rFonts w:asciiTheme="minorHAnsi" w:hAnsiTheme="minorHAnsi"/>
          <w:sz w:val="20"/>
          <w:szCs w:val="20"/>
          <w:lang w:val="en-CA"/>
        </w:rPr>
        <w:t xml:space="preserve"> hunting management in the RGN, the </w:t>
      </w:r>
      <w:proofErr w:type="spellStart"/>
      <w:r w:rsidR="00F465F9" w:rsidRPr="0099310D">
        <w:rPr>
          <w:rFonts w:asciiTheme="minorHAnsi" w:hAnsiTheme="minorHAnsi"/>
          <w:sz w:val="20"/>
          <w:szCs w:val="20"/>
          <w:lang w:val="en-CA"/>
        </w:rPr>
        <w:t>Sissili</w:t>
      </w:r>
      <w:proofErr w:type="spellEnd"/>
      <w:r w:rsidR="00F465F9" w:rsidRPr="0099310D">
        <w:rPr>
          <w:rFonts w:asciiTheme="minorHAnsi" w:hAnsiTheme="minorHAnsi"/>
          <w:sz w:val="20"/>
          <w:szCs w:val="20"/>
          <w:lang w:val="en-CA"/>
        </w:rPr>
        <w:t xml:space="preserve"> CF and the ZOVICs since their creation, the resulting impacts against stated objectives in terms of biodiversity conservation (taking as a reference the population levels recorded at the time of the creation of the PAs, whenever available) and actual socioeconomic costs and benefits for the various stakeholders involved. The purpose of the workshop is to review and discuss the report findings so that</w:t>
      </w:r>
      <w:r w:rsidR="00F465F9" w:rsidRPr="0099310D">
        <w:rPr>
          <w:rFonts w:ascii="Calibri" w:hAnsi="Calibri"/>
          <w:sz w:val="20"/>
          <w:szCs w:val="20"/>
          <w:lang w:val="en-GB"/>
        </w:rPr>
        <w:t xml:space="preserve"> participa</w:t>
      </w:r>
      <w:r w:rsidR="00F075EA" w:rsidRPr="0099310D">
        <w:rPr>
          <w:rFonts w:ascii="Calibri" w:hAnsi="Calibri"/>
          <w:sz w:val="20"/>
          <w:szCs w:val="20"/>
          <w:lang w:val="en-GB"/>
        </w:rPr>
        <w:t>n</w:t>
      </w:r>
      <w:r w:rsidR="00F465F9" w:rsidRPr="0099310D">
        <w:rPr>
          <w:rFonts w:ascii="Calibri" w:hAnsi="Calibri"/>
          <w:sz w:val="20"/>
          <w:szCs w:val="20"/>
          <w:lang w:val="en-GB"/>
        </w:rPr>
        <w:t>t</w:t>
      </w:r>
      <w:r w:rsidR="00F075EA" w:rsidRPr="0099310D">
        <w:rPr>
          <w:rFonts w:ascii="Calibri" w:hAnsi="Calibri"/>
          <w:sz w:val="20"/>
          <w:szCs w:val="20"/>
          <w:lang w:val="en-GB"/>
        </w:rPr>
        <w:t>s</w:t>
      </w:r>
      <w:r w:rsidR="00F465F9" w:rsidRPr="0099310D">
        <w:rPr>
          <w:rFonts w:ascii="Calibri" w:hAnsi="Calibri"/>
          <w:sz w:val="20"/>
          <w:szCs w:val="20"/>
          <w:lang w:val="en-GB"/>
        </w:rPr>
        <w:t xml:space="preserve"> </w:t>
      </w:r>
      <w:r w:rsidR="00F075EA" w:rsidRPr="0099310D">
        <w:rPr>
          <w:rFonts w:ascii="Calibri" w:hAnsi="Calibri"/>
          <w:sz w:val="20"/>
          <w:szCs w:val="20"/>
          <w:lang w:val="en-GB"/>
        </w:rPr>
        <w:t>have</w:t>
      </w:r>
      <w:r w:rsidR="00F465F9" w:rsidRPr="0099310D">
        <w:rPr>
          <w:rFonts w:ascii="Calibri" w:hAnsi="Calibri"/>
          <w:sz w:val="20"/>
          <w:szCs w:val="20"/>
          <w:lang w:val="en-GB"/>
        </w:rPr>
        <w:t xml:space="preserve"> a clear understanding of the recent population trends for exploited </w:t>
      </w:r>
      <w:r w:rsidR="00342675">
        <w:rPr>
          <w:rFonts w:ascii="Calibri" w:hAnsi="Calibri"/>
          <w:sz w:val="20"/>
          <w:szCs w:val="20"/>
          <w:lang w:val="en-GB"/>
        </w:rPr>
        <w:t>species</w:t>
      </w:r>
      <w:r w:rsidR="00F465F9" w:rsidRPr="0099310D">
        <w:rPr>
          <w:rFonts w:ascii="Calibri" w:hAnsi="Calibri"/>
          <w:sz w:val="20"/>
          <w:szCs w:val="20"/>
          <w:lang w:val="en-GB"/>
        </w:rPr>
        <w:t xml:space="preserve"> (those for which data are available</w:t>
      </w:r>
      <w:r w:rsidR="00F465F9" w:rsidRPr="0099310D">
        <w:rPr>
          <w:rStyle w:val="Appelnotedebasdep"/>
          <w:szCs w:val="20"/>
          <w:lang w:val="en-GB"/>
        </w:rPr>
        <w:footnoteReference w:id="51"/>
      </w:r>
      <w:r w:rsidR="00F465F9" w:rsidRPr="0099310D">
        <w:rPr>
          <w:rFonts w:ascii="Calibri" w:hAnsi="Calibri"/>
          <w:sz w:val="20"/>
          <w:szCs w:val="20"/>
          <w:lang w:val="en-GB"/>
        </w:rPr>
        <w:t xml:space="preserve">) and of hunting impacts, including socioeconomic ones. </w:t>
      </w:r>
      <w:r w:rsidR="00F465F9" w:rsidRPr="0099310D">
        <w:rPr>
          <w:rFonts w:asciiTheme="minorHAnsi" w:hAnsiTheme="minorHAnsi"/>
          <w:sz w:val="20"/>
          <w:szCs w:val="20"/>
          <w:lang w:val="en-CA"/>
        </w:rPr>
        <w:t xml:space="preserve">This participatory reflection will enable the development of a shared - optimally consensual - vision of the path to follow to alleviate pressures on the populations of small and medium mammals, namely poaching and hunting, gain broad support for the </w:t>
      </w:r>
      <w:r w:rsidR="00342675">
        <w:rPr>
          <w:rFonts w:asciiTheme="minorHAnsi" w:hAnsiTheme="minorHAnsi"/>
          <w:sz w:val="20"/>
          <w:szCs w:val="20"/>
          <w:lang w:val="en-CA"/>
        </w:rPr>
        <w:t>susp</w:t>
      </w:r>
      <w:r w:rsidR="00F465F9" w:rsidRPr="0099310D">
        <w:rPr>
          <w:rFonts w:asciiTheme="minorHAnsi" w:hAnsiTheme="minorHAnsi"/>
          <w:sz w:val="20"/>
          <w:szCs w:val="20"/>
          <w:lang w:val="en-CA"/>
        </w:rPr>
        <w:t xml:space="preserve">ension of hunting activities until the capacity of animal populations to withstand exploitation can be clearly demonstrated, and meet the biodiversity conservation objectives underlying the creation of these PAs. This workshop will take place early after the start of the project and gather all concerned actors within the Government, the private </w:t>
      </w:r>
      <w:proofErr w:type="gramStart"/>
      <w:r w:rsidR="00F465F9" w:rsidRPr="0099310D">
        <w:rPr>
          <w:rFonts w:asciiTheme="minorHAnsi" w:hAnsiTheme="minorHAnsi"/>
          <w:sz w:val="20"/>
          <w:szCs w:val="20"/>
          <w:lang w:val="en-CA"/>
        </w:rPr>
        <w:t>sector</w:t>
      </w:r>
      <w:proofErr w:type="gramEnd"/>
      <w:r w:rsidR="00F465F9" w:rsidRPr="0099310D">
        <w:rPr>
          <w:rFonts w:asciiTheme="minorHAnsi" w:hAnsiTheme="minorHAnsi"/>
          <w:sz w:val="20"/>
          <w:szCs w:val="20"/>
          <w:lang w:val="en-CA"/>
        </w:rPr>
        <w:t xml:space="preserve"> and local populations, including those likely to be affected by decisions regarding hunting management in core PAs and ZOVICs or to be involved in their implementation (enforcement) and in the monitoring of their socioeconomic and biodiversity effects.</w:t>
      </w:r>
    </w:p>
    <w:p w14:paraId="12D80A66" w14:textId="667AA7DA" w:rsidR="00F465F9" w:rsidRPr="0099310D" w:rsidRDefault="00F465F9" w:rsidP="00C46720">
      <w:pPr>
        <w:pStyle w:val="Paragraphedeliste"/>
        <w:numPr>
          <w:ilvl w:val="0"/>
          <w:numId w:val="61"/>
        </w:numPr>
        <w:tabs>
          <w:tab w:val="left" w:pos="709"/>
        </w:tabs>
        <w:spacing w:before="120" w:after="120"/>
        <w:ind w:left="709" w:firstLine="5"/>
        <w:jc w:val="both"/>
        <w:rPr>
          <w:rFonts w:asciiTheme="minorHAnsi" w:hAnsiTheme="minorHAnsi"/>
          <w:sz w:val="20"/>
          <w:szCs w:val="20"/>
          <w:lang w:val="en-CA"/>
        </w:rPr>
      </w:pPr>
      <w:r w:rsidRPr="0099310D">
        <w:rPr>
          <w:rFonts w:asciiTheme="minorHAnsi" w:hAnsiTheme="minorHAnsi"/>
          <w:sz w:val="20"/>
          <w:szCs w:val="20"/>
          <w:lang w:val="en-CA"/>
        </w:rPr>
        <w:t xml:space="preserve">Throughout the first half of the project, the project will focus its resources on strengthening the management of PAs, namely surveillance and enforcement in all areas prone to illegal activities, </w:t>
      </w:r>
      <w:r w:rsidR="00342675">
        <w:rPr>
          <w:rFonts w:asciiTheme="minorHAnsi" w:hAnsiTheme="minorHAnsi"/>
          <w:sz w:val="20"/>
          <w:szCs w:val="20"/>
          <w:lang w:val="en-CA"/>
        </w:rPr>
        <w:t>sp</w:t>
      </w:r>
      <w:r w:rsidRPr="0099310D">
        <w:rPr>
          <w:rFonts w:asciiTheme="minorHAnsi" w:hAnsiTheme="minorHAnsi"/>
          <w:sz w:val="20"/>
          <w:szCs w:val="20"/>
          <w:lang w:val="en-CA"/>
        </w:rPr>
        <w:t xml:space="preserve">ecially poaching and livestock incursions into </w:t>
      </w:r>
      <w:r w:rsidRPr="0099310D">
        <w:rPr>
          <w:rFonts w:asciiTheme="minorHAnsi" w:hAnsiTheme="minorHAnsi"/>
          <w:sz w:val="20"/>
          <w:szCs w:val="20"/>
          <w:lang w:val="en-CA"/>
        </w:rPr>
        <w:lastRenderedPageBreak/>
        <w:t xml:space="preserve">PAs, to enable the recovery of wildlife populations negatively affected by hunting and poaching. Wildlife </w:t>
      </w:r>
      <w:r w:rsidR="00342675">
        <w:rPr>
          <w:rFonts w:asciiTheme="minorHAnsi" w:hAnsiTheme="minorHAnsi"/>
          <w:sz w:val="20"/>
          <w:szCs w:val="20"/>
          <w:lang w:val="en-CA"/>
        </w:rPr>
        <w:t xml:space="preserve">species </w:t>
      </w:r>
      <w:r w:rsidRPr="0099310D">
        <w:rPr>
          <w:rFonts w:asciiTheme="minorHAnsi" w:hAnsiTheme="minorHAnsi"/>
          <w:sz w:val="20"/>
          <w:szCs w:val="20"/>
          <w:lang w:val="en-CA"/>
        </w:rPr>
        <w:t>targeted by hunting will be rigorously monitored and scientifically assessed to provide the data required to assess populations trends.</w:t>
      </w:r>
    </w:p>
    <w:p w14:paraId="72C02F41" w14:textId="3855B74B" w:rsidR="00F465F9" w:rsidRPr="0099310D" w:rsidRDefault="00F465F9" w:rsidP="00C46720">
      <w:pPr>
        <w:pStyle w:val="Paragraphedeliste"/>
        <w:numPr>
          <w:ilvl w:val="0"/>
          <w:numId w:val="61"/>
        </w:numPr>
        <w:tabs>
          <w:tab w:val="left" w:pos="709"/>
        </w:tabs>
        <w:spacing w:before="120" w:after="120"/>
        <w:ind w:left="709" w:firstLine="5"/>
        <w:jc w:val="both"/>
        <w:rPr>
          <w:rFonts w:asciiTheme="minorHAnsi" w:hAnsiTheme="minorHAnsi"/>
          <w:sz w:val="20"/>
          <w:szCs w:val="20"/>
          <w:lang w:val="en-CA"/>
        </w:rPr>
      </w:pPr>
      <w:r w:rsidRPr="0099310D">
        <w:rPr>
          <w:rFonts w:asciiTheme="minorHAnsi" w:hAnsiTheme="minorHAnsi"/>
          <w:sz w:val="20"/>
          <w:szCs w:val="20"/>
          <w:lang w:val="en-CA"/>
        </w:rPr>
        <w:t xml:space="preserve">An independent expert </w:t>
      </w:r>
      <w:proofErr w:type="gramStart"/>
      <w:r w:rsidRPr="0099310D">
        <w:rPr>
          <w:rFonts w:asciiTheme="minorHAnsi" w:hAnsiTheme="minorHAnsi"/>
          <w:sz w:val="20"/>
          <w:szCs w:val="20"/>
          <w:lang w:val="en-CA"/>
        </w:rPr>
        <w:t>i.e.</w:t>
      </w:r>
      <w:proofErr w:type="gramEnd"/>
      <w:r w:rsidRPr="0099310D">
        <w:rPr>
          <w:rFonts w:asciiTheme="minorHAnsi" w:hAnsiTheme="minorHAnsi"/>
          <w:sz w:val="20"/>
          <w:szCs w:val="20"/>
          <w:lang w:val="en-CA"/>
        </w:rPr>
        <w:t xml:space="preserve"> not engaged in any other activity of the project and with experience in the country will be recruited in the third year of the project so that recommendations are taken into consideration and supported by the project Mid-Term Review. The expert will analyse population trends for big and small game </w:t>
      </w:r>
      <w:r w:rsidR="00342675">
        <w:rPr>
          <w:rFonts w:asciiTheme="minorHAnsi" w:hAnsiTheme="minorHAnsi"/>
          <w:sz w:val="20"/>
          <w:szCs w:val="20"/>
          <w:lang w:val="en-CA"/>
        </w:rPr>
        <w:t>sp</w:t>
      </w:r>
      <w:r w:rsidRPr="0099310D">
        <w:rPr>
          <w:rFonts w:asciiTheme="minorHAnsi" w:hAnsiTheme="minorHAnsi"/>
          <w:sz w:val="20"/>
          <w:szCs w:val="20"/>
          <w:lang w:val="en-CA"/>
        </w:rPr>
        <w:t xml:space="preserve">ecies, and could also </w:t>
      </w:r>
      <w:proofErr w:type="gramStart"/>
      <w:r w:rsidRPr="0099310D">
        <w:rPr>
          <w:rFonts w:asciiTheme="minorHAnsi" w:hAnsiTheme="minorHAnsi"/>
          <w:sz w:val="20"/>
          <w:szCs w:val="20"/>
          <w:lang w:val="en-CA"/>
        </w:rPr>
        <w:t>include,</w:t>
      </w:r>
      <w:proofErr w:type="gramEnd"/>
      <w:r w:rsidRPr="0099310D">
        <w:rPr>
          <w:rFonts w:asciiTheme="minorHAnsi" w:hAnsiTheme="minorHAnsi"/>
          <w:sz w:val="20"/>
          <w:szCs w:val="20"/>
          <w:lang w:val="en-CA"/>
        </w:rPr>
        <w:t xml:space="preserve"> as relevant, other key </w:t>
      </w:r>
      <w:r w:rsidR="00342675">
        <w:rPr>
          <w:rFonts w:asciiTheme="minorHAnsi" w:hAnsiTheme="minorHAnsi"/>
          <w:sz w:val="20"/>
          <w:szCs w:val="20"/>
          <w:lang w:val="en-CA"/>
        </w:rPr>
        <w:t>sp</w:t>
      </w:r>
      <w:r w:rsidRPr="0099310D">
        <w:rPr>
          <w:rFonts w:asciiTheme="minorHAnsi" w:hAnsiTheme="minorHAnsi"/>
          <w:sz w:val="20"/>
          <w:szCs w:val="20"/>
          <w:lang w:val="en-CA"/>
        </w:rPr>
        <w:t xml:space="preserve">ecies that are not targeted by hunting activities and assess the status of game populations and </w:t>
      </w:r>
      <w:r w:rsidRPr="0099310D">
        <w:rPr>
          <w:rFonts w:asciiTheme="minorHAnsi" w:eastAsia="Times New Roman" w:hAnsiTheme="minorHAnsi" w:cs="Arial"/>
          <w:color w:val="212529"/>
          <w:sz w:val="20"/>
          <w:szCs w:val="20"/>
          <w:lang w:val="en-CA" w:eastAsia="en-GB"/>
        </w:rPr>
        <w:t xml:space="preserve">provide a professional opinion on the viability of the proposed activities including the proficiency </w:t>
      </w:r>
      <w:r w:rsidRPr="0099310D">
        <w:rPr>
          <w:rFonts w:asciiTheme="minorHAnsi" w:hAnsiTheme="minorHAnsi"/>
          <w:sz w:val="20"/>
          <w:szCs w:val="20"/>
          <w:lang w:val="en-CA"/>
        </w:rPr>
        <w:t>of the structures responsible for hunting management within the Government, the concessionaires and the village hunting management committees</w:t>
      </w:r>
      <w:r w:rsidRPr="0099310D">
        <w:rPr>
          <w:rFonts w:asciiTheme="minorHAnsi" w:eastAsia="Times New Roman" w:hAnsiTheme="minorHAnsi" w:cs="Arial"/>
          <w:color w:val="212529"/>
          <w:sz w:val="20"/>
          <w:szCs w:val="20"/>
          <w:lang w:val="en-CA" w:eastAsia="en-GB"/>
        </w:rPr>
        <w:t xml:space="preserve"> to manage the areas. </w:t>
      </w:r>
      <w:r w:rsidRPr="0099310D">
        <w:rPr>
          <w:rFonts w:asciiTheme="minorHAnsi" w:hAnsiTheme="minorHAnsi"/>
          <w:sz w:val="20"/>
          <w:szCs w:val="20"/>
          <w:lang w:val="en-CA"/>
        </w:rPr>
        <w:t xml:space="preserve">This assessment will take advantage of the recent data collected during the first 3 years assessments through the monitoring system strengthened with the project support and will cover all PAs, including the PNKT where hunting is forbidden, to enable comparisons of populations that have been differently subjected to hunting pressure. The conclusions will </w:t>
      </w:r>
      <w:r w:rsidRPr="0099310D">
        <w:rPr>
          <w:rFonts w:ascii="Calibri" w:hAnsi="Calibri"/>
          <w:sz w:val="20"/>
          <w:szCs w:val="20"/>
          <w:lang w:val="en-CA"/>
        </w:rPr>
        <w:t>have to provide solutions to avoid unsustainable hunting pressure in core PAs (</w:t>
      </w:r>
      <w:proofErr w:type="spellStart"/>
      <w:r w:rsidRPr="0099310D">
        <w:rPr>
          <w:rFonts w:ascii="Calibri" w:hAnsi="Calibri"/>
          <w:sz w:val="20"/>
          <w:szCs w:val="20"/>
          <w:lang w:val="en-CA"/>
        </w:rPr>
        <w:t>Nazinga</w:t>
      </w:r>
      <w:proofErr w:type="spellEnd"/>
      <w:r w:rsidRPr="0099310D">
        <w:rPr>
          <w:rFonts w:ascii="Calibri" w:hAnsi="Calibri"/>
          <w:sz w:val="20"/>
          <w:szCs w:val="20"/>
          <w:lang w:val="en-CA"/>
        </w:rPr>
        <w:t xml:space="preserve"> GR and </w:t>
      </w:r>
      <w:proofErr w:type="spellStart"/>
      <w:r w:rsidRPr="0099310D">
        <w:rPr>
          <w:rFonts w:ascii="Calibri" w:hAnsi="Calibri"/>
          <w:sz w:val="20"/>
          <w:szCs w:val="20"/>
          <w:lang w:val="en-CA"/>
        </w:rPr>
        <w:t>Sissili</w:t>
      </w:r>
      <w:proofErr w:type="spellEnd"/>
      <w:r w:rsidRPr="0099310D">
        <w:rPr>
          <w:rFonts w:ascii="Calibri" w:hAnsi="Calibri"/>
          <w:sz w:val="20"/>
          <w:szCs w:val="20"/>
          <w:lang w:val="en-CA"/>
        </w:rPr>
        <w:t xml:space="preserve"> CF) and in the ZOVICs and </w:t>
      </w:r>
      <w:r w:rsidRPr="0099310D">
        <w:rPr>
          <w:rFonts w:asciiTheme="minorHAnsi" w:hAnsiTheme="minorHAnsi"/>
          <w:sz w:val="20"/>
          <w:szCs w:val="20"/>
          <w:lang w:val="en-CA"/>
        </w:rPr>
        <w:t xml:space="preserve">recommend whether subsistence and sport hunting activities could be resumed and, if so, where, at what levels, under what conditions and according to what benefit-sharing rules. If the resumption of hunting activities in some or all parts of the PAs can be envisioned in the medium term, the specific criteria to be met need to be clarified, particularly in terms of animal populations status and capacities of the various parties involved in the management. Recommendations will be formulated regarding the capacity of game species populations in the NGR, the </w:t>
      </w:r>
      <w:proofErr w:type="spellStart"/>
      <w:r w:rsidRPr="0099310D">
        <w:rPr>
          <w:rFonts w:asciiTheme="minorHAnsi" w:hAnsiTheme="minorHAnsi"/>
          <w:sz w:val="20"/>
          <w:szCs w:val="20"/>
          <w:lang w:val="en-CA"/>
        </w:rPr>
        <w:t>Sissili</w:t>
      </w:r>
      <w:proofErr w:type="spellEnd"/>
      <w:r w:rsidRPr="0099310D">
        <w:rPr>
          <w:rFonts w:asciiTheme="minorHAnsi" w:hAnsiTheme="minorHAnsi"/>
          <w:sz w:val="20"/>
          <w:szCs w:val="20"/>
          <w:lang w:val="en-CA"/>
        </w:rPr>
        <w:t xml:space="preserve"> CF and in the ZOVICs to withstand hunting pressure. Further details on the assessment are provided under the Output 2.1.2 (information system).</w:t>
      </w:r>
    </w:p>
    <w:p w14:paraId="3999F845" w14:textId="17759CD8" w:rsidR="004D2432" w:rsidRPr="006F0042" w:rsidRDefault="004D2432" w:rsidP="004D2432">
      <w:pPr>
        <w:pStyle w:val="Paragraphedeliste"/>
        <w:tabs>
          <w:tab w:val="left" w:pos="284"/>
        </w:tabs>
        <w:spacing w:before="120" w:after="120"/>
        <w:jc w:val="both"/>
        <w:rPr>
          <w:rFonts w:ascii="Calibri" w:hAnsi="Calibri"/>
          <w:sz w:val="20"/>
          <w:szCs w:val="20"/>
          <w:lang w:val="en-GB"/>
        </w:rPr>
      </w:pPr>
      <w:r w:rsidRPr="0099310D">
        <w:rPr>
          <w:rFonts w:ascii="Calibri" w:hAnsi="Calibri" w:cs="Open Sans"/>
          <w:sz w:val="20"/>
          <w:szCs w:val="20"/>
          <w:shd w:val="clear" w:color="auto" w:fill="FFFFFF"/>
          <w:lang w:val="en-CA"/>
        </w:rPr>
        <w:t xml:space="preserve">The assessment should consider the various analyses conducted on big game hunting in other African countries. The statement by the IUCN Species Survival Commission that “well-managed trophy hunting can provide both revenue and incentives for people to conserve and restore wild </w:t>
      </w:r>
      <w:r w:rsidRPr="007F2384">
        <w:rPr>
          <w:rFonts w:ascii="Calibri" w:hAnsi="Calibri" w:cs="Open Sans"/>
          <w:sz w:val="20"/>
          <w:szCs w:val="20"/>
          <w:shd w:val="clear" w:color="auto" w:fill="FFFFFF"/>
          <w:lang w:val="en-CA"/>
        </w:rPr>
        <w:t xml:space="preserve">populations, maintain areas of land for conservation, and protect wildlife from poaching.” is challenged by several surveys. </w:t>
      </w:r>
      <w:r w:rsidR="000B0AA1" w:rsidRPr="00A63E29">
        <w:rPr>
          <w:rFonts w:ascii="Calibri" w:hAnsi="Calibri" w:cs="Open Sans"/>
          <w:sz w:val="20"/>
          <w:szCs w:val="20"/>
          <w:shd w:val="clear" w:color="auto" w:fill="FFFFFF"/>
          <w:lang w:val="en-CA"/>
        </w:rPr>
        <w:t xml:space="preserve">The assessment should also </w:t>
      </w:r>
      <w:proofErr w:type="gramStart"/>
      <w:r w:rsidR="000B0AA1" w:rsidRPr="00A63E29">
        <w:rPr>
          <w:rFonts w:ascii="Calibri" w:hAnsi="Calibri" w:cs="Open Sans"/>
          <w:sz w:val="20"/>
          <w:szCs w:val="20"/>
          <w:shd w:val="clear" w:color="auto" w:fill="FFFFFF"/>
          <w:lang w:val="en-CA"/>
        </w:rPr>
        <w:t>look into</w:t>
      </w:r>
      <w:proofErr w:type="gramEnd"/>
      <w:r w:rsidR="000B0AA1" w:rsidRPr="00A63E29">
        <w:rPr>
          <w:rFonts w:ascii="Calibri" w:hAnsi="Calibri" w:cs="Open Sans"/>
          <w:sz w:val="20"/>
          <w:szCs w:val="20"/>
          <w:shd w:val="clear" w:color="auto" w:fill="FFFFFF"/>
          <w:lang w:val="en-CA"/>
        </w:rPr>
        <w:t xml:space="preserve"> the risk of hunting and the consumption of wild meat leading to the spread of known and yet unknown zoonotic diseases and provide recommendations for the minimization of that risk for both subsistence and tourism hunting.</w:t>
      </w:r>
      <w:r w:rsidR="000B0AA1">
        <w:rPr>
          <w:rFonts w:ascii="Calibri" w:hAnsi="Calibri" w:cs="Open Sans"/>
          <w:sz w:val="20"/>
          <w:szCs w:val="20"/>
          <w:shd w:val="clear" w:color="auto" w:fill="FFFFFF"/>
          <w:lang w:val="en-CA"/>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D2432" w:rsidRPr="003824FD" w14:paraId="500E5118" w14:textId="77777777" w:rsidTr="00875BF2">
        <w:tc>
          <w:tcPr>
            <w:tcW w:w="10490" w:type="dxa"/>
            <w:shd w:val="clear" w:color="auto" w:fill="auto"/>
          </w:tcPr>
          <w:p w14:paraId="62D63DD0" w14:textId="77777777" w:rsidR="004D2432" w:rsidRPr="00EE15F9" w:rsidRDefault="004D2432" w:rsidP="00875BF2">
            <w:pPr>
              <w:pStyle w:val="Paragraphedeliste"/>
              <w:tabs>
                <w:tab w:val="left" w:pos="284"/>
              </w:tabs>
              <w:spacing w:before="40" w:after="40"/>
              <w:ind w:left="0"/>
              <w:jc w:val="both"/>
              <w:rPr>
                <w:rFonts w:ascii="Calibri" w:hAnsi="Calibri"/>
                <w:sz w:val="18"/>
                <w:szCs w:val="18"/>
                <w:lang w:val="en-GB"/>
              </w:rPr>
            </w:pPr>
            <w:r w:rsidRPr="00EE15F9">
              <w:rPr>
                <w:rFonts w:ascii="Calibri" w:hAnsi="Calibri"/>
                <w:b/>
                <w:sz w:val="18"/>
                <w:szCs w:val="18"/>
                <w:lang w:val="en-GB"/>
              </w:rPr>
              <w:t>On the contribution of big game hunting to conservation</w:t>
            </w:r>
            <w:r w:rsidRPr="00EE15F9">
              <w:rPr>
                <w:rFonts w:ascii="Calibri" w:hAnsi="Calibri"/>
                <w:sz w:val="18"/>
                <w:szCs w:val="18"/>
                <w:lang w:val="en-GB"/>
              </w:rPr>
              <w:t xml:space="preserve">. </w:t>
            </w:r>
            <w:r w:rsidRPr="00EE15F9">
              <w:rPr>
                <w:rFonts w:ascii="Calibri" w:hAnsi="Calibri"/>
                <w:sz w:val="18"/>
                <w:szCs w:val="18"/>
                <w:lang w:val="en-CA"/>
              </w:rPr>
              <w:t>The poor state of the big game hunting sector in Africa and its low potential for conservation were highlighted in a study published by IUCN-PAPACO in 2009</w:t>
            </w:r>
            <w:r w:rsidRPr="00EE15F9">
              <w:rPr>
                <w:rStyle w:val="Appelnotedebasdep"/>
                <w:rFonts w:ascii="Calibri" w:hAnsi="Calibri"/>
                <w:szCs w:val="18"/>
                <w:lang w:val="en-CA"/>
              </w:rPr>
              <w:footnoteReference w:id="52"/>
            </w:r>
            <w:r w:rsidRPr="00EE15F9">
              <w:rPr>
                <w:rFonts w:ascii="Calibri" w:hAnsi="Calibri"/>
                <w:sz w:val="18"/>
                <w:szCs w:val="18"/>
                <w:lang w:val="en-CA"/>
              </w:rPr>
              <w:t xml:space="preserve"> and later confirmed by other publications. </w:t>
            </w:r>
            <w:r w:rsidRPr="00EE15F9">
              <w:rPr>
                <w:rFonts w:ascii="Calibri" w:eastAsia="Calibri" w:hAnsi="Calibri"/>
                <w:sz w:val="18"/>
                <w:szCs w:val="18"/>
                <w:lang w:val="en-CA"/>
              </w:rPr>
              <w:t>A rigorous economic analysis of the marginal benefits of trophy hunting</w:t>
            </w:r>
            <w:r>
              <w:rPr>
                <w:rFonts w:ascii="Calibri" w:eastAsia="Calibri" w:hAnsi="Calibri"/>
                <w:sz w:val="18"/>
                <w:szCs w:val="18"/>
                <w:lang w:val="en-CA"/>
              </w:rPr>
              <w:t xml:space="preserve"> in 2017</w:t>
            </w:r>
            <w:r w:rsidRPr="00EE15F9">
              <w:rPr>
                <w:rStyle w:val="Appelnotedebasdep"/>
                <w:rFonts w:ascii="Calibri" w:eastAsia="Calibri" w:hAnsi="Calibri"/>
                <w:szCs w:val="18"/>
                <w:lang w:val="en-CA"/>
              </w:rPr>
              <w:footnoteReference w:id="53"/>
            </w:r>
            <w:r w:rsidRPr="00EE15F9">
              <w:rPr>
                <w:rFonts w:ascii="Calibri" w:eastAsia="Calibri" w:hAnsi="Calibri"/>
                <w:sz w:val="18"/>
                <w:szCs w:val="18"/>
                <w:lang w:val="en-CA"/>
              </w:rPr>
              <w:t xml:space="preserve"> discredits the assertion that it effectively contributes to conservation of wildlife and habitat in Africa. Findings are that economic benefits, marginal contribution to employment, and economic contribution of trophy hunters to tourism have been largely overstated and that the adjusted value of economic contribution of trophy hunting in eight African countries</w:t>
            </w:r>
            <w:r w:rsidRPr="00EE15F9">
              <w:rPr>
                <w:rStyle w:val="Appelnotedebasdep"/>
                <w:rFonts w:ascii="Calibri" w:eastAsia="Calibri" w:hAnsi="Calibri"/>
                <w:szCs w:val="18"/>
                <w:lang w:val="en-CA"/>
              </w:rPr>
              <w:footnoteReference w:id="54"/>
            </w:r>
            <w:r w:rsidRPr="00EE15F9">
              <w:rPr>
                <w:rFonts w:ascii="Calibri" w:eastAsia="Calibri" w:hAnsi="Calibri"/>
                <w:sz w:val="18"/>
                <w:szCs w:val="18"/>
                <w:lang w:val="en-CA"/>
              </w:rPr>
              <w:t xml:space="preserve"> amounts to only 0.78% or less of the $17 billion in overall tourism spending in the studied countries. </w:t>
            </w:r>
            <w:r>
              <w:rPr>
                <w:rFonts w:ascii="Calibri" w:eastAsia="Calibri" w:hAnsi="Calibri"/>
                <w:sz w:val="18"/>
                <w:szCs w:val="18"/>
                <w:lang w:val="en-CA"/>
              </w:rPr>
              <w:t>Similarly, t</w:t>
            </w:r>
            <w:r w:rsidRPr="00EE15F9">
              <w:rPr>
                <w:rFonts w:ascii="Calibri" w:eastAsia="Calibri" w:hAnsi="Calibri"/>
                <w:sz w:val="18"/>
                <w:szCs w:val="18"/>
                <w:lang w:val="en-CA"/>
              </w:rPr>
              <w:t xml:space="preserve">rophy hunting tourism employment is only 0.76% or less of average direct tourism employment in study countries. </w:t>
            </w:r>
            <w:r w:rsidRPr="00EE15F9">
              <w:rPr>
                <w:rStyle w:val="lev"/>
                <w:rFonts w:ascii="Calibri" w:hAnsi="Calibri"/>
                <w:b w:val="0"/>
                <w:sz w:val="18"/>
                <w:szCs w:val="18"/>
                <w:bdr w:val="none" w:sz="0" w:space="0" w:color="auto" w:frame="1"/>
                <w:lang w:val="en-CA"/>
              </w:rPr>
              <w:t>A</w:t>
            </w:r>
            <w:r>
              <w:rPr>
                <w:rStyle w:val="lev"/>
                <w:rFonts w:ascii="Calibri" w:hAnsi="Calibri"/>
                <w:b w:val="0"/>
                <w:sz w:val="18"/>
                <w:szCs w:val="18"/>
                <w:bdr w:val="none" w:sz="0" w:space="0" w:color="auto" w:frame="1"/>
                <w:lang w:val="en-CA"/>
              </w:rPr>
              <w:t>n</w:t>
            </w:r>
            <w:r w:rsidRPr="00EE15F9">
              <w:rPr>
                <w:rStyle w:val="lev"/>
                <w:rFonts w:ascii="Calibri" w:hAnsi="Calibri"/>
                <w:b w:val="0"/>
                <w:sz w:val="18"/>
                <w:szCs w:val="18"/>
                <w:bdr w:val="none" w:sz="0" w:space="0" w:color="auto" w:frame="1"/>
                <w:lang w:val="en-CA"/>
              </w:rPr>
              <w:t xml:space="preserve"> analysis</w:t>
            </w:r>
            <w:r>
              <w:rPr>
                <w:rStyle w:val="lev"/>
                <w:rFonts w:ascii="Calibri" w:hAnsi="Calibri"/>
                <w:b w:val="0"/>
                <w:sz w:val="18"/>
                <w:szCs w:val="18"/>
                <w:bdr w:val="none" w:sz="0" w:space="0" w:color="auto" w:frame="1"/>
                <w:lang w:val="en-CA"/>
              </w:rPr>
              <w:t xml:space="preserve"> in 2019</w:t>
            </w:r>
            <w:r w:rsidRPr="00EE15F9">
              <w:rPr>
                <w:rStyle w:val="Appelnotedebasdep"/>
                <w:rFonts w:ascii="Calibri" w:hAnsi="Calibri"/>
                <w:bCs/>
                <w:szCs w:val="18"/>
                <w:bdr w:val="none" w:sz="0" w:space="0" w:color="auto" w:frame="1"/>
                <w:lang w:val="en-CA"/>
              </w:rPr>
              <w:footnoteReference w:id="55"/>
            </w:r>
            <w:r w:rsidRPr="00EE15F9">
              <w:rPr>
                <w:rStyle w:val="lev"/>
                <w:rFonts w:ascii="Calibri" w:hAnsi="Calibri"/>
                <w:sz w:val="18"/>
                <w:szCs w:val="18"/>
                <w:bdr w:val="none" w:sz="0" w:space="0" w:color="auto" w:frame="1"/>
                <w:lang w:val="en-CA"/>
              </w:rPr>
              <w:t xml:space="preserve"> </w:t>
            </w:r>
            <w:r w:rsidRPr="00EE15F9">
              <w:rPr>
                <w:rStyle w:val="lev"/>
                <w:rFonts w:ascii="Calibri" w:hAnsi="Calibri"/>
                <w:b w:val="0"/>
                <w:sz w:val="18"/>
                <w:szCs w:val="18"/>
                <w:bdr w:val="none" w:sz="0" w:space="0" w:color="auto" w:frame="1"/>
                <w:lang w:val="en-CA"/>
              </w:rPr>
              <w:t xml:space="preserve">concludes that big game / trophy hunting is in a state of decline and is no longer able to pay for its ecological footprint, leading to poaching and habitat loss in hunting concessions. </w:t>
            </w:r>
            <w:r w:rsidRPr="00EE15F9">
              <w:rPr>
                <w:rFonts w:ascii="Calibri" w:eastAsia="Times New Roman" w:hAnsi="Calibri" w:cs="Open Sans"/>
                <w:sz w:val="18"/>
                <w:szCs w:val="18"/>
                <w:lang w:val="en-CA" w:eastAsia="fr-CA"/>
              </w:rPr>
              <w:t xml:space="preserve">Another analysis of hunting in six African countries – South Africa, Zimbabwe, Zambia, Mozambique, </w:t>
            </w:r>
            <w:proofErr w:type="gramStart"/>
            <w:r w:rsidRPr="00EE15F9">
              <w:rPr>
                <w:rFonts w:ascii="Calibri" w:eastAsia="Times New Roman" w:hAnsi="Calibri" w:cs="Open Sans"/>
                <w:sz w:val="18"/>
                <w:szCs w:val="18"/>
                <w:lang w:val="en-CA" w:eastAsia="fr-CA"/>
              </w:rPr>
              <w:t>Namibia</w:t>
            </w:r>
            <w:proofErr w:type="gramEnd"/>
            <w:r w:rsidRPr="00EE15F9">
              <w:rPr>
                <w:rFonts w:ascii="Calibri" w:eastAsia="Times New Roman" w:hAnsi="Calibri" w:cs="Open Sans"/>
                <w:sz w:val="18"/>
                <w:szCs w:val="18"/>
                <w:lang w:val="en-CA" w:eastAsia="fr-CA"/>
              </w:rPr>
              <w:t xml:space="preserve"> and Tanzania – where trophy hunting has long been regarded as an effective conservation tool found that many iconic species, especially those favoured by trophy hunters, are in a sharp decline mainly due to widespread poaching and habitat loss. The analysis</w:t>
            </w:r>
            <w:r w:rsidRPr="00EE15F9">
              <w:rPr>
                <w:rStyle w:val="Appelnotedebasdep"/>
                <w:rFonts w:ascii="Calibri" w:eastAsia="Times New Roman" w:hAnsi="Calibri" w:cs="Open Sans"/>
                <w:szCs w:val="18"/>
                <w:lang w:val="en-CA" w:eastAsia="fr-CA"/>
              </w:rPr>
              <w:footnoteReference w:id="56"/>
            </w:r>
            <w:r w:rsidRPr="00EE15F9">
              <w:rPr>
                <w:rFonts w:ascii="Calibri" w:eastAsia="Times New Roman" w:hAnsi="Calibri" w:cs="Open Sans"/>
                <w:sz w:val="18"/>
                <w:szCs w:val="18"/>
                <w:lang w:val="en-CA" w:eastAsia="fr-CA"/>
              </w:rPr>
              <w:t xml:space="preserve"> shows that trophy hunting, contrary to the common view, not only has negative impacts on wild populations, but that there is also an extremely close link between legal hunting and poaching. The analysis reveals that trophy hunting is an activity that fuels corruption, it encourages the unfair redistribution of the wealth generated without adequate involvement of communities, causes the loss of healthy individuals that are still key for reproduction and social cohesion and, most damagingly, contributes to the decline of all five species considered in this report.</w:t>
            </w:r>
          </w:p>
        </w:tc>
      </w:tr>
    </w:tbl>
    <w:p w14:paraId="1B24E96A" w14:textId="1DDB599B" w:rsidR="00F465F9" w:rsidRPr="0099310D" w:rsidRDefault="00F465F9" w:rsidP="00C46720">
      <w:pPr>
        <w:pStyle w:val="Paragraphedeliste"/>
        <w:numPr>
          <w:ilvl w:val="0"/>
          <w:numId w:val="61"/>
        </w:numPr>
        <w:tabs>
          <w:tab w:val="left" w:pos="709"/>
        </w:tabs>
        <w:spacing w:before="120" w:after="120"/>
        <w:ind w:left="709" w:firstLine="5"/>
        <w:jc w:val="both"/>
        <w:rPr>
          <w:rFonts w:asciiTheme="minorHAnsi" w:hAnsiTheme="minorHAnsi"/>
          <w:sz w:val="20"/>
          <w:szCs w:val="20"/>
          <w:lang w:val="en-CA"/>
        </w:rPr>
      </w:pPr>
      <w:r w:rsidRPr="0099310D">
        <w:rPr>
          <w:rFonts w:asciiTheme="minorHAnsi" w:hAnsiTheme="minorHAnsi"/>
          <w:sz w:val="20"/>
          <w:szCs w:val="20"/>
          <w:lang w:val="en-CA"/>
        </w:rPr>
        <w:t xml:space="preserve">Depending on the conclusions of the assessment, the project will maintain the focus on strengthening PA management with remaining resources of the </w:t>
      </w:r>
      <w:proofErr w:type="gramStart"/>
      <w:r w:rsidRPr="0099310D">
        <w:rPr>
          <w:rFonts w:asciiTheme="minorHAnsi" w:hAnsiTheme="minorHAnsi"/>
          <w:sz w:val="20"/>
          <w:szCs w:val="20"/>
          <w:lang w:val="en-CA"/>
        </w:rPr>
        <w:t>project, or</w:t>
      </w:r>
      <w:proofErr w:type="gramEnd"/>
      <w:r w:rsidRPr="0099310D">
        <w:rPr>
          <w:rFonts w:asciiTheme="minorHAnsi" w:hAnsiTheme="minorHAnsi"/>
          <w:sz w:val="20"/>
          <w:szCs w:val="20"/>
          <w:lang w:val="en-CA"/>
        </w:rPr>
        <w:t xml:space="preserve"> strengthen capacities to ensure the sustainable management of hunting and equitable sharing of its benefits. i) </w:t>
      </w:r>
      <w:r w:rsidRPr="0099310D">
        <w:rPr>
          <w:rFonts w:asciiTheme="minorHAnsi" w:eastAsia="Times New Roman" w:hAnsiTheme="minorHAnsi" w:cs="Arial"/>
          <w:color w:val="212529"/>
          <w:sz w:val="20"/>
          <w:szCs w:val="20"/>
          <w:lang w:val="en-CA" w:eastAsia="en-GB"/>
        </w:rPr>
        <w:t xml:space="preserve">Should the assessment conclude that efforts to improve the management effectiveness for the </w:t>
      </w:r>
      <w:proofErr w:type="spellStart"/>
      <w:r w:rsidRPr="0099310D">
        <w:rPr>
          <w:rFonts w:asciiTheme="minorHAnsi" w:eastAsia="Times New Roman" w:hAnsiTheme="minorHAnsi" w:cs="Arial"/>
          <w:color w:val="212529"/>
          <w:sz w:val="20"/>
          <w:szCs w:val="20"/>
          <w:lang w:val="en-CA" w:eastAsia="en-GB"/>
        </w:rPr>
        <w:t>Nazinga</w:t>
      </w:r>
      <w:proofErr w:type="spellEnd"/>
      <w:r w:rsidRPr="0099310D">
        <w:rPr>
          <w:rFonts w:asciiTheme="minorHAnsi" w:eastAsia="Times New Roman" w:hAnsiTheme="minorHAnsi" w:cs="Arial"/>
          <w:color w:val="212529"/>
          <w:sz w:val="20"/>
          <w:szCs w:val="20"/>
          <w:lang w:val="en-CA" w:eastAsia="en-GB"/>
        </w:rPr>
        <w:t xml:space="preserve"> Game Ranch, the </w:t>
      </w:r>
      <w:proofErr w:type="spellStart"/>
      <w:r w:rsidRPr="0099310D">
        <w:rPr>
          <w:rFonts w:asciiTheme="minorHAnsi" w:eastAsia="Times New Roman" w:hAnsiTheme="minorHAnsi" w:cs="Arial"/>
          <w:color w:val="212529"/>
          <w:sz w:val="20"/>
          <w:szCs w:val="20"/>
          <w:lang w:val="en-CA" w:eastAsia="en-GB"/>
        </w:rPr>
        <w:t>Sissili</w:t>
      </w:r>
      <w:proofErr w:type="spellEnd"/>
      <w:r w:rsidRPr="0099310D">
        <w:rPr>
          <w:rFonts w:asciiTheme="minorHAnsi" w:eastAsia="Times New Roman" w:hAnsiTheme="minorHAnsi" w:cs="Arial"/>
          <w:color w:val="212529"/>
          <w:sz w:val="20"/>
          <w:szCs w:val="20"/>
          <w:lang w:val="en-CA" w:eastAsia="en-GB"/>
        </w:rPr>
        <w:t xml:space="preserve"> CF and the ZOVICs, including strengthened surveillance and enforcement, have not led to a significant improvement of the status of game populations and that hunting activities cannot be resumed, the project will cease funding activities in support of hunting and reallocate remaining technical and financial resources to activities focused strictly on conservation, excluding hunting. </w:t>
      </w:r>
      <w:r w:rsidR="004D2432" w:rsidRPr="0099310D">
        <w:rPr>
          <w:rFonts w:asciiTheme="minorHAnsi" w:hAnsiTheme="minorHAnsi"/>
          <w:sz w:val="20"/>
          <w:szCs w:val="20"/>
          <w:lang w:val="en-CA"/>
        </w:rPr>
        <w:t xml:space="preserve">ii) Should the conclusions support the resumption of hunting activities </w:t>
      </w:r>
      <w:r w:rsidR="004D2432" w:rsidRPr="0099310D">
        <w:rPr>
          <w:rFonts w:ascii="Calibri" w:hAnsi="Calibri"/>
          <w:sz w:val="20"/>
          <w:szCs w:val="20"/>
          <w:lang w:val="en-GB"/>
        </w:rPr>
        <w:t>in the ZOVICs and in one or both core PAs (</w:t>
      </w:r>
      <w:proofErr w:type="spellStart"/>
      <w:r w:rsidR="004D2432" w:rsidRPr="0099310D">
        <w:rPr>
          <w:rFonts w:ascii="Calibri" w:hAnsi="Calibri"/>
          <w:sz w:val="20"/>
          <w:szCs w:val="20"/>
          <w:lang w:val="en-GB"/>
        </w:rPr>
        <w:t>Nazinga</w:t>
      </w:r>
      <w:proofErr w:type="spellEnd"/>
      <w:r w:rsidR="004D2432" w:rsidRPr="0099310D">
        <w:rPr>
          <w:rFonts w:ascii="Calibri" w:hAnsi="Calibri"/>
          <w:sz w:val="20"/>
          <w:szCs w:val="20"/>
          <w:lang w:val="en-GB"/>
        </w:rPr>
        <w:t xml:space="preserve"> GR and </w:t>
      </w:r>
      <w:proofErr w:type="spellStart"/>
      <w:r w:rsidR="004D2432" w:rsidRPr="0099310D">
        <w:rPr>
          <w:rFonts w:ascii="Calibri" w:hAnsi="Calibri"/>
          <w:sz w:val="20"/>
          <w:szCs w:val="20"/>
          <w:lang w:val="en-GB"/>
        </w:rPr>
        <w:t>Sissili</w:t>
      </w:r>
      <w:proofErr w:type="spellEnd"/>
      <w:r w:rsidR="004D2432" w:rsidRPr="0099310D">
        <w:rPr>
          <w:rFonts w:ascii="Calibri" w:hAnsi="Calibri"/>
          <w:sz w:val="20"/>
          <w:szCs w:val="20"/>
          <w:lang w:val="en-GB"/>
        </w:rPr>
        <w:t xml:space="preserve"> CF) </w:t>
      </w:r>
      <w:r w:rsidR="004D2432" w:rsidRPr="0099310D">
        <w:rPr>
          <w:rFonts w:asciiTheme="minorHAnsi" w:hAnsiTheme="minorHAnsi"/>
          <w:sz w:val="20"/>
          <w:szCs w:val="20"/>
          <w:lang w:val="en-CA"/>
        </w:rPr>
        <w:t xml:space="preserve">in a foreseeable future, the project will </w:t>
      </w:r>
      <w:r w:rsidR="004D2432" w:rsidRPr="0099310D">
        <w:rPr>
          <w:rFonts w:ascii="Calibri" w:hAnsi="Calibri"/>
          <w:sz w:val="20"/>
          <w:szCs w:val="20"/>
          <w:lang w:val="en-GB"/>
        </w:rPr>
        <w:t xml:space="preserve">implement the activities described hereafter to strengthen the management of game and/or subsistence hunting and </w:t>
      </w:r>
      <w:r w:rsidR="004D2432" w:rsidRPr="0099310D">
        <w:rPr>
          <w:rFonts w:asciiTheme="minorHAnsi" w:hAnsiTheme="minorHAnsi"/>
          <w:sz w:val="20"/>
          <w:szCs w:val="20"/>
          <w:lang w:val="en-CA"/>
        </w:rPr>
        <w:t xml:space="preserve">the capacities of relevant stakeholders, i.e. government and technical services, and local communities </w:t>
      </w:r>
      <w:r w:rsidR="004D2432" w:rsidRPr="0099310D">
        <w:rPr>
          <w:rFonts w:ascii="Calibri" w:hAnsi="Calibri"/>
          <w:sz w:val="20"/>
          <w:szCs w:val="20"/>
          <w:lang w:val="en-GB"/>
        </w:rPr>
        <w:t>(</w:t>
      </w:r>
      <w:r w:rsidR="004D2432" w:rsidRPr="0099310D">
        <w:rPr>
          <w:rFonts w:ascii="Calibri" w:hAnsi="Calibri"/>
          <w:sz w:val="20"/>
          <w:szCs w:val="20"/>
          <w:lang w:val="en-CA"/>
        </w:rPr>
        <w:t>village committees for wildlife management</w:t>
      </w:r>
      <w:r w:rsidR="004D2432" w:rsidRPr="0099310D">
        <w:rPr>
          <w:rFonts w:ascii="Calibri" w:hAnsi="Calibri"/>
          <w:sz w:val="20"/>
          <w:szCs w:val="20"/>
          <w:lang w:val="en-GB"/>
        </w:rPr>
        <w:t>)</w:t>
      </w:r>
      <w:r w:rsidR="004D2432" w:rsidRPr="0099310D">
        <w:rPr>
          <w:rFonts w:asciiTheme="minorHAnsi" w:hAnsiTheme="minorHAnsi"/>
          <w:sz w:val="20"/>
          <w:szCs w:val="20"/>
          <w:lang w:val="en-CA"/>
        </w:rPr>
        <w:t xml:space="preserve">, to fulfil more effectively their respective roles in the management of the activity in line with the </w:t>
      </w:r>
      <w:r w:rsidR="004D2432" w:rsidRPr="0099310D">
        <w:rPr>
          <w:rFonts w:asciiTheme="minorHAnsi" w:hAnsiTheme="minorHAnsi"/>
          <w:sz w:val="20"/>
          <w:szCs w:val="20"/>
          <w:lang w:val="en-CA"/>
        </w:rPr>
        <w:lastRenderedPageBreak/>
        <w:t>assessment’s recommendations.</w:t>
      </w:r>
      <w:r w:rsidR="004D2432" w:rsidRPr="0099310D">
        <w:rPr>
          <w:rFonts w:ascii="Calibri" w:hAnsi="Calibri"/>
          <w:noProof/>
          <w:sz w:val="20"/>
          <w:szCs w:val="20"/>
          <w:lang w:val="en-GB"/>
        </w:rPr>
        <w:t xml:space="preserve"> By improving sustainable hunting management in core PAs and in ZOVICs, and addressing benefit sharing issues, the project would then seek to restore the optimal scheme which provided incentives for stakeholders to ensure the proper management of resources and habitats in ZOVICs, thus preserving biodiversity.</w:t>
      </w:r>
    </w:p>
    <w:p w14:paraId="34B36788" w14:textId="296D0C21" w:rsidR="00302BFE" w:rsidRPr="0099310D" w:rsidRDefault="004D2432" w:rsidP="00C46720">
      <w:pPr>
        <w:pStyle w:val="Paragraphedeliste"/>
        <w:numPr>
          <w:ilvl w:val="0"/>
          <w:numId w:val="14"/>
        </w:numPr>
        <w:tabs>
          <w:tab w:val="left" w:pos="284"/>
        </w:tabs>
        <w:spacing w:before="120" w:after="120"/>
        <w:ind w:left="0" w:firstLine="0"/>
        <w:jc w:val="both"/>
        <w:rPr>
          <w:rFonts w:ascii="Calibri" w:eastAsia="Cambria" w:hAnsi="Calibri"/>
          <w:sz w:val="20"/>
          <w:szCs w:val="20"/>
          <w:lang w:val="en-GB"/>
        </w:rPr>
      </w:pPr>
      <w:r w:rsidRPr="0099310D">
        <w:rPr>
          <w:rFonts w:ascii="Calibri" w:eastAsia="Cambria" w:hAnsi="Calibri"/>
          <w:sz w:val="20"/>
          <w:szCs w:val="20"/>
          <w:lang w:val="en-GB"/>
        </w:rPr>
        <w:t>S</w:t>
      </w:r>
      <w:r w:rsidR="00302BFE" w:rsidRPr="0099310D">
        <w:rPr>
          <w:rFonts w:ascii="Calibri" w:eastAsia="Cambria" w:hAnsi="Calibri"/>
          <w:sz w:val="20"/>
          <w:szCs w:val="20"/>
          <w:lang w:val="en-GB"/>
        </w:rPr>
        <w:t>trengthen</w:t>
      </w:r>
      <w:r w:rsidRPr="0099310D">
        <w:rPr>
          <w:rFonts w:ascii="Calibri" w:eastAsia="Cambria" w:hAnsi="Calibri"/>
          <w:sz w:val="20"/>
          <w:szCs w:val="20"/>
          <w:lang w:val="en-GB"/>
        </w:rPr>
        <w:t>ing</w:t>
      </w:r>
      <w:r w:rsidR="00302BFE" w:rsidRPr="0099310D">
        <w:rPr>
          <w:rFonts w:ascii="Calibri" w:eastAsia="Cambria" w:hAnsi="Calibri"/>
          <w:sz w:val="20"/>
          <w:szCs w:val="20"/>
          <w:lang w:val="en-GB"/>
        </w:rPr>
        <w:t xml:space="preserve"> sustainable hunting management in ZOVICs, </w:t>
      </w:r>
      <w:proofErr w:type="spellStart"/>
      <w:r w:rsidR="00302BFE" w:rsidRPr="0099310D">
        <w:rPr>
          <w:rFonts w:ascii="Calibri" w:eastAsia="Cambria" w:hAnsi="Calibri"/>
          <w:sz w:val="20"/>
          <w:szCs w:val="20"/>
          <w:lang w:val="en-GB"/>
        </w:rPr>
        <w:t>Nazinga</w:t>
      </w:r>
      <w:proofErr w:type="spellEnd"/>
      <w:r w:rsidR="00302BFE" w:rsidRPr="0099310D">
        <w:rPr>
          <w:rFonts w:ascii="Calibri" w:eastAsia="Cambria" w:hAnsi="Calibri"/>
          <w:sz w:val="20"/>
          <w:szCs w:val="20"/>
          <w:lang w:val="en-GB"/>
        </w:rPr>
        <w:t xml:space="preserve"> Game Ranch and </w:t>
      </w:r>
      <w:proofErr w:type="spellStart"/>
      <w:r w:rsidR="00302BFE" w:rsidRPr="0099310D">
        <w:rPr>
          <w:rFonts w:ascii="Calibri" w:eastAsia="Cambria" w:hAnsi="Calibri"/>
          <w:sz w:val="20"/>
          <w:szCs w:val="20"/>
          <w:lang w:val="en-GB"/>
        </w:rPr>
        <w:t>Sissili</w:t>
      </w:r>
      <w:proofErr w:type="spellEnd"/>
      <w:r w:rsidR="00302BFE" w:rsidRPr="0099310D">
        <w:rPr>
          <w:rFonts w:ascii="Calibri" w:eastAsia="Cambria" w:hAnsi="Calibri"/>
          <w:sz w:val="20"/>
          <w:szCs w:val="20"/>
          <w:lang w:val="en-GB"/>
        </w:rPr>
        <w:t xml:space="preserve"> Classified Forest will involve:</w:t>
      </w:r>
      <w:r w:rsidR="00E73212" w:rsidRPr="0099310D">
        <w:rPr>
          <w:rFonts w:ascii="Calibri" w:eastAsia="Cambria" w:hAnsi="Calibri"/>
          <w:sz w:val="20"/>
          <w:szCs w:val="20"/>
          <w:lang w:val="en-GB"/>
        </w:rPr>
        <w:t xml:space="preserve"> </w:t>
      </w:r>
    </w:p>
    <w:p w14:paraId="32452A0C" w14:textId="77777777" w:rsidR="00302BFE" w:rsidRPr="006F0042" w:rsidRDefault="00302BFE" w:rsidP="00C46720">
      <w:pPr>
        <w:pStyle w:val="Paragraphedeliste"/>
        <w:numPr>
          <w:ilvl w:val="0"/>
          <w:numId w:val="58"/>
        </w:numPr>
        <w:spacing w:before="120" w:after="120"/>
        <w:ind w:left="709" w:hanging="295"/>
        <w:contextualSpacing/>
        <w:jc w:val="both"/>
        <w:rPr>
          <w:rFonts w:ascii="Calibri" w:hAnsi="Calibri"/>
          <w:sz w:val="20"/>
          <w:szCs w:val="20"/>
          <w:lang w:val="en-GB"/>
        </w:rPr>
      </w:pPr>
      <w:r w:rsidRPr="006F0042">
        <w:rPr>
          <w:rFonts w:ascii="Calibri" w:hAnsi="Calibri"/>
          <w:sz w:val="20"/>
          <w:szCs w:val="20"/>
          <w:lang w:val="en-GB"/>
        </w:rPr>
        <w:t xml:space="preserve">Participatory identification of conservation objectives for exploited species with the support of the wildlife </w:t>
      </w:r>
      <w:proofErr w:type="gramStart"/>
      <w:r w:rsidRPr="006F0042">
        <w:rPr>
          <w:rFonts w:ascii="Calibri" w:hAnsi="Calibri"/>
          <w:sz w:val="20"/>
          <w:szCs w:val="20"/>
          <w:lang w:val="en-GB"/>
        </w:rPr>
        <w:t>expert;</w:t>
      </w:r>
      <w:proofErr w:type="gramEnd"/>
    </w:p>
    <w:p w14:paraId="226ACB0E" w14:textId="77777777" w:rsidR="00302BFE" w:rsidRPr="006F0042" w:rsidRDefault="00302BFE" w:rsidP="00C46720">
      <w:pPr>
        <w:pStyle w:val="Paragraphedeliste"/>
        <w:numPr>
          <w:ilvl w:val="0"/>
          <w:numId w:val="58"/>
        </w:numPr>
        <w:spacing w:before="120" w:after="120"/>
        <w:ind w:left="709" w:hanging="295"/>
        <w:contextualSpacing/>
        <w:jc w:val="both"/>
        <w:rPr>
          <w:rFonts w:ascii="Calibri" w:hAnsi="Calibri"/>
          <w:sz w:val="20"/>
          <w:szCs w:val="20"/>
          <w:lang w:val="en-GB"/>
        </w:rPr>
      </w:pPr>
      <w:r w:rsidRPr="006F0042">
        <w:rPr>
          <w:rFonts w:ascii="Calibri" w:hAnsi="Calibri"/>
          <w:sz w:val="20"/>
          <w:szCs w:val="20"/>
          <w:lang w:val="en-GB"/>
        </w:rPr>
        <w:t xml:space="preserve">Determination of sustainable harvest thresholds (quotas) on the basis of best available </w:t>
      </w:r>
      <w:proofErr w:type="gramStart"/>
      <w:r w:rsidRPr="006F0042">
        <w:rPr>
          <w:rFonts w:ascii="Calibri" w:hAnsi="Calibri"/>
          <w:sz w:val="20"/>
          <w:szCs w:val="20"/>
          <w:lang w:val="en-GB"/>
        </w:rPr>
        <w:t>information;</w:t>
      </w:r>
      <w:proofErr w:type="gramEnd"/>
      <w:r w:rsidRPr="006F0042">
        <w:rPr>
          <w:rFonts w:ascii="Calibri" w:hAnsi="Calibri"/>
          <w:sz w:val="20"/>
          <w:szCs w:val="20"/>
          <w:lang w:val="en-GB"/>
        </w:rPr>
        <w:t xml:space="preserve"> </w:t>
      </w:r>
    </w:p>
    <w:p w14:paraId="75FC9081" w14:textId="77777777" w:rsidR="00302BFE" w:rsidRPr="006F0042" w:rsidRDefault="00302BFE" w:rsidP="00C46720">
      <w:pPr>
        <w:pStyle w:val="Paragraphedeliste"/>
        <w:numPr>
          <w:ilvl w:val="0"/>
          <w:numId w:val="58"/>
        </w:numPr>
        <w:spacing w:before="120" w:after="120"/>
        <w:ind w:left="709" w:hanging="295"/>
        <w:contextualSpacing/>
        <w:jc w:val="both"/>
        <w:rPr>
          <w:rFonts w:ascii="Calibri" w:hAnsi="Calibri"/>
          <w:sz w:val="20"/>
          <w:szCs w:val="20"/>
          <w:lang w:val="en-GB"/>
        </w:rPr>
      </w:pPr>
      <w:r w:rsidRPr="006F0042">
        <w:rPr>
          <w:rFonts w:ascii="Calibri" w:hAnsi="Calibri"/>
          <w:sz w:val="20"/>
          <w:szCs w:val="20"/>
          <w:lang w:val="en-GB"/>
        </w:rPr>
        <w:t xml:space="preserve">Establishment of a monitoring system to collect hunting statistics and provide a sound basis for adjusting hunting pressure on the main species </w:t>
      </w:r>
      <w:proofErr w:type="gramStart"/>
      <w:r w:rsidRPr="006F0042">
        <w:rPr>
          <w:rFonts w:ascii="Calibri" w:hAnsi="Calibri"/>
          <w:sz w:val="20"/>
          <w:szCs w:val="20"/>
          <w:lang w:val="en-GB"/>
        </w:rPr>
        <w:t>exploited;</w:t>
      </w:r>
      <w:proofErr w:type="gramEnd"/>
    </w:p>
    <w:p w14:paraId="75409C72" w14:textId="77777777" w:rsidR="00302BFE" w:rsidRPr="006F0042" w:rsidRDefault="00302BFE" w:rsidP="00C46720">
      <w:pPr>
        <w:pStyle w:val="Paragraphedeliste"/>
        <w:numPr>
          <w:ilvl w:val="0"/>
          <w:numId w:val="58"/>
        </w:numPr>
        <w:spacing w:after="120"/>
        <w:ind w:left="709" w:hanging="295"/>
        <w:jc w:val="both"/>
        <w:rPr>
          <w:rFonts w:ascii="Calibri" w:hAnsi="Calibri"/>
          <w:sz w:val="20"/>
          <w:szCs w:val="20"/>
          <w:lang w:val="en-GB"/>
        </w:rPr>
      </w:pPr>
      <w:r w:rsidRPr="006F0042">
        <w:rPr>
          <w:rFonts w:ascii="Calibri" w:hAnsi="Calibri"/>
          <w:sz w:val="20"/>
          <w:szCs w:val="20"/>
          <w:lang w:val="en-GB"/>
        </w:rPr>
        <w:t>Development of guidance documents to facilitate annual updating of hunting management decisions.</w:t>
      </w:r>
    </w:p>
    <w:bookmarkEnd w:id="15"/>
    <w:p w14:paraId="132A9309" w14:textId="07A051F2" w:rsidR="00302BFE" w:rsidRPr="00675AE3" w:rsidRDefault="004D2432"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Pr>
          <w:rFonts w:ascii="Calibri" w:hAnsi="Calibri"/>
          <w:sz w:val="20"/>
          <w:szCs w:val="20"/>
          <w:lang w:val="en-GB"/>
        </w:rPr>
        <w:t>T</w:t>
      </w:r>
      <w:r w:rsidR="00302BFE" w:rsidRPr="00675AE3">
        <w:rPr>
          <w:rFonts w:ascii="Calibri" w:hAnsi="Calibri"/>
          <w:sz w:val="20"/>
          <w:szCs w:val="20"/>
          <w:lang w:val="en-GB"/>
        </w:rPr>
        <w:t xml:space="preserve">he management plans for core PAs and for ZOVICs will include measures to strengthen the sustainable management of hunting activities. </w:t>
      </w:r>
      <w:r w:rsidR="00772ECA">
        <w:rPr>
          <w:rFonts w:ascii="Calibri" w:hAnsi="Calibri"/>
          <w:sz w:val="20"/>
          <w:szCs w:val="20"/>
          <w:lang w:val="en-GB"/>
        </w:rPr>
        <w:t>Such measures</w:t>
      </w:r>
      <w:r w:rsidR="00302BFE" w:rsidRPr="00675AE3">
        <w:rPr>
          <w:rFonts w:ascii="Calibri" w:hAnsi="Calibri"/>
          <w:sz w:val="20"/>
          <w:szCs w:val="20"/>
          <w:lang w:val="en-GB"/>
        </w:rPr>
        <w:t xml:space="preserve"> will include </w:t>
      </w:r>
      <w:r w:rsidR="00772ECA">
        <w:rPr>
          <w:rFonts w:ascii="Calibri" w:hAnsi="Calibri"/>
          <w:sz w:val="20"/>
          <w:szCs w:val="20"/>
          <w:lang w:val="en-GB"/>
        </w:rPr>
        <w:t>deciding</w:t>
      </w:r>
      <w:r w:rsidR="00772ECA" w:rsidRPr="00675AE3">
        <w:rPr>
          <w:rFonts w:ascii="Calibri" w:hAnsi="Calibri"/>
          <w:sz w:val="20"/>
          <w:szCs w:val="20"/>
          <w:lang w:val="en-GB"/>
        </w:rPr>
        <w:t xml:space="preserve"> </w:t>
      </w:r>
      <w:r w:rsidR="00772ECA">
        <w:rPr>
          <w:rFonts w:ascii="Calibri" w:hAnsi="Calibri"/>
          <w:sz w:val="20"/>
          <w:szCs w:val="20"/>
          <w:lang w:val="en-GB"/>
        </w:rPr>
        <w:t xml:space="preserve">on </w:t>
      </w:r>
      <w:r w:rsidR="00302BFE" w:rsidRPr="00675AE3">
        <w:rPr>
          <w:rFonts w:ascii="Calibri" w:hAnsi="Calibri"/>
          <w:sz w:val="20"/>
          <w:szCs w:val="20"/>
          <w:lang w:val="en-GB"/>
        </w:rPr>
        <w:t xml:space="preserve">conservation objectives for exploited populations, estimating sustainable harvest thresholds for the main species exploited, setting up a system </w:t>
      </w:r>
      <w:r w:rsidR="00772ECA">
        <w:rPr>
          <w:rFonts w:ascii="Calibri" w:hAnsi="Calibri"/>
          <w:sz w:val="20"/>
          <w:szCs w:val="20"/>
          <w:lang w:val="en-GB"/>
        </w:rPr>
        <w:t>to</w:t>
      </w:r>
      <w:r w:rsidR="00302BFE" w:rsidRPr="00675AE3">
        <w:rPr>
          <w:rFonts w:ascii="Calibri" w:hAnsi="Calibri"/>
          <w:sz w:val="20"/>
          <w:szCs w:val="20"/>
          <w:lang w:val="en-GB"/>
        </w:rPr>
        <w:t xml:space="preserve"> monitor catches, updating </w:t>
      </w:r>
      <w:r w:rsidR="00772ECA">
        <w:rPr>
          <w:rFonts w:ascii="Calibri" w:hAnsi="Calibri"/>
          <w:sz w:val="20"/>
          <w:szCs w:val="20"/>
          <w:lang w:val="en-GB"/>
        </w:rPr>
        <w:t>hunting</w:t>
      </w:r>
      <w:r w:rsidR="00302BFE" w:rsidRPr="00675AE3">
        <w:rPr>
          <w:rFonts w:ascii="Calibri" w:hAnsi="Calibri"/>
          <w:sz w:val="20"/>
          <w:szCs w:val="20"/>
          <w:lang w:val="en-GB"/>
        </w:rPr>
        <w:t xml:space="preserve"> </w:t>
      </w:r>
      <w:r w:rsidR="00772ECA" w:rsidRPr="00675AE3">
        <w:rPr>
          <w:rFonts w:ascii="Calibri" w:hAnsi="Calibri"/>
          <w:sz w:val="20"/>
          <w:szCs w:val="20"/>
          <w:lang w:val="en-GB"/>
        </w:rPr>
        <w:t xml:space="preserve">management </w:t>
      </w:r>
      <w:r w:rsidR="00772ECA">
        <w:rPr>
          <w:rFonts w:ascii="Calibri" w:hAnsi="Calibri"/>
          <w:sz w:val="20"/>
          <w:szCs w:val="20"/>
          <w:lang w:val="en-GB"/>
        </w:rPr>
        <w:t xml:space="preserve">measures </w:t>
      </w:r>
      <w:r w:rsidR="00302BFE" w:rsidRPr="00675AE3">
        <w:rPr>
          <w:rFonts w:ascii="Calibri" w:hAnsi="Calibri"/>
          <w:sz w:val="20"/>
          <w:szCs w:val="20"/>
          <w:lang w:val="en-GB"/>
        </w:rPr>
        <w:t xml:space="preserve">annually based on monitoring data, including the adjustment of the hunting season for each species and the temporary closure of certain areas within the hunting territories to protect the reproduction and </w:t>
      </w:r>
      <w:r w:rsidR="00772ECA">
        <w:rPr>
          <w:rFonts w:ascii="Calibri" w:hAnsi="Calibri"/>
          <w:sz w:val="20"/>
          <w:szCs w:val="20"/>
          <w:lang w:val="en-GB"/>
        </w:rPr>
        <w:t>nursery</w:t>
      </w:r>
      <w:r w:rsidR="00302BFE" w:rsidRPr="00675AE3">
        <w:rPr>
          <w:rFonts w:ascii="Calibri" w:hAnsi="Calibri"/>
          <w:sz w:val="20"/>
          <w:szCs w:val="20"/>
          <w:lang w:val="en-GB"/>
        </w:rPr>
        <w:t xml:space="preserve"> phases.</w:t>
      </w:r>
    </w:p>
    <w:p w14:paraId="635783C7" w14:textId="7BD8E65F" w:rsidR="00302BFE" w:rsidRPr="00675AE3" w:rsidRDefault="00772ECA"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4D2432">
        <w:rPr>
          <w:rFonts w:ascii="Calibri" w:hAnsi="Calibri"/>
          <w:sz w:val="20"/>
          <w:szCs w:val="20"/>
          <w:lang w:val="en-GB"/>
        </w:rPr>
        <w:t>Under the guidance</w:t>
      </w:r>
      <w:r w:rsidRPr="006F0042">
        <w:rPr>
          <w:rFonts w:ascii="Calibri" w:hAnsi="Calibri"/>
          <w:sz w:val="20"/>
          <w:szCs w:val="20"/>
          <w:lang w:val="en-GB"/>
        </w:rPr>
        <w:t xml:space="preserve"> of the </w:t>
      </w:r>
      <w:r w:rsidR="004D2432">
        <w:rPr>
          <w:rFonts w:ascii="Calibri" w:hAnsi="Calibri"/>
          <w:sz w:val="20"/>
          <w:szCs w:val="20"/>
          <w:lang w:val="en-GB"/>
        </w:rPr>
        <w:t>wildlife</w:t>
      </w:r>
      <w:r w:rsidRPr="006F0042">
        <w:rPr>
          <w:rFonts w:ascii="Calibri" w:hAnsi="Calibri"/>
          <w:sz w:val="20"/>
          <w:szCs w:val="20"/>
          <w:lang w:val="en-GB"/>
        </w:rPr>
        <w:t xml:space="preserve"> expert</w:t>
      </w:r>
      <w:r>
        <w:rPr>
          <w:rFonts w:ascii="Calibri" w:hAnsi="Calibri"/>
          <w:sz w:val="20"/>
          <w:szCs w:val="20"/>
          <w:lang w:val="en-GB"/>
        </w:rPr>
        <w:t>, t</w:t>
      </w:r>
      <w:r w:rsidR="00302BFE" w:rsidRPr="00675AE3">
        <w:rPr>
          <w:rFonts w:ascii="Calibri" w:hAnsi="Calibri"/>
          <w:sz w:val="20"/>
          <w:szCs w:val="20"/>
          <w:lang w:val="en-GB"/>
        </w:rPr>
        <w:t>he project will support the strengthening of hunting management, including through the preparation of a preliminary workshop document and the organization of a quota setting workshop, as well as the development of a technical document for institutions in charge of wildlife and for concession holders who are responsible for most of these management activities. Strengthening the management of hunting activities will be based on:</w:t>
      </w:r>
    </w:p>
    <w:p w14:paraId="2F675C62" w14:textId="77777777" w:rsidR="00302BFE" w:rsidRPr="005F3825" w:rsidRDefault="00302BFE" w:rsidP="00C46720">
      <w:pPr>
        <w:pStyle w:val="Paragraphedeliste"/>
        <w:numPr>
          <w:ilvl w:val="0"/>
          <w:numId w:val="21"/>
        </w:numPr>
        <w:spacing w:before="120" w:after="120"/>
        <w:contextualSpacing/>
        <w:jc w:val="both"/>
        <w:rPr>
          <w:rFonts w:ascii="Calibri" w:hAnsi="Calibri"/>
          <w:sz w:val="20"/>
          <w:szCs w:val="20"/>
          <w:lang w:val="en-GB"/>
        </w:rPr>
      </w:pPr>
      <w:r w:rsidRPr="005F3825">
        <w:rPr>
          <w:rFonts w:ascii="Calibri" w:hAnsi="Calibri"/>
          <w:sz w:val="20"/>
          <w:szCs w:val="20"/>
          <w:lang w:val="en-GB"/>
        </w:rPr>
        <w:t xml:space="preserve">the systematic monitoring of the level of effort (number of hunters and duration of the activity) and of the captures in order to follow their evolution compared to established </w:t>
      </w:r>
      <w:proofErr w:type="gramStart"/>
      <w:r w:rsidRPr="005F3825">
        <w:rPr>
          <w:rFonts w:ascii="Calibri" w:hAnsi="Calibri"/>
          <w:sz w:val="20"/>
          <w:szCs w:val="20"/>
          <w:lang w:val="en-GB"/>
        </w:rPr>
        <w:t>quotas;</w:t>
      </w:r>
      <w:proofErr w:type="gramEnd"/>
    </w:p>
    <w:p w14:paraId="2B4FF571" w14:textId="77777777" w:rsidR="00302BFE" w:rsidRPr="005F3825" w:rsidRDefault="00302BFE" w:rsidP="00C46720">
      <w:pPr>
        <w:pStyle w:val="Paragraphedeliste"/>
        <w:numPr>
          <w:ilvl w:val="0"/>
          <w:numId w:val="21"/>
        </w:numPr>
        <w:spacing w:before="120" w:after="120"/>
        <w:contextualSpacing/>
        <w:jc w:val="both"/>
        <w:rPr>
          <w:rFonts w:ascii="Calibri" w:hAnsi="Calibri"/>
          <w:sz w:val="20"/>
          <w:szCs w:val="20"/>
          <w:lang w:val="en-GB"/>
        </w:rPr>
      </w:pPr>
      <w:r w:rsidRPr="005F3825">
        <w:rPr>
          <w:rFonts w:ascii="Calibri" w:hAnsi="Calibri"/>
          <w:sz w:val="20"/>
          <w:szCs w:val="20"/>
          <w:lang w:val="en-GB"/>
        </w:rPr>
        <w:t xml:space="preserve">standardization of the data collection process and databases to enable data collection at the landscape </w:t>
      </w:r>
      <w:proofErr w:type="gramStart"/>
      <w:r w:rsidRPr="005F3825">
        <w:rPr>
          <w:rFonts w:ascii="Calibri" w:hAnsi="Calibri"/>
          <w:sz w:val="20"/>
          <w:szCs w:val="20"/>
          <w:lang w:val="en-GB"/>
        </w:rPr>
        <w:t>scale;</w:t>
      </w:r>
      <w:proofErr w:type="gramEnd"/>
    </w:p>
    <w:p w14:paraId="3587C1B9" w14:textId="77777777" w:rsidR="00302BFE" w:rsidRPr="005F3825" w:rsidRDefault="00302BFE" w:rsidP="00C46720">
      <w:pPr>
        <w:pStyle w:val="Paragraphedeliste"/>
        <w:numPr>
          <w:ilvl w:val="0"/>
          <w:numId w:val="21"/>
        </w:numPr>
        <w:spacing w:before="120" w:after="120"/>
        <w:contextualSpacing/>
        <w:jc w:val="both"/>
        <w:rPr>
          <w:rFonts w:ascii="Calibri" w:hAnsi="Calibri"/>
          <w:sz w:val="20"/>
          <w:szCs w:val="20"/>
          <w:lang w:val="en-GB"/>
        </w:rPr>
      </w:pPr>
      <w:r w:rsidRPr="005F3825">
        <w:rPr>
          <w:rFonts w:ascii="Calibri" w:hAnsi="Calibri"/>
          <w:sz w:val="20"/>
          <w:szCs w:val="20"/>
          <w:lang w:val="en-GB"/>
        </w:rPr>
        <w:t xml:space="preserve">estimation of the size of natural populations based on regular inventories following protocols developed with the support of experts in hunting management and applied rigorously, including permanent sampling </w:t>
      </w:r>
      <w:proofErr w:type="gramStart"/>
      <w:r w:rsidRPr="005F3825">
        <w:rPr>
          <w:rFonts w:ascii="Calibri" w:hAnsi="Calibri"/>
          <w:sz w:val="20"/>
          <w:szCs w:val="20"/>
          <w:lang w:val="en-GB"/>
        </w:rPr>
        <w:t>transects;</w:t>
      </w:r>
      <w:proofErr w:type="gramEnd"/>
    </w:p>
    <w:p w14:paraId="341FAF99" w14:textId="77777777" w:rsidR="00302BFE" w:rsidRPr="005F3825" w:rsidRDefault="00302BFE" w:rsidP="00C46720">
      <w:pPr>
        <w:pStyle w:val="Paragraphedeliste"/>
        <w:numPr>
          <w:ilvl w:val="0"/>
          <w:numId w:val="21"/>
        </w:numPr>
        <w:spacing w:before="120" w:after="120"/>
        <w:contextualSpacing/>
        <w:jc w:val="both"/>
        <w:rPr>
          <w:rFonts w:ascii="Calibri" w:hAnsi="Calibri"/>
          <w:sz w:val="20"/>
          <w:szCs w:val="20"/>
          <w:lang w:val="en-GB"/>
        </w:rPr>
      </w:pPr>
      <w:r w:rsidRPr="005F3825">
        <w:rPr>
          <w:rFonts w:ascii="Calibri" w:hAnsi="Calibri"/>
          <w:sz w:val="20"/>
          <w:szCs w:val="20"/>
          <w:lang w:val="en-GB"/>
        </w:rPr>
        <w:t xml:space="preserve">monitoring the condition of critical habitats of the main wildlife species, including exploited species and non-exploited species, with attention to water </w:t>
      </w:r>
      <w:proofErr w:type="gramStart"/>
      <w:r w:rsidRPr="005F3825">
        <w:rPr>
          <w:rFonts w:ascii="Calibri" w:hAnsi="Calibri"/>
          <w:sz w:val="20"/>
          <w:szCs w:val="20"/>
          <w:lang w:val="en-GB"/>
        </w:rPr>
        <w:t>availability;</w:t>
      </w:r>
      <w:proofErr w:type="gramEnd"/>
    </w:p>
    <w:p w14:paraId="3EA04ECF" w14:textId="77777777" w:rsidR="00302BFE" w:rsidRPr="005F3825" w:rsidRDefault="00302BFE" w:rsidP="00C46720">
      <w:pPr>
        <w:pStyle w:val="Paragraphedeliste"/>
        <w:numPr>
          <w:ilvl w:val="0"/>
          <w:numId w:val="21"/>
        </w:numPr>
        <w:spacing w:before="120" w:after="120"/>
        <w:contextualSpacing/>
        <w:jc w:val="both"/>
        <w:rPr>
          <w:rFonts w:ascii="Calibri" w:hAnsi="Calibri"/>
          <w:sz w:val="20"/>
          <w:szCs w:val="20"/>
          <w:lang w:val="en-GB"/>
        </w:rPr>
      </w:pPr>
      <w:r w:rsidRPr="005F3825">
        <w:rPr>
          <w:rFonts w:ascii="Calibri" w:hAnsi="Calibri"/>
          <w:sz w:val="20"/>
          <w:szCs w:val="20"/>
          <w:lang w:val="en-GB"/>
        </w:rPr>
        <w:t xml:space="preserve">the monitoring of environmental parameters that can serve as explanatory factors for observed variations, including at least temperature and </w:t>
      </w:r>
      <w:proofErr w:type="gramStart"/>
      <w:r w:rsidRPr="005F3825">
        <w:rPr>
          <w:rFonts w:ascii="Calibri" w:hAnsi="Calibri"/>
          <w:sz w:val="20"/>
          <w:szCs w:val="20"/>
          <w:lang w:val="en-GB"/>
        </w:rPr>
        <w:t>precipitation;</w:t>
      </w:r>
      <w:proofErr w:type="gramEnd"/>
    </w:p>
    <w:p w14:paraId="26FC26F4" w14:textId="77777777" w:rsidR="00302BFE" w:rsidRPr="005F3825" w:rsidRDefault="00302BFE" w:rsidP="00C46720">
      <w:pPr>
        <w:pStyle w:val="Paragraphedeliste"/>
        <w:numPr>
          <w:ilvl w:val="0"/>
          <w:numId w:val="21"/>
        </w:numPr>
        <w:spacing w:before="120" w:after="120"/>
        <w:jc w:val="both"/>
        <w:rPr>
          <w:rFonts w:ascii="Calibri" w:hAnsi="Calibri"/>
          <w:sz w:val="20"/>
          <w:szCs w:val="20"/>
          <w:lang w:val="en-GB"/>
        </w:rPr>
      </w:pPr>
      <w:r w:rsidRPr="005F3825">
        <w:rPr>
          <w:rFonts w:ascii="Calibri" w:hAnsi="Calibri"/>
          <w:sz w:val="20"/>
          <w:szCs w:val="20"/>
          <w:lang w:val="en-GB"/>
        </w:rPr>
        <w:t>feedback of assessments to the actors concerned, including local populations involved in the ZOVICs, concessionaires, national institutions involved in PA management, technical services at the level of the local authorities (communes and regions) and the decentralized structures, the NGOs involved, and the scientific community.</w:t>
      </w:r>
    </w:p>
    <w:p w14:paraId="326F2A9E"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4D2432">
        <w:rPr>
          <w:rFonts w:ascii="Calibri" w:hAnsi="Calibri"/>
          <w:sz w:val="20"/>
          <w:szCs w:val="20"/>
          <w:lang w:val="en-GB"/>
        </w:rPr>
        <w:t>This document should</w:t>
      </w:r>
      <w:r w:rsidRPr="005F3825">
        <w:rPr>
          <w:rFonts w:ascii="Calibri" w:hAnsi="Calibri"/>
          <w:sz w:val="20"/>
          <w:szCs w:val="20"/>
          <w:lang w:val="en-GB"/>
        </w:rPr>
        <w:t xml:space="preserve"> be developed annually and serve as a reference for determining quotas and the allocation of hunting licenses for the upcoming hunting season and should be used to assess the trend in the numbers of populations exploited to support decision making regarding hunting restrictions such as the adjustment of the hunting season, the closing of certain areas to hunting, or the prohibition on hunting a species or species whose downward trend would indicate excessive hunting pressure or other factors. The process conducted under the authority of the Wildlife and Hunting Department can serve as a model for all the country's protected areas.</w:t>
      </w:r>
    </w:p>
    <w:p w14:paraId="6DC2D047"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Cambria" w:hAnsi="Calibri"/>
          <w:sz w:val="20"/>
          <w:szCs w:val="20"/>
          <w:u w:val="single"/>
          <w:lang w:val="en-GB"/>
        </w:rPr>
        <w:t>Support for the implementation of development and management plans</w:t>
      </w:r>
      <w:r w:rsidRPr="005F3825">
        <w:rPr>
          <w:rFonts w:ascii="Calibri" w:hAnsi="Calibri"/>
          <w:sz w:val="20"/>
          <w:szCs w:val="20"/>
          <w:lang w:val="en-GB"/>
        </w:rPr>
        <w:t>. Based on ecological assessments, mapping and zoning, the project will support PA management units to undertake ecosystem management actions identified in PA management plans. Actions will include completion of the materialization of protected area boundaries when required as well as signage, and maintenance of perimeter tracks to also serve as fire</w:t>
      </w:r>
      <w:r>
        <w:rPr>
          <w:rFonts w:ascii="Calibri" w:hAnsi="Calibri"/>
          <w:sz w:val="20"/>
          <w:szCs w:val="20"/>
          <w:lang w:val="en-GB"/>
        </w:rPr>
        <w:t>break</w:t>
      </w:r>
      <w:r w:rsidRPr="005F3825">
        <w:rPr>
          <w:rFonts w:ascii="Calibri" w:hAnsi="Calibri"/>
          <w:sz w:val="20"/>
          <w:szCs w:val="20"/>
          <w:lang w:val="en-GB"/>
        </w:rPr>
        <w:t xml:space="preserve">s. Areas requiring strict protection may have limited access. Critical habitats that are degraded will be progressively restored, as far as possible through assisted natural regeneration. These actions will be complemented by the role of eco-guards to disseminate information and </w:t>
      </w:r>
      <w:r>
        <w:rPr>
          <w:rFonts w:ascii="Calibri" w:hAnsi="Calibri"/>
          <w:sz w:val="20"/>
          <w:szCs w:val="20"/>
          <w:lang w:val="en-GB"/>
        </w:rPr>
        <w:t>disseminate</w:t>
      </w:r>
      <w:r w:rsidRPr="005F3825">
        <w:rPr>
          <w:rFonts w:ascii="Calibri" w:hAnsi="Calibri"/>
          <w:sz w:val="20"/>
          <w:szCs w:val="20"/>
          <w:lang w:val="en-GB"/>
        </w:rPr>
        <w:t xml:space="preserve"> the regulations on access to the different areas and the use of resources, and possibly to enforce these regulations, including the control of livestock invasion in PAs and especially in the areas under restoration.</w:t>
      </w:r>
    </w:p>
    <w:p w14:paraId="65BD2EAC" w14:textId="51DB8751" w:rsidR="00302BFE" w:rsidRPr="00A63E29"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highlight w:val="yellow"/>
          <w:u w:val="single"/>
          <w:lang w:val="en-GB"/>
        </w:rPr>
      </w:pPr>
      <w:r w:rsidRPr="004E03CC">
        <w:rPr>
          <w:rFonts w:ascii="Calibri" w:eastAsia="Cambria" w:hAnsi="Calibri"/>
          <w:sz w:val="20"/>
          <w:szCs w:val="20"/>
          <w:u w:val="single"/>
          <w:lang w:val="en-GB"/>
        </w:rPr>
        <w:t>Development of a Business Plan for the PONASI Protected Area Complex</w:t>
      </w:r>
      <w:r w:rsidRPr="004E03CC">
        <w:rPr>
          <w:rFonts w:ascii="Calibri" w:eastAsia="Cambria" w:hAnsi="Calibri"/>
          <w:sz w:val="20"/>
          <w:szCs w:val="20"/>
          <w:lang w:val="en-GB"/>
        </w:rPr>
        <w:t xml:space="preserve">. </w:t>
      </w:r>
      <w:r w:rsidR="001077BB" w:rsidRPr="004E03CC">
        <w:rPr>
          <w:rFonts w:ascii="Calibri" w:eastAsia="Cambria" w:hAnsi="Calibri"/>
          <w:sz w:val="20"/>
          <w:szCs w:val="20"/>
          <w:lang w:val="en-GB"/>
        </w:rPr>
        <w:t xml:space="preserve">The project will recruit an international </w:t>
      </w:r>
      <w:r w:rsidR="0053434B" w:rsidRPr="004E03CC">
        <w:rPr>
          <w:rFonts w:ascii="Calibri" w:eastAsia="Cambria" w:hAnsi="Calibri"/>
          <w:sz w:val="20"/>
          <w:szCs w:val="20"/>
          <w:lang w:val="en-GB"/>
        </w:rPr>
        <w:t xml:space="preserve">consultant with expertise in sustainable financing of PAs to develop a </w:t>
      </w:r>
      <w:r w:rsidRPr="004E03CC">
        <w:rPr>
          <w:rFonts w:ascii="Calibri" w:eastAsia="Cambria" w:hAnsi="Calibri"/>
          <w:sz w:val="20"/>
          <w:szCs w:val="20"/>
          <w:lang w:val="en-GB"/>
        </w:rPr>
        <w:t xml:space="preserve">business plan for all the PAs of the PONASI complex involving the Conservator (s) of the PAs, the representatives of OFINAP, the DGEF and the technical services within the DREEVCC, the Ministry Finance whose acceptance of the process and results is essential, as well as the stakeholders who influence the financial future of the PA network. The plan development process will follow the guidance provided in the business plan </w:t>
      </w:r>
      <w:proofErr w:type="spellStart"/>
      <w:r w:rsidRPr="004E03CC">
        <w:rPr>
          <w:rFonts w:ascii="Calibri" w:eastAsia="Cambria" w:hAnsi="Calibri"/>
          <w:sz w:val="20"/>
          <w:szCs w:val="20"/>
          <w:lang w:val="en-GB"/>
        </w:rPr>
        <w:t>catalog</w:t>
      </w:r>
      <w:proofErr w:type="spellEnd"/>
      <w:r w:rsidRPr="004E03CC">
        <w:rPr>
          <w:rFonts w:ascii="Calibri" w:eastAsia="Cambria" w:hAnsi="Calibri"/>
          <w:sz w:val="20"/>
          <w:szCs w:val="20"/>
          <w:lang w:val="en-GB"/>
        </w:rPr>
        <w:t xml:space="preserve"> on the NBSAP Forum</w:t>
      </w:r>
      <w:r w:rsidRPr="004E03CC">
        <w:rPr>
          <w:rFonts w:ascii="Calibri" w:hAnsi="Calibri"/>
          <w:sz w:val="20"/>
          <w:szCs w:val="20"/>
          <w:vertAlign w:val="superscript"/>
          <w:lang w:val="en-GB"/>
        </w:rPr>
        <w:footnoteReference w:id="57"/>
      </w:r>
      <w:r w:rsidRPr="004E03CC">
        <w:rPr>
          <w:rFonts w:ascii="Calibri" w:eastAsia="Cambria" w:hAnsi="Calibri"/>
          <w:sz w:val="20"/>
          <w:szCs w:val="20"/>
          <w:lang w:val="en-GB"/>
        </w:rPr>
        <w:t xml:space="preserve"> which includes "Business Planning for Protected Areas" guidelines as well as examples of business plans developed for other protected areas around the world. A PA manager will</w:t>
      </w:r>
      <w:r w:rsidRPr="006F0042">
        <w:rPr>
          <w:rFonts w:ascii="Calibri" w:eastAsia="Cambria" w:hAnsi="Calibri"/>
          <w:sz w:val="20"/>
          <w:szCs w:val="20"/>
          <w:lang w:val="en-GB"/>
        </w:rPr>
        <w:t xml:space="preserve"> be identified to lead the implementation of the plan as part of 2.1.1. The business plan </w:t>
      </w:r>
      <w:r w:rsidRPr="006F0042">
        <w:rPr>
          <w:rFonts w:ascii="Calibri" w:eastAsia="Cambria" w:hAnsi="Calibri"/>
          <w:sz w:val="20"/>
          <w:szCs w:val="20"/>
          <w:lang w:val="en-GB"/>
        </w:rPr>
        <w:lastRenderedPageBreak/>
        <w:t>preparation process will namely build on the findings of the interdisciplinary assessment of the ecosystem goods and services provided by PAs conducted under the output 1.2.1 as potential sources of revenue through their valuation</w:t>
      </w:r>
      <w:r w:rsidRPr="00D75FF6">
        <w:rPr>
          <w:rFonts w:ascii="Calibri" w:eastAsia="Cambria" w:hAnsi="Calibri"/>
          <w:sz w:val="20"/>
          <w:szCs w:val="20"/>
          <w:lang w:val="en-GB"/>
        </w:rPr>
        <w:t>.</w:t>
      </w:r>
      <w:r w:rsidR="000B0AA1" w:rsidRPr="00D75FF6">
        <w:rPr>
          <w:rFonts w:ascii="Calibri" w:eastAsia="Cambria" w:hAnsi="Calibri"/>
          <w:sz w:val="20"/>
          <w:szCs w:val="20"/>
          <w:lang w:val="en-GB"/>
        </w:rPr>
        <w:t xml:space="preserve"> </w:t>
      </w:r>
      <w:r w:rsidR="000B0AA1" w:rsidRPr="00A63E29">
        <w:rPr>
          <w:rFonts w:ascii="Calibri" w:eastAsia="Cambria" w:hAnsi="Calibri"/>
          <w:sz w:val="20"/>
          <w:szCs w:val="20"/>
          <w:lang w:val="en-GB"/>
        </w:rPr>
        <w:t>It will take into consideration the impacts (</w:t>
      </w:r>
      <w:r w:rsidR="000B0AA1" w:rsidRPr="004E03CC">
        <w:rPr>
          <w:rFonts w:ascii="Calibri" w:eastAsia="Cambria" w:hAnsi="Calibri"/>
          <w:sz w:val="20"/>
          <w:szCs w:val="20"/>
          <w:lang w:val="en-GB"/>
        </w:rPr>
        <w:t>global and local) of the recent COVID</w:t>
      </w:r>
      <w:r w:rsidR="00552C05" w:rsidRPr="004E03CC">
        <w:rPr>
          <w:rFonts w:ascii="Calibri" w:eastAsia="Cambria" w:hAnsi="Calibri"/>
          <w:sz w:val="20"/>
          <w:szCs w:val="20"/>
          <w:lang w:val="en-GB"/>
        </w:rPr>
        <w:t xml:space="preserve"> 19</w:t>
      </w:r>
      <w:r w:rsidR="000B0AA1" w:rsidRPr="004E03CC">
        <w:rPr>
          <w:rFonts w:ascii="Calibri" w:eastAsia="Cambria" w:hAnsi="Calibri"/>
          <w:sz w:val="20"/>
          <w:szCs w:val="20"/>
          <w:lang w:val="en-GB"/>
        </w:rPr>
        <w:t xml:space="preserve"> pandemic on tourism and prospects for its medium and long-term recovery after the crisis has declined. </w:t>
      </w:r>
    </w:p>
    <w:p w14:paraId="25B4787E" w14:textId="77777777" w:rsidR="00302BFE" w:rsidRPr="00AB088A"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u w:val="single"/>
          <w:lang w:val="en-GB"/>
        </w:rPr>
      </w:pPr>
      <w:r w:rsidRPr="005F3825">
        <w:rPr>
          <w:rFonts w:ascii="Calibri" w:eastAsia="Cambria" w:hAnsi="Calibri"/>
          <w:sz w:val="20"/>
          <w:szCs w:val="20"/>
          <w:lang w:val="en-GB"/>
        </w:rPr>
        <w:t xml:space="preserve">The business plan </w:t>
      </w:r>
      <w:r>
        <w:rPr>
          <w:rFonts w:ascii="Calibri" w:eastAsia="Cambria" w:hAnsi="Calibri"/>
          <w:sz w:val="20"/>
          <w:szCs w:val="20"/>
          <w:lang w:val="en-GB"/>
        </w:rPr>
        <w:t>will be</w:t>
      </w:r>
      <w:r w:rsidRPr="005F3825">
        <w:rPr>
          <w:rFonts w:ascii="Calibri" w:eastAsia="Cambria" w:hAnsi="Calibri"/>
          <w:sz w:val="20"/>
          <w:szCs w:val="20"/>
          <w:lang w:val="en-GB"/>
        </w:rPr>
        <w:t xml:space="preserve"> an extension of the management plan </w:t>
      </w:r>
      <w:r>
        <w:rPr>
          <w:rFonts w:ascii="Calibri" w:eastAsia="Cambria" w:hAnsi="Calibri"/>
          <w:sz w:val="20"/>
          <w:szCs w:val="20"/>
          <w:lang w:val="en-GB"/>
        </w:rPr>
        <w:t>and</w:t>
      </w:r>
      <w:r w:rsidRPr="005F3825">
        <w:rPr>
          <w:rFonts w:ascii="Calibri" w:eastAsia="Cambria" w:hAnsi="Calibri"/>
          <w:sz w:val="20"/>
          <w:szCs w:val="20"/>
          <w:lang w:val="en-GB"/>
        </w:rPr>
        <w:t xml:space="preserve"> identify the resources needed to achieve the objectives and tasks defined in the PA Management Plan. </w:t>
      </w:r>
      <w:r>
        <w:rPr>
          <w:rFonts w:ascii="Calibri" w:eastAsia="Cambria" w:hAnsi="Calibri"/>
          <w:sz w:val="20"/>
          <w:szCs w:val="20"/>
          <w:lang w:val="en-GB"/>
        </w:rPr>
        <w:t>It will</w:t>
      </w:r>
      <w:r w:rsidRPr="005F3825">
        <w:rPr>
          <w:rFonts w:ascii="Calibri" w:eastAsia="Cambria" w:hAnsi="Calibri"/>
          <w:sz w:val="20"/>
          <w:szCs w:val="20"/>
          <w:lang w:val="en-GB"/>
        </w:rPr>
        <w:t xml:space="preserve"> i) clarif</w:t>
      </w:r>
      <w:r>
        <w:rPr>
          <w:rFonts w:ascii="Calibri" w:eastAsia="Cambria" w:hAnsi="Calibri"/>
          <w:sz w:val="20"/>
          <w:szCs w:val="20"/>
          <w:lang w:val="en-GB"/>
        </w:rPr>
        <w:t>y</w:t>
      </w:r>
      <w:r w:rsidRPr="005F3825">
        <w:rPr>
          <w:rFonts w:ascii="Calibri" w:eastAsia="Cambria" w:hAnsi="Calibri"/>
          <w:sz w:val="20"/>
          <w:szCs w:val="20"/>
          <w:lang w:val="en-GB"/>
        </w:rPr>
        <w:t xml:space="preserve"> the financial needs to be met to carry out the activities proposed in the management plan and ii) identif</w:t>
      </w:r>
      <w:r>
        <w:rPr>
          <w:rFonts w:ascii="Calibri" w:eastAsia="Cambria" w:hAnsi="Calibri"/>
          <w:sz w:val="20"/>
          <w:szCs w:val="20"/>
          <w:lang w:val="en-GB"/>
        </w:rPr>
        <w:t>y</w:t>
      </w:r>
      <w:r w:rsidRPr="005F3825">
        <w:rPr>
          <w:rFonts w:ascii="Calibri" w:eastAsia="Cambria" w:hAnsi="Calibri"/>
          <w:sz w:val="20"/>
          <w:szCs w:val="20"/>
          <w:lang w:val="en-GB"/>
        </w:rPr>
        <w:t xml:space="preserve"> potential revenue sources and innovative financing opportunities for protected areas to meet these needs. </w:t>
      </w:r>
      <w:r>
        <w:rPr>
          <w:rFonts w:ascii="Calibri" w:eastAsia="Cambria" w:hAnsi="Calibri"/>
          <w:sz w:val="20"/>
          <w:szCs w:val="20"/>
          <w:lang w:val="en-GB"/>
        </w:rPr>
        <w:t>It will include</w:t>
      </w:r>
      <w:r w:rsidRPr="005F3825">
        <w:rPr>
          <w:rFonts w:ascii="Calibri" w:eastAsia="Cambria" w:hAnsi="Calibri"/>
          <w:sz w:val="20"/>
          <w:szCs w:val="20"/>
          <w:lang w:val="en-GB"/>
        </w:rPr>
        <w:t xml:space="preserve"> targeted and clear </w:t>
      </w:r>
      <w:r>
        <w:rPr>
          <w:rFonts w:ascii="Calibri" w:eastAsia="Cambria" w:hAnsi="Calibri"/>
          <w:sz w:val="20"/>
          <w:szCs w:val="20"/>
          <w:lang w:val="en-GB"/>
        </w:rPr>
        <w:t>t</w:t>
      </w:r>
      <w:r w:rsidRPr="005F3825">
        <w:rPr>
          <w:rFonts w:ascii="Calibri" w:eastAsia="Cambria" w:hAnsi="Calibri"/>
          <w:sz w:val="20"/>
          <w:szCs w:val="20"/>
          <w:lang w:val="en-GB"/>
        </w:rPr>
        <w:t xml:space="preserve">argets to guide </w:t>
      </w:r>
      <w:r>
        <w:rPr>
          <w:rFonts w:ascii="Calibri" w:eastAsia="Cambria" w:hAnsi="Calibri"/>
          <w:sz w:val="20"/>
          <w:szCs w:val="20"/>
          <w:lang w:val="en-GB"/>
        </w:rPr>
        <w:t>its</w:t>
      </w:r>
      <w:r w:rsidRPr="005F3825">
        <w:rPr>
          <w:rFonts w:ascii="Calibri" w:eastAsia="Cambria" w:hAnsi="Calibri"/>
          <w:sz w:val="20"/>
          <w:szCs w:val="20"/>
          <w:lang w:val="en-GB"/>
        </w:rPr>
        <w:t xml:space="preserve"> implementation</w:t>
      </w:r>
      <w:r>
        <w:rPr>
          <w:rFonts w:ascii="Calibri" w:eastAsia="Cambria" w:hAnsi="Calibri"/>
          <w:sz w:val="20"/>
          <w:szCs w:val="20"/>
          <w:lang w:val="en-GB"/>
        </w:rPr>
        <w:t>.</w:t>
      </w:r>
      <w:r w:rsidRPr="005F3825">
        <w:rPr>
          <w:rFonts w:ascii="Calibri" w:eastAsia="Cambria" w:hAnsi="Calibri"/>
          <w:sz w:val="20"/>
          <w:szCs w:val="20"/>
          <w:lang w:val="en-GB"/>
        </w:rPr>
        <w:t xml:space="preserve"> </w:t>
      </w:r>
      <w:r>
        <w:rPr>
          <w:rFonts w:ascii="Calibri" w:eastAsia="Cambria" w:hAnsi="Calibri"/>
          <w:sz w:val="20"/>
          <w:szCs w:val="20"/>
          <w:lang w:val="en-GB"/>
        </w:rPr>
        <w:t>These targets</w:t>
      </w:r>
      <w:r w:rsidRPr="005F3825">
        <w:rPr>
          <w:rFonts w:ascii="Calibri" w:eastAsia="Cambria" w:hAnsi="Calibri"/>
          <w:sz w:val="20"/>
          <w:szCs w:val="20"/>
          <w:lang w:val="en-GB"/>
        </w:rPr>
        <w:t xml:space="preserve"> will </w:t>
      </w:r>
      <w:proofErr w:type="gramStart"/>
      <w:r w:rsidRPr="005F3825">
        <w:rPr>
          <w:rFonts w:ascii="Calibri" w:eastAsia="Cambria" w:hAnsi="Calibri"/>
          <w:sz w:val="20"/>
          <w:szCs w:val="20"/>
          <w:lang w:val="en-GB"/>
        </w:rPr>
        <w:t>take into account</w:t>
      </w:r>
      <w:proofErr w:type="gramEnd"/>
      <w:r w:rsidRPr="005F3825">
        <w:rPr>
          <w:rFonts w:ascii="Calibri" w:eastAsia="Cambria" w:hAnsi="Calibri"/>
          <w:sz w:val="20"/>
          <w:szCs w:val="20"/>
          <w:lang w:val="en-GB"/>
        </w:rPr>
        <w:t xml:space="preserve"> the integration of </w:t>
      </w:r>
      <w:r>
        <w:rPr>
          <w:rFonts w:ascii="Calibri" w:eastAsia="Cambria" w:hAnsi="Calibri"/>
          <w:sz w:val="20"/>
          <w:szCs w:val="20"/>
          <w:lang w:val="en-GB"/>
        </w:rPr>
        <w:t xml:space="preserve">the </w:t>
      </w:r>
      <w:r w:rsidRPr="005F3825">
        <w:rPr>
          <w:rFonts w:ascii="Calibri" w:eastAsia="Cambria" w:hAnsi="Calibri"/>
          <w:sz w:val="20"/>
          <w:szCs w:val="20"/>
          <w:lang w:val="en-GB"/>
        </w:rPr>
        <w:t xml:space="preserve">protected areas </w:t>
      </w:r>
      <w:r>
        <w:rPr>
          <w:rFonts w:ascii="Calibri" w:eastAsia="Cambria" w:hAnsi="Calibri"/>
          <w:sz w:val="20"/>
          <w:szCs w:val="20"/>
          <w:lang w:val="en-GB"/>
        </w:rPr>
        <w:t xml:space="preserve">into </w:t>
      </w:r>
      <w:r w:rsidRPr="005F3825">
        <w:rPr>
          <w:rFonts w:ascii="Calibri" w:eastAsia="Cambria" w:hAnsi="Calibri"/>
          <w:sz w:val="20"/>
          <w:szCs w:val="20"/>
          <w:lang w:val="en-GB"/>
        </w:rPr>
        <w:t>the landscape and the ecosystem goods and services they provide.</w:t>
      </w:r>
    </w:p>
    <w:p w14:paraId="177F44DB" w14:textId="7246B8EA" w:rsidR="00302BFE" w:rsidRDefault="00302BFE" w:rsidP="00302BFE">
      <w:pPr>
        <w:spacing w:before="120" w:after="120"/>
        <w:rPr>
          <w:i/>
          <w:color w:val="4472C4"/>
          <w:szCs w:val="20"/>
          <w:lang w:val="en-GB"/>
        </w:rPr>
      </w:pPr>
      <w:r w:rsidRPr="005F3825">
        <w:rPr>
          <w:i/>
          <w:color w:val="4472C4"/>
          <w:szCs w:val="20"/>
          <w:lang w:val="en-GB"/>
        </w:rPr>
        <w:t xml:space="preserve">2.2.3 Collaborative management agreements for State PAs and support to collaborative management committees </w:t>
      </w:r>
    </w:p>
    <w:p w14:paraId="1E30CADE" w14:textId="3E52C04C" w:rsidR="001F23E3" w:rsidRPr="00BE65D5" w:rsidRDefault="001F23E3" w:rsidP="00302BFE">
      <w:pPr>
        <w:spacing w:before="120" w:after="120"/>
        <w:rPr>
          <w:iCs/>
          <w:color w:val="4472C4"/>
          <w:szCs w:val="20"/>
          <w:lang w:val="en-GB"/>
        </w:rPr>
      </w:pPr>
      <w:r w:rsidRPr="004E03CC">
        <w:rPr>
          <w:iCs/>
          <w:color w:val="4472C4"/>
          <w:szCs w:val="20"/>
          <w:lang w:val="en-GB"/>
        </w:rPr>
        <w:t xml:space="preserve">For this activity, the FPIC (Free, Prior and Informed Consent) process </w:t>
      </w:r>
      <w:proofErr w:type="gramStart"/>
      <w:r w:rsidRPr="004E03CC">
        <w:rPr>
          <w:iCs/>
          <w:color w:val="4472C4"/>
          <w:szCs w:val="20"/>
          <w:lang w:val="en-GB"/>
        </w:rPr>
        <w:t>has to</w:t>
      </w:r>
      <w:proofErr w:type="gramEnd"/>
      <w:r w:rsidRPr="004E03CC">
        <w:rPr>
          <w:iCs/>
          <w:color w:val="4472C4"/>
          <w:szCs w:val="20"/>
          <w:lang w:val="en-GB"/>
        </w:rPr>
        <w:t xml:space="preserve"> be ensured</w:t>
      </w:r>
    </w:p>
    <w:p w14:paraId="08813930" w14:textId="5519FF59" w:rsidR="00302BFE" w:rsidRPr="00D75FF6"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Cambria" w:hAnsi="Calibri"/>
          <w:sz w:val="20"/>
          <w:szCs w:val="20"/>
          <w:u w:val="single"/>
          <w:lang w:val="en-GB"/>
        </w:rPr>
        <w:t>Voluntary agreements</w:t>
      </w:r>
      <w:r w:rsidRPr="005F3825">
        <w:rPr>
          <w:rFonts w:ascii="Calibri" w:hAnsi="Calibri"/>
          <w:sz w:val="20"/>
          <w:szCs w:val="20"/>
          <w:lang w:val="en-GB"/>
        </w:rPr>
        <w:t xml:space="preserve">. The project will support meetings with communities bordering PAs including corridors, to </w:t>
      </w:r>
      <w:r>
        <w:rPr>
          <w:rFonts w:ascii="Calibri" w:hAnsi="Calibri"/>
          <w:sz w:val="20"/>
          <w:szCs w:val="20"/>
          <w:lang w:val="en-GB"/>
        </w:rPr>
        <w:t>raise</w:t>
      </w:r>
      <w:r w:rsidRPr="005F3825">
        <w:rPr>
          <w:rFonts w:ascii="Calibri" w:hAnsi="Calibri"/>
          <w:sz w:val="20"/>
          <w:szCs w:val="20"/>
          <w:lang w:val="en-GB"/>
        </w:rPr>
        <w:t xml:space="preserve"> the</w:t>
      </w:r>
      <w:r>
        <w:rPr>
          <w:rFonts w:ascii="Calibri" w:hAnsi="Calibri"/>
          <w:sz w:val="20"/>
          <w:szCs w:val="20"/>
          <w:lang w:val="en-GB"/>
        </w:rPr>
        <w:t>ir awareness</w:t>
      </w:r>
      <w:r w:rsidRPr="005F3825">
        <w:rPr>
          <w:rFonts w:ascii="Calibri" w:hAnsi="Calibri"/>
          <w:sz w:val="20"/>
          <w:szCs w:val="20"/>
          <w:lang w:val="en-GB"/>
        </w:rPr>
        <w:t xml:space="preserve"> </w:t>
      </w:r>
      <w:r>
        <w:rPr>
          <w:rFonts w:ascii="Calibri" w:hAnsi="Calibri"/>
          <w:sz w:val="20"/>
          <w:szCs w:val="20"/>
          <w:lang w:val="en-GB"/>
        </w:rPr>
        <w:t>on</w:t>
      </w:r>
      <w:r w:rsidRPr="005F3825">
        <w:rPr>
          <w:rFonts w:ascii="Calibri" w:hAnsi="Calibri"/>
          <w:sz w:val="20"/>
          <w:szCs w:val="20"/>
          <w:lang w:val="en-GB"/>
        </w:rPr>
        <w:t xml:space="preserve"> the importance of biodiversity and </w:t>
      </w:r>
      <w:r>
        <w:rPr>
          <w:rFonts w:ascii="Calibri" w:hAnsi="Calibri"/>
          <w:sz w:val="20"/>
          <w:szCs w:val="20"/>
          <w:lang w:val="en-GB"/>
        </w:rPr>
        <w:t xml:space="preserve">on </w:t>
      </w:r>
      <w:proofErr w:type="gramStart"/>
      <w:r w:rsidRPr="005F3825">
        <w:rPr>
          <w:rFonts w:ascii="Calibri" w:hAnsi="Calibri"/>
          <w:sz w:val="20"/>
          <w:szCs w:val="20"/>
          <w:lang w:val="en-GB"/>
        </w:rPr>
        <w:t>medium and long term</w:t>
      </w:r>
      <w:proofErr w:type="gramEnd"/>
      <w:r w:rsidRPr="005F3825">
        <w:rPr>
          <w:rFonts w:ascii="Calibri" w:hAnsi="Calibri"/>
          <w:sz w:val="20"/>
          <w:szCs w:val="20"/>
          <w:lang w:val="en-GB"/>
        </w:rPr>
        <w:t xml:space="preserve"> benefits related to </w:t>
      </w:r>
      <w:r>
        <w:rPr>
          <w:rFonts w:ascii="Calibri" w:hAnsi="Calibri"/>
          <w:sz w:val="20"/>
          <w:szCs w:val="20"/>
          <w:lang w:val="en-GB"/>
        </w:rPr>
        <w:t>its</w:t>
      </w:r>
      <w:r w:rsidRPr="005F3825">
        <w:rPr>
          <w:rFonts w:ascii="Calibri" w:hAnsi="Calibri"/>
          <w:sz w:val="20"/>
          <w:szCs w:val="20"/>
          <w:lang w:val="en-GB"/>
        </w:rPr>
        <w:t xml:space="preserve"> conservation, to promote their commitment to the collaborative management process, to inform them of the role that is expected of them, the benefits and responsibilities that this entails, to collect their expectations and concerns and </w:t>
      </w:r>
      <w:r>
        <w:rPr>
          <w:rFonts w:ascii="Calibri" w:hAnsi="Calibri"/>
          <w:sz w:val="20"/>
          <w:szCs w:val="20"/>
          <w:lang w:val="en-GB"/>
        </w:rPr>
        <w:t>verifying</w:t>
      </w:r>
      <w:r w:rsidRPr="005F3825">
        <w:rPr>
          <w:rFonts w:ascii="Calibri" w:hAnsi="Calibri"/>
          <w:sz w:val="20"/>
          <w:szCs w:val="20"/>
          <w:lang w:val="en-GB"/>
        </w:rPr>
        <w:t xml:space="preserve"> their interest in engaging in </w:t>
      </w:r>
      <w:r>
        <w:rPr>
          <w:rFonts w:ascii="Calibri" w:hAnsi="Calibri"/>
          <w:sz w:val="20"/>
          <w:szCs w:val="20"/>
          <w:lang w:val="en-GB"/>
        </w:rPr>
        <w:t>it</w:t>
      </w:r>
      <w:r w:rsidRPr="005F3825">
        <w:rPr>
          <w:rFonts w:ascii="Calibri" w:hAnsi="Calibri"/>
          <w:sz w:val="20"/>
          <w:szCs w:val="20"/>
          <w:lang w:val="en-GB"/>
        </w:rPr>
        <w:t xml:space="preserve">. It will be important to give the time and resources needed for these outreach meetings to enable communities to engage in the collaborative management process in a fully informed, fully voluntary way and without inappropriate/undue expectation. The involvement of traditional chiefs will be essential to facilitate this step of </w:t>
      </w:r>
      <w:r>
        <w:rPr>
          <w:rFonts w:ascii="Calibri" w:hAnsi="Calibri"/>
          <w:sz w:val="20"/>
          <w:szCs w:val="20"/>
          <w:lang w:val="en-GB"/>
        </w:rPr>
        <w:t>raising awareness</w:t>
      </w:r>
      <w:r w:rsidRPr="005F3825">
        <w:rPr>
          <w:rFonts w:ascii="Calibri" w:hAnsi="Calibri"/>
          <w:sz w:val="20"/>
          <w:szCs w:val="20"/>
          <w:lang w:val="en-GB"/>
        </w:rPr>
        <w:t xml:space="preserve"> and informing the riparian communities. A letter of voluntary agreement will be signed by the authorities of each village to indicate their consent to participate in </w:t>
      </w:r>
      <w:r w:rsidR="006F0042">
        <w:rPr>
          <w:rFonts w:ascii="Calibri" w:hAnsi="Calibri"/>
          <w:sz w:val="20"/>
          <w:szCs w:val="20"/>
          <w:lang w:val="en-GB"/>
        </w:rPr>
        <w:t xml:space="preserve">the </w:t>
      </w:r>
      <w:r w:rsidRPr="005F3825">
        <w:rPr>
          <w:rFonts w:ascii="Calibri" w:hAnsi="Calibri"/>
          <w:sz w:val="20"/>
          <w:szCs w:val="20"/>
          <w:lang w:val="en-GB"/>
        </w:rPr>
        <w:t xml:space="preserve">project activities </w:t>
      </w:r>
      <w:r w:rsidR="006F0042">
        <w:rPr>
          <w:rFonts w:ascii="Calibri" w:hAnsi="Calibri"/>
          <w:sz w:val="20"/>
          <w:szCs w:val="20"/>
          <w:lang w:val="en-GB"/>
        </w:rPr>
        <w:t>aiming at</w:t>
      </w:r>
      <w:r w:rsidRPr="005F3825">
        <w:rPr>
          <w:rFonts w:ascii="Calibri" w:hAnsi="Calibri"/>
          <w:sz w:val="20"/>
          <w:szCs w:val="20"/>
          <w:lang w:val="en-GB"/>
        </w:rPr>
        <w:t xml:space="preserve"> implement</w:t>
      </w:r>
      <w:r w:rsidR="006F0042">
        <w:rPr>
          <w:rFonts w:ascii="Calibri" w:hAnsi="Calibri"/>
          <w:sz w:val="20"/>
          <w:szCs w:val="20"/>
          <w:lang w:val="en-GB"/>
        </w:rPr>
        <w:t>ing</w:t>
      </w:r>
      <w:r w:rsidRPr="005F3825">
        <w:rPr>
          <w:rFonts w:ascii="Calibri" w:hAnsi="Calibri"/>
          <w:sz w:val="20"/>
          <w:szCs w:val="20"/>
          <w:lang w:val="en-GB"/>
        </w:rPr>
        <w:t xml:space="preserve"> a collaborative management of PAs when they </w:t>
      </w:r>
      <w:r w:rsidR="006F0042">
        <w:rPr>
          <w:rFonts w:ascii="Calibri" w:hAnsi="Calibri"/>
          <w:sz w:val="20"/>
          <w:szCs w:val="20"/>
          <w:lang w:val="en-GB"/>
        </w:rPr>
        <w:t>consider that</w:t>
      </w:r>
      <w:r w:rsidRPr="005F3825">
        <w:rPr>
          <w:rFonts w:ascii="Calibri" w:hAnsi="Calibri"/>
          <w:sz w:val="20"/>
          <w:szCs w:val="20"/>
          <w:lang w:val="en-GB"/>
        </w:rPr>
        <w:t xml:space="preserve"> they have sufficient information and that the conditions are adequate.</w:t>
      </w:r>
      <w:r w:rsidR="000B0AA1">
        <w:rPr>
          <w:rFonts w:ascii="Calibri" w:hAnsi="Calibri"/>
          <w:sz w:val="20"/>
          <w:szCs w:val="20"/>
          <w:lang w:val="en-GB"/>
        </w:rPr>
        <w:t xml:space="preserve"> </w:t>
      </w:r>
      <w:r w:rsidR="000B0AA1" w:rsidRPr="00A63E29">
        <w:rPr>
          <w:rFonts w:ascii="Calibri" w:hAnsi="Calibri"/>
          <w:sz w:val="20"/>
          <w:szCs w:val="20"/>
          <w:lang w:val="en-GB"/>
        </w:rPr>
        <w:t>COVID security guidelines and measures will be carefully respected during all meetings.</w:t>
      </w:r>
      <w:r w:rsidR="000B0AA1" w:rsidRPr="00D75FF6">
        <w:rPr>
          <w:rFonts w:ascii="Calibri" w:hAnsi="Calibri"/>
          <w:sz w:val="20"/>
          <w:szCs w:val="20"/>
          <w:lang w:val="en-GB"/>
        </w:rPr>
        <w:t xml:space="preserve"> </w:t>
      </w:r>
    </w:p>
    <w:p w14:paraId="607B9FAE" w14:textId="77777777" w:rsidR="00302BFE" w:rsidRPr="006F0042"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6F0042">
        <w:rPr>
          <w:rFonts w:ascii="Calibri" w:eastAsia="Cambria" w:hAnsi="Calibri"/>
          <w:sz w:val="20"/>
          <w:szCs w:val="20"/>
          <w:u w:val="single"/>
          <w:lang w:val="en-GB"/>
        </w:rPr>
        <w:t>Collaborative management agreement template</w:t>
      </w:r>
      <w:r w:rsidRPr="006F0042">
        <w:rPr>
          <w:rFonts w:ascii="Calibri" w:hAnsi="Calibri"/>
          <w:sz w:val="20"/>
          <w:szCs w:val="20"/>
          <w:lang w:val="en-GB"/>
        </w:rPr>
        <w:t>. A general model of collaborative management agreement between each of the village communities neighbouring the PAs, the PA management unit and other stakeholders will be developed in which the actors recognize the legitimacy of their respective rights to participate in the management of the PA following specific conservation objectives. This model will be developed in close collaboration with the institutions in charge of the PAs.</w:t>
      </w:r>
      <w:r w:rsidR="00547E31" w:rsidRPr="006F0042">
        <w:rPr>
          <w:rFonts w:ascii="Calibri" w:hAnsi="Calibri"/>
          <w:sz w:val="20"/>
          <w:szCs w:val="20"/>
          <w:lang w:val="en-GB"/>
        </w:rPr>
        <w:t xml:space="preserve"> A legal consultant will review the co-management model in close collaboration with the community mobilization specialist to ensure consistency with the legislative framework.</w:t>
      </w:r>
    </w:p>
    <w:p w14:paraId="01A9CDBA"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 xml:space="preserve">In addition to presenting all management arrangements for the PA, Collaborative Management Agreements should specify: (i) the spatial scope of the agreements (regarding access and resource use rights and surveillance and monitoring activities), i.e. specifying the areas in the PA and the buffer zone that are covered by a specific agreement with a village community, (ii) the regulation of the use of resources, </w:t>
      </w:r>
      <w:r w:rsidR="006F44E8" w:rsidRPr="005F3825">
        <w:rPr>
          <w:rFonts w:ascii="Calibri" w:hAnsi="Calibri"/>
          <w:sz w:val="20"/>
          <w:szCs w:val="20"/>
          <w:lang w:val="en-GB"/>
        </w:rPr>
        <w:t>i.e.</w:t>
      </w:r>
      <w:r w:rsidRPr="005F3825">
        <w:rPr>
          <w:rFonts w:ascii="Calibri" w:hAnsi="Calibri"/>
          <w:sz w:val="20"/>
          <w:szCs w:val="20"/>
          <w:lang w:val="en-GB"/>
        </w:rPr>
        <w:t xml:space="preserve"> which resources can be used / harvested and the conditions under which traditional uses may be exercised by community members (e.g., what, how, in what quantity and when), which will have to comply with the national regulations in force, in particular the Forest Code and its regulations, and legislation for the protection of wildlife, (iii) their role in the surveillance and monitoring these uses, and a protocol of communication with village authorities and PA managers in the event of an accident or violation of agreements by a community member or an outsider, (iv) conflict resolution with the support of the authorities and the police) and the imposed sanctions (which will have to be uniform between the PAs of the PONASI complex) in the cases of unresolved conflict and violation of the agreements, (v) their participation in the assessment of PA management.</w:t>
      </w:r>
    </w:p>
    <w:p w14:paraId="6A46012E"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Cambria" w:hAnsi="Calibri"/>
          <w:sz w:val="20"/>
          <w:szCs w:val="20"/>
          <w:u w:val="single"/>
          <w:lang w:val="en-GB"/>
        </w:rPr>
        <w:t>Negotiations and development of collaborative management agreements</w:t>
      </w:r>
      <w:r w:rsidRPr="005F3825">
        <w:rPr>
          <w:rFonts w:ascii="Calibri" w:hAnsi="Calibri"/>
          <w:sz w:val="20"/>
          <w:szCs w:val="20"/>
          <w:lang w:val="en-GB"/>
        </w:rPr>
        <w:t>. Collective management arrangements for PAs at village or village group level will be developed with community associations of PA riparian villages to be implemented by parties to the agreement. The agreements will be developed in accordance with the template following the preliminary steps of information / sensitization of the communities and voluntary agreement as specified previously, (ii) the designation by the local communities of the PAs of members of their community who will be in charge of negotiating in their behalf collaborative management agreements with the support of community mobilization agents; (iii) the negotiation of collaborative management agreements between communities bordering the PAs, the PA management units and the administrative authorities responsible for the environment, which will ensure the consistency of the rules of collaboration on the use of resources with the national regulations ; (iv) the deposit of a copy of the collaborative management agreement in the village in a place accessible for free consultation by any member of the community. At each site, the Community Mobilization Specialist will support the operations of the PA Collaborative Management Committee by providing training to community representatives on their role and responsibilities in terms of consultation, information sharing and representation of their interests, and supporting them throughout the negotiations to define collaborative management arrangements and in regular operations.</w:t>
      </w:r>
    </w:p>
    <w:p w14:paraId="1AA82CCA" w14:textId="58868CDA" w:rsidR="00302BFE" w:rsidRDefault="00302BFE" w:rsidP="00302BFE">
      <w:pPr>
        <w:spacing w:before="120" w:after="120"/>
        <w:rPr>
          <w:rFonts w:eastAsia="Cambria"/>
          <w:i/>
          <w:color w:val="4472C4"/>
          <w:szCs w:val="20"/>
          <w:lang w:val="en-GB"/>
        </w:rPr>
      </w:pPr>
      <w:r w:rsidRPr="005F3825">
        <w:rPr>
          <w:rFonts w:eastAsia="Cambria"/>
          <w:i/>
          <w:color w:val="4472C4"/>
          <w:szCs w:val="20"/>
          <w:lang w:val="en-GB"/>
        </w:rPr>
        <w:t>2.2.4 Long-term ecological monitoring system at the landscape and individual PAs levels</w:t>
      </w:r>
    </w:p>
    <w:p w14:paraId="781559A0" w14:textId="6347E770" w:rsidR="001F23E3" w:rsidRPr="00BE65D5" w:rsidRDefault="001F23E3" w:rsidP="00302BFE">
      <w:pPr>
        <w:spacing w:before="120" w:after="120"/>
        <w:rPr>
          <w:iCs/>
          <w:color w:val="4472C4"/>
          <w:szCs w:val="20"/>
          <w:lang w:val="en-GB"/>
        </w:rPr>
      </w:pPr>
      <w:r w:rsidRPr="004E03CC">
        <w:rPr>
          <w:iCs/>
          <w:color w:val="4472C4"/>
          <w:szCs w:val="20"/>
          <w:lang w:val="en-GB"/>
        </w:rPr>
        <w:t xml:space="preserve">For this activity, the FPIC (Free, Prior and Informed Consent) process </w:t>
      </w:r>
      <w:proofErr w:type="gramStart"/>
      <w:r w:rsidRPr="004E03CC">
        <w:rPr>
          <w:iCs/>
          <w:color w:val="4472C4"/>
          <w:szCs w:val="20"/>
          <w:lang w:val="en-GB"/>
        </w:rPr>
        <w:t>has to</w:t>
      </w:r>
      <w:proofErr w:type="gramEnd"/>
      <w:r w:rsidRPr="004E03CC">
        <w:rPr>
          <w:iCs/>
          <w:color w:val="4472C4"/>
          <w:szCs w:val="20"/>
          <w:lang w:val="en-GB"/>
        </w:rPr>
        <w:t xml:space="preserve"> be ensured</w:t>
      </w:r>
    </w:p>
    <w:p w14:paraId="40CAEF9D" w14:textId="517828F6" w:rsidR="00302BFE" w:rsidRPr="005F3825" w:rsidRDefault="00302BFE" w:rsidP="00302BFE">
      <w:pPr>
        <w:spacing w:before="120" w:after="120"/>
        <w:ind w:left="502"/>
        <w:rPr>
          <w:rFonts w:eastAsia="Cambria"/>
          <w:i/>
          <w:color w:val="4472C4"/>
          <w:szCs w:val="20"/>
          <w:lang w:val="en-GB"/>
        </w:rPr>
      </w:pPr>
      <w:r w:rsidRPr="005F3825">
        <w:rPr>
          <w:rFonts w:eastAsia="Cambria"/>
          <w:i/>
          <w:color w:val="4472C4"/>
          <w:szCs w:val="20"/>
          <w:lang w:val="en-GB"/>
        </w:rPr>
        <w:lastRenderedPageBreak/>
        <w:t xml:space="preserve">a. Development of a </w:t>
      </w:r>
      <w:r w:rsidR="00B1378C">
        <w:rPr>
          <w:rFonts w:eastAsia="Cambria"/>
          <w:i/>
          <w:color w:val="4472C4"/>
          <w:szCs w:val="20"/>
          <w:lang w:val="en-GB"/>
        </w:rPr>
        <w:t>monitoring</w:t>
      </w:r>
      <w:r w:rsidRPr="005F3825">
        <w:rPr>
          <w:rFonts w:eastAsia="Cambria"/>
          <w:i/>
          <w:color w:val="4472C4"/>
          <w:szCs w:val="20"/>
          <w:lang w:val="en-GB"/>
        </w:rPr>
        <w:t xml:space="preserve"> program to support the adaptive management of PAs including wildlife corridors and ZOVICs at site and complex levels</w:t>
      </w:r>
    </w:p>
    <w:p w14:paraId="445736A6" w14:textId="13F3C38C"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Cambria" w:hAnsi="Calibri"/>
          <w:sz w:val="20"/>
          <w:szCs w:val="20"/>
          <w:u w:val="single"/>
          <w:lang w:val="en-GB"/>
        </w:rPr>
        <w:t>Indicators</w:t>
      </w:r>
      <w:r w:rsidRPr="005F3825">
        <w:rPr>
          <w:rFonts w:ascii="Calibri" w:eastAsia="Cambria" w:hAnsi="Calibri"/>
          <w:sz w:val="20"/>
          <w:szCs w:val="20"/>
          <w:lang w:val="en-GB"/>
        </w:rPr>
        <w:t xml:space="preserve">. In addition to the indicators identified in the Strategic Results Framework for monitoring progress toward objectives and outcomes, the project will support the identification of indicators for the long-term monitoring of biodiversity and ecosystem services for each of the PAs and for the complex of </w:t>
      </w:r>
      <w:proofErr w:type="gramStart"/>
      <w:r w:rsidRPr="005F3825">
        <w:rPr>
          <w:rFonts w:ascii="Calibri" w:eastAsia="Cambria" w:hAnsi="Calibri"/>
          <w:sz w:val="20"/>
          <w:szCs w:val="20"/>
          <w:lang w:val="en-GB"/>
        </w:rPr>
        <w:t>PAs as a whole</w:t>
      </w:r>
      <w:proofErr w:type="gramEnd"/>
      <w:r w:rsidRPr="005F3825">
        <w:rPr>
          <w:rFonts w:ascii="Calibri" w:eastAsia="Cambria" w:hAnsi="Calibri"/>
          <w:sz w:val="20"/>
          <w:szCs w:val="20"/>
          <w:lang w:val="en-GB"/>
        </w:rPr>
        <w:t xml:space="preserve">. Biodiversity indicators will include landscape-level indicators of biodiversity, such as the elephant population, and indicators to reflect the specificity of each PA, according to their specific conservation objectives. </w:t>
      </w:r>
      <w:r w:rsidRPr="00D72908">
        <w:rPr>
          <w:rFonts w:ascii="Calibri" w:eastAsia="Cambria" w:hAnsi="Calibri"/>
          <w:sz w:val="20"/>
          <w:szCs w:val="20"/>
          <w:lang w:val="en-GB"/>
        </w:rPr>
        <w:t>The indicators will enable the monitoring of the targeted elements of biodiversity</w:t>
      </w:r>
      <w:r w:rsidR="00EE15F9" w:rsidRPr="00D72908">
        <w:rPr>
          <w:rFonts w:ascii="Calibri" w:eastAsia="Cambria" w:hAnsi="Calibri"/>
          <w:sz w:val="20"/>
          <w:szCs w:val="20"/>
          <w:lang w:val="en-GB"/>
        </w:rPr>
        <w:t xml:space="preserve"> (namely animal species targeted by hunting</w:t>
      </w:r>
      <w:r w:rsidR="00EE15F9">
        <w:rPr>
          <w:rFonts w:ascii="Calibri" w:eastAsia="Cambria" w:hAnsi="Calibri"/>
          <w:sz w:val="20"/>
          <w:szCs w:val="20"/>
          <w:lang w:val="en-GB"/>
        </w:rPr>
        <w:t>)</w:t>
      </w:r>
      <w:r w:rsidRPr="005F3825">
        <w:rPr>
          <w:rFonts w:ascii="Calibri" w:eastAsia="Cambria" w:hAnsi="Calibri"/>
          <w:sz w:val="20"/>
          <w:szCs w:val="20"/>
          <w:lang w:val="en-GB"/>
        </w:rPr>
        <w:t xml:space="preserve"> but also the monitoring of the main threats that affect them. The monitoring program will include socio-economic indicators to assess the impact of PAs on the quality of life of the riparian village communities. The scores for each PA, for which the baseline situation was established during project preparation, will be determined using the GEF tracking tool on PA management effectiveness.</w:t>
      </w:r>
    </w:p>
    <w:p w14:paraId="60D84543"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Cambria" w:hAnsi="Calibri"/>
          <w:sz w:val="20"/>
          <w:szCs w:val="20"/>
          <w:u w:val="single"/>
          <w:lang w:val="en-GB"/>
        </w:rPr>
        <w:t>Identification tools.</w:t>
      </w:r>
      <w:r w:rsidRPr="005F3825">
        <w:rPr>
          <w:rFonts w:ascii="Calibri" w:eastAsia="Cambria" w:hAnsi="Calibri"/>
          <w:sz w:val="20"/>
          <w:szCs w:val="20"/>
          <w:lang w:val="en-GB"/>
        </w:rPr>
        <w:t xml:space="preserve"> Numerous articles and monographs have been published on fauna and flora of Burkina Faso (photo albums for 32 species of fauna and 37 species of flora available on the website of the </w:t>
      </w:r>
      <w:proofErr w:type="spellStart"/>
      <w:r w:rsidRPr="005F3825">
        <w:rPr>
          <w:rFonts w:ascii="Calibri" w:eastAsia="Cambria" w:hAnsi="Calibri"/>
          <w:sz w:val="20"/>
          <w:szCs w:val="20"/>
          <w:lang w:val="en-GB"/>
        </w:rPr>
        <w:t>Center</w:t>
      </w:r>
      <w:proofErr w:type="spellEnd"/>
      <w:r w:rsidRPr="005F3825">
        <w:rPr>
          <w:rFonts w:ascii="Calibri" w:eastAsia="Cambria" w:hAnsi="Calibri"/>
          <w:sz w:val="20"/>
          <w:szCs w:val="20"/>
          <w:lang w:val="en-GB"/>
        </w:rPr>
        <w:t xml:space="preserve"> for Information Exchange on Biological Diversity of Burkina Faso, the </w:t>
      </w:r>
      <w:proofErr w:type="spellStart"/>
      <w:r w:rsidRPr="005F3825">
        <w:rPr>
          <w:rFonts w:ascii="Calibri" w:eastAsia="Cambria" w:hAnsi="Calibri"/>
          <w:sz w:val="20"/>
          <w:szCs w:val="20"/>
          <w:lang w:val="en-GB"/>
        </w:rPr>
        <w:t>catalog</w:t>
      </w:r>
      <w:proofErr w:type="spellEnd"/>
      <w:r w:rsidRPr="005F3825">
        <w:rPr>
          <w:rFonts w:ascii="Calibri" w:eastAsia="Cambria" w:hAnsi="Calibri"/>
          <w:sz w:val="20"/>
          <w:szCs w:val="20"/>
          <w:lang w:val="en-GB"/>
        </w:rPr>
        <w:t xml:space="preserve"> of vascular plants of Burkina Faso which totals 2,067 species, the guide of the birds of West Africa, and a guide of the shrub species of Burkina Faso to name but a few. Practical and concise illustrated guides in the form of booklets or identification sheets will be developed from the literature to facilitate the identification and monitoring of biodiversity in PAs, for all participants in the monitoring program, including visitors to PAs. These tools will be useful to support the training of the actors involved in the monitoring. Scientists who are partners of the project will be involved. These guides may also be sold to visitors in the reception kiosks of the PAs.</w:t>
      </w:r>
    </w:p>
    <w:p w14:paraId="63E5F5B4" w14:textId="4C93F01E"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99310D">
        <w:rPr>
          <w:rFonts w:ascii="Calibri" w:eastAsia="Cambria" w:hAnsi="Calibri"/>
          <w:sz w:val="20"/>
          <w:szCs w:val="20"/>
          <w:u w:val="single"/>
          <w:lang w:val="en-GB"/>
        </w:rPr>
        <w:t>Monitoring program and protocols.</w:t>
      </w:r>
      <w:r w:rsidRPr="0099310D">
        <w:rPr>
          <w:rFonts w:ascii="Calibri" w:eastAsia="Cambria" w:hAnsi="Calibri"/>
          <w:sz w:val="20"/>
          <w:szCs w:val="20"/>
          <w:lang w:val="en-GB"/>
        </w:rPr>
        <w:t xml:space="preserve"> Monitoring programs</w:t>
      </w:r>
      <w:r w:rsidR="0024363F" w:rsidRPr="0099310D">
        <w:rPr>
          <w:rFonts w:ascii="Calibri" w:eastAsia="Cambria" w:hAnsi="Calibri"/>
          <w:sz w:val="20"/>
          <w:szCs w:val="20"/>
          <w:lang w:val="en-GB"/>
        </w:rPr>
        <w:t xml:space="preserve"> only exist in the </w:t>
      </w:r>
      <w:proofErr w:type="spellStart"/>
      <w:r w:rsidR="0024363F" w:rsidRPr="0099310D">
        <w:rPr>
          <w:rFonts w:ascii="Calibri" w:eastAsia="Cambria" w:hAnsi="Calibri"/>
          <w:sz w:val="20"/>
          <w:szCs w:val="20"/>
          <w:lang w:val="en-GB"/>
        </w:rPr>
        <w:t>Nazinga</w:t>
      </w:r>
      <w:proofErr w:type="spellEnd"/>
      <w:r w:rsidR="0024363F" w:rsidRPr="0099310D">
        <w:rPr>
          <w:rFonts w:ascii="Calibri" w:eastAsia="Cambria" w:hAnsi="Calibri"/>
          <w:sz w:val="20"/>
          <w:szCs w:val="20"/>
          <w:lang w:val="en-GB"/>
        </w:rPr>
        <w:t xml:space="preserve"> GR and </w:t>
      </w:r>
      <w:r w:rsidRPr="0099310D">
        <w:rPr>
          <w:rFonts w:ascii="Calibri" w:eastAsia="Cambria" w:hAnsi="Calibri"/>
          <w:sz w:val="20"/>
          <w:szCs w:val="20"/>
          <w:lang w:val="en-GB"/>
        </w:rPr>
        <w:t xml:space="preserve">are limited to monitoring species of interest for hunting. </w:t>
      </w:r>
      <w:r w:rsidR="00AD6477" w:rsidRPr="0099310D">
        <w:rPr>
          <w:rFonts w:ascii="Calibri" w:eastAsia="Cambria" w:hAnsi="Calibri"/>
          <w:sz w:val="20"/>
          <w:szCs w:val="20"/>
          <w:lang w:val="en-GB"/>
        </w:rPr>
        <w:t xml:space="preserve">The project will strengthen the monitoring program in the NGR and </w:t>
      </w:r>
      <w:r w:rsidR="00D72908" w:rsidRPr="0099310D">
        <w:rPr>
          <w:rFonts w:ascii="Calibri" w:eastAsia="Cambria" w:hAnsi="Calibri"/>
          <w:sz w:val="20"/>
          <w:szCs w:val="20"/>
          <w:lang w:val="en-GB"/>
        </w:rPr>
        <w:t xml:space="preserve">adapt it for the </w:t>
      </w:r>
      <w:proofErr w:type="spellStart"/>
      <w:r w:rsidR="00D72908" w:rsidRPr="0099310D">
        <w:rPr>
          <w:rFonts w:ascii="Calibri" w:eastAsia="Cambria" w:hAnsi="Calibri"/>
          <w:sz w:val="20"/>
          <w:szCs w:val="20"/>
          <w:lang w:val="en-GB"/>
        </w:rPr>
        <w:t>Sissili</w:t>
      </w:r>
      <w:proofErr w:type="spellEnd"/>
      <w:r w:rsidR="00D72908" w:rsidRPr="0099310D">
        <w:rPr>
          <w:rFonts w:ascii="Calibri" w:eastAsia="Cambria" w:hAnsi="Calibri"/>
          <w:sz w:val="20"/>
          <w:szCs w:val="20"/>
          <w:lang w:val="en-GB"/>
        </w:rPr>
        <w:t xml:space="preserve"> CF, ZOVICs to </w:t>
      </w:r>
      <w:r w:rsidR="00AD6477" w:rsidRPr="0099310D">
        <w:rPr>
          <w:rFonts w:ascii="Calibri" w:eastAsia="Cambria" w:hAnsi="Calibri"/>
          <w:sz w:val="20"/>
          <w:szCs w:val="20"/>
          <w:lang w:val="en-GB"/>
        </w:rPr>
        <w:t xml:space="preserve">ensure </w:t>
      </w:r>
      <w:r w:rsidR="00D72908" w:rsidRPr="0099310D">
        <w:rPr>
          <w:rFonts w:ascii="Calibri" w:eastAsia="Cambria" w:hAnsi="Calibri"/>
          <w:sz w:val="20"/>
          <w:szCs w:val="20"/>
          <w:lang w:val="en-GB"/>
        </w:rPr>
        <w:t>collected information</w:t>
      </w:r>
      <w:r w:rsidR="00AD6477" w:rsidRPr="0099310D">
        <w:rPr>
          <w:rFonts w:ascii="Calibri" w:eastAsia="Cambria" w:hAnsi="Calibri"/>
          <w:sz w:val="20"/>
          <w:szCs w:val="20"/>
          <w:lang w:val="en-GB"/>
        </w:rPr>
        <w:t xml:space="preserve"> </w:t>
      </w:r>
      <w:r w:rsidR="00F9543A" w:rsidRPr="0099310D">
        <w:rPr>
          <w:rFonts w:ascii="Calibri" w:eastAsia="Cambria" w:hAnsi="Calibri"/>
          <w:sz w:val="20"/>
          <w:szCs w:val="20"/>
          <w:lang w:val="en-GB"/>
        </w:rPr>
        <w:t xml:space="preserve">quality, </w:t>
      </w:r>
      <w:r w:rsidR="00D72908" w:rsidRPr="0099310D">
        <w:rPr>
          <w:rFonts w:ascii="Calibri" w:eastAsia="Cambria" w:hAnsi="Calibri"/>
          <w:sz w:val="20"/>
          <w:szCs w:val="20"/>
          <w:lang w:val="en-GB"/>
        </w:rPr>
        <w:t>coverage</w:t>
      </w:r>
      <w:r w:rsidR="00F9543A" w:rsidRPr="0099310D">
        <w:rPr>
          <w:rFonts w:ascii="Calibri" w:eastAsia="Cambria" w:hAnsi="Calibri"/>
          <w:sz w:val="20"/>
          <w:szCs w:val="20"/>
          <w:lang w:val="en-GB"/>
        </w:rPr>
        <w:t xml:space="preserve"> and comprehensiveness are adequate to </w:t>
      </w:r>
      <w:r w:rsidR="00AD6477" w:rsidRPr="0099310D">
        <w:rPr>
          <w:rFonts w:ascii="Calibri" w:eastAsia="Cambria" w:hAnsi="Calibri"/>
          <w:sz w:val="20"/>
          <w:szCs w:val="20"/>
          <w:lang w:val="en-GB"/>
        </w:rPr>
        <w:t xml:space="preserve">enable a rigorous assessment of </w:t>
      </w:r>
      <w:r w:rsidR="00F9543A" w:rsidRPr="0099310D">
        <w:rPr>
          <w:rFonts w:ascii="Calibri" w:eastAsia="Cambria" w:hAnsi="Calibri"/>
          <w:sz w:val="20"/>
          <w:szCs w:val="20"/>
          <w:lang w:val="en-GB"/>
        </w:rPr>
        <w:t xml:space="preserve">wildlife </w:t>
      </w:r>
      <w:r w:rsidR="00AD6477" w:rsidRPr="0099310D">
        <w:rPr>
          <w:rFonts w:ascii="Calibri" w:eastAsia="Cambria" w:hAnsi="Calibri"/>
          <w:sz w:val="20"/>
          <w:szCs w:val="20"/>
          <w:lang w:val="en-GB"/>
        </w:rPr>
        <w:t xml:space="preserve">populations’ </w:t>
      </w:r>
      <w:r w:rsidR="00F9543A" w:rsidRPr="0099310D">
        <w:rPr>
          <w:rFonts w:ascii="Calibri" w:eastAsia="Cambria" w:hAnsi="Calibri"/>
          <w:sz w:val="20"/>
          <w:szCs w:val="20"/>
          <w:lang w:val="en-GB"/>
        </w:rPr>
        <w:t xml:space="preserve">status and of pressure </w:t>
      </w:r>
      <w:proofErr w:type="gramStart"/>
      <w:r w:rsidR="00F9543A" w:rsidRPr="0099310D">
        <w:rPr>
          <w:rFonts w:ascii="Calibri" w:eastAsia="Cambria" w:hAnsi="Calibri"/>
          <w:sz w:val="20"/>
          <w:szCs w:val="20"/>
          <w:lang w:val="en-GB"/>
        </w:rPr>
        <w:t>factors</w:t>
      </w:r>
      <w:r w:rsidR="00AD6477" w:rsidRPr="0099310D">
        <w:rPr>
          <w:rFonts w:ascii="Calibri" w:eastAsia="Cambria" w:hAnsi="Calibri"/>
          <w:sz w:val="20"/>
          <w:szCs w:val="20"/>
          <w:lang w:val="en-GB"/>
        </w:rPr>
        <w:t>, and</w:t>
      </w:r>
      <w:proofErr w:type="gramEnd"/>
      <w:r w:rsidR="00AD6477" w:rsidRPr="0099310D">
        <w:rPr>
          <w:rFonts w:ascii="Calibri" w:eastAsia="Cambria" w:hAnsi="Calibri"/>
          <w:sz w:val="20"/>
          <w:szCs w:val="20"/>
          <w:lang w:val="en-GB"/>
        </w:rPr>
        <w:t xml:space="preserve"> extend it to encompass ZOVICs and the </w:t>
      </w:r>
      <w:proofErr w:type="spellStart"/>
      <w:r w:rsidR="00AD6477" w:rsidRPr="0099310D">
        <w:rPr>
          <w:rFonts w:ascii="Calibri" w:eastAsia="Cambria" w:hAnsi="Calibri"/>
          <w:sz w:val="20"/>
          <w:szCs w:val="20"/>
          <w:lang w:val="en-GB"/>
        </w:rPr>
        <w:t>Sissili</w:t>
      </w:r>
      <w:proofErr w:type="spellEnd"/>
      <w:r w:rsidR="00AD6477" w:rsidRPr="0099310D">
        <w:rPr>
          <w:rFonts w:ascii="Calibri" w:eastAsia="Cambria" w:hAnsi="Calibri"/>
          <w:sz w:val="20"/>
          <w:szCs w:val="20"/>
          <w:lang w:val="en-GB"/>
        </w:rPr>
        <w:t xml:space="preserve"> CF where hunting activities </w:t>
      </w:r>
      <w:r w:rsidR="00F9543A" w:rsidRPr="0099310D">
        <w:rPr>
          <w:rFonts w:ascii="Calibri" w:eastAsia="Cambria" w:hAnsi="Calibri"/>
          <w:sz w:val="20"/>
          <w:szCs w:val="20"/>
          <w:lang w:val="en-GB"/>
        </w:rPr>
        <w:t>are allowed and the PNKT where it is forbidden</w:t>
      </w:r>
      <w:r w:rsidR="00AD6477" w:rsidRPr="0099310D">
        <w:rPr>
          <w:rFonts w:ascii="Calibri" w:eastAsia="Cambria" w:hAnsi="Calibri"/>
          <w:sz w:val="20"/>
          <w:szCs w:val="20"/>
          <w:lang w:val="en-GB"/>
        </w:rPr>
        <w:t xml:space="preserve">. </w:t>
      </w:r>
      <w:r w:rsidRPr="0099310D">
        <w:rPr>
          <w:rFonts w:ascii="Calibri" w:eastAsia="Cambria" w:hAnsi="Calibri"/>
          <w:sz w:val="20"/>
          <w:szCs w:val="20"/>
          <w:lang w:val="en-GB"/>
        </w:rPr>
        <w:t>The project will support the development of an integrated monitoring program for the PA complex including indicators, appropriate measurement methodologies for each indicator (what, how, where, how often, by whom, recording) and establishment of stations, transects and permanent roads for monitoring. This program will be developed by a national expert in ecological monitoring with the</w:t>
      </w:r>
      <w:r w:rsidRPr="005F3825">
        <w:rPr>
          <w:rFonts w:ascii="Calibri" w:eastAsia="Cambria" w:hAnsi="Calibri"/>
          <w:sz w:val="20"/>
          <w:szCs w:val="20"/>
          <w:lang w:val="en-GB"/>
        </w:rPr>
        <w:t xml:space="preserve"> support of the Conservators of the PAs, scientific experts within the </w:t>
      </w:r>
      <w:r w:rsidRPr="006B576A">
        <w:rPr>
          <w:rFonts w:ascii="Calibri" w:eastAsia="Cambria" w:hAnsi="Calibri"/>
          <w:sz w:val="20"/>
          <w:szCs w:val="20"/>
          <w:lang w:val="en-GB"/>
        </w:rPr>
        <w:t>MEGECC</w:t>
      </w:r>
      <w:r w:rsidRPr="005F3825">
        <w:rPr>
          <w:rFonts w:ascii="Calibri" w:eastAsia="Cambria" w:hAnsi="Calibri"/>
          <w:sz w:val="20"/>
          <w:szCs w:val="20"/>
          <w:lang w:val="en-GB"/>
        </w:rPr>
        <w:t xml:space="preserve">, the University of Ouagadougou and NGOs / national associations involved in the monitoring of biodiversity. A version specific to each PA will be adapted to the conservation priorities of the PA and the prevailing pressure factors. When data are not available or outdated, necessary surveys will be carried out to identify the baseline values of the indicators. </w:t>
      </w:r>
    </w:p>
    <w:p w14:paraId="080FD67B"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Cambria" w:hAnsi="Calibri"/>
          <w:sz w:val="20"/>
          <w:szCs w:val="20"/>
          <w:u w:val="single"/>
          <w:lang w:val="en-GB"/>
        </w:rPr>
        <w:t>Monitoring the impact of tourism.</w:t>
      </w:r>
      <w:r w:rsidRPr="005F3825">
        <w:rPr>
          <w:rFonts w:ascii="Calibri" w:eastAsia="Cambria" w:hAnsi="Calibri"/>
          <w:sz w:val="20"/>
          <w:szCs w:val="20"/>
          <w:lang w:val="en-GB"/>
        </w:rPr>
        <w:t xml:space="preserve"> Key sensitive / vulnerable resources will be identified for each PA (including local communities, cultural / religious / historical </w:t>
      </w:r>
      <w:proofErr w:type="gramStart"/>
      <w:r w:rsidRPr="005F3825">
        <w:rPr>
          <w:rFonts w:ascii="Calibri" w:eastAsia="Cambria" w:hAnsi="Calibri"/>
          <w:sz w:val="20"/>
          <w:szCs w:val="20"/>
          <w:lang w:val="en-GB"/>
        </w:rPr>
        <w:t>assets</w:t>
      </w:r>
      <w:proofErr w:type="gramEnd"/>
      <w:r w:rsidRPr="005F3825">
        <w:rPr>
          <w:rFonts w:ascii="Calibri" w:eastAsia="Cambria" w:hAnsi="Calibri"/>
          <w:sz w:val="20"/>
          <w:szCs w:val="20"/>
          <w:lang w:val="en-GB"/>
        </w:rPr>
        <w:t xml:space="preserve"> and biodiversity) and closely monitored in areas open to tourism, as part of the PA monitoring plan. The results will be disseminated to all entities involved in the management and supervision of the system and used to regulate access to specific PAs and sites within the PAs, to strengthen the application or to modify the regulations concerning the activities and the behaviour of tourists.</w:t>
      </w:r>
    </w:p>
    <w:p w14:paraId="62A3E939" w14:textId="77777777" w:rsidR="00302BFE" w:rsidRPr="005F3825" w:rsidRDefault="00302BFE" w:rsidP="00302BFE">
      <w:pPr>
        <w:spacing w:before="120" w:after="120"/>
        <w:rPr>
          <w:i/>
          <w:color w:val="4472C4"/>
          <w:szCs w:val="20"/>
          <w:lang w:val="en-GB"/>
        </w:rPr>
      </w:pPr>
      <w:r w:rsidRPr="005F3825">
        <w:rPr>
          <w:i/>
          <w:color w:val="4472C4"/>
          <w:szCs w:val="20"/>
          <w:lang w:val="en-GB"/>
        </w:rPr>
        <w:t>b. Implementation of the long-term ecological monitoring system</w:t>
      </w:r>
    </w:p>
    <w:p w14:paraId="453726EB"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eastAsia="Cambria" w:hAnsi="Calibri"/>
          <w:sz w:val="20"/>
          <w:szCs w:val="20"/>
          <w:lang w:val="en-GB"/>
        </w:rPr>
      </w:pPr>
      <w:r w:rsidRPr="005F3825">
        <w:rPr>
          <w:rFonts w:ascii="Calibri" w:eastAsia="Cambria" w:hAnsi="Calibri"/>
          <w:sz w:val="20"/>
          <w:szCs w:val="20"/>
          <w:u w:val="single"/>
          <w:lang w:val="en-GB"/>
        </w:rPr>
        <w:t>Collaboration and coordination agreements</w:t>
      </w:r>
      <w:r w:rsidRPr="005F3825">
        <w:rPr>
          <w:rFonts w:ascii="Calibri" w:eastAsia="Cambria" w:hAnsi="Calibri"/>
          <w:sz w:val="20"/>
          <w:szCs w:val="20"/>
          <w:lang w:val="en-GB"/>
        </w:rPr>
        <w:t xml:space="preserve">. PA Conservators will be responsible for establishing and coordinating effective and stable partnerships for monitoring and research by seeking mutually beneficial agreements with national education and research institutions, national and international environmental organizations, visiting researchers, and other voluntary partners (nature-loving tourists, ornithologists). These partnership agreements, like any research authorization within the territory of the PAs, must include specific clauses concerning the sharing of knowledge and data generated within this framework. Where possible, monitoring activities will be combined with regular surveillance routines carried out by PA eco-guards and rangers during which the presence of certain target species will be recorded (species, photograph, time, </w:t>
      </w:r>
      <w:proofErr w:type="gramStart"/>
      <w:r w:rsidRPr="005F3825">
        <w:rPr>
          <w:rFonts w:ascii="Calibri" w:eastAsia="Cambria" w:hAnsi="Calibri"/>
          <w:sz w:val="20"/>
          <w:szCs w:val="20"/>
          <w:lang w:val="en-GB"/>
        </w:rPr>
        <w:t>date</w:t>
      </w:r>
      <w:proofErr w:type="gramEnd"/>
      <w:r w:rsidRPr="005F3825">
        <w:rPr>
          <w:rFonts w:ascii="Calibri" w:eastAsia="Cambria" w:hAnsi="Calibri"/>
          <w:sz w:val="20"/>
          <w:szCs w:val="20"/>
          <w:lang w:val="en-GB"/>
        </w:rPr>
        <w:t xml:space="preserve"> and GPS coordinates). GEF will fund regular ecological monitoring of the sites, until the necessary funding is available, including by establishing partnerships to provide these services.</w:t>
      </w:r>
    </w:p>
    <w:p w14:paraId="6FDCDED5"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eastAsia="Cambria" w:hAnsi="Calibri"/>
          <w:sz w:val="20"/>
          <w:szCs w:val="20"/>
          <w:lang w:val="en-GB"/>
        </w:rPr>
      </w:pPr>
      <w:r w:rsidRPr="005F3825">
        <w:rPr>
          <w:rFonts w:ascii="Calibri" w:hAnsi="Calibri"/>
          <w:sz w:val="20"/>
          <w:szCs w:val="20"/>
          <w:u w:val="single"/>
          <w:lang w:val="en-GB"/>
        </w:rPr>
        <w:t>Training.</w:t>
      </w:r>
      <w:r w:rsidRPr="005F3825">
        <w:rPr>
          <w:rFonts w:ascii="Calibri" w:hAnsi="Calibri"/>
          <w:sz w:val="20"/>
          <w:szCs w:val="20"/>
          <w:lang w:val="en-GB"/>
        </w:rPr>
        <w:t xml:space="preserve"> Practical training on the implementation of simple monitoring protocols will be offered by experts from environmental NGOs in their own area of expertise, and by experts from the University of Ouagadougou, particularly for training to monitor populations of elephants. The expertise of international NGOs such as IUCN will also be sought to contribute to training in areas where national expertise is lacking.</w:t>
      </w:r>
    </w:p>
    <w:p w14:paraId="075D8CF0"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eastAsia="Cambria" w:hAnsi="Calibri"/>
          <w:sz w:val="20"/>
          <w:szCs w:val="20"/>
          <w:lang w:val="en-GB"/>
        </w:rPr>
      </w:pPr>
      <w:r w:rsidRPr="005F3825">
        <w:rPr>
          <w:rFonts w:ascii="Calibri" w:hAnsi="Calibri"/>
          <w:sz w:val="20"/>
          <w:szCs w:val="20"/>
          <w:u w:val="single"/>
          <w:lang w:val="en-GB"/>
        </w:rPr>
        <w:t>Permanent sampling stations</w:t>
      </w:r>
      <w:r w:rsidRPr="005F3825">
        <w:rPr>
          <w:rFonts w:ascii="Calibri" w:hAnsi="Calibri"/>
          <w:sz w:val="20"/>
          <w:szCs w:val="20"/>
          <w:lang w:val="en-GB"/>
        </w:rPr>
        <w:t>. The project will support the establishment of permanent stations, transects and scientific delineation using GPS coordinates to monitor plant and animal populations and allow for temporal comparisons.</w:t>
      </w:r>
    </w:p>
    <w:p w14:paraId="53BE9A38" w14:textId="1C0250CC" w:rsidR="001F23E3" w:rsidRPr="001F23E3" w:rsidRDefault="00302BFE" w:rsidP="00C46720">
      <w:pPr>
        <w:pStyle w:val="Paragraphedeliste"/>
        <w:numPr>
          <w:ilvl w:val="0"/>
          <w:numId w:val="14"/>
        </w:numPr>
        <w:tabs>
          <w:tab w:val="left" w:pos="284"/>
        </w:tabs>
        <w:spacing w:before="120" w:after="120"/>
        <w:ind w:left="0" w:firstLine="0"/>
        <w:jc w:val="both"/>
        <w:rPr>
          <w:rFonts w:ascii="Calibri" w:eastAsia="Cambria" w:hAnsi="Calibri"/>
          <w:sz w:val="20"/>
          <w:szCs w:val="20"/>
          <w:lang w:val="en-GB"/>
        </w:rPr>
      </w:pPr>
      <w:r w:rsidRPr="005F3825">
        <w:rPr>
          <w:rFonts w:ascii="Calibri" w:hAnsi="Calibri"/>
          <w:sz w:val="20"/>
          <w:szCs w:val="20"/>
          <w:u w:val="single"/>
          <w:lang w:val="en-GB"/>
        </w:rPr>
        <w:t>Storage of data</w:t>
      </w:r>
      <w:r w:rsidRPr="005F3825">
        <w:rPr>
          <w:rFonts w:ascii="Calibri" w:hAnsi="Calibri"/>
          <w:sz w:val="20"/>
          <w:szCs w:val="20"/>
          <w:lang w:val="en-GB"/>
        </w:rPr>
        <w:t>. The data will be recorded in the PA database set up under activity 2.1.2 by the PA management units and integrated into the PONASI landscape area database, to be retrieved periodically to compute statistics</w:t>
      </w:r>
      <w:proofErr w:type="gramStart"/>
      <w:r w:rsidRPr="005F3825">
        <w:rPr>
          <w:rFonts w:ascii="Calibri" w:hAnsi="Calibri"/>
          <w:sz w:val="20"/>
          <w:szCs w:val="20"/>
          <w:lang w:val="en-GB"/>
        </w:rPr>
        <w:t>. ,</w:t>
      </w:r>
      <w:proofErr w:type="gramEnd"/>
      <w:r w:rsidRPr="005F3825">
        <w:rPr>
          <w:rFonts w:ascii="Calibri" w:hAnsi="Calibri"/>
          <w:sz w:val="20"/>
          <w:szCs w:val="20"/>
          <w:lang w:val="en-GB"/>
        </w:rPr>
        <w:t xml:space="preserve"> produce graphs or maps for </w:t>
      </w:r>
      <w:r w:rsidRPr="005F3825">
        <w:rPr>
          <w:rFonts w:ascii="Calibri" w:hAnsi="Calibri"/>
          <w:sz w:val="20"/>
          <w:szCs w:val="20"/>
          <w:lang w:val="en-GB"/>
        </w:rPr>
        <w:lastRenderedPageBreak/>
        <w:t>the sites and the complex, to monitor the effectiveness of management measures to achieve conservation objectives and support adaptive management of PAs at site and landscape levels.</w:t>
      </w:r>
    </w:p>
    <w:p w14:paraId="04E71684" w14:textId="3CD666E1" w:rsidR="00302BFE" w:rsidRDefault="00302BFE" w:rsidP="00302BFE">
      <w:pPr>
        <w:spacing w:before="120" w:after="120"/>
        <w:rPr>
          <w:rFonts w:eastAsia="Cambria"/>
          <w:i/>
          <w:color w:val="4472C4"/>
          <w:szCs w:val="20"/>
          <w:lang w:val="en-GB"/>
        </w:rPr>
      </w:pPr>
      <w:r w:rsidRPr="005F3825">
        <w:rPr>
          <w:rFonts w:eastAsia="Cambria"/>
          <w:i/>
          <w:color w:val="4472C4"/>
          <w:szCs w:val="20"/>
          <w:lang w:val="en-GB"/>
        </w:rPr>
        <w:t xml:space="preserve">2.2.5 Surveillance and anti-poaching </w:t>
      </w:r>
      <w:r w:rsidR="00E82AB4">
        <w:rPr>
          <w:rFonts w:eastAsia="Cambria"/>
          <w:i/>
          <w:color w:val="4472C4"/>
          <w:szCs w:val="20"/>
          <w:lang w:val="en-GB"/>
        </w:rPr>
        <w:t xml:space="preserve">operations </w:t>
      </w:r>
      <w:r w:rsidRPr="005F3825">
        <w:rPr>
          <w:rFonts w:eastAsia="Cambria"/>
          <w:i/>
          <w:color w:val="4472C4"/>
          <w:szCs w:val="20"/>
          <w:lang w:val="en-GB"/>
        </w:rPr>
        <w:t>are planned and implemented at the PONASI landscape scale with the participation of local communities, and coordinated with Ghana's conservation efforts</w:t>
      </w:r>
    </w:p>
    <w:p w14:paraId="08359DDC" w14:textId="6B5CC909" w:rsidR="001F23E3" w:rsidRPr="00BE65D5" w:rsidRDefault="001F23E3" w:rsidP="00302BFE">
      <w:pPr>
        <w:spacing w:before="120" w:after="120"/>
        <w:rPr>
          <w:iCs/>
          <w:color w:val="4472C4"/>
          <w:szCs w:val="20"/>
          <w:lang w:val="en-GB"/>
        </w:rPr>
      </w:pPr>
      <w:r w:rsidRPr="004E03CC">
        <w:rPr>
          <w:iCs/>
          <w:color w:val="4472C4"/>
          <w:szCs w:val="20"/>
          <w:lang w:val="en-GB"/>
        </w:rPr>
        <w:t xml:space="preserve">For this activity, the FPIC (Free, Prior and Informed Consent) process </w:t>
      </w:r>
      <w:proofErr w:type="gramStart"/>
      <w:r w:rsidRPr="004E03CC">
        <w:rPr>
          <w:iCs/>
          <w:color w:val="4472C4"/>
          <w:szCs w:val="20"/>
          <w:lang w:val="en-GB"/>
        </w:rPr>
        <w:t>has to</w:t>
      </w:r>
      <w:proofErr w:type="gramEnd"/>
      <w:r w:rsidRPr="004E03CC">
        <w:rPr>
          <w:iCs/>
          <w:color w:val="4472C4"/>
          <w:szCs w:val="20"/>
          <w:lang w:val="en-GB"/>
        </w:rPr>
        <w:t xml:space="preserve"> be ensured</w:t>
      </w:r>
    </w:p>
    <w:p w14:paraId="305778D5" w14:textId="77777777" w:rsidR="00302BFE" w:rsidRPr="006F44E8"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6F44E8">
        <w:rPr>
          <w:rFonts w:ascii="Calibri" w:eastAsia="Cambria" w:hAnsi="Calibri"/>
          <w:sz w:val="20"/>
          <w:szCs w:val="20"/>
          <w:lang w:val="en-GB"/>
        </w:rPr>
        <w:t>Eco-guards</w:t>
      </w:r>
      <w:r w:rsidRPr="006F44E8">
        <w:rPr>
          <w:rFonts w:ascii="Calibri" w:eastAsia="Cambria" w:hAnsi="Calibri"/>
          <w:color w:val="FF0000"/>
          <w:sz w:val="20"/>
          <w:szCs w:val="20"/>
          <w:lang w:val="en-GB"/>
        </w:rPr>
        <w:t xml:space="preserve"> </w:t>
      </w:r>
      <w:r w:rsidRPr="006F44E8">
        <w:rPr>
          <w:rFonts w:ascii="Calibri" w:eastAsia="Cambria" w:hAnsi="Calibri"/>
          <w:sz w:val="20"/>
          <w:szCs w:val="20"/>
          <w:lang w:val="en-GB"/>
        </w:rPr>
        <w:t>and rangers in protected areas are failing to effectively combat poaching teams operating in the PONASI area. To increase the effectiveness of the fight against poaching, project interventions will include advocacy to increase the number of staff responsible for surveillance in PAs (under 2.1.1), capacity building through training and equipment (under 2.1.3), the mobilization of local populations in the fight against poaching through the establishment of an information and awareness network for local communities (under 2.2.5) and the implementation of the SMART tool for planning of surveillance and patrolling to combat poaching and other illegal activities (under 2.2.5).</w:t>
      </w:r>
    </w:p>
    <w:p w14:paraId="26C343AB"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Cambria" w:hAnsi="Calibri"/>
          <w:sz w:val="20"/>
          <w:szCs w:val="20"/>
          <w:u w:val="single"/>
          <w:lang w:val="en-GB"/>
        </w:rPr>
        <w:t>Community participation in the fight against poaching</w:t>
      </w:r>
      <w:r w:rsidRPr="005F3825">
        <w:rPr>
          <w:rFonts w:ascii="Calibri" w:eastAsia="Cambria" w:hAnsi="Calibri"/>
          <w:sz w:val="20"/>
          <w:szCs w:val="20"/>
          <w:lang w:val="en-GB"/>
        </w:rPr>
        <w:t xml:space="preserve">. </w:t>
      </w:r>
      <w:r w:rsidR="0051303A">
        <w:rPr>
          <w:rFonts w:ascii="Calibri" w:eastAsia="Cambria" w:hAnsi="Calibri"/>
          <w:sz w:val="20"/>
          <w:szCs w:val="20"/>
          <w:lang w:val="en-GB"/>
        </w:rPr>
        <w:t>A</w:t>
      </w:r>
      <w:r w:rsidRPr="005F3825">
        <w:rPr>
          <w:rFonts w:ascii="Calibri" w:hAnsi="Calibri"/>
          <w:sz w:val="20"/>
          <w:szCs w:val="20"/>
          <w:lang w:val="en-GB"/>
        </w:rPr>
        <w:t xml:space="preserve">t the level of protected areas, the participation of riparian communities in poaching is one of major challenges of the </w:t>
      </w:r>
      <w:r w:rsidRPr="005F3825">
        <w:rPr>
          <w:rFonts w:ascii="Calibri" w:eastAsia="Cambria" w:hAnsi="Calibri"/>
          <w:sz w:val="20"/>
          <w:szCs w:val="20"/>
          <w:lang w:val="en-GB"/>
        </w:rPr>
        <w:t>fight against poaching</w:t>
      </w:r>
      <w:r w:rsidRPr="005F3825">
        <w:rPr>
          <w:rFonts w:ascii="Calibri" w:hAnsi="Calibri"/>
          <w:sz w:val="20"/>
          <w:szCs w:val="20"/>
          <w:lang w:val="en-GB"/>
        </w:rPr>
        <w:t xml:space="preserve">. It is recognized and reported that poachers operate with the participation of accomplices in local communities, either as guides, porters, informants or other. The causes of such behaviour are related to poverty, lack of viable alternatives, lack of understanding of the importance and values of conservation and living fauna, and lack of good relations between members of local communities and protected area authorities. While patrolling and law enforcement operations remain critical to countering poachers' actions, they are reactive rather than proactive and only address symptoms rather than the reasons why these people are involved in poaching. The involvement of local communities in the </w:t>
      </w:r>
      <w:r w:rsidRPr="005F3825">
        <w:rPr>
          <w:rFonts w:ascii="Calibri" w:eastAsia="Cambria" w:hAnsi="Calibri"/>
          <w:sz w:val="20"/>
          <w:szCs w:val="20"/>
          <w:lang w:val="en-GB"/>
        </w:rPr>
        <w:t>fight against poaching</w:t>
      </w:r>
      <w:r w:rsidRPr="005F3825">
        <w:rPr>
          <w:rFonts w:ascii="Calibri" w:hAnsi="Calibri"/>
          <w:sz w:val="20"/>
          <w:szCs w:val="20"/>
          <w:lang w:val="en-GB"/>
        </w:rPr>
        <w:t xml:space="preserve"> as part of the </w:t>
      </w:r>
      <w:r w:rsidRPr="005F3825">
        <w:rPr>
          <w:rFonts w:ascii="Calibri" w:hAnsi="Calibri"/>
          <w:i/>
          <w:sz w:val="20"/>
          <w:szCs w:val="20"/>
          <w:lang w:val="en-GB"/>
        </w:rPr>
        <w:t>Ruvuma Elephant Project</w:t>
      </w:r>
      <w:r w:rsidRPr="005F3825">
        <w:rPr>
          <w:rFonts w:ascii="Calibri" w:hAnsi="Calibri"/>
          <w:sz w:val="20"/>
          <w:szCs w:val="20"/>
          <w:lang w:val="en-GB"/>
        </w:rPr>
        <w:t xml:space="preserve"> (REP) implemented in Tanzania by the PAMS Foundation has drastically reduced the poaching rate and stabilized populations of elephants and other species as revealed by patrol and aerial surveillance data. This success was significantly boosted by the strong community participation and tangible support it has received. Several community members voluntarily surrendered the illegal firearms they used for poaching and over 85% of all arrests and seizures of illegal weapons and ivory were made through collaboration and information received from members of local communities</w:t>
      </w:r>
      <w:r w:rsidRPr="005F3825">
        <w:rPr>
          <w:rStyle w:val="Appelnotedebasdep"/>
          <w:rFonts w:ascii="Calibri" w:hAnsi="Calibri"/>
          <w:sz w:val="20"/>
          <w:szCs w:val="20"/>
        </w:rPr>
        <w:footnoteReference w:id="58"/>
      </w:r>
      <w:r w:rsidRPr="005F3825">
        <w:rPr>
          <w:rFonts w:ascii="Calibri" w:hAnsi="Calibri"/>
          <w:sz w:val="20"/>
          <w:szCs w:val="20"/>
          <w:lang w:val="en-GB"/>
        </w:rPr>
        <w:t>.</w:t>
      </w:r>
    </w:p>
    <w:p w14:paraId="2C07CB1E"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Cambria" w:hAnsi="Calibri"/>
          <w:sz w:val="20"/>
          <w:szCs w:val="20"/>
          <w:lang w:val="en-GB"/>
        </w:rPr>
        <w:t xml:space="preserve">Drawing on the lessons learned from the REP project, the project will provide awareness activities and information to local communities, set up village teams - on a pilot basis - to participate in surveillance activities and the information network </w:t>
      </w:r>
      <w:proofErr w:type="gramStart"/>
      <w:r w:rsidRPr="005F3825">
        <w:rPr>
          <w:rFonts w:ascii="Calibri" w:eastAsia="Cambria" w:hAnsi="Calibri"/>
          <w:sz w:val="20"/>
          <w:szCs w:val="20"/>
          <w:lang w:val="en-GB"/>
        </w:rPr>
        <w:t>in order to</w:t>
      </w:r>
      <w:proofErr w:type="gramEnd"/>
      <w:r w:rsidRPr="005F3825">
        <w:rPr>
          <w:rFonts w:ascii="Calibri" w:eastAsia="Cambria" w:hAnsi="Calibri"/>
          <w:sz w:val="20"/>
          <w:szCs w:val="20"/>
          <w:lang w:val="en-GB"/>
        </w:rPr>
        <w:t xml:space="preserve"> support formal law enforcement interventions; and support the implementation of identified solutions through the application of the SAFE Systems (Output 2.4) approach to manage human-wildlife conflict. Awareness-raising and outreach to local communities will focus on (i) the harmful effects of poaching at the local level, for the country in terms of lost opportunities, and for biodiversity, and (ii) the risks faced by local offenders in terms of penalties for their offenses.</w:t>
      </w:r>
    </w:p>
    <w:p w14:paraId="42080920"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Cambria" w:hAnsi="Calibri"/>
          <w:sz w:val="20"/>
          <w:szCs w:val="20"/>
          <w:lang w:val="en-GB"/>
        </w:rPr>
        <w:t>According to the principle of collaborative management, surveillance is first and foremost a matter of self-regulation mechanisms within communities, in accordance with the rules set out in the management agreements that have been drawn up with their participation. In this regard, the main role of the PA eco-guards will be to inform and recall the zoning of PAs and corridors and the rules that apply to them to members of local communities and to give warnings to offenders.</w:t>
      </w:r>
    </w:p>
    <w:p w14:paraId="4952F88D" w14:textId="77777777" w:rsidR="00302BFE" w:rsidRPr="006F44E8"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6F44E8">
        <w:rPr>
          <w:rFonts w:ascii="Calibri" w:eastAsia="Cambria" w:hAnsi="Calibri"/>
          <w:sz w:val="20"/>
          <w:szCs w:val="20"/>
          <w:u w:val="single"/>
          <w:lang w:val="en-GB"/>
        </w:rPr>
        <w:t>Development of a surveillance plan for the PONASI landscape to combat poaching and other illegal activities</w:t>
      </w:r>
      <w:r w:rsidRPr="006F44E8">
        <w:rPr>
          <w:rFonts w:ascii="Calibri" w:eastAsia="Cambria" w:hAnsi="Calibri"/>
          <w:sz w:val="20"/>
          <w:szCs w:val="20"/>
          <w:lang w:val="en-GB"/>
        </w:rPr>
        <w:t xml:space="preserve">, including State PAs, corridors and ZOVICs, and coordinated with Ghana's interventions. The project will support the introduction of </w:t>
      </w:r>
      <w:r w:rsidRPr="006F44E8">
        <w:rPr>
          <w:rFonts w:ascii="Calibri" w:hAnsi="Calibri"/>
          <w:sz w:val="20"/>
          <w:szCs w:val="20"/>
          <w:lang w:val="en-CA"/>
        </w:rPr>
        <w:t xml:space="preserve">SMART (Spatial Monitoring and Reporting Tool) which is a suite of best practices aimed at helping PA managers better monitor, evaluate and adaptively manage patrolling activities. SMART includes an opensource software application designed to be used on the ground by site-based staff engaged in or responsible for wildlife enforcement patrols, to improve the ability of PA agencies to combat poaching and other illegal activities. Its adoption is also facilitated by a wide range of training materials and practical guidelines. Initial basic training will be provided in data entry, analysis and reporting to </w:t>
      </w:r>
      <w:proofErr w:type="spellStart"/>
      <w:proofErr w:type="gramStart"/>
      <w:r w:rsidRPr="006F44E8">
        <w:rPr>
          <w:rFonts w:ascii="Calibri" w:hAnsi="Calibri"/>
          <w:sz w:val="20"/>
          <w:szCs w:val="20"/>
          <w:lang w:val="en-CA"/>
        </w:rPr>
        <w:t>ecoguards</w:t>
      </w:r>
      <w:proofErr w:type="spellEnd"/>
      <w:proofErr w:type="gramEnd"/>
      <w:r w:rsidRPr="006F44E8">
        <w:rPr>
          <w:rFonts w:ascii="Calibri" w:hAnsi="Calibri"/>
          <w:sz w:val="20"/>
          <w:szCs w:val="20"/>
          <w:lang w:val="en-CA"/>
        </w:rPr>
        <w:t xml:space="preserve"> and forest rangers and further training will include site managers to allow them to take advantage of SMART specific features. The project will seek IUCN’s support to support the adoption of SMART, including required trainings (under output 2.1.3).</w:t>
      </w:r>
    </w:p>
    <w:p w14:paraId="0F161098" w14:textId="77777777" w:rsidR="00302BFE" w:rsidRPr="006F44E8"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6F44E8">
        <w:rPr>
          <w:rFonts w:ascii="Calibri" w:eastAsia="Cambria" w:hAnsi="Calibri"/>
          <w:sz w:val="20"/>
          <w:szCs w:val="20"/>
          <w:lang w:val="en-GB"/>
        </w:rPr>
        <w:t xml:space="preserve">The surveillance program will be adjusted as needed to focus on areas where more serious threats to biodiversity will be reported. Clear guidelines and procedures for enforcing regulations will be identified and communicated to all stakeholders involved in surveillance and enforcement of regulations for all PAs. These guidelines and procedures will include stringent rules </w:t>
      </w:r>
      <w:r w:rsidRPr="006F44E8">
        <w:rPr>
          <w:rFonts w:ascii="Calibri" w:hAnsi="Calibri"/>
          <w:sz w:val="20"/>
          <w:szCs w:val="20"/>
          <w:lang w:val="en-GB"/>
        </w:rPr>
        <w:t xml:space="preserve">on the violation of human rights </w:t>
      </w:r>
      <w:r w:rsidRPr="006F44E8">
        <w:rPr>
          <w:rFonts w:ascii="Calibri" w:eastAsia="Cambria" w:hAnsi="Calibri"/>
          <w:sz w:val="20"/>
          <w:szCs w:val="20"/>
          <w:lang w:val="en-GB"/>
        </w:rPr>
        <w:t xml:space="preserve">to prevent any community member, eco-guard or ranger directly or indirectly involved in surveillance activities under the project from being implicated </w:t>
      </w:r>
      <w:r w:rsidRPr="006F44E8">
        <w:rPr>
          <w:rFonts w:ascii="Calibri" w:hAnsi="Calibri"/>
          <w:sz w:val="20"/>
          <w:szCs w:val="20"/>
          <w:lang w:val="en-GB"/>
        </w:rPr>
        <w:t xml:space="preserve">in a case of violence against vulnerable local populations. </w:t>
      </w:r>
      <w:r w:rsidRPr="006F44E8">
        <w:rPr>
          <w:rFonts w:ascii="Calibri" w:eastAsia="Cambria" w:hAnsi="Calibri"/>
          <w:sz w:val="20"/>
          <w:szCs w:val="20"/>
          <w:lang w:val="en-GB"/>
        </w:rPr>
        <w:t xml:space="preserve">All cases of illegal actions and/or derogations from the rules of the PA will be communicated immediately - insofar as the safety of community members, eco-guards or rangers is not threatened - noted and recorded following the SMART procedures. Local community members will be invited to </w:t>
      </w:r>
      <w:r w:rsidRPr="006F44E8">
        <w:rPr>
          <w:rFonts w:ascii="Calibri" w:eastAsia="Cambria" w:hAnsi="Calibri"/>
          <w:sz w:val="20"/>
          <w:szCs w:val="20"/>
          <w:lang w:val="en-GB"/>
        </w:rPr>
        <w:lastRenderedPageBreak/>
        <w:t>participate in these tours on a voluntary basis. Unannounced joint outings will be organized with the gendarmerie and with the agents of the National Directorate of Civil Security.</w:t>
      </w:r>
    </w:p>
    <w:p w14:paraId="5C8742C0" w14:textId="1A7229DF" w:rsidR="00302BFE" w:rsidRDefault="00302BFE" w:rsidP="00302BFE">
      <w:pPr>
        <w:spacing w:before="240" w:after="120"/>
        <w:rPr>
          <w:b/>
          <w:szCs w:val="20"/>
          <w:lang w:val="en-GB"/>
        </w:rPr>
      </w:pPr>
      <w:r w:rsidRPr="005F3825">
        <w:rPr>
          <w:b/>
          <w:szCs w:val="20"/>
          <w:lang w:val="en-GB"/>
        </w:rPr>
        <w:t>Output 2.3 The management of natural resources in village hunting areas (ZOVIC), community protected areas, is enhanced through collaborative management interventions, including the development and implementation of simplified zoning plans, strengthening of hunting management and the implementation of human-wildlife conflict management measures</w:t>
      </w:r>
    </w:p>
    <w:p w14:paraId="7735B8D4" w14:textId="77777777" w:rsidR="004F4706" w:rsidRPr="004E03CC" w:rsidRDefault="004F4706" w:rsidP="004F4706">
      <w:pPr>
        <w:spacing w:before="120" w:after="0"/>
        <w:contextualSpacing/>
        <w:rPr>
          <w:bCs/>
          <w:szCs w:val="20"/>
          <w:lang w:val="en-GB"/>
        </w:rPr>
      </w:pPr>
      <w:r w:rsidRPr="004E03CC">
        <w:rPr>
          <w:bCs/>
          <w:szCs w:val="20"/>
          <w:lang w:val="en-GB"/>
        </w:rPr>
        <w:t xml:space="preserve">To assess and manage the impacts of this Output, as indicated in the SESP – in attachment to the </w:t>
      </w:r>
      <w:proofErr w:type="spellStart"/>
      <w:r w:rsidRPr="004E03CC">
        <w:rPr>
          <w:bCs/>
          <w:szCs w:val="20"/>
          <w:lang w:val="en-GB"/>
        </w:rPr>
        <w:t>ProDoc</w:t>
      </w:r>
      <w:proofErr w:type="spellEnd"/>
      <w:r w:rsidRPr="004E03CC">
        <w:rPr>
          <w:bCs/>
          <w:szCs w:val="20"/>
          <w:lang w:val="en-GB"/>
        </w:rPr>
        <w:t xml:space="preserve"> – the following assessment and management processes will be put in place, to comply with UNDP SES:</w:t>
      </w:r>
    </w:p>
    <w:p w14:paraId="63008F81" w14:textId="77777777" w:rsidR="004F4706" w:rsidRPr="004E03CC" w:rsidRDefault="004F4706" w:rsidP="004F4706">
      <w:pPr>
        <w:spacing w:before="120" w:after="0"/>
        <w:contextualSpacing/>
        <w:rPr>
          <w:bCs/>
          <w:szCs w:val="20"/>
          <w:u w:val="single"/>
          <w:lang w:val="en-GB"/>
        </w:rPr>
      </w:pPr>
      <w:r w:rsidRPr="004E03CC">
        <w:rPr>
          <w:bCs/>
          <w:szCs w:val="20"/>
          <w:u w:val="single"/>
          <w:lang w:val="en-GB"/>
        </w:rPr>
        <w:t>Assessments:</w:t>
      </w:r>
    </w:p>
    <w:p w14:paraId="278E36AF" w14:textId="77777777" w:rsidR="004F4706" w:rsidRPr="004E03CC" w:rsidRDefault="004F4706" w:rsidP="004F4706">
      <w:pPr>
        <w:spacing w:before="120" w:after="0"/>
        <w:contextualSpacing/>
        <w:rPr>
          <w:bCs/>
          <w:szCs w:val="20"/>
          <w:lang w:val="en-GB"/>
        </w:rPr>
      </w:pPr>
      <w:r w:rsidRPr="004E03CC">
        <w:rPr>
          <w:bCs/>
          <w:szCs w:val="20"/>
          <w:lang w:val="en-GB"/>
        </w:rPr>
        <w:t>SESA (Strategic Social and Environmental Assessment)</w:t>
      </w:r>
    </w:p>
    <w:p w14:paraId="15D4A3DB" w14:textId="77777777" w:rsidR="004F4706" w:rsidRPr="004E03CC" w:rsidRDefault="004F4706" w:rsidP="004F4706">
      <w:pPr>
        <w:spacing w:before="120" w:after="0"/>
        <w:contextualSpacing/>
        <w:rPr>
          <w:bCs/>
          <w:szCs w:val="20"/>
          <w:lang w:val="en-GB"/>
        </w:rPr>
      </w:pPr>
      <w:r w:rsidRPr="004E03CC">
        <w:t>ESIA (Environmental and Social Impact Assessment)</w:t>
      </w:r>
    </w:p>
    <w:p w14:paraId="199EB897" w14:textId="77777777" w:rsidR="004F4706" w:rsidRPr="004E03CC" w:rsidRDefault="004F4706" w:rsidP="004F4706">
      <w:pPr>
        <w:spacing w:before="120" w:after="0"/>
        <w:contextualSpacing/>
        <w:rPr>
          <w:u w:val="single"/>
        </w:rPr>
      </w:pPr>
      <w:r w:rsidRPr="004E03CC">
        <w:rPr>
          <w:u w:val="single"/>
        </w:rPr>
        <w:t>Management:</w:t>
      </w:r>
    </w:p>
    <w:p w14:paraId="791C3CE3" w14:textId="77777777" w:rsidR="004F4706" w:rsidRPr="004E03CC" w:rsidRDefault="004F4706" w:rsidP="004F4706">
      <w:pPr>
        <w:spacing w:before="120" w:after="120"/>
        <w:contextualSpacing/>
        <w:rPr>
          <w:rFonts w:asciiTheme="minorHAnsi" w:hAnsiTheme="minorHAnsi" w:cstheme="minorHAnsi"/>
          <w:szCs w:val="20"/>
        </w:rPr>
      </w:pPr>
      <w:r w:rsidRPr="004E03CC">
        <w:rPr>
          <w:rFonts w:asciiTheme="minorHAnsi" w:hAnsiTheme="minorHAnsi" w:cstheme="minorHAnsi"/>
          <w:szCs w:val="20"/>
        </w:rPr>
        <w:t>SESA report and recommendations (Actions Matrix)</w:t>
      </w:r>
    </w:p>
    <w:p w14:paraId="4B58CDF8" w14:textId="77777777" w:rsidR="004F4706" w:rsidRPr="004E03CC" w:rsidRDefault="004F4706" w:rsidP="004F4706">
      <w:pPr>
        <w:spacing w:before="120" w:after="120"/>
        <w:contextualSpacing/>
        <w:rPr>
          <w:rFonts w:asciiTheme="minorHAnsi" w:hAnsiTheme="minorHAnsi" w:cstheme="minorHAnsi"/>
          <w:szCs w:val="20"/>
        </w:rPr>
      </w:pPr>
      <w:r w:rsidRPr="004E03CC">
        <w:rPr>
          <w:rFonts w:asciiTheme="minorHAnsi" w:hAnsiTheme="minorHAnsi" w:cstheme="minorHAnsi"/>
          <w:szCs w:val="20"/>
        </w:rPr>
        <w:t>Comprehensive Stakeholder Engagement Plan</w:t>
      </w:r>
    </w:p>
    <w:p w14:paraId="28E28686" w14:textId="77777777" w:rsidR="004F4706" w:rsidRPr="004E03CC" w:rsidRDefault="004F4706" w:rsidP="004F4706">
      <w:pPr>
        <w:spacing w:before="120" w:after="120"/>
        <w:contextualSpacing/>
        <w:rPr>
          <w:rFonts w:asciiTheme="minorHAnsi" w:hAnsiTheme="minorHAnsi" w:cstheme="minorHAnsi"/>
          <w:szCs w:val="20"/>
        </w:rPr>
      </w:pPr>
      <w:r w:rsidRPr="004E03CC">
        <w:rPr>
          <w:rFonts w:asciiTheme="minorHAnsi" w:hAnsiTheme="minorHAnsi" w:cstheme="minorHAnsi"/>
          <w:szCs w:val="20"/>
        </w:rPr>
        <w:t>Indigenous People Plan</w:t>
      </w:r>
    </w:p>
    <w:p w14:paraId="154F9DF2" w14:textId="77777777" w:rsidR="004F4706" w:rsidRPr="004E03CC" w:rsidRDefault="004F4706" w:rsidP="004F4706">
      <w:pPr>
        <w:spacing w:before="120" w:after="120"/>
        <w:contextualSpacing/>
        <w:rPr>
          <w:rFonts w:asciiTheme="minorHAnsi" w:hAnsiTheme="minorHAnsi" w:cstheme="minorHAnsi"/>
          <w:szCs w:val="20"/>
        </w:rPr>
      </w:pPr>
      <w:r w:rsidRPr="004E03CC">
        <w:rPr>
          <w:rFonts w:asciiTheme="minorHAnsi" w:hAnsiTheme="minorHAnsi" w:cstheme="minorHAnsi"/>
          <w:szCs w:val="20"/>
        </w:rPr>
        <w:t xml:space="preserve">Gender Action Plan </w:t>
      </w:r>
    </w:p>
    <w:p w14:paraId="28BD0A02" w14:textId="67597E38" w:rsidR="004F4706" w:rsidRPr="00BE65D5" w:rsidRDefault="004F4706" w:rsidP="00BE65D5">
      <w:pPr>
        <w:spacing w:before="120"/>
        <w:contextualSpacing/>
        <w:rPr>
          <w:bCs/>
          <w:szCs w:val="20"/>
          <w:lang w:val="en-GB"/>
        </w:rPr>
      </w:pPr>
      <w:r w:rsidRPr="004E03CC">
        <w:rPr>
          <w:rFonts w:asciiTheme="minorHAnsi" w:hAnsiTheme="minorHAnsi" w:cstheme="minorHAnsi"/>
          <w:szCs w:val="20"/>
        </w:rPr>
        <w:t>ESMP</w:t>
      </w:r>
    </w:p>
    <w:p w14:paraId="4C18AE0B" w14:textId="77777777" w:rsidR="00302BFE" w:rsidRPr="005F3825" w:rsidRDefault="00302BFE" w:rsidP="00302BFE">
      <w:pPr>
        <w:pStyle w:val="Paragraphedeliste"/>
        <w:tabs>
          <w:tab w:val="left" w:pos="284"/>
        </w:tabs>
        <w:spacing w:before="120" w:after="120"/>
        <w:ind w:left="0"/>
        <w:jc w:val="both"/>
        <w:rPr>
          <w:rFonts w:ascii="Calibri" w:eastAsia="Cambria" w:hAnsi="Calibri"/>
          <w:sz w:val="20"/>
          <w:szCs w:val="20"/>
          <w:lang w:val="en-GB"/>
        </w:rPr>
      </w:pPr>
      <w:r w:rsidRPr="005F3825">
        <w:rPr>
          <w:rFonts w:ascii="Calibri" w:hAnsi="Calibri"/>
          <w:i/>
          <w:color w:val="4472C4"/>
          <w:sz w:val="20"/>
          <w:szCs w:val="20"/>
          <w:lang w:val="en-GB"/>
        </w:rPr>
        <w:t>2.3.1 Formalization of the legal status of certain ZOVICs and updating of the ZOVIC limits.</w:t>
      </w:r>
      <w:r w:rsidRPr="005F3825">
        <w:rPr>
          <w:rFonts w:ascii="Calibri" w:hAnsi="Calibri"/>
          <w:sz w:val="20"/>
          <w:szCs w:val="20"/>
          <w:lang w:val="en-GB"/>
        </w:rPr>
        <w:t xml:space="preserve"> </w:t>
      </w:r>
    </w:p>
    <w:p w14:paraId="69D9C438" w14:textId="562CC171" w:rsidR="00302BFE" w:rsidRPr="00843CA9"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843CA9">
        <w:rPr>
          <w:rFonts w:ascii="Calibri" w:hAnsi="Calibri"/>
          <w:sz w:val="20"/>
          <w:szCs w:val="20"/>
          <w:lang w:val="en-GB"/>
        </w:rPr>
        <w:t xml:space="preserve">The improvement of the ZOVIC management system will have to </w:t>
      </w:r>
      <w:proofErr w:type="gramStart"/>
      <w:r w:rsidRPr="00843CA9">
        <w:rPr>
          <w:rFonts w:ascii="Calibri" w:hAnsi="Calibri"/>
          <w:sz w:val="20"/>
          <w:szCs w:val="20"/>
          <w:lang w:val="en-GB"/>
        </w:rPr>
        <w:t>take into account</w:t>
      </w:r>
      <w:proofErr w:type="gramEnd"/>
      <w:r w:rsidRPr="00843CA9">
        <w:rPr>
          <w:rFonts w:ascii="Calibri" w:hAnsi="Calibri"/>
          <w:sz w:val="20"/>
          <w:szCs w:val="20"/>
          <w:lang w:val="en-GB"/>
        </w:rPr>
        <w:t xml:space="preserve"> the legal status of these areas, which are part of the forestry domain under local authorities. Communes </w:t>
      </w:r>
      <w:r w:rsidRPr="00843CA9">
        <w:rPr>
          <w:rFonts w:ascii="Calibri" w:eastAsia="Cambria" w:hAnsi="Calibri"/>
          <w:sz w:val="20"/>
          <w:szCs w:val="20"/>
          <w:lang w:val="en-GB"/>
        </w:rPr>
        <w:t>must ensure the</w:t>
      </w:r>
      <w:r w:rsidRPr="00843CA9">
        <w:rPr>
          <w:rFonts w:ascii="Calibri" w:hAnsi="Calibri"/>
          <w:sz w:val="20"/>
          <w:szCs w:val="20"/>
          <w:lang w:val="en-GB"/>
        </w:rPr>
        <w:t xml:space="preserve"> sustainability of these community conservation areas whose management </w:t>
      </w:r>
      <w:r w:rsidR="006C3502">
        <w:rPr>
          <w:rFonts w:ascii="Calibri" w:hAnsi="Calibri"/>
          <w:sz w:val="20"/>
          <w:szCs w:val="20"/>
          <w:lang w:val="en-GB"/>
        </w:rPr>
        <w:t>is</w:t>
      </w:r>
      <w:r w:rsidRPr="00843CA9">
        <w:rPr>
          <w:rFonts w:ascii="Calibri" w:hAnsi="Calibri"/>
          <w:sz w:val="20"/>
          <w:szCs w:val="20"/>
          <w:lang w:val="en-GB"/>
        </w:rPr>
        <w:t xml:space="preserve"> entrusted to local communities, according to </w:t>
      </w:r>
      <w:r w:rsidRPr="00843CA9">
        <w:rPr>
          <w:rFonts w:ascii="Calibri" w:eastAsia="Cambria" w:hAnsi="Calibri"/>
          <w:sz w:val="20"/>
          <w:szCs w:val="20"/>
          <w:lang w:val="en-GB"/>
        </w:rPr>
        <w:t>arrangement</w:t>
      </w:r>
      <w:r w:rsidR="006C3502">
        <w:rPr>
          <w:rFonts w:ascii="Calibri" w:eastAsia="Cambria" w:hAnsi="Calibri"/>
          <w:sz w:val="20"/>
          <w:szCs w:val="20"/>
          <w:lang w:val="en-GB"/>
        </w:rPr>
        <w:t>s</w:t>
      </w:r>
      <w:r w:rsidRPr="00843CA9">
        <w:rPr>
          <w:rFonts w:ascii="Calibri" w:eastAsia="Cambria" w:hAnsi="Calibri"/>
          <w:sz w:val="20"/>
          <w:szCs w:val="20"/>
          <w:lang w:val="en-GB"/>
        </w:rPr>
        <w:t xml:space="preserve"> </w:t>
      </w:r>
      <w:r w:rsidRPr="00843CA9">
        <w:rPr>
          <w:rFonts w:ascii="Calibri" w:hAnsi="Calibri"/>
          <w:sz w:val="20"/>
          <w:szCs w:val="20"/>
          <w:lang w:val="en-GB"/>
        </w:rPr>
        <w:t xml:space="preserve">that best ensure </w:t>
      </w:r>
      <w:r w:rsidR="006C3502">
        <w:rPr>
          <w:rFonts w:ascii="Calibri" w:eastAsia="Cambria" w:hAnsi="Calibri"/>
          <w:sz w:val="20"/>
          <w:szCs w:val="20"/>
          <w:lang w:val="en-GB"/>
        </w:rPr>
        <w:t xml:space="preserve">conservation and </w:t>
      </w:r>
      <w:r w:rsidRPr="00843CA9">
        <w:rPr>
          <w:rFonts w:ascii="Calibri" w:eastAsia="Cambria" w:hAnsi="Calibri"/>
          <w:sz w:val="20"/>
          <w:szCs w:val="20"/>
          <w:lang w:val="en-GB"/>
        </w:rPr>
        <w:t>sustainable management objectives and local populations</w:t>
      </w:r>
      <w:r w:rsidR="006C3502">
        <w:rPr>
          <w:rFonts w:ascii="Calibri" w:eastAsia="Cambria" w:hAnsi="Calibri"/>
          <w:sz w:val="20"/>
          <w:szCs w:val="20"/>
          <w:lang w:val="en-GB"/>
        </w:rPr>
        <w:t>’</w:t>
      </w:r>
      <w:r w:rsidR="006C3502" w:rsidRPr="006C3502">
        <w:rPr>
          <w:rFonts w:ascii="Calibri" w:eastAsia="Cambria" w:hAnsi="Calibri"/>
          <w:sz w:val="20"/>
          <w:szCs w:val="20"/>
          <w:lang w:val="en-GB"/>
        </w:rPr>
        <w:t xml:space="preserve"> </w:t>
      </w:r>
      <w:r w:rsidR="006C3502" w:rsidRPr="00843CA9">
        <w:rPr>
          <w:rFonts w:ascii="Calibri" w:eastAsia="Cambria" w:hAnsi="Calibri"/>
          <w:sz w:val="20"/>
          <w:szCs w:val="20"/>
          <w:lang w:val="en-GB"/>
        </w:rPr>
        <w:t>interests</w:t>
      </w:r>
      <w:r w:rsidRPr="00843CA9">
        <w:rPr>
          <w:rFonts w:ascii="Calibri" w:hAnsi="Calibri"/>
          <w:sz w:val="20"/>
          <w:szCs w:val="20"/>
          <w:lang w:val="en-GB"/>
        </w:rPr>
        <w:t xml:space="preserve">. Initially, the project will </w:t>
      </w:r>
      <w:r w:rsidR="006C3502">
        <w:rPr>
          <w:rFonts w:ascii="Calibri" w:hAnsi="Calibri"/>
          <w:sz w:val="20"/>
          <w:szCs w:val="20"/>
          <w:lang w:val="en-GB"/>
        </w:rPr>
        <w:t>request the assistance of</w:t>
      </w:r>
      <w:r w:rsidRPr="00843CA9">
        <w:rPr>
          <w:rFonts w:ascii="Calibri" w:hAnsi="Calibri"/>
          <w:sz w:val="20"/>
          <w:szCs w:val="20"/>
          <w:lang w:val="en-GB"/>
        </w:rPr>
        <w:t xml:space="preserve"> conservation NGOs to assist </w:t>
      </w:r>
      <w:r w:rsidR="006C3502">
        <w:rPr>
          <w:rFonts w:ascii="Calibri" w:hAnsi="Calibri"/>
          <w:sz w:val="20"/>
          <w:szCs w:val="20"/>
          <w:lang w:val="en-GB"/>
        </w:rPr>
        <w:t xml:space="preserve">local </w:t>
      </w:r>
      <w:r w:rsidRPr="00843CA9">
        <w:rPr>
          <w:rFonts w:ascii="Calibri" w:hAnsi="Calibri"/>
          <w:sz w:val="20"/>
          <w:szCs w:val="20"/>
          <w:lang w:val="en-GB"/>
        </w:rPr>
        <w:t xml:space="preserve">communities and Local Authorities to operationalize the governance pattern and to strengthen the capacities of these actors so they can ensure independently the role assigned to them. </w:t>
      </w:r>
    </w:p>
    <w:p w14:paraId="62498B95" w14:textId="480C534D" w:rsidR="00302BFE" w:rsidRPr="00974666"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974666">
        <w:rPr>
          <w:rFonts w:ascii="Calibri" w:hAnsi="Calibri"/>
          <w:sz w:val="20"/>
          <w:szCs w:val="20"/>
          <w:lang w:val="en-GB"/>
        </w:rPr>
        <w:t xml:space="preserve">ZOVIC boundaries are currently encroached upon by local communities and </w:t>
      </w:r>
      <w:proofErr w:type="spellStart"/>
      <w:r w:rsidRPr="00974666">
        <w:rPr>
          <w:rFonts w:ascii="Calibri" w:hAnsi="Calibri"/>
          <w:sz w:val="20"/>
          <w:szCs w:val="20"/>
          <w:lang w:val="en-GB"/>
        </w:rPr>
        <w:t>agri</w:t>
      </w:r>
      <w:proofErr w:type="spellEnd"/>
      <w:r w:rsidRPr="00974666">
        <w:rPr>
          <w:rFonts w:ascii="Calibri" w:hAnsi="Calibri"/>
          <w:sz w:val="20"/>
          <w:szCs w:val="20"/>
          <w:lang w:val="en-GB"/>
        </w:rPr>
        <w:t xml:space="preserve">-businessmen. </w:t>
      </w:r>
      <w:r w:rsidR="00212A4C" w:rsidRPr="00974666">
        <w:rPr>
          <w:rFonts w:ascii="Calibri" w:hAnsi="Calibri"/>
          <w:sz w:val="20"/>
          <w:szCs w:val="20"/>
          <w:lang w:val="en-GB"/>
        </w:rPr>
        <w:t xml:space="preserve">The project will support broad consultations conducted by the Local authorities in partnership with the village development committees and local village councillors to better understand the nature and governance of each ZOVIC, protect them against land disputes, illegal sale of land, pastoral and agricultural encroachment, and other pressure factors that affect the integrity of ZOVICs. </w:t>
      </w:r>
      <w:r w:rsidRPr="00974666">
        <w:rPr>
          <w:rFonts w:ascii="Calibri" w:hAnsi="Calibri"/>
          <w:sz w:val="20"/>
          <w:szCs w:val="20"/>
          <w:lang w:val="en-GB"/>
        </w:rPr>
        <w:t xml:space="preserve">Following these consultations, the </w:t>
      </w:r>
      <w:r w:rsidR="006C3502" w:rsidRPr="00974666">
        <w:rPr>
          <w:rFonts w:ascii="Calibri" w:hAnsi="Calibri"/>
          <w:sz w:val="20"/>
          <w:szCs w:val="20"/>
          <w:lang w:val="en-GB"/>
        </w:rPr>
        <w:t xml:space="preserve">delineation of the </w:t>
      </w:r>
      <w:r w:rsidRPr="00974666">
        <w:rPr>
          <w:rFonts w:ascii="Calibri" w:hAnsi="Calibri"/>
          <w:sz w:val="20"/>
          <w:szCs w:val="20"/>
          <w:lang w:val="en-GB"/>
        </w:rPr>
        <w:t>ZOVICs will be re</w:t>
      </w:r>
      <w:r w:rsidR="006C3502" w:rsidRPr="00974666">
        <w:rPr>
          <w:rFonts w:ascii="Calibri" w:hAnsi="Calibri"/>
          <w:sz w:val="20"/>
          <w:szCs w:val="20"/>
          <w:lang w:val="en-GB"/>
        </w:rPr>
        <w:t>vised</w:t>
      </w:r>
      <w:r w:rsidRPr="00974666">
        <w:rPr>
          <w:rFonts w:ascii="Calibri" w:hAnsi="Calibri"/>
          <w:sz w:val="20"/>
          <w:szCs w:val="20"/>
          <w:lang w:val="en-GB"/>
        </w:rPr>
        <w:t xml:space="preserve"> </w:t>
      </w:r>
      <w:r w:rsidR="003D18B6" w:rsidRPr="00974666">
        <w:rPr>
          <w:rFonts w:ascii="Calibri" w:hAnsi="Calibri"/>
          <w:sz w:val="20"/>
          <w:szCs w:val="20"/>
          <w:lang w:val="en-GB"/>
        </w:rPr>
        <w:t xml:space="preserve">and formalized </w:t>
      </w:r>
      <w:r w:rsidRPr="00974666">
        <w:rPr>
          <w:rFonts w:ascii="Calibri" w:hAnsi="Calibri"/>
          <w:sz w:val="20"/>
          <w:szCs w:val="20"/>
          <w:lang w:val="en-GB"/>
        </w:rPr>
        <w:t xml:space="preserve">if </w:t>
      </w:r>
      <w:r w:rsidR="006C3502" w:rsidRPr="00974666">
        <w:rPr>
          <w:rFonts w:ascii="Calibri" w:hAnsi="Calibri"/>
          <w:sz w:val="20"/>
          <w:szCs w:val="20"/>
          <w:lang w:val="en-GB"/>
        </w:rPr>
        <w:t>needed</w:t>
      </w:r>
      <w:r w:rsidRPr="00974666">
        <w:rPr>
          <w:rFonts w:ascii="Calibri" w:hAnsi="Calibri"/>
          <w:sz w:val="20"/>
          <w:szCs w:val="20"/>
          <w:lang w:val="en-GB"/>
        </w:rPr>
        <w:t xml:space="preserve"> and their </w:t>
      </w:r>
      <w:r w:rsidR="003D18B6" w:rsidRPr="00974666">
        <w:rPr>
          <w:rFonts w:ascii="Calibri" w:hAnsi="Calibri"/>
          <w:sz w:val="20"/>
          <w:szCs w:val="20"/>
          <w:lang w:val="en-GB"/>
        </w:rPr>
        <w:t>boundaries</w:t>
      </w:r>
      <w:r w:rsidRPr="00974666">
        <w:rPr>
          <w:rFonts w:ascii="Calibri" w:hAnsi="Calibri"/>
          <w:sz w:val="20"/>
          <w:szCs w:val="20"/>
          <w:lang w:val="en-GB"/>
        </w:rPr>
        <w:t xml:space="preserve"> materialized to make them more easily visible. The Water and Forests Administration will support the deliberations and </w:t>
      </w:r>
      <w:r w:rsidR="003740AA" w:rsidRPr="00974666">
        <w:rPr>
          <w:rFonts w:ascii="Calibri" w:hAnsi="Calibri"/>
          <w:sz w:val="20"/>
          <w:szCs w:val="20"/>
          <w:lang w:val="en-GB"/>
        </w:rPr>
        <w:t>identification</w:t>
      </w:r>
      <w:r w:rsidRPr="00974666">
        <w:rPr>
          <w:rFonts w:ascii="Calibri" w:hAnsi="Calibri"/>
          <w:sz w:val="20"/>
          <w:szCs w:val="20"/>
          <w:lang w:val="en-GB"/>
        </w:rPr>
        <w:t xml:space="preserve"> of geographical coordinates. The project will support the marking of perimeter tracks and </w:t>
      </w:r>
      <w:r w:rsidR="003740AA" w:rsidRPr="00974666">
        <w:rPr>
          <w:rFonts w:ascii="Calibri" w:hAnsi="Calibri"/>
          <w:sz w:val="20"/>
          <w:szCs w:val="20"/>
          <w:lang w:val="en-GB"/>
        </w:rPr>
        <w:t>of boundaries</w:t>
      </w:r>
      <w:r w:rsidRPr="00974666">
        <w:rPr>
          <w:rFonts w:ascii="Calibri" w:hAnsi="Calibri"/>
          <w:sz w:val="20"/>
          <w:szCs w:val="20"/>
          <w:lang w:val="en-GB"/>
        </w:rPr>
        <w:t xml:space="preserve">. The Concession holder and the </w:t>
      </w:r>
      <w:r w:rsidR="003740AA" w:rsidRPr="00974666">
        <w:rPr>
          <w:rFonts w:ascii="Calibri" w:hAnsi="Calibri"/>
          <w:sz w:val="20"/>
          <w:szCs w:val="20"/>
          <w:lang w:val="en-GB"/>
        </w:rPr>
        <w:t>Local Authorities</w:t>
      </w:r>
      <w:r w:rsidRPr="00974666">
        <w:rPr>
          <w:rFonts w:ascii="Calibri" w:hAnsi="Calibri"/>
          <w:sz w:val="20"/>
          <w:szCs w:val="20"/>
          <w:lang w:val="en-GB"/>
        </w:rPr>
        <w:t xml:space="preserve"> will contribut</w:t>
      </w:r>
      <w:r w:rsidR="003740AA" w:rsidRPr="00974666">
        <w:rPr>
          <w:rFonts w:ascii="Calibri" w:hAnsi="Calibri"/>
          <w:sz w:val="20"/>
          <w:szCs w:val="20"/>
          <w:lang w:val="en-GB"/>
        </w:rPr>
        <w:t>e to</w:t>
      </w:r>
      <w:r w:rsidRPr="00974666">
        <w:rPr>
          <w:rFonts w:ascii="Calibri" w:hAnsi="Calibri"/>
          <w:sz w:val="20"/>
          <w:szCs w:val="20"/>
          <w:lang w:val="en-GB"/>
        </w:rPr>
        <w:t xml:space="preserve"> the implementation of the</w:t>
      </w:r>
      <w:r w:rsidR="003740AA" w:rsidRPr="00974666">
        <w:rPr>
          <w:rFonts w:ascii="Calibri" w:hAnsi="Calibri"/>
          <w:sz w:val="20"/>
          <w:szCs w:val="20"/>
          <w:lang w:val="en-GB"/>
        </w:rPr>
        <w:t xml:space="preserve"> </w:t>
      </w:r>
      <w:r w:rsidRPr="00974666">
        <w:rPr>
          <w:rFonts w:ascii="Calibri" w:hAnsi="Calibri"/>
          <w:sz w:val="20"/>
          <w:szCs w:val="20"/>
          <w:lang w:val="en-GB"/>
        </w:rPr>
        <w:t xml:space="preserve">actions by </w:t>
      </w:r>
      <w:r w:rsidR="00974666" w:rsidRPr="00974666">
        <w:rPr>
          <w:rFonts w:ascii="Calibri" w:hAnsi="Calibri"/>
          <w:sz w:val="20"/>
          <w:szCs w:val="20"/>
          <w:lang w:val="en-GB"/>
        </w:rPr>
        <w:t>taking charge of the participants involved in the consultations and the workforce for the delimitation and marking of the perimeter tracks</w:t>
      </w:r>
      <w:r w:rsidRPr="00974666">
        <w:rPr>
          <w:rFonts w:ascii="Calibri" w:hAnsi="Calibri"/>
          <w:sz w:val="20"/>
          <w:szCs w:val="20"/>
          <w:lang w:val="en-GB"/>
        </w:rPr>
        <w:t>, in accordance with the specifications of the concessionaires.</w:t>
      </w:r>
    </w:p>
    <w:p w14:paraId="3A7CBAE8" w14:textId="59BA87C9" w:rsidR="00302BFE" w:rsidRDefault="00302BFE" w:rsidP="00302BFE">
      <w:pPr>
        <w:spacing w:before="120" w:after="120"/>
        <w:rPr>
          <w:i/>
          <w:color w:val="4472C4"/>
          <w:szCs w:val="20"/>
          <w:highlight w:val="yellow"/>
          <w:lang w:val="en-GB"/>
        </w:rPr>
      </w:pPr>
      <w:r w:rsidRPr="005F3825">
        <w:rPr>
          <w:i/>
          <w:color w:val="4472C4"/>
          <w:szCs w:val="20"/>
          <w:lang w:val="en-GB"/>
        </w:rPr>
        <w:t>2.3.2 Development of simplified zoning plans for ZOVICs using the territory planning tool and support for their implementation</w:t>
      </w:r>
      <w:r w:rsidRPr="005F3825">
        <w:rPr>
          <w:i/>
          <w:color w:val="4472C4"/>
          <w:szCs w:val="20"/>
          <w:highlight w:val="yellow"/>
          <w:lang w:val="en-GB"/>
        </w:rPr>
        <w:t xml:space="preserve"> </w:t>
      </w:r>
    </w:p>
    <w:p w14:paraId="63F81C95" w14:textId="42518087" w:rsidR="00470FFF" w:rsidRPr="00BE65D5" w:rsidRDefault="00470FFF" w:rsidP="00302BFE">
      <w:pPr>
        <w:spacing w:before="120" w:after="120"/>
        <w:rPr>
          <w:iCs/>
          <w:color w:val="4472C4"/>
          <w:szCs w:val="20"/>
          <w:lang w:val="en-GB"/>
        </w:rPr>
      </w:pPr>
      <w:r w:rsidRPr="004E03CC">
        <w:rPr>
          <w:iCs/>
          <w:color w:val="4472C4"/>
          <w:szCs w:val="20"/>
          <w:lang w:val="en-GB"/>
        </w:rPr>
        <w:t xml:space="preserve">For this activity, the FPIC (Free, Prior and Informed Consent) process </w:t>
      </w:r>
      <w:proofErr w:type="gramStart"/>
      <w:r w:rsidRPr="004E03CC">
        <w:rPr>
          <w:iCs/>
          <w:color w:val="4472C4"/>
          <w:szCs w:val="20"/>
          <w:lang w:val="en-GB"/>
        </w:rPr>
        <w:t>has to</w:t>
      </w:r>
      <w:proofErr w:type="gramEnd"/>
      <w:r w:rsidRPr="004E03CC">
        <w:rPr>
          <w:iCs/>
          <w:color w:val="4472C4"/>
          <w:szCs w:val="20"/>
          <w:lang w:val="en-GB"/>
        </w:rPr>
        <w:t xml:space="preserve"> be ensured</w:t>
      </w:r>
    </w:p>
    <w:p w14:paraId="44295F34" w14:textId="6337B8A5" w:rsidR="00A9086D" w:rsidRPr="00AF5290" w:rsidRDefault="00302A03" w:rsidP="00C46720">
      <w:pPr>
        <w:pStyle w:val="Paragraphedeliste"/>
        <w:numPr>
          <w:ilvl w:val="0"/>
          <w:numId w:val="14"/>
        </w:numPr>
        <w:tabs>
          <w:tab w:val="left" w:pos="284"/>
        </w:tabs>
        <w:spacing w:before="120" w:after="120"/>
        <w:ind w:left="0" w:firstLine="0"/>
        <w:jc w:val="both"/>
        <w:rPr>
          <w:rFonts w:asciiTheme="minorHAnsi" w:eastAsia="Cambria" w:hAnsiTheme="minorHAnsi"/>
          <w:sz w:val="20"/>
          <w:szCs w:val="20"/>
          <w:lang w:val="en-GB"/>
        </w:rPr>
      </w:pPr>
      <w:r w:rsidRPr="00D61C93">
        <w:rPr>
          <w:rFonts w:asciiTheme="minorHAnsi" w:hAnsiTheme="minorHAnsi"/>
          <w:sz w:val="20"/>
          <w:szCs w:val="20"/>
          <w:lang w:val="en-GB"/>
        </w:rPr>
        <w:t xml:space="preserve">Management planning for ZOVICs will be based on a prior assessment of the sustainability of management of these areas as performed by current concessionaires, including the assessment of hunting management carried out under the output 2.2.2 related to development and implementation of PA management plans, and more specifically the activities related to strengthening sustainable hunting management (described in paragraph 170). This assessment will examine the level of implementation of the previous development and management plans (DMPs) by the concessionaire </w:t>
      </w:r>
      <w:proofErr w:type="spellStart"/>
      <w:r w:rsidRPr="00D61C93">
        <w:rPr>
          <w:rFonts w:asciiTheme="minorHAnsi" w:hAnsiTheme="minorHAnsi"/>
          <w:sz w:val="20"/>
          <w:szCs w:val="20"/>
          <w:lang w:val="en-GB"/>
        </w:rPr>
        <w:t>Nahouri</w:t>
      </w:r>
      <w:proofErr w:type="spellEnd"/>
      <w:r w:rsidRPr="00D61C93">
        <w:rPr>
          <w:rFonts w:asciiTheme="minorHAnsi" w:hAnsiTheme="minorHAnsi"/>
          <w:sz w:val="20"/>
          <w:szCs w:val="20"/>
          <w:lang w:val="en-GB"/>
        </w:rPr>
        <w:t xml:space="preserve"> Safari for the ZOVICs in the </w:t>
      </w:r>
      <w:proofErr w:type="spellStart"/>
      <w:r w:rsidRPr="00D61C93">
        <w:rPr>
          <w:rFonts w:asciiTheme="minorHAnsi" w:hAnsiTheme="minorHAnsi"/>
          <w:sz w:val="20"/>
          <w:szCs w:val="20"/>
          <w:lang w:val="en-GB"/>
        </w:rPr>
        <w:t>Guiaro</w:t>
      </w:r>
      <w:proofErr w:type="spellEnd"/>
      <w:r w:rsidRPr="00D61C93">
        <w:rPr>
          <w:rFonts w:asciiTheme="minorHAnsi" w:hAnsiTheme="minorHAnsi"/>
          <w:sz w:val="20"/>
          <w:szCs w:val="20"/>
          <w:lang w:val="en-GB"/>
        </w:rPr>
        <w:t xml:space="preserve"> and Po communes, and the results in terms of habitat and biodiversity preservation, with special attention to the species of fauna and flora that are being exploited. For the ZOVICs in </w:t>
      </w:r>
      <w:proofErr w:type="spellStart"/>
      <w:r w:rsidRPr="00D61C93">
        <w:rPr>
          <w:rFonts w:asciiTheme="minorHAnsi" w:hAnsiTheme="minorHAnsi"/>
          <w:sz w:val="20"/>
          <w:szCs w:val="20"/>
          <w:lang w:val="en-GB"/>
        </w:rPr>
        <w:t>Guiaro</w:t>
      </w:r>
      <w:proofErr w:type="spellEnd"/>
      <w:r w:rsidRPr="00D61C93">
        <w:rPr>
          <w:rFonts w:asciiTheme="minorHAnsi" w:hAnsiTheme="minorHAnsi"/>
          <w:sz w:val="20"/>
          <w:szCs w:val="20"/>
          <w:lang w:val="en-GB"/>
        </w:rPr>
        <w:t xml:space="preserve"> commune </w:t>
      </w:r>
      <w:r w:rsidRPr="00AF5290">
        <w:rPr>
          <w:rFonts w:asciiTheme="minorHAnsi" w:hAnsiTheme="minorHAnsi"/>
          <w:sz w:val="20"/>
          <w:szCs w:val="20"/>
          <w:lang w:val="en-GB"/>
        </w:rPr>
        <w:t xml:space="preserve">that have not been </w:t>
      </w:r>
      <w:proofErr w:type="spellStart"/>
      <w:r w:rsidRPr="00AF5290">
        <w:rPr>
          <w:rFonts w:asciiTheme="minorHAnsi" w:hAnsiTheme="minorHAnsi"/>
          <w:sz w:val="20"/>
          <w:szCs w:val="20"/>
          <w:lang w:val="en-GB"/>
        </w:rPr>
        <w:t>concessioned</w:t>
      </w:r>
      <w:proofErr w:type="spellEnd"/>
      <w:r w:rsidRPr="00AF5290">
        <w:rPr>
          <w:rFonts w:asciiTheme="minorHAnsi" w:hAnsiTheme="minorHAnsi"/>
          <w:sz w:val="20"/>
          <w:szCs w:val="20"/>
          <w:lang w:val="en-GB"/>
        </w:rPr>
        <w:t xml:space="preserve">, the project will support the development of new </w:t>
      </w:r>
      <w:r w:rsidR="00E82483" w:rsidRPr="00AF5290">
        <w:rPr>
          <w:rFonts w:asciiTheme="minorHAnsi" w:hAnsiTheme="minorHAnsi"/>
          <w:sz w:val="20"/>
          <w:szCs w:val="20"/>
          <w:lang w:val="en-GB"/>
        </w:rPr>
        <w:t>P</w:t>
      </w:r>
      <w:r w:rsidR="00461D90" w:rsidRPr="00AF5290">
        <w:rPr>
          <w:rFonts w:asciiTheme="minorHAnsi" w:hAnsiTheme="minorHAnsi"/>
          <w:sz w:val="20"/>
          <w:szCs w:val="20"/>
          <w:lang w:val="en-GB"/>
        </w:rPr>
        <w:t>CD</w:t>
      </w:r>
      <w:r w:rsidRPr="00AF5290">
        <w:rPr>
          <w:rFonts w:asciiTheme="minorHAnsi" w:hAnsiTheme="minorHAnsi"/>
          <w:sz w:val="20"/>
          <w:szCs w:val="20"/>
          <w:lang w:val="en-GB"/>
        </w:rPr>
        <w:t xml:space="preserve">. The prior assessment of the implementation of existing </w:t>
      </w:r>
      <w:r w:rsidR="00461D90" w:rsidRPr="00AF5290">
        <w:rPr>
          <w:rFonts w:asciiTheme="minorHAnsi" w:hAnsiTheme="minorHAnsi"/>
          <w:sz w:val="20"/>
          <w:szCs w:val="20"/>
          <w:lang w:val="en-GB"/>
        </w:rPr>
        <w:t xml:space="preserve">PCD </w:t>
      </w:r>
      <w:r w:rsidRPr="00AF5290">
        <w:rPr>
          <w:rFonts w:asciiTheme="minorHAnsi" w:hAnsiTheme="minorHAnsi"/>
          <w:sz w:val="20"/>
          <w:szCs w:val="20"/>
          <w:lang w:val="en-GB"/>
        </w:rPr>
        <w:t>will also examine the relevance of refining the template to address the challenges that have been encountered so far.</w:t>
      </w:r>
      <w:r w:rsidRPr="00AF5290">
        <w:rPr>
          <w:szCs w:val="20"/>
          <w:lang w:val="en-GB"/>
        </w:rPr>
        <w:t xml:space="preserve"> </w:t>
      </w:r>
    </w:p>
    <w:p w14:paraId="2746A80F" w14:textId="247CF4EF" w:rsidR="00D71C6E" w:rsidRPr="0099310D" w:rsidRDefault="00B64961" w:rsidP="00C46720">
      <w:pPr>
        <w:pStyle w:val="Paragraphedeliste"/>
        <w:numPr>
          <w:ilvl w:val="0"/>
          <w:numId w:val="14"/>
        </w:numPr>
        <w:tabs>
          <w:tab w:val="left" w:pos="284"/>
        </w:tabs>
        <w:spacing w:before="120" w:after="120"/>
        <w:ind w:left="0" w:firstLine="0"/>
        <w:jc w:val="both"/>
        <w:rPr>
          <w:rFonts w:asciiTheme="minorHAnsi" w:eastAsia="Cambria" w:hAnsiTheme="minorHAnsi"/>
          <w:sz w:val="20"/>
          <w:szCs w:val="20"/>
          <w:lang w:val="en-GB"/>
        </w:rPr>
      </w:pPr>
      <w:r w:rsidRPr="0099310D">
        <w:rPr>
          <w:rFonts w:asciiTheme="minorHAnsi" w:hAnsiTheme="minorHAnsi"/>
          <w:sz w:val="20"/>
          <w:szCs w:val="20"/>
          <w:lang w:val="en-GB"/>
        </w:rPr>
        <w:t xml:space="preserve">As described under the section 2.2.2, the issue of the sustainability of hunting management in ZOVICs will be reviewed with the support of a wildlife expert and discussed </w:t>
      </w:r>
      <w:r w:rsidRPr="0099310D">
        <w:rPr>
          <w:rFonts w:asciiTheme="minorHAnsi" w:hAnsiTheme="minorHAnsi"/>
          <w:sz w:val="20"/>
          <w:szCs w:val="20"/>
          <w:lang w:val="en-CA"/>
        </w:rPr>
        <w:t xml:space="preserve">by actors within the Government, the private </w:t>
      </w:r>
      <w:proofErr w:type="gramStart"/>
      <w:r w:rsidRPr="0099310D">
        <w:rPr>
          <w:rFonts w:asciiTheme="minorHAnsi" w:hAnsiTheme="minorHAnsi"/>
          <w:sz w:val="20"/>
          <w:szCs w:val="20"/>
          <w:lang w:val="en-CA"/>
        </w:rPr>
        <w:t>sector</w:t>
      </w:r>
      <w:proofErr w:type="gramEnd"/>
      <w:r w:rsidRPr="0099310D">
        <w:rPr>
          <w:rFonts w:asciiTheme="minorHAnsi" w:hAnsiTheme="minorHAnsi"/>
          <w:sz w:val="20"/>
          <w:szCs w:val="20"/>
          <w:lang w:val="en-CA"/>
        </w:rPr>
        <w:t xml:space="preserve"> and local populations likely to be affected by decisions regarding hunting management in ZOVICs.</w:t>
      </w:r>
      <w:r w:rsidRPr="0099310D">
        <w:rPr>
          <w:rFonts w:asciiTheme="minorHAnsi" w:hAnsiTheme="minorHAnsi"/>
          <w:sz w:val="20"/>
          <w:szCs w:val="20"/>
          <w:lang w:val="en-GB"/>
        </w:rPr>
        <w:t xml:space="preserve"> The purpose is</w:t>
      </w:r>
      <w:r w:rsidRPr="0099310D">
        <w:rPr>
          <w:rFonts w:asciiTheme="minorHAnsi" w:hAnsiTheme="minorHAnsi"/>
          <w:sz w:val="20"/>
          <w:szCs w:val="20"/>
          <w:lang w:val="en-CA"/>
        </w:rPr>
        <w:t xml:space="preserve"> that</w:t>
      </w:r>
      <w:r w:rsidR="00527C15" w:rsidRPr="0099310D">
        <w:rPr>
          <w:rFonts w:asciiTheme="minorHAnsi" w:hAnsiTheme="minorHAnsi"/>
          <w:sz w:val="20"/>
          <w:szCs w:val="20"/>
          <w:lang w:val="en-CA"/>
        </w:rPr>
        <w:t>,</w:t>
      </w:r>
      <w:r w:rsidRPr="0099310D">
        <w:rPr>
          <w:rFonts w:asciiTheme="minorHAnsi" w:hAnsiTheme="minorHAnsi"/>
          <w:sz w:val="20"/>
          <w:szCs w:val="20"/>
          <w:lang w:val="en-GB"/>
        </w:rPr>
        <w:t xml:space="preserve"> </w:t>
      </w:r>
      <w:proofErr w:type="gramStart"/>
      <w:r w:rsidR="00D03BDF" w:rsidRPr="0099310D">
        <w:rPr>
          <w:rFonts w:asciiTheme="minorHAnsi" w:hAnsiTheme="minorHAnsi"/>
          <w:sz w:val="20"/>
          <w:szCs w:val="20"/>
          <w:lang w:val="en-CA"/>
        </w:rPr>
        <w:t>on the basis of</w:t>
      </w:r>
      <w:proofErr w:type="gramEnd"/>
      <w:r w:rsidR="00D03BDF" w:rsidRPr="0099310D">
        <w:rPr>
          <w:rFonts w:asciiTheme="minorHAnsi" w:hAnsiTheme="minorHAnsi"/>
          <w:sz w:val="20"/>
          <w:szCs w:val="20"/>
          <w:lang w:val="en-CA"/>
        </w:rPr>
        <w:t xml:space="preserve"> </w:t>
      </w:r>
      <w:r w:rsidRPr="0099310D">
        <w:rPr>
          <w:rFonts w:asciiTheme="minorHAnsi" w:hAnsiTheme="minorHAnsi"/>
          <w:sz w:val="20"/>
          <w:szCs w:val="20"/>
          <w:lang w:val="en-GB"/>
        </w:rPr>
        <w:t xml:space="preserve">a clear understanding of the recent population trends </w:t>
      </w:r>
      <w:r w:rsidR="00D03BDF" w:rsidRPr="0099310D">
        <w:rPr>
          <w:rFonts w:asciiTheme="minorHAnsi" w:hAnsiTheme="minorHAnsi"/>
          <w:sz w:val="20"/>
          <w:szCs w:val="20"/>
          <w:lang w:val="en-GB"/>
        </w:rPr>
        <w:t>of</w:t>
      </w:r>
      <w:r w:rsidRPr="0099310D">
        <w:rPr>
          <w:rFonts w:asciiTheme="minorHAnsi" w:hAnsiTheme="minorHAnsi"/>
          <w:sz w:val="20"/>
          <w:szCs w:val="20"/>
          <w:lang w:val="en-GB"/>
        </w:rPr>
        <w:t xml:space="preserve"> exploited specie</w:t>
      </w:r>
      <w:r w:rsidR="00527C15" w:rsidRPr="0099310D">
        <w:rPr>
          <w:rFonts w:asciiTheme="minorHAnsi" w:hAnsiTheme="minorHAnsi"/>
          <w:sz w:val="20"/>
          <w:szCs w:val="20"/>
          <w:lang w:val="en-GB"/>
        </w:rPr>
        <w:t>s</w:t>
      </w:r>
      <w:r w:rsidRPr="0099310D">
        <w:rPr>
          <w:rFonts w:asciiTheme="minorHAnsi" w:hAnsiTheme="minorHAnsi"/>
          <w:sz w:val="20"/>
          <w:szCs w:val="20"/>
          <w:lang w:val="en-GB"/>
        </w:rPr>
        <w:t xml:space="preserve"> and of the socioeconomic impacts for all stakeholders, </w:t>
      </w:r>
      <w:r w:rsidR="00D03BDF" w:rsidRPr="0099310D">
        <w:rPr>
          <w:rFonts w:asciiTheme="minorHAnsi" w:hAnsiTheme="minorHAnsi"/>
          <w:sz w:val="20"/>
          <w:szCs w:val="20"/>
          <w:lang w:val="en-CA"/>
        </w:rPr>
        <w:t xml:space="preserve">particularly </w:t>
      </w:r>
      <w:r w:rsidRPr="0099310D">
        <w:rPr>
          <w:rFonts w:asciiTheme="minorHAnsi" w:hAnsiTheme="minorHAnsi"/>
          <w:sz w:val="20"/>
          <w:szCs w:val="20"/>
          <w:lang w:val="en-GB"/>
        </w:rPr>
        <w:t>local communities</w:t>
      </w:r>
      <w:r w:rsidR="00527C15" w:rsidRPr="0099310D">
        <w:rPr>
          <w:rFonts w:asciiTheme="minorHAnsi" w:hAnsiTheme="minorHAnsi"/>
          <w:sz w:val="20"/>
          <w:szCs w:val="20"/>
          <w:lang w:val="en-GB"/>
        </w:rPr>
        <w:t>,</w:t>
      </w:r>
      <w:r w:rsidRPr="0099310D">
        <w:rPr>
          <w:rFonts w:asciiTheme="minorHAnsi" w:hAnsiTheme="minorHAnsi"/>
          <w:sz w:val="20"/>
          <w:szCs w:val="20"/>
          <w:lang w:val="en-GB"/>
        </w:rPr>
        <w:t xml:space="preserve"> </w:t>
      </w:r>
      <w:r w:rsidR="00527C15" w:rsidRPr="0099310D">
        <w:rPr>
          <w:rFonts w:asciiTheme="minorHAnsi" w:hAnsiTheme="minorHAnsi"/>
          <w:sz w:val="20"/>
          <w:szCs w:val="20"/>
          <w:lang w:val="en-GB"/>
        </w:rPr>
        <w:t xml:space="preserve">participants </w:t>
      </w:r>
      <w:r w:rsidR="00D03BDF" w:rsidRPr="0099310D">
        <w:rPr>
          <w:rFonts w:asciiTheme="minorHAnsi" w:hAnsiTheme="minorHAnsi"/>
          <w:sz w:val="20"/>
          <w:szCs w:val="20"/>
          <w:lang w:val="en-CA"/>
        </w:rPr>
        <w:t>can have a common</w:t>
      </w:r>
      <w:r w:rsidRPr="0099310D">
        <w:rPr>
          <w:rFonts w:asciiTheme="minorHAnsi" w:hAnsiTheme="minorHAnsi"/>
          <w:sz w:val="20"/>
          <w:szCs w:val="20"/>
          <w:lang w:val="en-CA"/>
        </w:rPr>
        <w:t xml:space="preserve"> vision of the </w:t>
      </w:r>
      <w:r w:rsidR="00527C15" w:rsidRPr="0099310D">
        <w:rPr>
          <w:rFonts w:asciiTheme="minorHAnsi" w:hAnsiTheme="minorHAnsi"/>
          <w:sz w:val="20"/>
          <w:szCs w:val="20"/>
          <w:lang w:val="en-CA"/>
        </w:rPr>
        <w:t>measures</w:t>
      </w:r>
      <w:r w:rsidRPr="0099310D">
        <w:rPr>
          <w:rFonts w:asciiTheme="minorHAnsi" w:hAnsiTheme="minorHAnsi"/>
          <w:sz w:val="20"/>
          <w:szCs w:val="20"/>
          <w:lang w:val="en-CA"/>
        </w:rPr>
        <w:t xml:space="preserve"> to </w:t>
      </w:r>
      <w:r w:rsidR="00D03BDF" w:rsidRPr="0099310D">
        <w:rPr>
          <w:rFonts w:asciiTheme="minorHAnsi" w:hAnsiTheme="minorHAnsi"/>
          <w:sz w:val="20"/>
          <w:szCs w:val="20"/>
          <w:lang w:val="en-CA"/>
        </w:rPr>
        <w:t xml:space="preserve">be </w:t>
      </w:r>
      <w:r w:rsidR="00527C15" w:rsidRPr="0099310D">
        <w:rPr>
          <w:rFonts w:asciiTheme="minorHAnsi" w:hAnsiTheme="minorHAnsi"/>
          <w:sz w:val="20"/>
          <w:szCs w:val="20"/>
          <w:lang w:val="en-CA"/>
        </w:rPr>
        <w:t>adopt</w:t>
      </w:r>
      <w:r w:rsidR="00D03BDF" w:rsidRPr="0099310D">
        <w:rPr>
          <w:rFonts w:asciiTheme="minorHAnsi" w:hAnsiTheme="minorHAnsi"/>
          <w:sz w:val="20"/>
          <w:szCs w:val="20"/>
          <w:lang w:val="en-CA"/>
        </w:rPr>
        <w:t>ed</w:t>
      </w:r>
      <w:r w:rsidRPr="0099310D">
        <w:rPr>
          <w:rFonts w:asciiTheme="minorHAnsi" w:hAnsiTheme="minorHAnsi"/>
          <w:sz w:val="20"/>
          <w:szCs w:val="20"/>
          <w:lang w:val="en-CA"/>
        </w:rPr>
        <w:t xml:space="preserve"> to alleviate pressures on game species, namely poaching and hunting, </w:t>
      </w:r>
      <w:r w:rsidR="00D03BDF" w:rsidRPr="0099310D">
        <w:rPr>
          <w:rFonts w:asciiTheme="minorHAnsi" w:hAnsiTheme="minorHAnsi"/>
          <w:sz w:val="20"/>
          <w:szCs w:val="20"/>
          <w:lang w:val="en-CA"/>
        </w:rPr>
        <w:t>and</w:t>
      </w:r>
      <w:r w:rsidRPr="0099310D">
        <w:rPr>
          <w:rFonts w:asciiTheme="minorHAnsi" w:hAnsiTheme="minorHAnsi"/>
          <w:sz w:val="20"/>
          <w:szCs w:val="20"/>
          <w:lang w:val="en-CA"/>
        </w:rPr>
        <w:t xml:space="preserve"> broad</w:t>
      </w:r>
      <w:r w:rsidR="00D03BDF" w:rsidRPr="0099310D">
        <w:rPr>
          <w:rFonts w:asciiTheme="minorHAnsi" w:hAnsiTheme="minorHAnsi"/>
          <w:sz w:val="20"/>
          <w:szCs w:val="20"/>
          <w:lang w:val="en-CA"/>
        </w:rPr>
        <w:t>ly</w:t>
      </w:r>
      <w:r w:rsidRPr="0099310D">
        <w:rPr>
          <w:rFonts w:asciiTheme="minorHAnsi" w:hAnsiTheme="minorHAnsi"/>
          <w:sz w:val="20"/>
          <w:szCs w:val="20"/>
          <w:lang w:val="en-CA"/>
        </w:rPr>
        <w:t xml:space="preserve"> support the suspension of hunting activities until the capacity of animal populations to withstand exploitation can be clearly demonstrated.</w:t>
      </w:r>
    </w:p>
    <w:p w14:paraId="68CD370F" w14:textId="7BCEBB0C" w:rsidR="00BD05D6" w:rsidRPr="0099310D" w:rsidRDefault="00BD05D6" w:rsidP="00C46720">
      <w:pPr>
        <w:pStyle w:val="Paragraphedeliste"/>
        <w:numPr>
          <w:ilvl w:val="0"/>
          <w:numId w:val="14"/>
        </w:numPr>
        <w:tabs>
          <w:tab w:val="left" w:pos="284"/>
        </w:tabs>
        <w:spacing w:before="120" w:after="120"/>
        <w:ind w:left="0" w:firstLine="0"/>
        <w:jc w:val="both"/>
        <w:rPr>
          <w:rFonts w:asciiTheme="minorHAnsi" w:eastAsia="Cambria" w:hAnsiTheme="minorHAnsi"/>
          <w:sz w:val="20"/>
          <w:szCs w:val="20"/>
          <w:lang w:val="en-GB"/>
        </w:rPr>
      </w:pPr>
      <w:r w:rsidRPr="0099310D">
        <w:rPr>
          <w:rFonts w:asciiTheme="minorHAnsi" w:hAnsiTheme="minorHAnsi"/>
          <w:sz w:val="20"/>
          <w:szCs w:val="20"/>
          <w:lang w:val="en-CA"/>
        </w:rPr>
        <w:t xml:space="preserve">An independent expert assessment will be undertaken in the third year of the project to assess the status of game populations and </w:t>
      </w:r>
      <w:r w:rsidRPr="0099310D">
        <w:rPr>
          <w:rFonts w:asciiTheme="minorHAnsi" w:eastAsia="Times New Roman" w:hAnsiTheme="minorHAnsi" w:cs="Arial"/>
          <w:color w:val="212529"/>
          <w:sz w:val="20"/>
          <w:szCs w:val="20"/>
          <w:lang w:val="en-CA" w:eastAsia="en-GB"/>
        </w:rPr>
        <w:t xml:space="preserve">provide a professional opinion on the viability of hunting activities and on the management capacities </w:t>
      </w:r>
      <w:r w:rsidRPr="0099310D">
        <w:rPr>
          <w:rFonts w:asciiTheme="minorHAnsi" w:hAnsiTheme="minorHAnsi"/>
          <w:sz w:val="20"/>
          <w:szCs w:val="20"/>
          <w:lang w:val="en-CA"/>
        </w:rPr>
        <w:t xml:space="preserve">of the concessionaires, the </w:t>
      </w:r>
      <w:r w:rsidRPr="0099310D">
        <w:rPr>
          <w:rFonts w:asciiTheme="minorHAnsi" w:hAnsiTheme="minorHAnsi"/>
          <w:sz w:val="20"/>
          <w:szCs w:val="20"/>
          <w:lang w:val="en-CA"/>
        </w:rPr>
        <w:lastRenderedPageBreak/>
        <w:t>village hunting management committees and actors responsible for supervising the management of ZOVICs within the Government</w:t>
      </w:r>
      <w:r w:rsidRPr="0099310D">
        <w:rPr>
          <w:rFonts w:asciiTheme="minorHAnsi" w:eastAsia="Times New Roman" w:hAnsiTheme="minorHAnsi" w:cs="Arial"/>
          <w:color w:val="212529"/>
          <w:sz w:val="20"/>
          <w:szCs w:val="20"/>
          <w:lang w:val="en-CA" w:eastAsia="en-GB"/>
        </w:rPr>
        <w:t xml:space="preserve">. </w:t>
      </w:r>
      <w:r w:rsidRPr="0099310D">
        <w:rPr>
          <w:rFonts w:asciiTheme="minorHAnsi" w:hAnsiTheme="minorHAnsi"/>
          <w:sz w:val="20"/>
          <w:szCs w:val="20"/>
          <w:lang w:val="en-CA"/>
        </w:rPr>
        <w:t xml:space="preserve">Conclusions will address the capacity of game species populations in the ZOVICs to withstand hunting pressure and determine whether subsistence and/or sport hunting activities could be resumed and, if so, where, at what levels, under what conditions and according to what benefit-sharing rules. Depending on the conclusions of the assessment, the project will focus on strengthening the management of ZOVICs excluding hunting or strengthen capacities to ensure the sustainable management of hunting and equitable sharing of its benefits. </w:t>
      </w:r>
      <w:r w:rsidRPr="0099310D">
        <w:rPr>
          <w:rFonts w:asciiTheme="minorHAnsi" w:eastAsia="Times New Roman" w:hAnsiTheme="minorHAnsi" w:cs="Arial"/>
          <w:color w:val="212529"/>
          <w:sz w:val="20"/>
          <w:szCs w:val="20"/>
          <w:lang w:val="en-CA" w:eastAsia="en-GB"/>
        </w:rPr>
        <w:t>Should the assessment conclude that efforts to improve the management effectiveness for the ZOVICs have not led to a significant improvement of the status of game populations and that hunting activities cannot be resumed, the project will focus resources on strengthening the management of ZOVICs, excluding hunting.</w:t>
      </w:r>
      <w:r w:rsidRPr="0099310D">
        <w:rPr>
          <w:rFonts w:asciiTheme="minorHAnsi" w:hAnsiTheme="minorHAnsi"/>
          <w:sz w:val="20"/>
          <w:szCs w:val="20"/>
          <w:lang w:val="en-CA"/>
        </w:rPr>
        <w:t xml:space="preserve"> Should the conclusions support the resumption of hunting activities </w:t>
      </w:r>
      <w:r w:rsidRPr="0099310D">
        <w:rPr>
          <w:rFonts w:asciiTheme="minorHAnsi" w:hAnsiTheme="minorHAnsi"/>
          <w:sz w:val="20"/>
          <w:szCs w:val="20"/>
          <w:lang w:val="en-GB"/>
        </w:rPr>
        <w:t>in the ZOVICs</w:t>
      </w:r>
      <w:r w:rsidRPr="0099310D">
        <w:rPr>
          <w:rFonts w:asciiTheme="minorHAnsi" w:hAnsiTheme="minorHAnsi"/>
          <w:sz w:val="20"/>
          <w:szCs w:val="20"/>
          <w:lang w:val="en-CA"/>
        </w:rPr>
        <w:t xml:space="preserve"> in a foreseeable future, </w:t>
      </w:r>
      <w:r w:rsidRPr="0099310D">
        <w:rPr>
          <w:rFonts w:asciiTheme="minorHAnsi" w:hAnsiTheme="minorHAnsi"/>
          <w:sz w:val="20"/>
          <w:szCs w:val="20"/>
          <w:lang w:val="en-GB"/>
        </w:rPr>
        <w:t>the project will implement the activities described hereafter to strengthen the management of game and/or subsistence hunting by the concerned stakeholders within the Government and local communities (</w:t>
      </w:r>
      <w:r w:rsidRPr="0099310D">
        <w:rPr>
          <w:rFonts w:asciiTheme="minorHAnsi" w:hAnsiTheme="minorHAnsi"/>
          <w:sz w:val="20"/>
          <w:szCs w:val="20"/>
          <w:lang w:val="en-CA"/>
        </w:rPr>
        <w:t>village committees for wildlife management</w:t>
      </w:r>
      <w:r w:rsidRPr="0099310D">
        <w:rPr>
          <w:rFonts w:asciiTheme="minorHAnsi" w:hAnsiTheme="minorHAnsi"/>
          <w:sz w:val="20"/>
          <w:szCs w:val="20"/>
          <w:lang w:val="en-GB"/>
        </w:rPr>
        <w:t>), as part of the management of the ZOVICs.</w:t>
      </w:r>
    </w:p>
    <w:p w14:paraId="519C6341" w14:textId="6BB381E2" w:rsidR="00302BFE" w:rsidRPr="005F3825" w:rsidRDefault="00302BFE" w:rsidP="00C46720">
      <w:pPr>
        <w:pStyle w:val="Paragraphedeliste"/>
        <w:numPr>
          <w:ilvl w:val="0"/>
          <w:numId w:val="14"/>
        </w:numPr>
        <w:tabs>
          <w:tab w:val="left" w:pos="284"/>
        </w:tabs>
        <w:spacing w:before="120" w:after="120"/>
        <w:ind w:left="0" w:firstLine="0"/>
        <w:jc w:val="both"/>
        <w:rPr>
          <w:rFonts w:ascii="Calibri" w:eastAsia="Cambria" w:hAnsi="Calibri"/>
          <w:sz w:val="20"/>
          <w:szCs w:val="20"/>
          <w:lang w:val="en-GB"/>
        </w:rPr>
      </w:pPr>
      <w:r w:rsidRPr="005F3825">
        <w:rPr>
          <w:rFonts w:ascii="Calibri" w:hAnsi="Calibri"/>
          <w:sz w:val="20"/>
          <w:szCs w:val="20"/>
          <w:lang w:val="en-GB"/>
        </w:rPr>
        <w:t xml:space="preserve">The </w:t>
      </w:r>
      <w:r w:rsidRPr="00AF5290">
        <w:rPr>
          <w:rFonts w:ascii="Calibri" w:hAnsi="Calibri"/>
          <w:sz w:val="20"/>
          <w:szCs w:val="20"/>
          <w:lang w:val="en-GB"/>
        </w:rPr>
        <w:t xml:space="preserve">new </w:t>
      </w:r>
      <w:r w:rsidR="00590A4E" w:rsidRPr="00AF5290">
        <w:rPr>
          <w:rFonts w:ascii="Calibri" w:hAnsi="Calibri"/>
          <w:sz w:val="20"/>
          <w:szCs w:val="20"/>
          <w:lang w:val="en-GB"/>
        </w:rPr>
        <w:t>development and management plans (PAG)</w:t>
      </w:r>
      <w:r w:rsidR="0028139B" w:rsidRPr="00AF5290">
        <w:rPr>
          <w:rFonts w:ascii="Calibri" w:hAnsi="Calibri"/>
          <w:sz w:val="20"/>
          <w:szCs w:val="20"/>
          <w:lang w:val="en-GB"/>
        </w:rPr>
        <w:t xml:space="preserve"> </w:t>
      </w:r>
      <w:r w:rsidRPr="00AF5290">
        <w:rPr>
          <w:rFonts w:ascii="Calibri" w:hAnsi="Calibri"/>
          <w:sz w:val="20"/>
          <w:szCs w:val="20"/>
          <w:lang w:val="en-GB"/>
        </w:rPr>
        <w:t>will</w:t>
      </w:r>
      <w:r w:rsidRPr="005F3825">
        <w:rPr>
          <w:rFonts w:ascii="Calibri" w:hAnsi="Calibri"/>
          <w:sz w:val="20"/>
          <w:szCs w:val="20"/>
          <w:lang w:val="en-GB"/>
        </w:rPr>
        <w:t xml:space="preserve"> be developed on a participatory basis and will incorporate clear conservation objectives, </w:t>
      </w:r>
      <w:r w:rsidR="00B1378C">
        <w:rPr>
          <w:rFonts w:ascii="Calibri" w:hAnsi="Calibri"/>
          <w:sz w:val="20"/>
          <w:szCs w:val="20"/>
          <w:lang w:val="en-GB"/>
        </w:rPr>
        <w:t>a monitoring</w:t>
      </w:r>
      <w:r w:rsidRPr="005F3825">
        <w:rPr>
          <w:rFonts w:ascii="Calibri" w:hAnsi="Calibri"/>
          <w:sz w:val="20"/>
          <w:szCs w:val="20"/>
          <w:lang w:val="en-GB"/>
        </w:rPr>
        <w:t xml:space="preserve"> </w:t>
      </w:r>
      <w:r w:rsidR="00B1378C">
        <w:rPr>
          <w:rFonts w:ascii="Calibri" w:hAnsi="Calibri"/>
          <w:sz w:val="20"/>
          <w:szCs w:val="20"/>
          <w:lang w:val="en-GB"/>
        </w:rPr>
        <w:t>system</w:t>
      </w:r>
      <w:r w:rsidRPr="005F3825">
        <w:rPr>
          <w:rFonts w:ascii="Calibri" w:hAnsi="Calibri"/>
          <w:sz w:val="20"/>
          <w:szCs w:val="20"/>
          <w:lang w:val="en-GB"/>
        </w:rPr>
        <w:t xml:space="preserve"> bas</w:t>
      </w:r>
      <w:r w:rsidR="00B1378C">
        <w:rPr>
          <w:rFonts w:ascii="Calibri" w:hAnsi="Calibri"/>
          <w:sz w:val="20"/>
          <w:szCs w:val="20"/>
          <w:lang w:val="en-GB"/>
        </w:rPr>
        <w:t>ed</w:t>
      </w:r>
      <w:r w:rsidRPr="005F3825">
        <w:rPr>
          <w:rFonts w:ascii="Calibri" w:hAnsi="Calibri"/>
          <w:sz w:val="20"/>
          <w:szCs w:val="20"/>
          <w:lang w:val="en-GB"/>
        </w:rPr>
        <w:t xml:space="preserve"> o</w:t>
      </w:r>
      <w:r w:rsidR="00B1378C">
        <w:rPr>
          <w:rFonts w:ascii="Calibri" w:hAnsi="Calibri"/>
          <w:sz w:val="20"/>
          <w:szCs w:val="20"/>
          <w:lang w:val="en-GB"/>
        </w:rPr>
        <w:t>n</w:t>
      </w:r>
      <w:r w:rsidRPr="005F3825">
        <w:rPr>
          <w:rFonts w:ascii="Calibri" w:hAnsi="Calibri"/>
          <w:sz w:val="20"/>
          <w:szCs w:val="20"/>
          <w:lang w:val="en-GB"/>
        </w:rPr>
        <w:t xml:space="preserve"> simple indicators to be measured with the participation of local communities, and a joint annual assessment process involving the participation of all stakeholders. Improving resource management within the ZOVICs, including hunting activities, will require collaborative management and planning plans to be developed as tools for the sustainable planning and management of the ZOVICs and their resources following the process described for output 2.2.2. Management plans will include i) an assessment of sustainable harvest thresholds for small game species that are exploited by small game and subsistence hunting (details under the section on </w:t>
      </w:r>
      <w:r w:rsidRPr="005F3825">
        <w:rPr>
          <w:rFonts w:ascii="Calibri" w:hAnsi="Calibri"/>
          <w:i/>
          <w:sz w:val="20"/>
          <w:szCs w:val="20"/>
          <w:lang w:val="en-GB"/>
        </w:rPr>
        <w:t>Strengthening Hunting Activity Management Measures</w:t>
      </w:r>
      <w:r w:rsidRPr="005F3825">
        <w:rPr>
          <w:rFonts w:ascii="Calibri" w:hAnsi="Calibri"/>
          <w:sz w:val="20"/>
          <w:szCs w:val="20"/>
          <w:lang w:val="en-GB"/>
        </w:rPr>
        <w:t xml:space="preserve"> in the framework of output 2.2.2), ii) a program of surveillance against illegal acts and overexploitation of natural resources, iii) ecological monitoring of key resources of ZOVICs, activities within ZOVICs including subsistence hunting and tourist hunting, and (iv) identification of essential management measures, such as water points, surveillance routes and perimeter tracks. It will be necessary to revise governance rules to secure the benefits of local communities. Local governance practices will be improved through training, awareness raising and renewal of ZOVIC management structures, village development committees and their commissions for wildlife management - or Village Wildlife Management Groups, as well as clarification of expected benefits and fair rules for sharing these benefits. DMPs should include an estimate of the costs and timing of the developments and the identification of funding sources including financial and labour contributions from local communities, the </w:t>
      </w:r>
      <w:proofErr w:type="gramStart"/>
      <w:r w:rsidRPr="005F3825">
        <w:rPr>
          <w:rFonts w:ascii="Calibri" w:hAnsi="Calibri"/>
          <w:sz w:val="20"/>
          <w:szCs w:val="20"/>
          <w:lang w:val="en-GB"/>
        </w:rPr>
        <w:t>concessionaire</w:t>
      </w:r>
      <w:proofErr w:type="gramEnd"/>
      <w:r w:rsidRPr="005F3825">
        <w:rPr>
          <w:rFonts w:ascii="Calibri" w:hAnsi="Calibri"/>
          <w:sz w:val="20"/>
          <w:szCs w:val="20"/>
          <w:lang w:val="en-GB"/>
        </w:rPr>
        <w:t xml:space="preserve"> and other potential partners. DMPs should be approved by </w:t>
      </w:r>
      <w:r w:rsidR="009363D6">
        <w:rPr>
          <w:rFonts w:ascii="Calibri" w:hAnsi="Calibri"/>
          <w:sz w:val="20"/>
          <w:szCs w:val="20"/>
          <w:lang w:val="en-GB"/>
        </w:rPr>
        <w:t>Communal</w:t>
      </w:r>
      <w:r w:rsidRPr="005F3825">
        <w:rPr>
          <w:rFonts w:ascii="Calibri" w:hAnsi="Calibri"/>
          <w:sz w:val="20"/>
          <w:szCs w:val="20"/>
          <w:lang w:val="en-GB"/>
        </w:rPr>
        <w:t xml:space="preserve"> Councils.</w:t>
      </w:r>
    </w:p>
    <w:p w14:paraId="7798A228" w14:textId="6F4C260C" w:rsidR="00302BFE" w:rsidRDefault="00302BFE" w:rsidP="00302BFE">
      <w:pPr>
        <w:pStyle w:val="Paragraphedeliste"/>
        <w:tabs>
          <w:tab w:val="left" w:pos="284"/>
        </w:tabs>
        <w:spacing w:before="240" w:after="120"/>
        <w:ind w:left="0"/>
        <w:jc w:val="both"/>
        <w:rPr>
          <w:rFonts w:ascii="Calibri" w:hAnsi="Calibri"/>
          <w:b/>
          <w:sz w:val="20"/>
          <w:szCs w:val="20"/>
          <w:lang w:val="en-GB"/>
        </w:rPr>
      </w:pPr>
      <w:r w:rsidRPr="005F3825">
        <w:rPr>
          <w:rFonts w:ascii="Calibri" w:hAnsi="Calibri"/>
          <w:b/>
          <w:sz w:val="20"/>
          <w:szCs w:val="20"/>
          <w:lang w:val="en-GB"/>
        </w:rPr>
        <w:t>Output 2.4 An effective PONASI landscape-wide elephant protection plan is developed and implemented. This plan incorporates the results of a scientific survey clarifying the essential elephant movement corridors within the PONASI complex and other neighbouring ecological complexes in the country and in Ghana.</w:t>
      </w:r>
    </w:p>
    <w:p w14:paraId="15FE7F82" w14:textId="77777777" w:rsidR="004F4706" w:rsidRPr="00AF5290" w:rsidRDefault="004F4706" w:rsidP="004F4706">
      <w:pPr>
        <w:spacing w:before="120" w:after="0"/>
        <w:contextualSpacing/>
        <w:rPr>
          <w:bCs/>
          <w:szCs w:val="20"/>
          <w:lang w:val="en-GB"/>
        </w:rPr>
      </w:pPr>
      <w:r w:rsidRPr="00AF5290">
        <w:rPr>
          <w:bCs/>
          <w:szCs w:val="20"/>
          <w:lang w:val="en-GB"/>
        </w:rPr>
        <w:t xml:space="preserve">To assess and manage the impacts of this Output, as indicated in the SESP – in attachment to the </w:t>
      </w:r>
      <w:proofErr w:type="spellStart"/>
      <w:r w:rsidRPr="00AF5290">
        <w:rPr>
          <w:bCs/>
          <w:szCs w:val="20"/>
          <w:lang w:val="en-GB"/>
        </w:rPr>
        <w:t>ProDoc</w:t>
      </w:r>
      <w:proofErr w:type="spellEnd"/>
      <w:r w:rsidRPr="00AF5290">
        <w:rPr>
          <w:bCs/>
          <w:szCs w:val="20"/>
          <w:lang w:val="en-GB"/>
        </w:rPr>
        <w:t xml:space="preserve"> – the following assessment and management processes will be put in place, to comply with UNDP SES:</w:t>
      </w:r>
    </w:p>
    <w:p w14:paraId="5F6E63E9" w14:textId="77777777" w:rsidR="004F4706" w:rsidRPr="00AF5290" w:rsidRDefault="004F4706" w:rsidP="004F4706">
      <w:pPr>
        <w:spacing w:before="120" w:after="0"/>
        <w:contextualSpacing/>
        <w:rPr>
          <w:bCs/>
          <w:szCs w:val="20"/>
          <w:u w:val="single"/>
          <w:lang w:val="en-GB"/>
        </w:rPr>
      </w:pPr>
      <w:r w:rsidRPr="00AF5290">
        <w:rPr>
          <w:bCs/>
          <w:szCs w:val="20"/>
          <w:u w:val="single"/>
          <w:lang w:val="en-GB"/>
        </w:rPr>
        <w:t>Assessments:</w:t>
      </w:r>
    </w:p>
    <w:p w14:paraId="5BE71AA2" w14:textId="77777777" w:rsidR="004F4706" w:rsidRPr="00AF5290" w:rsidRDefault="004F4706" w:rsidP="004F4706">
      <w:pPr>
        <w:spacing w:before="120" w:after="0"/>
        <w:contextualSpacing/>
        <w:rPr>
          <w:bCs/>
          <w:szCs w:val="20"/>
          <w:lang w:val="en-GB"/>
        </w:rPr>
      </w:pPr>
      <w:r w:rsidRPr="00AF5290">
        <w:t>ESIA (Environmental and Social Impact Assessment)</w:t>
      </w:r>
    </w:p>
    <w:p w14:paraId="4BF59563" w14:textId="77777777" w:rsidR="004F4706" w:rsidRPr="00AF5290" w:rsidRDefault="004F4706" w:rsidP="004F4706">
      <w:pPr>
        <w:spacing w:before="120" w:after="0"/>
        <w:contextualSpacing/>
        <w:rPr>
          <w:u w:val="single"/>
        </w:rPr>
      </w:pPr>
      <w:r w:rsidRPr="00AF5290">
        <w:rPr>
          <w:u w:val="single"/>
        </w:rPr>
        <w:t>Management:</w:t>
      </w:r>
    </w:p>
    <w:p w14:paraId="2FE74AE9" w14:textId="77777777" w:rsidR="004F4706" w:rsidRPr="00AF5290" w:rsidRDefault="004F4706" w:rsidP="004F4706">
      <w:pPr>
        <w:spacing w:before="120" w:after="120"/>
        <w:contextualSpacing/>
        <w:rPr>
          <w:rFonts w:asciiTheme="minorHAnsi" w:hAnsiTheme="minorHAnsi" w:cstheme="minorHAnsi"/>
          <w:szCs w:val="20"/>
        </w:rPr>
      </w:pPr>
      <w:r w:rsidRPr="00AF5290">
        <w:rPr>
          <w:rFonts w:asciiTheme="minorHAnsi" w:hAnsiTheme="minorHAnsi" w:cstheme="minorHAnsi"/>
          <w:szCs w:val="20"/>
        </w:rPr>
        <w:t>Comprehensive Stakeholder Engagement Plan</w:t>
      </w:r>
    </w:p>
    <w:p w14:paraId="5731A85B" w14:textId="77777777" w:rsidR="004F4706" w:rsidRPr="00AF5290" w:rsidRDefault="004F4706" w:rsidP="004F4706">
      <w:pPr>
        <w:spacing w:before="120" w:after="120"/>
        <w:contextualSpacing/>
        <w:rPr>
          <w:rFonts w:asciiTheme="minorHAnsi" w:hAnsiTheme="minorHAnsi" w:cstheme="minorHAnsi"/>
          <w:szCs w:val="20"/>
        </w:rPr>
      </w:pPr>
      <w:r w:rsidRPr="00AF5290">
        <w:rPr>
          <w:rFonts w:asciiTheme="minorHAnsi" w:hAnsiTheme="minorHAnsi" w:cstheme="minorHAnsi"/>
          <w:szCs w:val="20"/>
        </w:rPr>
        <w:t>Indigenous People Plan</w:t>
      </w:r>
    </w:p>
    <w:p w14:paraId="575C964A" w14:textId="50B626A2" w:rsidR="004F4706" w:rsidRPr="00BE65D5" w:rsidRDefault="004F4706" w:rsidP="00BE65D5">
      <w:pPr>
        <w:spacing w:before="120"/>
        <w:contextualSpacing/>
        <w:rPr>
          <w:bCs/>
          <w:szCs w:val="20"/>
          <w:lang w:val="en-GB"/>
        </w:rPr>
      </w:pPr>
      <w:r w:rsidRPr="00AF5290">
        <w:rPr>
          <w:rFonts w:asciiTheme="minorHAnsi" w:hAnsiTheme="minorHAnsi" w:cstheme="minorHAnsi"/>
          <w:szCs w:val="20"/>
        </w:rPr>
        <w:t>ESMP</w:t>
      </w:r>
    </w:p>
    <w:p w14:paraId="3591C7CD"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eastAsia="Cambria" w:hAnsi="Calibri"/>
          <w:sz w:val="20"/>
          <w:szCs w:val="20"/>
          <w:lang w:val="en-GB"/>
        </w:rPr>
      </w:pPr>
      <w:r w:rsidRPr="005F3825">
        <w:rPr>
          <w:rFonts w:ascii="Calibri" w:hAnsi="Calibri"/>
          <w:sz w:val="20"/>
          <w:szCs w:val="20"/>
          <w:lang w:val="en-GB"/>
        </w:rPr>
        <w:t xml:space="preserve">An effective elephant protection plan at the landscape level will be developed and implemented for the entire PONASI complex. It will include an overall strategy for human-wildlife conflict management using the </w:t>
      </w:r>
      <w:r w:rsidRPr="005F3825">
        <w:rPr>
          <w:rFonts w:ascii="Calibri" w:hAnsi="Calibri"/>
          <w:i/>
          <w:sz w:val="20"/>
          <w:szCs w:val="20"/>
          <w:lang w:val="en-GB"/>
        </w:rPr>
        <w:t>SAFE systems</w:t>
      </w:r>
      <w:r w:rsidRPr="005F3825">
        <w:rPr>
          <w:rFonts w:ascii="Calibri" w:hAnsi="Calibri"/>
          <w:sz w:val="20"/>
          <w:szCs w:val="20"/>
          <w:lang w:val="en-GB"/>
        </w:rPr>
        <w:t xml:space="preserve"> approach, with a set of management actions aimed at securing the targeted landscape. The Elephant Protection Plan will be framed by the CITES Resolutions in its African Elephant Action Plan and will include an international partnership with Ghana on elephant range management. Facilitated by the IUCN Elephant Specialist Group, this will strengthen and create the means (including financial) to implement the country's elephant protection plan, with a focus on sites within the PONASI complex.</w:t>
      </w:r>
    </w:p>
    <w:p w14:paraId="34AAD346" w14:textId="77777777" w:rsidR="00302BFE" w:rsidRPr="00793D18" w:rsidRDefault="00302BFE" w:rsidP="00C46720">
      <w:pPr>
        <w:pStyle w:val="Paragraphedeliste"/>
        <w:numPr>
          <w:ilvl w:val="0"/>
          <w:numId w:val="14"/>
        </w:numPr>
        <w:tabs>
          <w:tab w:val="left" w:pos="284"/>
        </w:tabs>
        <w:spacing w:before="120" w:after="120"/>
        <w:ind w:left="0" w:firstLine="0"/>
        <w:jc w:val="both"/>
        <w:rPr>
          <w:rFonts w:ascii="Calibri" w:eastAsia="Cambria" w:hAnsi="Calibri"/>
          <w:sz w:val="20"/>
          <w:szCs w:val="20"/>
          <w:lang w:val="en-GB"/>
        </w:rPr>
      </w:pPr>
      <w:r w:rsidRPr="00793D18">
        <w:rPr>
          <w:rFonts w:ascii="Calibri" w:hAnsi="Calibri"/>
          <w:sz w:val="20"/>
          <w:szCs w:val="20"/>
          <w:lang w:val="en-GB"/>
        </w:rPr>
        <w:t>As far as the conservation of fauna is concerned, the PONASI complex is particular by the fact that it contains the second largest known range of the African elephant in Burkina Faso after that of the W-</w:t>
      </w:r>
      <w:proofErr w:type="spellStart"/>
      <w:r w:rsidRPr="00793D18">
        <w:rPr>
          <w:rFonts w:ascii="Calibri" w:hAnsi="Calibri"/>
          <w:sz w:val="20"/>
          <w:szCs w:val="20"/>
          <w:lang w:val="en-GB"/>
        </w:rPr>
        <w:t>Arly</w:t>
      </w:r>
      <w:proofErr w:type="spellEnd"/>
      <w:r w:rsidRPr="00793D18">
        <w:rPr>
          <w:rFonts w:ascii="Calibri" w:hAnsi="Calibri"/>
          <w:sz w:val="20"/>
          <w:szCs w:val="20"/>
          <w:lang w:val="en-GB"/>
        </w:rPr>
        <w:t>-</w:t>
      </w:r>
      <w:proofErr w:type="spellStart"/>
      <w:r w:rsidRPr="00793D18">
        <w:rPr>
          <w:rFonts w:ascii="Calibri" w:hAnsi="Calibri"/>
          <w:sz w:val="20"/>
          <w:szCs w:val="20"/>
          <w:lang w:val="en-GB"/>
        </w:rPr>
        <w:t>Pendjari</w:t>
      </w:r>
      <w:proofErr w:type="spellEnd"/>
      <w:r w:rsidRPr="00793D18">
        <w:rPr>
          <w:rFonts w:ascii="Calibri" w:hAnsi="Calibri"/>
          <w:sz w:val="20"/>
          <w:szCs w:val="20"/>
          <w:lang w:val="en-GB"/>
        </w:rPr>
        <w:t xml:space="preserve"> complex. Until recently, movements of these populations were limited by settlements of migrant farmers established in their usual passage areas and elephant populations were forced to remain in a very small radius of action, becoming much more vulnerable to poachers. and the degradation of their ecosystems. The recent establishment of two corridors under the PAGEN project has contributed significantly to solving this problem and allowing elephant movements between the </w:t>
      </w:r>
      <w:proofErr w:type="spellStart"/>
      <w:r w:rsidRPr="00793D18">
        <w:rPr>
          <w:rFonts w:ascii="Calibri" w:hAnsi="Calibri"/>
          <w:sz w:val="20"/>
          <w:szCs w:val="20"/>
          <w:lang w:val="en-GB"/>
        </w:rPr>
        <w:t>Nazinga</w:t>
      </w:r>
      <w:proofErr w:type="spellEnd"/>
      <w:r w:rsidRPr="00793D18">
        <w:rPr>
          <w:rFonts w:ascii="Calibri" w:hAnsi="Calibri"/>
          <w:sz w:val="20"/>
          <w:szCs w:val="20"/>
          <w:lang w:val="en-GB"/>
        </w:rPr>
        <w:t xml:space="preserve"> Game Ranch and the </w:t>
      </w:r>
      <w:r w:rsidRPr="00793D18">
        <w:rPr>
          <w:rFonts w:ascii="Calibri" w:hAnsi="Calibri"/>
          <w:sz w:val="20"/>
          <w:szCs w:val="20"/>
          <w:lang w:val="en-CA"/>
        </w:rPr>
        <w:t>PNKT</w:t>
      </w:r>
      <w:r w:rsidRPr="00793D18">
        <w:rPr>
          <w:rFonts w:ascii="Calibri" w:hAnsi="Calibri"/>
          <w:sz w:val="20"/>
          <w:szCs w:val="20"/>
          <w:lang w:val="en-GB"/>
        </w:rPr>
        <w:t xml:space="preserve">. However, the status of the corridors has not yet been formalized and there is no management or zoning plan that prevents the application of any rules limiting access and use of resources and land and increasing the risk of conflicts between humans and elephants. Human-elephant conflicts have been reported throughout the range of elephants in the PONASI landscape (see </w:t>
      </w:r>
      <w:r w:rsidRPr="006F44E8">
        <w:rPr>
          <w:rFonts w:ascii="Calibri" w:hAnsi="Calibri"/>
          <w:sz w:val="20"/>
          <w:szCs w:val="20"/>
          <w:lang w:val="en-GB"/>
        </w:rPr>
        <w:t xml:space="preserve">Annex </w:t>
      </w:r>
      <w:r w:rsidR="009523FE" w:rsidRPr="006F44E8">
        <w:rPr>
          <w:rFonts w:ascii="Calibri" w:hAnsi="Calibri"/>
          <w:sz w:val="20"/>
          <w:szCs w:val="20"/>
          <w:lang w:val="en-GB"/>
        </w:rPr>
        <w:t>L</w:t>
      </w:r>
      <w:r w:rsidRPr="00793D18">
        <w:rPr>
          <w:rFonts w:ascii="Calibri" w:hAnsi="Calibri"/>
          <w:sz w:val="20"/>
          <w:szCs w:val="20"/>
          <w:lang w:val="en-GB"/>
        </w:rPr>
        <w:t xml:space="preserve"> for a more detailed account of human-wildlife conflicts in the PONASI landscape, including a list of sites where such conflicts have occurred recently).</w:t>
      </w:r>
    </w:p>
    <w:p w14:paraId="1877E911"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eastAsia="Cambria" w:hAnsi="Calibri"/>
          <w:sz w:val="20"/>
          <w:szCs w:val="20"/>
          <w:lang w:val="en-GB"/>
        </w:rPr>
      </w:pPr>
      <w:r w:rsidRPr="005F3825">
        <w:rPr>
          <w:rFonts w:ascii="Calibri" w:hAnsi="Calibri"/>
          <w:sz w:val="20"/>
          <w:szCs w:val="20"/>
          <w:lang w:val="en-GB"/>
        </w:rPr>
        <w:lastRenderedPageBreak/>
        <w:t xml:space="preserve">The PONASI Landscape Management Master Plan will therefore incorporate an elephant protection plan that will be developed in line with the </w:t>
      </w:r>
      <w:r w:rsidRPr="005F3825">
        <w:rPr>
          <w:rFonts w:ascii="Calibri" w:hAnsi="Calibri"/>
          <w:i/>
          <w:sz w:val="20"/>
          <w:szCs w:val="20"/>
          <w:lang w:val="en-GB"/>
        </w:rPr>
        <w:t>SAFE Systems</w:t>
      </w:r>
      <w:r w:rsidRPr="005F3825">
        <w:rPr>
          <w:rFonts w:ascii="Calibri" w:hAnsi="Calibri"/>
          <w:sz w:val="20"/>
          <w:szCs w:val="20"/>
          <w:lang w:val="en-GB"/>
        </w:rPr>
        <w:t xml:space="preserve"> approach to address human-elephant conflict among other environmental and socio-economic factors. WWF's </w:t>
      </w:r>
      <w:r w:rsidRPr="005F3825">
        <w:rPr>
          <w:rFonts w:ascii="Calibri" w:hAnsi="Calibri"/>
          <w:i/>
          <w:sz w:val="20"/>
          <w:szCs w:val="20"/>
          <w:lang w:val="en-GB"/>
        </w:rPr>
        <w:t>SAFE Systems</w:t>
      </w:r>
      <w:r w:rsidRPr="005F3825">
        <w:rPr>
          <w:rFonts w:ascii="Calibri" w:hAnsi="Calibri"/>
          <w:sz w:val="20"/>
          <w:szCs w:val="20"/>
          <w:lang w:val="en-GB"/>
        </w:rPr>
        <w:t xml:space="preserve"> approach aims to achieve systemic security by securing people and their property, wildlife, natural </w:t>
      </w:r>
      <w:proofErr w:type="gramStart"/>
      <w:r w:rsidRPr="005F3825">
        <w:rPr>
          <w:rFonts w:ascii="Calibri" w:hAnsi="Calibri"/>
          <w:sz w:val="20"/>
          <w:szCs w:val="20"/>
          <w:lang w:val="en-GB"/>
        </w:rPr>
        <w:t>habitats</w:t>
      </w:r>
      <w:proofErr w:type="gramEnd"/>
      <w:r w:rsidRPr="005F3825">
        <w:rPr>
          <w:rFonts w:ascii="Calibri" w:hAnsi="Calibri"/>
          <w:sz w:val="20"/>
          <w:szCs w:val="20"/>
          <w:lang w:val="en-GB"/>
        </w:rPr>
        <w:t xml:space="preserve"> and effective surveillance, rather than treating each element of conflict separately.</w:t>
      </w:r>
    </w:p>
    <w:p w14:paraId="4B34F356" w14:textId="4BBC91CF" w:rsidR="00302BFE"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5F3825">
        <w:rPr>
          <w:rFonts w:ascii="Calibri" w:hAnsi="Calibri"/>
          <w:i/>
          <w:color w:val="4472C4"/>
          <w:sz w:val="20"/>
          <w:szCs w:val="20"/>
          <w:lang w:val="en-GB"/>
        </w:rPr>
        <w:t>2.4.1 The resolution of human-elephant conflicts in the PONASI landscape using the SAFE Systems approach</w:t>
      </w:r>
    </w:p>
    <w:p w14:paraId="1C329914" w14:textId="6C39DBB3" w:rsidR="00470FFF" w:rsidRPr="00BE65D5" w:rsidRDefault="00470FFF" w:rsidP="00BE65D5">
      <w:pPr>
        <w:spacing w:before="120" w:after="120"/>
        <w:rPr>
          <w:iCs/>
          <w:color w:val="4472C4"/>
          <w:szCs w:val="20"/>
          <w:lang w:val="en-GB"/>
        </w:rPr>
      </w:pPr>
      <w:r w:rsidRPr="00AF5290">
        <w:rPr>
          <w:iCs/>
          <w:color w:val="4472C4"/>
          <w:szCs w:val="20"/>
          <w:lang w:val="en-GB"/>
        </w:rPr>
        <w:t xml:space="preserve">For this activity, the FPIC (Free, Prior and Informed Consent) process </w:t>
      </w:r>
      <w:proofErr w:type="gramStart"/>
      <w:r w:rsidRPr="00AF5290">
        <w:rPr>
          <w:iCs/>
          <w:color w:val="4472C4"/>
          <w:szCs w:val="20"/>
          <w:lang w:val="en-GB"/>
        </w:rPr>
        <w:t>has to</w:t>
      </w:r>
      <w:proofErr w:type="gramEnd"/>
      <w:r w:rsidRPr="00AF5290">
        <w:rPr>
          <w:iCs/>
          <w:color w:val="4472C4"/>
          <w:szCs w:val="20"/>
          <w:lang w:val="en-GB"/>
        </w:rPr>
        <w:t xml:space="preserve"> be ensured</w:t>
      </w:r>
    </w:p>
    <w:p w14:paraId="496812FE" w14:textId="77777777" w:rsidR="00302BFE" w:rsidRPr="006F44E8"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6F44E8">
        <w:rPr>
          <w:rFonts w:ascii="Calibri" w:hAnsi="Calibri"/>
          <w:sz w:val="20"/>
          <w:szCs w:val="20"/>
          <w:lang w:val="en-GB"/>
        </w:rPr>
        <w:t>IUCN-SSC HWC Task Force has been contacted and will be engaged during the inception phase and the project will facilitate engagement of the government and community implementers with the Task Force to learn from lessons around the world and tap global expertise and available tools and approaches.</w:t>
      </w:r>
    </w:p>
    <w:p w14:paraId="38AD7191"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eastAsia="Cambria" w:hAnsi="Calibri"/>
          <w:sz w:val="20"/>
          <w:szCs w:val="20"/>
          <w:lang w:val="en-GB"/>
        </w:rPr>
      </w:pPr>
      <w:r w:rsidRPr="005F3825">
        <w:rPr>
          <w:rFonts w:ascii="Calibri" w:hAnsi="Calibri"/>
          <w:sz w:val="20"/>
          <w:szCs w:val="20"/>
          <w:lang w:val="en-GB"/>
        </w:rPr>
        <w:t>As part of the preparatory process, an expert mission gathered information directly on management issues, current land-use practices, land tenure and proposed development plans, challenges of conflict between humans and wildlife, current interventions to mitigate them and explore the potential for collaboration in implementing the SAFE Systems approach in the future. Rapid assessment workshops were conducted in selected pilot villages where incidences of human-wildlife conflict were high, and discussions were guided by SAFE Systems tools. The participants in the workshop came from the local administration, the town hall, community representatives, ecological guards, forest rangers, agricultural extension agents and the gendarmerie. The findings made it clear that the PONASI landscape was dangerous for people and wildlife. It was therefore strongly recommended that a SAFE human-wildlife conflict strategy be developed for the landscape to meet these challenges. Participants also recommended extending participation in stakeholder workshops to other sectors such as the water sector and the Treasury.</w:t>
      </w:r>
    </w:p>
    <w:p w14:paraId="70EA929A"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eastAsia="Cambria" w:hAnsi="Calibri"/>
          <w:sz w:val="20"/>
          <w:szCs w:val="20"/>
          <w:lang w:val="en-GB"/>
        </w:rPr>
      </w:pPr>
      <w:r w:rsidRPr="005F3825">
        <w:rPr>
          <w:rFonts w:ascii="Calibri" w:hAnsi="Calibri"/>
          <w:sz w:val="20"/>
          <w:szCs w:val="20"/>
          <w:lang w:val="en-GB"/>
        </w:rPr>
        <w:t xml:space="preserve">The SAFE Systems approach is a systematic framework for determining the SAFE baseline on a site that has experienced human-wildlife conflict and for identifying human-wildlife conflict management gaps </w:t>
      </w:r>
      <w:proofErr w:type="gramStart"/>
      <w:r w:rsidRPr="005F3825">
        <w:rPr>
          <w:rFonts w:ascii="Calibri" w:hAnsi="Calibri"/>
          <w:sz w:val="20"/>
          <w:szCs w:val="20"/>
          <w:lang w:val="en-GB"/>
        </w:rPr>
        <w:t>in order to</w:t>
      </w:r>
      <w:proofErr w:type="gramEnd"/>
      <w:r w:rsidRPr="005F3825">
        <w:rPr>
          <w:rFonts w:ascii="Calibri" w:hAnsi="Calibri"/>
          <w:sz w:val="20"/>
          <w:szCs w:val="20"/>
          <w:lang w:val="en-GB"/>
        </w:rPr>
        <w:t xml:space="preserve"> address these issues.  The SAFE Systems approach represents a major shift from the current context of man-wildlife conflict management to a long-term results-based approach. The SAFE approach encompasses a structured process that provides a set of site-specific actions that combine six elements of conflict (policy and legislation, prevention, mitigation, response, conflict understanding, monitoring and evaluation) to achieve a single long-term objective for the area, which is to secure the area. The SAFE approach is </w:t>
      </w:r>
      <w:proofErr w:type="gramStart"/>
      <w:r w:rsidRPr="005F3825">
        <w:rPr>
          <w:rFonts w:ascii="Calibri" w:hAnsi="Calibri"/>
          <w:sz w:val="20"/>
          <w:szCs w:val="20"/>
          <w:lang w:val="en-GB"/>
        </w:rPr>
        <w:t>based on the fact that</w:t>
      </w:r>
      <w:proofErr w:type="gramEnd"/>
      <w:r w:rsidRPr="005F3825">
        <w:rPr>
          <w:rFonts w:ascii="Calibri" w:hAnsi="Calibri"/>
          <w:sz w:val="20"/>
          <w:szCs w:val="20"/>
          <w:lang w:val="en-GB"/>
        </w:rPr>
        <w:t xml:space="preserve"> we know from experience how to secure each part of the human-wildlife conflict system, namely people and their properties, wildlife and natural habitats. The main risk areas can be identified in each part and eliminated by integrated strategies. And if each element is made safer, the whole area becomes </w:t>
      </w:r>
      <w:proofErr w:type="gramStart"/>
      <w:r w:rsidRPr="005F3825">
        <w:rPr>
          <w:rFonts w:ascii="Calibri" w:hAnsi="Calibri"/>
          <w:sz w:val="20"/>
          <w:szCs w:val="20"/>
          <w:lang w:val="en-GB"/>
        </w:rPr>
        <w:t>safer</w:t>
      </w:r>
      <w:proofErr w:type="gramEnd"/>
      <w:r w:rsidRPr="005F3825">
        <w:rPr>
          <w:rFonts w:ascii="Calibri" w:hAnsi="Calibri"/>
          <w:sz w:val="20"/>
          <w:szCs w:val="20"/>
          <w:lang w:val="en-GB"/>
        </w:rPr>
        <w:t xml:space="preserve"> and the risk of human-wildlife conflict can be minimized in the long run.</w:t>
      </w:r>
    </w:p>
    <w:p w14:paraId="7207105C"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eastAsia="Cambria" w:hAnsi="Calibri"/>
          <w:sz w:val="20"/>
          <w:szCs w:val="20"/>
          <w:lang w:val="en-GB"/>
        </w:rPr>
      </w:pPr>
      <w:r w:rsidRPr="005F3825">
        <w:rPr>
          <w:rFonts w:ascii="Calibri" w:hAnsi="Calibri"/>
          <w:sz w:val="20"/>
          <w:szCs w:val="20"/>
          <w:lang w:val="en-GB"/>
        </w:rPr>
        <w:t>The implementation of the SAFE systems approach in a landscape follows four key steps. These steps should not be viewed as a linear process but as a cyclical process implemented over time.</w:t>
      </w:r>
    </w:p>
    <w:p w14:paraId="140B815A" w14:textId="77777777" w:rsidR="00302BFE" w:rsidRPr="006F44E8"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6F44E8">
        <w:rPr>
          <w:rFonts w:ascii="Calibri" w:eastAsia="Times New Roman" w:hAnsi="Calibri"/>
          <w:i/>
          <w:sz w:val="20"/>
          <w:szCs w:val="20"/>
          <w:u w:val="single"/>
          <w:lang w:val="en-GB"/>
        </w:rPr>
        <w:t>Step 1: Compile Human-wildlife conflict information in the landscape.</w:t>
      </w:r>
      <w:r w:rsidRPr="006F44E8">
        <w:rPr>
          <w:rFonts w:ascii="Calibri" w:eastAsia="Times New Roman" w:hAnsi="Calibri"/>
          <w:i/>
          <w:color w:val="4472C4"/>
          <w:sz w:val="20"/>
          <w:szCs w:val="20"/>
          <w:lang w:val="en-GB"/>
        </w:rPr>
        <w:t xml:space="preserve"> </w:t>
      </w:r>
      <w:r w:rsidRPr="006F44E8">
        <w:rPr>
          <w:rFonts w:ascii="Calibri" w:eastAsia="Times New Roman" w:hAnsi="Calibri"/>
          <w:sz w:val="20"/>
          <w:szCs w:val="20"/>
          <w:lang w:val="en-GB"/>
        </w:rPr>
        <w:t xml:space="preserve">This first step in the process is primarily document-based, to gather as much knowledge about the context of human-wildlife conflict as possible from all relevant existing literature. Although in most cases human-wildlife conflict data is either non-existent, dispersed among various organization, or very limited or porous, much of the existing information should be collected. Information can also be collected through interviews with people from various institutions and field observations. Although site managers in PONASI areas seem to be aware of these issues, this information is not collected in a form that can be exploited. Project interventions will therefore include training provided by an expert in </w:t>
      </w:r>
      <w:r w:rsidRPr="006F44E8">
        <w:rPr>
          <w:rFonts w:ascii="Calibri" w:eastAsia="Times New Roman" w:hAnsi="Calibri"/>
          <w:i/>
          <w:sz w:val="20"/>
          <w:szCs w:val="20"/>
          <w:lang w:val="en-GB"/>
        </w:rPr>
        <w:t>SAFE Systems</w:t>
      </w:r>
      <w:r w:rsidRPr="006F44E8">
        <w:rPr>
          <w:rFonts w:ascii="Calibri" w:eastAsia="Times New Roman" w:hAnsi="Calibri"/>
          <w:sz w:val="20"/>
          <w:szCs w:val="20"/>
          <w:lang w:val="en-GB"/>
        </w:rPr>
        <w:t xml:space="preserve"> to develop the capacity of field teams to collect data on human-wildlife conflict in a coherent and analytical way. An expert in GIS will also provide support for the design of GIS-based databases as part of the landscape surveillance system. These data are important because they provide a basic snapshot of the target area throughout the assessment. These data include trends and baselines of human-wildlife conflict, for example, human population, hot spots maps, number and density of major conflict species, types and predominant nature of conflict, impact, community attitudes, and levels of wildlife tolerance. Much of the data collected can then be used to produce maps for the rapid assessment workshop, to identify stakeholders to be present at the workshop, and to clarify any disagreements or discrepancies that may arise during the workshop. Priority will be given to involving the right stakeholders in the rapid assessment workshops (step 2) and holding these workshops in the right places. Stakeholders directly and indirectly affected by human-wildlife conflict should all be invited to participate in the workshop, including women, as women are likely to be affected differently by human-wildlife conflict, particularly during the picking of fruits from the forest. Stakeholders can come from sectors such as wildlife, forestry, water, agriculture, mining, treasury, law enforcement, NGOs and development partners, tourism, administration, community members, etc. </w:t>
      </w:r>
      <w:proofErr w:type="gramStart"/>
      <w:r w:rsidRPr="006F44E8">
        <w:rPr>
          <w:rFonts w:ascii="Calibri" w:eastAsia="Times New Roman" w:hAnsi="Calibri"/>
          <w:sz w:val="20"/>
          <w:szCs w:val="20"/>
          <w:lang w:val="en-GB"/>
        </w:rPr>
        <w:t>As a general rule</w:t>
      </w:r>
      <w:proofErr w:type="gramEnd"/>
      <w:r w:rsidRPr="006F44E8">
        <w:rPr>
          <w:rFonts w:ascii="Calibri" w:eastAsia="Times New Roman" w:hAnsi="Calibri"/>
          <w:sz w:val="20"/>
          <w:szCs w:val="20"/>
          <w:lang w:val="en-GB"/>
        </w:rPr>
        <w:t xml:space="preserve">, a workshop should not have more than 50 participants to be effectively facilitated by an expert in SAFE systems. Annex </w:t>
      </w:r>
      <w:r w:rsidR="009523FE" w:rsidRPr="006F44E8">
        <w:rPr>
          <w:rFonts w:ascii="Calibri" w:eastAsia="Times New Roman" w:hAnsi="Calibri"/>
          <w:sz w:val="20"/>
          <w:szCs w:val="20"/>
          <w:lang w:val="en-GB"/>
        </w:rPr>
        <w:t>L</w:t>
      </w:r>
      <w:r w:rsidRPr="006F44E8">
        <w:rPr>
          <w:rFonts w:ascii="Calibri" w:eastAsia="Times New Roman" w:hAnsi="Calibri"/>
          <w:sz w:val="20"/>
          <w:szCs w:val="20"/>
          <w:lang w:val="en-GB"/>
        </w:rPr>
        <w:t xml:space="preserve"> presents the basic information to be collected prior to the rapid assessment workshop.</w:t>
      </w:r>
    </w:p>
    <w:p w14:paraId="186E0AC7"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Times New Roman" w:hAnsi="Calibri"/>
          <w:i/>
          <w:sz w:val="20"/>
          <w:szCs w:val="20"/>
          <w:u w:val="single"/>
          <w:lang w:val="en-GB"/>
        </w:rPr>
        <w:t>Step 2: Conduct rapid human-wildlife conflict assessments using the SAFE systems tool</w:t>
      </w:r>
      <w:r w:rsidRPr="005F3825">
        <w:rPr>
          <w:rFonts w:ascii="Calibri" w:eastAsia="Times New Roman" w:hAnsi="Calibri"/>
          <w:i/>
          <w:color w:val="4472C4"/>
          <w:sz w:val="20"/>
          <w:szCs w:val="20"/>
          <w:lang w:val="en-GB"/>
        </w:rPr>
        <w:t>.</w:t>
      </w:r>
      <w:r w:rsidRPr="005F3825">
        <w:rPr>
          <w:rFonts w:ascii="Calibri" w:eastAsia="Times New Roman" w:hAnsi="Calibri"/>
          <w:sz w:val="20"/>
          <w:szCs w:val="20"/>
          <w:lang w:val="en-GB"/>
        </w:rPr>
        <w:t xml:space="preserve"> The rapid assessment workshop is a crucial step to facilitate the active participation of stakeholders in discussions and the development of an integrated long-term conflict management strategy in the area. The participants must come from all sectors affected or involved in human-wildlife conflicts, for example the sectors of wildlife, forests, water, agriculture, mines, the Treasury, law enforcement agencies, NGOs and development </w:t>
      </w:r>
      <w:r w:rsidRPr="005F3825">
        <w:rPr>
          <w:rFonts w:ascii="Calibri" w:eastAsia="Times New Roman" w:hAnsi="Calibri"/>
          <w:sz w:val="20"/>
          <w:szCs w:val="20"/>
          <w:lang w:val="en-GB"/>
        </w:rPr>
        <w:lastRenderedPageBreak/>
        <w:t xml:space="preserve">partners, members of the community, among others. In many cases, this rapid assessment workshop will be a first opportunity for these stakeholders to sit down together to discuss their problems and develop solutions. The rapid assessment workshop follows a structured approach in which participants </w:t>
      </w:r>
      <w:proofErr w:type="spellStart"/>
      <w:r w:rsidRPr="005F3825">
        <w:rPr>
          <w:rFonts w:ascii="Calibri" w:eastAsia="Times New Roman" w:hAnsi="Calibri"/>
          <w:sz w:val="20"/>
          <w:szCs w:val="20"/>
          <w:lang w:val="en-GB"/>
        </w:rPr>
        <w:t>analyze</w:t>
      </w:r>
      <w:proofErr w:type="spellEnd"/>
      <w:r w:rsidRPr="005F3825">
        <w:rPr>
          <w:rFonts w:ascii="Calibri" w:eastAsia="Times New Roman" w:hAnsi="Calibri"/>
          <w:sz w:val="20"/>
          <w:szCs w:val="20"/>
          <w:lang w:val="en-GB"/>
        </w:rPr>
        <w:t xml:space="preserve"> a set of criteria they need to discuss and evaluate for their site. A rapid assessment score sheet in Excel format and available in French (as a separate document) will serve as a guide for scoring. The criteria represent outcome indicators for the site in question and the scores assigned to each can be derived from any quantified data from Stage 1 or local knowledge. These scores are then collated and synthesized to illustrate the overall state of conflict for each of the strategic outcomes (people, properties, </w:t>
      </w:r>
      <w:proofErr w:type="gramStart"/>
      <w:r w:rsidRPr="005F3825">
        <w:rPr>
          <w:rFonts w:ascii="Calibri" w:eastAsia="Times New Roman" w:hAnsi="Calibri"/>
          <w:sz w:val="20"/>
          <w:szCs w:val="20"/>
          <w:lang w:val="en-GB"/>
        </w:rPr>
        <w:t>wildlife</w:t>
      </w:r>
      <w:proofErr w:type="gramEnd"/>
      <w:r w:rsidRPr="005F3825">
        <w:rPr>
          <w:rFonts w:ascii="Calibri" w:eastAsia="Times New Roman" w:hAnsi="Calibri"/>
          <w:sz w:val="20"/>
          <w:szCs w:val="20"/>
          <w:lang w:val="en-GB"/>
        </w:rPr>
        <w:t xml:space="preserve"> and habitat) and will serve as a basis for monitoring over time. In the second part of the workshop, participants use the results of the evaluation to jointly develop actions and strategies to reduce long-term conflict - or improve the rating of each criterion. Once participants have assigned a score to each of the criteria, the results of the assessments and the graphs of all strategic outcomes and six elements can be presented to the participants. Using the SAFE systems tool, the results of such a rapid evaluation workshop should provide the</w:t>
      </w:r>
      <w:r w:rsidRPr="005F3825">
        <w:rPr>
          <w:rFonts w:ascii="Calibri" w:eastAsia="Times New Roman" w:hAnsi="Calibri"/>
          <w:i/>
          <w:sz w:val="20"/>
          <w:szCs w:val="20"/>
          <w:lang w:val="en-GB"/>
        </w:rPr>
        <w:t xml:space="preserve"> </w:t>
      </w:r>
      <w:r w:rsidRPr="005F3825">
        <w:rPr>
          <w:rFonts w:ascii="Calibri" w:eastAsia="Times New Roman" w:hAnsi="Calibri"/>
          <w:sz w:val="20"/>
          <w:szCs w:val="20"/>
          <w:lang w:val="en-GB"/>
        </w:rPr>
        <w:t>SAFE</w:t>
      </w:r>
      <w:r w:rsidRPr="005F3825">
        <w:rPr>
          <w:rFonts w:ascii="Calibri" w:eastAsia="Times New Roman" w:hAnsi="Calibri"/>
          <w:i/>
          <w:sz w:val="20"/>
          <w:szCs w:val="20"/>
          <w:lang w:val="en-GB"/>
        </w:rPr>
        <w:t xml:space="preserve"> </w:t>
      </w:r>
      <w:r w:rsidRPr="005F3825">
        <w:rPr>
          <w:rFonts w:ascii="Calibri" w:eastAsia="Times New Roman" w:hAnsi="Calibri"/>
          <w:sz w:val="20"/>
          <w:szCs w:val="20"/>
          <w:lang w:val="en-GB"/>
        </w:rPr>
        <w:t>baseline for the specific site in the PONASI landscape, assess the effectiveness of current interventions for human-wildlife-conflict and identify gaps to be filled to reduce incidents on the site and in the landscape.</w:t>
      </w:r>
    </w:p>
    <w:p w14:paraId="50A026CB"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Times New Roman" w:hAnsi="Calibri"/>
          <w:i/>
          <w:color w:val="4472C4"/>
          <w:sz w:val="20"/>
          <w:szCs w:val="20"/>
          <w:lang w:val="en-GB"/>
        </w:rPr>
        <w:t xml:space="preserve"> </w:t>
      </w:r>
      <w:r w:rsidRPr="005F3825">
        <w:rPr>
          <w:rFonts w:ascii="Calibri" w:eastAsia="Times New Roman" w:hAnsi="Calibri"/>
          <w:i/>
          <w:sz w:val="20"/>
          <w:szCs w:val="20"/>
          <w:u w:val="single"/>
          <w:lang w:val="en-GB"/>
        </w:rPr>
        <w:t>Step 3: Design the SAFE strategy and action plan for the PONASI landscape, including a monitoring plan</w:t>
      </w:r>
      <w:r w:rsidRPr="005F3825">
        <w:rPr>
          <w:rFonts w:ascii="Calibri" w:eastAsia="Times New Roman" w:hAnsi="Calibri"/>
          <w:i/>
          <w:color w:val="4472C4"/>
          <w:sz w:val="20"/>
          <w:szCs w:val="20"/>
          <w:lang w:val="en-GB"/>
        </w:rPr>
        <w:t>.</w:t>
      </w:r>
      <w:r w:rsidRPr="005F3825">
        <w:rPr>
          <w:rFonts w:ascii="Calibri" w:eastAsia="Times New Roman" w:hAnsi="Calibri"/>
          <w:sz w:val="20"/>
          <w:szCs w:val="20"/>
          <w:lang w:val="en-GB"/>
        </w:rPr>
        <w:t xml:space="preserve"> After the rapid assessment workshop is completed, a smaller technical team, assisted by the human-wildlife conflict expert, will work on the SAFE strategy, including actions from all elements of the conflict (policy, mitigation, prevention, response, monitoring and evaluation, conflict understanding), prepare a budget and a financing plan to implement the strategy and action plan. It is important to note that a comprehensive monitoring plan for the landscape will be developed as part of the strategy. This is vital in the PONASI context where data is not collated or collected. Therefore, developing the action plan's monitoring framework from the outset will mean that future rapid assessments can use the data collected previously to make this 4-step process much faster. A technical team made up of people from the wildlife sector and other relevant sectors and an expert in</w:t>
      </w:r>
      <w:r w:rsidRPr="005F3825">
        <w:rPr>
          <w:rFonts w:ascii="Calibri" w:eastAsia="Times New Roman" w:hAnsi="Calibri"/>
          <w:i/>
          <w:sz w:val="20"/>
          <w:szCs w:val="20"/>
          <w:lang w:val="en-GB"/>
        </w:rPr>
        <w:t xml:space="preserve"> </w:t>
      </w:r>
      <w:r w:rsidRPr="005F3825">
        <w:rPr>
          <w:rFonts w:ascii="Calibri" w:eastAsia="Times New Roman" w:hAnsi="Calibri"/>
          <w:sz w:val="20"/>
          <w:szCs w:val="20"/>
          <w:lang w:val="en-GB"/>
        </w:rPr>
        <w:t>SAFE systems will develop an initial version of the strategy that will be circulated for inputs to those who participated in the SAFE systems</w:t>
      </w:r>
      <w:r w:rsidRPr="005F3825">
        <w:rPr>
          <w:rFonts w:ascii="Calibri" w:eastAsia="Times New Roman" w:hAnsi="Calibri"/>
          <w:i/>
          <w:sz w:val="20"/>
          <w:szCs w:val="20"/>
          <w:lang w:val="en-GB"/>
        </w:rPr>
        <w:t xml:space="preserve"> </w:t>
      </w:r>
      <w:r w:rsidRPr="005F3825">
        <w:rPr>
          <w:rFonts w:ascii="Calibri" w:eastAsia="Times New Roman" w:hAnsi="Calibri"/>
          <w:sz w:val="20"/>
          <w:szCs w:val="20"/>
          <w:lang w:val="en-GB"/>
        </w:rPr>
        <w:t>workshops. The elements of this strategy and action plan will be integrated into the PONASI Landscape Master Plan for use as a fundraising tool to implement the various interventions identified.</w:t>
      </w:r>
    </w:p>
    <w:p w14:paraId="2AFD23EC" w14:textId="77777777" w:rsidR="00302BFE" w:rsidRPr="005F3825" w:rsidRDefault="00302BFE" w:rsidP="00C46720">
      <w:pPr>
        <w:pStyle w:val="Paragraphedeliste"/>
        <w:numPr>
          <w:ilvl w:val="0"/>
          <w:numId w:val="14"/>
        </w:numPr>
        <w:spacing w:before="120" w:after="120"/>
        <w:ind w:left="502"/>
        <w:contextualSpacing/>
        <w:jc w:val="both"/>
        <w:rPr>
          <w:rFonts w:ascii="Calibri" w:eastAsia="Times New Roman" w:hAnsi="Calibri"/>
          <w:sz w:val="20"/>
          <w:szCs w:val="20"/>
          <w:lang w:val="en-GB"/>
        </w:rPr>
      </w:pPr>
      <w:r w:rsidRPr="005F3825">
        <w:rPr>
          <w:rFonts w:ascii="Calibri" w:eastAsia="Times New Roman" w:hAnsi="Calibri"/>
          <w:sz w:val="20"/>
          <w:szCs w:val="20"/>
          <w:lang w:val="en-GB"/>
        </w:rPr>
        <w:t>The actions to be undertaken fall under the following six categories</w:t>
      </w:r>
      <w:r w:rsidRPr="005F3825">
        <w:rPr>
          <w:rFonts w:ascii="Calibri" w:hAnsi="Calibri"/>
          <w:sz w:val="20"/>
          <w:szCs w:val="20"/>
          <w:lang w:val="en-G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5014"/>
      </w:tblGrid>
      <w:tr w:rsidR="00302BFE" w:rsidRPr="00806024" w14:paraId="63E5642E" w14:textId="77777777" w:rsidTr="00243B15">
        <w:trPr>
          <w:jc w:val="center"/>
        </w:trPr>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4C57D6F8" w14:textId="77777777" w:rsidR="00302BFE" w:rsidRPr="00806024" w:rsidRDefault="00302BFE" w:rsidP="00243B15">
            <w:pPr>
              <w:rPr>
                <w:rFonts w:eastAsia="Times New Roman"/>
                <w:color w:val="4472C4"/>
                <w:sz w:val="18"/>
                <w:szCs w:val="18"/>
              </w:rPr>
            </w:pPr>
            <w:r w:rsidRPr="00806024">
              <w:rPr>
                <w:rFonts w:eastAsia="Times New Roman"/>
                <w:color w:val="4472C4"/>
                <w:sz w:val="18"/>
                <w:szCs w:val="18"/>
              </w:rPr>
              <w:t>POLICY</w:t>
            </w:r>
          </w:p>
          <w:p w14:paraId="60DED7CF" w14:textId="77777777" w:rsidR="00302BFE" w:rsidRPr="00806024" w:rsidRDefault="00302BFE" w:rsidP="00243B15">
            <w:pPr>
              <w:spacing w:after="0"/>
              <w:rPr>
                <w:rFonts w:eastAsia="Times New Roman"/>
                <w:sz w:val="18"/>
                <w:szCs w:val="18"/>
              </w:rPr>
            </w:pPr>
            <w:r w:rsidRPr="00806024">
              <w:rPr>
                <w:rFonts w:eastAsia="Times New Roman"/>
                <w:sz w:val="18"/>
                <w:szCs w:val="18"/>
              </w:rPr>
              <w:t xml:space="preserve">Protocols, principles, </w:t>
            </w:r>
            <w:proofErr w:type="gramStart"/>
            <w:r w:rsidRPr="00806024">
              <w:rPr>
                <w:rFonts w:eastAsia="Times New Roman"/>
                <w:sz w:val="18"/>
                <w:szCs w:val="18"/>
              </w:rPr>
              <w:t>provisions</w:t>
            </w:r>
            <w:proofErr w:type="gramEnd"/>
            <w:r w:rsidRPr="00806024">
              <w:rPr>
                <w:rFonts w:eastAsia="Times New Roman"/>
                <w:sz w:val="18"/>
                <w:szCs w:val="18"/>
              </w:rPr>
              <w:t xml:space="preserve"> and measures taken by the authorities that are stipulated in legislation and government plans</w:t>
            </w:r>
          </w:p>
          <w:p w14:paraId="600A19BB" w14:textId="77777777" w:rsidR="00302BFE" w:rsidRPr="00806024" w:rsidRDefault="00302BFE" w:rsidP="00243B15">
            <w:pPr>
              <w:spacing w:after="0"/>
              <w:rPr>
                <w:rFonts w:eastAsia="Times New Roman"/>
                <w:sz w:val="18"/>
                <w:szCs w:val="18"/>
              </w:rPr>
            </w:pPr>
            <w:r w:rsidRPr="00806024">
              <w:rPr>
                <w:rFonts w:eastAsia="Times New Roman"/>
                <w:sz w:val="18"/>
                <w:szCs w:val="18"/>
              </w:rPr>
              <w:t>• International law</w:t>
            </w:r>
          </w:p>
          <w:p w14:paraId="7E8A0C99" w14:textId="77777777" w:rsidR="00302BFE" w:rsidRPr="00806024" w:rsidRDefault="00302BFE" w:rsidP="00243B15">
            <w:pPr>
              <w:spacing w:after="0"/>
              <w:rPr>
                <w:rFonts w:eastAsia="Times New Roman"/>
                <w:sz w:val="18"/>
                <w:szCs w:val="18"/>
              </w:rPr>
            </w:pPr>
            <w:r w:rsidRPr="00806024">
              <w:rPr>
                <w:rFonts w:eastAsia="Times New Roman"/>
                <w:sz w:val="18"/>
                <w:szCs w:val="18"/>
              </w:rPr>
              <w:t>• National law</w:t>
            </w:r>
          </w:p>
          <w:p w14:paraId="1112387B" w14:textId="77777777" w:rsidR="00302BFE" w:rsidRPr="00806024" w:rsidRDefault="00302BFE" w:rsidP="00243B15">
            <w:pPr>
              <w:spacing w:after="0"/>
              <w:rPr>
                <w:rFonts w:eastAsia="Times New Roman"/>
                <w:sz w:val="18"/>
                <w:szCs w:val="18"/>
              </w:rPr>
            </w:pPr>
            <w:r w:rsidRPr="00806024">
              <w:rPr>
                <w:rFonts w:eastAsia="Times New Roman"/>
                <w:sz w:val="18"/>
                <w:szCs w:val="18"/>
              </w:rPr>
              <w:t>• Crimes related to Wildlife and forests</w:t>
            </w:r>
          </w:p>
          <w:p w14:paraId="030D7392" w14:textId="77777777" w:rsidR="00302BFE" w:rsidRPr="00806024" w:rsidRDefault="00302BFE" w:rsidP="00243B15">
            <w:pPr>
              <w:spacing w:after="0"/>
              <w:rPr>
                <w:rFonts w:eastAsia="Times New Roman"/>
                <w:sz w:val="18"/>
                <w:szCs w:val="18"/>
              </w:rPr>
            </w:pPr>
            <w:r w:rsidRPr="00806024">
              <w:rPr>
                <w:rFonts w:eastAsia="Times New Roman"/>
                <w:sz w:val="18"/>
                <w:szCs w:val="18"/>
              </w:rPr>
              <w:t>• National Strategy</w:t>
            </w:r>
          </w:p>
          <w:p w14:paraId="361753F3" w14:textId="77777777" w:rsidR="00302BFE" w:rsidRPr="00806024" w:rsidRDefault="00302BFE" w:rsidP="00243B15">
            <w:pPr>
              <w:spacing w:after="0"/>
              <w:rPr>
                <w:rFonts w:eastAsia="Times New Roman"/>
                <w:sz w:val="18"/>
                <w:szCs w:val="18"/>
              </w:rPr>
            </w:pPr>
            <w:r w:rsidRPr="00806024">
              <w:rPr>
                <w:rFonts w:eastAsia="Times New Roman"/>
                <w:sz w:val="18"/>
                <w:szCs w:val="18"/>
              </w:rPr>
              <w:t>• Translocation and response</w:t>
            </w:r>
          </w:p>
          <w:p w14:paraId="37FC55B1" w14:textId="77777777" w:rsidR="00302BFE" w:rsidRPr="00806024" w:rsidRDefault="00302BFE" w:rsidP="00243B15">
            <w:pPr>
              <w:spacing w:after="0"/>
              <w:rPr>
                <w:rFonts w:eastAsia="Times New Roman"/>
                <w:sz w:val="18"/>
                <w:szCs w:val="18"/>
              </w:rPr>
            </w:pPr>
            <w:r w:rsidRPr="00806024">
              <w:rPr>
                <w:rFonts w:eastAsia="Times New Roman"/>
                <w:sz w:val="18"/>
                <w:szCs w:val="18"/>
              </w:rPr>
              <w:t>• Insurance and indemnity</w:t>
            </w:r>
          </w:p>
          <w:p w14:paraId="66702B8F" w14:textId="77777777" w:rsidR="00302BFE" w:rsidRPr="00806024" w:rsidRDefault="00302BFE" w:rsidP="00243B15">
            <w:pPr>
              <w:spacing w:after="0"/>
              <w:rPr>
                <w:rFonts w:eastAsia="Times New Roman"/>
                <w:sz w:val="18"/>
                <w:szCs w:val="18"/>
              </w:rPr>
            </w:pPr>
            <w:r w:rsidRPr="00806024">
              <w:rPr>
                <w:rFonts w:eastAsia="Times New Roman"/>
                <w:sz w:val="18"/>
                <w:szCs w:val="18"/>
              </w:rPr>
              <w:t>• International collaboration</w:t>
            </w:r>
          </w:p>
        </w:tc>
        <w:tc>
          <w:tcPr>
            <w:tcW w:w="5014" w:type="dxa"/>
            <w:tcBorders>
              <w:top w:val="single" w:sz="4" w:space="0" w:color="auto"/>
              <w:left w:val="single" w:sz="4" w:space="0" w:color="auto"/>
              <w:bottom w:val="single" w:sz="4" w:space="0" w:color="auto"/>
              <w:right w:val="single" w:sz="4" w:space="0" w:color="auto"/>
            </w:tcBorders>
            <w:shd w:val="clear" w:color="auto" w:fill="auto"/>
            <w:hideMark/>
          </w:tcPr>
          <w:p w14:paraId="7843F8FE" w14:textId="77777777" w:rsidR="00302BFE" w:rsidRPr="00806024" w:rsidRDefault="00302BFE" w:rsidP="00243B15">
            <w:pPr>
              <w:rPr>
                <w:rFonts w:eastAsia="Times New Roman"/>
                <w:color w:val="4472C4"/>
                <w:sz w:val="18"/>
                <w:szCs w:val="18"/>
              </w:rPr>
            </w:pPr>
            <w:r w:rsidRPr="00806024">
              <w:rPr>
                <w:rFonts w:eastAsia="Times New Roman"/>
                <w:color w:val="4472C4"/>
                <w:sz w:val="18"/>
                <w:szCs w:val="18"/>
              </w:rPr>
              <w:t xml:space="preserve">PREVENTION </w:t>
            </w:r>
          </w:p>
          <w:p w14:paraId="62B425A0" w14:textId="77777777" w:rsidR="00302BFE" w:rsidRPr="00806024" w:rsidRDefault="00302BFE" w:rsidP="00243B15">
            <w:pPr>
              <w:rPr>
                <w:rFonts w:eastAsia="Times New Roman"/>
                <w:sz w:val="18"/>
                <w:szCs w:val="18"/>
              </w:rPr>
            </w:pPr>
            <w:r w:rsidRPr="00806024">
              <w:rPr>
                <w:rFonts w:eastAsia="Times New Roman"/>
                <w:sz w:val="18"/>
                <w:szCs w:val="18"/>
              </w:rPr>
              <w:t>Stop or prevent conflict between humans and wildlife before it happens</w:t>
            </w:r>
          </w:p>
          <w:p w14:paraId="341466FC" w14:textId="77777777" w:rsidR="00302BFE" w:rsidRPr="00806024" w:rsidRDefault="00302BFE" w:rsidP="00243B15">
            <w:pPr>
              <w:spacing w:after="0"/>
              <w:rPr>
                <w:rFonts w:eastAsia="Times New Roman"/>
                <w:sz w:val="18"/>
                <w:szCs w:val="18"/>
              </w:rPr>
            </w:pPr>
            <w:r w:rsidRPr="00806024">
              <w:rPr>
                <w:rFonts w:eastAsia="Times New Roman"/>
                <w:sz w:val="18"/>
                <w:szCs w:val="18"/>
              </w:rPr>
              <w:t>• Education</w:t>
            </w:r>
          </w:p>
          <w:p w14:paraId="0DBF8EB1" w14:textId="77777777" w:rsidR="00302BFE" w:rsidRPr="00806024" w:rsidRDefault="00302BFE" w:rsidP="00243B15">
            <w:pPr>
              <w:spacing w:after="0"/>
              <w:rPr>
                <w:rFonts w:eastAsia="Times New Roman"/>
                <w:sz w:val="18"/>
                <w:szCs w:val="18"/>
              </w:rPr>
            </w:pPr>
            <w:r w:rsidRPr="00806024">
              <w:rPr>
                <w:rFonts w:eastAsia="Times New Roman"/>
                <w:sz w:val="18"/>
                <w:szCs w:val="18"/>
              </w:rPr>
              <w:t>• Livestock management</w:t>
            </w:r>
          </w:p>
          <w:p w14:paraId="08D1D82C" w14:textId="77777777" w:rsidR="00302BFE" w:rsidRPr="00806024" w:rsidRDefault="00302BFE" w:rsidP="00243B15">
            <w:pPr>
              <w:spacing w:after="0"/>
              <w:rPr>
                <w:rFonts w:eastAsia="Times New Roman"/>
                <w:sz w:val="18"/>
                <w:szCs w:val="18"/>
              </w:rPr>
            </w:pPr>
            <w:r w:rsidRPr="00806024">
              <w:rPr>
                <w:rFonts w:eastAsia="Times New Roman"/>
                <w:sz w:val="18"/>
                <w:szCs w:val="18"/>
              </w:rPr>
              <w:t>• Zero poaching</w:t>
            </w:r>
          </w:p>
          <w:p w14:paraId="755EC87A" w14:textId="77777777" w:rsidR="00302BFE" w:rsidRPr="00806024" w:rsidRDefault="00302BFE" w:rsidP="00243B15">
            <w:pPr>
              <w:spacing w:after="0"/>
              <w:rPr>
                <w:rFonts w:eastAsia="Times New Roman"/>
                <w:sz w:val="18"/>
                <w:szCs w:val="18"/>
              </w:rPr>
            </w:pPr>
            <w:r w:rsidRPr="00806024">
              <w:rPr>
                <w:rFonts w:eastAsia="Times New Roman"/>
                <w:sz w:val="18"/>
                <w:szCs w:val="18"/>
              </w:rPr>
              <w:t>• Dissuasive</w:t>
            </w:r>
          </w:p>
          <w:p w14:paraId="503DEEE0" w14:textId="77777777" w:rsidR="00302BFE" w:rsidRPr="00806024" w:rsidRDefault="00302BFE" w:rsidP="00243B15">
            <w:pPr>
              <w:spacing w:after="0"/>
              <w:rPr>
                <w:rFonts w:eastAsia="Times New Roman"/>
                <w:sz w:val="18"/>
                <w:szCs w:val="18"/>
              </w:rPr>
            </w:pPr>
            <w:r w:rsidRPr="00806024">
              <w:rPr>
                <w:rFonts w:eastAsia="Times New Roman"/>
                <w:sz w:val="18"/>
                <w:szCs w:val="18"/>
              </w:rPr>
              <w:t>• Safe work environments</w:t>
            </w:r>
          </w:p>
          <w:p w14:paraId="7301D945" w14:textId="77777777" w:rsidR="00302BFE" w:rsidRPr="00806024" w:rsidRDefault="00302BFE" w:rsidP="00243B15">
            <w:pPr>
              <w:spacing w:after="0"/>
              <w:rPr>
                <w:rFonts w:eastAsia="Times New Roman"/>
                <w:sz w:val="18"/>
                <w:szCs w:val="18"/>
              </w:rPr>
            </w:pPr>
            <w:r w:rsidRPr="00806024">
              <w:rPr>
                <w:rFonts w:eastAsia="Times New Roman"/>
                <w:sz w:val="18"/>
                <w:szCs w:val="18"/>
              </w:rPr>
              <w:t>• Prey protection</w:t>
            </w:r>
          </w:p>
          <w:p w14:paraId="28F91A5D" w14:textId="77777777" w:rsidR="00302BFE" w:rsidRPr="00806024" w:rsidRDefault="00302BFE" w:rsidP="00243B15">
            <w:pPr>
              <w:spacing w:after="0"/>
              <w:rPr>
                <w:rFonts w:eastAsia="Times New Roman"/>
                <w:sz w:val="18"/>
                <w:szCs w:val="18"/>
              </w:rPr>
            </w:pPr>
            <w:r w:rsidRPr="00806024">
              <w:rPr>
                <w:rFonts w:eastAsia="Times New Roman"/>
                <w:sz w:val="18"/>
                <w:szCs w:val="18"/>
              </w:rPr>
              <w:t>• Habitat management</w:t>
            </w:r>
          </w:p>
          <w:p w14:paraId="777523A5" w14:textId="77777777" w:rsidR="00302BFE" w:rsidRPr="00806024" w:rsidRDefault="00302BFE" w:rsidP="00243B15">
            <w:pPr>
              <w:spacing w:after="0"/>
              <w:rPr>
                <w:rFonts w:eastAsia="Times New Roman"/>
                <w:sz w:val="18"/>
                <w:szCs w:val="18"/>
              </w:rPr>
            </w:pPr>
            <w:r w:rsidRPr="00806024">
              <w:rPr>
                <w:rFonts w:eastAsia="Times New Roman"/>
                <w:sz w:val="18"/>
                <w:szCs w:val="18"/>
              </w:rPr>
              <w:t>• Land use planning</w:t>
            </w:r>
          </w:p>
        </w:tc>
      </w:tr>
      <w:tr w:rsidR="00302BFE" w:rsidRPr="005F3825" w14:paraId="0970FB34" w14:textId="77777777" w:rsidTr="00243B15">
        <w:trPr>
          <w:jc w:val="center"/>
        </w:trPr>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724120A2" w14:textId="77777777" w:rsidR="00302BFE" w:rsidRPr="00806024" w:rsidRDefault="00302BFE" w:rsidP="00243B15">
            <w:pPr>
              <w:rPr>
                <w:rFonts w:eastAsia="Times New Roman"/>
                <w:color w:val="4472C4"/>
                <w:sz w:val="18"/>
                <w:szCs w:val="18"/>
              </w:rPr>
            </w:pPr>
            <w:r w:rsidRPr="00806024">
              <w:rPr>
                <w:rFonts w:eastAsia="Times New Roman"/>
                <w:color w:val="4472C4"/>
                <w:sz w:val="18"/>
                <w:szCs w:val="18"/>
              </w:rPr>
              <w:t xml:space="preserve">MITIGATION </w:t>
            </w:r>
          </w:p>
          <w:p w14:paraId="478DE495" w14:textId="77777777" w:rsidR="00302BFE" w:rsidRPr="00806024" w:rsidRDefault="00302BFE" w:rsidP="00243B15">
            <w:pPr>
              <w:rPr>
                <w:rFonts w:eastAsia="Times New Roman"/>
                <w:sz w:val="18"/>
                <w:szCs w:val="18"/>
              </w:rPr>
            </w:pPr>
            <w:r w:rsidRPr="00806024">
              <w:rPr>
                <w:rFonts w:eastAsia="Times New Roman"/>
                <w:sz w:val="18"/>
                <w:szCs w:val="18"/>
              </w:rPr>
              <w:t>Reduce the impacts of human-wildlife conflict after its occurrence</w:t>
            </w:r>
          </w:p>
          <w:p w14:paraId="2986FA2D" w14:textId="77777777" w:rsidR="00302BFE" w:rsidRPr="00806024" w:rsidRDefault="00302BFE" w:rsidP="00243B15">
            <w:pPr>
              <w:spacing w:after="0"/>
              <w:rPr>
                <w:rFonts w:eastAsia="Times New Roman"/>
                <w:sz w:val="18"/>
                <w:szCs w:val="18"/>
              </w:rPr>
            </w:pPr>
            <w:r w:rsidRPr="00806024">
              <w:rPr>
                <w:rFonts w:eastAsia="Times New Roman"/>
                <w:sz w:val="18"/>
                <w:szCs w:val="18"/>
              </w:rPr>
              <w:t>• Compensation programs</w:t>
            </w:r>
          </w:p>
          <w:p w14:paraId="3A386637" w14:textId="77777777" w:rsidR="00302BFE" w:rsidRPr="00806024" w:rsidRDefault="00302BFE" w:rsidP="00243B15">
            <w:pPr>
              <w:spacing w:after="0"/>
              <w:rPr>
                <w:rFonts w:eastAsia="Times New Roman"/>
                <w:sz w:val="18"/>
                <w:szCs w:val="18"/>
              </w:rPr>
            </w:pPr>
            <w:r w:rsidRPr="00806024">
              <w:rPr>
                <w:rFonts w:eastAsia="Times New Roman"/>
                <w:sz w:val="18"/>
                <w:szCs w:val="18"/>
              </w:rPr>
              <w:t>• Insurance schemes</w:t>
            </w:r>
          </w:p>
          <w:p w14:paraId="20B62BF7" w14:textId="77777777" w:rsidR="00302BFE" w:rsidRPr="00806024" w:rsidRDefault="00302BFE" w:rsidP="00243B15">
            <w:pPr>
              <w:spacing w:after="0"/>
              <w:rPr>
                <w:rFonts w:eastAsia="Times New Roman"/>
                <w:sz w:val="18"/>
                <w:szCs w:val="18"/>
              </w:rPr>
            </w:pPr>
            <w:r w:rsidRPr="00806024">
              <w:rPr>
                <w:rFonts w:eastAsia="Times New Roman"/>
                <w:sz w:val="18"/>
                <w:szCs w:val="18"/>
              </w:rPr>
              <w:t>• Alternative livelihoods</w:t>
            </w:r>
          </w:p>
          <w:p w14:paraId="07C1705C" w14:textId="77777777" w:rsidR="00302BFE" w:rsidRPr="00806024" w:rsidRDefault="00302BFE" w:rsidP="00243B15">
            <w:pPr>
              <w:spacing w:after="0"/>
              <w:rPr>
                <w:rFonts w:eastAsia="Times New Roman"/>
                <w:sz w:val="18"/>
                <w:szCs w:val="18"/>
              </w:rPr>
            </w:pPr>
            <w:r w:rsidRPr="00806024">
              <w:rPr>
                <w:rFonts w:eastAsia="Times New Roman"/>
                <w:sz w:val="18"/>
                <w:szCs w:val="18"/>
              </w:rPr>
              <w:t>• Diversification of livelihoods</w:t>
            </w:r>
          </w:p>
          <w:p w14:paraId="230033CB" w14:textId="77777777" w:rsidR="00302BFE" w:rsidRPr="00806024" w:rsidRDefault="00302BFE" w:rsidP="00243B15">
            <w:pPr>
              <w:spacing w:after="0"/>
              <w:rPr>
                <w:rFonts w:eastAsia="Times New Roman"/>
                <w:sz w:val="18"/>
                <w:szCs w:val="18"/>
              </w:rPr>
            </w:pPr>
            <w:r w:rsidRPr="00806024">
              <w:rPr>
                <w:rFonts w:eastAsia="Times New Roman"/>
                <w:sz w:val="18"/>
                <w:szCs w:val="18"/>
              </w:rPr>
              <w:t>• Sharing of benefits</w:t>
            </w:r>
          </w:p>
        </w:tc>
        <w:tc>
          <w:tcPr>
            <w:tcW w:w="5014" w:type="dxa"/>
            <w:tcBorders>
              <w:top w:val="single" w:sz="4" w:space="0" w:color="auto"/>
              <w:left w:val="single" w:sz="4" w:space="0" w:color="auto"/>
              <w:bottom w:val="single" w:sz="4" w:space="0" w:color="auto"/>
              <w:right w:val="single" w:sz="4" w:space="0" w:color="auto"/>
            </w:tcBorders>
            <w:shd w:val="clear" w:color="auto" w:fill="auto"/>
            <w:hideMark/>
          </w:tcPr>
          <w:p w14:paraId="59CFB954" w14:textId="77777777" w:rsidR="00302BFE" w:rsidRPr="00806024" w:rsidRDefault="00302BFE" w:rsidP="00243B15">
            <w:pPr>
              <w:rPr>
                <w:rFonts w:eastAsia="Times New Roman"/>
                <w:color w:val="4472C4"/>
                <w:sz w:val="18"/>
                <w:szCs w:val="18"/>
              </w:rPr>
            </w:pPr>
            <w:r w:rsidRPr="00806024">
              <w:rPr>
                <w:rFonts w:eastAsia="Times New Roman"/>
                <w:color w:val="4472C4"/>
                <w:sz w:val="18"/>
                <w:szCs w:val="18"/>
              </w:rPr>
              <w:t xml:space="preserve">RESPONSE </w:t>
            </w:r>
          </w:p>
          <w:p w14:paraId="1105A967" w14:textId="77777777" w:rsidR="00302BFE" w:rsidRPr="00806024" w:rsidRDefault="00302BFE" w:rsidP="00243B15">
            <w:pPr>
              <w:rPr>
                <w:rFonts w:eastAsia="Times New Roman"/>
                <w:sz w:val="18"/>
                <w:szCs w:val="18"/>
              </w:rPr>
            </w:pPr>
            <w:r w:rsidRPr="00806024">
              <w:rPr>
                <w:rFonts w:eastAsia="Times New Roman"/>
                <w:sz w:val="18"/>
                <w:szCs w:val="18"/>
              </w:rPr>
              <w:t>Actions taken to mitigate a specific or ongoing incident</w:t>
            </w:r>
          </w:p>
          <w:p w14:paraId="21409EC0" w14:textId="77777777" w:rsidR="00302BFE" w:rsidRPr="00806024" w:rsidRDefault="00302BFE" w:rsidP="00243B15">
            <w:pPr>
              <w:spacing w:after="0"/>
              <w:rPr>
                <w:rFonts w:eastAsia="Times New Roman"/>
                <w:sz w:val="18"/>
                <w:szCs w:val="18"/>
              </w:rPr>
            </w:pPr>
            <w:r w:rsidRPr="00806024">
              <w:rPr>
                <w:rFonts w:eastAsia="Times New Roman"/>
                <w:sz w:val="18"/>
                <w:szCs w:val="18"/>
              </w:rPr>
              <w:t>• Intervention teams</w:t>
            </w:r>
          </w:p>
          <w:p w14:paraId="4716E66B" w14:textId="77777777" w:rsidR="00302BFE" w:rsidRPr="00806024" w:rsidRDefault="00302BFE" w:rsidP="00243B15">
            <w:pPr>
              <w:spacing w:after="0"/>
              <w:rPr>
                <w:rFonts w:eastAsia="Times New Roman"/>
                <w:sz w:val="18"/>
                <w:szCs w:val="18"/>
              </w:rPr>
            </w:pPr>
            <w:r w:rsidRPr="00806024">
              <w:rPr>
                <w:rFonts w:eastAsia="Times New Roman"/>
                <w:sz w:val="18"/>
                <w:szCs w:val="18"/>
              </w:rPr>
              <w:t>• Removal of problem animals</w:t>
            </w:r>
          </w:p>
          <w:p w14:paraId="54927953" w14:textId="77777777" w:rsidR="00302BFE" w:rsidRPr="00806024" w:rsidRDefault="00302BFE" w:rsidP="00243B15">
            <w:pPr>
              <w:spacing w:after="0"/>
              <w:rPr>
                <w:rFonts w:eastAsia="Times New Roman"/>
                <w:sz w:val="18"/>
                <w:szCs w:val="18"/>
              </w:rPr>
            </w:pPr>
            <w:r w:rsidRPr="00806024">
              <w:rPr>
                <w:rFonts w:eastAsia="Times New Roman"/>
                <w:sz w:val="18"/>
                <w:szCs w:val="18"/>
              </w:rPr>
              <w:t>• First aid</w:t>
            </w:r>
          </w:p>
          <w:p w14:paraId="124558EB" w14:textId="77777777" w:rsidR="00302BFE" w:rsidRPr="00806024" w:rsidRDefault="00302BFE" w:rsidP="00243B15">
            <w:pPr>
              <w:spacing w:after="0"/>
              <w:rPr>
                <w:rFonts w:eastAsia="Times New Roman"/>
                <w:sz w:val="18"/>
                <w:szCs w:val="18"/>
              </w:rPr>
            </w:pPr>
            <w:r w:rsidRPr="00806024">
              <w:rPr>
                <w:rFonts w:eastAsia="Times New Roman"/>
                <w:sz w:val="18"/>
                <w:szCs w:val="18"/>
              </w:rPr>
              <w:t>• Crowd control</w:t>
            </w:r>
          </w:p>
        </w:tc>
      </w:tr>
      <w:tr w:rsidR="00302BFE" w:rsidRPr="00806024" w14:paraId="6C231498" w14:textId="77777777" w:rsidTr="00243B15">
        <w:trPr>
          <w:jc w:val="center"/>
        </w:trPr>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4E61A679" w14:textId="77777777" w:rsidR="00302BFE" w:rsidRPr="00806024" w:rsidRDefault="00302BFE" w:rsidP="00243B15">
            <w:pPr>
              <w:rPr>
                <w:rFonts w:eastAsia="Times New Roman"/>
                <w:color w:val="4472C4"/>
                <w:sz w:val="18"/>
                <w:szCs w:val="18"/>
              </w:rPr>
            </w:pPr>
            <w:r w:rsidRPr="00806024">
              <w:rPr>
                <w:rFonts w:eastAsia="Times New Roman"/>
                <w:color w:val="4472C4"/>
                <w:sz w:val="18"/>
                <w:szCs w:val="18"/>
              </w:rPr>
              <w:t xml:space="preserve">UNDERSTANDING THE CONFLICT </w:t>
            </w:r>
          </w:p>
          <w:p w14:paraId="133C4CB9" w14:textId="77777777" w:rsidR="00302BFE" w:rsidRPr="00806024" w:rsidRDefault="00302BFE" w:rsidP="00243B15">
            <w:pPr>
              <w:rPr>
                <w:rFonts w:eastAsia="Times New Roman"/>
                <w:sz w:val="18"/>
                <w:szCs w:val="18"/>
              </w:rPr>
            </w:pPr>
            <w:r w:rsidRPr="00806024">
              <w:rPr>
                <w:rFonts w:eastAsia="Times New Roman"/>
                <w:sz w:val="18"/>
                <w:szCs w:val="18"/>
              </w:rPr>
              <w:t>Research on all aspects of the conflict profile</w:t>
            </w:r>
          </w:p>
          <w:p w14:paraId="0B5803BE" w14:textId="77777777" w:rsidR="00302BFE" w:rsidRPr="00806024" w:rsidRDefault="00302BFE" w:rsidP="00243B15">
            <w:pPr>
              <w:spacing w:after="0"/>
              <w:rPr>
                <w:rFonts w:eastAsia="Times New Roman"/>
                <w:sz w:val="18"/>
                <w:szCs w:val="18"/>
              </w:rPr>
            </w:pPr>
            <w:r w:rsidRPr="00806024">
              <w:rPr>
                <w:rFonts w:eastAsia="Times New Roman"/>
                <w:sz w:val="18"/>
                <w:szCs w:val="18"/>
              </w:rPr>
              <w:t>• Mapping of hotspots</w:t>
            </w:r>
          </w:p>
          <w:p w14:paraId="4A943BC8" w14:textId="77777777" w:rsidR="00302BFE" w:rsidRPr="00806024" w:rsidRDefault="00302BFE" w:rsidP="00243B15">
            <w:pPr>
              <w:spacing w:after="0"/>
              <w:rPr>
                <w:rFonts w:eastAsia="Times New Roman"/>
                <w:sz w:val="18"/>
                <w:szCs w:val="18"/>
              </w:rPr>
            </w:pPr>
            <w:r w:rsidRPr="00806024">
              <w:rPr>
                <w:rFonts w:eastAsia="Times New Roman"/>
                <w:sz w:val="18"/>
                <w:szCs w:val="18"/>
              </w:rPr>
              <w:t>• Spatial and temporal characteristics</w:t>
            </w:r>
          </w:p>
          <w:p w14:paraId="33C6447E" w14:textId="77777777" w:rsidR="00302BFE" w:rsidRPr="00806024" w:rsidRDefault="00302BFE" w:rsidP="00243B15">
            <w:pPr>
              <w:spacing w:after="0"/>
              <w:rPr>
                <w:rFonts w:eastAsia="Times New Roman"/>
                <w:sz w:val="18"/>
                <w:szCs w:val="18"/>
              </w:rPr>
            </w:pPr>
            <w:r w:rsidRPr="00806024">
              <w:rPr>
                <w:rFonts w:eastAsia="Times New Roman"/>
                <w:sz w:val="18"/>
                <w:szCs w:val="18"/>
              </w:rPr>
              <w:t>• Social characteristics</w:t>
            </w:r>
          </w:p>
          <w:p w14:paraId="583E71A2" w14:textId="77777777" w:rsidR="00302BFE" w:rsidRPr="00806024" w:rsidRDefault="00302BFE" w:rsidP="00243B15">
            <w:pPr>
              <w:spacing w:after="0"/>
              <w:rPr>
                <w:rFonts w:eastAsia="Times New Roman"/>
                <w:sz w:val="18"/>
                <w:szCs w:val="18"/>
              </w:rPr>
            </w:pPr>
            <w:r w:rsidRPr="00806024">
              <w:rPr>
                <w:rFonts w:eastAsia="Times New Roman"/>
                <w:sz w:val="18"/>
                <w:szCs w:val="18"/>
              </w:rPr>
              <w:t>• Severity and impact</w:t>
            </w:r>
          </w:p>
          <w:p w14:paraId="6E9A4836" w14:textId="77777777" w:rsidR="00302BFE" w:rsidRPr="00806024" w:rsidRDefault="00302BFE" w:rsidP="00243B15">
            <w:pPr>
              <w:spacing w:after="0"/>
              <w:rPr>
                <w:rFonts w:eastAsia="Times New Roman"/>
                <w:sz w:val="18"/>
                <w:szCs w:val="18"/>
              </w:rPr>
            </w:pPr>
            <w:r w:rsidRPr="00806024">
              <w:rPr>
                <w:rFonts w:eastAsia="Times New Roman"/>
                <w:sz w:val="18"/>
                <w:szCs w:val="18"/>
              </w:rPr>
              <w:t>• Collecting conflict information</w:t>
            </w:r>
          </w:p>
        </w:tc>
        <w:tc>
          <w:tcPr>
            <w:tcW w:w="5014" w:type="dxa"/>
            <w:tcBorders>
              <w:top w:val="single" w:sz="4" w:space="0" w:color="auto"/>
              <w:left w:val="single" w:sz="4" w:space="0" w:color="auto"/>
              <w:bottom w:val="single" w:sz="4" w:space="0" w:color="auto"/>
              <w:right w:val="single" w:sz="4" w:space="0" w:color="auto"/>
            </w:tcBorders>
            <w:shd w:val="clear" w:color="auto" w:fill="auto"/>
            <w:hideMark/>
          </w:tcPr>
          <w:p w14:paraId="2FD14331" w14:textId="77777777" w:rsidR="00302BFE" w:rsidRPr="00806024" w:rsidRDefault="00302BFE" w:rsidP="00243B15">
            <w:pPr>
              <w:rPr>
                <w:rFonts w:eastAsia="Times New Roman"/>
                <w:color w:val="4472C4"/>
                <w:sz w:val="18"/>
                <w:szCs w:val="18"/>
              </w:rPr>
            </w:pPr>
            <w:r w:rsidRPr="00806024">
              <w:rPr>
                <w:rFonts w:eastAsia="Times New Roman"/>
                <w:color w:val="4472C4"/>
                <w:sz w:val="18"/>
                <w:szCs w:val="18"/>
              </w:rPr>
              <w:t>MONITORING</w:t>
            </w:r>
          </w:p>
          <w:p w14:paraId="0A0B8725" w14:textId="77777777" w:rsidR="00302BFE" w:rsidRPr="00806024" w:rsidRDefault="00302BFE" w:rsidP="00243B15">
            <w:pPr>
              <w:rPr>
                <w:rFonts w:eastAsia="Times New Roman"/>
                <w:sz w:val="18"/>
                <w:szCs w:val="18"/>
              </w:rPr>
            </w:pPr>
            <w:r w:rsidRPr="00806024">
              <w:rPr>
                <w:rFonts w:eastAsia="Times New Roman"/>
                <w:sz w:val="18"/>
                <w:szCs w:val="18"/>
              </w:rPr>
              <w:t>Measure the performance and effectiveness of human-wildlife conflict management interventions over time</w:t>
            </w:r>
          </w:p>
          <w:p w14:paraId="774C4FD5" w14:textId="77777777" w:rsidR="00302BFE" w:rsidRPr="00806024" w:rsidRDefault="00302BFE" w:rsidP="00243B15">
            <w:pPr>
              <w:spacing w:after="0"/>
              <w:rPr>
                <w:rFonts w:eastAsia="Times New Roman"/>
                <w:sz w:val="18"/>
                <w:szCs w:val="18"/>
              </w:rPr>
            </w:pPr>
            <w:r w:rsidRPr="00806024">
              <w:rPr>
                <w:rFonts w:eastAsia="Times New Roman"/>
                <w:sz w:val="18"/>
                <w:szCs w:val="18"/>
              </w:rPr>
              <w:t>• Tracking success</w:t>
            </w:r>
          </w:p>
          <w:p w14:paraId="459FA3D4" w14:textId="77777777" w:rsidR="00302BFE" w:rsidRPr="00806024" w:rsidRDefault="00302BFE" w:rsidP="00243B15">
            <w:pPr>
              <w:spacing w:after="0"/>
              <w:rPr>
                <w:rFonts w:eastAsia="Times New Roman"/>
                <w:sz w:val="18"/>
                <w:szCs w:val="18"/>
              </w:rPr>
            </w:pPr>
            <w:r w:rsidRPr="00806024">
              <w:rPr>
                <w:rFonts w:eastAsia="Times New Roman"/>
                <w:sz w:val="18"/>
                <w:szCs w:val="18"/>
              </w:rPr>
              <w:t>• Feedback</w:t>
            </w:r>
          </w:p>
          <w:p w14:paraId="185CC2D3" w14:textId="77777777" w:rsidR="00302BFE" w:rsidRPr="00806024" w:rsidRDefault="00302BFE" w:rsidP="00243B15">
            <w:pPr>
              <w:spacing w:after="0"/>
              <w:rPr>
                <w:rFonts w:eastAsia="Times New Roman"/>
                <w:sz w:val="18"/>
                <w:szCs w:val="18"/>
              </w:rPr>
            </w:pPr>
            <w:r w:rsidRPr="00806024">
              <w:rPr>
                <w:rFonts w:eastAsia="Times New Roman"/>
                <w:sz w:val="18"/>
                <w:szCs w:val="18"/>
              </w:rPr>
              <w:t>• Information sharing</w:t>
            </w:r>
          </w:p>
          <w:p w14:paraId="39AAE514" w14:textId="77777777" w:rsidR="00302BFE" w:rsidRPr="00806024" w:rsidRDefault="00302BFE" w:rsidP="00243B15">
            <w:pPr>
              <w:spacing w:after="0"/>
              <w:rPr>
                <w:rFonts w:eastAsia="Times New Roman"/>
                <w:sz w:val="18"/>
                <w:szCs w:val="18"/>
              </w:rPr>
            </w:pPr>
            <w:r w:rsidRPr="00806024">
              <w:rPr>
                <w:rFonts w:eastAsia="Times New Roman"/>
                <w:sz w:val="18"/>
                <w:szCs w:val="18"/>
              </w:rPr>
              <w:t>• Adaptive management</w:t>
            </w:r>
          </w:p>
        </w:tc>
      </w:tr>
    </w:tbl>
    <w:p w14:paraId="18D9ED61" w14:textId="77777777" w:rsidR="00302BFE" w:rsidRPr="005F3825" w:rsidRDefault="00302BFE" w:rsidP="00C46720">
      <w:pPr>
        <w:pStyle w:val="Paragraphedeliste"/>
        <w:numPr>
          <w:ilvl w:val="0"/>
          <w:numId w:val="14"/>
        </w:numPr>
        <w:tabs>
          <w:tab w:val="left" w:pos="284"/>
        </w:tabs>
        <w:spacing w:before="240" w:after="120"/>
        <w:ind w:left="0" w:firstLine="0"/>
        <w:jc w:val="both"/>
        <w:rPr>
          <w:rFonts w:ascii="Calibri" w:hAnsi="Calibri"/>
          <w:sz w:val="20"/>
          <w:szCs w:val="20"/>
          <w:lang w:val="en-GB"/>
        </w:rPr>
      </w:pPr>
      <w:r w:rsidRPr="005F3825">
        <w:rPr>
          <w:rFonts w:ascii="Calibri" w:eastAsia="Times New Roman" w:hAnsi="Calibri"/>
          <w:sz w:val="20"/>
          <w:szCs w:val="20"/>
          <w:lang w:val="en-GB"/>
        </w:rPr>
        <w:t>Actions may include measures such as the promotion of wildlife-compatible land uses, such as nature-based tourism enterprises or the cultivation of plants that are not palatable to wild animals; information and sensitization to local communities to prevent human-wildlife conflict, fencing on farms and avoid grazing livestock in conflict-prone areas, promoting safe work practices such as work in a group, popularizing the growth of dissuasive plants, among others.</w:t>
      </w:r>
    </w:p>
    <w:p w14:paraId="7B7453EA"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eastAsia="Times New Roman" w:hAnsi="Calibri"/>
          <w:i/>
          <w:color w:val="4472C4"/>
          <w:sz w:val="20"/>
          <w:szCs w:val="20"/>
          <w:lang w:val="en-GB"/>
        </w:rPr>
        <w:lastRenderedPageBreak/>
        <w:t xml:space="preserve"> </w:t>
      </w:r>
      <w:r w:rsidRPr="005F3825">
        <w:rPr>
          <w:rFonts w:ascii="Calibri" w:eastAsia="Times New Roman" w:hAnsi="Calibri"/>
          <w:i/>
          <w:sz w:val="20"/>
          <w:szCs w:val="20"/>
          <w:u w:val="single"/>
          <w:lang w:val="en-GB"/>
        </w:rPr>
        <w:t>Step 4: Implementation and monitoring of the strategy and action plan.</w:t>
      </w:r>
      <w:r w:rsidRPr="005F3825">
        <w:rPr>
          <w:rFonts w:ascii="Calibri" w:eastAsia="Times New Roman" w:hAnsi="Calibri"/>
          <w:sz w:val="20"/>
          <w:szCs w:val="20"/>
          <w:lang w:val="en-GB"/>
        </w:rPr>
        <w:t xml:space="preserve"> The project will support the implementation of the strategy and action plan in the priority sites, as part of the integrated landscape management plan, and the ongoing monitoring of progress, until the landscape is safe for people and wildlife. Once completed, the 4-step process can begin again, with a review and analysis of the data, followed by a stakeholder workshop to redefine and update the strategy. Over time, as the landscape becomes safer and data is collected more fully, this process will become more efficient as processes and knowledge become clearer. The information collected as part of the ongoing monitoring of the implementation of the strategy will be collated to update the databases created in Step 1 and create hotspots maps to inform rangers of incidents related to human wildlife conflict. - as well as for planning of the rounds and the frequency of monitoring and surveillance patrols.</w:t>
      </w:r>
    </w:p>
    <w:p w14:paraId="38C42242" w14:textId="77777777" w:rsidR="00302BFE" w:rsidRPr="005F3825"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5F3825">
        <w:rPr>
          <w:rFonts w:ascii="Calibri" w:hAnsi="Calibri"/>
          <w:i/>
          <w:color w:val="4472C4"/>
          <w:sz w:val="20"/>
          <w:szCs w:val="20"/>
          <w:lang w:val="en-GB"/>
        </w:rPr>
        <w:t xml:space="preserve">2.4.2 Research program on elephant movements within and outside the PONASI landscape, to Ghana and the two </w:t>
      </w:r>
      <w:proofErr w:type="spellStart"/>
      <w:r w:rsidRPr="005F3825">
        <w:rPr>
          <w:rFonts w:ascii="Calibri" w:hAnsi="Calibri"/>
          <w:i/>
          <w:color w:val="4472C4"/>
          <w:sz w:val="20"/>
          <w:szCs w:val="20"/>
          <w:lang w:val="en-GB"/>
        </w:rPr>
        <w:t>Balés</w:t>
      </w:r>
      <w:proofErr w:type="spellEnd"/>
      <w:r w:rsidRPr="005F3825">
        <w:rPr>
          <w:rFonts w:ascii="Calibri" w:hAnsi="Calibri"/>
          <w:i/>
          <w:color w:val="4472C4"/>
          <w:sz w:val="20"/>
          <w:szCs w:val="20"/>
          <w:lang w:val="en-GB"/>
        </w:rPr>
        <w:t xml:space="preserve"> classified forest</w:t>
      </w:r>
    </w:p>
    <w:p w14:paraId="57630755"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 xml:space="preserve">According to the West African Elephant Conservation Strategy 2005-2015, elephant conservation in West Africa is compromised by a lack of data on population numbers, population dynamics and seasonal movements. Knowledge of seasonal movements and use of different habitats is essential to limit disruption and encroachment on elephant habitat by exploitations (forestry, agriculture, </w:t>
      </w:r>
      <w:proofErr w:type="gramStart"/>
      <w:r w:rsidRPr="005F3825">
        <w:rPr>
          <w:rFonts w:ascii="Calibri" w:hAnsi="Calibri"/>
          <w:sz w:val="20"/>
          <w:szCs w:val="20"/>
          <w:lang w:val="en-GB"/>
        </w:rPr>
        <w:t>mining</w:t>
      </w:r>
      <w:proofErr w:type="gramEnd"/>
      <w:r w:rsidRPr="005F3825">
        <w:rPr>
          <w:rFonts w:ascii="Calibri" w:hAnsi="Calibri"/>
          <w:sz w:val="20"/>
          <w:szCs w:val="20"/>
          <w:lang w:val="en-GB"/>
        </w:rPr>
        <w:t xml:space="preserve"> and hunting) and adopt measures to reduce human-elephant conflicts. At the same time, it is important to understand the movements of elephant groups outside the PONASI PA complex to prevent intense poaching pressures from compromising the results of conservation efforts within the complex. Cooperation with Ghana for the pooling of available resources and coordination of studies and actions to combat poaching is required to effectively protect elephants whose range extends on both sides of the border. </w:t>
      </w:r>
    </w:p>
    <w:p w14:paraId="0D1D1B0E" w14:textId="77777777" w:rsidR="00302BFE" w:rsidRPr="00793D18"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793D18">
        <w:rPr>
          <w:rFonts w:ascii="Calibri" w:hAnsi="Calibri"/>
          <w:sz w:val="20"/>
          <w:szCs w:val="20"/>
          <w:lang w:val="en-GB"/>
        </w:rPr>
        <w:t xml:space="preserve">In addition to the corridors linking the </w:t>
      </w:r>
      <w:r w:rsidRPr="00793D18">
        <w:rPr>
          <w:rFonts w:ascii="Calibri" w:hAnsi="Calibri"/>
          <w:sz w:val="20"/>
          <w:szCs w:val="20"/>
          <w:lang w:val="en-CA"/>
        </w:rPr>
        <w:t>PNKT</w:t>
      </w:r>
      <w:r w:rsidRPr="00793D18">
        <w:rPr>
          <w:rFonts w:ascii="Calibri" w:hAnsi="Calibri"/>
          <w:sz w:val="20"/>
          <w:szCs w:val="20"/>
          <w:lang w:val="en-GB"/>
        </w:rPr>
        <w:t xml:space="preserve"> and </w:t>
      </w:r>
      <w:proofErr w:type="spellStart"/>
      <w:r w:rsidRPr="00793D18">
        <w:rPr>
          <w:rFonts w:ascii="Calibri" w:hAnsi="Calibri"/>
          <w:sz w:val="20"/>
          <w:szCs w:val="20"/>
          <w:lang w:val="en-GB"/>
        </w:rPr>
        <w:t>Nazinga</w:t>
      </w:r>
      <w:proofErr w:type="spellEnd"/>
      <w:r w:rsidRPr="00793D18">
        <w:rPr>
          <w:rFonts w:ascii="Calibri" w:hAnsi="Calibri"/>
          <w:sz w:val="20"/>
          <w:szCs w:val="20"/>
          <w:lang w:val="en-GB"/>
        </w:rPr>
        <w:t xml:space="preserve"> Game Ranch (Corridor # 1) and Southeast of </w:t>
      </w:r>
      <w:r w:rsidRPr="00793D18">
        <w:rPr>
          <w:rFonts w:ascii="Calibri" w:hAnsi="Calibri"/>
          <w:sz w:val="20"/>
          <w:szCs w:val="20"/>
          <w:lang w:val="en-CA"/>
        </w:rPr>
        <w:t>PNKT</w:t>
      </w:r>
      <w:r w:rsidRPr="00793D18">
        <w:rPr>
          <w:rFonts w:ascii="Calibri" w:hAnsi="Calibri"/>
          <w:sz w:val="20"/>
          <w:szCs w:val="20"/>
          <w:lang w:val="en-GB"/>
        </w:rPr>
        <w:t xml:space="preserve"> and Northern Ghana (Corridor # 2), elephants have been observed to frequent other areas. Some corridors such as that linking the Classified Forests of the Deux-</w:t>
      </w:r>
      <w:proofErr w:type="spellStart"/>
      <w:r w:rsidRPr="00793D18">
        <w:rPr>
          <w:rFonts w:ascii="Calibri" w:hAnsi="Calibri"/>
          <w:sz w:val="20"/>
          <w:szCs w:val="20"/>
          <w:lang w:val="en-GB"/>
        </w:rPr>
        <w:t>Balés</w:t>
      </w:r>
      <w:proofErr w:type="spellEnd"/>
      <w:r w:rsidRPr="00793D18">
        <w:rPr>
          <w:rFonts w:ascii="Calibri" w:hAnsi="Calibri"/>
          <w:sz w:val="20"/>
          <w:szCs w:val="20"/>
          <w:lang w:val="en-GB"/>
        </w:rPr>
        <w:t xml:space="preserve"> and the </w:t>
      </w:r>
      <w:proofErr w:type="spellStart"/>
      <w:r w:rsidRPr="00793D18">
        <w:rPr>
          <w:rFonts w:ascii="Calibri" w:hAnsi="Calibri"/>
          <w:sz w:val="20"/>
          <w:szCs w:val="20"/>
          <w:lang w:val="en-GB"/>
        </w:rPr>
        <w:t>Sissili</w:t>
      </w:r>
      <w:proofErr w:type="spellEnd"/>
      <w:r w:rsidRPr="00793D18">
        <w:rPr>
          <w:rFonts w:ascii="Calibri" w:hAnsi="Calibri"/>
          <w:sz w:val="20"/>
          <w:szCs w:val="20"/>
          <w:lang w:val="en-GB"/>
        </w:rPr>
        <w:t xml:space="preserve"> Classified Forest via the </w:t>
      </w:r>
      <w:r w:rsidRPr="00793D18">
        <w:rPr>
          <w:rFonts w:ascii="Calibri" w:hAnsi="Calibri"/>
          <w:sz w:val="20"/>
          <w:szCs w:val="20"/>
          <w:lang w:val="en-CA"/>
        </w:rPr>
        <w:t>PNKT</w:t>
      </w:r>
      <w:r w:rsidRPr="00793D18">
        <w:rPr>
          <w:rFonts w:ascii="Calibri" w:hAnsi="Calibri"/>
          <w:sz w:val="20"/>
          <w:szCs w:val="20"/>
          <w:lang w:val="en-GB"/>
        </w:rPr>
        <w:t xml:space="preserve"> and the regular areas of </w:t>
      </w:r>
      <w:proofErr w:type="spellStart"/>
      <w:r w:rsidRPr="00793D18">
        <w:rPr>
          <w:rFonts w:ascii="Calibri" w:hAnsi="Calibri"/>
          <w:sz w:val="20"/>
          <w:szCs w:val="20"/>
          <w:lang w:val="en-GB"/>
        </w:rPr>
        <w:t>Bakata-Bougnounou</w:t>
      </w:r>
      <w:proofErr w:type="spellEnd"/>
      <w:r w:rsidRPr="00793D18">
        <w:rPr>
          <w:rFonts w:ascii="Calibri" w:hAnsi="Calibri"/>
          <w:sz w:val="20"/>
          <w:szCs w:val="20"/>
          <w:lang w:val="en-GB"/>
        </w:rPr>
        <w:t xml:space="preserve">, or the corridor to cross the CAF from </w:t>
      </w:r>
      <w:proofErr w:type="spellStart"/>
      <w:r w:rsidRPr="00793D18">
        <w:rPr>
          <w:rFonts w:ascii="Calibri" w:hAnsi="Calibri"/>
          <w:sz w:val="20"/>
          <w:szCs w:val="20"/>
          <w:lang w:val="en-GB"/>
        </w:rPr>
        <w:t>Nazinon</w:t>
      </w:r>
      <w:proofErr w:type="spellEnd"/>
      <w:r w:rsidRPr="00793D18">
        <w:rPr>
          <w:rFonts w:ascii="Calibri" w:hAnsi="Calibri"/>
          <w:sz w:val="20"/>
          <w:szCs w:val="20"/>
          <w:lang w:val="en-GB"/>
        </w:rPr>
        <w:t xml:space="preserve"> to the </w:t>
      </w:r>
      <w:proofErr w:type="spellStart"/>
      <w:r w:rsidRPr="00793D18">
        <w:rPr>
          <w:rFonts w:ascii="Calibri" w:hAnsi="Calibri"/>
          <w:sz w:val="20"/>
          <w:szCs w:val="20"/>
          <w:lang w:val="en-GB"/>
        </w:rPr>
        <w:t>Sissili</w:t>
      </w:r>
      <w:proofErr w:type="spellEnd"/>
      <w:r w:rsidRPr="00793D18">
        <w:rPr>
          <w:rFonts w:ascii="Calibri" w:hAnsi="Calibri"/>
          <w:sz w:val="20"/>
          <w:szCs w:val="20"/>
          <w:lang w:val="en-GB"/>
        </w:rPr>
        <w:t xml:space="preserve"> Classified Forest passing north of </w:t>
      </w:r>
      <w:proofErr w:type="spellStart"/>
      <w:r w:rsidRPr="00793D18">
        <w:rPr>
          <w:rFonts w:ascii="Calibri" w:hAnsi="Calibri"/>
          <w:sz w:val="20"/>
          <w:szCs w:val="20"/>
          <w:lang w:val="en-GB"/>
        </w:rPr>
        <w:t>Sapouy</w:t>
      </w:r>
      <w:proofErr w:type="spellEnd"/>
      <w:r w:rsidRPr="00793D18">
        <w:rPr>
          <w:rFonts w:ascii="Calibri" w:hAnsi="Calibri"/>
          <w:sz w:val="20"/>
          <w:szCs w:val="20"/>
          <w:lang w:val="en-GB"/>
        </w:rPr>
        <w:t xml:space="preserve"> are no longer used today because of the barriers created by human settlements. An action plan for the management of transboundary conservation corridor elephants </w:t>
      </w:r>
      <w:proofErr w:type="spellStart"/>
      <w:r w:rsidRPr="00793D18">
        <w:rPr>
          <w:rFonts w:ascii="Calibri" w:hAnsi="Calibri"/>
          <w:sz w:val="20"/>
          <w:szCs w:val="20"/>
          <w:lang w:val="en-GB"/>
        </w:rPr>
        <w:t>Nazinga</w:t>
      </w:r>
      <w:proofErr w:type="spellEnd"/>
      <w:r w:rsidRPr="00793D18">
        <w:rPr>
          <w:rFonts w:ascii="Calibri" w:hAnsi="Calibri"/>
          <w:sz w:val="20"/>
          <w:szCs w:val="20"/>
          <w:lang w:val="en-GB"/>
        </w:rPr>
        <w:t xml:space="preserve"> - Kabore-</w:t>
      </w:r>
      <w:proofErr w:type="spellStart"/>
      <w:r w:rsidRPr="00793D18">
        <w:rPr>
          <w:rFonts w:ascii="Calibri" w:hAnsi="Calibri"/>
          <w:sz w:val="20"/>
          <w:szCs w:val="20"/>
          <w:lang w:val="en-GB"/>
        </w:rPr>
        <w:t>Tambi</w:t>
      </w:r>
      <w:proofErr w:type="spellEnd"/>
      <w:r w:rsidRPr="00793D18">
        <w:rPr>
          <w:rFonts w:ascii="Calibri" w:hAnsi="Calibri"/>
          <w:sz w:val="20"/>
          <w:szCs w:val="20"/>
          <w:lang w:val="en-GB"/>
        </w:rPr>
        <w:t xml:space="preserve"> National Park</w:t>
      </w:r>
      <w:r>
        <w:rPr>
          <w:rFonts w:ascii="Calibri" w:hAnsi="Calibri"/>
          <w:sz w:val="20"/>
          <w:szCs w:val="20"/>
          <w:lang w:val="en-GB"/>
        </w:rPr>
        <w:t xml:space="preserve"> </w:t>
      </w:r>
      <w:r w:rsidRPr="00793D18">
        <w:rPr>
          <w:rFonts w:ascii="Calibri" w:hAnsi="Calibri"/>
          <w:sz w:val="20"/>
          <w:szCs w:val="20"/>
          <w:lang w:val="en-GB"/>
        </w:rPr>
        <w:t>-</w:t>
      </w:r>
      <w:r>
        <w:rPr>
          <w:rFonts w:ascii="Calibri" w:hAnsi="Calibri"/>
          <w:sz w:val="20"/>
          <w:szCs w:val="20"/>
          <w:lang w:val="en-GB"/>
        </w:rPr>
        <w:t xml:space="preserve"> </w:t>
      </w:r>
      <w:r w:rsidRPr="00793D18">
        <w:rPr>
          <w:rFonts w:ascii="Calibri" w:hAnsi="Calibri"/>
          <w:sz w:val="20"/>
          <w:szCs w:val="20"/>
          <w:lang w:val="en-GB"/>
        </w:rPr>
        <w:t>Red Volta</w:t>
      </w:r>
      <w:r>
        <w:rPr>
          <w:rFonts w:ascii="Calibri" w:hAnsi="Calibri"/>
          <w:sz w:val="20"/>
          <w:szCs w:val="20"/>
          <w:lang w:val="en-GB"/>
        </w:rPr>
        <w:t xml:space="preserve"> </w:t>
      </w:r>
      <w:r w:rsidRPr="00793D18">
        <w:rPr>
          <w:rFonts w:ascii="Calibri" w:hAnsi="Calibri"/>
          <w:sz w:val="20"/>
          <w:szCs w:val="20"/>
          <w:lang w:val="en-GB"/>
        </w:rPr>
        <w:t>-</w:t>
      </w:r>
      <w:r>
        <w:rPr>
          <w:rFonts w:ascii="Calibri" w:hAnsi="Calibri"/>
          <w:sz w:val="20"/>
          <w:szCs w:val="20"/>
          <w:lang w:val="en-GB"/>
        </w:rPr>
        <w:t xml:space="preserve"> </w:t>
      </w:r>
      <w:proofErr w:type="spellStart"/>
      <w:r w:rsidRPr="00793D18">
        <w:rPr>
          <w:rFonts w:ascii="Calibri" w:hAnsi="Calibri"/>
          <w:sz w:val="20"/>
          <w:szCs w:val="20"/>
          <w:lang w:val="en-GB"/>
        </w:rPr>
        <w:t>Doungh</w:t>
      </w:r>
      <w:proofErr w:type="spellEnd"/>
      <w:r w:rsidRPr="00793D18">
        <w:rPr>
          <w:rFonts w:ascii="Calibri" w:hAnsi="Calibri"/>
          <w:sz w:val="20"/>
          <w:szCs w:val="20"/>
          <w:lang w:val="en-GB"/>
        </w:rPr>
        <w:t xml:space="preserve"> was developed in 2003 with support from IUCN</w:t>
      </w:r>
      <w:r w:rsidRPr="00793D18">
        <w:rPr>
          <w:rStyle w:val="Appelnotedebasdep"/>
          <w:rFonts w:ascii="Calibri" w:hAnsi="Calibri"/>
          <w:sz w:val="20"/>
          <w:szCs w:val="20"/>
          <w:lang w:val="fr-CA"/>
        </w:rPr>
        <w:footnoteReference w:id="59"/>
      </w:r>
      <w:r w:rsidRPr="00793D18">
        <w:rPr>
          <w:rFonts w:ascii="Calibri" w:hAnsi="Calibri"/>
          <w:sz w:val="20"/>
          <w:szCs w:val="20"/>
          <w:lang w:val="en-CA"/>
        </w:rPr>
        <w:t xml:space="preserve"> </w:t>
      </w:r>
      <w:proofErr w:type="gramStart"/>
      <w:r w:rsidRPr="00793D18">
        <w:rPr>
          <w:rFonts w:ascii="Calibri" w:hAnsi="Calibri"/>
          <w:sz w:val="20"/>
          <w:szCs w:val="20"/>
          <w:lang w:val="en-GB"/>
        </w:rPr>
        <w:t>on the basis of</w:t>
      </w:r>
      <w:proofErr w:type="gramEnd"/>
      <w:r w:rsidRPr="00793D18">
        <w:rPr>
          <w:rFonts w:ascii="Calibri" w:hAnsi="Calibri"/>
          <w:sz w:val="20"/>
          <w:szCs w:val="20"/>
          <w:lang w:val="en-GB"/>
        </w:rPr>
        <w:t xml:space="preserve"> observations of intense movements of elephant populations between the PAs of the PONASI complex and the Ghana Red Volta ecosystem to the </w:t>
      </w:r>
      <w:proofErr w:type="spellStart"/>
      <w:r w:rsidRPr="00793D18">
        <w:rPr>
          <w:rFonts w:ascii="Calibri" w:hAnsi="Calibri"/>
          <w:sz w:val="20"/>
          <w:szCs w:val="20"/>
          <w:lang w:val="en-GB"/>
        </w:rPr>
        <w:t>Doungh</w:t>
      </w:r>
      <w:proofErr w:type="spellEnd"/>
      <w:r w:rsidRPr="00793D18">
        <w:rPr>
          <w:rFonts w:ascii="Calibri" w:hAnsi="Calibri"/>
          <w:sz w:val="20"/>
          <w:szCs w:val="20"/>
          <w:lang w:val="en-GB"/>
        </w:rPr>
        <w:t xml:space="preserve"> forest in north-western Togo. This corridor was home to a total of 770 elephants. The developments over the past 15 years have reduced these movement patterns, at least the path to Togo. Recent observations suggest the use of another corridor connecting the PONASI PAs complex and the Classified Forests of the Deux-Bales, along the shoals to the south, then east to Léo, to cross the border and follow the forests of Ghana, and finally go back to </w:t>
      </w:r>
      <w:proofErr w:type="spellStart"/>
      <w:r w:rsidRPr="00793D18">
        <w:rPr>
          <w:rFonts w:ascii="Calibri" w:hAnsi="Calibri"/>
          <w:sz w:val="20"/>
          <w:szCs w:val="20"/>
          <w:lang w:val="en-GB"/>
        </w:rPr>
        <w:t>Bieha</w:t>
      </w:r>
      <w:proofErr w:type="spellEnd"/>
      <w:r w:rsidRPr="00793D18">
        <w:rPr>
          <w:rFonts w:ascii="Calibri" w:hAnsi="Calibri"/>
          <w:sz w:val="20"/>
          <w:szCs w:val="20"/>
          <w:lang w:val="en-GB"/>
        </w:rPr>
        <w:t xml:space="preserve">, </w:t>
      </w:r>
      <w:proofErr w:type="spellStart"/>
      <w:r w:rsidRPr="00793D18">
        <w:rPr>
          <w:rFonts w:ascii="Calibri" w:hAnsi="Calibri"/>
          <w:sz w:val="20"/>
          <w:szCs w:val="20"/>
          <w:lang w:val="en-GB"/>
        </w:rPr>
        <w:t>Kounou</w:t>
      </w:r>
      <w:proofErr w:type="spellEnd"/>
      <w:r w:rsidRPr="00793D18">
        <w:rPr>
          <w:rFonts w:ascii="Calibri" w:hAnsi="Calibri"/>
          <w:sz w:val="20"/>
          <w:szCs w:val="20"/>
          <w:lang w:val="en-GB"/>
        </w:rPr>
        <w:t xml:space="preserve"> or </w:t>
      </w:r>
      <w:proofErr w:type="spellStart"/>
      <w:r w:rsidRPr="00793D18">
        <w:rPr>
          <w:rFonts w:ascii="Calibri" w:hAnsi="Calibri"/>
          <w:sz w:val="20"/>
          <w:szCs w:val="20"/>
          <w:lang w:val="en-GB"/>
        </w:rPr>
        <w:t>Nazinga</w:t>
      </w:r>
      <w:proofErr w:type="spellEnd"/>
      <w:r w:rsidRPr="00793D18">
        <w:rPr>
          <w:rFonts w:ascii="Calibri" w:hAnsi="Calibri"/>
          <w:sz w:val="20"/>
          <w:szCs w:val="20"/>
          <w:lang w:val="en-GB"/>
        </w:rPr>
        <w:t xml:space="preserve">, to escape the intensive poaching that rages in Ghana. </w:t>
      </w:r>
      <w:proofErr w:type="gramStart"/>
      <w:r w:rsidRPr="00793D18">
        <w:rPr>
          <w:rFonts w:ascii="Calibri" w:hAnsi="Calibri"/>
          <w:sz w:val="20"/>
          <w:szCs w:val="20"/>
          <w:lang w:val="en-GB"/>
        </w:rPr>
        <w:t>On the basis of</w:t>
      </w:r>
      <w:proofErr w:type="gramEnd"/>
      <w:r w:rsidRPr="00793D18">
        <w:rPr>
          <w:rFonts w:ascii="Calibri" w:hAnsi="Calibri"/>
          <w:sz w:val="20"/>
          <w:szCs w:val="20"/>
          <w:lang w:val="en-GB"/>
        </w:rPr>
        <w:t xml:space="preserve"> recent inventories, the report on the status of the African elephant</w:t>
      </w:r>
      <w:r w:rsidRPr="00793D18">
        <w:rPr>
          <w:rStyle w:val="Appelnotedebasdep"/>
          <w:rFonts w:ascii="Calibri" w:hAnsi="Calibri"/>
          <w:sz w:val="20"/>
          <w:szCs w:val="20"/>
        </w:rPr>
        <w:footnoteReference w:id="60"/>
      </w:r>
      <w:r w:rsidRPr="00793D18">
        <w:rPr>
          <w:rFonts w:ascii="Calibri" w:hAnsi="Calibri"/>
          <w:sz w:val="20"/>
          <w:szCs w:val="20"/>
          <w:lang w:val="en-GB"/>
        </w:rPr>
        <w:t xml:space="preserve"> also proposes that the Deux </w:t>
      </w:r>
      <w:proofErr w:type="spellStart"/>
      <w:r w:rsidRPr="00793D18">
        <w:rPr>
          <w:rFonts w:ascii="Calibri" w:hAnsi="Calibri"/>
          <w:sz w:val="20"/>
          <w:szCs w:val="20"/>
          <w:lang w:val="en-GB"/>
        </w:rPr>
        <w:t>Balés</w:t>
      </w:r>
      <w:proofErr w:type="spellEnd"/>
      <w:r w:rsidRPr="00793D18">
        <w:rPr>
          <w:rFonts w:ascii="Calibri" w:hAnsi="Calibri"/>
          <w:sz w:val="20"/>
          <w:szCs w:val="20"/>
          <w:lang w:val="en-GB"/>
        </w:rPr>
        <w:t xml:space="preserve"> classified forest be part of a potential range.</w:t>
      </w:r>
    </w:p>
    <w:p w14:paraId="30A38D07" w14:textId="1FADE232"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 xml:space="preserve">Habitats extending from Corridor # 2 on the Ghanaian side </w:t>
      </w:r>
      <w:r>
        <w:rPr>
          <w:rFonts w:ascii="Calibri" w:hAnsi="Calibri"/>
          <w:sz w:val="20"/>
          <w:szCs w:val="20"/>
          <w:lang w:val="en-GB"/>
        </w:rPr>
        <w:t>are</w:t>
      </w:r>
      <w:r w:rsidRPr="005F3825">
        <w:rPr>
          <w:rFonts w:ascii="Calibri" w:hAnsi="Calibri"/>
          <w:sz w:val="20"/>
          <w:szCs w:val="20"/>
          <w:lang w:val="en-GB"/>
        </w:rPr>
        <w:t xml:space="preserve"> no</w:t>
      </w:r>
      <w:r>
        <w:rPr>
          <w:rFonts w:ascii="Calibri" w:hAnsi="Calibri"/>
          <w:sz w:val="20"/>
          <w:szCs w:val="20"/>
          <w:lang w:val="en-GB"/>
        </w:rPr>
        <w:t>t effectively</w:t>
      </w:r>
      <w:r w:rsidRPr="005F3825">
        <w:rPr>
          <w:rFonts w:ascii="Calibri" w:hAnsi="Calibri"/>
          <w:sz w:val="20"/>
          <w:szCs w:val="20"/>
          <w:lang w:val="en-GB"/>
        </w:rPr>
        <w:t xml:space="preserve"> protect</w:t>
      </w:r>
      <w:r>
        <w:rPr>
          <w:rFonts w:ascii="Calibri" w:hAnsi="Calibri"/>
          <w:sz w:val="20"/>
          <w:szCs w:val="20"/>
          <w:lang w:val="en-GB"/>
        </w:rPr>
        <w:t>ed</w:t>
      </w:r>
      <w:r w:rsidRPr="005F3825">
        <w:rPr>
          <w:rFonts w:ascii="Calibri" w:hAnsi="Calibri"/>
          <w:sz w:val="20"/>
          <w:szCs w:val="20"/>
          <w:lang w:val="en-GB"/>
        </w:rPr>
        <w:t xml:space="preserve"> so that poaching is carried out without restraint. It is reported that elephants no longer cross the border at this </w:t>
      </w:r>
      <w:r w:rsidRPr="00AF5290">
        <w:rPr>
          <w:rFonts w:ascii="Calibri" w:hAnsi="Calibri"/>
          <w:sz w:val="20"/>
          <w:szCs w:val="20"/>
          <w:lang w:val="en-GB"/>
        </w:rPr>
        <w:t>point mainly because of poaching, so that some elephants would follow corridor # 2 to return to Burkina while others circulate in the rivers of</w:t>
      </w:r>
      <w:r w:rsidR="00C621E8" w:rsidRPr="00AF5290">
        <w:rPr>
          <w:rFonts w:ascii="Calibri" w:hAnsi="Calibri"/>
          <w:sz w:val="20"/>
          <w:szCs w:val="20"/>
        </w:rPr>
        <w:t xml:space="preserve"> </w:t>
      </w:r>
      <w:proofErr w:type="spellStart"/>
      <w:r w:rsidR="00C621E8" w:rsidRPr="00AF5290">
        <w:rPr>
          <w:rFonts w:ascii="Calibri" w:hAnsi="Calibri"/>
          <w:sz w:val="20"/>
          <w:szCs w:val="20"/>
        </w:rPr>
        <w:t>Nakambé</w:t>
      </w:r>
      <w:proofErr w:type="spellEnd"/>
      <w:r w:rsidR="00C621E8" w:rsidRPr="00AF5290">
        <w:rPr>
          <w:rFonts w:ascii="Calibri" w:hAnsi="Calibri"/>
          <w:sz w:val="20"/>
          <w:szCs w:val="20"/>
        </w:rPr>
        <w:t xml:space="preserve"> and </w:t>
      </w:r>
      <w:proofErr w:type="spellStart"/>
      <w:r w:rsidR="00C621E8" w:rsidRPr="00AF5290">
        <w:rPr>
          <w:rFonts w:ascii="Calibri" w:hAnsi="Calibri"/>
          <w:sz w:val="20"/>
          <w:szCs w:val="20"/>
        </w:rPr>
        <w:t>Nazinon</w:t>
      </w:r>
      <w:proofErr w:type="spellEnd"/>
      <w:r w:rsidR="00C621E8" w:rsidRPr="00AF5290">
        <w:rPr>
          <w:rFonts w:ascii="Calibri" w:hAnsi="Calibri"/>
          <w:sz w:val="20"/>
          <w:szCs w:val="20"/>
        </w:rPr>
        <w:t xml:space="preserve"> </w:t>
      </w:r>
      <w:r w:rsidRPr="00AF5290">
        <w:rPr>
          <w:rFonts w:ascii="Calibri" w:hAnsi="Calibri"/>
          <w:sz w:val="20"/>
          <w:szCs w:val="20"/>
          <w:lang w:val="en-GB"/>
        </w:rPr>
        <w:t>which</w:t>
      </w:r>
      <w:r w:rsidRPr="005F3825">
        <w:rPr>
          <w:rFonts w:ascii="Calibri" w:hAnsi="Calibri"/>
          <w:sz w:val="20"/>
          <w:szCs w:val="20"/>
          <w:lang w:val="en-GB"/>
        </w:rPr>
        <w:t xml:space="preserve"> are better monitored.</w:t>
      </w:r>
    </w:p>
    <w:p w14:paraId="0D660E14"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 xml:space="preserve">Before making investments to secure other routes, it is necessary to </w:t>
      </w:r>
      <w:r>
        <w:rPr>
          <w:rFonts w:ascii="Calibri" w:hAnsi="Calibri"/>
          <w:sz w:val="20"/>
          <w:szCs w:val="20"/>
          <w:lang w:val="en-GB"/>
        </w:rPr>
        <w:t>conduct</w:t>
      </w:r>
      <w:r w:rsidRPr="005F3825">
        <w:rPr>
          <w:rFonts w:ascii="Calibri" w:hAnsi="Calibri"/>
          <w:sz w:val="20"/>
          <w:szCs w:val="20"/>
          <w:lang w:val="en-GB"/>
        </w:rPr>
        <w:t xml:space="preserve"> systematic surveys to be able to confidently determine the regular patterns of movement of this elephant population in Burkina Faso and Ghana. The project will support the conducting of a highly targeted research project, essentially seeking to clarify whether additional corridors need to be secured to protect the elephant population that frequents the PONASI PA complex and to avoid comprising the efforts made there. Where appropriate, the corridor will be identified as well as the issues and obstacles to overcome </w:t>
      </w:r>
      <w:proofErr w:type="gramStart"/>
      <w:r w:rsidRPr="005F3825">
        <w:rPr>
          <w:rFonts w:ascii="Calibri" w:hAnsi="Calibri"/>
          <w:sz w:val="20"/>
          <w:szCs w:val="20"/>
          <w:lang w:val="en-GB"/>
        </w:rPr>
        <w:t>in order to</w:t>
      </w:r>
      <w:proofErr w:type="gramEnd"/>
      <w:r w:rsidRPr="005F3825">
        <w:rPr>
          <w:rFonts w:ascii="Calibri" w:hAnsi="Calibri"/>
          <w:sz w:val="20"/>
          <w:szCs w:val="20"/>
          <w:lang w:val="en-GB"/>
        </w:rPr>
        <w:t xml:space="preserve"> implement the required protection measures.</w:t>
      </w:r>
    </w:p>
    <w:p w14:paraId="1F36C226" w14:textId="0E1DFD59"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 xml:space="preserve">This research project will bring together national experts from the Laboratory of Animal Biology and Ecology of the University </w:t>
      </w:r>
      <w:r w:rsidR="00AF69A2" w:rsidRPr="00AF5290">
        <w:rPr>
          <w:rFonts w:ascii="Calibri" w:hAnsi="Calibri"/>
          <w:sz w:val="20"/>
          <w:szCs w:val="20"/>
        </w:rPr>
        <w:t xml:space="preserve">Joseph Ki ZERBO </w:t>
      </w:r>
      <w:r w:rsidRPr="00AF5290">
        <w:rPr>
          <w:rFonts w:ascii="Calibri" w:hAnsi="Calibri"/>
          <w:sz w:val="20"/>
          <w:szCs w:val="20"/>
          <w:lang w:val="en-GB"/>
        </w:rPr>
        <w:t>of</w:t>
      </w:r>
      <w:r w:rsidRPr="005F3825">
        <w:rPr>
          <w:rFonts w:ascii="Calibri" w:hAnsi="Calibri"/>
          <w:sz w:val="20"/>
          <w:szCs w:val="20"/>
          <w:lang w:val="en-GB"/>
        </w:rPr>
        <w:t xml:space="preserve"> Ouagadougou, and other elephant experts from West Africa. The research will be carried out in collaboration with Ghana to clarify the </w:t>
      </w:r>
      <w:proofErr w:type="spellStart"/>
      <w:r w:rsidRPr="005F3825">
        <w:rPr>
          <w:rFonts w:ascii="Calibri" w:hAnsi="Calibri"/>
          <w:sz w:val="20"/>
          <w:szCs w:val="20"/>
          <w:lang w:val="en-GB"/>
        </w:rPr>
        <w:t>spatio</w:t>
      </w:r>
      <w:proofErr w:type="spellEnd"/>
      <w:r w:rsidRPr="005F3825">
        <w:rPr>
          <w:rFonts w:ascii="Calibri" w:hAnsi="Calibri"/>
          <w:sz w:val="20"/>
          <w:szCs w:val="20"/>
          <w:lang w:val="en-GB"/>
        </w:rPr>
        <w:t>-temporal characteristics of movements between the BF and Ghana, the threats to animals during these movements, assess the relevance of habitats to meet the vital needs of elephants and threats along these routes, including Human-Wildlife conflicts, identify needs in terms of habitats to be restored to ensure elephant safety and identify opportunities for collaboration in view of implementation. The IUCN African Elephant Specialist Group can play an important role in facilitating the exchange of information and contacts with Ghanaian experts.</w:t>
      </w:r>
    </w:p>
    <w:p w14:paraId="12C2FE14" w14:textId="02AE4B15" w:rsidR="00302BFE" w:rsidRDefault="00302BFE" w:rsidP="00302BFE">
      <w:pPr>
        <w:spacing w:before="120" w:after="120"/>
        <w:rPr>
          <w:i/>
          <w:color w:val="4472C4"/>
          <w:szCs w:val="20"/>
          <w:lang w:val="en-GB"/>
        </w:rPr>
      </w:pPr>
      <w:r w:rsidRPr="005F3825">
        <w:rPr>
          <w:i/>
          <w:color w:val="4472C4"/>
          <w:szCs w:val="20"/>
          <w:lang w:val="en-GB"/>
        </w:rPr>
        <w:t>2.4.3 Renewal of transboundary collaboration agreements with Ghana for the conservation of shared natural resources</w:t>
      </w:r>
    </w:p>
    <w:p w14:paraId="73830B37" w14:textId="3C645AF5" w:rsidR="00470FFF" w:rsidRPr="00BE65D5" w:rsidRDefault="00470FFF" w:rsidP="00302BFE">
      <w:pPr>
        <w:spacing w:before="120" w:after="120"/>
        <w:rPr>
          <w:iCs/>
          <w:color w:val="4472C4"/>
          <w:szCs w:val="20"/>
          <w:lang w:val="en-GB"/>
        </w:rPr>
      </w:pPr>
      <w:r w:rsidRPr="00AF5290">
        <w:rPr>
          <w:iCs/>
          <w:color w:val="4472C4"/>
          <w:szCs w:val="20"/>
          <w:lang w:val="en-GB"/>
        </w:rPr>
        <w:t xml:space="preserve">For this activity, the FPIC (Free, Prior and Informed Consent) process </w:t>
      </w:r>
      <w:proofErr w:type="gramStart"/>
      <w:r w:rsidRPr="00AF5290">
        <w:rPr>
          <w:iCs/>
          <w:color w:val="4472C4"/>
          <w:szCs w:val="20"/>
          <w:lang w:val="en-GB"/>
        </w:rPr>
        <w:t>has to</w:t>
      </w:r>
      <w:proofErr w:type="gramEnd"/>
      <w:r w:rsidRPr="00AF5290">
        <w:rPr>
          <w:iCs/>
          <w:color w:val="4472C4"/>
          <w:szCs w:val="20"/>
          <w:lang w:val="en-GB"/>
        </w:rPr>
        <w:t xml:space="preserve"> be ensured</w:t>
      </w:r>
    </w:p>
    <w:p w14:paraId="5D9A09AC"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Pr>
          <w:rFonts w:ascii="Calibri" w:hAnsi="Calibri"/>
          <w:sz w:val="20"/>
          <w:szCs w:val="20"/>
          <w:lang w:val="en-GB"/>
        </w:rPr>
        <w:lastRenderedPageBreak/>
        <w:t>I</w:t>
      </w:r>
      <w:r w:rsidRPr="005F3825">
        <w:rPr>
          <w:rFonts w:ascii="Calibri" w:hAnsi="Calibri"/>
          <w:sz w:val="20"/>
          <w:szCs w:val="20"/>
          <w:lang w:val="en-GB"/>
        </w:rPr>
        <w:t>t is essential to renew the transboundary collaboration agreements</w:t>
      </w:r>
      <w:r>
        <w:rPr>
          <w:rFonts w:ascii="Calibri" w:hAnsi="Calibri"/>
          <w:sz w:val="20"/>
          <w:szCs w:val="20"/>
          <w:lang w:val="en-GB"/>
        </w:rPr>
        <w:t xml:space="preserve"> to develop synergies and harmonize conservation efforts conducted by both countries to protect shared resources, especially elephants, as they use habitats on either side of the border.</w:t>
      </w:r>
      <w:r w:rsidRPr="005F3825">
        <w:rPr>
          <w:rFonts w:ascii="Calibri" w:hAnsi="Calibri"/>
          <w:sz w:val="20"/>
          <w:szCs w:val="20"/>
          <w:lang w:val="en-GB"/>
        </w:rPr>
        <w:t xml:space="preserve"> A</w:t>
      </w:r>
      <w:r>
        <w:rPr>
          <w:rFonts w:ascii="Calibri" w:hAnsi="Calibri"/>
          <w:sz w:val="20"/>
          <w:szCs w:val="20"/>
          <w:lang w:val="en-GB"/>
        </w:rPr>
        <w:t xml:space="preserve"> previous</w:t>
      </w:r>
      <w:r w:rsidRPr="005F3825">
        <w:rPr>
          <w:rFonts w:ascii="Calibri" w:hAnsi="Calibri"/>
          <w:sz w:val="20"/>
          <w:szCs w:val="20"/>
          <w:lang w:val="en-GB"/>
        </w:rPr>
        <w:t xml:space="preserve"> agreement was signed in 2008 between Ghana and Burkina Faso on the transboundary management of shared natural resources between Ghana and Burkina Faso</w:t>
      </w:r>
      <w:r>
        <w:rPr>
          <w:rFonts w:ascii="Calibri" w:hAnsi="Calibri"/>
          <w:sz w:val="20"/>
          <w:szCs w:val="20"/>
          <w:lang w:val="en-GB"/>
        </w:rPr>
        <w:t xml:space="preserve"> but ha</w:t>
      </w:r>
      <w:r w:rsidRPr="005F3825">
        <w:rPr>
          <w:rFonts w:ascii="Calibri" w:hAnsi="Calibri"/>
          <w:sz w:val="20"/>
          <w:szCs w:val="20"/>
          <w:lang w:val="en-GB"/>
        </w:rPr>
        <w:t xml:space="preserve">s not been implemented. </w:t>
      </w:r>
      <w:r>
        <w:rPr>
          <w:rFonts w:ascii="Calibri" w:hAnsi="Calibri"/>
          <w:sz w:val="20"/>
          <w:szCs w:val="20"/>
          <w:lang w:val="en-GB"/>
        </w:rPr>
        <w:t>Later</w:t>
      </w:r>
      <w:r w:rsidRPr="005F3825">
        <w:rPr>
          <w:rFonts w:ascii="Calibri" w:hAnsi="Calibri"/>
          <w:sz w:val="20"/>
          <w:szCs w:val="20"/>
          <w:lang w:val="en-GB"/>
        </w:rPr>
        <w:t>, initiatives under the PAGEN project to renegotiate the modalities of cross-border cooperation in the management of shared natural resources have allowed to resume discussions between concerned parties in Burkina Faso and Ghana. The project end</w:t>
      </w:r>
      <w:r>
        <w:rPr>
          <w:rFonts w:ascii="Calibri" w:hAnsi="Calibri"/>
          <w:sz w:val="20"/>
          <w:szCs w:val="20"/>
          <w:lang w:val="en-GB"/>
        </w:rPr>
        <w:t>ed</w:t>
      </w:r>
      <w:r w:rsidRPr="005F3825">
        <w:rPr>
          <w:rFonts w:ascii="Calibri" w:hAnsi="Calibri"/>
          <w:sz w:val="20"/>
          <w:szCs w:val="20"/>
          <w:lang w:val="en-GB"/>
        </w:rPr>
        <w:t xml:space="preserve"> abrupt</w:t>
      </w:r>
      <w:r>
        <w:rPr>
          <w:rFonts w:ascii="Calibri" w:hAnsi="Calibri"/>
          <w:sz w:val="20"/>
          <w:szCs w:val="20"/>
          <w:lang w:val="en-GB"/>
        </w:rPr>
        <w:t>ly so that</w:t>
      </w:r>
      <w:r w:rsidRPr="005F3825">
        <w:rPr>
          <w:rFonts w:ascii="Calibri" w:hAnsi="Calibri"/>
          <w:sz w:val="20"/>
          <w:szCs w:val="20"/>
          <w:lang w:val="en-GB"/>
        </w:rPr>
        <w:t xml:space="preserve"> the agreement and the plan for the concerted management of transboundary ecosystems and shared resources between the two States could not </w:t>
      </w:r>
      <w:r>
        <w:rPr>
          <w:rFonts w:ascii="Calibri" w:hAnsi="Calibri"/>
          <w:sz w:val="20"/>
          <w:szCs w:val="20"/>
          <w:lang w:val="en-GB"/>
        </w:rPr>
        <w:t>be</w:t>
      </w:r>
      <w:r w:rsidRPr="005F3825">
        <w:rPr>
          <w:rFonts w:ascii="Calibri" w:hAnsi="Calibri"/>
          <w:sz w:val="20"/>
          <w:szCs w:val="20"/>
          <w:lang w:val="en-GB"/>
        </w:rPr>
        <w:t xml:space="preserve"> renew</w:t>
      </w:r>
      <w:r>
        <w:rPr>
          <w:rFonts w:ascii="Calibri" w:hAnsi="Calibri"/>
          <w:sz w:val="20"/>
          <w:szCs w:val="20"/>
          <w:lang w:val="en-GB"/>
        </w:rPr>
        <w:t>ed</w:t>
      </w:r>
      <w:r w:rsidRPr="005F3825">
        <w:rPr>
          <w:rFonts w:ascii="Calibri" w:hAnsi="Calibri"/>
          <w:sz w:val="20"/>
          <w:szCs w:val="20"/>
          <w:lang w:val="en-GB"/>
        </w:rPr>
        <w:t>.</w:t>
      </w:r>
    </w:p>
    <w:p w14:paraId="79720577" w14:textId="77777777" w:rsidR="00302BFE" w:rsidRPr="00BA18F6"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BA18F6">
        <w:rPr>
          <w:rFonts w:ascii="Calibri" w:eastAsia="Times New Roman" w:hAnsi="Calibri" w:cs="Calibri"/>
          <w:sz w:val="20"/>
          <w:szCs w:val="20"/>
          <w:lang w:val="en-CA"/>
        </w:rPr>
        <w:t>Under this output, t</w:t>
      </w:r>
      <w:r w:rsidRPr="00BA18F6">
        <w:rPr>
          <w:rFonts w:ascii="Calibri" w:hAnsi="Calibri"/>
          <w:sz w:val="20"/>
          <w:szCs w:val="20"/>
        </w:rPr>
        <w:t>he project will seek to establish a formal collaboration with the Ghana Government i) to contribute to the research program to document/understand elephant movements in Northern Ghana as part of their potential westward migration route from the PONASI landscape, before moving back north, ii) to coordinate</w:t>
      </w:r>
      <w:r w:rsidRPr="00BA18F6">
        <w:rPr>
          <w:rFonts w:ascii="Calibri" w:eastAsia="Times New Roman" w:hAnsi="Calibri" w:cs="Calibri"/>
          <w:sz w:val="20"/>
          <w:szCs w:val="20"/>
          <w:lang w:val="en-CA"/>
        </w:rPr>
        <w:t xml:space="preserve"> monitoring, surveillance, and anti-poaching programs conducted on both sides of the border, and iii) to renew transboundary collaboration agreements between Burkina Faso and Ghana Governments for the conservation of shared natural resources, namely elephants.</w:t>
      </w:r>
    </w:p>
    <w:p w14:paraId="26489B58" w14:textId="23B23885" w:rsidR="00302BFE" w:rsidRPr="006E490C" w:rsidRDefault="00302BFE" w:rsidP="00C46720">
      <w:pPr>
        <w:pStyle w:val="Paragraphedeliste"/>
        <w:numPr>
          <w:ilvl w:val="0"/>
          <w:numId w:val="14"/>
        </w:numPr>
        <w:tabs>
          <w:tab w:val="left" w:pos="284"/>
        </w:tabs>
        <w:spacing w:before="120" w:after="120"/>
        <w:ind w:left="0" w:firstLine="0"/>
        <w:jc w:val="both"/>
        <w:rPr>
          <w:rFonts w:ascii="Calibri" w:eastAsia="Times New Roman" w:hAnsi="Calibri" w:cs="Calibri"/>
          <w:sz w:val="20"/>
          <w:szCs w:val="20"/>
          <w:lang w:val="en-CA"/>
        </w:rPr>
      </w:pPr>
      <w:r w:rsidRPr="006E490C">
        <w:rPr>
          <w:rFonts w:ascii="Calibri" w:eastAsia="Times New Roman" w:hAnsi="Calibri" w:cs="Calibri"/>
          <w:sz w:val="20"/>
          <w:szCs w:val="20"/>
          <w:lang w:val="en-CA"/>
        </w:rPr>
        <w:t xml:space="preserve">During the PPG process, a consultant had informal meetings in Northern Ghana with three (3) officers of the Wildlife Division, the Director of the local NGO Organization for Indigenous Initiatives and Sustainability (ORGIIS) providing support to local communities for the sustainable management of Community resource management areas (CREMAs), and with the President of the Center for the Development of Wildlife Production and of the West African Elephant Corridors Coalition. In Ghana, the Wildlife Division of the Forestry Commission is responsible for the protection and management of wildlife protected areas. The three officers were the Regional </w:t>
      </w:r>
      <w:r w:rsidRPr="00AF5290">
        <w:rPr>
          <w:rFonts w:ascii="Calibri" w:eastAsia="Times New Roman" w:hAnsi="Calibri" w:cs="Calibri"/>
          <w:sz w:val="20"/>
          <w:szCs w:val="20"/>
          <w:lang w:val="en-CA"/>
        </w:rPr>
        <w:t xml:space="preserve">Director </w:t>
      </w:r>
      <w:r w:rsidR="00194CA4" w:rsidRPr="00AF5290">
        <w:rPr>
          <w:rFonts w:ascii="Calibri" w:eastAsia="Times New Roman" w:hAnsi="Calibri" w:cs="Calibri"/>
          <w:sz w:val="20"/>
          <w:szCs w:val="20"/>
          <w:lang w:val="en-CA"/>
        </w:rPr>
        <w:t xml:space="preserve">in charge </w:t>
      </w:r>
      <w:r w:rsidRPr="00AF5290">
        <w:rPr>
          <w:rFonts w:ascii="Calibri" w:eastAsia="Times New Roman" w:hAnsi="Calibri" w:cs="Calibri"/>
          <w:sz w:val="20"/>
          <w:szCs w:val="20"/>
          <w:lang w:val="en-CA"/>
        </w:rPr>
        <w:t>of Wildlife, the Wildlife Manager in charge of corridors and CREMAs and the Regional Manager of Wildlife Management Planning. CREMAs</w:t>
      </w:r>
      <w:r w:rsidRPr="006E490C">
        <w:rPr>
          <w:rFonts w:ascii="Calibri" w:eastAsia="Times New Roman" w:hAnsi="Calibri" w:cs="Calibri"/>
          <w:sz w:val="20"/>
          <w:szCs w:val="20"/>
          <w:lang w:val="en-CA"/>
        </w:rPr>
        <w:t xml:space="preserve"> in Ghana are protected areas managed under a community-based governance regime, </w:t>
      </w:r>
      <w:proofErr w:type="gramStart"/>
      <w:r w:rsidRPr="006E490C">
        <w:rPr>
          <w:rFonts w:ascii="Calibri" w:eastAsia="Times New Roman" w:hAnsi="Calibri" w:cs="Calibri"/>
          <w:sz w:val="20"/>
          <w:szCs w:val="20"/>
          <w:lang w:val="en-CA"/>
        </w:rPr>
        <w:t>similar to</w:t>
      </w:r>
      <w:proofErr w:type="gramEnd"/>
      <w:r w:rsidRPr="006E490C">
        <w:rPr>
          <w:rFonts w:ascii="Calibri" w:eastAsia="Times New Roman" w:hAnsi="Calibri" w:cs="Calibri"/>
          <w:sz w:val="20"/>
          <w:szCs w:val="20"/>
          <w:lang w:val="en-CA"/>
        </w:rPr>
        <w:t xml:space="preserve"> ZOVICs in Burkina Faso. One hypothesis is that after crossing the border south of Corridor # 2, elephants would move west using CREMAs in northern Ghana.</w:t>
      </w:r>
    </w:p>
    <w:p w14:paraId="4A7C5536" w14:textId="77777777" w:rsidR="00302BFE" w:rsidRPr="006E490C" w:rsidRDefault="00302BFE" w:rsidP="00C46720">
      <w:pPr>
        <w:pStyle w:val="Paragraphedeliste"/>
        <w:numPr>
          <w:ilvl w:val="0"/>
          <w:numId w:val="14"/>
        </w:numPr>
        <w:tabs>
          <w:tab w:val="left" w:pos="284"/>
        </w:tabs>
        <w:spacing w:before="120" w:after="120"/>
        <w:ind w:left="0" w:firstLine="0"/>
        <w:jc w:val="both"/>
        <w:rPr>
          <w:rFonts w:ascii="Calibri" w:eastAsia="Times New Roman" w:hAnsi="Calibri" w:cs="Calibri"/>
          <w:sz w:val="20"/>
          <w:szCs w:val="20"/>
          <w:lang w:val="en-CA"/>
        </w:rPr>
      </w:pPr>
      <w:r w:rsidRPr="006E490C">
        <w:rPr>
          <w:rFonts w:ascii="Calibri" w:eastAsia="Times New Roman" w:hAnsi="Calibri" w:cs="Calibri"/>
          <w:sz w:val="20"/>
          <w:szCs w:val="20"/>
          <w:lang w:val="en-CA"/>
        </w:rPr>
        <w:t xml:space="preserve">These meetings allowed to outline the project objectives and planned interventions, including the renewal of collaboration agreements with Ghana for the conservation of shared natural resources, namely elephants, current issues in CREMAs, challenges related to the renewal and implementation of transboundary collaboration agreements. The project concept was welcome, and positive discussions initiated on possible collaboration in the framework of the project. Formal discussions will be held in the first year of the project to discuss and establish the terms of a collaboration on the above-mentioned points. </w:t>
      </w:r>
    </w:p>
    <w:p w14:paraId="1EDDD515" w14:textId="77777777" w:rsidR="00302BFE" w:rsidRPr="006E490C" w:rsidRDefault="00302BFE" w:rsidP="00C46720">
      <w:pPr>
        <w:pStyle w:val="Paragraphedeliste"/>
        <w:numPr>
          <w:ilvl w:val="0"/>
          <w:numId w:val="14"/>
        </w:numPr>
        <w:tabs>
          <w:tab w:val="left" w:pos="284"/>
        </w:tabs>
        <w:spacing w:before="120" w:after="120"/>
        <w:ind w:left="0" w:firstLine="0"/>
        <w:jc w:val="both"/>
        <w:rPr>
          <w:rFonts w:ascii="Calibri" w:eastAsia="Times New Roman" w:hAnsi="Calibri" w:cs="Calibri"/>
          <w:sz w:val="20"/>
          <w:szCs w:val="20"/>
          <w:lang w:val="en-CA"/>
        </w:rPr>
      </w:pPr>
      <w:r w:rsidRPr="006E490C">
        <w:rPr>
          <w:rFonts w:ascii="Calibri" w:eastAsia="Times New Roman" w:hAnsi="Calibri" w:cs="Calibri"/>
          <w:sz w:val="20"/>
          <w:szCs w:val="20"/>
          <w:lang w:val="en-CA"/>
        </w:rPr>
        <w:t xml:space="preserve">The GEF resources will be used to support actions on the Burkina Faso’s side of the border. Ghana is currently seeking substantial support from USAID and other partners to support the sustainable management of </w:t>
      </w:r>
      <w:proofErr w:type="gramStart"/>
      <w:r w:rsidRPr="006E490C">
        <w:rPr>
          <w:rFonts w:ascii="Calibri" w:eastAsia="Times New Roman" w:hAnsi="Calibri" w:cs="Calibri"/>
          <w:sz w:val="20"/>
          <w:szCs w:val="20"/>
          <w:lang w:val="en-CA"/>
        </w:rPr>
        <w:t>CREMAs</w:t>
      </w:r>
      <w:proofErr w:type="gramEnd"/>
      <w:r w:rsidRPr="006E490C">
        <w:rPr>
          <w:rFonts w:ascii="Calibri" w:eastAsia="Times New Roman" w:hAnsi="Calibri" w:cs="Calibri"/>
          <w:sz w:val="20"/>
          <w:szCs w:val="20"/>
          <w:lang w:val="en-CA"/>
        </w:rPr>
        <w:t xml:space="preserve"> but the project document was not yet available. Investments required to implement the Elephant Protection Plan include investments to carry out activities cited above under the output 2.4 and specific measures for the protection or restoration of elephant habitats will be covered by the budget to support the implementation of PA management plans, which already provide for the restoration of 11,000 ha in corridor #2.</w:t>
      </w:r>
    </w:p>
    <w:p w14:paraId="3F443FA6"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lang w:val="en-GB"/>
        </w:rPr>
        <w:t xml:space="preserve">The project will support efforts to identify </w:t>
      </w:r>
      <w:proofErr w:type="spellStart"/>
      <w:r w:rsidRPr="005F3825">
        <w:rPr>
          <w:rFonts w:ascii="Calibri" w:hAnsi="Calibri"/>
          <w:sz w:val="20"/>
          <w:szCs w:val="20"/>
          <w:lang w:val="en-GB"/>
        </w:rPr>
        <w:t>Burkinabé</w:t>
      </w:r>
      <w:proofErr w:type="spellEnd"/>
      <w:r w:rsidRPr="005F3825">
        <w:rPr>
          <w:rFonts w:ascii="Calibri" w:hAnsi="Calibri"/>
          <w:sz w:val="20"/>
          <w:szCs w:val="20"/>
          <w:lang w:val="en-GB"/>
        </w:rPr>
        <w:t xml:space="preserve"> and Ghanaian stakeholders and organize meetings to identify and discuss issues related to elephant movement on both sides of the border. The consultation discussions should define the elements of a shared management plan, including a common objective, indicators and targets related to the identified issue, a detailed analysis of the threats and their underlying causes on both sides. There will also be the identification of measures to be planned and implemented in a coordinated and collaborative manner to reduce threats, the harmonization and coordination of monitoring and surveillance techniques and anti-poaching strategies, planning and the implementation of a population monitoring and evaluation plan to be implemented in a concerted manner based on common indicators and targets. The shared management plan should include conflict management measures and identification of implementation costs and sources of funding for each party to the agreement. The plan will encourage joint monitoring and surveillance activities and joint capacity building sessions between professionals from both countries, with a focus on promoting compatible technical skills and sharing of experience, </w:t>
      </w:r>
      <w:proofErr w:type="gramStart"/>
      <w:r w:rsidRPr="005F3825">
        <w:rPr>
          <w:rFonts w:ascii="Calibri" w:hAnsi="Calibri"/>
          <w:sz w:val="20"/>
          <w:szCs w:val="20"/>
          <w:lang w:val="en-GB"/>
        </w:rPr>
        <w:t>expertise</w:t>
      </w:r>
      <w:proofErr w:type="gramEnd"/>
      <w:r w:rsidRPr="005F3825">
        <w:rPr>
          <w:rFonts w:ascii="Calibri" w:hAnsi="Calibri"/>
          <w:sz w:val="20"/>
          <w:szCs w:val="20"/>
          <w:lang w:val="en-GB"/>
        </w:rPr>
        <w:t xml:space="preserve"> and knowledge.</w:t>
      </w:r>
    </w:p>
    <w:p w14:paraId="384AA5E9" w14:textId="77777777" w:rsidR="00302BFE" w:rsidRPr="00CD33A5" w:rsidRDefault="00302BFE" w:rsidP="00302BFE">
      <w:pPr>
        <w:spacing w:before="120" w:after="120"/>
        <w:rPr>
          <w:b/>
          <w:szCs w:val="20"/>
          <w:lang w:val="en-GB"/>
        </w:rPr>
      </w:pPr>
      <w:r w:rsidRPr="00CD33A5">
        <w:rPr>
          <w:b/>
          <w:szCs w:val="20"/>
          <w:lang w:val="en-GB"/>
        </w:rPr>
        <w:t>Component 3. Sustainable Land and Resources Management and Diversification of Livelihoods.</w:t>
      </w:r>
    </w:p>
    <w:p w14:paraId="22CBB6FC" w14:textId="77777777" w:rsidR="00302BFE" w:rsidRPr="00CD33A5" w:rsidRDefault="00302BFE" w:rsidP="00A63E29">
      <w:pPr>
        <w:spacing w:before="120" w:after="120"/>
        <w:rPr>
          <w:b/>
          <w:szCs w:val="20"/>
          <w:lang w:val="en-GB"/>
        </w:rPr>
      </w:pPr>
      <w:r>
        <w:rPr>
          <w:b/>
          <w:szCs w:val="20"/>
          <w:lang w:val="en-GB"/>
        </w:rPr>
        <w:t>Outcome</w:t>
      </w:r>
      <w:r w:rsidRPr="00CD33A5">
        <w:rPr>
          <w:b/>
          <w:szCs w:val="20"/>
          <w:lang w:val="en-GB"/>
        </w:rPr>
        <w:t xml:space="preserve"> 3.1 Increased adoption of effective </w:t>
      </w:r>
      <w:proofErr w:type="spellStart"/>
      <w:r w:rsidRPr="00CD33A5">
        <w:rPr>
          <w:b/>
          <w:szCs w:val="20"/>
          <w:lang w:val="en-GB"/>
        </w:rPr>
        <w:t>agro</w:t>
      </w:r>
      <w:proofErr w:type="spellEnd"/>
      <w:r w:rsidRPr="00CD33A5">
        <w:rPr>
          <w:b/>
          <w:szCs w:val="20"/>
          <w:lang w:val="en-GB"/>
        </w:rPr>
        <w:t>-</w:t>
      </w:r>
      <w:proofErr w:type="spellStart"/>
      <w:r>
        <w:rPr>
          <w:b/>
          <w:szCs w:val="20"/>
          <w:lang w:val="en-GB"/>
        </w:rPr>
        <w:t>silvo</w:t>
      </w:r>
      <w:proofErr w:type="spellEnd"/>
      <w:r w:rsidRPr="00CD33A5">
        <w:rPr>
          <w:b/>
          <w:szCs w:val="20"/>
          <w:lang w:val="en-GB"/>
        </w:rPr>
        <w:t>-pastoral and climate-smart agriculture practices by local communities in the PONASI landscape</w:t>
      </w:r>
    </w:p>
    <w:p w14:paraId="7C37A521" w14:textId="76F5029E" w:rsidR="00302BFE" w:rsidRDefault="00302BFE" w:rsidP="00A63E29">
      <w:pPr>
        <w:spacing w:before="120" w:after="120"/>
        <w:rPr>
          <w:b/>
          <w:szCs w:val="20"/>
          <w:lang w:val="en-GB"/>
        </w:rPr>
      </w:pPr>
      <w:r>
        <w:rPr>
          <w:b/>
          <w:szCs w:val="20"/>
          <w:lang w:val="en-GB"/>
        </w:rPr>
        <w:t>Outcome</w:t>
      </w:r>
      <w:r w:rsidRPr="00CD33A5">
        <w:rPr>
          <w:b/>
          <w:szCs w:val="20"/>
          <w:lang w:val="en-GB"/>
        </w:rPr>
        <w:t xml:space="preserve"> 3.2 Diversified livelihoods of local communities related to tourism development and forest products-based value chains</w:t>
      </w:r>
      <w:r>
        <w:rPr>
          <w:b/>
          <w:szCs w:val="20"/>
          <w:lang w:val="en-GB"/>
        </w:rPr>
        <w:t xml:space="preserve"> </w:t>
      </w:r>
    </w:p>
    <w:p w14:paraId="3DE54037" w14:textId="12DEF78D" w:rsidR="004F4706" w:rsidRPr="00B9357E" w:rsidRDefault="004F4706" w:rsidP="00BE65D5">
      <w:pPr>
        <w:spacing w:after="0"/>
        <w:contextualSpacing/>
        <w:rPr>
          <w:bCs/>
          <w:szCs w:val="20"/>
          <w:lang w:val="en-GB"/>
        </w:rPr>
      </w:pPr>
      <w:r w:rsidRPr="00B9357E">
        <w:rPr>
          <w:bCs/>
          <w:szCs w:val="20"/>
          <w:lang w:val="en-GB"/>
        </w:rPr>
        <w:t xml:space="preserve">To assess and manage the impacts of this Outcome, as indicated in the SESP – in attachment to the </w:t>
      </w:r>
      <w:proofErr w:type="spellStart"/>
      <w:r w:rsidRPr="00B9357E">
        <w:rPr>
          <w:bCs/>
          <w:szCs w:val="20"/>
          <w:lang w:val="en-GB"/>
        </w:rPr>
        <w:t>ProDoc</w:t>
      </w:r>
      <w:proofErr w:type="spellEnd"/>
      <w:r w:rsidRPr="00B9357E">
        <w:rPr>
          <w:bCs/>
          <w:szCs w:val="20"/>
          <w:lang w:val="en-GB"/>
        </w:rPr>
        <w:t xml:space="preserve"> – the following assessment and management processes will be put in place, to comply with UNDP SES:</w:t>
      </w:r>
    </w:p>
    <w:p w14:paraId="38C1EDAD" w14:textId="77777777" w:rsidR="004F4706" w:rsidRPr="00B9357E" w:rsidRDefault="004F4706" w:rsidP="00BE65D5">
      <w:pPr>
        <w:spacing w:after="0"/>
        <w:contextualSpacing/>
        <w:rPr>
          <w:bCs/>
          <w:szCs w:val="20"/>
          <w:u w:val="single"/>
          <w:lang w:val="en-GB"/>
        </w:rPr>
      </w:pPr>
      <w:r w:rsidRPr="00B9357E">
        <w:rPr>
          <w:bCs/>
          <w:szCs w:val="20"/>
          <w:u w:val="single"/>
          <w:lang w:val="en-GB"/>
        </w:rPr>
        <w:t>Assessments:</w:t>
      </w:r>
    </w:p>
    <w:p w14:paraId="5F3DF8EC" w14:textId="2BFD8AC8" w:rsidR="004F4706" w:rsidRPr="00B9357E" w:rsidRDefault="004F4706" w:rsidP="00BE65D5">
      <w:pPr>
        <w:spacing w:after="0"/>
        <w:contextualSpacing/>
        <w:rPr>
          <w:bCs/>
          <w:szCs w:val="20"/>
          <w:lang w:val="en-GB"/>
        </w:rPr>
      </w:pPr>
      <w:r w:rsidRPr="00B9357E">
        <w:rPr>
          <w:bCs/>
          <w:szCs w:val="20"/>
          <w:lang w:val="en-GB"/>
        </w:rPr>
        <w:t xml:space="preserve">SESA </w:t>
      </w:r>
    </w:p>
    <w:p w14:paraId="67835C29" w14:textId="77777777" w:rsidR="004F4706" w:rsidRPr="00B9357E" w:rsidRDefault="004F4706" w:rsidP="00BE65D5">
      <w:pPr>
        <w:spacing w:after="0"/>
        <w:contextualSpacing/>
        <w:rPr>
          <w:bCs/>
          <w:szCs w:val="20"/>
          <w:lang w:val="en-GB"/>
        </w:rPr>
      </w:pPr>
      <w:r w:rsidRPr="00B9357E">
        <w:rPr>
          <w:bCs/>
          <w:szCs w:val="20"/>
          <w:lang w:val="en-GB"/>
        </w:rPr>
        <w:t>ESIA</w:t>
      </w:r>
    </w:p>
    <w:p w14:paraId="394A578D" w14:textId="03E1957D" w:rsidR="004F4706" w:rsidRPr="00B9357E" w:rsidRDefault="004F4706" w:rsidP="004F4706">
      <w:pPr>
        <w:spacing w:after="0"/>
        <w:contextualSpacing/>
        <w:rPr>
          <w:bCs/>
          <w:szCs w:val="20"/>
          <w:lang w:val="en-GB"/>
        </w:rPr>
      </w:pPr>
      <w:r w:rsidRPr="00B9357E">
        <w:rPr>
          <w:bCs/>
          <w:szCs w:val="20"/>
          <w:lang w:val="en-GB"/>
        </w:rPr>
        <w:t>Gender Analysis</w:t>
      </w:r>
      <w:r w:rsidRPr="00B9357E">
        <w:rPr>
          <w:bCs/>
          <w:szCs w:val="20"/>
          <w:lang w:val="en-GB"/>
        </w:rPr>
        <w:tab/>
      </w:r>
    </w:p>
    <w:p w14:paraId="00309309" w14:textId="0CEA831E" w:rsidR="004F4706" w:rsidRPr="00B9357E" w:rsidRDefault="004F4706" w:rsidP="00BE65D5">
      <w:pPr>
        <w:spacing w:after="0"/>
        <w:contextualSpacing/>
        <w:rPr>
          <w:bCs/>
          <w:szCs w:val="20"/>
          <w:u w:val="single"/>
          <w:lang w:val="en-GB"/>
        </w:rPr>
      </w:pPr>
      <w:r w:rsidRPr="00B9357E">
        <w:rPr>
          <w:bCs/>
          <w:szCs w:val="20"/>
          <w:u w:val="single"/>
          <w:lang w:val="en-GB"/>
        </w:rPr>
        <w:t>Management:</w:t>
      </w:r>
    </w:p>
    <w:p w14:paraId="35737659" w14:textId="0C627C61" w:rsidR="004F4706" w:rsidRPr="00B9357E" w:rsidRDefault="004F4706" w:rsidP="00BE65D5">
      <w:pPr>
        <w:spacing w:after="0"/>
        <w:contextualSpacing/>
        <w:rPr>
          <w:bCs/>
          <w:szCs w:val="20"/>
          <w:lang w:val="en-GB"/>
        </w:rPr>
      </w:pPr>
      <w:r w:rsidRPr="00B9357E">
        <w:rPr>
          <w:bCs/>
          <w:szCs w:val="20"/>
          <w:lang w:val="en-GB"/>
        </w:rPr>
        <w:t>SESA report and recommendations (Actions Matrix) Comprehensive Stakeholder Engagement Plan</w:t>
      </w:r>
    </w:p>
    <w:p w14:paraId="29900BED" w14:textId="77777777" w:rsidR="004F4706" w:rsidRPr="00B9357E" w:rsidRDefault="004F4706" w:rsidP="00BE65D5">
      <w:pPr>
        <w:spacing w:after="0"/>
        <w:contextualSpacing/>
        <w:rPr>
          <w:bCs/>
          <w:szCs w:val="20"/>
          <w:lang w:val="en-GB"/>
        </w:rPr>
      </w:pPr>
      <w:r w:rsidRPr="00B9357E">
        <w:rPr>
          <w:bCs/>
          <w:szCs w:val="20"/>
          <w:lang w:val="en-GB"/>
        </w:rPr>
        <w:lastRenderedPageBreak/>
        <w:t>Indigenous People Plan</w:t>
      </w:r>
    </w:p>
    <w:p w14:paraId="1626438A" w14:textId="77777777" w:rsidR="004F4706" w:rsidRPr="00B9357E" w:rsidRDefault="004F4706" w:rsidP="00BE65D5">
      <w:pPr>
        <w:spacing w:after="0"/>
        <w:contextualSpacing/>
        <w:rPr>
          <w:bCs/>
          <w:szCs w:val="20"/>
          <w:lang w:val="en-GB"/>
        </w:rPr>
      </w:pPr>
      <w:r w:rsidRPr="00B9357E">
        <w:rPr>
          <w:bCs/>
          <w:szCs w:val="20"/>
          <w:lang w:val="en-GB"/>
        </w:rPr>
        <w:t xml:space="preserve">Gender Action Plan </w:t>
      </w:r>
    </w:p>
    <w:p w14:paraId="30726B93" w14:textId="54F9C0B3" w:rsidR="004F4706" w:rsidRPr="00BE65D5" w:rsidRDefault="004F4706" w:rsidP="00BE65D5">
      <w:pPr>
        <w:spacing w:after="0"/>
        <w:contextualSpacing/>
        <w:rPr>
          <w:bCs/>
          <w:szCs w:val="20"/>
          <w:lang w:val="en-GB"/>
        </w:rPr>
      </w:pPr>
      <w:r w:rsidRPr="00B9357E">
        <w:rPr>
          <w:bCs/>
          <w:szCs w:val="20"/>
          <w:lang w:val="en-GB"/>
        </w:rPr>
        <w:t>ESMP</w:t>
      </w:r>
    </w:p>
    <w:p w14:paraId="7DC6DD0B" w14:textId="50B106C3" w:rsidR="00302BFE" w:rsidRPr="00CD33A5" w:rsidRDefault="00302BFE" w:rsidP="00302BFE">
      <w:pPr>
        <w:spacing w:before="240" w:after="120"/>
        <w:rPr>
          <w:b/>
          <w:szCs w:val="20"/>
          <w:lang w:val="en-GB"/>
        </w:rPr>
      </w:pPr>
      <w:r w:rsidRPr="00B9357E">
        <w:rPr>
          <w:b/>
          <w:szCs w:val="20"/>
          <w:lang w:val="en-GB"/>
        </w:rPr>
        <w:t>Out</w:t>
      </w:r>
      <w:r w:rsidR="00E848E8" w:rsidRPr="00B9357E">
        <w:rPr>
          <w:b/>
          <w:szCs w:val="20"/>
          <w:lang w:val="en-GB"/>
        </w:rPr>
        <w:t>come</w:t>
      </w:r>
      <w:r w:rsidRPr="00B9357E">
        <w:rPr>
          <w:b/>
          <w:szCs w:val="20"/>
          <w:lang w:val="en-GB"/>
        </w:rPr>
        <w:t xml:space="preserve"> 3.</w:t>
      </w:r>
      <w:r w:rsidR="00DC21AC" w:rsidRPr="00B9357E">
        <w:rPr>
          <w:b/>
          <w:szCs w:val="20"/>
          <w:lang w:val="en-GB"/>
        </w:rPr>
        <w:t>3</w:t>
      </w:r>
      <w:r w:rsidRPr="00CD33A5">
        <w:rPr>
          <w:b/>
          <w:szCs w:val="20"/>
          <w:lang w:val="en-GB"/>
        </w:rPr>
        <w:t xml:space="preserve"> Sustainable Land Management (SLM) practices are implemented by communities within the PONASI landscape to reduce threats to protected areas and increase food security, productivity and agricultural resilience through climate-smart agriculture, sustainable wood harvesting and biomass energy, forest restoration, assisted natural regeneration, and fire management</w:t>
      </w:r>
    </w:p>
    <w:p w14:paraId="511AEB27" w14:textId="77777777" w:rsidR="00302BFE" w:rsidRPr="002F4B8E"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2F4B8E">
        <w:rPr>
          <w:rFonts w:ascii="Calibri" w:hAnsi="Calibri"/>
          <w:sz w:val="20"/>
          <w:szCs w:val="20"/>
          <w:lang w:val="en-GB"/>
        </w:rPr>
        <w:t xml:space="preserve">The strategy </w:t>
      </w:r>
      <w:r w:rsidRPr="002F4B8E">
        <w:rPr>
          <w:rFonts w:ascii="Calibri" w:hAnsi="Calibri"/>
          <w:color w:val="000000"/>
          <w:sz w:val="20"/>
          <w:szCs w:val="20"/>
          <w:lang w:val="en-GB"/>
        </w:rPr>
        <w:t xml:space="preserve">leading to the realization of this output is </w:t>
      </w:r>
      <w:r w:rsidR="002F4B8E" w:rsidRPr="002F4B8E">
        <w:rPr>
          <w:rFonts w:ascii="Calibri" w:hAnsi="Calibri"/>
          <w:color w:val="000000"/>
          <w:sz w:val="20"/>
          <w:szCs w:val="20"/>
          <w:lang w:val="en-GB"/>
        </w:rPr>
        <w:t>closely</w:t>
      </w:r>
      <w:r w:rsidRPr="002F4B8E">
        <w:rPr>
          <w:rFonts w:ascii="Calibri" w:hAnsi="Calibri"/>
          <w:color w:val="000000"/>
          <w:sz w:val="20"/>
          <w:szCs w:val="20"/>
          <w:lang w:val="en-GB"/>
        </w:rPr>
        <w:t xml:space="preserve"> tied to that of outputs 1.2 (adoption of a territorial planning tool as spatial planning methodology allowing the visualization of the impacts of economic activities on the landscape); 1.4 (Development of the PONASI Landscape Management Master Plan to guide the management of the PONASI landscape over the next 15 years) and 1.5 (establishment of sustainable and equitable management requirements for the various territory units and effective mechanisms for monitoring and application.</w:t>
      </w:r>
      <w:r w:rsidR="002F4B8E" w:rsidRPr="002F4B8E">
        <w:rPr>
          <w:rFonts w:ascii="Calibri" w:hAnsi="Calibri"/>
          <w:color w:val="000000"/>
          <w:sz w:val="20"/>
          <w:szCs w:val="20"/>
          <w:lang w:val="en-GB"/>
        </w:rPr>
        <w:t xml:space="preserve"> </w:t>
      </w:r>
      <w:r w:rsidR="002F4B8E" w:rsidRPr="002F4B8E">
        <w:rPr>
          <w:rFonts w:ascii="Calibri" w:hAnsi="Calibri" w:cs="Calibri"/>
          <w:sz w:val="20"/>
          <w:lang w:val="en-GB"/>
        </w:rPr>
        <w:t>T</w:t>
      </w:r>
      <w:r w:rsidRPr="002F4B8E">
        <w:rPr>
          <w:rFonts w:ascii="Calibri" w:hAnsi="Calibri" w:cs="Calibri"/>
          <w:sz w:val="20"/>
          <w:lang w:val="en-GB"/>
        </w:rPr>
        <w:t xml:space="preserve">he process under Component 1 is the instrument for quantifying the benefits of different land use scenarios at the landscape and visualize them to guide strategic decision-making regarding the management of the PONASI landscape area. It allows the PONASI Landscape Management Board to make an informed choice on the strategic orientations that optimize the environmental and socio-economic benefits. Thus, the priority measures to manage the various territorial units of the landscape (protected areas, corridors, ZOVICs, CAF, community forests, </w:t>
      </w:r>
      <w:proofErr w:type="spellStart"/>
      <w:r w:rsidRPr="002F4B8E">
        <w:rPr>
          <w:rFonts w:ascii="Calibri" w:hAnsi="Calibri" w:cs="Calibri"/>
          <w:sz w:val="20"/>
          <w:lang w:val="en-GB"/>
        </w:rPr>
        <w:t>agro</w:t>
      </w:r>
      <w:proofErr w:type="spellEnd"/>
      <w:r w:rsidRPr="002F4B8E">
        <w:rPr>
          <w:rFonts w:ascii="Calibri" w:hAnsi="Calibri" w:cs="Calibri"/>
          <w:sz w:val="20"/>
          <w:lang w:val="en-GB"/>
        </w:rPr>
        <w:t xml:space="preserve">-pastoral lands, </w:t>
      </w:r>
      <w:proofErr w:type="spellStart"/>
      <w:r w:rsidRPr="002F4B8E">
        <w:rPr>
          <w:rFonts w:ascii="Calibri" w:hAnsi="Calibri" w:cs="Calibri"/>
          <w:sz w:val="20"/>
          <w:lang w:val="en-GB"/>
        </w:rPr>
        <w:t>silvopastoral</w:t>
      </w:r>
      <w:proofErr w:type="spellEnd"/>
      <w:r w:rsidRPr="002F4B8E">
        <w:rPr>
          <w:rFonts w:ascii="Calibri" w:hAnsi="Calibri" w:cs="Calibri"/>
          <w:sz w:val="20"/>
          <w:lang w:val="en-GB"/>
        </w:rPr>
        <w:t xml:space="preserve"> areas) must be consistent with, and contribute to, the strategic landscape-level orientations that will be translated into maps. These guidelines will then guide all stakeholders in the definition of multiannual and annual actions and targets in components 2 and 3. The Master Plan will therefore outline the priority actions targeted in the realization of this product, namely sustainable land management (SLM) practices in </w:t>
      </w:r>
      <w:proofErr w:type="spellStart"/>
      <w:r w:rsidRPr="002F4B8E">
        <w:rPr>
          <w:rFonts w:ascii="Calibri" w:hAnsi="Calibri" w:cs="Calibri"/>
          <w:sz w:val="20"/>
          <w:lang w:val="en-GB"/>
        </w:rPr>
        <w:t>agro</w:t>
      </w:r>
      <w:proofErr w:type="spellEnd"/>
      <w:r w:rsidRPr="002F4B8E">
        <w:rPr>
          <w:rFonts w:ascii="Calibri" w:hAnsi="Calibri" w:cs="Calibri"/>
          <w:sz w:val="20"/>
          <w:lang w:val="en-GB"/>
        </w:rPr>
        <w:t>-</w:t>
      </w:r>
      <w:proofErr w:type="spellStart"/>
      <w:r w:rsidRPr="002F4B8E">
        <w:rPr>
          <w:rFonts w:ascii="Calibri" w:hAnsi="Calibri" w:cs="Calibri"/>
          <w:sz w:val="20"/>
          <w:lang w:val="en-GB"/>
        </w:rPr>
        <w:t>sylvo</w:t>
      </w:r>
      <w:proofErr w:type="spellEnd"/>
      <w:r w:rsidRPr="002F4B8E">
        <w:rPr>
          <w:rFonts w:ascii="Calibri" w:hAnsi="Calibri" w:cs="Calibri"/>
          <w:sz w:val="20"/>
          <w:lang w:val="en-GB"/>
        </w:rPr>
        <w:t xml:space="preserve">-pastoral lands, aiming at reducing the threats to PAs and increasing food security, </w:t>
      </w:r>
      <w:proofErr w:type="gramStart"/>
      <w:r w:rsidRPr="002F4B8E">
        <w:rPr>
          <w:rFonts w:ascii="Calibri" w:hAnsi="Calibri" w:cs="Calibri"/>
          <w:sz w:val="20"/>
          <w:lang w:val="en-GB"/>
        </w:rPr>
        <w:t>productivity</w:t>
      </w:r>
      <w:proofErr w:type="gramEnd"/>
      <w:r w:rsidRPr="002F4B8E">
        <w:rPr>
          <w:rFonts w:ascii="Calibri" w:hAnsi="Calibri" w:cs="Calibri"/>
          <w:sz w:val="20"/>
          <w:lang w:val="en-GB"/>
        </w:rPr>
        <w:t xml:space="preserve"> and agricultural resilience</w:t>
      </w:r>
      <w:r w:rsidRPr="002F4B8E">
        <w:rPr>
          <w:rFonts w:ascii="Calibri" w:hAnsi="Calibri" w:cs="Calibri"/>
          <w:sz w:val="20"/>
          <w:szCs w:val="20"/>
          <w:lang w:val="en-GB"/>
        </w:rPr>
        <w:t>.</w:t>
      </w:r>
    </w:p>
    <w:p w14:paraId="10BC1043" w14:textId="77777777" w:rsidR="00302BFE" w:rsidRPr="00CD33A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CD33A5">
        <w:rPr>
          <w:rFonts w:ascii="Calibri" w:hAnsi="Calibri" w:cs="Calibri"/>
          <w:sz w:val="20"/>
          <w:szCs w:val="20"/>
          <w:lang w:val="en-GB"/>
        </w:rPr>
        <w:t>The detailed planning and implementation of the actions in each of the 15 pilot sites will be carried out by the project, with the direct technical and methodolo</w:t>
      </w:r>
      <w:r>
        <w:rPr>
          <w:rFonts w:ascii="Calibri" w:hAnsi="Calibri" w:cs="Calibri"/>
          <w:sz w:val="20"/>
          <w:szCs w:val="20"/>
          <w:lang w:val="en-GB"/>
        </w:rPr>
        <w:t xml:space="preserve">gical support of devolved </w:t>
      </w:r>
      <w:r w:rsidRPr="00CD33A5">
        <w:rPr>
          <w:rFonts w:ascii="Calibri" w:hAnsi="Calibri" w:cs="Calibri"/>
          <w:sz w:val="20"/>
          <w:szCs w:val="20"/>
          <w:lang w:val="en-GB"/>
        </w:rPr>
        <w:t>technical services (Forestry, Agriculture, L</w:t>
      </w:r>
      <w:r>
        <w:rPr>
          <w:rFonts w:ascii="Calibri" w:hAnsi="Calibri" w:cs="Calibri"/>
          <w:sz w:val="20"/>
          <w:szCs w:val="20"/>
          <w:lang w:val="en-GB"/>
        </w:rPr>
        <w:t xml:space="preserve">ivestock) or local NGOs operating in the </w:t>
      </w:r>
      <w:r w:rsidR="002F4B8E">
        <w:rPr>
          <w:rFonts w:ascii="Calibri" w:hAnsi="Calibri" w:cs="Calibri"/>
          <w:sz w:val="20"/>
          <w:szCs w:val="20"/>
          <w:lang w:val="en-GB"/>
        </w:rPr>
        <w:t>area</w:t>
      </w:r>
      <w:r w:rsidRPr="00CD33A5">
        <w:rPr>
          <w:rFonts w:ascii="Calibri" w:hAnsi="Calibri" w:cs="Calibri"/>
          <w:sz w:val="20"/>
          <w:szCs w:val="20"/>
          <w:lang w:val="en-GB"/>
        </w:rPr>
        <w:t xml:space="preserve">, and with the active participation of </w:t>
      </w:r>
      <w:r>
        <w:rPr>
          <w:rFonts w:ascii="Calibri" w:hAnsi="Calibri" w:cs="Calibri"/>
          <w:sz w:val="20"/>
          <w:szCs w:val="20"/>
          <w:lang w:val="en-GB"/>
        </w:rPr>
        <w:t>communes</w:t>
      </w:r>
      <w:r w:rsidRPr="00CD33A5">
        <w:rPr>
          <w:rFonts w:ascii="Calibri" w:hAnsi="Calibri" w:cs="Calibri"/>
          <w:sz w:val="20"/>
          <w:szCs w:val="20"/>
          <w:lang w:val="en-GB"/>
        </w:rPr>
        <w:t xml:space="preserve"> and co-donors (public projects, NGOs and private actors </w:t>
      </w:r>
      <w:r w:rsidR="000353EF">
        <w:rPr>
          <w:rFonts w:ascii="Calibri" w:hAnsi="Calibri" w:cs="Calibri"/>
          <w:sz w:val="20"/>
          <w:szCs w:val="20"/>
          <w:lang w:val="en-GB"/>
        </w:rPr>
        <w:t>contributing to</w:t>
      </w:r>
      <w:r w:rsidRPr="00CD33A5">
        <w:rPr>
          <w:rFonts w:ascii="Calibri" w:hAnsi="Calibri" w:cs="Calibri"/>
          <w:sz w:val="20"/>
          <w:szCs w:val="20"/>
          <w:lang w:val="en-GB"/>
        </w:rPr>
        <w:t xml:space="preserve"> </w:t>
      </w:r>
      <w:proofErr w:type="spellStart"/>
      <w:r w:rsidRPr="00CD33A5">
        <w:rPr>
          <w:rFonts w:ascii="Calibri" w:hAnsi="Calibri" w:cs="Calibri"/>
          <w:sz w:val="20"/>
          <w:szCs w:val="20"/>
          <w:lang w:val="en-GB"/>
        </w:rPr>
        <w:t>cofinancing</w:t>
      </w:r>
      <w:proofErr w:type="spellEnd"/>
      <w:r w:rsidRPr="00CD33A5">
        <w:rPr>
          <w:rFonts w:ascii="Calibri" w:hAnsi="Calibri" w:cs="Calibri"/>
          <w:sz w:val="20"/>
          <w:szCs w:val="20"/>
          <w:lang w:val="en-GB"/>
        </w:rPr>
        <w:t xml:space="preserve"> and intervening in the targeted </w:t>
      </w:r>
      <w:r>
        <w:rPr>
          <w:rFonts w:ascii="Calibri" w:hAnsi="Calibri" w:cs="Calibri"/>
          <w:sz w:val="20"/>
          <w:szCs w:val="20"/>
          <w:lang w:val="en-GB"/>
        </w:rPr>
        <w:t>commune</w:t>
      </w:r>
      <w:r w:rsidR="000353EF">
        <w:rPr>
          <w:rFonts w:ascii="Calibri" w:hAnsi="Calibri" w:cs="Calibri"/>
          <w:sz w:val="20"/>
          <w:szCs w:val="20"/>
          <w:lang w:val="en-GB"/>
        </w:rPr>
        <w:t>s</w:t>
      </w:r>
      <w:r w:rsidRPr="00CD33A5">
        <w:rPr>
          <w:rFonts w:ascii="Calibri" w:hAnsi="Calibri" w:cs="Calibri"/>
          <w:sz w:val="20"/>
          <w:szCs w:val="20"/>
          <w:lang w:val="en-GB"/>
        </w:rPr>
        <w:t>)</w:t>
      </w:r>
      <w:r w:rsidRPr="00CD33A5">
        <w:rPr>
          <w:rFonts w:ascii="Calibri" w:hAnsi="Calibri" w:cs="Calibri"/>
          <w:b/>
          <w:sz w:val="20"/>
          <w:szCs w:val="20"/>
          <w:lang w:val="en-GB"/>
        </w:rPr>
        <w:t>.</w:t>
      </w:r>
    </w:p>
    <w:p w14:paraId="19C88CB2" w14:textId="7102416B" w:rsidR="00302BFE"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CD33A5">
        <w:rPr>
          <w:rFonts w:ascii="Calibri" w:hAnsi="Calibri"/>
          <w:i/>
          <w:color w:val="4472C4"/>
          <w:sz w:val="20"/>
          <w:szCs w:val="20"/>
          <w:lang w:val="en-GB"/>
        </w:rPr>
        <w:t xml:space="preserve">3.1.1 </w:t>
      </w:r>
      <w:r>
        <w:rPr>
          <w:rFonts w:ascii="Calibri" w:hAnsi="Calibri"/>
          <w:i/>
          <w:color w:val="4472C4"/>
          <w:sz w:val="20"/>
          <w:szCs w:val="20"/>
          <w:lang w:val="en-GB"/>
        </w:rPr>
        <w:t>Participatory diagnostic</w:t>
      </w:r>
      <w:r w:rsidRPr="00CD33A5">
        <w:rPr>
          <w:rFonts w:ascii="Calibri" w:hAnsi="Calibri"/>
          <w:i/>
          <w:color w:val="4472C4"/>
          <w:sz w:val="20"/>
          <w:szCs w:val="20"/>
          <w:lang w:val="en-GB"/>
        </w:rPr>
        <w:t xml:space="preserve"> of the </w:t>
      </w:r>
      <w:r>
        <w:rPr>
          <w:rFonts w:ascii="Calibri" w:hAnsi="Calibri"/>
          <w:i/>
          <w:color w:val="4472C4"/>
          <w:sz w:val="20"/>
          <w:szCs w:val="20"/>
          <w:lang w:val="en-GB"/>
        </w:rPr>
        <w:t>condition</w:t>
      </w:r>
      <w:r w:rsidRPr="00CD33A5">
        <w:rPr>
          <w:rFonts w:ascii="Calibri" w:hAnsi="Calibri"/>
          <w:i/>
          <w:color w:val="4472C4"/>
          <w:sz w:val="20"/>
          <w:szCs w:val="20"/>
          <w:lang w:val="en-GB"/>
        </w:rPr>
        <w:t xml:space="preserve"> of land resources (soils, water, biodiversity).</w:t>
      </w:r>
    </w:p>
    <w:p w14:paraId="7E948C98" w14:textId="48D235E9" w:rsidR="00470FFF" w:rsidRPr="00470FFF" w:rsidRDefault="00470FFF" w:rsidP="00BE65D5">
      <w:pPr>
        <w:spacing w:before="120" w:after="120"/>
        <w:rPr>
          <w:iCs/>
          <w:color w:val="4472C4"/>
          <w:szCs w:val="20"/>
          <w:lang w:val="en-GB"/>
        </w:rPr>
      </w:pPr>
      <w:r w:rsidRPr="00B9357E">
        <w:rPr>
          <w:iCs/>
          <w:color w:val="4472C4"/>
          <w:szCs w:val="20"/>
          <w:lang w:val="en-GB"/>
        </w:rPr>
        <w:t xml:space="preserve">For this activity, the FPIC (Free, Prior and Informed Consent) process </w:t>
      </w:r>
      <w:proofErr w:type="gramStart"/>
      <w:r w:rsidRPr="00B9357E">
        <w:rPr>
          <w:iCs/>
          <w:color w:val="4472C4"/>
          <w:szCs w:val="20"/>
          <w:lang w:val="en-GB"/>
        </w:rPr>
        <w:t>has to</w:t>
      </w:r>
      <w:proofErr w:type="gramEnd"/>
      <w:r w:rsidRPr="00B9357E">
        <w:rPr>
          <w:iCs/>
          <w:color w:val="4472C4"/>
          <w:szCs w:val="20"/>
          <w:lang w:val="en-GB"/>
        </w:rPr>
        <w:t xml:space="preserve"> be ensured</w:t>
      </w:r>
    </w:p>
    <w:p w14:paraId="3DCA3E8A" w14:textId="77777777" w:rsidR="000353EF" w:rsidRPr="00A9382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A93827">
        <w:rPr>
          <w:rFonts w:ascii="Calibri" w:hAnsi="Calibri"/>
          <w:sz w:val="20"/>
          <w:szCs w:val="20"/>
          <w:lang w:val="en-GB"/>
        </w:rPr>
        <w:t xml:space="preserve">In each pilot site, the project will, with the facilitation of the CVD, and supported by the Forest Ecology Specialist, establish a rapid diagnostic of land </w:t>
      </w:r>
      <w:proofErr w:type="gramStart"/>
      <w:r w:rsidRPr="00A93827">
        <w:rPr>
          <w:rFonts w:ascii="Calibri" w:hAnsi="Calibri"/>
          <w:sz w:val="20"/>
          <w:szCs w:val="20"/>
          <w:lang w:val="en-GB"/>
        </w:rPr>
        <w:t>degradation</w:t>
      </w:r>
      <w:proofErr w:type="gramEnd"/>
      <w:r w:rsidRPr="00A93827">
        <w:rPr>
          <w:rFonts w:ascii="Calibri" w:hAnsi="Calibri"/>
          <w:sz w:val="20"/>
          <w:szCs w:val="20"/>
          <w:lang w:val="en-GB"/>
        </w:rPr>
        <w:t xml:space="preserve"> and establish with the beneficiary population the precise technical responses to be given to the different manifestations of land degradation. This diagnostic will be based </w:t>
      </w:r>
      <w:proofErr w:type="gramStart"/>
      <w:r w:rsidRPr="00A93827">
        <w:rPr>
          <w:rFonts w:ascii="Calibri" w:hAnsi="Calibri"/>
          <w:sz w:val="20"/>
          <w:szCs w:val="20"/>
          <w:lang w:val="en-GB"/>
        </w:rPr>
        <w:t>in particular on</w:t>
      </w:r>
      <w:proofErr w:type="gramEnd"/>
      <w:r w:rsidRPr="00A93827">
        <w:rPr>
          <w:rFonts w:ascii="Calibri" w:hAnsi="Calibri"/>
          <w:sz w:val="20"/>
          <w:szCs w:val="20"/>
          <w:lang w:val="en-GB"/>
        </w:rPr>
        <w:t xml:space="preserve"> the detailed diagnostic presented in the Integrated Ecosystem Management Plan for the riparian communes of the PONASI ecological complex carried out in 2016 with the support of PNGT-2-3. This participatory diagnostic, which will use the MARP tools, will result for each land (site) in two simplified maps (resource map and response map) which will respectively serve to illustrate the land degradation and to identify the proposed mitigation or restoration measures. Depending on </w:t>
      </w:r>
      <w:r w:rsidR="000353EF" w:rsidRPr="00A93827">
        <w:rPr>
          <w:rFonts w:ascii="Calibri" w:hAnsi="Calibri"/>
          <w:sz w:val="20"/>
          <w:szCs w:val="20"/>
          <w:lang w:val="en-GB"/>
        </w:rPr>
        <w:t>site-specific soil and environmental</w:t>
      </w:r>
      <w:r w:rsidRPr="00A93827">
        <w:rPr>
          <w:rFonts w:ascii="Calibri" w:hAnsi="Calibri"/>
          <w:sz w:val="20"/>
          <w:szCs w:val="20"/>
          <w:lang w:val="en-GB"/>
        </w:rPr>
        <w:t xml:space="preserve"> characteristics, </w:t>
      </w:r>
      <w:r w:rsidR="000353EF" w:rsidRPr="00A93827">
        <w:rPr>
          <w:rFonts w:ascii="Calibri" w:hAnsi="Calibri"/>
          <w:sz w:val="20"/>
          <w:szCs w:val="20"/>
          <w:lang w:val="en-GB"/>
        </w:rPr>
        <w:t xml:space="preserve">the project will mainly promote the adoption of </w:t>
      </w:r>
      <w:proofErr w:type="spellStart"/>
      <w:r w:rsidR="000353EF" w:rsidRPr="00A93827">
        <w:rPr>
          <w:rFonts w:ascii="Calibri" w:hAnsi="Calibri"/>
          <w:sz w:val="20"/>
          <w:szCs w:val="20"/>
          <w:lang w:val="en-GB"/>
        </w:rPr>
        <w:t>agro</w:t>
      </w:r>
      <w:proofErr w:type="spellEnd"/>
      <w:r w:rsidR="000353EF" w:rsidRPr="00A93827">
        <w:rPr>
          <w:rFonts w:ascii="Calibri" w:hAnsi="Calibri"/>
          <w:sz w:val="20"/>
          <w:szCs w:val="20"/>
          <w:lang w:val="en-GB"/>
        </w:rPr>
        <w:t>-</w:t>
      </w:r>
      <w:proofErr w:type="spellStart"/>
      <w:r w:rsidR="000353EF" w:rsidRPr="00A93827">
        <w:rPr>
          <w:rFonts w:ascii="Calibri" w:hAnsi="Calibri"/>
          <w:sz w:val="20"/>
          <w:szCs w:val="20"/>
          <w:lang w:val="en-GB"/>
        </w:rPr>
        <w:t>silvo</w:t>
      </w:r>
      <w:proofErr w:type="spellEnd"/>
      <w:r w:rsidR="000353EF" w:rsidRPr="00A93827">
        <w:rPr>
          <w:rFonts w:ascii="Calibri" w:hAnsi="Calibri"/>
          <w:sz w:val="20"/>
          <w:szCs w:val="20"/>
          <w:lang w:val="en-GB"/>
        </w:rPr>
        <w:t xml:space="preserve">-pastoralism and Assisted Natural Regeneration, namely for their cost-effectiveness and multiple benefits, and of techniques for soil and water conservation and soil protection and restoration such as </w:t>
      </w:r>
      <w:proofErr w:type="spellStart"/>
      <w:r w:rsidR="000353EF" w:rsidRPr="00A93827">
        <w:rPr>
          <w:rFonts w:ascii="Calibri" w:hAnsi="Calibri"/>
          <w:sz w:val="20"/>
          <w:szCs w:val="20"/>
          <w:lang w:val="en-GB"/>
        </w:rPr>
        <w:t>zaï</w:t>
      </w:r>
      <w:proofErr w:type="spellEnd"/>
      <w:r w:rsidR="000353EF" w:rsidRPr="00A93827">
        <w:rPr>
          <w:rFonts w:ascii="Calibri" w:hAnsi="Calibri"/>
          <w:sz w:val="20"/>
          <w:szCs w:val="20"/>
          <w:lang w:val="en-GB"/>
        </w:rPr>
        <w:t xml:space="preserve">, stone bunds, compost use, improved climate-adapted seed varieties, and prevention and management of bush fires. To promote the adoption and rapid ownership of these solutions by local actors, the project will help land users to choose appropriate technologies by avoiding top down decision-making and prescriptive measures. The project will also focus on technologies that generate financial and environmental benefits </w:t>
      </w:r>
      <w:r w:rsidR="00B874A1" w:rsidRPr="00A93827">
        <w:rPr>
          <w:rFonts w:ascii="Calibri" w:hAnsi="Calibri"/>
          <w:sz w:val="20"/>
          <w:szCs w:val="20"/>
          <w:lang w:val="en-GB"/>
        </w:rPr>
        <w:t>in the short- and medium-term to</w:t>
      </w:r>
      <w:r w:rsidR="000353EF" w:rsidRPr="00A93827">
        <w:rPr>
          <w:rFonts w:ascii="Calibri" w:hAnsi="Calibri"/>
          <w:sz w:val="20"/>
          <w:szCs w:val="20"/>
          <w:lang w:val="en-GB"/>
        </w:rPr>
        <w:t xml:space="preserve"> promote </w:t>
      </w:r>
      <w:r w:rsidR="00310BCF" w:rsidRPr="00A93827">
        <w:rPr>
          <w:rFonts w:ascii="Calibri" w:hAnsi="Calibri"/>
          <w:sz w:val="20"/>
          <w:szCs w:val="20"/>
          <w:lang w:val="en-GB"/>
        </w:rPr>
        <w:t xml:space="preserve">their </w:t>
      </w:r>
      <w:r w:rsidR="000353EF" w:rsidRPr="00A93827">
        <w:rPr>
          <w:rFonts w:ascii="Calibri" w:hAnsi="Calibri"/>
          <w:sz w:val="20"/>
          <w:szCs w:val="20"/>
          <w:lang w:val="en-GB"/>
        </w:rPr>
        <w:t>sustainable adoption. The Forest Ecology Specialist will provide the required expertise to ensure that none of the selected agroforestry and climate-adapted species used in the framework of the project is likely to pose a risk as an invasive alien species.</w:t>
      </w:r>
    </w:p>
    <w:p w14:paraId="12CDFE9D" w14:textId="436B16CB" w:rsidR="00302BFE"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DA06FB">
        <w:rPr>
          <w:rFonts w:ascii="Calibri" w:hAnsi="Calibri"/>
          <w:i/>
          <w:color w:val="4472C4"/>
          <w:sz w:val="20"/>
          <w:szCs w:val="20"/>
          <w:lang w:val="en-GB"/>
        </w:rPr>
        <w:t>3.1.2 Development of an intervention and investment plan</w:t>
      </w:r>
    </w:p>
    <w:p w14:paraId="7E5639D7" w14:textId="129D95DD" w:rsidR="00470FFF" w:rsidRPr="00470FFF" w:rsidRDefault="00470FFF" w:rsidP="00BE65D5">
      <w:pPr>
        <w:spacing w:before="120" w:after="120"/>
        <w:rPr>
          <w:iCs/>
          <w:color w:val="4472C4"/>
          <w:szCs w:val="20"/>
          <w:lang w:val="en-GB"/>
        </w:rPr>
      </w:pPr>
      <w:r w:rsidRPr="00B9357E">
        <w:rPr>
          <w:iCs/>
          <w:color w:val="4472C4"/>
          <w:szCs w:val="20"/>
          <w:lang w:val="en-GB"/>
        </w:rPr>
        <w:t xml:space="preserve">For this activity, the FPIC (Free, Prior and Informed Consent) process </w:t>
      </w:r>
      <w:proofErr w:type="gramStart"/>
      <w:r w:rsidRPr="00B9357E">
        <w:rPr>
          <w:iCs/>
          <w:color w:val="4472C4"/>
          <w:szCs w:val="20"/>
          <w:lang w:val="en-GB"/>
        </w:rPr>
        <w:t>has to</w:t>
      </w:r>
      <w:proofErr w:type="gramEnd"/>
      <w:r w:rsidRPr="00B9357E">
        <w:rPr>
          <w:iCs/>
          <w:color w:val="4472C4"/>
          <w:szCs w:val="20"/>
          <w:lang w:val="en-GB"/>
        </w:rPr>
        <w:t xml:space="preserve"> be ensured</w:t>
      </w:r>
    </w:p>
    <w:p w14:paraId="03AD95A5" w14:textId="77777777" w:rsidR="00302BFE" w:rsidRPr="00CD33A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proofErr w:type="gramStart"/>
      <w:r w:rsidRPr="00CD33A5">
        <w:rPr>
          <w:rFonts w:ascii="Calibri" w:hAnsi="Calibri"/>
          <w:sz w:val="20"/>
          <w:szCs w:val="20"/>
          <w:lang w:val="en-GB"/>
        </w:rPr>
        <w:t>On the basis of</w:t>
      </w:r>
      <w:proofErr w:type="gramEnd"/>
      <w:r w:rsidRPr="00CD33A5">
        <w:rPr>
          <w:rFonts w:ascii="Calibri" w:hAnsi="Calibri"/>
          <w:sz w:val="20"/>
          <w:szCs w:val="20"/>
          <w:lang w:val="en-GB"/>
        </w:rPr>
        <w:t xml:space="preserve"> the actions selected, a budgeted intervention plan including funding sources will be drawn up, always in a participatory manner and unde</w:t>
      </w:r>
      <w:r>
        <w:rPr>
          <w:rFonts w:ascii="Calibri" w:hAnsi="Calibri"/>
          <w:sz w:val="20"/>
          <w:szCs w:val="20"/>
          <w:lang w:val="en-GB"/>
        </w:rPr>
        <w:t>r the guidance of devolved</w:t>
      </w:r>
      <w:r w:rsidRPr="00CD33A5">
        <w:rPr>
          <w:rFonts w:ascii="Calibri" w:hAnsi="Calibri"/>
          <w:sz w:val="20"/>
          <w:szCs w:val="20"/>
          <w:lang w:val="en-GB"/>
        </w:rPr>
        <w:t xml:space="preserve"> technical services or local NGOs, for each pilot site for a duration of 3 to 5 years. This intervention and investment plan will specify the objectives to be achieved, the quantitative targets, the implementation modalities of the various actions, including the training or capacity building activities of the actors and all the support that is useful to the beneficiaries (common demonstration sites, specific support </w:t>
      </w:r>
      <w:r>
        <w:rPr>
          <w:rFonts w:ascii="Calibri" w:hAnsi="Calibri"/>
          <w:sz w:val="20"/>
          <w:szCs w:val="20"/>
          <w:lang w:val="en-GB"/>
        </w:rPr>
        <w:t xml:space="preserve">in </w:t>
      </w:r>
      <w:r w:rsidRPr="00CD33A5">
        <w:rPr>
          <w:rFonts w:ascii="Calibri" w:hAnsi="Calibri"/>
          <w:sz w:val="20"/>
          <w:szCs w:val="20"/>
          <w:lang w:val="en-GB"/>
        </w:rPr>
        <w:t>seed</w:t>
      </w:r>
      <w:r>
        <w:rPr>
          <w:rFonts w:ascii="Calibri" w:hAnsi="Calibri"/>
          <w:sz w:val="20"/>
          <w:szCs w:val="20"/>
          <w:lang w:val="en-GB"/>
        </w:rPr>
        <w:t>s</w:t>
      </w:r>
      <w:r w:rsidRPr="00CD33A5">
        <w:rPr>
          <w:rFonts w:ascii="Calibri" w:hAnsi="Calibri"/>
          <w:sz w:val="20"/>
          <w:szCs w:val="20"/>
          <w:lang w:val="en-GB"/>
        </w:rPr>
        <w:t xml:space="preserve"> or inputs, etc.) and priority beneficiaries. The beneficiaries of the investments will be identified </w:t>
      </w:r>
      <w:proofErr w:type="gramStart"/>
      <w:r w:rsidRPr="00CD33A5">
        <w:rPr>
          <w:rFonts w:ascii="Calibri" w:hAnsi="Calibri"/>
          <w:sz w:val="20"/>
          <w:szCs w:val="20"/>
          <w:lang w:val="en-GB"/>
        </w:rPr>
        <w:t>on the basis of</w:t>
      </w:r>
      <w:proofErr w:type="gramEnd"/>
      <w:r w:rsidRPr="00CD33A5">
        <w:rPr>
          <w:rFonts w:ascii="Calibri" w:hAnsi="Calibri"/>
          <w:sz w:val="20"/>
          <w:szCs w:val="20"/>
          <w:lang w:val="en-GB"/>
        </w:rPr>
        <w:t xml:space="preserve"> criteria related in particular to the nature of the investments, the land status of the spaces to be developed / treated and the most effective methods of implementation: households, professional agricultural organizations, specific organizations (young people, women, etc.) while responding to the overall ratio of 60% representation of women among beneficiaries. Estimated cost of implementation will be assessed as well as sources of funding.</w:t>
      </w:r>
    </w:p>
    <w:p w14:paraId="35528ECB" w14:textId="77777777" w:rsidR="00302BFE" w:rsidRPr="00CD33A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CD33A5">
        <w:rPr>
          <w:rFonts w:ascii="Calibri" w:hAnsi="Calibri"/>
          <w:sz w:val="20"/>
          <w:szCs w:val="20"/>
          <w:lang w:val="en-GB"/>
        </w:rPr>
        <w:lastRenderedPageBreak/>
        <w:t>In line with the strategic orientations of the Land Use Master Plan validated by the PONASI landscape co-governance platform, the intervention plan will introduce climate-resilient farming and livestock farming practices, including soil and water conservation, to reduce farmers' vulnerability to drought and increasing rainfall variability (developed under outputs 3.1 and 3.2).</w:t>
      </w:r>
    </w:p>
    <w:p w14:paraId="3B3CCFE6" w14:textId="77777777" w:rsidR="00302BFE" w:rsidRPr="00690299"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proofErr w:type="gramStart"/>
      <w:r w:rsidRPr="00690299">
        <w:rPr>
          <w:rFonts w:ascii="Calibri" w:hAnsi="Calibri"/>
          <w:sz w:val="20"/>
          <w:szCs w:val="20"/>
          <w:lang w:val="en-GB"/>
        </w:rPr>
        <w:t>On the basis of</w:t>
      </w:r>
      <w:proofErr w:type="gramEnd"/>
      <w:r w:rsidRPr="00690299">
        <w:rPr>
          <w:rFonts w:ascii="Calibri" w:hAnsi="Calibri"/>
          <w:sz w:val="20"/>
          <w:szCs w:val="20"/>
          <w:lang w:val="en-GB"/>
        </w:rPr>
        <w:t xml:space="preserve"> this investment plan and available co-financing (as identified by each target commune from the co-financing letters signed by the stakeholders), an annual planning will be carried out and implemented in the framework of the co-governance mechanism for the PONASI landscape. The investment plan for each site will provide for the establishment of a transparent and participatory monitoring mechanism involving the beneficiaries of the interventions </w:t>
      </w:r>
      <w:proofErr w:type="gramStart"/>
      <w:r w:rsidRPr="00690299">
        <w:rPr>
          <w:rFonts w:ascii="Calibri" w:hAnsi="Calibri"/>
          <w:sz w:val="20"/>
          <w:szCs w:val="20"/>
          <w:lang w:val="en-GB"/>
        </w:rPr>
        <w:t>in order to</w:t>
      </w:r>
      <w:proofErr w:type="gramEnd"/>
      <w:r w:rsidRPr="00690299">
        <w:rPr>
          <w:rFonts w:ascii="Calibri" w:hAnsi="Calibri"/>
          <w:sz w:val="20"/>
          <w:szCs w:val="20"/>
          <w:lang w:val="en-GB"/>
        </w:rPr>
        <w:t xml:space="preserve"> report on the progress and results achieved at the local scale but also to measure or to appreciate the impacts as perceived by the beneficiaries and the community as a whole. This monitoring mechanism will feed into the landscape-level monitoring system (under output 1.5) and document the lessons to be shared (Output 4.2).</w:t>
      </w:r>
    </w:p>
    <w:p w14:paraId="27006F57" w14:textId="428B032C" w:rsidR="00302BFE"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CD33A5">
        <w:rPr>
          <w:rFonts w:ascii="Calibri" w:hAnsi="Calibri"/>
          <w:i/>
          <w:color w:val="4472C4"/>
          <w:sz w:val="20"/>
          <w:szCs w:val="20"/>
          <w:lang w:val="en-GB"/>
        </w:rPr>
        <w:t xml:space="preserve">3.1.3 Support to producers and </w:t>
      </w:r>
      <w:r>
        <w:rPr>
          <w:rFonts w:ascii="Calibri" w:hAnsi="Calibri"/>
          <w:i/>
          <w:color w:val="4472C4"/>
          <w:sz w:val="20"/>
          <w:szCs w:val="20"/>
          <w:lang w:val="en-GB"/>
        </w:rPr>
        <w:t xml:space="preserve">land and resource user </w:t>
      </w:r>
      <w:r w:rsidRPr="00CD33A5">
        <w:rPr>
          <w:rFonts w:ascii="Calibri" w:hAnsi="Calibri"/>
          <w:i/>
          <w:color w:val="4472C4"/>
          <w:sz w:val="20"/>
          <w:szCs w:val="20"/>
          <w:lang w:val="en-GB"/>
        </w:rPr>
        <w:t>groups</w:t>
      </w:r>
    </w:p>
    <w:p w14:paraId="6A057830" w14:textId="3D8DEDD1" w:rsidR="00470FFF" w:rsidRPr="00470FFF" w:rsidRDefault="00470FFF" w:rsidP="00BE65D5">
      <w:pPr>
        <w:spacing w:before="120" w:after="120"/>
        <w:rPr>
          <w:iCs/>
          <w:color w:val="4472C4"/>
          <w:szCs w:val="20"/>
          <w:lang w:val="en-GB"/>
        </w:rPr>
      </w:pPr>
      <w:r w:rsidRPr="00B9357E">
        <w:rPr>
          <w:iCs/>
          <w:color w:val="4472C4"/>
          <w:szCs w:val="20"/>
          <w:lang w:val="en-GB"/>
        </w:rPr>
        <w:t xml:space="preserve">For this activity, the FPIC (Free, Prior and Informed Consent) process </w:t>
      </w:r>
      <w:proofErr w:type="gramStart"/>
      <w:r w:rsidRPr="00B9357E">
        <w:rPr>
          <w:iCs/>
          <w:color w:val="4472C4"/>
          <w:szCs w:val="20"/>
          <w:lang w:val="en-GB"/>
        </w:rPr>
        <w:t>has to</w:t>
      </w:r>
      <w:proofErr w:type="gramEnd"/>
      <w:r w:rsidRPr="00B9357E">
        <w:rPr>
          <w:iCs/>
          <w:color w:val="4472C4"/>
          <w:szCs w:val="20"/>
          <w:lang w:val="en-GB"/>
        </w:rPr>
        <w:t xml:space="preserve"> be ensured</w:t>
      </w:r>
    </w:p>
    <w:p w14:paraId="56BC2CB4"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CD33A5">
        <w:rPr>
          <w:rFonts w:ascii="Calibri" w:hAnsi="Calibri"/>
          <w:sz w:val="20"/>
          <w:szCs w:val="20"/>
          <w:lang w:val="en-GB"/>
        </w:rPr>
        <w:t xml:space="preserve">UNDP/GEF funding for pilot site investment plans will focus on (i) the establishment of school sites or demonstration plots using climate-resilient improved agriculture and integrated agropastoral </w:t>
      </w:r>
      <w:r>
        <w:rPr>
          <w:rFonts w:ascii="Calibri" w:hAnsi="Calibri"/>
          <w:sz w:val="20"/>
          <w:szCs w:val="20"/>
          <w:lang w:val="en-GB"/>
        </w:rPr>
        <w:t xml:space="preserve">practices, quality seeds for </w:t>
      </w:r>
      <w:r w:rsidRPr="00CD33A5">
        <w:rPr>
          <w:rFonts w:ascii="Calibri" w:hAnsi="Calibri"/>
          <w:sz w:val="20"/>
          <w:szCs w:val="20"/>
          <w:lang w:val="en-GB"/>
        </w:rPr>
        <w:t xml:space="preserve">key crops and diversified livestock species, (ii) support to producers, (iii) the </w:t>
      </w:r>
      <w:r>
        <w:rPr>
          <w:rFonts w:ascii="Calibri" w:hAnsi="Calibri"/>
          <w:sz w:val="20"/>
          <w:szCs w:val="20"/>
          <w:lang w:val="en-GB"/>
        </w:rPr>
        <w:t>operation</w:t>
      </w:r>
      <w:r w:rsidRPr="00CD33A5">
        <w:rPr>
          <w:rFonts w:ascii="Calibri" w:hAnsi="Calibri"/>
          <w:sz w:val="20"/>
          <w:szCs w:val="20"/>
          <w:lang w:val="en-GB"/>
        </w:rPr>
        <w:t xml:space="preserve"> of the local monitoring mechanism, and (iv) the operati</w:t>
      </w:r>
      <w:r>
        <w:rPr>
          <w:rFonts w:ascii="Calibri" w:hAnsi="Calibri"/>
          <w:sz w:val="20"/>
          <w:szCs w:val="20"/>
          <w:lang w:val="en-GB"/>
        </w:rPr>
        <w:t>onal costs of the devolved</w:t>
      </w:r>
      <w:r w:rsidRPr="00CD33A5">
        <w:rPr>
          <w:rFonts w:ascii="Calibri" w:hAnsi="Calibri"/>
          <w:sz w:val="20"/>
          <w:szCs w:val="20"/>
          <w:lang w:val="en-GB"/>
        </w:rPr>
        <w:t xml:space="preserve"> technical services o</w:t>
      </w:r>
      <w:r>
        <w:rPr>
          <w:rFonts w:ascii="Calibri" w:hAnsi="Calibri"/>
          <w:sz w:val="20"/>
          <w:szCs w:val="20"/>
          <w:lang w:val="en-GB"/>
        </w:rPr>
        <w:t>r NGOs in charge of providing</w:t>
      </w:r>
      <w:r w:rsidRPr="00CD33A5">
        <w:rPr>
          <w:rFonts w:ascii="Calibri" w:hAnsi="Calibri"/>
          <w:sz w:val="20"/>
          <w:szCs w:val="20"/>
          <w:lang w:val="en-GB"/>
        </w:rPr>
        <w:t xml:space="preserve"> technical and methodological sup</w:t>
      </w:r>
      <w:r>
        <w:rPr>
          <w:rFonts w:ascii="Calibri" w:hAnsi="Calibri"/>
          <w:sz w:val="20"/>
          <w:szCs w:val="20"/>
          <w:lang w:val="en-GB"/>
        </w:rPr>
        <w:t>port (travel and subsistence fees</w:t>
      </w:r>
      <w:r w:rsidRPr="00CD33A5">
        <w:rPr>
          <w:rFonts w:ascii="Calibri" w:hAnsi="Calibri"/>
          <w:sz w:val="20"/>
          <w:szCs w:val="20"/>
          <w:lang w:val="en-GB"/>
        </w:rPr>
        <w:t>, joint meetings)</w:t>
      </w:r>
      <w:r>
        <w:rPr>
          <w:rFonts w:ascii="Calibri" w:hAnsi="Calibri"/>
          <w:sz w:val="20"/>
          <w:szCs w:val="20"/>
          <w:lang w:val="en-GB"/>
        </w:rPr>
        <w:t>.</w:t>
      </w:r>
    </w:p>
    <w:p w14:paraId="0C0BD5E7" w14:textId="77777777" w:rsidR="00302BFE" w:rsidRPr="00CF512D"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387BC2">
        <w:rPr>
          <w:rFonts w:ascii="Calibri" w:hAnsi="Calibri"/>
          <w:sz w:val="20"/>
          <w:szCs w:val="20"/>
          <w:lang w:val="en-GB"/>
        </w:rPr>
        <w:t>The project will provide support to producers’ households and professional or specific organizations in accordance with the intervention and investment plan developed under Sub-output 3.1.1, in the form of support and training, from demonstration sites of adapted and improved practices</w:t>
      </w:r>
      <w:r w:rsidRPr="00CF512D">
        <w:rPr>
          <w:rFonts w:ascii="Calibri" w:eastAsia="Times New Roman" w:hAnsi="Calibri" w:cs="Calibri"/>
          <w:sz w:val="20"/>
          <w:szCs w:val="20"/>
          <w:lang w:val="en-GB"/>
        </w:rPr>
        <w:t>.</w:t>
      </w:r>
    </w:p>
    <w:p w14:paraId="3D19B099" w14:textId="77777777" w:rsidR="00302BFE" w:rsidRPr="00A9382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A93827">
        <w:rPr>
          <w:rFonts w:ascii="Calibri" w:hAnsi="Calibri"/>
          <w:sz w:val="20"/>
          <w:szCs w:val="20"/>
          <w:lang w:val="en-CA"/>
        </w:rPr>
        <w:t xml:space="preserve">The project will support the establishment of multi-thematic </w:t>
      </w:r>
      <w:r w:rsidRPr="00A93827">
        <w:rPr>
          <w:rFonts w:ascii="Calibri" w:hAnsi="Calibri"/>
          <w:sz w:val="20"/>
          <w:szCs w:val="20"/>
          <w:lang w:val="en-GB"/>
        </w:rPr>
        <w:t xml:space="preserve">demonstration or joint experimentation sites with the support of devolved technical services and relevant local NGOs, in </w:t>
      </w:r>
      <w:r w:rsidRPr="00A93827">
        <w:rPr>
          <w:rFonts w:ascii="Calibri" w:hAnsi="Calibri"/>
          <w:sz w:val="20"/>
          <w:szCs w:val="20"/>
          <w:lang w:val="en-CA"/>
        </w:rPr>
        <w:t xml:space="preserve">pilot sites where farmers, herders, and other stakeholders will develop skills and knowledge on various agricultural and agroforestry topics for the adoption of sustainable and climate-adapted practices. These sites </w:t>
      </w:r>
      <w:r w:rsidRPr="00A93827">
        <w:rPr>
          <w:rFonts w:ascii="Calibri" w:hAnsi="Calibri"/>
          <w:sz w:val="20"/>
          <w:szCs w:val="20"/>
          <w:lang w:val="en-GB"/>
        </w:rPr>
        <w:t xml:space="preserve">will preferably be established on the farms and managed by local "innovative" labourers, </w:t>
      </w:r>
      <w:proofErr w:type="gramStart"/>
      <w:r w:rsidRPr="00A93827">
        <w:rPr>
          <w:rFonts w:ascii="Calibri" w:hAnsi="Calibri"/>
          <w:sz w:val="20"/>
          <w:szCs w:val="20"/>
          <w:lang w:val="en-GB"/>
        </w:rPr>
        <w:t>in order to</w:t>
      </w:r>
      <w:proofErr w:type="gramEnd"/>
      <w:r w:rsidRPr="00A93827">
        <w:rPr>
          <w:rFonts w:ascii="Calibri" w:hAnsi="Calibri"/>
          <w:sz w:val="20"/>
          <w:szCs w:val="20"/>
          <w:lang w:val="en-GB"/>
        </w:rPr>
        <w:t xml:space="preserve"> control the costs of implementation.</w:t>
      </w:r>
      <w:r w:rsidRPr="00A93827">
        <w:rPr>
          <w:rFonts w:ascii="Calibri" w:hAnsi="Calibri"/>
          <w:sz w:val="20"/>
          <w:szCs w:val="20"/>
          <w:lang w:val="en-CA"/>
        </w:rPr>
        <w:t xml:space="preserve"> Training will be provided through theoretical instruction, on-site field demonstration and trainings, supervised learning-by-doing and provision of customized advice through visits to the farmer once she/he is established in her/his own field. The school will strongly rely on demonstration of innovative climate-adapted techniques and, to this purpose, will work in collaboration with existing private farms that have proven successful in the implementation of </w:t>
      </w:r>
      <w:proofErr w:type="spellStart"/>
      <w:r w:rsidR="00900000" w:rsidRPr="00A93827">
        <w:rPr>
          <w:rFonts w:ascii="Calibri" w:hAnsi="Calibri"/>
          <w:sz w:val="20"/>
          <w:szCs w:val="20"/>
          <w:lang w:val="en-CA"/>
        </w:rPr>
        <w:t>agro</w:t>
      </w:r>
      <w:proofErr w:type="spellEnd"/>
      <w:r w:rsidR="00900000" w:rsidRPr="00A93827">
        <w:rPr>
          <w:rFonts w:ascii="Calibri" w:hAnsi="Calibri"/>
          <w:sz w:val="20"/>
          <w:szCs w:val="20"/>
          <w:lang w:val="en-CA"/>
        </w:rPr>
        <w:t>-</w:t>
      </w:r>
      <w:proofErr w:type="spellStart"/>
      <w:r w:rsidR="00900000" w:rsidRPr="00A93827">
        <w:rPr>
          <w:rFonts w:ascii="Calibri" w:hAnsi="Calibri"/>
          <w:sz w:val="20"/>
          <w:szCs w:val="20"/>
          <w:lang w:val="en-CA"/>
        </w:rPr>
        <w:t>sylvo</w:t>
      </w:r>
      <w:proofErr w:type="spellEnd"/>
      <w:r w:rsidR="00900000" w:rsidRPr="00A93827">
        <w:rPr>
          <w:rFonts w:ascii="Calibri" w:hAnsi="Calibri"/>
          <w:sz w:val="20"/>
          <w:szCs w:val="20"/>
          <w:lang w:val="en-CA"/>
        </w:rPr>
        <w:t>-pastoral</w:t>
      </w:r>
      <w:r w:rsidRPr="00A93827">
        <w:rPr>
          <w:rFonts w:ascii="Calibri" w:hAnsi="Calibri"/>
          <w:sz w:val="20"/>
          <w:szCs w:val="20"/>
          <w:lang w:val="en-CA"/>
        </w:rPr>
        <w:t xml:space="preserve"> </w:t>
      </w:r>
      <w:r w:rsidR="00900000" w:rsidRPr="00A93827">
        <w:rPr>
          <w:rFonts w:ascii="Calibri" w:hAnsi="Calibri"/>
          <w:sz w:val="20"/>
          <w:szCs w:val="20"/>
          <w:lang w:val="en-CA"/>
        </w:rPr>
        <w:t xml:space="preserve">and assisted natural regeneration approaches and of techniques for soil and water conservation and soil protection and restoration such as </w:t>
      </w:r>
      <w:proofErr w:type="spellStart"/>
      <w:r w:rsidR="00900000" w:rsidRPr="00A93827">
        <w:rPr>
          <w:rFonts w:ascii="Calibri" w:hAnsi="Calibri"/>
          <w:sz w:val="20"/>
          <w:szCs w:val="20"/>
          <w:lang w:val="en-CA"/>
        </w:rPr>
        <w:t>zaï</w:t>
      </w:r>
      <w:proofErr w:type="spellEnd"/>
      <w:r w:rsidR="00900000" w:rsidRPr="00A93827">
        <w:rPr>
          <w:rFonts w:ascii="Calibri" w:hAnsi="Calibri"/>
          <w:sz w:val="20"/>
          <w:szCs w:val="20"/>
          <w:lang w:val="en-CA"/>
        </w:rPr>
        <w:t>, stone bunds, compost use, and improved climate-adapted seed varieties</w:t>
      </w:r>
      <w:r w:rsidRPr="00A93827">
        <w:rPr>
          <w:rFonts w:ascii="Calibri" w:hAnsi="Calibri"/>
          <w:sz w:val="20"/>
          <w:szCs w:val="20"/>
          <w:lang w:val="en-CA"/>
        </w:rPr>
        <w:t>.</w:t>
      </w:r>
    </w:p>
    <w:p w14:paraId="1D98A178" w14:textId="77777777" w:rsidR="00302BFE" w:rsidRPr="00DA06FB"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900000">
        <w:rPr>
          <w:rFonts w:ascii="Calibri" w:hAnsi="Calibri"/>
          <w:sz w:val="20"/>
          <w:szCs w:val="20"/>
          <w:lang w:val="en-CA"/>
        </w:rPr>
        <w:t xml:space="preserve">Appropriate </w:t>
      </w:r>
      <w:r w:rsidR="00900000" w:rsidRPr="00900000">
        <w:rPr>
          <w:rFonts w:ascii="Calibri" w:hAnsi="Calibri"/>
          <w:sz w:val="20"/>
          <w:szCs w:val="20"/>
          <w:lang w:val="en-CA"/>
        </w:rPr>
        <w:t xml:space="preserve">soil </w:t>
      </w:r>
      <w:r w:rsidR="00900000">
        <w:rPr>
          <w:rFonts w:ascii="Calibri" w:hAnsi="Calibri"/>
          <w:sz w:val="20"/>
          <w:szCs w:val="20"/>
          <w:lang w:val="en-CA"/>
        </w:rPr>
        <w:t xml:space="preserve">and water </w:t>
      </w:r>
      <w:r w:rsidR="00900000" w:rsidRPr="00900000">
        <w:rPr>
          <w:rFonts w:ascii="Calibri" w:hAnsi="Calibri"/>
          <w:sz w:val="20"/>
          <w:szCs w:val="20"/>
          <w:lang w:val="en-CA"/>
        </w:rPr>
        <w:t>management</w:t>
      </w:r>
      <w:r w:rsidRPr="00900000">
        <w:rPr>
          <w:rFonts w:ascii="Calibri" w:hAnsi="Calibri"/>
          <w:sz w:val="20"/>
          <w:szCs w:val="20"/>
          <w:lang w:val="en-CA"/>
        </w:rPr>
        <w:t xml:space="preserve"> techniques</w:t>
      </w:r>
      <w:r w:rsidRPr="00DA06FB">
        <w:rPr>
          <w:rFonts w:ascii="Calibri" w:hAnsi="Calibri"/>
          <w:sz w:val="20"/>
          <w:szCs w:val="20"/>
          <w:lang w:val="en-CA"/>
        </w:rPr>
        <w:t xml:space="preserve"> and climate adapted species/varieties will be identified and documented for demonstration and training, and a curriculum in agroforestry, assisted natural regeneration, climate-smart agriculture, agropastoralism, and microfinance will be developed, including the preparation of related courses and educational material. Topics could include: fences to reduce predation, especially for areas under restoration; restoration of the soil productive capacity, preparation and use of organic amendments, including compost from crop residues and manure, setting up animal enclosures to enable manure collection; green manure and catch crops, to reduce evaporation and erosion;  low-cost gravity micro-irrigation; agroforestry, windbreaks composed of multiple use climate adapted species (</w:t>
      </w:r>
      <w:r w:rsidRPr="00DA06FB">
        <w:rPr>
          <w:rFonts w:ascii="Calibri" w:hAnsi="Calibri"/>
          <w:i/>
          <w:sz w:val="20"/>
          <w:szCs w:val="20"/>
          <w:lang w:val="en-CA"/>
        </w:rPr>
        <w:t>Moringa, Jatropha</w:t>
      </w:r>
      <w:r w:rsidRPr="00DA06FB">
        <w:rPr>
          <w:rFonts w:ascii="Calibri" w:hAnsi="Calibri"/>
          <w:sz w:val="20"/>
          <w:szCs w:val="20"/>
          <w:lang w:val="en-CA"/>
        </w:rPr>
        <w:t xml:space="preserve">), plantations of fuelwood, fruit trees, and fodder tree species; pesticide-free control of pests and diseases; preparation of dry-season fodder reserves and other risk management measures; sustainable pasture/rangeland management and rotational grazing systems. </w:t>
      </w:r>
      <w:r w:rsidRPr="00DA06FB">
        <w:rPr>
          <w:rFonts w:ascii="Calibri" w:hAnsi="Calibri"/>
          <w:sz w:val="20"/>
          <w:szCs w:val="20"/>
          <w:lang w:val="en-GB"/>
        </w:rPr>
        <w:t xml:space="preserve">The project will also use the methodological guides developed as part of the Country </w:t>
      </w:r>
      <w:r w:rsidR="00D27B19">
        <w:rPr>
          <w:rFonts w:ascii="Calibri" w:hAnsi="Calibri"/>
          <w:sz w:val="20"/>
          <w:szCs w:val="20"/>
          <w:lang w:val="en-GB"/>
        </w:rPr>
        <w:t xml:space="preserve">Pilot </w:t>
      </w:r>
      <w:r w:rsidRPr="00DA06FB">
        <w:rPr>
          <w:rFonts w:ascii="Calibri" w:hAnsi="Calibri"/>
          <w:sz w:val="20"/>
          <w:szCs w:val="20"/>
          <w:lang w:val="en-GB"/>
        </w:rPr>
        <w:t xml:space="preserve">Partnership </w:t>
      </w:r>
      <w:r w:rsidR="00D27B19">
        <w:rPr>
          <w:rFonts w:ascii="Calibri" w:hAnsi="Calibri"/>
          <w:sz w:val="20"/>
          <w:szCs w:val="20"/>
          <w:lang w:val="en-GB"/>
        </w:rPr>
        <w:t>p</w:t>
      </w:r>
      <w:r w:rsidRPr="00DA06FB">
        <w:rPr>
          <w:rFonts w:ascii="Calibri" w:hAnsi="Calibri"/>
          <w:sz w:val="20"/>
          <w:szCs w:val="20"/>
          <w:lang w:val="en-GB"/>
        </w:rPr>
        <w:t xml:space="preserve">rogram for Sustainable Land Management (CPP), </w:t>
      </w:r>
      <w:proofErr w:type="gramStart"/>
      <w:r w:rsidRPr="00DA06FB">
        <w:rPr>
          <w:rFonts w:ascii="Calibri" w:hAnsi="Calibri"/>
          <w:sz w:val="20"/>
          <w:szCs w:val="20"/>
          <w:lang w:val="en-GB"/>
        </w:rPr>
        <w:t>in particular the</w:t>
      </w:r>
      <w:proofErr w:type="gramEnd"/>
      <w:r w:rsidRPr="00DA06FB">
        <w:rPr>
          <w:rFonts w:ascii="Calibri" w:hAnsi="Calibri"/>
          <w:sz w:val="20"/>
          <w:szCs w:val="20"/>
          <w:lang w:val="en-GB"/>
        </w:rPr>
        <w:t xml:space="preserve"> </w:t>
      </w:r>
      <w:proofErr w:type="spellStart"/>
      <w:r w:rsidRPr="00DA06FB">
        <w:rPr>
          <w:rFonts w:ascii="Calibri" w:hAnsi="Calibri"/>
          <w:sz w:val="20"/>
          <w:szCs w:val="20"/>
          <w:lang w:val="en-GB"/>
        </w:rPr>
        <w:t>Catalog</w:t>
      </w:r>
      <w:proofErr w:type="spellEnd"/>
      <w:r w:rsidRPr="00DA06FB">
        <w:rPr>
          <w:rFonts w:ascii="Calibri" w:hAnsi="Calibri"/>
          <w:sz w:val="20"/>
          <w:szCs w:val="20"/>
          <w:lang w:val="en-GB"/>
        </w:rPr>
        <w:t xml:space="preserve"> of Good Agricultural-</w:t>
      </w:r>
      <w:proofErr w:type="spellStart"/>
      <w:r w:rsidRPr="00DA06FB">
        <w:rPr>
          <w:rFonts w:ascii="Calibri" w:hAnsi="Calibri"/>
          <w:sz w:val="20"/>
          <w:szCs w:val="20"/>
          <w:lang w:val="en-GB"/>
        </w:rPr>
        <w:t>Sylvo</w:t>
      </w:r>
      <w:proofErr w:type="spellEnd"/>
      <w:r w:rsidRPr="00DA06FB">
        <w:rPr>
          <w:rFonts w:ascii="Calibri" w:hAnsi="Calibri"/>
          <w:sz w:val="20"/>
          <w:szCs w:val="20"/>
          <w:lang w:val="en-GB"/>
        </w:rPr>
        <w:t xml:space="preserve">-Pastoral Practices for Sustainable Improvement of Soil Fertility and the Methodological Guide for the development, securing and </w:t>
      </w:r>
      <w:proofErr w:type="spellStart"/>
      <w:r w:rsidRPr="00DA06FB">
        <w:rPr>
          <w:rFonts w:ascii="Calibri" w:hAnsi="Calibri"/>
          <w:sz w:val="20"/>
          <w:szCs w:val="20"/>
          <w:lang w:val="en-GB"/>
        </w:rPr>
        <w:t>valorization</w:t>
      </w:r>
      <w:proofErr w:type="spellEnd"/>
      <w:r w:rsidRPr="00DA06FB">
        <w:rPr>
          <w:rFonts w:ascii="Calibri" w:hAnsi="Calibri"/>
          <w:sz w:val="20"/>
          <w:szCs w:val="20"/>
          <w:lang w:val="en-GB"/>
        </w:rPr>
        <w:t xml:space="preserve"> of pastoral areas and cattle tracks. The </w:t>
      </w:r>
      <w:proofErr w:type="spellStart"/>
      <w:r w:rsidRPr="00DA06FB">
        <w:rPr>
          <w:rFonts w:ascii="Calibri" w:hAnsi="Calibri"/>
          <w:sz w:val="20"/>
          <w:szCs w:val="20"/>
          <w:lang w:val="en-GB"/>
        </w:rPr>
        <w:t>Catalog</w:t>
      </w:r>
      <w:proofErr w:type="spellEnd"/>
      <w:r w:rsidRPr="00DA06FB">
        <w:rPr>
          <w:rFonts w:ascii="Calibri" w:hAnsi="Calibri"/>
          <w:sz w:val="20"/>
          <w:szCs w:val="20"/>
          <w:lang w:val="en-GB"/>
        </w:rPr>
        <w:t xml:space="preserve"> of </w:t>
      </w:r>
      <w:proofErr w:type="spellStart"/>
      <w:r w:rsidRPr="00DA06FB">
        <w:rPr>
          <w:rFonts w:ascii="Calibri" w:hAnsi="Calibri"/>
          <w:sz w:val="20"/>
          <w:szCs w:val="20"/>
          <w:lang w:val="en-GB"/>
        </w:rPr>
        <w:t>Agro</w:t>
      </w:r>
      <w:proofErr w:type="spellEnd"/>
      <w:r w:rsidRPr="00DA06FB">
        <w:rPr>
          <w:rFonts w:ascii="Calibri" w:hAnsi="Calibri"/>
          <w:sz w:val="20"/>
          <w:szCs w:val="20"/>
          <w:lang w:val="en-GB"/>
        </w:rPr>
        <w:t>-</w:t>
      </w:r>
      <w:proofErr w:type="spellStart"/>
      <w:r w:rsidRPr="00DA06FB">
        <w:rPr>
          <w:rFonts w:ascii="Calibri" w:hAnsi="Calibri"/>
          <w:sz w:val="20"/>
          <w:szCs w:val="20"/>
          <w:lang w:val="en-GB"/>
        </w:rPr>
        <w:t>Sylvo</w:t>
      </w:r>
      <w:proofErr w:type="spellEnd"/>
      <w:r w:rsidRPr="00DA06FB">
        <w:rPr>
          <w:rFonts w:ascii="Calibri" w:hAnsi="Calibri"/>
          <w:sz w:val="20"/>
          <w:szCs w:val="20"/>
          <w:lang w:val="en-GB"/>
        </w:rPr>
        <w:t xml:space="preserve">-Pastoral Good Practices presents a range of agronomic, biological, zootechnical and combined practices and facilities, including their description, </w:t>
      </w:r>
      <w:proofErr w:type="gramStart"/>
      <w:r w:rsidRPr="00DA06FB">
        <w:rPr>
          <w:rFonts w:ascii="Calibri" w:hAnsi="Calibri"/>
          <w:sz w:val="20"/>
          <w:szCs w:val="20"/>
          <w:lang w:val="en-GB"/>
        </w:rPr>
        <w:t>applicability</w:t>
      </w:r>
      <w:proofErr w:type="gramEnd"/>
      <w:r w:rsidRPr="00DA06FB">
        <w:rPr>
          <w:rFonts w:ascii="Calibri" w:hAnsi="Calibri"/>
          <w:sz w:val="20"/>
          <w:szCs w:val="20"/>
          <w:lang w:val="en-GB"/>
        </w:rPr>
        <w:t xml:space="preserve"> and cost. </w:t>
      </w:r>
      <w:r w:rsidRPr="00DA06FB">
        <w:rPr>
          <w:rFonts w:ascii="Calibri" w:hAnsi="Calibri"/>
          <w:sz w:val="20"/>
          <w:szCs w:val="20"/>
          <w:lang w:val="en-CA"/>
        </w:rPr>
        <w:t xml:space="preserve">The training program will include strengthening local community members’ capacity to improve and diversify livelihoods and raising awareness of beneficiaries on savings, </w:t>
      </w:r>
      <w:proofErr w:type="gramStart"/>
      <w:r w:rsidRPr="00DA06FB">
        <w:rPr>
          <w:rFonts w:ascii="Calibri" w:hAnsi="Calibri"/>
          <w:sz w:val="20"/>
          <w:szCs w:val="20"/>
          <w:lang w:val="en-CA"/>
        </w:rPr>
        <w:t>microcredit</w:t>
      </w:r>
      <w:proofErr w:type="gramEnd"/>
      <w:r w:rsidRPr="00DA06FB">
        <w:rPr>
          <w:rFonts w:ascii="Calibri" w:hAnsi="Calibri"/>
          <w:sz w:val="20"/>
          <w:szCs w:val="20"/>
          <w:lang w:val="en-CA"/>
        </w:rPr>
        <w:t xml:space="preserve"> and microenterprise management.</w:t>
      </w:r>
    </w:p>
    <w:p w14:paraId="037741CD" w14:textId="77777777" w:rsidR="00302BFE" w:rsidRPr="00A9382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A93827">
        <w:rPr>
          <w:rFonts w:ascii="Calibri" w:hAnsi="Calibri" w:cs="Calibri"/>
          <w:sz w:val="20"/>
          <w:szCs w:val="20"/>
          <w:lang w:val="en-GB"/>
        </w:rPr>
        <w:t xml:space="preserve">The project will </w:t>
      </w:r>
      <w:r w:rsidRPr="00A93827">
        <w:rPr>
          <w:rFonts w:ascii="Calibri" w:hAnsi="Calibri"/>
          <w:sz w:val="20"/>
          <w:szCs w:val="20"/>
          <w:lang w:val="en-GB"/>
        </w:rPr>
        <w:t xml:space="preserve">set up a small grant program </w:t>
      </w:r>
      <w:r w:rsidRPr="00A93827">
        <w:rPr>
          <w:rFonts w:ascii="Calibri" w:eastAsia="Times New Roman" w:hAnsi="Calibri" w:cs="Calibri"/>
          <w:sz w:val="20"/>
          <w:szCs w:val="20"/>
          <w:lang w:val="en-GB"/>
        </w:rPr>
        <w:t xml:space="preserve">to help farmers, producers, </w:t>
      </w:r>
      <w:proofErr w:type="gramStart"/>
      <w:r w:rsidRPr="00A93827">
        <w:rPr>
          <w:rFonts w:ascii="Calibri" w:eastAsia="Times New Roman" w:hAnsi="Calibri" w:cs="Calibri"/>
          <w:sz w:val="20"/>
          <w:szCs w:val="20"/>
          <w:lang w:val="en-GB"/>
        </w:rPr>
        <w:t>herders</w:t>
      </w:r>
      <w:proofErr w:type="gramEnd"/>
      <w:r w:rsidRPr="00A93827">
        <w:rPr>
          <w:rFonts w:ascii="Calibri" w:eastAsia="Times New Roman" w:hAnsi="Calibri" w:cs="Calibri"/>
          <w:sz w:val="20"/>
          <w:szCs w:val="20"/>
          <w:lang w:val="en-GB"/>
        </w:rPr>
        <w:t xml:space="preserve"> and forestry workers in the 15 pilot sites to integrate </w:t>
      </w:r>
      <w:r w:rsidR="00376E3F" w:rsidRPr="00A93827">
        <w:rPr>
          <w:rFonts w:ascii="Calibri" w:hAnsi="Calibri"/>
          <w:sz w:val="20"/>
          <w:szCs w:val="20"/>
          <w:lang w:val="en-CA"/>
        </w:rPr>
        <w:t xml:space="preserve">techniques for soil and water conservation and soil protection and restoration such as </w:t>
      </w:r>
      <w:proofErr w:type="spellStart"/>
      <w:r w:rsidR="00376E3F" w:rsidRPr="00A93827">
        <w:rPr>
          <w:rFonts w:ascii="Calibri" w:hAnsi="Calibri"/>
          <w:sz w:val="20"/>
          <w:szCs w:val="20"/>
          <w:lang w:val="en-CA"/>
        </w:rPr>
        <w:t>zaï</w:t>
      </w:r>
      <w:proofErr w:type="spellEnd"/>
      <w:r w:rsidR="00376E3F" w:rsidRPr="00A93827">
        <w:rPr>
          <w:rFonts w:ascii="Calibri" w:hAnsi="Calibri"/>
          <w:sz w:val="20"/>
          <w:szCs w:val="20"/>
          <w:lang w:val="en-CA"/>
        </w:rPr>
        <w:t>, stone bunds, compost use, and improved climate-adapted seed varieties</w:t>
      </w:r>
      <w:r w:rsidRPr="00A93827">
        <w:rPr>
          <w:rFonts w:ascii="Calibri" w:eastAsia="Times New Roman" w:hAnsi="Calibri" w:cs="Calibri"/>
          <w:sz w:val="20"/>
          <w:szCs w:val="20"/>
          <w:lang w:val="en-GB"/>
        </w:rPr>
        <w:t xml:space="preserve">, </w:t>
      </w:r>
      <w:r w:rsidR="00376E3F" w:rsidRPr="00A93827">
        <w:rPr>
          <w:rFonts w:ascii="Calibri" w:eastAsia="Times New Roman" w:hAnsi="Calibri" w:cs="Calibri"/>
          <w:sz w:val="20"/>
          <w:szCs w:val="20"/>
          <w:lang w:val="en-GB"/>
        </w:rPr>
        <w:t xml:space="preserve">and </w:t>
      </w:r>
      <w:r w:rsidR="00376E3F" w:rsidRPr="00A93827">
        <w:rPr>
          <w:rFonts w:ascii="Calibri" w:hAnsi="Calibri"/>
          <w:sz w:val="20"/>
          <w:szCs w:val="20"/>
          <w:lang w:val="en-CA"/>
        </w:rPr>
        <w:t xml:space="preserve">assisted natural regeneration </w:t>
      </w:r>
      <w:r w:rsidRPr="00A93827">
        <w:rPr>
          <w:rFonts w:ascii="Calibri" w:eastAsia="Times New Roman" w:hAnsi="Calibri" w:cs="Calibri"/>
          <w:sz w:val="20"/>
          <w:szCs w:val="20"/>
          <w:lang w:val="en-GB"/>
        </w:rPr>
        <w:t xml:space="preserve">and sustainable </w:t>
      </w:r>
      <w:proofErr w:type="spellStart"/>
      <w:r w:rsidRPr="00A93827">
        <w:rPr>
          <w:rFonts w:ascii="Calibri" w:eastAsia="Times New Roman" w:hAnsi="Calibri" w:cs="Calibri"/>
          <w:sz w:val="20"/>
          <w:szCs w:val="20"/>
          <w:lang w:val="en-GB"/>
        </w:rPr>
        <w:t>agr</w:t>
      </w:r>
      <w:r w:rsidR="00376E3F" w:rsidRPr="00A93827">
        <w:rPr>
          <w:rFonts w:ascii="Calibri" w:eastAsia="Times New Roman" w:hAnsi="Calibri" w:cs="Calibri"/>
          <w:sz w:val="20"/>
          <w:szCs w:val="20"/>
          <w:lang w:val="en-GB"/>
        </w:rPr>
        <w:t>o</w:t>
      </w:r>
      <w:proofErr w:type="spellEnd"/>
      <w:r w:rsidR="00376E3F" w:rsidRPr="00A93827">
        <w:rPr>
          <w:rFonts w:ascii="Calibri" w:eastAsia="Times New Roman" w:hAnsi="Calibri" w:cs="Calibri"/>
          <w:sz w:val="20"/>
          <w:szCs w:val="20"/>
          <w:lang w:val="en-GB"/>
        </w:rPr>
        <w:t>-</w:t>
      </w:r>
      <w:proofErr w:type="spellStart"/>
      <w:r w:rsidR="00376E3F" w:rsidRPr="00A93827">
        <w:rPr>
          <w:rFonts w:ascii="Calibri" w:eastAsia="Times New Roman" w:hAnsi="Calibri" w:cs="Calibri"/>
          <w:sz w:val="20"/>
          <w:szCs w:val="20"/>
          <w:lang w:val="en-GB"/>
        </w:rPr>
        <w:t>sylvo</w:t>
      </w:r>
      <w:proofErr w:type="spellEnd"/>
      <w:r w:rsidR="00376E3F" w:rsidRPr="00A93827">
        <w:rPr>
          <w:rFonts w:ascii="Calibri" w:eastAsia="Times New Roman" w:hAnsi="Calibri" w:cs="Calibri"/>
          <w:sz w:val="20"/>
          <w:szCs w:val="20"/>
          <w:lang w:val="en-GB"/>
        </w:rPr>
        <w:t>-pastoral</w:t>
      </w:r>
      <w:r w:rsidRPr="00A93827">
        <w:rPr>
          <w:rFonts w:ascii="Calibri" w:eastAsia="Times New Roman" w:hAnsi="Calibri" w:cs="Calibri"/>
          <w:sz w:val="20"/>
          <w:szCs w:val="20"/>
          <w:lang w:val="en-GB"/>
        </w:rPr>
        <w:t xml:space="preserve"> practices to provide improved and more sustainable livelihoods. These grants may be used for the purchase of improved agricultural and fodder seeds, small equipment, tools, and other inputs. These grants will be implemented in accordance with UNDP guidelines for low-value grants. The project will also </w:t>
      </w:r>
      <w:r w:rsidRPr="00A93827">
        <w:rPr>
          <w:rFonts w:ascii="Calibri" w:hAnsi="Calibri" w:cs="Calibri"/>
          <w:sz w:val="20"/>
          <w:szCs w:val="20"/>
          <w:lang w:val="en-GB"/>
        </w:rPr>
        <w:t xml:space="preserve">support the provision of equipment, </w:t>
      </w:r>
      <w:proofErr w:type="gramStart"/>
      <w:r w:rsidRPr="00A93827">
        <w:rPr>
          <w:rFonts w:ascii="Calibri" w:hAnsi="Calibri" w:cs="Calibri"/>
          <w:sz w:val="20"/>
          <w:szCs w:val="20"/>
          <w:lang w:val="en-GB"/>
        </w:rPr>
        <w:t>tools</w:t>
      </w:r>
      <w:proofErr w:type="gramEnd"/>
      <w:r w:rsidRPr="00A93827">
        <w:rPr>
          <w:rFonts w:ascii="Calibri" w:hAnsi="Calibri" w:cs="Calibri"/>
          <w:sz w:val="20"/>
          <w:szCs w:val="20"/>
          <w:lang w:val="en-GB"/>
        </w:rPr>
        <w:t xml:space="preserve"> and temporary personnel to set up the </w:t>
      </w:r>
      <w:r w:rsidRPr="00A93827">
        <w:rPr>
          <w:rFonts w:ascii="Calibri" w:hAnsi="Calibri"/>
          <w:sz w:val="20"/>
          <w:szCs w:val="20"/>
          <w:lang w:val="en-GB"/>
        </w:rPr>
        <w:t xml:space="preserve">demonstration/joint experimentation sites and </w:t>
      </w:r>
      <w:r w:rsidRPr="00A93827">
        <w:rPr>
          <w:rFonts w:ascii="Calibri" w:hAnsi="Calibri" w:cs="Calibri"/>
          <w:sz w:val="20"/>
          <w:szCs w:val="20"/>
          <w:lang w:val="en-GB"/>
        </w:rPr>
        <w:t xml:space="preserve">to assist the Water and Forests </w:t>
      </w:r>
      <w:r w:rsidR="00376E3F" w:rsidRPr="00A93827">
        <w:rPr>
          <w:rFonts w:ascii="Calibri" w:hAnsi="Calibri" w:cs="Calibri"/>
          <w:sz w:val="20"/>
          <w:szCs w:val="20"/>
          <w:lang w:val="en-GB"/>
        </w:rPr>
        <w:t>Directorates at r</w:t>
      </w:r>
      <w:r w:rsidRPr="00A93827">
        <w:rPr>
          <w:rFonts w:ascii="Calibri" w:hAnsi="Calibri" w:cs="Calibri"/>
          <w:sz w:val="20"/>
          <w:szCs w:val="20"/>
          <w:lang w:val="en-GB"/>
        </w:rPr>
        <w:t xml:space="preserve">egional and </w:t>
      </w:r>
      <w:r w:rsidR="00376E3F" w:rsidRPr="00A93827">
        <w:rPr>
          <w:rFonts w:ascii="Calibri" w:hAnsi="Calibri" w:cs="Calibri"/>
          <w:sz w:val="20"/>
          <w:szCs w:val="20"/>
          <w:lang w:val="en-GB"/>
        </w:rPr>
        <w:t>c</w:t>
      </w:r>
      <w:r w:rsidRPr="00A93827">
        <w:rPr>
          <w:rFonts w:ascii="Calibri" w:hAnsi="Calibri" w:cs="Calibri"/>
          <w:sz w:val="20"/>
          <w:szCs w:val="20"/>
          <w:lang w:val="en-GB"/>
        </w:rPr>
        <w:t>ommun</w:t>
      </w:r>
      <w:r w:rsidR="00376E3F" w:rsidRPr="00A93827">
        <w:rPr>
          <w:rFonts w:ascii="Calibri" w:hAnsi="Calibri" w:cs="Calibri"/>
          <w:sz w:val="20"/>
          <w:szCs w:val="20"/>
          <w:lang w:val="en-GB"/>
        </w:rPr>
        <w:t>al levels</w:t>
      </w:r>
      <w:r w:rsidRPr="00A93827">
        <w:rPr>
          <w:rFonts w:ascii="Calibri" w:hAnsi="Calibri" w:cs="Calibri"/>
          <w:sz w:val="20"/>
          <w:szCs w:val="20"/>
          <w:lang w:val="en-GB"/>
        </w:rPr>
        <w:t xml:space="preserve"> to supervise these activities</w:t>
      </w:r>
      <w:r w:rsidR="009363D6" w:rsidRPr="00A93827">
        <w:rPr>
          <w:rFonts w:ascii="Calibri" w:hAnsi="Calibri" w:cs="Calibri"/>
          <w:sz w:val="20"/>
          <w:szCs w:val="20"/>
          <w:lang w:val="en-GB"/>
        </w:rPr>
        <w:t>.</w:t>
      </w:r>
      <w:r w:rsidRPr="00A93827">
        <w:rPr>
          <w:rFonts w:ascii="Calibri" w:hAnsi="Calibri" w:cs="Calibri"/>
          <w:sz w:val="20"/>
          <w:szCs w:val="20"/>
          <w:lang w:val="en-GB"/>
        </w:rPr>
        <w:t xml:space="preserve"> </w:t>
      </w:r>
      <w:r w:rsidR="009363D6" w:rsidRPr="00A93827">
        <w:rPr>
          <w:rFonts w:ascii="Calibri" w:hAnsi="Calibri" w:cs="Calibri"/>
          <w:sz w:val="20"/>
          <w:szCs w:val="20"/>
          <w:lang w:val="en-GB"/>
        </w:rPr>
        <w:t>The project will provide</w:t>
      </w:r>
      <w:r w:rsidRPr="00A93827">
        <w:rPr>
          <w:rFonts w:ascii="Calibri" w:hAnsi="Calibri" w:cs="Calibri"/>
          <w:sz w:val="20"/>
          <w:szCs w:val="20"/>
          <w:lang w:val="en-GB"/>
        </w:rPr>
        <w:t xml:space="preserve"> supervision and technical support </w:t>
      </w:r>
      <w:r w:rsidR="009363D6" w:rsidRPr="00A93827">
        <w:rPr>
          <w:rFonts w:ascii="Calibri" w:hAnsi="Calibri" w:cs="Calibri"/>
          <w:sz w:val="20"/>
          <w:szCs w:val="20"/>
          <w:lang w:val="en-GB"/>
        </w:rPr>
        <w:t>through</w:t>
      </w:r>
      <w:r w:rsidRPr="00A93827">
        <w:rPr>
          <w:rFonts w:ascii="Calibri" w:hAnsi="Calibri" w:cs="Calibri"/>
          <w:sz w:val="20"/>
          <w:szCs w:val="20"/>
          <w:lang w:val="en-GB"/>
        </w:rPr>
        <w:t xml:space="preserve"> the </w:t>
      </w:r>
      <w:r w:rsidR="009363D6" w:rsidRPr="00A93827">
        <w:rPr>
          <w:rFonts w:ascii="Calibri" w:hAnsi="Calibri" w:cs="Calibri"/>
          <w:sz w:val="20"/>
          <w:szCs w:val="20"/>
          <w:lang w:val="en-GB"/>
        </w:rPr>
        <w:t xml:space="preserve">Forest ecologist </w:t>
      </w:r>
      <w:r w:rsidR="0024478B" w:rsidRPr="00A93827">
        <w:rPr>
          <w:rFonts w:ascii="Calibri" w:hAnsi="Calibri" w:cs="Calibri"/>
          <w:sz w:val="20"/>
          <w:szCs w:val="20"/>
          <w:lang w:val="en-GB"/>
        </w:rPr>
        <w:t>and the specialist on climate-smart agriculture and pasture recruited to support activities under this component</w:t>
      </w:r>
      <w:r w:rsidRPr="00A93827">
        <w:rPr>
          <w:rFonts w:ascii="Calibri" w:hAnsi="Calibri" w:cs="Calibri"/>
          <w:sz w:val="20"/>
          <w:szCs w:val="20"/>
          <w:lang w:val="en-GB"/>
        </w:rPr>
        <w:t xml:space="preserve">. The hiring of women will be encouraged </w:t>
      </w:r>
      <w:proofErr w:type="gramStart"/>
      <w:r w:rsidRPr="00A93827">
        <w:rPr>
          <w:rFonts w:ascii="Calibri" w:hAnsi="Calibri" w:cs="Calibri"/>
          <w:sz w:val="20"/>
          <w:szCs w:val="20"/>
          <w:lang w:val="en-GB"/>
        </w:rPr>
        <w:t>in order to</w:t>
      </w:r>
      <w:proofErr w:type="gramEnd"/>
      <w:r w:rsidRPr="00A93827">
        <w:rPr>
          <w:rFonts w:ascii="Calibri" w:hAnsi="Calibri" w:cs="Calibri"/>
          <w:sz w:val="20"/>
          <w:szCs w:val="20"/>
          <w:lang w:val="en-GB"/>
        </w:rPr>
        <w:t xml:space="preserve"> reach the overall </w:t>
      </w:r>
      <w:r w:rsidRPr="00A93827">
        <w:rPr>
          <w:rFonts w:ascii="Calibri" w:hAnsi="Calibri" w:cs="Calibri"/>
          <w:sz w:val="20"/>
          <w:szCs w:val="20"/>
          <w:lang w:val="en-GB"/>
        </w:rPr>
        <w:lastRenderedPageBreak/>
        <w:t xml:space="preserve">ratio of 60% of women beneficiaries for the entire project. Enhancing the sustainability of </w:t>
      </w:r>
      <w:r w:rsidRPr="00A93827">
        <w:rPr>
          <w:rFonts w:ascii="Calibri" w:eastAsia="Times New Roman" w:hAnsi="Calibri" w:cs="Calibri"/>
          <w:sz w:val="20"/>
          <w:szCs w:val="20"/>
          <w:lang w:val="en-GB"/>
        </w:rPr>
        <w:t>cultural / forestry / pastoral practices</w:t>
      </w:r>
      <w:r w:rsidRPr="00A93827">
        <w:rPr>
          <w:rFonts w:ascii="Calibri" w:hAnsi="Calibri" w:cs="Calibri"/>
          <w:sz w:val="20"/>
          <w:szCs w:val="20"/>
          <w:lang w:val="en-GB"/>
        </w:rPr>
        <w:t xml:space="preserve"> will overall strengthen the integrity and connectivity of ecosystems and increase their resilience to the impacts of climate change.</w:t>
      </w:r>
    </w:p>
    <w:p w14:paraId="11241AB6" w14:textId="77777777" w:rsidR="00302BFE" w:rsidRPr="00CD33A5" w:rsidRDefault="00302BFE" w:rsidP="00302BFE">
      <w:pPr>
        <w:pStyle w:val="Paragraphedeliste"/>
        <w:tabs>
          <w:tab w:val="left" w:pos="284"/>
        </w:tabs>
        <w:spacing w:before="240" w:after="120"/>
        <w:ind w:left="0"/>
        <w:jc w:val="both"/>
        <w:rPr>
          <w:rFonts w:ascii="Calibri" w:hAnsi="Calibri"/>
          <w:sz w:val="20"/>
          <w:szCs w:val="20"/>
          <w:lang w:val="en-GB"/>
        </w:rPr>
      </w:pPr>
      <w:r w:rsidRPr="00CD33A5">
        <w:rPr>
          <w:rFonts w:ascii="Calibri" w:hAnsi="Calibri"/>
          <w:b/>
          <w:sz w:val="20"/>
          <w:szCs w:val="20"/>
          <w:lang w:val="en-GB"/>
        </w:rPr>
        <w:t>Output 3.2 The management of natural resources in forests and community pastoral areas is improved through the collaborative development of simplified zoning plans and their implementation, and the strengthening of the management of forests and pastoral areas</w:t>
      </w:r>
    </w:p>
    <w:p w14:paraId="3121654D" w14:textId="40BC612E" w:rsidR="00302BFE"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CD33A5">
        <w:rPr>
          <w:rFonts w:ascii="Calibri" w:hAnsi="Calibri"/>
          <w:i/>
          <w:color w:val="4472C4"/>
          <w:sz w:val="20"/>
          <w:szCs w:val="20"/>
          <w:lang w:val="en-GB"/>
        </w:rPr>
        <w:t>3.2.1 Development of simplified zoning plans for community-managed forests, and improvement of forest management through the promotion of best practices</w:t>
      </w:r>
    </w:p>
    <w:p w14:paraId="15E8E85F" w14:textId="34424392" w:rsidR="00047338" w:rsidRPr="00047338" w:rsidRDefault="00047338" w:rsidP="00BE65D5">
      <w:pPr>
        <w:spacing w:before="120" w:after="120"/>
        <w:rPr>
          <w:iCs/>
          <w:color w:val="4472C4"/>
          <w:szCs w:val="20"/>
          <w:lang w:val="en-GB"/>
        </w:rPr>
      </w:pPr>
      <w:r w:rsidRPr="00B9357E">
        <w:rPr>
          <w:iCs/>
          <w:color w:val="4472C4"/>
          <w:szCs w:val="20"/>
          <w:lang w:val="en-GB"/>
        </w:rPr>
        <w:t xml:space="preserve">For this activity, the FPIC (Free, Prior and Informed Consent) process </w:t>
      </w:r>
      <w:proofErr w:type="gramStart"/>
      <w:r w:rsidRPr="00B9357E">
        <w:rPr>
          <w:iCs/>
          <w:color w:val="4472C4"/>
          <w:szCs w:val="20"/>
          <w:lang w:val="en-GB"/>
        </w:rPr>
        <w:t>has to</w:t>
      </w:r>
      <w:proofErr w:type="gramEnd"/>
      <w:r w:rsidRPr="00B9357E">
        <w:rPr>
          <w:iCs/>
          <w:color w:val="4472C4"/>
          <w:szCs w:val="20"/>
          <w:lang w:val="en-GB"/>
        </w:rPr>
        <w:t xml:space="preserve"> be ensured</w:t>
      </w:r>
    </w:p>
    <w:p w14:paraId="693802C0" w14:textId="77777777" w:rsidR="00302BFE" w:rsidRPr="00CD33A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CD33A5">
        <w:rPr>
          <w:rFonts w:ascii="Calibri" w:hAnsi="Calibri"/>
          <w:sz w:val="20"/>
          <w:szCs w:val="20"/>
          <w:lang w:val="en-GB"/>
        </w:rPr>
        <w:t xml:space="preserve">The project will support the development of community managed forest zoning plans, support strengthening of forest monitoring through revitalization or establishment of management bodies, </w:t>
      </w:r>
      <w:proofErr w:type="gramStart"/>
      <w:r w:rsidRPr="00CD33A5">
        <w:rPr>
          <w:rFonts w:ascii="Calibri" w:hAnsi="Calibri"/>
          <w:sz w:val="20"/>
          <w:szCs w:val="20"/>
          <w:lang w:val="en-GB"/>
        </w:rPr>
        <w:t>pe</w:t>
      </w:r>
      <w:r>
        <w:rPr>
          <w:rFonts w:ascii="Calibri" w:hAnsi="Calibri"/>
          <w:sz w:val="20"/>
          <w:szCs w:val="20"/>
          <w:lang w:val="en-GB"/>
        </w:rPr>
        <w:t>rimeter</w:t>
      </w:r>
      <w:proofErr w:type="gramEnd"/>
      <w:r>
        <w:rPr>
          <w:rFonts w:ascii="Calibri" w:hAnsi="Calibri"/>
          <w:sz w:val="20"/>
          <w:szCs w:val="20"/>
          <w:lang w:val="en-GB"/>
        </w:rPr>
        <w:t xml:space="preserve"> and access roads</w:t>
      </w:r>
      <w:r w:rsidRPr="00CD33A5">
        <w:rPr>
          <w:rFonts w:ascii="Calibri" w:hAnsi="Calibri"/>
          <w:sz w:val="20"/>
          <w:szCs w:val="20"/>
          <w:lang w:val="en-GB"/>
        </w:rPr>
        <w:t xml:space="preserve">, and the setting up of non-timber forest products exploitation structures (in relation to the </w:t>
      </w:r>
      <w:r>
        <w:rPr>
          <w:rFonts w:ascii="Calibri" w:hAnsi="Calibri"/>
          <w:sz w:val="20"/>
          <w:szCs w:val="20"/>
          <w:lang w:val="en-GB"/>
        </w:rPr>
        <w:t>activities planned under output</w:t>
      </w:r>
      <w:r w:rsidRPr="00CD33A5">
        <w:rPr>
          <w:rFonts w:ascii="Calibri" w:hAnsi="Calibri"/>
          <w:sz w:val="20"/>
          <w:szCs w:val="20"/>
          <w:lang w:val="en-GB"/>
        </w:rPr>
        <w:t xml:space="preserve"> 3.3). The project support will also include the facilitation of a reflecti</w:t>
      </w:r>
      <w:r>
        <w:rPr>
          <w:rFonts w:ascii="Calibri" w:hAnsi="Calibri"/>
          <w:sz w:val="20"/>
          <w:szCs w:val="20"/>
          <w:lang w:val="en-GB"/>
        </w:rPr>
        <w:t>on between the parties involved</w:t>
      </w:r>
      <w:r w:rsidRPr="00CD33A5">
        <w:rPr>
          <w:rFonts w:ascii="Calibri" w:hAnsi="Calibri"/>
          <w:sz w:val="20"/>
          <w:szCs w:val="20"/>
          <w:lang w:val="en-GB"/>
        </w:rPr>
        <w:t xml:space="preserve"> to identify possible solutions to ensure the continuity of the</w:t>
      </w:r>
      <w:r>
        <w:rPr>
          <w:rFonts w:ascii="Calibri" w:hAnsi="Calibri"/>
          <w:sz w:val="20"/>
          <w:szCs w:val="20"/>
          <w:lang w:val="en-GB"/>
        </w:rPr>
        <w:t xml:space="preserve"> maintenance of the developments</w:t>
      </w:r>
      <w:r w:rsidRPr="00CD33A5">
        <w:rPr>
          <w:rFonts w:ascii="Calibri" w:hAnsi="Calibri"/>
          <w:sz w:val="20"/>
          <w:szCs w:val="20"/>
          <w:lang w:val="en-GB"/>
        </w:rPr>
        <w:t xml:space="preserve"> made with the project financing, independently of external support. The project will support the implementation of innovative practices in selected forests, wi</w:t>
      </w:r>
      <w:r>
        <w:rPr>
          <w:rFonts w:ascii="Calibri" w:hAnsi="Calibri"/>
          <w:sz w:val="20"/>
          <w:szCs w:val="20"/>
          <w:lang w:val="en-GB"/>
        </w:rPr>
        <w:t>th the support of devolved</w:t>
      </w:r>
      <w:r w:rsidRPr="00CD33A5">
        <w:rPr>
          <w:rFonts w:ascii="Calibri" w:hAnsi="Calibri"/>
          <w:sz w:val="20"/>
          <w:szCs w:val="20"/>
          <w:lang w:val="en-GB"/>
        </w:rPr>
        <w:t xml:space="preserve"> technical services and communities whose capacities will be strengthened so that they are able to support local communities and monit</w:t>
      </w:r>
      <w:r>
        <w:rPr>
          <w:rFonts w:ascii="Calibri" w:hAnsi="Calibri"/>
          <w:sz w:val="20"/>
          <w:szCs w:val="20"/>
          <w:lang w:val="en-GB"/>
        </w:rPr>
        <w:t xml:space="preserve">or the progress of </w:t>
      </w:r>
      <w:r w:rsidRPr="00CD33A5">
        <w:rPr>
          <w:rFonts w:ascii="Calibri" w:hAnsi="Calibri"/>
          <w:sz w:val="20"/>
          <w:szCs w:val="20"/>
          <w:lang w:val="en-GB"/>
        </w:rPr>
        <w:t>adoption of these practices and their success rates, to serve as a relay in the extension and multiplication of these practices. Monitoring the adoption and success rate of sustainable forest management measures is necessary to document the effects of the project, but above all to enable continuous improvement and adaptation of practices in the context of climate change.</w:t>
      </w:r>
    </w:p>
    <w:p w14:paraId="24CE8067" w14:textId="77777777" w:rsidR="00302BFE" w:rsidRPr="00D53169"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D53169">
        <w:rPr>
          <w:rFonts w:ascii="Calibri" w:hAnsi="Calibri"/>
          <w:sz w:val="20"/>
          <w:szCs w:val="20"/>
          <w:lang w:val="en-GB"/>
        </w:rPr>
        <w:t xml:space="preserve">The community forest zoning plan will be developed involving all stakeholders, starting with local communities. The zoning plan should at least indicate areas to be restored (through fallow or assisted natural regeneration), areas open to NTFP collection and areas to be preserved to maximize their potential for validation under a REDD+ mechanism and clearing firebreaks. Each zone will be accompanied by a set of simple rules for monitoring and evaluation by the beneficiaries supported by the devolved services. Simplified zoning plans for community forests will have to be approved by </w:t>
      </w:r>
      <w:r w:rsidR="009363D6">
        <w:rPr>
          <w:rFonts w:ascii="Calibri" w:hAnsi="Calibri"/>
          <w:sz w:val="20"/>
          <w:szCs w:val="20"/>
          <w:lang w:val="en-GB"/>
        </w:rPr>
        <w:t>commune</w:t>
      </w:r>
      <w:r w:rsidRPr="00D53169">
        <w:rPr>
          <w:rFonts w:ascii="Calibri" w:hAnsi="Calibri"/>
          <w:sz w:val="20"/>
          <w:szCs w:val="20"/>
          <w:lang w:val="en-GB"/>
        </w:rPr>
        <w:t xml:space="preserve"> Councils. </w:t>
      </w:r>
      <w:r w:rsidRPr="00FD2EC1">
        <w:rPr>
          <w:rFonts w:ascii="Calibri" w:hAnsi="Calibri"/>
          <w:sz w:val="20"/>
          <w:szCs w:val="20"/>
          <w:lang w:val="en-CA"/>
        </w:rPr>
        <w:t xml:space="preserve">These rules will integrate consensus management rules, mainly in terms of prohibitions, developed by forest management groups and customary and religious authorities, including village chiefs and land chiefs, to regulate access to resources. The prohibitions concern: (i) the cutting of green wood; (ii) the excessive removal of plant roots; (iii) ignition of fire in or near forests; iv) picking immature fruits; (v) the exploitation of trees in sacred woods; vi) grazing in forests. </w:t>
      </w:r>
      <w:r w:rsidRPr="00D53169">
        <w:rPr>
          <w:rFonts w:ascii="Calibri" w:hAnsi="Calibri"/>
          <w:sz w:val="20"/>
          <w:szCs w:val="20"/>
          <w:lang w:val="en-GB"/>
        </w:rPr>
        <w:t xml:space="preserve">The implementation of these zoning plans will be based on enhancing empowerment of local stakeholders for the protection, monitoring, </w:t>
      </w:r>
      <w:proofErr w:type="gramStart"/>
      <w:r w:rsidRPr="00D53169">
        <w:rPr>
          <w:rFonts w:ascii="Calibri" w:hAnsi="Calibri"/>
          <w:sz w:val="20"/>
          <w:szCs w:val="20"/>
          <w:lang w:val="en-GB"/>
        </w:rPr>
        <w:t>management</w:t>
      </w:r>
      <w:proofErr w:type="gramEnd"/>
      <w:r w:rsidRPr="00D53169">
        <w:rPr>
          <w:rFonts w:ascii="Calibri" w:hAnsi="Calibri"/>
          <w:sz w:val="20"/>
          <w:szCs w:val="20"/>
          <w:lang w:val="en-GB"/>
        </w:rPr>
        <w:t xml:space="preserve"> and restoration of forest stands, by promoting the assisted natural regeneration (ANR) approach. </w:t>
      </w:r>
    </w:p>
    <w:p w14:paraId="2120C48A" w14:textId="66975483" w:rsidR="00302BFE" w:rsidRDefault="00690F56"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Pr>
          <w:rFonts w:ascii="Calibri" w:hAnsi="Calibri"/>
          <w:sz w:val="20"/>
          <w:szCs w:val="20"/>
          <w:lang w:val="en-GB"/>
        </w:rPr>
        <w:t>Assisted natural regeneration (</w:t>
      </w:r>
      <w:r w:rsidR="00302BFE" w:rsidRPr="001B6F43">
        <w:rPr>
          <w:rFonts w:ascii="Calibri" w:hAnsi="Calibri"/>
          <w:sz w:val="20"/>
          <w:szCs w:val="20"/>
          <w:lang w:val="en-GB"/>
        </w:rPr>
        <w:t>ANR</w:t>
      </w:r>
      <w:r>
        <w:rPr>
          <w:rFonts w:ascii="Calibri" w:hAnsi="Calibri"/>
          <w:sz w:val="20"/>
          <w:szCs w:val="20"/>
          <w:lang w:val="en-GB"/>
        </w:rPr>
        <w:t>)</w:t>
      </w:r>
      <w:r w:rsidR="00302BFE" w:rsidRPr="001B6F43">
        <w:rPr>
          <w:rFonts w:ascii="Calibri" w:hAnsi="Calibri"/>
          <w:sz w:val="20"/>
          <w:szCs w:val="20"/>
          <w:lang w:val="en-GB"/>
        </w:rPr>
        <w:t xml:space="preserve"> will be preferred over other approaches to restore forest habitats as it has been shown that ANR significantly reduces the cost of restoration. Spontaneous and assisted natural regeneration in tropical regions are more effective than tree planting at achieving the recovery of biodiversity and forest structure and could help save 50 to 95% of the cost of forest restoration. Furthermore, it has been shown that natural regeneration can restore forest cover on its own within a few years. Adaptability to changing conditions should be </w:t>
      </w:r>
      <w:proofErr w:type="gramStart"/>
      <w:r w:rsidR="00302BFE" w:rsidRPr="001B6F43">
        <w:rPr>
          <w:rFonts w:ascii="Calibri" w:hAnsi="Calibri"/>
          <w:sz w:val="20"/>
          <w:szCs w:val="20"/>
          <w:lang w:val="en-GB"/>
        </w:rPr>
        <w:t>taken into account</w:t>
      </w:r>
      <w:proofErr w:type="gramEnd"/>
      <w:r w:rsidR="00302BFE" w:rsidRPr="001B6F43">
        <w:rPr>
          <w:rFonts w:ascii="Calibri" w:hAnsi="Calibri"/>
          <w:sz w:val="20"/>
          <w:szCs w:val="20"/>
          <w:lang w:val="en-GB"/>
        </w:rPr>
        <w:t xml:space="preserve"> to guide the selection of species and seed sources should enrichment planting be needed to enhance the diversity of seedlings.</w:t>
      </w:r>
    </w:p>
    <w:p w14:paraId="0120A2CD"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Pr>
          <w:rFonts w:ascii="Calibri" w:hAnsi="Calibri"/>
          <w:sz w:val="20"/>
          <w:szCs w:val="20"/>
          <w:lang w:val="en-GB"/>
        </w:rPr>
        <w:t>In connection with the component 4 on knowledge management, t</w:t>
      </w:r>
      <w:r w:rsidRPr="00CD33A5">
        <w:rPr>
          <w:rFonts w:ascii="Calibri" w:hAnsi="Calibri"/>
          <w:sz w:val="20"/>
          <w:szCs w:val="20"/>
          <w:lang w:val="en-GB"/>
        </w:rPr>
        <w:t>he project will support the compilation and promotion of community forest management best practices to maximize the sustainability of ecosystem services related to their conservation, including carbon sequestration and GHG</w:t>
      </w:r>
      <w:r>
        <w:rPr>
          <w:rFonts w:ascii="Calibri" w:hAnsi="Calibri"/>
          <w:sz w:val="20"/>
          <w:szCs w:val="20"/>
          <w:lang w:val="en-GB"/>
        </w:rPr>
        <w:t xml:space="preserve"> emission</w:t>
      </w:r>
      <w:r w:rsidRPr="00CD33A5">
        <w:rPr>
          <w:rFonts w:ascii="Calibri" w:hAnsi="Calibri"/>
          <w:sz w:val="20"/>
          <w:szCs w:val="20"/>
          <w:lang w:val="en-GB"/>
        </w:rPr>
        <w:t xml:space="preserve"> avoidance. The compilation of good practices will be published in the main local languages and in a simplified format accessible to the members of the communities. Good pract</w:t>
      </w:r>
      <w:r>
        <w:rPr>
          <w:rFonts w:ascii="Calibri" w:hAnsi="Calibri"/>
          <w:sz w:val="20"/>
          <w:szCs w:val="20"/>
          <w:lang w:val="en-GB"/>
        </w:rPr>
        <w:t>ices will include improving NTFP</w:t>
      </w:r>
      <w:r w:rsidRPr="00CD33A5">
        <w:rPr>
          <w:rFonts w:ascii="Calibri" w:hAnsi="Calibri"/>
          <w:sz w:val="20"/>
          <w:szCs w:val="20"/>
          <w:lang w:val="en-GB"/>
        </w:rPr>
        <w:t xml:space="preserve"> collection practices (</w:t>
      </w:r>
      <w:r w:rsidRPr="00B9357E">
        <w:rPr>
          <w:rFonts w:ascii="Calibri" w:hAnsi="Calibri"/>
          <w:sz w:val="20"/>
          <w:szCs w:val="20"/>
          <w:lang w:val="en-GB"/>
        </w:rPr>
        <w:t>including discouraging unsustainable</w:t>
      </w:r>
      <w:r>
        <w:rPr>
          <w:rFonts w:ascii="Calibri" w:hAnsi="Calibri"/>
          <w:sz w:val="20"/>
          <w:szCs w:val="20"/>
          <w:lang w:val="en-GB"/>
        </w:rPr>
        <w:t xml:space="preserve"> practices such as </w:t>
      </w:r>
      <w:r w:rsidRPr="00CD33A5">
        <w:rPr>
          <w:rFonts w:ascii="Calibri" w:hAnsi="Calibri"/>
          <w:sz w:val="20"/>
          <w:szCs w:val="20"/>
          <w:lang w:val="en-GB"/>
        </w:rPr>
        <w:t>collectin</w:t>
      </w:r>
      <w:r>
        <w:rPr>
          <w:rFonts w:ascii="Calibri" w:hAnsi="Calibri"/>
          <w:sz w:val="20"/>
          <w:szCs w:val="20"/>
          <w:lang w:val="en-GB"/>
        </w:rPr>
        <w:t>g</w:t>
      </w:r>
      <w:r w:rsidRPr="00CD33A5">
        <w:rPr>
          <w:rFonts w:ascii="Calibri" w:hAnsi="Calibri"/>
          <w:sz w:val="20"/>
          <w:szCs w:val="20"/>
          <w:lang w:val="en-GB"/>
        </w:rPr>
        <w:t xml:space="preserve"> immature fruit</w:t>
      </w:r>
      <w:r>
        <w:rPr>
          <w:rFonts w:ascii="Calibri" w:hAnsi="Calibri"/>
          <w:sz w:val="20"/>
          <w:szCs w:val="20"/>
          <w:lang w:val="en-GB"/>
        </w:rPr>
        <w:t xml:space="preserve">s </w:t>
      </w:r>
      <w:r w:rsidRPr="001B6F43">
        <w:rPr>
          <w:rFonts w:ascii="Calibri" w:hAnsi="Calibri"/>
          <w:sz w:val="20"/>
          <w:szCs w:val="20"/>
          <w:lang w:val="en-GB"/>
        </w:rPr>
        <w:t>and pruning the branches of some species used as fodder</w:t>
      </w:r>
      <w:r>
        <w:rPr>
          <w:rFonts w:ascii="Calibri" w:hAnsi="Calibri"/>
          <w:sz w:val="20"/>
          <w:szCs w:val="20"/>
          <w:lang w:val="en-GB"/>
        </w:rPr>
        <w:t>,</w:t>
      </w:r>
      <w:r w:rsidRPr="001B6F43">
        <w:rPr>
          <w:rFonts w:ascii="Calibri" w:hAnsi="Calibri"/>
          <w:sz w:val="20"/>
          <w:szCs w:val="20"/>
          <w:lang w:val="en-GB"/>
        </w:rPr>
        <w:t xml:space="preserve"> as </w:t>
      </w:r>
      <w:r w:rsidRPr="001B6F43">
        <w:rPr>
          <w:rFonts w:ascii="Calibri" w:hAnsi="Calibri"/>
          <w:i/>
          <w:sz w:val="20"/>
          <w:szCs w:val="20"/>
          <w:lang w:val="en-GB"/>
        </w:rPr>
        <w:t xml:space="preserve">Bombax </w:t>
      </w:r>
      <w:proofErr w:type="spellStart"/>
      <w:r w:rsidRPr="001B6F43">
        <w:rPr>
          <w:rFonts w:ascii="Calibri" w:hAnsi="Calibri"/>
          <w:i/>
          <w:sz w:val="20"/>
          <w:szCs w:val="20"/>
          <w:lang w:val="en-GB"/>
        </w:rPr>
        <w:t>costatum</w:t>
      </w:r>
      <w:proofErr w:type="spellEnd"/>
      <w:r w:rsidRPr="00CD33A5">
        <w:rPr>
          <w:rFonts w:ascii="Calibri" w:hAnsi="Calibri"/>
          <w:sz w:val="20"/>
          <w:szCs w:val="20"/>
          <w:lang w:val="en-GB"/>
        </w:rPr>
        <w:t xml:space="preserve">) to ensure sustainability and regeneration, and </w:t>
      </w:r>
      <w:r>
        <w:rPr>
          <w:rFonts w:ascii="Calibri" w:hAnsi="Calibri"/>
          <w:sz w:val="20"/>
          <w:szCs w:val="20"/>
          <w:lang w:val="en-GB"/>
        </w:rPr>
        <w:t xml:space="preserve">the </w:t>
      </w:r>
      <w:r w:rsidRPr="00CD33A5">
        <w:rPr>
          <w:rFonts w:ascii="Calibri" w:hAnsi="Calibri"/>
          <w:sz w:val="20"/>
          <w:szCs w:val="20"/>
          <w:lang w:val="en-GB"/>
        </w:rPr>
        <w:t xml:space="preserve">protection of degraded lands </w:t>
      </w:r>
      <w:r>
        <w:rPr>
          <w:rFonts w:ascii="Calibri" w:hAnsi="Calibri"/>
          <w:sz w:val="20"/>
          <w:szCs w:val="20"/>
          <w:lang w:val="en-GB"/>
        </w:rPr>
        <w:t>under restoration through the ANR approach. The Communes</w:t>
      </w:r>
      <w:r w:rsidRPr="00CD33A5">
        <w:rPr>
          <w:rFonts w:ascii="Calibri" w:hAnsi="Calibri"/>
          <w:sz w:val="20"/>
          <w:szCs w:val="20"/>
          <w:lang w:val="en-GB"/>
        </w:rPr>
        <w:t xml:space="preserve"> will be responsible for conducting the activities, as the forests are not at the same level of management. The Project will provide the necessary technical support for the identification and dissemination of good practices for the implementation of these actions among stakeholders. Special attention will be given to gender-differentiated uses to be able to target women and men separately for the necessary training and support and to identify improvements in natural resource use and exploitation practices.</w:t>
      </w:r>
    </w:p>
    <w:p w14:paraId="5C123C95" w14:textId="77777777" w:rsidR="00302BFE" w:rsidRPr="008225C4"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CD33A5">
        <w:rPr>
          <w:rFonts w:ascii="Calibri" w:hAnsi="Calibri"/>
          <w:sz w:val="20"/>
          <w:szCs w:val="20"/>
          <w:lang w:val="en-GB"/>
        </w:rPr>
        <w:t>In addition to promoting good practices among the relevant actors, men and women, the project will support the implementation of innovative practices in certain forests, wi</w:t>
      </w:r>
      <w:r>
        <w:rPr>
          <w:rFonts w:ascii="Calibri" w:hAnsi="Calibri"/>
          <w:sz w:val="20"/>
          <w:szCs w:val="20"/>
          <w:lang w:val="en-GB"/>
        </w:rPr>
        <w:t>th the support of devolved</w:t>
      </w:r>
      <w:r w:rsidRPr="00CD33A5">
        <w:rPr>
          <w:rFonts w:ascii="Calibri" w:hAnsi="Calibri"/>
          <w:sz w:val="20"/>
          <w:szCs w:val="20"/>
          <w:lang w:val="en-GB"/>
        </w:rPr>
        <w:t xml:space="preserve"> technical services and communities whose capacities will be strengthened </w:t>
      </w:r>
      <w:r>
        <w:rPr>
          <w:rFonts w:ascii="Calibri" w:hAnsi="Calibri"/>
          <w:sz w:val="20"/>
          <w:szCs w:val="20"/>
          <w:lang w:val="en-GB"/>
        </w:rPr>
        <w:t xml:space="preserve">for them to be able </w:t>
      </w:r>
      <w:r w:rsidRPr="00CD33A5">
        <w:rPr>
          <w:rFonts w:ascii="Calibri" w:hAnsi="Calibri"/>
          <w:sz w:val="20"/>
          <w:szCs w:val="20"/>
          <w:lang w:val="en-GB"/>
        </w:rPr>
        <w:t xml:space="preserve">to support local communities and monitor the adoption of these practices and their success rates, </w:t>
      </w:r>
      <w:proofErr w:type="gramStart"/>
      <w:r w:rsidRPr="00CD33A5">
        <w:rPr>
          <w:rFonts w:ascii="Calibri" w:hAnsi="Calibri"/>
          <w:sz w:val="20"/>
          <w:szCs w:val="20"/>
          <w:lang w:val="en-GB"/>
        </w:rPr>
        <w:t>in order to</w:t>
      </w:r>
      <w:proofErr w:type="gramEnd"/>
      <w:r w:rsidRPr="00CD33A5">
        <w:rPr>
          <w:rFonts w:ascii="Calibri" w:hAnsi="Calibri"/>
          <w:sz w:val="20"/>
          <w:szCs w:val="20"/>
          <w:lang w:val="en-GB"/>
        </w:rPr>
        <w:t xml:space="preserve"> serve as a relay in the extension of these practices.</w:t>
      </w:r>
    </w:p>
    <w:p w14:paraId="42AAFD1E" w14:textId="6D271972" w:rsidR="00302BFE"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CD33A5">
        <w:rPr>
          <w:rFonts w:ascii="Calibri" w:hAnsi="Calibri"/>
          <w:i/>
          <w:color w:val="4472C4"/>
          <w:sz w:val="20"/>
          <w:szCs w:val="20"/>
          <w:lang w:val="en-GB"/>
        </w:rPr>
        <w:lastRenderedPageBreak/>
        <w:t xml:space="preserve">3.2.2 Promotion of best practices </w:t>
      </w:r>
      <w:r>
        <w:rPr>
          <w:rFonts w:ascii="Calibri" w:hAnsi="Calibri"/>
          <w:i/>
          <w:color w:val="4472C4"/>
          <w:sz w:val="20"/>
          <w:szCs w:val="20"/>
          <w:lang w:val="en-GB"/>
        </w:rPr>
        <w:t xml:space="preserve">for </w:t>
      </w:r>
      <w:r w:rsidRPr="00CD33A5">
        <w:rPr>
          <w:rFonts w:ascii="Calibri" w:hAnsi="Calibri"/>
          <w:i/>
          <w:color w:val="4472C4"/>
          <w:sz w:val="20"/>
          <w:szCs w:val="20"/>
          <w:lang w:val="en-GB"/>
        </w:rPr>
        <w:t>rangeland and pasture management including specific strategies for managing pastoralism at the local level, planning and development of water points for pastures</w:t>
      </w:r>
      <w:r>
        <w:rPr>
          <w:rFonts w:ascii="Calibri" w:hAnsi="Calibri"/>
          <w:i/>
          <w:color w:val="4472C4"/>
          <w:sz w:val="20"/>
          <w:szCs w:val="20"/>
          <w:lang w:val="en-GB"/>
        </w:rPr>
        <w:t>,</w:t>
      </w:r>
      <w:r w:rsidRPr="00CD33A5">
        <w:rPr>
          <w:rFonts w:ascii="Calibri" w:hAnsi="Calibri"/>
          <w:i/>
          <w:color w:val="4472C4"/>
          <w:sz w:val="20"/>
          <w:szCs w:val="20"/>
          <w:lang w:val="en-GB"/>
        </w:rPr>
        <w:t xml:space="preserve"> conciliation between farmers and pastoralists</w:t>
      </w:r>
      <w:r>
        <w:rPr>
          <w:rFonts w:ascii="Calibri" w:hAnsi="Calibri"/>
          <w:i/>
          <w:color w:val="4472C4"/>
          <w:sz w:val="20"/>
          <w:szCs w:val="20"/>
          <w:lang w:val="en-GB"/>
        </w:rPr>
        <w:t>,</w:t>
      </w:r>
      <w:r w:rsidRPr="00CD33A5">
        <w:rPr>
          <w:rFonts w:ascii="Calibri" w:hAnsi="Calibri"/>
          <w:i/>
          <w:color w:val="4472C4"/>
          <w:sz w:val="20"/>
          <w:szCs w:val="20"/>
          <w:lang w:val="en-GB"/>
        </w:rPr>
        <w:t xml:space="preserve"> and reducing encroachmen</w:t>
      </w:r>
      <w:r>
        <w:rPr>
          <w:rFonts w:ascii="Calibri" w:hAnsi="Calibri"/>
          <w:i/>
          <w:color w:val="4472C4"/>
          <w:sz w:val="20"/>
          <w:szCs w:val="20"/>
          <w:lang w:val="en-GB"/>
        </w:rPr>
        <w:t>t of protected areas and crop</w:t>
      </w:r>
      <w:r w:rsidRPr="00CD33A5">
        <w:rPr>
          <w:rFonts w:ascii="Calibri" w:hAnsi="Calibri"/>
          <w:i/>
          <w:color w:val="4472C4"/>
          <w:sz w:val="20"/>
          <w:szCs w:val="20"/>
          <w:lang w:val="en-GB"/>
        </w:rPr>
        <w:t xml:space="preserve"> areas by livestock.</w:t>
      </w:r>
    </w:p>
    <w:p w14:paraId="1008095A" w14:textId="1379E159" w:rsidR="00047338" w:rsidRPr="00047338" w:rsidRDefault="00047338" w:rsidP="00BE65D5">
      <w:pPr>
        <w:spacing w:before="120" w:after="120"/>
        <w:rPr>
          <w:iCs/>
          <w:color w:val="4472C4"/>
          <w:szCs w:val="20"/>
          <w:lang w:val="en-GB"/>
        </w:rPr>
      </w:pPr>
      <w:r w:rsidRPr="00B9357E">
        <w:rPr>
          <w:iCs/>
          <w:color w:val="4472C4"/>
          <w:szCs w:val="20"/>
          <w:lang w:val="en-GB"/>
        </w:rPr>
        <w:t xml:space="preserve">For this activity, the FPIC (Free, Prior and Informed Consent) process </w:t>
      </w:r>
      <w:proofErr w:type="gramStart"/>
      <w:r w:rsidRPr="00B9357E">
        <w:rPr>
          <w:iCs/>
          <w:color w:val="4472C4"/>
          <w:szCs w:val="20"/>
          <w:lang w:val="en-GB"/>
        </w:rPr>
        <w:t>has to</w:t>
      </w:r>
      <w:proofErr w:type="gramEnd"/>
      <w:r w:rsidRPr="00B9357E">
        <w:rPr>
          <w:iCs/>
          <w:color w:val="4472C4"/>
          <w:szCs w:val="20"/>
          <w:lang w:val="en-GB"/>
        </w:rPr>
        <w:t xml:space="preserve"> be ensured</w:t>
      </w:r>
    </w:p>
    <w:p w14:paraId="34BD36CD" w14:textId="77777777" w:rsidR="00302BFE" w:rsidRPr="00EB371D"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704DB2">
        <w:rPr>
          <w:rFonts w:ascii="Calibri" w:hAnsi="Calibri"/>
          <w:sz w:val="20"/>
          <w:szCs w:val="20"/>
          <w:lang w:val="en-GB"/>
        </w:rPr>
        <w:t>Sustainable pastoral l</w:t>
      </w:r>
      <w:r w:rsidRPr="00CD33A5">
        <w:rPr>
          <w:rFonts w:ascii="Calibri" w:hAnsi="Calibri"/>
          <w:sz w:val="20"/>
          <w:szCs w:val="20"/>
          <w:lang w:val="en-GB"/>
        </w:rPr>
        <w:t xml:space="preserve">ivelihoods will be put in place. The landscape of PONASI includes 3 pastoral areas. Best management practices for pastures and rangelands will be promoted. These include (but are not limited to) specific strategies for managing local pastoralism, </w:t>
      </w:r>
      <w:r w:rsidRPr="008225C4">
        <w:rPr>
          <w:rFonts w:ascii="Calibri" w:hAnsi="Calibri"/>
          <w:sz w:val="20"/>
          <w:szCs w:val="20"/>
          <w:lang w:val="en-GB"/>
        </w:rPr>
        <w:t xml:space="preserve">assessment of the condition of pastures and their carrying capacity, the development of </w:t>
      </w:r>
      <w:r w:rsidRPr="00CD33A5">
        <w:rPr>
          <w:rFonts w:ascii="Calibri" w:hAnsi="Calibri"/>
          <w:sz w:val="20"/>
          <w:szCs w:val="20"/>
          <w:lang w:val="en-GB"/>
        </w:rPr>
        <w:t xml:space="preserve">water points and grazing </w:t>
      </w:r>
      <w:r>
        <w:rPr>
          <w:rFonts w:ascii="Calibri" w:hAnsi="Calibri"/>
          <w:sz w:val="20"/>
          <w:szCs w:val="20"/>
          <w:lang w:val="en-GB"/>
        </w:rPr>
        <w:t>areas</w:t>
      </w:r>
      <w:r w:rsidRPr="00CD33A5">
        <w:rPr>
          <w:rFonts w:ascii="Calibri" w:hAnsi="Calibri"/>
          <w:sz w:val="20"/>
          <w:szCs w:val="20"/>
          <w:lang w:val="en-GB"/>
        </w:rPr>
        <w:t xml:space="preserve"> and, in the context of potential conflicts between farmers and pastoralists</w:t>
      </w:r>
      <w:r>
        <w:rPr>
          <w:rFonts w:ascii="Calibri" w:hAnsi="Calibri"/>
          <w:sz w:val="20"/>
          <w:szCs w:val="20"/>
          <w:lang w:val="en-GB"/>
        </w:rPr>
        <w:t xml:space="preserve">, conflict prevention/management and reduction of </w:t>
      </w:r>
      <w:r w:rsidRPr="00CD33A5">
        <w:rPr>
          <w:rFonts w:ascii="Calibri" w:hAnsi="Calibri"/>
          <w:sz w:val="20"/>
          <w:szCs w:val="20"/>
          <w:lang w:val="en-GB"/>
        </w:rPr>
        <w:t xml:space="preserve">cattle </w:t>
      </w:r>
      <w:r>
        <w:rPr>
          <w:rFonts w:ascii="Calibri" w:hAnsi="Calibri"/>
          <w:sz w:val="20"/>
          <w:szCs w:val="20"/>
          <w:lang w:val="en-GB"/>
        </w:rPr>
        <w:t>theft</w:t>
      </w:r>
      <w:r w:rsidRPr="00CD33A5">
        <w:rPr>
          <w:rFonts w:ascii="Calibri" w:hAnsi="Calibri"/>
          <w:sz w:val="20"/>
          <w:szCs w:val="20"/>
          <w:lang w:val="en-GB"/>
        </w:rPr>
        <w:t>.</w:t>
      </w:r>
      <w:r>
        <w:rPr>
          <w:rFonts w:ascii="Calibri" w:hAnsi="Calibri"/>
          <w:sz w:val="20"/>
          <w:szCs w:val="20"/>
          <w:lang w:val="en-GB"/>
        </w:rPr>
        <w:t xml:space="preserve"> </w:t>
      </w:r>
      <w:r w:rsidRPr="00EB371D">
        <w:rPr>
          <w:rFonts w:ascii="Calibri" w:hAnsi="Calibri"/>
          <w:sz w:val="20"/>
          <w:szCs w:val="20"/>
          <w:lang w:val="en-CA"/>
        </w:rPr>
        <w:t>The project will pay special attention to avoid any detrimental impact on Peul nomadic herders, who are particularly vulnerable because of their way of life.</w:t>
      </w:r>
    </w:p>
    <w:p w14:paraId="59EC1436" w14:textId="77777777" w:rsidR="00302BFE" w:rsidRPr="005514F6"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514F6">
        <w:rPr>
          <w:rFonts w:ascii="Calibri" w:hAnsi="Calibri"/>
          <w:sz w:val="20"/>
          <w:szCs w:val="20"/>
          <w:lang w:val="en-GB"/>
        </w:rPr>
        <w:t xml:space="preserve">Improved rangeland and pasture management has been </w:t>
      </w:r>
      <w:proofErr w:type="spellStart"/>
      <w:r w:rsidRPr="005514F6">
        <w:rPr>
          <w:rFonts w:ascii="Calibri" w:hAnsi="Calibri"/>
          <w:sz w:val="20"/>
          <w:szCs w:val="20"/>
          <w:lang w:val="en-GB"/>
        </w:rPr>
        <w:t>analyzed</w:t>
      </w:r>
      <w:proofErr w:type="spellEnd"/>
      <w:r w:rsidRPr="005514F6">
        <w:rPr>
          <w:rFonts w:ascii="Calibri" w:hAnsi="Calibri"/>
          <w:sz w:val="20"/>
          <w:szCs w:val="20"/>
          <w:lang w:val="en-GB"/>
        </w:rPr>
        <w:t xml:space="preserve"> and published. The project will provide the necessary technical support for the compilation, dissemination and promotion of rangeland and pasture management best practices to improve grazing area productivity, while reducing conflicts between farmers or between cattle breeders and wildlife that harm biodiversity (such as the killing of animals </w:t>
      </w:r>
      <w:proofErr w:type="gramStart"/>
      <w:r w:rsidRPr="005514F6">
        <w:rPr>
          <w:rFonts w:ascii="Calibri" w:hAnsi="Calibri"/>
          <w:sz w:val="20"/>
          <w:szCs w:val="20"/>
          <w:lang w:val="en-GB"/>
        </w:rPr>
        <w:t>as a result of</w:t>
      </w:r>
      <w:proofErr w:type="gramEnd"/>
      <w:r w:rsidRPr="005514F6">
        <w:rPr>
          <w:rFonts w:ascii="Calibri" w:hAnsi="Calibri"/>
          <w:sz w:val="20"/>
          <w:szCs w:val="20"/>
          <w:lang w:val="en-GB"/>
        </w:rPr>
        <w:t xml:space="preserve"> damage, or the encroachment of wildlife habitat within protected areas and the risk of contamination). The compilation of good practices will be published in the main local languages and in a simplified format accessible to the members of the communities. The zoning of the village area will indicate the best management practices for each specific grazing and rangeland area. Best practices will include measures such as the promotion of forage crops, the fight against tree pruning, the reclamation of degraded soils. The project will provide the necessary support for the identification of rangelands with the participation of users, including </w:t>
      </w:r>
      <w:proofErr w:type="spellStart"/>
      <w:r w:rsidRPr="005514F6">
        <w:rPr>
          <w:rFonts w:ascii="Calibri" w:hAnsi="Calibri"/>
          <w:sz w:val="20"/>
          <w:szCs w:val="20"/>
          <w:lang w:val="en-GB"/>
        </w:rPr>
        <w:t>transhumants</w:t>
      </w:r>
      <w:proofErr w:type="spellEnd"/>
      <w:r w:rsidRPr="005514F6">
        <w:rPr>
          <w:rFonts w:ascii="Calibri" w:hAnsi="Calibri"/>
          <w:sz w:val="20"/>
          <w:szCs w:val="20"/>
          <w:lang w:val="en-GB"/>
        </w:rPr>
        <w:t xml:space="preserve"> who may use the rangelands located within the PONASI landscape on their migration route to Ghana. Special attention will be given nomadic Peul herders to prevent the project from having a detrimental effect on these vulnerable and marginalized populations. Special attention will be given to gender-differentiated uses to be able to target women and men separately for the necessary training and support and to identify improvements in natural resource use and exploitation practices.</w:t>
      </w:r>
    </w:p>
    <w:p w14:paraId="50D04F3B" w14:textId="45C6D08C" w:rsidR="00302BFE"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CD33A5">
        <w:rPr>
          <w:rFonts w:ascii="Calibri" w:hAnsi="Calibri"/>
          <w:i/>
          <w:color w:val="4472C4"/>
          <w:sz w:val="20"/>
          <w:szCs w:val="20"/>
          <w:lang w:val="en-GB"/>
        </w:rPr>
        <w:t>3.2.3 Revisin</w:t>
      </w:r>
      <w:r>
        <w:rPr>
          <w:rFonts w:ascii="Calibri" w:hAnsi="Calibri"/>
          <w:i/>
          <w:color w:val="4472C4"/>
          <w:sz w:val="20"/>
          <w:szCs w:val="20"/>
          <w:lang w:val="en-GB"/>
        </w:rPr>
        <w:t xml:space="preserve">g the Forest Management </w:t>
      </w:r>
      <w:r w:rsidRPr="00831652">
        <w:rPr>
          <w:rFonts w:ascii="Calibri" w:hAnsi="Calibri"/>
          <w:i/>
          <w:color w:val="4472C4"/>
          <w:sz w:val="20"/>
          <w:szCs w:val="20"/>
          <w:lang w:val="en-GB"/>
        </w:rPr>
        <w:t>Site (CAF)</w:t>
      </w:r>
      <w:r w:rsidRPr="00CD33A5">
        <w:rPr>
          <w:rFonts w:ascii="Calibri" w:hAnsi="Calibri"/>
          <w:i/>
          <w:color w:val="4472C4"/>
          <w:sz w:val="20"/>
          <w:szCs w:val="20"/>
          <w:lang w:val="en-GB"/>
        </w:rPr>
        <w:t xml:space="preserve"> Model Strengthens Resource Conservation and Reduces Pressure on Protected Areas</w:t>
      </w:r>
    </w:p>
    <w:p w14:paraId="773B740E" w14:textId="3BBE9014" w:rsidR="00047338" w:rsidRPr="00047338" w:rsidRDefault="00047338" w:rsidP="00BE65D5">
      <w:pPr>
        <w:spacing w:before="120" w:after="120"/>
        <w:rPr>
          <w:iCs/>
          <w:color w:val="4472C4"/>
          <w:szCs w:val="20"/>
          <w:lang w:val="en-GB"/>
        </w:rPr>
      </w:pPr>
      <w:r w:rsidRPr="00B9357E">
        <w:rPr>
          <w:iCs/>
          <w:color w:val="4472C4"/>
          <w:szCs w:val="20"/>
          <w:lang w:val="en-GB"/>
        </w:rPr>
        <w:t xml:space="preserve">For this activity, the FPIC (Free, Prior and Informed Consent) process </w:t>
      </w:r>
      <w:proofErr w:type="gramStart"/>
      <w:r w:rsidRPr="00B9357E">
        <w:rPr>
          <w:iCs/>
          <w:color w:val="4472C4"/>
          <w:szCs w:val="20"/>
          <w:lang w:val="en-GB"/>
        </w:rPr>
        <w:t>has to</w:t>
      </w:r>
      <w:proofErr w:type="gramEnd"/>
      <w:r w:rsidRPr="00B9357E">
        <w:rPr>
          <w:iCs/>
          <w:color w:val="4472C4"/>
          <w:szCs w:val="20"/>
          <w:lang w:val="en-GB"/>
        </w:rPr>
        <w:t xml:space="preserve"> be ensured</w:t>
      </w:r>
    </w:p>
    <w:p w14:paraId="627C6EB0" w14:textId="77777777" w:rsidR="00302BFE" w:rsidRPr="00CD33A5" w:rsidRDefault="00302BFE" w:rsidP="00302BFE">
      <w:pPr>
        <w:spacing w:before="120" w:after="120"/>
        <w:ind w:left="567"/>
        <w:rPr>
          <w:i/>
          <w:szCs w:val="20"/>
          <w:lang w:val="en-GB"/>
        </w:rPr>
      </w:pPr>
      <w:r w:rsidRPr="00CD33A5">
        <w:rPr>
          <w:i/>
          <w:szCs w:val="20"/>
          <w:lang w:val="en-GB"/>
        </w:rPr>
        <w:t xml:space="preserve">(i) Evaluation of the management of the CAFs of </w:t>
      </w:r>
      <w:proofErr w:type="spellStart"/>
      <w:r w:rsidRPr="00CD33A5">
        <w:rPr>
          <w:i/>
          <w:szCs w:val="20"/>
          <w:lang w:val="en-GB"/>
        </w:rPr>
        <w:t>Nazinon</w:t>
      </w:r>
      <w:proofErr w:type="spellEnd"/>
      <w:r w:rsidRPr="00CD33A5">
        <w:rPr>
          <w:i/>
          <w:szCs w:val="20"/>
          <w:lang w:val="en-GB"/>
        </w:rPr>
        <w:t xml:space="preserve">, </w:t>
      </w:r>
      <w:proofErr w:type="spellStart"/>
      <w:r w:rsidRPr="00CD33A5">
        <w:rPr>
          <w:i/>
          <w:szCs w:val="20"/>
          <w:lang w:val="en-GB"/>
        </w:rPr>
        <w:t>Gaongo</w:t>
      </w:r>
      <w:proofErr w:type="spellEnd"/>
      <w:r w:rsidRPr="00CD33A5">
        <w:rPr>
          <w:i/>
          <w:szCs w:val="20"/>
          <w:lang w:val="en-GB"/>
        </w:rPr>
        <w:t xml:space="preserve"> and </w:t>
      </w:r>
      <w:proofErr w:type="spellStart"/>
      <w:r w:rsidRPr="00CD33A5">
        <w:rPr>
          <w:i/>
          <w:szCs w:val="20"/>
          <w:lang w:val="en-GB"/>
        </w:rPr>
        <w:t>Zoundweogo</w:t>
      </w:r>
      <w:proofErr w:type="spellEnd"/>
      <w:r w:rsidRPr="00CD33A5">
        <w:rPr>
          <w:i/>
          <w:szCs w:val="20"/>
          <w:lang w:val="en-GB"/>
        </w:rPr>
        <w:t>, involving local users</w:t>
      </w:r>
    </w:p>
    <w:p w14:paraId="5AAF3120" w14:textId="1E2B8953" w:rsidR="00302BFE" w:rsidRPr="00CD33A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CD33A5">
        <w:rPr>
          <w:rFonts w:ascii="Calibri" w:hAnsi="Calibri"/>
          <w:sz w:val="20"/>
          <w:szCs w:val="20"/>
          <w:lang w:val="en-GB"/>
        </w:rPr>
        <w:t>The project will support a study conducted by a specialized firm or by a multidisciplinary team of qualified consultants who will draw on the case studies of 5 CAFs completed in 2018 by the Forest Investment Program as part of the analysis of factors of deforestation and forest degradation. The consultants will be responsible for: (1) evaluating CAFs in the PONASI landscape (</w:t>
      </w:r>
      <w:proofErr w:type="spellStart"/>
      <w:r w:rsidRPr="00CD33A5">
        <w:rPr>
          <w:rFonts w:ascii="Calibri" w:hAnsi="Calibri"/>
          <w:sz w:val="20"/>
          <w:szCs w:val="20"/>
          <w:lang w:val="en-GB"/>
        </w:rPr>
        <w:t>Nazinon</w:t>
      </w:r>
      <w:proofErr w:type="spellEnd"/>
      <w:r w:rsidRPr="00CD33A5">
        <w:rPr>
          <w:rFonts w:ascii="Calibri" w:hAnsi="Calibri"/>
          <w:sz w:val="20"/>
          <w:szCs w:val="20"/>
          <w:lang w:val="en-GB"/>
        </w:rPr>
        <w:t xml:space="preserve">, </w:t>
      </w:r>
      <w:proofErr w:type="spellStart"/>
      <w:r w:rsidRPr="00CD33A5">
        <w:rPr>
          <w:rFonts w:ascii="Calibri" w:hAnsi="Calibri"/>
          <w:sz w:val="20"/>
          <w:szCs w:val="20"/>
          <w:lang w:val="en-GB"/>
        </w:rPr>
        <w:t>Gaongo</w:t>
      </w:r>
      <w:proofErr w:type="spellEnd"/>
      <w:r w:rsidRPr="00CD33A5">
        <w:rPr>
          <w:rFonts w:ascii="Calibri" w:hAnsi="Calibri"/>
          <w:sz w:val="20"/>
          <w:szCs w:val="20"/>
          <w:lang w:val="en-GB"/>
        </w:rPr>
        <w:t xml:space="preserve">, SO </w:t>
      </w:r>
      <w:proofErr w:type="spellStart"/>
      <w:r w:rsidRPr="00CD33A5">
        <w:rPr>
          <w:rFonts w:ascii="Calibri" w:hAnsi="Calibri"/>
          <w:sz w:val="20"/>
          <w:szCs w:val="20"/>
          <w:lang w:val="en-GB"/>
        </w:rPr>
        <w:t>Zoundweogo</w:t>
      </w:r>
      <w:proofErr w:type="spellEnd"/>
      <w:r w:rsidRPr="00CD33A5">
        <w:rPr>
          <w:rFonts w:ascii="Calibri" w:hAnsi="Calibri"/>
          <w:sz w:val="20"/>
          <w:szCs w:val="20"/>
          <w:lang w:val="en-GB"/>
        </w:rPr>
        <w:t xml:space="preserve">) including the following aspects: (a) the dynamics of forest resources and their productivity since </w:t>
      </w:r>
      <w:r>
        <w:rPr>
          <w:rFonts w:ascii="Calibri" w:hAnsi="Calibri"/>
          <w:sz w:val="20"/>
          <w:szCs w:val="20"/>
          <w:lang w:val="en-GB"/>
        </w:rPr>
        <w:t xml:space="preserve">the setting up of the </w:t>
      </w:r>
      <w:r w:rsidRPr="00CD33A5">
        <w:rPr>
          <w:rFonts w:ascii="Calibri" w:hAnsi="Calibri"/>
          <w:sz w:val="20"/>
          <w:szCs w:val="20"/>
          <w:lang w:val="en-GB"/>
        </w:rPr>
        <w:t>forest management, ( b) the management practices and the application of the standards that l</w:t>
      </w:r>
      <w:r>
        <w:rPr>
          <w:rFonts w:ascii="Calibri" w:hAnsi="Calibri"/>
          <w:sz w:val="20"/>
          <w:szCs w:val="20"/>
          <w:lang w:val="en-GB"/>
        </w:rPr>
        <w:t xml:space="preserve">ed to the development of the </w:t>
      </w:r>
      <w:r w:rsidR="00564367" w:rsidRPr="00B9357E">
        <w:rPr>
          <w:rFonts w:ascii="Calibri" w:hAnsi="Calibri"/>
          <w:sz w:val="20"/>
          <w:szCs w:val="20"/>
          <w:lang w:val="en-GB"/>
        </w:rPr>
        <w:t>development and management plan</w:t>
      </w:r>
      <w:r w:rsidR="00564367">
        <w:rPr>
          <w:rFonts w:ascii="Calibri" w:hAnsi="Calibri"/>
          <w:sz w:val="20"/>
          <w:szCs w:val="20"/>
          <w:lang w:val="en-GB"/>
        </w:rPr>
        <w:t xml:space="preserve"> </w:t>
      </w:r>
      <w:r w:rsidR="00690F56">
        <w:rPr>
          <w:rFonts w:ascii="Calibri" w:hAnsi="Calibri"/>
          <w:sz w:val="20"/>
          <w:szCs w:val="20"/>
          <w:lang w:val="en-GB"/>
        </w:rPr>
        <w:t>DMP</w:t>
      </w:r>
      <w:r w:rsidRPr="00CD33A5">
        <w:rPr>
          <w:rFonts w:ascii="Calibri" w:hAnsi="Calibri"/>
          <w:sz w:val="20"/>
          <w:szCs w:val="20"/>
          <w:lang w:val="en-GB"/>
        </w:rPr>
        <w:t xml:space="preserve">s, (c) the socio-economic impacts, including the management and distribution of revenues from the sale of fuelwood, the actual contribution </w:t>
      </w:r>
      <w:r>
        <w:rPr>
          <w:rFonts w:ascii="Calibri" w:hAnsi="Calibri"/>
          <w:sz w:val="20"/>
          <w:szCs w:val="20"/>
          <w:lang w:val="en-GB"/>
        </w:rPr>
        <w:t>of the revenues to</w:t>
      </w:r>
      <w:r w:rsidRPr="00CD33A5">
        <w:rPr>
          <w:rFonts w:ascii="Calibri" w:hAnsi="Calibri"/>
          <w:sz w:val="20"/>
          <w:szCs w:val="20"/>
          <w:lang w:val="en-GB"/>
        </w:rPr>
        <w:t xml:space="preserve"> the Forest Management Fund (FAF) and the Village Investment Fund, the management of the FAF and its contribution to the sustainable management of fo</w:t>
      </w:r>
      <w:r>
        <w:rPr>
          <w:rFonts w:ascii="Calibri" w:hAnsi="Calibri"/>
          <w:sz w:val="20"/>
          <w:szCs w:val="20"/>
          <w:lang w:val="en-GB"/>
        </w:rPr>
        <w:t xml:space="preserve">rest resources, and whether </w:t>
      </w:r>
      <w:r w:rsidRPr="00CD33A5">
        <w:rPr>
          <w:rFonts w:ascii="Calibri" w:hAnsi="Calibri"/>
          <w:sz w:val="20"/>
          <w:szCs w:val="20"/>
          <w:lang w:val="en-GB"/>
        </w:rPr>
        <w:t xml:space="preserve">these revenues </w:t>
      </w:r>
      <w:r>
        <w:rPr>
          <w:rFonts w:ascii="Calibri" w:hAnsi="Calibri"/>
          <w:sz w:val="20"/>
          <w:szCs w:val="20"/>
          <w:lang w:val="en-GB"/>
        </w:rPr>
        <w:t xml:space="preserve">could appropriately </w:t>
      </w:r>
      <w:r w:rsidRPr="00CD33A5">
        <w:rPr>
          <w:rFonts w:ascii="Calibri" w:hAnsi="Calibri"/>
          <w:sz w:val="20"/>
          <w:szCs w:val="20"/>
          <w:lang w:val="en-GB"/>
        </w:rPr>
        <w:t>serve as an incentiv</w:t>
      </w:r>
      <w:r>
        <w:rPr>
          <w:rFonts w:ascii="Calibri" w:hAnsi="Calibri"/>
          <w:sz w:val="20"/>
          <w:szCs w:val="20"/>
          <w:lang w:val="en-GB"/>
        </w:rPr>
        <w:t xml:space="preserve">e for the stakeholders involved to shoulder </w:t>
      </w:r>
      <w:r w:rsidRPr="00CD33A5">
        <w:rPr>
          <w:rFonts w:ascii="Calibri" w:hAnsi="Calibri"/>
          <w:sz w:val="20"/>
          <w:szCs w:val="20"/>
          <w:lang w:val="en-GB"/>
        </w:rPr>
        <w:t>their responsibility for the sustainability of forests; (2) assess the viability of the CAF model in the current environmental and social context, integrating the effects of climate change and making recommendations; (</w:t>
      </w:r>
      <w:r>
        <w:rPr>
          <w:rFonts w:ascii="Calibri" w:hAnsi="Calibri"/>
          <w:sz w:val="20"/>
          <w:szCs w:val="20"/>
          <w:lang w:val="en-GB"/>
        </w:rPr>
        <w:t xml:space="preserve">3) </w:t>
      </w:r>
      <w:proofErr w:type="spellStart"/>
      <w:r>
        <w:rPr>
          <w:rFonts w:ascii="Calibri" w:hAnsi="Calibri"/>
          <w:sz w:val="20"/>
          <w:szCs w:val="20"/>
          <w:lang w:val="en-GB"/>
        </w:rPr>
        <w:t>analyze</w:t>
      </w:r>
      <w:proofErr w:type="spellEnd"/>
      <w:r>
        <w:rPr>
          <w:rFonts w:ascii="Calibri" w:hAnsi="Calibri"/>
          <w:sz w:val="20"/>
          <w:szCs w:val="20"/>
          <w:lang w:val="en-GB"/>
        </w:rPr>
        <w:t xml:space="preserve"> the level of relevance</w:t>
      </w:r>
      <w:r w:rsidRPr="00CD33A5">
        <w:rPr>
          <w:rFonts w:ascii="Calibri" w:hAnsi="Calibri"/>
          <w:sz w:val="20"/>
          <w:szCs w:val="20"/>
          <w:lang w:val="en-GB"/>
        </w:rPr>
        <w:t xml:space="preserve"> of current planning and management practices with the conservation and sustainable management requirements of natural forests in the PONASI landscape and make recommendations.</w:t>
      </w:r>
    </w:p>
    <w:p w14:paraId="0DFC74A4" w14:textId="77777777" w:rsidR="00302BFE" w:rsidRPr="00CD33A5" w:rsidRDefault="00302BFE" w:rsidP="00302BFE">
      <w:pPr>
        <w:spacing w:before="120" w:after="120"/>
        <w:ind w:left="567"/>
        <w:rPr>
          <w:i/>
          <w:szCs w:val="20"/>
          <w:lang w:val="en-GB"/>
        </w:rPr>
      </w:pPr>
      <w:r w:rsidRPr="00CD33A5">
        <w:rPr>
          <w:i/>
          <w:szCs w:val="20"/>
          <w:lang w:val="en-GB"/>
        </w:rPr>
        <w:t xml:space="preserve">(ii) Participatory updating of management plans of the forest units concerned </w:t>
      </w:r>
      <w:proofErr w:type="gramStart"/>
      <w:r w:rsidRPr="00CD33A5">
        <w:rPr>
          <w:i/>
          <w:szCs w:val="20"/>
          <w:lang w:val="en-GB"/>
        </w:rPr>
        <w:t>on the basis of</w:t>
      </w:r>
      <w:proofErr w:type="gramEnd"/>
      <w:r w:rsidRPr="00CD33A5">
        <w:rPr>
          <w:i/>
          <w:szCs w:val="20"/>
          <w:lang w:val="en-GB"/>
        </w:rPr>
        <w:t xml:space="preserve"> the recommendations of the study</w:t>
      </w:r>
    </w:p>
    <w:p w14:paraId="29136D27" w14:textId="77777777" w:rsidR="00302BFE" w:rsidRPr="00CD33A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CD33A5">
        <w:rPr>
          <w:rFonts w:ascii="Calibri" w:hAnsi="Calibri"/>
          <w:sz w:val="20"/>
          <w:szCs w:val="20"/>
          <w:lang w:val="en-GB"/>
        </w:rPr>
        <w:t>The</w:t>
      </w:r>
      <w:r>
        <w:rPr>
          <w:rFonts w:ascii="Calibri" w:hAnsi="Calibri"/>
          <w:sz w:val="20"/>
          <w:szCs w:val="20"/>
          <w:lang w:val="en-GB"/>
        </w:rPr>
        <w:t xml:space="preserve">re will be the restitution of the </w:t>
      </w:r>
      <w:r w:rsidRPr="00CD33A5">
        <w:rPr>
          <w:rFonts w:ascii="Calibri" w:hAnsi="Calibri"/>
          <w:sz w:val="20"/>
          <w:szCs w:val="20"/>
          <w:lang w:val="en-GB"/>
        </w:rPr>
        <w:t>conclusions of the evaluation study of the managemen</w:t>
      </w:r>
      <w:r>
        <w:rPr>
          <w:rFonts w:ascii="Calibri" w:hAnsi="Calibri"/>
          <w:sz w:val="20"/>
          <w:szCs w:val="20"/>
          <w:lang w:val="en-GB"/>
        </w:rPr>
        <w:t>t of the 3 CAFs</w:t>
      </w:r>
      <w:r w:rsidRPr="00CD33A5">
        <w:rPr>
          <w:rFonts w:ascii="Calibri" w:hAnsi="Calibri"/>
          <w:sz w:val="20"/>
          <w:szCs w:val="20"/>
          <w:lang w:val="en-GB"/>
        </w:rPr>
        <w:t xml:space="preserve"> to the stakeholders during a joint workshop bringing together the management teams of the CAFs, the representatives of the</w:t>
      </w:r>
      <w:r>
        <w:rPr>
          <w:rFonts w:ascii="Calibri" w:hAnsi="Calibri"/>
          <w:sz w:val="20"/>
          <w:szCs w:val="20"/>
          <w:lang w:val="en-GB"/>
        </w:rPr>
        <w:t xml:space="preserve"> concession holders GGFs and </w:t>
      </w:r>
      <w:r w:rsidRPr="00CD33A5">
        <w:rPr>
          <w:rFonts w:ascii="Calibri" w:hAnsi="Calibri"/>
          <w:sz w:val="20"/>
          <w:szCs w:val="20"/>
          <w:lang w:val="en-GB"/>
        </w:rPr>
        <w:t>UGGF</w:t>
      </w:r>
      <w:r>
        <w:rPr>
          <w:rFonts w:ascii="Calibri" w:hAnsi="Calibri"/>
          <w:sz w:val="20"/>
          <w:szCs w:val="20"/>
          <w:lang w:val="en-GB"/>
        </w:rPr>
        <w:t>, the relevant local authorities</w:t>
      </w:r>
      <w:r w:rsidRPr="00CD33A5">
        <w:rPr>
          <w:rFonts w:ascii="Calibri" w:hAnsi="Calibri"/>
          <w:sz w:val="20"/>
          <w:szCs w:val="20"/>
          <w:lang w:val="en-GB"/>
        </w:rPr>
        <w:t xml:space="preserve"> (</w:t>
      </w:r>
      <w:r>
        <w:rPr>
          <w:rFonts w:ascii="Calibri" w:hAnsi="Calibri"/>
          <w:sz w:val="20"/>
          <w:szCs w:val="20"/>
          <w:lang w:val="en-GB"/>
        </w:rPr>
        <w:t xml:space="preserve">communes), </w:t>
      </w:r>
      <w:r w:rsidRPr="00CD33A5">
        <w:rPr>
          <w:rFonts w:ascii="Calibri" w:hAnsi="Calibri"/>
          <w:sz w:val="20"/>
          <w:szCs w:val="20"/>
          <w:lang w:val="en-GB"/>
        </w:rPr>
        <w:t xml:space="preserve">the decentralized forestry services (regional, provincial and departmental </w:t>
      </w:r>
      <w:r>
        <w:rPr>
          <w:rFonts w:ascii="Calibri" w:hAnsi="Calibri"/>
          <w:sz w:val="20"/>
          <w:szCs w:val="20"/>
          <w:lang w:val="en-GB"/>
        </w:rPr>
        <w:t>services</w:t>
      </w:r>
      <w:r w:rsidRPr="00CD33A5">
        <w:rPr>
          <w:rFonts w:ascii="Calibri" w:hAnsi="Calibri"/>
          <w:sz w:val="20"/>
          <w:szCs w:val="20"/>
          <w:lang w:val="en-GB"/>
        </w:rPr>
        <w:t xml:space="preserve"> of the ME</w:t>
      </w:r>
      <w:r>
        <w:rPr>
          <w:rFonts w:ascii="Calibri" w:hAnsi="Calibri"/>
          <w:sz w:val="20"/>
          <w:szCs w:val="20"/>
          <w:lang w:val="en-GB"/>
        </w:rPr>
        <w:t>GE</w:t>
      </w:r>
      <w:r w:rsidRPr="00CD33A5">
        <w:rPr>
          <w:rFonts w:ascii="Calibri" w:hAnsi="Calibri"/>
          <w:sz w:val="20"/>
          <w:szCs w:val="20"/>
          <w:lang w:val="en-GB"/>
        </w:rPr>
        <w:t xml:space="preserve">CC) as well as the project management unit, in </w:t>
      </w:r>
      <w:r>
        <w:rPr>
          <w:rFonts w:ascii="Calibri" w:hAnsi="Calibri"/>
          <w:sz w:val="20"/>
          <w:szCs w:val="20"/>
          <w:lang w:val="en-GB"/>
        </w:rPr>
        <w:t>order to allow ownership</w:t>
      </w:r>
      <w:r w:rsidRPr="00CD33A5">
        <w:rPr>
          <w:rFonts w:ascii="Calibri" w:hAnsi="Calibri"/>
          <w:sz w:val="20"/>
          <w:szCs w:val="20"/>
          <w:lang w:val="en-GB"/>
        </w:rPr>
        <w:t xml:space="preserve"> of the results of the evaluations and formulate proposals for the implementation of recommendations; discuss and validate necessary updates to development standards, management practices and resource allocation mechanisms from operations; assign management units of CAF to update management plans, an</w:t>
      </w:r>
      <w:r>
        <w:rPr>
          <w:rFonts w:ascii="Calibri" w:hAnsi="Calibri"/>
          <w:sz w:val="20"/>
          <w:szCs w:val="20"/>
          <w:lang w:val="en-GB"/>
        </w:rPr>
        <w:t xml:space="preserve">d possibly development </w:t>
      </w:r>
      <w:r w:rsidRPr="00CD33A5">
        <w:rPr>
          <w:rFonts w:ascii="Calibri" w:hAnsi="Calibri"/>
          <w:sz w:val="20"/>
          <w:szCs w:val="20"/>
          <w:lang w:val="en-GB"/>
        </w:rPr>
        <w:t>plans, under the direct supervision of the Regional Directorates for Forests.</w:t>
      </w:r>
    </w:p>
    <w:p w14:paraId="694F4622" w14:textId="2AFEA931" w:rsidR="00302BFE" w:rsidRDefault="00302BFE" w:rsidP="00302BFE">
      <w:pPr>
        <w:pStyle w:val="Paragraphedeliste"/>
        <w:tabs>
          <w:tab w:val="left" w:pos="284"/>
        </w:tabs>
        <w:spacing w:before="240" w:after="120"/>
        <w:ind w:left="0"/>
        <w:jc w:val="both"/>
        <w:rPr>
          <w:rFonts w:ascii="Calibri" w:hAnsi="Calibri"/>
          <w:b/>
          <w:sz w:val="20"/>
          <w:szCs w:val="20"/>
          <w:lang w:val="en-GB"/>
        </w:rPr>
      </w:pPr>
      <w:r w:rsidRPr="00CD33A5">
        <w:rPr>
          <w:rFonts w:ascii="Calibri" w:hAnsi="Calibri"/>
          <w:b/>
          <w:sz w:val="20"/>
          <w:szCs w:val="20"/>
          <w:lang w:val="en-GB"/>
        </w:rPr>
        <w:t xml:space="preserve">Output 3.3 Sustainable local forest products processing enterprises are established, providing </w:t>
      </w:r>
      <w:proofErr w:type="gramStart"/>
      <w:r w:rsidRPr="00CD33A5">
        <w:rPr>
          <w:rFonts w:ascii="Calibri" w:hAnsi="Calibri"/>
          <w:b/>
          <w:sz w:val="20"/>
          <w:szCs w:val="20"/>
          <w:lang w:val="en-GB"/>
        </w:rPr>
        <w:t>livelihoods</w:t>
      </w:r>
      <w:proofErr w:type="gramEnd"/>
      <w:r w:rsidRPr="00CD33A5">
        <w:rPr>
          <w:rFonts w:ascii="Calibri" w:hAnsi="Calibri"/>
          <w:b/>
          <w:sz w:val="20"/>
          <w:szCs w:val="20"/>
          <w:lang w:val="en-GB"/>
        </w:rPr>
        <w:t xml:space="preserve"> and generating sustained income, especially for women and vulnerable people.</w:t>
      </w:r>
    </w:p>
    <w:p w14:paraId="491A8A0C" w14:textId="77777777" w:rsidR="004F4706" w:rsidRPr="00B9357E" w:rsidRDefault="004F4706" w:rsidP="004F4706">
      <w:pPr>
        <w:spacing w:after="0"/>
        <w:contextualSpacing/>
        <w:rPr>
          <w:bCs/>
          <w:szCs w:val="20"/>
          <w:lang w:val="en-GB"/>
        </w:rPr>
      </w:pPr>
      <w:r w:rsidRPr="00B9357E">
        <w:rPr>
          <w:bCs/>
          <w:szCs w:val="20"/>
          <w:lang w:val="en-GB"/>
        </w:rPr>
        <w:t xml:space="preserve">To assess and manage the impacts of this Outcome, as indicated in the SESP – in attachment to the </w:t>
      </w:r>
      <w:proofErr w:type="spellStart"/>
      <w:r w:rsidRPr="00B9357E">
        <w:rPr>
          <w:bCs/>
          <w:szCs w:val="20"/>
          <w:lang w:val="en-GB"/>
        </w:rPr>
        <w:t>ProDoc</w:t>
      </w:r>
      <w:proofErr w:type="spellEnd"/>
      <w:r w:rsidRPr="00B9357E">
        <w:rPr>
          <w:bCs/>
          <w:szCs w:val="20"/>
          <w:lang w:val="en-GB"/>
        </w:rPr>
        <w:t xml:space="preserve"> – the following assessment and management processes will be put in place, to comply with UNDP SES:</w:t>
      </w:r>
    </w:p>
    <w:p w14:paraId="1A2ED071" w14:textId="77777777" w:rsidR="004F4706" w:rsidRPr="00B9357E" w:rsidRDefault="004F4706" w:rsidP="004F4706">
      <w:pPr>
        <w:spacing w:after="0"/>
        <w:contextualSpacing/>
        <w:rPr>
          <w:bCs/>
          <w:szCs w:val="20"/>
          <w:u w:val="single"/>
          <w:lang w:val="en-GB"/>
        </w:rPr>
      </w:pPr>
      <w:r w:rsidRPr="00B9357E">
        <w:rPr>
          <w:bCs/>
          <w:szCs w:val="20"/>
          <w:u w:val="single"/>
          <w:lang w:val="en-GB"/>
        </w:rPr>
        <w:t>Assessments:</w:t>
      </w:r>
    </w:p>
    <w:p w14:paraId="2DABE3E4" w14:textId="77777777" w:rsidR="004F4706" w:rsidRPr="00B9357E" w:rsidRDefault="004F4706" w:rsidP="004F4706">
      <w:pPr>
        <w:spacing w:after="0"/>
        <w:contextualSpacing/>
        <w:rPr>
          <w:bCs/>
          <w:szCs w:val="20"/>
          <w:lang w:val="en-GB"/>
        </w:rPr>
      </w:pPr>
      <w:r w:rsidRPr="00B9357E">
        <w:rPr>
          <w:bCs/>
          <w:szCs w:val="20"/>
          <w:lang w:val="en-GB"/>
        </w:rPr>
        <w:t>ESIA</w:t>
      </w:r>
    </w:p>
    <w:p w14:paraId="365272E7" w14:textId="77777777" w:rsidR="004F4706" w:rsidRPr="00B9357E" w:rsidRDefault="004F4706" w:rsidP="004F4706">
      <w:pPr>
        <w:spacing w:after="0"/>
        <w:contextualSpacing/>
        <w:rPr>
          <w:bCs/>
          <w:szCs w:val="20"/>
          <w:lang w:val="en-GB"/>
        </w:rPr>
      </w:pPr>
      <w:r w:rsidRPr="00B9357E">
        <w:rPr>
          <w:bCs/>
          <w:szCs w:val="20"/>
          <w:lang w:val="en-GB"/>
        </w:rPr>
        <w:lastRenderedPageBreak/>
        <w:t>Gender Analysis</w:t>
      </w:r>
      <w:r w:rsidRPr="00B9357E">
        <w:rPr>
          <w:bCs/>
          <w:szCs w:val="20"/>
          <w:lang w:val="en-GB"/>
        </w:rPr>
        <w:tab/>
      </w:r>
    </w:p>
    <w:p w14:paraId="140ECFED" w14:textId="77777777" w:rsidR="004F4706" w:rsidRPr="00B9357E" w:rsidRDefault="004F4706" w:rsidP="004F4706">
      <w:pPr>
        <w:spacing w:after="0"/>
        <w:contextualSpacing/>
        <w:rPr>
          <w:bCs/>
          <w:szCs w:val="20"/>
          <w:u w:val="single"/>
          <w:lang w:val="en-GB"/>
        </w:rPr>
      </w:pPr>
      <w:r w:rsidRPr="00B9357E">
        <w:rPr>
          <w:bCs/>
          <w:szCs w:val="20"/>
          <w:u w:val="single"/>
          <w:lang w:val="en-GB"/>
        </w:rPr>
        <w:t>Management:</w:t>
      </w:r>
    </w:p>
    <w:p w14:paraId="174B7FEE" w14:textId="2D36EF4D" w:rsidR="004F4706" w:rsidRPr="00B9357E" w:rsidRDefault="004F4706" w:rsidP="004F4706">
      <w:pPr>
        <w:spacing w:after="0"/>
        <w:contextualSpacing/>
        <w:rPr>
          <w:bCs/>
          <w:szCs w:val="20"/>
          <w:lang w:val="en-GB"/>
        </w:rPr>
      </w:pPr>
      <w:r w:rsidRPr="00B9357E">
        <w:rPr>
          <w:bCs/>
          <w:szCs w:val="20"/>
          <w:lang w:val="en-GB"/>
        </w:rPr>
        <w:t>Comprehensive Stakeholder Engagement Plan</w:t>
      </w:r>
    </w:p>
    <w:p w14:paraId="46779637" w14:textId="77777777" w:rsidR="004F4706" w:rsidRPr="00B9357E" w:rsidRDefault="004F4706" w:rsidP="004F4706">
      <w:pPr>
        <w:spacing w:after="0"/>
        <w:contextualSpacing/>
        <w:rPr>
          <w:bCs/>
          <w:szCs w:val="20"/>
          <w:lang w:val="en-GB"/>
        </w:rPr>
      </w:pPr>
      <w:r w:rsidRPr="00B9357E">
        <w:rPr>
          <w:bCs/>
          <w:szCs w:val="20"/>
          <w:lang w:val="en-GB"/>
        </w:rPr>
        <w:t>Indigenous People Plan</w:t>
      </w:r>
    </w:p>
    <w:p w14:paraId="74CAA421" w14:textId="77777777" w:rsidR="004F4706" w:rsidRPr="00B9357E" w:rsidRDefault="004F4706" w:rsidP="004F4706">
      <w:pPr>
        <w:spacing w:after="0"/>
        <w:contextualSpacing/>
        <w:rPr>
          <w:bCs/>
          <w:szCs w:val="20"/>
          <w:lang w:val="en-GB"/>
        </w:rPr>
      </w:pPr>
      <w:r w:rsidRPr="00B9357E">
        <w:rPr>
          <w:bCs/>
          <w:szCs w:val="20"/>
          <w:lang w:val="en-GB"/>
        </w:rPr>
        <w:t xml:space="preserve">Gender Action Plan </w:t>
      </w:r>
    </w:p>
    <w:p w14:paraId="1D077243" w14:textId="77777777" w:rsidR="004F4706" w:rsidRPr="00253E4A" w:rsidRDefault="004F4706" w:rsidP="004F4706">
      <w:pPr>
        <w:spacing w:after="0"/>
        <w:contextualSpacing/>
        <w:rPr>
          <w:bCs/>
          <w:szCs w:val="20"/>
          <w:lang w:val="en-GB"/>
        </w:rPr>
      </w:pPr>
      <w:r w:rsidRPr="00B9357E">
        <w:rPr>
          <w:bCs/>
          <w:szCs w:val="20"/>
          <w:lang w:val="en-GB"/>
        </w:rPr>
        <w:t>ESMP</w:t>
      </w:r>
    </w:p>
    <w:p w14:paraId="06AD802A" w14:textId="77777777" w:rsidR="004F4706" w:rsidRPr="00CD33A5" w:rsidRDefault="004F4706" w:rsidP="00302BFE">
      <w:pPr>
        <w:pStyle w:val="Paragraphedeliste"/>
        <w:tabs>
          <w:tab w:val="left" w:pos="284"/>
        </w:tabs>
        <w:spacing w:before="240" w:after="120"/>
        <w:ind w:left="0"/>
        <w:jc w:val="both"/>
        <w:rPr>
          <w:rFonts w:ascii="Calibri" w:hAnsi="Calibri"/>
          <w:sz w:val="20"/>
          <w:szCs w:val="20"/>
          <w:lang w:val="en-GB"/>
        </w:rPr>
      </w:pPr>
    </w:p>
    <w:p w14:paraId="214285CF" w14:textId="77777777" w:rsidR="00302BFE" w:rsidRPr="00CD33A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CD33A5">
        <w:rPr>
          <w:rFonts w:ascii="Calibri" w:hAnsi="Calibri"/>
          <w:sz w:val="20"/>
          <w:szCs w:val="20"/>
          <w:lang w:val="en-GB"/>
        </w:rPr>
        <w:t xml:space="preserve">The role of the GEF project will be catalytic vis-à-vis other partners, as several initiatives are already working on similar themes in the PONASI landscape. The project will work with initiatives to develop sustainable livelihoods such as agriculture, </w:t>
      </w:r>
      <w:proofErr w:type="gramStart"/>
      <w:r w:rsidRPr="00CD33A5">
        <w:rPr>
          <w:rFonts w:ascii="Calibri" w:hAnsi="Calibri"/>
          <w:sz w:val="20"/>
          <w:szCs w:val="20"/>
          <w:lang w:val="en-GB"/>
        </w:rPr>
        <w:t>forestry</w:t>
      </w:r>
      <w:proofErr w:type="gramEnd"/>
      <w:r w:rsidRPr="00CD33A5">
        <w:rPr>
          <w:rFonts w:ascii="Calibri" w:hAnsi="Calibri"/>
          <w:sz w:val="20"/>
          <w:szCs w:val="20"/>
          <w:lang w:val="en-GB"/>
        </w:rPr>
        <w:t xml:space="preserve"> and livestock, and focus its support on livelihood activities that clearly contribute to mitigating threats or pressur</w:t>
      </w:r>
      <w:r>
        <w:rPr>
          <w:rFonts w:ascii="Calibri" w:hAnsi="Calibri"/>
          <w:sz w:val="20"/>
          <w:szCs w:val="20"/>
          <w:lang w:val="en-GB"/>
        </w:rPr>
        <w:t>es on biodiversity, species</w:t>
      </w:r>
      <w:r w:rsidRPr="00CD33A5">
        <w:rPr>
          <w:rFonts w:ascii="Calibri" w:hAnsi="Calibri"/>
          <w:sz w:val="20"/>
          <w:szCs w:val="20"/>
          <w:lang w:val="en-GB"/>
        </w:rPr>
        <w:t xml:space="preserve"> or ecosystems, by creating incentives for the conservation or sustainable management of biodiversity. It is proposed that the project focus on three promising </w:t>
      </w:r>
      <w:r>
        <w:rPr>
          <w:rFonts w:ascii="Calibri" w:hAnsi="Calibri"/>
          <w:sz w:val="20"/>
          <w:szCs w:val="20"/>
          <w:lang w:val="en-GB"/>
        </w:rPr>
        <w:t>value chains</w:t>
      </w:r>
      <w:r w:rsidRPr="00CD33A5">
        <w:rPr>
          <w:rFonts w:ascii="Calibri" w:hAnsi="Calibri"/>
          <w:sz w:val="20"/>
          <w:szCs w:val="20"/>
          <w:lang w:val="en-GB"/>
        </w:rPr>
        <w:t xml:space="preserve"> whose potential in the PONASI landscape has been highlighted recently (</w:t>
      </w:r>
      <w:proofErr w:type="spellStart"/>
      <w:r w:rsidRPr="00CD33A5">
        <w:rPr>
          <w:rFonts w:ascii="Calibri" w:hAnsi="Calibri"/>
          <w:sz w:val="20"/>
          <w:szCs w:val="20"/>
          <w:lang w:val="en-GB"/>
        </w:rPr>
        <w:t>Naturama</w:t>
      </w:r>
      <w:proofErr w:type="spellEnd"/>
      <w:r w:rsidRPr="00CD33A5">
        <w:rPr>
          <w:rFonts w:ascii="Calibri" w:hAnsi="Calibri"/>
          <w:sz w:val="20"/>
          <w:szCs w:val="20"/>
          <w:lang w:val="en-GB"/>
        </w:rPr>
        <w:t>, 201</w:t>
      </w:r>
      <w:r>
        <w:rPr>
          <w:rFonts w:ascii="Calibri" w:hAnsi="Calibri"/>
          <w:sz w:val="20"/>
          <w:szCs w:val="20"/>
          <w:lang w:val="en-GB"/>
        </w:rPr>
        <w:t>6): the production of single-flower</w:t>
      </w:r>
      <w:r w:rsidRPr="00CD33A5">
        <w:rPr>
          <w:rFonts w:ascii="Calibri" w:hAnsi="Calibri"/>
          <w:sz w:val="20"/>
          <w:szCs w:val="20"/>
          <w:lang w:val="en-GB"/>
        </w:rPr>
        <w:t xml:space="preserve"> honey, organic and fair shea butter, and </w:t>
      </w:r>
      <w:proofErr w:type="spellStart"/>
      <w:r w:rsidRPr="00CD33A5">
        <w:rPr>
          <w:rFonts w:ascii="Calibri" w:hAnsi="Calibri"/>
          <w:sz w:val="20"/>
          <w:szCs w:val="20"/>
          <w:lang w:val="en-GB"/>
        </w:rPr>
        <w:t>goïne</w:t>
      </w:r>
      <w:proofErr w:type="spellEnd"/>
      <w:r w:rsidRPr="00CD33A5">
        <w:rPr>
          <w:rFonts w:ascii="Calibri" w:hAnsi="Calibri"/>
          <w:sz w:val="20"/>
          <w:szCs w:val="20"/>
          <w:lang w:val="en-GB"/>
        </w:rPr>
        <w:t xml:space="preserve"> liana juice</w:t>
      </w:r>
      <w:r w:rsidRPr="00CD33A5">
        <w:rPr>
          <w:rFonts w:ascii="Calibri" w:hAnsi="Calibri" w:cs="Helvetica"/>
          <w:color w:val="1D2228"/>
          <w:sz w:val="20"/>
          <w:szCs w:val="20"/>
          <w:lang w:val="en-G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3"/>
      </w:tblGrid>
      <w:tr w:rsidR="00302BFE" w:rsidRPr="00CD33A5" w14:paraId="1628DE5A" w14:textId="77777777" w:rsidTr="00243B15">
        <w:trPr>
          <w:jc w:val="center"/>
        </w:trPr>
        <w:tc>
          <w:tcPr>
            <w:tcW w:w="10613" w:type="dxa"/>
            <w:shd w:val="clear" w:color="auto" w:fill="auto"/>
          </w:tcPr>
          <w:p w14:paraId="1014088E" w14:textId="77777777" w:rsidR="00302BFE" w:rsidRPr="000D0A8A" w:rsidRDefault="00302BFE" w:rsidP="00243B15">
            <w:pPr>
              <w:tabs>
                <w:tab w:val="left" w:pos="935"/>
              </w:tabs>
              <w:spacing w:before="120" w:after="120"/>
              <w:rPr>
                <w:rFonts w:cs="Helvetica"/>
                <w:color w:val="1D2228"/>
                <w:sz w:val="18"/>
                <w:szCs w:val="18"/>
                <w:lang w:val="en-GB"/>
              </w:rPr>
            </w:pPr>
            <w:r w:rsidRPr="000D0A8A">
              <w:rPr>
                <w:rFonts w:cs="Helvetica"/>
                <w:color w:val="1D2228"/>
                <w:sz w:val="18"/>
                <w:szCs w:val="18"/>
                <w:lang w:val="en-GB"/>
              </w:rPr>
              <w:t xml:space="preserve">Beekeeping is a sector that is becoming more professional and one of the emerging </w:t>
            </w:r>
            <w:r>
              <w:rPr>
                <w:rFonts w:cs="Helvetica"/>
                <w:color w:val="1D2228"/>
                <w:sz w:val="18"/>
                <w:szCs w:val="18"/>
                <w:lang w:val="en-GB"/>
              </w:rPr>
              <w:t>value chains</w:t>
            </w:r>
            <w:r w:rsidRPr="000D0A8A">
              <w:rPr>
                <w:rFonts w:cs="Helvetica"/>
                <w:color w:val="1D2228"/>
                <w:sz w:val="18"/>
                <w:szCs w:val="18"/>
                <w:lang w:val="en-GB"/>
              </w:rPr>
              <w:t xml:space="preserve"> in Burkina Faso. </w:t>
            </w:r>
            <w:r w:rsidRPr="000D0A8A">
              <w:rPr>
                <w:rFonts w:cs="Helvetica"/>
                <w:b/>
                <w:color w:val="1D2228"/>
                <w:sz w:val="18"/>
                <w:szCs w:val="18"/>
                <w:lang w:val="en-GB"/>
              </w:rPr>
              <w:t xml:space="preserve">Honey </w:t>
            </w:r>
            <w:r w:rsidRPr="000D0A8A">
              <w:rPr>
                <w:rFonts w:cs="Helvetica"/>
                <w:color w:val="1D2228"/>
                <w:sz w:val="18"/>
                <w:szCs w:val="18"/>
                <w:lang w:val="en-GB"/>
              </w:rPr>
              <w:t xml:space="preserve">production quadrupled between 2007 and 2014, from 55 to 265 tonnes. </w:t>
            </w:r>
            <w:r w:rsidRPr="000D0A8A">
              <w:rPr>
                <w:rFonts w:cs="Helvetica"/>
                <w:sz w:val="18"/>
                <w:szCs w:val="18"/>
                <w:lang w:val="en-GB"/>
              </w:rPr>
              <w:t>The National Union</w:t>
            </w:r>
            <w:r w:rsidRPr="000D0A8A">
              <w:rPr>
                <w:rFonts w:cs="Helvetica"/>
                <w:color w:val="1D2228"/>
                <w:sz w:val="18"/>
                <w:szCs w:val="18"/>
                <w:lang w:val="en-GB"/>
              </w:rPr>
              <w:t xml:space="preserve"> of Beekeepers of Burkina Faso (UNABF), created in 2004, has nearly 7000 members. The honey market includes the large market of traditional ordinary honey and practically found in all food businesses and the thin but very promising quality honey market of registered designation that cannot be satisfied by all producers. There is a high demand for traditional honey at the national level and in the sub-region (Niger, Côte d’Ivoire, Togo, Ghana, and Senegal). The second type of market is essentially European and very demanding in quality. Very few producers master the production requirements of this type of honey. The agroecological farm of </w:t>
            </w:r>
            <w:proofErr w:type="spellStart"/>
            <w:r w:rsidRPr="000D0A8A">
              <w:rPr>
                <w:rFonts w:cs="Helvetica"/>
                <w:color w:val="1D2228"/>
                <w:sz w:val="18"/>
                <w:szCs w:val="18"/>
                <w:lang w:val="en-GB"/>
              </w:rPr>
              <w:t>Niendouga</w:t>
            </w:r>
            <w:proofErr w:type="spellEnd"/>
            <w:r w:rsidRPr="000D0A8A">
              <w:rPr>
                <w:rFonts w:cs="Helvetica"/>
                <w:color w:val="1D2228"/>
                <w:sz w:val="18"/>
                <w:szCs w:val="18"/>
                <w:lang w:val="en-GB"/>
              </w:rPr>
              <w:t xml:space="preserve"> </w:t>
            </w:r>
            <w:proofErr w:type="spellStart"/>
            <w:r w:rsidRPr="000D0A8A">
              <w:rPr>
                <w:rFonts w:cs="Helvetica"/>
                <w:color w:val="1D2228"/>
                <w:sz w:val="18"/>
                <w:szCs w:val="18"/>
                <w:lang w:val="en-GB"/>
              </w:rPr>
              <w:t>Gourma</w:t>
            </w:r>
            <w:proofErr w:type="spellEnd"/>
            <w:r w:rsidRPr="000D0A8A">
              <w:rPr>
                <w:rFonts w:cs="Helvetica"/>
                <w:color w:val="1D2228"/>
                <w:sz w:val="18"/>
                <w:szCs w:val="18"/>
                <w:lang w:val="en-GB"/>
              </w:rPr>
              <w:t xml:space="preserve"> (FAENG), which is the leader in this market in the East, is developing a label of single-flower honey, the most sought after of which are: the honey of </w:t>
            </w:r>
            <w:r w:rsidRPr="000D0A8A">
              <w:rPr>
                <w:rFonts w:cs="Helvetica"/>
                <w:i/>
                <w:color w:val="1D2228"/>
                <w:sz w:val="18"/>
                <w:szCs w:val="18"/>
                <w:lang w:val="en-GB"/>
              </w:rPr>
              <w:t xml:space="preserve">Daniella </w:t>
            </w:r>
            <w:proofErr w:type="spellStart"/>
            <w:r w:rsidRPr="000D0A8A">
              <w:rPr>
                <w:rFonts w:cs="Helvetica"/>
                <w:i/>
                <w:color w:val="1D2228"/>
                <w:sz w:val="18"/>
                <w:szCs w:val="18"/>
                <w:lang w:val="en-GB"/>
              </w:rPr>
              <w:t>oliveri</w:t>
            </w:r>
            <w:proofErr w:type="spellEnd"/>
            <w:r w:rsidRPr="000D0A8A">
              <w:rPr>
                <w:rFonts w:cs="Helvetica"/>
                <w:color w:val="1D2228"/>
                <w:sz w:val="18"/>
                <w:szCs w:val="18"/>
                <w:lang w:val="en-GB"/>
              </w:rPr>
              <w:t>, which is credited with therapeutic virtues, shea-</w:t>
            </w:r>
            <w:proofErr w:type="spellStart"/>
            <w:r w:rsidRPr="000D0A8A">
              <w:rPr>
                <w:rFonts w:cs="Helvetica"/>
                <w:color w:val="1D2228"/>
                <w:sz w:val="18"/>
                <w:szCs w:val="18"/>
                <w:lang w:val="en-GB"/>
              </w:rPr>
              <w:t>N</w:t>
            </w:r>
            <w:r>
              <w:rPr>
                <w:rFonts w:cs="Helvetica"/>
                <w:color w:val="1D2228"/>
                <w:sz w:val="18"/>
                <w:szCs w:val="18"/>
                <w:lang w:val="en-GB"/>
              </w:rPr>
              <w:t>é</w:t>
            </w:r>
            <w:r w:rsidRPr="000D0A8A">
              <w:rPr>
                <w:rFonts w:cs="Helvetica"/>
                <w:color w:val="1D2228"/>
                <w:sz w:val="18"/>
                <w:szCs w:val="18"/>
                <w:lang w:val="en-GB"/>
              </w:rPr>
              <w:t>r</w:t>
            </w:r>
            <w:r>
              <w:rPr>
                <w:rFonts w:cs="Helvetica"/>
                <w:color w:val="1D2228"/>
                <w:sz w:val="18"/>
                <w:szCs w:val="18"/>
                <w:lang w:val="en-GB"/>
              </w:rPr>
              <w:t>é</w:t>
            </w:r>
            <w:proofErr w:type="spellEnd"/>
            <w:r w:rsidRPr="000D0A8A">
              <w:rPr>
                <w:rFonts w:cs="Helvetica"/>
                <w:color w:val="1D2228"/>
                <w:sz w:val="18"/>
                <w:szCs w:val="18"/>
                <w:lang w:val="en-GB"/>
              </w:rPr>
              <w:t xml:space="preserve"> honey very rich in pollen, and Tamarind honey very creamy with strong tamarind scent (PDA, 2006). </w:t>
            </w:r>
            <w:r w:rsidRPr="000D0A8A">
              <w:rPr>
                <w:rFonts w:cs="Helvetica"/>
                <w:sz w:val="18"/>
                <w:szCs w:val="18"/>
                <w:lang w:val="en-GB"/>
              </w:rPr>
              <w:t xml:space="preserve">The advanced experience </w:t>
            </w:r>
            <w:r w:rsidRPr="000D0A8A">
              <w:rPr>
                <w:rFonts w:cs="Helvetica"/>
                <w:color w:val="1D2228"/>
                <w:sz w:val="18"/>
                <w:szCs w:val="18"/>
                <w:lang w:val="en-GB"/>
              </w:rPr>
              <w:t xml:space="preserve">of the NGO Wend </w:t>
            </w:r>
            <w:proofErr w:type="spellStart"/>
            <w:r w:rsidRPr="000D0A8A">
              <w:rPr>
                <w:rFonts w:cs="Helvetica"/>
                <w:color w:val="1D2228"/>
                <w:sz w:val="18"/>
                <w:szCs w:val="18"/>
                <w:lang w:val="en-GB"/>
              </w:rPr>
              <w:t>Puiré</w:t>
            </w:r>
            <w:proofErr w:type="spellEnd"/>
            <w:r w:rsidRPr="000D0A8A">
              <w:rPr>
                <w:rFonts w:cs="Helvetica"/>
                <w:color w:val="1D2228"/>
                <w:sz w:val="18"/>
                <w:szCs w:val="18"/>
                <w:lang w:val="en-GB"/>
              </w:rPr>
              <w:t xml:space="preserve"> based in </w:t>
            </w:r>
            <w:proofErr w:type="spellStart"/>
            <w:r w:rsidRPr="000D0A8A">
              <w:rPr>
                <w:rFonts w:cs="Helvetica"/>
                <w:color w:val="1D2228"/>
                <w:sz w:val="18"/>
                <w:szCs w:val="18"/>
                <w:lang w:val="en-GB"/>
              </w:rPr>
              <w:t>Koudougou</w:t>
            </w:r>
            <w:proofErr w:type="spellEnd"/>
            <w:r w:rsidRPr="000D0A8A">
              <w:rPr>
                <w:rFonts w:cs="Helvetica"/>
                <w:color w:val="1D2228"/>
                <w:sz w:val="18"/>
                <w:szCs w:val="18"/>
                <w:lang w:val="en-GB"/>
              </w:rPr>
              <w:t xml:space="preserve"> on the modern production of single-flower honeys with village groups shows that this market is accessible to community producers like those of PONASI. In the complex of the PONASI landscape area, the honey sector is supported by structures such as Tree Aid, </w:t>
            </w:r>
            <w:proofErr w:type="spellStart"/>
            <w:r w:rsidRPr="000D0A8A">
              <w:rPr>
                <w:rFonts w:cs="Helvetica"/>
                <w:color w:val="1D2228"/>
                <w:sz w:val="18"/>
                <w:szCs w:val="18"/>
                <w:lang w:val="en-GB"/>
              </w:rPr>
              <w:t>Natudev</w:t>
            </w:r>
            <w:proofErr w:type="spellEnd"/>
            <w:r w:rsidRPr="000D0A8A">
              <w:rPr>
                <w:rFonts w:cs="Helvetica"/>
                <w:color w:val="1D2228"/>
                <w:sz w:val="18"/>
                <w:szCs w:val="18"/>
                <w:lang w:val="en-GB"/>
              </w:rPr>
              <w:t xml:space="preserve"> and </w:t>
            </w:r>
            <w:proofErr w:type="spellStart"/>
            <w:r w:rsidRPr="000D0A8A">
              <w:rPr>
                <w:rFonts w:cs="Helvetica"/>
                <w:color w:val="1D2228"/>
                <w:sz w:val="18"/>
                <w:szCs w:val="18"/>
                <w:lang w:val="en-GB"/>
              </w:rPr>
              <w:t>Naturama</w:t>
            </w:r>
            <w:proofErr w:type="spellEnd"/>
            <w:r w:rsidRPr="000D0A8A">
              <w:rPr>
                <w:rFonts w:cs="Helvetica"/>
                <w:color w:val="1D2228"/>
                <w:sz w:val="18"/>
                <w:szCs w:val="18"/>
                <w:lang w:val="en-GB"/>
              </w:rPr>
              <w:t xml:space="preserve">, and is progressively structured. Given the potential for production and marketing, the development of the single-flower honey sector in PONASI will be economically profitable for local stakeholders. It has been identified as a priority </w:t>
            </w:r>
            <w:r>
              <w:rPr>
                <w:rFonts w:cs="Helvetica"/>
                <w:color w:val="1D2228"/>
                <w:sz w:val="18"/>
                <w:szCs w:val="18"/>
                <w:lang w:val="en-GB"/>
              </w:rPr>
              <w:t>value chain</w:t>
            </w:r>
            <w:r w:rsidRPr="000D0A8A">
              <w:rPr>
                <w:rFonts w:cs="Helvetica"/>
                <w:color w:val="1D2228"/>
                <w:sz w:val="18"/>
                <w:szCs w:val="18"/>
                <w:lang w:val="en-GB"/>
              </w:rPr>
              <w:t xml:space="preserve"> in this complex (</w:t>
            </w:r>
            <w:proofErr w:type="spellStart"/>
            <w:r w:rsidRPr="000D0A8A">
              <w:rPr>
                <w:rFonts w:cs="Helvetica"/>
                <w:color w:val="1D2228"/>
                <w:sz w:val="18"/>
                <w:szCs w:val="18"/>
                <w:lang w:val="en-GB"/>
              </w:rPr>
              <w:t>Naturama</w:t>
            </w:r>
            <w:proofErr w:type="spellEnd"/>
            <w:r w:rsidRPr="000D0A8A">
              <w:rPr>
                <w:rFonts w:cs="Helvetica"/>
                <w:color w:val="1D2228"/>
                <w:sz w:val="18"/>
                <w:szCs w:val="18"/>
                <w:lang w:val="en-GB"/>
              </w:rPr>
              <w:t>, 2016).</w:t>
            </w:r>
          </w:p>
          <w:p w14:paraId="6B98E575" w14:textId="77777777" w:rsidR="00302BFE" w:rsidRPr="000D0A8A" w:rsidRDefault="00302BFE" w:rsidP="00243B15">
            <w:pPr>
              <w:pStyle w:val="yiv9464786002msonormal"/>
              <w:shd w:val="clear" w:color="auto" w:fill="FFFFFF"/>
              <w:spacing w:before="120" w:beforeAutospacing="0" w:after="120" w:afterAutospacing="0"/>
              <w:jc w:val="both"/>
              <w:rPr>
                <w:rFonts w:ascii="Calibri" w:hAnsi="Calibri" w:cs="Helvetica"/>
                <w:color w:val="1D2228"/>
                <w:sz w:val="18"/>
                <w:szCs w:val="18"/>
                <w:lang w:val="en-GB"/>
              </w:rPr>
            </w:pPr>
            <w:r w:rsidRPr="000D0A8A">
              <w:rPr>
                <w:rFonts w:ascii="Calibri" w:hAnsi="Calibri" w:cs="Helvetica"/>
                <w:color w:val="1D2228"/>
                <w:sz w:val="18"/>
                <w:szCs w:val="18"/>
                <w:lang w:val="en-GB"/>
              </w:rPr>
              <w:t xml:space="preserve">The </w:t>
            </w:r>
            <w:r w:rsidRPr="000D0A8A">
              <w:rPr>
                <w:rFonts w:ascii="Calibri" w:hAnsi="Calibri" w:cs="Helvetica"/>
                <w:b/>
                <w:color w:val="1D2228"/>
                <w:sz w:val="18"/>
                <w:szCs w:val="18"/>
                <w:lang w:val="en-GB"/>
              </w:rPr>
              <w:t xml:space="preserve">shea </w:t>
            </w:r>
            <w:r w:rsidRPr="000D0A8A">
              <w:rPr>
                <w:rFonts w:ascii="Calibri" w:hAnsi="Calibri" w:cs="Helvetica"/>
                <w:color w:val="1D2228"/>
                <w:sz w:val="18"/>
                <w:szCs w:val="18"/>
                <w:lang w:val="en-GB"/>
              </w:rPr>
              <w:t xml:space="preserve">tree, </w:t>
            </w:r>
            <w:r w:rsidRPr="000D0A8A">
              <w:rPr>
                <w:rFonts w:ascii="Calibri" w:hAnsi="Calibri" w:cs="Helvetica"/>
                <w:i/>
                <w:color w:val="1D2228"/>
                <w:sz w:val="18"/>
                <w:szCs w:val="18"/>
                <w:lang w:val="en-GB"/>
              </w:rPr>
              <w:t xml:space="preserve">Vitellaria </w:t>
            </w:r>
            <w:proofErr w:type="spellStart"/>
            <w:r w:rsidRPr="000D0A8A">
              <w:rPr>
                <w:rFonts w:ascii="Calibri" w:hAnsi="Calibri" w:cs="Helvetica"/>
                <w:i/>
                <w:color w:val="1D2228"/>
                <w:sz w:val="18"/>
                <w:szCs w:val="18"/>
                <w:lang w:val="en-GB"/>
              </w:rPr>
              <w:t>paradoxa</w:t>
            </w:r>
            <w:proofErr w:type="spellEnd"/>
            <w:r w:rsidRPr="000D0A8A">
              <w:rPr>
                <w:rFonts w:ascii="Calibri" w:hAnsi="Calibri" w:cs="Helvetica"/>
                <w:color w:val="1D2228"/>
                <w:sz w:val="18"/>
                <w:szCs w:val="18"/>
                <w:lang w:val="en-GB"/>
              </w:rPr>
              <w:t xml:space="preserve">, is present in the landscape area of the PONASI complex and its nuts are mainly collected and marketed by women. Income from the sale of nuts helps to secure households that depend mainly on subsistence farming. The production of shea butter, which is small-scale and artisanal production, is also a source of income for households, albeit small. The industrialization of the processing of shea almonds into butter outside the country has </w:t>
            </w:r>
            <w:proofErr w:type="spellStart"/>
            <w:r w:rsidRPr="000D0A8A">
              <w:rPr>
                <w:rFonts w:ascii="Calibri" w:hAnsi="Calibri" w:cs="Helvetica"/>
                <w:color w:val="1D2228"/>
                <w:sz w:val="18"/>
                <w:szCs w:val="18"/>
                <w:lang w:val="en-GB"/>
              </w:rPr>
              <w:t>favored</w:t>
            </w:r>
            <w:proofErr w:type="spellEnd"/>
            <w:r w:rsidRPr="000D0A8A">
              <w:rPr>
                <w:rFonts w:ascii="Calibri" w:hAnsi="Calibri" w:cs="Helvetica"/>
                <w:color w:val="1D2228"/>
                <w:sz w:val="18"/>
                <w:szCs w:val="18"/>
                <w:lang w:val="en-GB"/>
              </w:rPr>
              <w:t xml:space="preserve"> the export of raw almonds, limiting the added value of processing to foreign industry and exporters, while women collectors are subject to fluctuations in market prices. In view of the available potential and the ever-increasing national and international demand, the transformation of almonds into shea butter in PONASI remains a preferable solution to create added value, </w:t>
            </w:r>
            <w:proofErr w:type="gramStart"/>
            <w:r w:rsidRPr="000D0A8A">
              <w:rPr>
                <w:rFonts w:ascii="Calibri" w:hAnsi="Calibri" w:cs="Helvetica"/>
                <w:color w:val="1D2228"/>
                <w:sz w:val="18"/>
                <w:szCs w:val="18"/>
                <w:lang w:val="en-GB"/>
              </w:rPr>
              <w:t>employment</w:t>
            </w:r>
            <w:proofErr w:type="gramEnd"/>
            <w:r w:rsidRPr="000D0A8A">
              <w:rPr>
                <w:rFonts w:ascii="Calibri" w:hAnsi="Calibri" w:cs="Helvetica"/>
                <w:color w:val="1D2228"/>
                <w:sz w:val="18"/>
                <w:szCs w:val="18"/>
                <w:lang w:val="en-GB"/>
              </w:rPr>
              <w:t xml:space="preserve"> and substantial income for the communities adjacent to the protected areas. To increase added value, butter production will target organic and fair market niches in high demand in the international market. To achieve this, butter production must be competitive with industrial processing. However, artisanal production as it is currently practiced lacks equipment and know-how to be economically competitive.</w:t>
            </w:r>
          </w:p>
          <w:p w14:paraId="63A7AA58" w14:textId="77777777" w:rsidR="00302BFE" w:rsidRPr="000D0A8A" w:rsidRDefault="00302BFE" w:rsidP="00243B15">
            <w:pPr>
              <w:spacing w:before="120" w:after="120"/>
              <w:rPr>
                <w:sz w:val="18"/>
                <w:szCs w:val="18"/>
                <w:lang w:val="en-GB"/>
              </w:rPr>
            </w:pPr>
            <w:r w:rsidRPr="000D0A8A">
              <w:rPr>
                <w:sz w:val="18"/>
                <w:szCs w:val="18"/>
                <w:lang w:val="en-GB"/>
              </w:rPr>
              <w:t>The profitable production of organic and / or fair shea butter by women's groups in Burkina Faso is well known on the international scene. For example, (i) the Shea Butter Producers Network of the Hauts-</w:t>
            </w:r>
            <w:proofErr w:type="spellStart"/>
            <w:r w:rsidRPr="000D0A8A">
              <w:rPr>
                <w:sz w:val="18"/>
                <w:szCs w:val="18"/>
                <w:lang w:val="en-GB"/>
              </w:rPr>
              <w:t>Bassins</w:t>
            </w:r>
            <w:proofErr w:type="spellEnd"/>
            <w:r w:rsidRPr="000D0A8A">
              <w:rPr>
                <w:sz w:val="18"/>
                <w:szCs w:val="18"/>
                <w:lang w:val="en-GB"/>
              </w:rPr>
              <w:t xml:space="preserve"> and Cascades - which has 255 groups and 9,350 members, 96% of whom are women - produces and delivers hundreds of tonnes of organic and conventional shea butter annually at national and international levels; (ii) The Union of Production and Shea Products Groups  of </w:t>
            </w:r>
            <w:proofErr w:type="spellStart"/>
            <w:r w:rsidRPr="000D0A8A">
              <w:rPr>
                <w:sz w:val="18"/>
                <w:szCs w:val="18"/>
                <w:lang w:val="en-GB"/>
              </w:rPr>
              <w:t>Houet</w:t>
            </w:r>
            <w:proofErr w:type="spellEnd"/>
            <w:r w:rsidRPr="000D0A8A">
              <w:rPr>
                <w:sz w:val="18"/>
                <w:szCs w:val="18"/>
                <w:lang w:val="en-GB"/>
              </w:rPr>
              <w:t xml:space="preserve"> - which has 46 groups and more than 4,400 members from 23 villages - produces and exports conventional, fair, organic and fair butter to China, Taiwan, India, France, Canada and the United States; other successful community organizations producing shea butter under different labels such as the </w:t>
            </w:r>
            <w:proofErr w:type="spellStart"/>
            <w:r w:rsidRPr="000D0A8A">
              <w:rPr>
                <w:sz w:val="18"/>
                <w:szCs w:val="18"/>
                <w:lang w:val="en-GB"/>
              </w:rPr>
              <w:t>Nununa</w:t>
            </w:r>
            <w:proofErr w:type="spellEnd"/>
            <w:r w:rsidRPr="000D0A8A">
              <w:rPr>
                <w:sz w:val="18"/>
                <w:szCs w:val="18"/>
                <w:lang w:val="en-GB"/>
              </w:rPr>
              <w:t xml:space="preserve"> federation in </w:t>
            </w:r>
            <w:proofErr w:type="spellStart"/>
            <w:r w:rsidRPr="000D0A8A">
              <w:rPr>
                <w:sz w:val="18"/>
                <w:szCs w:val="18"/>
                <w:lang w:val="en-GB"/>
              </w:rPr>
              <w:t>Sissili</w:t>
            </w:r>
            <w:proofErr w:type="spellEnd"/>
            <w:r w:rsidRPr="000D0A8A">
              <w:rPr>
                <w:sz w:val="18"/>
                <w:szCs w:val="18"/>
                <w:lang w:val="en-GB"/>
              </w:rPr>
              <w:t xml:space="preserve">, the federation "Woman get up and walk" in the South-West, the </w:t>
            </w:r>
            <w:proofErr w:type="spellStart"/>
            <w:r w:rsidRPr="000D0A8A">
              <w:rPr>
                <w:sz w:val="18"/>
                <w:szCs w:val="18"/>
                <w:lang w:val="en-GB"/>
              </w:rPr>
              <w:t>Ragussi</w:t>
            </w:r>
            <w:proofErr w:type="spellEnd"/>
            <w:r w:rsidRPr="000D0A8A">
              <w:rPr>
                <w:sz w:val="18"/>
                <w:szCs w:val="18"/>
                <w:lang w:val="en-GB"/>
              </w:rPr>
              <w:t xml:space="preserve"> association in Ouagadougou were supported by organizations such as the </w:t>
            </w:r>
            <w:proofErr w:type="spellStart"/>
            <w:r w:rsidRPr="000D0A8A">
              <w:rPr>
                <w:sz w:val="18"/>
                <w:szCs w:val="18"/>
                <w:lang w:val="en-GB"/>
              </w:rPr>
              <w:t>Fondation</w:t>
            </w:r>
            <w:proofErr w:type="spellEnd"/>
            <w:r w:rsidRPr="000D0A8A">
              <w:rPr>
                <w:sz w:val="18"/>
                <w:szCs w:val="18"/>
                <w:lang w:val="en-GB"/>
              </w:rPr>
              <w:t xml:space="preserve"> </w:t>
            </w:r>
            <w:proofErr w:type="spellStart"/>
            <w:r w:rsidRPr="000D0A8A">
              <w:rPr>
                <w:sz w:val="18"/>
                <w:szCs w:val="18"/>
                <w:lang w:val="en-GB"/>
              </w:rPr>
              <w:t>Occitane</w:t>
            </w:r>
            <w:proofErr w:type="spellEnd"/>
            <w:r w:rsidRPr="000D0A8A">
              <w:rPr>
                <w:sz w:val="18"/>
                <w:szCs w:val="18"/>
                <w:lang w:val="en-GB"/>
              </w:rPr>
              <w:t xml:space="preserve"> (France), the Canadian </w:t>
            </w:r>
            <w:proofErr w:type="spellStart"/>
            <w:r w:rsidRPr="000D0A8A">
              <w:rPr>
                <w:sz w:val="18"/>
                <w:szCs w:val="18"/>
                <w:lang w:val="en-GB"/>
              </w:rPr>
              <w:t>Center</w:t>
            </w:r>
            <w:proofErr w:type="spellEnd"/>
            <w:r w:rsidRPr="000D0A8A">
              <w:rPr>
                <w:sz w:val="18"/>
                <w:szCs w:val="18"/>
                <w:lang w:val="en-GB"/>
              </w:rPr>
              <w:t xml:space="preserve"> for International Studies and Cooperation (CECI), Tree Aid Burkina, </w:t>
            </w:r>
            <w:proofErr w:type="spellStart"/>
            <w:r w:rsidRPr="000D0A8A">
              <w:rPr>
                <w:sz w:val="18"/>
                <w:szCs w:val="18"/>
                <w:lang w:val="en-GB"/>
              </w:rPr>
              <w:t>Olvéa</w:t>
            </w:r>
            <w:proofErr w:type="spellEnd"/>
            <w:r w:rsidRPr="000D0A8A">
              <w:rPr>
                <w:sz w:val="18"/>
                <w:szCs w:val="18"/>
                <w:lang w:val="en-GB"/>
              </w:rPr>
              <w:t xml:space="preserve"> (France), providing technical and financial support.</w:t>
            </w:r>
          </w:p>
          <w:p w14:paraId="323EE117" w14:textId="77777777" w:rsidR="00302BFE" w:rsidRPr="000D0A8A" w:rsidRDefault="00302BFE" w:rsidP="00243B15">
            <w:pPr>
              <w:pStyle w:val="yiv9464786002msonormal"/>
              <w:shd w:val="clear" w:color="auto" w:fill="FFFFFF"/>
              <w:spacing w:before="120" w:beforeAutospacing="0" w:after="120" w:afterAutospacing="0"/>
              <w:jc w:val="both"/>
              <w:rPr>
                <w:rFonts w:ascii="Calibri" w:hAnsi="Calibri" w:cs="Helvetica"/>
                <w:color w:val="1D2228"/>
                <w:sz w:val="18"/>
                <w:szCs w:val="18"/>
                <w:lang w:val="en-GB"/>
              </w:rPr>
            </w:pPr>
            <w:r w:rsidRPr="000D0A8A">
              <w:rPr>
                <w:rFonts w:ascii="Calibri" w:hAnsi="Calibri" w:cs="Helvetica"/>
                <w:sz w:val="18"/>
                <w:szCs w:val="18"/>
                <w:lang w:val="en-GB"/>
              </w:rPr>
              <w:t xml:space="preserve">To improve </w:t>
            </w:r>
            <w:r w:rsidRPr="000D0A8A">
              <w:rPr>
                <w:rFonts w:ascii="Calibri" w:hAnsi="Calibri" w:cs="Helvetica"/>
                <w:color w:val="1D2228"/>
                <w:sz w:val="18"/>
                <w:szCs w:val="18"/>
                <w:lang w:val="en-GB"/>
              </w:rPr>
              <w:t xml:space="preserve">the competitiveness of the processing of shea nuts, the project's support will focus on a technological innovation that will reduce investment in labour and natural resources by shea butter processors (price and handling of wood, time of </w:t>
            </w:r>
            <w:proofErr w:type="spellStart"/>
            <w:r w:rsidRPr="000D0A8A">
              <w:rPr>
                <w:rFonts w:ascii="Calibri" w:hAnsi="Calibri" w:cs="Helvetica"/>
                <w:color w:val="1D2228"/>
                <w:sz w:val="18"/>
                <w:szCs w:val="18"/>
                <w:lang w:val="en-GB"/>
              </w:rPr>
              <w:t>labor</w:t>
            </w:r>
            <w:proofErr w:type="spellEnd"/>
            <w:r w:rsidRPr="000D0A8A">
              <w:rPr>
                <w:rFonts w:ascii="Calibri" w:hAnsi="Calibri" w:cs="Helvetica"/>
                <w:color w:val="1D2228"/>
                <w:sz w:val="18"/>
                <w:szCs w:val="18"/>
                <w:lang w:val="en-GB"/>
              </w:rPr>
              <w:t xml:space="preserve"> increased due to poorly performing cooking stoves) and have a direct impact on the cost of production, the health of women workers (high smoke production) and environmental sustainability (deforestation, greenhouse gas production). The pots usually used will be replaced by an innovative technology: a H2CP pyrolysis furnace, a biomass boiler that uses churning muds and shea shells as energy source, </w:t>
            </w:r>
            <w:proofErr w:type="gramStart"/>
            <w:r w:rsidRPr="000D0A8A">
              <w:rPr>
                <w:rFonts w:ascii="Calibri" w:hAnsi="Calibri" w:cs="Helvetica"/>
                <w:color w:val="1D2228"/>
                <w:sz w:val="18"/>
                <w:szCs w:val="18"/>
                <w:lang w:val="en-GB"/>
              </w:rPr>
              <w:t>tanks</w:t>
            </w:r>
            <w:proofErr w:type="gramEnd"/>
            <w:r w:rsidRPr="000D0A8A">
              <w:rPr>
                <w:rFonts w:ascii="Calibri" w:hAnsi="Calibri" w:cs="Helvetica"/>
                <w:color w:val="1D2228"/>
                <w:sz w:val="18"/>
                <w:szCs w:val="18"/>
                <w:lang w:val="en-GB"/>
              </w:rPr>
              <w:t xml:space="preserve"> and a steam system. The stages of cooking shea butter (hot washing and dehydration) use only fuel </w:t>
            </w:r>
            <w:proofErr w:type="spellStart"/>
            <w:r w:rsidRPr="000D0A8A">
              <w:rPr>
                <w:rFonts w:ascii="Calibri" w:hAnsi="Calibri" w:cs="Helvetica"/>
                <w:color w:val="1D2228"/>
                <w:sz w:val="18"/>
                <w:szCs w:val="18"/>
                <w:lang w:val="en-GB"/>
              </w:rPr>
              <w:t>sheancake</w:t>
            </w:r>
            <w:proofErr w:type="spellEnd"/>
            <w:r w:rsidRPr="000D0A8A">
              <w:rPr>
                <w:rFonts w:ascii="Calibri" w:hAnsi="Calibri" w:cs="Helvetica"/>
                <w:color w:val="1D2228"/>
                <w:sz w:val="18"/>
                <w:szCs w:val="18"/>
                <w:lang w:val="en-GB"/>
              </w:rPr>
              <w:t xml:space="preserve"> (residue of the transformation). The </w:t>
            </w:r>
            <w:proofErr w:type="spellStart"/>
            <w:r w:rsidRPr="000D0A8A">
              <w:rPr>
                <w:rFonts w:ascii="Calibri" w:hAnsi="Calibri" w:cs="Helvetica"/>
                <w:color w:val="1D2228"/>
                <w:sz w:val="18"/>
                <w:szCs w:val="18"/>
                <w:lang w:val="en-GB"/>
              </w:rPr>
              <w:t>Nununa</w:t>
            </w:r>
            <w:proofErr w:type="spellEnd"/>
            <w:r w:rsidRPr="000D0A8A">
              <w:rPr>
                <w:rFonts w:ascii="Calibri" w:hAnsi="Calibri" w:cs="Helvetica"/>
                <w:color w:val="1D2228"/>
                <w:sz w:val="18"/>
                <w:szCs w:val="18"/>
                <w:lang w:val="en-GB"/>
              </w:rPr>
              <w:t xml:space="preserve"> Federation has this technology thanks to the support of CECI. It is proposed that butter production units be set up in the two main areas of shea stands such as Corridors </w:t>
            </w:r>
            <w:r>
              <w:rPr>
                <w:rFonts w:ascii="Calibri" w:hAnsi="Calibri" w:cs="Helvetica"/>
                <w:color w:val="1D2228"/>
                <w:sz w:val="18"/>
                <w:szCs w:val="18"/>
                <w:lang w:val="en-GB"/>
              </w:rPr>
              <w:t>#</w:t>
            </w:r>
            <w:r w:rsidRPr="000D0A8A">
              <w:rPr>
                <w:rFonts w:ascii="Calibri" w:hAnsi="Calibri" w:cs="Helvetica"/>
                <w:color w:val="1D2228"/>
                <w:sz w:val="18"/>
                <w:szCs w:val="18"/>
                <w:lang w:val="en-GB"/>
              </w:rPr>
              <w:t xml:space="preserve">1 and </w:t>
            </w:r>
            <w:r>
              <w:rPr>
                <w:rFonts w:ascii="Calibri" w:hAnsi="Calibri" w:cs="Helvetica"/>
                <w:color w:val="1D2228"/>
                <w:sz w:val="18"/>
                <w:szCs w:val="18"/>
                <w:lang w:val="en-GB"/>
              </w:rPr>
              <w:t>#</w:t>
            </w:r>
            <w:r w:rsidRPr="000D0A8A">
              <w:rPr>
                <w:rFonts w:ascii="Calibri" w:hAnsi="Calibri" w:cs="Helvetica"/>
                <w:color w:val="1D2228"/>
                <w:sz w:val="18"/>
                <w:szCs w:val="18"/>
                <w:lang w:val="en-GB"/>
              </w:rPr>
              <w:t>2. Indeed, up to 01 km deep, it is possible to negotiate production that can be certified organic. In the other communes, village forests with high production potential can be identified and certified. The almonds from these certified areas will be used to feed the two units that will be installed in the communes of corridors #1 and #2.</w:t>
            </w:r>
          </w:p>
          <w:p w14:paraId="314DF125" w14:textId="77777777" w:rsidR="00302BFE" w:rsidRPr="000D0A8A" w:rsidRDefault="00302BFE" w:rsidP="00243B15">
            <w:pPr>
              <w:tabs>
                <w:tab w:val="left" w:pos="935"/>
              </w:tabs>
              <w:spacing w:before="120" w:after="120"/>
              <w:rPr>
                <w:sz w:val="18"/>
                <w:szCs w:val="18"/>
                <w:lang w:val="en-GB"/>
              </w:rPr>
            </w:pPr>
            <w:r w:rsidRPr="000D0A8A">
              <w:rPr>
                <w:sz w:val="18"/>
                <w:szCs w:val="18"/>
                <w:lang w:val="en-GB"/>
              </w:rPr>
              <w:t xml:space="preserve">The processing of </w:t>
            </w:r>
            <w:proofErr w:type="spellStart"/>
            <w:r w:rsidRPr="000D0A8A">
              <w:rPr>
                <w:b/>
                <w:sz w:val="18"/>
                <w:szCs w:val="18"/>
                <w:lang w:val="en-CA"/>
              </w:rPr>
              <w:t>goïne</w:t>
            </w:r>
            <w:proofErr w:type="spellEnd"/>
            <w:r w:rsidRPr="000D0A8A">
              <w:rPr>
                <w:sz w:val="18"/>
                <w:szCs w:val="18"/>
                <w:lang w:val="en-GB"/>
              </w:rPr>
              <w:t xml:space="preserve"> liana fruits (</w:t>
            </w:r>
            <w:r w:rsidRPr="000D0A8A">
              <w:rPr>
                <w:i/>
                <w:sz w:val="18"/>
                <w:szCs w:val="18"/>
                <w:lang w:val="en-GB"/>
              </w:rPr>
              <w:t>Saba senegalensis</w:t>
            </w:r>
            <w:r w:rsidRPr="000D0A8A">
              <w:rPr>
                <w:sz w:val="18"/>
                <w:szCs w:val="18"/>
                <w:lang w:val="en-GB"/>
              </w:rPr>
              <w:t xml:space="preserve">) is one of the priority </w:t>
            </w:r>
            <w:r>
              <w:rPr>
                <w:sz w:val="18"/>
                <w:szCs w:val="18"/>
                <w:lang w:val="en-GB"/>
              </w:rPr>
              <w:t>value chains</w:t>
            </w:r>
            <w:r w:rsidRPr="000D0A8A">
              <w:rPr>
                <w:sz w:val="18"/>
                <w:szCs w:val="18"/>
                <w:lang w:val="en-GB"/>
              </w:rPr>
              <w:t xml:space="preserve"> in the PONASI complex, despite the absence of statistics. While fruits can be processed into juice, wine, </w:t>
            </w:r>
            <w:proofErr w:type="gramStart"/>
            <w:r w:rsidRPr="000D0A8A">
              <w:rPr>
                <w:sz w:val="18"/>
                <w:szCs w:val="18"/>
                <w:lang w:val="en-GB"/>
              </w:rPr>
              <w:t>syrup</w:t>
            </w:r>
            <w:proofErr w:type="gramEnd"/>
            <w:r w:rsidRPr="000D0A8A">
              <w:rPr>
                <w:sz w:val="18"/>
                <w:szCs w:val="18"/>
                <w:lang w:val="en-GB"/>
              </w:rPr>
              <w:t xml:space="preserve"> and jam, they are only sold in their raw state and at a very low price. Although </w:t>
            </w:r>
            <w:r w:rsidRPr="000D0A8A">
              <w:rPr>
                <w:sz w:val="18"/>
                <w:szCs w:val="18"/>
                <w:lang w:val="en-GB"/>
              </w:rPr>
              <w:lastRenderedPageBreak/>
              <w:t xml:space="preserve">the production of </w:t>
            </w:r>
            <w:proofErr w:type="spellStart"/>
            <w:r>
              <w:rPr>
                <w:sz w:val="18"/>
                <w:szCs w:val="18"/>
                <w:lang w:val="en-GB"/>
              </w:rPr>
              <w:t>g</w:t>
            </w:r>
            <w:r w:rsidRPr="000D0A8A">
              <w:rPr>
                <w:sz w:val="18"/>
                <w:szCs w:val="18"/>
                <w:lang w:val="en-GB"/>
              </w:rPr>
              <w:t>oine</w:t>
            </w:r>
            <w:proofErr w:type="spellEnd"/>
            <w:r w:rsidRPr="000D0A8A">
              <w:rPr>
                <w:sz w:val="18"/>
                <w:szCs w:val="18"/>
                <w:lang w:val="en-GB"/>
              </w:rPr>
              <w:t xml:space="preserve"> liana fruits is important, the income from its commercialization represents only 2.2% of the income from the commercialization of NTFPs in the PONASI complex (</w:t>
            </w:r>
            <w:proofErr w:type="spellStart"/>
            <w:r w:rsidRPr="000D0A8A">
              <w:rPr>
                <w:sz w:val="18"/>
                <w:szCs w:val="18"/>
                <w:lang w:val="en-GB"/>
              </w:rPr>
              <w:t>Naturama</w:t>
            </w:r>
            <w:proofErr w:type="spellEnd"/>
            <w:r w:rsidRPr="000D0A8A">
              <w:rPr>
                <w:sz w:val="18"/>
                <w:szCs w:val="18"/>
                <w:lang w:val="en-GB"/>
              </w:rPr>
              <w:t xml:space="preserve">, 2016). A bag of about 43 Kg is sold at US$ 3 in the local market. In the Boucle du </w:t>
            </w:r>
            <w:proofErr w:type="spellStart"/>
            <w:r w:rsidRPr="000D0A8A">
              <w:rPr>
                <w:sz w:val="18"/>
                <w:szCs w:val="18"/>
                <w:lang w:val="en-GB"/>
              </w:rPr>
              <w:t>Mouhoun</w:t>
            </w:r>
            <w:proofErr w:type="spellEnd"/>
            <w:r w:rsidRPr="000D0A8A">
              <w:rPr>
                <w:sz w:val="18"/>
                <w:szCs w:val="18"/>
                <w:lang w:val="en-GB"/>
              </w:rPr>
              <w:t xml:space="preserve"> and Cascades regions, this amount processed into juice can yield up to US$ 57, which shows that, in the absence of fruit processing, the fruit collectors miss substantial added value and income. In the context of a growing demand at the national and sub-regional level (Mali, Ivory Coast, Ghana) for </w:t>
            </w:r>
            <w:proofErr w:type="spellStart"/>
            <w:r w:rsidRPr="000D0A8A">
              <w:rPr>
                <w:sz w:val="18"/>
                <w:szCs w:val="18"/>
                <w:lang w:val="en-GB"/>
              </w:rPr>
              <w:t>goine</w:t>
            </w:r>
            <w:proofErr w:type="spellEnd"/>
            <w:r w:rsidRPr="000D0A8A">
              <w:rPr>
                <w:sz w:val="18"/>
                <w:szCs w:val="18"/>
                <w:lang w:val="en-GB"/>
              </w:rPr>
              <w:t xml:space="preserve"> liana fruit juice, the project will support the development of this </w:t>
            </w:r>
            <w:r>
              <w:rPr>
                <w:sz w:val="18"/>
                <w:szCs w:val="18"/>
                <w:lang w:val="en-GB"/>
              </w:rPr>
              <w:t>value chain</w:t>
            </w:r>
            <w:r w:rsidRPr="000D0A8A">
              <w:rPr>
                <w:sz w:val="18"/>
                <w:szCs w:val="18"/>
                <w:lang w:val="en-GB"/>
              </w:rPr>
              <w:t xml:space="preserve"> to contribute to increasing women's incomes in the PONASI landscape through the establishment of a cooperative of producers in the commune of </w:t>
            </w:r>
            <w:proofErr w:type="spellStart"/>
            <w:r w:rsidRPr="000D0A8A">
              <w:rPr>
                <w:sz w:val="18"/>
                <w:szCs w:val="18"/>
                <w:lang w:val="en-GB"/>
              </w:rPr>
              <w:t>Nobéré</w:t>
            </w:r>
            <w:proofErr w:type="spellEnd"/>
            <w:r w:rsidRPr="000D0A8A">
              <w:rPr>
                <w:sz w:val="18"/>
                <w:szCs w:val="18"/>
                <w:lang w:val="en-GB"/>
              </w:rPr>
              <w:t xml:space="preserve"> whose potential for production of </w:t>
            </w:r>
            <w:proofErr w:type="spellStart"/>
            <w:r w:rsidRPr="000D0A8A">
              <w:rPr>
                <w:sz w:val="18"/>
                <w:szCs w:val="18"/>
                <w:lang w:val="en-GB"/>
              </w:rPr>
              <w:t>goine</w:t>
            </w:r>
            <w:proofErr w:type="spellEnd"/>
            <w:r w:rsidRPr="000D0A8A">
              <w:rPr>
                <w:sz w:val="18"/>
                <w:szCs w:val="18"/>
                <w:lang w:val="en-GB"/>
              </w:rPr>
              <w:t xml:space="preserve"> liana is important.</w:t>
            </w:r>
          </w:p>
        </w:tc>
      </w:tr>
    </w:tbl>
    <w:p w14:paraId="38E6E83B" w14:textId="77777777" w:rsidR="00302BFE" w:rsidRPr="00CD33A5" w:rsidRDefault="00302BFE" w:rsidP="00302BFE">
      <w:pPr>
        <w:pStyle w:val="Paragraphedeliste"/>
        <w:tabs>
          <w:tab w:val="left" w:pos="284"/>
        </w:tabs>
        <w:spacing w:before="120" w:after="120"/>
        <w:ind w:left="0"/>
        <w:jc w:val="both"/>
        <w:rPr>
          <w:rFonts w:ascii="Calibri" w:hAnsi="Calibri"/>
          <w:color w:val="4472C4"/>
          <w:sz w:val="20"/>
          <w:szCs w:val="20"/>
          <w:lang w:val="en-GB"/>
        </w:rPr>
      </w:pPr>
      <w:r w:rsidRPr="00CD33A5">
        <w:rPr>
          <w:rFonts w:ascii="Calibri" w:hAnsi="Calibri"/>
          <w:i/>
          <w:color w:val="4472C4"/>
          <w:sz w:val="20"/>
          <w:szCs w:val="20"/>
          <w:lang w:val="en-GB"/>
        </w:rPr>
        <w:lastRenderedPageBreak/>
        <w:t>3.3.1 Market studies for the three non-</w:t>
      </w:r>
      <w:r>
        <w:rPr>
          <w:rFonts w:ascii="Calibri" w:hAnsi="Calibri"/>
          <w:i/>
          <w:color w:val="4472C4"/>
          <w:sz w:val="20"/>
          <w:szCs w:val="20"/>
          <w:lang w:val="en-GB"/>
        </w:rPr>
        <w:t>timber</w:t>
      </w:r>
      <w:r w:rsidRPr="00CD33A5">
        <w:rPr>
          <w:rFonts w:ascii="Calibri" w:hAnsi="Calibri"/>
          <w:i/>
          <w:color w:val="4472C4"/>
          <w:sz w:val="20"/>
          <w:szCs w:val="20"/>
          <w:lang w:val="en-GB"/>
        </w:rPr>
        <w:t xml:space="preserve"> forest products </w:t>
      </w:r>
      <w:r>
        <w:rPr>
          <w:rFonts w:ascii="Calibri" w:hAnsi="Calibri"/>
          <w:i/>
          <w:color w:val="4472C4"/>
          <w:sz w:val="20"/>
          <w:szCs w:val="20"/>
          <w:lang w:val="en-GB"/>
        </w:rPr>
        <w:t>value chains</w:t>
      </w:r>
    </w:p>
    <w:p w14:paraId="0D67E87E" w14:textId="77777777" w:rsidR="00302BFE" w:rsidRPr="00CD33A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CD33A5">
        <w:rPr>
          <w:rFonts w:ascii="Calibri" w:hAnsi="Calibri"/>
          <w:sz w:val="20"/>
          <w:szCs w:val="20"/>
          <w:lang w:val="en-GB"/>
        </w:rPr>
        <w:t xml:space="preserve">Market research for each product </w:t>
      </w:r>
      <w:r>
        <w:rPr>
          <w:rFonts w:ascii="Calibri" w:hAnsi="Calibri"/>
          <w:sz w:val="20"/>
          <w:szCs w:val="20"/>
          <w:lang w:val="en-GB"/>
        </w:rPr>
        <w:t>will be</w:t>
      </w:r>
      <w:r w:rsidRPr="00CD33A5">
        <w:rPr>
          <w:rFonts w:ascii="Calibri" w:hAnsi="Calibri"/>
          <w:sz w:val="20"/>
          <w:szCs w:val="20"/>
          <w:lang w:val="en-GB"/>
        </w:rPr>
        <w:t xml:space="preserve"> conducted to reduce uncertainties and risks and to know the chances of success before generating hope and engaging local communities. These market studies will have to be based on existing and recent data, supplemented as necessary by the search for additional information in the field. Studies should focus at a minimum on the analysis of supply for these products throughout the PONASI landscape and in the rest of the country, and the analysis of demand by a market study at national, sub</w:t>
      </w:r>
      <w:r>
        <w:rPr>
          <w:rFonts w:ascii="Calibri" w:hAnsi="Calibri"/>
          <w:sz w:val="20"/>
          <w:szCs w:val="20"/>
          <w:lang w:val="en-GB"/>
        </w:rPr>
        <w:t>-</w:t>
      </w:r>
      <w:r w:rsidRPr="00CD33A5">
        <w:rPr>
          <w:rFonts w:ascii="Calibri" w:hAnsi="Calibri"/>
          <w:sz w:val="20"/>
          <w:szCs w:val="20"/>
          <w:lang w:val="en-GB"/>
        </w:rPr>
        <w:t xml:space="preserve">regional (Mali, Ivory Coast, Ghana, Niger, Togo, Senegal) </w:t>
      </w:r>
      <w:r>
        <w:rPr>
          <w:rFonts w:ascii="Calibri" w:hAnsi="Calibri"/>
          <w:sz w:val="20"/>
          <w:szCs w:val="20"/>
          <w:lang w:val="en-GB"/>
        </w:rPr>
        <w:t xml:space="preserve">levels </w:t>
      </w:r>
      <w:r w:rsidRPr="00CD33A5">
        <w:rPr>
          <w:rFonts w:ascii="Calibri" w:hAnsi="Calibri"/>
          <w:sz w:val="20"/>
          <w:szCs w:val="20"/>
          <w:lang w:val="en-GB"/>
        </w:rPr>
        <w:t xml:space="preserve">for </w:t>
      </w:r>
      <w:proofErr w:type="spellStart"/>
      <w:r>
        <w:rPr>
          <w:rFonts w:ascii="Calibri" w:hAnsi="Calibri"/>
          <w:sz w:val="20"/>
          <w:szCs w:val="20"/>
          <w:lang w:val="en-GB"/>
        </w:rPr>
        <w:t>goine</w:t>
      </w:r>
      <w:proofErr w:type="spellEnd"/>
      <w:r>
        <w:rPr>
          <w:rFonts w:ascii="Calibri" w:hAnsi="Calibri"/>
          <w:sz w:val="20"/>
          <w:szCs w:val="20"/>
          <w:lang w:val="en-GB"/>
        </w:rPr>
        <w:t xml:space="preserve"> </w:t>
      </w:r>
      <w:r w:rsidRPr="00CD33A5">
        <w:rPr>
          <w:rFonts w:ascii="Calibri" w:hAnsi="Calibri"/>
          <w:sz w:val="20"/>
          <w:szCs w:val="20"/>
          <w:lang w:val="en-GB"/>
        </w:rPr>
        <w:t>liana juice and honey) and international (for organic shea butter).</w:t>
      </w:r>
    </w:p>
    <w:p w14:paraId="664EE112" w14:textId="18AA2489" w:rsidR="00302BFE"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CD33A5">
        <w:rPr>
          <w:rFonts w:ascii="Calibri" w:hAnsi="Calibri"/>
          <w:i/>
          <w:color w:val="4472C4"/>
          <w:sz w:val="20"/>
          <w:szCs w:val="20"/>
          <w:lang w:val="en-GB"/>
        </w:rPr>
        <w:t xml:space="preserve">3.3.2 Identification of priority beneficiaries </w:t>
      </w:r>
    </w:p>
    <w:p w14:paraId="52486A5E" w14:textId="1DAF04C3" w:rsidR="00047338" w:rsidRPr="00B9357E" w:rsidRDefault="00047338" w:rsidP="00BE65D5">
      <w:pPr>
        <w:spacing w:before="120" w:after="120"/>
        <w:rPr>
          <w:iCs/>
          <w:color w:val="4472C4"/>
          <w:szCs w:val="20"/>
          <w:lang w:val="en-GB"/>
        </w:rPr>
      </w:pPr>
      <w:r w:rsidRPr="00B9357E">
        <w:rPr>
          <w:iCs/>
          <w:color w:val="4472C4"/>
          <w:szCs w:val="20"/>
          <w:lang w:val="en-GB"/>
        </w:rPr>
        <w:t xml:space="preserve">For this activity, the FPIC (Free, Prior and Informed Consent) process </w:t>
      </w:r>
      <w:proofErr w:type="gramStart"/>
      <w:r w:rsidRPr="00B9357E">
        <w:rPr>
          <w:iCs/>
          <w:color w:val="4472C4"/>
          <w:szCs w:val="20"/>
          <w:lang w:val="en-GB"/>
        </w:rPr>
        <w:t>has to</w:t>
      </w:r>
      <w:proofErr w:type="gramEnd"/>
      <w:r w:rsidRPr="00B9357E">
        <w:rPr>
          <w:iCs/>
          <w:color w:val="4472C4"/>
          <w:szCs w:val="20"/>
          <w:lang w:val="en-GB"/>
        </w:rPr>
        <w:t xml:space="preserve"> be ensured</w:t>
      </w:r>
    </w:p>
    <w:p w14:paraId="7B1D4B53" w14:textId="77777777" w:rsidR="00302BFE" w:rsidRPr="00B9357E"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B9357E">
        <w:rPr>
          <w:rFonts w:ascii="Calibri" w:hAnsi="Calibri"/>
          <w:sz w:val="20"/>
          <w:szCs w:val="20"/>
          <w:lang w:val="en-GB"/>
        </w:rPr>
        <w:t>In line with the principles of support for the most vulnerable, gender equality and women's empowerment, and the principle of not doing conservation at the expense of the poorest, the project will ensure, with the support of the authorities and local communities, the identification of  segments of the population that are negatively affected by project interventions, including loss or reduction of access to resources through reinforced access rules to corridors and protected areas, as well as 'respecting a male-female ratio of 40-60 for all beneficiaries.</w:t>
      </w:r>
    </w:p>
    <w:p w14:paraId="2DDF9C8D" w14:textId="5267CEE3" w:rsidR="00302BFE" w:rsidRPr="00B9357E"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B9357E">
        <w:rPr>
          <w:rFonts w:ascii="Calibri" w:hAnsi="Calibri"/>
          <w:sz w:val="20"/>
          <w:szCs w:val="20"/>
          <w:lang w:val="en-GB"/>
        </w:rPr>
        <w:t>Project support will include prior information to women on the cooperative principles, obligations and privileges of cooperative societies and their members, and the process of setting up a cooperative prescribed by Law No. 014/99 /AN</w:t>
      </w:r>
      <w:r w:rsidR="006179D1" w:rsidRPr="00B9357E">
        <w:rPr>
          <w:rFonts w:ascii="Calibri" w:hAnsi="Calibri"/>
          <w:sz w:val="20"/>
          <w:szCs w:val="20"/>
          <w:lang w:val="en-GB"/>
        </w:rPr>
        <w:t>,</w:t>
      </w:r>
      <w:r w:rsidR="007A2F81" w:rsidRPr="00B9357E">
        <w:rPr>
          <w:rFonts w:ascii="Calibri" w:hAnsi="Calibri"/>
          <w:sz w:val="20"/>
          <w:szCs w:val="20"/>
          <w:lang w:val="en-GB"/>
        </w:rPr>
        <w:t xml:space="preserve"> </w:t>
      </w:r>
      <w:r w:rsidR="009B5486" w:rsidRPr="00B9357E">
        <w:rPr>
          <w:rFonts w:ascii="Calibri" w:hAnsi="Calibri"/>
          <w:sz w:val="20"/>
          <w:szCs w:val="20"/>
          <w:lang w:val="en-GB"/>
        </w:rPr>
        <w:t>on the regulation of cooperative societies and groups in Burkina Faso</w:t>
      </w:r>
      <w:r w:rsidRPr="00B9357E">
        <w:rPr>
          <w:rFonts w:ascii="Calibri" w:hAnsi="Calibri"/>
          <w:sz w:val="20"/>
          <w:szCs w:val="20"/>
          <w:lang w:val="en-GB"/>
        </w:rPr>
        <w:t>. The prior information and awareness sessions are conducted with the help of national NGOs who have developed expertise in setting up these channels and supporting cooperatives to enable women and men (for honey) to confirm their interest in participating in the project proposals with a clear understanding of their interests and in what they are committing themselves to.</w:t>
      </w:r>
    </w:p>
    <w:p w14:paraId="76858830" w14:textId="5E56693B" w:rsidR="00302BFE" w:rsidRPr="00B9357E"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B9357E">
        <w:rPr>
          <w:rFonts w:ascii="Calibri" w:hAnsi="Calibri"/>
          <w:i/>
          <w:color w:val="4472C4"/>
          <w:sz w:val="20"/>
          <w:szCs w:val="20"/>
          <w:lang w:val="en-GB"/>
        </w:rPr>
        <w:t>3.3.3 Women and men beneficiaries are better structured through the establishment of four (4) functional cooperatives</w:t>
      </w:r>
    </w:p>
    <w:p w14:paraId="340FE5B5" w14:textId="6058AD4F" w:rsidR="00047338" w:rsidRPr="00047338" w:rsidRDefault="00047338" w:rsidP="00BE65D5">
      <w:pPr>
        <w:spacing w:before="120" w:after="120"/>
        <w:rPr>
          <w:iCs/>
          <w:color w:val="4472C4"/>
          <w:szCs w:val="20"/>
          <w:lang w:val="en-GB"/>
        </w:rPr>
      </w:pPr>
      <w:r w:rsidRPr="00B9357E">
        <w:rPr>
          <w:iCs/>
          <w:color w:val="4472C4"/>
          <w:szCs w:val="20"/>
          <w:lang w:val="en-GB"/>
        </w:rPr>
        <w:t xml:space="preserve">For this activity, the FPIC (Free, Prior and Informed Consent) process </w:t>
      </w:r>
      <w:proofErr w:type="gramStart"/>
      <w:r w:rsidRPr="00B9357E">
        <w:rPr>
          <w:iCs/>
          <w:color w:val="4472C4"/>
          <w:szCs w:val="20"/>
          <w:lang w:val="en-GB"/>
        </w:rPr>
        <w:t>has to</w:t>
      </w:r>
      <w:proofErr w:type="gramEnd"/>
      <w:r w:rsidRPr="00B9357E">
        <w:rPr>
          <w:iCs/>
          <w:color w:val="4472C4"/>
          <w:szCs w:val="20"/>
          <w:lang w:val="en-GB"/>
        </w:rPr>
        <w:t xml:space="preserve"> be ensured</w:t>
      </w:r>
    </w:p>
    <w:p w14:paraId="7BC697C3" w14:textId="77777777" w:rsidR="00302BFE" w:rsidRPr="00CD33A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73EA9">
        <w:rPr>
          <w:rFonts w:ascii="Calibri" w:hAnsi="Calibri"/>
          <w:sz w:val="20"/>
          <w:szCs w:val="20"/>
          <w:lang w:val="en-GB"/>
        </w:rPr>
        <w:t xml:space="preserve">The project </w:t>
      </w:r>
      <w:r w:rsidRPr="00CD33A5">
        <w:rPr>
          <w:rFonts w:ascii="Calibri" w:hAnsi="Calibri"/>
          <w:sz w:val="20"/>
          <w:szCs w:val="20"/>
          <w:lang w:val="en-GB"/>
        </w:rPr>
        <w:t xml:space="preserve">will support the establishment of one (1) cooperative </w:t>
      </w:r>
      <w:proofErr w:type="gramStart"/>
      <w:r w:rsidRPr="00CD33A5">
        <w:rPr>
          <w:rFonts w:ascii="Calibri" w:hAnsi="Calibri"/>
          <w:sz w:val="20"/>
          <w:szCs w:val="20"/>
          <w:lang w:val="en-GB"/>
        </w:rPr>
        <w:t>for the production of</w:t>
      </w:r>
      <w:proofErr w:type="gramEnd"/>
      <w:r w:rsidRPr="00CD33A5">
        <w:rPr>
          <w:rFonts w:ascii="Calibri" w:hAnsi="Calibri"/>
          <w:sz w:val="20"/>
          <w:szCs w:val="20"/>
          <w:lang w:val="en-GB"/>
        </w:rPr>
        <w:t xml:space="preserve"> </w:t>
      </w:r>
      <w:proofErr w:type="spellStart"/>
      <w:r w:rsidRPr="00CD33A5">
        <w:rPr>
          <w:rFonts w:ascii="Calibri" w:hAnsi="Calibri"/>
          <w:sz w:val="20"/>
          <w:szCs w:val="20"/>
          <w:lang w:val="en-GB"/>
        </w:rPr>
        <w:t>go</w:t>
      </w:r>
      <w:r>
        <w:rPr>
          <w:rFonts w:ascii="Calibri" w:hAnsi="Calibri"/>
          <w:sz w:val="20"/>
          <w:szCs w:val="20"/>
          <w:lang w:val="en-GB"/>
        </w:rPr>
        <w:t>ine</w:t>
      </w:r>
      <w:proofErr w:type="spellEnd"/>
      <w:r w:rsidRPr="00CD33A5">
        <w:rPr>
          <w:rFonts w:ascii="Calibri" w:hAnsi="Calibri"/>
          <w:sz w:val="20"/>
          <w:szCs w:val="20"/>
          <w:lang w:val="en-GB"/>
        </w:rPr>
        <w:t xml:space="preserve"> liana juice in the </w:t>
      </w:r>
      <w:r>
        <w:rPr>
          <w:rFonts w:ascii="Calibri" w:hAnsi="Calibri"/>
          <w:sz w:val="20"/>
          <w:szCs w:val="20"/>
          <w:lang w:val="en-GB"/>
        </w:rPr>
        <w:t>commune</w:t>
      </w:r>
      <w:r w:rsidRPr="00CD33A5">
        <w:rPr>
          <w:rFonts w:ascii="Calibri" w:hAnsi="Calibri"/>
          <w:sz w:val="20"/>
          <w:szCs w:val="20"/>
          <w:lang w:val="en-GB"/>
        </w:rPr>
        <w:t xml:space="preserve"> of </w:t>
      </w:r>
      <w:proofErr w:type="spellStart"/>
      <w:r w:rsidRPr="00CD33A5">
        <w:rPr>
          <w:rFonts w:ascii="Calibri" w:hAnsi="Calibri"/>
          <w:sz w:val="20"/>
          <w:szCs w:val="20"/>
          <w:lang w:val="en-GB"/>
        </w:rPr>
        <w:t>Nobéré</w:t>
      </w:r>
      <w:proofErr w:type="spellEnd"/>
      <w:r w:rsidRPr="00CD33A5">
        <w:rPr>
          <w:rFonts w:ascii="Calibri" w:hAnsi="Calibri"/>
          <w:sz w:val="20"/>
          <w:szCs w:val="20"/>
          <w:lang w:val="en-GB"/>
        </w:rPr>
        <w:t xml:space="preserve">, one (1) cooperative for the production of honey in the landscape area of PONASI, and two (2) cooperatives for the production of shea butter in the communes of </w:t>
      </w:r>
      <w:proofErr w:type="spellStart"/>
      <w:r w:rsidRPr="00CD33A5">
        <w:rPr>
          <w:rFonts w:ascii="Calibri" w:hAnsi="Calibri"/>
          <w:sz w:val="20"/>
          <w:szCs w:val="20"/>
          <w:lang w:val="en-GB"/>
        </w:rPr>
        <w:t>Guiaro</w:t>
      </w:r>
      <w:proofErr w:type="spellEnd"/>
      <w:r w:rsidRPr="00CD33A5">
        <w:rPr>
          <w:rFonts w:ascii="Calibri" w:hAnsi="Calibri"/>
          <w:sz w:val="20"/>
          <w:szCs w:val="20"/>
          <w:lang w:val="en-GB"/>
        </w:rPr>
        <w:t xml:space="preserve"> and </w:t>
      </w:r>
      <w:proofErr w:type="spellStart"/>
      <w:r w:rsidRPr="00CD33A5">
        <w:rPr>
          <w:rFonts w:ascii="Calibri" w:hAnsi="Calibri"/>
          <w:sz w:val="20"/>
          <w:szCs w:val="20"/>
          <w:lang w:val="en-GB"/>
        </w:rPr>
        <w:t>Zabré-Zoaga</w:t>
      </w:r>
      <w:proofErr w:type="spellEnd"/>
      <w:r w:rsidRPr="00CD33A5">
        <w:rPr>
          <w:rFonts w:ascii="Calibri" w:hAnsi="Calibri"/>
          <w:sz w:val="20"/>
          <w:szCs w:val="20"/>
          <w:lang w:val="en-GB"/>
        </w:rPr>
        <w:t xml:space="preserve">. The project will support women and men who have confirmed their interest in the process of setting up the cooperative society, the recognition procedures, the establishment of statutes and </w:t>
      </w:r>
      <w:r>
        <w:rPr>
          <w:rFonts w:ascii="Calibri" w:hAnsi="Calibri"/>
          <w:sz w:val="20"/>
          <w:szCs w:val="20"/>
          <w:lang w:val="en-GB"/>
        </w:rPr>
        <w:t>rules of procedure</w:t>
      </w:r>
      <w:r w:rsidRPr="00CD33A5">
        <w:rPr>
          <w:rFonts w:ascii="Calibri" w:hAnsi="Calibri"/>
          <w:sz w:val="20"/>
          <w:szCs w:val="20"/>
          <w:lang w:val="en-GB"/>
        </w:rPr>
        <w:t>, the organization and operation of the cooperative including financial management and individual memberships to the cooperative.</w:t>
      </w:r>
    </w:p>
    <w:p w14:paraId="0CB91DA3" w14:textId="44FDA4BD" w:rsidR="00302BFE"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CD33A5">
        <w:rPr>
          <w:rFonts w:ascii="Calibri" w:hAnsi="Calibri"/>
          <w:i/>
          <w:color w:val="4472C4"/>
          <w:sz w:val="20"/>
          <w:szCs w:val="20"/>
          <w:lang w:val="en-GB"/>
        </w:rPr>
        <w:t xml:space="preserve">3.3.4 The capacities of women and men beneficiaries are </w:t>
      </w:r>
      <w:r>
        <w:rPr>
          <w:rFonts w:ascii="Calibri" w:hAnsi="Calibri"/>
          <w:i/>
          <w:color w:val="4472C4"/>
          <w:sz w:val="20"/>
          <w:szCs w:val="20"/>
          <w:lang w:val="en-GB"/>
        </w:rPr>
        <w:t>built</w:t>
      </w:r>
      <w:r w:rsidRPr="00CD33A5">
        <w:rPr>
          <w:rFonts w:ascii="Calibri" w:hAnsi="Calibri"/>
          <w:i/>
          <w:color w:val="4472C4"/>
          <w:sz w:val="20"/>
          <w:szCs w:val="20"/>
          <w:lang w:val="en-GB"/>
        </w:rPr>
        <w:t xml:space="preserve"> by technical training</w:t>
      </w:r>
    </w:p>
    <w:p w14:paraId="51A5B5DC" w14:textId="448874E6" w:rsidR="00047338" w:rsidRPr="00047338" w:rsidRDefault="00047338" w:rsidP="00BE65D5">
      <w:pPr>
        <w:spacing w:before="120" w:after="120"/>
        <w:rPr>
          <w:iCs/>
          <w:color w:val="4472C4"/>
          <w:szCs w:val="20"/>
          <w:lang w:val="en-GB"/>
        </w:rPr>
      </w:pPr>
      <w:r w:rsidRPr="00B9357E">
        <w:rPr>
          <w:iCs/>
          <w:color w:val="4472C4"/>
          <w:szCs w:val="20"/>
          <w:lang w:val="en-GB"/>
        </w:rPr>
        <w:t xml:space="preserve">For this activity, the FPIC (Free, Prior and Informed Consent) process </w:t>
      </w:r>
      <w:proofErr w:type="gramStart"/>
      <w:r w:rsidRPr="00B9357E">
        <w:rPr>
          <w:iCs/>
          <w:color w:val="4472C4"/>
          <w:szCs w:val="20"/>
          <w:lang w:val="en-GB"/>
        </w:rPr>
        <w:t>has to</w:t>
      </w:r>
      <w:proofErr w:type="gramEnd"/>
      <w:r w:rsidRPr="00B9357E">
        <w:rPr>
          <w:iCs/>
          <w:color w:val="4472C4"/>
          <w:szCs w:val="20"/>
          <w:lang w:val="en-GB"/>
        </w:rPr>
        <w:t xml:space="preserve"> be ensured</w:t>
      </w:r>
    </w:p>
    <w:p w14:paraId="34B2AB31" w14:textId="77777777" w:rsidR="00302BFE" w:rsidRPr="00CD33A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CD33A5">
        <w:rPr>
          <w:rFonts w:ascii="Calibri" w:hAnsi="Calibri"/>
          <w:sz w:val="20"/>
          <w:szCs w:val="20"/>
          <w:lang w:val="en-GB"/>
        </w:rPr>
        <w:t xml:space="preserve">The capacities of women and men beneficiaries are </w:t>
      </w:r>
      <w:r>
        <w:rPr>
          <w:rFonts w:ascii="Calibri" w:hAnsi="Calibri"/>
          <w:sz w:val="20"/>
          <w:szCs w:val="20"/>
          <w:lang w:val="en-GB"/>
        </w:rPr>
        <w:t>built</w:t>
      </w:r>
      <w:r w:rsidRPr="00CD33A5">
        <w:rPr>
          <w:rFonts w:ascii="Calibri" w:hAnsi="Calibri"/>
          <w:sz w:val="20"/>
          <w:szCs w:val="20"/>
          <w:lang w:val="en-GB"/>
        </w:rPr>
        <w:t xml:space="preserve"> by technical training to ensure the sustainability of the resources exploited, ensure product quality that meets the standards of the target markets and the desired certifications (organic and fair), and improve </w:t>
      </w:r>
      <w:r>
        <w:rPr>
          <w:rFonts w:ascii="Calibri" w:hAnsi="Calibri"/>
          <w:sz w:val="20"/>
          <w:szCs w:val="20"/>
          <w:lang w:val="en-GB"/>
        </w:rPr>
        <w:t>the</w:t>
      </w:r>
      <w:r w:rsidRPr="00CD33A5">
        <w:rPr>
          <w:rFonts w:ascii="Calibri" w:hAnsi="Calibri"/>
          <w:sz w:val="20"/>
          <w:szCs w:val="20"/>
          <w:lang w:val="en-GB"/>
        </w:rPr>
        <w:t xml:space="preserve"> profitability of the</w:t>
      </w:r>
      <w:r>
        <w:rPr>
          <w:rFonts w:ascii="Calibri" w:hAnsi="Calibri"/>
          <w:sz w:val="20"/>
          <w:szCs w:val="20"/>
          <w:lang w:val="en-GB"/>
        </w:rPr>
        <w:t xml:space="preserve"> value chains</w:t>
      </w:r>
      <w:r w:rsidRPr="00CD33A5">
        <w:rPr>
          <w:rFonts w:ascii="Calibri" w:hAnsi="Calibri"/>
          <w:sz w:val="20"/>
          <w:szCs w:val="20"/>
          <w:lang w:val="en-GB"/>
        </w:rPr>
        <w:t>. The sustainability of the benefits of local communities will largely depend on the commitment of beneficiary groups to ensure the quality of products, as well as the prevention of potential detrimental effects of value chain development on harvested biological resources. Training will be provided by NGOs and associations working in these areas and supporting cooperatives, and will focus on, but not limited to:</w:t>
      </w:r>
    </w:p>
    <w:p w14:paraId="455E3A63" w14:textId="77777777" w:rsidR="00302BFE" w:rsidRPr="00CD33A5" w:rsidRDefault="00302BFE" w:rsidP="00C46720">
      <w:pPr>
        <w:pStyle w:val="Paragraphedeliste"/>
        <w:numPr>
          <w:ilvl w:val="0"/>
          <w:numId w:val="23"/>
        </w:numPr>
        <w:spacing w:after="120"/>
        <w:contextualSpacing/>
        <w:rPr>
          <w:rFonts w:ascii="Calibri" w:hAnsi="Calibri"/>
          <w:sz w:val="20"/>
          <w:szCs w:val="20"/>
          <w:lang w:val="en-GB"/>
        </w:rPr>
      </w:pPr>
      <w:r w:rsidRPr="00CD33A5">
        <w:rPr>
          <w:rFonts w:ascii="Calibri" w:hAnsi="Calibri"/>
          <w:sz w:val="20"/>
          <w:szCs w:val="20"/>
          <w:lang w:val="en-GB"/>
        </w:rPr>
        <w:t>Good practices for a collection of fruits (</w:t>
      </w:r>
      <w:proofErr w:type="spellStart"/>
      <w:r w:rsidRPr="00CD33A5">
        <w:rPr>
          <w:rFonts w:ascii="Calibri" w:hAnsi="Calibri"/>
          <w:sz w:val="20"/>
          <w:szCs w:val="20"/>
          <w:lang w:val="en-GB"/>
        </w:rPr>
        <w:t>goïne</w:t>
      </w:r>
      <w:proofErr w:type="spellEnd"/>
      <w:r>
        <w:rPr>
          <w:rFonts w:ascii="Calibri" w:hAnsi="Calibri"/>
          <w:sz w:val="20"/>
          <w:szCs w:val="20"/>
          <w:lang w:val="en-GB"/>
        </w:rPr>
        <w:t xml:space="preserve"> liana</w:t>
      </w:r>
      <w:r w:rsidRPr="00CD33A5">
        <w:rPr>
          <w:rFonts w:ascii="Calibri" w:hAnsi="Calibri"/>
          <w:sz w:val="20"/>
          <w:szCs w:val="20"/>
          <w:lang w:val="en-GB"/>
        </w:rPr>
        <w:t xml:space="preserve"> and shea) respectful of the resource and which does not compromise its regeneration in a natural environment; Prevention of adverse environmental impacts; Compliance with laws, regulations and agreements concerning access to protected areas and the use of their </w:t>
      </w:r>
      <w:proofErr w:type="gramStart"/>
      <w:r w:rsidRPr="00CD33A5">
        <w:rPr>
          <w:rFonts w:ascii="Calibri" w:hAnsi="Calibri"/>
          <w:sz w:val="20"/>
          <w:szCs w:val="20"/>
          <w:lang w:val="en-GB"/>
        </w:rPr>
        <w:t>resources;</w:t>
      </w:r>
      <w:proofErr w:type="gramEnd"/>
    </w:p>
    <w:p w14:paraId="4AF2BBA9" w14:textId="77777777" w:rsidR="00302BFE" w:rsidRPr="00CD33A5" w:rsidRDefault="00302BFE" w:rsidP="00C46720">
      <w:pPr>
        <w:pStyle w:val="Paragraphedeliste"/>
        <w:numPr>
          <w:ilvl w:val="0"/>
          <w:numId w:val="23"/>
        </w:numPr>
        <w:spacing w:after="120"/>
        <w:contextualSpacing/>
        <w:rPr>
          <w:rFonts w:ascii="Calibri" w:hAnsi="Calibri"/>
          <w:sz w:val="20"/>
          <w:szCs w:val="20"/>
          <w:lang w:val="en-GB"/>
        </w:rPr>
      </w:pPr>
      <w:r w:rsidRPr="00CD33A5">
        <w:rPr>
          <w:rFonts w:ascii="Calibri" w:hAnsi="Calibri"/>
          <w:sz w:val="20"/>
          <w:szCs w:val="20"/>
          <w:lang w:val="en-GB"/>
        </w:rPr>
        <w:t xml:space="preserve">Good practices for reducing post-harvest and storage losses; processing techniques; health aspects, standards of quality and hygiene; packaging and presentation to optimize product quality </w:t>
      </w:r>
      <w:proofErr w:type="gramStart"/>
      <w:r w:rsidRPr="00CD33A5">
        <w:rPr>
          <w:rFonts w:ascii="Calibri" w:hAnsi="Calibri"/>
          <w:sz w:val="20"/>
          <w:szCs w:val="20"/>
          <w:lang w:val="en-GB"/>
        </w:rPr>
        <w:t>conservation;</w:t>
      </w:r>
      <w:proofErr w:type="gramEnd"/>
    </w:p>
    <w:p w14:paraId="5D16181C" w14:textId="77777777" w:rsidR="00302BFE" w:rsidRPr="00CD33A5" w:rsidRDefault="00302BFE" w:rsidP="00C46720">
      <w:pPr>
        <w:pStyle w:val="Paragraphedeliste"/>
        <w:numPr>
          <w:ilvl w:val="0"/>
          <w:numId w:val="23"/>
        </w:numPr>
        <w:spacing w:after="120"/>
        <w:contextualSpacing/>
        <w:rPr>
          <w:rFonts w:ascii="Calibri" w:hAnsi="Calibri"/>
          <w:sz w:val="20"/>
          <w:szCs w:val="20"/>
          <w:lang w:val="en-GB"/>
        </w:rPr>
      </w:pPr>
      <w:r w:rsidRPr="00CD33A5">
        <w:rPr>
          <w:rFonts w:ascii="Calibri" w:hAnsi="Calibri"/>
          <w:sz w:val="20"/>
          <w:szCs w:val="20"/>
          <w:lang w:val="en-GB"/>
        </w:rPr>
        <w:t xml:space="preserve">Micro entrepreneurship: microenterprise establishment and management and financial education; tips for writing a business plan; preparation of files to access microfinance; support for start-up and implementation of activities, and monitoring the repayment of </w:t>
      </w:r>
      <w:proofErr w:type="gramStart"/>
      <w:r w:rsidRPr="00CD33A5">
        <w:rPr>
          <w:rFonts w:ascii="Calibri" w:hAnsi="Calibri"/>
          <w:sz w:val="20"/>
          <w:szCs w:val="20"/>
          <w:lang w:val="en-GB"/>
        </w:rPr>
        <w:t>microcredit;</w:t>
      </w:r>
      <w:proofErr w:type="gramEnd"/>
    </w:p>
    <w:p w14:paraId="33A7E295" w14:textId="77777777" w:rsidR="00302BFE" w:rsidRPr="00CD33A5" w:rsidRDefault="00302BFE" w:rsidP="00C46720">
      <w:pPr>
        <w:pStyle w:val="Paragraphedeliste"/>
        <w:numPr>
          <w:ilvl w:val="0"/>
          <w:numId w:val="23"/>
        </w:numPr>
        <w:spacing w:after="120"/>
        <w:contextualSpacing/>
        <w:rPr>
          <w:rFonts w:ascii="Calibri" w:hAnsi="Calibri"/>
          <w:sz w:val="20"/>
          <w:szCs w:val="20"/>
          <w:lang w:val="en-GB"/>
        </w:rPr>
      </w:pPr>
      <w:r>
        <w:rPr>
          <w:rFonts w:ascii="Calibri" w:hAnsi="Calibri"/>
          <w:sz w:val="20"/>
          <w:szCs w:val="20"/>
          <w:lang w:val="en-GB"/>
        </w:rPr>
        <w:lastRenderedPageBreak/>
        <w:t>Fair</w:t>
      </w:r>
      <w:r w:rsidRPr="00CD33A5">
        <w:rPr>
          <w:rFonts w:ascii="Calibri" w:hAnsi="Calibri"/>
          <w:sz w:val="20"/>
          <w:szCs w:val="20"/>
          <w:lang w:val="en-GB"/>
        </w:rPr>
        <w:t xml:space="preserve"> supply chains: </w:t>
      </w:r>
      <w:r>
        <w:rPr>
          <w:rFonts w:ascii="Calibri" w:hAnsi="Calibri"/>
          <w:sz w:val="20"/>
          <w:szCs w:val="20"/>
          <w:lang w:val="en-GB"/>
        </w:rPr>
        <w:t>fair</w:t>
      </w:r>
      <w:r w:rsidRPr="00CD33A5">
        <w:rPr>
          <w:rFonts w:ascii="Calibri" w:hAnsi="Calibri"/>
          <w:sz w:val="20"/>
          <w:szCs w:val="20"/>
          <w:lang w:val="en-GB"/>
        </w:rPr>
        <w:t xml:space="preserve"> sharing of benefits within value chains, especially for collectors and their communities; promotion of fair contractual relations between operators and collectors; fair working conditions for all workers; commitment of the </w:t>
      </w:r>
      <w:proofErr w:type="gramStart"/>
      <w:r w:rsidRPr="00CD33A5">
        <w:rPr>
          <w:rFonts w:ascii="Calibri" w:hAnsi="Calibri"/>
          <w:sz w:val="20"/>
          <w:szCs w:val="20"/>
          <w:lang w:val="en-GB"/>
        </w:rPr>
        <w:t>buyer;</w:t>
      </w:r>
      <w:proofErr w:type="gramEnd"/>
    </w:p>
    <w:p w14:paraId="4AAC43FF" w14:textId="77777777" w:rsidR="00302BFE" w:rsidRPr="00CD33A5" w:rsidRDefault="00302BFE" w:rsidP="00C46720">
      <w:pPr>
        <w:pStyle w:val="Paragraphedeliste"/>
        <w:numPr>
          <w:ilvl w:val="0"/>
          <w:numId w:val="23"/>
        </w:numPr>
        <w:spacing w:after="120"/>
        <w:contextualSpacing/>
        <w:jc w:val="both"/>
        <w:rPr>
          <w:rFonts w:ascii="Calibri" w:hAnsi="Calibri"/>
          <w:sz w:val="20"/>
          <w:szCs w:val="20"/>
          <w:lang w:val="en-GB"/>
        </w:rPr>
      </w:pPr>
      <w:r w:rsidRPr="00CD33A5">
        <w:rPr>
          <w:rFonts w:ascii="Calibri" w:hAnsi="Calibri"/>
          <w:sz w:val="20"/>
          <w:szCs w:val="20"/>
          <w:lang w:val="en-GB"/>
        </w:rPr>
        <w:t>Training and supervision of cooperatives for the development and implementation of business development plans (PDEs),</w:t>
      </w:r>
      <w:r>
        <w:rPr>
          <w:rFonts w:ascii="Calibri" w:hAnsi="Calibri"/>
          <w:sz w:val="20"/>
          <w:szCs w:val="20"/>
          <w:lang w:val="en-GB"/>
        </w:rPr>
        <w:t xml:space="preserve"> in</w:t>
      </w:r>
      <w:r w:rsidRPr="00CD33A5">
        <w:rPr>
          <w:rFonts w:ascii="Calibri" w:hAnsi="Calibri"/>
          <w:sz w:val="20"/>
          <w:szCs w:val="20"/>
          <w:lang w:val="en-GB"/>
        </w:rPr>
        <w:t xml:space="preserve"> market analysis and development and </w:t>
      </w:r>
      <w:r>
        <w:rPr>
          <w:rFonts w:ascii="Calibri" w:hAnsi="Calibri"/>
          <w:sz w:val="20"/>
          <w:szCs w:val="20"/>
          <w:lang w:val="en-GB"/>
        </w:rPr>
        <w:t xml:space="preserve">in </w:t>
      </w:r>
      <w:r w:rsidRPr="00292A05">
        <w:rPr>
          <w:rFonts w:ascii="Calibri" w:hAnsi="Calibri"/>
          <w:i/>
          <w:sz w:val="20"/>
          <w:szCs w:val="20"/>
          <w:lang w:val="en-GB"/>
        </w:rPr>
        <w:t xml:space="preserve">the </w:t>
      </w:r>
      <w:proofErr w:type="gramStart"/>
      <w:r w:rsidRPr="00292A05">
        <w:rPr>
          <w:rFonts w:ascii="Calibri" w:hAnsi="Calibri"/>
          <w:i/>
          <w:sz w:val="20"/>
          <w:szCs w:val="20"/>
          <w:lang w:val="en-GB"/>
        </w:rPr>
        <w:t>Making</w:t>
      </w:r>
      <w:proofErr w:type="gramEnd"/>
      <w:r w:rsidRPr="00292A05">
        <w:rPr>
          <w:rFonts w:ascii="Calibri" w:hAnsi="Calibri"/>
          <w:i/>
          <w:sz w:val="20"/>
          <w:szCs w:val="20"/>
          <w:lang w:val="en-GB"/>
        </w:rPr>
        <w:t xml:space="preserve"> Markets Work for the Poor</w:t>
      </w:r>
      <w:r w:rsidRPr="00CD33A5">
        <w:rPr>
          <w:rFonts w:ascii="Calibri" w:hAnsi="Calibri"/>
          <w:sz w:val="20"/>
          <w:szCs w:val="20"/>
          <w:lang w:val="en-GB"/>
        </w:rPr>
        <w:t xml:space="preserve"> (M4P) approach, in marketing and business relationship development</w:t>
      </w:r>
    </w:p>
    <w:p w14:paraId="4DB96D9F" w14:textId="41F9814F" w:rsidR="00302BFE" w:rsidRDefault="00302BFE" w:rsidP="00302BFE">
      <w:pPr>
        <w:spacing w:before="120" w:after="120"/>
        <w:rPr>
          <w:i/>
          <w:color w:val="4472C4"/>
          <w:szCs w:val="20"/>
          <w:lang w:val="en-GB"/>
        </w:rPr>
      </w:pPr>
      <w:r w:rsidRPr="00CD33A5">
        <w:rPr>
          <w:i/>
          <w:color w:val="4472C4"/>
          <w:szCs w:val="20"/>
          <w:lang w:val="en-GB"/>
        </w:rPr>
        <w:t>3.3.5 Securing access to resources that support value chains and their sustainability to maximize revenue</w:t>
      </w:r>
    </w:p>
    <w:p w14:paraId="0E683ED1" w14:textId="0AAD5DA3" w:rsidR="00047338" w:rsidRPr="00413D2B" w:rsidRDefault="00047338" w:rsidP="00302BFE">
      <w:pPr>
        <w:spacing w:before="120" w:after="120"/>
        <w:rPr>
          <w:iCs/>
          <w:color w:val="4472C4"/>
          <w:szCs w:val="20"/>
          <w:lang w:val="en-GB"/>
        </w:rPr>
      </w:pPr>
      <w:r w:rsidRPr="00413D2B">
        <w:rPr>
          <w:iCs/>
          <w:color w:val="4472C4"/>
          <w:szCs w:val="20"/>
          <w:lang w:val="en-GB"/>
        </w:rPr>
        <w:t xml:space="preserve">For this activity, the FPIC (Free, Prior and Informed Consent) process </w:t>
      </w:r>
      <w:proofErr w:type="gramStart"/>
      <w:r w:rsidRPr="00413D2B">
        <w:rPr>
          <w:iCs/>
          <w:color w:val="4472C4"/>
          <w:szCs w:val="20"/>
          <w:lang w:val="en-GB"/>
        </w:rPr>
        <w:t>has to</w:t>
      </w:r>
      <w:proofErr w:type="gramEnd"/>
      <w:r w:rsidRPr="00413D2B">
        <w:rPr>
          <w:iCs/>
          <w:color w:val="4472C4"/>
          <w:szCs w:val="20"/>
          <w:lang w:val="en-GB"/>
        </w:rPr>
        <w:t xml:space="preserve"> be ensured</w:t>
      </w:r>
    </w:p>
    <w:p w14:paraId="5DAF3A63" w14:textId="77777777" w:rsidR="00302BFE" w:rsidRPr="00413D2B"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413D2B">
        <w:rPr>
          <w:rFonts w:ascii="Calibri" w:hAnsi="Calibri"/>
          <w:sz w:val="20"/>
          <w:szCs w:val="20"/>
          <w:lang w:val="en-GB"/>
        </w:rPr>
        <w:t xml:space="preserve">The project will support the identification and delineation of production areas in corridors 1 and 2, the development of agreements and specifications to secure access to resources for members of the cooperative, supervise activities and ensure their sustainability. Production areas will be negotiated with the local authorities (village chief, chief of land), </w:t>
      </w:r>
      <w:proofErr w:type="gramStart"/>
      <w:r w:rsidRPr="00413D2B">
        <w:rPr>
          <w:rFonts w:ascii="Calibri" w:hAnsi="Calibri"/>
          <w:sz w:val="20"/>
          <w:szCs w:val="20"/>
          <w:lang w:val="en-GB"/>
        </w:rPr>
        <w:t>delineated</w:t>
      </w:r>
      <w:proofErr w:type="gramEnd"/>
      <w:r w:rsidRPr="00413D2B">
        <w:rPr>
          <w:rFonts w:ascii="Calibri" w:hAnsi="Calibri"/>
          <w:sz w:val="20"/>
          <w:szCs w:val="20"/>
          <w:lang w:val="en-GB"/>
        </w:rPr>
        <w:t xml:space="preserve"> and certified for the production of organic shea for the benefit of the groups of women involved. The collection of NTFPs in forests will be preceded by an assessment of the sustainable production capacity of the resource used.</w:t>
      </w:r>
    </w:p>
    <w:p w14:paraId="265FC8B3" w14:textId="77777777" w:rsidR="00302BFE" w:rsidRPr="00413D2B"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413D2B">
        <w:rPr>
          <w:rFonts w:ascii="Calibri" w:hAnsi="Calibri"/>
          <w:sz w:val="20"/>
          <w:szCs w:val="20"/>
          <w:lang w:val="en-GB"/>
        </w:rPr>
        <w:t xml:space="preserve">A consultant specializing in organic and fair certification will assist cooperatives in the process of organic and fair certification of production areas and shea products. </w:t>
      </w:r>
      <w:proofErr w:type="spellStart"/>
      <w:r w:rsidRPr="00413D2B">
        <w:rPr>
          <w:rFonts w:ascii="Calibri" w:hAnsi="Calibri"/>
          <w:sz w:val="20"/>
          <w:szCs w:val="20"/>
          <w:lang w:val="en-GB"/>
        </w:rPr>
        <w:t>Goine</w:t>
      </w:r>
      <w:proofErr w:type="spellEnd"/>
      <w:r w:rsidRPr="00413D2B">
        <w:rPr>
          <w:rFonts w:ascii="Calibri" w:hAnsi="Calibri"/>
          <w:sz w:val="20"/>
          <w:szCs w:val="20"/>
          <w:lang w:val="en-GB"/>
        </w:rPr>
        <w:t xml:space="preserve"> liana fruits will come from several production sites and honey will be produced in scattered sites in other communes that do not directly benefit from shea and liana juice units, and it would be tedious and too expensive to undertake the certification of all these sites in the framework of the project. Thus, at first, only fair and organic butter will be considered. The project will also combine the valorisation of NTFPs with the REDD+ approach and other opportunities related to the financing of "green" activities».</w:t>
      </w:r>
    </w:p>
    <w:p w14:paraId="43A3419C" w14:textId="37EDE7AB" w:rsidR="00302BFE" w:rsidRPr="00413D2B"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413D2B">
        <w:rPr>
          <w:rFonts w:ascii="Calibri" w:hAnsi="Calibri"/>
          <w:i/>
          <w:color w:val="4472C4"/>
          <w:sz w:val="20"/>
          <w:szCs w:val="20"/>
          <w:lang w:val="en-GB"/>
        </w:rPr>
        <w:t>3.3.6 Support to the production activity</w:t>
      </w:r>
    </w:p>
    <w:p w14:paraId="3CDD6077" w14:textId="5C3B9E95" w:rsidR="00047338" w:rsidRPr="00047338" w:rsidRDefault="00047338" w:rsidP="00BE65D5">
      <w:pPr>
        <w:spacing w:before="120" w:after="120"/>
        <w:rPr>
          <w:iCs/>
          <w:color w:val="4472C4"/>
          <w:szCs w:val="20"/>
          <w:lang w:val="en-GB"/>
        </w:rPr>
      </w:pPr>
      <w:r w:rsidRPr="00413D2B">
        <w:rPr>
          <w:iCs/>
          <w:color w:val="4472C4"/>
          <w:szCs w:val="20"/>
          <w:lang w:val="en-GB"/>
        </w:rPr>
        <w:t xml:space="preserve">For this activity, the FPIC (Free, Prior and Informed Consent) process </w:t>
      </w:r>
      <w:proofErr w:type="gramStart"/>
      <w:r w:rsidRPr="00413D2B">
        <w:rPr>
          <w:iCs/>
          <w:color w:val="4472C4"/>
          <w:szCs w:val="20"/>
          <w:lang w:val="en-GB"/>
        </w:rPr>
        <w:t>has to</w:t>
      </w:r>
      <w:proofErr w:type="gramEnd"/>
      <w:r w:rsidRPr="00413D2B">
        <w:rPr>
          <w:iCs/>
          <w:color w:val="4472C4"/>
          <w:szCs w:val="20"/>
          <w:lang w:val="en-GB"/>
        </w:rPr>
        <w:t xml:space="preserve"> be ensured</w:t>
      </w:r>
    </w:p>
    <w:p w14:paraId="6918DB8E" w14:textId="0AEC1697" w:rsidR="00302BFE" w:rsidRPr="00CD33A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CD33A5">
        <w:rPr>
          <w:rFonts w:ascii="Calibri" w:hAnsi="Calibri"/>
          <w:sz w:val="20"/>
          <w:szCs w:val="20"/>
          <w:lang w:val="en-GB"/>
        </w:rPr>
        <w:t xml:space="preserve">The project will facilitate the establishment of a partnership with a microfinance institution established in the PONASI landscape area to support the development of innovative financial products and services tailored to the needs of producers to facilitate equipment of processing </w:t>
      </w:r>
      <w:r w:rsidRPr="00413D2B">
        <w:rPr>
          <w:rFonts w:ascii="Calibri" w:hAnsi="Calibri"/>
          <w:sz w:val="20"/>
          <w:szCs w:val="20"/>
          <w:lang w:val="en-GB"/>
        </w:rPr>
        <w:t xml:space="preserve">companies. </w:t>
      </w:r>
      <w:r w:rsidR="004F2F0C" w:rsidRPr="00413D2B">
        <w:rPr>
          <w:rFonts w:ascii="Calibri" w:hAnsi="Calibri"/>
          <w:sz w:val="20"/>
          <w:szCs w:val="20"/>
          <w:lang w:val="en-GB"/>
        </w:rPr>
        <w:t>Producers could be accompanied in the elaboration of a business development plan (BDP)</w:t>
      </w:r>
      <w:r w:rsidR="00E91148" w:rsidRPr="00413D2B">
        <w:rPr>
          <w:rFonts w:ascii="Calibri" w:hAnsi="Calibri"/>
          <w:sz w:val="20"/>
          <w:szCs w:val="20"/>
          <w:lang w:val="en-GB"/>
        </w:rPr>
        <w:t xml:space="preserve">. </w:t>
      </w:r>
      <w:r w:rsidRPr="00413D2B">
        <w:rPr>
          <w:rFonts w:ascii="Calibri" w:hAnsi="Calibri"/>
          <w:sz w:val="20"/>
          <w:szCs w:val="20"/>
          <w:lang w:val="en-GB"/>
        </w:rPr>
        <w:t>This institution will ideally provide training for members of cooperatives and their supervision</w:t>
      </w:r>
      <w:r w:rsidRPr="00CD33A5">
        <w:rPr>
          <w:rFonts w:ascii="Calibri" w:hAnsi="Calibri"/>
          <w:sz w:val="20"/>
          <w:szCs w:val="20"/>
          <w:lang w:val="en-GB"/>
        </w:rPr>
        <w:t xml:space="preserve"> in the process of obtaining and managing a microcredit, including its reimbursement.</w:t>
      </w:r>
    </w:p>
    <w:p w14:paraId="79ABC746" w14:textId="77777777" w:rsidR="00302BFE" w:rsidRPr="00CD33A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CD33A5">
        <w:rPr>
          <w:rFonts w:ascii="Calibri" w:hAnsi="Calibri"/>
          <w:sz w:val="20"/>
          <w:szCs w:val="20"/>
          <w:lang w:val="en-GB"/>
        </w:rPr>
        <w:t xml:space="preserve">For each of the cooperatives, the project will provide support for the construction of buildings used to house the production units by supplying the materials, while the beneficiary associations will provide the labour. The project will contribute to the equipment of the cooperatives (i) for the processing of </w:t>
      </w:r>
      <w:proofErr w:type="spellStart"/>
      <w:r w:rsidRPr="00CD33A5">
        <w:rPr>
          <w:rFonts w:ascii="Calibri" w:hAnsi="Calibri"/>
          <w:sz w:val="20"/>
          <w:szCs w:val="20"/>
          <w:lang w:val="en-GB"/>
        </w:rPr>
        <w:t>go</w:t>
      </w:r>
      <w:r>
        <w:rPr>
          <w:rFonts w:ascii="Calibri" w:hAnsi="Calibri"/>
          <w:sz w:val="20"/>
          <w:szCs w:val="20"/>
          <w:lang w:val="en-GB"/>
        </w:rPr>
        <w:t>ine</w:t>
      </w:r>
      <w:proofErr w:type="spellEnd"/>
      <w:r w:rsidRPr="00CD33A5">
        <w:rPr>
          <w:rFonts w:ascii="Calibri" w:hAnsi="Calibri"/>
          <w:sz w:val="20"/>
          <w:szCs w:val="20"/>
          <w:lang w:val="en-GB"/>
        </w:rPr>
        <w:t xml:space="preserve"> liana fruits for the acquisition of the equipment necessary for the extraction of the juice and its bottling, (ii) for the production of honey for the acquisition of hives and </w:t>
      </w:r>
      <w:r>
        <w:rPr>
          <w:rFonts w:ascii="Calibri" w:hAnsi="Calibri"/>
          <w:sz w:val="20"/>
          <w:szCs w:val="20"/>
          <w:lang w:val="en-GB"/>
        </w:rPr>
        <w:t>mounts</w:t>
      </w:r>
      <w:r w:rsidRPr="00CD33A5">
        <w:rPr>
          <w:rFonts w:ascii="Calibri" w:hAnsi="Calibri"/>
          <w:sz w:val="20"/>
          <w:szCs w:val="20"/>
          <w:lang w:val="en-GB"/>
        </w:rPr>
        <w:t>, stainless steel extractors, filters, and protecti</w:t>
      </w:r>
      <w:r>
        <w:rPr>
          <w:rFonts w:ascii="Calibri" w:hAnsi="Calibri"/>
          <w:sz w:val="20"/>
          <w:szCs w:val="20"/>
          <w:lang w:val="en-GB"/>
        </w:rPr>
        <w:t>on</w:t>
      </w:r>
      <w:r w:rsidRPr="00CD33A5">
        <w:rPr>
          <w:rFonts w:ascii="Calibri" w:hAnsi="Calibri"/>
          <w:sz w:val="20"/>
          <w:szCs w:val="20"/>
          <w:lang w:val="en-GB"/>
        </w:rPr>
        <w:t xml:space="preserve"> equipment, and (iii) shea butter processing for the acquisition of technical equipment: churn, shea butter roaster, stainless steel crusher, stainless steel mill , engine, stainless steel</w:t>
      </w:r>
      <w:r>
        <w:rPr>
          <w:rFonts w:ascii="Calibri" w:hAnsi="Calibri"/>
          <w:sz w:val="20"/>
          <w:szCs w:val="20"/>
          <w:lang w:val="en-GB"/>
        </w:rPr>
        <w:t xml:space="preserve"> manual packaging</w:t>
      </w:r>
      <w:r w:rsidRPr="009C4F02">
        <w:rPr>
          <w:rFonts w:ascii="Calibri" w:hAnsi="Calibri"/>
          <w:sz w:val="20"/>
          <w:szCs w:val="20"/>
          <w:lang w:val="en-GB"/>
        </w:rPr>
        <w:t xml:space="preserve"> </w:t>
      </w:r>
      <w:r w:rsidRPr="00CD33A5">
        <w:rPr>
          <w:rFonts w:ascii="Calibri" w:hAnsi="Calibri"/>
          <w:sz w:val="20"/>
          <w:szCs w:val="20"/>
          <w:lang w:val="en-GB"/>
        </w:rPr>
        <w:t xml:space="preserve">filter, </w:t>
      </w:r>
      <w:r>
        <w:rPr>
          <w:rFonts w:ascii="Calibri" w:hAnsi="Calibri"/>
          <w:sz w:val="20"/>
          <w:szCs w:val="20"/>
          <w:lang w:val="en-GB"/>
        </w:rPr>
        <w:t>stock pots</w:t>
      </w:r>
      <w:r w:rsidRPr="00CD33A5">
        <w:rPr>
          <w:rFonts w:ascii="Calibri" w:hAnsi="Calibri"/>
          <w:sz w:val="20"/>
          <w:szCs w:val="20"/>
          <w:lang w:val="en-GB"/>
        </w:rPr>
        <w:t>, barrel, energy saving fire</w:t>
      </w:r>
      <w:r>
        <w:rPr>
          <w:rFonts w:ascii="Calibri" w:hAnsi="Calibri"/>
          <w:sz w:val="20"/>
          <w:szCs w:val="20"/>
          <w:lang w:val="en-GB"/>
        </w:rPr>
        <w:t xml:space="preserve"> stove</w:t>
      </w:r>
      <w:r w:rsidRPr="00CD33A5">
        <w:rPr>
          <w:rFonts w:ascii="Calibri" w:hAnsi="Calibri"/>
          <w:sz w:val="20"/>
          <w:szCs w:val="20"/>
          <w:lang w:val="en-GB"/>
        </w:rPr>
        <w:t>, briquetting machine for briquetting residues.</w:t>
      </w:r>
    </w:p>
    <w:p w14:paraId="4E08CFD3" w14:textId="77777777" w:rsidR="00302BFE" w:rsidRPr="00CD33A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CD33A5">
        <w:rPr>
          <w:rFonts w:ascii="Calibri" w:hAnsi="Calibri"/>
          <w:sz w:val="20"/>
          <w:szCs w:val="20"/>
          <w:lang w:val="en-GB"/>
        </w:rPr>
        <w:t xml:space="preserve">These actions will benefit from similar projects conducted by other structures in the field which constitute co-financing for the project. Examples include: (i) conservation and sustainable use of forest products, including beekeeping in the </w:t>
      </w:r>
      <w:proofErr w:type="spellStart"/>
      <w:r w:rsidRPr="00CD33A5">
        <w:rPr>
          <w:rFonts w:ascii="Calibri" w:hAnsi="Calibri"/>
          <w:sz w:val="20"/>
          <w:szCs w:val="20"/>
          <w:lang w:val="en-GB"/>
        </w:rPr>
        <w:t>Nazinga</w:t>
      </w:r>
      <w:proofErr w:type="spellEnd"/>
      <w:r w:rsidRPr="00CD33A5">
        <w:rPr>
          <w:rFonts w:ascii="Calibri" w:hAnsi="Calibri"/>
          <w:sz w:val="20"/>
          <w:szCs w:val="20"/>
          <w:lang w:val="en-GB"/>
        </w:rPr>
        <w:t xml:space="preserve"> area by the NGO </w:t>
      </w:r>
      <w:proofErr w:type="spellStart"/>
      <w:r w:rsidRPr="00CD33A5">
        <w:rPr>
          <w:rFonts w:ascii="Calibri" w:hAnsi="Calibri"/>
          <w:sz w:val="20"/>
          <w:szCs w:val="20"/>
          <w:lang w:val="en-GB"/>
        </w:rPr>
        <w:t>Natudev</w:t>
      </w:r>
      <w:proofErr w:type="spellEnd"/>
      <w:r w:rsidRPr="00CD33A5">
        <w:rPr>
          <w:rFonts w:ascii="Calibri" w:hAnsi="Calibri"/>
          <w:sz w:val="20"/>
          <w:szCs w:val="20"/>
          <w:lang w:val="en-GB"/>
        </w:rPr>
        <w:t xml:space="preserve">; (ii) the project to support the valorisation of </w:t>
      </w:r>
      <w:r w:rsidRPr="00831652">
        <w:rPr>
          <w:rFonts w:ascii="Calibri" w:hAnsi="Calibri"/>
          <w:sz w:val="20"/>
          <w:szCs w:val="20"/>
          <w:lang w:val="en-GB"/>
        </w:rPr>
        <w:t>NTFPs</w:t>
      </w:r>
      <w:r w:rsidRPr="00CD33A5">
        <w:rPr>
          <w:rFonts w:ascii="Calibri" w:hAnsi="Calibri"/>
          <w:sz w:val="20"/>
          <w:szCs w:val="20"/>
          <w:lang w:val="en-GB"/>
        </w:rPr>
        <w:t xml:space="preserve"> led by the NGO Tree Aid; (iii) the community development support projects led by the Ga Mo </w:t>
      </w:r>
      <w:proofErr w:type="spellStart"/>
      <w:r w:rsidRPr="00CD33A5">
        <w:rPr>
          <w:rFonts w:ascii="Calibri" w:hAnsi="Calibri"/>
          <w:sz w:val="20"/>
          <w:szCs w:val="20"/>
          <w:lang w:val="en-GB"/>
        </w:rPr>
        <w:t>Wiya</w:t>
      </w:r>
      <w:proofErr w:type="spellEnd"/>
      <w:r w:rsidRPr="00CD33A5">
        <w:rPr>
          <w:rFonts w:ascii="Calibri" w:hAnsi="Calibri"/>
          <w:sz w:val="20"/>
          <w:szCs w:val="20"/>
          <w:lang w:val="en-GB"/>
        </w:rPr>
        <w:t xml:space="preserve"> association; (iv) the Participatory Management of Classified Forest for REDD+ (PGFC/REDD+) project led by the Forest Investment Program; etc.</w:t>
      </w:r>
    </w:p>
    <w:p w14:paraId="4319B42F" w14:textId="77777777" w:rsidR="00302BFE" w:rsidRPr="00CD33A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CD33A5">
        <w:rPr>
          <w:rFonts w:ascii="Calibri" w:hAnsi="Calibri"/>
          <w:sz w:val="20"/>
          <w:szCs w:val="20"/>
          <w:lang w:val="en-GB"/>
        </w:rPr>
        <w:t xml:space="preserve">The experiences, the know-how, the training modules, the management tools developed within the framework of these projects as well as the infrastructures such as the NTFP storage shops, the capacity building of certain groups of women, the Development of shea butter and honey </w:t>
      </w:r>
      <w:r>
        <w:rPr>
          <w:rFonts w:ascii="Calibri" w:hAnsi="Calibri"/>
          <w:sz w:val="20"/>
          <w:szCs w:val="20"/>
          <w:lang w:val="en-GB"/>
        </w:rPr>
        <w:t>market outlets</w:t>
      </w:r>
      <w:r w:rsidRPr="00CD33A5">
        <w:rPr>
          <w:rFonts w:ascii="Calibri" w:hAnsi="Calibri"/>
          <w:sz w:val="20"/>
          <w:szCs w:val="20"/>
          <w:lang w:val="en-GB"/>
        </w:rPr>
        <w:t xml:space="preserve"> are all actions and tools on which the project can rely to carry out its interventions related to the development of the </w:t>
      </w:r>
      <w:r>
        <w:rPr>
          <w:rFonts w:ascii="Calibri" w:hAnsi="Calibri"/>
          <w:sz w:val="20"/>
          <w:szCs w:val="20"/>
          <w:lang w:val="en-GB"/>
        </w:rPr>
        <w:t>value chains</w:t>
      </w:r>
      <w:r w:rsidRPr="00CD33A5">
        <w:rPr>
          <w:rFonts w:ascii="Calibri" w:hAnsi="Calibri"/>
          <w:sz w:val="20"/>
          <w:szCs w:val="20"/>
          <w:lang w:val="en-GB"/>
        </w:rPr>
        <w:t>.</w:t>
      </w:r>
    </w:p>
    <w:p w14:paraId="4C224371" w14:textId="763F983C" w:rsidR="00302BFE" w:rsidRDefault="00302BFE" w:rsidP="00302BFE">
      <w:pPr>
        <w:pStyle w:val="Paragraphedeliste"/>
        <w:tabs>
          <w:tab w:val="left" w:pos="284"/>
        </w:tabs>
        <w:spacing w:before="120" w:after="120"/>
        <w:ind w:left="0"/>
        <w:jc w:val="both"/>
        <w:rPr>
          <w:rFonts w:ascii="Calibri" w:hAnsi="Calibri"/>
          <w:i/>
          <w:color w:val="4472C4"/>
          <w:sz w:val="20"/>
          <w:szCs w:val="20"/>
          <w:lang w:val="en-GB"/>
        </w:rPr>
      </w:pPr>
      <w:r w:rsidRPr="00CD33A5">
        <w:rPr>
          <w:rFonts w:ascii="Calibri" w:hAnsi="Calibri"/>
          <w:i/>
          <w:color w:val="4472C4"/>
          <w:sz w:val="20"/>
          <w:szCs w:val="20"/>
          <w:lang w:val="en-GB"/>
        </w:rPr>
        <w:t>3.3.7 Support for marketing</w:t>
      </w:r>
    </w:p>
    <w:p w14:paraId="00C03B66" w14:textId="226D9AE0" w:rsidR="00047338" w:rsidRPr="00047338" w:rsidRDefault="00047338" w:rsidP="00BE65D5">
      <w:pPr>
        <w:spacing w:before="120" w:after="120"/>
        <w:rPr>
          <w:iCs/>
          <w:color w:val="4472C4"/>
          <w:szCs w:val="20"/>
          <w:lang w:val="en-GB"/>
        </w:rPr>
      </w:pPr>
      <w:r w:rsidRPr="00413D2B">
        <w:rPr>
          <w:iCs/>
          <w:color w:val="4472C4"/>
          <w:szCs w:val="20"/>
          <w:lang w:val="en-GB"/>
        </w:rPr>
        <w:t xml:space="preserve">For this activity, the FPIC (Free, Prior and Informed Consent) process </w:t>
      </w:r>
      <w:proofErr w:type="gramStart"/>
      <w:r w:rsidRPr="00413D2B">
        <w:rPr>
          <w:iCs/>
          <w:color w:val="4472C4"/>
          <w:szCs w:val="20"/>
          <w:lang w:val="en-GB"/>
        </w:rPr>
        <w:t>has to</w:t>
      </w:r>
      <w:proofErr w:type="gramEnd"/>
      <w:r w:rsidRPr="00413D2B">
        <w:rPr>
          <w:iCs/>
          <w:color w:val="4472C4"/>
          <w:szCs w:val="20"/>
          <w:lang w:val="en-GB"/>
        </w:rPr>
        <w:t xml:space="preserve"> be ensured</w:t>
      </w:r>
    </w:p>
    <w:p w14:paraId="5982341F"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CD33A5">
        <w:rPr>
          <w:rFonts w:ascii="Calibri" w:hAnsi="Calibri"/>
          <w:sz w:val="20"/>
          <w:szCs w:val="20"/>
          <w:lang w:val="en-GB"/>
        </w:rPr>
        <w:t xml:space="preserve">The project will support the implementation of a communication strategy related to the marketing of the various products of </w:t>
      </w:r>
      <w:proofErr w:type="spellStart"/>
      <w:r w:rsidRPr="00CD33A5">
        <w:rPr>
          <w:rFonts w:ascii="Calibri" w:hAnsi="Calibri"/>
          <w:sz w:val="20"/>
          <w:szCs w:val="20"/>
          <w:lang w:val="en-GB"/>
        </w:rPr>
        <w:t>go</w:t>
      </w:r>
      <w:r>
        <w:rPr>
          <w:rFonts w:ascii="Calibri" w:hAnsi="Calibri"/>
          <w:sz w:val="20"/>
          <w:szCs w:val="20"/>
          <w:lang w:val="en-GB"/>
        </w:rPr>
        <w:t>ine</w:t>
      </w:r>
      <w:proofErr w:type="spellEnd"/>
      <w:r w:rsidRPr="00CD33A5">
        <w:rPr>
          <w:rFonts w:ascii="Calibri" w:hAnsi="Calibri"/>
          <w:sz w:val="20"/>
          <w:szCs w:val="20"/>
          <w:lang w:val="en-GB"/>
        </w:rPr>
        <w:t xml:space="preserve"> liana juice, quality honey and shea butter. This strategy will include the creation of a brand image and a label for products from cooperatives in the PONASI landscape - representing cooperatives and products</w:t>
      </w:r>
      <w:r>
        <w:rPr>
          <w:rFonts w:ascii="Calibri" w:hAnsi="Calibri"/>
          <w:sz w:val="20"/>
          <w:szCs w:val="20"/>
          <w:lang w:val="en-GB"/>
        </w:rPr>
        <w:t xml:space="preserve"> proposed</w:t>
      </w:r>
      <w:r w:rsidRPr="00CD33A5">
        <w:rPr>
          <w:rFonts w:ascii="Calibri" w:hAnsi="Calibri"/>
          <w:sz w:val="20"/>
          <w:szCs w:val="20"/>
          <w:lang w:val="en-GB"/>
        </w:rPr>
        <w:t xml:space="preserve"> on the market, </w:t>
      </w:r>
      <w:r>
        <w:rPr>
          <w:rFonts w:ascii="Calibri" w:hAnsi="Calibri"/>
          <w:sz w:val="20"/>
          <w:szCs w:val="20"/>
          <w:lang w:val="en-GB"/>
        </w:rPr>
        <w:t>associating</w:t>
      </w:r>
      <w:r w:rsidRPr="00CD33A5">
        <w:rPr>
          <w:rFonts w:ascii="Calibri" w:hAnsi="Calibri"/>
          <w:sz w:val="20"/>
          <w:szCs w:val="20"/>
          <w:lang w:val="en-GB"/>
        </w:rPr>
        <w:t xml:space="preserve"> protected areas and biodiversity </w:t>
      </w:r>
      <w:r>
        <w:rPr>
          <w:rFonts w:ascii="Calibri" w:hAnsi="Calibri"/>
          <w:sz w:val="20"/>
          <w:szCs w:val="20"/>
          <w:lang w:val="en-GB"/>
        </w:rPr>
        <w:t>to the</w:t>
      </w:r>
      <w:r w:rsidRPr="00CD33A5">
        <w:rPr>
          <w:rFonts w:ascii="Calibri" w:hAnsi="Calibri"/>
          <w:sz w:val="20"/>
          <w:szCs w:val="20"/>
          <w:lang w:val="en-GB"/>
        </w:rPr>
        <w:t xml:space="preserve"> products. The project will support the participation of cooperatives in fairs and other national events promoting N</w:t>
      </w:r>
      <w:r>
        <w:rPr>
          <w:rFonts w:ascii="Calibri" w:hAnsi="Calibri"/>
          <w:sz w:val="20"/>
          <w:szCs w:val="20"/>
          <w:lang w:val="en-GB"/>
        </w:rPr>
        <w:t>TF</w:t>
      </w:r>
      <w:r w:rsidRPr="00CD33A5">
        <w:rPr>
          <w:rFonts w:ascii="Calibri" w:hAnsi="Calibri"/>
          <w:sz w:val="20"/>
          <w:szCs w:val="20"/>
          <w:lang w:val="en-GB"/>
        </w:rPr>
        <w:t>Ps.</w:t>
      </w:r>
    </w:p>
    <w:p w14:paraId="73165C94" w14:textId="459B9FDE" w:rsidR="00302BFE" w:rsidRDefault="00302BFE" w:rsidP="00302BFE">
      <w:pPr>
        <w:pStyle w:val="Paragraphedeliste"/>
        <w:tabs>
          <w:tab w:val="left" w:pos="284"/>
        </w:tabs>
        <w:spacing w:before="240" w:after="120"/>
        <w:ind w:left="0"/>
        <w:jc w:val="both"/>
        <w:rPr>
          <w:rFonts w:ascii="Calibri" w:hAnsi="Calibri"/>
          <w:b/>
          <w:sz w:val="20"/>
          <w:szCs w:val="20"/>
          <w:lang w:val="en-GB"/>
        </w:rPr>
      </w:pPr>
      <w:r w:rsidRPr="00A93827">
        <w:rPr>
          <w:rFonts w:ascii="Calibri" w:hAnsi="Calibri"/>
          <w:b/>
          <w:sz w:val="20"/>
          <w:szCs w:val="20"/>
          <w:lang w:val="en-GB"/>
        </w:rPr>
        <w:lastRenderedPageBreak/>
        <w:t>Output 3.4 Strengthened capacities for better sharing of tourism benefits with local communities in the PONASI landscape. This support will include trainings for existing enterprises and at the community level, and support partnerships with the private sector.</w:t>
      </w:r>
    </w:p>
    <w:p w14:paraId="02514E48" w14:textId="23A6FFB9" w:rsidR="00087970" w:rsidRPr="00413D2B" w:rsidRDefault="00087970" w:rsidP="00087970">
      <w:pPr>
        <w:spacing w:after="0"/>
        <w:contextualSpacing/>
        <w:rPr>
          <w:bCs/>
          <w:szCs w:val="20"/>
          <w:lang w:val="en-GB"/>
        </w:rPr>
      </w:pPr>
      <w:r w:rsidRPr="00413D2B">
        <w:rPr>
          <w:bCs/>
          <w:szCs w:val="20"/>
          <w:lang w:val="en-GB"/>
        </w:rPr>
        <w:t xml:space="preserve">To assess and manage the impacts of this Output, as indicated in the SESP – in attachment to the </w:t>
      </w:r>
      <w:proofErr w:type="spellStart"/>
      <w:r w:rsidRPr="00413D2B">
        <w:rPr>
          <w:bCs/>
          <w:szCs w:val="20"/>
          <w:lang w:val="en-GB"/>
        </w:rPr>
        <w:t>ProDoc</w:t>
      </w:r>
      <w:proofErr w:type="spellEnd"/>
      <w:r w:rsidRPr="00413D2B">
        <w:rPr>
          <w:bCs/>
          <w:szCs w:val="20"/>
          <w:lang w:val="en-GB"/>
        </w:rPr>
        <w:t xml:space="preserve"> – the following assessment and management processes will be put in place, to comply with UNDP SES:</w:t>
      </w:r>
    </w:p>
    <w:p w14:paraId="0434CF97" w14:textId="77777777" w:rsidR="00087970" w:rsidRPr="00413D2B" w:rsidRDefault="00087970" w:rsidP="00087970">
      <w:pPr>
        <w:spacing w:after="0"/>
        <w:contextualSpacing/>
        <w:rPr>
          <w:bCs/>
          <w:szCs w:val="20"/>
          <w:u w:val="single"/>
          <w:lang w:val="en-GB"/>
        </w:rPr>
      </w:pPr>
      <w:r w:rsidRPr="00413D2B">
        <w:rPr>
          <w:bCs/>
          <w:szCs w:val="20"/>
          <w:u w:val="single"/>
          <w:lang w:val="en-GB"/>
        </w:rPr>
        <w:t>Assessments:</w:t>
      </w:r>
    </w:p>
    <w:p w14:paraId="790C8682" w14:textId="77777777" w:rsidR="00087970" w:rsidRPr="00413D2B" w:rsidRDefault="00087970" w:rsidP="00087970">
      <w:pPr>
        <w:spacing w:after="0"/>
        <w:contextualSpacing/>
        <w:rPr>
          <w:bCs/>
          <w:szCs w:val="20"/>
          <w:lang w:val="en-GB"/>
        </w:rPr>
      </w:pPr>
      <w:r w:rsidRPr="00413D2B">
        <w:rPr>
          <w:bCs/>
          <w:szCs w:val="20"/>
          <w:lang w:val="en-GB"/>
        </w:rPr>
        <w:t xml:space="preserve">SESA </w:t>
      </w:r>
    </w:p>
    <w:p w14:paraId="709111F7" w14:textId="77777777" w:rsidR="00087970" w:rsidRPr="00413D2B" w:rsidRDefault="00087970" w:rsidP="00087970">
      <w:pPr>
        <w:spacing w:after="0"/>
        <w:contextualSpacing/>
        <w:rPr>
          <w:bCs/>
          <w:szCs w:val="20"/>
          <w:lang w:val="en-GB"/>
        </w:rPr>
      </w:pPr>
      <w:r w:rsidRPr="00413D2B">
        <w:rPr>
          <w:bCs/>
          <w:szCs w:val="20"/>
          <w:lang w:val="en-GB"/>
        </w:rPr>
        <w:t>ESIA</w:t>
      </w:r>
    </w:p>
    <w:p w14:paraId="086B1F41" w14:textId="77777777" w:rsidR="00087970" w:rsidRPr="00413D2B" w:rsidRDefault="00087970" w:rsidP="00087970">
      <w:pPr>
        <w:spacing w:after="0"/>
        <w:contextualSpacing/>
        <w:rPr>
          <w:bCs/>
          <w:szCs w:val="20"/>
          <w:lang w:val="en-GB"/>
        </w:rPr>
      </w:pPr>
      <w:r w:rsidRPr="00413D2B">
        <w:rPr>
          <w:bCs/>
          <w:szCs w:val="20"/>
          <w:lang w:val="en-GB"/>
        </w:rPr>
        <w:t>Gender Analysis</w:t>
      </w:r>
      <w:r w:rsidRPr="00413D2B">
        <w:rPr>
          <w:bCs/>
          <w:szCs w:val="20"/>
          <w:lang w:val="en-GB"/>
        </w:rPr>
        <w:tab/>
      </w:r>
    </w:p>
    <w:p w14:paraId="109AB118" w14:textId="77777777" w:rsidR="00087970" w:rsidRPr="00413D2B" w:rsidRDefault="00087970" w:rsidP="00087970">
      <w:pPr>
        <w:spacing w:after="0"/>
        <w:contextualSpacing/>
        <w:rPr>
          <w:bCs/>
          <w:szCs w:val="20"/>
          <w:u w:val="single"/>
          <w:lang w:val="en-GB"/>
        </w:rPr>
      </w:pPr>
      <w:r w:rsidRPr="00413D2B">
        <w:rPr>
          <w:bCs/>
          <w:szCs w:val="20"/>
          <w:u w:val="single"/>
          <w:lang w:val="en-GB"/>
        </w:rPr>
        <w:t>Management:</w:t>
      </w:r>
    </w:p>
    <w:p w14:paraId="046A454A" w14:textId="77777777" w:rsidR="00087970" w:rsidRPr="00413D2B" w:rsidRDefault="00087970" w:rsidP="00087970">
      <w:pPr>
        <w:spacing w:after="0"/>
        <w:contextualSpacing/>
        <w:rPr>
          <w:bCs/>
          <w:szCs w:val="20"/>
          <w:lang w:val="en-GB"/>
        </w:rPr>
      </w:pPr>
      <w:r w:rsidRPr="00413D2B">
        <w:rPr>
          <w:bCs/>
          <w:szCs w:val="20"/>
          <w:lang w:val="en-GB"/>
        </w:rPr>
        <w:t xml:space="preserve">SESA report and recommendations (Actions Matrix) </w:t>
      </w:r>
    </w:p>
    <w:p w14:paraId="1988AD34" w14:textId="58AD1E25" w:rsidR="00087970" w:rsidRPr="00413D2B" w:rsidRDefault="00087970" w:rsidP="00087970">
      <w:pPr>
        <w:spacing w:after="0"/>
        <w:contextualSpacing/>
        <w:rPr>
          <w:bCs/>
          <w:szCs w:val="20"/>
          <w:lang w:val="en-GB"/>
        </w:rPr>
      </w:pPr>
      <w:r w:rsidRPr="00413D2B">
        <w:rPr>
          <w:bCs/>
          <w:szCs w:val="20"/>
          <w:lang w:val="en-GB"/>
        </w:rPr>
        <w:t>Comprehensive Stakeholder Engagement Plan</w:t>
      </w:r>
    </w:p>
    <w:p w14:paraId="2B69624F" w14:textId="77777777" w:rsidR="00087970" w:rsidRPr="00413D2B" w:rsidRDefault="00087970" w:rsidP="00087970">
      <w:pPr>
        <w:spacing w:after="0"/>
        <w:contextualSpacing/>
        <w:rPr>
          <w:bCs/>
          <w:szCs w:val="20"/>
          <w:lang w:val="en-GB"/>
        </w:rPr>
      </w:pPr>
      <w:r w:rsidRPr="00413D2B">
        <w:rPr>
          <w:bCs/>
          <w:szCs w:val="20"/>
          <w:lang w:val="en-GB"/>
        </w:rPr>
        <w:t>Indigenous People Plan</w:t>
      </w:r>
    </w:p>
    <w:p w14:paraId="04ED2FF1" w14:textId="77777777" w:rsidR="00087970" w:rsidRPr="00413D2B" w:rsidRDefault="00087970" w:rsidP="00087970">
      <w:pPr>
        <w:spacing w:after="0"/>
        <w:contextualSpacing/>
        <w:rPr>
          <w:bCs/>
          <w:szCs w:val="20"/>
          <w:lang w:val="en-GB"/>
        </w:rPr>
      </w:pPr>
      <w:r w:rsidRPr="00413D2B">
        <w:rPr>
          <w:bCs/>
          <w:szCs w:val="20"/>
          <w:lang w:val="en-GB"/>
        </w:rPr>
        <w:t xml:space="preserve">Gender Action Plan </w:t>
      </w:r>
    </w:p>
    <w:p w14:paraId="1A54EFB8" w14:textId="77777777" w:rsidR="00087970" w:rsidRPr="00413D2B" w:rsidRDefault="00087970" w:rsidP="00087970">
      <w:pPr>
        <w:spacing w:after="0"/>
        <w:contextualSpacing/>
        <w:rPr>
          <w:bCs/>
          <w:szCs w:val="20"/>
          <w:lang w:val="en-GB"/>
        </w:rPr>
      </w:pPr>
      <w:r w:rsidRPr="00413D2B">
        <w:rPr>
          <w:bCs/>
          <w:szCs w:val="20"/>
          <w:lang w:val="en-GB"/>
        </w:rPr>
        <w:t>ESMP</w:t>
      </w:r>
    </w:p>
    <w:p w14:paraId="7E50F198" w14:textId="77777777" w:rsidR="00087970" w:rsidRPr="00413D2B" w:rsidRDefault="00087970" w:rsidP="00302BFE">
      <w:pPr>
        <w:pStyle w:val="Paragraphedeliste"/>
        <w:tabs>
          <w:tab w:val="left" w:pos="284"/>
        </w:tabs>
        <w:spacing w:before="240" w:after="120"/>
        <w:ind w:left="0"/>
        <w:jc w:val="both"/>
        <w:rPr>
          <w:rFonts w:ascii="Calibri" w:hAnsi="Calibri"/>
          <w:b/>
          <w:sz w:val="20"/>
          <w:szCs w:val="20"/>
          <w:lang w:val="en-GB"/>
        </w:rPr>
      </w:pPr>
    </w:p>
    <w:p w14:paraId="3BEA995E" w14:textId="44D78E4E" w:rsidR="00302BFE" w:rsidRPr="00413D2B" w:rsidRDefault="00302BFE" w:rsidP="00302BFE">
      <w:pPr>
        <w:pStyle w:val="Paragraphedeliste"/>
        <w:tabs>
          <w:tab w:val="left" w:pos="284"/>
        </w:tabs>
        <w:spacing w:before="120" w:after="120"/>
        <w:ind w:left="0"/>
        <w:jc w:val="both"/>
        <w:rPr>
          <w:rFonts w:ascii="Calibri" w:hAnsi="Calibri"/>
          <w:i/>
          <w:color w:val="4472C4"/>
          <w:sz w:val="20"/>
          <w:szCs w:val="20"/>
          <w:lang w:val="en-GB"/>
        </w:rPr>
      </w:pPr>
      <w:bookmarkStart w:id="16" w:name="_Hlk4856968"/>
      <w:r w:rsidRPr="00413D2B">
        <w:rPr>
          <w:rFonts w:ascii="Calibri" w:hAnsi="Calibri"/>
          <w:i/>
          <w:color w:val="4472C4"/>
          <w:sz w:val="20"/>
          <w:szCs w:val="20"/>
          <w:lang w:val="en-GB"/>
        </w:rPr>
        <w:t>3.4.1 Establish a sustainable tourism strategy for the PONASI landscape</w:t>
      </w:r>
      <w:r w:rsidR="001353B0" w:rsidRPr="00413D2B">
        <w:rPr>
          <w:rFonts w:ascii="Calibri" w:hAnsi="Calibri"/>
          <w:i/>
          <w:color w:val="4472C4"/>
          <w:sz w:val="20"/>
          <w:szCs w:val="20"/>
          <w:lang w:val="en-GB"/>
        </w:rPr>
        <w:t xml:space="preserve"> (Specific development plan for sustainable tourism in the PONASI area in the current context)</w:t>
      </w:r>
    </w:p>
    <w:p w14:paraId="1C7B2A98" w14:textId="5C108802" w:rsidR="003C3F01" w:rsidRPr="00BE65D5" w:rsidRDefault="003C3F01" w:rsidP="00BE65D5">
      <w:pPr>
        <w:spacing w:before="120" w:after="120"/>
        <w:rPr>
          <w:iCs/>
          <w:color w:val="4472C4"/>
          <w:szCs w:val="20"/>
          <w:lang w:val="en-GB"/>
        </w:rPr>
      </w:pPr>
      <w:r w:rsidRPr="00413D2B">
        <w:rPr>
          <w:iCs/>
          <w:color w:val="4472C4"/>
          <w:szCs w:val="20"/>
          <w:lang w:val="en-GB"/>
        </w:rPr>
        <w:t xml:space="preserve">For this activity, the FPIC (Free, Prior and Informed Consent) process </w:t>
      </w:r>
      <w:proofErr w:type="gramStart"/>
      <w:r w:rsidRPr="00413D2B">
        <w:rPr>
          <w:iCs/>
          <w:color w:val="4472C4"/>
          <w:szCs w:val="20"/>
          <w:lang w:val="en-GB"/>
        </w:rPr>
        <w:t>has to</w:t>
      </w:r>
      <w:proofErr w:type="gramEnd"/>
      <w:r w:rsidRPr="00413D2B">
        <w:rPr>
          <w:iCs/>
          <w:color w:val="4472C4"/>
          <w:szCs w:val="20"/>
          <w:lang w:val="en-GB"/>
        </w:rPr>
        <w:t xml:space="preserve"> be ensured</w:t>
      </w: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4"/>
      </w:tblGrid>
      <w:tr w:rsidR="00302BFE" w:rsidRPr="009B00F0" w14:paraId="5A8B1956" w14:textId="77777777" w:rsidTr="00E6163D">
        <w:trPr>
          <w:jc w:val="center"/>
        </w:trPr>
        <w:tc>
          <w:tcPr>
            <w:tcW w:w="9634" w:type="dxa"/>
            <w:shd w:val="clear" w:color="auto" w:fill="auto"/>
          </w:tcPr>
          <w:p w14:paraId="320A91E0" w14:textId="77777777" w:rsidR="00302BFE" w:rsidRPr="00806024" w:rsidRDefault="00302BFE" w:rsidP="00243B15">
            <w:pPr>
              <w:rPr>
                <w:rFonts w:ascii="Calibri Light" w:hAnsi="Calibri Light"/>
                <w:b/>
                <w:sz w:val="18"/>
                <w:szCs w:val="18"/>
              </w:rPr>
            </w:pPr>
            <w:r w:rsidRPr="00806024">
              <w:rPr>
                <w:rFonts w:ascii="Calibri Light" w:hAnsi="Calibri Light"/>
                <w:b/>
                <w:sz w:val="18"/>
                <w:szCs w:val="18"/>
              </w:rPr>
              <w:t>PONASI tourism strategy outline</w:t>
            </w:r>
          </w:p>
        </w:tc>
      </w:tr>
      <w:tr w:rsidR="00302BFE" w:rsidRPr="009B00F0" w14:paraId="0F674AAF" w14:textId="77777777" w:rsidTr="00E6163D">
        <w:trPr>
          <w:jc w:val="center"/>
        </w:trPr>
        <w:tc>
          <w:tcPr>
            <w:tcW w:w="9634" w:type="dxa"/>
            <w:shd w:val="clear" w:color="auto" w:fill="auto"/>
          </w:tcPr>
          <w:p w14:paraId="2557E5B7" w14:textId="77777777" w:rsidR="00302BFE" w:rsidRPr="00806024" w:rsidRDefault="00302BFE" w:rsidP="00C46720">
            <w:pPr>
              <w:numPr>
                <w:ilvl w:val="0"/>
                <w:numId w:val="25"/>
              </w:numPr>
              <w:spacing w:after="0"/>
              <w:jc w:val="left"/>
              <w:rPr>
                <w:rFonts w:ascii="Calibri Light" w:hAnsi="Calibri Light"/>
                <w:sz w:val="18"/>
                <w:szCs w:val="18"/>
              </w:rPr>
            </w:pPr>
            <w:r w:rsidRPr="00806024">
              <w:rPr>
                <w:rFonts w:ascii="Calibri Light" w:hAnsi="Calibri Light"/>
                <w:sz w:val="18"/>
                <w:szCs w:val="18"/>
              </w:rPr>
              <w:t>Introduction &amp; background</w:t>
            </w:r>
          </w:p>
          <w:p w14:paraId="38145F6B" w14:textId="77777777" w:rsidR="00302BFE" w:rsidRPr="00806024" w:rsidRDefault="00302BFE" w:rsidP="00C46720">
            <w:pPr>
              <w:numPr>
                <w:ilvl w:val="0"/>
                <w:numId w:val="25"/>
              </w:numPr>
              <w:spacing w:after="0"/>
              <w:jc w:val="left"/>
              <w:rPr>
                <w:rFonts w:ascii="Calibri Light" w:hAnsi="Calibri Light"/>
                <w:sz w:val="18"/>
                <w:szCs w:val="18"/>
              </w:rPr>
            </w:pPr>
            <w:r w:rsidRPr="00806024">
              <w:rPr>
                <w:rFonts w:ascii="Calibri Light" w:hAnsi="Calibri Light"/>
                <w:sz w:val="18"/>
                <w:szCs w:val="18"/>
              </w:rPr>
              <w:t xml:space="preserve">Strategic objectives, </w:t>
            </w:r>
            <w:proofErr w:type="gramStart"/>
            <w:r w:rsidRPr="00806024">
              <w:rPr>
                <w:rFonts w:ascii="Calibri Light" w:hAnsi="Calibri Light"/>
                <w:sz w:val="18"/>
                <w:szCs w:val="18"/>
              </w:rPr>
              <w:t>targets</w:t>
            </w:r>
            <w:proofErr w:type="gramEnd"/>
            <w:r w:rsidRPr="00806024">
              <w:rPr>
                <w:rFonts w:ascii="Calibri Light" w:hAnsi="Calibri Light"/>
                <w:sz w:val="18"/>
                <w:szCs w:val="18"/>
              </w:rPr>
              <w:t xml:space="preserve"> and protected areas</w:t>
            </w:r>
          </w:p>
          <w:p w14:paraId="009D5FB8" w14:textId="77777777" w:rsidR="00302BFE" w:rsidRPr="00806024" w:rsidRDefault="00302BFE" w:rsidP="00C46720">
            <w:pPr>
              <w:numPr>
                <w:ilvl w:val="0"/>
                <w:numId w:val="25"/>
              </w:numPr>
              <w:spacing w:after="0"/>
              <w:jc w:val="left"/>
              <w:rPr>
                <w:rFonts w:ascii="Calibri Light" w:hAnsi="Calibri Light"/>
                <w:sz w:val="18"/>
                <w:szCs w:val="18"/>
              </w:rPr>
            </w:pPr>
            <w:r w:rsidRPr="00806024">
              <w:rPr>
                <w:rFonts w:ascii="Calibri Light" w:hAnsi="Calibri Light"/>
                <w:sz w:val="18"/>
                <w:szCs w:val="18"/>
              </w:rPr>
              <w:t>PONASI landscape tourism priorities and actions:</w:t>
            </w:r>
          </w:p>
          <w:p w14:paraId="306DD323" w14:textId="77777777" w:rsidR="00302BFE" w:rsidRPr="00806024" w:rsidRDefault="00302BFE" w:rsidP="00C46720">
            <w:pPr>
              <w:numPr>
                <w:ilvl w:val="1"/>
                <w:numId w:val="26"/>
              </w:numPr>
              <w:spacing w:after="0"/>
              <w:ind w:left="594" w:hanging="202"/>
              <w:jc w:val="left"/>
              <w:rPr>
                <w:rFonts w:ascii="Calibri Light" w:hAnsi="Calibri Light"/>
                <w:sz w:val="18"/>
                <w:szCs w:val="18"/>
              </w:rPr>
            </w:pPr>
            <w:r w:rsidRPr="00806024">
              <w:rPr>
                <w:rFonts w:ascii="Calibri Light" w:hAnsi="Calibri Light"/>
                <w:sz w:val="18"/>
                <w:szCs w:val="18"/>
              </w:rPr>
              <w:t>Enabling environment: Policy, strategy, regulations, governance, monitoring &amp; evaluation</w:t>
            </w:r>
          </w:p>
          <w:p w14:paraId="0049AF86" w14:textId="77777777" w:rsidR="00302BFE" w:rsidRPr="00806024" w:rsidRDefault="00302BFE" w:rsidP="00C46720">
            <w:pPr>
              <w:numPr>
                <w:ilvl w:val="1"/>
                <w:numId w:val="26"/>
              </w:numPr>
              <w:spacing w:after="0"/>
              <w:ind w:left="594" w:hanging="202"/>
              <w:jc w:val="left"/>
              <w:rPr>
                <w:rFonts w:ascii="Calibri Light" w:hAnsi="Calibri Light"/>
                <w:sz w:val="18"/>
                <w:szCs w:val="18"/>
              </w:rPr>
            </w:pPr>
            <w:r w:rsidRPr="00806024">
              <w:rPr>
                <w:rFonts w:ascii="Calibri Light" w:hAnsi="Calibri Light"/>
                <w:sz w:val="18"/>
                <w:szCs w:val="18"/>
              </w:rPr>
              <w:t>Demand: Marketing, domestic, international</w:t>
            </w:r>
          </w:p>
          <w:p w14:paraId="25DF6370" w14:textId="77777777" w:rsidR="00302BFE" w:rsidRPr="00806024" w:rsidRDefault="00302BFE" w:rsidP="00C46720">
            <w:pPr>
              <w:numPr>
                <w:ilvl w:val="1"/>
                <w:numId w:val="26"/>
              </w:numPr>
              <w:spacing w:after="0"/>
              <w:ind w:left="594" w:hanging="202"/>
              <w:jc w:val="left"/>
              <w:rPr>
                <w:rFonts w:ascii="Calibri Light" w:hAnsi="Calibri Light"/>
                <w:sz w:val="18"/>
                <w:szCs w:val="18"/>
              </w:rPr>
            </w:pPr>
            <w:r w:rsidRPr="00806024">
              <w:rPr>
                <w:rFonts w:ascii="Calibri Light" w:hAnsi="Calibri Light"/>
                <w:sz w:val="18"/>
                <w:szCs w:val="18"/>
              </w:rPr>
              <w:t>Supply: Capacity building, product development, sustainable tourism, investment promotion, quality assurance</w:t>
            </w:r>
          </w:p>
          <w:p w14:paraId="05F680EB" w14:textId="77777777" w:rsidR="00302BFE" w:rsidRPr="00806024" w:rsidRDefault="00302BFE" w:rsidP="00C46720">
            <w:pPr>
              <w:numPr>
                <w:ilvl w:val="1"/>
                <w:numId w:val="26"/>
              </w:numPr>
              <w:spacing w:after="0"/>
              <w:ind w:left="594" w:hanging="202"/>
              <w:jc w:val="left"/>
              <w:rPr>
                <w:rFonts w:ascii="Calibri Light" w:hAnsi="Calibri Light"/>
                <w:sz w:val="18"/>
                <w:szCs w:val="18"/>
              </w:rPr>
            </w:pPr>
            <w:r w:rsidRPr="00806024">
              <w:rPr>
                <w:rFonts w:ascii="Calibri Light" w:hAnsi="Calibri Light"/>
                <w:sz w:val="18"/>
                <w:szCs w:val="18"/>
              </w:rPr>
              <w:t>Human resources: Training, decent work, service excellence, community benefits</w:t>
            </w:r>
          </w:p>
          <w:p w14:paraId="5CBC6A95" w14:textId="77777777" w:rsidR="00302BFE" w:rsidRPr="00806024" w:rsidRDefault="00302BFE" w:rsidP="00C46720">
            <w:pPr>
              <w:numPr>
                <w:ilvl w:val="1"/>
                <w:numId w:val="26"/>
              </w:numPr>
              <w:spacing w:after="0"/>
              <w:ind w:left="594" w:hanging="202"/>
              <w:jc w:val="left"/>
              <w:rPr>
                <w:rFonts w:ascii="Calibri Light" w:hAnsi="Calibri Light"/>
                <w:sz w:val="18"/>
                <w:szCs w:val="18"/>
              </w:rPr>
            </w:pPr>
            <w:r w:rsidRPr="00806024">
              <w:rPr>
                <w:rFonts w:ascii="Calibri Light" w:hAnsi="Calibri Light"/>
                <w:sz w:val="18"/>
                <w:szCs w:val="18"/>
              </w:rPr>
              <w:t xml:space="preserve">Enabling factors: Safety and security, transportation </w:t>
            </w:r>
          </w:p>
          <w:p w14:paraId="4351C8F5" w14:textId="77777777" w:rsidR="00302BFE" w:rsidRPr="00806024" w:rsidRDefault="00302BFE" w:rsidP="00C46720">
            <w:pPr>
              <w:numPr>
                <w:ilvl w:val="0"/>
                <w:numId w:val="25"/>
              </w:numPr>
              <w:spacing w:after="0"/>
              <w:jc w:val="left"/>
              <w:rPr>
                <w:rFonts w:ascii="Calibri Light" w:hAnsi="Calibri Light"/>
                <w:sz w:val="18"/>
                <w:szCs w:val="18"/>
              </w:rPr>
            </w:pPr>
            <w:r w:rsidRPr="00806024">
              <w:rPr>
                <w:rFonts w:ascii="Calibri Light" w:hAnsi="Calibri Light"/>
                <w:sz w:val="18"/>
                <w:szCs w:val="18"/>
              </w:rPr>
              <w:t>Critical success factors for sustainable success</w:t>
            </w:r>
          </w:p>
          <w:p w14:paraId="339733AD" w14:textId="77777777" w:rsidR="00302BFE" w:rsidRPr="00806024" w:rsidRDefault="00302BFE" w:rsidP="00C46720">
            <w:pPr>
              <w:numPr>
                <w:ilvl w:val="0"/>
                <w:numId w:val="25"/>
              </w:numPr>
              <w:spacing w:after="0"/>
              <w:jc w:val="left"/>
              <w:rPr>
                <w:rFonts w:ascii="Calibri Light" w:hAnsi="Calibri Light"/>
                <w:sz w:val="18"/>
                <w:szCs w:val="18"/>
              </w:rPr>
            </w:pPr>
            <w:r w:rsidRPr="00806024">
              <w:rPr>
                <w:rFonts w:ascii="Calibri Light" w:hAnsi="Calibri Light"/>
                <w:sz w:val="18"/>
                <w:szCs w:val="18"/>
              </w:rPr>
              <w:t>Action plan, including roles and responsibilities</w:t>
            </w:r>
          </w:p>
          <w:p w14:paraId="4AA63110" w14:textId="77777777" w:rsidR="00302BFE" w:rsidRPr="00806024" w:rsidRDefault="00302BFE" w:rsidP="00C46720">
            <w:pPr>
              <w:numPr>
                <w:ilvl w:val="0"/>
                <w:numId w:val="25"/>
              </w:numPr>
              <w:spacing w:after="0"/>
              <w:jc w:val="left"/>
              <w:rPr>
                <w:rFonts w:ascii="Calibri Light" w:hAnsi="Calibri Light"/>
                <w:sz w:val="18"/>
                <w:szCs w:val="18"/>
              </w:rPr>
            </w:pPr>
            <w:r w:rsidRPr="00806024">
              <w:rPr>
                <w:rFonts w:ascii="Calibri Light" w:hAnsi="Calibri Light"/>
                <w:sz w:val="18"/>
                <w:szCs w:val="18"/>
              </w:rPr>
              <w:t>Institutional arrangements, governance, and engagement</w:t>
            </w:r>
          </w:p>
          <w:p w14:paraId="64B51C03" w14:textId="77777777" w:rsidR="00302BFE" w:rsidRPr="00806024" w:rsidRDefault="00302BFE" w:rsidP="00C46720">
            <w:pPr>
              <w:numPr>
                <w:ilvl w:val="0"/>
                <w:numId w:val="25"/>
              </w:numPr>
              <w:spacing w:after="0"/>
              <w:jc w:val="left"/>
              <w:rPr>
                <w:rFonts w:ascii="Calibri Light" w:hAnsi="Calibri Light"/>
                <w:sz w:val="18"/>
                <w:szCs w:val="18"/>
              </w:rPr>
            </w:pPr>
            <w:r w:rsidRPr="00806024">
              <w:rPr>
                <w:rFonts w:ascii="Calibri Light" w:hAnsi="Calibri Light"/>
                <w:sz w:val="18"/>
                <w:szCs w:val="18"/>
              </w:rPr>
              <w:t>Sustainability guidelines: environmental, social, economic</w:t>
            </w:r>
          </w:p>
          <w:p w14:paraId="130079D5" w14:textId="77777777" w:rsidR="00302BFE" w:rsidRPr="00806024" w:rsidRDefault="00302BFE" w:rsidP="00C46720">
            <w:pPr>
              <w:numPr>
                <w:ilvl w:val="0"/>
                <w:numId w:val="25"/>
              </w:numPr>
              <w:spacing w:after="0"/>
              <w:jc w:val="left"/>
              <w:rPr>
                <w:rFonts w:ascii="Calibri Light" w:hAnsi="Calibri Light"/>
                <w:sz w:val="18"/>
                <w:szCs w:val="18"/>
              </w:rPr>
            </w:pPr>
            <w:r w:rsidRPr="00806024">
              <w:rPr>
                <w:rFonts w:ascii="Calibri Light" w:hAnsi="Calibri Light"/>
                <w:sz w:val="18"/>
                <w:szCs w:val="18"/>
              </w:rPr>
              <w:t>Risk factors</w:t>
            </w:r>
          </w:p>
          <w:p w14:paraId="144E9295" w14:textId="77777777" w:rsidR="00302BFE" w:rsidRPr="00806024" w:rsidRDefault="00302BFE" w:rsidP="00C46720">
            <w:pPr>
              <w:numPr>
                <w:ilvl w:val="0"/>
                <w:numId w:val="25"/>
              </w:numPr>
              <w:spacing w:after="0"/>
              <w:jc w:val="left"/>
              <w:rPr>
                <w:rFonts w:ascii="Calibri Light" w:hAnsi="Calibri Light"/>
                <w:sz w:val="18"/>
                <w:szCs w:val="18"/>
              </w:rPr>
            </w:pPr>
            <w:r w:rsidRPr="00806024">
              <w:rPr>
                <w:rFonts w:ascii="Calibri Light" w:hAnsi="Calibri Light"/>
                <w:sz w:val="18"/>
                <w:szCs w:val="18"/>
              </w:rPr>
              <w:t xml:space="preserve">Monitoring, </w:t>
            </w:r>
            <w:proofErr w:type="gramStart"/>
            <w:r w:rsidRPr="00806024">
              <w:rPr>
                <w:rFonts w:ascii="Calibri Light" w:hAnsi="Calibri Light"/>
                <w:sz w:val="18"/>
                <w:szCs w:val="18"/>
              </w:rPr>
              <w:t>evaluation</w:t>
            </w:r>
            <w:proofErr w:type="gramEnd"/>
            <w:r w:rsidRPr="00806024">
              <w:rPr>
                <w:rFonts w:ascii="Calibri Light" w:hAnsi="Calibri Light"/>
                <w:sz w:val="18"/>
                <w:szCs w:val="18"/>
              </w:rPr>
              <w:t xml:space="preserve"> and reporting</w:t>
            </w:r>
          </w:p>
          <w:p w14:paraId="255A2C6E" w14:textId="77777777" w:rsidR="00302BFE" w:rsidRPr="00806024" w:rsidRDefault="00302BFE" w:rsidP="00C46720">
            <w:pPr>
              <w:numPr>
                <w:ilvl w:val="0"/>
                <w:numId w:val="25"/>
              </w:numPr>
              <w:spacing w:after="0"/>
              <w:jc w:val="left"/>
              <w:rPr>
                <w:rFonts w:ascii="Calibri Light" w:hAnsi="Calibri Light"/>
                <w:sz w:val="18"/>
                <w:szCs w:val="18"/>
              </w:rPr>
            </w:pPr>
            <w:r w:rsidRPr="00806024">
              <w:rPr>
                <w:rFonts w:ascii="Calibri Light" w:hAnsi="Calibri Light"/>
                <w:sz w:val="18"/>
                <w:szCs w:val="18"/>
              </w:rPr>
              <w:t>Annexes: References, process of development, consultees</w:t>
            </w:r>
          </w:p>
        </w:tc>
      </w:tr>
    </w:tbl>
    <w:p w14:paraId="08A8E36F" w14:textId="416703C7" w:rsidR="00302BFE" w:rsidRPr="00AB47D0"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413D2B">
        <w:rPr>
          <w:rFonts w:ascii="Calibri" w:hAnsi="Calibri"/>
          <w:sz w:val="20"/>
          <w:szCs w:val="20"/>
        </w:rPr>
        <w:t>A sustainable</w:t>
      </w:r>
      <w:r w:rsidR="00ED1868" w:rsidRPr="00413D2B">
        <w:rPr>
          <w:rFonts w:ascii="Calibri" w:hAnsi="Calibri"/>
          <w:sz w:val="20"/>
          <w:szCs w:val="20"/>
        </w:rPr>
        <w:t xml:space="preserve"> tourism strategy</w:t>
      </w:r>
      <w:r w:rsidR="007E1A3A" w:rsidRPr="00413D2B">
        <w:rPr>
          <w:rStyle w:val="Appelnotedebasdep"/>
          <w:sz w:val="20"/>
          <w:szCs w:val="20"/>
          <w:lang w:val="fr-FR"/>
        </w:rPr>
        <w:footnoteReference w:id="61"/>
      </w:r>
      <w:r w:rsidR="007E1A3A" w:rsidRPr="00413D2B">
        <w:rPr>
          <w:sz w:val="20"/>
          <w:szCs w:val="20"/>
        </w:rPr>
        <w:t xml:space="preserve"> </w:t>
      </w:r>
      <w:r w:rsidR="001C6338" w:rsidRPr="00413D2B">
        <w:rPr>
          <w:sz w:val="20"/>
          <w:szCs w:val="20"/>
        </w:rPr>
        <w:t xml:space="preserve">(Specific development plan for sustainable tourism in the PONASI area in the current context) </w:t>
      </w:r>
      <w:r w:rsidRPr="00413D2B">
        <w:rPr>
          <w:rFonts w:ascii="Calibri" w:hAnsi="Calibri"/>
          <w:sz w:val="20"/>
          <w:szCs w:val="20"/>
        </w:rPr>
        <w:t>will be developed for the PONASI landscape through participatory processes and based on a solid analysis of the current supply and</w:t>
      </w:r>
      <w:r w:rsidRPr="005F3825">
        <w:rPr>
          <w:rFonts w:ascii="Calibri" w:hAnsi="Calibri"/>
          <w:sz w:val="20"/>
          <w:szCs w:val="20"/>
        </w:rPr>
        <w:t xml:space="preserve"> market demand. The strategy will be based on international best practices of sustainable tourism planning (environmental, </w:t>
      </w:r>
      <w:proofErr w:type="gramStart"/>
      <w:r w:rsidRPr="005F3825">
        <w:rPr>
          <w:rFonts w:ascii="Calibri" w:hAnsi="Calibri"/>
          <w:sz w:val="20"/>
          <w:szCs w:val="20"/>
        </w:rPr>
        <w:t>social</w:t>
      </w:r>
      <w:proofErr w:type="gramEnd"/>
      <w:r w:rsidRPr="005F3825">
        <w:rPr>
          <w:rFonts w:ascii="Calibri" w:hAnsi="Calibri"/>
          <w:sz w:val="20"/>
          <w:szCs w:val="20"/>
        </w:rPr>
        <w:t xml:space="preserve"> and economic), including providing commercial opportunities for local participation in the tourism value chain (see PONASI tourism strategy outline), and should cluster protected areas assets and cultural attractions in the PONASI landscape and link attractions to existing tourism circuits in the country. The process will be led by an international consultancy company, working with the project’s National Tourism Consultant. Participatory </w:t>
      </w:r>
      <w:r w:rsidRPr="005F3825">
        <w:rPr>
          <w:rFonts w:ascii="Calibri" w:hAnsi="Calibri" w:cs="Calibri Light"/>
          <w:sz w:val="20"/>
          <w:szCs w:val="20"/>
        </w:rPr>
        <w:t xml:space="preserve">planning will include local community representatives, tourism sector including the private concessionaires involved in the protected areas of the PONASI complex, local authorities, and protected area managers. </w:t>
      </w:r>
      <w:r w:rsidRPr="005F3825">
        <w:rPr>
          <w:rFonts w:ascii="Calibri" w:hAnsi="Calibri"/>
          <w:sz w:val="20"/>
          <w:szCs w:val="20"/>
        </w:rPr>
        <w:t xml:space="preserve">Based on the PONASI tourism strategy, a series of interventions will take place to improve tourism attractions and products in the area, both by </w:t>
      </w:r>
      <w:r w:rsidRPr="00AB47D0">
        <w:rPr>
          <w:rFonts w:ascii="Calibri" w:hAnsi="Calibri"/>
          <w:sz w:val="20"/>
          <w:szCs w:val="20"/>
        </w:rPr>
        <w:t>improving visitor facilities at existing attractions and improving the capacity of local people to provide tourism products and services.</w:t>
      </w:r>
      <w:r w:rsidR="00D5205E" w:rsidRPr="00AB47D0">
        <w:rPr>
          <w:rFonts w:ascii="Calibri" w:hAnsi="Calibri"/>
          <w:sz w:val="20"/>
          <w:szCs w:val="20"/>
        </w:rPr>
        <w:t xml:space="preserve"> </w:t>
      </w:r>
      <w:r w:rsidR="00D5205E" w:rsidRPr="00A63E29">
        <w:rPr>
          <w:rFonts w:ascii="Calibri" w:hAnsi="Calibri"/>
          <w:sz w:val="20"/>
          <w:szCs w:val="20"/>
        </w:rPr>
        <w:t xml:space="preserve">The strategy will </w:t>
      </w:r>
      <w:proofErr w:type="gramStart"/>
      <w:r w:rsidR="00D5205E" w:rsidRPr="00A63E29">
        <w:rPr>
          <w:rFonts w:ascii="Calibri" w:hAnsi="Calibri"/>
          <w:sz w:val="20"/>
          <w:szCs w:val="20"/>
        </w:rPr>
        <w:t>take into account</w:t>
      </w:r>
      <w:proofErr w:type="gramEnd"/>
      <w:r w:rsidR="00D5205E" w:rsidRPr="00A63E29">
        <w:rPr>
          <w:rFonts w:ascii="Calibri" w:hAnsi="Calibri"/>
          <w:sz w:val="20"/>
          <w:szCs w:val="20"/>
        </w:rPr>
        <w:t xml:space="preserve"> impacts of the COVID crisis on international and domestic tourism and analyze opportunities and prospects for their recovery.</w:t>
      </w:r>
      <w:r w:rsidR="00D5205E" w:rsidRPr="00AB47D0">
        <w:rPr>
          <w:rFonts w:ascii="Calibri" w:hAnsi="Calibri"/>
          <w:sz w:val="20"/>
          <w:szCs w:val="20"/>
        </w:rPr>
        <w:t xml:space="preserve"> </w:t>
      </w:r>
    </w:p>
    <w:p w14:paraId="5229D438" w14:textId="77777777" w:rsidR="00302BFE" w:rsidRPr="00B71BE1"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rPr>
        <w:t>Activities required to establish the strategy will include:</w:t>
      </w:r>
    </w:p>
    <w:p w14:paraId="29BF3958" w14:textId="77777777" w:rsidR="00302BFE" w:rsidRPr="00B71BE1" w:rsidRDefault="00302BFE" w:rsidP="00541855">
      <w:pPr>
        <w:pStyle w:val="Paragraphedeliste"/>
        <w:tabs>
          <w:tab w:val="left" w:pos="284"/>
        </w:tabs>
        <w:spacing w:before="120" w:after="120"/>
        <w:ind w:left="0"/>
        <w:jc w:val="both"/>
        <w:rPr>
          <w:rFonts w:ascii="Calibri" w:hAnsi="Calibri"/>
          <w:sz w:val="20"/>
          <w:szCs w:val="20"/>
          <w:lang w:val="en-GB"/>
        </w:rPr>
      </w:pPr>
      <w:r w:rsidRPr="005F3825">
        <w:rPr>
          <w:rFonts w:ascii="Calibri" w:hAnsi="Calibri"/>
          <w:sz w:val="20"/>
          <w:szCs w:val="20"/>
        </w:rPr>
        <w:t xml:space="preserve">a) </w:t>
      </w:r>
      <w:r w:rsidRPr="005F3825">
        <w:rPr>
          <w:rFonts w:ascii="Calibri" w:hAnsi="Calibri"/>
          <w:sz w:val="20"/>
          <w:szCs w:val="20"/>
          <w:u w:val="single"/>
        </w:rPr>
        <w:t>Enabling framework</w:t>
      </w:r>
      <w:r w:rsidRPr="005F3825">
        <w:rPr>
          <w:rFonts w:ascii="Calibri" w:hAnsi="Calibri"/>
          <w:sz w:val="20"/>
          <w:szCs w:val="20"/>
        </w:rPr>
        <w:t>:</w:t>
      </w:r>
      <w:r w:rsidRPr="005F3825">
        <w:rPr>
          <w:rFonts w:ascii="Calibri" w:hAnsi="Calibri"/>
          <w:b/>
          <w:sz w:val="20"/>
          <w:szCs w:val="20"/>
        </w:rPr>
        <w:t xml:space="preserve"> </w:t>
      </w:r>
      <w:r w:rsidRPr="005F3825">
        <w:rPr>
          <w:rFonts w:ascii="Calibri" w:hAnsi="Calibri"/>
          <w:sz w:val="20"/>
          <w:szCs w:val="20"/>
        </w:rPr>
        <w:t xml:space="preserve">The relevant policy and legislative documents will be reviewed with respect to their implications for tourism planning and investment processes in the PONASI landscape. The review will include but not be limited to: </w:t>
      </w:r>
      <w:r w:rsidRPr="005F3825">
        <w:rPr>
          <w:rFonts w:ascii="Calibri" w:hAnsi="Calibri"/>
          <w:bCs/>
          <w:iCs/>
          <w:color w:val="000000"/>
          <w:sz w:val="20"/>
          <w:szCs w:val="20"/>
        </w:rPr>
        <w:t xml:space="preserve">Plan </w:t>
      </w:r>
      <w:proofErr w:type="spellStart"/>
      <w:r w:rsidRPr="005F3825">
        <w:rPr>
          <w:rFonts w:ascii="Calibri" w:hAnsi="Calibri"/>
          <w:bCs/>
          <w:iCs/>
          <w:color w:val="000000"/>
          <w:sz w:val="20"/>
          <w:szCs w:val="20"/>
        </w:rPr>
        <w:t>d’aménagement</w:t>
      </w:r>
      <w:proofErr w:type="spellEnd"/>
      <w:r w:rsidRPr="005F3825">
        <w:rPr>
          <w:rFonts w:ascii="Calibri" w:hAnsi="Calibri"/>
          <w:bCs/>
          <w:iCs/>
          <w:color w:val="000000"/>
          <w:sz w:val="20"/>
          <w:szCs w:val="20"/>
        </w:rPr>
        <w:t xml:space="preserve"> et de gestion participative du Parc National Kaboré-</w:t>
      </w:r>
      <w:proofErr w:type="spellStart"/>
      <w:r w:rsidRPr="005F3825">
        <w:rPr>
          <w:rFonts w:ascii="Calibri" w:hAnsi="Calibri"/>
          <w:bCs/>
          <w:iCs/>
          <w:color w:val="000000"/>
          <w:sz w:val="20"/>
          <w:szCs w:val="20"/>
        </w:rPr>
        <w:t>Tambi</w:t>
      </w:r>
      <w:proofErr w:type="spellEnd"/>
      <w:r w:rsidRPr="005F3825">
        <w:rPr>
          <w:rFonts w:ascii="Calibri" w:hAnsi="Calibri"/>
          <w:bCs/>
          <w:iCs/>
          <w:color w:val="000000"/>
          <w:sz w:val="20"/>
          <w:szCs w:val="20"/>
        </w:rPr>
        <w:t xml:space="preserve">, the </w:t>
      </w:r>
      <w:proofErr w:type="spellStart"/>
      <w:r w:rsidRPr="005F3825">
        <w:rPr>
          <w:rFonts w:ascii="Calibri" w:hAnsi="Calibri"/>
          <w:sz w:val="20"/>
          <w:szCs w:val="20"/>
        </w:rPr>
        <w:t>Schéma</w:t>
      </w:r>
      <w:proofErr w:type="spellEnd"/>
      <w:r w:rsidRPr="005F3825">
        <w:rPr>
          <w:rFonts w:ascii="Calibri" w:hAnsi="Calibri"/>
          <w:sz w:val="20"/>
          <w:szCs w:val="20"/>
        </w:rPr>
        <w:t xml:space="preserve"> National </w:t>
      </w:r>
      <w:proofErr w:type="spellStart"/>
      <w:r w:rsidRPr="005F3825">
        <w:rPr>
          <w:rFonts w:ascii="Calibri" w:hAnsi="Calibri"/>
          <w:sz w:val="20"/>
          <w:szCs w:val="20"/>
        </w:rPr>
        <w:t>d’Aménagement</w:t>
      </w:r>
      <w:proofErr w:type="spellEnd"/>
      <w:r w:rsidRPr="005F3825">
        <w:rPr>
          <w:rFonts w:ascii="Calibri" w:hAnsi="Calibri"/>
          <w:sz w:val="20"/>
          <w:szCs w:val="20"/>
        </w:rPr>
        <w:t xml:space="preserve"> et de </w:t>
      </w:r>
      <w:proofErr w:type="spellStart"/>
      <w:r w:rsidRPr="005F3825">
        <w:rPr>
          <w:rFonts w:ascii="Calibri" w:hAnsi="Calibri"/>
          <w:sz w:val="20"/>
          <w:szCs w:val="20"/>
        </w:rPr>
        <w:t>Développement</w:t>
      </w:r>
      <w:proofErr w:type="spellEnd"/>
      <w:r w:rsidRPr="005F3825">
        <w:rPr>
          <w:rFonts w:ascii="Calibri" w:hAnsi="Calibri"/>
          <w:sz w:val="20"/>
          <w:szCs w:val="20"/>
        </w:rPr>
        <w:t xml:space="preserve"> Durable du </w:t>
      </w:r>
      <w:proofErr w:type="spellStart"/>
      <w:r w:rsidRPr="005F3825">
        <w:rPr>
          <w:rFonts w:ascii="Calibri" w:hAnsi="Calibri"/>
          <w:sz w:val="20"/>
          <w:szCs w:val="20"/>
        </w:rPr>
        <w:t>Territoire</w:t>
      </w:r>
      <w:proofErr w:type="spellEnd"/>
      <w:r w:rsidRPr="005F3825">
        <w:rPr>
          <w:rFonts w:ascii="Calibri" w:hAnsi="Calibri"/>
          <w:sz w:val="20"/>
          <w:szCs w:val="20"/>
        </w:rPr>
        <w:t xml:space="preserve">, the Plan </w:t>
      </w:r>
      <w:proofErr w:type="spellStart"/>
      <w:r w:rsidRPr="005F3825">
        <w:rPr>
          <w:rFonts w:ascii="Calibri" w:hAnsi="Calibri"/>
          <w:sz w:val="20"/>
          <w:szCs w:val="20"/>
        </w:rPr>
        <w:t>d’Actions</w:t>
      </w:r>
      <w:proofErr w:type="spellEnd"/>
      <w:r w:rsidRPr="005F3825">
        <w:rPr>
          <w:rFonts w:ascii="Calibri" w:hAnsi="Calibri"/>
          <w:sz w:val="20"/>
          <w:szCs w:val="20"/>
        </w:rPr>
        <w:t xml:space="preserve"> de la </w:t>
      </w:r>
      <w:proofErr w:type="spellStart"/>
      <w:r w:rsidRPr="005F3825">
        <w:rPr>
          <w:rFonts w:ascii="Calibri" w:hAnsi="Calibri"/>
          <w:sz w:val="20"/>
          <w:szCs w:val="20"/>
        </w:rPr>
        <w:t>Stratégie</w:t>
      </w:r>
      <w:proofErr w:type="spellEnd"/>
      <w:r w:rsidRPr="005F3825">
        <w:rPr>
          <w:rFonts w:ascii="Calibri" w:hAnsi="Calibri"/>
          <w:sz w:val="20"/>
          <w:szCs w:val="20"/>
        </w:rPr>
        <w:t xml:space="preserve"> Nationale de la Culture et du </w:t>
      </w:r>
      <w:proofErr w:type="spellStart"/>
      <w:r w:rsidRPr="005F3825">
        <w:rPr>
          <w:rFonts w:ascii="Calibri" w:hAnsi="Calibri"/>
          <w:sz w:val="20"/>
          <w:szCs w:val="20"/>
        </w:rPr>
        <w:t>Tourisme</w:t>
      </w:r>
      <w:proofErr w:type="spellEnd"/>
      <w:r w:rsidRPr="005F3825">
        <w:rPr>
          <w:rFonts w:ascii="Calibri" w:hAnsi="Calibri"/>
          <w:sz w:val="20"/>
          <w:szCs w:val="20"/>
        </w:rPr>
        <w:t xml:space="preserve"> (PA/SNCT), the Code Forestier, regional development plans and communal development plans, This review will also examine the current tourism licensing and business </w:t>
      </w:r>
      <w:r w:rsidRPr="005F3825">
        <w:rPr>
          <w:rFonts w:ascii="Calibri" w:hAnsi="Calibri"/>
          <w:sz w:val="20"/>
          <w:szCs w:val="20"/>
        </w:rPr>
        <w:lastRenderedPageBreak/>
        <w:t xml:space="preserve">registration processes in Burkina Faso, and also concession, licensing and permit systems for tourism operations in the protected areas (using the option in the table </w:t>
      </w:r>
      <w:r>
        <w:rPr>
          <w:rFonts w:ascii="Calibri" w:hAnsi="Calibri"/>
          <w:sz w:val="20"/>
          <w:szCs w:val="20"/>
        </w:rPr>
        <w:t>2</w:t>
      </w:r>
      <w:r w:rsidRPr="005F3825">
        <w:rPr>
          <w:rFonts w:ascii="Calibri" w:hAnsi="Calibri"/>
          <w:sz w:val="20"/>
          <w:szCs w:val="20"/>
        </w:rPr>
        <w:t xml:space="preserve"> to frame this analysis)</w:t>
      </w:r>
      <w:r w:rsidRPr="005F3825">
        <w:rPr>
          <w:rStyle w:val="Appelnotedebasdep"/>
          <w:rFonts w:ascii="Calibri" w:hAnsi="Calibri" w:cs="Times"/>
          <w:color w:val="000000"/>
          <w:sz w:val="20"/>
          <w:szCs w:val="20"/>
        </w:rPr>
        <w:t xml:space="preserve"> </w:t>
      </w:r>
      <w:r w:rsidRPr="005F3825">
        <w:rPr>
          <w:rStyle w:val="Appelnotedebasdep"/>
          <w:rFonts w:ascii="Calibri" w:hAnsi="Calibri" w:cs="Times"/>
          <w:color w:val="000000"/>
          <w:sz w:val="20"/>
          <w:szCs w:val="20"/>
        </w:rPr>
        <w:footnoteReference w:id="62"/>
      </w:r>
      <w:r w:rsidRPr="005F3825">
        <w:rPr>
          <w:rFonts w:ascii="Calibri" w:hAnsi="Calibri"/>
          <w:sz w:val="20"/>
          <w:szCs w:val="20"/>
        </w:rPr>
        <w:t>. The review will establish the status of institutions to support tourism businesses (</w:t>
      </w:r>
      <w:proofErr w:type="gramStart"/>
      <w:r w:rsidRPr="005F3825">
        <w:rPr>
          <w:rFonts w:ascii="Calibri" w:hAnsi="Calibri"/>
          <w:sz w:val="20"/>
          <w:szCs w:val="20"/>
        </w:rPr>
        <w:t>e.g.</w:t>
      </w:r>
      <w:proofErr w:type="gramEnd"/>
      <w:r w:rsidRPr="005F3825">
        <w:rPr>
          <w:rFonts w:ascii="Calibri" w:hAnsi="Calibri"/>
          <w:sz w:val="20"/>
          <w:szCs w:val="20"/>
        </w:rPr>
        <w:t xml:space="preserve"> chambers of commerce, destination management </w:t>
      </w:r>
      <w:proofErr w:type="spellStart"/>
      <w:r w:rsidRPr="005F3825">
        <w:rPr>
          <w:rFonts w:ascii="Calibri" w:hAnsi="Calibri"/>
          <w:sz w:val="20"/>
          <w:szCs w:val="20"/>
        </w:rPr>
        <w:t>organisations</w:t>
      </w:r>
      <w:proofErr w:type="spellEnd"/>
      <w:r w:rsidRPr="005F3825">
        <w:rPr>
          <w:rFonts w:ascii="Calibri" w:hAnsi="Calibri"/>
          <w:sz w:val="20"/>
          <w:szCs w:val="20"/>
        </w:rPr>
        <w:t>, tourism associations), provide recommendations for institutional improvement relevant to Burkina Faso, and to improve the transparency and accountability of procedures</w:t>
      </w:r>
      <w:r w:rsidRPr="005F3825">
        <w:rPr>
          <w:rStyle w:val="Appelnotedebasdep"/>
          <w:rFonts w:ascii="Calibri" w:hAnsi="Calibri"/>
          <w:sz w:val="20"/>
          <w:szCs w:val="20"/>
        </w:rPr>
        <w:footnoteReference w:id="63"/>
      </w:r>
      <w:r w:rsidRPr="005F3825">
        <w:rPr>
          <w:rFonts w:ascii="Calibri" w:hAnsi="Calibri"/>
          <w:sz w:val="20"/>
          <w:szCs w:val="20"/>
        </w:rPr>
        <w:t xml:space="preserve">. Based on the review of the </w:t>
      </w:r>
      <w:proofErr w:type="gramStart"/>
      <w:r w:rsidRPr="005F3825">
        <w:rPr>
          <w:rFonts w:ascii="Calibri" w:hAnsi="Calibri"/>
          <w:sz w:val="20"/>
          <w:szCs w:val="20"/>
        </w:rPr>
        <w:t>current status</w:t>
      </w:r>
      <w:proofErr w:type="gramEnd"/>
      <w:r w:rsidRPr="005F3825">
        <w:rPr>
          <w:rFonts w:ascii="Calibri" w:hAnsi="Calibri"/>
          <w:sz w:val="20"/>
          <w:szCs w:val="20"/>
        </w:rPr>
        <w:t xml:space="preserve"> in the PONASI protected areas, the preferred form of legal instrument will be discussed with the national institutions in charge of protected areas, (using the model below)</w:t>
      </w:r>
      <w:r w:rsidRPr="005F3825">
        <w:rPr>
          <w:rStyle w:val="Appelnotedebasdep"/>
          <w:rFonts w:ascii="Calibri" w:hAnsi="Calibri" w:cs="Times"/>
          <w:color w:val="000000"/>
          <w:sz w:val="20"/>
          <w:szCs w:val="20"/>
        </w:rPr>
        <w:footnoteReference w:id="64"/>
      </w:r>
      <w:r w:rsidRPr="005F3825">
        <w:rPr>
          <w:rFonts w:ascii="Calibri" w:hAnsi="Calibri"/>
          <w:sz w:val="20"/>
          <w:szCs w:val="20"/>
        </w:rPr>
        <w:t xml:space="preserve"> and recommendations will be formulated.</w:t>
      </w:r>
    </w:p>
    <w:p w14:paraId="2807A602" w14:textId="552E0915" w:rsidR="00302BFE" w:rsidRPr="00BF343C" w:rsidRDefault="00302BFE" w:rsidP="00AB6E37">
      <w:pPr>
        <w:jc w:val="left"/>
        <w:rPr>
          <w:b/>
          <w:noProof/>
          <w:szCs w:val="20"/>
        </w:rPr>
      </w:pPr>
      <w:r w:rsidRPr="00BF343C">
        <w:rPr>
          <w:b/>
          <w:noProof/>
          <w:szCs w:val="20"/>
        </w:rPr>
        <w:t xml:space="preserve">Table </w:t>
      </w:r>
      <w:r>
        <w:rPr>
          <w:b/>
          <w:noProof/>
          <w:szCs w:val="20"/>
        </w:rPr>
        <w:t>2</w:t>
      </w:r>
      <w:r w:rsidRPr="00BF343C">
        <w:rPr>
          <w:b/>
          <w:noProof/>
          <w:szCs w:val="20"/>
        </w:rPr>
        <w:t>. Characteristics of legal instruments</w:t>
      </w:r>
      <w:r>
        <w:rPr>
          <w:b/>
          <w:noProof/>
          <w:szCs w:val="20"/>
        </w:rPr>
        <w:t xml:space="preserve"> </w:t>
      </w:r>
      <w:r w:rsidRPr="00C3794E">
        <w:rPr>
          <w:b/>
          <w:noProof/>
          <w:szCs w:val="20"/>
        </w:rPr>
        <w:t>for tourism operations in protected areas</w:t>
      </w:r>
    </w:p>
    <w:p w14:paraId="487867AD" w14:textId="77777777" w:rsidR="00302BFE" w:rsidRPr="005F3825" w:rsidRDefault="00302BFE" w:rsidP="00302BFE">
      <w:pPr>
        <w:spacing w:before="120" w:after="240"/>
        <w:jc w:val="center"/>
        <w:rPr>
          <w:rFonts w:ascii="Calibri Light" w:hAnsi="Calibri Light"/>
          <w:szCs w:val="20"/>
        </w:rPr>
      </w:pPr>
      <w:r w:rsidRPr="005F3825">
        <w:rPr>
          <w:rFonts w:ascii="Calibri Light" w:hAnsi="Calibri Light"/>
          <w:noProof/>
          <w:szCs w:val="20"/>
        </w:rPr>
        <w:drawing>
          <wp:inline distT="0" distB="0" distL="0" distR="0" wp14:anchorId="05769CDB" wp14:editId="41437D48">
            <wp:extent cx="4146550" cy="2580640"/>
            <wp:effectExtent l="0" t="0" r="635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t="5185"/>
                    <a:stretch>
                      <a:fillRect/>
                    </a:stretch>
                  </pic:blipFill>
                  <pic:spPr bwMode="auto">
                    <a:xfrm>
                      <a:off x="0" y="0"/>
                      <a:ext cx="4147453" cy="2581202"/>
                    </a:xfrm>
                    <a:prstGeom prst="rect">
                      <a:avLst/>
                    </a:prstGeom>
                    <a:noFill/>
                    <a:ln>
                      <a:noFill/>
                    </a:ln>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302BFE" w:rsidRPr="009B00F0" w14:paraId="51536756" w14:textId="77777777" w:rsidTr="00243B15">
        <w:trPr>
          <w:jc w:val="center"/>
        </w:trPr>
        <w:tc>
          <w:tcPr>
            <w:tcW w:w="9962" w:type="dxa"/>
            <w:shd w:val="clear" w:color="auto" w:fill="auto"/>
          </w:tcPr>
          <w:p w14:paraId="4E2E4697" w14:textId="77777777" w:rsidR="00302BFE" w:rsidRPr="00806024" w:rsidRDefault="00302BFE" w:rsidP="00243B15">
            <w:pPr>
              <w:rPr>
                <w:b/>
                <w:sz w:val="18"/>
                <w:szCs w:val="18"/>
              </w:rPr>
            </w:pPr>
            <w:r w:rsidRPr="00806024">
              <w:rPr>
                <w:b/>
                <w:sz w:val="18"/>
                <w:szCs w:val="18"/>
              </w:rPr>
              <w:t>Explanatory note on insourcing and outsourcing</w:t>
            </w:r>
          </w:p>
          <w:p w14:paraId="6056FA87" w14:textId="77777777" w:rsidR="00302BFE" w:rsidRPr="00806024" w:rsidRDefault="00302BFE" w:rsidP="00243B15">
            <w:pPr>
              <w:rPr>
                <w:sz w:val="18"/>
                <w:szCs w:val="18"/>
              </w:rPr>
            </w:pPr>
            <w:r w:rsidRPr="00806024">
              <w:rPr>
                <w:sz w:val="18"/>
                <w:szCs w:val="18"/>
              </w:rPr>
              <w:t>There are many services provided in protected areas for visitors, either services directly to the visitors, such as the rental of equipment, or through services that support visitation, such as an electrical system. A decision must be made by protected area authority on the level of each service, the method of delivery of the service, and the financing for each service.</w:t>
            </w:r>
            <w:r w:rsidRPr="00806024">
              <w:rPr>
                <w:rStyle w:val="Appelnotedebasdep"/>
                <w:rFonts w:cs="Times"/>
                <w:color w:val="000000"/>
                <w:szCs w:val="18"/>
              </w:rPr>
              <w:footnoteReference w:id="65"/>
            </w:r>
            <w:r w:rsidRPr="00806024">
              <w:rPr>
                <w:sz w:val="18"/>
                <w:szCs w:val="18"/>
              </w:rPr>
              <w:t xml:space="preserve"> </w:t>
            </w:r>
          </w:p>
          <w:p w14:paraId="03D5E78F" w14:textId="77777777" w:rsidR="00302BFE" w:rsidRPr="00806024" w:rsidRDefault="00302BFE" w:rsidP="00C46720">
            <w:pPr>
              <w:pStyle w:val="Paragraphedeliste"/>
              <w:numPr>
                <w:ilvl w:val="0"/>
                <w:numId w:val="28"/>
              </w:numPr>
              <w:spacing w:after="60"/>
              <w:ind w:left="452" w:hanging="268"/>
              <w:contextualSpacing/>
              <w:rPr>
                <w:rFonts w:ascii="Calibri" w:hAnsi="Calibri"/>
                <w:sz w:val="18"/>
                <w:szCs w:val="18"/>
              </w:rPr>
            </w:pPr>
            <w:r w:rsidRPr="00806024">
              <w:rPr>
                <w:rFonts w:ascii="Calibri" w:hAnsi="Calibri"/>
                <w:sz w:val="18"/>
                <w:szCs w:val="18"/>
              </w:rPr>
              <w:t xml:space="preserve">For </w:t>
            </w:r>
            <w:r w:rsidRPr="00806024">
              <w:rPr>
                <w:rFonts w:ascii="Calibri" w:hAnsi="Calibri"/>
                <w:b/>
                <w:bCs/>
                <w:sz w:val="18"/>
                <w:szCs w:val="18"/>
              </w:rPr>
              <w:t>insourcing</w:t>
            </w:r>
            <w:r w:rsidRPr="00806024">
              <w:rPr>
                <w:rFonts w:ascii="Calibri" w:hAnsi="Calibri"/>
                <w:sz w:val="18"/>
                <w:szCs w:val="18"/>
              </w:rPr>
              <w:t xml:space="preserve">, protected area authority staff deliver and finance the service. Insourcing involves the authority functioning like a business, with the protected area facilities and staff providing visitor services. The authority functions like a public utility. </w:t>
            </w:r>
          </w:p>
          <w:p w14:paraId="40211C9C" w14:textId="77777777" w:rsidR="00302BFE" w:rsidRPr="00806024" w:rsidRDefault="00302BFE" w:rsidP="00C46720">
            <w:pPr>
              <w:pStyle w:val="Paragraphedeliste"/>
              <w:numPr>
                <w:ilvl w:val="0"/>
                <w:numId w:val="28"/>
              </w:numPr>
              <w:spacing w:after="60"/>
              <w:ind w:left="452" w:hanging="268"/>
              <w:contextualSpacing/>
              <w:rPr>
                <w:rFonts w:ascii="Calibri Light" w:hAnsi="Calibri Light"/>
                <w:sz w:val="20"/>
                <w:szCs w:val="20"/>
              </w:rPr>
            </w:pPr>
            <w:r w:rsidRPr="00806024">
              <w:rPr>
                <w:rFonts w:ascii="Calibri" w:hAnsi="Calibri"/>
                <w:sz w:val="18"/>
                <w:szCs w:val="18"/>
              </w:rPr>
              <w:t xml:space="preserve">For </w:t>
            </w:r>
            <w:r w:rsidRPr="00806024">
              <w:rPr>
                <w:rFonts w:ascii="Calibri" w:hAnsi="Calibri"/>
                <w:b/>
                <w:bCs/>
                <w:sz w:val="18"/>
                <w:szCs w:val="18"/>
              </w:rPr>
              <w:t>outsourcing</w:t>
            </w:r>
            <w:r w:rsidRPr="00806024">
              <w:rPr>
                <w:rFonts w:ascii="Calibri" w:hAnsi="Calibri"/>
                <w:sz w:val="18"/>
                <w:szCs w:val="18"/>
              </w:rPr>
              <w:t>, the protected area contracts a third party to deliver a service. Outsourcing of tourism services to a company or organization has both benefits and disadvantages. The case for private management of resources on public lands is often one of efficiency: that the resources that those lands provide may be best turned into desired outcomes by specialist firms who bid for the rights to provide services to visitors. When public agencies do not have the expertise to perform a service, or when they lack the funding or legal abilities required to build such capability in-house, transference of rights on the lands to other organizations can relieve public agencies from resource constraints of budget, capability, or expertise.</w:t>
            </w:r>
          </w:p>
        </w:tc>
      </w:tr>
    </w:tbl>
    <w:p w14:paraId="07B01FD8" w14:textId="77777777" w:rsidR="00302BFE" w:rsidRPr="005F3825" w:rsidRDefault="00302BFE" w:rsidP="00302BFE">
      <w:pPr>
        <w:spacing w:after="240"/>
        <w:rPr>
          <w:b/>
          <w:szCs w:val="20"/>
        </w:rPr>
      </w:pPr>
      <w:r>
        <w:rPr>
          <w:noProof/>
        </w:rPr>
        <w:lastRenderedPageBreak/>
        <w:drawing>
          <wp:anchor distT="0" distB="0" distL="114300" distR="114300" simplePos="0" relativeHeight="251661312" behindDoc="0" locked="0" layoutInCell="1" allowOverlap="1" wp14:anchorId="7C964CF2" wp14:editId="2D12DAA6">
            <wp:simplePos x="0" y="0"/>
            <wp:positionH relativeFrom="margin">
              <wp:posOffset>0</wp:posOffset>
            </wp:positionH>
            <wp:positionV relativeFrom="paragraph">
              <wp:posOffset>95885</wp:posOffset>
            </wp:positionV>
            <wp:extent cx="5661025" cy="3509645"/>
            <wp:effectExtent l="0" t="0" r="0" b="0"/>
            <wp:wrapTopAndBottom/>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t="6799"/>
                    <a:stretch>
                      <a:fillRect/>
                    </a:stretch>
                  </pic:blipFill>
                  <pic:spPr bwMode="auto">
                    <a:xfrm>
                      <a:off x="0" y="0"/>
                      <a:ext cx="5661025" cy="3509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3825">
        <w:rPr>
          <w:b/>
          <w:szCs w:val="20"/>
        </w:rPr>
        <w:t xml:space="preserve">Figure </w:t>
      </w:r>
      <w:r w:rsidRPr="00F62CAD">
        <w:rPr>
          <w:b/>
          <w:szCs w:val="20"/>
        </w:rPr>
        <w:t>2</w:t>
      </w:r>
      <w:r w:rsidRPr="005F3825">
        <w:rPr>
          <w:b/>
          <w:szCs w:val="20"/>
        </w:rPr>
        <w:t>. Flow diagram for deciding the type of legal instrument to use</w:t>
      </w:r>
      <w:r>
        <w:rPr>
          <w:b/>
          <w:szCs w:val="20"/>
        </w:rPr>
        <w:t xml:space="preserve"> </w:t>
      </w:r>
      <w:r w:rsidRPr="00C3794E">
        <w:rPr>
          <w:b/>
          <w:noProof/>
          <w:szCs w:val="20"/>
        </w:rPr>
        <w:t>for tourism operations in protected areas</w:t>
      </w:r>
    </w:p>
    <w:p w14:paraId="0AC24D88" w14:textId="77777777" w:rsidR="00302BFE" w:rsidRPr="00B71BE1"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u w:val="single"/>
        </w:rPr>
        <w:t>Financial analysis</w:t>
      </w:r>
      <w:r w:rsidRPr="005F3825">
        <w:rPr>
          <w:rFonts w:ascii="Calibri" w:hAnsi="Calibri"/>
          <w:b/>
          <w:sz w:val="20"/>
          <w:szCs w:val="20"/>
        </w:rPr>
        <w:t>:</w:t>
      </w:r>
      <w:r w:rsidRPr="005F3825">
        <w:rPr>
          <w:rFonts w:ascii="Calibri" w:hAnsi="Calibri"/>
          <w:sz w:val="20"/>
          <w:szCs w:val="20"/>
        </w:rPr>
        <w:t xml:space="preserve"> A financial analysis will be conducted to describe how tourism revenue currently flows in the system: e.g. the process for collection and processing for entrance fees (including whether in cash or electronic payments); monitoring and accounting for fees received; values accrued and visitor numbers; whether fees are retained locally</w:t>
      </w:r>
      <w:r w:rsidRPr="005F3825">
        <w:rPr>
          <w:rFonts w:ascii="Calibri" w:hAnsi="Calibri"/>
          <w:b/>
          <w:sz w:val="20"/>
          <w:szCs w:val="20"/>
        </w:rPr>
        <w:t xml:space="preserve"> or</w:t>
      </w:r>
      <w:r w:rsidRPr="005F3825">
        <w:rPr>
          <w:rFonts w:ascii="Calibri" w:hAnsi="Calibri"/>
          <w:sz w:val="20"/>
          <w:szCs w:val="20"/>
        </w:rPr>
        <w:t xml:space="preserve"> sent to central government for disbursement; how the protected area budgets are planned and funds allocated; what proportion of the budget requested is fulfilled, and what proportion (if any) comes from tourism revenues. The analysis will review whether there is any benefit sharing mechanism with local communities of tourism fees and provide advice on establishing a transparent system of visitor monitoring, visitor counts, and establishing better local economic impacts. These figures will be used for baseline data in the first year of the project and will be assessed at the end of the project to track changes in visitor numbers, visitor revenue, and revenue to the protected area.</w:t>
      </w:r>
    </w:p>
    <w:p w14:paraId="5B250663" w14:textId="77777777" w:rsidR="00302BFE" w:rsidRPr="00B71BE1"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GB"/>
        </w:rPr>
      </w:pPr>
      <w:r w:rsidRPr="005F3825">
        <w:rPr>
          <w:rFonts w:ascii="Calibri" w:hAnsi="Calibri"/>
          <w:sz w:val="20"/>
          <w:szCs w:val="20"/>
        </w:rPr>
        <w:t xml:space="preserve">b) </w:t>
      </w:r>
      <w:r w:rsidRPr="005F3825">
        <w:rPr>
          <w:rFonts w:ascii="Calibri" w:hAnsi="Calibri"/>
          <w:sz w:val="20"/>
          <w:szCs w:val="20"/>
          <w:u w:val="single"/>
        </w:rPr>
        <w:t>Demand analysis</w:t>
      </w:r>
      <w:r w:rsidRPr="005F3825">
        <w:rPr>
          <w:rFonts w:ascii="Calibri" w:hAnsi="Calibri"/>
          <w:b/>
          <w:sz w:val="20"/>
          <w:szCs w:val="20"/>
        </w:rPr>
        <w:t xml:space="preserve">: </w:t>
      </w:r>
      <w:r w:rsidRPr="005F3825">
        <w:rPr>
          <w:rFonts w:ascii="Calibri" w:hAnsi="Calibri"/>
          <w:sz w:val="20"/>
          <w:szCs w:val="20"/>
        </w:rPr>
        <w:t>A market research</w:t>
      </w:r>
      <w:r w:rsidRPr="005F3825">
        <w:rPr>
          <w:rFonts w:ascii="Calibri" w:hAnsi="Calibri"/>
          <w:b/>
          <w:sz w:val="20"/>
          <w:szCs w:val="20"/>
        </w:rPr>
        <w:t xml:space="preserve"> </w:t>
      </w:r>
      <w:r w:rsidRPr="005F3825">
        <w:rPr>
          <w:rFonts w:ascii="Calibri" w:hAnsi="Calibri"/>
          <w:sz w:val="20"/>
          <w:szCs w:val="20"/>
        </w:rPr>
        <w:t>will be conducted, including a review of tourism in Burkina Faso, and specifically: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7"/>
        <w:gridCol w:w="7305"/>
      </w:tblGrid>
      <w:tr w:rsidR="00302BFE" w:rsidRPr="00BF343C" w14:paraId="5035BCBD" w14:textId="77777777" w:rsidTr="00243B15">
        <w:trPr>
          <w:tblHeader/>
          <w:jc w:val="center"/>
        </w:trPr>
        <w:tc>
          <w:tcPr>
            <w:tcW w:w="3027" w:type="dxa"/>
            <w:shd w:val="clear" w:color="auto" w:fill="auto"/>
          </w:tcPr>
          <w:p w14:paraId="3672F5B5" w14:textId="77777777" w:rsidR="00302BFE" w:rsidRPr="00806024" w:rsidRDefault="00302BFE" w:rsidP="00243B15">
            <w:pPr>
              <w:rPr>
                <w:b/>
                <w:sz w:val="18"/>
                <w:szCs w:val="18"/>
              </w:rPr>
            </w:pPr>
            <w:r w:rsidRPr="00806024">
              <w:rPr>
                <w:b/>
                <w:sz w:val="18"/>
                <w:szCs w:val="18"/>
              </w:rPr>
              <w:t>Cohort</w:t>
            </w:r>
          </w:p>
        </w:tc>
        <w:tc>
          <w:tcPr>
            <w:tcW w:w="7305" w:type="dxa"/>
            <w:shd w:val="clear" w:color="auto" w:fill="auto"/>
          </w:tcPr>
          <w:p w14:paraId="7348F040" w14:textId="77777777" w:rsidR="00302BFE" w:rsidRPr="00806024" w:rsidRDefault="00302BFE" w:rsidP="00243B15">
            <w:pPr>
              <w:rPr>
                <w:b/>
                <w:sz w:val="18"/>
                <w:szCs w:val="18"/>
              </w:rPr>
            </w:pPr>
            <w:r w:rsidRPr="00806024">
              <w:rPr>
                <w:b/>
                <w:sz w:val="18"/>
                <w:szCs w:val="18"/>
              </w:rPr>
              <w:t>Key research areas</w:t>
            </w:r>
          </w:p>
        </w:tc>
      </w:tr>
      <w:tr w:rsidR="00302BFE" w:rsidRPr="00BF343C" w14:paraId="7014D660" w14:textId="77777777" w:rsidTr="00243B15">
        <w:trPr>
          <w:jc w:val="center"/>
        </w:trPr>
        <w:tc>
          <w:tcPr>
            <w:tcW w:w="3027" w:type="dxa"/>
            <w:shd w:val="clear" w:color="auto" w:fill="auto"/>
          </w:tcPr>
          <w:p w14:paraId="3896714F" w14:textId="77777777" w:rsidR="00302BFE" w:rsidRPr="00806024" w:rsidRDefault="00302BFE" w:rsidP="00243B15">
            <w:pPr>
              <w:rPr>
                <w:b/>
                <w:sz w:val="18"/>
                <w:szCs w:val="18"/>
              </w:rPr>
            </w:pPr>
            <w:r w:rsidRPr="00806024">
              <w:rPr>
                <w:b/>
                <w:sz w:val="18"/>
                <w:szCs w:val="18"/>
              </w:rPr>
              <w:t>2 hunting concessionaires</w:t>
            </w:r>
            <w:r w:rsidRPr="00806024">
              <w:rPr>
                <w:sz w:val="18"/>
                <w:szCs w:val="18"/>
              </w:rPr>
              <w:t xml:space="preserve"> operating in the PONASI landscape (in </w:t>
            </w:r>
            <w:proofErr w:type="spellStart"/>
            <w:r w:rsidRPr="00806024">
              <w:rPr>
                <w:sz w:val="18"/>
                <w:szCs w:val="18"/>
              </w:rPr>
              <w:t>Nazinga</w:t>
            </w:r>
            <w:proofErr w:type="spellEnd"/>
            <w:r w:rsidRPr="00806024">
              <w:rPr>
                <w:sz w:val="18"/>
                <w:szCs w:val="18"/>
              </w:rPr>
              <w:t xml:space="preserve"> Game Ranch and </w:t>
            </w:r>
            <w:proofErr w:type="spellStart"/>
            <w:r w:rsidRPr="00806024">
              <w:rPr>
                <w:sz w:val="18"/>
                <w:szCs w:val="18"/>
              </w:rPr>
              <w:t>Sissili</w:t>
            </w:r>
            <w:proofErr w:type="spellEnd"/>
            <w:r w:rsidRPr="00806024">
              <w:rPr>
                <w:sz w:val="18"/>
                <w:szCs w:val="18"/>
              </w:rPr>
              <w:t xml:space="preserve"> Classified Forest)</w:t>
            </w:r>
          </w:p>
        </w:tc>
        <w:tc>
          <w:tcPr>
            <w:tcW w:w="7305" w:type="dxa"/>
            <w:shd w:val="clear" w:color="auto" w:fill="auto"/>
          </w:tcPr>
          <w:p w14:paraId="7E85A495" w14:textId="77777777" w:rsidR="00302BFE" w:rsidRPr="00806024" w:rsidRDefault="00302BFE" w:rsidP="00243B15">
            <w:pPr>
              <w:spacing w:after="40"/>
              <w:rPr>
                <w:sz w:val="18"/>
                <w:szCs w:val="18"/>
              </w:rPr>
            </w:pPr>
            <w:r w:rsidRPr="00806024">
              <w:rPr>
                <w:sz w:val="18"/>
                <w:szCs w:val="18"/>
              </w:rPr>
              <w:t xml:space="preserve">(i) Their perception of the number of visitors that would be willing to visit local attractions &amp; stay longer if they were </w:t>
            </w:r>
            <w:proofErr w:type="gramStart"/>
            <w:r w:rsidRPr="00806024">
              <w:rPr>
                <w:sz w:val="18"/>
                <w:szCs w:val="18"/>
              </w:rPr>
              <w:t>available;</w:t>
            </w:r>
            <w:proofErr w:type="gramEnd"/>
            <w:r w:rsidRPr="00806024">
              <w:rPr>
                <w:sz w:val="18"/>
                <w:szCs w:val="18"/>
              </w:rPr>
              <w:t xml:space="preserve"> </w:t>
            </w:r>
          </w:p>
          <w:p w14:paraId="6807F3DE" w14:textId="77777777" w:rsidR="00302BFE" w:rsidRPr="00806024" w:rsidRDefault="00302BFE" w:rsidP="00243B15">
            <w:pPr>
              <w:spacing w:after="40"/>
              <w:rPr>
                <w:sz w:val="18"/>
                <w:szCs w:val="18"/>
              </w:rPr>
            </w:pPr>
            <w:r w:rsidRPr="00806024">
              <w:rPr>
                <w:sz w:val="18"/>
                <w:szCs w:val="18"/>
              </w:rPr>
              <w:t xml:space="preserve">(ii) Food, </w:t>
            </w:r>
            <w:proofErr w:type="gramStart"/>
            <w:r w:rsidRPr="00806024">
              <w:rPr>
                <w:sz w:val="18"/>
                <w:szCs w:val="18"/>
              </w:rPr>
              <w:t>beverage</w:t>
            </w:r>
            <w:proofErr w:type="gramEnd"/>
            <w:r w:rsidRPr="00806024">
              <w:rPr>
                <w:sz w:val="18"/>
                <w:szCs w:val="18"/>
              </w:rPr>
              <w:t xml:space="preserve"> and décor products that they would want to buy locally </w:t>
            </w:r>
          </w:p>
          <w:p w14:paraId="142382B6" w14:textId="77777777" w:rsidR="00302BFE" w:rsidRPr="00806024" w:rsidRDefault="00302BFE" w:rsidP="00243B15">
            <w:pPr>
              <w:spacing w:after="40"/>
              <w:rPr>
                <w:sz w:val="18"/>
                <w:szCs w:val="18"/>
              </w:rPr>
            </w:pPr>
            <w:r w:rsidRPr="00806024">
              <w:rPr>
                <w:sz w:val="18"/>
                <w:szCs w:val="18"/>
              </w:rPr>
              <w:t>(iii) Services and human resources that they would like to identify locally (</w:t>
            </w:r>
            <w:proofErr w:type="gramStart"/>
            <w:r w:rsidRPr="00806024">
              <w:rPr>
                <w:sz w:val="18"/>
                <w:szCs w:val="18"/>
              </w:rPr>
              <w:t>e.g.</w:t>
            </w:r>
            <w:proofErr w:type="gramEnd"/>
            <w:r w:rsidRPr="00806024">
              <w:rPr>
                <w:sz w:val="18"/>
                <w:szCs w:val="18"/>
              </w:rPr>
              <w:t xml:space="preserve"> transport, security, maintenance, construction etc.). </w:t>
            </w:r>
          </w:p>
          <w:p w14:paraId="315A4BA5" w14:textId="77777777" w:rsidR="00302BFE" w:rsidRPr="00806024" w:rsidRDefault="00302BFE" w:rsidP="00243B15">
            <w:pPr>
              <w:spacing w:after="40"/>
              <w:rPr>
                <w:sz w:val="18"/>
                <w:szCs w:val="18"/>
              </w:rPr>
            </w:pPr>
            <w:r w:rsidRPr="00806024">
              <w:rPr>
                <w:sz w:val="18"/>
                <w:szCs w:val="18"/>
              </w:rPr>
              <w:t>Note: Hunters themselves may only be interested in hunting for the period that they are present, but non-hunting members of the groups [</w:t>
            </w:r>
            <w:proofErr w:type="gramStart"/>
            <w:r w:rsidRPr="00806024">
              <w:rPr>
                <w:sz w:val="18"/>
                <w:szCs w:val="18"/>
              </w:rPr>
              <w:t>e.g.</w:t>
            </w:r>
            <w:proofErr w:type="gramEnd"/>
            <w:r w:rsidRPr="00806024">
              <w:rPr>
                <w:sz w:val="18"/>
                <w:szCs w:val="18"/>
              </w:rPr>
              <w:t xml:space="preserve"> family members, children] may be interested in other activities.</w:t>
            </w:r>
          </w:p>
        </w:tc>
      </w:tr>
      <w:tr w:rsidR="00302BFE" w:rsidRPr="00BF343C" w14:paraId="11232414" w14:textId="77777777" w:rsidTr="00243B15">
        <w:trPr>
          <w:jc w:val="center"/>
        </w:trPr>
        <w:tc>
          <w:tcPr>
            <w:tcW w:w="3027" w:type="dxa"/>
            <w:shd w:val="clear" w:color="auto" w:fill="auto"/>
          </w:tcPr>
          <w:p w14:paraId="6A710E1E" w14:textId="77777777" w:rsidR="00302BFE" w:rsidRPr="00806024" w:rsidRDefault="00302BFE" w:rsidP="00243B15">
            <w:pPr>
              <w:spacing w:after="40"/>
              <w:rPr>
                <w:b/>
                <w:sz w:val="18"/>
                <w:szCs w:val="18"/>
              </w:rPr>
            </w:pPr>
            <w:r w:rsidRPr="00806024">
              <w:rPr>
                <w:b/>
                <w:sz w:val="18"/>
                <w:szCs w:val="18"/>
              </w:rPr>
              <w:t>Tour operators and guides</w:t>
            </w:r>
            <w:r w:rsidRPr="00806024">
              <w:rPr>
                <w:sz w:val="18"/>
                <w:szCs w:val="18"/>
              </w:rPr>
              <w:t xml:space="preserve"> (and or their private sector associations) and hotels based in Ouagadougou</w:t>
            </w:r>
          </w:p>
        </w:tc>
        <w:tc>
          <w:tcPr>
            <w:tcW w:w="7305" w:type="dxa"/>
            <w:vMerge w:val="restart"/>
            <w:shd w:val="clear" w:color="auto" w:fill="auto"/>
          </w:tcPr>
          <w:p w14:paraId="0E378ECF" w14:textId="77777777" w:rsidR="00302BFE" w:rsidRPr="00806024" w:rsidRDefault="00302BFE" w:rsidP="00243B15">
            <w:pPr>
              <w:spacing w:after="40"/>
              <w:rPr>
                <w:sz w:val="18"/>
                <w:szCs w:val="18"/>
              </w:rPr>
            </w:pPr>
            <w:r w:rsidRPr="00806024">
              <w:rPr>
                <w:sz w:val="18"/>
                <w:szCs w:val="18"/>
              </w:rPr>
              <w:t xml:space="preserve">Market potential for providing package tours within PONASI.  </w:t>
            </w:r>
          </w:p>
          <w:p w14:paraId="046E62FC" w14:textId="77777777" w:rsidR="00302BFE" w:rsidRPr="00806024" w:rsidRDefault="00302BFE" w:rsidP="00243B15">
            <w:pPr>
              <w:spacing w:after="40"/>
              <w:rPr>
                <w:sz w:val="18"/>
                <w:szCs w:val="18"/>
              </w:rPr>
            </w:pPr>
            <w:r w:rsidRPr="00806024">
              <w:rPr>
                <w:sz w:val="18"/>
                <w:szCs w:val="18"/>
              </w:rPr>
              <w:t>Identify existing tourism circuits that the PONASI attractions could fit into.</w:t>
            </w:r>
          </w:p>
          <w:p w14:paraId="19D8117A" w14:textId="77777777" w:rsidR="00302BFE" w:rsidRPr="00806024" w:rsidRDefault="00302BFE" w:rsidP="00243B15">
            <w:pPr>
              <w:spacing w:after="40"/>
              <w:rPr>
                <w:b/>
                <w:sz w:val="18"/>
                <w:szCs w:val="18"/>
              </w:rPr>
            </w:pPr>
            <w:r w:rsidRPr="00806024">
              <w:rPr>
                <w:sz w:val="18"/>
                <w:szCs w:val="18"/>
              </w:rPr>
              <w:t>Note: Some of the international and domestic operators may wish to provide mentoring to trainees and/or may be involved in market access activities. later in the process</w:t>
            </w:r>
          </w:p>
        </w:tc>
      </w:tr>
      <w:tr w:rsidR="00302BFE" w:rsidRPr="00BF343C" w14:paraId="415DB100" w14:textId="77777777" w:rsidTr="00243B15">
        <w:trPr>
          <w:jc w:val="center"/>
        </w:trPr>
        <w:tc>
          <w:tcPr>
            <w:tcW w:w="3027" w:type="dxa"/>
            <w:shd w:val="clear" w:color="auto" w:fill="auto"/>
          </w:tcPr>
          <w:p w14:paraId="0C2BD3EF" w14:textId="77777777" w:rsidR="00302BFE" w:rsidRPr="00806024" w:rsidRDefault="00302BFE" w:rsidP="00243B15">
            <w:pPr>
              <w:spacing w:after="40"/>
              <w:rPr>
                <w:b/>
                <w:sz w:val="18"/>
                <w:szCs w:val="18"/>
              </w:rPr>
            </w:pPr>
            <w:r w:rsidRPr="00806024">
              <w:rPr>
                <w:b/>
                <w:sz w:val="18"/>
                <w:szCs w:val="18"/>
              </w:rPr>
              <w:t>International operators</w:t>
            </w:r>
          </w:p>
          <w:p w14:paraId="086E21F0" w14:textId="77777777" w:rsidR="00302BFE" w:rsidRPr="00806024" w:rsidRDefault="00302BFE" w:rsidP="00243B15">
            <w:pPr>
              <w:spacing w:after="40"/>
              <w:rPr>
                <w:b/>
                <w:sz w:val="18"/>
                <w:szCs w:val="18"/>
              </w:rPr>
            </w:pPr>
            <w:r w:rsidRPr="00806024">
              <w:rPr>
                <w:sz w:val="18"/>
                <w:szCs w:val="18"/>
              </w:rPr>
              <w:t>promoting community-oriented protected area tourism</w:t>
            </w:r>
          </w:p>
        </w:tc>
        <w:tc>
          <w:tcPr>
            <w:tcW w:w="7305" w:type="dxa"/>
            <w:vMerge/>
            <w:shd w:val="clear" w:color="auto" w:fill="auto"/>
          </w:tcPr>
          <w:p w14:paraId="0418AAD0" w14:textId="77777777" w:rsidR="00302BFE" w:rsidRPr="00806024" w:rsidRDefault="00302BFE" w:rsidP="00243B15">
            <w:pPr>
              <w:spacing w:after="40"/>
              <w:rPr>
                <w:sz w:val="18"/>
                <w:szCs w:val="18"/>
              </w:rPr>
            </w:pPr>
          </w:p>
        </w:tc>
      </w:tr>
      <w:tr w:rsidR="00302BFE" w:rsidRPr="00BF343C" w14:paraId="348DEBFC" w14:textId="77777777" w:rsidTr="00243B15">
        <w:trPr>
          <w:jc w:val="center"/>
        </w:trPr>
        <w:tc>
          <w:tcPr>
            <w:tcW w:w="3027" w:type="dxa"/>
            <w:shd w:val="clear" w:color="auto" w:fill="auto"/>
          </w:tcPr>
          <w:p w14:paraId="425C12C2" w14:textId="77777777" w:rsidR="00302BFE" w:rsidRPr="00806024" w:rsidRDefault="00302BFE" w:rsidP="00243B15">
            <w:pPr>
              <w:rPr>
                <w:b/>
                <w:sz w:val="18"/>
                <w:szCs w:val="18"/>
              </w:rPr>
            </w:pPr>
            <w:r w:rsidRPr="00806024">
              <w:rPr>
                <w:b/>
                <w:sz w:val="18"/>
                <w:szCs w:val="18"/>
              </w:rPr>
              <w:t>Visitors in the protected areas</w:t>
            </w:r>
          </w:p>
        </w:tc>
        <w:tc>
          <w:tcPr>
            <w:tcW w:w="7305" w:type="dxa"/>
            <w:shd w:val="clear" w:color="auto" w:fill="auto"/>
          </w:tcPr>
          <w:p w14:paraId="61487A6F" w14:textId="77777777" w:rsidR="00302BFE" w:rsidRPr="00806024" w:rsidRDefault="00302BFE" w:rsidP="00243B15">
            <w:pPr>
              <w:spacing w:after="40"/>
              <w:rPr>
                <w:sz w:val="18"/>
                <w:szCs w:val="18"/>
              </w:rPr>
            </w:pPr>
            <w:r w:rsidRPr="00806024">
              <w:rPr>
                <w:sz w:val="18"/>
                <w:szCs w:val="18"/>
              </w:rPr>
              <w:t xml:space="preserve">Their interest and willingness to pay for the range of tourism product options. Include willingness to pay, return visitation. Note for domestic tourists based in Ouagadougou, there may be potential for weekend and day trips, or adding on 1-2 days for visitors already staying at existing accommodation facilities. </w:t>
            </w:r>
          </w:p>
        </w:tc>
      </w:tr>
      <w:tr w:rsidR="00302BFE" w:rsidRPr="00BF343C" w14:paraId="2B45C320" w14:textId="77777777" w:rsidTr="00243B15">
        <w:trPr>
          <w:jc w:val="center"/>
        </w:trPr>
        <w:tc>
          <w:tcPr>
            <w:tcW w:w="3027" w:type="dxa"/>
            <w:shd w:val="clear" w:color="auto" w:fill="auto"/>
          </w:tcPr>
          <w:p w14:paraId="43A2FF75" w14:textId="77777777" w:rsidR="00302BFE" w:rsidRPr="00806024" w:rsidRDefault="00302BFE" w:rsidP="00243B15">
            <w:pPr>
              <w:rPr>
                <w:b/>
                <w:sz w:val="18"/>
                <w:szCs w:val="18"/>
              </w:rPr>
            </w:pPr>
            <w:r w:rsidRPr="00806024">
              <w:rPr>
                <w:b/>
                <w:sz w:val="18"/>
                <w:szCs w:val="18"/>
              </w:rPr>
              <w:t xml:space="preserve">Schools </w:t>
            </w:r>
            <w:r w:rsidRPr="00806024">
              <w:rPr>
                <w:sz w:val="18"/>
                <w:szCs w:val="18"/>
              </w:rPr>
              <w:t>in the PONASI landscape</w:t>
            </w:r>
          </w:p>
        </w:tc>
        <w:tc>
          <w:tcPr>
            <w:tcW w:w="7305" w:type="dxa"/>
            <w:shd w:val="clear" w:color="auto" w:fill="auto"/>
          </w:tcPr>
          <w:p w14:paraId="5F2F0E55" w14:textId="77777777" w:rsidR="00302BFE" w:rsidRPr="00806024" w:rsidRDefault="00302BFE" w:rsidP="00243B15">
            <w:pPr>
              <w:spacing w:after="40"/>
              <w:rPr>
                <w:sz w:val="18"/>
                <w:szCs w:val="18"/>
              </w:rPr>
            </w:pPr>
            <w:r w:rsidRPr="00806024">
              <w:rPr>
                <w:sz w:val="18"/>
                <w:szCs w:val="18"/>
              </w:rPr>
              <w:t>Local educational tours, focusing on conservation and culture. (Note that this cohort of visitors will not generate much revenue within the system, but the educational component is important).</w:t>
            </w:r>
          </w:p>
        </w:tc>
      </w:tr>
    </w:tbl>
    <w:p w14:paraId="2E5B59D9" w14:textId="77777777" w:rsidR="00302BFE" w:rsidRPr="00BC6B71"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rPr>
      </w:pPr>
      <w:r w:rsidRPr="00BC6B71">
        <w:rPr>
          <w:rFonts w:ascii="Calibri" w:hAnsi="Calibri"/>
          <w:sz w:val="20"/>
          <w:szCs w:val="20"/>
          <w:u w:val="single"/>
        </w:rPr>
        <w:lastRenderedPageBreak/>
        <w:t>c) Supply analysis</w:t>
      </w:r>
      <w:r w:rsidRPr="00BC6B71">
        <w:rPr>
          <w:rFonts w:ascii="Calibri" w:hAnsi="Calibri"/>
          <w:sz w:val="20"/>
          <w:szCs w:val="20"/>
        </w:rPr>
        <w:t>: This analysis will include an inventory and mapping of existing tourism attractions and assets across the PONASI landscape, within and outside protected areas. This inventory could be produced on Google Maps to ensure that it is easily shared with tourists and tour operators. The inventory will include (i) Name description, location (GPS coordinates and village identification), price, access, opening hours, contact details for information and bookings if relevant; (ii) Improvement required (infrastructure and equipment) / capacity building needed; (iii) Natural and cultural attractions within and outside protected areas such as waterholes/viewpoints, sacred sites, historical sites, festivals, events).</w:t>
      </w:r>
    </w:p>
    <w:p w14:paraId="0192AEA8" w14:textId="77777777" w:rsidR="00302BFE" w:rsidRPr="00BC6B71"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rPr>
      </w:pPr>
      <w:r w:rsidRPr="00BC6B71">
        <w:rPr>
          <w:rFonts w:ascii="Calibri" w:hAnsi="Calibri"/>
          <w:sz w:val="20"/>
          <w:szCs w:val="20"/>
        </w:rPr>
        <w:t xml:space="preserve">Identification of attractions and products that need improvement will include specific natural and cultural attractions, tours and circuits that complement the existing wildlife products in the protected areas, using information collected through the inventory on their improvement requirements. Attractions and products will be </w:t>
      </w:r>
      <w:proofErr w:type="spellStart"/>
      <w:r w:rsidRPr="00BC6B71">
        <w:rPr>
          <w:rFonts w:ascii="Calibri" w:hAnsi="Calibri"/>
          <w:sz w:val="20"/>
          <w:szCs w:val="20"/>
        </w:rPr>
        <w:t>prioritised</w:t>
      </w:r>
      <w:proofErr w:type="spellEnd"/>
      <w:r w:rsidRPr="00BC6B71">
        <w:rPr>
          <w:rFonts w:ascii="Calibri" w:hAnsi="Calibri"/>
          <w:sz w:val="20"/>
          <w:szCs w:val="20"/>
        </w:rPr>
        <w:t xml:space="preserve"> based on market potential/demand and the level of interest and commitment of the owner, </w:t>
      </w:r>
      <w:proofErr w:type="gramStart"/>
      <w:r w:rsidRPr="00BC6B71">
        <w:rPr>
          <w:rFonts w:ascii="Calibri" w:hAnsi="Calibri"/>
          <w:sz w:val="20"/>
          <w:szCs w:val="20"/>
        </w:rPr>
        <w:t>manager</w:t>
      </w:r>
      <w:proofErr w:type="gramEnd"/>
      <w:r w:rsidRPr="00BC6B71">
        <w:rPr>
          <w:rFonts w:ascii="Calibri" w:hAnsi="Calibri"/>
          <w:sz w:val="20"/>
          <w:szCs w:val="20"/>
        </w:rPr>
        <w:t xml:space="preserve"> or concessionaire. Based on relatively low occupancies currently in the park, and that they are mainly for hunting, joint venture partnerships are not recommended at this time. The project will rather support management/promotional contracts for smaller scale, easier </w:t>
      </w:r>
      <w:proofErr w:type="gramStart"/>
      <w:r w:rsidRPr="00BC6B71">
        <w:rPr>
          <w:rFonts w:ascii="Calibri" w:hAnsi="Calibri"/>
          <w:sz w:val="20"/>
          <w:szCs w:val="20"/>
        </w:rPr>
        <w:t>enterprises</w:t>
      </w:r>
      <w:proofErr w:type="gramEnd"/>
      <w:r w:rsidRPr="00BC6B71">
        <w:rPr>
          <w:rFonts w:ascii="Calibri" w:hAnsi="Calibri"/>
          <w:sz w:val="20"/>
          <w:szCs w:val="20"/>
        </w:rPr>
        <w:t xml:space="preserve"> and linkages to market. Improvements such as maintenance, upgrades, interpretation, signage, visitor facilities (</w:t>
      </w:r>
      <w:proofErr w:type="gramStart"/>
      <w:r w:rsidRPr="00BC6B71">
        <w:rPr>
          <w:rFonts w:ascii="Calibri" w:hAnsi="Calibri"/>
          <w:sz w:val="20"/>
          <w:szCs w:val="20"/>
        </w:rPr>
        <w:t>e.g.</w:t>
      </w:r>
      <w:proofErr w:type="gramEnd"/>
      <w:r w:rsidRPr="00BC6B71">
        <w:rPr>
          <w:rFonts w:ascii="Calibri" w:hAnsi="Calibri"/>
          <w:sz w:val="20"/>
          <w:szCs w:val="20"/>
        </w:rPr>
        <w:t xml:space="preserve"> public toilets, reception, etc.) will be considered.</w:t>
      </w:r>
    </w:p>
    <w:p w14:paraId="734307D1" w14:textId="77777777" w:rsidR="00302BFE" w:rsidRPr="00BC6B71"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rPr>
      </w:pPr>
      <w:r w:rsidRPr="00BC6B71">
        <w:rPr>
          <w:rFonts w:ascii="Calibri" w:hAnsi="Calibri"/>
          <w:sz w:val="20"/>
          <w:szCs w:val="20"/>
        </w:rPr>
        <w:t>Product development or improvement options could include:</w:t>
      </w:r>
    </w:p>
    <w:p w14:paraId="6D8FE43F" w14:textId="77777777" w:rsidR="00302BFE" w:rsidRPr="005F3825" w:rsidRDefault="00302BFE" w:rsidP="00C46720">
      <w:pPr>
        <w:pStyle w:val="Paragraphedeliste"/>
        <w:numPr>
          <w:ilvl w:val="0"/>
          <w:numId w:val="24"/>
        </w:numPr>
        <w:spacing w:before="120" w:after="120"/>
        <w:contextualSpacing/>
        <w:jc w:val="both"/>
        <w:rPr>
          <w:rFonts w:ascii="Calibri" w:hAnsi="Calibri" w:cs="Calibri Light"/>
          <w:sz w:val="20"/>
          <w:szCs w:val="20"/>
        </w:rPr>
      </w:pPr>
      <w:r w:rsidRPr="005F3825">
        <w:rPr>
          <w:rFonts w:ascii="Calibri" w:hAnsi="Calibri"/>
          <w:sz w:val="20"/>
          <w:szCs w:val="20"/>
          <w:u w:val="single"/>
        </w:rPr>
        <w:t>Historical sites outside the protected areas</w:t>
      </w:r>
      <w:r w:rsidRPr="005F3825">
        <w:rPr>
          <w:rFonts w:ascii="Calibri" w:hAnsi="Calibri"/>
          <w:sz w:val="20"/>
          <w:szCs w:val="20"/>
        </w:rPr>
        <w:t xml:space="preserve">: </w:t>
      </w:r>
      <w:r w:rsidRPr="005F3825">
        <w:rPr>
          <w:rFonts w:ascii="Calibri" w:hAnsi="Calibri" w:cs="Calibri Light"/>
          <w:sz w:val="20"/>
          <w:szCs w:val="20"/>
        </w:rPr>
        <w:t xml:space="preserve">Binger's </w:t>
      </w:r>
      <w:proofErr w:type="spellStart"/>
      <w:r w:rsidRPr="005F3825">
        <w:rPr>
          <w:rFonts w:ascii="Calibri" w:hAnsi="Calibri" w:cs="Calibri Light"/>
          <w:sz w:val="20"/>
          <w:szCs w:val="20"/>
        </w:rPr>
        <w:t>Tiakane</w:t>
      </w:r>
      <w:proofErr w:type="spellEnd"/>
      <w:r w:rsidRPr="005F3825">
        <w:rPr>
          <w:rFonts w:ascii="Calibri" w:hAnsi="Calibri" w:cs="Calibri Light"/>
          <w:sz w:val="20"/>
          <w:szCs w:val="20"/>
        </w:rPr>
        <w:t xml:space="preserve"> hut, the </w:t>
      </w:r>
      <w:proofErr w:type="spellStart"/>
      <w:r w:rsidRPr="005F3825">
        <w:rPr>
          <w:rFonts w:ascii="Calibri" w:hAnsi="Calibri" w:cs="Calibri Light"/>
          <w:sz w:val="20"/>
          <w:szCs w:val="20"/>
        </w:rPr>
        <w:t>Noriyida</w:t>
      </w:r>
      <w:proofErr w:type="spellEnd"/>
      <w:r w:rsidRPr="005F3825">
        <w:rPr>
          <w:rFonts w:ascii="Calibri" w:hAnsi="Calibri" w:cs="Calibri Light"/>
          <w:sz w:val="20"/>
          <w:szCs w:val="20"/>
        </w:rPr>
        <w:t xml:space="preserve"> mosque, the </w:t>
      </w:r>
      <w:proofErr w:type="spellStart"/>
      <w:r w:rsidRPr="005F3825">
        <w:rPr>
          <w:rFonts w:ascii="Calibri" w:hAnsi="Calibri" w:cs="Calibri Light"/>
          <w:sz w:val="20"/>
          <w:szCs w:val="20"/>
        </w:rPr>
        <w:t>Naba</w:t>
      </w:r>
      <w:proofErr w:type="spellEnd"/>
      <w:r w:rsidRPr="005F3825">
        <w:rPr>
          <w:rFonts w:ascii="Calibri" w:hAnsi="Calibri" w:cs="Calibri Light"/>
          <w:sz w:val="20"/>
          <w:szCs w:val="20"/>
        </w:rPr>
        <w:t xml:space="preserve"> </w:t>
      </w:r>
      <w:proofErr w:type="spellStart"/>
      <w:r w:rsidRPr="005F3825">
        <w:rPr>
          <w:rFonts w:ascii="Calibri" w:hAnsi="Calibri" w:cs="Calibri Light"/>
          <w:sz w:val="20"/>
          <w:szCs w:val="20"/>
        </w:rPr>
        <w:t>Bilgo</w:t>
      </w:r>
      <w:proofErr w:type="spellEnd"/>
      <w:r w:rsidRPr="005F3825">
        <w:rPr>
          <w:rFonts w:ascii="Calibri" w:hAnsi="Calibri" w:cs="Calibri Light"/>
          <w:sz w:val="20"/>
          <w:szCs w:val="20"/>
        </w:rPr>
        <w:t xml:space="preserve"> weavers' workshop, the </w:t>
      </w:r>
      <w:proofErr w:type="spellStart"/>
      <w:r w:rsidRPr="005F3825">
        <w:rPr>
          <w:rFonts w:ascii="Calibri" w:hAnsi="Calibri" w:cs="Calibri Light"/>
          <w:sz w:val="20"/>
          <w:szCs w:val="20"/>
        </w:rPr>
        <w:t>Yennenga</w:t>
      </w:r>
      <w:proofErr w:type="spellEnd"/>
      <w:r w:rsidRPr="005F3825">
        <w:rPr>
          <w:rFonts w:ascii="Calibri" w:hAnsi="Calibri" w:cs="Calibri Light"/>
          <w:sz w:val="20"/>
          <w:szCs w:val="20"/>
        </w:rPr>
        <w:t xml:space="preserve"> forge, or the </w:t>
      </w:r>
      <w:proofErr w:type="spellStart"/>
      <w:r w:rsidRPr="005F3825">
        <w:rPr>
          <w:rFonts w:ascii="Calibri" w:hAnsi="Calibri" w:cs="Calibri Light"/>
          <w:sz w:val="20"/>
          <w:szCs w:val="20"/>
        </w:rPr>
        <w:t>Kollo</w:t>
      </w:r>
      <w:proofErr w:type="spellEnd"/>
      <w:r w:rsidRPr="005F3825">
        <w:rPr>
          <w:rFonts w:ascii="Calibri" w:hAnsi="Calibri" w:cs="Calibri Light"/>
          <w:sz w:val="20"/>
          <w:szCs w:val="20"/>
        </w:rPr>
        <w:t xml:space="preserve"> granite rock are sites that tell the story of human occupation </w:t>
      </w:r>
    </w:p>
    <w:p w14:paraId="44342BEA" w14:textId="77777777" w:rsidR="00302BFE" w:rsidRPr="005F3825" w:rsidRDefault="00302BFE" w:rsidP="00C46720">
      <w:pPr>
        <w:pStyle w:val="Paragraphedeliste"/>
        <w:numPr>
          <w:ilvl w:val="0"/>
          <w:numId w:val="24"/>
        </w:numPr>
        <w:spacing w:before="120" w:after="120"/>
        <w:contextualSpacing/>
        <w:jc w:val="both"/>
        <w:rPr>
          <w:rFonts w:ascii="Calibri" w:hAnsi="Calibri" w:cs="Calibri Light"/>
          <w:sz w:val="20"/>
          <w:szCs w:val="20"/>
        </w:rPr>
      </w:pPr>
      <w:r w:rsidRPr="005F3825">
        <w:rPr>
          <w:rFonts w:ascii="Calibri" w:hAnsi="Calibri" w:cs="Calibri Light"/>
          <w:sz w:val="20"/>
          <w:szCs w:val="20"/>
          <w:u w:val="single"/>
        </w:rPr>
        <w:t>Artistic and cultural events</w:t>
      </w:r>
      <w:r w:rsidRPr="005F3825">
        <w:rPr>
          <w:rFonts w:ascii="Calibri" w:hAnsi="Calibri" w:cs="Calibri Light"/>
          <w:sz w:val="20"/>
          <w:szCs w:val="20"/>
        </w:rPr>
        <w:t>: Electronic diary of events taking place. Establish whether any require support to improve visitor management/promotion (</w:t>
      </w:r>
      <w:proofErr w:type="gramStart"/>
      <w:r w:rsidRPr="005F3825">
        <w:rPr>
          <w:rFonts w:ascii="Calibri" w:hAnsi="Calibri" w:cs="Calibri Light"/>
          <w:sz w:val="20"/>
          <w:szCs w:val="20"/>
        </w:rPr>
        <w:t>e.g.</w:t>
      </w:r>
      <w:proofErr w:type="gramEnd"/>
      <w:r w:rsidRPr="005F3825">
        <w:rPr>
          <w:rFonts w:ascii="Calibri" w:hAnsi="Calibri" w:cs="Calibri Light"/>
          <w:sz w:val="20"/>
          <w:szCs w:val="20"/>
        </w:rPr>
        <w:t xml:space="preserve"> </w:t>
      </w:r>
      <w:proofErr w:type="spellStart"/>
      <w:r w:rsidRPr="005F3825">
        <w:rPr>
          <w:rFonts w:ascii="Calibri" w:hAnsi="Calibri" w:cs="Calibri Light"/>
          <w:sz w:val="20"/>
          <w:szCs w:val="20"/>
        </w:rPr>
        <w:t>Saponé</w:t>
      </w:r>
      <w:proofErr w:type="spellEnd"/>
      <w:r w:rsidRPr="005F3825">
        <w:rPr>
          <w:rFonts w:ascii="Calibri" w:hAnsi="Calibri" w:cs="Calibri Light"/>
          <w:sz w:val="20"/>
          <w:szCs w:val="20"/>
        </w:rPr>
        <w:t xml:space="preserve"> hat; painting of royal courts; storytelling)</w:t>
      </w:r>
    </w:p>
    <w:p w14:paraId="2085808F" w14:textId="77777777" w:rsidR="00302BFE" w:rsidRPr="005F3825" w:rsidRDefault="00302BFE" w:rsidP="00C46720">
      <w:pPr>
        <w:pStyle w:val="Paragraphedeliste"/>
        <w:numPr>
          <w:ilvl w:val="0"/>
          <w:numId w:val="24"/>
        </w:numPr>
        <w:spacing w:before="120" w:after="120"/>
        <w:contextualSpacing/>
        <w:jc w:val="both"/>
        <w:rPr>
          <w:rFonts w:ascii="Calibri" w:hAnsi="Calibri" w:cs="Calibri Light"/>
          <w:sz w:val="20"/>
          <w:szCs w:val="20"/>
        </w:rPr>
      </w:pPr>
      <w:r w:rsidRPr="005F3825">
        <w:rPr>
          <w:rFonts w:ascii="Calibri" w:hAnsi="Calibri" w:cs="Calibri Light"/>
          <w:sz w:val="20"/>
          <w:szCs w:val="20"/>
          <w:u w:val="single"/>
        </w:rPr>
        <w:t>Hiking tours</w:t>
      </w:r>
      <w:r w:rsidRPr="005F3825">
        <w:rPr>
          <w:rFonts w:ascii="Calibri" w:hAnsi="Calibri" w:cs="Calibri Light"/>
          <w:b/>
          <w:sz w:val="20"/>
          <w:szCs w:val="20"/>
        </w:rPr>
        <w:t xml:space="preserve">: </w:t>
      </w:r>
      <w:r w:rsidRPr="005F3825">
        <w:rPr>
          <w:rFonts w:ascii="Calibri" w:hAnsi="Calibri" w:cs="Calibri Light"/>
          <w:sz w:val="20"/>
          <w:szCs w:val="20"/>
        </w:rPr>
        <w:t>Both guided, and self</w:t>
      </w:r>
      <w:r>
        <w:rPr>
          <w:rFonts w:ascii="Calibri" w:hAnsi="Calibri" w:cs="Calibri Light"/>
          <w:sz w:val="20"/>
          <w:szCs w:val="20"/>
        </w:rPr>
        <w:t>-</w:t>
      </w:r>
      <w:r w:rsidRPr="005F3825">
        <w:rPr>
          <w:rFonts w:ascii="Calibri" w:hAnsi="Calibri" w:cs="Calibri Light"/>
          <w:sz w:val="20"/>
          <w:szCs w:val="20"/>
        </w:rPr>
        <w:t>guided.</w:t>
      </w:r>
    </w:p>
    <w:p w14:paraId="3CA1AB8A" w14:textId="77777777" w:rsidR="00302BFE" w:rsidRPr="005F3825" w:rsidRDefault="00302BFE" w:rsidP="00C46720">
      <w:pPr>
        <w:pStyle w:val="Paragraphedeliste"/>
        <w:numPr>
          <w:ilvl w:val="0"/>
          <w:numId w:val="24"/>
        </w:numPr>
        <w:spacing w:before="120" w:after="120"/>
        <w:contextualSpacing/>
        <w:jc w:val="both"/>
        <w:rPr>
          <w:rFonts w:ascii="Calibri" w:hAnsi="Calibri" w:cs="Calibri Light"/>
          <w:sz w:val="20"/>
          <w:szCs w:val="20"/>
        </w:rPr>
      </w:pPr>
      <w:r w:rsidRPr="005F3825">
        <w:rPr>
          <w:rFonts w:ascii="Calibri" w:hAnsi="Calibri" w:cs="Calibri Light"/>
          <w:sz w:val="20"/>
          <w:szCs w:val="20"/>
          <w:u w:val="single"/>
        </w:rPr>
        <w:t>Boat and canoe trips</w:t>
      </w:r>
      <w:r w:rsidRPr="005F3825">
        <w:rPr>
          <w:rFonts w:ascii="Calibri" w:hAnsi="Calibri" w:cs="Calibri Light"/>
          <w:sz w:val="20"/>
          <w:szCs w:val="20"/>
        </w:rPr>
        <w:t xml:space="preserve"> on </w:t>
      </w:r>
      <w:proofErr w:type="spellStart"/>
      <w:r w:rsidRPr="005F3825">
        <w:rPr>
          <w:rFonts w:ascii="Calibri" w:hAnsi="Calibri" w:cs="Calibri Light"/>
          <w:sz w:val="20"/>
          <w:szCs w:val="20"/>
        </w:rPr>
        <w:t>Nazinon</w:t>
      </w:r>
      <w:proofErr w:type="spellEnd"/>
      <w:r w:rsidRPr="005F3825">
        <w:rPr>
          <w:rFonts w:ascii="Calibri" w:hAnsi="Calibri" w:cs="Calibri Light"/>
          <w:sz w:val="20"/>
          <w:szCs w:val="20"/>
        </w:rPr>
        <w:t xml:space="preserve"> River.</w:t>
      </w:r>
    </w:p>
    <w:p w14:paraId="213EB2D0" w14:textId="77777777" w:rsidR="00302BFE" w:rsidRPr="005F3825" w:rsidRDefault="00302BFE" w:rsidP="00C46720">
      <w:pPr>
        <w:pStyle w:val="Paragraphedeliste"/>
        <w:numPr>
          <w:ilvl w:val="0"/>
          <w:numId w:val="24"/>
        </w:numPr>
        <w:spacing w:before="120" w:after="120"/>
        <w:contextualSpacing/>
        <w:jc w:val="both"/>
        <w:rPr>
          <w:rFonts w:ascii="Calibri" w:hAnsi="Calibri" w:cs="Calibri Light"/>
          <w:sz w:val="20"/>
          <w:szCs w:val="20"/>
        </w:rPr>
      </w:pPr>
      <w:r w:rsidRPr="005F3825">
        <w:rPr>
          <w:rFonts w:ascii="Calibri" w:hAnsi="Calibri" w:cs="Calibri Light"/>
          <w:sz w:val="20"/>
          <w:szCs w:val="20"/>
          <w:u w:val="single"/>
        </w:rPr>
        <w:t>Homestays and village-based eateries</w:t>
      </w:r>
      <w:r w:rsidRPr="005F3825">
        <w:rPr>
          <w:rFonts w:ascii="Calibri" w:hAnsi="Calibri" w:cs="Calibri Light"/>
          <w:b/>
          <w:sz w:val="20"/>
          <w:szCs w:val="20"/>
        </w:rPr>
        <w:t xml:space="preserve"> </w:t>
      </w:r>
      <w:r w:rsidRPr="005F3825">
        <w:rPr>
          <w:rFonts w:ascii="Calibri" w:hAnsi="Calibri" w:cs="Calibri Light"/>
          <w:sz w:val="20"/>
          <w:szCs w:val="20"/>
        </w:rPr>
        <w:t>serving traditional meals and beverages using local products</w:t>
      </w:r>
      <w:r w:rsidRPr="005F3825">
        <w:rPr>
          <w:rFonts w:ascii="Calibri" w:hAnsi="Calibri" w:cs="Calibri Light"/>
          <w:b/>
          <w:sz w:val="20"/>
          <w:szCs w:val="20"/>
        </w:rPr>
        <w:t xml:space="preserve"> </w:t>
      </w:r>
      <w:proofErr w:type="gramStart"/>
      <w:r w:rsidRPr="005F3825">
        <w:rPr>
          <w:rFonts w:ascii="Calibri" w:hAnsi="Calibri" w:cs="Calibri Light"/>
          <w:sz w:val="20"/>
          <w:szCs w:val="20"/>
        </w:rPr>
        <w:t>e.g.</w:t>
      </w:r>
      <w:proofErr w:type="gramEnd"/>
      <w:r w:rsidRPr="005F3825">
        <w:rPr>
          <w:rFonts w:ascii="Calibri" w:hAnsi="Calibri" w:cs="Calibri Light"/>
          <w:sz w:val="20"/>
          <w:szCs w:val="20"/>
        </w:rPr>
        <w:t xml:space="preserve"> juice processing (such as ginger juice, </w:t>
      </w:r>
      <w:proofErr w:type="spellStart"/>
      <w:r w:rsidRPr="005F3825">
        <w:rPr>
          <w:rFonts w:ascii="Calibri" w:hAnsi="Calibri" w:cs="Calibri Light"/>
          <w:sz w:val="20"/>
          <w:szCs w:val="20"/>
        </w:rPr>
        <w:t>bissap</w:t>
      </w:r>
      <w:proofErr w:type="spellEnd"/>
      <w:r w:rsidRPr="005F3825">
        <w:rPr>
          <w:rFonts w:ascii="Calibri" w:hAnsi="Calibri" w:cs="Calibri Light"/>
          <w:sz w:val="20"/>
          <w:szCs w:val="20"/>
        </w:rPr>
        <w:t xml:space="preserve">, tamarind, </w:t>
      </w:r>
      <w:proofErr w:type="spellStart"/>
      <w:r w:rsidRPr="005F3825">
        <w:rPr>
          <w:rFonts w:ascii="Calibri" w:hAnsi="Calibri" w:cs="Calibri Light"/>
          <w:sz w:val="20"/>
          <w:szCs w:val="20"/>
        </w:rPr>
        <w:t>liane</w:t>
      </w:r>
      <w:proofErr w:type="spellEnd"/>
      <w:r w:rsidRPr="005F3825">
        <w:rPr>
          <w:rFonts w:ascii="Calibri" w:hAnsi="Calibri" w:cs="Calibri Light"/>
          <w:sz w:val="20"/>
          <w:szCs w:val="20"/>
        </w:rPr>
        <w:t xml:space="preserve"> </w:t>
      </w:r>
      <w:proofErr w:type="spellStart"/>
      <w:r w:rsidRPr="005F3825">
        <w:rPr>
          <w:rFonts w:ascii="Calibri" w:hAnsi="Calibri" w:cs="Calibri Light"/>
          <w:sz w:val="20"/>
          <w:szCs w:val="20"/>
        </w:rPr>
        <w:t>goïne</w:t>
      </w:r>
      <w:proofErr w:type="spellEnd"/>
      <w:r w:rsidRPr="005F3825">
        <w:rPr>
          <w:rFonts w:ascii="Calibri" w:hAnsi="Calibri" w:cs="Calibri Light"/>
          <w:sz w:val="20"/>
          <w:szCs w:val="20"/>
        </w:rPr>
        <w:t>)</w:t>
      </w:r>
      <w:r w:rsidRPr="005F3825">
        <w:rPr>
          <w:rFonts w:ascii="Calibri" w:hAnsi="Calibri" w:cs="Calibri Light"/>
          <w:b/>
          <w:sz w:val="20"/>
          <w:szCs w:val="20"/>
        </w:rPr>
        <w:t xml:space="preserve">: </w:t>
      </w:r>
      <w:r w:rsidRPr="005F3825">
        <w:rPr>
          <w:rFonts w:ascii="Calibri" w:hAnsi="Calibri" w:cs="Calibri Light"/>
          <w:sz w:val="20"/>
          <w:szCs w:val="20"/>
        </w:rPr>
        <w:t xml:space="preserve">Support will include a review of existing facilities and merit-based grants for upgrading infrastructure to improve suitability for national and international tourists (including ecological toilets, coolers, fire extinguishers, </w:t>
      </w:r>
      <w:proofErr w:type="spellStart"/>
      <w:r w:rsidRPr="005F3825">
        <w:rPr>
          <w:rFonts w:ascii="Calibri" w:hAnsi="Calibri" w:cs="Calibri Light"/>
          <w:sz w:val="20"/>
          <w:szCs w:val="20"/>
        </w:rPr>
        <w:t>etc</w:t>
      </w:r>
      <w:proofErr w:type="spellEnd"/>
      <w:r w:rsidRPr="005F3825">
        <w:rPr>
          <w:rFonts w:ascii="Calibri" w:hAnsi="Calibri" w:cs="Calibri Light"/>
          <w:sz w:val="20"/>
          <w:szCs w:val="20"/>
        </w:rPr>
        <w:t>).</w:t>
      </w:r>
      <w:r w:rsidRPr="005F3825">
        <w:rPr>
          <w:rFonts w:ascii="Calibri" w:hAnsi="Calibri" w:cs="Calibri Light"/>
          <w:b/>
          <w:sz w:val="20"/>
          <w:szCs w:val="20"/>
        </w:rPr>
        <w:t xml:space="preserve"> </w:t>
      </w:r>
    </w:p>
    <w:p w14:paraId="7D5E9BB1" w14:textId="77777777" w:rsidR="00302BFE" w:rsidRPr="005F3825" w:rsidRDefault="00302BFE" w:rsidP="00C46720">
      <w:pPr>
        <w:pStyle w:val="Paragraphedeliste"/>
        <w:numPr>
          <w:ilvl w:val="0"/>
          <w:numId w:val="24"/>
        </w:numPr>
        <w:spacing w:before="120" w:after="120"/>
        <w:contextualSpacing/>
        <w:jc w:val="both"/>
        <w:rPr>
          <w:rFonts w:ascii="Calibri" w:hAnsi="Calibri" w:cs="Calibri Light"/>
          <w:sz w:val="20"/>
          <w:szCs w:val="20"/>
          <w:u w:val="single"/>
        </w:rPr>
      </w:pPr>
      <w:r w:rsidRPr="005F3825">
        <w:rPr>
          <w:rFonts w:ascii="Calibri" w:hAnsi="Calibri" w:cs="Calibri Light"/>
          <w:sz w:val="20"/>
          <w:szCs w:val="20"/>
          <w:u w:val="single"/>
        </w:rPr>
        <w:t>Construction and maintenance</w:t>
      </w:r>
    </w:p>
    <w:p w14:paraId="3187D61B" w14:textId="77777777" w:rsidR="00302BFE" w:rsidRPr="005F3825" w:rsidRDefault="00302BFE" w:rsidP="00C46720">
      <w:pPr>
        <w:pStyle w:val="Paragraphedeliste"/>
        <w:numPr>
          <w:ilvl w:val="0"/>
          <w:numId w:val="24"/>
        </w:numPr>
        <w:spacing w:before="120" w:after="120"/>
        <w:ind w:left="714" w:hanging="357"/>
        <w:jc w:val="both"/>
        <w:rPr>
          <w:rFonts w:ascii="Calibri" w:hAnsi="Calibri" w:cs="Calibri Light"/>
          <w:sz w:val="20"/>
          <w:szCs w:val="20"/>
        </w:rPr>
      </w:pPr>
      <w:r w:rsidRPr="005F3825">
        <w:rPr>
          <w:rFonts w:ascii="Calibri" w:hAnsi="Calibri" w:cs="Calibri Light"/>
          <w:sz w:val="20"/>
          <w:szCs w:val="20"/>
          <w:u w:val="single"/>
        </w:rPr>
        <w:t>Handicraft production</w:t>
      </w:r>
      <w:r w:rsidRPr="005F3825">
        <w:rPr>
          <w:rFonts w:ascii="Calibri" w:hAnsi="Calibri" w:cs="Calibri Light"/>
          <w:sz w:val="20"/>
          <w:szCs w:val="20"/>
        </w:rPr>
        <w:t xml:space="preserve"> made by local people to furnish tourism facilities. </w:t>
      </w:r>
    </w:p>
    <w:p w14:paraId="432D8693"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rPr>
      </w:pPr>
      <w:r w:rsidRPr="005F3825">
        <w:rPr>
          <w:rFonts w:ascii="Calibri" w:hAnsi="Calibri" w:cs="Calibri Light"/>
          <w:sz w:val="20"/>
          <w:szCs w:val="20"/>
        </w:rPr>
        <w:t xml:space="preserve">d) </w:t>
      </w:r>
      <w:r w:rsidRPr="005F3825">
        <w:rPr>
          <w:rFonts w:ascii="Calibri" w:hAnsi="Calibri" w:cs="Calibri Light"/>
          <w:sz w:val="20"/>
          <w:szCs w:val="20"/>
          <w:u w:val="single"/>
        </w:rPr>
        <w:t>Human Resources</w:t>
      </w:r>
      <w:r w:rsidRPr="005F3825">
        <w:rPr>
          <w:rFonts w:ascii="Calibri" w:hAnsi="Calibri" w:cs="Calibri Light"/>
          <w:sz w:val="20"/>
          <w:szCs w:val="20"/>
        </w:rPr>
        <w:t>:</w:t>
      </w:r>
      <w:r w:rsidRPr="005F3825">
        <w:rPr>
          <w:rFonts w:ascii="Calibri" w:hAnsi="Calibri" w:cs="Calibri Light"/>
          <w:b/>
          <w:sz w:val="20"/>
          <w:szCs w:val="20"/>
        </w:rPr>
        <w:t xml:space="preserve"> </w:t>
      </w:r>
      <w:r w:rsidRPr="005F3825">
        <w:rPr>
          <w:rFonts w:ascii="Calibri" w:hAnsi="Calibri" w:cs="Calibri Light"/>
          <w:sz w:val="20"/>
          <w:szCs w:val="20"/>
        </w:rPr>
        <w:t>This will include an assessment of the status of current human resources for tourism and visitor management in the area (both within the protected areas and in communities within the PONASI landscape), identification of available training and capacity building materials and institutions in Burkina Faso, and gaps and requirements. Potential training institutions will be asked to bid for the subsequent capacity building program.</w:t>
      </w:r>
    </w:p>
    <w:p w14:paraId="44909B28"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cs="Calibri Light"/>
          <w:sz w:val="20"/>
          <w:szCs w:val="20"/>
        </w:rPr>
      </w:pPr>
      <w:r w:rsidRPr="005F3825">
        <w:rPr>
          <w:rFonts w:ascii="Calibri" w:hAnsi="Calibri" w:cs="Calibri Light"/>
          <w:sz w:val="20"/>
          <w:szCs w:val="20"/>
        </w:rPr>
        <w:t xml:space="preserve">e) </w:t>
      </w:r>
      <w:r w:rsidRPr="005F3825">
        <w:rPr>
          <w:rFonts w:ascii="Calibri" w:hAnsi="Calibri" w:cs="Calibri Light"/>
          <w:sz w:val="20"/>
          <w:szCs w:val="20"/>
          <w:u w:val="single"/>
        </w:rPr>
        <w:t>Enabling factors</w:t>
      </w:r>
      <w:r w:rsidRPr="005F3825">
        <w:rPr>
          <w:rFonts w:ascii="Calibri" w:hAnsi="Calibri" w:cs="Calibri Light"/>
          <w:sz w:val="20"/>
          <w:szCs w:val="20"/>
        </w:rPr>
        <w:t>:</w:t>
      </w:r>
      <w:r w:rsidRPr="005F3825">
        <w:rPr>
          <w:rFonts w:ascii="Calibri" w:hAnsi="Calibri" w:cs="Calibri Light"/>
          <w:b/>
          <w:sz w:val="20"/>
          <w:szCs w:val="20"/>
        </w:rPr>
        <w:t xml:space="preserve"> </w:t>
      </w:r>
      <w:r w:rsidRPr="005F3825">
        <w:rPr>
          <w:rFonts w:ascii="Calibri" w:hAnsi="Calibri"/>
          <w:sz w:val="20"/>
          <w:szCs w:val="20"/>
        </w:rPr>
        <w:t xml:space="preserve">Because of security risks in the country (see </w:t>
      </w:r>
      <w:r w:rsidRPr="00A93827">
        <w:rPr>
          <w:rFonts w:ascii="Calibri" w:hAnsi="Calibri"/>
          <w:sz w:val="20"/>
          <w:szCs w:val="20"/>
        </w:rPr>
        <w:t>Figure 3</w:t>
      </w:r>
      <w:r w:rsidRPr="005F3825">
        <w:rPr>
          <w:rFonts w:ascii="Calibri" w:hAnsi="Calibri"/>
          <w:sz w:val="20"/>
          <w:szCs w:val="20"/>
        </w:rPr>
        <w:t>), the project will initially look at domestic travel (including from expatriates) and business travelers (who want an add-on tour) from Ouagadougou and existing visitors (</w:t>
      </w:r>
      <w:proofErr w:type="gramStart"/>
      <w:r w:rsidRPr="005F3825">
        <w:rPr>
          <w:rFonts w:ascii="Calibri" w:hAnsi="Calibri"/>
          <w:sz w:val="20"/>
          <w:szCs w:val="20"/>
        </w:rPr>
        <w:t>e.g.</w:t>
      </w:r>
      <w:proofErr w:type="gramEnd"/>
      <w:r w:rsidRPr="005F3825">
        <w:rPr>
          <w:rFonts w:ascii="Calibri" w:hAnsi="Calibri"/>
          <w:sz w:val="20"/>
          <w:szCs w:val="20"/>
        </w:rPr>
        <w:t xml:space="preserve"> hunters and their entourage; people staying for elephant viewing). Transportation linkages to the PONASI complex and plans for road improvement are described within the </w:t>
      </w:r>
      <w:proofErr w:type="spellStart"/>
      <w:r w:rsidRPr="005F3825">
        <w:rPr>
          <w:rFonts w:ascii="Calibri" w:hAnsi="Calibri"/>
          <w:i/>
          <w:sz w:val="20"/>
          <w:szCs w:val="20"/>
        </w:rPr>
        <w:t>Schéma</w:t>
      </w:r>
      <w:proofErr w:type="spellEnd"/>
      <w:r w:rsidRPr="005F3825">
        <w:rPr>
          <w:rFonts w:ascii="Calibri" w:hAnsi="Calibri"/>
          <w:i/>
          <w:sz w:val="20"/>
          <w:szCs w:val="20"/>
        </w:rPr>
        <w:t xml:space="preserve"> National </w:t>
      </w:r>
      <w:proofErr w:type="spellStart"/>
      <w:r w:rsidRPr="005F3825">
        <w:rPr>
          <w:rFonts w:ascii="Calibri" w:hAnsi="Calibri"/>
          <w:i/>
          <w:sz w:val="20"/>
          <w:szCs w:val="20"/>
        </w:rPr>
        <w:t>d’Aménagement</w:t>
      </w:r>
      <w:proofErr w:type="spellEnd"/>
      <w:r w:rsidRPr="005F3825">
        <w:rPr>
          <w:rFonts w:ascii="Calibri" w:hAnsi="Calibri"/>
          <w:i/>
          <w:sz w:val="20"/>
          <w:szCs w:val="20"/>
        </w:rPr>
        <w:t xml:space="preserve"> et de </w:t>
      </w:r>
      <w:proofErr w:type="spellStart"/>
      <w:r w:rsidRPr="005F3825">
        <w:rPr>
          <w:rFonts w:ascii="Calibri" w:hAnsi="Calibri"/>
          <w:i/>
          <w:sz w:val="20"/>
          <w:szCs w:val="20"/>
        </w:rPr>
        <w:t>Développement</w:t>
      </w:r>
      <w:proofErr w:type="spellEnd"/>
      <w:r w:rsidRPr="005F3825">
        <w:rPr>
          <w:rFonts w:ascii="Calibri" w:hAnsi="Calibri"/>
          <w:i/>
          <w:sz w:val="20"/>
          <w:szCs w:val="20"/>
        </w:rPr>
        <w:t xml:space="preserve"> Durable du </w:t>
      </w:r>
      <w:proofErr w:type="spellStart"/>
      <w:r w:rsidRPr="005F3825">
        <w:rPr>
          <w:rFonts w:ascii="Calibri" w:hAnsi="Calibri"/>
          <w:i/>
          <w:sz w:val="20"/>
          <w:szCs w:val="20"/>
        </w:rPr>
        <w:t>Territoire</w:t>
      </w:r>
      <w:proofErr w:type="spellEnd"/>
      <w:r w:rsidRPr="005F3825">
        <w:rPr>
          <w:rFonts w:ascii="Calibri" w:hAnsi="Calibri"/>
          <w:sz w:val="20"/>
          <w:szCs w:val="20"/>
        </w:rPr>
        <w:t>. Local safety and security issues in the PONASI landscape will be identified and assessed, as well as the need for additional support (</w:t>
      </w:r>
      <w:proofErr w:type="gramStart"/>
      <w:r w:rsidRPr="005F3825">
        <w:rPr>
          <w:rFonts w:ascii="Calibri" w:hAnsi="Calibri"/>
          <w:sz w:val="20"/>
          <w:szCs w:val="20"/>
        </w:rPr>
        <w:t>e.g.</w:t>
      </w:r>
      <w:proofErr w:type="gramEnd"/>
      <w:r w:rsidRPr="005F3825">
        <w:rPr>
          <w:rFonts w:ascii="Calibri" w:hAnsi="Calibri"/>
          <w:sz w:val="20"/>
          <w:szCs w:val="20"/>
        </w:rPr>
        <w:t xml:space="preserve"> tourism police).</w:t>
      </w:r>
    </w:p>
    <w:tbl>
      <w:tblPr>
        <w:tblpPr w:leftFromText="180" w:rightFromText="180" w:vertAnchor="text" w:tblpXSpec="right" w:tblpY="1"/>
        <w:tblOverlap w:val="never"/>
        <w:tblW w:w="0" w:type="auto"/>
        <w:jc w:val="right"/>
        <w:tblLook w:val="04A0" w:firstRow="1" w:lastRow="0" w:firstColumn="1" w:lastColumn="0" w:noHBand="0" w:noVBand="1"/>
      </w:tblPr>
      <w:tblGrid>
        <w:gridCol w:w="4026"/>
      </w:tblGrid>
      <w:tr w:rsidR="00302BFE" w:rsidRPr="00C3794E" w14:paraId="78138F2A" w14:textId="77777777" w:rsidTr="00243B15">
        <w:trPr>
          <w:trHeight w:val="2977"/>
          <w:jc w:val="right"/>
        </w:trPr>
        <w:tc>
          <w:tcPr>
            <w:tcW w:w="3372" w:type="dxa"/>
            <w:shd w:val="clear" w:color="auto" w:fill="auto"/>
          </w:tcPr>
          <w:p w14:paraId="7A9D1AA1" w14:textId="32A4C0A7" w:rsidR="00302BFE" w:rsidRPr="00C3794E" w:rsidRDefault="008F0CCA" w:rsidP="00243B15">
            <w:pPr>
              <w:rPr>
                <w:sz w:val="14"/>
                <w:szCs w:val="14"/>
                <w:lang w:val="en-CA"/>
              </w:rPr>
            </w:pPr>
            <w:r w:rsidRPr="00A63E29">
              <w:rPr>
                <w:b/>
                <w:noProof/>
                <w:szCs w:val="20"/>
                <w:highlight w:val="yellow"/>
              </w:rPr>
              <w:drawing>
                <wp:anchor distT="0" distB="0" distL="114300" distR="114300" simplePos="0" relativeHeight="251658752" behindDoc="0" locked="0" layoutInCell="1" allowOverlap="1" wp14:anchorId="23364946" wp14:editId="74A5BA06">
                  <wp:simplePos x="0" y="0"/>
                  <wp:positionH relativeFrom="column">
                    <wp:posOffset>87630</wp:posOffset>
                  </wp:positionH>
                  <wp:positionV relativeFrom="paragraph">
                    <wp:posOffset>24130</wp:posOffset>
                  </wp:positionV>
                  <wp:extent cx="2383790" cy="1786890"/>
                  <wp:effectExtent l="19050" t="19050" r="16510" b="22860"/>
                  <wp:wrapSquare wrapText="bothSides"/>
                  <wp:docPr id="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83790" cy="1786890"/>
                          </a:xfrm>
                          <a:prstGeom prst="rect">
                            <a:avLst/>
                          </a:prstGeom>
                          <a:noFill/>
                          <a:ln w="9525">
                            <a:solidFill>
                              <a:srgbClr val="4472C4"/>
                            </a:solidFill>
                            <a:miter lim="800000"/>
                            <a:headEnd/>
                            <a:tailEnd/>
                          </a:ln>
                        </pic:spPr>
                      </pic:pic>
                    </a:graphicData>
                  </a:graphic>
                  <wp14:sizeRelH relativeFrom="margin">
                    <wp14:pctWidth>0</wp14:pctWidth>
                  </wp14:sizeRelH>
                  <wp14:sizeRelV relativeFrom="margin">
                    <wp14:pctHeight>0</wp14:pctHeight>
                  </wp14:sizeRelV>
                </wp:anchor>
              </w:drawing>
            </w:r>
            <w:r w:rsidRPr="00A63E29">
              <w:rPr>
                <w:b/>
                <w:szCs w:val="20"/>
                <w:highlight w:val="yellow"/>
                <w:lang w:val="en-CA"/>
              </w:rPr>
              <w:t>Map</w:t>
            </w:r>
            <w:r w:rsidRPr="00875BF2">
              <w:rPr>
                <w:b/>
                <w:szCs w:val="20"/>
                <w:lang w:val="en-CA"/>
              </w:rPr>
              <w:t xml:space="preserve"> </w:t>
            </w:r>
            <w:r w:rsidR="00302BFE" w:rsidRPr="00875BF2">
              <w:rPr>
                <w:b/>
                <w:szCs w:val="20"/>
                <w:lang w:val="en-CA"/>
              </w:rPr>
              <w:t>3. Security situation in Burkina Faso in February 2019</w:t>
            </w:r>
            <w:r w:rsidR="00302BFE" w:rsidRPr="00875BF2">
              <w:rPr>
                <w:sz w:val="14"/>
                <w:szCs w:val="14"/>
                <w:lang w:val="en-CA"/>
              </w:rPr>
              <w:t xml:space="preserve"> </w:t>
            </w:r>
            <w:r w:rsidR="00302BFE" w:rsidRPr="00875BF2">
              <w:rPr>
                <w:sz w:val="16"/>
                <w:szCs w:val="16"/>
                <w:lang w:val="en-CA"/>
              </w:rPr>
              <w:t>- Source: https://www.gov.uk/foreign-travel-advice/burkina-faso</w:t>
            </w:r>
            <w:r w:rsidR="00302BFE" w:rsidRPr="00C3794E">
              <w:rPr>
                <w:noProof/>
                <w:sz w:val="14"/>
                <w:szCs w:val="14"/>
                <w:lang w:val="en-CA"/>
              </w:rPr>
              <w:t xml:space="preserve"> </w:t>
            </w:r>
          </w:p>
        </w:tc>
      </w:tr>
    </w:tbl>
    <w:p w14:paraId="2168480E" w14:textId="013E90AB" w:rsidR="00302BFE" w:rsidRDefault="00302BFE" w:rsidP="00302BFE">
      <w:pPr>
        <w:rPr>
          <w:i/>
          <w:color w:val="4472C4"/>
          <w:szCs w:val="20"/>
          <w:lang w:val="en-GB"/>
        </w:rPr>
      </w:pPr>
      <w:r w:rsidRPr="00BF343C">
        <w:rPr>
          <w:i/>
          <w:color w:val="4472C4"/>
          <w:szCs w:val="20"/>
          <w:lang w:val="en-GB"/>
        </w:rPr>
        <w:t>3.4.2: Establish and support a PONASI destination management organisation</w:t>
      </w:r>
    </w:p>
    <w:p w14:paraId="58409EBA" w14:textId="65A31D92" w:rsidR="003C3F01" w:rsidRPr="00BE65D5" w:rsidRDefault="003C3F01" w:rsidP="00BE65D5">
      <w:pPr>
        <w:spacing w:before="120" w:after="120"/>
        <w:rPr>
          <w:iCs/>
          <w:color w:val="4472C4"/>
          <w:szCs w:val="20"/>
          <w:lang w:val="en-GB"/>
        </w:rPr>
      </w:pPr>
      <w:r w:rsidRPr="00413D2B">
        <w:rPr>
          <w:iCs/>
          <w:color w:val="4472C4"/>
          <w:szCs w:val="20"/>
          <w:lang w:val="en-GB"/>
        </w:rPr>
        <w:t xml:space="preserve">For this activity, the FPIC (Free, Prior and Informed Consent) process </w:t>
      </w:r>
      <w:proofErr w:type="gramStart"/>
      <w:r w:rsidRPr="00413D2B">
        <w:rPr>
          <w:iCs/>
          <w:color w:val="4472C4"/>
          <w:szCs w:val="20"/>
          <w:lang w:val="en-GB"/>
        </w:rPr>
        <w:t>has to</w:t>
      </w:r>
      <w:proofErr w:type="gramEnd"/>
      <w:r w:rsidRPr="00413D2B">
        <w:rPr>
          <w:iCs/>
          <w:color w:val="4472C4"/>
          <w:szCs w:val="20"/>
          <w:lang w:val="en-GB"/>
        </w:rPr>
        <w:t xml:space="preserve"> be ensured</w:t>
      </w:r>
    </w:p>
    <w:p w14:paraId="38A0F610"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cs="Calibri Light"/>
          <w:sz w:val="20"/>
          <w:szCs w:val="20"/>
        </w:rPr>
      </w:pPr>
      <w:r w:rsidRPr="005F3825">
        <w:rPr>
          <w:rFonts w:ascii="Calibri" w:hAnsi="Calibri" w:cs="Calibri Light"/>
          <w:sz w:val="20"/>
          <w:szCs w:val="20"/>
        </w:rPr>
        <w:t xml:space="preserve">A PONASI destination management organization will be established as a collaboration between government, private sector and small, </w:t>
      </w:r>
      <w:proofErr w:type="gramStart"/>
      <w:r w:rsidRPr="005F3825">
        <w:rPr>
          <w:rFonts w:ascii="Calibri" w:hAnsi="Calibri" w:cs="Calibri Light"/>
          <w:sz w:val="20"/>
          <w:szCs w:val="20"/>
        </w:rPr>
        <w:t>medium</w:t>
      </w:r>
      <w:proofErr w:type="gramEnd"/>
      <w:r w:rsidRPr="005F3825">
        <w:rPr>
          <w:rFonts w:ascii="Calibri" w:hAnsi="Calibri" w:cs="Calibri Light"/>
          <w:sz w:val="20"/>
          <w:szCs w:val="20"/>
        </w:rPr>
        <w:t xml:space="preserve"> and micro enterprises, and civil society associations linked to tourism. This will be established at the start of the process involving people who participated in the strategy development and will evolve during the implementation process. This could be based within the authorities at commune level and led by the officer in charge of tourism to ensure the long-term sustainability of the trainings and that implementation of the strategy is in line with the national development plans.</w:t>
      </w:r>
    </w:p>
    <w:p w14:paraId="120C8767" w14:textId="3DB2649F" w:rsidR="00302BFE" w:rsidRDefault="00302BFE" w:rsidP="00302BFE">
      <w:pPr>
        <w:spacing w:before="120" w:after="120"/>
        <w:rPr>
          <w:i/>
          <w:color w:val="4472C4"/>
          <w:szCs w:val="20"/>
          <w:lang w:val="en-GB"/>
        </w:rPr>
      </w:pPr>
      <w:r w:rsidRPr="00BF343C">
        <w:rPr>
          <w:i/>
          <w:color w:val="4472C4"/>
          <w:szCs w:val="20"/>
          <w:lang w:val="en-GB"/>
        </w:rPr>
        <w:t>3.4.3 Tourism and hospitality capacity building and training program</w:t>
      </w:r>
    </w:p>
    <w:p w14:paraId="7FCB07E4" w14:textId="6F683FC0" w:rsidR="003C3F01" w:rsidRPr="00BE65D5" w:rsidRDefault="003C3F01" w:rsidP="00302BFE">
      <w:pPr>
        <w:spacing w:before="120" w:after="120"/>
        <w:rPr>
          <w:iCs/>
          <w:color w:val="4472C4"/>
          <w:szCs w:val="20"/>
          <w:lang w:val="en-GB"/>
        </w:rPr>
      </w:pPr>
      <w:r w:rsidRPr="00413D2B">
        <w:rPr>
          <w:iCs/>
          <w:color w:val="4472C4"/>
          <w:szCs w:val="20"/>
          <w:lang w:val="en-GB"/>
        </w:rPr>
        <w:t xml:space="preserve">For this activity, the FPIC (Free, Prior and Informed Consent) process </w:t>
      </w:r>
      <w:proofErr w:type="gramStart"/>
      <w:r w:rsidRPr="00413D2B">
        <w:rPr>
          <w:iCs/>
          <w:color w:val="4472C4"/>
          <w:szCs w:val="20"/>
          <w:lang w:val="en-GB"/>
        </w:rPr>
        <w:t>has to</w:t>
      </w:r>
      <w:proofErr w:type="gramEnd"/>
      <w:r w:rsidRPr="00413D2B">
        <w:rPr>
          <w:iCs/>
          <w:color w:val="4472C4"/>
          <w:szCs w:val="20"/>
          <w:lang w:val="en-GB"/>
        </w:rPr>
        <w:t xml:space="preserve"> be ensured</w:t>
      </w:r>
    </w:p>
    <w:p w14:paraId="05B327C1"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cs="Calibri Light"/>
          <w:sz w:val="20"/>
          <w:szCs w:val="20"/>
        </w:rPr>
      </w:pPr>
      <w:r w:rsidRPr="005F3825">
        <w:rPr>
          <w:rFonts w:ascii="Calibri" w:hAnsi="Calibri"/>
          <w:sz w:val="20"/>
          <w:szCs w:val="20"/>
          <w:u w:val="single"/>
        </w:rPr>
        <w:t>Identification of a service provider</w:t>
      </w:r>
      <w:r w:rsidRPr="005F3825">
        <w:rPr>
          <w:rFonts w:ascii="Calibri" w:hAnsi="Calibri"/>
          <w:sz w:val="20"/>
          <w:szCs w:val="20"/>
        </w:rPr>
        <w:t xml:space="preserve">. The project will contract an existing hospitality institution to provide an institutional home and trainers for tourism capacity building and training. </w:t>
      </w:r>
      <w:proofErr w:type="spellStart"/>
      <w:r w:rsidRPr="005F3825">
        <w:rPr>
          <w:rFonts w:ascii="Calibri" w:hAnsi="Calibri"/>
          <w:sz w:val="20"/>
          <w:szCs w:val="20"/>
          <w:lang w:val="fr-CA"/>
        </w:rPr>
        <w:t>Such</w:t>
      </w:r>
      <w:proofErr w:type="spellEnd"/>
      <w:r w:rsidRPr="005F3825">
        <w:rPr>
          <w:rFonts w:ascii="Calibri" w:hAnsi="Calibri"/>
          <w:sz w:val="20"/>
          <w:szCs w:val="20"/>
          <w:lang w:val="fr-CA"/>
        </w:rPr>
        <w:t xml:space="preserve"> institutions </w:t>
      </w:r>
      <w:proofErr w:type="spellStart"/>
      <w:r w:rsidRPr="005F3825">
        <w:rPr>
          <w:rFonts w:ascii="Calibri" w:hAnsi="Calibri"/>
          <w:sz w:val="20"/>
          <w:szCs w:val="20"/>
          <w:lang w:val="fr-CA"/>
        </w:rPr>
        <w:t>could</w:t>
      </w:r>
      <w:proofErr w:type="spellEnd"/>
      <w:r w:rsidRPr="005F3825">
        <w:rPr>
          <w:rFonts w:ascii="Calibri" w:hAnsi="Calibri"/>
          <w:sz w:val="20"/>
          <w:szCs w:val="20"/>
          <w:lang w:val="fr-CA"/>
        </w:rPr>
        <w:t xml:space="preserve"> </w:t>
      </w:r>
      <w:proofErr w:type="spellStart"/>
      <w:r w:rsidRPr="005F3825">
        <w:rPr>
          <w:rFonts w:ascii="Calibri" w:hAnsi="Calibri"/>
          <w:sz w:val="20"/>
          <w:szCs w:val="20"/>
          <w:lang w:val="fr-CA"/>
        </w:rPr>
        <w:t>include</w:t>
      </w:r>
      <w:proofErr w:type="spellEnd"/>
      <w:r w:rsidRPr="005F3825">
        <w:rPr>
          <w:rFonts w:ascii="Calibri" w:hAnsi="Calibri"/>
          <w:sz w:val="20"/>
          <w:szCs w:val="20"/>
          <w:lang w:val="fr-CA"/>
        </w:rPr>
        <w:t xml:space="preserve"> </w:t>
      </w:r>
      <w:r w:rsidRPr="005F3825">
        <w:rPr>
          <w:rFonts w:ascii="Calibri" w:hAnsi="Calibri"/>
          <w:i/>
          <w:sz w:val="20"/>
          <w:szCs w:val="20"/>
          <w:lang w:val="fr-CA"/>
        </w:rPr>
        <w:t xml:space="preserve">Centre d'Initiation et de Formation </w:t>
      </w:r>
      <w:r w:rsidRPr="005F3825">
        <w:rPr>
          <w:rFonts w:ascii="Calibri" w:hAnsi="Calibri"/>
          <w:i/>
          <w:sz w:val="20"/>
          <w:szCs w:val="20"/>
          <w:lang w:val="fr-CA"/>
        </w:rPr>
        <w:lastRenderedPageBreak/>
        <w:t>Professionnelle en Restauration</w:t>
      </w:r>
      <w:r w:rsidRPr="005F3825">
        <w:rPr>
          <w:rFonts w:ascii="Calibri" w:hAnsi="Calibri"/>
          <w:sz w:val="20"/>
          <w:szCs w:val="20"/>
          <w:lang w:val="fr-CA"/>
        </w:rPr>
        <w:t xml:space="preserve"> </w:t>
      </w:r>
      <w:proofErr w:type="spellStart"/>
      <w:r w:rsidRPr="005F3825">
        <w:rPr>
          <w:rFonts w:ascii="Calibri" w:hAnsi="Calibri"/>
          <w:sz w:val="20"/>
          <w:szCs w:val="20"/>
          <w:lang w:val="fr-CA"/>
        </w:rPr>
        <w:t>based</w:t>
      </w:r>
      <w:proofErr w:type="spellEnd"/>
      <w:r w:rsidRPr="005F3825">
        <w:rPr>
          <w:rFonts w:ascii="Calibri" w:hAnsi="Calibri"/>
          <w:sz w:val="20"/>
          <w:szCs w:val="20"/>
          <w:lang w:val="fr-CA"/>
        </w:rPr>
        <w:t xml:space="preserve"> in Ouagadougou, </w:t>
      </w:r>
      <w:hyperlink r:id="rId25" w:history="1">
        <w:r w:rsidRPr="005F3825">
          <w:rPr>
            <w:rFonts w:ascii="Calibri" w:hAnsi="Calibri"/>
            <w:i/>
            <w:sz w:val="20"/>
            <w:szCs w:val="20"/>
            <w:lang w:val="fr-CA"/>
          </w:rPr>
          <w:t xml:space="preserve">Centre de Formation Professionnel </w:t>
        </w:r>
        <w:proofErr w:type="spellStart"/>
        <w:r w:rsidRPr="005F3825">
          <w:rPr>
            <w:rFonts w:ascii="Calibri" w:hAnsi="Calibri"/>
            <w:i/>
            <w:sz w:val="20"/>
            <w:szCs w:val="20"/>
            <w:lang w:val="fr-CA"/>
          </w:rPr>
          <w:t>Valba</w:t>
        </w:r>
        <w:proofErr w:type="spellEnd"/>
      </w:hyperlink>
      <w:r w:rsidRPr="005F3825">
        <w:rPr>
          <w:rFonts w:ascii="Calibri" w:hAnsi="Calibri"/>
          <w:bCs/>
          <w:sz w:val="20"/>
          <w:szCs w:val="20"/>
          <w:lang w:val="fr-CA"/>
        </w:rPr>
        <w:t xml:space="preserve">, and/or </w:t>
      </w:r>
      <w:proofErr w:type="spellStart"/>
      <w:r w:rsidRPr="005F3825">
        <w:rPr>
          <w:rFonts w:ascii="Calibri" w:hAnsi="Calibri"/>
          <w:i/>
          <w:sz w:val="20"/>
          <w:szCs w:val="20"/>
          <w:lang w:val="fr-CA"/>
        </w:rPr>
        <w:t>Ecole</w:t>
      </w:r>
      <w:proofErr w:type="spellEnd"/>
      <w:r w:rsidRPr="005F3825">
        <w:rPr>
          <w:rFonts w:ascii="Calibri" w:hAnsi="Calibri"/>
          <w:i/>
          <w:sz w:val="20"/>
          <w:szCs w:val="20"/>
          <w:lang w:val="fr-CA"/>
        </w:rPr>
        <w:t xml:space="preserve"> professionnelle tourisme, cuisine, hôtellerie</w:t>
      </w:r>
      <w:r w:rsidRPr="005F3825">
        <w:rPr>
          <w:rFonts w:ascii="Calibri" w:hAnsi="Calibri"/>
          <w:sz w:val="20"/>
          <w:szCs w:val="20"/>
          <w:lang w:val="fr-CA"/>
        </w:rPr>
        <w:t xml:space="preserve">, </w:t>
      </w:r>
      <w:proofErr w:type="spellStart"/>
      <w:r w:rsidRPr="005F3825">
        <w:rPr>
          <w:rFonts w:ascii="Calibri" w:hAnsi="Calibri"/>
          <w:sz w:val="20"/>
          <w:szCs w:val="20"/>
          <w:lang w:val="fr-CA"/>
        </w:rPr>
        <w:t>based</w:t>
      </w:r>
      <w:proofErr w:type="spellEnd"/>
      <w:r w:rsidRPr="005F3825">
        <w:rPr>
          <w:rFonts w:ascii="Calibri" w:hAnsi="Calibri"/>
          <w:sz w:val="20"/>
          <w:szCs w:val="20"/>
          <w:lang w:val="fr-CA"/>
        </w:rPr>
        <w:t xml:space="preserve"> in Ouagadougou. </w:t>
      </w:r>
      <w:r w:rsidRPr="005F3825">
        <w:rPr>
          <w:rFonts w:ascii="Calibri" w:hAnsi="Calibri"/>
          <w:sz w:val="20"/>
          <w:szCs w:val="20"/>
          <w:lang w:val="en-CA"/>
        </w:rPr>
        <w:t>By working with an existing institution, the project will build a local institutional knowledge and a sustainable ‘home’ for training materials and trainers that can be used in the long term. If needed, the contract will allow the institution to contract-in international training support for the assignment.</w:t>
      </w:r>
    </w:p>
    <w:p w14:paraId="4508C678"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cs="Calibri Light"/>
          <w:sz w:val="20"/>
          <w:szCs w:val="20"/>
        </w:rPr>
      </w:pPr>
      <w:r w:rsidRPr="005F3825">
        <w:rPr>
          <w:rFonts w:ascii="Calibri" w:hAnsi="Calibri"/>
          <w:sz w:val="20"/>
          <w:szCs w:val="20"/>
          <w:u w:val="single"/>
          <w:lang w:val="en-CA"/>
        </w:rPr>
        <w:t>Development and/or improvement of training and tourism capacity building materials</w:t>
      </w:r>
      <w:r w:rsidRPr="005F3825">
        <w:rPr>
          <w:rFonts w:ascii="Calibri" w:hAnsi="Calibri"/>
          <w:sz w:val="20"/>
          <w:szCs w:val="20"/>
          <w:lang w:val="en-CA"/>
        </w:rPr>
        <w:t xml:space="preserve"> for </w:t>
      </w:r>
      <w:r w:rsidRPr="005F3825">
        <w:rPr>
          <w:rFonts w:ascii="Calibri" w:hAnsi="Calibri"/>
          <w:sz w:val="20"/>
          <w:szCs w:val="20"/>
        </w:rPr>
        <w:t>tourism and hospitality.</w:t>
      </w:r>
      <w:r w:rsidRPr="005F3825">
        <w:rPr>
          <w:rFonts w:ascii="Calibri" w:hAnsi="Calibri"/>
        </w:rPr>
        <w:t xml:space="preserve"> </w:t>
      </w:r>
      <w:r w:rsidRPr="005F3825">
        <w:rPr>
          <w:rFonts w:ascii="Calibri" w:hAnsi="Calibri"/>
          <w:sz w:val="20"/>
          <w:szCs w:val="20"/>
        </w:rPr>
        <w:t xml:space="preserve">The trainings will focus on the following topics: catering to the type of products in the PONASI landscape and the market demand for new products (e.g. business planning, access to finance, </w:t>
      </w:r>
      <w:r w:rsidRPr="005F3825">
        <w:rPr>
          <w:rFonts w:ascii="Calibri" w:hAnsi="Calibri" w:cs="Calibri Light"/>
          <w:sz w:val="20"/>
          <w:szCs w:val="20"/>
        </w:rPr>
        <w:t xml:space="preserve">reception of tourists, health precautions, safety, food preparation and catering, maintenance and cleanliness, tourist guiding (both natural and cultural), market access, marketing and promotion (including social media), homestay management, market access, peer-to-peer platforms (e.g. Airbnb; booking.com etc.), driving. </w:t>
      </w:r>
      <w:r w:rsidRPr="005F3825">
        <w:rPr>
          <w:rFonts w:ascii="Calibri" w:hAnsi="Calibri"/>
          <w:sz w:val="20"/>
          <w:szCs w:val="20"/>
        </w:rPr>
        <w:t>Training materials will be available in French and local language</w:t>
      </w:r>
      <w:r w:rsidRPr="005F3825">
        <w:rPr>
          <w:rFonts w:ascii="Calibri" w:eastAsia="Times New Roman" w:hAnsi="Calibri"/>
          <w:sz w:val="20"/>
          <w:szCs w:val="20"/>
        </w:rPr>
        <w:t>, depending on local population needs</w:t>
      </w:r>
      <w:r w:rsidRPr="005F3825">
        <w:rPr>
          <w:rFonts w:ascii="Calibri" w:hAnsi="Calibri"/>
          <w:sz w:val="20"/>
          <w:szCs w:val="20"/>
        </w:rPr>
        <w:t>. Training material will be developed and/or improved for trainers (including source materials, power point materials with scripts) and handouts / tests and assignments for students. Due to electricity and internet connectivity constraints, materials should focus on being low-tech. Within the training program, option will be created for trainees to access internships with existing businesses to gain experience.</w:t>
      </w:r>
    </w:p>
    <w:p w14:paraId="7CB2BBA3"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cs="Calibri Light"/>
          <w:sz w:val="20"/>
          <w:szCs w:val="20"/>
        </w:rPr>
      </w:pPr>
      <w:r w:rsidRPr="005F3825">
        <w:rPr>
          <w:rFonts w:ascii="Calibri" w:hAnsi="Calibri"/>
          <w:sz w:val="20"/>
          <w:szCs w:val="20"/>
          <w:u w:val="single"/>
        </w:rPr>
        <w:t>Implementation of the trainings</w:t>
      </w:r>
      <w:r w:rsidRPr="005F3825">
        <w:rPr>
          <w:rFonts w:ascii="Calibri" w:hAnsi="Calibri"/>
          <w:sz w:val="20"/>
          <w:szCs w:val="20"/>
        </w:rPr>
        <w:t>. The project will first support the training of trainers at the hospitality institutions to deliver the materials. For the training of other beneficiaries, the project will e</w:t>
      </w:r>
      <w:r w:rsidRPr="005F3825">
        <w:rPr>
          <w:rFonts w:ascii="Calibri" w:hAnsi="Calibri" w:cs="Calibri Light"/>
          <w:sz w:val="20"/>
          <w:szCs w:val="20"/>
        </w:rPr>
        <w:t xml:space="preserve">stablish an application process for trainee candidates and provide access based on merit/potential of villagers and entrepreneurs. The selection of training beneficiaries will prioritize women candidates to reach the target ratio of 70% of women receiving support in the tourism </w:t>
      </w:r>
      <w:proofErr w:type="gramStart"/>
      <w:r w:rsidRPr="005F3825">
        <w:rPr>
          <w:rFonts w:ascii="Calibri" w:hAnsi="Calibri" w:cs="Calibri Light"/>
          <w:sz w:val="20"/>
          <w:szCs w:val="20"/>
        </w:rPr>
        <w:t>sector, and</w:t>
      </w:r>
      <w:proofErr w:type="gramEnd"/>
      <w:r w:rsidRPr="005F3825">
        <w:rPr>
          <w:rFonts w:ascii="Calibri" w:hAnsi="Calibri" w:cs="Calibri Light"/>
          <w:sz w:val="20"/>
          <w:szCs w:val="20"/>
        </w:rPr>
        <w:t xml:space="preserve"> may include former poachers. </w:t>
      </w:r>
      <w:r w:rsidRPr="005F3825">
        <w:rPr>
          <w:rFonts w:ascii="Calibri" w:hAnsi="Calibri"/>
          <w:sz w:val="20"/>
          <w:szCs w:val="20"/>
        </w:rPr>
        <w:t>At least 100 trainees within the PONASI landscape will be trained though a series of local training workshops. For efficiency, specific trainings addressing the needs/interests of beneficiaries that have similar needs (</w:t>
      </w:r>
      <w:proofErr w:type="gramStart"/>
      <w:r w:rsidRPr="005F3825">
        <w:rPr>
          <w:rFonts w:ascii="Calibri" w:hAnsi="Calibri"/>
          <w:sz w:val="20"/>
          <w:szCs w:val="20"/>
        </w:rPr>
        <w:t>e.g.</w:t>
      </w:r>
      <w:proofErr w:type="gramEnd"/>
      <w:r w:rsidRPr="005F3825">
        <w:rPr>
          <w:rFonts w:ascii="Calibri" w:hAnsi="Calibri"/>
          <w:sz w:val="20"/>
          <w:szCs w:val="20"/>
        </w:rPr>
        <w:t xml:space="preserve"> homestay owners; tour guides; cultural attraction managers etc.) will be grouped together and sessions will be facilitated by 1-2 trainers. School classrooms within the PONASI landscape will be identified and used for training facilities (or </w:t>
      </w:r>
      <w:proofErr w:type="spellStart"/>
      <w:r w:rsidRPr="005F3825">
        <w:rPr>
          <w:rFonts w:ascii="Calibri" w:hAnsi="Calibri"/>
          <w:sz w:val="20"/>
          <w:szCs w:val="20"/>
        </w:rPr>
        <w:t>Nahouri</w:t>
      </w:r>
      <w:proofErr w:type="spellEnd"/>
      <w:r w:rsidRPr="005F3825">
        <w:rPr>
          <w:rFonts w:ascii="Calibri" w:hAnsi="Calibri"/>
          <w:sz w:val="20"/>
          <w:szCs w:val="20"/>
        </w:rPr>
        <w:t xml:space="preserve"> Safari in </w:t>
      </w:r>
      <w:proofErr w:type="spellStart"/>
      <w:r w:rsidRPr="005F3825">
        <w:rPr>
          <w:rFonts w:ascii="Calibri" w:hAnsi="Calibri"/>
          <w:sz w:val="20"/>
          <w:szCs w:val="20"/>
        </w:rPr>
        <w:t>Nazinga</w:t>
      </w:r>
      <w:proofErr w:type="spellEnd"/>
      <w:r w:rsidRPr="005F3825">
        <w:rPr>
          <w:rFonts w:ascii="Calibri" w:hAnsi="Calibri"/>
          <w:sz w:val="20"/>
          <w:szCs w:val="20"/>
        </w:rPr>
        <w:t xml:space="preserve"> Game Ranch has a room that can hold 100 people for meetings that could be hired). Following successful completion of the training, the project will facilitate linkages between trainees and jobs identified in the strategy.</w:t>
      </w:r>
    </w:p>
    <w:p w14:paraId="6FD55872"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cs="Calibri Light"/>
          <w:sz w:val="20"/>
          <w:szCs w:val="20"/>
        </w:rPr>
      </w:pPr>
      <w:r w:rsidRPr="005F3825">
        <w:rPr>
          <w:rFonts w:ascii="Calibri" w:hAnsi="Calibri"/>
          <w:sz w:val="20"/>
          <w:szCs w:val="20"/>
        </w:rPr>
        <w:t>The project will support</w:t>
      </w:r>
      <w:r w:rsidRPr="005F3825">
        <w:rPr>
          <w:rFonts w:ascii="Calibri" w:hAnsi="Calibri"/>
          <w:b/>
          <w:sz w:val="20"/>
          <w:szCs w:val="20"/>
        </w:rPr>
        <w:t xml:space="preserve"> </w:t>
      </w:r>
      <w:r w:rsidRPr="005F3825">
        <w:rPr>
          <w:rFonts w:ascii="Calibri" w:hAnsi="Calibri"/>
          <w:sz w:val="20"/>
          <w:szCs w:val="20"/>
          <w:u w:val="single"/>
        </w:rPr>
        <w:t>initiation of a local community tourism association</w:t>
      </w:r>
      <w:r w:rsidRPr="005F3825">
        <w:rPr>
          <w:rFonts w:ascii="Calibri" w:hAnsi="Calibri"/>
          <w:sz w:val="20"/>
          <w:szCs w:val="20"/>
        </w:rPr>
        <w:t xml:space="preserve"> with the trainees, if possible linked to existing structures, including the establishment of an online presence for the entity (</w:t>
      </w:r>
      <w:proofErr w:type="gramStart"/>
      <w:r w:rsidRPr="005F3825">
        <w:rPr>
          <w:rFonts w:ascii="Calibri" w:hAnsi="Calibri"/>
          <w:sz w:val="20"/>
          <w:szCs w:val="20"/>
        </w:rPr>
        <w:t>e.g.</w:t>
      </w:r>
      <w:proofErr w:type="gramEnd"/>
      <w:r w:rsidRPr="005F3825">
        <w:rPr>
          <w:rFonts w:ascii="Calibri" w:hAnsi="Calibri"/>
          <w:sz w:val="20"/>
          <w:szCs w:val="20"/>
        </w:rPr>
        <w:t xml:space="preserve"> social media site). This association would gather those who have participated in the process and others as interested and could help with peer-to-peer support in the long term.</w:t>
      </w:r>
    </w:p>
    <w:p w14:paraId="66AEED8C" w14:textId="0D62A463" w:rsidR="00302BFE" w:rsidRDefault="00302BFE" w:rsidP="00302BFE">
      <w:pPr>
        <w:spacing w:before="120" w:after="120"/>
        <w:rPr>
          <w:i/>
          <w:color w:val="4472C4"/>
          <w:szCs w:val="20"/>
          <w:lang w:val="en-GB"/>
        </w:rPr>
      </w:pPr>
      <w:r w:rsidRPr="00B71BE1">
        <w:rPr>
          <w:i/>
          <w:color w:val="4472C4"/>
          <w:szCs w:val="20"/>
          <w:lang w:val="en-GB"/>
        </w:rPr>
        <w:t xml:space="preserve">3.4.4 Tourism product development and improvement </w:t>
      </w:r>
    </w:p>
    <w:p w14:paraId="1C49125B" w14:textId="7192DFC7" w:rsidR="003C3F01" w:rsidRPr="00BE65D5" w:rsidRDefault="003C3F01" w:rsidP="00302BFE">
      <w:pPr>
        <w:spacing w:before="120" w:after="120"/>
        <w:rPr>
          <w:iCs/>
          <w:color w:val="4472C4"/>
          <w:szCs w:val="20"/>
          <w:lang w:val="en-GB"/>
        </w:rPr>
      </w:pPr>
      <w:r w:rsidRPr="00413D2B">
        <w:rPr>
          <w:iCs/>
          <w:color w:val="4472C4"/>
          <w:szCs w:val="20"/>
          <w:lang w:val="en-GB"/>
        </w:rPr>
        <w:t xml:space="preserve">For this activity, the FPIC (Free, Prior and Informed Consent) process </w:t>
      </w:r>
      <w:proofErr w:type="gramStart"/>
      <w:r w:rsidRPr="00413D2B">
        <w:rPr>
          <w:iCs/>
          <w:color w:val="4472C4"/>
          <w:szCs w:val="20"/>
          <w:lang w:val="en-GB"/>
        </w:rPr>
        <w:t>has to</w:t>
      </w:r>
      <w:proofErr w:type="gramEnd"/>
      <w:r w:rsidRPr="00413D2B">
        <w:rPr>
          <w:iCs/>
          <w:color w:val="4472C4"/>
          <w:szCs w:val="20"/>
          <w:lang w:val="en-GB"/>
        </w:rPr>
        <w:t xml:space="preserve"> be ensured</w:t>
      </w:r>
    </w:p>
    <w:p w14:paraId="5FDBEF7F" w14:textId="77777777" w:rsidR="00302BFE" w:rsidRPr="00A93827"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u w:val="single"/>
        </w:rPr>
      </w:pPr>
      <w:r w:rsidRPr="00A93827">
        <w:rPr>
          <w:rFonts w:ascii="Calibri" w:hAnsi="Calibri"/>
          <w:sz w:val="20"/>
          <w:szCs w:val="20"/>
        </w:rPr>
        <w:t>A business concept competition will be offered to trainees / entrepreneurs living around protected areas in the PONASI landscape who showed promise during the capacity building/training (but open to others too). The project will advertise, offer, and award up to 40 small grants or low interest loans (based on a preliminary agreement with an existing local finance enterprise) to the winners (</w:t>
      </w:r>
      <w:proofErr w:type="gramStart"/>
      <w:r w:rsidRPr="00A93827">
        <w:rPr>
          <w:rFonts w:ascii="Calibri" w:hAnsi="Calibri"/>
          <w:sz w:val="20"/>
          <w:szCs w:val="20"/>
        </w:rPr>
        <w:t>e.g.</w:t>
      </w:r>
      <w:proofErr w:type="gramEnd"/>
      <w:r w:rsidRPr="00A93827">
        <w:rPr>
          <w:rFonts w:ascii="Calibri" w:hAnsi="Calibri"/>
          <w:sz w:val="20"/>
          <w:szCs w:val="20"/>
        </w:rPr>
        <w:t xml:space="preserve"> up to USD 2,500 depending on specific needs). These grants will be implemented in accordance with UNDP guidelines for low-value grants. Criteria for what can be funded (</w:t>
      </w:r>
      <w:proofErr w:type="gramStart"/>
      <w:r w:rsidRPr="00A93827">
        <w:rPr>
          <w:rFonts w:ascii="Calibri" w:hAnsi="Calibri"/>
          <w:sz w:val="20"/>
          <w:szCs w:val="20"/>
        </w:rPr>
        <w:t>e.g.</w:t>
      </w:r>
      <w:proofErr w:type="gramEnd"/>
      <w:r w:rsidRPr="00A93827">
        <w:rPr>
          <w:rFonts w:ascii="Calibri" w:hAnsi="Calibri"/>
          <w:sz w:val="20"/>
          <w:szCs w:val="20"/>
        </w:rPr>
        <w:t xml:space="preserve"> short-term training, computer equipment, website design, vehicles, catering equipment, furniture, solar power, water storage, communications, feasibility studies for specific attractions, etc.) will be defined on a participatory basis with the participation of local authorities. Support will be provided to develop small business plans where products exist but require improvement/promotion (</w:t>
      </w:r>
      <w:proofErr w:type="gramStart"/>
      <w:r w:rsidRPr="00A93827">
        <w:rPr>
          <w:rFonts w:ascii="Calibri" w:hAnsi="Calibri"/>
          <w:sz w:val="20"/>
          <w:szCs w:val="20"/>
        </w:rPr>
        <w:t>e.g.</w:t>
      </w:r>
      <w:proofErr w:type="gramEnd"/>
      <w:r w:rsidRPr="00A93827">
        <w:rPr>
          <w:rFonts w:ascii="Calibri" w:hAnsi="Calibri"/>
          <w:sz w:val="20"/>
          <w:szCs w:val="20"/>
        </w:rPr>
        <w:t xml:space="preserve"> training for the entrepreneur to develop them). Categories for support may include direct tourism entities (</w:t>
      </w:r>
      <w:proofErr w:type="gramStart"/>
      <w:r w:rsidRPr="00A93827">
        <w:rPr>
          <w:rFonts w:ascii="Calibri" w:hAnsi="Calibri"/>
          <w:sz w:val="20"/>
          <w:szCs w:val="20"/>
        </w:rPr>
        <w:t>e.g.</w:t>
      </w:r>
      <w:proofErr w:type="gramEnd"/>
      <w:r w:rsidRPr="00A93827">
        <w:rPr>
          <w:rFonts w:ascii="Calibri" w:hAnsi="Calibri"/>
          <w:sz w:val="20"/>
          <w:szCs w:val="20"/>
        </w:rPr>
        <w:t xml:space="preserve"> homestay, tour guide, attractions, café, etc.) and indirect tourism businesses (e.g. poultry farm; organic vegetable garden, transport/transfers, juice manufacturers).</w:t>
      </w:r>
    </w:p>
    <w:p w14:paraId="137FBA99" w14:textId="77777777" w:rsidR="00302BFE" w:rsidRPr="00CE7CB6"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u w:val="single"/>
        </w:rPr>
      </w:pPr>
      <w:r w:rsidRPr="00CE7CB6">
        <w:rPr>
          <w:rFonts w:ascii="Calibri" w:hAnsi="Calibri"/>
          <w:sz w:val="20"/>
          <w:szCs w:val="20"/>
        </w:rPr>
        <w:t>If awards are provided as grants, budgets will be managed and monitored by the project coordination unit (PCU). Disbursement processes could take one of two routes: (i) direct payment for the equipment/training requested by the beneficiary which allows easier financial monitoring by the project, ensures that funds go where they are supposed to, but requires considerable effort for quotations etc. from the PCU, and that beneficiaries are kept aware of how much of their grant has been used; (ii) disbursement of the grant funds to the beneficiaries who are requested to send receipts/payment schedules to the PCU, which can lead to challenges if the funds are misallocated, receipts are not submitted, or incorrect procurement processes are followed. In both cases, the project will monitor progress of beneficiaries and assess results at least at midterm and end of project (</w:t>
      </w:r>
      <w:proofErr w:type="gramStart"/>
      <w:r w:rsidRPr="00CE7CB6">
        <w:rPr>
          <w:rFonts w:ascii="Calibri" w:hAnsi="Calibri"/>
          <w:sz w:val="20"/>
          <w:szCs w:val="20"/>
        </w:rPr>
        <w:t>e.g.</w:t>
      </w:r>
      <w:proofErr w:type="gramEnd"/>
      <w:r w:rsidRPr="00CE7CB6">
        <w:rPr>
          <w:rFonts w:ascii="Calibri" w:hAnsi="Calibri"/>
          <w:sz w:val="20"/>
          <w:szCs w:val="20"/>
        </w:rPr>
        <w:t xml:space="preserve"> numbers of customers and revenue before and after support is provided). These grants will be implemented in accordance with UNDP guidelines for low-value grants</w:t>
      </w:r>
    </w:p>
    <w:p w14:paraId="262642CB" w14:textId="2A9FB8CD" w:rsidR="00302BFE" w:rsidRDefault="00302BFE" w:rsidP="00302BFE">
      <w:pPr>
        <w:spacing w:before="120" w:after="120"/>
        <w:rPr>
          <w:i/>
          <w:color w:val="4472C4"/>
          <w:szCs w:val="20"/>
          <w:lang w:val="en-GB"/>
        </w:rPr>
      </w:pPr>
      <w:r w:rsidRPr="00B71BE1">
        <w:rPr>
          <w:i/>
          <w:color w:val="4472C4"/>
          <w:szCs w:val="20"/>
          <w:lang w:val="en-GB"/>
        </w:rPr>
        <w:t xml:space="preserve">3.4.5 Promotion and improved market access. </w:t>
      </w:r>
    </w:p>
    <w:p w14:paraId="4C814C57" w14:textId="0698A16D" w:rsidR="003C3F01" w:rsidRPr="00BE65D5" w:rsidRDefault="003C3F01" w:rsidP="00302BFE">
      <w:pPr>
        <w:spacing w:before="120" w:after="120"/>
        <w:rPr>
          <w:iCs/>
          <w:color w:val="4472C4"/>
          <w:szCs w:val="20"/>
          <w:lang w:val="en-GB"/>
        </w:rPr>
      </w:pPr>
      <w:r w:rsidRPr="00413D2B">
        <w:rPr>
          <w:iCs/>
          <w:color w:val="4472C4"/>
          <w:szCs w:val="20"/>
          <w:lang w:val="en-GB"/>
        </w:rPr>
        <w:t xml:space="preserve">For this activity, the FPIC (Free, Prior and Informed Consent) process </w:t>
      </w:r>
      <w:proofErr w:type="gramStart"/>
      <w:r w:rsidRPr="00413D2B">
        <w:rPr>
          <w:iCs/>
          <w:color w:val="4472C4"/>
          <w:szCs w:val="20"/>
          <w:lang w:val="en-GB"/>
        </w:rPr>
        <w:t>has to</w:t>
      </w:r>
      <w:proofErr w:type="gramEnd"/>
      <w:r w:rsidRPr="00413D2B">
        <w:rPr>
          <w:iCs/>
          <w:color w:val="4472C4"/>
          <w:szCs w:val="20"/>
          <w:lang w:val="en-GB"/>
        </w:rPr>
        <w:t xml:space="preserve"> be ensured</w:t>
      </w:r>
    </w:p>
    <w:p w14:paraId="24DD3CF7"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rPr>
      </w:pPr>
      <w:r w:rsidRPr="005F3825">
        <w:rPr>
          <w:rFonts w:ascii="Calibri" w:hAnsi="Calibri"/>
          <w:sz w:val="20"/>
          <w:szCs w:val="20"/>
        </w:rPr>
        <w:t>Based on the market study and the inventory and map of attractions, including places to stay and things to do developed under activity 3.1.1 (c),</w:t>
      </w:r>
      <w:r w:rsidRPr="005F3825">
        <w:rPr>
          <w:rFonts w:ascii="Calibri" w:hAnsi="Calibri"/>
          <w:b/>
          <w:sz w:val="20"/>
          <w:szCs w:val="20"/>
        </w:rPr>
        <w:t xml:space="preserve"> </w:t>
      </w:r>
      <w:r w:rsidRPr="005F3825">
        <w:rPr>
          <w:rFonts w:ascii="Calibri" w:hAnsi="Calibri"/>
          <w:sz w:val="20"/>
          <w:szCs w:val="20"/>
          <w:u w:val="single"/>
        </w:rPr>
        <w:t>tour circuits / networks of attractions will be developed</w:t>
      </w:r>
      <w:r w:rsidRPr="005F3825">
        <w:rPr>
          <w:rFonts w:ascii="Calibri" w:hAnsi="Calibri"/>
          <w:b/>
          <w:sz w:val="20"/>
          <w:szCs w:val="20"/>
        </w:rPr>
        <w:t xml:space="preserve"> </w:t>
      </w:r>
      <w:r w:rsidRPr="005F3825">
        <w:rPr>
          <w:rFonts w:ascii="Calibri" w:hAnsi="Calibri"/>
          <w:sz w:val="20"/>
          <w:szCs w:val="20"/>
        </w:rPr>
        <w:t xml:space="preserve">that can be offered to (a) guides/tour operator itineraries, (b) tourists visiting existing products in the area, and (c) visitors from the capital. The products/activities would be offered </w:t>
      </w:r>
      <w:r w:rsidRPr="005F3825">
        <w:rPr>
          <w:rFonts w:ascii="Calibri" w:hAnsi="Calibri"/>
          <w:sz w:val="20"/>
          <w:szCs w:val="20"/>
        </w:rPr>
        <w:lastRenderedPageBreak/>
        <w:t xml:space="preserve">to visitors at existing accommodation facilities in the area, </w:t>
      </w:r>
      <w:proofErr w:type="gramStart"/>
      <w:r w:rsidRPr="005F3825">
        <w:rPr>
          <w:rFonts w:ascii="Calibri" w:hAnsi="Calibri"/>
          <w:sz w:val="20"/>
          <w:szCs w:val="20"/>
        </w:rPr>
        <w:t>and also</w:t>
      </w:r>
      <w:proofErr w:type="gramEnd"/>
      <w:r w:rsidRPr="005F3825">
        <w:rPr>
          <w:rFonts w:ascii="Calibri" w:hAnsi="Calibri"/>
          <w:sz w:val="20"/>
          <w:szCs w:val="20"/>
        </w:rPr>
        <w:t xml:space="preserve"> to business travelers/international tourists/domestic tourists (including expatriates) travelling out of Ouagadougou (based on market research above). </w:t>
      </w:r>
      <w:r w:rsidRPr="005F3825">
        <w:rPr>
          <w:rFonts w:ascii="Calibri" w:hAnsi="Calibri"/>
          <w:sz w:val="20"/>
          <w:szCs w:val="20"/>
          <w:u w:val="single"/>
        </w:rPr>
        <w:t>Improvement of visitor infrastructure</w:t>
      </w:r>
      <w:r w:rsidRPr="005F3825">
        <w:rPr>
          <w:rFonts w:ascii="Calibri" w:hAnsi="Calibri"/>
          <w:b/>
          <w:sz w:val="20"/>
          <w:szCs w:val="20"/>
        </w:rPr>
        <w:t xml:space="preserve"> </w:t>
      </w:r>
      <w:r w:rsidRPr="005F3825">
        <w:rPr>
          <w:rFonts w:ascii="Calibri" w:hAnsi="Calibri"/>
          <w:sz w:val="20"/>
          <w:szCs w:val="20"/>
        </w:rPr>
        <w:t>will include direction and attraction signage, mainly on access roads and public toilets at key rest points. Needs and interventions will be based on the inventory created within the strategy. A</w:t>
      </w:r>
      <w:r w:rsidRPr="005F3825">
        <w:rPr>
          <w:rFonts w:ascii="Calibri" w:hAnsi="Calibri"/>
          <w:b/>
          <w:sz w:val="20"/>
          <w:szCs w:val="20"/>
        </w:rPr>
        <w:t xml:space="preserve"> </w:t>
      </w:r>
      <w:r w:rsidRPr="005F3825">
        <w:rPr>
          <w:rFonts w:ascii="Calibri" w:hAnsi="Calibri"/>
          <w:sz w:val="20"/>
          <w:szCs w:val="20"/>
        </w:rPr>
        <w:t xml:space="preserve">web-based destination platform will be established to </w:t>
      </w:r>
      <w:r w:rsidRPr="005F3825">
        <w:rPr>
          <w:rFonts w:ascii="Calibri" w:hAnsi="Calibri"/>
          <w:sz w:val="20"/>
          <w:szCs w:val="20"/>
          <w:u w:val="single"/>
        </w:rPr>
        <w:t>promote attractions online</w:t>
      </w:r>
      <w:r w:rsidRPr="005F3825">
        <w:rPr>
          <w:rFonts w:ascii="Calibri" w:hAnsi="Calibri"/>
          <w:sz w:val="20"/>
          <w:szCs w:val="20"/>
        </w:rPr>
        <w:t xml:space="preserve"> and provide booking information. To</w:t>
      </w:r>
      <w:r w:rsidRPr="005F3825">
        <w:rPr>
          <w:rFonts w:ascii="Calibri" w:hAnsi="Calibri"/>
          <w:b/>
          <w:sz w:val="20"/>
          <w:szCs w:val="20"/>
        </w:rPr>
        <w:t xml:space="preserve"> </w:t>
      </w:r>
      <w:r w:rsidRPr="005F3825">
        <w:rPr>
          <w:rFonts w:ascii="Calibri" w:hAnsi="Calibri"/>
          <w:sz w:val="20"/>
          <w:szCs w:val="20"/>
          <w:u w:val="single"/>
        </w:rPr>
        <w:t>improve market access</w:t>
      </w:r>
      <w:r w:rsidRPr="005F3825">
        <w:rPr>
          <w:rFonts w:ascii="Calibri" w:hAnsi="Calibri"/>
          <w:b/>
          <w:sz w:val="20"/>
          <w:szCs w:val="20"/>
        </w:rPr>
        <w:t xml:space="preserve">, </w:t>
      </w:r>
      <w:r w:rsidRPr="005F3825">
        <w:rPr>
          <w:rFonts w:ascii="Calibri" w:hAnsi="Calibri"/>
          <w:sz w:val="20"/>
          <w:szCs w:val="20"/>
        </w:rPr>
        <w:t>the project will further support:</w:t>
      </w:r>
      <w:r w:rsidRPr="005F3825">
        <w:rPr>
          <w:rFonts w:ascii="Calibri" w:hAnsi="Calibri"/>
          <w:b/>
          <w:sz w:val="20"/>
          <w:szCs w:val="20"/>
        </w:rPr>
        <w:t xml:space="preserve"> </w:t>
      </w:r>
      <w:r w:rsidRPr="005F3825">
        <w:rPr>
          <w:rFonts w:ascii="Calibri" w:hAnsi="Calibri"/>
          <w:sz w:val="20"/>
          <w:szCs w:val="20"/>
        </w:rPr>
        <w:t>(i)</w:t>
      </w:r>
      <w:r w:rsidRPr="005F3825">
        <w:rPr>
          <w:rFonts w:ascii="Calibri" w:hAnsi="Calibri"/>
          <w:b/>
          <w:sz w:val="20"/>
          <w:szCs w:val="20"/>
        </w:rPr>
        <w:t xml:space="preserve"> </w:t>
      </w:r>
      <w:r w:rsidRPr="005F3825">
        <w:rPr>
          <w:rFonts w:ascii="Calibri" w:hAnsi="Calibri"/>
          <w:sz w:val="20"/>
          <w:szCs w:val="20"/>
        </w:rPr>
        <w:t>Capacity building to link local attractions to online platforms (e.g. Airbnb and other Peer-to-Peer platforms), (ii) Familiarization trip for tour operators/guides in Ouagadougou to the attractions around the protected area, (iii) Market linkage – building relationships/contracts between local attractions and local guides/tour operators/accommodation facilities, (iv) Liaison with international operators interested in marketing/supporting networks of community-based tourism products.</w:t>
      </w:r>
    </w:p>
    <w:p w14:paraId="567893B0" w14:textId="28757E0F" w:rsidR="00302BFE" w:rsidRDefault="00302BFE" w:rsidP="00302BFE">
      <w:pPr>
        <w:spacing w:before="120" w:after="120"/>
        <w:rPr>
          <w:i/>
          <w:color w:val="4472C4"/>
          <w:szCs w:val="20"/>
          <w:lang w:val="en-GB"/>
        </w:rPr>
      </w:pPr>
      <w:r w:rsidRPr="00B71BE1">
        <w:rPr>
          <w:i/>
          <w:color w:val="4472C4"/>
          <w:szCs w:val="20"/>
          <w:lang w:val="en-GB"/>
        </w:rPr>
        <w:t>3.4.6 Tourism infrastructure improvements for the Kaboré-</w:t>
      </w:r>
      <w:proofErr w:type="spellStart"/>
      <w:r w:rsidRPr="00B71BE1">
        <w:rPr>
          <w:i/>
          <w:color w:val="4472C4"/>
          <w:szCs w:val="20"/>
          <w:lang w:val="en-GB"/>
        </w:rPr>
        <w:t>Tambi</w:t>
      </w:r>
      <w:proofErr w:type="spellEnd"/>
      <w:r w:rsidRPr="00B71BE1">
        <w:rPr>
          <w:i/>
          <w:color w:val="4472C4"/>
          <w:szCs w:val="20"/>
          <w:lang w:val="en-GB"/>
        </w:rPr>
        <w:t xml:space="preserve"> National Park. </w:t>
      </w:r>
    </w:p>
    <w:p w14:paraId="3E71C66A" w14:textId="75FB2C46" w:rsidR="003C3F01" w:rsidRPr="00BE65D5" w:rsidRDefault="003C3F01" w:rsidP="00302BFE">
      <w:pPr>
        <w:spacing w:before="120" w:after="120"/>
        <w:rPr>
          <w:iCs/>
          <w:color w:val="4472C4"/>
          <w:szCs w:val="20"/>
          <w:lang w:val="en-GB"/>
        </w:rPr>
      </w:pPr>
      <w:r w:rsidRPr="00413D2B">
        <w:rPr>
          <w:iCs/>
          <w:color w:val="4472C4"/>
          <w:szCs w:val="20"/>
          <w:lang w:val="en-GB"/>
        </w:rPr>
        <w:t xml:space="preserve">For this activity, the FPIC (Free, Prior and Informed Consent) process </w:t>
      </w:r>
      <w:proofErr w:type="gramStart"/>
      <w:r w:rsidRPr="00413D2B">
        <w:rPr>
          <w:iCs/>
          <w:color w:val="4472C4"/>
          <w:szCs w:val="20"/>
          <w:lang w:val="en-GB"/>
        </w:rPr>
        <w:t>has to</w:t>
      </w:r>
      <w:proofErr w:type="gramEnd"/>
      <w:r w:rsidRPr="00413D2B">
        <w:rPr>
          <w:iCs/>
          <w:color w:val="4472C4"/>
          <w:szCs w:val="20"/>
          <w:lang w:val="en-GB"/>
        </w:rPr>
        <w:t xml:space="preserve"> be ensured</w:t>
      </w:r>
    </w:p>
    <w:p w14:paraId="6AC6BD79" w14:textId="77777777" w:rsidR="00302BFE" w:rsidRPr="005F382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rPr>
      </w:pPr>
      <w:r w:rsidRPr="005F3825">
        <w:rPr>
          <w:rFonts w:ascii="Calibri" w:hAnsi="Calibri"/>
          <w:sz w:val="20"/>
          <w:szCs w:val="20"/>
        </w:rPr>
        <w:t xml:space="preserve">The project will support the development of visitor infrastructure. To promote local involvement, tender documents will request that local </w:t>
      </w:r>
      <w:proofErr w:type="spellStart"/>
      <w:r w:rsidRPr="005F3825">
        <w:rPr>
          <w:rFonts w:ascii="Calibri" w:hAnsi="Calibri"/>
          <w:sz w:val="20"/>
          <w:szCs w:val="20"/>
        </w:rPr>
        <w:t>labour</w:t>
      </w:r>
      <w:proofErr w:type="spellEnd"/>
      <w:r w:rsidRPr="005F3825">
        <w:rPr>
          <w:rFonts w:ascii="Calibri" w:hAnsi="Calibri"/>
          <w:sz w:val="20"/>
          <w:szCs w:val="20"/>
        </w:rPr>
        <w:t>/materials are used wherever possible. Within and outside the park, and in line with the legal provisions regarding national parks and the park management plan, the project will support establishment of:</w:t>
      </w:r>
    </w:p>
    <w:p w14:paraId="655FB26E" w14:textId="77777777" w:rsidR="00302BFE" w:rsidRPr="00DA06FB" w:rsidRDefault="00302BFE" w:rsidP="00C46720">
      <w:pPr>
        <w:pStyle w:val="Paragraphedeliste"/>
        <w:numPr>
          <w:ilvl w:val="0"/>
          <w:numId w:val="27"/>
        </w:numPr>
        <w:spacing w:before="120" w:after="120"/>
        <w:ind w:left="142" w:hanging="153"/>
        <w:contextualSpacing/>
        <w:jc w:val="both"/>
        <w:rPr>
          <w:rFonts w:ascii="Calibri" w:hAnsi="Calibri" w:cs="Calibri Light"/>
          <w:b/>
          <w:sz w:val="20"/>
          <w:szCs w:val="20"/>
        </w:rPr>
      </w:pPr>
      <w:r w:rsidRPr="00DA06FB">
        <w:rPr>
          <w:rFonts w:ascii="Calibri" w:hAnsi="Calibri" w:cs="Calibri Light"/>
          <w:sz w:val="20"/>
          <w:szCs w:val="20"/>
          <w:u w:val="single"/>
        </w:rPr>
        <w:t xml:space="preserve">A visitor complex at </w:t>
      </w:r>
      <w:r w:rsidRPr="00DA06FB">
        <w:rPr>
          <w:rFonts w:ascii="Calibri" w:hAnsi="Calibri"/>
          <w:sz w:val="20"/>
          <w:szCs w:val="20"/>
          <w:lang w:val="en-CA"/>
        </w:rPr>
        <w:t>PNKT</w:t>
      </w:r>
      <w:r w:rsidRPr="00DA06FB">
        <w:rPr>
          <w:rFonts w:ascii="Calibri" w:hAnsi="Calibri" w:cs="Calibri Light"/>
          <w:b/>
          <w:sz w:val="20"/>
          <w:szCs w:val="20"/>
        </w:rPr>
        <w:t xml:space="preserve">: </w:t>
      </w:r>
      <w:r w:rsidRPr="00DA06FB">
        <w:rPr>
          <w:rFonts w:ascii="Calibri" w:hAnsi="Calibri" w:cs="Calibri Light"/>
          <w:sz w:val="20"/>
          <w:szCs w:val="20"/>
        </w:rPr>
        <w:t>Located at the park entrance (outside the park boundaries to be consistent with legal constraints) including an office for the park manager and tourist facilities (</w:t>
      </w:r>
      <w:proofErr w:type="gramStart"/>
      <w:r w:rsidRPr="00DA06FB">
        <w:rPr>
          <w:rFonts w:ascii="Calibri" w:hAnsi="Calibri" w:cs="Calibri Light"/>
          <w:sz w:val="20"/>
          <w:szCs w:val="20"/>
        </w:rPr>
        <w:t>e.g.</w:t>
      </w:r>
      <w:proofErr w:type="gramEnd"/>
      <w:r w:rsidRPr="00DA06FB">
        <w:rPr>
          <w:rFonts w:ascii="Calibri" w:hAnsi="Calibri" w:cs="Calibri Light"/>
          <w:sz w:val="20"/>
          <w:szCs w:val="20"/>
        </w:rPr>
        <w:t xml:space="preserve"> visitor reception, park presentation; interpretation; public toilets ‘Ecosan’ type, space for 10-15 stalls for craft sales, tour/trail/guide bookings, local food &amp; beverage using local produce). Once operational, the </w:t>
      </w:r>
      <w:proofErr w:type="spellStart"/>
      <w:r w:rsidRPr="00DA06FB">
        <w:rPr>
          <w:rFonts w:ascii="Calibri" w:hAnsi="Calibri" w:cs="Calibri Light"/>
          <w:sz w:val="20"/>
          <w:szCs w:val="20"/>
        </w:rPr>
        <w:t>centre</w:t>
      </w:r>
      <w:proofErr w:type="spellEnd"/>
      <w:r w:rsidRPr="00DA06FB">
        <w:rPr>
          <w:rFonts w:ascii="Calibri" w:hAnsi="Calibri" w:cs="Calibri Light"/>
          <w:sz w:val="20"/>
          <w:szCs w:val="20"/>
        </w:rPr>
        <w:t xml:space="preserve"> should offer: (i) Self-guided maps and </w:t>
      </w:r>
      <w:r w:rsidRPr="00DA06FB">
        <w:rPr>
          <w:rFonts w:ascii="Calibri" w:eastAsia="Times New Roman" w:hAnsi="Calibri" w:cs="Arial"/>
          <w:color w:val="222222"/>
          <w:sz w:val="20"/>
          <w:szCs w:val="20"/>
          <w:shd w:val="clear" w:color="auto" w:fill="FFFFFF"/>
          <w:lang w:val="en-CA"/>
        </w:rPr>
        <w:t xml:space="preserve">explanatory panels, (ii) A map of tourism circuits within the </w:t>
      </w:r>
      <w:r w:rsidRPr="00DA06FB">
        <w:rPr>
          <w:rFonts w:ascii="Calibri" w:hAnsi="Calibri"/>
          <w:sz w:val="20"/>
          <w:szCs w:val="20"/>
          <w:lang w:val="en-CA"/>
        </w:rPr>
        <w:t>PNKT</w:t>
      </w:r>
      <w:r w:rsidRPr="00DA06FB">
        <w:rPr>
          <w:rFonts w:ascii="Calibri" w:eastAsia="Times New Roman" w:hAnsi="Calibri" w:cs="Arial"/>
          <w:color w:val="222222"/>
          <w:sz w:val="20"/>
          <w:szCs w:val="20"/>
          <w:shd w:val="clear" w:color="auto" w:fill="FFFFFF"/>
          <w:lang w:val="en-CA"/>
        </w:rPr>
        <w:t xml:space="preserve">, and other tourism attractions in the </w:t>
      </w:r>
      <w:r w:rsidRPr="00DA06FB">
        <w:rPr>
          <w:rFonts w:ascii="Calibri" w:hAnsi="Calibri"/>
          <w:sz w:val="20"/>
          <w:szCs w:val="20"/>
        </w:rPr>
        <w:t>PONASI</w:t>
      </w:r>
      <w:r w:rsidRPr="00DA06FB">
        <w:rPr>
          <w:rFonts w:ascii="Calibri" w:eastAsia="Times New Roman" w:hAnsi="Calibri" w:cs="Arial"/>
          <w:color w:val="222222"/>
          <w:sz w:val="20"/>
          <w:szCs w:val="20"/>
          <w:shd w:val="clear" w:color="auto" w:fill="FFFFFF"/>
          <w:lang w:val="en-CA"/>
        </w:rPr>
        <w:t xml:space="preserve"> landscape, (iii) Leases to local tourism/support enterprises for stalls to sell wares (craft, food, décor) and services (tours, etc.). </w:t>
      </w:r>
      <w:r w:rsidRPr="00DA06FB">
        <w:rPr>
          <w:rFonts w:ascii="Calibri" w:hAnsi="Calibri" w:cs="Calibri Light"/>
          <w:sz w:val="20"/>
          <w:szCs w:val="20"/>
        </w:rPr>
        <w:t xml:space="preserve">The visitor complex will be strategically located regarding </w:t>
      </w:r>
      <w:proofErr w:type="gramStart"/>
      <w:r w:rsidRPr="00DA06FB">
        <w:rPr>
          <w:rFonts w:ascii="Calibri" w:hAnsi="Calibri" w:cs="Calibri Light"/>
          <w:sz w:val="20"/>
          <w:szCs w:val="20"/>
        </w:rPr>
        <w:t>visitors</w:t>
      </w:r>
      <w:proofErr w:type="gramEnd"/>
      <w:r w:rsidRPr="00DA06FB">
        <w:rPr>
          <w:rFonts w:ascii="Calibri" w:hAnsi="Calibri" w:cs="Calibri Light"/>
          <w:sz w:val="20"/>
          <w:szCs w:val="20"/>
        </w:rPr>
        <w:t xml:space="preserve"> access to the main attractions, entrance gates and access route, and the building architecture and surrounding landscape will be designed following sustainable design principles. This will include furniture, equipment, electrification with solar panels and natural cooling systems, water provision including through water harvesting and grey-water recycling. The establishment of the visitor complex will be preceded by the elaboration of a feasibility study and a business plan – and if required an environmental impact assessment.</w:t>
      </w:r>
    </w:p>
    <w:p w14:paraId="234D2052" w14:textId="77777777" w:rsidR="00302BFE" w:rsidRPr="005F3825" w:rsidRDefault="00302BFE" w:rsidP="00C46720">
      <w:pPr>
        <w:pStyle w:val="Paragraphedeliste"/>
        <w:numPr>
          <w:ilvl w:val="0"/>
          <w:numId w:val="27"/>
        </w:numPr>
        <w:spacing w:before="120" w:after="120"/>
        <w:ind w:left="142" w:hanging="153"/>
        <w:contextualSpacing/>
        <w:jc w:val="both"/>
        <w:rPr>
          <w:rFonts w:ascii="Calibri" w:hAnsi="Calibri" w:cs="Calibri Light"/>
          <w:sz w:val="20"/>
          <w:szCs w:val="20"/>
          <w:lang w:val="en-CA"/>
        </w:rPr>
      </w:pPr>
      <w:r w:rsidRPr="005F3825">
        <w:rPr>
          <w:rFonts w:ascii="Calibri" w:hAnsi="Calibri" w:cs="Calibri Light"/>
          <w:sz w:val="20"/>
          <w:szCs w:val="20"/>
          <w:u w:val="single"/>
        </w:rPr>
        <w:t>Trail development and improvement</w:t>
      </w:r>
      <w:r w:rsidRPr="005F3825">
        <w:rPr>
          <w:rFonts w:ascii="Calibri" w:hAnsi="Calibri" w:cs="Calibri Light"/>
          <w:sz w:val="20"/>
          <w:szCs w:val="20"/>
        </w:rPr>
        <w:t xml:space="preserve"> will include driving and hiking routes, and involve clearing new and existing trails, mapping trails, setting up visitor signage and interpretation boards regarding notable species/ecosystems</w:t>
      </w:r>
      <w:r w:rsidRPr="005F3825">
        <w:rPr>
          <w:rFonts w:ascii="Calibri" w:hAnsi="Calibri" w:cs="Calibri Light"/>
          <w:sz w:val="20"/>
          <w:szCs w:val="20"/>
          <w:lang w:val="en-CA"/>
        </w:rPr>
        <w:t xml:space="preserve">. </w:t>
      </w:r>
    </w:p>
    <w:p w14:paraId="60DDB504" w14:textId="77777777" w:rsidR="00302BFE" w:rsidRPr="005F3825" w:rsidRDefault="00302BFE" w:rsidP="00C46720">
      <w:pPr>
        <w:pStyle w:val="Paragraphedeliste"/>
        <w:numPr>
          <w:ilvl w:val="0"/>
          <w:numId w:val="27"/>
        </w:numPr>
        <w:spacing w:before="120" w:after="120"/>
        <w:ind w:left="142" w:hanging="153"/>
        <w:contextualSpacing/>
        <w:jc w:val="both"/>
        <w:rPr>
          <w:rFonts w:ascii="Calibri" w:hAnsi="Calibri" w:cs="Calibri Light"/>
          <w:sz w:val="20"/>
          <w:szCs w:val="20"/>
        </w:rPr>
      </w:pPr>
      <w:r w:rsidRPr="005F3825">
        <w:rPr>
          <w:rFonts w:ascii="Calibri" w:hAnsi="Calibri"/>
          <w:sz w:val="20"/>
          <w:szCs w:val="20"/>
          <w:u w:val="single"/>
          <w:lang w:val="en-CA"/>
        </w:rPr>
        <w:t>Observation platforms</w:t>
      </w:r>
      <w:r w:rsidRPr="005F3825">
        <w:rPr>
          <w:rFonts w:ascii="Calibri" w:hAnsi="Calibri"/>
          <w:sz w:val="20"/>
          <w:szCs w:val="20"/>
          <w:lang w:val="en-CA"/>
        </w:rPr>
        <w:t xml:space="preserve"> at </w:t>
      </w:r>
      <w:proofErr w:type="gramStart"/>
      <w:r w:rsidRPr="005F3825">
        <w:rPr>
          <w:rFonts w:ascii="Calibri" w:hAnsi="Calibri"/>
          <w:sz w:val="20"/>
          <w:szCs w:val="20"/>
          <w:lang w:val="en-CA"/>
        </w:rPr>
        <w:t>view points</w:t>
      </w:r>
      <w:proofErr w:type="gramEnd"/>
      <w:r w:rsidRPr="005F3825">
        <w:rPr>
          <w:rFonts w:ascii="Calibri" w:hAnsi="Calibri"/>
          <w:sz w:val="20"/>
          <w:szCs w:val="20"/>
          <w:lang w:val="en-CA"/>
        </w:rPr>
        <w:t xml:space="preserve"> </w:t>
      </w:r>
      <w:r w:rsidRPr="005F3825">
        <w:rPr>
          <w:rFonts w:ascii="Calibri" w:hAnsi="Calibri" w:cs="Calibri Light"/>
          <w:sz w:val="20"/>
          <w:szCs w:val="20"/>
        </w:rPr>
        <w:t xml:space="preserve">(e.g. on a waterbody, in forest canopy, </w:t>
      </w:r>
      <w:r w:rsidRPr="005F3825">
        <w:rPr>
          <w:rFonts w:ascii="Calibri" w:hAnsi="Calibri"/>
          <w:sz w:val="20"/>
          <w:szCs w:val="20"/>
          <w:lang w:val="en-CA"/>
        </w:rPr>
        <w:t>near wetlands) built</w:t>
      </w:r>
      <w:r w:rsidRPr="005F3825">
        <w:rPr>
          <w:rFonts w:ascii="Calibri" w:hAnsi="Calibri"/>
          <w:bCs/>
          <w:iCs/>
          <w:color w:val="000000"/>
          <w:sz w:val="20"/>
          <w:szCs w:val="20"/>
        </w:rPr>
        <w:t xml:space="preserve"> from locally sourced (as far as possible) durable materials</w:t>
      </w:r>
      <w:r w:rsidRPr="005F3825">
        <w:rPr>
          <w:rFonts w:ascii="Calibri" w:hAnsi="Calibri"/>
          <w:sz w:val="20"/>
          <w:szCs w:val="20"/>
          <w:lang w:val="en-CA"/>
        </w:rPr>
        <w:t xml:space="preserve">. Decision regarding their locations will </w:t>
      </w:r>
      <w:proofErr w:type="gramStart"/>
      <w:r w:rsidRPr="005F3825">
        <w:rPr>
          <w:rFonts w:ascii="Calibri" w:hAnsi="Calibri"/>
          <w:sz w:val="20"/>
          <w:szCs w:val="20"/>
          <w:lang w:val="en-CA"/>
        </w:rPr>
        <w:t>take into account</w:t>
      </w:r>
      <w:proofErr w:type="gramEnd"/>
      <w:r w:rsidRPr="005F3825">
        <w:rPr>
          <w:rFonts w:ascii="Calibri" w:hAnsi="Calibri"/>
          <w:sz w:val="20"/>
          <w:szCs w:val="20"/>
          <w:lang w:val="en-CA"/>
        </w:rPr>
        <w:t xml:space="preserve"> the location of watchtowers suggested in the </w:t>
      </w:r>
      <w:r w:rsidRPr="005F3825">
        <w:rPr>
          <w:rFonts w:ascii="Calibri" w:hAnsi="Calibri"/>
          <w:bCs/>
          <w:i/>
          <w:iCs/>
          <w:color w:val="000000"/>
          <w:sz w:val="20"/>
          <w:szCs w:val="20"/>
          <w:lang w:val="en-CA"/>
        </w:rPr>
        <w:t xml:space="preserve">Plan </w:t>
      </w:r>
      <w:proofErr w:type="spellStart"/>
      <w:r w:rsidRPr="005F3825">
        <w:rPr>
          <w:rFonts w:ascii="Calibri" w:hAnsi="Calibri"/>
          <w:bCs/>
          <w:i/>
          <w:iCs/>
          <w:color w:val="000000"/>
          <w:sz w:val="20"/>
          <w:szCs w:val="20"/>
          <w:lang w:val="en-CA"/>
        </w:rPr>
        <w:t>d’aménagement</w:t>
      </w:r>
      <w:proofErr w:type="spellEnd"/>
      <w:r w:rsidRPr="005F3825">
        <w:rPr>
          <w:rFonts w:ascii="Calibri" w:hAnsi="Calibri"/>
          <w:bCs/>
          <w:i/>
          <w:iCs/>
          <w:color w:val="000000"/>
          <w:sz w:val="20"/>
          <w:szCs w:val="20"/>
          <w:lang w:val="en-CA"/>
        </w:rPr>
        <w:t xml:space="preserve"> et de gestion participative du Parc National Kaboré </w:t>
      </w:r>
      <w:proofErr w:type="spellStart"/>
      <w:r w:rsidRPr="005F3825">
        <w:rPr>
          <w:rFonts w:ascii="Calibri" w:hAnsi="Calibri"/>
          <w:bCs/>
          <w:i/>
          <w:iCs/>
          <w:color w:val="000000"/>
          <w:sz w:val="20"/>
          <w:szCs w:val="20"/>
          <w:lang w:val="en-CA"/>
        </w:rPr>
        <w:t>Tambi</w:t>
      </w:r>
      <w:proofErr w:type="spellEnd"/>
      <w:r w:rsidRPr="005F3825">
        <w:rPr>
          <w:rFonts w:ascii="Calibri" w:hAnsi="Calibri"/>
          <w:bCs/>
          <w:iCs/>
          <w:color w:val="000000"/>
          <w:sz w:val="20"/>
          <w:szCs w:val="20"/>
          <w:lang w:val="en-CA"/>
        </w:rPr>
        <w:t>).</w:t>
      </w:r>
    </w:p>
    <w:p w14:paraId="34764261" w14:textId="77777777" w:rsidR="00302BFE" w:rsidRPr="005F3825" w:rsidRDefault="00302BFE" w:rsidP="00C46720">
      <w:pPr>
        <w:pStyle w:val="Paragraphedeliste"/>
        <w:numPr>
          <w:ilvl w:val="0"/>
          <w:numId w:val="27"/>
        </w:numPr>
        <w:spacing w:before="120" w:after="120"/>
        <w:ind w:left="142" w:hanging="153"/>
        <w:contextualSpacing/>
        <w:jc w:val="both"/>
        <w:rPr>
          <w:rFonts w:ascii="Calibri" w:hAnsi="Calibri" w:cs="Calibri Light"/>
          <w:sz w:val="20"/>
          <w:szCs w:val="20"/>
        </w:rPr>
      </w:pPr>
      <w:r w:rsidRPr="005F3825">
        <w:rPr>
          <w:rFonts w:ascii="Calibri" w:hAnsi="Calibri"/>
          <w:sz w:val="20"/>
          <w:szCs w:val="20"/>
          <w:u w:val="single"/>
        </w:rPr>
        <w:t>Public toilets</w:t>
      </w:r>
      <w:r w:rsidRPr="005F3825">
        <w:rPr>
          <w:rFonts w:ascii="Calibri" w:hAnsi="Calibri"/>
          <w:sz w:val="20"/>
          <w:szCs w:val="20"/>
        </w:rPr>
        <w:t xml:space="preserve"> at key locations in protected areas.</w:t>
      </w:r>
    </w:p>
    <w:p w14:paraId="37DD5A9B" w14:textId="77777777" w:rsidR="00302BFE" w:rsidRDefault="00302BFE" w:rsidP="00302BFE">
      <w:pPr>
        <w:spacing w:after="0"/>
        <w:jc w:val="center"/>
        <w:rPr>
          <w:rFonts w:ascii="Calibri Light" w:hAnsi="Calibri Light"/>
          <w:noProof/>
          <w:szCs w:val="20"/>
        </w:rPr>
      </w:pPr>
      <w:r w:rsidRPr="005F3825">
        <w:rPr>
          <w:rFonts w:ascii="Calibri Light" w:hAnsi="Calibri Light"/>
          <w:noProof/>
          <w:szCs w:val="20"/>
        </w:rPr>
        <w:drawing>
          <wp:inline distT="0" distB="0" distL="0" distR="0" wp14:anchorId="0327012B" wp14:editId="0A648FAA">
            <wp:extent cx="3212465" cy="2268220"/>
            <wp:effectExtent l="0" t="0" r="6985" b="0"/>
            <wp:docPr id="11" name="Image 11" descr="Carte des amenag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te des amenagement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12465" cy="2268220"/>
                    </a:xfrm>
                    <a:prstGeom prst="rect">
                      <a:avLst/>
                    </a:prstGeom>
                    <a:noFill/>
                    <a:ln>
                      <a:noFill/>
                    </a:ln>
                  </pic:spPr>
                </pic:pic>
              </a:graphicData>
            </a:graphic>
          </wp:inline>
        </w:drawing>
      </w:r>
    </w:p>
    <w:p w14:paraId="41E9BE35" w14:textId="045947E1" w:rsidR="00302BFE" w:rsidRPr="000B09F8" w:rsidRDefault="008F0CCA" w:rsidP="00302BFE">
      <w:pPr>
        <w:spacing w:after="0"/>
        <w:jc w:val="center"/>
        <w:rPr>
          <w:sz w:val="16"/>
          <w:szCs w:val="16"/>
          <w:lang w:val="fr-CA"/>
        </w:rPr>
      </w:pPr>
      <w:proofErr w:type="spellStart"/>
      <w:r w:rsidRPr="00A63E29">
        <w:rPr>
          <w:b/>
          <w:szCs w:val="20"/>
          <w:highlight w:val="yellow"/>
          <w:lang w:val="fr-CA"/>
        </w:rPr>
        <w:t>Map</w:t>
      </w:r>
      <w:proofErr w:type="spellEnd"/>
      <w:r w:rsidR="00302BFE" w:rsidRPr="00243B15">
        <w:rPr>
          <w:b/>
          <w:szCs w:val="20"/>
          <w:lang w:val="fr-CA"/>
        </w:rPr>
        <w:t xml:space="preserve"> 4. </w:t>
      </w:r>
      <w:proofErr w:type="spellStart"/>
      <w:r w:rsidR="00302BFE" w:rsidRPr="00413D2B">
        <w:rPr>
          <w:b/>
          <w:szCs w:val="20"/>
          <w:lang w:val="fr-CA"/>
        </w:rPr>
        <w:t>Provisional</w:t>
      </w:r>
      <w:proofErr w:type="spellEnd"/>
      <w:r w:rsidR="00302BFE" w:rsidRPr="00413D2B">
        <w:rPr>
          <w:b/>
          <w:szCs w:val="20"/>
          <w:lang w:val="fr-CA"/>
        </w:rPr>
        <w:t xml:space="preserve"> </w:t>
      </w:r>
      <w:proofErr w:type="spellStart"/>
      <w:r w:rsidR="00302BFE" w:rsidRPr="00413D2B">
        <w:rPr>
          <w:b/>
          <w:szCs w:val="20"/>
          <w:lang w:val="fr-CA"/>
        </w:rPr>
        <w:t>map</w:t>
      </w:r>
      <w:proofErr w:type="spellEnd"/>
      <w:r w:rsidR="00302BFE" w:rsidRPr="00413D2B">
        <w:rPr>
          <w:b/>
          <w:szCs w:val="20"/>
          <w:lang w:val="fr-CA"/>
        </w:rPr>
        <w:t xml:space="preserve"> of </w:t>
      </w:r>
      <w:proofErr w:type="spellStart"/>
      <w:r w:rsidR="00302BFE" w:rsidRPr="00413D2B">
        <w:rPr>
          <w:b/>
          <w:szCs w:val="20"/>
          <w:lang w:val="fr-CA"/>
        </w:rPr>
        <w:t>planned</w:t>
      </w:r>
      <w:proofErr w:type="spellEnd"/>
      <w:r w:rsidR="00302BFE" w:rsidRPr="00413D2B">
        <w:rPr>
          <w:b/>
          <w:szCs w:val="20"/>
          <w:lang w:val="fr-CA"/>
        </w:rPr>
        <w:t xml:space="preserve"> </w:t>
      </w:r>
      <w:proofErr w:type="spellStart"/>
      <w:r w:rsidR="00302BFE" w:rsidRPr="00413D2B">
        <w:rPr>
          <w:b/>
          <w:szCs w:val="20"/>
          <w:lang w:val="fr-CA"/>
        </w:rPr>
        <w:t>developments</w:t>
      </w:r>
      <w:proofErr w:type="spellEnd"/>
      <w:r w:rsidR="00302BFE" w:rsidRPr="00413D2B">
        <w:rPr>
          <w:b/>
          <w:szCs w:val="20"/>
          <w:lang w:val="fr-CA"/>
        </w:rPr>
        <w:t xml:space="preserve"> at PNKT </w:t>
      </w:r>
      <w:r w:rsidR="00302BFE" w:rsidRPr="00413D2B">
        <w:rPr>
          <w:sz w:val="16"/>
          <w:szCs w:val="16"/>
          <w:lang w:val="fr-CA"/>
        </w:rPr>
        <w:t xml:space="preserve">(Source: Plan d’aménagement et de gestion participative du Parc National </w:t>
      </w:r>
      <w:proofErr w:type="spellStart"/>
      <w:r w:rsidR="00302BFE" w:rsidRPr="00413D2B">
        <w:rPr>
          <w:sz w:val="16"/>
          <w:szCs w:val="16"/>
          <w:lang w:val="fr-CA"/>
        </w:rPr>
        <w:t>KaboréTambi</w:t>
      </w:r>
      <w:proofErr w:type="spellEnd"/>
      <w:r w:rsidR="00302BFE" w:rsidRPr="00413D2B">
        <w:rPr>
          <w:sz w:val="16"/>
          <w:szCs w:val="16"/>
          <w:lang w:val="fr-CA"/>
        </w:rPr>
        <w:t>)</w:t>
      </w:r>
    </w:p>
    <w:p w14:paraId="3F32BF2F" w14:textId="77777777" w:rsidR="00302BFE" w:rsidRPr="00805CFF" w:rsidRDefault="00302BFE" w:rsidP="00302BFE">
      <w:pPr>
        <w:rPr>
          <w:rFonts w:ascii="Calibri Light" w:hAnsi="Calibri Light"/>
          <w:szCs w:val="20"/>
          <w:lang w:val="fr-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8"/>
      </w:tblGrid>
      <w:tr w:rsidR="00302BFE" w:rsidRPr="009B00F0" w14:paraId="4FCF9174" w14:textId="77777777" w:rsidTr="00243B15">
        <w:trPr>
          <w:jc w:val="center"/>
        </w:trPr>
        <w:tc>
          <w:tcPr>
            <w:tcW w:w="10188" w:type="dxa"/>
            <w:shd w:val="clear" w:color="auto" w:fill="auto"/>
          </w:tcPr>
          <w:p w14:paraId="18DD564D" w14:textId="77777777" w:rsidR="00302BFE" w:rsidRPr="00806024" w:rsidRDefault="00302BFE" w:rsidP="00243B15">
            <w:pPr>
              <w:spacing w:before="60"/>
              <w:rPr>
                <w:rFonts w:ascii="Calibri Light" w:hAnsi="Calibri Light" w:cs="Calibri Light"/>
                <w:b/>
                <w:sz w:val="18"/>
                <w:szCs w:val="18"/>
              </w:rPr>
            </w:pPr>
            <w:r w:rsidRPr="00806024">
              <w:rPr>
                <w:rFonts w:ascii="Calibri Light" w:hAnsi="Calibri Light" w:cs="Calibri Light"/>
                <w:sz w:val="18"/>
                <w:szCs w:val="18"/>
              </w:rPr>
              <w:t>Under the Forestry Code,</w:t>
            </w:r>
            <w:r w:rsidRPr="00806024">
              <w:rPr>
                <w:rFonts w:ascii="Calibri Light" w:hAnsi="Calibri Light" w:cs="Calibri Light"/>
                <w:b/>
                <w:sz w:val="18"/>
                <w:szCs w:val="18"/>
              </w:rPr>
              <w:t xml:space="preserve"> </w:t>
            </w:r>
            <w:r w:rsidRPr="00806024">
              <w:rPr>
                <w:rFonts w:ascii="Calibri Light" w:hAnsi="Calibri Light"/>
                <w:sz w:val="18"/>
                <w:szCs w:val="18"/>
              </w:rPr>
              <w:t>National Parks such as the Kaboré-</w:t>
            </w:r>
            <w:proofErr w:type="spellStart"/>
            <w:r w:rsidRPr="00806024">
              <w:rPr>
                <w:rFonts w:ascii="Calibri Light" w:hAnsi="Calibri Light"/>
                <w:sz w:val="18"/>
                <w:szCs w:val="18"/>
              </w:rPr>
              <w:t>Tambi</w:t>
            </w:r>
            <w:proofErr w:type="spellEnd"/>
            <w:r w:rsidRPr="00806024">
              <w:rPr>
                <w:rFonts w:ascii="Calibri Light" w:hAnsi="Calibri Light"/>
                <w:sz w:val="18"/>
                <w:szCs w:val="18"/>
              </w:rPr>
              <w:t xml:space="preserve"> have rules/restrictions on tourism development as follows:</w:t>
            </w:r>
          </w:p>
          <w:p w14:paraId="7E4494D8" w14:textId="77777777" w:rsidR="00302BFE" w:rsidRPr="00806024" w:rsidRDefault="00302BFE" w:rsidP="00243B15">
            <w:pPr>
              <w:pStyle w:val="Commentaire"/>
              <w:spacing w:before="60"/>
              <w:rPr>
                <w:rFonts w:ascii="Calibri Light" w:hAnsi="Calibri Light"/>
                <w:sz w:val="18"/>
                <w:szCs w:val="18"/>
                <w:lang w:val="en-CA"/>
              </w:rPr>
            </w:pPr>
            <w:r w:rsidRPr="00806024">
              <w:rPr>
                <w:rFonts w:ascii="Calibri Light" w:hAnsi="Calibri Light"/>
                <w:sz w:val="18"/>
                <w:szCs w:val="18"/>
                <w:u w:val="single"/>
                <w:lang w:val="en-CA"/>
              </w:rPr>
              <w:t>Article 89</w:t>
            </w:r>
            <w:r w:rsidRPr="00806024">
              <w:rPr>
                <w:rFonts w:ascii="Calibri Light" w:hAnsi="Calibri Light"/>
                <w:sz w:val="18"/>
                <w:szCs w:val="18"/>
                <w:lang w:val="en-CA"/>
              </w:rPr>
              <w:t>: Except in exceptional circumstances and subject to the provisions of the constitution text and requirements of the development plan, national parks are exempt from any right of use.</w:t>
            </w:r>
          </w:p>
          <w:p w14:paraId="280F309C" w14:textId="77777777" w:rsidR="00302BFE" w:rsidRPr="00806024" w:rsidRDefault="00302BFE" w:rsidP="00243B15">
            <w:pPr>
              <w:pStyle w:val="Commentaire"/>
              <w:spacing w:before="60"/>
              <w:rPr>
                <w:rFonts w:ascii="Calibri Light" w:hAnsi="Calibri Light"/>
                <w:sz w:val="18"/>
                <w:szCs w:val="18"/>
                <w:lang w:val="en-CA"/>
              </w:rPr>
            </w:pPr>
            <w:r w:rsidRPr="00806024">
              <w:rPr>
                <w:rFonts w:ascii="Calibri Light" w:hAnsi="Calibri Light"/>
                <w:sz w:val="18"/>
                <w:szCs w:val="18"/>
                <w:u w:val="single"/>
                <w:lang w:val="en-CA"/>
              </w:rPr>
              <w:t>Article 90</w:t>
            </w:r>
            <w:r w:rsidRPr="00806024">
              <w:rPr>
                <w:rFonts w:ascii="Calibri Light" w:hAnsi="Calibri Light"/>
                <w:sz w:val="18"/>
                <w:szCs w:val="18"/>
                <w:lang w:val="en-CA"/>
              </w:rPr>
              <w:t xml:space="preserve">: Within the boundaries of national parks, grazing, clearing, hunting, farming, forestry or mining, waste disposal, polluting activities, uncontrolled fires and, in general, are prohibited, any action incompatible with the conservation and protection of the environment. </w:t>
            </w:r>
          </w:p>
          <w:p w14:paraId="69C89A2D" w14:textId="77777777" w:rsidR="00302BFE" w:rsidRPr="00806024" w:rsidRDefault="00302BFE" w:rsidP="00243B15">
            <w:pPr>
              <w:spacing w:before="60"/>
              <w:rPr>
                <w:rFonts w:ascii="Calibri Light" w:hAnsi="Calibri Light"/>
                <w:szCs w:val="20"/>
                <w:lang w:val="en-CA"/>
              </w:rPr>
            </w:pPr>
            <w:r w:rsidRPr="00806024">
              <w:rPr>
                <w:rFonts w:ascii="Calibri Light" w:hAnsi="Calibri Light"/>
                <w:sz w:val="18"/>
                <w:szCs w:val="18"/>
                <w:u w:val="single"/>
                <w:lang w:val="en-CA"/>
              </w:rPr>
              <w:lastRenderedPageBreak/>
              <w:t>Article 92</w:t>
            </w:r>
            <w:r w:rsidRPr="00806024">
              <w:rPr>
                <w:rFonts w:ascii="Calibri Light" w:hAnsi="Calibri Light"/>
                <w:sz w:val="18"/>
                <w:szCs w:val="18"/>
                <w:lang w:val="en-CA"/>
              </w:rPr>
              <w:t>: Memorandums of understanding (</w:t>
            </w:r>
            <w:proofErr w:type="spellStart"/>
            <w:r w:rsidRPr="00806024">
              <w:rPr>
                <w:rFonts w:ascii="Calibri Light" w:hAnsi="Calibri Light"/>
                <w:i/>
                <w:sz w:val="18"/>
                <w:szCs w:val="18"/>
                <w:lang w:val="en-CA"/>
              </w:rPr>
              <w:t>protocoles</w:t>
            </w:r>
            <w:proofErr w:type="spellEnd"/>
            <w:r w:rsidRPr="00806024">
              <w:rPr>
                <w:rFonts w:ascii="Calibri Light" w:hAnsi="Calibri Light"/>
                <w:i/>
                <w:sz w:val="18"/>
                <w:szCs w:val="18"/>
                <w:lang w:val="en-CA"/>
              </w:rPr>
              <w:t xml:space="preserve"> </w:t>
            </w:r>
            <w:proofErr w:type="spellStart"/>
            <w:r w:rsidRPr="00806024">
              <w:rPr>
                <w:rFonts w:ascii="Calibri Light" w:hAnsi="Calibri Light"/>
                <w:i/>
                <w:sz w:val="18"/>
                <w:szCs w:val="18"/>
                <w:lang w:val="en-CA"/>
              </w:rPr>
              <w:t>d’accord</w:t>
            </w:r>
            <w:proofErr w:type="spellEnd"/>
            <w:r w:rsidRPr="00806024">
              <w:rPr>
                <w:rFonts w:ascii="Calibri Light" w:hAnsi="Calibri Light"/>
                <w:sz w:val="18"/>
                <w:szCs w:val="18"/>
                <w:lang w:val="en-CA"/>
              </w:rPr>
              <w:t>) may be concluded between the State and natural or legal persons of private law for the development and management (</w:t>
            </w:r>
            <w:proofErr w:type="spellStart"/>
            <w:r w:rsidRPr="00806024">
              <w:rPr>
                <w:rFonts w:ascii="Calibri Light" w:hAnsi="Calibri Light"/>
                <w:i/>
                <w:sz w:val="18"/>
                <w:szCs w:val="18"/>
                <w:lang w:val="en-CA"/>
              </w:rPr>
              <w:t>aménagement</w:t>
            </w:r>
            <w:proofErr w:type="spellEnd"/>
            <w:r w:rsidRPr="00806024">
              <w:rPr>
                <w:rFonts w:ascii="Calibri Light" w:hAnsi="Calibri Light"/>
                <w:i/>
                <w:sz w:val="18"/>
                <w:szCs w:val="18"/>
                <w:lang w:val="en-CA"/>
              </w:rPr>
              <w:t xml:space="preserve"> et valorisation</w:t>
            </w:r>
            <w:r w:rsidRPr="00806024">
              <w:rPr>
                <w:rFonts w:ascii="Calibri Light" w:hAnsi="Calibri Light"/>
                <w:sz w:val="18"/>
                <w:szCs w:val="18"/>
                <w:lang w:val="en-CA"/>
              </w:rPr>
              <w:t>) of national parks for tourism and cultural purposes.</w:t>
            </w:r>
          </w:p>
        </w:tc>
      </w:tr>
    </w:tbl>
    <w:bookmarkEnd w:id="16"/>
    <w:p w14:paraId="6EAAD234" w14:textId="77777777" w:rsidR="00302BFE" w:rsidRPr="00ED1ADC" w:rsidRDefault="00302BFE" w:rsidP="00302BFE">
      <w:pPr>
        <w:spacing w:before="240" w:after="120"/>
        <w:rPr>
          <w:b/>
          <w:szCs w:val="20"/>
          <w:lang w:val="en-CA"/>
        </w:rPr>
      </w:pPr>
      <w:r w:rsidRPr="00ED1ADC">
        <w:rPr>
          <w:b/>
          <w:szCs w:val="20"/>
          <w:lang w:val="en-CA"/>
        </w:rPr>
        <w:lastRenderedPageBreak/>
        <w:t>Component 4: Gender mainstreaming, and knowledge and learning management</w:t>
      </w:r>
    </w:p>
    <w:p w14:paraId="2A4F0AAE" w14:textId="77777777" w:rsidR="00302BFE" w:rsidRPr="008D40A3" w:rsidRDefault="00302BFE" w:rsidP="00302BFE">
      <w:pPr>
        <w:spacing w:before="120" w:after="120"/>
        <w:ind w:left="284"/>
        <w:rPr>
          <w:b/>
          <w:szCs w:val="20"/>
          <w:lang w:val="en-GB"/>
        </w:rPr>
      </w:pPr>
      <w:r w:rsidRPr="008D40A3">
        <w:rPr>
          <w:b/>
          <w:szCs w:val="20"/>
          <w:lang w:val="en-GB"/>
        </w:rPr>
        <w:t>Outcome 4.1: Increased opportunities for women to benefit from the sustainable management of natural resources and value chains related to PAs within the PONASI landscape</w:t>
      </w:r>
    </w:p>
    <w:p w14:paraId="35597D5E" w14:textId="77777777" w:rsidR="00302BFE" w:rsidRPr="008D40A3" w:rsidRDefault="00302BFE" w:rsidP="00302BFE">
      <w:pPr>
        <w:spacing w:before="120" w:after="120"/>
        <w:ind w:left="284"/>
        <w:rPr>
          <w:b/>
          <w:szCs w:val="20"/>
          <w:lang w:val="en-GB"/>
        </w:rPr>
      </w:pPr>
      <w:r w:rsidRPr="008D40A3">
        <w:rPr>
          <w:b/>
          <w:szCs w:val="20"/>
          <w:lang w:val="en-GB"/>
        </w:rPr>
        <w:t>Outcome 4.2: Appropriation of the knowledge developed in the project by the actors within the PONASI landscape and in Burkina Faso</w:t>
      </w:r>
    </w:p>
    <w:p w14:paraId="452B55EA" w14:textId="77777777" w:rsidR="00302BFE" w:rsidRPr="00806024"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rPr>
      </w:pPr>
      <w:r w:rsidRPr="00806024">
        <w:rPr>
          <w:rFonts w:ascii="Calibri" w:hAnsi="Calibri" w:cs="Calibri"/>
          <w:sz w:val="20"/>
          <w:szCs w:val="20"/>
          <w:lang w:val="en-CA"/>
        </w:rPr>
        <w:t>This component will be the lever on which the project will build to expand and replicate interventions and impacts across the landscape, based on learning from pilot sites and dissemination at landscape and country level. This will require</w:t>
      </w:r>
      <w:r w:rsidRPr="00806024">
        <w:rPr>
          <w:rFonts w:ascii="Calibri" w:eastAsia="Calibri" w:hAnsi="Calibri" w:cs="Calibri"/>
          <w:sz w:val="20"/>
          <w:szCs w:val="20"/>
          <w:lang w:val="en-CA"/>
        </w:rPr>
        <w:t xml:space="preserve"> that knowledge is effectively collected and managed in support of the conservation of BD and ecosystem services in productive landscapes through </w:t>
      </w:r>
      <w:r w:rsidRPr="00806024">
        <w:rPr>
          <w:rFonts w:ascii="Calibri" w:hAnsi="Calibri" w:cs="Calibri"/>
          <w:sz w:val="20"/>
          <w:szCs w:val="20"/>
          <w:lang w:val="en-CA"/>
        </w:rPr>
        <w:t xml:space="preserve">the monitoring systems implemented under other project components, </w:t>
      </w:r>
      <w:r w:rsidRPr="00806024">
        <w:rPr>
          <w:rFonts w:ascii="Calibri" w:eastAsia="Calibri" w:hAnsi="Calibri" w:cs="Calibri"/>
          <w:sz w:val="20"/>
          <w:szCs w:val="20"/>
          <w:lang w:val="en-CA"/>
        </w:rPr>
        <w:t>in particular for monitoring the implementation of the Landscape Master Plan and its effects (</w:t>
      </w:r>
      <w:r>
        <w:rPr>
          <w:rFonts w:ascii="Calibri" w:eastAsia="Calibri" w:hAnsi="Calibri" w:cs="Calibri"/>
          <w:sz w:val="20"/>
          <w:szCs w:val="20"/>
          <w:lang w:val="en-CA"/>
        </w:rPr>
        <w:t>output</w:t>
      </w:r>
      <w:r w:rsidRPr="00806024">
        <w:rPr>
          <w:rFonts w:ascii="Calibri" w:eastAsia="Calibri" w:hAnsi="Calibri" w:cs="Calibri"/>
          <w:sz w:val="20"/>
          <w:szCs w:val="20"/>
          <w:lang w:val="en-CA"/>
        </w:rPr>
        <w:t xml:space="preserve"> 1.5.2), monitoring of compliance to the Master Plan and grievances recorded by stakeholders (</w:t>
      </w:r>
      <w:r>
        <w:rPr>
          <w:rFonts w:ascii="Calibri" w:eastAsia="Calibri" w:hAnsi="Calibri" w:cs="Calibri"/>
          <w:sz w:val="20"/>
          <w:szCs w:val="20"/>
          <w:lang w:val="en-CA"/>
        </w:rPr>
        <w:t>output</w:t>
      </w:r>
      <w:r w:rsidRPr="00806024">
        <w:rPr>
          <w:rFonts w:ascii="Calibri" w:eastAsia="Calibri" w:hAnsi="Calibri" w:cs="Calibri"/>
          <w:sz w:val="20"/>
          <w:szCs w:val="20"/>
          <w:lang w:val="en-CA"/>
        </w:rPr>
        <w:t xml:space="preserve"> 1.5.4), carbon stocks estimations (</w:t>
      </w:r>
      <w:r>
        <w:rPr>
          <w:rFonts w:ascii="Calibri" w:eastAsia="Calibri" w:hAnsi="Calibri" w:cs="Calibri"/>
          <w:sz w:val="20"/>
          <w:szCs w:val="20"/>
          <w:lang w:val="en-CA"/>
        </w:rPr>
        <w:t>output</w:t>
      </w:r>
      <w:r w:rsidRPr="00806024">
        <w:rPr>
          <w:rFonts w:ascii="Calibri" w:eastAsia="Calibri" w:hAnsi="Calibri" w:cs="Calibri"/>
          <w:sz w:val="20"/>
          <w:szCs w:val="20"/>
          <w:lang w:val="en-CA"/>
        </w:rPr>
        <w:t xml:space="preserve"> 1.3), the monitoring of biodiversity in PAs (</w:t>
      </w:r>
      <w:r>
        <w:rPr>
          <w:rFonts w:ascii="Calibri" w:eastAsia="Calibri" w:hAnsi="Calibri" w:cs="Calibri"/>
          <w:sz w:val="20"/>
          <w:szCs w:val="20"/>
          <w:lang w:val="en-CA"/>
        </w:rPr>
        <w:t>output</w:t>
      </w:r>
      <w:r w:rsidRPr="00806024">
        <w:rPr>
          <w:rFonts w:ascii="Calibri" w:eastAsia="Calibri" w:hAnsi="Calibri" w:cs="Calibri"/>
          <w:sz w:val="20"/>
          <w:szCs w:val="20"/>
          <w:lang w:val="en-CA"/>
        </w:rPr>
        <w:t xml:space="preserve"> 2.1.2) and the monitoring of human-wildlife conflicts (</w:t>
      </w:r>
      <w:r>
        <w:rPr>
          <w:rFonts w:ascii="Calibri" w:eastAsia="Calibri" w:hAnsi="Calibri" w:cs="Calibri"/>
          <w:sz w:val="20"/>
          <w:szCs w:val="20"/>
          <w:lang w:val="en-CA"/>
        </w:rPr>
        <w:t>output</w:t>
      </w:r>
      <w:r w:rsidRPr="00806024">
        <w:rPr>
          <w:rFonts w:ascii="Calibri" w:eastAsia="Calibri" w:hAnsi="Calibri" w:cs="Calibri"/>
          <w:sz w:val="20"/>
          <w:szCs w:val="20"/>
          <w:lang w:val="en-CA"/>
        </w:rPr>
        <w:t xml:space="preserve"> 2.4.1) and the implementation of the action plan to mitigate them. This component will build on the gender-disaggregated data collected by these monitoring systems to develop gender-sensitive knowledge products, as well as on the communication and dissemination of lessons learned and experiences gained in pilot sites, to incite and support the widespread </w:t>
      </w:r>
      <w:r w:rsidRPr="00806024">
        <w:rPr>
          <w:rFonts w:ascii="Calibri" w:hAnsi="Calibri" w:cs="Calibri"/>
          <w:sz w:val="20"/>
          <w:szCs w:val="20"/>
          <w:lang w:val="en-CA"/>
        </w:rPr>
        <w:t xml:space="preserve">replication </w:t>
      </w:r>
      <w:r w:rsidRPr="00806024">
        <w:rPr>
          <w:rFonts w:ascii="Calibri" w:eastAsia="Calibri" w:hAnsi="Calibri" w:cs="Calibri"/>
          <w:sz w:val="20"/>
          <w:szCs w:val="20"/>
          <w:lang w:val="en-CA"/>
        </w:rPr>
        <w:t xml:space="preserve">and </w:t>
      </w:r>
      <w:r w:rsidRPr="00806024">
        <w:rPr>
          <w:rFonts w:ascii="Calibri" w:hAnsi="Calibri" w:cs="Calibri"/>
          <w:sz w:val="20"/>
          <w:szCs w:val="20"/>
          <w:lang w:val="en-CA"/>
        </w:rPr>
        <w:t>scaling-up</w:t>
      </w:r>
      <w:r w:rsidRPr="00806024">
        <w:rPr>
          <w:rFonts w:ascii="Calibri" w:eastAsia="Calibri" w:hAnsi="Calibri" w:cs="Calibri"/>
          <w:sz w:val="20"/>
          <w:szCs w:val="20"/>
          <w:lang w:val="en-CA"/>
        </w:rPr>
        <w:t xml:space="preserve"> of sustainable </w:t>
      </w:r>
      <w:proofErr w:type="spellStart"/>
      <w:r w:rsidRPr="00806024">
        <w:rPr>
          <w:rFonts w:ascii="Calibri" w:eastAsia="Calibri" w:hAnsi="Calibri" w:cs="Calibri"/>
          <w:sz w:val="20"/>
          <w:szCs w:val="20"/>
          <w:lang w:val="en-CA"/>
        </w:rPr>
        <w:t>agro</w:t>
      </w:r>
      <w:proofErr w:type="spellEnd"/>
      <w:r w:rsidRPr="00806024">
        <w:rPr>
          <w:rFonts w:ascii="Calibri" w:eastAsia="Calibri" w:hAnsi="Calibri" w:cs="Calibri"/>
          <w:sz w:val="20"/>
          <w:szCs w:val="20"/>
          <w:lang w:val="en-CA"/>
        </w:rPr>
        <w:t>-</w:t>
      </w:r>
      <w:proofErr w:type="spellStart"/>
      <w:r w:rsidRPr="00806024">
        <w:rPr>
          <w:rFonts w:ascii="Calibri" w:eastAsia="Calibri" w:hAnsi="Calibri" w:cs="Calibri"/>
          <w:sz w:val="20"/>
          <w:szCs w:val="20"/>
          <w:lang w:val="en-CA"/>
        </w:rPr>
        <w:t>sylvo</w:t>
      </w:r>
      <w:proofErr w:type="spellEnd"/>
      <w:r w:rsidRPr="00806024">
        <w:rPr>
          <w:rFonts w:ascii="Calibri" w:eastAsia="Calibri" w:hAnsi="Calibri" w:cs="Calibri"/>
          <w:sz w:val="20"/>
          <w:szCs w:val="20"/>
          <w:lang w:val="en-CA"/>
        </w:rPr>
        <w:t xml:space="preserve">-pastoral, SLM and biodiversity conservation practices. </w:t>
      </w:r>
      <w:r w:rsidRPr="00806024">
        <w:rPr>
          <w:rFonts w:ascii="Calibri" w:hAnsi="Calibri" w:cs="Calibri"/>
          <w:sz w:val="20"/>
          <w:szCs w:val="20"/>
          <w:lang w:val="en-CA"/>
        </w:rPr>
        <w:t>Monitoring and evaluation of project progress towards intended outcomes and outputs will integrate the information generated enable the adoption of an adaptive management approach to ensure the project effectively reaches outlined goals and objectives.</w:t>
      </w:r>
    </w:p>
    <w:p w14:paraId="2A8BD8E3" w14:textId="3FDE64BA" w:rsidR="00302BFE" w:rsidRDefault="00302BFE" w:rsidP="00302BFE">
      <w:pPr>
        <w:spacing w:before="120" w:after="120"/>
        <w:rPr>
          <w:b/>
          <w:szCs w:val="20"/>
          <w:lang w:val="en-CA"/>
        </w:rPr>
      </w:pPr>
      <w:r w:rsidRPr="004E4BF5">
        <w:rPr>
          <w:b/>
          <w:szCs w:val="20"/>
          <w:lang w:val="en-CA"/>
        </w:rPr>
        <w:t xml:space="preserve">Output 4.1 Gender Action plan implemented, </w:t>
      </w:r>
      <w:proofErr w:type="gramStart"/>
      <w:r w:rsidRPr="004E4BF5">
        <w:rPr>
          <w:b/>
          <w:szCs w:val="20"/>
          <w:lang w:val="en-CA"/>
        </w:rPr>
        <w:t>monitored</w:t>
      </w:r>
      <w:proofErr w:type="gramEnd"/>
      <w:r w:rsidRPr="004E4BF5">
        <w:rPr>
          <w:b/>
          <w:szCs w:val="20"/>
          <w:lang w:val="en-CA"/>
        </w:rPr>
        <w:t xml:space="preserve"> and evaluated</w:t>
      </w:r>
    </w:p>
    <w:p w14:paraId="51CB119B" w14:textId="5E3586B3" w:rsidR="003C3F01" w:rsidRPr="00BE65D5" w:rsidRDefault="003C3F01" w:rsidP="00302BFE">
      <w:pPr>
        <w:spacing w:before="120" w:after="120"/>
        <w:rPr>
          <w:iCs/>
          <w:color w:val="4472C4"/>
          <w:szCs w:val="20"/>
          <w:lang w:val="en-GB"/>
        </w:rPr>
      </w:pPr>
      <w:r w:rsidRPr="00413D2B">
        <w:rPr>
          <w:iCs/>
          <w:color w:val="4472C4"/>
          <w:szCs w:val="20"/>
          <w:lang w:val="en-GB"/>
        </w:rPr>
        <w:t xml:space="preserve">For this Output, the FPIC (Free, Prior and Informed Consent) process </w:t>
      </w:r>
      <w:proofErr w:type="gramStart"/>
      <w:r w:rsidRPr="00413D2B">
        <w:rPr>
          <w:iCs/>
          <w:color w:val="4472C4"/>
          <w:szCs w:val="20"/>
          <w:lang w:val="en-GB"/>
        </w:rPr>
        <w:t>has to</w:t>
      </w:r>
      <w:proofErr w:type="gramEnd"/>
      <w:r w:rsidRPr="00413D2B">
        <w:rPr>
          <w:iCs/>
          <w:color w:val="4472C4"/>
          <w:szCs w:val="20"/>
          <w:lang w:val="en-GB"/>
        </w:rPr>
        <w:t xml:space="preserve"> be ensured</w:t>
      </w:r>
    </w:p>
    <w:p w14:paraId="520C3F00" w14:textId="2BA15B4A" w:rsidR="00302BFE" w:rsidRPr="008F0CCA"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806024">
        <w:rPr>
          <w:rFonts w:ascii="Calibri" w:hAnsi="Calibri"/>
          <w:bCs/>
          <w:sz w:val="20"/>
          <w:szCs w:val="20"/>
          <w:lang w:val="en-CA"/>
        </w:rPr>
        <w:t xml:space="preserve">Women are disproportionately affected by the degradation of land and natural resources on which they depend for their livelihoods and living conditions because of inequities in access to and use of resources. However, women are not systematically consulted and integrated into development projects which are nevertheless </w:t>
      </w:r>
      <w:r w:rsidRPr="00806024">
        <w:rPr>
          <w:rFonts w:ascii="Calibri" w:hAnsi="Calibri"/>
          <w:sz w:val="20"/>
          <w:szCs w:val="20"/>
          <w:shd w:val="clear" w:color="auto" w:fill="FFFFFF"/>
          <w:lang w:val="en-CA"/>
        </w:rPr>
        <w:t>likely</w:t>
      </w:r>
      <w:r w:rsidRPr="00806024">
        <w:rPr>
          <w:rFonts w:ascii="Calibri" w:hAnsi="Calibri"/>
          <w:bCs/>
          <w:sz w:val="20"/>
          <w:szCs w:val="20"/>
          <w:lang w:val="en-CA"/>
        </w:rPr>
        <w:t xml:space="preserve"> to improve the sustainability of natural resources and ecosystem services and reduce their workload. In addition to being subject to insidious discrimination in their access to resources needed for socio-economic development, they are disadvantaged in access to support services. Indeed, microcredit, extension, </w:t>
      </w:r>
      <w:proofErr w:type="gramStart"/>
      <w:r w:rsidRPr="00806024">
        <w:rPr>
          <w:rFonts w:ascii="Calibri" w:hAnsi="Calibri"/>
          <w:bCs/>
          <w:sz w:val="20"/>
          <w:szCs w:val="20"/>
          <w:lang w:val="en-CA"/>
        </w:rPr>
        <w:t>input</w:t>
      </w:r>
      <w:proofErr w:type="gramEnd"/>
      <w:r w:rsidRPr="00806024">
        <w:rPr>
          <w:rFonts w:ascii="Calibri" w:hAnsi="Calibri"/>
          <w:bCs/>
          <w:sz w:val="20"/>
          <w:szCs w:val="20"/>
          <w:lang w:val="en-CA"/>
        </w:rPr>
        <w:t xml:space="preserve"> and seed supply services generally meet the needs of male heads of households</w:t>
      </w:r>
      <w:r w:rsidRPr="008F0CCA">
        <w:rPr>
          <w:rFonts w:ascii="Calibri" w:hAnsi="Calibri"/>
          <w:bCs/>
          <w:sz w:val="20"/>
          <w:szCs w:val="20"/>
          <w:lang w:val="en-CA"/>
        </w:rPr>
        <w:t>.</w:t>
      </w:r>
      <w:r w:rsidR="00D5205E" w:rsidRPr="008F0CCA">
        <w:rPr>
          <w:rFonts w:ascii="Calibri" w:hAnsi="Calibri"/>
          <w:bCs/>
          <w:sz w:val="20"/>
          <w:szCs w:val="20"/>
          <w:lang w:val="en-CA"/>
        </w:rPr>
        <w:t xml:space="preserve"> </w:t>
      </w:r>
      <w:r w:rsidR="00D5205E" w:rsidRPr="00A63E29">
        <w:rPr>
          <w:rFonts w:ascii="Calibri" w:hAnsi="Calibri"/>
          <w:bCs/>
          <w:sz w:val="20"/>
          <w:szCs w:val="20"/>
          <w:lang w:val="en-CA"/>
        </w:rPr>
        <w:t xml:space="preserve">Women are also disproportionally affected by the COVID crisis, often being victims of domestic violence during </w:t>
      </w:r>
      <w:proofErr w:type="gramStart"/>
      <w:r w:rsidR="00D5205E" w:rsidRPr="00A63E29">
        <w:rPr>
          <w:rFonts w:ascii="Calibri" w:hAnsi="Calibri"/>
          <w:bCs/>
          <w:sz w:val="20"/>
          <w:szCs w:val="20"/>
          <w:lang w:val="en-CA"/>
        </w:rPr>
        <w:t>lock-downs</w:t>
      </w:r>
      <w:proofErr w:type="gramEnd"/>
      <w:r w:rsidR="00D5205E" w:rsidRPr="00A63E29">
        <w:rPr>
          <w:rFonts w:ascii="Calibri" w:hAnsi="Calibri"/>
          <w:bCs/>
          <w:sz w:val="20"/>
          <w:szCs w:val="20"/>
          <w:lang w:val="en-CA"/>
        </w:rPr>
        <w:t xml:space="preserve"> and suffering from restrictive measures placed on informal marketing activities.</w:t>
      </w:r>
      <w:r w:rsidR="00D5205E" w:rsidRPr="008F0CCA">
        <w:rPr>
          <w:rFonts w:ascii="Calibri" w:hAnsi="Calibri"/>
          <w:bCs/>
          <w:sz w:val="20"/>
          <w:szCs w:val="20"/>
          <w:lang w:val="en-CA"/>
        </w:rPr>
        <w:t xml:space="preserve"> </w:t>
      </w:r>
    </w:p>
    <w:p w14:paraId="3AD9C83B" w14:textId="77777777" w:rsidR="00302BFE" w:rsidRPr="00806024"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806024">
        <w:rPr>
          <w:rFonts w:ascii="Calibri" w:hAnsi="Calibri"/>
          <w:bCs/>
          <w:sz w:val="20"/>
          <w:szCs w:val="20"/>
          <w:lang w:val="en-CA"/>
        </w:rPr>
        <w:t xml:space="preserve">The project will strive to address such gaps through the implementation of the gender action plan which </w:t>
      </w:r>
      <w:r w:rsidRPr="00806024">
        <w:rPr>
          <w:rFonts w:ascii="Calibri" w:hAnsi="Calibri" w:cs="Calibri"/>
          <w:sz w:val="20"/>
          <w:szCs w:val="20"/>
          <w:lang w:val="en-CA"/>
        </w:rPr>
        <w:t xml:space="preserve">breaks down project outputs into concrete gender related outputs and activities, to ensure that they are well integrated into the annual workplan and budget. </w:t>
      </w:r>
      <w:r w:rsidRPr="00806024">
        <w:rPr>
          <w:rFonts w:ascii="Calibri" w:hAnsi="Calibri"/>
          <w:bCs/>
          <w:sz w:val="20"/>
          <w:szCs w:val="20"/>
          <w:lang w:val="en-CA"/>
        </w:rPr>
        <w:t xml:space="preserve">The project will </w:t>
      </w:r>
      <w:proofErr w:type="gramStart"/>
      <w:r w:rsidRPr="00806024">
        <w:rPr>
          <w:rFonts w:ascii="Calibri" w:hAnsi="Calibri"/>
          <w:bCs/>
          <w:sz w:val="20"/>
          <w:szCs w:val="20"/>
          <w:lang w:val="en-CA"/>
        </w:rPr>
        <w:t>take into account</w:t>
      </w:r>
      <w:proofErr w:type="gramEnd"/>
      <w:r w:rsidRPr="00806024">
        <w:rPr>
          <w:rFonts w:ascii="Calibri" w:hAnsi="Calibri"/>
          <w:bCs/>
          <w:sz w:val="20"/>
          <w:szCs w:val="20"/>
          <w:lang w:val="en-CA"/>
        </w:rPr>
        <w:t xml:space="preserve"> the gender issue by collecting socio-economic sex-disaggregated data in baseline surveys, and by adopting gender-sensitive indicators to monitor the project specific impact on women.</w:t>
      </w:r>
    </w:p>
    <w:p w14:paraId="4FE3421E" w14:textId="77777777" w:rsidR="00302BFE" w:rsidRPr="00806024"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806024">
        <w:rPr>
          <w:rFonts w:ascii="Calibri" w:hAnsi="Calibri"/>
          <w:sz w:val="20"/>
          <w:szCs w:val="20"/>
          <w:lang w:val="en-CA"/>
        </w:rPr>
        <w:t xml:space="preserve">The project will seek to strengthen women's participation in project i) by adopting a specific communication approach </w:t>
      </w:r>
      <w:r w:rsidRPr="00806024">
        <w:rPr>
          <w:rFonts w:ascii="Calibri" w:hAnsi="Calibri"/>
          <w:bCs/>
          <w:sz w:val="20"/>
          <w:szCs w:val="20"/>
          <w:lang w:val="en-CA"/>
        </w:rPr>
        <w:t>that specifically target women</w:t>
      </w:r>
      <w:r w:rsidRPr="00806024">
        <w:rPr>
          <w:rFonts w:ascii="Calibri" w:hAnsi="Calibri"/>
          <w:sz w:val="20"/>
          <w:szCs w:val="20"/>
          <w:lang w:val="en-CA"/>
        </w:rPr>
        <w:t xml:space="preserve"> to ensure that messages reach them and that their concerns and priorities are heard and addressed; ii) by consulting them to find ways to facilitate their participation in activities and reconcile it with their schedule and domestic chores; iii) by involving them in every local planning and implementation stage regarding the location and identification of SLM practices, identification of techniques for the </w:t>
      </w:r>
      <w:r w:rsidRPr="00806024">
        <w:rPr>
          <w:rFonts w:ascii="Calibri" w:hAnsi="Calibri"/>
          <w:bCs/>
          <w:sz w:val="20"/>
          <w:szCs w:val="20"/>
          <w:lang w:val="en-CA"/>
        </w:rPr>
        <w:t>IGAs (as part of the value chains) adapted to them and meeting their needs</w:t>
      </w:r>
      <w:r w:rsidRPr="00806024">
        <w:rPr>
          <w:rFonts w:ascii="Calibri" w:hAnsi="Calibri"/>
          <w:sz w:val="20"/>
          <w:szCs w:val="20"/>
          <w:lang w:val="en-CA"/>
        </w:rPr>
        <w:t xml:space="preserve"> and capacities</w:t>
      </w:r>
      <w:r w:rsidRPr="00806024">
        <w:rPr>
          <w:rFonts w:ascii="Calibri" w:hAnsi="Calibri"/>
          <w:bCs/>
          <w:sz w:val="20"/>
          <w:szCs w:val="20"/>
          <w:lang w:val="en-CA"/>
        </w:rPr>
        <w:t xml:space="preserve">, and every aspect likely to reduce their daily burden; iv) by involving them in the design, dissemination and marketing of products in the value chains, v) by developing training </w:t>
      </w:r>
      <w:r w:rsidRPr="00806024">
        <w:rPr>
          <w:rFonts w:ascii="Calibri" w:hAnsi="Calibri"/>
          <w:sz w:val="20"/>
          <w:szCs w:val="20"/>
          <w:lang w:val="en-CA"/>
        </w:rPr>
        <w:t>programs</w:t>
      </w:r>
      <w:r w:rsidRPr="00806024">
        <w:rPr>
          <w:rFonts w:ascii="Calibri" w:hAnsi="Calibri"/>
          <w:bCs/>
          <w:sz w:val="20"/>
          <w:szCs w:val="20"/>
          <w:lang w:val="en-CA"/>
        </w:rPr>
        <w:t xml:space="preserve"> targeting women’s specific activities and fostering their involvement in new activities such as composting and seed collection; vi) by facilitating their access to</w:t>
      </w:r>
      <w:r w:rsidRPr="00806024">
        <w:rPr>
          <w:rFonts w:ascii="Calibri" w:hAnsi="Calibri"/>
          <w:sz w:val="20"/>
          <w:szCs w:val="20"/>
          <w:lang w:val="en-CA"/>
        </w:rPr>
        <w:t xml:space="preserve"> locally managed credit facilities for their specific activities</w:t>
      </w:r>
      <w:r w:rsidRPr="00806024">
        <w:rPr>
          <w:rFonts w:ascii="Calibri" w:hAnsi="Calibri"/>
          <w:bCs/>
          <w:sz w:val="20"/>
          <w:szCs w:val="20"/>
          <w:lang w:val="en-CA"/>
        </w:rPr>
        <w:t xml:space="preserve">. The project will pay special attention to securing women’s </w:t>
      </w:r>
      <w:r w:rsidRPr="00806024">
        <w:rPr>
          <w:rFonts w:ascii="Calibri" w:hAnsi="Calibri"/>
          <w:sz w:val="20"/>
          <w:szCs w:val="20"/>
          <w:lang w:val="en-CA"/>
        </w:rPr>
        <w:t>access and rights to resources and land, and especially so for female-headed households.</w:t>
      </w:r>
    </w:p>
    <w:p w14:paraId="5C6C6C10" w14:textId="77777777" w:rsidR="00302BFE" w:rsidRPr="00806024"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806024">
        <w:rPr>
          <w:rFonts w:ascii="Calibri" w:hAnsi="Calibri" w:cs="Calibri"/>
          <w:bCs/>
          <w:iCs/>
          <w:sz w:val="20"/>
          <w:szCs w:val="20"/>
          <w:lang w:val="en-CA"/>
        </w:rPr>
        <w:t>The assessment of the project contribution to increase women’s benefits linked to improved environmental management through gender mainstreaming will require further analytical thinking such as the project impact on obstacles to be lifted at all levels, ranging from women's perceptions of their empowerment, to the sharing of benefits within households, the actual use of income generated through support targeted at women, constraints on access to means of production, including land and microcredit, and policy and legislative frameworks and their local implementation.</w:t>
      </w:r>
    </w:p>
    <w:p w14:paraId="467A829F" w14:textId="77777777" w:rsidR="00302BFE" w:rsidRPr="00806024"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806024">
        <w:rPr>
          <w:rFonts w:ascii="Calibri" w:hAnsi="Calibri" w:cs="Calibri"/>
          <w:bCs/>
          <w:iCs/>
          <w:sz w:val="20"/>
          <w:szCs w:val="20"/>
          <w:lang w:val="en-CA"/>
        </w:rPr>
        <w:t xml:space="preserve">The documentation of these themes will be based on the systematic monitoring of women's participation to every project activity and the effects of the project on them using gender-disaggregated indicators, complemented by socio-economic surveys conducted at mid-term and in the last year of the project (before the terminal evaluation). Use of gender sensitive indicators will help </w:t>
      </w:r>
      <w:r w:rsidRPr="00806024">
        <w:rPr>
          <w:rFonts w:ascii="Calibri" w:hAnsi="Calibri" w:cs="Calibri"/>
          <w:bCs/>
          <w:iCs/>
          <w:sz w:val="20"/>
          <w:szCs w:val="20"/>
          <w:lang w:val="en-CA"/>
        </w:rPr>
        <w:lastRenderedPageBreak/>
        <w:t xml:space="preserve">to reveal barriers to achieving success, and to make the case for action by highlighting key issues, backed up with statistics and other evidence. Surveys will assess how effectively the gender mainstreaming approach adopted by the project has contributed to improving the lives of women and their families, how the support for women has contributed to improving environmental sustainability in the PONASI landscape and will formulate recommendations. </w:t>
      </w:r>
      <w:r w:rsidRPr="00806024">
        <w:rPr>
          <w:rFonts w:ascii="Calibri" w:hAnsi="Calibri"/>
          <w:sz w:val="20"/>
          <w:szCs w:val="20"/>
          <w:lang w:val="en-CA"/>
        </w:rPr>
        <w:t xml:space="preserve">Women groups will assist in sharing and analyzing lessons learned and experiences related to gender mainstreaming. </w:t>
      </w:r>
      <w:r w:rsidRPr="00806024">
        <w:rPr>
          <w:rFonts w:ascii="Calibri" w:hAnsi="Calibri" w:cs="Calibri"/>
          <w:bCs/>
          <w:iCs/>
          <w:sz w:val="20"/>
          <w:szCs w:val="20"/>
          <w:lang w:val="en-CA"/>
        </w:rPr>
        <w:t>The dissemination of the results of such an analysis conducted in collaboration by the Gender Expert and the Communication and Knowledge Management Expert will target academic and administrative audiences and will take the form of an electronic and printed publication. A culturally sensitive simplified version will be prepared for rural populations to highlight the benefits of gender mainstreaming in sustainable environmental management and empowering women.</w:t>
      </w:r>
    </w:p>
    <w:p w14:paraId="64F1DB50" w14:textId="0BB09395" w:rsidR="00302BFE" w:rsidRDefault="00302BFE" w:rsidP="00302BFE">
      <w:pPr>
        <w:spacing w:before="120" w:after="120"/>
        <w:rPr>
          <w:b/>
          <w:szCs w:val="20"/>
          <w:lang w:val="en-CA"/>
        </w:rPr>
      </w:pPr>
      <w:r w:rsidRPr="004E4BF5">
        <w:rPr>
          <w:b/>
          <w:szCs w:val="20"/>
          <w:lang w:val="en-CA"/>
        </w:rPr>
        <w:t xml:space="preserve">Output 4.2: Technical knowledge and lessons learned from the project's experiences are compiled, </w:t>
      </w:r>
      <w:proofErr w:type="gramStart"/>
      <w:r w:rsidRPr="004E4BF5">
        <w:rPr>
          <w:b/>
          <w:szCs w:val="20"/>
          <w:lang w:val="en-CA"/>
        </w:rPr>
        <w:t>assessed</w:t>
      </w:r>
      <w:proofErr w:type="gramEnd"/>
      <w:r w:rsidRPr="004E4BF5">
        <w:rPr>
          <w:b/>
          <w:szCs w:val="20"/>
          <w:lang w:val="en-CA"/>
        </w:rPr>
        <w:t xml:space="preserve"> and translated into knowledge products that contribute to building the capacity of all actors in sustainable </w:t>
      </w:r>
      <w:r w:rsidRPr="00806024">
        <w:rPr>
          <w:b/>
          <w:szCs w:val="20"/>
          <w:lang w:val="en-CA"/>
        </w:rPr>
        <w:t xml:space="preserve">environmental management. </w:t>
      </w:r>
    </w:p>
    <w:p w14:paraId="6270B233" w14:textId="77777777" w:rsidR="00087970" w:rsidRPr="00413D2B" w:rsidRDefault="00087970" w:rsidP="00087970">
      <w:pPr>
        <w:spacing w:after="0"/>
        <w:contextualSpacing/>
        <w:rPr>
          <w:bCs/>
          <w:szCs w:val="20"/>
          <w:lang w:val="en-GB"/>
        </w:rPr>
      </w:pPr>
      <w:r w:rsidRPr="00413D2B">
        <w:rPr>
          <w:bCs/>
          <w:szCs w:val="20"/>
          <w:lang w:val="en-GB"/>
        </w:rPr>
        <w:t xml:space="preserve">To assess and manage the impacts of this Output, as indicated in the SESP – in attachment to the </w:t>
      </w:r>
      <w:proofErr w:type="spellStart"/>
      <w:r w:rsidRPr="00413D2B">
        <w:rPr>
          <w:bCs/>
          <w:szCs w:val="20"/>
          <w:lang w:val="en-GB"/>
        </w:rPr>
        <w:t>ProDoc</w:t>
      </w:r>
      <w:proofErr w:type="spellEnd"/>
      <w:r w:rsidRPr="00413D2B">
        <w:rPr>
          <w:bCs/>
          <w:szCs w:val="20"/>
          <w:lang w:val="en-GB"/>
        </w:rPr>
        <w:t xml:space="preserve"> – the following assessment and management processes will be put in place, to comply with UNDP SES:</w:t>
      </w:r>
    </w:p>
    <w:p w14:paraId="18714A3D" w14:textId="77777777" w:rsidR="00087970" w:rsidRPr="00413D2B" w:rsidRDefault="00087970" w:rsidP="00087970">
      <w:pPr>
        <w:spacing w:after="0"/>
        <w:contextualSpacing/>
        <w:rPr>
          <w:bCs/>
          <w:szCs w:val="20"/>
          <w:u w:val="single"/>
          <w:lang w:val="en-GB"/>
        </w:rPr>
      </w:pPr>
      <w:r w:rsidRPr="00413D2B">
        <w:rPr>
          <w:bCs/>
          <w:szCs w:val="20"/>
          <w:u w:val="single"/>
          <w:lang w:val="en-GB"/>
        </w:rPr>
        <w:t>Assessments:</w:t>
      </w:r>
    </w:p>
    <w:p w14:paraId="591DC0E8" w14:textId="77777777" w:rsidR="00087970" w:rsidRPr="00413D2B" w:rsidRDefault="00087970" w:rsidP="00087970">
      <w:pPr>
        <w:spacing w:after="0"/>
        <w:contextualSpacing/>
        <w:rPr>
          <w:bCs/>
          <w:szCs w:val="20"/>
          <w:lang w:val="en-GB"/>
        </w:rPr>
      </w:pPr>
      <w:r w:rsidRPr="00413D2B">
        <w:rPr>
          <w:bCs/>
          <w:szCs w:val="20"/>
          <w:lang w:val="en-GB"/>
        </w:rPr>
        <w:t xml:space="preserve">SESA </w:t>
      </w:r>
    </w:p>
    <w:p w14:paraId="5AB0583A" w14:textId="2E0035D4" w:rsidR="00087970" w:rsidRPr="00413D2B" w:rsidRDefault="00087970" w:rsidP="00087970">
      <w:pPr>
        <w:spacing w:after="0"/>
        <w:contextualSpacing/>
        <w:rPr>
          <w:bCs/>
          <w:szCs w:val="20"/>
          <w:lang w:val="en-GB"/>
        </w:rPr>
      </w:pPr>
      <w:r w:rsidRPr="00413D2B">
        <w:rPr>
          <w:bCs/>
          <w:szCs w:val="20"/>
          <w:u w:val="single"/>
          <w:lang w:val="en-GB"/>
        </w:rPr>
        <w:t>Management:</w:t>
      </w:r>
    </w:p>
    <w:p w14:paraId="7D46D91E" w14:textId="421CCF71" w:rsidR="003C3F01" w:rsidRPr="00413D2B" w:rsidRDefault="00087970" w:rsidP="00087970">
      <w:pPr>
        <w:spacing w:after="0"/>
        <w:contextualSpacing/>
        <w:rPr>
          <w:bCs/>
          <w:szCs w:val="20"/>
          <w:lang w:val="en-GB"/>
        </w:rPr>
      </w:pPr>
      <w:r w:rsidRPr="00413D2B">
        <w:rPr>
          <w:bCs/>
          <w:szCs w:val="20"/>
          <w:lang w:val="en-GB"/>
        </w:rPr>
        <w:t xml:space="preserve">SESA report and recommendations (Actions Matrix) </w:t>
      </w:r>
    </w:p>
    <w:p w14:paraId="101A77C0" w14:textId="47E5488B" w:rsidR="00087970" w:rsidRPr="00BE65D5" w:rsidRDefault="003C3F01" w:rsidP="00302BFE">
      <w:pPr>
        <w:spacing w:before="120" w:after="120"/>
        <w:rPr>
          <w:iCs/>
          <w:color w:val="4472C4"/>
          <w:szCs w:val="20"/>
          <w:lang w:val="en-GB"/>
        </w:rPr>
      </w:pPr>
      <w:r w:rsidRPr="00413D2B">
        <w:rPr>
          <w:iCs/>
          <w:color w:val="4472C4"/>
          <w:szCs w:val="20"/>
          <w:lang w:val="en-GB"/>
        </w:rPr>
        <w:t xml:space="preserve">For this Output, the FPIC (Free, Prior and Informed Consent) process </w:t>
      </w:r>
      <w:proofErr w:type="gramStart"/>
      <w:r w:rsidRPr="00413D2B">
        <w:rPr>
          <w:iCs/>
          <w:color w:val="4472C4"/>
          <w:szCs w:val="20"/>
          <w:lang w:val="en-GB"/>
        </w:rPr>
        <w:t>has to</w:t>
      </w:r>
      <w:proofErr w:type="gramEnd"/>
      <w:r w:rsidRPr="00413D2B">
        <w:rPr>
          <w:iCs/>
          <w:color w:val="4472C4"/>
          <w:szCs w:val="20"/>
          <w:lang w:val="en-GB"/>
        </w:rPr>
        <w:t xml:space="preserve"> be ensured</w:t>
      </w:r>
    </w:p>
    <w:p w14:paraId="2D7765D4" w14:textId="77777777" w:rsidR="00302BFE" w:rsidRPr="00B93DBA" w:rsidRDefault="00302BFE" w:rsidP="00C46720">
      <w:pPr>
        <w:pStyle w:val="Paragraphedeliste"/>
        <w:numPr>
          <w:ilvl w:val="0"/>
          <w:numId w:val="14"/>
        </w:numPr>
        <w:tabs>
          <w:tab w:val="left" w:pos="284"/>
        </w:tabs>
        <w:spacing w:before="120" w:after="120"/>
        <w:ind w:left="0" w:firstLine="0"/>
        <w:jc w:val="both"/>
        <w:rPr>
          <w:rFonts w:ascii="Calibri" w:hAnsi="Calibri"/>
          <w:bCs/>
          <w:sz w:val="20"/>
          <w:szCs w:val="20"/>
          <w:lang w:val="en-CA"/>
        </w:rPr>
      </w:pPr>
      <w:r w:rsidRPr="00806024">
        <w:rPr>
          <w:rFonts w:ascii="Calibri" w:hAnsi="Calibri"/>
          <w:sz w:val="20"/>
          <w:szCs w:val="20"/>
          <w:lang w:val="en-CA"/>
        </w:rPr>
        <w:t xml:space="preserve">M&amp;E of the project’s implementation will be conducted following GEF and UNDP guidelines and according to the M&amp;E plan described in Section VII of this project document. The main tasks of the M&amp;E plan include an inception workshop, annual monitoring of indicators in project results framework, annual project implementation reports, annual audits, continuous monitoring of environmental and social risks, continuous monitoring of the Stakeholder Engagement Plan and the Gender Action Plan, </w:t>
      </w:r>
      <w:r>
        <w:rPr>
          <w:rFonts w:ascii="Calibri" w:hAnsi="Calibri"/>
          <w:sz w:val="20"/>
          <w:szCs w:val="20"/>
          <w:lang w:val="en-CA"/>
        </w:rPr>
        <w:t>Project Consultation/Dialogue Framework</w:t>
      </w:r>
      <w:r w:rsidRPr="00806024">
        <w:rPr>
          <w:rFonts w:ascii="Calibri" w:hAnsi="Calibri"/>
          <w:sz w:val="20"/>
          <w:szCs w:val="20"/>
          <w:lang w:val="en-CA"/>
        </w:rPr>
        <w:t xml:space="preserve"> meetings, meetings of the landscape co-governance platform, oversight mission by the UNDP-GEF team, mid-term and end-of-project updates of the GEF-7 core indicators, and an Independent Mid-term Review and an Independent Terminal Evaluation.</w:t>
      </w:r>
    </w:p>
    <w:p w14:paraId="588A40B8" w14:textId="77777777" w:rsidR="00302BFE" w:rsidRPr="00A93827" w:rsidRDefault="00302BFE" w:rsidP="00C46720">
      <w:pPr>
        <w:pStyle w:val="Paragraphedeliste"/>
        <w:numPr>
          <w:ilvl w:val="0"/>
          <w:numId w:val="14"/>
        </w:numPr>
        <w:tabs>
          <w:tab w:val="left" w:pos="284"/>
        </w:tabs>
        <w:spacing w:before="120" w:after="120"/>
        <w:ind w:left="0" w:firstLine="0"/>
        <w:jc w:val="both"/>
        <w:rPr>
          <w:rFonts w:ascii="Calibri" w:hAnsi="Calibri"/>
          <w:bCs/>
          <w:sz w:val="20"/>
          <w:szCs w:val="20"/>
          <w:lang w:val="en-CA"/>
        </w:rPr>
      </w:pPr>
      <w:r w:rsidRPr="00A93827">
        <w:rPr>
          <w:rFonts w:ascii="Calibri" w:hAnsi="Calibri"/>
          <w:bCs/>
          <w:sz w:val="20"/>
          <w:szCs w:val="20"/>
          <w:lang w:val="en-CA"/>
        </w:rPr>
        <w:t xml:space="preserve">In addition, as part of the project M&amp;E activities, an Environmental and Social Impact Assessment Specialist will be recruited in the first year of the project to prepare an </w:t>
      </w:r>
      <w:r w:rsidRPr="00A93827">
        <w:rPr>
          <w:rFonts w:ascii="Calibri" w:hAnsi="Calibri"/>
          <w:sz w:val="20"/>
          <w:szCs w:val="20"/>
        </w:rPr>
        <w:t>Environmental and Social Management Plan (ESMP) to ensure the PONASI Landscape Project is consistent with UNDP’s Social and Environmental Standards (SES) (</w:t>
      </w:r>
      <w:hyperlink r:id="rId27" w:history="1">
        <w:r w:rsidRPr="00A93827">
          <w:rPr>
            <w:rStyle w:val="Lienhypertexte"/>
            <w:rFonts w:ascii="Calibri" w:hAnsi="Calibri"/>
            <w:sz w:val="20"/>
            <w:szCs w:val="20"/>
          </w:rPr>
          <w:t>www.undp.org/ses</w:t>
        </w:r>
      </w:hyperlink>
      <w:r w:rsidRPr="00A93827">
        <w:rPr>
          <w:rFonts w:ascii="Calibri" w:hAnsi="Calibri"/>
          <w:sz w:val="20"/>
          <w:szCs w:val="20"/>
        </w:rPr>
        <w:t xml:space="preserve">). The SES require that all UNDP projects consider the potential environmental and social opportunities that a project may generate and ensure that adverse social and environmental risks and impacts are avoided, minimized, </w:t>
      </w:r>
      <w:proofErr w:type="gramStart"/>
      <w:r w:rsidRPr="00A93827">
        <w:rPr>
          <w:rFonts w:ascii="Calibri" w:hAnsi="Calibri"/>
          <w:sz w:val="20"/>
          <w:szCs w:val="20"/>
        </w:rPr>
        <w:t>mitigated</w:t>
      </w:r>
      <w:proofErr w:type="gramEnd"/>
      <w:r w:rsidRPr="00A93827">
        <w:rPr>
          <w:rFonts w:ascii="Calibri" w:hAnsi="Calibri"/>
          <w:sz w:val="20"/>
          <w:szCs w:val="20"/>
        </w:rPr>
        <w:t xml:space="preserve"> and managed. </w:t>
      </w:r>
      <w:r w:rsidRPr="00A93827">
        <w:rPr>
          <w:rFonts w:ascii="Calibri" w:hAnsi="Calibri"/>
          <w:sz w:val="20"/>
          <w:szCs w:val="20"/>
          <w:lang w:val="en-CA"/>
        </w:rPr>
        <w:t xml:space="preserve">The overall objective of the ESMP is to assist in minimizing the impacts to the environment and the surrounding communities and reach a set of environmental and social objectives. The ESMP ensures that the environmental and social objectives of the projects are met through monitoring </w:t>
      </w:r>
      <w:proofErr w:type="gramStart"/>
      <w:r w:rsidRPr="00A93827">
        <w:rPr>
          <w:rFonts w:ascii="Calibri" w:hAnsi="Calibri"/>
          <w:sz w:val="20"/>
          <w:szCs w:val="20"/>
          <w:lang w:val="en-CA"/>
        </w:rPr>
        <w:t>in order to</w:t>
      </w:r>
      <w:proofErr w:type="gramEnd"/>
      <w:r w:rsidRPr="00A93827">
        <w:rPr>
          <w:rFonts w:ascii="Calibri" w:hAnsi="Calibri"/>
          <w:sz w:val="20"/>
          <w:szCs w:val="20"/>
          <w:lang w:val="en-CA"/>
        </w:rPr>
        <w:t xml:space="preserve"> avoid or mitigate adverse effects on the environment. An outline of the ESMP is provided with the TORs for the </w:t>
      </w:r>
      <w:r w:rsidRPr="00A93827">
        <w:rPr>
          <w:rFonts w:ascii="Calibri" w:hAnsi="Calibri"/>
          <w:bCs/>
          <w:sz w:val="20"/>
          <w:szCs w:val="20"/>
          <w:lang w:val="en-CA"/>
        </w:rPr>
        <w:t>Environmental and Social Impact Assessment Specialist</w:t>
      </w:r>
      <w:r w:rsidRPr="00A93827">
        <w:rPr>
          <w:rFonts w:ascii="Calibri" w:hAnsi="Calibri"/>
          <w:sz w:val="20"/>
          <w:szCs w:val="20"/>
          <w:lang w:val="en-CA"/>
        </w:rPr>
        <w:t xml:space="preserve"> in Annex </w:t>
      </w:r>
      <w:r w:rsidR="009523FE" w:rsidRPr="00A93827">
        <w:rPr>
          <w:rFonts w:ascii="Calibri" w:hAnsi="Calibri"/>
          <w:sz w:val="20"/>
          <w:szCs w:val="20"/>
          <w:lang w:val="en-CA"/>
        </w:rPr>
        <w:t>C</w:t>
      </w:r>
      <w:r w:rsidRPr="00A93827">
        <w:rPr>
          <w:rFonts w:ascii="Calibri" w:hAnsi="Calibri"/>
          <w:sz w:val="20"/>
          <w:szCs w:val="20"/>
          <w:lang w:val="en-CA"/>
        </w:rPr>
        <w:t>.</w:t>
      </w:r>
    </w:p>
    <w:p w14:paraId="4AE1B05B" w14:textId="77777777" w:rsidR="00302BFE" w:rsidRPr="00B93DBA" w:rsidRDefault="00302BFE" w:rsidP="00C46720">
      <w:pPr>
        <w:pStyle w:val="Paragraphedeliste"/>
        <w:numPr>
          <w:ilvl w:val="0"/>
          <w:numId w:val="32"/>
        </w:numPr>
        <w:tabs>
          <w:tab w:val="left" w:pos="284"/>
        </w:tabs>
        <w:spacing w:before="120" w:after="120"/>
        <w:ind w:left="0" w:firstLine="0"/>
        <w:jc w:val="both"/>
        <w:rPr>
          <w:rFonts w:ascii="Calibri" w:hAnsi="Calibri" w:cs="Segoe UI"/>
          <w:color w:val="000000"/>
          <w:sz w:val="20"/>
          <w:szCs w:val="20"/>
        </w:rPr>
      </w:pPr>
      <w:r w:rsidRPr="00B93DBA">
        <w:rPr>
          <w:rFonts w:ascii="Calibri" w:hAnsi="Calibri"/>
          <w:sz w:val="20"/>
          <w:szCs w:val="20"/>
        </w:rPr>
        <w:t>The ESMP will cover all activities to be implemented by the PONASI landscape project and likely to affect the social and environmental elements of the landscape, according to indications provided in the Project Document, including, but not limited to: formalizing the creation of a wildlife corridor, strengthening capacities for monitoring and surveillance in protected areas through training and equipment for eco-guards and rangers, building infrastructure for the Kaboré-</w:t>
      </w:r>
      <w:proofErr w:type="spellStart"/>
      <w:r w:rsidRPr="00B93DBA">
        <w:rPr>
          <w:rFonts w:ascii="Calibri" w:hAnsi="Calibri"/>
          <w:sz w:val="20"/>
          <w:szCs w:val="20"/>
        </w:rPr>
        <w:t>Tambi</w:t>
      </w:r>
      <w:proofErr w:type="spellEnd"/>
      <w:r w:rsidRPr="00B93DBA">
        <w:rPr>
          <w:rFonts w:ascii="Calibri" w:hAnsi="Calibri"/>
          <w:sz w:val="20"/>
          <w:szCs w:val="20"/>
        </w:rPr>
        <w:t xml:space="preserve"> National Park (PNKT) and observation platforms in PNKT, </w:t>
      </w:r>
      <w:proofErr w:type="spellStart"/>
      <w:r w:rsidRPr="00B93DBA">
        <w:rPr>
          <w:rFonts w:ascii="Calibri" w:hAnsi="Calibri"/>
          <w:sz w:val="20"/>
          <w:szCs w:val="20"/>
        </w:rPr>
        <w:t>Sissili</w:t>
      </w:r>
      <w:proofErr w:type="spellEnd"/>
      <w:r w:rsidRPr="00B93DBA">
        <w:rPr>
          <w:rFonts w:ascii="Calibri" w:hAnsi="Calibri"/>
          <w:sz w:val="20"/>
          <w:szCs w:val="20"/>
        </w:rPr>
        <w:t xml:space="preserve"> CF and </w:t>
      </w:r>
      <w:proofErr w:type="spellStart"/>
      <w:r w:rsidRPr="00B93DBA">
        <w:rPr>
          <w:rFonts w:ascii="Calibri" w:hAnsi="Calibri"/>
          <w:sz w:val="20"/>
          <w:szCs w:val="20"/>
        </w:rPr>
        <w:t>Nazinga</w:t>
      </w:r>
      <w:proofErr w:type="spellEnd"/>
      <w:r w:rsidRPr="00B93DBA">
        <w:rPr>
          <w:rFonts w:ascii="Calibri" w:hAnsi="Calibri"/>
          <w:sz w:val="20"/>
          <w:szCs w:val="20"/>
        </w:rPr>
        <w:t xml:space="preserve"> Game Ranch, maintenance of firebreaks and perimeter tracks, developing NTFP value chains, developing PA-related tourism, improving </w:t>
      </w:r>
      <w:proofErr w:type="spellStart"/>
      <w:r w:rsidRPr="00B93DBA">
        <w:rPr>
          <w:rFonts w:ascii="Calibri" w:hAnsi="Calibri"/>
          <w:sz w:val="20"/>
          <w:szCs w:val="20"/>
        </w:rPr>
        <w:t>agro</w:t>
      </w:r>
      <w:proofErr w:type="spellEnd"/>
      <w:r w:rsidRPr="00B93DBA">
        <w:rPr>
          <w:rFonts w:ascii="Calibri" w:hAnsi="Calibri"/>
          <w:sz w:val="20"/>
          <w:szCs w:val="20"/>
        </w:rPr>
        <w:t>-</w:t>
      </w:r>
      <w:proofErr w:type="spellStart"/>
      <w:r w:rsidRPr="00B93DBA">
        <w:rPr>
          <w:rFonts w:ascii="Calibri" w:hAnsi="Calibri"/>
          <w:sz w:val="20"/>
          <w:szCs w:val="20"/>
        </w:rPr>
        <w:t>silvo</w:t>
      </w:r>
      <w:proofErr w:type="spellEnd"/>
      <w:r w:rsidRPr="00B93DBA">
        <w:rPr>
          <w:rFonts w:ascii="Calibri" w:hAnsi="Calibri"/>
          <w:sz w:val="20"/>
          <w:szCs w:val="20"/>
        </w:rPr>
        <w:t>-pastoral systems including through sustainable land management practices, assisted natural regeneration, and agroforestry.</w:t>
      </w:r>
    </w:p>
    <w:p w14:paraId="4F3760E9" w14:textId="77777777" w:rsidR="00302BFE" w:rsidRPr="00806024" w:rsidRDefault="00302BFE" w:rsidP="00C46720">
      <w:pPr>
        <w:pStyle w:val="Paragraphedeliste"/>
        <w:numPr>
          <w:ilvl w:val="0"/>
          <w:numId w:val="14"/>
        </w:numPr>
        <w:tabs>
          <w:tab w:val="left" w:pos="284"/>
        </w:tabs>
        <w:spacing w:before="120" w:after="120"/>
        <w:ind w:left="0" w:firstLine="0"/>
        <w:jc w:val="both"/>
        <w:rPr>
          <w:rFonts w:ascii="Calibri" w:hAnsi="Calibri"/>
          <w:bCs/>
          <w:sz w:val="20"/>
          <w:szCs w:val="20"/>
          <w:lang w:val="en-CA"/>
        </w:rPr>
      </w:pPr>
      <w:r w:rsidRPr="00806024">
        <w:rPr>
          <w:rFonts w:ascii="Calibri" w:hAnsi="Calibri"/>
          <w:sz w:val="20"/>
          <w:szCs w:val="20"/>
          <w:lang w:val="en-CA"/>
        </w:rPr>
        <w:t>Monitoring systems will be established to learn from the landscape management approach, and biodiversity conservation interventions implemented by the project and to measure progress made through management and conservation measures.</w:t>
      </w:r>
      <w:r>
        <w:rPr>
          <w:rFonts w:ascii="Calibri" w:hAnsi="Calibri"/>
          <w:sz w:val="20"/>
          <w:szCs w:val="20"/>
          <w:lang w:val="en-CA"/>
        </w:rPr>
        <w:t xml:space="preserve"> </w:t>
      </w:r>
      <w:r w:rsidRPr="00806024">
        <w:rPr>
          <w:rFonts w:ascii="Calibri" w:hAnsi="Calibri" w:cs="Calibri"/>
          <w:sz w:val="20"/>
          <w:szCs w:val="20"/>
          <w:lang w:val="en-CA"/>
        </w:rPr>
        <w:t xml:space="preserve">The identification of relevant experiences and lessons learned will be carried out on a yearly basis, coupled with the annual review, and will be used internally to inform the project management team, the relevant departments under the </w:t>
      </w:r>
      <w:r>
        <w:rPr>
          <w:rFonts w:ascii="Calibri" w:hAnsi="Calibri" w:cs="Calibri"/>
          <w:sz w:val="20"/>
          <w:szCs w:val="20"/>
          <w:lang w:val="en-CA"/>
        </w:rPr>
        <w:t>MEGECC</w:t>
      </w:r>
      <w:r w:rsidRPr="00806024">
        <w:rPr>
          <w:rFonts w:ascii="Calibri" w:hAnsi="Calibri" w:cs="Calibri"/>
          <w:sz w:val="20"/>
          <w:szCs w:val="20"/>
          <w:lang w:val="en-CA"/>
        </w:rPr>
        <w:t>, male and female beneficiaries at local level, and other project stakeholders on the project’s progress. The lessons learnt will be input to the project iterative management process and the necessary adjustments made to the project’s design, as necessary, to reflect the lessons learnt.</w:t>
      </w:r>
      <w:r w:rsidRPr="00806024">
        <w:rPr>
          <w:rFonts w:ascii="Calibri" w:hAnsi="Calibri"/>
          <w:sz w:val="20"/>
          <w:szCs w:val="20"/>
          <w:lang w:val="en-CA"/>
        </w:rPr>
        <w:t xml:space="preserve"> Lessons learned and good practices in PA and landscape collaborative management, including SLM, forestry, pasture and climate-smart agriculture, and gender mainstreaming, will be systematically identified by the Project Coordinator, the M&amp;E expert, the </w:t>
      </w:r>
      <w:r>
        <w:rPr>
          <w:rFonts w:ascii="Calibri" w:hAnsi="Calibri"/>
          <w:sz w:val="20"/>
          <w:szCs w:val="20"/>
          <w:lang w:val="en-CA"/>
        </w:rPr>
        <w:t>Project Consultation/Dialogue Framework</w:t>
      </w:r>
      <w:r w:rsidRPr="00806024">
        <w:rPr>
          <w:rFonts w:ascii="Calibri" w:hAnsi="Calibri"/>
          <w:sz w:val="20"/>
          <w:szCs w:val="20"/>
          <w:lang w:val="en-CA"/>
        </w:rPr>
        <w:t>, and key project stakeholders, including local community members participating in the project, as part of the participatory annual review, reporting and planning of the project. The project’s Communication and Knowledge Management Expert will collate these learnings and develop knowledge products designed for specific audiences and different purposes.</w:t>
      </w:r>
    </w:p>
    <w:p w14:paraId="1A8D99EC" w14:textId="77777777" w:rsidR="00302BFE" w:rsidRPr="005D2DFE" w:rsidRDefault="00302BFE" w:rsidP="00C46720">
      <w:pPr>
        <w:pStyle w:val="Paragraphedeliste"/>
        <w:numPr>
          <w:ilvl w:val="0"/>
          <w:numId w:val="14"/>
        </w:numPr>
        <w:tabs>
          <w:tab w:val="left" w:pos="284"/>
        </w:tabs>
        <w:spacing w:before="120" w:after="120"/>
        <w:ind w:left="0" w:firstLine="0"/>
        <w:jc w:val="both"/>
        <w:rPr>
          <w:rFonts w:ascii="Calibri" w:hAnsi="Calibri"/>
          <w:bCs/>
          <w:sz w:val="20"/>
          <w:szCs w:val="20"/>
          <w:lang w:val="en-CA"/>
        </w:rPr>
      </w:pPr>
      <w:r w:rsidRPr="005D2DFE">
        <w:rPr>
          <w:rFonts w:ascii="Calibri" w:hAnsi="Calibri" w:cs="Calibri"/>
          <w:sz w:val="20"/>
          <w:szCs w:val="20"/>
          <w:lang w:val="en-CA"/>
        </w:rPr>
        <w:lastRenderedPageBreak/>
        <w:t xml:space="preserve">The project will support the collation of documentation and knowledge products to support institutional capacity building for continued institutional and private sector development. The project will contribute to develop curriculum and training material in various fields related to PA management (output 2.1), including anti-poaching operations (output 2.4), and tourism development (output 3.4). Tutorials will be developed from training programmes accessible from IUCN website on PA management and on anti-poaching, and websites on PA-related tourism and integrated in the Curricula of the </w:t>
      </w:r>
      <w:r w:rsidRPr="005D2DFE">
        <w:rPr>
          <w:rFonts w:ascii="Calibri" w:hAnsi="Calibri" w:cs="Calibri"/>
          <w:i/>
          <w:sz w:val="20"/>
          <w:szCs w:val="20"/>
          <w:lang w:val="en-CA"/>
        </w:rPr>
        <w:t xml:space="preserve">École Nationale des </w:t>
      </w:r>
      <w:proofErr w:type="spellStart"/>
      <w:r w:rsidRPr="005D2DFE">
        <w:rPr>
          <w:rFonts w:ascii="Calibri" w:hAnsi="Calibri" w:cs="Calibri"/>
          <w:i/>
          <w:sz w:val="20"/>
          <w:szCs w:val="20"/>
          <w:lang w:val="en-CA"/>
        </w:rPr>
        <w:t>Eaux</w:t>
      </w:r>
      <w:proofErr w:type="spellEnd"/>
      <w:r w:rsidRPr="005D2DFE">
        <w:rPr>
          <w:rFonts w:ascii="Calibri" w:hAnsi="Calibri" w:cs="Calibri"/>
          <w:i/>
          <w:sz w:val="20"/>
          <w:szCs w:val="20"/>
          <w:lang w:val="en-CA"/>
        </w:rPr>
        <w:t xml:space="preserve"> et </w:t>
      </w:r>
      <w:proofErr w:type="spellStart"/>
      <w:r w:rsidRPr="005D2DFE">
        <w:rPr>
          <w:rFonts w:ascii="Calibri" w:hAnsi="Calibri" w:cs="Calibri"/>
          <w:i/>
          <w:sz w:val="20"/>
          <w:szCs w:val="20"/>
          <w:lang w:val="en-CA"/>
        </w:rPr>
        <w:t>Forêts</w:t>
      </w:r>
      <w:proofErr w:type="spellEnd"/>
      <w:r w:rsidRPr="005D2DFE">
        <w:rPr>
          <w:rFonts w:ascii="Calibri" w:hAnsi="Calibri" w:cs="Calibri"/>
          <w:sz w:val="20"/>
          <w:szCs w:val="20"/>
          <w:lang w:val="en-CA"/>
        </w:rPr>
        <w:t xml:space="preserve"> that targets government personnel and of the school for tourism and will integrate lessons learned through the project experience.</w:t>
      </w:r>
    </w:p>
    <w:p w14:paraId="4556ACF4" w14:textId="222CFAEC" w:rsidR="00302BFE" w:rsidRPr="00112AF4" w:rsidRDefault="00302BFE" w:rsidP="00C46720">
      <w:pPr>
        <w:pStyle w:val="Paragraphedeliste"/>
        <w:numPr>
          <w:ilvl w:val="0"/>
          <w:numId w:val="14"/>
        </w:numPr>
        <w:tabs>
          <w:tab w:val="left" w:pos="284"/>
        </w:tabs>
        <w:spacing w:before="120" w:after="120"/>
        <w:ind w:left="0" w:firstLine="0"/>
        <w:jc w:val="both"/>
        <w:rPr>
          <w:rFonts w:ascii="Calibri" w:hAnsi="Calibri"/>
          <w:bCs/>
          <w:sz w:val="20"/>
          <w:szCs w:val="20"/>
          <w:lang w:val="en-CA"/>
        </w:rPr>
      </w:pPr>
      <w:r w:rsidRPr="00831652">
        <w:rPr>
          <w:rFonts w:ascii="Calibri" w:hAnsi="Calibri" w:cs="Calibri"/>
          <w:bCs/>
          <w:iCs/>
          <w:sz w:val="20"/>
          <w:szCs w:val="20"/>
          <w:lang w:val="en-CA"/>
        </w:rPr>
        <w:t xml:space="preserve">Knowledge on climate-smart </w:t>
      </w:r>
      <w:proofErr w:type="spellStart"/>
      <w:r w:rsidRPr="00831652">
        <w:rPr>
          <w:rFonts w:ascii="Calibri" w:hAnsi="Calibri" w:cs="Calibri"/>
          <w:bCs/>
          <w:iCs/>
          <w:sz w:val="20"/>
          <w:szCs w:val="20"/>
          <w:lang w:val="en-CA"/>
        </w:rPr>
        <w:t>agro</w:t>
      </w:r>
      <w:proofErr w:type="spellEnd"/>
      <w:r w:rsidRPr="00831652">
        <w:rPr>
          <w:rFonts w:ascii="Calibri" w:hAnsi="Calibri" w:cs="Calibri"/>
          <w:bCs/>
          <w:iCs/>
          <w:sz w:val="20"/>
          <w:szCs w:val="20"/>
          <w:lang w:val="en-CA"/>
        </w:rPr>
        <w:t>-</w:t>
      </w:r>
      <w:proofErr w:type="spellStart"/>
      <w:r w:rsidRPr="00831652">
        <w:rPr>
          <w:rFonts w:ascii="Calibri" w:hAnsi="Calibri" w:cs="Calibri"/>
          <w:bCs/>
          <w:iCs/>
          <w:sz w:val="20"/>
          <w:szCs w:val="20"/>
          <w:lang w:val="en-CA"/>
        </w:rPr>
        <w:t>sylvo</w:t>
      </w:r>
      <w:proofErr w:type="spellEnd"/>
      <w:r w:rsidRPr="00831652">
        <w:rPr>
          <w:rFonts w:ascii="Calibri" w:hAnsi="Calibri" w:cs="Calibri"/>
          <w:bCs/>
          <w:iCs/>
          <w:sz w:val="20"/>
          <w:szCs w:val="20"/>
          <w:lang w:val="en-CA"/>
        </w:rPr>
        <w:t>-pastoral practices</w:t>
      </w:r>
      <w:r w:rsidRPr="00831652">
        <w:rPr>
          <w:rFonts w:ascii="Calibri" w:hAnsi="Calibri" w:cs="Calibri"/>
          <w:sz w:val="20"/>
          <w:szCs w:val="20"/>
          <w:lang w:val="en-CA"/>
        </w:rPr>
        <w:t xml:space="preserve">, establishment of value chains based on sustainable use of NTFP, PA-related tourism development to benefit local communities, and collaborative management of PAs </w:t>
      </w:r>
      <w:r w:rsidRPr="00831652">
        <w:rPr>
          <w:rFonts w:ascii="Calibri" w:hAnsi="Calibri" w:cs="Calibri"/>
          <w:bCs/>
          <w:iCs/>
          <w:sz w:val="20"/>
          <w:szCs w:val="20"/>
          <w:lang w:val="en-CA"/>
        </w:rPr>
        <w:t xml:space="preserve">will be presented as technical sheets for relevant technical services in forestry, agriculture and pastoralism and as simplified and accessible learning papers in practical formats and translated in local languages for local beneficiaries. </w:t>
      </w:r>
      <w:r w:rsidRPr="00831652">
        <w:rPr>
          <w:rFonts w:ascii="Calibri" w:hAnsi="Calibri"/>
          <w:sz w:val="20"/>
          <w:szCs w:val="20"/>
          <w:lang w:val="en-CA"/>
        </w:rPr>
        <w:t xml:space="preserve">Case studies and thematic reports will target the decentralized technical staff of the Ministry of Agriculture and Hydro-Agricultural Infrastructure, and the </w:t>
      </w:r>
      <w:proofErr w:type="spellStart"/>
      <w:r w:rsidR="00806DBD">
        <w:rPr>
          <w:rFonts w:ascii="Calibri" w:hAnsi="Calibri"/>
          <w:sz w:val="20"/>
          <w:szCs w:val="20"/>
          <w:lang w:val="en-CA"/>
        </w:rPr>
        <w:t>Ministere</w:t>
      </w:r>
      <w:proofErr w:type="spellEnd"/>
      <w:r w:rsidR="00806DBD">
        <w:rPr>
          <w:rFonts w:ascii="Calibri" w:hAnsi="Calibri"/>
          <w:sz w:val="20"/>
          <w:szCs w:val="20"/>
          <w:lang w:val="en-CA"/>
        </w:rPr>
        <w:t xml:space="preserve"> de </w:t>
      </w:r>
      <w:proofErr w:type="spellStart"/>
      <w:r w:rsidR="00806DBD">
        <w:rPr>
          <w:rFonts w:ascii="Calibri" w:hAnsi="Calibri"/>
          <w:sz w:val="20"/>
          <w:szCs w:val="20"/>
          <w:lang w:val="en-CA"/>
        </w:rPr>
        <w:t>l’environnement</w:t>
      </w:r>
      <w:proofErr w:type="spellEnd"/>
      <w:r w:rsidR="00806DBD">
        <w:rPr>
          <w:rFonts w:ascii="Calibri" w:hAnsi="Calibri"/>
          <w:sz w:val="20"/>
          <w:szCs w:val="20"/>
          <w:lang w:val="en-CA"/>
        </w:rPr>
        <w:t xml:space="preserve">, de </w:t>
      </w:r>
      <w:proofErr w:type="spellStart"/>
      <w:r w:rsidR="00806DBD">
        <w:rPr>
          <w:rFonts w:ascii="Calibri" w:hAnsi="Calibri"/>
          <w:sz w:val="20"/>
          <w:szCs w:val="20"/>
          <w:lang w:val="en-CA"/>
        </w:rPr>
        <w:t>l’eau</w:t>
      </w:r>
      <w:proofErr w:type="spellEnd"/>
      <w:r w:rsidR="00806DBD">
        <w:rPr>
          <w:rFonts w:ascii="Calibri" w:hAnsi="Calibri"/>
          <w:sz w:val="20"/>
          <w:szCs w:val="20"/>
          <w:lang w:val="en-CA"/>
        </w:rPr>
        <w:t xml:space="preserve"> et de </w:t>
      </w:r>
      <w:proofErr w:type="spellStart"/>
      <w:proofErr w:type="gramStart"/>
      <w:r w:rsidR="00806DBD">
        <w:rPr>
          <w:rFonts w:ascii="Calibri" w:hAnsi="Calibri"/>
          <w:sz w:val="20"/>
          <w:szCs w:val="20"/>
          <w:lang w:val="en-CA"/>
        </w:rPr>
        <w:t>l”Assainissement</w:t>
      </w:r>
      <w:proofErr w:type="spellEnd"/>
      <w:proofErr w:type="gramEnd"/>
      <w:r w:rsidRPr="00831652">
        <w:rPr>
          <w:rFonts w:ascii="Calibri" w:hAnsi="Calibri"/>
          <w:sz w:val="20"/>
          <w:szCs w:val="20"/>
          <w:lang w:val="en-CA"/>
        </w:rPr>
        <w:t xml:space="preserve">, producer associations, CSOs, and environmental NGOs. Printed and electronic documents will be developed and disseminated to all the governmental and other technical stakeholders. </w:t>
      </w:r>
      <w:r w:rsidRPr="00831652">
        <w:rPr>
          <w:rFonts w:ascii="Calibri" w:hAnsi="Calibri" w:cs="Calibri"/>
          <w:bCs/>
          <w:iCs/>
          <w:sz w:val="20"/>
          <w:szCs w:val="20"/>
          <w:lang w:val="en-CA"/>
        </w:rPr>
        <w:t>Other themes may require further analytical thinking such as the issue of gender mainstreaming, which is addressed under output 4.1, and progress made in the adoption of the collaborative approach to protected area management.</w:t>
      </w:r>
    </w:p>
    <w:p w14:paraId="2935EBA7" w14:textId="664EFECF" w:rsidR="00302BFE" w:rsidRDefault="00302BFE" w:rsidP="00302BFE">
      <w:pPr>
        <w:spacing w:before="120" w:after="120"/>
        <w:rPr>
          <w:rFonts w:eastAsia="Times New Roman" w:cs="Calibri"/>
          <w:b/>
          <w:szCs w:val="20"/>
          <w:lang w:val="en-CA"/>
        </w:rPr>
      </w:pPr>
      <w:r w:rsidRPr="00884BA2">
        <w:rPr>
          <w:rFonts w:eastAsia="Times New Roman" w:cs="Calibri"/>
          <w:b/>
          <w:szCs w:val="20"/>
          <w:lang w:val="en-CA"/>
        </w:rPr>
        <w:t>Output 4.3. Learnings are disseminated through the project communication plan to enable their widespread adoption by women and men across the PONASI landscape and in Burkina Faso.</w:t>
      </w:r>
    </w:p>
    <w:p w14:paraId="7F924674" w14:textId="580E7EF6" w:rsidR="003C3F01" w:rsidRPr="00BE65D5" w:rsidRDefault="003C3F01" w:rsidP="00302BFE">
      <w:pPr>
        <w:spacing w:before="120" w:after="120"/>
        <w:rPr>
          <w:iCs/>
          <w:color w:val="4472C4"/>
          <w:szCs w:val="20"/>
          <w:lang w:val="en-GB"/>
        </w:rPr>
      </w:pPr>
      <w:r w:rsidRPr="00413D2B">
        <w:rPr>
          <w:iCs/>
          <w:color w:val="4472C4"/>
          <w:szCs w:val="20"/>
          <w:lang w:val="en-GB"/>
        </w:rPr>
        <w:t xml:space="preserve">For this Output, the FPIC (Free, Prior and Informed Consent) process </w:t>
      </w:r>
      <w:proofErr w:type="gramStart"/>
      <w:r w:rsidRPr="00413D2B">
        <w:rPr>
          <w:iCs/>
          <w:color w:val="4472C4"/>
          <w:szCs w:val="20"/>
          <w:lang w:val="en-GB"/>
        </w:rPr>
        <w:t>has to</w:t>
      </w:r>
      <w:proofErr w:type="gramEnd"/>
      <w:r w:rsidRPr="00413D2B">
        <w:rPr>
          <w:iCs/>
          <w:color w:val="4472C4"/>
          <w:szCs w:val="20"/>
          <w:lang w:val="en-GB"/>
        </w:rPr>
        <w:t xml:space="preserve"> be ensured</w:t>
      </w:r>
    </w:p>
    <w:p w14:paraId="149E256F" w14:textId="799C4611" w:rsidR="00302BFE" w:rsidRPr="00806024" w:rsidRDefault="00302BFE" w:rsidP="00C46720">
      <w:pPr>
        <w:pStyle w:val="Paragraphedeliste"/>
        <w:numPr>
          <w:ilvl w:val="0"/>
          <w:numId w:val="14"/>
        </w:numPr>
        <w:tabs>
          <w:tab w:val="left" w:pos="284"/>
        </w:tabs>
        <w:spacing w:before="120" w:after="120"/>
        <w:ind w:left="0" w:firstLine="0"/>
        <w:jc w:val="both"/>
        <w:rPr>
          <w:rFonts w:ascii="Calibri" w:hAnsi="Calibri" w:cs="Calibri"/>
          <w:bCs/>
          <w:iCs/>
          <w:sz w:val="20"/>
          <w:szCs w:val="20"/>
          <w:lang w:val="en-CA"/>
        </w:rPr>
      </w:pPr>
      <w:r w:rsidRPr="00806024">
        <w:rPr>
          <w:rFonts w:ascii="Calibri" w:eastAsia="Times New Roman" w:hAnsi="Calibri" w:cs="Calibri"/>
          <w:sz w:val="20"/>
          <w:szCs w:val="20"/>
          <w:lang w:val="en-CA"/>
        </w:rPr>
        <w:t xml:space="preserve">Knowledge will be mainly disseminated through technical learning papers, radio programmes, web platform, television, exchange site visits by local communities involved in the project </w:t>
      </w:r>
      <w:r w:rsidRPr="008F0CCA">
        <w:rPr>
          <w:rFonts w:ascii="Calibri" w:eastAsia="Times New Roman" w:hAnsi="Calibri" w:cs="Calibri"/>
          <w:sz w:val="20"/>
          <w:szCs w:val="20"/>
          <w:lang w:val="en-CA"/>
        </w:rPr>
        <w:t>activities</w:t>
      </w:r>
      <w:r w:rsidR="00D5205E" w:rsidRPr="008F0CCA">
        <w:rPr>
          <w:rFonts w:ascii="Calibri" w:eastAsia="Times New Roman" w:hAnsi="Calibri" w:cs="Calibri"/>
          <w:sz w:val="20"/>
          <w:szCs w:val="20"/>
          <w:lang w:val="en-CA"/>
        </w:rPr>
        <w:t xml:space="preserve"> (</w:t>
      </w:r>
      <w:r w:rsidR="00D5205E" w:rsidRPr="00A63E29">
        <w:rPr>
          <w:rFonts w:ascii="Calibri" w:eastAsia="Times New Roman" w:hAnsi="Calibri" w:cs="Calibri"/>
          <w:sz w:val="20"/>
          <w:szCs w:val="20"/>
          <w:lang w:val="en-CA"/>
        </w:rPr>
        <w:t xml:space="preserve">the </w:t>
      </w:r>
      <w:r w:rsidR="00D5205E" w:rsidRPr="00413D2B">
        <w:rPr>
          <w:rFonts w:ascii="Calibri" w:eastAsia="Times New Roman" w:hAnsi="Calibri" w:cs="Calibri"/>
          <w:sz w:val="20"/>
          <w:szCs w:val="20"/>
          <w:lang w:val="en-CA"/>
        </w:rPr>
        <w:t>evolving COVID</w:t>
      </w:r>
      <w:r w:rsidR="008F0CCA" w:rsidRPr="00413D2B">
        <w:rPr>
          <w:rFonts w:ascii="Calibri" w:eastAsia="Times New Roman" w:hAnsi="Calibri" w:cs="Calibri"/>
          <w:sz w:val="20"/>
          <w:szCs w:val="20"/>
          <w:lang w:val="en-CA"/>
        </w:rPr>
        <w:t xml:space="preserve"> 19</w:t>
      </w:r>
      <w:r w:rsidR="00D5205E" w:rsidRPr="00A63E29">
        <w:rPr>
          <w:rFonts w:ascii="Calibri" w:eastAsia="Times New Roman" w:hAnsi="Calibri" w:cs="Calibri"/>
          <w:sz w:val="20"/>
          <w:szCs w:val="20"/>
          <w:lang w:val="en-CA"/>
        </w:rPr>
        <w:t xml:space="preserve"> situation permitting</w:t>
      </w:r>
      <w:r w:rsidR="00D5205E" w:rsidRPr="008F0CCA">
        <w:rPr>
          <w:rFonts w:ascii="Calibri" w:eastAsia="Times New Roman" w:hAnsi="Calibri" w:cs="Calibri"/>
          <w:sz w:val="20"/>
          <w:szCs w:val="20"/>
          <w:lang w:val="en-CA"/>
        </w:rPr>
        <w:t>)</w:t>
      </w:r>
      <w:r w:rsidRPr="008F0CCA">
        <w:rPr>
          <w:rFonts w:ascii="Calibri" w:eastAsia="Times New Roman" w:hAnsi="Calibri" w:cs="Calibri"/>
          <w:sz w:val="20"/>
          <w:szCs w:val="20"/>
          <w:lang w:val="en-CA"/>
        </w:rPr>
        <w:t>.</w:t>
      </w:r>
      <w:r w:rsidRPr="008F0CCA">
        <w:rPr>
          <w:rFonts w:ascii="Calibri" w:eastAsia="Times New Roman" w:hAnsi="Calibri" w:cs="Calibri"/>
          <w:szCs w:val="20"/>
          <w:lang w:val="en-CA"/>
        </w:rPr>
        <w:t xml:space="preserve"> </w:t>
      </w:r>
      <w:r w:rsidRPr="008F0CCA">
        <w:rPr>
          <w:rFonts w:ascii="Calibri" w:hAnsi="Calibri" w:cs="Calibri"/>
          <w:sz w:val="20"/>
          <w:szCs w:val="20"/>
          <w:lang w:val="en-CA"/>
        </w:rPr>
        <w:t>T</w:t>
      </w:r>
      <w:r w:rsidRPr="00806024">
        <w:rPr>
          <w:rFonts w:ascii="Calibri" w:hAnsi="Calibri" w:cs="Calibri"/>
          <w:sz w:val="20"/>
          <w:szCs w:val="20"/>
          <w:lang w:val="en-CA"/>
        </w:rPr>
        <w:t>he information collected through the socio-economic surveys conducted in the 1</w:t>
      </w:r>
      <w:r w:rsidRPr="00806024">
        <w:rPr>
          <w:rFonts w:ascii="Calibri" w:hAnsi="Calibri" w:cs="Calibri"/>
          <w:sz w:val="20"/>
          <w:szCs w:val="20"/>
          <w:vertAlign w:val="superscript"/>
          <w:lang w:val="en-CA"/>
        </w:rPr>
        <w:t>st</w:t>
      </w:r>
      <w:r w:rsidRPr="00806024">
        <w:rPr>
          <w:rFonts w:ascii="Calibri" w:hAnsi="Calibri" w:cs="Calibri"/>
          <w:sz w:val="20"/>
          <w:szCs w:val="20"/>
          <w:lang w:val="en-CA"/>
        </w:rPr>
        <w:t xml:space="preserve"> year of the project will guide the development of targeted communication and awareness strategies and provide inputs into the development of audience appropriate knowledge materials. Communication materials from other relevant projects will be reviewed for possible use and/or adaptation in the development of communication materials for the PONASI project.</w:t>
      </w:r>
    </w:p>
    <w:p w14:paraId="120EDCE8" w14:textId="77777777" w:rsidR="00302BFE" w:rsidRPr="00806024" w:rsidRDefault="00302BFE" w:rsidP="00C46720">
      <w:pPr>
        <w:pStyle w:val="Paragraphedeliste"/>
        <w:numPr>
          <w:ilvl w:val="0"/>
          <w:numId w:val="14"/>
        </w:numPr>
        <w:tabs>
          <w:tab w:val="left" w:pos="284"/>
        </w:tabs>
        <w:spacing w:before="120" w:after="120"/>
        <w:ind w:left="0" w:firstLine="0"/>
        <w:jc w:val="both"/>
        <w:rPr>
          <w:rFonts w:ascii="Calibri" w:hAnsi="Calibri" w:cs="Calibri"/>
          <w:bCs/>
          <w:iCs/>
          <w:sz w:val="20"/>
          <w:szCs w:val="20"/>
          <w:lang w:val="en-CA"/>
        </w:rPr>
      </w:pPr>
      <w:r w:rsidRPr="00806024">
        <w:rPr>
          <w:rFonts w:ascii="Calibri" w:hAnsi="Calibri" w:cs="Calibri"/>
          <w:sz w:val="20"/>
          <w:szCs w:val="20"/>
          <w:lang w:val="en-CA"/>
        </w:rPr>
        <w:t xml:space="preserve">Community awareness campaigns will target women and men in the communes of the PONASI landscape and in the wide public in Burkina Faso, to raise awareness and to foster appropriation of the project proposals in the local communities. </w:t>
      </w:r>
      <w:r w:rsidRPr="00806024">
        <w:rPr>
          <w:rFonts w:ascii="Calibri" w:hAnsi="Calibri"/>
          <w:sz w:val="20"/>
          <w:szCs w:val="20"/>
          <w:lang w:val="en-CA"/>
        </w:rPr>
        <w:t xml:space="preserve">Media products for radio and television broadcasting will be developed, with the help of community groups and NGOs, to ensure their relevance to community stakeholders. In the PONASI area, radio is the most popular medium and the one that reaches the largest number of rural listeners. </w:t>
      </w:r>
      <w:r w:rsidRPr="00806024">
        <w:rPr>
          <w:rFonts w:ascii="Calibri" w:hAnsi="Calibri" w:cs="Calibri"/>
          <w:sz w:val="20"/>
          <w:szCs w:val="20"/>
          <w:lang w:val="en-CA"/>
        </w:rPr>
        <w:t xml:space="preserve">The messages will link the project activities to the community development and the aim of building sustainable communities including improving the livelihood and economic status of the communities directly or indirectly. </w:t>
      </w:r>
      <w:r w:rsidRPr="00806024">
        <w:rPr>
          <w:rFonts w:ascii="Calibri" w:hAnsi="Calibri"/>
          <w:sz w:val="20"/>
          <w:szCs w:val="20"/>
          <w:lang w:val="en-CA"/>
        </w:rPr>
        <w:t xml:space="preserve">This information will also be captured in printed forms, such as brochures and flyers in French and local languages, and short videos and documentaries in jargon-free language and using local expressions. All these products will serve to enhance community awareness and foster appropriation of the project proposals. </w:t>
      </w:r>
      <w:r w:rsidRPr="00806024">
        <w:rPr>
          <w:rFonts w:ascii="Calibri" w:hAnsi="Calibri" w:cs="Calibri"/>
          <w:color w:val="000000"/>
          <w:sz w:val="20"/>
          <w:szCs w:val="20"/>
          <w:lang w:val="en-CA"/>
        </w:rPr>
        <w:t xml:space="preserve">To foster widespread dissemination and adoption of good practices, the project will also support the organization of fairs, community-to-community visits and sharing of experiences and information on what works best for them, including lessons learned on appropriate approaches to </w:t>
      </w:r>
      <w:r w:rsidRPr="00806024">
        <w:rPr>
          <w:rFonts w:ascii="Calibri" w:hAnsi="Calibri"/>
          <w:bCs/>
          <w:iCs/>
          <w:sz w:val="20"/>
          <w:szCs w:val="20"/>
          <w:lang w:val="en-CA"/>
        </w:rPr>
        <w:t>ensure benefits reach women and vulnerable groups.</w:t>
      </w:r>
    </w:p>
    <w:p w14:paraId="5F3D71FE" w14:textId="77777777" w:rsidR="00302BFE" w:rsidRPr="00806024" w:rsidRDefault="00302BFE" w:rsidP="00C46720">
      <w:pPr>
        <w:pStyle w:val="Paragraphedeliste"/>
        <w:numPr>
          <w:ilvl w:val="0"/>
          <w:numId w:val="14"/>
        </w:numPr>
        <w:tabs>
          <w:tab w:val="left" w:pos="284"/>
        </w:tabs>
        <w:spacing w:before="120" w:after="120"/>
        <w:ind w:left="0" w:firstLine="0"/>
        <w:jc w:val="both"/>
        <w:rPr>
          <w:rFonts w:ascii="Calibri" w:hAnsi="Calibri" w:cs="Calibri"/>
          <w:bCs/>
          <w:iCs/>
          <w:sz w:val="20"/>
          <w:szCs w:val="20"/>
          <w:lang w:val="en-CA"/>
        </w:rPr>
      </w:pPr>
      <w:r w:rsidRPr="00806024">
        <w:rPr>
          <w:rFonts w:ascii="Calibri" w:eastAsia="Times New Roman" w:hAnsi="Calibri" w:cs="Calibri"/>
          <w:sz w:val="20"/>
          <w:szCs w:val="20"/>
          <w:lang w:val="en-CA"/>
        </w:rPr>
        <w:t>Knowledge products will include information specific for school-aged children on the importance of engaging in biodiversity conservation in Burkina Faso and in the PONASI landscape</w:t>
      </w:r>
      <w:r w:rsidRPr="00806024">
        <w:rPr>
          <w:rFonts w:ascii="Calibri" w:hAnsi="Calibri" w:cs="Calibri"/>
          <w:sz w:val="20"/>
          <w:szCs w:val="20"/>
          <w:lang w:val="en-CA"/>
        </w:rPr>
        <w:t>. The dissemination of these products will take place primarily in schools of local communities adjacent to the protected areas of the PONASI complex and could be linked to visits to protected areas.</w:t>
      </w:r>
    </w:p>
    <w:p w14:paraId="534B0293" w14:textId="208ED508" w:rsidR="00302BFE" w:rsidRPr="001D3D46" w:rsidRDefault="00302BFE" w:rsidP="00C46720">
      <w:pPr>
        <w:pStyle w:val="Paragraphedeliste"/>
        <w:numPr>
          <w:ilvl w:val="0"/>
          <w:numId w:val="14"/>
        </w:numPr>
        <w:tabs>
          <w:tab w:val="left" w:pos="284"/>
        </w:tabs>
        <w:spacing w:before="120" w:after="120"/>
        <w:ind w:left="0" w:firstLine="0"/>
        <w:jc w:val="both"/>
        <w:rPr>
          <w:rFonts w:ascii="Calibri" w:hAnsi="Calibri" w:cs="Calibri"/>
          <w:bCs/>
          <w:iCs/>
          <w:sz w:val="20"/>
          <w:szCs w:val="20"/>
          <w:lang w:val="en-CA"/>
        </w:rPr>
      </w:pPr>
      <w:r w:rsidRPr="00806024">
        <w:rPr>
          <w:rFonts w:ascii="Calibri" w:hAnsi="Calibri" w:cs="Calibri"/>
          <w:sz w:val="20"/>
          <w:szCs w:val="20"/>
          <w:lang w:val="en-CA"/>
        </w:rPr>
        <w:t xml:space="preserve">Information products will be developed by the posting of information on project activities through a Facebook page and a Web site for the project partners and the public in urban centers. </w:t>
      </w:r>
      <w:r w:rsidRPr="00806024">
        <w:rPr>
          <w:rFonts w:ascii="Calibri" w:hAnsi="Calibri"/>
          <w:sz w:val="20"/>
          <w:szCs w:val="20"/>
          <w:lang w:val="en-CA"/>
        </w:rPr>
        <w:t xml:space="preserve">Space will be sought on the </w:t>
      </w:r>
      <w:r>
        <w:rPr>
          <w:rFonts w:ascii="Calibri" w:hAnsi="Calibri"/>
          <w:sz w:val="20"/>
          <w:szCs w:val="20"/>
          <w:lang w:val="en-CA"/>
        </w:rPr>
        <w:t>MEGECC</w:t>
      </w:r>
      <w:r w:rsidRPr="00806024">
        <w:rPr>
          <w:rFonts w:ascii="Calibri" w:hAnsi="Calibri"/>
          <w:sz w:val="20"/>
          <w:szCs w:val="20"/>
          <w:lang w:val="en-CA"/>
        </w:rPr>
        <w:t xml:space="preserve"> website for the online storage and dissemination of thematic reports and case studies. A Facebook page dedicated to the project will be created and updated on an ongoing basis to disseminate information on the organization of activities, special events related to the environment and biodiversity, and to raise public and community awareness about issues addressed by the project. Community and/or NGOs will assist in sharing knowledge and lessons learned in coordination with the project Communication and Knowledge Management Expert.</w:t>
      </w:r>
    </w:p>
    <w:p w14:paraId="7BC441F8" w14:textId="2437F9B4" w:rsidR="00207001" w:rsidRPr="00413D2B" w:rsidRDefault="00BE0735" w:rsidP="00C46720">
      <w:pPr>
        <w:pStyle w:val="Paragraphedeliste"/>
        <w:numPr>
          <w:ilvl w:val="0"/>
          <w:numId w:val="14"/>
        </w:numPr>
        <w:tabs>
          <w:tab w:val="left" w:pos="284"/>
        </w:tabs>
        <w:spacing w:before="120" w:after="120"/>
        <w:ind w:left="0" w:firstLine="0"/>
        <w:rPr>
          <w:rFonts w:ascii="Calibri" w:hAnsi="Calibri"/>
          <w:sz w:val="20"/>
          <w:szCs w:val="20"/>
          <w:lang w:val="en-CA"/>
        </w:rPr>
      </w:pPr>
      <w:r w:rsidRPr="00413D2B">
        <w:rPr>
          <w:rFonts w:ascii="Calibri" w:hAnsi="Calibri"/>
          <w:sz w:val="20"/>
          <w:szCs w:val="20"/>
          <w:lang w:val="en-CA"/>
        </w:rPr>
        <w:t>Duration of the project</w:t>
      </w:r>
      <w:r w:rsidR="003759A1" w:rsidRPr="00413D2B">
        <w:rPr>
          <w:rFonts w:ascii="Calibri" w:hAnsi="Calibri"/>
          <w:sz w:val="20"/>
          <w:szCs w:val="20"/>
          <w:lang w:val="en-CA"/>
        </w:rPr>
        <w:t>: t</w:t>
      </w:r>
      <w:r w:rsidRPr="00413D2B">
        <w:rPr>
          <w:rFonts w:ascii="Calibri" w:hAnsi="Calibri"/>
          <w:sz w:val="20"/>
          <w:szCs w:val="20"/>
          <w:lang w:val="en-CA"/>
        </w:rPr>
        <w:t>he project is</w:t>
      </w:r>
      <w:r w:rsidR="0047331C" w:rsidRPr="00413D2B">
        <w:rPr>
          <w:rFonts w:ascii="Calibri" w:hAnsi="Calibri"/>
          <w:sz w:val="20"/>
          <w:szCs w:val="20"/>
          <w:lang w:val="en-CA"/>
        </w:rPr>
        <w:t xml:space="preserve"> scheduled to run for 6 years, from January 1, </w:t>
      </w:r>
      <w:proofErr w:type="gramStart"/>
      <w:r w:rsidR="0047331C" w:rsidRPr="00413D2B">
        <w:rPr>
          <w:rFonts w:ascii="Calibri" w:hAnsi="Calibri"/>
          <w:sz w:val="20"/>
          <w:szCs w:val="20"/>
          <w:lang w:val="en-CA"/>
        </w:rPr>
        <w:t>2023</w:t>
      </w:r>
      <w:proofErr w:type="gramEnd"/>
      <w:r w:rsidR="0047331C" w:rsidRPr="00413D2B">
        <w:rPr>
          <w:rFonts w:ascii="Calibri" w:hAnsi="Calibri"/>
          <w:sz w:val="20"/>
          <w:szCs w:val="20"/>
          <w:lang w:val="en-CA"/>
        </w:rPr>
        <w:t xml:space="preserve"> to December 31, 2028</w:t>
      </w:r>
      <w:r w:rsidR="0047331C" w:rsidRPr="00413D2B">
        <w:rPr>
          <w:rFonts w:ascii="Calibri" w:hAnsi="Calibri"/>
          <w:sz w:val="20"/>
          <w:szCs w:val="20"/>
          <w:lang w:val="en-CA"/>
        </w:rPr>
        <w:tab/>
      </w:r>
    </w:p>
    <w:p w14:paraId="4CCC048A" w14:textId="70272F18" w:rsidR="00BE0735" w:rsidRPr="00413D2B" w:rsidRDefault="0047331C" w:rsidP="00302BFE">
      <w:pPr>
        <w:spacing w:before="120" w:after="120"/>
        <w:jc w:val="left"/>
        <w:rPr>
          <w:szCs w:val="20"/>
          <w:lang w:val="en-CA"/>
        </w:rPr>
      </w:pPr>
      <w:r w:rsidRPr="00413D2B">
        <w:rPr>
          <w:rFonts w:ascii="Times New Roman" w:hAnsi="Times New Roman" w:cs="Calibri"/>
          <w:bCs/>
          <w:iCs/>
          <w:sz w:val="22"/>
          <w:szCs w:val="18"/>
          <w:lang w:val="en-CA"/>
        </w:rPr>
        <w:t xml:space="preserve">Project intervention </w:t>
      </w:r>
      <w:r w:rsidRPr="00413D2B">
        <w:rPr>
          <w:szCs w:val="20"/>
          <w:lang w:val="en-CA"/>
        </w:rPr>
        <w:t>area</w:t>
      </w:r>
      <w:r w:rsidR="003759A1" w:rsidRPr="00413D2B">
        <w:rPr>
          <w:szCs w:val="20"/>
          <w:lang w:val="en-CA"/>
        </w:rPr>
        <w:t xml:space="preserve">: </w:t>
      </w:r>
      <w:r w:rsidRPr="00413D2B">
        <w:rPr>
          <w:szCs w:val="20"/>
          <w:lang w:val="en-CA"/>
        </w:rPr>
        <w:t>The project will be implemented in the South Central, East Central and West Central regions and will cover state and community protected areas in the PONASI landscape.</w:t>
      </w:r>
    </w:p>
    <w:p w14:paraId="7FAEB16B" w14:textId="28BF4522" w:rsidR="00302BFE" w:rsidRPr="00413D2B" w:rsidRDefault="00302BFE" w:rsidP="00302BFE">
      <w:pPr>
        <w:spacing w:before="120" w:after="120"/>
        <w:jc w:val="left"/>
        <w:rPr>
          <w:i/>
          <w:szCs w:val="20"/>
        </w:rPr>
      </w:pPr>
      <w:r w:rsidRPr="00413D2B">
        <w:rPr>
          <w:szCs w:val="20"/>
          <w:u w:val="single"/>
        </w:rPr>
        <w:t>Partnerships</w:t>
      </w:r>
      <w:r w:rsidRPr="00413D2B">
        <w:rPr>
          <w:szCs w:val="20"/>
        </w:rPr>
        <w:t>:</w:t>
      </w:r>
    </w:p>
    <w:p w14:paraId="409FED58" w14:textId="626D2AAA" w:rsidR="00B0796A" w:rsidRPr="00413D2B" w:rsidRDefault="00F253A7"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413D2B">
        <w:rPr>
          <w:rFonts w:ascii="Calibri" w:hAnsi="Calibri" w:cs="Calibri"/>
          <w:sz w:val="20"/>
          <w:szCs w:val="20"/>
          <w:lang w:val="en-CA"/>
        </w:rPr>
        <w:t>The beneficiary of the project</w:t>
      </w:r>
    </w:p>
    <w:p w14:paraId="110A94B3" w14:textId="51A14A1F" w:rsidR="00B83A4A" w:rsidRPr="00413D2B" w:rsidRDefault="00066EBD" w:rsidP="00A63E29">
      <w:pPr>
        <w:pStyle w:val="Paragraphedeliste"/>
        <w:tabs>
          <w:tab w:val="left" w:pos="284"/>
        </w:tabs>
        <w:spacing w:before="120" w:after="120"/>
        <w:ind w:left="0"/>
        <w:jc w:val="both"/>
        <w:rPr>
          <w:rFonts w:ascii="Calibri" w:hAnsi="Calibri" w:cs="Calibri"/>
          <w:sz w:val="20"/>
          <w:szCs w:val="20"/>
          <w:lang w:val="en-CA"/>
        </w:rPr>
      </w:pPr>
      <w:r w:rsidRPr="00413D2B">
        <w:rPr>
          <w:rFonts w:ascii="Calibri" w:hAnsi="Calibri" w:cs="Calibri"/>
          <w:sz w:val="20"/>
          <w:szCs w:val="20"/>
          <w:lang w:val="en-CA"/>
        </w:rPr>
        <w:lastRenderedPageBreak/>
        <w:t>The direct beneficiaries of the project are the animal populations of the state and community protected areas in the PONASI landscape located in the South Central, East Central and West Central regions. The central and deconcentrated technical services as well as the local populations of these PAs constitute the indirect beneficiaries of this project.</w:t>
      </w:r>
    </w:p>
    <w:p w14:paraId="6BD944EA" w14:textId="748AF590" w:rsidR="00302BFE" w:rsidRPr="00413D2B"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831652">
        <w:rPr>
          <w:rFonts w:ascii="Calibri" w:hAnsi="Calibri" w:cs="Calibri"/>
          <w:sz w:val="20"/>
          <w:szCs w:val="20"/>
          <w:lang w:val="en-CA"/>
        </w:rPr>
        <w:t xml:space="preserve">The partnerships essential to the implementation of the project and the achievement of its development results are mainly those that the project will establish with the beneficiaries and stakeholders targeted by the interventions: (i) local communities, including populations of the villages adjacent to PAs and in the pilot sites located in the peripheral terroirs within the </w:t>
      </w:r>
      <w:r w:rsidRPr="00413D2B">
        <w:rPr>
          <w:rFonts w:ascii="Calibri" w:hAnsi="Calibri" w:cs="Calibri"/>
          <w:sz w:val="20"/>
          <w:szCs w:val="20"/>
          <w:lang w:val="en-CA"/>
        </w:rPr>
        <w:t>landscape</w:t>
      </w:r>
      <w:r w:rsidR="0002365A" w:rsidRPr="00413D2B">
        <w:rPr>
          <w:rFonts w:ascii="Calibri" w:hAnsi="Calibri" w:cs="Calibri"/>
          <w:sz w:val="20"/>
          <w:szCs w:val="20"/>
          <w:lang w:val="en-CA"/>
        </w:rPr>
        <w:t xml:space="preserve"> and including indigenous peoples or any vulnerable groups</w:t>
      </w:r>
      <w:r w:rsidRPr="00413D2B">
        <w:rPr>
          <w:rFonts w:ascii="Calibri" w:hAnsi="Calibri" w:cs="Calibri"/>
          <w:sz w:val="20"/>
          <w:szCs w:val="20"/>
          <w:lang w:val="en-CA"/>
        </w:rPr>
        <w:t xml:space="preserve">; (ii) local and regional authorities at regional and commune levels; (iii) State actors (ministries in charge of environment, agriculture and livestock) and their decentralized structures; (iv) civil society (producer associations, user groups, NGOs) and academic and scientific institutions; (v) and the private sector (hunting and tourism concessionaires, and </w:t>
      </w:r>
      <w:proofErr w:type="spellStart"/>
      <w:r w:rsidRPr="00413D2B">
        <w:rPr>
          <w:rFonts w:ascii="Calibri" w:hAnsi="Calibri" w:cs="Calibri"/>
          <w:sz w:val="20"/>
          <w:szCs w:val="20"/>
          <w:lang w:val="en-CA"/>
        </w:rPr>
        <w:t>agrobusinessmen</w:t>
      </w:r>
      <w:proofErr w:type="spellEnd"/>
      <w:r w:rsidRPr="00413D2B">
        <w:rPr>
          <w:rFonts w:ascii="Calibri" w:hAnsi="Calibri" w:cs="Calibri"/>
          <w:sz w:val="20"/>
          <w:szCs w:val="20"/>
          <w:lang w:val="en-CA"/>
        </w:rPr>
        <w:t>).</w:t>
      </w:r>
    </w:p>
    <w:p w14:paraId="11FB9285" w14:textId="1C58C82C" w:rsidR="006C2A67" w:rsidRPr="00413D2B" w:rsidRDefault="006C2A67" w:rsidP="00BE65D5">
      <w:pPr>
        <w:pStyle w:val="Paragraphedeliste"/>
        <w:tabs>
          <w:tab w:val="left" w:pos="284"/>
        </w:tabs>
        <w:spacing w:before="120" w:after="120"/>
        <w:ind w:left="0"/>
        <w:jc w:val="both"/>
        <w:rPr>
          <w:rFonts w:ascii="Calibri" w:hAnsi="Calibri" w:cs="Calibri"/>
          <w:sz w:val="20"/>
          <w:szCs w:val="20"/>
          <w:lang w:val="en-CA"/>
        </w:rPr>
      </w:pPr>
      <w:r w:rsidRPr="00413D2B">
        <w:rPr>
          <w:rFonts w:ascii="Calibri" w:hAnsi="Calibri" w:cs="Calibri"/>
          <w:sz w:val="20"/>
          <w:szCs w:val="20"/>
          <w:lang w:val="en-CA"/>
        </w:rPr>
        <w:t xml:space="preserve">The partnership process will be in line with the Comprehensive Stakeholder Engagement Plan, that will be developed by the first </w:t>
      </w:r>
      <w:r w:rsidR="00A11840" w:rsidRPr="00413D2B">
        <w:rPr>
          <w:rFonts w:ascii="Calibri" w:hAnsi="Calibri" w:cs="Calibri"/>
          <w:sz w:val="20"/>
          <w:szCs w:val="20"/>
          <w:lang w:val="en-CA"/>
        </w:rPr>
        <w:t xml:space="preserve">six </w:t>
      </w:r>
      <w:r w:rsidRPr="00413D2B">
        <w:rPr>
          <w:rFonts w:ascii="Calibri" w:hAnsi="Calibri" w:cs="Calibri"/>
          <w:sz w:val="20"/>
          <w:szCs w:val="20"/>
          <w:lang w:val="en-CA"/>
        </w:rPr>
        <w:t>months of the project.</w:t>
      </w:r>
    </w:p>
    <w:p w14:paraId="0935A658" w14:textId="17F5FAEE" w:rsidR="00302BFE" w:rsidRPr="002B255F"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bookmarkStart w:id="17" w:name="_Hlk8831341"/>
      <w:r w:rsidRPr="00413D2B">
        <w:rPr>
          <w:rFonts w:ascii="Calibri" w:hAnsi="Calibri" w:cs="Segoe UI"/>
          <w:color w:val="000000"/>
          <w:sz w:val="20"/>
          <w:szCs w:val="20"/>
        </w:rPr>
        <w:t xml:space="preserve">Under the component 1 (output 1.3), the PONASI project </w:t>
      </w:r>
      <w:r w:rsidR="00207C13" w:rsidRPr="00413D2B">
        <w:rPr>
          <w:rFonts w:ascii="Calibri" w:hAnsi="Calibri" w:cs="Segoe UI"/>
          <w:color w:val="000000"/>
          <w:sz w:val="20"/>
          <w:szCs w:val="20"/>
        </w:rPr>
        <w:t xml:space="preserve">was planned to </w:t>
      </w:r>
      <w:r w:rsidRPr="00413D2B">
        <w:rPr>
          <w:rFonts w:ascii="Calibri" w:hAnsi="Calibri" w:cs="Segoe UI"/>
          <w:color w:val="000000"/>
          <w:sz w:val="20"/>
          <w:szCs w:val="20"/>
        </w:rPr>
        <w:t>work in collaboration with the “Participatory Management of Classified Forests Project for REDD+”</w:t>
      </w:r>
      <w:r w:rsidR="00213C1A" w:rsidRPr="00413D2B">
        <w:rPr>
          <w:rFonts w:ascii="Calibri" w:hAnsi="Calibri" w:cs="Segoe UI"/>
          <w:color w:val="000000"/>
          <w:sz w:val="20"/>
          <w:szCs w:val="20"/>
        </w:rPr>
        <w:t xml:space="preserve"> </w:t>
      </w:r>
      <w:r w:rsidR="0047566F" w:rsidRPr="00413D2B">
        <w:rPr>
          <w:rFonts w:ascii="Calibri" w:hAnsi="Calibri" w:cs="Segoe UI"/>
          <w:color w:val="000000"/>
          <w:sz w:val="20"/>
          <w:szCs w:val="20"/>
        </w:rPr>
        <w:t>(currently in closure</w:t>
      </w:r>
      <w:r w:rsidR="00213C1A" w:rsidRPr="00413D2B">
        <w:rPr>
          <w:rFonts w:ascii="Calibri" w:hAnsi="Calibri" w:cs="Segoe UI"/>
          <w:color w:val="000000"/>
          <w:sz w:val="20"/>
          <w:szCs w:val="20"/>
        </w:rPr>
        <w:t>)</w:t>
      </w:r>
      <w:r w:rsidRPr="00413D2B">
        <w:rPr>
          <w:rFonts w:ascii="Calibri" w:hAnsi="Calibri" w:cs="Segoe UI"/>
          <w:color w:val="000000"/>
          <w:sz w:val="20"/>
          <w:szCs w:val="20"/>
        </w:rPr>
        <w:t xml:space="preserve"> funded by AfDB as part of the Forestry Investment Program for the implementation of the MRV approach and improvement of forest governance for REDD+, securing and managing classified forests, and setting up socio-economic infrastructures for the benefit of neighboring communes. This project </w:t>
      </w:r>
      <w:r w:rsidR="00FD17A6" w:rsidRPr="00413D2B">
        <w:rPr>
          <w:rFonts w:ascii="Calibri" w:hAnsi="Calibri" w:cs="Segoe UI"/>
          <w:color w:val="000000"/>
          <w:sz w:val="20"/>
          <w:szCs w:val="20"/>
        </w:rPr>
        <w:t xml:space="preserve">was </w:t>
      </w:r>
      <w:r w:rsidRPr="00413D2B">
        <w:rPr>
          <w:rFonts w:ascii="Calibri" w:hAnsi="Calibri" w:cs="Segoe UI"/>
          <w:color w:val="000000"/>
          <w:sz w:val="20"/>
          <w:szCs w:val="20"/>
        </w:rPr>
        <w:t>implemented in</w:t>
      </w:r>
      <w:r w:rsidRPr="002B255F">
        <w:rPr>
          <w:rFonts w:ascii="Calibri" w:hAnsi="Calibri" w:cs="Segoe UI"/>
          <w:color w:val="000000"/>
          <w:sz w:val="20"/>
          <w:szCs w:val="20"/>
        </w:rPr>
        <w:t xml:space="preserve"> 12 classified forests including in the </w:t>
      </w:r>
      <w:proofErr w:type="spellStart"/>
      <w:r w:rsidRPr="002B255F">
        <w:rPr>
          <w:rFonts w:ascii="Calibri" w:hAnsi="Calibri" w:cs="Segoe UI"/>
          <w:color w:val="000000"/>
          <w:sz w:val="20"/>
          <w:szCs w:val="20"/>
        </w:rPr>
        <w:t>Nazinon</w:t>
      </w:r>
      <w:proofErr w:type="spellEnd"/>
      <w:r w:rsidRPr="002B255F">
        <w:rPr>
          <w:rFonts w:ascii="Calibri" w:hAnsi="Calibri" w:cs="Segoe UI"/>
          <w:color w:val="000000"/>
          <w:sz w:val="20"/>
          <w:szCs w:val="20"/>
        </w:rPr>
        <w:t xml:space="preserve"> CF which is part of the PONASI landscape. The project will harmonize approaches and adopt tools and methodologies to implement the MRV approach throughout the PONASI landscape to integrate the national REDD+ strategy. The project is ending in 2019 but technical and financial partners have agreed to extend it beyond 2019 to allow for the development and implementation of operational plan of the national REDD+ strategy.</w:t>
      </w:r>
    </w:p>
    <w:p w14:paraId="6A3B2FA5"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cs="Segoe UI"/>
          <w:color w:val="000000"/>
          <w:sz w:val="20"/>
          <w:szCs w:val="20"/>
        </w:rPr>
      </w:pPr>
      <w:r w:rsidRPr="008D40A3">
        <w:rPr>
          <w:rFonts w:ascii="Calibri" w:hAnsi="Calibri" w:cs="Segoe UI"/>
          <w:color w:val="000000"/>
          <w:sz w:val="20"/>
          <w:szCs w:val="20"/>
        </w:rPr>
        <w:t xml:space="preserve">Under Component 3, for the establishment of a rapid diagnostic of land degradation in each pilot site and of the technical responses to implement SLM, the project will make the most of the detailed diagnostic presented in the Integrated Ecosystem Management Plan for the </w:t>
      </w:r>
      <w:r>
        <w:rPr>
          <w:rFonts w:ascii="Calibri" w:hAnsi="Calibri" w:cs="Segoe UI"/>
          <w:color w:val="000000"/>
          <w:sz w:val="20"/>
          <w:szCs w:val="20"/>
        </w:rPr>
        <w:t>r</w:t>
      </w:r>
      <w:r w:rsidRPr="008D40A3">
        <w:rPr>
          <w:rFonts w:ascii="Calibri" w:hAnsi="Calibri" w:cs="Segoe UI"/>
          <w:color w:val="000000"/>
          <w:sz w:val="20"/>
          <w:szCs w:val="20"/>
        </w:rPr>
        <w:t xml:space="preserve">iparian </w:t>
      </w:r>
      <w:r>
        <w:rPr>
          <w:rFonts w:ascii="Calibri" w:hAnsi="Calibri" w:cs="Segoe UI"/>
          <w:color w:val="000000"/>
          <w:sz w:val="20"/>
          <w:szCs w:val="20"/>
        </w:rPr>
        <w:t>c</w:t>
      </w:r>
      <w:r w:rsidRPr="008D40A3">
        <w:rPr>
          <w:rFonts w:ascii="Calibri" w:hAnsi="Calibri" w:cs="Segoe UI"/>
          <w:color w:val="000000"/>
          <w:sz w:val="20"/>
          <w:szCs w:val="20"/>
        </w:rPr>
        <w:t xml:space="preserve">ommunes of the PONASI </w:t>
      </w:r>
      <w:r>
        <w:rPr>
          <w:rFonts w:ascii="Calibri" w:hAnsi="Calibri" w:cs="Segoe UI"/>
          <w:color w:val="000000"/>
          <w:sz w:val="20"/>
          <w:szCs w:val="20"/>
        </w:rPr>
        <w:t>e</w:t>
      </w:r>
      <w:r w:rsidRPr="008D40A3">
        <w:rPr>
          <w:rFonts w:ascii="Calibri" w:hAnsi="Calibri" w:cs="Segoe UI"/>
          <w:color w:val="000000"/>
          <w:sz w:val="20"/>
          <w:szCs w:val="20"/>
        </w:rPr>
        <w:t xml:space="preserve">cological </w:t>
      </w:r>
      <w:r>
        <w:rPr>
          <w:rFonts w:ascii="Calibri" w:hAnsi="Calibri" w:cs="Segoe UI"/>
          <w:color w:val="000000"/>
          <w:sz w:val="20"/>
          <w:szCs w:val="20"/>
        </w:rPr>
        <w:t>c</w:t>
      </w:r>
      <w:r w:rsidRPr="008D40A3">
        <w:rPr>
          <w:rFonts w:ascii="Calibri" w:hAnsi="Calibri" w:cs="Segoe UI"/>
          <w:color w:val="000000"/>
          <w:sz w:val="20"/>
          <w:szCs w:val="20"/>
        </w:rPr>
        <w:t>omplex carried out in 2016 as part of the PNGT-2-3.</w:t>
      </w:r>
    </w:p>
    <w:p w14:paraId="7B9FB730" w14:textId="77777777" w:rsidR="00302BFE" w:rsidRPr="00A15B2D"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rPr>
      </w:pPr>
      <w:r w:rsidRPr="002F71E0">
        <w:rPr>
          <w:rFonts w:ascii="Calibri" w:hAnsi="Calibri" w:cs="Calibri"/>
          <w:sz w:val="20"/>
          <w:szCs w:val="20"/>
        </w:rPr>
        <w:t>For components 1 (Output 1.3) and 3 (Output 3.2), and especially in the communes of the South-Center, t</w:t>
      </w:r>
      <w:r w:rsidRPr="002F71E0">
        <w:rPr>
          <w:rFonts w:ascii="Calibri" w:hAnsi="Calibri" w:cs="Calibri"/>
          <w:sz w:val="20"/>
          <w:szCs w:val="20"/>
          <w:lang w:val="en-CA"/>
        </w:rPr>
        <w:t xml:space="preserve">he project will work in collaboration and build on the achievements of the 'Local Forest Resources Governance' project, including community awareness on forest governance and the strengthening of communes and communities in consensual forest management as well as related management tools (local conventions and community management plans) implemented by Tree Aid through funding from SIDA (Switzerland). </w:t>
      </w:r>
      <w:r w:rsidRPr="002F71E0">
        <w:rPr>
          <w:rFonts w:ascii="Calibri" w:hAnsi="Calibri" w:cs="Calibri"/>
          <w:sz w:val="20"/>
          <w:szCs w:val="20"/>
        </w:rPr>
        <w:t xml:space="preserve">Component 1 will benefit from the results of the 'Economic Growth Program in the Agricultural Sector' implemented by the Ministry of Agriculture and Water Resources Development and financed by DANIDA which will contribute to the capacity building of economic actors and to the optimizing the rural setting and the role of master work of local authorities. </w:t>
      </w:r>
      <w:r w:rsidRPr="00A15B2D">
        <w:rPr>
          <w:rFonts w:ascii="Calibri" w:hAnsi="Calibri" w:cs="Arial"/>
          <w:sz w:val="20"/>
          <w:szCs w:val="20"/>
        </w:rPr>
        <w:t xml:space="preserve">To support achievement of output 1.3, the project will also work with the “Forest Dependent Populations Support Project” implemented by IUCN Burkina Faso which is </w:t>
      </w:r>
      <w:r w:rsidRPr="00A15B2D">
        <w:rPr>
          <w:rFonts w:ascii="Calibri" w:hAnsi="Calibri"/>
          <w:color w:val="000000"/>
          <w:sz w:val="20"/>
          <w:szCs w:val="20"/>
        </w:rPr>
        <w:t>developing the capacity of local communities living around forests to enhance their participation in the REDD + process at the local level. Other initiatives as part of this project aim to develop forest knowledge and capacities of local actors for reducing deforestation and forest degradation and for reducing poverty of forest-dependent populations will contribute to the project outputs 3.1 and 3.2 related to improved forestry practices and livelihoods, and 4.2 related to knowledge on improved practices.</w:t>
      </w:r>
    </w:p>
    <w:p w14:paraId="39439C02" w14:textId="37E8D038" w:rsidR="00302BFE" w:rsidRPr="00CE3AEA"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rPr>
      </w:pPr>
      <w:r w:rsidRPr="00CE3AEA">
        <w:rPr>
          <w:rFonts w:ascii="Calibri" w:hAnsi="Calibri" w:cs="Calibri"/>
          <w:sz w:val="20"/>
          <w:szCs w:val="20"/>
        </w:rPr>
        <w:t xml:space="preserve">The project will collaborate with GA Mo </w:t>
      </w:r>
      <w:proofErr w:type="spellStart"/>
      <w:r w:rsidRPr="00CE3AEA">
        <w:rPr>
          <w:rFonts w:ascii="Calibri" w:hAnsi="Calibri" w:cs="Calibri"/>
          <w:sz w:val="20"/>
          <w:szCs w:val="20"/>
        </w:rPr>
        <w:t>Wiya</w:t>
      </w:r>
      <w:proofErr w:type="spellEnd"/>
      <w:r w:rsidRPr="00CE3AEA">
        <w:rPr>
          <w:rFonts w:ascii="Calibri" w:hAnsi="Calibri" w:cs="Calibri"/>
          <w:sz w:val="20"/>
          <w:szCs w:val="20"/>
        </w:rPr>
        <w:t xml:space="preserve"> Association which is building producers’ capacities on several themes related to climate change including GHG </w:t>
      </w:r>
      <w:r w:rsidRPr="00CE3AEA">
        <w:rPr>
          <w:rFonts w:ascii="Calibri" w:hAnsi="Calibri"/>
          <w:color w:val="000000"/>
          <w:sz w:val="20"/>
          <w:szCs w:val="20"/>
        </w:rPr>
        <w:t xml:space="preserve">surveys </w:t>
      </w:r>
      <w:r w:rsidRPr="00CE3AEA">
        <w:rPr>
          <w:rFonts w:ascii="Calibri" w:hAnsi="Calibri" w:cs="Calibri"/>
          <w:sz w:val="20"/>
          <w:szCs w:val="20"/>
        </w:rPr>
        <w:t xml:space="preserve">in the PONASI landscape and a </w:t>
      </w:r>
      <w:r w:rsidRPr="00CE3AEA">
        <w:rPr>
          <w:rFonts w:ascii="Calibri" w:hAnsi="Calibri"/>
          <w:color w:val="000000"/>
          <w:sz w:val="20"/>
          <w:szCs w:val="20"/>
        </w:rPr>
        <w:t xml:space="preserve">study of community perceptions and resilience to CC, </w:t>
      </w:r>
      <w:r w:rsidRPr="00CE3AEA">
        <w:rPr>
          <w:rFonts w:ascii="Calibri" w:hAnsi="Calibri" w:cs="Calibri"/>
          <w:sz w:val="20"/>
          <w:szCs w:val="20"/>
        </w:rPr>
        <w:t xml:space="preserve">which will contribute to output 1.3 aiming at estimating carbon stocks. As part of these interventions, this association is also providing </w:t>
      </w:r>
      <w:r w:rsidRPr="00CE3AEA">
        <w:rPr>
          <w:rFonts w:ascii="Calibri" w:hAnsi="Calibri"/>
          <w:color w:val="000000"/>
          <w:sz w:val="20"/>
          <w:szCs w:val="20"/>
        </w:rPr>
        <w:t xml:space="preserve">improved seeds, building capacity in SLM including compost production, and supporting restoration including the production of seedlings which will contribute to outputs 3.1 and 3.2 related to implementation of SLM practices by local communities and natural resource management in forest and pasture areas. Throughout these interventions, the association is promoting gender equity which will support the gender mainstreaming purpose under output 4.1. </w:t>
      </w:r>
      <w:r w:rsidR="00B44D35" w:rsidRPr="00CE3AEA">
        <w:rPr>
          <w:rFonts w:ascii="Calibri" w:hAnsi="Calibri"/>
          <w:color w:val="000000"/>
          <w:sz w:val="20"/>
          <w:szCs w:val="20"/>
        </w:rPr>
        <w:t>These interventions will be in line with the Gender Action Plan, developed as Safeguards mitigation measure.</w:t>
      </w:r>
    </w:p>
    <w:p w14:paraId="71C4BE08" w14:textId="77777777" w:rsidR="00302BFE" w:rsidRPr="00A15B2D"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rPr>
      </w:pPr>
      <w:r w:rsidRPr="00A15B2D">
        <w:rPr>
          <w:rFonts w:ascii="Calibri" w:hAnsi="Calibri" w:cs="Calibri"/>
          <w:sz w:val="20"/>
          <w:szCs w:val="20"/>
        </w:rPr>
        <w:t xml:space="preserve">Under Component 2, for achieving outputs 2.1 and 2.2, the project will work in close collaboration with the Association NATUDEV who is working to gazette the elephant Corridor #1 in the PONASI complex, through involving communities in its management and sustainable development, which is in line with the approach put forward by the project for the Corridor #2. This intervention aims to </w:t>
      </w:r>
      <w:r w:rsidRPr="00A15B2D">
        <w:rPr>
          <w:rFonts w:ascii="Calibri" w:hAnsi="Calibri"/>
          <w:color w:val="000000"/>
          <w:sz w:val="20"/>
          <w:szCs w:val="20"/>
        </w:rPr>
        <w:t>formalize the delegation of Corridor #1 management to local communities for their full participation in conservation, management and sharing of economic, environmental and social benefits and will build capacities of local authorities adjacent to corridor #1, achieve the delimitation and signaling of the perimeter road, develop a corridor management framework, implement assisted natural regeneration on the periphery of the corridor and support shea and beekeeping value chains for local communities, in line with activities planned under output 3.3.</w:t>
      </w:r>
    </w:p>
    <w:p w14:paraId="23BB39C9" w14:textId="77777777" w:rsidR="00302BFE" w:rsidRPr="00A15B2D"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rPr>
      </w:pPr>
      <w:r w:rsidRPr="00A15B2D">
        <w:rPr>
          <w:rFonts w:ascii="Calibri" w:hAnsi="Calibri" w:cs="Calibri"/>
          <w:sz w:val="20"/>
          <w:szCs w:val="20"/>
        </w:rPr>
        <w:t xml:space="preserve">The project will collaborate with NATURAMA Foundation who is implementing several projects, namely in and around the PNKT, “Shared resources and common solutions program for Burkina Faso”, “Building resilient landscapes and livelihoods in BF's shea </w:t>
      </w:r>
      <w:r w:rsidRPr="00A15B2D">
        <w:rPr>
          <w:rFonts w:ascii="Calibri" w:hAnsi="Calibri" w:cs="Calibri"/>
          <w:sz w:val="20"/>
          <w:szCs w:val="20"/>
        </w:rPr>
        <w:lastRenderedPageBreak/>
        <w:t>parklands”, “Monitoring the success of bird management interventions in shea parks in the BF”. These projects include various interventions that will benefit the PONASI project such as collecting and sharing knowledge on carbon stocks (in line with output 1.3), developing sustainable management of agroforestry parks for PNKT riparian villages, improving habitat, pollination and livelihoods, training of producers, training on certification of shea butter (that can be used to contribute to output 3.3), and collecting and archiving data on birds and habitats which will contribute to output 2.2 to produce identification tools for biodiversity monitoring.</w:t>
      </w:r>
    </w:p>
    <w:p w14:paraId="60A497AE" w14:textId="6AE22B98" w:rsidR="00302BFE"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rPr>
      </w:pPr>
      <w:r>
        <w:rPr>
          <w:rFonts w:ascii="Calibri" w:hAnsi="Calibri" w:cs="Calibri"/>
          <w:sz w:val="20"/>
          <w:szCs w:val="20"/>
        </w:rPr>
        <w:t>Under Component 3, the project will build from interventions under the project “</w:t>
      </w:r>
      <w:r w:rsidRPr="0087426C">
        <w:rPr>
          <w:rFonts w:ascii="Calibri" w:hAnsi="Calibri" w:cs="Arial"/>
          <w:sz w:val="20"/>
          <w:szCs w:val="20"/>
        </w:rPr>
        <w:t>Local governance of forest resources</w:t>
      </w:r>
      <w:r>
        <w:rPr>
          <w:rFonts w:ascii="Calibri" w:hAnsi="Calibri" w:cs="Arial"/>
          <w:sz w:val="20"/>
          <w:szCs w:val="20"/>
        </w:rPr>
        <w:t>”</w:t>
      </w:r>
      <w:r>
        <w:rPr>
          <w:rFonts w:ascii="Calibri" w:hAnsi="Calibri" w:cs="Calibri"/>
          <w:sz w:val="20"/>
          <w:szCs w:val="20"/>
        </w:rPr>
        <w:t xml:space="preserve"> conducted by the NGO Tree Aid for raising a</w:t>
      </w:r>
      <w:r w:rsidRPr="0087426C">
        <w:rPr>
          <w:rFonts w:ascii="Calibri" w:hAnsi="Calibri" w:cs="Calibri"/>
          <w:sz w:val="20"/>
          <w:szCs w:val="20"/>
        </w:rPr>
        <w:t>wareness of local communities on forest governance and poverty reduction, develop</w:t>
      </w:r>
      <w:r>
        <w:rPr>
          <w:rFonts w:ascii="Calibri" w:hAnsi="Calibri" w:cs="Calibri"/>
          <w:sz w:val="20"/>
          <w:szCs w:val="20"/>
        </w:rPr>
        <w:t>ing</w:t>
      </w:r>
      <w:r w:rsidRPr="0087426C">
        <w:rPr>
          <w:rFonts w:ascii="Calibri" w:hAnsi="Calibri" w:cs="Calibri"/>
          <w:sz w:val="20"/>
          <w:szCs w:val="20"/>
        </w:rPr>
        <w:t xml:space="preserve"> </w:t>
      </w:r>
      <w:r w:rsidRPr="00CE3AEA">
        <w:rPr>
          <w:rFonts w:ascii="Calibri" w:hAnsi="Calibri" w:cs="Calibri"/>
          <w:sz w:val="20"/>
          <w:szCs w:val="20"/>
        </w:rPr>
        <w:t xml:space="preserve">capacities of communes and communities in forest management, developing of tools for sustainable and consensual management of forest resources (outputs 3.1, 3.2). </w:t>
      </w:r>
      <w:r w:rsidR="00554FA7" w:rsidRPr="00CE3AEA">
        <w:rPr>
          <w:rFonts w:ascii="Calibri" w:hAnsi="Calibri" w:cs="Calibri"/>
          <w:sz w:val="20"/>
          <w:szCs w:val="20"/>
        </w:rPr>
        <w:t xml:space="preserve">These interventions will ensure the analysis of the local </w:t>
      </w:r>
      <w:r w:rsidR="00003F71" w:rsidRPr="00CE3AEA">
        <w:rPr>
          <w:rFonts w:ascii="Calibri" w:hAnsi="Calibri" w:cs="Calibri"/>
          <w:sz w:val="20"/>
          <w:szCs w:val="20"/>
        </w:rPr>
        <w:t>socio-cultural</w:t>
      </w:r>
      <w:r w:rsidR="00554FA7" w:rsidRPr="00CE3AEA">
        <w:rPr>
          <w:rFonts w:ascii="Calibri" w:hAnsi="Calibri" w:cs="Calibri"/>
          <w:sz w:val="20"/>
          <w:szCs w:val="20"/>
        </w:rPr>
        <w:t xml:space="preserve"> context and the involvement of Indigenous Peoples present in the areas, in line with the Indigenous Peoples Plan that will be developed during the first year of the project. </w:t>
      </w:r>
      <w:r w:rsidRPr="00CE3AEA">
        <w:rPr>
          <w:rFonts w:ascii="Calibri" w:hAnsi="Calibri" w:cs="Calibri"/>
          <w:sz w:val="20"/>
          <w:szCs w:val="20"/>
        </w:rPr>
        <w:t xml:space="preserve">The project will adapt management tools for pastoral areas, conflict mitigation, and management of degraded pastures (output 3.2) and will benefit from enhanced capacities of devolved technical services (output 3.2) as part of projects implemented under the Ministry of Animal and Fisheries Resources (Sahel Regional Support Project for Pastoralism, Livestock Development Support Project in Burkina Faso, Support for the </w:t>
      </w:r>
      <w:proofErr w:type="spellStart"/>
      <w:r w:rsidRPr="00CE3AEA">
        <w:rPr>
          <w:rFonts w:ascii="Calibri" w:hAnsi="Calibri" w:cs="Calibri"/>
          <w:sz w:val="20"/>
          <w:szCs w:val="20"/>
        </w:rPr>
        <w:t>Valorisation</w:t>
      </w:r>
      <w:proofErr w:type="spellEnd"/>
      <w:r w:rsidRPr="00CE3AEA">
        <w:rPr>
          <w:rFonts w:ascii="Calibri" w:hAnsi="Calibri" w:cs="Calibri"/>
          <w:sz w:val="20"/>
          <w:szCs w:val="20"/>
        </w:rPr>
        <w:t xml:space="preserve"> of NTFP-2).</w:t>
      </w:r>
      <w:r w:rsidR="00003F71" w:rsidRPr="00CE3AEA">
        <w:rPr>
          <w:rFonts w:ascii="Calibri" w:hAnsi="Calibri" w:cs="Calibri"/>
          <w:sz w:val="20"/>
          <w:szCs w:val="20"/>
        </w:rPr>
        <w:t xml:space="preserve"> Regarding conflict mitigation interventions, they will take into consideration the findings of the Conflict Analysis and Assessment that will be developed as part of the ESIA (Environmental and Social Impact Assessment).</w:t>
      </w:r>
      <w:r w:rsidRPr="00CE3AEA">
        <w:rPr>
          <w:rFonts w:ascii="Calibri" w:hAnsi="Calibri" w:cs="Calibri"/>
          <w:sz w:val="20"/>
          <w:szCs w:val="20"/>
        </w:rPr>
        <w:t xml:space="preserve"> The projects </w:t>
      </w:r>
      <w:r w:rsidR="00272CB2" w:rsidRPr="00CE3AEA">
        <w:rPr>
          <w:rFonts w:ascii="Calibri" w:hAnsi="Calibri" w:cs="Calibri"/>
          <w:sz w:val="20"/>
          <w:szCs w:val="20"/>
        </w:rPr>
        <w:t>indicated</w:t>
      </w:r>
      <w:r w:rsidR="00272CB2">
        <w:rPr>
          <w:rFonts w:ascii="Calibri" w:hAnsi="Calibri" w:cs="Calibri"/>
          <w:sz w:val="20"/>
          <w:szCs w:val="20"/>
        </w:rPr>
        <w:t xml:space="preserve"> above </w:t>
      </w:r>
      <w:r>
        <w:rPr>
          <w:rFonts w:ascii="Calibri" w:hAnsi="Calibri" w:cs="Calibri"/>
          <w:sz w:val="20"/>
          <w:szCs w:val="20"/>
        </w:rPr>
        <w:t>also contribute to the d</w:t>
      </w:r>
      <w:r w:rsidRPr="0087426C">
        <w:rPr>
          <w:rFonts w:ascii="Calibri" w:hAnsi="Calibri" w:cs="Calibri"/>
          <w:sz w:val="20"/>
          <w:szCs w:val="20"/>
        </w:rPr>
        <w:t xml:space="preserve">evelopment of legislative, </w:t>
      </w:r>
      <w:proofErr w:type="gramStart"/>
      <w:r w:rsidRPr="0087426C">
        <w:rPr>
          <w:rFonts w:ascii="Calibri" w:hAnsi="Calibri" w:cs="Calibri"/>
          <w:sz w:val="20"/>
          <w:szCs w:val="20"/>
        </w:rPr>
        <w:t>regulatory</w:t>
      </w:r>
      <w:proofErr w:type="gramEnd"/>
      <w:r w:rsidRPr="0087426C">
        <w:rPr>
          <w:rFonts w:ascii="Calibri" w:hAnsi="Calibri" w:cs="Calibri"/>
          <w:sz w:val="20"/>
          <w:szCs w:val="20"/>
        </w:rPr>
        <w:t xml:space="preserve"> and institutional frameworks </w:t>
      </w:r>
      <w:r>
        <w:rPr>
          <w:rFonts w:ascii="Calibri" w:hAnsi="Calibri" w:cs="Calibri"/>
          <w:sz w:val="20"/>
          <w:szCs w:val="20"/>
        </w:rPr>
        <w:t>to enable</w:t>
      </w:r>
      <w:r w:rsidRPr="0087426C">
        <w:rPr>
          <w:rFonts w:ascii="Calibri" w:hAnsi="Calibri" w:cs="Calibri"/>
          <w:sz w:val="20"/>
          <w:szCs w:val="20"/>
        </w:rPr>
        <w:t xml:space="preserve"> the sustainable management of natural resources and the development of value chains related to NTFPs (outputs 3.2, 3.3)</w:t>
      </w:r>
      <w:r>
        <w:rPr>
          <w:rFonts w:ascii="Calibri" w:hAnsi="Calibri" w:cs="Calibri"/>
          <w:sz w:val="20"/>
          <w:szCs w:val="20"/>
        </w:rPr>
        <w:t xml:space="preserve">. For the development of NTFP value chains (output 3.3), the project will work in collaboration and learn from interventions implemented by the </w:t>
      </w:r>
      <w:r w:rsidRPr="00690605">
        <w:rPr>
          <w:rFonts w:ascii="Calibri" w:hAnsi="Calibri" w:cs="Arial"/>
          <w:sz w:val="20"/>
          <w:szCs w:val="20"/>
        </w:rPr>
        <w:t>Ministry of Agriculture and Hydraulic Installations</w:t>
      </w:r>
      <w:r>
        <w:rPr>
          <w:rFonts w:ascii="Calibri" w:hAnsi="Calibri" w:cs="Arial"/>
          <w:sz w:val="20"/>
          <w:szCs w:val="20"/>
        </w:rPr>
        <w:t>, “</w:t>
      </w:r>
      <w:r w:rsidRPr="00690605">
        <w:rPr>
          <w:rFonts w:ascii="Calibri" w:hAnsi="Calibri" w:cs="Arial"/>
          <w:sz w:val="20"/>
          <w:szCs w:val="20"/>
          <w:lang w:val="en-CA"/>
        </w:rPr>
        <w:t>Agricultural Productivity and Food Security Improvement Project</w:t>
      </w:r>
      <w:r w:rsidRPr="00690605">
        <w:rPr>
          <w:rFonts w:ascii="Calibri" w:hAnsi="Calibri" w:cs="Calibri"/>
          <w:sz w:val="20"/>
          <w:szCs w:val="20"/>
        </w:rPr>
        <w:t>” which is developing technologies</w:t>
      </w:r>
      <w:r w:rsidRPr="00690605">
        <w:rPr>
          <w:rFonts w:ascii="Calibri" w:hAnsi="Calibri"/>
          <w:color w:val="000000"/>
          <w:sz w:val="20"/>
          <w:szCs w:val="20"/>
        </w:rPr>
        <w:t xml:space="preserve"> for NTFP valorization and IGA development for local communities neighboring PNKT and </w:t>
      </w:r>
      <w:proofErr w:type="spellStart"/>
      <w:r w:rsidRPr="00690605">
        <w:rPr>
          <w:rFonts w:ascii="Calibri" w:hAnsi="Calibri"/>
          <w:color w:val="000000"/>
          <w:sz w:val="20"/>
          <w:szCs w:val="20"/>
        </w:rPr>
        <w:t>Nazinga</w:t>
      </w:r>
      <w:proofErr w:type="spellEnd"/>
      <w:r w:rsidRPr="00690605">
        <w:rPr>
          <w:rFonts w:ascii="Calibri" w:hAnsi="Calibri"/>
          <w:color w:val="000000"/>
          <w:sz w:val="20"/>
          <w:szCs w:val="20"/>
        </w:rPr>
        <w:t xml:space="preserve"> PAs (output 3.3)</w:t>
      </w:r>
      <w:r>
        <w:rPr>
          <w:rFonts w:ascii="Calibri" w:hAnsi="Calibri"/>
          <w:color w:val="000000"/>
          <w:sz w:val="20"/>
          <w:szCs w:val="20"/>
        </w:rPr>
        <w:t xml:space="preserve">. This project has also made contributions to </w:t>
      </w:r>
      <w:r w:rsidRPr="00690605">
        <w:rPr>
          <w:rFonts w:ascii="Calibri" w:hAnsi="Calibri"/>
          <w:color w:val="000000"/>
          <w:sz w:val="20"/>
          <w:szCs w:val="20"/>
        </w:rPr>
        <w:t xml:space="preserve">update management and development plans for PNKT and </w:t>
      </w:r>
      <w:proofErr w:type="spellStart"/>
      <w:r w:rsidRPr="00690605">
        <w:rPr>
          <w:rFonts w:ascii="Calibri" w:hAnsi="Calibri"/>
          <w:color w:val="000000"/>
          <w:sz w:val="20"/>
          <w:szCs w:val="20"/>
        </w:rPr>
        <w:t>Nazinga</w:t>
      </w:r>
      <w:proofErr w:type="spellEnd"/>
      <w:r w:rsidRPr="00690605">
        <w:rPr>
          <w:rFonts w:ascii="Calibri" w:hAnsi="Calibri"/>
          <w:color w:val="000000"/>
          <w:sz w:val="20"/>
          <w:szCs w:val="20"/>
        </w:rPr>
        <w:t xml:space="preserve"> PAs </w:t>
      </w:r>
      <w:r>
        <w:rPr>
          <w:rFonts w:ascii="Calibri" w:hAnsi="Calibri"/>
          <w:color w:val="000000"/>
          <w:sz w:val="20"/>
          <w:szCs w:val="20"/>
        </w:rPr>
        <w:t xml:space="preserve">which the project will integrate for activities under </w:t>
      </w:r>
      <w:r w:rsidRPr="00690605">
        <w:rPr>
          <w:rFonts w:ascii="Calibri" w:hAnsi="Calibri"/>
          <w:color w:val="000000"/>
          <w:sz w:val="20"/>
          <w:szCs w:val="20"/>
        </w:rPr>
        <w:t>output 2.2</w:t>
      </w:r>
      <w:r>
        <w:rPr>
          <w:rFonts w:ascii="Calibri" w:hAnsi="Calibri"/>
          <w:color w:val="000000"/>
          <w:sz w:val="20"/>
          <w:szCs w:val="20"/>
        </w:rPr>
        <w:t>.</w:t>
      </w:r>
    </w:p>
    <w:bookmarkEnd w:id="17"/>
    <w:p w14:paraId="274C6639" w14:textId="43B80429" w:rsidR="00EF289E" w:rsidRPr="00CE3AEA"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E61001">
        <w:rPr>
          <w:rFonts w:ascii="Calibri" w:hAnsi="Calibri"/>
          <w:sz w:val="20"/>
          <w:szCs w:val="20"/>
          <w:u w:val="single"/>
        </w:rPr>
        <w:t>Risks and Assumptions.</w:t>
      </w:r>
      <w:r w:rsidRPr="00E61001">
        <w:rPr>
          <w:rFonts w:ascii="Calibri" w:hAnsi="Calibri" w:cs="Calibri"/>
          <w:sz w:val="20"/>
          <w:szCs w:val="20"/>
          <w:lang w:val="en-CA"/>
        </w:rPr>
        <w:t xml:space="preserve"> </w:t>
      </w:r>
      <w:r w:rsidRPr="00AE277D">
        <w:rPr>
          <w:rFonts w:ascii="Calibri" w:hAnsi="Calibri" w:cs="Calibri"/>
          <w:sz w:val="20"/>
          <w:szCs w:val="20"/>
          <w:lang w:val="en-CA"/>
        </w:rPr>
        <w:t xml:space="preserve">As per standard UNDP requirements, </w:t>
      </w:r>
      <w:r w:rsidRPr="00CE3AEA">
        <w:rPr>
          <w:rFonts w:ascii="Calibri" w:hAnsi="Calibri" w:cs="Calibri"/>
          <w:sz w:val="20"/>
          <w:szCs w:val="20"/>
          <w:lang w:val="en-CA"/>
        </w:rPr>
        <w:t xml:space="preserve">the Project </w:t>
      </w:r>
      <w:r w:rsidR="00320AF9" w:rsidRPr="00CE3AEA">
        <w:rPr>
          <w:rFonts w:ascii="Calibri" w:hAnsi="Calibri" w:cs="Calibri"/>
          <w:sz w:val="20"/>
          <w:szCs w:val="20"/>
          <w:lang w:val="en-CA"/>
        </w:rPr>
        <w:t xml:space="preserve">Coordinator </w:t>
      </w:r>
      <w:r w:rsidRPr="00CE3AEA">
        <w:rPr>
          <w:rFonts w:ascii="Calibri" w:hAnsi="Calibri" w:cs="Calibri"/>
          <w:sz w:val="20"/>
          <w:szCs w:val="20"/>
          <w:lang w:val="en-CA"/>
        </w:rPr>
        <w:t xml:space="preserve">will monitor risks quarterly and report on the status of risks to the UNDP Country Office. The UNDP Country Office will record progress in the UNDP ATLAS risk log. </w:t>
      </w:r>
      <w:r w:rsidR="004F6F9D" w:rsidRPr="00CE3AEA">
        <w:rPr>
          <w:rFonts w:ascii="Calibri" w:hAnsi="Calibri" w:cs="Calibri"/>
          <w:sz w:val="20"/>
          <w:szCs w:val="20"/>
          <w:lang w:val="en-CA"/>
        </w:rPr>
        <w:t xml:space="preserve">The ATLAS risk log has been updated in October 2022, based on the updated SESP (Social and Environmental Screening Procedure). </w:t>
      </w:r>
      <w:r w:rsidRPr="00CE3AEA">
        <w:rPr>
          <w:rFonts w:ascii="Calibri" w:hAnsi="Calibri" w:cs="Calibri"/>
          <w:sz w:val="20"/>
          <w:szCs w:val="20"/>
          <w:lang w:val="en-CA"/>
        </w:rPr>
        <w:t xml:space="preserve">Risks will be reported as critical when the impact and probability are high (i.e., when impact is rated as 5, and when impact is rated as 4 and probability is rated at 3 or higher). Management responses to critical risks will also be reported to the GEF in the annual PIR. </w:t>
      </w:r>
    </w:p>
    <w:p w14:paraId="0584683F" w14:textId="13160D31" w:rsidR="00EF289E" w:rsidRPr="00EF289E" w:rsidRDefault="00EF289E" w:rsidP="00BE65D5">
      <w:pPr>
        <w:pStyle w:val="Paragraphedeliste"/>
        <w:tabs>
          <w:tab w:val="left" w:pos="284"/>
        </w:tabs>
        <w:spacing w:before="120" w:after="120"/>
        <w:ind w:left="0"/>
        <w:jc w:val="both"/>
        <w:rPr>
          <w:rFonts w:ascii="Calibri" w:hAnsi="Calibri" w:cs="Calibri"/>
          <w:sz w:val="20"/>
          <w:szCs w:val="20"/>
          <w:lang w:val="en-CA"/>
        </w:rPr>
      </w:pPr>
      <w:r w:rsidRPr="00CE3AEA">
        <w:rPr>
          <w:rFonts w:ascii="Calibri" w:hAnsi="Calibri"/>
          <w:sz w:val="20"/>
          <w:szCs w:val="20"/>
          <w:u w:val="single"/>
        </w:rPr>
        <w:t>Considering the updated SES, the social and environmental risks are rated as Low, Moderate, Substantial and High, based on the analysis of Impact and Likelihood.</w:t>
      </w:r>
      <w:r w:rsidRPr="00CE3AEA">
        <w:rPr>
          <w:rFonts w:ascii="Calibri" w:hAnsi="Calibri" w:cs="Calibri"/>
          <w:sz w:val="20"/>
          <w:szCs w:val="20"/>
          <w:lang w:val="en-CA"/>
        </w:rPr>
        <w:t xml:space="preserve"> </w:t>
      </w:r>
      <w:r w:rsidRPr="00CE3AEA">
        <w:rPr>
          <w:rFonts w:ascii="Calibri" w:hAnsi="Calibri"/>
          <w:sz w:val="20"/>
          <w:szCs w:val="20"/>
          <w:u w:val="single"/>
        </w:rPr>
        <w:t>Social and environmental risks are reported as critical when the rate is Substantial or High.</w:t>
      </w:r>
      <w:r>
        <w:rPr>
          <w:rFonts w:ascii="Calibri" w:hAnsi="Calibri"/>
          <w:sz w:val="20"/>
          <w:szCs w:val="20"/>
          <w:u w:val="single"/>
        </w:rPr>
        <w:t xml:space="preserve"> </w:t>
      </w:r>
    </w:p>
    <w:p w14:paraId="4D360AF9" w14:textId="77777777" w:rsidR="00302BFE" w:rsidRPr="00CF512D"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CF512D">
        <w:rPr>
          <w:rFonts w:ascii="Calibri" w:hAnsi="Calibri" w:cs="Calibri"/>
          <w:sz w:val="20"/>
          <w:szCs w:val="20"/>
          <w:lang w:val="en-CA"/>
        </w:rPr>
        <w:t xml:space="preserve">Key project </w:t>
      </w:r>
      <w:r w:rsidRPr="00CF512D">
        <w:rPr>
          <w:rFonts w:ascii="Calibri" w:hAnsi="Calibri" w:cs="Calibri"/>
          <w:b/>
          <w:sz w:val="20"/>
          <w:szCs w:val="20"/>
          <w:lang w:val="en-CA"/>
        </w:rPr>
        <w:t>assumptions</w:t>
      </w:r>
      <w:r w:rsidRPr="00CF512D">
        <w:rPr>
          <w:rFonts w:ascii="Calibri" w:hAnsi="Calibri" w:cs="Calibri"/>
          <w:sz w:val="20"/>
          <w:szCs w:val="20"/>
          <w:lang w:val="en-CA"/>
        </w:rPr>
        <w:t xml:space="preserve"> are as follows: a) </w:t>
      </w:r>
      <w:r w:rsidRPr="00CF512D">
        <w:rPr>
          <w:rFonts w:ascii="Calibri" w:hAnsi="Calibri"/>
          <w:sz w:val="20"/>
          <w:szCs w:val="20"/>
          <w:u w:val="single"/>
          <w:lang w:val="en-CA"/>
        </w:rPr>
        <w:t>Values, perceptions, attitudes</w:t>
      </w:r>
      <w:r w:rsidRPr="00CF512D">
        <w:rPr>
          <w:rFonts w:ascii="Calibri" w:hAnsi="Calibri"/>
          <w:sz w:val="20"/>
          <w:szCs w:val="20"/>
          <w:lang w:val="en-CA"/>
        </w:rPr>
        <w:t>. The preservation of biodiversity and ecosystem services is a priority for regional authorities and local governments who agree to participate in the planning of land and resource use within the landscape and to mobilize the necessary co-financing for its implementation</w:t>
      </w:r>
      <w:r w:rsidRPr="00CF512D">
        <w:rPr>
          <w:rFonts w:ascii="Calibri" w:hAnsi="Calibri" w:cs="Calibri"/>
          <w:sz w:val="20"/>
          <w:szCs w:val="20"/>
          <w:lang w:val="en-CA"/>
        </w:rPr>
        <w:t xml:space="preserve">; </w:t>
      </w:r>
      <w:r w:rsidRPr="00CF512D">
        <w:rPr>
          <w:rFonts w:ascii="Calibri" w:hAnsi="Calibri"/>
          <w:bCs/>
          <w:sz w:val="20"/>
          <w:szCs w:val="20"/>
          <w:lang w:val="en-CA"/>
        </w:rPr>
        <w:t xml:space="preserve">Enhanced awareness of environmental degradation trends and their impact, as well as strengthened capacities and institutional framework, lead to increased adoption of sustainable land and natural resource management practices and their effective implementation; </w:t>
      </w:r>
      <w:r w:rsidRPr="00CF512D">
        <w:rPr>
          <w:rFonts w:ascii="Calibri" w:hAnsi="Calibri"/>
          <w:sz w:val="20"/>
          <w:szCs w:val="20"/>
          <w:lang w:val="en-CA"/>
        </w:rPr>
        <w:t xml:space="preserve">PA stakeholders (local populations and authorities, OFINAP, DGEF, technical services, private concessionaires) commit to the objective of improving PA management and to adopting a collaborative approach; Men and women in local communities are willing to adapt their practices and to adopt improved and more sustainable production schemes. </w:t>
      </w:r>
      <w:r w:rsidRPr="00CF512D">
        <w:rPr>
          <w:rFonts w:ascii="Calibri" w:hAnsi="Calibri" w:cs="Calibri"/>
          <w:sz w:val="20"/>
          <w:szCs w:val="20"/>
          <w:lang w:val="en-CA"/>
        </w:rPr>
        <w:t xml:space="preserve">b) </w:t>
      </w:r>
      <w:r w:rsidRPr="00CF512D">
        <w:rPr>
          <w:rFonts w:ascii="Calibri" w:hAnsi="Calibri"/>
          <w:sz w:val="20"/>
          <w:szCs w:val="20"/>
          <w:u w:val="single"/>
          <w:lang w:val="en-CA"/>
        </w:rPr>
        <w:t>Governance</w:t>
      </w:r>
      <w:r w:rsidRPr="00CF512D">
        <w:rPr>
          <w:rFonts w:ascii="Calibri" w:hAnsi="Calibri"/>
          <w:sz w:val="20"/>
          <w:szCs w:val="20"/>
          <w:lang w:val="en-CA"/>
        </w:rPr>
        <w:t>. Central Government effectively transfers resources for natural resource management to regional and commune-level communities (</w:t>
      </w:r>
      <w:proofErr w:type="spellStart"/>
      <w:r w:rsidRPr="00CF512D">
        <w:rPr>
          <w:rFonts w:ascii="Calibri" w:hAnsi="Calibri"/>
          <w:i/>
          <w:sz w:val="20"/>
          <w:szCs w:val="20"/>
          <w:lang w:val="en-CA"/>
        </w:rPr>
        <w:t>collectivités</w:t>
      </w:r>
      <w:proofErr w:type="spellEnd"/>
      <w:r w:rsidRPr="00CF512D">
        <w:rPr>
          <w:rFonts w:ascii="Calibri" w:hAnsi="Calibri"/>
          <w:sz w:val="20"/>
          <w:szCs w:val="20"/>
          <w:lang w:val="en-CA"/>
        </w:rPr>
        <w:t xml:space="preserve">). </w:t>
      </w:r>
      <w:r w:rsidRPr="00CF512D">
        <w:rPr>
          <w:rFonts w:ascii="Calibri" w:hAnsi="Calibri" w:cs="Calibri"/>
          <w:sz w:val="20"/>
          <w:szCs w:val="20"/>
          <w:lang w:val="en-CA"/>
        </w:rPr>
        <w:t xml:space="preserve">c) </w:t>
      </w:r>
      <w:r w:rsidRPr="00CF512D">
        <w:rPr>
          <w:rFonts w:ascii="Calibri" w:hAnsi="Calibri"/>
          <w:sz w:val="20"/>
          <w:szCs w:val="20"/>
          <w:u w:val="single"/>
          <w:lang w:val="en-CA"/>
        </w:rPr>
        <w:t>Institutional capacities</w:t>
      </w:r>
      <w:r w:rsidRPr="00CF512D">
        <w:rPr>
          <w:rFonts w:ascii="Calibri" w:hAnsi="Calibri"/>
          <w:sz w:val="20"/>
          <w:szCs w:val="20"/>
          <w:lang w:val="en-CA"/>
        </w:rPr>
        <w:t xml:space="preserve">. Regional and communal authorities have adequate capacities to mobilize the resources necessary to implement the landscape management plan and its prescriptions. The Government allocates adequate resources (staff and operational budget) to ensure the effective management of all State PAs in the PONASI landscape. </w:t>
      </w:r>
      <w:r w:rsidRPr="00CF512D">
        <w:rPr>
          <w:rFonts w:ascii="Calibri" w:hAnsi="Calibri" w:cs="Calibri"/>
          <w:sz w:val="20"/>
          <w:szCs w:val="20"/>
          <w:lang w:val="en-CA"/>
        </w:rPr>
        <w:t xml:space="preserve">d) </w:t>
      </w:r>
      <w:r w:rsidRPr="00CF512D">
        <w:rPr>
          <w:rFonts w:ascii="Calibri" w:hAnsi="Calibri"/>
          <w:sz w:val="20"/>
          <w:szCs w:val="20"/>
          <w:u w:val="single"/>
          <w:lang w:val="en-CA"/>
        </w:rPr>
        <w:t>Legislative</w:t>
      </w:r>
      <w:r w:rsidRPr="00CF512D">
        <w:rPr>
          <w:rFonts w:ascii="Calibri" w:hAnsi="Calibri"/>
          <w:sz w:val="20"/>
          <w:szCs w:val="20"/>
          <w:lang w:val="en-CA"/>
        </w:rPr>
        <w:t xml:space="preserve">. The revision of the texts related to the distribution of income generated by the management of natural resources is complete and effective. </w:t>
      </w:r>
      <w:proofErr w:type="gramStart"/>
      <w:r w:rsidRPr="00CF512D">
        <w:rPr>
          <w:rFonts w:ascii="Calibri" w:hAnsi="Calibri"/>
          <w:sz w:val="20"/>
          <w:szCs w:val="20"/>
          <w:lang w:val="en-CA"/>
        </w:rPr>
        <w:t>Poachers</w:t>
      </w:r>
      <w:proofErr w:type="gramEnd"/>
      <w:r w:rsidRPr="00CF512D">
        <w:rPr>
          <w:rFonts w:ascii="Calibri" w:hAnsi="Calibri"/>
          <w:sz w:val="20"/>
          <w:szCs w:val="20"/>
          <w:lang w:val="en-CA"/>
        </w:rPr>
        <w:t xml:space="preserve"> arrests are followed by appropriate legal action and prosecution as provided for in the law, to serve as an effective disincentive to poaching. e) </w:t>
      </w:r>
      <w:proofErr w:type="gramStart"/>
      <w:r w:rsidRPr="00CF512D">
        <w:rPr>
          <w:rFonts w:ascii="Calibri" w:hAnsi="Calibri"/>
          <w:sz w:val="20"/>
          <w:szCs w:val="20"/>
          <w:u w:val="single"/>
          <w:lang w:val="en-CA"/>
        </w:rPr>
        <w:t>Financial</w:t>
      </w:r>
      <w:proofErr w:type="gramEnd"/>
      <w:r w:rsidRPr="00CF512D">
        <w:rPr>
          <w:rFonts w:ascii="Calibri" w:hAnsi="Calibri"/>
          <w:sz w:val="20"/>
          <w:szCs w:val="20"/>
          <w:u w:val="single"/>
          <w:lang w:val="en-CA"/>
        </w:rPr>
        <w:t xml:space="preserve"> resources</w:t>
      </w:r>
      <w:r w:rsidRPr="00CF512D">
        <w:rPr>
          <w:rFonts w:ascii="Calibri" w:hAnsi="Calibri"/>
          <w:sz w:val="20"/>
          <w:szCs w:val="20"/>
          <w:lang w:val="en-CA"/>
        </w:rPr>
        <w:t xml:space="preserve">. Effective mobilization of co-financing to ensure the implementation of the master landscape management plan. f) </w:t>
      </w:r>
      <w:r w:rsidRPr="00CF512D">
        <w:rPr>
          <w:rFonts w:ascii="Calibri" w:hAnsi="Calibri"/>
          <w:bCs/>
          <w:sz w:val="20"/>
          <w:szCs w:val="20"/>
          <w:u w:val="single"/>
          <w:lang w:val="en-CA"/>
        </w:rPr>
        <w:t>Social</w:t>
      </w:r>
      <w:r w:rsidRPr="00CF512D">
        <w:rPr>
          <w:rFonts w:ascii="Calibri" w:hAnsi="Calibri"/>
          <w:bCs/>
          <w:sz w:val="20"/>
          <w:szCs w:val="20"/>
          <w:lang w:val="en-CA"/>
        </w:rPr>
        <w:t xml:space="preserve">. Ongoing efforts by the Government and its partners have significantly reduced the encroachment of Corridor # 1 by agricultural and pastoral activities and thus ensure security for elephant movement. g) </w:t>
      </w:r>
      <w:r w:rsidRPr="00CF512D">
        <w:rPr>
          <w:rFonts w:ascii="Calibri" w:hAnsi="Calibri"/>
          <w:sz w:val="20"/>
          <w:szCs w:val="20"/>
          <w:u w:val="single"/>
          <w:lang w:val="en-CA"/>
        </w:rPr>
        <w:t>Gender</w:t>
      </w:r>
      <w:r w:rsidRPr="00CF512D">
        <w:rPr>
          <w:rFonts w:ascii="Calibri" w:hAnsi="Calibri"/>
          <w:sz w:val="20"/>
          <w:szCs w:val="20"/>
          <w:lang w:val="en-CA"/>
        </w:rPr>
        <w:t xml:space="preserve">. Each structure represented in the </w:t>
      </w:r>
      <w:r w:rsidRPr="00831652">
        <w:rPr>
          <w:rFonts w:ascii="Calibri" w:hAnsi="Calibri"/>
          <w:sz w:val="20"/>
          <w:szCs w:val="20"/>
          <w:lang w:val="en-CA"/>
        </w:rPr>
        <w:t>landscape</w:t>
      </w:r>
      <w:r>
        <w:rPr>
          <w:rFonts w:ascii="Calibri" w:hAnsi="Calibri"/>
          <w:sz w:val="20"/>
          <w:szCs w:val="20"/>
          <w:lang w:val="en-CA"/>
        </w:rPr>
        <w:t xml:space="preserve"> </w:t>
      </w:r>
      <w:r w:rsidRPr="00CF512D">
        <w:rPr>
          <w:rFonts w:ascii="Calibri" w:hAnsi="Calibri"/>
          <w:sz w:val="20"/>
          <w:szCs w:val="20"/>
          <w:lang w:val="en-CA"/>
        </w:rPr>
        <w:t>consultation framework encourages the participation of women in the consultation framework for the integrated management of the PONASI landscape and has the possibility of proposing one or more women.</w:t>
      </w:r>
    </w:p>
    <w:p w14:paraId="0DF17DA3" w14:textId="4250F9A2" w:rsidR="00BD2CF6" w:rsidRPr="00CE3AEA" w:rsidRDefault="00302BFE" w:rsidP="00C46720">
      <w:pPr>
        <w:pStyle w:val="Paragraphedeliste"/>
        <w:numPr>
          <w:ilvl w:val="0"/>
          <w:numId w:val="14"/>
        </w:numPr>
        <w:tabs>
          <w:tab w:val="left" w:pos="284"/>
        </w:tabs>
        <w:spacing w:before="120" w:after="120"/>
        <w:ind w:left="0" w:firstLine="0"/>
        <w:jc w:val="both"/>
        <w:rPr>
          <w:rFonts w:asciiTheme="minorHAnsi" w:hAnsiTheme="minorHAnsi" w:cstheme="minorHAnsi"/>
          <w:sz w:val="18"/>
          <w:szCs w:val="18"/>
        </w:rPr>
      </w:pPr>
      <w:r w:rsidRPr="00CE3AEA">
        <w:rPr>
          <w:rFonts w:ascii="Calibri" w:hAnsi="Calibri" w:cs="Segoe UI"/>
          <w:color w:val="000000"/>
          <w:sz w:val="20"/>
          <w:szCs w:val="20"/>
        </w:rPr>
        <w:t xml:space="preserve">Key project </w:t>
      </w:r>
      <w:r w:rsidRPr="00CE3AEA">
        <w:rPr>
          <w:rFonts w:ascii="Calibri" w:hAnsi="Calibri" w:cs="Segoe UI"/>
          <w:b/>
          <w:color w:val="000000"/>
          <w:sz w:val="20"/>
          <w:szCs w:val="20"/>
        </w:rPr>
        <w:t>risks</w:t>
      </w:r>
      <w:r w:rsidRPr="00CE3AEA">
        <w:rPr>
          <w:rFonts w:ascii="Calibri" w:hAnsi="Calibri" w:cs="Segoe UI"/>
          <w:color w:val="000000"/>
          <w:sz w:val="20"/>
          <w:szCs w:val="20"/>
        </w:rPr>
        <w:t xml:space="preserve"> and related mitigation measures are presented in the following table</w:t>
      </w:r>
      <w:r w:rsidR="00FD31BB" w:rsidRPr="00CE3AEA">
        <w:rPr>
          <w:rFonts w:ascii="Calibri" w:hAnsi="Calibri" w:cs="Segoe UI"/>
          <w:color w:val="000000"/>
          <w:sz w:val="20"/>
          <w:szCs w:val="20"/>
        </w:rPr>
        <w:t>, updated in October 2022</w:t>
      </w:r>
      <w:r w:rsidRPr="00CE3AEA">
        <w:rPr>
          <w:rFonts w:ascii="Calibri" w:hAnsi="Calibri" w:cs="Segoe UI"/>
          <w:color w:val="000000"/>
          <w:sz w:val="20"/>
          <w:szCs w:val="20"/>
        </w:rPr>
        <w:t xml:space="preserve">. Given these risks, the security situation in the country, insufficient capacity on several levels, and the nature of the project involving enforcement, the project </w:t>
      </w:r>
      <w:proofErr w:type="gramStart"/>
      <w:r w:rsidRPr="00CE3AEA">
        <w:rPr>
          <w:rFonts w:ascii="Calibri" w:hAnsi="Calibri" w:cs="Segoe UI"/>
          <w:color w:val="000000"/>
          <w:sz w:val="20"/>
          <w:szCs w:val="20"/>
        </w:rPr>
        <w:t>is considered to be</w:t>
      </w:r>
      <w:proofErr w:type="gramEnd"/>
      <w:r w:rsidRPr="00CE3AEA">
        <w:rPr>
          <w:rFonts w:ascii="Calibri" w:hAnsi="Calibri" w:cs="Segoe UI"/>
          <w:color w:val="000000"/>
          <w:sz w:val="20"/>
          <w:szCs w:val="20"/>
        </w:rPr>
        <w:t xml:space="preserve"> high risk. </w:t>
      </w:r>
      <w:r w:rsidR="00BD2CF6" w:rsidRPr="00CE3AEA">
        <w:rPr>
          <w:rFonts w:ascii="Calibri" w:hAnsi="Calibri" w:cs="Segoe UI"/>
          <w:color w:val="000000"/>
          <w:sz w:val="20"/>
          <w:szCs w:val="20"/>
        </w:rPr>
        <w:t xml:space="preserve">Based on the SES and the updated SESP, the project is rated as Substantial. </w:t>
      </w:r>
      <w:r w:rsidRPr="00CE3AEA">
        <w:rPr>
          <w:rFonts w:ascii="Calibri" w:hAnsi="Calibri" w:cs="Segoe UI"/>
          <w:color w:val="000000"/>
          <w:sz w:val="20"/>
          <w:szCs w:val="20"/>
        </w:rPr>
        <w:t>Such a situation requires</w:t>
      </w:r>
      <w:r w:rsidR="00BD2CF6" w:rsidRPr="00CE3AEA">
        <w:rPr>
          <w:rFonts w:ascii="Calibri" w:hAnsi="Calibri" w:cs="Segoe UI"/>
          <w:color w:val="000000"/>
          <w:sz w:val="20"/>
          <w:szCs w:val="20"/>
        </w:rPr>
        <w:t xml:space="preserve"> the following Assessments and the related Management plans: </w:t>
      </w:r>
      <w:r w:rsidR="00BD2CF6" w:rsidRPr="00CE3AEA">
        <w:rPr>
          <w:rFonts w:asciiTheme="minorHAnsi" w:hAnsiTheme="minorHAnsi" w:cstheme="minorHAnsi"/>
          <w:sz w:val="20"/>
          <w:szCs w:val="20"/>
        </w:rPr>
        <w:t>the following have been prepared: (1) Environmental and Social Management Framework (ESMF), including an Indigenous Peoples Planning Framework (IPPF); (2) Stakeholder Engagement Plan; (3) Gender Analysis and Gender Action Plan. To mitigate the identified risks: An ESIA (Environmental and Social Impact Assessment) will be developed within the first 6 months of the project. Including a</w:t>
      </w:r>
      <w:r w:rsidR="005979FD" w:rsidRPr="00CE3AEA">
        <w:rPr>
          <w:rFonts w:asciiTheme="minorHAnsi" w:hAnsiTheme="minorHAnsi" w:cstheme="minorHAnsi"/>
          <w:sz w:val="20"/>
          <w:szCs w:val="20"/>
        </w:rPr>
        <w:t>n</w:t>
      </w:r>
      <w:r w:rsidR="00BD2CF6" w:rsidRPr="00CE3AEA">
        <w:rPr>
          <w:rFonts w:asciiTheme="minorHAnsi" w:hAnsiTheme="minorHAnsi" w:cstheme="minorHAnsi"/>
          <w:sz w:val="20"/>
          <w:szCs w:val="20"/>
        </w:rPr>
        <w:t xml:space="preserve"> Economic Displacement Risk Assessment and a </w:t>
      </w:r>
      <w:r w:rsidR="00BD2CF6" w:rsidRPr="00CE3AEA">
        <w:rPr>
          <w:rFonts w:asciiTheme="minorHAnsi" w:hAnsiTheme="minorHAnsi" w:cstheme="minorHAnsi"/>
          <w:sz w:val="20"/>
          <w:szCs w:val="20"/>
        </w:rPr>
        <w:lastRenderedPageBreak/>
        <w:t xml:space="preserve">Conflict Analysis and Assessment, based on an Environmental and Social Baseline Analysis that will enhance the knowledge of the local context. The information collected through the baseline analysis will be included in the Stakeholder Analysis, as part of the Comprehensive Stakeholder Engagement Plan. Th Stakeholder analysis will be developed during the first 6 months of the project, starting from the Stakeholder List/Engagement Plan attached to the </w:t>
      </w:r>
      <w:proofErr w:type="spellStart"/>
      <w:r w:rsidR="00BD2CF6" w:rsidRPr="00CE3AEA">
        <w:rPr>
          <w:rFonts w:asciiTheme="minorHAnsi" w:hAnsiTheme="minorHAnsi" w:cstheme="minorHAnsi"/>
          <w:sz w:val="20"/>
          <w:szCs w:val="20"/>
        </w:rPr>
        <w:t>ProDoc</w:t>
      </w:r>
      <w:proofErr w:type="spellEnd"/>
      <w:r w:rsidR="00BD2CF6" w:rsidRPr="00CE3AEA">
        <w:rPr>
          <w:rFonts w:asciiTheme="minorHAnsi" w:hAnsiTheme="minorHAnsi" w:cstheme="minorHAnsi"/>
          <w:sz w:val="20"/>
          <w:szCs w:val="20"/>
        </w:rPr>
        <w:t xml:space="preserve">. The policies and models management framework level will be assessed following the SESA process, that will be developed by the first 6 months of the project. The SESA will focus on the following outcomes and outputs: Outcome 3.3; Outputs 1.1, 1.4, 1.5, 2.2, 2.3, 3.2, 3.4, 4.2. A Comprehensive Stakeholder Engagement Plan will be developed by the first 6 months of the project, including the Stakeholder Analysis. An ESMP (Environmental and Social Management Plan) will be developed by the first year of project implementation, including the Livelihood Action Plan, if needed. An Indigenous Peoples Plan will be developed by the first year of the project, ensuring the involvement and engagement, including the FPIC process, of any indigenous </w:t>
      </w:r>
      <w:proofErr w:type="gramStart"/>
      <w:r w:rsidR="00BD2CF6" w:rsidRPr="00CE3AEA">
        <w:rPr>
          <w:rFonts w:asciiTheme="minorHAnsi" w:hAnsiTheme="minorHAnsi" w:cstheme="minorHAnsi"/>
          <w:sz w:val="20"/>
          <w:szCs w:val="20"/>
        </w:rPr>
        <w:t>peoples</w:t>
      </w:r>
      <w:proofErr w:type="gramEnd"/>
      <w:r w:rsidR="00BD2CF6" w:rsidRPr="00CE3AEA">
        <w:rPr>
          <w:rFonts w:asciiTheme="minorHAnsi" w:hAnsiTheme="minorHAnsi" w:cstheme="minorHAnsi"/>
          <w:sz w:val="20"/>
          <w:szCs w:val="20"/>
        </w:rPr>
        <w:t xml:space="preserve"> groups, tribes or ethnic minorities who can be consulted. A Grievance Redress Mechanism (GRM) will be developed by the first 3 months of the project. This mechanism will ensure stakeholder (including indigenous peoples and/or minorities) can have access to a feedback mechanism ensuring their meaningful participation to project activities.</w:t>
      </w:r>
      <w:r w:rsidR="00C30523" w:rsidRPr="00CE3AEA">
        <w:rPr>
          <w:rFonts w:asciiTheme="minorHAnsi" w:hAnsiTheme="minorHAnsi" w:cstheme="minorHAnsi"/>
          <w:sz w:val="20"/>
          <w:szCs w:val="20"/>
        </w:rPr>
        <w:t xml:space="preserve"> </w:t>
      </w:r>
      <w:r w:rsidR="00BD2CF6" w:rsidRPr="00CE3AEA">
        <w:rPr>
          <w:rFonts w:asciiTheme="minorHAnsi" w:hAnsiTheme="minorHAnsi" w:cstheme="minorHAnsi"/>
          <w:sz w:val="20"/>
          <w:szCs w:val="20"/>
        </w:rPr>
        <w:t>The SESA findings will be included in an Action Matrix.</w:t>
      </w:r>
    </w:p>
    <w:p w14:paraId="2D4FC4E1" w14:textId="15D7CA86" w:rsidR="00302BFE" w:rsidRPr="007263B4" w:rsidRDefault="007D0B29" w:rsidP="00755BF9">
      <w:pPr>
        <w:pStyle w:val="Paragraphedeliste"/>
        <w:tabs>
          <w:tab w:val="left" w:pos="284"/>
        </w:tabs>
        <w:spacing w:before="120" w:after="120"/>
        <w:ind w:left="0"/>
        <w:jc w:val="both"/>
        <w:rPr>
          <w:rFonts w:ascii="Calibri" w:hAnsi="Calibri" w:cs="Segoe UI"/>
          <w:color w:val="000000"/>
          <w:sz w:val="20"/>
          <w:szCs w:val="20"/>
        </w:rPr>
      </w:pPr>
      <w:r w:rsidRPr="00A63E29">
        <w:rPr>
          <w:rFonts w:ascii="Calibri" w:hAnsi="Calibri" w:cs="Calibri"/>
          <w:sz w:val="20"/>
          <w:szCs w:val="20"/>
          <w:lang w:val="en-CA"/>
        </w:rPr>
        <w:t>Key risks related to the COVID crisis are addressed at the end of this section.</w:t>
      </w:r>
    </w:p>
    <w:p w14:paraId="6840BE15" w14:textId="32837EE1" w:rsidR="00302BFE" w:rsidRPr="00893DD1" w:rsidRDefault="00302BFE" w:rsidP="00C46720">
      <w:pPr>
        <w:pStyle w:val="Paragraphedeliste"/>
        <w:numPr>
          <w:ilvl w:val="0"/>
          <w:numId w:val="14"/>
        </w:numPr>
        <w:tabs>
          <w:tab w:val="left" w:pos="284"/>
        </w:tabs>
        <w:spacing w:before="120" w:after="120"/>
        <w:ind w:left="0" w:firstLine="0"/>
        <w:jc w:val="both"/>
        <w:rPr>
          <w:rFonts w:ascii="Calibri" w:hAnsi="Calibri" w:cs="Segoe UI"/>
          <w:color w:val="000000"/>
          <w:sz w:val="20"/>
          <w:szCs w:val="20"/>
        </w:rPr>
      </w:pPr>
      <w:r w:rsidRPr="00893DD1">
        <w:rPr>
          <w:rFonts w:ascii="Calibri" w:hAnsi="Calibri"/>
          <w:sz w:val="20"/>
          <w:szCs w:val="20"/>
        </w:rPr>
        <w:t xml:space="preserve">The SES require that all UNDP projects consider the potential environmental and social opportunities that a project may generate and ensure that adverse social and environmental risks and impacts are avoided, minimized, </w:t>
      </w:r>
      <w:proofErr w:type="gramStart"/>
      <w:r w:rsidRPr="00893DD1">
        <w:rPr>
          <w:rFonts w:ascii="Calibri" w:hAnsi="Calibri"/>
          <w:sz w:val="20"/>
          <w:szCs w:val="20"/>
        </w:rPr>
        <w:t>mitigated</w:t>
      </w:r>
      <w:proofErr w:type="gramEnd"/>
      <w:r w:rsidRPr="00893DD1">
        <w:rPr>
          <w:rFonts w:ascii="Calibri" w:hAnsi="Calibri"/>
          <w:sz w:val="20"/>
          <w:szCs w:val="20"/>
        </w:rPr>
        <w:t xml:space="preserve"> and managed. </w:t>
      </w:r>
      <w:r w:rsidRPr="00893DD1">
        <w:rPr>
          <w:rFonts w:ascii="Calibri" w:hAnsi="Calibri"/>
          <w:sz w:val="20"/>
          <w:szCs w:val="20"/>
          <w:lang w:val="en-CA"/>
        </w:rPr>
        <w:t xml:space="preserve">The overall objective of the ESMP is to assist in minimizing the impacts to the environment and the surrounding communities and reach a set of environmental and social objectives. The ESMP ensures that the environmental and social objectives of the projects are met through monitoring </w:t>
      </w:r>
      <w:proofErr w:type="gramStart"/>
      <w:r w:rsidRPr="00893DD1">
        <w:rPr>
          <w:rFonts w:ascii="Calibri" w:hAnsi="Calibri"/>
          <w:sz w:val="20"/>
          <w:szCs w:val="20"/>
          <w:lang w:val="en-CA"/>
        </w:rPr>
        <w:t>in order to</w:t>
      </w:r>
      <w:proofErr w:type="gramEnd"/>
      <w:r w:rsidRPr="00893DD1">
        <w:rPr>
          <w:rFonts w:ascii="Calibri" w:hAnsi="Calibri"/>
          <w:sz w:val="20"/>
          <w:szCs w:val="20"/>
          <w:lang w:val="en-CA"/>
        </w:rPr>
        <w:t xml:space="preserve"> avoid or mitigate adverse effects on the environment.</w:t>
      </w:r>
    </w:p>
    <w:p w14:paraId="16C91D5F" w14:textId="711296AE" w:rsidR="00302BFE" w:rsidRPr="00755BF9" w:rsidRDefault="00302BFE" w:rsidP="00C46720">
      <w:pPr>
        <w:pStyle w:val="Paragraphedeliste"/>
        <w:numPr>
          <w:ilvl w:val="0"/>
          <w:numId w:val="14"/>
        </w:numPr>
        <w:tabs>
          <w:tab w:val="left" w:pos="284"/>
        </w:tabs>
        <w:spacing w:before="120" w:after="120"/>
        <w:ind w:left="0" w:firstLine="0"/>
        <w:jc w:val="both"/>
        <w:rPr>
          <w:rFonts w:ascii="Calibri" w:hAnsi="Calibri" w:cs="Segoe UI"/>
          <w:color w:val="000000"/>
          <w:sz w:val="20"/>
          <w:szCs w:val="20"/>
        </w:rPr>
      </w:pPr>
      <w:r w:rsidRPr="00893DD1">
        <w:rPr>
          <w:rFonts w:ascii="Calibri" w:hAnsi="Calibri"/>
          <w:sz w:val="20"/>
          <w:szCs w:val="20"/>
        </w:rPr>
        <w:t>The ESMP will cover all activities to be implemented by the PONASI landscape project and likely to affect the social and environmental elements of the landscape, according to indications provided in the Project Document, including, but not limited to: formalizing the creation of a wildlife corridor, strengthening capacities for monitoring and surveillance in protected areas through training and equipment for eco-guards and rangers, building infrastructure for the Kaboré-</w:t>
      </w:r>
      <w:proofErr w:type="spellStart"/>
      <w:r w:rsidRPr="00893DD1">
        <w:rPr>
          <w:rFonts w:ascii="Calibri" w:hAnsi="Calibri"/>
          <w:sz w:val="20"/>
          <w:szCs w:val="20"/>
        </w:rPr>
        <w:t>Tambi</w:t>
      </w:r>
      <w:proofErr w:type="spellEnd"/>
      <w:r w:rsidRPr="00893DD1">
        <w:rPr>
          <w:rFonts w:ascii="Calibri" w:hAnsi="Calibri"/>
          <w:sz w:val="20"/>
          <w:szCs w:val="20"/>
        </w:rPr>
        <w:t xml:space="preserve"> National Park (PNKT) and observation platforms in PNKT, </w:t>
      </w:r>
      <w:proofErr w:type="spellStart"/>
      <w:r w:rsidRPr="00893DD1">
        <w:rPr>
          <w:rFonts w:ascii="Calibri" w:hAnsi="Calibri"/>
          <w:sz w:val="20"/>
          <w:szCs w:val="20"/>
        </w:rPr>
        <w:t>Sissili</w:t>
      </w:r>
      <w:proofErr w:type="spellEnd"/>
      <w:r w:rsidRPr="00893DD1">
        <w:rPr>
          <w:rFonts w:ascii="Calibri" w:hAnsi="Calibri"/>
          <w:sz w:val="20"/>
          <w:szCs w:val="20"/>
        </w:rPr>
        <w:t xml:space="preserve"> CF and </w:t>
      </w:r>
      <w:proofErr w:type="spellStart"/>
      <w:r w:rsidRPr="00893DD1">
        <w:rPr>
          <w:rFonts w:ascii="Calibri" w:hAnsi="Calibri"/>
          <w:sz w:val="20"/>
          <w:szCs w:val="20"/>
        </w:rPr>
        <w:t>Nazinga</w:t>
      </w:r>
      <w:proofErr w:type="spellEnd"/>
      <w:r w:rsidRPr="00893DD1">
        <w:rPr>
          <w:rFonts w:ascii="Calibri" w:hAnsi="Calibri"/>
          <w:sz w:val="20"/>
          <w:szCs w:val="20"/>
        </w:rPr>
        <w:t xml:space="preserve"> Game Ranch, maintenance of firebreaks and perimeter tracks, developing NTFP value chains, developing PA-related tourism, improving </w:t>
      </w:r>
      <w:proofErr w:type="spellStart"/>
      <w:r w:rsidRPr="00893DD1">
        <w:rPr>
          <w:rFonts w:ascii="Calibri" w:hAnsi="Calibri"/>
          <w:sz w:val="20"/>
          <w:szCs w:val="20"/>
        </w:rPr>
        <w:t>agro</w:t>
      </w:r>
      <w:proofErr w:type="spellEnd"/>
      <w:r w:rsidRPr="00893DD1">
        <w:rPr>
          <w:rFonts w:ascii="Calibri" w:hAnsi="Calibri"/>
          <w:sz w:val="20"/>
          <w:szCs w:val="20"/>
        </w:rPr>
        <w:t>-</w:t>
      </w:r>
      <w:proofErr w:type="spellStart"/>
      <w:r w:rsidRPr="00893DD1">
        <w:rPr>
          <w:rFonts w:ascii="Calibri" w:hAnsi="Calibri"/>
          <w:sz w:val="20"/>
          <w:szCs w:val="20"/>
        </w:rPr>
        <w:t>silvo</w:t>
      </w:r>
      <w:proofErr w:type="spellEnd"/>
      <w:r w:rsidRPr="00893DD1">
        <w:rPr>
          <w:rFonts w:ascii="Calibri" w:hAnsi="Calibri"/>
          <w:sz w:val="20"/>
          <w:szCs w:val="20"/>
        </w:rPr>
        <w:t>-pastoral systems including through sustainable land management practices, assisted natural regeneration, and agroforestry.</w:t>
      </w:r>
    </w:p>
    <w:p w14:paraId="712B8A4B" w14:textId="045EBBE2" w:rsidR="00773DC3" w:rsidRPr="00893DD1" w:rsidRDefault="00773DC3" w:rsidP="00755BF9">
      <w:pPr>
        <w:pStyle w:val="Paragraphedeliste"/>
        <w:tabs>
          <w:tab w:val="left" w:pos="284"/>
        </w:tabs>
        <w:spacing w:before="120" w:after="120"/>
        <w:ind w:left="0"/>
        <w:jc w:val="both"/>
        <w:rPr>
          <w:rFonts w:ascii="Calibri" w:hAnsi="Calibri" w:cs="Segoe UI"/>
          <w:color w:val="000000"/>
          <w:sz w:val="20"/>
          <w:szCs w:val="20"/>
        </w:rPr>
      </w:pPr>
      <w:r w:rsidRPr="00CE3AEA">
        <w:rPr>
          <w:rFonts w:ascii="Calibri" w:hAnsi="Calibri"/>
          <w:color w:val="000000"/>
          <w:sz w:val="20"/>
          <w:szCs w:val="20"/>
        </w:rPr>
        <w:t xml:space="preserve">The ESMP will </w:t>
      </w:r>
      <w:r w:rsidR="005979FD" w:rsidRPr="00CE3AEA">
        <w:rPr>
          <w:rFonts w:ascii="Calibri" w:hAnsi="Calibri"/>
          <w:color w:val="000000"/>
          <w:sz w:val="20"/>
          <w:szCs w:val="20"/>
        </w:rPr>
        <w:t>integrate</w:t>
      </w:r>
      <w:r w:rsidRPr="00CE3AEA">
        <w:rPr>
          <w:rFonts w:ascii="Calibri" w:hAnsi="Calibri"/>
          <w:color w:val="000000"/>
          <w:sz w:val="20"/>
          <w:szCs w:val="20"/>
        </w:rPr>
        <w:t xml:space="preserve"> the other Management Plans identified in the SESP and listed above (point 306)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2231"/>
        <w:gridCol w:w="1761"/>
        <w:gridCol w:w="5508"/>
      </w:tblGrid>
      <w:tr w:rsidR="00302BFE" w:rsidRPr="006E490C" w14:paraId="7C7A641F" w14:textId="77777777" w:rsidTr="00755BF9">
        <w:trPr>
          <w:cantSplit/>
          <w:tblHeader/>
        </w:trPr>
        <w:tc>
          <w:tcPr>
            <w:tcW w:w="1290" w:type="dxa"/>
            <w:shd w:val="clear" w:color="auto" w:fill="auto"/>
          </w:tcPr>
          <w:p w14:paraId="3C789503" w14:textId="77777777" w:rsidR="00302BFE" w:rsidRPr="006E490C" w:rsidRDefault="00302BFE" w:rsidP="00243B15">
            <w:pPr>
              <w:rPr>
                <w:rFonts w:cs="Segoe UI"/>
                <w:b/>
                <w:color w:val="000000"/>
                <w:sz w:val="18"/>
                <w:szCs w:val="18"/>
              </w:rPr>
            </w:pPr>
            <w:r w:rsidRPr="006E490C">
              <w:rPr>
                <w:rFonts w:cs="Segoe UI"/>
                <w:b/>
                <w:color w:val="000000"/>
                <w:sz w:val="18"/>
                <w:szCs w:val="18"/>
              </w:rPr>
              <w:t>Type of risk</w:t>
            </w:r>
          </w:p>
        </w:tc>
        <w:tc>
          <w:tcPr>
            <w:tcW w:w="2231" w:type="dxa"/>
            <w:shd w:val="clear" w:color="auto" w:fill="auto"/>
          </w:tcPr>
          <w:p w14:paraId="78F96336" w14:textId="77777777" w:rsidR="00302BFE" w:rsidRPr="006E490C" w:rsidRDefault="00302BFE" w:rsidP="00243B15">
            <w:pPr>
              <w:rPr>
                <w:rFonts w:cs="Segoe UI"/>
                <w:b/>
                <w:color w:val="000000"/>
                <w:sz w:val="18"/>
                <w:szCs w:val="18"/>
                <w:lang w:val="en-CA"/>
              </w:rPr>
            </w:pPr>
            <w:r w:rsidRPr="006E490C">
              <w:rPr>
                <w:rFonts w:cs="Segoe UI"/>
                <w:b/>
                <w:color w:val="000000"/>
                <w:sz w:val="18"/>
                <w:szCs w:val="18"/>
                <w:lang w:val="en-CA"/>
              </w:rPr>
              <w:t>Risk</w:t>
            </w:r>
          </w:p>
        </w:tc>
        <w:tc>
          <w:tcPr>
            <w:tcW w:w="1761" w:type="dxa"/>
            <w:shd w:val="clear" w:color="auto" w:fill="auto"/>
          </w:tcPr>
          <w:p w14:paraId="126007A1" w14:textId="77777777" w:rsidR="00302BFE" w:rsidRPr="006E490C" w:rsidRDefault="00302BFE" w:rsidP="00243B15">
            <w:pPr>
              <w:rPr>
                <w:b/>
                <w:sz w:val="18"/>
                <w:szCs w:val="18"/>
              </w:rPr>
            </w:pPr>
            <w:r w:rsidRPr="006E490C">
              <w:rPr>
                <w:b/>
                <w:sz w:val="18"/>
                <w:szCs w:val="18"/>
              </w:rPr>
              <w:t>Risk level</w:t>
            </w:r>
          </w:p>
        </w:tc>
        <w:tc>
          <w:tcPr>
            <w:tcW w:w="5508" w:type="dxa"/>
            <w:shd w:val="clear" w:color="auto" w:fill="auto"/>
          </w:tcPr>
          <w:p w14:paraId="09116C74" w14:textId="77777777" w:rsidR="00302BFE" w:rsidRPr="006E490C" w:rsidRDefault="00302BFE" w:rsidP="00243B15">
            <w:pPr>
              <w:rPr>
                <w:b/>
                <w:sz w:val="18"/>
                <w:szCs w:val="18"/>
              </w:rPr>
            </w:pPr>
            <w:r w:rsidRPr="006E490C">
              <w:rPr>
                <w:b/>
                <w:sz w:val="18"/>
                <w:szCs w:val="18"/>
              </w:rPr>
              <w:t>Mitigation measures</w:t>
            </w:r>
          </w:p>
        </w:tc>
      </w:tr>
      <w:tr w:rsidR="00302BFE" w:rsidRPr="006E490C" w14:paraId="274F93A7" w14:textId="77777777" w:rsidTr="00755BF9">
        <w:tc>
          <w:tcPr>
            <w:tcW w:w="1290" w:type="dxa"/>
            <w:vMerge w:val="restart"/>
            <w:shd w:val="clear" w:color="auto" w:fill="auto"/>
          </w:tcPr>
          <w:p w14:paraId="7E5FEC20" w14:textId="77777777" w:rsidR="00302BFE" w:rsidRPr="006E490C" w:rsidRDefault="00302BFE" w:rsidP="00243B15">
            <w:pPr>
              <w:rPr>
                <w:sz w:val="18"/>
                <w:szCs w:val="18"/>
              </w:rPr>
            </w:pPr>
            <w:r w:rsidRPr="006E490C">
              <w:rPr>
                <w:rFonts w:cs="Segoe UI"/>
                <w:color w:val="000000"/>
                <w:sz w:val="18"/>
                <w:szCs w:val="18"/>
              </w:rPr>
              <w:t>National socio-political-economic context</w:t>
            </w:r>
          </w:p>
        </w:tc>
        <w:tc>
          <w:tcPr>
            <w:tcW w:w="2231" w:type="dxa"/>
            <w:shd w:val="clear" w:color="auto" w:fill="auto"/>
          </w:tcPr>
          <w:p w14:paraId="40F272FF" w14:textId="197A7336" w:rsidR="00302BFE" w:rsidRPr="006E490C" w:rsidRDefault="00302BFE" w:rsidP="00243B15">
            <w:pPr>
              <w:jc w:val="left"/>
              <w:rPr>
                <w:sz w:val="18"/>
                <w:szCs w:val="18"/>
              </w:rPr>
            </w:pPr>
            <w:r w:rsidRPr="006E490C">
              <w:rPr>
                <w:rFonts w:cs="Segoe UI"/>
                <w:color w:val="000000"/>
                <w:sz w:val="18"/>
                <w:szCs w:val="18"/>
                <w:lang w:val="en-CA"/>
              </w:rPr>
              <w:t xml:space="preserve">An unstable socio-economic </w:t>
            </w:r>
            <w:r w:rsidR="003A0ADA">
              <w:rPr>
                <w:rFonts w:cs="Segoe UI"/>
                <w:color w:val="000000"/>
                <w:sz w:val="18"/>
                <w:szCs w:val="18"/>
                <w:lang w:val="en-CA"/>
              </w:rPr>
              <w:t xml:space="preserve">context </w:t>
            </w:r>
            <w:r w:rsidRPr="006E490C">
              <w:rPr>
                <w:rFonts w:cs="Segoe UI"/>
                <w:color w:val="000000"/>
                <w:sz w:val="18"/>
                <w:szCs w:val="18"/>
                <w:lang w:val="en-CA"/>
              </w:rPr>
              <w:t xml:space="preserve">and increasing insecurity in the country could undermine the emergence of environmental </w:t>
            </w:r>
            <w:r>
              <w:rPr>
                <w:rFonts w:cs="Segoe UI"/>
                <w:color w:val="000000"/>
                <w:sz w:val="18"/>
                <w:szCs w:val="18"/>
                <w:lang w:val="en-CA"/>
              </w:rPr>
              <w:t>awareness</w:t>
            </w:r>
            <w:r w:rsidRPr="006E490C">
              <w:rPr>
                <w:rFonts w:cs="Segoe UI"/>
                <w:color w:val="000000"/>
                <w:sz w:val="18"/>
                <w:szCs w:val="18"/>
                <w:lang w:val="en-CA"/>
              </w:rPr>
              <w:t xml:space="preserve"> among the population who would not be </w:t>
            </w:r>
            <w:r w:rsidR="003A0ADA">
              <w:rPr>
                <w:rFonts w:cs="Segoe UI"/>
                <w:color w:val="000000"/>
                <w:sz w:val="18"/>
                <w:szCs w:val="18"/>
                <w:lang w:val="en-CA"/>
              </w:rPr>
              <w:t>willing</w:t>
            </w:r>
            <w:r w:rsidRPr="006E490C">
              <w:rPr>
                <w:rFonts w:cs="Segoe UI"/>
                <w:color w:val="000000"/>
                <w:sz w:val="18"/>
                <w:szCs w:val="18"/>
                <w:lang w:val="en-CA"/>
              </w:rPr>
              <w:t xml:space="preserve"> to change their unsustainable uses of natural resources and adhere to the requirements of the Integrated Landscape Management Framework</w:t>
            </w:r>
            <w:r>
              <w:rPr>
                <w:rFonts w:cs="Segoe UI"/>
                <w:color w:val="000000"/>
                <w:sz w:val="18"/>
                <w:szCs w:val="18"/>
                <w:lang w:val="en-CA"/>
              </w:rPr>
              <w:t>.</w:t>
            </w:r>
          </w:p>
        </w:tc>
        <w:tc>
          <w:tcPr>
            <w:tcW w:w="1761" w:type="dxa"/>
            <w:shd w:val="clear" w:color="auto" w:fill="auto"/>
          </w:tcPr>
          <w:p w14:paraId="303285B7" w14:textId="77777777" w:rsidR="00302BFE" w:rsidRPr="006E490C" w:rsidRDefault="00302BFE" w:rsidP="00243B15">
            <w:pPr>
              <w:rPr>
                <w:rFonts w:cs="Segoe UI"/>
                <w:color w:val="000000"/>
                <w:sz w:val="18"/>
                <w:szCs w:val="18"/>
                <w:lang w:val="en-CA"/>
              </w:rPr>
            </w:pPr>
            <w:r>
              <w:rPr>
                <w:rFonts w:eastAsia="Cambria"/>
                <w:sz w:val="18"/>
                <w:szCs w:val="18"/>
                <w:lang w:val="en-GB"/>
              </w:rPr>
              <w:t>High</w:t>
            </w:r>
          </w:p>
        </w:tc>
        <w:tc>
          <w:tcPr>
            <w:tcW w:w="5508" w:type="dxa"/>
            <w:shd w:val="clear" w:color="auto" w:fill="auto"/>
          </w:tcPr>
          <w:p w14:paraId="1D409899" w14:textId="77777777" w:rsidR="00302BFE" w:rsidRDefault="00302BFE" w:rsidP="00243B15">
            <w:pPr>
              <w:jc w:val="left"/>
              <w:rPr>
                <w:rFonts w:cs="Segoe UI"/>
                <w:color w:val="000000"/>
                <w:sz w:val="18"/>
                <w:szCs w:val="18"/>
                <w:lang w:val="en-CA"/>
              </w:rPr>
            </w:pPr>
            <w:r>
              <w:rPr>
                <w:rFonts w:cs="Segoe UI"/>
                <w:color w:val="000000"/>
                <w:sz w:val="18"/>
                <w:szCs w:val="18"/>
                <w:lang w:val="en-CA"/>
              </w:rPr>
              <w:t xml:space="preserve">This risk is rated as high </w:t>
            </w:r>
            <w:proofErr w:type="gramStart"/>
            <w:r>
              <w:rPr>
                <w:rFonts w:cs="Segoe UI"/>
                <w:color w:val="000000"/>
                <w:sz w:val="18"/>
                <w:szCs w:val="18"/>
                <w:lang w:val="en-CA"/>
              </w:rPr>
              <w:t>despite the fact that</w:t>
            </w:r>
            <w:proofErr w:type="gramEnd"/>
            <w:r>
              <w:rPr>
                <w:rFonts w:cs="Segoe UI"/>
                <w:color w:val="000000"/>
                <w:sz w:val="18"/>
                <w:szCs w:val="18"/>
                <w:lang w:val="en-CA"/>
              </w:rPr>
              <w:t xml:space="preserve"> the communes in the PONASI area have not been </w:t>
            </w:r>
            <w:r w:rsidRPr="00835A34">
              <w:rPr>
                <w:rFonts w:cs="Segoe UI"/>
                <w:color w:val="000000"/>
                <w:sz w:val="18"/>
                <w:szCs w:val="18"/>
                <w:lang w:val="en-CA"/>
              </w:rPr>
              <w:t>the scene of violent acts</w:t>
            </w:r>
            <w:r>
              <w:rPr>
                <w:rFonts w:cs="Segoe UI"/>
                <w:color w:val="000000"/>
                <w:sz w:val="18"/>
                <w:szCs w:val="18"/>
                <w:lang w:val="en-CA"/>
              </w:rPr>
              <w:t xml:space="preserve">, because of the increasingly worrying situation in other parts of the country, due to expanding terrorism and crime. </w:t>
            </w:r>
          </w:p>
          <w:p w14:paraId="522AD443" w14:textId="77777777" w:rsidR="00302BFE" w:rsidRDefault="00302BFE" w:rsidP="00243B15">
            <w:pPr>
              <w:jc w:val="left"/>
              <w:rPr>
                <w:sz w:val="18"/>
                <w:szCs w:val="18"/>
              </w:rPr>
            </w:pPr>
            <w:r w:rsidRPr="006E490C">
              <w:rPr>
                <w:rFonts w:cs="Segoe UI"/>
                <w:color w:val="000000"/>
                <w:sz w:val="18"/>
                <w:szCs w:val="18"/>
                <w:lang w:val="en-CA"/>
              </w:rPr>
              <w:t>The early stages of the participatory process to develop the PONASI Landscape Management Master Plan will involve a comprehensive campaign to raise awareness on</w:t>
            </w:r>
            <w:r w:rsidRPr="006E490C">
              <w:rPr>
                <w:sz w:val="18"/>
                <w:szCs w:val="18"/>
              </w:rPr>
              <w:t xml:space="preserve"> current environmental status and recent degradation trends, on related impacts on their quality of life and livelihoods, and on the urgency to halt this degradation. A project communication specialist will support communication and awareness activities throughout the project implementation to maintain alertness about the local and national benefits to be derived from tackling priority environmental issues. </w:t>
            </w:r>
          </w:p>
          <w:p w14:paraId="501DEE66" w14:textId="77777777" w:rsidR="00302BFE" w:rsidRPr="006E490C" w:rsidRDefault="00302BFE" w:rsidP="00243B15">
            <w:pPr>
              <w:jc w:val="left"/>
              <w:rPr>
                <w:sz w:val="18"/>
                <w:szCs w:val="18"/>
              </w:rPr>
            </w:pPr>
            <w:r>
              <w:rPr>
                <w:sz w:val="18"/>
                <w:szCs w:val="18"/>
              </w:rPr>
              <w:t>N</w:t>
            </w:r>
            <w:r w:rsidRPr="000B096C">
              <w:rPr>
                <w:sz w:val="18"/>
                <w:szCs w:val="18"/>
              </w:rPr>
              <w:t xml:space="preserve">onetheless, should the level of security worsen including in the PONASI area, the project will take measures so as not to increase stakeholders, </w:t>
            </w:r>
            <w:proofErr w:type="gramStart"/>
            <w:r w:rsidRPr="000B096C">
              <w:rPr>
                <w:sz w:val="18"/>
                <w:szCs w:val="18"/>
              </w:rPr>
              <w:t>staff</w:t>
            </w:r>
            <w:proofErr w:type="gramEnd"/>
            <w:r w:rsidRPr="000B096C">
              <w:rPr>
                <w:sz w:val="18"/>
                <w:szCs w:val="18"/>
              </w:rPr>
              <w:t xml:space="preserve"> or consultant's exposure to any danger of any kind.</w:t>
            </w:r>
          </w:p>
        </w:tc>
      </w:tr>
      <w:tr w:rsidR="00302BFE" w:rsidRPr="006E490C" w14:paraId="09542E8C" w14:textId="77777777" w:rsidTr="00755BF9">
        <w:tc>
          <w:tcPr>
            <w:tcW w:w="1290" w:type="dxa"/>
            <w:vMerge/>
            <w:shd w:val="clear" w:color="auto" w:fill="auto"/>
          </w:tcPr>
          <w:p w14:paraId="32E023EB" w14:textId="77777777" w:rsidR="00302BFE" w:rsidRPr="006E490C" w:rsidRDefault="00302BFE" w:rsidP="00243B15">
            <w:pPr>
              <w:rPr>
                <w:rFonts w:cs="Segoe UI"/>
                <w:color w:val="000000"/>
                <w:sz w:val="18"/>
                <w:szCs w:val="18"/>
                <w:lang w:val="en-CA"/>
              </w:rPr>
            </w:pPr>
          </w:p>
        </w:tc>
        <w:tc>
          <w:tcPr>
            <w:tcW w:w="2231" w:type="dxa"/>
            <w:shd w:val="clear" w:color="auto" w:fill="auto"/>
          </w:tcPr>
          <w:p w14:paraId="5BCEB554" w14:textId="13B52EA9" w:rsidR="00302BFE" w:rsidRPr="00A93827" w:rsidRDefault="00302BFE" w:rsidP="003A0ADA">
            <w:pPr>
              <w:spacing w:before="40" w:after="40"/>
              <w:jc w:val="left"/>
              <w:rPr>
                <w:rFonts w:eastAsia="Times New Roman" w:cs="Segoe UI"/>
                <w:color w:val="000000"/>
                <w:sz w:val="18"/>
                <w:szCs w:val="18"/>
                <w:lang w:val="en-CA"/>
              </w:rPr>
            </w:pPr>
            <w:r w:rsidRPr="00A93827">
              <w:rPr>
                <w:rFonts w:eastAsia="Times New Roman" w:cs="Segoe UI"/>
                <w:color w:val="000000"/>
                <w:sz w:val="18"/>
                <w:szCs w:val="18"/>
                <w:lang w:val="en-CA"/>
              </w:rPr>
              <w:t xml:space="preserve">An unstable socio-economic </w:t>
            </w:r>
            <w:r w:rsidR="003A0ADA">
              <w:rPr>
                <w:rFonts w:eastAsia="Times New Roman" w:cs="Segoe UI"/>
                <w:color w:val="000000"/>
                <w:sz w:val="18"/>
                <w:szCs w:val="18"/>
                <w:lang w:val="en-CA"/>
              </w:rPr>
              <w:t xml:space="preserve">context </w:t>
            </w:r>
            <w:r w:rsidRPr="00A93827">
              <w:rPr>
                <w:rFonts w:eastAsia="Times New Roman" w:cs="Segoe UI"/>
                <w:color w:val="000000"/>
                <w:sz w:val="18"/>
                <w:szCs w:val="18"/>
                <w:lang w:val="en-CA"/>
              </w:rPr>
              <w:t>and increasing insecurity in the country could reduce the attractiveness of PONASI sites for international tourists.</w:t>
            </w:r>
          </w:p>
          <w:p w14:paraId="240F31E2" w14:textId="77777777" w:rsidR="00302BFE" w:rsidRPr="00A93827" w:rsidRDefault="00302BFE" w:rsidP="00243B15">
            <w:pPr>
              <w:jc w:val="left"/>
              <w:rPr>
                <w:rFonts w:cs="Segoe UI"/>
                <w:color w:val="000000"/>
                <w:sz w:val="18"/>
                <w:szCs w:val="18"/>
                <w:lang w:val="en-CA"/>
              </w:rPr>
            </w:pPr>
            <w:r w:rsidRPr="00A93827">
              <w:rPr>
                <w:rFonts w:eastAsia="Times New Roman"/>
                <w:sz w:val="18"/>
                <w:szCs w:val="18"/>
                <w:lang w:val="en-CA"/>
              </w:rPr>
              <w:t xml:space="preserve">Should the government's efforts to counter terrorism be successful and the security climate restored, the PONASI area </w:t>
            </w:r>
            <w:r w:rsidRPr="00A93827">
              <w:rPr>
                <w:rFonts w:eastAsia="Times New Roman"/>
                <w:sz w:val="18"/>
                <w:szCs w:val="18"/>
              </w:rPr>
              <w:lastRenderedPageBreak/>
              <w:t>has a real potential for tourism;</w:t>
            </w:r>
            <w:r w:rsidRPr="00A93827">
              <w:rPr>
                <w:rFonts w:eastAsia="Times New Roman"/>
                <w:sz w:val="18"/>
                <w:szCs w:val="18"/>
                <w:lang w:val="en-CA"/>
              </w:rPr>
              <w:t xml:space="preserve"> it is accessible within 2-hour</w:t>
            </w:r>
            <w:r w:rsidRPr="00A93827">
              <w:rPr>
                <w:rFonts w:eastAsia="Times New Roman"/>
                <w:sz w:val="18"/>
                <w:szCs w:val="18"/>
              </w:rPr>
              <w:t xml:space="preserve"> drive from the capital city and, provided it is supported along a coherent strategy for the whole landscape that integrates cultural as well as natural assets, as proposed under output 3.4. However, w</w:t>
            </w:r>
            <w:proofErr w:type="spellStart"/>
            <w:r w:rsidRPr="00A93827">
              <w:rPr>
                <w:rFonts w:eastAsia="Times New Roman"/>
                <w:sz w:val="18"/>
                <w:szCs w:val="18"/>
                <w:lang w:val="en-CA"/>
              </w:rPr>
              <w:t>hile</w:t>
            </w:r>
            <w:proofErr w:type="spellEnd"/>
            <w:r w:rsidRPr="00A93827">
              <w:rPr>
                <w:rFonts w:eastAsia="Times New Roman"/>
                <w:sz w:val="18"/>
                <w:szCs w:val="18"/>
                <w:lang w:val="en-CA"/>
              </w:rPr>
              <w:t xml:space="preserve"> the PONASI area has not seen any incident and is considered as being safe, the security situation in some areas of the country and in the region is a cause for concern and is likely to deter foreign tourists to travel to Burkina Faso, which would in turn reduce benefits for local communities and incentives for conservation and sustainable management of resources.</w:t>
            </w:r>
          </w:p>
        </w:tc>
        <w:tc>
          <w:tcPr>
            <w:tcW w:w="1761" w:type="dxa"/>
            <w:shd w:val="clear" w:color="auto" w:fill="auto"/>
          </w:tcPr>
          <w:p w14:paraId="75F960D2" w14:textId="77777777" w:rsidR="00302BFE" w:rsidRPr="006E490C" w:rsidRDefault="00302BFE" w:rsidP="00243B15">
            <w:pPr>
              <w:rPr>
                <w:rFonts w:eastAsia="Times New Roman" w:cs="Calibri"/>
                <w:sz w:val="18"/>
                <w:szCs w:val="18"/>
                <w:lang w:val="en-CA"/>
              </w:rPr>
            </w:pPr>
            <w:r>
              <w:rPr>
                <w:rFonts w:eastAsia="Cambria"/>
                <w:sz w:val="18"/>
                <w:szCs w:val="18"/>
                <w:lang w:val="en-GB"/>
              </w:rPr>
              <w:lastRenderedPageBreak/>
              <w:t>High</w:t>
            </w:r>
          </w:p>
        </w:tc>
        <w:tc>
          <w:tcPr>
            <w:tcW w:w="5508" w:type="dxa"/>
            <w:shd w:val="clear" w:color="auto" w:fill="auto"/>
          </w:tcPr>
          <w:p w14:paraId="7B04618E" w14:textId="77777777" w:rsidR="00302BFE" w:rsidRPr="00A93827" w:rsidRDefault="00302BFE" w:rsidP="00243B15">
            <w:pPr>
              <w:pStyle w:val="Commentaire"/>
              <w:spacing w:before="40" w:after="40"/>
              <w:rPr>
                <w:sz w:val="18"/>
                <w:szCs w:val="18"/>
                <w:lang w:val="en-CA"/>
              </w:rPr>
            </w:pPr>
            <w:r w:rsidRPr="00A93827">
              <w:rPr>
                <w:rFonts w:eastAsia="Times New Roman"/>
                <w:sz w:val="18"/>
                <w:szCs w:val="18"/>
                <w:lang w:val="en-CA"/>
              </w:rPr>
              <w:t>Two measures were included in the project to mitigate the risk of increased insecurity:</w:t>
            </w:r>
          </w:p>
          <w:p w14:paraId="721F7BCB" w14:textId="77777777" w:rsidR="00302BFE" w:rsidRPr="00A93827" w:rsidRDefault="00302BFE" w:rsidP="00243B15">
            <w:pPr>
              <w:spacing w:before="40" w:after="40"/>
              <w:rPr>
                <w:rFonts w:eastAsia="Times New Roman"/>
                <w:sz w:val="18"/>
                <w:szCs w:val="18"/>
                <w:lang w:val="en-CA"/>
              </w:rPr>
            </w:pPr>
            <w:r w:rsidRPr="00A93827">
              <w:rPr>
                <w:sz w:val="18"/>
                <w:szCs w:val="18"/>
                <w:lang w:val="en-CA"/>
              </w:rPr>
              <w:t xml:space="preserve">- </w:t>
            </w:r>
            <w:r w:rsidRPr="00A93827">
              <w:rPr>
                <w:rFonts w:eastAsia="Times New Roman"/>
                <w:sz w:val="18"/>
                <w:szCs w:val="18"/>
                <w:lang w:val="en-CA"/>
              </w:rPr>
              <w:t xml:space="preserve">Given the risk of lower attractiveness of Burkina Faso to foreign tourists, the </w:t>
            </w:r>
            <w:r w:rsidRPr="00A93827">
              <w:rPr>
                <w:sz w:val="18"/>
                <w:szCs w:val="18"/>
                <w:lang w:val="en-CA"/>
              </w:rPr>
              <w:t>project (</w:t>
            </w:r>
            <w:r w:rsidRPr="00A93827">
              <w:rPr>
                <w:rFonts w:eastAsia="Times New Roman"/>
                <w:sz w:val="18"/>
                <w:szCs w:val="18"/>
                <w:lang w:val="en-CA"/>
              </w:rPr>
              <w:t>output 3.4</w:t>
            </w:r>
            <w:r w:rsidRPr="00A93827">
              <w:rPr>
                <w:sz w:val="18"/>
                <w:szCs w:val="18"/>
                <w:lang w:val="en-CA"/>
              </w:rPr>
              <w:t xml:space="preserve"> </w:t>
            </w:r>
            <w:r w:rsidRPr="00A93827">
              <w:rPr>
                <w:rFonts w:eastAsia="Times New Roman"/>
                <w:sz w:val="18"/>
                <w:szCs w:val="18"/>
                <w:lang w:val="en-CA"/>
              </w:rPr>
              <w:t>on tourism</w:t>
            </w:r>
            <w:r w:rsidRPr="00A93827">
              <w:rPr>
                <w:sz w:val="18"/>
                <w:szCs w:val="18"/>
                <w:lang w:val="en-CA"/>
              </w:rPr>
              <w:t>) will initially</w:t>
            </w:r>
            <w:r w:rsidRPr="00A93827">
              <w:rPr>
                <w:rFonts w:eastAsia="Times New Roman"/>
                <w:sz w:val="18"/>
                <w:szCs w:val="18"/>
                <w:lang w:val="en-CA"/>
              </w:rPr>
              <w:t xml:space="preserve"> focus on tourism products targeting tourists who already visit Burkina Faso rather than attracting new categories of tourists</w:t>
            </w:r>
            <w:r w:rsidRPr="00A93827">
              <w:rPr>
                <w:sz w:val="18"/>
                <w:szCs w:val="18"/>
                <w:lang w:val="en-CA"/>
              </w:rPr>
              <w:t xml:space="preserve"> from outside, including expatriates, and business travelers from Ouagadougou and existing visitors (</w:t>
            </w:r>
            <w:proofErr w:type="gramStart"/>
            <w:r w:rsidRPr="00A93827">
              <w:rPr>
                <w:sz w:val="18"/>
                <w:szCs w:val="18"/>
                <w:lang w:val="en-CA"/>
              </w:rPr>
              <w:t>e.g.</w:t>
            </w:r>
            <w:proofErr w:type="gramEnd"/>
            <w:r w:rsidRPr="00A93827">
              <w:rPr>
                <w:sz w:val="18"/>
                <w:szCs w:val="18"/>
                <w:lang w:val="en-CA"/>
              </w:rPr>
              <w:t xml:space="preserve"> hunters and their entourage; people staying for elephant viewing). </w:t>
            </w:r>
            <w:r w:rsidRPr="00A93827">
              <w:rPr>
                <w:rFonts w:eastAsia="Times New Roman"/>
                <w:sz w:val="18"/>
                <w:szCs w:val="18"/>
                <w:lang w:val="en-CA"/>
              </w:rPr>
              <w:t xml:space="preserve">A series of interventions will take place to improve tourism attractions and products in the area, both by improving visitor facilities at existing attractions and improving the capacity of local people to provide tourism products and services. Support will be provided to develop small business plans where </w:t>
            </w:r>
            <w:r w:rsidRPr="00A93827">
              <w:rPr>
                <w:rFonts w:eastAsia="Times New Roman"/>
                <w:sz w:val="18"/>
                <w:szCs w:val="18"/>
                <w:lang w:val="en-CA"/>
              </w:rPr>
              <w:lastRenderedPageBreak/>
              <w:t>products exist but require improvement/promotion (</w:t>
            </w:r>
            <w:proofErr w:type="gramStart"/>
            <w:r w:rsidRPr="00A93827">
              <w:rPr>
                <w:rFonts w:eastAsia="Times New Roman"/>
                <w:sz w:val="18"/>
                <w:szCs w:val="18"/>
                <w:lang w:val="en-CA"/>
              </w:rPr>
              <w:t>e.g.</w:t>
            </w:r>
            <w:proofErr w:type="gramEnd"/>
            <w:r w:rsidRPr="00A93827">
              <w:rPr>
                <w:rFonts w:eastAsia="Times New Roman"/>
                <w:sz w:val="18"/>
                <w:szCs w:val="18"/>
                <w:lang w:val="en-CA"/>
              </w:rPr>
              <w:t xml:space="preserve"> training for the entrepreneur to develop them). Categories for support may include direct tourism entities (</w:t>
            </w:r>
            <w:proofErr w:type="gramStart"/>
            <w:r w:rsidRPr="00A93827">
              <w:rPr>
                <w:rFonts w:eastAsia="Times New Roman"/>
                <w:sz w:val="18"/>
                <w:szCs w:val="18"/>
                <w:lang w:val="en-CA"/>
              </w:rPr>
              <w:t>e.g.</w:t>
            </w:r>
            <w:proofErr w:type="gramEnd"/>
            <w:r w:rsidRPr="00A93827">
              <w:rPr>
                <w:rFonts w:eastAsia="Times New Roman"/>
                <w:sz w:val="18"/>
                <w:szCs w:val="18"/>
                <w:lang w:val="en-CA"/>
              </w:rPr>
              <w:t xml:space="preserve"> homestay, tour guide, attractions, café, etc.) and indirect tourism businesses (e.g. poultry farm; organic vegetable garden, transport/transfers, juice manufacturers)</w:t>
            </w:r>
          </w:p>
          <w:p w14:paraId="3CDD1AA6" w14:textId="77777777" w:rsidR="00302BFE" w:rsidRPr="00A93827" w:rsidRDefault="00302BFE" w:rsidP="00243B15">
            <w:pPr>
              <w:pStyle w:val="Paragraphedeliste"/>
              <w:tabs>
                <w:tab w:val="left" w:pos="284"/>
              </w:tabs>
              <w:spacing w:before="40" w:after="40"/>
              <w:ind w:left="0"/>
              <w:rPr>
                <w:rFonts w:ascii="Calibri" w:eastAsia="Times New Roman" w:hAnsi="Calibri"/>
                <w:sz w:val="18"/>
                <w:szCs w:val="18"/>
                <w:lang w:val="en-CA"/>
              </w:rPr>
            </w:pPr>
            <w:r w:rsidRPr="00A93827">
              <w:rPr>
                <w:rFonts w:ascii="Calibri" w:eastAsia="Times New Roman" w:hAnsi="Calibri"/>
                <w:sz w:val="18"/>
                <w:szCs w:val="18"/>
                <w:lang w:val="en-CA"/>
              </w:rPr>
              <w:t xml:space="preserve">- A new livelihood output has been included and supported by the </w:t>
            </w:r>
            <w:r w:rsidRPr="00A93827">
              <w:rPr>
                <w:rFonts w:ascii="Calibri" w:eastAsia="Times New Roman" w:hAnsi="Calibri" w:cs="Calibri"/>
                <w:sz w:val="18"/>
                <w:szCs w:val="18"/>
                <w:lang w:val="en-CA"/>
              </w:rPr>
              <w:t xml:space="preserve">Project Result Framework </w:t>
            </w:r>
            <w:r w:rsidRPr="00A93827">
              <w:rPr>
                <w:rFonts w:ascii="Calibri" w:eastAsia="Times New Roman" w:hAnsi="Calibri"/>
                <w:sz w:val="18"/>
                <w:szCs w:val="18"/>
                <w:lang w:val="en-CA"/>
              </w:rPr>
              <w:t xml:space="preserve">validation workshop. This output aims at developing three promising value chains based on the sustainable use of NTFP, targeting mainly women as beneficiaries, and putting in place the conditions for sustainability: Output 3.3 </w:t>
            </w:r>
            <w:r w:rsidRPr="00A93827">
              <w:rPr>
                <w:rFonts w:ascii="Calibri" w:eastAsia="Times New Roman" w:hAnsi="Calibri"/>
                <w:sz w:val="18"/>
                <w:szCs w:val="18"/>
                <w:lang w:val="en-GB"/>
              </w:rPr>
              <w:t xml:space="preserve">Sustainable local forest products processing enterprises are established, providing </w:t>
            </w:r>
            <w:proofErr w:type="gramStart"/>
            <w:r w:rsidRPr="00A93827">
              <w:rPr>
                <w:rFonts w:ascii="Calibri" w:eastAsia="Times New Roman" w:hAnsi="Calibri"/>
                <w:sz w:val="18"/>
                <w:szCs w:val="18"/>
                <w:lang w:val="en-GB"/>
              </w:rPr>
              <w:t>livelihoods</w:t>
            </w:r>
            <w:proofErr w:type="gramEnd"/>
            <w:r w:rsidRPr="00A93827">
              <w:rPr>
                <w:rFonts w:ascii="Calibri" w:eastAsia="Times New Roman" w:hAnsi="Calibri"/>
                <w:sz w:val="18"/>
                <w:szCs w:val="18"/>
                <w:lang w:val="en-GB"/>
              </w:rPr>
              <w:t xml:space="preserve"> and generating sustained income, especially for women and vulnerable people. </w:t>
            </w:r>
            <w:r w:rsidRPr="00A93827">
              <w:rPr>
                <w:rFonts w:ascii="Calibri" w:eastAsia="Times New Roman" w:hAnsi="Calibri"/>
                <w:sz w:val="18"/>
                <w:szCs w:val="18"/>
                <w:lang w:val="en-CA"/>
              </w:rPr>
              <w:t>This addition allows to have a more diversified strategy for the development of sustainable livelihoods linked to PAs and to the sustainable use of forest products.</w:t>
            </w:r>
          </w:p>
        </w:tc>
      </w:tr>
      <w:tr w:rsidR="00302BFE" w:rsidRPr="006E490C" w14:paraId="4A06BD14" w14:textId="77777777" w:rsidTr="00755BF9">
        <w:tc>
          <w:tcPr>
            <w:tcW w:w="1290" w:type="dxa"/>
            <w:vMerge w:val="restart"/>
            <w:shd w:val="clear" w:color="auto" w:fill="auto"/>
          </w:tcPr>
          <w:p w14:paraId="7D8A54F9" w14:textId="77777777" w:rsidR="00302BFE" w:rsidRPr="006E490C" w:rsidRDefault="00302BFE" w:rsidP="00243B15">
            <w:pPr>
              <w:rPr>
                <w:sz w:val="18"/>
                <w:szCs w:val="18"/>
              </w:rPr>
            </w:pPr>
            <w:proofErr w:type="gramStart"/>
            <w:r w:rsidRPr="006E490C">
              <w:rPr>
                <w:rFonts w:cs="Segoe UI"/>
                <w:color w:val="000000"/>
                <w:sz w:val="18"/>
                <w:szCs w:val="18"/>
              </w:rPr>
              <w:lastRenderedPageBreak/>
              <w:t>Stakeholders</w:t>
            </w:r>
            <w:proofErr w:type="gramEnd"/>
            <w:r w:rsidRPr="006E490C">
              <w:rPr>
                <w:rFonts w:cs="Segoe UI"/>
                <w:color w:val="000000"/>
                <w:sz w:val="18"/>
                <w:szCs w:val="18"/>
              </w:rPr>
              <w:t xml:space="preserve"> involvement</w:t>
            </w:r>
          </w:p>
        </w:tc>
        <w:tc>
          <w:tcPr>
            <w:tcW w:w="2231" w:type="dxa"/>
            <w:shd w:val="clear" w:color="auto" w:fill="auto"/>
          </w:tcPr>
          <w:p w14:paraId="3EEAC36D" w14:textId="77777777" w:rsidR="00302BFE" w:rsidRPr="006E490C" w:rsidRDefault="00302BFE" w:rsidP="00243B15">
            <w:pPr>
              <w:jc w:val="left"/>
              <w:rPr>
                <w:sz w:val="18"/>
                <w:szCs w:val="18"/>
              </w:rPr>
            </w:pPr>
            <w:r w:rsidRPr="006E490C">
              <w:rPr>
                <w:rFonts w:cs="Segoe UI"/>
                <w:color w:val="000000"/>
                <w:sz w:val="18"/>
                <w:szCs w:val="18"/>
                <w:lang w:val="en-CA"/>
              </w:rPr>
              <w:t>Lack of local stakeholders buy-in or adherence to biodiversity conservation and sustainable natural resource and land management measures identified in the integrated landscape management master plan would seriously limit the project impacts.</w:t>
            </w:r>
          </w:p>
        </w:tc>
        <w:tc>
          <w:tcPr>
            <w:tcW w:w="1761" w:type="dxa"/>
            <w:shd w:val="clear" w:color="auto" w:fill="auto"/>
          </w:tcPr>
          <w:p w14:paraId="4F5806E3" w14:textId="77777777" w:rsidR="00302BFE" w:rsidRPr="006E490C" w:rsidRDefault="00302BFE" w:rsidP="00243B15">
            <w:pPr>
              <w:rPr>
                <w:rFonts w:cs="Segoe UI"/>
                <w:color w:val="000000"/>
                <w:sz w:val="18"/>
                <w:szCs w:val="18"/>
                <w:lang w:val="en-CA"/>
              </w:rPr>
            </w:pPr>
            <w:r w:rsidRPr="006E490C">
              <w:rPr>
                <w:rFonts w:cs="Segoe UI"/>
                <w:color w:val="000000"/>
                <w:sz w:val="18"/>
                <w:szCs w:val="18"/>
                <w:lang w:val="en-CA"/>
              </w:rPr>
              <w:t>Low</w:t>
            </w:r>
          </w:p>
        </w:tc>
        <w:tc>
          <w:tcPr>
            <w:tcW w:w="5508" w:type="dxa"/>
            <w:shd w:val="clear" w:color="auto" w:fill="auto"/>
          </w:tcPr>
          <w:p w14:paraId="7F0D0794" w14:textId="77777777" w:rsidR="00302BFE" w:rsidRPr="006E490C" w:rsidRDefault="00302BFE" w:rsidP="00243B15">
            <w:pPr>
              <w:jc w:val="left"/>
              <w:rPr>
                <w:sz w:val="18"/>
                <w:szCs w:val="18"/>
              </w:rPr>
            </w:pPr>
            <w:r w:rsidRPr="006E490C">
              <w:rPr>
                <w:rFonts w:cs="Segoe UI"/>
                <w:color w:val="000000"/>
                <w:sz w:val="18"/>
                <w:szCs w:val="18"/>
                <w:lang w:val="en-CA"/>
              </w:rPr>
              <w:t>The early stages of the participatory process to develop the PONASI Landscape Management Master Plan will involve a comprehensive campaign to raise awareness on</w:t>
            </w:r>
            <w:r w:rsidRPr="006E490C">
              <w:rPr>
                <w:sz w:val="18"/>
                <w:szCs w:val="18"/>
              </w:rPr>
              <w:t xml:space="preserve"> current environmental status and recent degradation trends, on related impacts on their quality of life and livelihoods, and on the urgency to halt this degradation. </w:t>
            </w:r>
          </w:p>
          <w:p w14:paraId="31E8C628" w14:textId="77777777" w:rsidR="00302BFE" w:rsidRPr="006E490C" w:rsidRDefault="00302BFE" w:rsidP="00243B15">
            <w:pPr>
              <w:jc w:val="left"/>
              <w:rPr>
                <w:sz w:val="18"/>
                <w:szCs w:val="18"/>
              </w:rPr>
            </w:pPr>
            <w:r w:rsidRPr="006E490C">
              <w:rPr>
                <w:sz w:val="18"/>
                <w:szCs w:val="18"/>
              </w:rPr>
              <w:t>A project communication specialist will support communication and awareness activities throughout the project implementation to maintain alertness about the local and national benefits to be derived from tackling priority environmental issues.</w:t>
            </w:r>
          </w:p>
        </w:tc>
      </w:tr>
      <w:tr w:rsidR="00302BFE" w:rsidRPr="006E490C" w14:paraId="15620C0A" w14:textId="77777777" w:rsidTr="00755BF9">
        <w:tc>
          <w:tcPr>
            <w:tcW w:w="1290" w:type="dxa"/>
            <w:vMerge/>
            <w:shd w:val="clear" w:color="auto" w:fill="auto"/>
          </w:tcPr>
          <w:p w14:paraId="7F908C37" w14:textId="77777777" w:rsidR="00302BFE" w:rsidRPr="006E490C" w:rsidRDefault="00302BFE" w:rsidP="00243B15">
            <w:pPr>
              <w:rPr>
                <w:sz w:val="18"/>
                <w:szCs w:val="18"/>
              </w:rPr>
            </w:pPr>
          </w:p>
        </w:tc>
        <w:tc>
          <w:tcPr>
            <w:tcW w:w="2231" w:type="dxa"/>
            <w:shd w:val="clear" w:color="auto" w:fill="auto"/>
          </w:tcPr>
          <w:p w14:paraId="67602605" w14:textId="77777777" w:rsidR="00302BFE" w:rsidRPr="006E490C" w:rsidRDefault="00302BFE" w:rsidP="00243B15">
            <w:pPr>
              <w:jc w:val="left"/>
              <w:rPr>
                <w:sz w:val="18"/>
                <w:szCs w:val="18"/>
              </w:rPr>
            </w:pPr>
            <w:r w:rsidRPr="006E490C">
              <w:rPr>
                <w:rFonts w:cs="Segoe UI"/>
                <w:color w:val="000000"/>
                <w:sz w:val="18"/>
                <w:szCs w:val="18"/>
                <w:lang w:val="en-CA"/>
              </w:rPr>
              <w:t>Land-use conflicts related to the occupation of corridor # 2 and the use of its resources could also create obstacles to its gazettement and protection</w:t>
            </w:r>
          </w:p>
        </w:tc>
        <w:tc>
          <w:tcPr>
            <w:tcW w:w="1761" w:type="dxa"/>
            <w:shd w:val="clear" w:color="auto" w:fill="auto"/>
          </w:tcPr>
          <w:p w14:paraId="6E9F7A63" w14:textId="77777777" w:rsidR="00302BFE" w:rsidRPr="006E490C" w:rsidRDefault="00302BFE" w:rsidP="00243B15">
            <w:pPr>
              <w:rPr>
                <w:sz w:val="18"/>
                <w:szCs w:val="18"/>
                <w:lang w:val="en-GB"/>
              </w:rPr>
            </w:pPr>
            <w:r w:rsidRPr="00A93827">
              <w:rPr>
                <w:sz w:val="18"/>
                <w:szCs w:val="18"/>
                <w:lang w:val="en-GB"/>
              </w:rPr>
              <w:t>Medium</w:t>
            </w:r>
          </w:p>
        </w:tc>
        <w:tc>
          <w:tcPr>
            <w:tcW w:w="5508" w:type="dxa"/>
            <w:shd w:val="clear" w:color="auto" w:fill="auto"/>
          </w:tcPr>
          <w:p w14:paraId="7727095E" w14:textId="77777777" w:rsidR="00302BFE" w:rsidRDefault="00302BFE" w:rsidP="00243B15">
            <w:pPr>
              <w:jc w:val="left"/>
              <w:rPr>
                <w:sz w:val="18"/>
                <w:szCs w:val="18"/>
                <w:lang w:val="en-GB"/>
              </w:rPr>
            </w:pPr>
            <w:r w:rsidRPr="006E490C">
              <w:rPr>
                <w:sz w:val="18"/>
                <w:szCs w:val="18"/>
                <w:lang w:val="en-GB"/>
              </w:rPr>
              <w:t>To restore movement of elephants within the PONASI Protected Area Complex and between the complex and adjacent areas, particularly those in northern Ghana, the PAGEN project delineat</w:t>
            </w:r>
            <w:r>
              <w:rPr>
                <w:sz w:val="18"/>
                <w:szCs w:val="18"/>
                <w:lang w:val="en-GB"/>
              </w:rPr>
              <w:t>ed</w:t>
            </w:r>
            <w:r w:rsidRPr="006E490C">
              <w:rPr>
                <w:sz w:val="18"/>
                <w:szCs w:val="18"/>
                <w:lang w:val="en-GB"/>
              </w:rPr>
              <w:t xml:space="preserve"> two corridors: corridor no. 1, linking the </w:t>
            </w:r>
            <w:r w:rsidRPr="006E490C">
              <w:rPr>
                <w:sz w:val="18"/>
                <w:szCs w:val="18"/>
                <w:lang w:val="en-CA"/>
              </w:rPr>
              <w:t>PNKT</w:t>
            </w:r>
            <w:r w:rsidRPr="006E490C">
              <w:rPr>
                <w:sz w:val="18"/>
                <w:szCs w:val="18"/>
                <w:lang w:val="en-GB"/>
              </w:rPr>
              <w:t xml:space="preserve"> to the </w:t>
            </w:r>
            <w:proofErr w:type="spellStart"/>
            <w:r w:rsidRPr="006E490C">
              <w:rPr>
                <w:sz w:val="18"/>
                <w:szCs w:val="18"/>
                <w:lang w:val="en-GB"/>
              </w:rPr>
              <w:t>Nazinga</w:t>
            </w:r>
            <w:proofErr w:type="spellEnd"/>
            <w:r w:rsidRPr="006E490C">
              <w:rPr>
                <w:sz w:val="18"/>
                <w:szCs w:val="18"/>
                <w:lang w:val="en-GB"/>
              </w:rPr>
              <w:t xml:space="preserve"> Game Ranch, covering an area of 4,500 ha, and Corridor No. 2, connecting the south-east of the </w:t>
            </w:r>
            <w:r w:rsidRPr="006E490C">
              <w:rPr>
                <w:sz w:val="18"/>
                <w:szCs w:val="18"/>
                <w:lang w:val="en-CA"/>
              </w:rPr>
              <w:t>PNKT</w:t>
            </w:r>
            <w:r w:rsidRPr="006E490C">
              <w:rPr>
                <w:sz w:val="18"/>
                <w:szCs w:val="18"/>
                <w:lang w:val="en-GB"/>
              </w:rPr>
              <w:t xml:space="preserve"> to northern Ghana, covering an area of 33,000 ha. </w:t>
            </w:r>
            <w:r w:rsidRPr="006E490C">
              <w:rPr>
                <w:sz w:val="18"/>
                <w:szCs w:val="18"/>
                <w:lang w:val="en-CA"/>
              </w:rPr>
              <w:t xml:space="preserve">The delineation and physical delimitation of the </w:t>
            </w:r>
            <w:r>
              <w:rPr>
                <w:sz w:val="18"/>
                <w:szCs w:val="18"/>
                <w:lang w:val="en-CA"/>
              </w:rPr>
              <w:t>two</w:t>
            </w:r>
            <w:r w:rsidRPr="006E490C">
              <w:rPr>
                <w:sz w:val="18"/>
                <w:szCs w:val="18"/>
                <w:lang w:val="en-CA"/>
              </w:rPr>
              <w:t xml:space="preserve"> corridor</w:t>
            </w:r>
            <w:r>
              <w:rPr>
                <w:sz w:val="18"/>
                <w:szCs w:val="18"/>
                <w:lang w:val="en-CA"/>
              </w:rPr>
              <w:t>s</w:t>
            </w:r>
            <w:r w:rsidRPr="006E490C">
              <w:rPr>
                <w:sz w:val="18"/>
                <w:szCs w:val="18"/>
                <w:lang w:val="en-CA"/>
              </w:rPr>
              <w:t xml:space="preserve"> was done through negotiations with the local communities and involving administrative officials, mayors, and traditional leaders. Local communities agreed to leave the areas voluntarily. </w:t>
            </w:r>
            <w:r w:rsidRPr="006E490C">
              <w:rPr>
                <w:sz w:val="18"/>
                <w:szCs w:val="18"/>
              </w:rPr>
              <w:t xml:space="preserve">The draft statutes were drawn up and submitted to the competent authority for adoption. </w:t>
            </w:r>
            <w:r w:rsidRPr="006E490C">
              <w:rPr>
                <w:sz w:val="18"/>
                <w:szCs w:val="18"/>
                <w:lang w:val="en-CA"/>
              </w:rPr>
              <w:t xml:space="preserve">However, </w:t>
            </w:r>
            <w:r w:rsidRPr="006E490C">
              <w:rPr>
                <w:sz w:val="18"/>
                <w:szCs w:val="18"/>
                <w:lang w:val="en-GB"/>
              </w:rPr>
              <w:t>the texts formalizing the creation of the corridors</w:t>
            </w:r>
            <w:r>
              <w:rPr>
                <w:sz w:val="18"/>
                <w:szCs w:val="18"/>
                <w:lang w:val="en-GB"/>
              </w:rPr>
              <w:t xml:space="preserve"> have never been adopted</w:t>
            </w:r>
            <w:r w:rsidRPr="006E490C">
              <w:rPr>
                <w:sz w:val="18"/>
                <w:szCs w:val="18"/>
                <w:lang w:val="en-GB"/>
              </w:rPr>
              <w:t xml:space="preserve">, leaving the adjacent communities in an ambiguous situation </w:t>
            </w:r>
            <w:r>
              <w:rPr>
                <w:sz w:val="18"/>
                <w:szCs w:val="18"/>
                <w:lang w:val="en-GB"/>
              </w:rPr>
              <w:t xml:space="preserve">regarding land and resource use in these areas </w:t>
            </w:r>
            <w:r w:rsidRPr="006E490C">
              <w:rPr>
                <w:sz w:val="18"/>
                <w:szCs w:val="18"/>
                <w:lang w:val="en-GB"/>
              </w:rPr>
              <w:t xml:space="preserve">which is now threatening the </w:t>
            </w:r>
            <w:r>
              <w:rPr>
                <w:sz w:val="18"/>
                <w:szCs w:val="18"/>
                <w:lang w:val="en-GB"/>
              </w:rPr>
              <w:t>ecological integrity</w:t>
            </w:r>
            <w:r w:rsidRPr="006E490C">
              <w:rPr>
                <w:sz w:val="18"/>
                <w:szCs w:val="18"/>
                <w:lang w:val="en-GB"/>
              </w:rPr>
              <w:t xml:space="preserve"> of the corridor</w:t>
            </w:r>
            <w:r>
              <w:rPr>
                <w:sz w:val="18"/>
                <w:szCs w:val="18"/>
                <w:lang w:val="en-GB"/>
              </w:rPr>
              <w:t>s</w:t>
            </w:r>
            <w:r w:rsidRPr="006E490C">
              <w:rPr>
                <w:sz w:val="18"/>
                <w:szCs w:val="18"/>
                <w:lang w:val="en-GB"/>
              </w:rPr>
              <w:t xml:space="preserve">. </w:t>
            </w:r>
          </w:p>
          <w:p w14:paraId="2F9F6072" w14:textId="72D7BDF8" w:rsidR="00302BFE" w:rsidRPr="00A93827" w:rsidRDefault="00302BFE" w:rsidP="00243B15">
            <w:pPr>
              <w:jc w:val="left"/>
              <w:rPr>
                <w:sz w:val="18"/>
                <w:szCs w:val="18"/>
                <w:lang w:val="en-GB"/>
              </w:rPr>
            </w:pPr>
            <w:r w:rsidRPr="00A93827">
              <w:rPr>
                <w:sz w:val="18"/>
                <w:szCs w:val="18"/>
                <w:lang w:val="en-GB"/>
              </w:rPr>
              <w:t>After the decision to establish the two biological corridors within the PONASI, 2,697 people were resettled from within to outside the borders of the Kaboré-</w:t>
            </w:r>
            <w:proofErr w:type="spellStart"/>
            <w:r w:rsidRPr="00A93827">
              <w:rPr>
                <w:sz w:val="18"/>
                <w:szCs w:val="18"/>
                <w:lang w:val="en-GB"/>
              </w:rPr>
              <w:t>Tambi</w:t>
            </w:r>
            <w:proofErr w:type="spellEnd"/>
            <w:r w:rsidRPr="00A93827">
              <w:rPr>
                <w:sz w:val="18"/>
                <w:szCs w:val="18"/>
                <w:lang w:val="en-GB"/>
              </w:rPr>
              <w:t xml:space="preserve"> NP-</w:t>
            </w:r>
            <w:proofErr w:type="spellStart"/>
            <w:r w:rsidRPr="00A93827">
              <w:rPr>
                <w:sz w:val="18"/>
                <w:szCs w:val="18"/>
                <w:lang w:val="en-GB"/>
              </w:rPr>
              <w:t>Nazinga</w:t>
            </w:r>
            <w:proofErr w:type="spellEnd"/>
            <w:r w:rsidRPr="00A93827">
              <w:rPr>
                <w:sz w:val="18"/>
                <w:szCs w:val="18"/>
                <w:lang w:val="en-GB"/>
              </w:rPr>
              <w:t xml:space="preserve"> GR corridor. A Mitigation Plan identified 2,697 people affected by the creation of the corridors and proposed compensation measures. However, because the risk of involuntary resettlement was not adequately assessed during project design, the project resources were not sufficient to be reallocated to cover the proposed mitigation measures.</w:t>
            </w:r>
            <w:r w:rsidRPr="00A93827">
              <w:rPr>
                <w:sz w:val="18"/>
                <w:szCs w:val="18"/>
                <w:lang w:val="en-CA"/>
              </w:rPr>
              <w:t xml:space="preserve"> New land was provided, CFA</w:t>
            </w:r>
            <w:r w:rsidR="005E13EB">
              <w:rPr>
                <w:sz w:val="18"/>
                <w:szCs w:val="18"/>
                <w:lang w:val="en-CA"/>
              </w:rPr>
              <w:t xml:space="preserve"> </w:t>
            </w:r>
            <w:r w:rsidR="005E13EB">
              <w:rPr>
                <w:sz w:val="18"/>
                <w:szCs w:val="18"/>
                <w:lang w:val="en-CA"/>
              </w:rPr>
              <w:lastRenderedPageBreak/>
              <w:t>francs</w:t>
            </w:r>
            <w:r w:rsidRPr="00A93827">
              <w:rPr>
                <w:sz w:val="18"/>
                <w:szCs w:val="18"/>
                <w:lang w:val="en-CA"/>
              </w:rPr>
              <w:t xml:space="preserve"> 46,000,000</w:t>
            </w:r>
            <w:r w:rsidRPr="00A93827">
              <w:rPr>
                <w:rStyle w:val="Appelnotedebasdep"/>
                <w:szCs w:val="18"/>
              </w:rPr>
              <w:footnoteReference w:id="66"/>
            </w:r>
            <w:r w:rsidRPr="00A93827">
              <w:rPr>
                <w:sz w:val="18"/>
                <w:szCs w:val="18"/>
                <w:lang w:val="en-CA"/>
              </w:rPr>
              <w:t xml:space="preserve"> was paid to 1,764 people</w:t>
            </w:r>
            <w:r w:rsidRPr="00A93827">
              <w:rPr>
                <w:sz w:val="18"/>
                <w:szCs w:val="18"/>
                <w:lang w:val="en-GB"/>
              </w:rPr>
              <w:t xml:space="preserve"> </w:t>
            </w:r>
            <w:r w:rsidRPr="00A93827">
              <w:rPr>
                <w:sz w:val="18"/>
                <w:szCs w:val="18"/>
                <w:lang w:val="en-CA"/>
              </w:rPr>
              <w:t xml:space="preserve">(65% </w:t>
            </w:r>
            <w:r w:rsidRPr="00A93827">
              <w:rPr>
                <w:sz w:val="18"/>
                <w:szCs w:val="18"/>
                <w:lang w:val="en-GB"/>
              </w:rPr>
              <w:t xml:space="preserve">of the 2,697 occupants) </w:t>
            </w:r>
            <w:r w:rsidRPr="00A93827">
              <w:rPr>
                <w:sz w:val="18"/>
                <w:szCs w:val="18"/>
                <w:lang w:val="en-CA"/>
              </w:rPr>
              <w:t>for their resettlement, and 5 boreholes were drilled in the reception areas for a total value of about CFA</w:t>
            </w:r>
            <w:r w:rsidR="005E13EB">
              <w:rPr>
                <w:sz w:val="18"/>
                <w:szCs w:val="18"/>
                <w:lang w:val="en-CA"/>
              </w:rPr>
              <w:t xml:space="preserve"> francs</w:t>
            </w:r>
            <w:r w:rsidRPr="00A93827">
              <w:rPr>
                <w:sz w:val="18"/>
                <w:szCs w:val="18"/>
                <w:lang w:val="en-CA"/>
              </w:rPr>
              <w:t xml:space="preserve"> 30 million (about US$</w:t>
            </w:r>
            <w:r w:rsidRPr="00A93827">
              <w:t> </w:t>
            </w:r>
            <w:r w:rsidRPr="00A93827">
              <w:rPr>
                <w:sz w:val="18"/>
                <w:szCs w:val="18"/>
                <w:lang w:val="en-CA"/>
              </w:rPr>
              <w:t xml:space="preserve">65,000) as a form of compensation, and new land was allocated to the 770 producers who illegally occupied the banks of the river. The decision to support micro-projects (US$ 325,000) through the project was also taken to provide an additional form of compensation to local communities. Overall, the total compensation provided to displaced communities is significantly lower than that suggested in the Mitigation Plan (CFA </w:t>
            </w:r>
            <w:r w:rsidR="005E13EB">
              <w:rPr>
                <w:sz w:val="18"/>
                <w:szCs w:val="18"/>
                <w:lang w:val="en-CA"/>
              </w:rPr>
              <w:t xml:space="preserve">francs </w:t>
            </w:r>
            <w:r w:rsidRPr="00A93827">
              <w:rPr>
                <w:sz w:val="18"/>
                <w:szCs w:val="18"/>
                <w:lang w:val="en-CA"/>
              </w:rPr>
              <w:t>245,740,000). The fact that no formal complaints were received on how the resettlement was handled, suggests that undertaken measures and compensation provided were satisfactory</w:t>
            </w:r>
            <w:r w:rsidRPr="00A93827">
              <w:rPr>
                <w:rStyle w:val="Appelnotedebasdep"/>
                <w:szCs w:val="18"/>
                <w:lang w:val="en-CA"/>
              </w:rPr>
              <w:footnoteReference w:id="67"/>
            </w:r>
            <w:r w:rsidRPr="00A93827">
              <w:rPr>
                <w:sz w:val="18"/>
                <w:szCs w:val="18"/>
                <w:lang w:val="en-CA"/>
              </w:rPr>
              <w:t xml:space="preserve">. </w:t>
            </w:r>
            <w:r w:rsidRPr="00A93827">
              <w:rPr>
                <w:bCs/>
                <w:sz w:val="18"/>
                <w:szCs w:val="18"/>
                <w:lang w:val="en-CA"/>
              </w:rPr>
              <w:t>However, among the major difficulties that affected the implementation of the PAGEN project</w:t>
            </w:r>
            <w:r w:rsidRPr="00A93827">
              <w:rPr>
                <w:rStyle w:val="Appelnotedebasdep"/>
                <w:bCs/>
                <w:szCs w:val="18"/>
                <w:lang w:val="fr-CA"/>
              </w:rPr>
              <w:footnoteReference w:id="68"/>
            </w:r>
            <w:r w:rsidRPr="00A93827">
              <w:rPr>
                <w:bCs/>
                <w:sz w:val="18"/>
                <w:szCs w:val="18"/>
                <w:lang w:val="en-CA"/>
              </w:rPr>
              <w:t>, the final evaluation report by the Government emphasizes that the support measures for those affected by the creation of corridors were not up to their expectations.</w:t>
            </w:r>
          </w:p>
          <w:p w14:paraId="1043D4A7" w14:textId="77777777" w:rsidR="00302BFE" w:rsidRPr="006E490C" w:rsidRDefault="00302BFE" w:rsidP="00243B15">
            <w:pPr>
              <w:jc w:val="left"/>
              <w:rPr>
                <w:sz w:val="18"/>
                <w:szCs w:val="18"/>
                <w:lang w:val="en-GB"/>
              </w:rPr>
            </w:pPr>
            <w:r w:rsidRPr="006E490C">
              <w:rPr>
                <w:sz w:val="18"/>
                <w:szCs w:val="18"/>
                <w:lang w:val="en-GB"/>
              </w:rPr>
              <w:t xml:space="preserve">The project will resume the process, building on past achievements and working closely with the NGO </w:t>
            </w:r>
            <w:proofErr w:type="spellStart"/>
            <w:r w:rsidRPr="006E490C">
              <w:rPr>
                <w:sz w:val="18"/>
                <w:szCs w:val="18"/>
                <w:lang w:val="en-GB"/>
              </w:rPr>
              <w:t>Natudev</w:t>
            </w:r>
            <w:proofErr w:type="spellEnd"/>
            <w:r w:rsidRPr="006E490C">
              <w:rPr>
                <w:sz w:val="18"/>
                <w:szCs w:val="18"/>
                <w:lang w:val="en-GB"/>
              </w:rPr>
              <w:t xml:space="preserve"> who is pursuing parallel objectives in Corridor #1, and will follow the steps described under the Output 2.2.1:</w:t>
            </w:r>
          </w:p>
          <w:p w14:paraId="1541B8FA" w14:textId="77777777" w:rsidR="00302BFE" w:rsidRPr="006E490C" w:rsidRDefault="00302BFE" w:rsidP="00243B15">
            <w:pPr>
              <w:spacing w:before="60"/>
              <w:jc w:val="left"/>
              <w:rPr>
                <w:sz w:val="18"/>
                <w:szCs w:val="18"/>
                <w:lang w:val="en-GB"/>
              </w:rPr>
            </w:pPr>
            <w:r w:rsidRPr="006E490C">
              <w:rPr>
                <w:sz w:val="18"/>
                <w:szCs w:val="18"/>
                <w:lang w:val="en-GB"/>
              </w:rPr>
              <w:t xml:space="preserve">The formalization of the status of Corridor # 2 south-east of </w:t>
            </w:r>
            <w:r w:rsidRPr="006E490C">
              <w:rPr>
                <w:sz w:val="18"/>
                <w:szCs w:val="18"/>
                <w:lang w:val="en-CA"/>
              </w:rPr>
              <w:t>PNKT</w:t>
            </w:r>
            <w:r w:rsidRPr="006E490C">
              <w:rPr>
                <w:sz w:val="18"/>
                <w:szCs w:val="18"/>
                <w:lang w:val="en-GB"/>
              </w:rPr>
              <w:t xml:space="preserve"> linking the national park to northern Ghana will involve a sequence of steps that ensure that all potential conflicts are known, considered and addressed: a) Conducting preliminary socio-economic surveys to verify the perceptions of local communities and the actual impacts of corridor establishment in the framework of the PAGEN project to check if compensation measures are required; b) Prior sensitization of communities along the corridor on the concept of co-management as described in the steps prior to the negotiation of voluntary agreements in output 2.2.3; c) An assessment of the state of habitats and natural resources essential for the conservation of elephants and large and medium-sized mammals during their movements and the identification of interventions required for the restoration of essential ecosystem services; d) Participatory definition and validation of conservation objectives and the delineation of Corridor # 2 (should revisions be required) by involving all concerned and affected stakeholders and the signing of voluntary agreements by neighbouring communities regarding their commitment to get involved in the collaborative management of the corridor; e) The submission and adoption of the text formalizing the creation of the corridor and its dissemination to relevant stakeholders, especially the neighbouring communities, and the general public; f) The demarcation of boundaries by the installation of clearly visible landmarks, involving local communities as workers.</w:t>
            </w:r>
          </w:p>
        </w:tc>
      </w:tr>
      <w:tr w:rsidR="00302BFE" w:rsidRPr="006E490C" w14:paraId="299AA5C5" w14:textId="77777777" w:rsidTr="00755BF9">
        <w:tc>
          <w:tcPr>
            <w:tcW w:w="1290" w:type="dxa"/>
            <w:shd w:val="clear" w:color="auto" w:fill="auto"/>
          </w:tcPr>
          <w:p w14:paraId="6D749E77" w14:textId="77777777" w:rsidR="00302BFE" w:rsidRPr="006E490C" w:rsidRDefault="00302BFE" w:rsidP="00243B15">
            <w:pPr>
              <w:rPr>
                <w:sz w:val="18"/>
                <w:szCs w:val="18"/>
              </w:rPr>
            </w:pPr>
            <w:r w:rsidRPr="006E490C">
              <w:rPr>
                <w:rFonts w:cs="Segoe UI"/>
                <w:color w:val="000000"/>
                <w:sz w:val="18"/>
                <w:szCs w:val="18"/>
              </w:rPr>
              <w:lastRenderedPageBreak/>
              <w:t>Financial</w:t>
            </w:r>
          </w:p>
        </w:tc>
        <w:tc>
          <w:tcPr>
            <w:tcW w:w="2231" w:type="dxa"/>
            <w:shd w:val="clear" w:color="auto" w:fill="auto"/>
          </w:tcPr>
          <w:p w14:paraId="2DF03C55" w14:textId="77777777" w:rsidR="00302BFE" w:rsidRPr="006E490C" w:rsidRDefault="00302BFE" w:rsidP="00243B15">
            <w:pPr>
              <w:jc w:val="left"/>
              <w:rPr>
                <w:sz w:val="18"/>
                <w:szCs w:val="18"/>
              </w:rPr>
            </w:pPr>
            <w:r w:rsidRPr="006E490C">
              <w:rPr>
                <w:rFonts w:cs="Segoe UI"/>
                <w:color w:val="000000"/>
                <w:sz w:val="18"/>
                <w:szCs w:val="18"/>
                <w:lang w:val="en-CA"/>
              </w:rPr>
              <w:t>Local authorities could be reluctant or unable to allocate adequate resources for the operation of the collaborative management platform and to implement the landscape management plan</w:t>
            </w:r>
          </w:p>
        </w:tc>
        <w:tc>
          <w:tcPr>
            <w:tcW w:w="1761" w:type="dxa"/>
            <w:shd w:val="clear" w:color="auto" w:fill="auto"/>
          </w:tcPr>
          <w:p w14:paraId="74476184" w14:textId="77777777" w:rsidR="00302BFE" w:rsidRPr="006E490C" w:rsidRDefault="00302BFE" w:rsidP="00243B15">
            <w:pPr>
              <w:rPr>
                <w:sz w:val="18"/>
                <w:szCs w:val="18"/>
                <w:lang w:val="en-GB"/>
              </w:rPr>
            </w:pPr>
            <w:r w:rsidRPr="006E490C">
              <w:rPr>
                <w:rFonts w:eastAsia="Cambria"/>
                <w:sz w:val="18"/>
                <w:szCs w:val="18"/>
                <w:lang w:val="en-GB"/>
              </w:rPr>
              <w:t>Moderate</w:t>
            </w:r>
          </w:p>
        </w:tc>
        <w:tc>
          <w:tcPr>
            <w:tcW w:w="5508" w:type="dxa"/>
            <w:shd w:val="clear" w:color="auto" w:fill="auto"/>
          </w:tcPr>
          <w:p w14:paraId="71750095" w14:textId="77777777" w:rsidR="00302BFE" w:rsidRPr="006E490C" w:rsidRDefault="00302BFE" w:rsidP="00243B15">
            <w:pPr>
              <w:jc w:val="left"/>
              <w:rPr>
                <w:sz w:val="18"/>
                <w:szCs w:val="18"/>
                <w:lang w:val="en-GB"/>
              </w:rPr>
            </w:pPr>
            <w:r w:rsidRPr="006E490C">
              <w:rPr>
                <w:sz w:val="18"/>
                <w:szCs w:val="18"/>
                <w:lang w:val="en-GB"/>
              </w:rPr>
              <w:t xml:space="preserve">The co-governance mechanism of the PONASI landscape will be set up by a decree of the Minister in charge of Local Authorities on the creation, composition, </w:t>
            </w:r>
            <w:proofErr w:type="gramStart"/>
            <w:r w:rsidRPr="006E490C">
              <w:rPr>
                <w:sz w:val="18"/>
                <w:szCs w:val="18"/>
                <w:lang w:val="en-GB"/>
              </w:rPr>
              <w:t>responsibilities</w:t>
            </w:r>
            <w:proofErr w:type="gramEnd"/>
            <w:r w:rsidRPr="006E490C">
              <w:rPr>
                <w:sz w:val="18"/>
                <w:szCs w:val="18"/>
                <w:lang w:val="en-GB"/>
              </w:rPr>
              <w:t xml:space="preserve"> and operation of the said mechanism. The missions, the </w:t>
            </w:r>
            <w:proofErr w:type="gramStart"/>
            <w:r w:rsidRPr="006E490C">
              <w:rPr>
                <w:sz w:val="18"/>
                <w:szCs w:val="18"/>
                <w:lang w:val="en-GB"/>
              </w:rPr>
              <w:t>composition</w:t>
            </w:r>
            <w:proofErr w:type="gramEnd"/>
            <w:r w:rsidRPr="006E490C">
              <w:rPr>
                <w:sz w:val="18"/>
                <w:szCs w:val="18"/>
                <w:lang w:val="en-GB"/>
              </w:rPr>
              <w:t xml:space="preserve"> and the operation of the "PONASI Landscape co-governance mechanism" will integrate the fact that the PONASI landscape extends over 3 Regions (inter-regional platform). It is proposed that the mechanism be chaired by the Chairman of the South-Central Regional Council, assisted by the other two Chairs of Regional Councils as Vice-chairpersons who will then be </w:t>
            </w:r>
            <w:proofErr w:type="gramStart"/>
            <w:r w:rsidRPr="006E490C">
              <w:rPr>
                <w:sz w:val="18"/>
                <w:szCs w:val="18"/>
                <w:lang w:val="en-GB"/>
              </w:rPr>
              <w:t>in a position</w:t>
            </w:r>
            <w:proofErr w:type="gramEnd"/>
            <w:r w:rsidRPr="006E490C">
              <w:rPr>
                <w:sz w:val="18"/>
                <w:szCs w:val="18"/>
                <w:lang w:val="en-GB"/>
              </w:rPr>
              <w:t xml:space="preserve"> to invest the required resources in the planning process from the regional budget for planning, and to channel funds from partners and donors for the implementation of the Landscape Master Plan. (Output 1.1.2)</w:t>
            </w:r>
          </w:p>
          <w:p w14:paraId="30A4493E" w14:textId="77777777" w:rsidR="00302BFE" w:rsidRPr="006E490C" w:rsidRDefault="00302BFE" w:rsidP="00243B15">
            <w:pPr>
              <w:jc w:val="left"/>
              <w:rPr>
                <w:sz w:val="18"/>
                <w:szCs w:val="18"/>
                <w:lang w:val="en-GB"/>
              </w:rPr>
            </w:pPr>
            <w:r w:rsidRPr="006E490C">
              <w:rPr>
                <w:sz w:val="18"/>
                <w:szCs w:val="18"/>
                <w:lang w:val="en-GB"/>
              </w:rPr>
              <w:lastRenderedPageBreak/>
              <w:t>The project will recruit an international expert on land use planning to, among other tasks, consult with concerned parties, consider/analyse past experiences and propose operating rules for the mechanism to ensure that it can adequately fulfil its missions, including the identification of the financial needs necessary for its autonomous operation (operational budget), the mobilization of the required resources, and its articulation with the management committees of the various land units (PA co-management committees, ZOVIC wildlife management committees and unions, CAF management committees, groups, cooperatives or forest management committees of communal and village forests as provided for under local charters and development and management plans). (Output 1.1.2)</w:t>
            </w:r>
          </w:p>
        </w:tc>
      </w:tr>
      <w:tr w:rsidR="00731D85" w:rsidRPr="006E490C" w14:paraId="1CF48098" w14:textId="77777777" w:rsidTr="00755BF9">
        <w:tc>
          <w:tcPr>
            <w:tcW w:w="1290" w:type="dxa"/>
            <w:vMerge w:val="restart"/>
            <w:shd w:val="clear" w:color="auto" w:fill="auto"/>
          </w:tcPr>
          <w:p w14:paraId="2CD62CAB" w14:textId="77777777" w:rsidR="00731D85" w:rsidRPr="006E490C" w:rsidRDefault="00731D85" w:rsidP="00243B15">
            <w:pPr>
              <w:rPr>
                <w:sz w:val="18"/>
                <w:szCs w:val="18"/>
              </w:rPr>
            </w:pPr>
            <w:r w:rsidRPr="006E490C">
              <w:rPr>
                <w:rFonts w:cs="Segoe UI"/>
                <w:color w:val="000000"/>
                <w:sz w:val="18"/>
                <w:szCs w:val="18"/>
              </w:rPr>
              <w:lastRenderedPageBreak/>
              <w:t>Institutional capacities</w:t>
            </w:r>
          </w:p>
        </w:tc>
        <w:tc>
          <w:tcPr>
            <w:tcW w:w="2231" w:type="dxa"/>
            <w:shd w:val="clear" w:color="auto" w:fill="auto"/>
          </w:tcPr>
          <w:p w14:paraId="2F7C5525" w14:textId="77777777" w:rsidR="00731D85" w:rsidRPr="006E490C" w:rsidRDefault="00731D85" w:rsidP="00243B15">
            <w:pPr>
              <w:jc w:val="left"/>
              <w:rPr>
                <w:sz w:val="18"/>
                <w:szCs w:val="18"/>
              </w:rPr>
            </w:pPr>
            <w:r w:rsidRPr="006E490C">
              <w:rPr>
                <w:rFonts w:cs="Segoe UI"/>
                <w:color w:val="000000"/>
                <w:sz w:val="18"/>
                <w:szCs w:val="18"/>
                <w:lang w:val="en-CA"/>
              </w:rPr>
              <w:t>Difficulties in recruiting the necessary staff within OFINAP and DGEF to perform the essential functions of PA management due to limited financial resources and insufficient resources allocated to surveillance (staff, equipment, logistics) could hinder the effectiveness of management improvements brought by the project. Inter-institutional staff mobility could reduce the relevance and impact of the trainings provided by the project.</w:t>
            </w:r>
          </w:p>
        </w:tc>
        <w:tc>
          <w:tcPr>
            <w:tcW w:w="1761" w:type="dxa"/>
            <w:shd w:val="clear" w:color="auto" w:fill="auto"/>
          </w:tcPr>
          <w:p w14:paraId="4FDB28AF" w14:textId="77777777" w:rsidR="00731D85" w:rsidRPr="006E490C" w:rsidRDefault="00731D85" w:rsidP="00243B15">
            <w:pPr>
              <w:rPr>
                <w:sz w:val="18"/>
                <w:szCs w:val="18"/>
              </w:rPr>
            </w:pPr>
            <w:r w:rsidRPr="006E490C">
              <w:rPr>
                <w:rFonts w:eastAsia="Cambria"/>
                <w:sz w:val="18"/>
                <w:szCs w:val="18"/>
                <w:lang w:val="en-GB"/>
              </w:rPr>
              <w:t>Moderate</w:t>
            </w:r>
          </w:p>
        </w:tc>
        <w:tc>
          <w:tcPr>
            <w:tcW w:w="5508" w:type="dxa"/>
            <w:shd w:val="clear" w:color="auto" w:fill="auto"/>
          </w:tcPr>
          <w:p w14:paraId="25B49CEA" w14:textId="77777777" w:rsidR="00731D85" w:rsidRPr="006E490C" w:rsidRDefault="00731D85" w:rsidP="00243B15">
            <w:pPr>
              <w:jc w:val="left"/>
              <w:rPr>
                <w:sz w:val="18"/>
                <w:szCs w:val="18"/>
              </w:rPr>
            </w:pPr>
            <w:r w:rsidRPr="006E490C">
              <w:rPr>
                <w:sz w:val="18"/>
                <w:szCs w:val="18"/>
              </w:rPr>
              <w:t xml:space="preserve">Preliminary discussions with these institutions and information collected during the participatory capacity assessment (using UNDP’s capacity development scorecard – </w:t>
            </w:r>
            <w:r w:rsidRPr="00A93827">
              <w:rPr>
                <w:sz w:val="18"/>
                <w:szCs w:val="18"/>
              </w:rPr>
              <w:t xml:space="preserve">Annex </w:t>
            </w:r>
            <w:r w:rsidR="009523FE" w:rsidRPr="00A93827">
              <w:rPr>
                <w:sz w:val="18"/>
                <w:szCs w:val="18"/>
              </w:rPr>
              <w:t>Q</w:t>
            </w:r>
            <w:r w:rsidRPr="006E490C">
              <w:rPr>
                <w:sz w:val="18"/>
                <w:szCs w:val="18"/>
              </w:rPr>
              <w:t>) indicate that human resources are not a limiting factor for all protected areas. Besides, under output 2.1.1, the project will support an analysis of the institutional structures in charge of protected areas within the PONASI complex to elaborate proposals aiming at enhancing cost-effectiveness and developing better synergies between the different units. The issue of staff mobility among different units will be raised to ensure that trainings gradually build up institutional capacities and effectiveness of specialized operations in protected areas. Finally, one of the activities under this output, t</w:t>
            </w:r>
            <w:r w:rsidRPr="006E490C">
              <w:rPr>
                <w:sz w:val="18"/>
                <w:szCs w:val="18"/>
                <w:lang w:val="en-GB"/>
              </w:rPr>
              <w:t>he project will support advocacy with the MEGECC authorities for the assignment of additional staff to ensure adequate surveillance of PAs and update of biodiversity monitoring and surveillance databases.</w:t>
            </w:r>
          </w:p>
        </w:tc>
      </w:tr>
      <w:tr w:rsidR="00731D85" w:rsidRPr="006E490C" w14:paraId="28368F75" w14:textId="77777777" w:rsidTr="00755BF9">
        <w:tc>
          <w:tcPr>
            <w:tcW w:w="1290" w:type="dxa"/>
            <w:vMerge/>
            <w:shd w:val="clear" w:color="auto" w:fill="auto"/>
          </w:tcPr>
          <w:p w14:paraId="6AF61AE9" w14:textId="77777777" w:rsidR="00731D85" w:rsidRPr="006E490C" w:rsidRDefault="00731D85" w:rsidP="00243B15">
            <w:pPr>
              <w:rPr>
                <w:rFonts w:cs="Segoe UI"/>
                <w:color w:val="000000"/>
                <w:sz w:val="18"/>
                <w:szCs w:val="18"/>
              </w:rPr>
            </w:pPr>
          </w:p>
        </w:tc>
        <w:tc>
          <w:tcPr>
            <w:tcW w:w="2231" w:type="dxa"/>
            <w:shd w:val="clear" w:color="auto" w:fill="auto"/>
          </w:tcPr>
          <w:p w14:paraId="7E7358B9" w14:textId="77777777" w:rsidR="00731D85" w:rsidRPr="00A93827" w:rsidRDefault="00731D85" w:rsidP="00243B15">
            <w:pPr>
              <w:jc w:val="left"/>
              <w:rPr>
                <w:rFonts w:asciiTheme="minorHAnsi" w:hAnsiTheme="minorHAnsi" w:cs="Segoe UI"/>
                <w:color w:val="000000"/>
                <w:sz w:val="18"/>
                <w:szCs w:val="18"/>
                <w:lang w:val="en-CA"/>
              </w:rPr>
            </w:pPr>
            <w:r w:rsidRPr="00A93827">
              <w:rPr>
                <w:rFonts w:asciiTheme="minorHAnsi" w:eastAsia="Times New Roman" w:hAnsiTheme="minorHAnsi" w:cs="Segoe UI"/>
                <w:color w:val="000000"/>
                <w:sz w:val="18"/>
                <w:szCs w:val="18"/>
                <w:lang w:val="en-CA"/>
              </w:rPr>
              <w:t>Low delivery risk due to insufficient capacity of stakeholders involved in project implementation including UNDP CO</w:t>
            </w:r>
          </w:p>
        </w:tc>
        <w:tc>
          <w:tcPr>
            <w:tcW w:w="1761" w:type="dxa"/>
            <w:shd w:val="clear" w:color="auto" w:fill="auto"/>
          </w:tcPr>
          <w:p w14:paraId="2A1FA99E" w14:textId="77777777" w:rsidR="00731D85" w:rsidRPr="00731D85" w:rsidRDefault="00731D85" w:rsidP="00243B15">
            <w:pPr>
              <w:rPr>
                <w:rFonts w:asciiTheme="minorHAnsi" w:eastAsia="Cambria" w:hAnsiTheme="minorHAnsi"/>
                <w:sz w:val="18"/>
                <w:szCs w:val="18"/>
                <w:lang w:val="en-GB"/>
              </w:rPr>
            </w:pPr>
            <w:r w:rsidRPr="00A93827">
              <w:rPr>
                <w:rFonts w:asciiTheme="minorHAnsi" w:eastAsia="Cambria" w:hAnsiTheme="minorHAnsi"/>
                <w:sz w:val="18"/>
                <w:szCs w:val="18"/>
                <w:lang w:val="en-GB"/>
              </w:rPr>
              <w:t>Moderate</w:t>
            </w:r>
          </w:p>
        </w:tc>
        <w:tc>
          <w:tcPr>
            <w:tcW w:w="5508" w:type="dxa"/>
            <w:shd w:val="clear" w:color="auto" w:fill="auto"/>
          </w:tcPr>
          <w:p w14:paraId="1BBAE858" w14:textId="77777777" w:rsidR="00731D85" w:rsidRPr="00A93827" w:rsidRDefault="00731D85" w:rsidP="00731D85">
            <w:pPr>
              <w:spacing w:after="0"/>
              <w:rPr>
                <w:rFonts w:asciiTheme="minorHAnsi" w:eastAsia="Times New Roman" w:hAnsiTheme="minorHAnsi"/>
                <w:sz w:val="18"/>
                <w:szCs w:val="18"/>
              </w:rPr>
            </w:pPr>
            <w:r w:rsidRPr="00A93827">
              <w:rPr>
                <w:rFonts w:asciiTheme="minorHAnsi" w:eastAsia="Times New Roman" w:hAnsiTheme="minorHAnsi"/>
                <w:sz w:val="18"/>
                <w:szCs w:val="18"/>
              </w:rPr>
              <w:t xml:space="preserve">The project budget provides adequate resources for the recruitment of national consultants, international </w:t>
            </w:r>
            <w:proofErr w:type="gramStart"/>
            <w:r w:rsidRPr="00A93827">
              <w:rPr>
                <w:rFonts w:asciiTheme="minorHAnsi" w:eastAsia="Times New Roman" w:hAnsiTheme="minorHAnsi"/>
                <w:sz w:val="18"/>
                <w:szCs w:val="18"/>
              </w:rPr>
              <w:t>experts</w:t>
            </w:r>
            <w:proofErr w:type="gramEnd"/>
            <w:r w:rsidRPr="00A93827">
              <w:rPr>
                <w:rFonts w:asciiTheme="minorHAnsi" w:eastAsia="Times New Roman" w:hAnsiTheme="minorHAnsi"/>
                <w:sz w:val="18"/>
                <w:szCs w:val="18"/>
              </w:rPr>
              <w:t xml:space="preserve"> and service providers with a high level of expertise.</w:t>
            </w:r>
          </w:p>
          <w:p w14:paraId="6C70388E" w14:textId="77777777" w:rsidR="00731D85" w:rsidRPr="00731D85" w:rsidRDefault="00731D85" w:rsidP="00731D85">
            <w:pPr>
              <w:jc w:val="left"/>
              <w:rPr>
                <w:rFonts w:asciiTheme="minorHAnsi" w:hAnsiTheme="minorHAnsi"/>
                <w:sz w:val="18"/>
                <w:szCs w:val="18"/>
              </w:rPr>
            </w:pPr>
            <w:r w:rsidRPr="00A93827">
              <w:rPr>
                <w:rFonts w:asciiTheme="minorHAnsi" w:eastAsia="Times New Roman" w:hAnsiTheme="minorHAnsi"/>
                <w:sz w:val="18"/>
                <w:szCs w:val="18"/>
              </w:rPr>
              <w:t>The project organization structure involves a three-tier project assurance including UNDP regional and global levels to provide adequate technical and managerial supervision and guidance.</w:t>
            </w:r>
          </w:p>
        </w:tc>
      </w:tr>
      <w:tr w:rsidR="00302BFE" w:rsidRPr="006E490C" w14:paraId="5DEFCE19" w14:textId="77777777" w:rsidTr="00755BF9">
        <w:tc>
          <w:tcPr>
            <w:tcW w:w="1290" w:type="dxa"/>
            <w:shd w:val="clear" w:color="auto" w:fill="auto"/>
          </w:tcPr>
          <w:p w14:paraId="502A3652" w14:textId="77777777" w:rsidR="00302BFE" w:rsidRPr="00CB21A5" w:rsidRDefault="00302BFE" w:rsidP="00243B15">
            <w:pPr>
              <w:rPr>
                <w:rFonts w:cs="Segoe UI"/>
                <w:color w:val="000000"/>
                <w:sz w:val="18"/>
                <w:szCs w:val="18"/>
              </w:rPr>
            </w:pPr>
            <w:r w:rsidRPr="00CB21A5">
              <w:rPr>
                <w:rFonts w:cs="Segoe UI"/>
                <w:color w:val="000000"/>
                <w:sz w:val="18"/>
                <w:szCs w:val="18"/>
              </w:rPr>
              <w:t>Social</w:t>
            </w:r>
          </w:p>
        </w:tc>
        <w:tc>
          <w:tcPr>
            <w:tcW w:w="2231" w:type="dxa"/>
            <w:shd w:val="clear" w:color="auto" w:fill="auto"/>
          </w:tcPr>
          <w:p w14:paraId="7E72D82E" w14:textId="5E5320F3" w:rsidR="00302BFE" w:rsidRPr="00CB21A5" w:rsidRDefault="0074142F" w:rsidP="00243B15">
            <w:pPr>
              <w:pStyle w:val="PIFPara"/>
              <w:numPr>
                <w:ilvl w:val="0"/>
                <w:numId w:val="0"/>
              </w:numPr>
              <w:spacing w:after="40"/>
              <w:jc w:val="left"/>
              <w:rPr>
                <w:rFonts w:ascii="Calibri" w:eastAsia="Cambria" w:hAnsi="Calibri"/>
                <w:sz w:val="18"/>
                <w:szCs w:val="18"/>
                <w:lang w:val="en-GB"/>
              </w:rPr>
            </w:pPr>
            <w:r w:rsidRPr="00CB21A5">
              <w:rPr>
                <w:rFonts w:ascii="Calibri" w:hAnsi="Calibri"/>
                <w:sz w:val="18"/>
                <w:szCs w:val="18"/>
                <w:lang w:val="en-CA" w:eastAsia="ja-JP"/>
              </w:rPr>
              <w:t xml:space="preserve">Capacity building of Eco guards and rangers as part of the surveillance program for the protected areas of the PONASI complex, for strengthening anti-poaching measures could possibly lead to human rights abuses against vulnerable local communities. </w:t>
            </w:r>
          </w:p>
        </w:tc>
        <w:tc>
          <w:tcPr>
            <w:tcW w:w="1761" w:type="dxa"/>
            <w:shd w:val="clear" w:color="auto" w:fill="auto"/>
          </w:tcPr>
          <w:p w14:paraId="16DC483C" w14:textId="77777777" w:rsidR="00302BFE" w:rsidRPr="00CB21A5" w:rsidRDefault="00302BFE" w:rsidP="00243B15">
            <w:pPr>
              <w:rPr>
                <w:rFonts w:eastAsia="Cambria"/>
                <w:sz w:val="18"/>
                <w:szCs w:val="18"/>
                <w:lang w:val="en-GB"/>
              </w:rPr>
            </w:pPr>
            <w:r w:rsidRPr="00CB21A5">
              <w:rPr>
                <w:rFonts w:eastAsia="Cambria"/>
                <w:sz w:val="18"/>
                <w:szCs w:val="18"/>
                <w:lang w:val="en-GB"/>
              </w:rPr>
              <w:t>Moderate</w:t>
            </w:r>
          </w:p>
        </w:tc>
        <w:tc>
          <w:tcPr>
            <w:tcW w:w="5508" w:type="dxa"/>
            <w:shd w:val="clear" w:color="auto" w:fill="auto"/>
          </w:tcPr>
          <w:p w14:paraId="5CBEE492" w14:textId="77777777" w:rsidR="0074142F" w:rsidRPr="00CB21A5" w:rsidRDefault="0074142F" w:rsidP="0074142F">
            <w:pPr>
              <w:spacing w:before="40" w:after="40"/>
              <w:jc w:val="left"/>
              <w:rPr>
                <w:rFonts w:eastAsia="Cambria"/>
                <w:sz w:val="18"/>
                <w:szCs w:val="18"/>
                <w:lang w:val="en-GB"/>
              </w:rPr>
            </w:pPr>
            <w:r w:rsidRPr="00CB21A5">
              <w:rPr>
                <w:rFonts w:eastAsia="Cambria"/>
                <w:sz w:val="18"/>
                <w:szCs w:val="18"/>
                <w:lang w:val="en-GB"/>
              </w:rPr>
              <w:t xml:space="preserve">The risk will be managed </w:t>
            </w:r>
            <w:proofErr w:type="gramStart"/>
            <w:r w:rsidRPr="00CB21A5">
              <w:rPr>
                <w:rFonts w:eastAsia="Cambria"/>
                <w:sz w:val="18"/>
                <w:szCs w:val="18"/>
                <w:lang w:val="en-GB"/>
              </w:rPr>
              <w:t>through:</w:t>
            </w:r>
            <w:proofErr w:type="gramEnd"/>
            <w:r w:rsidRPr="00CB21A5">
              <w:rPr>
                <w:rFonts w:eastAsia="Cambria"/>
                <w:sz w:val="18"/>
                <w:szCs w:val="18"/>
                <w:lang w:val="en-GB"/>
              </w:rPr>
              <w:t xml:space="preserve"> a Comprehensive Stakeholder Engagement Plan, that will be developed during the first 6 months of the project, including the Stakeholder Analysis, the ESMF (Environmental and Social Management Framework), that has been developed during PPG (including an IPPF (Indigenous People Planning Framework and an ESMP (Environmental and Social Management Plan), that will be developed by the first year of project implementation, based on the ESIA findings.</w:t>
            </w:r>
          </w:p>
          <w:p w14:paraId="22538C08" w14:textId="77777777" w:rsidR="0074142F" w:rsidRPr="00CB21A5" w:rsidRDefault="0074142F" w:rsidP="0074142F">
            <w:pPr>
              <w:spacing w:before="40" w:after="40"/>
              <w:jc w:val="left"/>
              <w:rPr>
                <w:rFonts w:eastAsia="Cambria"/>
                <w:sz w:val="18"/>
                <w:szCs w:val="18"/>
                <w:lang w:val="en-GB"/>
              </w:rPr>
            </w:pPr>
            <w:r w:rsidRPr="00CB21A5">
              <w:rPr>
                <w:rFonts w:eastAsia="Cambria"/>
                <w:sz w:val="18"/>
                <w:szCs w:val="18"/>
                <w:lang w:val="en-GB"/>
              </w:rPr>
              <w:t xml:space="preserve">This risk will be managed also through an Indigenous Peoples Plan, that will be developed by the first year of the project, ensuring the involvement and engagement, including the FPIC process, of any indigenous </w:t>
            </w:r>
            <w:proofErr w:type="gramStart"/>
            <w:r w:rsidRPr="00CB21A5">
              <w:rPr>
                <w:rFonts w:eastAsia="Cambria"/>
                <w:sz w:val="18"/>
                <w:szCs w:val="18"/>
                <w:lang w:val="en-GB"/>
              </w:rPr>
              <w:t>peoples</w:t>
            </w:r>
            <w:proofErr w:type="gramEnd"/>
            <w:r w:rsidRPr="00CB21A5">
              <w:rPr>
                <w:rFonts w:eastAsia="Cambria"/>
                <w:sz w:val="18"/>
                <w:szCs w:val="18"/>
                <w:lang w:val="en-GB"/>
              </w:rPr>
              <w:t xml:space="preserve"> groups, tribes or ethnic minorities who can be involved in the data collection and analysis.</w:t>
            </w:r>
          </w:p>
          <w:p w14:paraId="7A2FE452" w14:textId="77777777" w:rsidR="0074142F" w:rsidRPr="00CB21A5" w:rsidRDefault="0074142F" w:rsidP="0074142F">
            <w:pPr>
              <w:spacing w:before="40" w:after="40"/>
              <w:jc w:val="left"/>
              <w:rPr>
                <w:rFonts w:eastAsia="Cambria"/>
                <w:sz w:val="18"/>
                <w:szCs w:val="18"/>
                <w:lang w:val="en-GB"/>
              </w:rPr>
            </w:pPr>
            <w:r w:rsidRPr="00CB21A5">
              <w:rPr>
                <w:rFonts w:eastAsia="Cambria"/>
                <w:sz w:val="18"/>
                <w:szCs w:val="18"/>
                <w:lang w:val="en-GB"/>
              </w:rPr>
              <w:t>The Gender Action Plan will be updated by the first year of the project, based on the Comprehensive Stakeholder Engagement Plan</w:t>
            </w:r>
          </w:p>
          <w:p w14:paraId="1A5720B1" w14:textId="77777777" w:rsidR="0074142F" w:rsidRPr="00CB21A5" w:rsidRDefault="0074142F" w:rsidP="0074142F">
            <w:pPr>
              <w:spacing w:before="40" w:after="40"/>
              <w:jc w:val="left"/>
              <w:rPr>
                <w:rFonts w:eastAsia="Cambria"/>
                <w:sz w:val="18"/>
                <w:szCs w:val="18"/>
                <w:lang w:val="en-GB"/>
              </w:rPr>
            </w:pPr>
            <w:r w:rsidRPr="00CB21A5">
              <w:rPr>
                <w:rFonts w:eastAsia="Cambria"/>
                <w:sz w:val="18"/>
                <w:szCs w:val="18"/>
                <w:lang w:val="en-GB"/>
              </w:rPr>
              <w:t>A Grievance Redress Mechanism will be developed by the first 3 months of the project. This mechanism will ensure stakeholder (especially the most vulnerable) can have access to a feedback mechanism ensuring their meaningful participation to project activities.</w:t>
            </w:r>
          </w:p>
          <w:p w14:paraId="6EAAF2C0" w14:textId="77777777" w:rsidR="0074142F" w:rsidRPr="00CB21A5" w:rsidRDefault="0074142F" w:rsidP="0074142F">
            <w:pPr>
              <w:spacing w:before="40" w:after="40"/>
              <w:jc w:val="left"/>
              <w:rPr>
                <w:rFonts w:eastAsia="Cambria"/>
                <w:sz w:val="18"/>
                <w:szCs w:val="18"/>
                <w:lang w:val="en-GB"/>
              </w:rPr>
            </w:pPr>
            <w:r w:rsidRPr="00CB21A5">
              <w:rPr>
                <w:rFonts w:eastAsia="Cambria"/>
                <w:sz w:val="18"/>
                <w:szCs w:val="18"/>
                <w:lang w:val="en-GB"/>
              </w:rPr>
              <w:t xml:space="preserve">The FPIC will be ensured during project implementation with the aim of achieving initial consent from the specific rights-holders, in line with Standard 6 requirements. FPIC will be applied to all project-affected groups and communities with respect to project activities and plans, </w:t>
            </w:r>
            <w:r w:rsidRPr="00CB21A5">
              <w:rPr>
                <w:rFonts w:eastAsia="Cambria"/>
                <w:sz w:val="18"/>
                <w:szCs w:val="18"/>
                <w:lang w:val="en-GB"/>
              </w:rPr>
              <w:lastRenderedPageBreak/>
              <w:t>and the principles and key concepts of Standard 6 will be fully reflected in the ESMF/ESMP, and the approach to Stakeholder Engagement.</w:t>
            </w:r>
          </w:p>
          <w:p w14:paraId="7A20F8A5" w14:textId="316D2C0D" w:rsidR="00302BFE" w:rsidRPr="00CB21A5" w:rsidRDefault="00302BFE" w:rsidP="00243B15">
            <w:pPr>
              <w:spacing w:before="40" w:after="40"/>
              <w:jc w:val="left"/>
              <w:rPr>
                <w:sz w:val="18"/>
                <w:szCs w:val="18"/>
                <w:lang w:val="en-CA"/>
              </w:rPr>
            </w:pPr>
          </w:p>
        </w:tc>
      </w:tr>
      <w:tr w:rsidR="00302BFE" w:rsidRPr="006E490C" w14:paraId="35BC1BC0" w14:textId="77777777" w:rsidTr="00755BF9">
        <w:tc>
          <w:tcPr>
            <w:tcW w:w="1290" w:type="dxa"/>
            <w:shd w:val="clear" w:color="auto" w:fill="auto"/>
          </w:tcPr>
          <w:p w14:paraId="53C26E2C" w14:textId="77777777" w:rsidR="00302BFE" w:rsidRPr="00CB21A5" w:rsidRDefault="00302BFE" w:rsidP="00243B15">
            <w:pPr>
              <w:rPr>
                <w:sz w:val="18"/>
                <w:szCs w:val="18"/>
              </w:rPr>
            </w:pPr>
            <w:r w:rsidRPr="00CB21A5">
              <w:rPr>
                <w:rFonts w:cs="Segoe UI"/>
                <w:color w:val="000000"/>
                <w:sz w:val="18"/>
                <w:szCs w:val="18"/>
              </w:rPr>
              <w:lastRenderedPageBreak/>
              <w:t>Gender</w:t>
            </w:r>
          </w:p>
        </w:tc>
        <w:tc>
          <w:tcPr>
            <w:tcW w:w="2231" w:type="dxa"/>
            <w:shd w:val="clear" w:color="auto" w:fill="auto"/>
          </w:tcPr>
          <w:p w14:paraId="650966B3" w14:textId="52F829B8" w:rsidR="00302BFE" w:rsidRPr="00CB21A5" w:rsidRDefault="001B5648" w:rsidP="00243B15">
            <w:pPr>
              <w:jc w:val="left"/>
              <w:rPr>
                <w:sz w:val="18"/>
                <w:szCs w:val="18"/>
              </w:rPr>
            </w:pPr>
            <w:r w:rsidRPr="00CB21A5">
              <w:rPr>
                <w:rFonts w:cs="Segoe UI"/>
                <w:color w:val="000000"/>
                <w:sz w:val="18"/>
                <w:szCs w:val="18"/>
                <w:lang w:val="en-CA"/>
              </w:rPr>
              <w:t>The project activities implemented by local population can lead to impact on gender balance and on traditional social roles in the local communities.</w:t>
            </w:r>
          </w:p>
        </w:tc>
        <w:tc>
          <w:tcPr>
            <w:tcW w:w="1761" w:type="dxa"/>
            <w:shd w:val="clear" w:color="auto" w:fill="auto"/>
          </w:tcPr>
          <w:p w14:paraId="34B5BD44" w14:textId="156546D2" w:rsidR="00302BFE" w:rsidRPr="00CB21A5" w:rsidRDefault="001B5648" w:rsidP="00243B15">
            <w:pPr>
              <w:rPr>
                <w:sz w:val="18"/>
                <w:szCs w:val="18"/>
              </w:rPr>
            </w:pPr>
            <w:r w:rsidRPr="00CB21A5">
              <w:rPr>
                <w:rFonts w:eastAsia="Cambria"/>
                <w:sz w:val="18"/>
                <w:szCs w:val="18"/>
                <w:lang w:val="en-GB"/>
              </w:rPr>
              <w:t>Substantial</w:t>
            </w:r>
          </w:p>
        </w:tc>
        <w:tc>
          <w:tcPr>
            <w:tcW w:w="5508" w:type="dxa"/>
            <w:shd w:val="clear" w:color="auto" w:fill="auto"/>
          </w:tcPr>
          <w:p w14:paraId="7800E938" w14:textId="77777777" w:rsidR="001B5648" w:rsidRPr="00CB21A5" w:rsidRDefault="001B5648" w:rsidP="001B5648">
            <w:pPr>
              <w:spacing w:after="0"/>
              <w:jc w:val="left"/>
              <w:rPr>
                <w:sz w:val="18"/>
                <w:szCs w:val="18"/>
              </w:rPr>
            </w:pPr>
            <w:r w:rsidRPr="00CB21A5">
              <w:rPr>
                <w:sz w:val="18"/>
                <w:szCs w:val="18"/>
              </w:rPr>
              <w:t>The mitigations measures, developed also in the Gender Action Plan, will be included in the ESMP. This risk will be managed also through the Indigenous Peoples Plan and through the implementation of the Comprehensive Stakeholder Engagement Plan.</w:t>
            </w:r>
          </w:p>
          <w:p w14:paraId="5600037A" w14:textId="77777777" w:rsidR="001B5648" w:rsidRPr="00CB21A5" w:rsidRDefault="001B5648" w:rsidP="001B5648">
            <w:pPr>
              <w:spacing w:after="0"/>
              <w:jc w:val="left"/>
              <w:rPr>
                <w:sz w:val="18"/>
                <w:szCs w:val="18"/>
              </w:rPr>
            </w:pPr>
          </w:p>
          <w:p w14:paraId="2E3B586D" w14:textId="0B2EEAAE" w:rsidR="00302BFE" w:rsidRPr="00CB21A5" w:rsidRDefault="001B5648" w:rsidP="00243B15">
            <w:pPr>
              <w:pStyle w:val="PIFPara"/>
              <w:numPr>
                <w:ilvl w:val="0"/>
                <w:numId w:val="0"/>
              </w:numPr>
              <w:spacing w:after="40"/>
              <w:jc w:val="left"/>
              <w:rPr>
                <w:rFonts w:ascii="Calibri" w:eastAsia="Calibri" w:hAnsi="Calibri"/>
                <w:sz w:val="18"/>
                <w:szCs w:val="18"/>
                <w:lang w:val="en-US"/>
              </w:rPr>
            </w:pPr>
            <w:r w:rsidRPr="00CB21A5">
              <w:rPr>
                <w:sz w:val="18"/>
                <w:szCs w:val="18"/>
                <w:lang w:val="en-US"/>
              </w:rPr>
              <w:t>The Grievance Redress mechanism that will take into consideration the local grievance mechanism already in place will be implemented during the project’s implementation and will support the mitigation of the identified risk.</w:t>
            </w:r>
          </w:p>
        </w:tc>
      </w:tr>
      <w:tr w:rsidR="00302BFE" w:rsidRPr="006E490C" w14:paraId="6951F249" w14:textId="77777777" w:rsidTr="00755BF9">
        <w:tc>
          <w:tcPr>
            <w:tcW w:w="1290" w:type="dxa"/>
            <w:shd w:val="clear" w:color="auto" w:fill="auto"/>
          </w:tcPr>
          <w:p w14:paraId="0C81598A" w14:textId="77777777" w:rsidR="00302BFE" w:rsidRPr="006E490C" w:rsidRDefault="00302BFE" w:rsidP="00243B15">
            <w:pPr>
              <w:rPr>
                <w:sz w:val="18"/>
                <w:szCs w:val="18"/>
              </w:rPr>
            </w:pPr>
            <w:r w:rsidRPr="006E490C">
              <w:rPr>
                <w:sz w:val="18"/>
                <w:szCs w:val="18"/>
              </w:rPr>
              <w:t>Economic</w:t>
            </w:r>
          </w:p>
        </w:tc>
        <w:tc>
          <w:tcPr>
            <w:tcW w:w="2231" w:type="dxa"/>
            <w:shd w:val="clear" w:color="auto" w:fill="auto"/>
          </w:tcPr>
          <w:p w14:paraId="5954ACDE" w14:textId="77777777" w:rsidR="00302BFE" w:rsidRPr="006E490C" w:rsidRDefault="00302BFE" w:rsidP="00243B15">
            <w:pPr>
              <w:jc w:val="left"/>
              <w:rPr>
                <w:sz w:val="18"/>
                <w:szCs w:val="18"/>
                <w:lang w:val="en-CA"/>
              </w:rPr>
            </w:pPr>
            <w:r w:rsidRPr="006E490C">
              <w:rPr>
                <w:rFonts w:cs="Segoe UI"/>
                <w:color w:val="000000"/>
                <w:sz w:val="18"/>
                <w:szCs w:val="18"/>
                <w:lang w:val="en-CA"/>
              </w:rPr>
              <w:t xml:space="preserve">Falling market prices for products developed by the value chains could reduce the benefits to the local communities involved. </w:t>
            </w:r>
          </w:p>
        </w:tc>
        <w:tc>
          <w:tcPr>
            <w:tcW w:w="1761" w:type="dxa"/>
            <w:shd w:val="clear" w:color="auto" w:fill="auto"/>
          </w:tcPr>
          <w:p w14:paraId="2078A129" w14:textId="77777777" w:rsidR="00302BFE" w:rsidRPr="006E490C" w:rsidRDefault="00302BFE" w:rsidP="00243B15">
            <w:pPr>
              <w:rPr>
                <w:sz w:val="18"/>
                <w:szCs w:val="18"/>
              </w:rPr>
            </w:pPr>
            <w:r w:rsidRPr="006E490C">
              <w:rPr>
                <w:sz w:val="18"/>
                <w:szCs w:val="18"/>
              </w:rPr>
              <w:t>Low</w:t>
            </w:r>
          </w:p>
        </w:tc>
        <w:tc>
          <w:tcPr>
            <w:tcW w:w="5508" w:type="dxa"/>
            <w:shd w:val="clear" w:color="auto" w:fill="auto"/>
          </w:tcPr>
          <w:p w14:paraId="4ECB5392" w14:textId="77777777" w:rsidR="00302BFE" w:rsidRPr="006E490C" w:rsidRDefault="00302BFE" w:rsidP="00243B15">
            <w:pPr>
              <w:jc w:val="left"/>
              <w:rPr>
                <w:sz w:val="18"/>
                <w:szCs w:val="18"/>
              </w:rPr>
            </w:pPr>
            <w:r w:rsidRPr="006E490C">
              <w:rPr>
                <w:sz w:val="18"/>
                <w:szCs w:val="18"/>
                <w:lang w:val="en-GB"/>
              </w:rPr>
              <w:t>Under Output 3.3, the project will support the development of sustainable value chains, focus on three promising value chains whose potential in the PONASI landscape has been recently highlighted (</w:t>
            </w:r>
            <w:proofErr w:type="spellStart"/>
            <w:r w:rsidRPr="006E490C">
              <w:rPr>
                <w:sz w:val="18"/>
                <w:szCs w:val="18"/>
                <w:lang w:val="en-GB"/>
              </w:rPr>
              <w:t>Naturama</w:t>
            </w:r>
            <w:proofErr w:type="spellEnd"/>
            <w:r w:rsidRPr="006E490C">
              <w:rPr>
                <w:sz w:val="18"/>
                <w:szCs w:val="18"/>
                <w:lang w:val="en-GB"/>
              </w:rPr>
              <w:t xml:space="preserve">, 2016). The Output 3.3.1 – </w:t>
            </w:r>
            <w:r w:rsidRPr="006E490C">
              <w:rPr>
                <w:i/>
                <w:sz w:val="18"/>
                <w:szCs w:val="18"/>
                <w:lang w:val="en-GB"/>
              </w:rPr>
              <w:t>Market studies for the three non-timber forest products value chains</w:t>
            </w:r>
            <w:r w:rsidRPr="006E490C">
              <w:rPr>
                <w:sz w:val="18"/>
                <w:szCs w:val="18"/>
                <w:lang w:val="en-GB"/>
              </w:rPr>
              <w:t xml:space="preserve"> will ensure that a market assessment is conducted for each product to reduce uncertainties and risks and to know the chances of success before generating hope and engaging local communities. These market studies will have to be based on existing and recent data, supplemented as necessary by the search for additional information in the field. Studies should focus at a minimum on the analysis of supply for these products throughout the PONASI landscape and in the rest of the country, and the analysis of demand by a market study at national, sub-regional (Mali, Ivory Coast, Ghana, Niger, Togo, Senegal) levels for </w:t>
            </w:r>
            <w:proofErr w:type="spellStart"/>
            <w:r w:rsidRPr="006E490C">
              <w:rPr>
                <w:sz w:val="18"/>
                <w:szCs w:val="18"/>
                <w:lang w:val="en-GB"/>
              </w:rPr>
              <w:t>goine</w:t>
            </w:r>
            <w:proofErr w:type="spellEnd"/>
            <w:r w:rsidRPr="006E490C">
              <w:rPr>
                <w:sz w:val="18"/>
                <w:szCs w:val="18"/>
                <w:lang w:val="en-GB"/>
              </w:rPr>
              <w:t xml:space="preserve"> liana juice and honey) and international (for organic shea butter).</w:t>
            </w:r>
          </w:p>
        </w:tc>
      </w:tr>
      <w:tr w:rsidR="003A0ADA" w:rsidRPr="00EC2466" w14:paraId="2A1292FB" w14:textId="77777777" w:rsidTr="00755BF9">
        <w:tc>
          <w:tcPr>
            <w:tcW w:w="1290" w:type="dxa"/>
            <w:shd w:val="clear" w:color="auto" w:fill="auto"/>
          </w:tcPr>
          <w:p w14:paraId="35055B27" w14:textId="62C0C7B9" w:rsidR="00DC7D98" w:rsidRPr="0099310D" w:rsidRDefault="003A0ADA" w:rsidP="00243B15">
            <w:pPr>
              <w:rPr>
                <w:sz w:val="18"/>
                <w:szCs w:val="18"/>
              </w:rPr>
            </w:pPr>
            <w:r w:rsidRPr="0099310D">
              <w:rPr>
                <w:sz w:val="18"/>
                <w:szCs w:val="18"/>
              </w:rPr>
              <w:t>Economic</w:t>
            </w:r>
          </w:p>
        </w:tc>
        <w:tc>
          <w:tcPr>
            <w:tcW w:w="2231" w:type="dxa"/>
            <w:shd w:val="clear" w:color="auto" w:fill="auto"/>
          </w:tcPr>
          <w:p w14:paraId="2986A450" w14:textId="2EF8D36E" w:rsidR="00896FAA" w:rsidRPr="0099310D" w:rsidRDefault="00896FAA" w:rsidP="00896FAA">
            <w:pPr>
              <w:jc w:val="left"/>
              <w:rPr>
                <w:rFonts w:cs="Segoe UI"/>
                <w:color w:val="000000"/>
                <w:sz w:val="18"/>
                <w:szCs w:val="18"/>
                <w:lang w:val="en-CA"/>
              </w:rPr>
            </w:pPr>
            <w:r w:rsidRPr="0099310D">
              <w:rPr>
                <w:rFonts w:cs="Segoe UI"/>
                <w:color w:val="000000"/>
                <w:sz w:val="18"/>
                <w:szCs w:val="18"/>
                <w:lang w:val="en-CA"/>
              </w:rPr>
              <w:t xml:space="preserve">The possibility of the temporary closure of hunting </w:t>
            </w:r>
            <w:r w:rsidRPr="0099310D">
              <w:rPr>
                <w:sz w:val="18"/>
                <w:szCs w:val="18"/>
                <w:lang w:val="en-CA"/>
              </w:rPr>
              <w:t xml:space="preserve">in the RGN, </w:t>
            </w:r>
            <w:proofErr w:type="spellStart"/>
            <w:r w:rsidRPr="0099310D">
              <w:rPr>
                <w:sz w:val="18"/>
                <w:szCs w:val="18"/>
                <w:lang w:val="en-CA"/>
              </w:rPr>
              <w:t>Sissili</w:t>
            </w:r>
            <w:proofErr w:type="spellEnd"/>
            <w:r w:rsidRPr="0099310D">
              <w:rPr>
                <w:sz w:val="18"/>
                <w:szCs w:val="18"/>
                <w:lang w:val="en-CA"/>
              </w:rPr>
              <w:t xml:space="preserve"> CF and ZOVICs </w:t>
            </w:r>
            <w:r w:rsidRPr="0099310D">
              <w:rPr>
                <w:rFonts w:cs="Segoe UI"/>
                <w:color w:val="000000"/>
                <w:sz w:val="18"/>
                <w:szCs w:val="18"/>
                <w:lang w:val="en-CA"/>
              </w:rPr>
              <w:t>will result in short-term loss of income for concessionaires and the Government and the loss of a subsistence activity and source of income for local communities.</w:t>
            </w:r>
          </w:p>
        </w:tc>
        <w:tc>
          <w:tcPr>
            <w:tcW w:w="1761" w:type="dxa"/>
            <w:shd w:val="clear" w:color="auto" w:fill="auto"/>
          </w:tcPr>
          <w:p w14:paraId="2D5A4CEF" w14:textId="0F695EE2" w:rsidR="003A0ADA" w:rsidRPr="0099310D" w:rsidRDefault="003A0ADA" w:rsidP="00243B15">
            <w:pPr>
              <w:rPr>
                <w:sz w:val="18"/>
                <w:szCs w:val="18"/>
                <w:lang w:val="fr-CA"/>
              </w:rPr>
            </w:pPr>
            <w:r w:rsidRPr="0099310D">
              <w:rPr>
                <w:sz w:val="18"/>
                <w:szCs w:val="18"/>
                <w:lang w:val="fr-CA"/>
              </w:rPr>
              <w:t>High</w:t>
            </w:r>
          </w:p>
        </w:tc>
        <w:tc>
          <w:tcPr>
            <w:tcW w:w="5508" w:type="dxa"/>
            <w:shd w:val="clear" w:color="auto" w:fill="auto"/>
          </w:tcPr>
          <w:p w14:paraId="7C462551" w14:textId="1371E9E4" w:rsidR="00EC2466" w:rsidRPr="0099310D" w:rsidRDefault="00EB1E6E" w:rsidP="00896FAA">
            <w:pPr>
              <w:rPr>
                <w:sz w:val="18"/>
                <w:szCs w:val="18"/>
                <w:lang w:val="en-CA"/>
              </w:rPr>
            </w:pPr>
            <w:r w:rsidRPr="0099310D">
              <w:rPr>
                <w:sz w:val="18"/>
                <w:szCs w:val="18"/>
                <w:lang w:val="en-CA"/>
              </w:rPr>
              <w:t xml:space="preserve">Under Output 2.2.2, a comprehensive review of the management of wild game hunting in the RGN, </w:t>
            </w:r>
            <w:proofErr w:type="spellStart"/>
            <w:r w:rsidRPr="0099310D">
              <w:rPr>
                <w:sz w:val="18"/>
                <w:szCs w:val="18"/>
                <w:lang w:val="en-CA"/>
              </w:rPr>
              <w:t>Sissili</w:t>
            </w:r>
            <w:proofErr w:type="spellEnd"/>
            <w:r w:rsidRPr="0099310D">
              <w:rPr>
                <w:sz w:val="18"/>
                <w:szCs w:val="18"/>
                <w:lang w:val="en-CA"/>
              </w:rPr>
              <w:t xml:space="preserve"> CF and ZOVICs since their creation will document the socio-economic impacts and the status of game populations. This study will document the costs and benefits for the various stakeholders, </w:t>
            </w:r>
            <w:proofErr w:type="gramStart"/>
            <w:r w:rsidRPr="0099310D">
              <w:rPr>
                <w:sz w:val="18"/>
                <w:szCs w:val="18"/>
                <w:lang w:val="en-CA"/>
              </w:rPr>
              <w:t>i.e.</w:t>
            </w:r>
            <w:proofErr w:type="gramEnd"/>
            <w:r w:rsidRPr="0099310D">
              <w:rPr>
                <w:sz w:val="18"/>
                <w:szCs w:val="18"/>
                <w:lang w:val="en-CA"/>
              </w:rPr>
              <w:t xml:space="preserve"> the Government, the concessionaires and the local populations, and will thus allow predicting the socio-economic consequences of a possible closure of hunting in these sites.</w:t>
            </w:r>
            <w:r w:rsidR="00C6121E" w:rsidRPr="0099310D">
              <w:rPr>
                <w:sz w:val="18"/>
                <w:szCs w:val="18"/>
                <w:lang w:val="en-CA"/>
              </w:rPr>
              <w:t xml:space="preserve"> The decision to close the hunting will be based on the recognition of the unsustainability of hunting as currently managed and the inability of game populations to withstand the pressure of hunting due to a worrying decline in populations. Observations in the last decade indicate that local communities now derive little benefits from hunting activities and would therefore experience little short-term impact from a hunting closure.</w:t>
            </w:r>
            <w:r w:rsidR="00EC2466" w:rsidRPr="0099310D">
              <w:rPr>
                <w:sz w:val="18"/>
                <w:szCs w:val="18"/>
                <w:lang w:val="en-CA"/>
              </w:rPr>
              <w:t xml:space="preserve"> A decrease in game populations will affect the revenues of the Government and the concessionaires in the medium and long term, so that the impact of the closure of the hunting will only negatively affect them in the short term, while all stakeholders will benefit from a medium-term closure by avoiding a permanent loss of the resources that support this activity. The project will support various projects that will allow a diversification of sources of income for local populations, which will help to alleviate the effects of the closure of hunting in ZOVICs.</w:t>
            </w:r>
          </w:p>
        </w:tc>
      </w:tr>
      <w:tr w:rsidR="00FB7FE9" w:rsidRPr="006E490C" w14:paraId="17748AD2" w14:textId="77777777" w:rsidTr="00644322">
        <w:tc>
          <w:tcPr>
            <w:tcW w:w="1290" w:type="dxa"/>
            <w:vMerge w:val="restart"/>
            <w:shd w:val="clear" w:color="auto" w:fill="auto"/>
          </w:tcPr>
          <w:p w14:paraId="07C8CA17" w14:textId="77777777" w:rsidR="00FB7FE9" w:rsidRPr="00CB21A5" w:rsidRDefault="00FB7FE9" w:rsidP="00243B15">
            <w:pPr>
              <w:spacing w:after="0"/>
              <w:jc w:val="left"/>
              <w:rPr>
                <w:rFonts w:cs="Segoe UI"/>
                <w:color w:val="000000"/>
                <w:sz w:val="18"/>
                <w:szCs w:val="18"/>
                <w:lang w:val="en-CA"/>
              </w:rPr>
            </w:pPr>
            <w:r w:rsidRPr="00CB21A5">
              <w:rPr>
                <w:rFonts w:cs="Segoe UI"/>
                <w:color w:val="000000"/>
                <w:sz w:val="18"/>
                <w:szCs w:val="18"/>
                <w:lang w:val="en-CA"/>
              </w:rPr>
              <w:t>Environmental</w:t>
            </w:r>
          </w:p>
        </w:tc>
        <w:tc>
          <w:tcPr>
            <w:tcW w:w="2231" w:type="dxa"/>
            <w:shd w:val="clear" w:color="auto" w:fill="auto"/>
          </w:tcPr>
          <w:p w14:paraId="491BC9CE" w14:textId="77777777" w:rsidR="00FB7FE9" w:rsidRPr="00CB21A5" w:rsidRDefault="00FB7FE9" w:rsidP="00755BF9">
            <w:pPr>
              <w:ind w:right="72"/>
              <w:rPr>
                <w:rFonts w:cs="Segoe UI"/>
                <w:color w:val="000000"/>
                <w:sz w:val="18"/>
                <w:szCs w:val="18"/>
                <w:lang w:val="en-CA"/>
              </w:rPr>
            </w:pPr>
            <w:r w:rsidRPr="00CB21A5">
              <w:rPr>
                <w:rFonts w:cs="Segoe UI"/>
                <w:color w:val="000000"/>
                <w:sz w:val="18"/>
                <w:szCs w:val="18"/>
                <w:lang w:val="en-CA"/>
              </w:rPr>
              <w:t>The project can, directly or indirectly lead to increased exploitation of natural resources and ecosystems/biodiversity, considering that project activities are located in or near critical habitats and / or ecologically sensitive areas, including legally protected areas (</w:t>
            </w:r>
            <w:proofErr w:type="spellStart"/>
            <w:proofErr w:type="gramStart"/>
            <w:r w:rsidRPr="00CB21A5">
              <w:rPr>
                <w:rFonts w:cs="Segoe UI"/>
                <w:color w:val="000000"/>
                <w:sz w:val="18"/>
                <w:szCs w:val="18"/>
                <w:lang w:val="en-CA"/>
              </w:rPr>
              <w:t>eg</w:t>
            </w:r>
            <w:proofErr w:type="spellEnd"/>
            <w:proofErr w:type="gramEnd"/>
            <w:r w:rsidRPr="00CB21A5">
              <w:rPr>
                <w:rFonts w:cs="Segoe UI"/>
                <w:color w:val="000000"/>
                <w:sz w:val="18"/>
                <w:szCs w:val="18"/>
                <w:lang w:val="en-CA"/>
              </w:rPr>
              <w:t xml:space="preserve"> nature reserve, national park).</w:t>
            </w:r>
          </w:p>
          <w:p w14:paraId="3CFD9997" w14:textId="21EDDDF8" w:rsidR="00FB7FE9" w:rsidRPr="00CB21A5" w:rsidRDefault="00FB7FE9" w:rsidP="00243B15">
            <w:pPr>
              <w:jc w:val="left"/>
              <w:rPr>
                <w:rFonts w:cs="Segoe UI"/>
                <w:color w:val="000000"/>
                <w:sz w:val="18"/>
                <w:szCs w:val="18"/>
                <w:lang w:val="en-CA"/>
              </w:rPr>
            </w:pPr>
          </w:p>
        </w:tc>
        <w:tc>
          <w:tcPr>
            <w:tcW w:w="1761" w:type="dxa"/>
            <w:shd w:val="clear" w:color="auto" w:fill="auto"/>
          </w:tcPr>
          <w:p w14:paraId="67FA0966" w14:textId="3D6934E2" w:rsidR="00FB7FE9" w:rsidRPr="00CB21A5" w:rsidRDefault="00FB7FE9" w:rsidP="00243B15">
            <w:pPr>
              <w:rPr>
                <w:sz w:val="18"/>
                <w:szCs w:val="18"/>
              </w:rPr>
            </w:pPr>
            <w:r w:rsidRPr="00CB21A5">
              <w:rPr>
                <w:sz w:val="18"/>
                <w:szCs w:val="18"/>
              </w:rPr>
              <w:lastRenderedPageBreak/>
              <w:t>Substantial</w:t>
            </w:r>
          </w:p>
        </w:tc>
        <w:tc>
          <w:tcPr>
            <w:tcW w:w="5508" w:type="dxa"/>
            <w:shd w:val="clear" w:color="auto" w:fill="auto"/>
          </w:tcPr>
          <w:p w14:paraId="40D1CD73" w14:textId="77777777" w:rsidR="00FB7FE9" w:rsidRPr="00CB21A5" w:rsidRDefault="00FB7FE9" w:rsidP="00087B9C">
            <w:pPr>
              <w:rPr>
                <w:sz w:val="18"/>
                <w:szCs w:val="18"/>
              </w:rPr>
            </w:pPr>
            <w:r w:rsidRPr="00CB21A5">
              <w:rPr>
                <w:sz w:val="18"/>
                <w:szCs w:val="18"/>
              </w:rPr>
              <w:t>The management of this risk will be included into the ESMP, based on ESIA findings.</w:t>
            </w:r>
          </w:p>
          <w:p w14:paraId="4BC3986E" w14:textId="77777777" w:rsidR="00FB7FE9" w:rsidRPr="00CB21A5" w:rsidRDefault="00FB7FE9" w:rsidP="00087B9C">
            <w:pPr>
              <w:rPr>
                <w:sz w:val="18"/>
                <w:szCs w:val="18"/>
              </w:rPr>
            </w:pPr>
          </w:p>
          <w:p w14:paraId="29BBA421" w14:textId="77777777" w:rsidR="00FB7FE9" w:rsidRPr="00CB21A5" w:rsidRDefault="00FB7FE9" w:rsidP="00087B9C">
            <w:pPr>
              <w:rPr>
                <w:sz w:val="18"/>
                <w:szCs w:val="18"/>
              </w:rPr>
            </w:pPr>
            <w:r w:rsidRPr="00CB21A5">
              <w:rPr>
                <w:sz w:val="18"/>
                <w:szCs w:val="18"/>
              </w:rPr>
              <w:t xml:space="preserve">The project will ensure that the safeguards requirements are reflected in the emerging management framework over the course of the project. </w:t>
            </w:r>
          </w:p>
          <w:p w14:paraId="006B8508" w14:textId="77777777" w:rsidR="00FB7FE9" w:rsidRPr="00CB21A5" w:rsidRDefault="00FB7FE9" w:rsidP="00087B9C">
            <w:pPr>
              <w:rPr>
                <w:sz w:val="18"/>
                <w:szCs w:val="18"/>
              </w:rPr>
            </w:pPr>
            <w:r w:rsidRPr="00CB21A5">
              <w:rPr>
                <w:sz w:val="18"/>
                <w:szCs w:val="18"/>
              </w:rPr>
              <w:t>In replication efforts, which are linked to knowledge management under the project, care will be given to highlight the lessons learnt on risks.</w:t>
            </w:r>
          </w:p>
          <w:p w14:paraId="362A6AAD" w14:textId="77777777" w:rsidR="00FB7FE9" w:rsidRPr="00CB21A5" w:rsidRDefault="00FB7FE9" w:rsidP="00087B9C">
            <w:pPr>
              <w:rPr>
                <w:sz w:val="18"/>
                <w:szCs w:val="18"/>
              </w:rPr>
            </w:pPr>
          </w:p>
          <w:p w14:paraId="4A124C9C" w14:textId="131D365C" w:rsidR="00FB7FE9" w:rsidRPr="00CB21A5" w:rsidRDefault="00FB7FE9" w:rsidP="00087B9C">
            <w:pPr>
              <w:rPr>
                <w:sz w:val="18"/>
                <w:szCs w:val="18"/>
              </w:rPr>
            </w:pPr>
            <w:r w:rsidRPr="00CB21A5">
              <w:rPr>
                <w:sz w:val="18"/>
                <w:szCs w:val="18"/>
              </w:rPr>
              <w:t>The identified measures will mitigate also the risk related to t</w:t>
            </w:r>
            <w:r w:rsidRPr="00CB21A5">
              <w:rPr>
                <w:rFonts w:cs="Segoe UI"/>
                <w:color w:val="000000"/>
                <w:sz w:val="18"/>
                <w:szCs w:val="18"/>
                <w:lang w:val="en-CA"/>
              </w:rPr>
              <w:t>he presence of barriers to elephant movements that could cause local overload of critical habitat.</w:t>
            </w:r>
          </w:p>
          <w:p w14:paraId="35BE3881" w14:textId="77777777" w:rsidR="00FB7FE9" w:rsidRPr="00CB21A5" w:rsidRDefault="00FB7FE9" w:rsidP="00087B9C">
            <w:pPr>
              <w:rPr>
                <w:sz w:val="18"/>
                <w:szCs w:val="18"/>
              </w:rPr>
            </w:pPr>
          </w:p>
          <w:p w14:paraId="7E477C32" w14:textId="022969B3" w:rsidR="00FB7FE9" w:rsidRPr="00CB21A5" w:rsidRDefault="00FB7FE9" w:rsidP="00087B9C">
            <w:pPr>
              <w:rPr>
                <w:sz w:val="18"/>
                <w:szCs w:val="18"/>
              </w:rPr>
            </w:pPr>
          </w:p>
        </w:tc>
      </w:tr>
      <w:tr w:rsidR="00FB7FE9" w:rsidRPr="006E490C" w14:paraId="4CCA5EB5" w14:textId="77777777" w:rsidTr="00644322">
        <w:tc>
          <w:tcPr>
            <w:tcW w:w="1290" w:type="dxa"/>
            <w:vMerge/>
            <w:shd w:val="clear" w:color="auto" w:fill="auto"/>
          </w:tcPr>
          <w:p w14:paraId="6CFE491E" w14:textId="77777777" w:rsidR="00FB7FE9" w:rsidRPr="006E490C" w:rsidRDefault="00FB7FE9" w:rsidP="00243B15">
            <w:pPr>
              <w:rPr>
                <w:sz w:val="18"/>
                <w:szCs w:val="18"/>
              </w:rPr>
            </w:pPr>
          </w:p>
        </w:tc>
        <w:tc>
          <w:tcPr>
            <w:tcW w:w="2231" w:type="dxa"/>
            <w:shd w:val="clear" w:color="auto" w:fill="auto"/>
          </w:tcPr>
          <w:p w14:paraId="7247F1E4" w14:textId="09C8A9A2" w:rsidR="00FB7FE9" w:rsidRPr="006321E8" w:rsidRDefault="00FB7FE9" w:rsidP="00243B15">
            <w:pPr>
              <w:jc w:val="left"/>
              <w:rPr>
                <w:sz w:val="18"/>
                <w:szCs w:val="18"/>
              </w:rPr>
            </w:pPr>
            <w:r w:rsidRPr="006321E8">
              <w:rPr>
                <w:rFonts w:cs="Segoe UI"/>
                <w:color w:val="000000"/>
                <w:sz w:val="18"/>
                <w:szCs w:val="18"/>
                <w:lang w:val="en-CA"/>
              </w:rPr>
              <w:t>Project’s activities increase the vulnerabilities of populations (especially women living in rural areas) to the effects of climate change.</w:t>
            </w:r>
          </w:p>
        </w:tc>
        <w:tc>
          <w:tcPr>
            <w:tcW w:w="1761" w:type="dxa"/>
            <w:shd w:val="clear" w:color="auto" w:fill="auto"/>
          </w:tcPr>
          <w:p w14:paraId="4D17AA8B" w14:textId="77777777" w:rsidR="00FB7FE9" w:rsidRPr="006321E8" w:rsidRDefault="00FB7FE9" w:rsidP="00243B15">
            <w:pPr>
              <w:rPr>
                <w:sz w:val="18"/>
                <w:szCs w:val="18"/>
              </w:rPr>
            </w:pPr>
            <w:r w:rsidRPr="006321E8">
              <w:rPr>
                <w:rFonts w:eastAsia="Cambria"/>
                <w:sz w:val="18"/>
                <w:szCs w:val="18"/>
                <w:lang w:val="en-GB"/>
              </w:rPr>
              <w:t>Moderate</w:t>
            </w:r>
          </w:p>
        </w:tc>
        <w:tc>
          <w:tcPr>
            <w:tcW w:w="5508" w:type="dxa"/>
            <w:shd w:val="clear" w:color="auto" w:fill="auto"/>
          </w:tcPr>
          <w:p w14:paraId="1FF673EF" w14:textId="2DBE2CE8" w:rsidR="00FB7FE9" w:rsidRPr="006321E8" w:rsidRDefault="00FB7FE9" w:rsidP="00243B15">
            <w:pPr>
              <w:jc w:val="left"/>
              <w:rPr>
                <w:sz w:val="18"/>
                <w:szCs w:val="18"/>
              </w:rPr>
            </w:pPr>
            <w:r w:rsidRPr="006321E8">
              <w:rPr>
                <w:sz w:val="18"/>
                <w:szCs w:val="18"/>
              </w:rPr>
              <w:t xml:space="preserve">This risk has been managed through the design of the project and will be further examined </w:t>
            </w:r>
            <w:proofErr w:type="gramStart"/>
            <w:r w:rsidRPr="006321E8">
              <w:rPr>
                <w:sz w:val="18"/>
                <w:szCs w:val="18"/>
              </w:rPr>
              <w:t>in the course of</w:t>
            </w:r>
            <w:proofErr w:type="gramEnd"/>
            <w:r w:rsidRPr="006321E8">
              <w:rPr>
                <w:sz w:val="18"/>
                <w:szCs w:val="18"/>
              </w:rPr>
              <w:t xml:space="preserve"> the ESIA, based on the ESMF, and included in the ESMP as determined necessary.</w:t>
            </w:r>
          </w:p>
        </w:tc>
      </w:tr>
      <w:tr w:rsidR="00FB7FE9" w:rsidRPr="006E490C" w14:paraId="5C6D1DF6" w14:textId="77777777" w:rsidTr="001B5648">
        <w:tc>
          <w:tcPr>
            <w:tcW w:w="1290" w:type="dxa"/>
            <w:vMerge/>
            <w:shd w:val="clear" w:color="auto" w:fill="auto"/>
          </w:tcPr>
          <w:p w14:paraId="1CD7E7E8" w14:textId="77777777" w:rsidR="00FB7FE9" w:rsidRPr="006E490C" w:rsidRDefault="00FB7FE9" w:rsidP="00243B15">
            <w:pPr>
              <w:rPr>
                <w:sz w:val="18"/>
                <w:szCs w:val="18"/>
              </w:rPr>
            </w:pPr>
          </w:p>
        </w:tc>
        <w:tc>
          <w:tcPr>
            <w:tcW w:w="2231" w:type="dxa"/>
            <w:shd w:val="clear" w:color="auto" w:fill="auto"/>
          </w:tcPr>
          <w:p w14:paraId="21E8703F" w14:textId="7A44724B" w:rsidR="00FB7FE9" w:rsidRPr="006321E8" w:rsidRDefault="00FB7FE9" w:rsidP="00243B15">
            <w:pPr>
              <w:jc w:val="left"/>
              <w:rPr>
                <w:rFonts w:cs="Segoe UI"/>
                <w:color w:val="000000"/>
                <w:sz w:val="18"/>
                <w:szCs w:val="18"/>
                <w:lang w:val="en-CA"/>
              </w:rPr>
            </w:pPr>
            <w:r w:rsidRPr="006321E8">
              <w:rPr>
                <w:rFonts w:cs="Segoe UI"/>
                <w:color w:val="000000"/>
                <w:sz w:val="18"/>
                <w:szCs w:val="18"/>
                <w:lang w:val="en-CA"/>
              </w:rPr>
              <w:t>The project may pose the risk of introducing invasive alien species as part of support to agroforestry systems, that can have a negative impact on ecosystems.</w:t>
            </w:r>
          </w:p>
        </w:tc>
        <w:tc>
          <w:tcPr>
            <w:tcW w:w="1761" w:type="dxa"/>
            <w:shd w:val="clear" w:color="auto" w:fill="auto"/>
          </w:tcPr>
          <w:p w14:paraId="6D26E6DE" w14:textId="131C2166" w:rsidR="00FB7FE9" w:rsidRPr="006321E8" w:rsidRDefault="00FB7FE9" w:rsidP="00243B15">
            <w:pPr>
              <w:rPr>
                <w:rFonts w:eastAsia="Cambria"/>
                <w:sz w:val="18"/>
                <w:szCs w:val="18"/>
                <w:lang w:val="en-GB"/>
              </w:rPr>
            </w:pPr>
            <w:r w:rsidRPr="006321E8">
              <w:rPr>
                <w:rFonts w:eastAsia="Cambria"/>
                <w:sz w:val="18"/>
                <w:szCs w:val="18"/>
                <w:lang w:val="en-GB"/>
              </w:rPr>
              <w:t>Moderate</w:t>
            </w:r>
          </w:p>
        </w:tc>
        <w:tc>
          <w:tcPr>
            <w:tcW w:w="5508" w:type="dxa"/>
            <w:shd w:val="clear" w:color="auto" w:fill="auto"/>
          </w:tcPr>
          <w:p w14:paraId="2D75CCF5" w14:textId="77777777" w:rsidR="00FB7FE9" w:rsidRPr="006321E8" w:rsidRDefault="00FB7FE9" w:rsidP="00FB7FE9">
            <w:pPr>
              <w:jc w:val="left"/>
              <w:rPr>
                <w:sz w:val="18"/>
                <w:szCs w:val="18"/>
              </w:rPr>
            </w:pPr>
            <w:r w:rsidRPr="006321E8">
              <w:rPr>
                <w:sz w:val="18"/>
                <w:szCs w:val="18"/>
              </w:rPr>
              <w:t>The management of this risk will be included into the ESMP, based on ESIA findings.</w:t>
            </w:r>
          </w:p>
          <w:p w14:paraId="32F59FAB" w14:textId="77777777" w:rsidR="00FB7FE9" w:rsidRPr="006321E8" w:rsidRDefault="00FB7FE9" w:rsidP="00FB7FE9">
            <w:pPr>
              <w:jc w:val="left"/>
              <w:rPr>
                <w:sz w:val="18"/>
                <w:szCs w:val="18"/>
              </w:rPr>
            </w:pPr>
            <w:r w:rsidRPr="006321E8">
              <w:rPr>
                <w:sz w:val="18"/>
                <w:szCs w:val="18"/>
              </w:rPr>
              <w:t xml:space="preserve">To restore land resources (biodiversity, soil, land) in the village terroirs of the pilot sites, the project will support the participatory planning and implementation of SLM measures to counter erosion and restore degraded lands through various approaches including agroforestry and introduction of climate adapted seed varieties and using primarily indigenous species. </w:t>
            </w:r>
          </w:p>
          <w:p w14:paraId="0873C584" w14:textId="13FB44FB" w:rsidR="00FB7FE9" w:rsidRPr="006321E8" w:rsidRDefault="00FB7FE9" w:rsidP="00FB7FE9">
            <w:pPr>
              <w:jc w:val="left"/>
              <w:rPr>
                <w:sz w:val="18"/>
                <w:szCs w:val="18"/>
              </w:rPr>
            </w:pPr>
            <w:r w:rsidRPr="006321E8">
              <w:rPr>
                <w:sz w:val="18"/>
                <w:szCs w:val="18"/>
              </w:rPr>
              <w:t>The Forest Ecology Specialist will provide the required expertise to ensure that none of the selected agroforestry and climate-adapted species is likely to pose a risk as an invasive alien species.</w:t>
            </w:r>
          </w:p>
        </w:tc>
      </w:tr>
      <w:tr w:rsidR="00077D48" w:rsidRPr="006E490C" w14:paraId="771F377F" w14:textId="77777777" w:rsidTr="001B5648">
        <w:tc>
          <w:tcPr>
            <w:tcW w:w="1290" w:type="dxa"/>
            <w:vMerge w:val="restart"/>
            <w:shd w:val="clear" w:color="auto" w:fill="auto"/>
          </w:tcPr>
          <w:p w14:paraId="2F567FDA" w14:textId="6975ED68" w:rsidR="00077D48" w:rsidRPr="006E490C" w:rsidRDefault="00077D48" w:rsidP="00243B15">
            <w:pPr>
              <w:rPr>
                <w:sz w:val="18"/>
                <w:szCs w:val="18"/>
              </w:rPr>
            </w:pPr>
            <w:r>
              <w:rPr>
                <w:sz w:val="18"/>
                <w:szCs w:val="18"/>
              </w:rPr>
              <w:t>Social and cultural</w:t>
            </w:r>
          </w:p>
        </w:tc>
        <w:tc>
          <w:tcPr>
            <w:tcW w:w="2231" w:type="dxa"/>
            <w:shd w:val="clear" w:color="auto" w:fill="auto"/>
          </w:tcPr>
          <w:p w14:paraId="247388DE" w14:textId="28FDC1FA" w:rsidR="00077D48" w:rsidRPr="006321E8" w:rsidRDefault="00077D48" w:rsidP="00243B15">
            <w:pPr>
              <w:jc w:val="left"/>
              <w:rPr>
                <w:rFonts w:cs="Segoe UI"/>
                <w:color w:val="000000"/>
                <w:sz w:val="18"/>
                <w:szCs w:val="18"/>
                <w:lang w:val="en-CA"/>
              </w:rPr>
            </w:pPr>
            <w:r w:rsidRPr="006321E8">
              <w:rPr>
                <w:sz w:val="18"/>
                <w:szCs w:val="18"/>
              </w:rPr>
              <w:t>The project can lead to economic displacement in some parts of the population including women and indigenous peoples, considering that the project is expected to catalyze more sustainable land use and natural resource exploitation, which could curtail access to traditional natural resources and harm local livelihoods.</w:t>
            </w:r>
          </w:p>
        </w:tc>
        <w:tc>
          <w:tcPr>
            <w:tcW w:w="1761" w:type="dxa"/>
            <w:shd w:val="clear" w:color="auto" w:fill="auto"/>
          </w:tcPr>
          <w:p w14:paraId="7F5668BD" w14:textId="7781B264" w:rsidR="00077D48" w:rsidRPr="006321E8" w:rsidRDefault="00077D48" w:rsidP="00243B15">
            <w:pPr>
              <w:rPr>
                <w:rFonts w:eastAsia="Cambria"/>
                <w:sz w:val="18"/>
                <w:szCs w:val="18"/>
                <w:lang w:val="en-GB"/>
              </w:rPr>
            </w:pPr>
            <w:r w:rsidRPr="006321E8">
              <w:rPr>
                <w:rFonts w:eastAsia="Cambria"/>
                <w:sz w:val="18"/>
                <w:szCs w:val="18"/>
                <w:lang w:val="en-GB"/>
              </w:rPr>
              <w:t>Substantial</w:t>
            </w:r>
          </w:p>
        </w:tc>
        <w:tc>
          <w:tcPr>
            <w:tcW w:w="5508" w:type="dxa"/>
            <w:shd w:val="clear" w:color="auto" w:fill="auto"/>
          </w:tcPr>
          <w:p w14:paraId="7B980A96" w14:textId="77777777" w:rsidR="00077D48" w:rsidRPr="006321E8" w:rsidRDefault="00077D48" w:rsidP="00FB7FE9">
            <w:pPr>
              <w:jc w:val="left"/>
              <w:rPr>
                <w:sz w:val="18"/>
                <w:szCs w:val="18"/>
              </w:rPr>
            </w:pPr>
            <w:r w:rsidRPr="006321E8">
              <w:rPr>
                <w:sz w:val="18"/>
                <w:szCs w:val="18"/>
              </w:rPr>
              <w:t xml:space="preserve">The risk will be managed through the ESMP, the Action Matrix and Stakeholder consultations, in line with the Comprehensive Stakeholder Engagement Plan and the Indigenous Peoples Plan, ensuring that livelihoods are not adversely impacted by the project. </w:t>
            </w:r>
          </w:p>
          <w:p w14:paraId="30FD0E6D" w14:textId="12DB14C1" w:rsidR="00077D48" w:rsidRPr="006321E8" w:rsidRDefault="00077D48" w:rsidP="00FB7FE9">
            <w:pPr>
              <w:jc w:val="left"/>
              <w:rPr>
                <w:sz w:val="18"/>
                <w:szCs w:val="18"/>
              </w:rPr>
            </w:pPr>
            <w:r w:rsidRPr="006321E8">
              <w:rPr>
                <w:sz w:val="18"/>
                <w:szCs w:val="18"/>
              </w:rPr>
              <w:t xml:space="preserve">The impact assessment will identify any economic displacement, and strategies will be included to avoid, </w:t>
            </w:r>
            <w:proofErr w:type="gramStart"/>
            <w:r w:rsidRPr="006321E8">
              <w:rPr>
                <w:sz w:val="18"/>
                <w:szCs w:val="18"/>
              </w:rPr>
              <w:t>minimize</w:t>
            </w:r>
            <w:proofErr w:type="gramEnd"/>
            <w:r w:rsidRPr="006321E8">
              <w:rPr>
                <w:sz w:val="18"/>
                <w:szCs w:val="18"/>
              </w:rPr>
              <w:t xml:space="preserve"> or manage any such impacts. Where necessary, a Livelihood Action Plan will be produced to ensure that any such impacts are appropriately managed.</w:t>
            </w:r>
          </w:p>
        </w:tc>
      </w:tr>
      <w:tr w:rsidR="00077D48" w:rsidRPr="006E490C" w14:paraId="68A85ED4" w14:textId="77777777" w:rsidTr="001B5648">
        <w:tc>
          <w:tcPr>
            <w:tcW w:w="1290" w:type="dxa"/>
            <w:vMerge/>
            <w:shd w:val="clear" w:color="auto" w:fill="auto"/>
          </w:tcPr>
          <w:p w14:paraId="2493A79F" w14:textId="77777777" w:rsidR="00077D48" w:rsidRPr="006E490C" w:rsidRDefault="00077D48" w:rsidP="00243B15">
            <w:pPr>
              <w:rPr>
                <w:sz w:val="18"/>
                <w:szCs w:val="18"/>
              </w:rPr>
            </w:pPr>
          </w:p>
        </w:tc>
        <w:tc>
          <w:tcPr>
            <w:tcW w:w="2231" w:type="dxa"/>
            <w:shd w:val="clear" w:color="auto" w:fill="auto"/>
          </w:tcPr>
          <w:p w14:paraId="4F923E13" w14:textId="7AE8B268" w:rsidR="00077D48" w:rsidRPr="006321E8" w:rsidRDefault="00077D48" w:rsidP="00243B15">
            <w:pPr>
              <w:jc w:val="left"/>
              <w:rPr>
                <w:rFonts w:cs="Segoe UI"/>
                <w:color w:val="000000"/>
                <w:sz w:val="18"/>
                <w:szCs w:val="18"/>
                <w:lang w:val="en-CA"/>
              </w:rPr>
            </w:pPr>
            <w:r w:rsidRPr="006321E8">
              <w:rPr>
                <w:sz w:val="18"/>
                <w:szCs w:val="18"/>
              </w:rPr>
              <w:t>The project affects the development priorities and cultural heritage or natural features with cultural significance of some indigenous peoples, considering that the project is expected to catalyze more sustainable land use, natural resource exploitation and ecosystem management, which could curtail access to traditional natural resources and harm local livelihoods</w:t>
            </w:r>
          </w:p>
        </w:tc>
        <w:tc>
          <w:tcPr>
            <w:tcW w:w="1761" w:type="dxa"/>
            <w:shd w:val="clear" w:color="auto" w:fill="auto"/>
          </w:tcPr>
          <w:p w14:paraId="38644B66" w14:textId="1FA99B25" w:rsidR="00077D48" w:rsidRPr="006321E8" w:rsidRDefault="00077D48" w:rsidP="00243B15">
            <w:pPr>
              <w:rPr>
                <w:rFonts w:eastAsia="Cambria"/>
                <w:sz w:val="18"/>
                <w:szCs w:val="18"/>
                <w:lang w:val="en-GB"/>
              </w:rPr>
            </w:pPr>
            <w:r w:rsidRPr="006321E8">
              <w:rPr>
                <w:rFonts w:eastAsia="Cambria"/>
                <w:sz w:val="18"/>
                <w:szCs w:val="18"/>
                <w:lang w:val="en-GB"/>
              </w:rPr>
              <w:t>Substantial</w:t>
            </w:r>
          </w:p>
        </w:tc>
        <w:tc>
          <w:tcPr>
            <w:tcW w:w="5508" w:type="dxa"/>
            <w:shd w:val="clear" w:color="auto" w:fill="auto"/>
          </w:tcPr>
          <w:p w14:paraId="380248DD" w14:textId="77777777" w:rsidR="00077D48" w:rsidRPr="006321E8" w:rsidRDefault="00077D48" w:rsidP="00BD55E9">
            <w:pPr>
              <w:jc w:val="left"/>
              <w:rPr>
                <w:sz w:val="18"/>
                <w:szCs w:val="18"/>
              </w:rPr>
            </w:pPr>
            <w:r w:rsidRPr="006321E8">
              <w:rPr>
                <w:sz w:val="18"/>
                <w:szCs w:val="18"/>
              </w:rPr>
              <w:t>Further FPIC consultations will be on-going and followed during project implementation, following the measures summarized in the ESMF, in the Indigenous Peoples Planning Framework (as IPPF) and in the Indigenous Peoples Plan that will be prepared as part of the subsequent ESMP as required by ESIA assessment reports.</w:t>
            </w:r>
          </w:p>
          <w:p w14:paraId="4AB21975" w14:textId="77777777" w:rsidR="00077D48" w:rsidRPr="006321E8" w:rsidRDefault="00077D48" w:rsidP="00BD55E9">
            <w:pPr>
              <w:jc w:val="left"/>
              <w:rPr>
                <w:sz w:val="18"/>
                <w:szCs w:val="18"/>
              </w:rPr>
            </w:pPr>
            <w:r w:rsidRPr="006321E8">
              <w:rPr>
                <w:sz w:val="18"/>
                <w:szCs w:val="18"/>
              </w:rPr>
              <w:t xml:space="preserve">The Comprehensive Stakeholder Engagement Plan - in which inputs from the Indigenous Peoples Plan will be considered - will include consultations with stakeholders involved in cultural heritage management. </w:t>
            </w:r>
          </w:p>
          <w:p w14:paraId="7AAD627D" w14:textId="1E0DEFF5" w:rsidR="00077D48" w:rsidRPr="006321E8" w:rsidRDefault="00077D48" w:rsidP="00BD55E9">
            <w:pPr>
              <w:jc w:val="left"/>
              <w:rPr>
                <w:sz w:val="18"/>
                <w:szCs w:val="18"/>
              </w:rPr>
            </w:pPr>
            <w:r w:rsidRPr="006321E8">
              <w:rPr>
                <w:sz w:val="18"/>
                <w:szCs w:val="18"/>
              </w:rPr>
              <w:t>The management of this risk will be included into the ESMP, based on ESIA findings.</w:t>
            </w:r>
          </w:p>
        </w:tc>
      </w:tr>
      <w:tr w:rsidR="00077D48" w:rsidRPr="006E490C" w14:paraId="697E668D" w14:textId="77777777" w:rsidTr="001B5648">
        <w:tc>
          <w:tcPr>
            <w:tcW w:w="1290" w:type="dxa"/>
            <w:vMerge/>
            <w:shd w:val="clear" w:color="auto" w:fill="auto"/>
          </w:tcPr>
          <w:p w14:paraId="004702D9" w14:textId="77777777" w:rsidR="00077D48" w:rsidRPr="006E490C" w:rsidRDefault="00077D48" w:rsidP="00243B15">
            <w:pPr>
              <w:rPr>
                <w:sz w:val="18"/>
                <w:szCs w:val="18"/>
              </w:rPr>
            </w:pPr>
          </w:p>
        </w:tc>
        <w:tc>
          <w:tcPr>
            <w:tcW w:w="2231" w:type="dxa"/>
            <w:shd w:val="clear" w:color="auto" w:fill="auto"/>
          </w:tcPr>
          <w:p w14:paraId="3F44FE39" w14:textId="55EF5C02" w:rsidR="00077D48" w:rsidRPr="006321E8" w:rsidRDefault="00077D48" w:rsidP="00755BF9">
            <w:pPr>
              <w:ind w:right="72"/>
              <w:rPr>
                <w:sz w:val="18"/>
                <w:szCs w:val="18"/>
              </w:rPr>
            </w:pPr>
            <w:r w:rsidRPr="006321E8">
              <w:rPr>
                <w:sz w:val="18"/>
                <w:szCs w:val="18"/>
              </w:rPr>
              <w:t xml:space="preserve">Rights-holders do not have the capacity to claim relevant rights, especially amongst less educated rural populations, some of which are indigenous peoples/local communities. </w:t>
            </w:r>
          </w:p>
        </w:tc>
        <w:tc>
          <w:tcPr>
            <w:tcW w:w="1761" w:type="dxa"/>
            <w:shd w:val="clear" w:color="auto" w:fill="auto"/>
          </w:tcPr>
          <w:p w14:paraId="54D99DCF" w14:textId="0C85BEE9" w:rsidR="00077D48" w:rsidRPr="006321E8" w:rsidRDefault="00077D48" w:rsidP="00243B15">
            <w:pPr>
              <w:rPr>
                <w:rFonts w:eastAsia="Cambria"/>
                <w:sz w:val="18"/>
                <w:szCs w:val="18"/>
                <w:lang w:val="en-GB"/>
              </w:rPr>
            </w:pPr>
            <w:r w:rsidRPr="006321E8">
              <w:rPr>
                <w:rFonts w:eastAsia="Cambria"/>
                <w:sz w:val="18"/>
                <w:szCs w:val="18"/>
                <w:lang w:val="en-GB"/>
              </w:rPr>
              <w:t>Substantial</w:t>
            </w:r>
          </w:p>
        </w:tc>
        <w:tc>
          <w:tcPr>
            <w:tcW w:w="5508" w:type="dxa"/>
            <w:shd w:val="clear" w:color="auto" w:fill="auto"/>
          </w:tcPr>
          <w:p w14:paraId="4249F9FC" w14:textId="77777777" w:rsidR="00077D48" w:rsidRPr="006321E8" w:rsidRDefault="00077D48" w:rsidP="009176E5">
            <w:pPr>
              <w:jc w:val="left"/>
              <w:rPr>
                <w:sz w:val="18"/>
                <w:szCs w:val="18"/>
              </w:rPr>
            </w:pPr>
            <w:r w:rsidRPr="006321E8">
              <w:rPr>
                <w:sz w:val="18"/>
                <w:szCs w:val="18"/>
              </w:rPr>
              <w:t>During the PPG, a Stakeholder Engagement Plan and a Gender Action Plan have been developed and will ensure local communities and vulnerable people, such as women, are involved in project implementation and can have access to a feedback mechanism ensuring their meaningful participation to project activities.</w:t>
            </w:r>
          </w:p>
          <w:p w14:paraId="2B081BAE" w14:textId="77777777" w:rsidR="00077D48" w:rsidRPr="006321E8" w:rsidRDefault="00077D48" w:rsidP="009176E5">
            <w:pPr>
              <w:jc w:val="left"/>
              <w:rPr>
                <w:sz w:val="18"/>
                <w:szCs w:val="18"/>
              </w:rPr>
            </w:pPr>
            <w:r w:rsidRPr="006321E8">
              <w:rPr>
                <w:sz w:val="18"/>
                <w:szCs w:val="18"/>
              </w:rPr>
              <w:t>A Comprehensive Stakeholder Engagement Plan will be developed during the first 6 months of the project, including the Stakeholder Analysis</w:t>
            </w:r>
          </w:p>
          <w:p w14:paraId="711AA199" w14:textId="77777777" w:rsidR="00077D48" w:rsidRPr="006321E8" w:rsidRDefault="00077D48" w:rsidP="009176E5">
            <w:pPr>
              <w:jc w:val="left"/>
              <w:rPr>
                <w:sz w:val="18"/>
                <w:szCs w:val="18"/>
              </w:rPr>
            </w:pPr>
            <w:r w:rsidRPr="006321E8">
              <w:rPr>
                <w:sz w:val="18"/>
                <w:szCs w:val="18"/>
              </w:rPr>
              <w:t xml:space="preserve">An ESMF (Environmental and Social Management Framework) (including an IPPF (Indigenous People Planning Framework) is developed during PPG and an ESMP (Environmental and Social </w:t>
            </w:r>
            <w:r w:rsidRPr="006321E8">
              <w:rPr>
                <w:sz w:val="18"/>
                <w:szCs w:val="18"/>
              </w:rPr>
              <w:lastRenderedPageBreak/>
              <w:t>Management Plan) will be developed by the first year of project implementation, based on the ESIA findings.</w:t>
            </w:r>
          </w:p>
          <w:p w14:paraId="25B65E0C" w14:textId="32B8D86B" w:rsidR="00077D48" w:rsidRPr="006321E8" w:rsidRDefault="00077D48" w:rsidP="009176E5">
            <w:pPr>
              <w:jc w:val="left"/>
              <w:rPr>
                <w:sz w:val="18"/>
                <w:szCs w:val="18"/>
              </w:rPr>
            </w:pPr>
            <w:r w:rsidRPr="006321E8">
              <w:rPr>
                <w:sz w:val="18"/>
                <w:szCs w:val="18"/>
              </w:rPr>
              <w:t>An Indigenous Peoples Plan will be developed by the first year of the project, ensuring the involvement and engagement, including the FPIC process, of any indigenous peoples’ groups, tribes or ethnic minorities who can be involved in the data collection and analysis.</w:t>
            </w:r>
          </w:p>
          <w:p w14:paraId="6042C8C0" w14:textId="77777777" w:rsidR="00077D48" w:rsidRPr="006321E8" w:rsidRDefault="00077D48" w:rsidP="009176E5">
            <w:pPr>
              <w:jc w:val="left"/>
              <w:rPr>
                <w:sz w:val="18"/>
                <w:szCs w:val="18"/>
              </w:rPr>
            </w:pPr>
            <w:r w:rsidRPr="006321E8">
              <w:rPr>
                <w:sz w:val="18"/>
                <w:szCs w:val="18"/>
              </w:rPr>
              <w:t>The Gender Action Plan will be updated by the first year of the project, based on the Comprehensive Stakeholder Engagement Plan</w:t>
            </w:r>
          </w:p>
          <w:p w14:paraId="7D1C5825" w14:textId="77777777" w:rsidR="00077D48" w:rsidRPr="006321E8" w:rsidRDefault="00077D48" w:rsidP="009176E5">
            <w:pPr>
              <w:jc w:val="left"/>
              <w:rPr>
                <w:sz w:val="18"/>
                <w:szCs w:val="18"/>
              </w:rPr>
            </w:pPr>
            <w:r w:rsidRPr="006321E8">
              <w:rPr>
                <w:sz w:val="18"/>
                <w:szCs w:val="18"/>
              </w:rPr>
              <w:t>A Grievance Redress Mechanism will be developed by the first 3 months of the project. This mechanism will ensure stakeholder (especially the most vulnerable) can have access to a feedback mechanism ensuring their meaningful participation to project activities.</w:t>
            </w:r>
          </w:p>
          <w:p w14:paraId="436E80F2" w14:textId="77777777" w:rsidR="00077D48" w:rsidRPr="006321E8" w:rsidRDefault="00077D48" w:rsidP="009176E5">
            <w:pPr>
              <w:jc w:val="left"/>
              <w:rPr>
                <w:sz w:val="18"/>
                <w:szCs w:val="18"/>
              </w:rPr>
            </w:pPr>
            <w:r w:rsidRPr="006321E8">
              <w:rPr>
                <w:sz w:val="18"/>
                <w:szCs w:val="18"/>
              </w:rPr>
              <w:t>The FPIC will be ensured during project implementation with the aim of achieving initial consent from the specific rights-holders, in line with Standard 6 requirements. FPIC will be applied to all project-affected groups and communities with respect to project activities and plans, and the principles and key concepts of Standard 6 will be fully reflected in the ESMF/ESMP, and the approach to Stakeholder Engagement.</w:t>
            </w:r>
          </w:p>
          <w:p w14:paraId="3B87F2E7" w14:textId="77777777" w:rsidR="00077D48" w:rsidRPr="006321E8" w:rsidRDefault="00077D48" w:rsidP="00243B15">
            <w:pPr>
              <w:jc w:val="left"/>
              <w:rPr>
                <w:sz w:val="18"/>
                <w:szCs w:val="18"/>
              </w:rPr>
            </w:pPr>
          </w:p>
        </w:tc>
      </w:tr>
      <w:tr w:rsidR="00077D48" w:rsidRPr="006E490C" w14:paraId="5BBB2BF0" w14:textId="77777777" w:rsidTr="00606652">
        <w:trPr>
          <w:trHeight w:val="3808"/>
        </w:trPr>
        <w:tc>
          <w:tcPr>
            <w:tcW w:w="1290" w:type="dxa"/>
            <w:vMerge/>
            <w:shd w:val="clear" w:color="auto" w:fill="auto"/>
          </w:tcPr>
          <w:p w14:paraId="2420E119" w14:textId="77777777" w:rsidR="00077D48" w:rsidRPr="006E490C" w:rsidRDefault="00077D48" w:rsidP="00243B15">
            <w:pPr>
              <w:rPr>
                <w:sz w:val="18"/>
                <w:szCs w:val="18"/>
              </w:rPr>
            </w:pPr>
          </w:p>
        </w:tc>
        <w:tc>
          <w:tcPr>
            <w:tcW w:w="2231" w:type="dxa"/>
            <w:shd w:val="clear" w:color="auto" w:fill="auto"/>
          </w:tcPr>
          <w:p w14:paraId="1C683375" w14:textId="7101877B" w:rsidR="00077D48" w:rsidRPr="00ED6CC0" w:rsidRDefault="00077D48" w:rsidP="00243B15">
            <w:pPr>
              <w:jc w:val="left"/>
              <w:rPr>
                <w:rFonts w:cs="Segoe UI"/>
                <w:color w:val="000000"/>
                <w:sz w:val="18"/>
                <w:szCs w:val="18"/>
                <w:lang w:val="en-CA"/>
              </w:rPr>
            </w:pPr>
            <w:r w:rsidRPr="00ED6CC0">
              <w:rPr>
                <w:sz w:val="18"/>
                <w:szCs w:val="18"/>
              </w:rPr>
              <w:t>Duty-bearers (government and private sector partners) do not have the capacity to meet their obligations in respecting and protecting the human rights of affected populations</w:t>
            </w:r>
          </w:p>
        </w:tc>
        <w:tc>
          <w:tcPr>
            <w:tcW w:w="1761" w:type="dxa"/>
            <w:shd w:val="clear" w:color="auto" w:fill="auto"/>
          </w:tcPr>
          <w:p w14:paraId="648ACBE5" w14:textId="04A1C650" w:rsidR="00077D48" w:rsidRPr="00ED6CC0" w:rsidRDefault="00077D48" w:rsidP="00243B15">
            <w:pPr>
              <w:rPr>
                <w:rFonts w:eastAsia="Cambria"/>
                <w:sz w:val="18"/>
                <w:szCs w:val="18"/>
                <w:lang w:val="en-GB"/>
              </w:rPr>
            </w:pPr>
            <w:r w:rsidRPr="00ED6CC0">
              <w:rPr>
                <w:rFonts w:eastAsia="Cambria"/>
                <w:sz w:val="18"/>
                <w:szCs w:val="18"/>
                <w:lang w:val="en-GB"/>
              </w:rPr>
              <w:t>Moderate</w:t>
            </w:r>
          </w:p>
        </w:tc>
        <w:tc>
          <w:tcPr>
            <w:tcW w:w="5508" w:type="dxa"/>
            <w:shd w:val="clear" w:color="auto" w:fill="auto"/>
          </w:tcPr>
          <w:p w14:paraId="569133C7" w14:textId="77777777" w:rsidR="00077D48" w:rsidRPr="00ED6CC0" w:rsidRDefault="00077D48" w:rsidP="00474894">
            <w:pPr>
              <w:jc w:val="left"/>
              <w:rPr>
                <w:sz w:val="18"/>
                <w:szCs w:val="18"/>
              </w:rPr>
            </w:pPr>
            <w:r w:rsidRPr="00ED6CC0">
              <w:rPr>
                <w:sz w:val="18"/>
                <w:szCs w:val="18"/>
              </w:rPr>
              <w:t>The risk will be managed through:</w:t>
            </w:r>
          </w:p>
          <w:p w14:paraId="6ACCC3B1" w14:textId="77777777" w:rsidR="005979FD" w:rsidRPr="00ED6CC0" w:rsidRDefault="005979FD" w:rsidP="00C46720">
            <w:pPr>
              <w:pStyle w:val="Paragraphedeliste"/>
              <w:numPr>
                <w:ilvl w:val="0"/>
                <w:numId w:val="62"/>
              </w:numPr>
              <w:rPr>
                <w:rFonts w:asciiTheme="minorHAnsi" w:hAnsiTheme="minorHAnsi" w:cstheme="minorHAnsi"/>
                <w:sz w:val="18"/>
                <w:szCs w:val="18"/>
              </w:rPr>
            </w:pPr>
            <w:r w:rsidRPr="00ED6CC0">
              <w:rPr>
                <w:rFonts w:asciiTheme="minorHAnsi" w:hAnsiTheme="minorHAnsi" w:cstheme="minorHAnsi"/>
                <w:sz w:val="18"/>
                <w:szCs w:val="18"/>
              </w:rPr>
              <w:t>The Action Matrix, as report of SESA findings</w:t>
            </w:r>
          </w:p>
          <w:p w14:paraId="1B7C3648" w14:textId="5357CFD3" w:rsidR="00077D48" w:rsidRPr="00ED6CC0" w:rsidRDefault="00077D48" w:rsidP="00C46720">
            <w:pPr>
              <w:pStyle w:val="Paragraphedeliste"/>
              <w:numPr>
                <w:ilvl w:val="0"/>
                <w:numId w:val="62"/>
              </w:numPr>
              <w:rPr>
                <w:rFonts w:asciiTheme="minorHAnsi" w:hAnsiTheme="minorHAnsi" w:cstheme="minorHAnsi"/>
                <w:sz w:val="18"/>
                <w:szCs w:val="18"/>
              </w:rPr>
            </w:pPr>
            <w:r w:rsidRPr="00ED6CC0">
              <w:rPr>
                <w:rFonts w:asciiTheme="minorHAnsi" w:hAnsiTheme="minorHAnsi" w:cstheme="minorHAnsi"/>
                <w:sz w:val="18"/>
                <w:szCs w:val="18"/>
              </w:rPr>
              <w:t>The Stakeholder Engagement Plan and the Gender Action Plan, that have been developed during PPG.</w:t>
            </w:r>
          </w:p>
          <w:p w14:paraId="073B2B98" w14:textId="36AC3905" w:rsidR="00077D48" w:rsidRPr="00ED6CC0" w:rsidRDefault="00077D48" w:rsidP="00C46720">
            <w:pPr>
              <w:pStyle w:val="Paragraphedeliste"/>
              <w:numPr>
                <w:ilvl w:val="0"/>
                <w:numId w:val="62"/>
              </w:numPr>
              <w:rPr>
                <w:rFonts w:asciiTheme="minorHAnsi" w:hAnsiTheme="minorHAnsi" w:cstheme="minorHAnsi"/>
                <w:sz w:val="18"/>
                <w:szCs w:val="18"/>
              </w:rPr>
            </w:pPr>
            <w:r w:rsidRPr="00ED6CC0">
              <w:rPr>
                <w:rFonts w:asciiTheme="minorHAnsi" w:hAnsiTheme="minorHAnsi" w:cstheme="minorHAnsi"/>
                <w:sz w:val="18"/>
                <w:szCs w:val="18"/>
              </w:rPr>
              <w:t>The Comprehensive Stakeholder Engagement Plan, that will be developed during the first 6 months of the project, including the Stakeholder Analysis</w:t>
            </w:r>
          </w:p>
          <w:p w14:paraId="04042BFB" w14:textId="57103003" w:rsidR="00077D48" w:rsidRPr="00ED6CC0" w:rsidRDefault="00077D48" w:rsidP="00C46720">
            <w:pPr>
              <w:pStyle w:val="Paragraphedeliste"/>
              <w:numPr>
                <w:ilvl w:val="0"/>
                <w:numId w:val="62"/>
              </w:numPr>
              <w:rPr>
                <w:rFonts w:asciiTheme="minorHAnsi" w:hAnsiTheme="minorHAnsi" w:cstheme="minorHAnsi"/>
                <w:sz w:val="18"/>
                <w:szCs w:val="18"/>
              </w:rPr>
            </w:pPr>
            <w:r w:rsidRPr="00ED6CC0">
              <w:rPr>
                <w:rFonts w:asciiTheme="minorHAnsi" w:hAnsiTheme="minorHAnsi" w:cstheme="minorHAnsi"/>
                <w:sz w:val="18"/>
                <w:szCs w:val="18"/>
              </w:rPr>
              <w:t>The ESMP (Environmental and Social Management Plan), that will be developed by the first year of project implementation, based on the ESIA findings.</w:t>
            </w:r>
          </w:p>
          <w:p w14:paraId="2F17F3C8" w14:textId="279CC7C1" w:rsidR="00077D48" w:rsidRPr="00ED6CC0" w:rsidRDefault="00077D48" w:rsidP="00C46720">
            <w:pPr>
              <w:pStyle w:val="Paragraphedeliste"/>
              <w:numPr>
                <w:ilvl w:val="0"/>
                <w:numId w:val="62"/>
              </w:numPr>
              <w:rPr>
                <w:rFonts w:asciiTheme="minorHAnsi" w:hAnsiTheme="minorHAnsi" w:cstheme="minorHAnsi"/>
                <w:sz w:val="18"/>
                <w:szCs w:val="18"/>
              </w:rPr>
            </w:pPr>
            <w:r w:rsidRPr="00ED6CC0">
              <w:rPr>
                <w:rFonts w:asciiTheme="minorHAnsi" w:hAnsiTheme="minorHAnsi" w:cstheme="minorHAnsi"/>
                <w:sz w:val="18"/>
                <w:szCs w:val="18"/>
              </w:rPr>
              <w:t>An Indigenous Peoples Plan, that will be developed by the first year of the project</w:t>
            </w:r>
          </w:p>
          <w:p w14:paraId="44F010F4" w14:textId="2018931A" w:rsidR="00077D48" w:rsidRPr="00ED6CC0" w:rsidRDefault="00077D48" w:rsidP="00C46720">
            <w:pPr>
              <w:pStyle w:val="Paragraphedeliste"/>
              <w:numPr>
                <w:ilvl w:val="0"/>
                <w:numId w:val="62"/>
              </w:numPr>
              <w:rPr>
                <w:rFonts w:asciiTheme="minorHAnsi" w:hAnsiTheme="minorHAnsi" w:cstheme="minorHAnsi"/>
                <w:sz w:val="18"/>
                <w:szCs w:val="18"/>
              </w:rPr>
            </w:pPr>
            <w:r w:rsidRPr="00ED6CC0">
              <w:rPr>
                <w:rFonts w:asciiTheme="minorHAnsi" w:hAnsiTheme="minorHAnsi" w:cstheme="minorHAnsi"/>
                <w:sz w:val="18"/>
                <w:szCs w:val="18"/>
              </w:rPr>
              <w:t>The Gender Action Plan updated by the first year of the project, based on the Comprehensive Stakeholder Engagement Plan</w:t>
            </w:r>
          </w:p>
          <w:p w14:paraId="3BBCF977" w14:textId="3AC5C3BF" w:rsidR="00077D48" w:rsidRPr="00ED6CC0" w:rsidRDefault="00077D48" w:rsidP="00C46720">
            <w:pPr>
              <w:pStyle w:val="Paragraphedeliste"/>
              <w:numPr>
                <w:ilvl w:val="0"/>
                <w:numId w:val="62"/>
              </w:numPr>
              <w:rPr>
                <w:sz w:val="18"/>
                <w:szCs w:val="18"/>
              </w:rPr>
            </w:pPr>
            <w:r w:rsidRPr="00ED6CC0">
              <w:rPr>
                <w:rFonts w:asciiTheme="minorHAnsi" w:hAnsiTheme="minorHAnsi" w:cstheme="minorHAnsi"/>
                <w:sz w:val="18"/>
                <w:szCs w:val="18"/>
              </w:rPr>
              <w:t>A Grievance Redress Mechanism, that will be developed by the first 3 months of the project</w:t>
            </w:r>
          </w:p>
        </w:tc>
      </w:tr>
      <w:tr w:rsidR="00077D48" w:rsidRPr="006E490C" w14:paraId="484DF26F" w14:textId="77777777" w:rsidTr="00755BF9">
        <w:trPr>
          <w:trHeight w:val="1118"/>
        </w:trPr>
        <w:tc>
          <w:tcPr>
            <w:tcW w:w="1290" w:type="dxa"/>
            <w:vMerge/>
            <w:shd w:val="clear" w:color="auto" w:fill="auto"/>
          </w:tcPr>
          <w:p w14:paraId="7AAC0689" w14:textId="77777777" w:rsidR="00077D48" w:rsidRPr="006E490C" w:rsidRDefault="00077D48" w:rsidP="00243B15">
            <w:pPr>
              <w:rPr>
                <w:sz w:val="18"/>
                <w:szCs w:val="18"/>
              </w:rPr>
            </w:pPr>
          </w:p>
        </w:tc>
        <w:tc>
          <w:tcPr>
            <w:tcW w:w="2231" w:type="dxa"/>
            <w:shd w:val="clear" w:color="auto" w:fill="auto"/>
          </w:tcPr>
          <w:p w14:paraId="3483B2AD" w14:textId="785CF764" w:rsidR="00077D48" w:rsidRPr="00ED6CC0" w:rsidRDefault="00077D48" w:rsidP="00243B15">
            <w:pPr>
              <w:jc w:val="left"/>
              <w:rPr>
                <w:sz w:val="18"/>
                <w:szCs w:val="18"/>
              </w:rPr>
            </w:pPr>
            <w:bookmarkStart w:id="18" w:name="_Hlk104648522"/>
            <w:r w:rsidRPr="00ED6CC0">
              <w:rPr>
                <w:sz w:val="18"/>
                <w:szCs w:val="18"/>
                <w:lang w:val="en-GB"/>
              </w:rPr>
              <w:t>Project support directly or indirectly linked to rural livelihoods lead to child labour (boys and girls).</w:t>
            </w:r>
            <w:bookmarkEnd w:id="18"/>
          </w:p>
        </w:tc>
        <w:tc>
          <w:tcPr>
            <w:tcW w:w="1761" w:type="dxa"/>
            <w:shd w:val="clear" w:color="auto" w:fill="auto"/>
          </w:tcPr>
          <w:p w14:paraId="3B6A68E5" w14:textId="5D0C8356" w:rsidR="00077D48" w:rsidRPr="00ED6CC0" w:rsidRDefault="00077D48" w:rsidP="00243B15">
            <w:pPr>
              <w:rPr>
                <w:rFonts w:eastAsia="Cambria"/>
                <w:sz w:val="18"/>
                <w:szCs w:val="18"/>
                <w:lang w:val="en-GB"/>
              </w:rPr>
            </w:pPr>
            <w:r w:rsidRPr="00ED6CC0">
              <w:rPr>
                <w:rFonts w:eastAsia="Cambria"/>
                <w:sz w:val="18"/>
                <w:szCs w:val="18"/>
                <w:lang w:val="en-GB"/>
              </w:rPr>
              <w:t>Moderate</w:t>
            </w:r>
          </w:p>
        </w:tc>
        <w:tc>
          <w:tcPr>
            <w:tcW w:w="5508" w:type="dxa"/>
            <w:shd w:val="clear" w:color="auto" w:fill="auto"/>
          </w:tcPr>
          <w:p w14:paraId="7C46EF0E" w14:textId="27752B0A" w:rsidR="00077D48" w:rsidRPr="00ED6CC0" w:rsidRDefault="00077D48" w:rsidP="00474894">
            <w:pPr>
              <w:jc w:val="left"/>
              <w:rPr>
                <w:sz w:val="18"/>
                <w:szCs w:val="18"/>
              </w:rPr>
            </w:pPr>
            <w:r w:rsidRPr="00ED6CC0">
              <w:rPr>
                <w:sz w:val="18"/>
                <w:szCs w:val="18"/>
              </w:rPr>
              <w:t>This risk will be managed with the ESMP, and the Action Matrix based on ESIA and SESA findings.</w:t>
            </w:r>
          </w:p>
        </w:tc>
      </w:tr>
      <w:tr w:rsidR="00474894" w:rsidRPr="006E490C" w14:paraId="2DEBE976" w14:textId="77777777" w:rsidTr="00474894">
        <w:trPr>
          <w:trHeight w:val="3808"/>
        </w:trPr>
        <w:tc>
          <w:tcPr>
            <w:tcW w:w="1290" w:type="dxa"/>
            <w:shd w:val="clear" w:color="auto" w:fill="auto"/>
          </w:tcPr>
          <w:p w14:paraId="22B45336" w14:textId="77777777" w:rsidR="00474894" w:rsidRPr="006E490C" w:rsidRDefault="00474894" w:rsidP="00243B15">
            <w:pPr>
              <w:rPr>
                <w:sz w:val="18"/>
                <w:szCs w:val="18"/>
              </w:rPr>
            </w:pPr>
          </w:p>
        </w:tc>
        <w:tc>
          <w:tcPr>
            <w:tcW w:w="2231" w:type="dxa"/>
            <w:shd w:val="clear" w:color="auto" w:fill="auto"/>
          </w:tcPr>
          <w:p w14:paraId="7AE90B0A" w14:textId="7C911A80" w:rsidR="00474894" w:rsidRPr="00ED6CC0" w:rsidRDefault="00474894" w:rsidP="00243B15">
            <w:pPr>
              <w:jc w:val="left"/>
              <w:rPr>
                <w:sz w:val="18"/>
                <w:szCs w:val="18"/>
              </w:rPr>
            </w:pPr>
            <w:r w:rsidRPr="00ED6CC0">
              <w:rPr>
                <w:rFonts w:cstheme="minorHAnsi"/>
                <w:sz w:val="18"/>
                <w:lang w:val="en-GB"/>
              </w:rPr>
              <w:t xml:space="preserve">Project implementation can indirectly lead to </w:t>
            </w:r>
            <w:r w:rsidRPr="00ED6CC0">
              <w:rPr>
                <w:sz w:val="18"/>
                <w:lang w:val="en-GB"/>
              </w:rPr>
              <w:t>discriminatory working conditions and/or lack of equal</w:t>
            </w:r>
            <w:r w:rsidRPr="00ED6CC0">
              <w:rPr>
                <w:spacing w:val="-6"/>
                <w:sz w:val="18"/>
                <w:lang w:val="en-GB"/>
              </w:rPr>
              <w:t xml:space="preserve"> </w:t>
            </w:r>
            <w:r w:rsidRPr="00ED6CC0">
              <w:rPr>
                <w:sz w:val="18"/>
                <w:lang w:val="en-GB"/>
              </w:rPr>
              <w:t>opportunity</w:t>
            </w:r>
          </w:p>
        </w:tc>
        <w:tc>
          <w:tcPr>
            <w:tcW w:w="1761" w:type="dxa"/>
            <w:shd w:val="clear" w:color="auto" w:fill="auto"/>
          </w:tcPr>
          <w:p w14:paraId="59598953" w14:textId="0707EF74" w:rsidR="00474894" w:rsidRPr="00ED6CC0" w:rsidRDefault="00474894" w:rsidP="00243B15">
            <w:pPr>
              <w:rPr>
                <w:rFonts w:eastAsia="Cambria"/>
                <w:sz w:val="18"/>
                <w:szCs w:val="18"/>
                <w:lang w:val="en-GB"/>
              </w:rPr>
            </w:pPr>
            <w:r w:rsidRPr="00ED6CC0">
              <w:rPr>
                <w:rFonts w:eastAsia="Cambria"/>
                <w:sz w:val="18"/>
                <w:szCs w:val="18"/>
                <w:lang w:val="en-GB"/>
              </w:rPr>
              <w:t>Substantial</w:t>
            </w:r>
          </w:p>
        </w:tc>
        <w:tc>
          <w:tcPr>
            <w:tcW w:w="5508" w:type="dxa"/>
            <w:shd w:val="clear" w:color="auto" w:fill="auto"/>
          </w:tcPr>
          <w:p w14:paraId="4A21D663" w14:textId="77777777" w:rsidR="00474894" w:rsidRPr="00ED6CC0" w:rsidRDefault="00474894" w:rsidP="00474894">
            <w:pPr>
              <w:jc w:val="left"/>
              <w:rPr>
                <w:sz w:val="18"/>
                <w:szCs w:val="18"/>
              </w:rPr>
            </w:pPr>
            <w:r w:rsidRPr="00ED6CC0">
              <w:rPr>
                <w:sz w:val="18"/>
                <w:szCs w:val="18"/>
              </w:rPr>
              <w:t xml:space="preserve">The following are the management measures to mitigate this risk:  </w:t>
            </w:r>
          </w:p>
          <w:p w14:paraId="0F2A67F6" w14:textId="626BB50A" w:rsidR="00474894" w:rsidRPr="00ED6CC0" w:rsidRDefault="00474894" w:rsidP="00C46720">
            <w:pPr>
              <w:pStyle w:val="Paragraphedeliste"/>
              <w:numPr>
                <w:ilvl w:val="0"/>
                <w:numId w:val="63"/>
              </w:numPr>
              <w:rPr>
                <w:rFonts w:asciiTheme="minorHAnsi" w:hAnsiTheme="minorHAnsi" w:cstheme="minorHAnsi"/>
                <w:sz w:val="18"/>
                <w:szCs w:val="18"/>
              </w:rPr>
            </w:pPr>
            <w:r w:rsidRPr="00ED6CC0">
              <w:rPr>
                <w:rFonts w:asciiTheme="minorHAnsi" w:hAnsiTheme="minorHAnsi" w:cstheme="minorHAnsi"/>
                <w:sz w:val="18"/>
                <w:szCs w:val="18"/>
              </w:rPr>
              <w:t>The Indigenous Peoples Plan will include the Gender approach, considering the differences among groups/communities.</w:t>
            </w:r>
          </w:p>
          <w:p w14:paraId="68E31398" w14:textId="590D287B" w:rsidR="00474894" w:rsidRPr="00ED6CC0" w:rsidRDefault="00474894" w:rsidP="00C46720">
            <w:pPr>
              <w:pStyle w:val="Paragraphedeliste"/>
              <w:numPr>
                <w:ilvl w:val="0"/>
                <w:numId w:val="63"/>
              </w:numPr>
              <w:rPr>
                <w:rFonts w:asciiTheme="minorHAnsi" w:hAnsiTheme="minorHAnsi" w:cstheme="minorHAnsi"/>
                <w:sz w:val="18"/>
                <w:szCs w:val="18"/>
              </w:rPr>
            </w:pPr>
            <w:r w:rsidRPr="00ED6CC0">
              <w:rPr>
                <w:rFonts w:asciiTheme="minorHAnsi" w:hAnsiTheme="minorHAnsi" w:cstheme="minorHAnsi"/>
                <w:sz w:val="18"/>
                <w:szCs w:val="18"/>
              </w:rPr>
              <w:t xml:space="preserve">The consultation of women and girls will be ensured during project implementation, especially in planning, </w:t>
            </w:r>
            <w:proofErr w:type="gramStart"/>
            <w:r w:rsidRPr="00ED6CC0">
              <w:rPr>
                <w:rFonts w:asciiTheme="minorHAnsi" w:hAnsiTheme="minorHAnsi" w:cstheme="minorHAnsi"/>
                <w:sz w:val="18"/>
                <w:szCs w:val="18"/>
              </w:rPr>
              <w:t>monitoring</w:t>
            </w:r>
            <w:proofErr w:type="gramEnd"/>
            <w:r w:rsidRPr="00ED6CC0">
              <w:rPr>
                <w:rFonts w:asciiTheme="minorHAnsi" w:hAnsiTheme="minorHAnsi" w:cstheme="minorHAnsi"/>
                <w:sz w:val="18"/>
                <w:szCs w:val="18"/>
              </w:rPr>
              <w:t xml:space="preserve"> and reporting processes.</w:t>
            </w:r>
          </w:p>
          <w:p w14:paraId="6A739624" w14:textId="1860046F" w:rsidR="00474894" w:rsidRPr="00ED6CC0" w:rsidRDefault="00474894" w:rsidP="00C46720">
            <w:pPr>
              <w:pStyle w:val="Paragraphedeliste"/>
              <w:numPr>
                <w:ilvl w:val="0"/>
                <w:numId w:val="63"/>
              </w:numPr>
              <w:rPr>
                <w:rFonts w:asciiTheme="minorHAnsi" w:hAnsiTheme="minorHAnsi" w:cstheme="minorHAnsi"/>
                <w:sz w:val="18"/>
                <w:szCs w:val="18"/>
              </w:rPr>
            </w:pPr>
            <w:r w:rsidRPr="00ED6CC0">
              <w:rPr>
                <w:rFonts w:asciiTheme="minorHAnsi" w:hAnsiTheme="minorHAnsi" w:cstheme="minorHAnsi"/>
                <w:sz w:val="18"/>
                <w:szCs w:val="18"/>
              </w:rPr>
              <w:t xml:space="preserve">Informed by the Gender Analysis, the Gender Action Plan has been developed – and will be updated - to actively promote the role of women and girls in the project and will be updated by the first year of the project. </w:t>
            </w:r>
          </w:p>
          <w:p w14:paraId="6F53E0CE" w14:textId="54CAEC7C" w:rsidR="00474894" w:rsidRPr="00ED6CC0" w:rsidRDefault="00474894" w:rsidP="00C46720">
            <w:pPr>
              <w:pStyle w:val="Paragraphedeliste"/>
              <w:numPr>
                <w:ilvl w:val="0"/>
                <w:numId w:val="63"/>
              </w:numPr>
              <w:rPr>
                <w:rFonts w:asciiTheme="minorHAnsi" w:hAnsiTheme="minorHAnsi" w:cstheme="minorHAnsi"/>
                <w:sz w:val="18"/>
                <w:szCs w:val="18"/>
              </w:rPr>
            </w:pPr>
            <w:r w:rsidRPr="00ED6CC0">
              <w:rPr>
                <w:rFonts w:asciiTheme="minorHAnsi" w:hAnsiTheme="minorHAnsi" w:cstheme="minorHAnsi"/>
                <w:sz w:val="18"/>
                <w:szCs w:val="18"/>
              </w:rPr>
              <w:t>The Comprehensive Stakeholder Engagement Plan will also include women’s engagement in project related activities.</w:t>
            </w:r>
          </w:p>
          <w:p w14:paraId="7FE43718" w14:textId="18A24AF3" w:rsidR="00474894" w:rsidRPr="00ED6CC0" w:rsidRDefault="00474894" w:rsidP="00C46720">
            <w:pPr>
              <w:pStyle w:val="Paragraphedeliste"/>
              <w:numPr>
                <w:ilvl w:val="0"/>
                <w:numId w:val="63"/>
              </w:numPr>
              <w:rPr>
                <w:rFonts w:asciiTheme="minorHAnsi" w:hAnsiTheme="minorHAnsi" w:cstheme="minorHAnsi"/>
                <w:sz w:val="18"/>
                <w:szCs w:val="18"/>
              </w:rPr>
            </w:pPr>
            <w:r w:rsidRPr="00ED6CC0">
              <w:rPr>
                <w:rFonts w:asciiTheme="minorHAnsi" w:hAnsiTheme="minorHAnsi" w:cstheme="minorHAnsi"/>
                <w:sz w:val="18"/>
                <w:szCs w:val="18"/>
              </w:rPr>
              <w:t>As Stakeholders and as project beneficiaries, women will have access to the project Grievance Redress Mechanism.</w:t>
            </w:r>
          </w:p>
          <w:p w14:paraId="53E57543" w14:textId="501A0846" w:rsidR="00474894" w:rsidRPr="00ED6CC0" w:rsidRDefault="00474894" w:rsidP="00C46720">
            <w:pPr>
              <w:pStyle w:val="Paragraphedeliste"/>
              <w:numPr>
                <w:ilvl w:val="0"/>
                <w:numId w:val="63"/>
              </w:numPr>
              <w:rPr>
                <w:rFonts w:asciiTheme="minorHAnsi" w:hAnsiTheme="minorHAnsi" w:cstheme="minorHAnsi"/>
                <w:sz w:val="18"/>
                <w:szCs w:val="18"/>
              </w:rPr>
            </w:pPr>
            <w:r w:rsidRPr="00ED6CC0">
              <w:rPr>
                <w:rFonts w:asciiTheme="minorHAnsi" w:hAnsiTheme="minorHAnsi" w:cstheme="minorHAnsi"/>
                <w:sz w:val="18"/>
                <w:szCs w:val="18"/>
              </w:rPr>
              <w:t xml:space="preserve">The SESA findings will be included in the Action Matrix </w:t>
            </w:r>
          </w:p>
          <w:p w14:paraId="24D05B24" w14:textId="77777777" w:rsidR="00474894" w:rsidRPr="00ED6CC0" w:rsidRDefault="00474894" w:rsidP="00474894">
            <w:pPr>
              <w:jc w:val="left"/>
              <w:rPr>
                <w:sz w:val="18"/>
                <w:szCs w:val="18"/>
              </w:rPr>
            </w:pPr>
            <w:r w:rsidRPr="00ED6CC0">
              <w:rPr>
                <w:sz w:val="18"/>
                <w:szCs w:val="18"/>
              </w:rPr>
              <w:t>An analysis of gender-specific issues was carried out and a gender-specific project integration plan developed during project development.</w:t>
            </w:r>
          </w:p>
          <w:p w14:paraId="684538B6" w14:textId="77777777" w:rsidR="00474894" w:rsidRPr="00ED6CC0" w:rsidRDefault="00474894" w:rsidP="00474894">
            <w:pPr>
              <w:jc w:val="left"/>
              <w:rPr>
                <w:sz w:val="18"/>
                <w:szCs w:val="18"/>
              </w:rPr>
            </w:pPr>
            <w:r w:rsidRPr="00ED6CC0">
              <w:rPr>
                <w:sz w:val="18"/>
                <w:szCs w:val="18"/>
              </w:rPr>
              <w:lastRenderedPageBreak/>
              <w:t>In line with the principles of support for the most vulnerable, gender equality and women's empowerment, and that of not doing conservation at the expense of the poorest, the project will ensure, with the support of traditional authorities and identification of those segments of the population who are negatively affected by project interventions, including the loss or reduction of access to resources through enhanced access rules to corridors and protected areas, as well as respect a male-to-female ratio of 40-60 for all beneficiaries.</w:t>
            </w:r>
          </w:p>
          <w:p w14:paraId="429D86A4" w14:textId="77777777" w:rsidR="00474894" w:rsidRPr="00ED6CC0" w:rsidRDefault="00474894" w:rsidP="00474894">
            <w:pPr>
              <w:jc w:val="left"/>
              <w:rPr>
                <w:sz w:val="18"/>
                <w:szCs w:val="18"/>
              </w:rPr>
            </w:pPr>
            <w:r w:rsidRPr="00ED6CC0">
              <w:rPr>
                <w:sz w:val="18"/>
                <w:szCs w:val="18"/>
              </w:rPr>
              <w:t>The project will support the identification and delimitation of production areas in corridors 1 and 2, the development of agreements and specifications to secure access to resources for members of the cooperative, supervise activities and ensure their sustainability.</w:t>
            </w:r>
          </w:p>
          <w:p w14:paraId="5AF61762" w14:textId="30432A54" w:rsidR="00474894" w:rsidRPr="00ED6CC0" w:rsidRDefault="00474894" w:rsidP="00474894">
            <w:pPr>
              <w:jc w:val="left"/>
              <w:rPr>
                <w:sz w:val="18"/>
                <w:szCs w:val="18"/>
              </w:rPr>
            </w:pPr>
            <w:r w:rsidRPr="00ED6CC0">
              <w:rPr>
                <w:sz w:val="18"/>
                <w:szCs w:val="18"/>
              </w:rPr>
              <w:t xml:space="preserve">Production areas will be negotiated with the local authorities (village chief, chief of land), </w:t>
            </w:r>
            <w:proofErr w:type="gramStart"/>
            <w:r w:rsidRPr="00ED6CC0">
              <w:rPr>
                <w:sz w:val="18"/>
                <w:szCs w:val="18"/>
              </w:rPr>
              <w:t>demarcated</w:t>
            </w:r>
            <w:proofErr w:type="gramEnd"/>
            <w:r w:rsidRPr="00ED6CC0">
              <w:rPr>
                <w:sz w:val="18"/>
                <w:szCs w:val="18"/>
              </w:rPr>
              <w:t xml:space="preserve"> and certified for the production of organic shea for the benefit of the groups of women involved.</w:t>
            </w:r>
          </w:p>
        </w:tc>
      </w:tr>
      <w:tr w:rsidR="00474894" w:rsidRPr="006E490C" w14:paraId="17D35F78" w14:textId="77777777" w:rsidTr="00755BF9">
        <w:trPr>
          <w:trHeight w:val="1260"/>
        </w:trPr>
        <w:tc>
          <w:tcPr>
            <w:tcW w:w="1290" w:type="dxa"/>
            <w:shd w:val="clear" w:color="auto" w:fill="auto"/>
          </w:tcPr>
          <w:p w14:paraId="2F67F1D4" w14:textId="77777777" w:rsidR="00474894" w:rsidRPr="006E490C" w:rsidRDefault="00474894" w:rsidP="00243B15">
            <w:pPr>
              <w:rPr>
                <w:sz w:val="18"/>
                <w:szCs w:val="18"/>
              </w:rPr>
            </w:pPr>
          </w:p>
        </w:tc>
        <w:tc>
          <w:tcPr>
            <w:tcW w:w="2231" w:type="dxa"/>
            <w:shd w:val="clear" w:color="auto" w:fill="auto"/>
          </w:tcPr>
          <w:p w14:paraId="41B52629" w14:textId="142582AC" w:rsidR="00474894" w:rsidRPr="00ED6CC0" w:rsidRDefault="00474894" w:rsidP="00243B15">
            <w:pPr>
              <w:jc w:val="left"/>
              <w:rPr>
                <w:rFonts w:cstheme="minorHAnsi"/>
                <w:sz w:val="18"/>
                <w:lang w:val="en-GB"/>
              </w:rPr>
            </w:pPr>
            <w:r w:rsidRPr="00ED6CC0">
              <w:rPr>
                <w:rFonts w:cstheme="minorHAnsi"/>
                <w:sz w:val="18"/>
                <w:lang w:val="en-GB"/>
              </w:rPr>
              <w:t>Given the prevailing cultural context, groups marginalised for socio-economic, tribal (especially indigenous peoples) or gender (especially women) reasons are not duly consulted and involved in the project, do not benefit equally, and that the project and its stakeholders reproduce established discriminations, potentially leading to inadvertent harm.</w:t>
            </w:r>
          </w:p>
        </w:tc>
        <w:tc>
          <w:tcPr>
            <w:tcW w:w="1761" w:type="dxa"/>
            <w:shd w:val="clear" w:color="auto" w:fill="auto"/>
          </w:tcPr>
          <w:p w14:paraId="5D85CC0F" w14:textId="14B1DEFF" w:rsidR="00474894" w:rsidRPr="00ED6CC0" w:rsidRDefault="00474894" w:rsidP="00243B15">
            <w:pPr>
              <w:rPr>
                <w:rFonts w:eastAsia="Cambria"/>
                <w:sz w:val="18"/>
                <w:szCs w:val="18"/>
                <w:lang w:val="en-GB"/>
              </w:rPr>
            </w:pPr>
            <w:r w:rsidRPr="00ED6CC0">
              <w:rPr>
                <w:rFonts w:eastAsia="Cambria"/>
                <w:sz w:val="18"/>
                <w:szCs w:val="18"/>
                <w:lang w:val="en-GB"/>
              </w:rPr>
              <w:t>Substantial</w:t>
            </w:r>
          </w:p>
        </w:tc>
        <w:tc>
          <w:tcPr>
            <w:tcW w:w="5508" w:type="dxa"/>
            <w:shd w:val="clear" w:color="auto" w:fill="auto"/>
          </w:tcPr>
          <w:p w14:paraId="3938578F" w14:textId="77777777" w:rsidR="00474894" w:rsidRPr="00ED6CC0" w:rsidRDefault="00474894" w:rsidP="00474894">
            <w:pPr>
              <w:jc w:val="left"/>
              <w:rPr>
                <w:sz w:val="18"/>
                <w:szCs w:val="18"/>
              </w:rPr>
            </w:pPr>
            <w:r w:rsidRPr="00ED6CC0">
              <w:rPr>
                <w:sz w:val="18"/>
                <w:szCs w:val="18"/>
              </w:rPr>
              <w:t>The risk will be managed through the Comprehensive Stakeholder Engagement Plan, and the Indigenous Peoples Plan and the Gender Action Plan, as support to support the stakeholder engagement process.</w:t>
            </w:r>
          </w:p>
          <w:p w14:paraId="4183DEBE" w14:textId="77777777" w:rsidR="00474894" w:rsidRPr="00ED6CC0" w:rsidRDefault="00474894" w:rsidP="00474894">
            <w:pPr>
              <w:jc w:val="left"/>
              <w:rPr>
                <w:sz w:val="18"/>
                <w:szCs w:val="18"/>
              </w:rPr>
            </w:pPr>
            <w:r w:rsidRPr="00ED6CC0">
              <w:rPr>
                <w:sz w:val="18"/>
                <w:szCs w:val="18"/>
              </w:rPr>
              <w:t>The ESMP will include the aspects regarding stakeholder consultation and engagement process.</w:t>
            </w:r>
          </w:p>
          <w:p w14:paraId="7B04F809" w14:textId="77777777" w:rsidR="00474894" w:rsidRPr="00ED6CC0" w:rsidRDefault="00474894" w:rsidP="00474894">
            <w:pPr>
              <w:jc w:val="left"/>
              <w:rPr>
                <w:sz w:val="18"/>
                <w:szCs w:val="18"/>
              </w:rPr>
            </w:pPr>
          </w:p>
          <w:p w14:paraId="08AC6962" w14:textId="77777777" w:rsidR="00474894" w:rsidRPr="00ED6CC0" w:rsidRDefault="00474894" w:rsidP="00474894">
            <w:pPr>
              <w:jc w:val="left"/>
              <w:rPr>
                <w:sz w:val="18"/>
                <w:szCs w:val="18"/>
              </w:rPr>
            </w:pPr>
            <w:r w:rsidRPr="00ED6CC0">
              <w:rPr>
                <w:sz w:val="18"/>
                <w:szCs w:val="18"/>
              </w:rPr>
              <w:t>Stakeholders will have access to a project Grievance Redress Mechanism</w:t>
            </w:r>
          </w:p>
          <w:p w14:paraId="59538EAB" w14:textId="77777777" w:rsidR="00474894" w:rsidRPr="00ED6CC0" w:rsidRDefault="00474894" w:rsidP="00474894">
            <w:pPr>
              <w:jc w:val="left"/>
              <w:rPr>
                <w:sz w:val="18"/>
                <w:szCs w:val="18"/>
              </w:rPr>
            </w:pPr>
          </w:p>
          <w:p w14:paraId="70F23B21" w14:textId="75952D8E" w:rsidR="00474894" w:rsidRPr="00ED6CC0" w:rsidRDefault="00474894" w:rsidP="00474894">
            <w:pPr>
              <w:jc w:val="left"/>
              <w:rPr>
                <w:sz w:val="18"/>
                <w:szCs w:val="18"/>
              </w:rPr>
            </w:pPr>
            <w:r w:rsidRPr="00ED6CC0">
              <w:rPr>
                <w:sz w:val="18"/>
                <w:szCs w:val="18"/>
              </w:rPr>
              <w:t>Project-affected peoples will be informed about the existence of these processes and mechanisms.</w:t>
            </w:r>
          </w:p>
        </w:tc>
      </w:tr>
      <w:tr w:rsidR="00474894" w:rsidRPr="006E490C" w14:paraId="45886CE4" w14:textId="77777777" w:rsidTr="00755BF9">
        <w:trPr>
          <w:trHeight w:val="1961"/>
        </w:trPr>
        <w:tc>
          <w:tcPr>
            <w:tcW w:w="1290" w:type="dxa"/>
            <w:shd w:val="clear" w:color="auto" w:fill="auto"/>
          </w:tcPr>
          <w:p w14:paraId="1F36C8E1" w14:textId="77777777" w:rsidR="00474894" w:rsidRPr="006E490C" w:rsidRDefault="00474894" w:rsidP="00243B15">
            <w:pPr>
              <w:rPr>
                <w:sz w:val="18"/>
                <w:szCs w:val="18"/>
              </w:rPr>
            </w:pPr>
          </w:p>
        </w:tc>
        <w:tc>
          <w:tcPr>
            <w:tcW w:w="2231" w:type="dxa"/>
            <w:shd w:val="clear" w:color="auto" w:fill="auto"/>
          </w:tcPr>
          <w:p w14:paraId="13C5342F" w14:textId="6BBEE6C4" w:rsidR="00474894" w:rsidRPr="00ED6CC0" w:rsidRDefault="00474894" w:rsidP="00243B15">
            <w:pPr>
              <w:jc w:val="left"/>
              <w:rPr>
                <w:rFonts w:cstheme="minorHAnsi"/>
                <w:sz w:val="18"/>
                <w:lang w:val="en-GB"/>
              </w:rPr>
            </w:pPr>
            <w:r w:rsidRPr="00ED6CC0">
              <w:rPr>
                <w:rFonts w:cstheme="minorHAnsi"/>
                <w:sz w:val="18"/>
                <w:lang w:val="en-GB"/>
              </w:rPr>
              <w:t>Involvement of the private sector has an impact on respect of Safeguards standards (respect of Human Rights, Gender balance, etc…)</w:t>
            </w:r>
          </w:p>
        </w:tc>
        <w:tc>
          <w:tcPr>
            <w:tcW w:w="1761" w:type="dxa"/>
            <w:shd w:val="clear" w:color="auto" w:fill="auto"/>
          </w:tcPr>
          <w:p w14:paraId="0F6FBDC1" w14:textId="463F3D0D" w:rsidR="00474894" w:rsidRPr="00ED6CC0" w:rsidRDefault="00474894" w:rsidP="00243B15">
            <w:pPr>
              <w:rPr>
                <w:rFonts w:eastAsia="Cambria"/>
                <w:sz w:val="18"/>
                <w:szCs w:val="18"/>
                <w:lang w:val="en-GB"/>
              </w:rPr>
            </w:pPr>
            <w:r w:rsidRPr="00ED6CC0">
              <w:rPr>
                <w:rFonts w:eastAsia="Cambria"/>
                <w:sz w:val="18"/>
                <w:szCs w:val="18"/>
                <w:lang w:val="en-GB"/>
              </w:rPr>
              <w:t>Substantial</w:t>
            </w:r>
          </w:p>
        </w:tc>
        <w:tc>
          <w:tcPr>
            <w:tcW w:w="5508" w:type="dxa"/>
            <w:shd w:val="clear" w:color="auto" w:fill="auto"/>
          </w:tcPr>
          <w:p w14:paraId="0590E21A" w14:textId="739A485A" w:rsidR="00474894" w:rsidRPr="00ED6CC0" w:rsidRDefault="00474894" w:rsidP="00474894">
            <w:pPr>
              <w:jc w:val="left"/>
              <w:rPr>
                <w:sz w:val="18"/>
                <w:szCs w:val="18"/>
              </w:rPr>
            </w:pPr>
            <w:r w:rsidRPr="00ED6CC0">
              <w:rPr>
                <w:sz w:val="18"/>
                <w:szCs w:val="18"/>
              </w:rPr>
              <w:t>The risk will be managed through the Gender Action Plan, the Indigenous Peoples Plan and the ESMP, that will be developed through a strong participatory approach and the main findings and concerns will be shared also with private sector actors.</w:t>
            </w:r>
          </w:p>
          <w:p w14:paraId="223EA489" w14:textId="77777777" w:rsidR="00474894" w:rsidRPr="00ED6CC0" w:rsidRDefault="00474894" w:rsidP="00474894">
            <w:pPr>
              <w:jc w:val="left"/>
              <w:rPr>
                <w:sz w:val="18"/>
                <w:szCs w:val="18"/>
              </w:rPr>
            </w:pPr>
            <w:r w:rsidRPr="00ED6CC0">
              <w:rPr>
                <w:sz w:val="18"/>
                <w:szCs w:val="18"/>
              </w:rPr>
              <w:t>The Comprehensive Stakeholder Engagement Plan will support the mitigation of the identified risk.</w:t>
            </w:r>
          </w:p>
          <w:p w14:paraId="4CCF3DF3" w14:textId="583AF23C" w:rsidR="00474894" w:rsidRPr="00ED6CC0" w:rsidRDefault="00474894" w:rsidP="00474894">
            <w:pPr>
              <w:jc w:val="left"/>
              <w:rPr>
                <w:sz w:val="18"/>
                <w:szCs w:val="18"/>
              </w:rPr>
            </w:pPr>
            <w:r w:rsidRPr="00ED6CC0">
              <w:rPr>
                <w:sz w:val="18"/>
                <w:szCs w:val="18"/>
              </w:rPr>
              <w:t>In the ESMP a specific focus will be on private sector involvement in the project</w:t>
            </w:r>
          </w:p>
        </w:tc>
      </w:tr>
      <w:tr w:rsidR="00474894" w:rsidRPr="006E490C" w14:paraId="66D4E06F" w14:textId="77777777" w:rsidTr="00755BF9">
        <w:trPr>
          <w:trHeight w:val="2963"/>
        </w:trPr>
        <w:tc>
          <w:tcPr>
            <w:tcW w:w="1290" w:type="dxa"/>
            <w:shd w:val="clear" w:color="auto" w:fill="auto"/>
          </w:tcPr>
          <w:p w14:paraId="7889FD87" w14:textId="77777777" w:rsidR="00474894" w:rsidRPr="006E490C" w:rsidRDefault="00474894" w:rsidP="00243B15">
            <w:pPr>
              <w:rPr>
                <w:sz w:val="18"/>
                <w:szCs w:val="18"/>
              </w:rPr>
            </w:pPr>
          </w:p>
        </w:tc>
        <w:tc>
          <w:tcPr>
            <w:tcW w:w="2231" w:type="dxa"/>
            <w:shd w:val="clear" w:color="auto" w:fill="auto"/>
          </w:tcPr>
          <w:p w14:paraId="60D011A9" w14:textId="627F2F6A" w:rsidR="00474894" w:rsidRPr="00ED6CC0" w:rsidRDefault="00474894" w:rsidP="00243B15">
            <w:pPr>
              <w:jc w:val="left"/>
              <w:rPr>
                <w:rFonts w:cstheme="minorHAnsi"/>
                <w:sz w:val="18"/>
                <w:lang w:val="en-GB"/>
              </w:rPr>
            </w:pPr>
            <w:r w:rsidRPr="00ED6CC0">
              <w:rPr>
                <w:rFonts w:cstheme="minorHAnsi"/>
                <w:sz w:val="18"/>
                <w:lang w:val="en-GB"/>
              </w:rPr>
              <w:t>Access to economic resources and natural resources facilitated through interventions create or exacerbate conflicts between groups or increase the risk of violence between project-affected communities and individuals.</w:t>
            </w:r>
          </w:p>
        </w:tc>
        <w:tc>
          <w:tcPr>
            <w:tcW w:w="1761" w:type="dxa"/>
            <w:shd w:val="clear" w:color="auto" w:fill="auto"/>
          </w:tcPr>
          <w:p w14:paraId="294276B5" w14:textId="0FE5AB24" w:rsidR="00474894" w:rsidRPr="00ED6CC0" w:rsidRDefault="00474894" w:rsidP="00243B15">
            <w:pPr>
              <w:rPr>
                <w:rFonts w:eastAsia="Cambria"/>
                <w:sz w:val="18"/>
                <w:szCs w:val="18"/>
                <w:lang w:val="en-GB"/>
              </w:rPr>
            </w:pPr>
            <w:r w:rsidRPr="00ED6CC0">
              <w:rPr>
                <w:rFonts w:eastAsia="Cambria"/>
                <w:sz w:val="18"/>
                <w:szCs w:val="18"/>
                <w:lang w:val="en-GB"/>
              </w:rPr>
              <w:t>Substantial</w:t>
            </w:r>
          </w:p>
        </w:tc>
        <w:tc>
          <w:tcPr>
            <w:tcW w:w="5508" w:type="dxa"/>
            <w:shd w:val="clear" w:color="auto" w:fill="auto"/>
          </w:tcPr>
          <w:p w14:paraId="10247755" w14:textId="4A9EDAA0" w:rsidR="00474894" w:rsidRPr="00ED6CC0" w:rsidRDefault="00474894" w:rsidP="00474894">
            <w:pPr>
              <w:jc w:val="left"/>
              <w:rPr>
                <w:sz w:val="18"/>
                <w:szCs w:val="18"/>
              </w:rPr>
            </w:pPr>
            <w:r w:rsidRPr="00ED6CC0">
              <w:rPr>
                <w:sz w:val="18"/>
                <w:szCs w:val="18"/>
              </w:rPr>
              <w:t>This risk will be managed through an Indigenous Peoples Plan and through the implementation of the Comprehensive Stakeholder Engagement Plan, integrating the findings of the conflict assessment/ESIA.</w:t>
            </w:r>
          </w:p>
          <w:p w14:paraId="6202C25B" w14:textId="4B361746" w:rsidR="00474894" w:rsidRPr="00ED6CC0" w:rsidRDefault="00474894" w:rsidP="00474894">
            <w:pPr>
              <w:jc w:val="left"/>
              <w:rPr>
                <w:sz w:val="18"/>
                <w:szCs w:val="18"/>
              </w:rPr>
            </w:pPr>
            <w:r w:rsidRPr="00ED6CC0">
              <w:rPr>
                <w:sz w:val="18"/>
                <w:szCs w:val="18"/>
              </w:rPr>
              <w:t>A Grievance Redress mechanism, that will take into consideration the local grievance mechanism already in place, will be implemented during the project’s implementation.</w:t>
            </w:r>
          </w:p>
          <w:p w14:paraId="1EE70C08" w14:textId="7527A886" w:rsidR="00474894" w:rsidRPr="00ED6CC0" w:rsidRDefault="00474894" w:rsidP="00474894">
            <w:pPr>
              <w:jc w:val="left"/>
              <w:rPr>
                <w:sz w:val="18"/>
                <w:szCs w:val="18"/>
              </w:rPr>
            </w:pPr>
            <w:r w:rsidRPr="00ED6CC0">
              <w:rPr>
                <w:sz w:val="18"/>
                <w:szCs w:val="18"/>
              </w:rPr>
              <w:t xml:space="preserve">Where necessary, inter-groups stakeholder consultations will be held to resolve “territorial” disputes relating to resource use. </w:t>
            </w:r>
          </w:p>
          <w:p w14:paraId="75D0D052" w14:textId="0D79238E" w:rsidR="00474894" w:rsidRPr="00ED6CC0" w:rsidRDefault="00474894" w:rsidP="00474894">
            <w:pPr>
              <w:jc w:val="left"/>
              <w:rPr>
                <w:sz w:val="18"/>
                <w:szCs w:val="18"/>
              </w:rPr>
            </w:pPr>
            <w:r w:rsidRPr="00ED6CC0">
              <w:rPr>
                <w:sz w:val="18"/>
                <w:szCs w:val="18"/>
              </w:rPr>
              <w:t>An ESMP will be prepared and will include mitigation measures based on ESIA findings, including the ones identified through the conflict assessment.</w:t>
            </w:r>
          </w:p>
        </w:tc>
      </w:tr>
    </w:tbl>
    <w:p w14:paraId="71D4CB2E" w14:textId="5166B770" w:rsidR="007D0B29" w:rsidRDefault="007D0B29" w:rsidP="007D0B29">
      <w:pPr>
        <w:shd w:val="clear" w:color="auto" w:fill="FFFFFF"/>
        <w:outlineLvl w:val="0"/>
        <w:rPr>
          <w:b/>
          <w:bCs/>
          <w:color w:val="000000"/>
          <w:sz w:val="22"/>
          <w:szCs w:val="22"/>
        </w:rPr>
      </w:pPr>
    </w:p>
    <w:p w14:paraId="6C9823BE" w14:textId="23A02AFC" w:rsidR="0055563B" w:rsidRDefault="0055563B" w:rsidP="007D0B29">
      <w:pPr>
        <w:shd w:val="clear" w:color="auto" w:fill="FFFFFF"/>
        <w:outlineLvl w:val="0"/>
        <w:rPr>
          <w:b/>
          <w:bCs/>
          <w:color w:val="000000"/>
          <w:sz w:val="22"/>
          <w:szCs w:val="22"/>
        </w:rPr>
      </w:pPr>
    </w:p>
    <w:p w14:paraId="529DBBDE" w14:textId="77777777" w:rsidR="0055563B" w:rsidRDefault="0055563B" w:rsidP="007D0B29">
      <w:pPr>
        <w:shd w:val="clear" w:color="auto" w:fill="FFFFFF"/>
        <w:outlineLvl w:val="0"/>
        <w:rPr>
          <w:b/>
          <w:bCs/>
          <w:color w:val="000000"/>
          <w:sz w:val="22"/>
          <w:szCs w:val="22"/>
        </w:rPr>
      </w:pPr>
    </w:p>
    <w:p w14:paraId="79239642" w14:textId="01AA0029" w:rsidR="007D0B29" w:rsidRPr="00A63E29" w:rsidRDefault="007D0B29" w:rsidP="007D0B29">
      <w:pPr>
        <w:shd w:val="clear" w:color="auto" w:fill="FFFFFF"/>
        <w:outlineLvl w:val="0"/>
        <w:rPr>
          <w:b/>
          <w:bCs/>
          <w:color w:val="000000"/>
          <w:sz w:val="22"/>
          <w:szCs w:val="22"/>
        </w:rPr>
      </w:pPr>
      <w:bookmarkStart w:id="19" w:name="_Hlk53039608"/>
      <w:r w:rsidRPr="00A63E29">
        <w:rPr>
          <w:b/>
          <w:bCs/>
          <w:color w:val="000000"/>
          <w:sz w:val="22"/>
          <w:szCs w:val="22"/>
        </w:rPr>
        <w:t>Summary analysis and project implications/opportunities for COVID-19</w:t>
      </w:r>
    </w:p>
    <w:p w14:paraId="243BF86C" w14:textId="2FE54364" w:rsidR="007D0B29" w:rsidRPr="00A63E29" w:rsidRDefault="007D0B29" w:rsidP="007D0B29">
      <w:pPr>
        <w:shd w:val="clear" w:color="auto" w:fill="FFFFFF"/>
        <w:rPr>
          <w:color w:val="000000"/>
          <w:sz w:val="22"/>
          <w:szCs w:val="22"/>
        </w:rPr>
      </w:pPr>
      <w:r w:rsidRPr="00A63E29">
        <w:rPr>
          <w:color w:val="000000"/>
          <w:sz w:val="22"/>
          <w:szCs w:val="22"/>
        </w:rPr>
        <w:lastRenderedPageBreak/>
        <w:t xml:space="preserve">Covid-19 implications have been built into the proposal and addressed in several sections throughout this document. The tables below summarize the risks and opportunities. The overarching ecological perspective of the project is that the rehabilitation of intact, well-managed production landscape, where wildlife harvest is done in an ecologically sound manner, healthy wildlife populations are protected, and as the more intact landscape develops over time, the possibility of zoonoses </w:t>
      </w:r>
      <w:r w:rsidR="00646674" w:rsidRPr="00A63E29">
        <w:rPr>
          <w:color w:val="000000"/>
          <w:sz w:val="22"/>
          <w:szCs w:val="22"/>
        </w:rPr>
        <w:t>will be</w:t>
      </w:r>
      <w:r w:rsidRPr="00A63E29">
        <w:rPr>
          <w:color w:val="000000"/>
          <w:sz w:val="22"/>
          <w:szCs w:val="22"/>
        </w:rPr>
        <w:t xml:space="preserve"> substantially reduced.  </w:t>
      </w:r>
    </w:p>
    <w:p w14:paraId="0EF24727" w14:textId="77777777" w:rsidR="007D0B29" w:rsidRPr="00A63E29" w:rsidRDefault="007D0B29" w:rsidP="007D0B29">
      <w:pPr>
        <w:shd w:val="clear" w:color="auto" w:fill="FFFFFF"/>
        <w:rPr>
          <w:color w:val="201F1E"/>
          <w:szCs w:val="20"/>
          <w:u w:val="single"/>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415"/>
        <w:gridCol w:w="2977"/>
        <w:gridCol w:w="992"/>
        <w:gridCol w:w="5386"/>
      </w:tblGrid>
      <w:tr w:rsidR="003C1387" w:rsidRPr="007263B4" w14:paraId="37227B84" w14:textId="77777777" w:rsidTr="00926889">
        <w:trPr>
          <w:trHeight w:val="418"/>
        </w:trPr>
        <w:tc>
          <w:tcPr>
            <w:tcW w:w="1415" w:type="dxa"/>
            <w:shd w:val="clear" w:color="auto" w:fill="auto"/>
            <w:tcMar>
              <w:top w:w="0" w:type="dxa"/>
              <w:left w:w="108" w:type="dxa"/>
              <w:bottom w:w="0" w:type="dxa"/>
              <w:right w:w="108" w:type="dxa"/>
            </w:tcMar>
            <w:vAlign w:val="center"/>
            <w:hideMark/>
          </w:tcPr>
          <w:p w14:paraId="466ABB21" w14:textId="77777777" w:rsidR="003C1387" w:rsidRPr="00A63E29" w:rsidRDefault="003C1387" w:rsidP="003C1387">
            <w:pPr>
              <w:rPr>
                <w:color w:val="201F1E"/>
                <w:szCs w:val="20"/>
              </w:rPr>
            </w:pPr>
            <w:r w:rsidRPr="00A63E29">
              <w:rPr>
                <w:b/>
                <w:bCs/>
                <w:color w:val="201F1E"/>
                <w:szCs w:val="20"/>
              </w:rPr>
              <w:t>Risk category</w:t>
            </w:r>
          </w:p>
        </w:tc>
        <w:tc>
          <w:tcPr>
            <w:tcW w:w="2977" w:type="dxa"/>
            <w:vAlign w:val="center"/>
          </w:tcPr>
          <w:p w14:paraId="47D13281" w14:textId="3D660906" w:rsidR="003C1387" w:rsidRPr="00A63E29" w:rsidRDefault="003C1387" w:rsidP="003C1387">
            <w:pPr>
              <w:rPr>
                <w:b/>
                <w:bCs/>
                <w:color w:val="201F1E"/>
                <w:szCs w:val="20"/>
              </w:rPr>
            </w:pPr>
            <w:r w:rsidRPr="00A63E29">
              <w:rPr>
                <w:b/>
                <w:bCs/>
                <w:color w:val="201F1E"/>
                <w:szCs w:val="20"/>
              </w:rPr>
              <w:t>Potential Risk</w:t>
            </w:r>
          </w:p>
        </w:tc>
        <w:tc>
          <w:tcPr>
            <w:tcW w:w="992" w:type="dxa"/>
            <w:shd w:val="clear" w:color="auto" w:fill="auto"/>
            <w:tcMar>
              <w:top w:w="0" w:type="dxa"/>
              <w:left w:w="108" w:type="dxa"/>
              <w:bottom w:w="0" w:type="dxa"/>
              <w:right w:w="108" w:type="dxa"/>
            </w:tcMar>
            <w:vAlign w:val="center"/>
            <w:hideMark/>
          </w:tcPr>
          <w:p w14:paraId="0799B955" w14:textId="76BDAE72" w:rsidR="003C1387" w:rsidRPr="00A63E29" w:rsidRDefault="003C1387" w:rsidP="003C1387">
            <w:pPr>
              <w:rPr>
                <w:color w:val="201F1E"/>
                <w:szCs w:val="20"/>
              </w:rPr>
            </w:pPr>
            <w:r w:rsidRPr="00A63E29">
              <w:rPr>
                <w:b/>
                <w:bCs/>
                <w:color w:val="201F1E"/>
                <w:szCs w:val="20"/>
              </w:rPr>
              <w:t>Risk level</w:t>
            </w:r>
          </w:p>
        </w:tc>
        <w:tc>
          <w:tcPr>
            <w:tcW w:w="5386" w:type="dxa"/>
            <w:shd w:val="clear" w:color="auto" w:fill="auto"/>
            <w:tcMar>
              <w:top w:w="0" w:type="dxa"/>
              <w:left w:w="108" w:type="dxa"/>
              <w:bottom w:w="0" w:type="dxa"/>
              <w:right w:w="108" w:type="dxa"/>
            </w:tcMar>
            <w:vAlign w:val="center"/>
            <w:hideMark/>
          </w:tcPr>
          <w:p w14:paraId="2F67AB46" w14:textId="77777777" w:rsidR="003C1387" w:rsidRPr="00A63E29" w:rsidRDefault="003C1387" w:rsidP="003C1387">
            <w:pPr>
              <w:rPr>
                <w:color w:val="201F1E"/>
                <w:szCs w:val="20"/>
              </w:rPr>
            </w:pPr>
            <w:r w:rsidRPr="00A63E29">
              <w:rPr>
                <w:b/>
                <w:bCs/>
                <w:color w:val="201F1E"/>
                <w:szCs w:val="20"/>
              </w:rPr>
              <w:t>Mitigations and Plans</w:t>
            </w:r>
          </w:p>
        </w:tc>
      </w:tr>
      <w:tr w:rsidR="003C1387" w:rsidRPr="007263B4" w14:paraId="6AFA6A68" w14:textId="77777777" w:rsidTr="00926889">
        <w:tc>
          <w:tcPr>
            <w:tcW w:w="1415" w:type="dxa"/>
            <w:vMerge w:val="restart"/>
            <w:shd w:val="clear" w:color="auto" w:fill="FFFFFF"/>
            <w:tcMar>
              <w:top w:w="0" w:type="dxa"/>
              <w:left w:w="108" w:type="dxa"/>
              <w:bottom w:w="0" w:type="dxa"/>
              <w:right w:w="108" w:type="dxa"/>
            </w:tcMar>
            <w:hideMark/>
          </w:tcPr>
          <w:p w14:paraId="40E93DB0" w14:textId="77777777" w:rsidR="003C1387" w:rsidRPr="00A63E29" w:rsidRDefault="003C1387" w:rsidP="003C1387">
            <w:pPr>
              <w:jc w:val="left"/>
              <w:rPr>
                <w:color w:val="201F1E"/>
                <w:sz w:val="18"/>
                <w:szCs w:val="18"/>
              </w:rPr>
            </w:pPr>
            <w:r w:rsidRPr="00A63E29">
              <w:rPr>
                <w:color w:val="201F1E"/>
                <w:sz w:val="18"/>
                <w:szCs w:val="18"/>
              </w:rPr>
              <w:t>Availability of technical expertise and capacity and changes in timelines</w:t>
            </w:r>
          </w:p>
        </w:tc>
        <w:tc>
          <w:tcPr>
            <w:tcW w:w="2977" w:type="dxa"/>
            <w:shd w:val="clear" w:color="auto" w:fill="FFFFFF"/>
          </w:tcPr>
          <w:p w14:paraId="0E74F6A3" w14:textId="281C1106" w:rsidR="003C1387" w:rsidRPr="00A63E29" w:rsidRDefault="003C1387" w:rsidP="003C1387">
            <w:pPr>
              <w:jc w:val="left"/>
              <w:rPr>
                <w:color w:val="201F1E"/>
                <w:sz w:val="18"/>
                <w:szCs w:val="18"/>
              </w:rPr>
            </w:pPr>
            <w:r w:rsidRPr="00A63E29">
              <w:rPr>
                <w:color w:val="201F1E"/>
                <w:sz w:val="18"/>
                <w:szCs w:val="18"/>
              </w:rPr>
              <w:t>Continued or renewed efforts in COVID-19 containment are likely over the course of project development and possibly into implementation</w:t>
            </w:r>
          </w:p>
          <w:p w14:paraId="62B3C215" w14:textId="38267B52" w:rsidR="003C1387" w:rsidRPr="00A63E29" w:rsidRDefault="003C1387" w:rsidP="003C1387">
            <w:pPr>
              <w:jc w:val="left"/>
              <w:rPr>
                <w:color w:val="201F1E"/>
                <w:sz w:val="18"/>
                <w:szCs w:val="18"/>
              </w:rPr>
            </w:pPr>
            <w:r w:rsidRPr="00A63E29">
              <w:rPr>
                <w:color w:val="201F1E"/>
                <w:sz w:val="18"/>
                <w:szCs w:val="18"/>
              </w:rPr>
              <w:t> </w:t>
            </w:r>
          </w:p>
        </w:tc>
        <w:tc>
          <w:tcPr>
            <w:tcW w:w="992" w:type="dxa"/>
            <w:shd w:val="clear" w:color="auto" w:fill="FFFFFF"/>
            <w:tcMar>
              <w:top w:w="0" w:type="dxa"/>
              <w:left w:w="108" w:type="dxa"/>
              <w:bottom w:w="0" w:type="dxa"/>
              <w:right w:w="108" w:type="dxa"/>
            </w:tcMar>
          </w:tcPr>
          <w:p w14:paraId="73FC6123" w14:textId="44341E03" w:rsidR="003C1387" w:rsidRPr="00A63E29" w:rsidRDefault="00E82387" w:rsidP="003C1387">
            <w:pPr>
              <w:jc w:val="left"/>
              <w:rPr>
                <w:color w:val="201F1E"/>
                <w:sz w:val="18"/>
                <w:szCs w:val="18"/>
              </w:rPr>
            </w:pPr>
            <w:r w:rsidRPr="00A63E29">
              <w:rPr>
                <w:color w:val="201F1E"/>
                <w:sz w:val="18"/>
                <w:szCs w:val="18"/>
              </w:rPr>
              <w:t>Medium</w:t>
            </w:r>
          </w:p>
        </w:tc>
        <w:tc>
          <w:tcPr>
            <w:tcW w:w="5386" w:type="dxa"/>
            <w:shd w:val="clear" w:color="auto" w:fill="FFFFFF"/>
            <w:tcMar>
              <w:top w:w="0" w:type="dxa"/>
              <w:left w:w="108" w:type="dxa"/>
              <w:bottom w:w="0" w:type="dxa"/>
              <w:right w:w="108" w:type="dxa"/>
            </w:tcMar>
            <w:hideMark/>
          </w:tcPr>
          <w:p w14:paraId="342783DC" w14:textId="6EE231B2" w:rsidR="003C1387" w:rsidRPr="00A63E29" w:rsidRDefault="003C1387" w:rsidP="003C1387">
            <w:pPr>
              <w:jc w:val="left"/>
              <w:rPr>
                <w:color w:val="201F1E"/>
                <w:sz w:val="18"/>
                <w:szCs w:val="18"/>
              </w:rPr>
            </w:pPr>
            <w:r w:rsidRPr="00A63E29">
              <w:rPr>
                <w:color w:val="201F1E"/>
                <w:sz w:val="18"/>
                <w:szCs w:val="18"/>
              </w:rPr>
              <w:t xml:space="preserve">The project development work plan and team will be built with this in mind, for example, maximizing experts in country. However, if the </w:t>
            </w:r>
            <w:r w:rsidR="00E82387" w:rsidRPr="00A63E29">
              <w:rPr>
                <w:color w:val="201F1E"/>
                <w:sz w:val="18"/>
                <w:szCs w:val="18"/>
              </w:rPr>
              <w:t xml:space="preserve">number of </w:t>
            </w:r>
            <w:r w:rsidRPr="00A63E29">
              <w:rPr>
                <w:color w:val="201F1E"/>
                <w:sz w:val="18"/>
                <w:szCs w:val="18"/>
              </w:rPr>
              <w:t xml:space="preserve">COVID19 </w:t>
            </w:r>
            <w:r w:rsidR="00E82387" w:rsidRPr="00A63E29">
              <w:rPr>
                <w:color w:val="201F1E"/>
                <w:sz w:val="18"/>
                <w:szCs w:val="18"/>
              </w:rPr>
              <w:t>cases increases beyond the currently low numbers and is not e</w:t>
            </w:r>
            <w:r w:rsidRPr="00A63E29">
              <w:rPr>
                <w:color w:val="201F1E"/>
                <w:sz w:val="18"/>
                <w:szCs w:val="18"/>
              </w:rPr>
              <w:t xml:space="preserve">ffectively contained, project start-up and implementation could be delayed. Methods for </w:t>
            </w:r>
            <w:proofErr w:type="spellStart"/>
            <w:r w:rsidRPr="00A63E29">
              <w:rPr>
                <w:color w:val="201F1E"/>
                <w:sz w:val="18"/>
                <w:szCs w:val="18"/>
              </w:rPr>
              <w:t>biosecure</w:t>
            </w:r>
            <w:proofErr w:type="spellEnd"/>
            <w:r w:rsidRPr="00A63E29">
              <w:rPr>
                <w:color w:val="201F1E"/>
                <w:sz w:val="18"/>
                <w:szCs w:val="18"/>
              </w:rPr>
              <w:t xml:space="preserve"> implementation will be needed, such as increased use of remote communication, use of PPE, etc.</w:t>
            </w:r>
          </w:p>
        </w:tc>
      </w:tr>
      <w:tr w:rsidR="00926889" w:rsidRPr="007263B4" w14:paraId="0A9CCD05" w14:textId="77777777" w:rsidTr="00926889">
        <w:tc>
          <w:tcPr>
            <w:tcW w:w="1415" w:type="dxa"/>
            <w:vMerge/>
            <w:shd w:val="clear" w:color="auto" w:fill="FFFFFF"/>
            <w:vAlign w:val="center"/>
            <w:hideMark/>
          </w:tcPr>
          <w:p w14:paraId="23D10FAB" w14:textId="77777777" w:rsidR="00926889" w:rsidRPr="00A63E29" w:rsidRDefault="00926889" w:rsidP="003C1387">
            <w:pPr>
              <w:jc w:val="left"/>
              <w:rPr>
                <w:color w:val="201F1E"/>
                <w:sz w:val="18"/>
                <w:szCs w:val="18"/>
              </w:rPr>
            </w:pPr>
          </w:p>
        </w:tc>
        <w:tc>
          <w:tcPr>
            <w:tcW w:w="2977" w:type="dxa"/>
            <w:vMerge w:val="restart"/>
            <w:shd w:val="clear" w:color="auto" w:fill="FFFFFF"/>
          </w:tcPr>
          <w:p w14:paraId="46927AD2" w14:textId="67BC5AB4" w:rsidR="00926889" w:rsidRPr="00A63E29" w:rsidRDefault="00926889" w:rsidP="003C1387">
            <w:pPr>
              <w:jc w:val="left"/>
              <w:rPr>
                <w:color w:val="201F1E"/>
                <w:sz w:val="18"/>
                <w:szCs w:val="18"/>
              </w:rPr>
            </w:pPr>
            <w:r w:rsidRPr="00A63E29">
              <w:rPr>
                <w:color w:val="201F1E"/>
                <w:sz w:val="18"/>
                <w:szCs w:val="18"/>
              </w:rPr>
              <w:t>Limited capacity for remote work and interactions in Burkina Faso</w:t>
            </w:r>
          </w:p>
        </w:tc>
        <w:tc>
          <w:tcPr>
            <w:tcW w:w="992" w:type="dxa"/>
            <w:vMerge w:val="restart"/>
            <w:shd w:val="clear" w:color="auto" w:fill="FFFFFF"/>
            <w:tcMar>
              <w:top w:w="0" w:type="dxa"/>
              <w:left w:w="108" w:type="dxa"/>
              <w:bottom w:w="0" w:type="dxa"/>
              <w:right w:w="108" w:type="dxa"/>
            </w:tcMar>
          </w:tcPr>
          <w:p w14:paraId="2652DE93" w14:textId="2518F8A0" w:rsidR="00926889" w:rsidRPr="00A63E29" w:rsidRDefault="00926889" w:rsidP="003C1387">
            <w:pPr>
              <w:jc w:val="left"/>
              <w:rPr>
                <w:color w:val="201F1E"/>
                <w:sz w:val="18"/>
                <w:szCs w:val="18"/>
              </w:rPr>
            </w:pPr>
            <w:r w:rsidRPr="00A63E29">
              <w:rPr>
                <w:color w:val="201F1E"/>
                <w:sz w:val="18"/>
                <w:szCs w:val="18"/>
              </w:rPr>
              <w:t>Medium</w:t>
            </w:r>
          </w:p>
        </w:tc>
        <w:tc>
          <w:tcPr>
            <w:tcW w:w="5386" w:type="dxa"/>
            <w:shd w:val="clear" w:color="auto" w:fill="FFFFFF"/>
            <w:tcMar>
              <w:top w:w="0" w:type="dxa"/>
              <w:left w:w="108" w:type="dxa"/>
              <w:bottom w:w="0" w:type="dxa"/>
              <w:right w:w="108" w:type="dxa"/>
            </w:tcMar>
            <w:hideMark/>
          </w:tcPr>
          <w:p w14:paraId="543183DE" w14:textId="1C1F9B1F" w:rsidR="00926889" w:rsidRPr="00A63E29" w:rsidRDefault="00926889" w:rsidP="003C1387">
            <w:pPr>
              <w:jc w:val="left"/>
              <w:rPr>
                <w:color w:val="201F1E"/>
                <w:sz w:val="18"/>
                <w:szCs w:val="18"/>
              </w:rPr>
            </w:pPr>
            <w:r w:rsidRPr="00A63E29">
              <w:rPr>
                <w:color w:val="201F1E"/>
                <w:sz w:val="18"/>
                <w:szCs w:val="18"/>
              </w:rPr>
              <w:t xml:space="preserve">The rural areas of Burkina Faso are not well equipped for remote work, in terms of </w:t>
            </w:r>
            <w:proofErr w:type="spellStart"/>
            <w:r w:rsidRPr="00A63E29">
              <w:rPr>
                <w:color w:val="201F1E"/>
                <w:sz w:val="18"/>
                <w:szCs w:val="18"/>
              </w:rPr>
              <w:t>wifi</w:t>
            </w:r>
            <w:proofErr w:type="spellEnd"/>
            <w:r w:rsidRPr="00A63E29">
              <w:rPr>
                <w:color w:val="201F1E"/>
                <w:sz w:val="18"/>
                <w:szCs w:val="18"/>
              </w:rPr>
              <w:t xml:space="preserve"> availability.  The project will attempt to hold consultations in halls or open spaces, and taking advantage of the cell network for connectivity, other than by observing government safety protocols.</w:t>
            </w:r>
          </w:p>
        </w:tc>
      </w:tr>
      <w:tr w:rsidR="00926889" w:rsidRPr="007263B4" w14:paraId="428AB59B" w14:textId="77777777" w:rsidTr="00926889">
        <w:tc>
          <w:tcPr>
            <w:tcW w:w="1415" w:type="dxa"/>
            <w:vMerge/>
            <w:shd w:val="clear" w:color="auto" w:fill="FFFFFF"/>
            <w:vAlign w:val="center"/>
            <w:hideMark/>
          </w:tcPr>
          <w:p w14:paraId="3C71E579" w14:textId="77777777" w:rsidR="00926889" w:rsidRPr="00A63E29" w:rsidRDefault="00926889" w:rsidP="003C1387">
            <w:pPr>
              <w:jc w:val="left"/>
              <w:rPr>
                <w:color w:val="201F1E"/>
                <w:sz w:val="18"/>
                <w:szCs w:val="18"/>
              </w:rPr>
            </w:pPr>
          </w:p>
        </w:tc>
        <w:tc>
          <w:tcPr>
            <w:tcW w:w="2977" w:type="dxa"/>
            <w:vMerge/>
            <w:shd w:val="clear" w:color="auto" w:fill="FFFFFF"/>
          </w:tcPr>
          <w:p w14:paraId="22B5E8CA" w14:textId="77777777" w:rsidR="00926889" w:rsidRPr="00A63E29" w:rsidRDefault="00926889" w:rsidP="003C1387">
            <w:pPr>
              <w:jc w:val="left"/>
              <w:rPr>
                <w:color w:val="201F1E"/>
                <w:sz w:val="18"/>
                <w:szCs w:val="18"/>
              </w:rPr>
            </w:pPr>
          </w:p>
        </w:tc>
        <w:tc>
          <w:tcPr>
            <w:tcW w:w="992" w:type="dxa"/>
            <w:vMerge/>
            <w:shd w:val="clear" w:color="auto" w:fill="FFFFFF"/>
            <w:tcMar>
              <w:top w:w="0" w:type="dxa"/>
              <w:left w:w="108" w:type="dxa"/>
              <w:bottom w:w="0" w:type="dxa"/>
              <w:right w:w="108" w:type="dxa"/>
            </w:tcMar>
          </w:tcPr>
          <w:p w14:paraId="787D36AF" w14:textId="7C7EACBE" w:rsidR="00926889" w:rsidRPr="00A63E29" w:rsidRDefault="00926889" w:rsidP="003C1387">
            <w:pPr>
              <w:jc w:val="left"/>
              <w:rPr>
                <w:color w:val="201F1E"/>
                <w:sz w:val="18"/>
                <w:szCs w:val="18"/>
              </w:rPr>
            </w:pPr>
          </w:p>
        </w:tc>
        <w:tc>
          <w:tcPr>
            <w:tcW w:w="5386" w:type="dxa"/>
            <w:shd w:val="clear" w:color="auto" w:fill="FFFFFF"/>
            <w:tcMar>
              <w:top w:w="0" w:type="dxa"/>
              <w:left w:w="108" w:type="dxa"/>
              <w:bottom w:w="0" w:type="dxa"/>
              <w:right w:w="108" w:type="dxa"/>
            </w:tcMar>
            <w:hideMark/>
          </w:tcPr>
          <w:p w14:paraId="2B21962B" w14:textId="128EB664" w:rsidR="00926889" w:rsidRPr="00A63E29" w:rsidRDefault="00926889" w:rsidP="003C1387">
            <w:pPr>
              <w:jc w:val="left"/>
              <w:rPr>
                <w:color w:val="201F1E"/>
                <w:sz w:val="18"/>
                <w:szCs w:val="18"/>
              </w:rPr>
            </w:pPr>
            <w:r w:rsidRPr="00A63E29">
              <w:rPr>
                <w:color w:val="201F1E"/>
                <w:sz w:val="18"/>
                <w:szCs w:val="18"/>
              </w:rPr>
              <w:t xml:space="preserve">Availability of international personnel on-site will depend on working in a post-pandemic scenario.  However, if the pandemic persists, experience in Burkina Faso and elsewhere to date indicates that remote video training modules can be </w:t>
            </w:r>
            <w:proofErr w:type="gramStart"/>
            <w:r w:rsidRPr="00A63E29">
              <w:rPr>
                <w:color w:val="201F1E"/>
                <w:sz w:val="18"/>
                <w:szCs w:val="18"/>
              </w:rPr>
              <w:t>developed</w:t>
            </w:r>
            <w:proofErr w:type="gramEnd"/>
            <w:r w:rsidRPr="00A63E29">
              <w:rPr>
                <w:color w:val="201F1E"/>
                <w:sz w:val="18"/>
                <w:szCs w:val="18"/>
              </w:rPr>
              <w:t xml:space="preserve"> and that planning work can be accommodated in this manner at halls and offices where </w:t>
            </w:r>
            <w:proofErr w:type="spellStart"/>
            <w:r w:rsidRPr="00A63E29">
              <w:rPr>
                <w:color w:val="201F1E"/>
                <w:sz w:val="18"/>
                <w:szCs w:val="18"/>
              </w:rPr>
              <w:t>wifi</w:t>
            </w:r>
            <w:proofErr w:type="spellEnd"/>
            <w:r w:rsidRPr="00A63E29">
              <w:rPr>
                <w:color w:val="201F1E"/>
                <w:sz w:val="18"/>
                <w:szCs w:val="18"/>
              </w:rPr>
              <w:t xml:space="preserve"> is available. </w:t>
            </w:r>
          </w:p>
        </w:tc>
      </w:tr>
      <w:tr w:rsidR="003C1387" w:rsidRPr="007263B4" w14:paraId="71AF5575" w14:textId="77777777" w:rsidTr="00926889">
        <w:tc>
          <w:tcPr>
            <w:tcW w:w="1415" w:type="dxa"/>
            <w:shd w:val="clear" w:color="auto" w:fill="FFFFFF"/>
            <w:tcMar>
              <w:top w:w="0" w:type="dxa"/>
              <w:left w:w="108" w:type="dxa"/>
              <w:bottom w:w="0" w:type="dxa"/>
              <w:right w:w="108" w:type="dxa"/>
            </w:tcMar>
            <w:hideMark/>
          </w:tcPr>
          <w:p w14:paraId="5E65C7CF" w14:textId="5D044DFA" w:rsidR="003C1387" w:rsidRPr="00A63E29" w:rsidRDefault="003C1387" w:rsidP="003C1387">
            <w:pPr>
              <w:jc w:val="left"/>
              <w:rPr>
                <w:color w:val="201F1E"/>
                <w:sz w:val="18"/>
                <w:szCs w:val="18"/>
              </w:rPr>
            </w:pPr>
            <w:r w:rsidRPr="00A63E29">
              <w:rPr>
                <w:color w:val="201F1E"/>
                <w:sz w:val="18"/>
                <w:szCs w:val="18"/>
              </w:rPr>
              <w:t>Difficulties of implementing community engagement activities</w:t>
            </w:r>
          </w:p>
        </w:tc>
        <w:tc>
          <w:tcPr>
            <w:tcW w:w="2977" w:type="dxa"/>
            <w:shd w:val="clear" w:color="auto" w:fill="FFFFFF"/>
          </w:tcPr>
          <w:p w14:paraId="035E1F70" w14:textId="7050D605" w:rsidR="003C1387" w:rsidRPr="00A63E29" w:rsidRDefault="003C1387" w:rsidP="003C1387">
            <w:pPr>
              <w:jc w:val="left"/>
              <w:rPr>
                <w:color w:val="201F1E"/>
                <w:sz w:val="18"/>
                <w:szCs w:val="18"/>
              </w:rPr>
            </w:pPr>
            <w:r w:rsidRPr="00A63E29">
              <w:rPr>
                <w:color w:val="201F1E"/>
                <w:sz w:val="18"/>
                <w:szCs w:val="18"/>
              </w:rPr>
              <w:t>Depending on the development of the pandemic in-country, it may be difficult to do community-level consultations</w:t>
            </w:r>
          </w:p>
        </w:tc>
        <w:tc>
          <w:tcPr>
            <w:tcW w:w="992" w:type="dxa"/>
            <w:shd w:val="clear" w:color="auto" w:fill="FFFFFF"/>
            <w:tcMar>
              <w:top w:w="0" w:type="dxa"/>
              <w:left w:w="108" w:type="dxa"/>
              <w:bottom w:w="0" w:type="dxa"/>
              <w:right w:w="108" w:type="dxa"/>
            </w:tcMar>
          </w:tcPr>
          <w:p w14:paraId="67F25140" w14:textId="30CE40D1" w:rsidR="003C1387" w:rsidRPr="00A63E29" w:rsidRDefault="00926889" w:rsidP="003C1387">
            <w:pPr>
              <w:jc w:val="left"/>
              <w:rPr>
                <w:color w:val="201F1E"/>
                <w:sz w:val="18"/>
                <w:szCs w:val="18"/>
              </w:rPr>
            </w:pPr>
            <w:r w:rsidRPr="00A63E29">
              <w:rPr>
                <w:color w:val="201F1E"/>
                <w:sz w:val="18"/>
                <w:szCs w:val="18"/>
              </w:rPr>
              <w:t>Medium</w:t>
            </w:r>
          </w:p>
        </w:tc>
        <w:tc>
          <w:tcPr>
            <w:tcW w:w="5386" w:type="dxa"/>
            <w:shd w:val="clear" w:color="auto" w:fill="FFFFFF"/>
            <w:tcMar>
              <w:top w:w="0" w:type="dxa"/>
              <w:left w:w="108" w:type="dxa"/>
              <w:bottom w:w="0" w:type="dxa"/>
              <w:right w:w="108" w:type="dxa"/>
            </w:tcMar>
            <w:hideMark/>
          </w:tcPr>
          <w:p w14:paraId="4FB519E5" w14:textId="1204D749" w:rsidR="003C1387" w:rsidRPr="00A63E29" w:rsidRDefault="003C1387" w:rsidP="00926889">
            <w:pPr>
              <w:jc w:val="left"/>
              <w:rPr>
                <w:color w:val="201F1E"/>
                <w:sz w:val="18"/>
                <w:szCs w:val="18"/>
              </w:rPr>
            </w:pPr>
            <w:r w:rsidRPr="00A63E29">
              <w:rPr>
                <w:color w:val="201F1E"/>
                <w:sz w:val="18"/>
                <w:szCs w:val="18"/>
              </w:rPr>
              <w:t>Local level consultation will comply with government guidelines and UNDP-CO guidelines. For example, it is likely that teams for field visits and consultations will be small, and they will likely meet and consult with small group sizes (under 50 people or per local guidelines). Additionally, COVID protocol will be developed and followed, such as testing, and supply of sanitizer and masks. In any case where either party is not comfortable to engage in discussions, it will not proceed. As much as possible, remote connections will be sought, for example via local government offices visiting communities. </w:t>
            </w:r>
          </w:p>
        </w:tc>
      </w:tr>
      <w:tr w:rsidR="003C1387" w:rsidRPr="007263B4" w14:paraId="063FC68B" w14:textId="77777777" w:rsidTr="00926889">
        <w:tc>
          <w:tcPr>
            <w:tcW w:w="1415" w:type="dxa"/>
            <w:shd w:val="clear" w:color="auto" w:fill="FFFFFF"/>
            <w:tcMar>
              <w:top w:w="0" w:type="dxa"/>
              <w:left w:w="108" w:type="dxa"/>
              <w:bottom w:w="0" w:type="dxa"/>
              <w:right w:w="108" w:type="dxa"/>
            </w:tcMar>
            <w:hideMark/>
          </w:tcPr>
          <w:p w14:paraId="2D95458C" w14:textId="77777777" w:rsidR="003C1387" w:rsidRPr="00A63E29" w:rsidRDefault="003C1387" w:rsidP="003C1387">
            <w:pPr>
              <w:jc w:val="left"/>
              <w:rPr>
                <w:color w:val="201F1E"/>
                <w:sz w:val="18"/>
                <w:szCs w:val="18"/>
              </w:rPr>
            </w:pPr>
            <w:r w:rsidRPr="00A63E29">
              <w:rPr>
                <w:color w:val="201F1E"/>
                <w:sz w:val="18"/>
                <w:szCs w:val="18"/>
              </w:rPr>
              <w:t>Stakeholder engagement process</w:t>
            </w:r>
          </w:p>
        </w:tc>
        <w:tc>
          <w:tcPr>
            <w:tcW w:w="2977" w:type="dxa"/>
            <w:shd w:val="clear" w:color="auto" w:fill="FFFFFF"/>
          </w:tcPr>
          <w:p w14:paraId="17CC8200" w14:textId="38C38619" w:rsidR="003C1387" w:rsidRPr="00A63E29" w:rsidRDefault="003C1387" w:rsidP="003C1387">
            <w:pPr>
              <w:jc w:val="left"/>
              <w:rPr>
                <w:color w:val="201F1E"/>
                <w:sz w:val="18"/>
                <w:szCs w:val="18"/>
              </w:rPr>
            </w:pPr>
            <w:r w:rsidRPr="00A63E29">
              <w:rPr>
                <w:color w:val="201F1E"/>
                <w:sz w:val="18"/>
                <w:szCs w:val="18"/>
              </w:rPr>
              <w:t>Government may be too occupied with COVID issues to deal with regular business</w:t>
            </w:r>
          </w:p>
        </w:tc>
        <w:tc>
          <w:tcPr>
            <w:tcW w:w="992" w:type="dxa"/>
            <w:shd w:val="clear" w:color="auto" w:fill="FFFFFF"/>
            <w:tcMar>
              <w:top w:w="0" w:type="dxa"/>
              <w:left w:w="108" w:type="dxa"/>
              <w:bottom w:w="0" w:type="dxa"/>
              <w:right w:w="108" w:type="dxa"/>
            </w:tcMar>
          </w:tcPr>
          <w:p w14:paraId="5299C567" w14:textId="0F5991CD" w:rsidR="003C1387" w:rsidRPr="00A63E29" w:rsidRDefault="00926889" w:rsidP="003C1387">
            <w:pPr>
              <w:jc w:val="left"/>
              <w:rPr>
                <w:color w:val="201F1E"/>
                <w:sz w:val="18"/>
                <w:szCs w:val="18"/>
              </w:rPr>
            </w:pPr>
            <w:r w:rsidRPr="00A63E29">
              <w:rPr>
                <w:color w:val="201F1E"/>
                <w:sz w:val="18"/>
                <w:szCs w:val="18"/>
              </w:rPr>
              <w:t>Medium</w:t>
            </w:r>
          </w:p>
        </w:tc>
        <w:tc>
          <w:tcPr>
            <w:tcW w:w="5386" w:type="dxa"/>
            <w:shd w:val="clear" w:color="auto" w:fill="FFFFFF"/>
            <w:tcMar>
              <w:top w:w="0" w:type="dxa"/>
              <w:left w:w="108" w:type="dxa"/>
              <w:bottom w:w="0" w:type="dxa"/>
              <w:right w:w="108" w:type="dxa"/>
            </w:tcMar>
            <w:hideMark/>
          </w:tcPr>
          <w:p w14:paraId="7036ED70" w14:textId="77C93FC8" w:rsidR="003C1387" w:rsidRPr="00A63E29" w:rsidRDefault="003C1387" w:rsidP="003C1387">
            <w:pPr>
              <w:jc w:val="left"/>
              <w:rPr>
                <w:color w:val="201F1E"/>
                <w:sz w:val="18"/>
                <w:szCs w:val="18"/>
              </w:rPr>
            </w:pPr>
            <w:r w:rsidRPr="00A63E29">
              <w:rPr>
                <w:color w:val="201F1E"/>
                <w:sz w:val="18"/>
                <w:szCs w:val="18"/>
              </w:rPr>
              <w:t xml:space="preserve">At the national level, Government has its protocols in place for staff, and is requiring a full normal workload.  Meetings are being conducted in small groups and via video.  Unless there is a major increase in the pandemic, the risk is considered medium to low. </w:t>
            </w:r>
          </w:p>
        </w:tc>
      </w:tr>
      <w:tr w:rsidR="003C1387" w:rsidRPr="007263B4" w14:paraId="10240490" w14:textId="77777777" w:rsidTr="00926889">
        <w:tc>
          <w:tcPr>
            <w:tcW w:w="1415" w:type="dxa"/>
            <w:shd w:val="clear" w:color="auto" w:fill="FFFFFF"/>
            <w:tcMar>
              <w:top w:w="0" w:type="dxa"/>
              <w:left w:w="108" w:type="dxa"/>
              <w:bottom w:w="0" w:type="dxa"/>
              <w:right w:w="108" w:type="dxa"/>
            </w:tcMar>
            <w:hideMark/>
          </w:tcPr>
          <w:p w14:paraId="57B088DA" w14:textId="77777777" w:rsidR="003C1387" w:rsidRPr="00A63E29" w:rsidRDefault="003C1387" w:rsidP="003C1387">
            <w:pPr>
              <w:jc w:val="left"/>
              <w:rPr>
                <w:color w:val="201F1E"/>
                <w:sz w:val="18"/>
                <w:szCs w:val="18"/>
              </w:rPr>
            </w:pPr>
            <w:r w:rsidRPr="00A63E29">
              <w:rPr>
                <w:color w:val="201F1E"/>
                <w:sz w:val="18"/>
                <w:szCs w:val="18"/>
              </w:rPr>
              <w:t>Enabling environment</w:t>
            </w:r>
          </w:p>
        </w:tc>
        <w:tc>
          <w:tcPr>
            <w:tcW w:w="2977" w:type="dxa"/>
            <w:shd w:val="clear" w:color="auto" w:fill="FFFFFF"/>
          </w:tcPr>
          <w:p w14:paraId="7EEAC42C" w14:textId="50ABAAD9" w:rsidR="003C1387" w:rsidRPr="00A63E29" w:rsidRDefault="003C1387" w:rsidP="003C1387">
            <w:pPr>
              <w:jc w:val="left"/>
              <w:rPr>
                <w:color w:val="201F1E"/>
                <w:sz w:val="18"/>
                <w:szCs w:val="18"/>
              </w:rPr>
            </w:pPr>
            <w:r w:rsidRPr="00A63E29">
              <w:rPr>
                <w:color w:val="201F1E"/>
                <w:sz w:val="18"/>
                <w:szCs w:val="18"/>
              </w:rPr>
              <w:t>Impacts on co-financing could result</w:t>
            </w:r>
          </w:p>
        </w:tc>
        <w:tc>
          <w:tcPr>
            <w:tcW w:w="992" w:type="dxa"/>
            <w:shd w:val="clear" w:color="auto" w:fill="FFFFFF"/>
            <w:tcMar>
              <w:top w:w="0" w:type="dxa"/>
              <w:left w:w="108" w:type="dxa"/>
              <w:bottom w:w="0" w:type="dxa"/>
              <w:right w:w="108" w:type="dxa"/>
            </w:tcMar>
          </w:tcPr>
          <w:p w14:paraId="2A7F028A" w14:textId="3270A20A" w:rsidR="003C1387" w:rsidRPr="00A63E29" w:rsidRDefault="00926889" w:rsidP="003C1387">
            <w:pPr>
              <w:jc w:val="left"/>
              <w:rPr>
                <w:color w:val="201F1E"/>
                <w:sz w:val="18"/>
                <w:szCs w:val="18"/>
              </w:rPr>
            </w:pPr>
            <w:r w:rsidRPr="00A63E29">
              <w:rPr>
                <w:color w:val="201F1E"/>
                <w:sz w:val="18"/>
                <w:szCs w:val="18"/>
              </w:rPr>
              <w:t>Medium</w:t>
            </w:r>
          </w:p>
        </w:tc>
        <w:tc>
          <w:tcPr>
            <w:tcW w:w="5386" w:type="dxa"/>
            <w:shd w:val="clear" w:color="auto" w:fill="FFFFFF"/>
            <w:tcMar>
              <w:top w:w="0" w:type="dxa"/>
              <w:left w:w="108" w:type="dxa"/>
              <w:bottom w:w="0" w:type="dxa"/>
              <w:right w:w="108" w:type="dxa"/>
            </w:tcMar>
            <w:hideMark/>
          </w:tcPr>
          <w:p w14:paraId="65913ED3" w14:textId="77777777" w:rsidR="003C1387" w:rsidRPr="00A63E29" w:rsidRDefault="003C1387" w:rsidP="003C1387">
            <w:pPr>
              <w:jc w:val="left"/>
              <w:rPr>
                <w:color w:val="201F1E"/>
                <w:sz w:val="18"/>
                <w:szCs w:val="18"/>
              </w:rPr>
            </w:pPr>
            <w:r w:rsidRPr="00A63E29">
              <w:rPr>
                <w:color w:val="201F1E"/>
                <w:sz w:val="18"/>
                <w:szCs w:val="18"/>
              </w:rPr>
              <w:t>The availability of co-financing could be affected by changes in government fiscal priorities and exchange rates. Methods for safe implementation will be needed, such as increased use of remote communication, use of PPE, limited meetings.  Government is, however, fully supportive of the project.</w:t>
            </w:r>
          </w:p>
        </w:tc>
      </w:tr>
      <w:tr w:rsidR="003C1387" w:rsidRPr="007263B4" w14:paraId="40BFEA74" w14:textId="77777777" w:rsidTr="00926889">
        <w:tc>
          <w:tcPr>
            <w:tcW w:w="1415" w:type="dxa"/>
            <w:shd w:val="clear" w:color="auto" w:fill="FFFFFF"/>
            <w:tcMar>
              <w:top w:w="0" w:type="dxa"/>
              <w:left w:w="108" w:type="dxa"/>
              <w:bottom w:w="0" w:type="dxa"/>
              <w:right w:w="108" w:type="dxa"/>
            </w:tcMar>
          </w:tcPr>
          <w:p w14:paraId="50CFCEF8" w14:textId="77777777" w:rsidR="003C1387" w:rsidRPr="00A63E29" w:rsidRDefault="003C1387" w:rsidP="003C1387">
            <w:pPr>
              <w:jc w:val="left"/>
              <w:rPr>
                <w:color w:val="201F1E"/>
                <w:sz w:val="18"/>
                <w:szCs w:val="18"/>
              </w:rPr>
            </w:pPr>
            <w:r w:rsidRPr="00A63E29">
              <w:rPr>
                <w:color w:val="201F1E"/>
                <w:sz w:val="18"/>
                <w:szCs w:val="18"/>
              </w:rPr>
              <w:t>Travel by tourists</w:t>
            </w:r>
          </w:p>
        </w:tc>
        <w:tc>
          <w:tcPr>
            <w:tcW w:w="2977" w:type="dxa"/>
            <w:shd w:val="clear" w:color="auto" w:fill="FFFFFF"/>
          </w:tcPr>
          <w:p w14:paraId="0F5F9876" w14:textId="4B886FB1" w:rsidR="003C1387" w:rsidRPr="00A63E29" w:rsidRDefault="003C1387" w:rsidP="003C1387">
            <w:pPr>
              <w:jc w:val="left"/>
              <w:rPr>
                <w:color w:val="201F1E"/>
                <w:sz w:val="18"/>
                <w:szCs w:val="18"/>
              </w:rPr>
            </w:pPr>
            <w:r w:rsidRPr="00A63E29">
              <w:rPr>
                <w:color w:val="201F1E"/>
                <w:sz w:val="18"/>
                <w:szCs w:val="18"/>
              </w:rPr>
              <w:t xml:space="preserve">Lack of tourists </w:t>
            </w:r>
            <w:proofErr w:type="gramStart"/>
            <w:r w:rsidRPr="00A63E29">
              <w:rPr>
                <w:color w:val="201F1E"/>
                <w:sz w:val="18"/>
                <w:szCs w:val="18"/>
              </w:rPr>
              <w:t>as a result of</w:t>
            </w:r>
            <w:proofErr w:type="gramEnd"/>
            <w:r w:rsidRPr="00A63E29">
              <w:rPr>
                <w:color w:val="201F1E"/>
                <w:sz w:val="18"/>
                <w:szCs w:val="18"/>
              </w:rPr>
              <w:t xml:space="preserve"> covid reduces livelihood options</w:t>
            </w:r>
          </w:p>
        </w:tc>
        <w:tc>
          <w:tcPr>
            <w:tcW w:w="992" w:type="dxa"/>
            <w:shd w:val="clear" w:color="auto" w:fill="FFFFFF"/>
            <w:tcMar>
              <w:top w:w="0" w:type="dxa"/>
              <w:left w:w="108" w:type="dxa"/>
              <w:bottom w:w="0" w:type="dxa"/>
              <w:right w:w="108" w:type="dxa"/>
            </w:tcMar>
          </w:tcPr>
          <w:p w14:paraId="4F43E4F2" w14:textId="057B1B38" w:rsidR="003C1387" w:rsidRPr="00A63E29" w:rsidRDefault="00926889" w:rsidP="003C1387">
            <w:pPr>
              <w:jc w:val="left"/>
              <w:rPr>
                <w:color w:val="201F1E"/>
                <w:sz w:val="18"/>
                <w:szCs w:val="18"/>
              </w:rPr>
            </w:pPr>
            <w:r w:rsidRPr="00A63E29">
              <w:rPr>
                <w:color w:val="201F1E"/>
                <w:sz w:val="18"/>
                <w:szCs w:val="18"/>
              </w:rPr>
              <w:t>High</w:t>
            </w:r>
          </w:p>
        </w:tc>
        <w:tc>
          <w:tcPr>
            <w:tcW w:w="5386" w:type="dxa"/>
            <w:shd w:val="clear" w:color="auto" w:fill="FFFFFF"/>
            <w:tcMar>
              <w:top w:w="0" w:type="dxa"/>
              <w:left w:w="108" w:type="dxa"/>
              <w:bottom w:w="0" w:type="dxa"/>
              <w:right w:w="108" w:type="dxa"/>
            </w:tcMar>
          </w:tcPr>
          <w:p w14:paraId="7AB3047B" w14:textId="3FBE0AC1" w:rsidR="003C1387" w:rsidRPr="00A63E29" w:rsidRDefault="003C1387" w:rsidP="003C1387">
            <w:pPr>
              <w:jc w:val="left"/>
              <w:rPr>
                <w:color w:val="201F1E"/>
                <w:sz w:val="18"/>
                <w:szCs w:val="18"/>
              </w:rPr>
            </w:pPr>
            <w:r w:rsidRPr="00A63E29">
              <w:rPr>
                <w:color w:val="201F1E"/>
                <w:sz w:val="18"/>
                <w:szCs w:val="18"/>
              </w:rPr>
              <w:t xml:space="preserve">The project will assess the potential for recovery of the tourism market and to identify specific disease risk mitigation/prevention measures for a post-Covid19 recovery of the tourism industry. </w:t>
            </w:r>
          </w:p>
        </w:tc>
      </w:tr>
      <w:tr w:rsidR="003C1387" w:rsidRPr="007263B4" w14:paraId="4A611043" w14:textId="77777777" w:rsidTr="00926889">
        <w:trPr>
          <w:trHeight w:val="1129"/>
        </w:trPr>
        <w:tc>
          <w:tcPr>
            <w:tcW w:w="1415" w:type="dxa"/>
            <w:shd w:val="clear" w:color="auto" w:fill="FFFFFF"/>
            <w:tcMar>
              <w:top w:w="0" w:type="dxa"/>
              <w:left w:w="108" w:type="dxa"/>
              <w:bottom w:w="0" w:type="dxa"/>
              <w:right w:w="108" w:type="dxa"/>
            </w:tcMar>
            <w:hideMark/>
          </w:tcPr>
          <w:p w14:paraId="1D924314" w14:textId="77777777" w:rsidR="003C1387" w:rsidRPr="00A63E29" w:rsidRDefault="003C1387" w:rsidP="003C1387">
            <w:pPr>
              <w:jc w:val="left"/>
              <w:rPr>
                <w:color w:val="201F1E"/>
                <w:sz w:val="18"/>
                <w:szCs w:val="18"/>
              </w:rPr>
            </w:pPr>
            <w:r w:rsidRPr="00A63E29">
              <w:rPr>
                <w:color w:val="201F1E"/>
                <w:sz w:val="18"/>
                <w:szCs w:val="18"/>
              </w:rPr>
              <w:t>Future zoonoses</w:t>
            </w:r>
          </w:p>
        </w:tc>
        <w:tc>
          <w:tcPr>
            <w:tcW w:w="2977" w:type="dxa"/>
            <w:shd w:val="clear" w:color="auto" w:fill="FFFFFF"/>
          </w:tcPr>
          <w:p w14:paraId="08516CFA" w14:textId="09A34DA7" w:rsidR="003C1387" w:rsidRPr="00A63E29" w:rsidRDefault="003C1387" w:rsidP="003C1387">
            <w:pPr>
              <w:jc w:val="left"/>
              <w:rPr>
                <w:color w:val="201F1E"/>
                <w:sz w:val="18"/>
                <w:szCs w:val="18"/>
              </w:rPr>
            </w:pPr>
            <w:r w:rsidRPr="00A63E29">
              <w:rPr>
                <w:color w:val="201F1E"/>
                <w:sz w:val="18"/>
                <w:szCs w:val="18"/>
              </w:rPr>
              <w:t>Potential for adverse impacts that might contribute to future pandemics, for example, there will be no focus on increasing the human-wildlife interface or any actions that cause degradation</w:t>
            </w:r>
          </w:p>
        </w:tc>
        <w:tc>
          <w:tcPr>
            <w:tcW w:w="992" w:type="dxa"/>
            <w:shd w:val="clear" w:color="auto" w:fill="FFFFFF"/>
            <w:tcMar>
              <w:top w:w="0" w:type="dxa"/>
              <w:left w:w="108" w:type="dxa"/>
              <w:bottom w:w="0" w:type="dxa"/>
              <w:right w:w="108" w:type="dxa"/>
            </w:tcMar>
          </w:tcPr>
          <w:p w14:paraId="0F240F11" w14:textId="7A2282ED" w:rsidR="003C1387" w:rsidRPr="00A63E29" w:rsidRDefault="00926889" w:rsidP="003C1387">
            <w:pPr>
              <w:jc w:val="left"/>
              <w:rPr>
                <w:color w:val="201F1E"/>
                <w:sz w:val="18"/>
                <w:szCs w:val="18"/>
              </w:rPr>
            </w:pPr>
            <w:r w:rsidRPr="00A63E29">
              <w:rPr>
                <w:color w:val="201F1E"/>
                <w:sz w:val="18"/>
                <w:szCs w:val="18"/>
              </w:rPr>
              <w:t>Medium</w:t>
            </w:r>
          </w:p>
        </w:tc>
        <w:tc>
          <w:tcPr>
            <w:tcW w:w="5386" w:type="dxa"/>
            <w:shd w:val="clear" w:color="auto" w:fill="FFFFFF"/>
            <w:tcMar>
              <w:top w:w="0" w:type="dxa"/>
              <w:left w:w="108" w:type="dxa"/>
              <w:bottom w:w="0" w:type="dxa"/>
              <w:right w:w="108" w:type="dxa"/>
            </w:tcMar>
            <w:hideMark/>
          </w:tcPr>
          <w:p w14:paraId="3A077004" w14:textId="0474167A" w:rsidR="003C1387" w:rsidRPr="007263B4" w:rsidRDefault="003C1387" w:rsidP="00926889">
            <w:pPr>
              <w:ind w:hanging="1"/>
              <w:jc w:val="left"/>
              <w:rPr>
                <w:color w:val="201F1E"/>
                <w:sz w:val="18"/>
                <w:szCs w:val="18"/>
              </w:rPr>
            </w:pPr>
            <w:r w:rsidRPr="00A63E29">
              <w:rPr>
                <w:color w:val="201F1E"/>
                <w:sz w:val="18"/>
                <w:szCs w:val="18"/>
              </w:rPr>
              <w:t>The project will proactively work to reduce risky human-wildlife interface, towards reducing the risk of future pandemics, while over the long-term promoting an intact landscape with healthy wildlife populations.</w:t>
            </w:r>
            <w:r w:rsidRPr="007263B4">
              <w:rPr>
                <w:color w:val="201F1E"/>
                <w:sz w:val="18"/>
                <w:szCs w:val="18"/>
              </w:rPr>
              <w:t xml:space="preserve">  </w:t>
            </w:r>
          </w:p>
        </w:tc>
      </w:tr>
      <w:tr w:rsidR="00F16B92" w:rsidRPr="007263B4" w14:paraId="61EBAC07" w14:textId="77777777" w:rsidTr="00755BF9">
        <w:trPr>
          <w:trHeight w:val="259"/>
        </w:trPr>
        <w:tc>
          <w:tcPr>
            <w:tcW w:w="10770" w:type="dxa"/>
            <w:gridSpan w:val="4"/>
            <w:shd w:val="clear" w:color="auto" w:fill="FFFFFF"/>
            <w:tcMar>
              <w:top w:w="0" w:type="dxa"/>
              <w:left w:w="108" w:type="dxa"/>
              <w:bottom w:w="0" w:type="dxa"/>
              <w:right w:w="108" w:type="dxa"/>
            </w:tcMar>
          </w:tcPr>
          <w:p w14:paraId="6290A3E0" w14:textId="5646C8B5" w:rsidR="00F16B92" w:rsidRPr="00A63E29" w:rsidRDefault="00F16B92" w:rsidP="00926889">
            <w:pPr>
              <w:ind w:hanging="1"/>
              <w:jc w:val="left"/>
              <w:rPr>
                <w:color w:val="201F1E"/>
                <w:sz w:val="18"/>
                <w:szCs w:val="18"/>
              </w:rPr>
            </w:pPr>
            <w:r>
              <w:rPr>
                <w:color w:val="201F1E"/>
                <w:sz w:val="18"/>
                <w:szCs w:val="18"/>
              </w:rPr>
              <w:t>Social and Environmental risks</w:t>
            </w:r>
          </w:p>
        </w:tc>
      </w:tr>
      <w:tr w:rsidR="00F16B92" w:rsidRPr="007263B4" w14:paraId="11FE54EA" w14:textId="77777777" w:rsidTr="00926889">
        <w:trPr>
          <w:trHeight w:val="1129"/>
        </w:trPr>
        <w:tc>
          <w:tcPr>
            <w:tcW w:w="1415" w:type="dxa"/>
            <w:shd w:val="clear" w:color="auto" w:fill="FFFFFF"/>
            <w:tcMar>
              <w:top w:w="0" w:type="dxa"/>
              <w:left w:w="108" w:type="dxa"/>
              <w:bottom w:w="0" w:type="dxa"/>
              <w:right w:w="108" w:type="dxa"/>
            </w:tcMar>
          </w:tcPr>
          <w:p w14:paraId="28FBE545" w14:textId="748E9B39" w:rsidR="00F16B92" w:rsidRPr="00ED6CC0" w:rsidRDefault="00F16B92" w:rsidP="003C1387">
            <w:pPr>
              <w:jc w:val="left"/>
              <w:rPr>
                <w:color w:val="201F1E"/>
                <w:sz w:val="18"/>
                <w:szCs w:val="18"/>
              </w:rPr>
            </w:pPr>
            <w:r w:rsidRPr="00ED6CC0">
              <w:rPr>
                <w:color w:val="201F1E"/>
                <w:sz w:val="18"/>
                <w:szCs w:val="18"/>
              </w:rPr>
              <w:t xml:space="preserve">Occupational risk </w:t>
            </w:r>
          </w:p>
        </w:tc>
        <w:tc>
          <w:tcPr>
            <w:tcW w:w="2977" w:type="dxa"/>
            <w:shd w:val="clear" w:color="auto" w:fill="FFFFFF"/>
          </w:tcPr>
          <w:p w14:paraId="62975BE9" w14:textId="1DA78993" w:rsidR="00F16B92" w:rsidRPr="00ED6CC0" w:rsidRDefault="00F16B92" w:rsidP="003C1387">
            <w:pPr>
              <w:jc w:val="left"/>
              <w:rPr>
                <w:color w:val="201F1E"/>
                <w:sz w:val="18"/>
                <w:szCs w:val="18"/>
              </w:rPr>
            </w:pPr>
            <w:r w:rsidRPr="00ED6CC0">
              <w:rPr>
                <w:color w:val="201F1E"/>
                <w:sz w:val="18"/>
                <w:szCs w:val="18"/>
              </w:rPr>
              <w:t>Participation in project activities could pose a potential risk of increased exposure to COVID-19 and other occupational risks.</w:t>
            </w:r>
          </w:p>
        </w:tc>
        <w:tc>
          <w:tcPr>
            <w:tcW w:w="992" w:type="dxa"/>
            <w:shd w:val="clear" w:color="auto" w:fill="FFFFFF"/>
            <w:tcMar>
              <w:top w:w="0" w:type="dxa"/>
              <w:left w:w="108" w:type="dxa"/>
              <w:bottom w:w="0" w:type="dxa"/>
              <w:right w:w="108" w:type="dxa"/>
            </w:tcMar>
          </w:tcPr>
          <w:p w14:paraId="63ADDD4C" w14:textId="3D3695D0" w:rsidR="00F16B92" w:rsidRPr="00ED6CC0" w:rsidRDefault="00F16B92" w:rsidP="003C1387">
            <w:pPr>
              <w:jc w:val="left"/>
              <w:rPr>
                <w:color w:val="201F1E"/>
                <w:sz w:val="18"/>
                <w:szCs w:val="18"/>
              </w:rPr>
            </w:pPr>
            <w:r w:rsidRPr="00ED6CC0">
              <w:rPr>
                <w:color w:val="201F1E"/>
                <w:sz w:val="18"/>
                <w:szCs w:val="18"/>
              </w:rPr>
              <w:t>Moderate</w:t>
            </w:r>
          </w:p>
        </w:tc>
        <w:tc>
          <w:tcPr>
            <w:tcW w:w="5386" w:type="dxa"/>
            <w:shd w:val="clear" w:color="auto" w:fill="FFFFFF"/>
            <w:tcMar>
              <w:top w:w="0" w:type="dxa"/>
              <w:left w:w="108" w:type="dxa"/>
              <w:bottom w:w="0" w:type="dxa"/>
              <w:right w:w="108" w:type="dxa"/>
            </w:tcMar>
          </w:tcPr>
          <w:p w14:paraId="0C378BF5" w14:textId="77777777" w:rsidR="00F16B92" w:rsidRPr="00ED6CC0" w:rsidRDefault="00F16B92" w:rsidP="00F16B92">
            <w:pPr>
              <w:ind w:hanging="1"/>
              <w:jc w:val="left"/>
              <w:rPr>
                <w:color w:val="201F1E"/>
                <w:sz w:val="18"/>
                <w:szCs w:val="18"/>
              </w:rPr>
            </w:pPr>
            <w:r w:rsidRPr="00ED6CC0">
              <w:rPr>
                <w:color w:val="201F1E"/>
                <w:sz w:val="18"/>
                <w:szCs w:val="18"/>
              </w:rPr>
              <w:t xml:space="preserve">This risk will be managed </w:t>
            </w:r>
            <w:proofErr w:type="gramStart"/>
            <w:r w:rsidRPr="00ED6CC0">
              <w:rPr>
                <w:color w:val="201F1E"/>
                <w:sz w:val="18"/>
                <w:szCs w:val="18"/>
              </w:rPr>
              <w:t>on the basis of</w:t>
            </w:r>
            <w:proofErr w:type="gramEnd"/>
            <w:r w:rsidRPr="00ED6CC0">
              <w:rPr>
                <w:color w:val="201F1E"/>
                <w:sz w:val="18"/>
                <w:szCs w:val="18"/>
              </w:rPr>
              <w:t xml:space="preserve"> the national regulations from the Health Authority to combat the COVID 19.</w:t>
            </w:r>
          </w:p>
          <w:p w14:paraId="200F9CC8" w14:textId="4A00FADD" w:rsidR="00F16B92" w:rsidRPr="00ED6CC0" w:rsidRDefault="00F16B92" w:rsidP="00F16B92">
            <w:pPr>
              <w:ind w:hanging="1"/>
              <w:jc w:val="left"/>
              <w:rPr>
                <w:color w:val="201F1E"/>
                <w:sz w:val="18"/>
                <w:szCs w:val="18"/>
              </w:rPr>
            </w:pPr>
            <w:r w:rsidRPr="00ED6CC0">
              <w:rPr>
                <w:color w:val="201F1E"/>
                <w:sz w:val="18"/>
                <w:szCs w:val="18"/>
              </w:rPr>
              <w:t xml:space="preserve">The design of the project interventions will </w:t>
            </w:r>
            <w:proofErr w:type="gramStart"/>
            <w:r w:rsidRPr="00ED6CC0">
              <w:rPr>
                <w:color w:val="201F1E"/>
                <w:sz w:val="18"/>
                <w:szCs w:val="18"/>
              </w:rPr>
              <w:t>take into account</w:t>
            </w:r>
            <w:proofErr w:type="gramEnd"/>
            <w:r w:rsidRPr="00ED6CC0">
              <w:rPr>
                <w:color w:val="201F1E"/>
                <w:sz w:val="18"/>
                <w:szCs w:val="18"/>
              </w:rPr>
              <w:t xml:space="preserve"> the specific measures necessary to mitigate any potential risk of exposure during implementation. Consistent with current health constraints associated with the COVID-19 pandemic, project preparation and </w:t>
            </w:r>
            <w:r w:rsidRPr="00ED6CC0">
              <w:rPr>
                <w:color w:val="201F1E"/>
                <w:sz w:val="18"/>
                <w:szCs w:val="18"/>
              </w:rPr>
              <w:lastRenderedPageBreak/>
              <w:t>implementation will employ videoconferencing equipment for virtual meetings and workshops, where necessary; adjust the work plan to allow some field or ongoing consultation-related activities to be conducted in virtual mode, as needed; and/or provide personal protective equipment (PPE) to prevent exposure to stakeholders and project participants.</w:t>
            </w:r>
          </w:p>
        </w:tc>
      </w:tr>
    </w:tbl>
    <w:p w14:paraId="41B85334" w14:textId="67621D1A" w:rsidR="007D0B29" w:rsidRPr="007263B4" w:rsidRDefault="007D0B29" w:rsidP="003C1387">
      <w:pPr>
        <w:shd w:val="clear" w:color="auto" w:fill="FFFFFF"/>
        <w:ind w:left="2" w:hanging="2"/>
        <w:jc w:val="left"/>
        <w:rPr>
          <w:color w:val="201F1E"/>
          <w:sz w:val="18"/>
          <w:szCs w:val="18"/>
          <w:bdr w:val="none" w:sz="0" w:space="0" w:color="auto" w:frame="1"/>
        </w:rPr>
      </w:pPr>
      <w:r w:rsidRPr="007263B4">
        <w:rPr>
          <w:color w:val="201F1E"/>
          <w:sz w:val="18"/>
          <w:szCs w:val="18"/>
          <w:bdr w:val="none" w:sz="0" w:space="0" w:color="auto" w:frame="1"/>
        </w:rPr>
        <w:lastRenderedPageBreak/>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3681"/>
        <w:gridCol w:w="1276"/>
        <w:gridCol w:w="5811"/>
      </w:tblGrid>
      <w:tr w:rsidR="00374EF3" w:rsidRPr="007263B4" w14:paraId="0A79090D" w14:textId="77777777" w:rsidTr="00374EF3">
        <w:tc>
          <w:tcPr>
            <w:tcW w:w="3681" w:type="dxa"/>
            <w:shd w:val="clear" w:color="auto" w:fill="FFFFFF"/>
            <w:tcMar>
              <w:top w:w="0" w:type="dxa"/>
              <w:left w:w="108" w:type="dxa"/>
              <w:bottom w:w="0" w:type="dxa"/>
              <w:right w:w="108" w:type="dxa"/>
            </w:tcMar>
            <w:hideMark/>
          </w:tcPr>
          <w:p w14:paraId="57DDF93A" w14:textId="77777777" w:rsidR="00374EF3" w:rsidRPr="00A63E29" w:rsidRDefault="00374EF3" w:rsidP="00374EF3">
            <w:pPr>
              <w:rPr>
                <w:color w:val="201F1E"/>
                <w:szCs w:val="20"/>
              </w:rPr>
            </w:pPr>
            <w:r w:rsidRPr="00A63E29">
              <w:rPr>
                <w:b/>
                <w:bCs/>
                <w:color w:val="201F1E"/>
                <w:szCs w:val="20"/>
              </w:rPr>
              <w:t>Opportunity Category</w:t>
            </w:r>
          </w:p>
        </w:tc>
        <w:tc>
          <w:tcPr>
            <w:tcW w:w="1276" w:type="dxa"/>
            <w:shd w:val="clear" w:color="auto" w:fill="FFFFFF"/>
            <w:tcMar>
              <w:top w:w="0" w:type="dxa"/>
              <w:left w:w="108" w:type="dxa"/>
              <w:bottom w:w="0" w:type="dxa"/>
              <w:right w:w="108" w:type="dxa"/>
            </w:tcMar>
            <w:hideMark/>
          </w:tcPr>
          <w:p w14:paraId="79AF17BC" w14:textId="7D03E2F7" w:rsidR="00374EF3" w:rsidRPr="00A63E29" w:rsidRDefault="00374EF3" w:rsidP="00374EF3">
            <w:pPr>
              <w:rPr>
                <w:color w:val="201F1E"/>
                <w:szCs w:val="20"/>
              </w:rPr>
            </w:pPr>
            <w:r w:rsidRPr="00A63E29">
              <w:rPr>
                <w:b/>
                <w:bCs/>
                <w:color w:val="201F1E"/>
                <w:szCs w:val="20"/>
              </w:rPr>
              <w:t>Potential</w:t>
            </w:r>
          </w:p>
        </w:tc>
        <w:tc>
          <w:tcPr>
            <w:tcW w:w="5811" w:type="dxa"/>
            <w:shd w:val="clear" w:color="auto" w:fill="FFFFFF"/>
            <w:tcMar>
              <w:top w:w="0" w:type="dxa"/>
              <w:left w:w="108" w:type="dxa"/>
              <w:bottom w:w="0" w:type="dxa"/>
              <w:right w:w="108" w:type="dxa"/>
            </w:tcMar>
            <w:hideMark/>
          </w:tcPr>
          <w:p w14:paraId="4D2E7631" w14:textId="77777777" w:rsidR="00374EF3" w:rsidRPr="00A63E29" w:rsidRDefault="00374EF3" w:rsidP="00374EF3">
            <w:pPr>
              <w:rPr>
                <w:color w:val="201F1E"/>
                <w:szCs w:val="20"/>
              </w:rPr>
            </w:pPr>
            <w:r w:rsidRPr="00A63E29">
              <w:rPr>
                <w:b/>
                <w:bCs/>
                <w:color w:val="201F1E"/>
                <w:szCs w:val="20"/>
              </w:rPr>
              <w:t>Project Plans</w:t>
            </w:r>
          </w:p>
        </w:tc>
      </w:tr>
      <w:tr w:rsidR="00374EF3" w:rsidRPr="007263B4" w14:paraId="41AB071E" w14:textId="77777777" w:rsidTr="00374EF3">
        <w:tc>
          <w:tcPr>
            <w:tcW w:w="3681" w:type="dxa"/>
            <w:shd w:val="clear" w:color="auto" w:fill="FFFFFF"/>
            <w:tcMar>
              <w:top w:w="0" w:type="dxa"/>
              <w:left w:w="108" w:type="dxa"/>
              <w:bottom w:w="0" w:type="dxa"/>
              <w:right w:w="108" w:type="dxa"/>
            </w:tcMar>
            <w:hideMark/>
          </w:tcPr>
          <w:p w14:paraId="605CE3A1" w14:textId="77777777" w:rsidR="00374EF3" w:rsidRPr="00A63E29" w:rsidRDefault="00374EF3" w:rsidP="00374EF3">
            <w:pPr>
              <w:rPr>
                <w:color w:val="201F1E"/>
                <w:sz w:val="18"/>
                <w:szCs w:val="18"/>
              </w:rPr>
            </w:pPr>
            <w:r w:rsidRPr="00A63E29">
              <w:rPr>
                <w:color w:val="201F1E"/>
                <w:sz w:val="18"/>
                <w:szCs w:val="18"/>
              </w:rPr>
              <w:t>Can the project do more to protect and restore natural systems and their ecological functionality?</w:t>
            </w:r>
          </w:p>
        </w:tc>
        <w:tc>
          <w:tcPr>
            <w:tcW w:w="1276" w:type="dxa"/>
            <w:shd w:val="clear" w:color="auto" w:fill="FFFFFF"/>
            <w:tcMar>
              <w:top w:w="0" w:type="dxa"/>
              <w:left w:w="108" w:type="dxa"/>
              <w:bottom w:w="0" w:type="dxa"/>
              <w:right w:w="108" w:type="dxa"/>
            </w:tcMar>
            <w:hideMark/>
          </w:tcPr>
          <w:p w14:paraId="66958242" w14:textId="31D0B774" w:rsidR="00374EF3" w:rsidRPr="00A63E29" w:rsidRDefault="00374EF3" w:rsidP="00374EF3">
            <w:pPr>
              <w:rPr>
                <w:color w:val="201F1E"/>
                <w:sz w:val="18"/>
                <w:szCs w:val="18"/>
              </w:rPr>
            </w:pPr>
            <w:r w:rsidRPr="00A63E29">
              <w:rPr>
                <w:color w:val="201F1E"/>
                <w:sz w:val="18"/>
                <w:szCs w:val="18"/>
              </w:rPr>
              <w:t>High</w:t>
            </w:r>
          </w:p>
        </w:tc>
        <w:tc>
          <w:tcPr>
            <w:tcW w:w="5811" w:type="dxa"/>
            <w:shd w:val="clear" w:color="auto" w:fill="FFFFFF"/>
            <w:tcMar>
              <w:top w:w="0" w:type="dxa"/>
              <w:left w:w="108" w:type="dxa"/>
              <w:bottom w:w="0" w:type="dxa"/>
              <w:right w:w="108" w:type="dxa"/>
            </w:tcMar>
          </w:tcPr>
          <w:p w14:paraId="10B317F7" w14:textId="74CB46EC" w:rsidR="00374EF3" w:rsidRPr="00A63E29" w:rsidRDefault="00374EF3" w:rsidP="00374EF3">
            <w:pPr>
              <w:rPr>
                <w:color w:val="201F1E"/>
                <w:sz w:val="18"/>
                <w:szCs w:val="18"/>
              </w:rPr>
            </w:pPr>
            <w:r w:rsidRPr="00A63E29">
              <w:rPr>
                <w:color w:val="201F1E"/>
                <w:sz w:val="18"/>
                <w:szCs w:val="18"/>
              </w:rPr>
              <w:t>The project has been designed to ensure the long-term integrity, conservation and sustainable use of its target landscape and its ecosystem functions. Reducing encroachment of human land uses and fragmentation of ecosystems will also contribute to reducing the risk of future zoonoses.</w:t>
            </w:r>
          </w:p>
        </w:tc>
      </w:tr>
      <w:tr w:rsidR="00374EF3" w:rsidRPr="007263B4" w14:paraId="1574FC5C" w14:textId="77777777" w:rsidTr="00374EF3">
        <w:tc>
          <w:tcPr>
            <w:tcW w:w="3681" w:type="dxa"/>
            <w:shd w:val="clear" w:color="auto" w:fill="FFFFFF"/>
            <w:tcMar>
              <w:top w:w="0" w:type="dxa"/>
              <w:left w:w="108" w:type="dxa"/>
              <w:bottom w:w="0" w:type="dxa"/>
              <w:right w:w="108" w:type="dxa"/>
            </w:tcMar>
            <w:hideMark/>
          </w:tcPr>
          <w:p w14:paraId="593CE011" w14:textId="28902C7A" w:rsidR="00374EF3" w:rsidRPr="00A63E29" w:rsidRDefault="00374EF3" w:rsidP="00374EF3">
            <w:pPr>
              <w:rPr>
                <w:color w:val="201F1E"/>
                <w:sz w:val="18"/>
                <w:szCs w:val="18"/>
              </w:rPr>
            </w:pPr>
            <w:r w:rsidRPr="00A63E29">
              <w:rPr>
                <w:color w:val="201F1E"/>
                <w:sz w:val="18"/>
                <w:szCs w:val="18"/>
              </w:rPr>
              <w:t xml:space="preserve">Can </w:t>
            </w:r>
            <w:r w:rsidR="007B469A" w:rsidRPr="00A63E29">
              <w:rPr>
                <w:color w:val="201F1E"/>
                <w:sz w:val="18"/>
                <w:szCs w:val="18"/>
              </w:rPr>
              <w:t xml:space="preserve">the </w:t>
            </w:r>
            <w:r w:rsidRPr="00A63E29">
              <w:rPr>
                <w:color w:val="201F1E"/>
                <w:sz w:val="18"/>
                <w:szCs w:val="18"/>
              </w:rPr>
              <w:t xml:space="preserve">project regulate </w:t>
            </w:r>
            <w:r w:rsidR="007B469A" w:rsidRPr="00A63E29">
              <w:rPr>
                <w:color w:val="201F1E"/>
                <w:sz w:val="18"/>
                <w:szCs w:val="18"/>
              </w:rPr>
              <w:t xml:space="preserve">the </w:t>
            </w:r>
            <w:r w:rsidRPr="00A63E29">
              <w:rPr>
                <w:color w:val="201F1E"/>
                <w:sz w:val="18"/>
                <w:szCs w:val="18"/>
              </w:rPr>
              <w:t xml:space="preserve">consumption </w:t>
            </w:r>
            <w:r w:rsidR="007B469A" w:rsidRPr="00A63E29">
              <w:rPr>
                <w:color w:val="201F1E"/>
                <w:sz w:val="18"/>
                <w:szCs w:val="18"/>
              </w:rPr>
              <w:t xml:space="preserve">and trade </w:t>
            </w:r>
            <w:r w:rsidRPr="00A63E29">
              <w:rPr>
                <w:color w:val="201F1E"/>
                <w:sz w:val="18"/>
                <w:szCs w:val="18"/>
              </w:rPr>
              <w:t>of wildlife?</w:t>
            </w:r>
          </w:p>
        </w:tc>
        <w:tc>
          <w:tcPr>
            <w:tcW w:w="1276" w:type="dxa"/>
            <w:shd w:val="clear" w:color="auto" w:fill="FFFFFF"/>
            <w:tcMar>
              <w:top w:w="0" w:type="dxa"/>
              <w:left w:w="108" w:type="dxa"/>
              <w:bottom w:w="0" w:type="dxa"/>
              <w:right w:w="108" w:type="dxa"/>
            </w:tcMar>
            <w:hideMark/>
          </w:tcPr>
          <w:p w14:paraId="0F6CC1AC" w14:textId="51329B31" w:rsidR="00374EF3" w:rsidRPr="00A63E29" w:rsidRDefault="007B469A" w:rsidP="00374EF3">
            <w:pPr>
              <w:rPr>
                <w:color w:val="201F1E"/>
                <w:sz w:val="18"/>
                <w:szCs w:val="18"/>
              </w:rPr>
            </w:pPr>
            <w:r w:rsidRPr="00A63E29">
              <w:rPr>
                <w:color w:val="201F1E"/>
                <w:sz w:val="18"/>
                <w:szCs w:val="18"/>
              </w:rPr>
              <w:t>High</w:t>
            </w:r>
          </w:p>
        </w:tc>
        <w:tc>
          <w:tcPr>
            <w:tcW w:w="5811" w:type="dxa"/>
            <w:shd w:val="clear" w:color="auto" w:fill="FFFFFF"/>
            <w:tcMar>
              <w:top w:w="0" w:type="dxa"/>
              <w:left w:w="108" w:type="dxa"/>
              <w:bottom w:w="0" w:type="dxa"/>
              <w:right w:w="108" w:type="dxa"/>
            </w:tcMar>
            <w:hideMark/>
          </w:tcPr>
          <w:p w14:paraId="5A4EA0A0" w14:textId="3978312C" w:rsidR="00374EF3" w:rsidRPr="00A63E29" w:rsidRDefault="00374EF3" w:rsidP="00374EF3">
            <w:pPr>
              <w:rPr>
                <w:color w:val="201F1E"/>
                <w:sz w:val="18"/>
                <w:szCs w:val="18"/>
              </w:rPr>
            </w:pPr>
            <w:r w:rsidRPr="00A63E29">
              <w:rPr>
                <w:color w:val="201F1E"/>
                <w:sz w:val="18"/>
                <w:szCs w:val="18"/>
              </w:rPr>
              <w:t xml:space="preserve">The project </w:t>
            </w:r>
            <w:r w:rsidR="007B469A" w:rsidRPr="00A63E29">
              <w:rPr>
                <w:color w:val="201F1E"/>
                <w:sz w:val="18"/>
                <w:szCs w:val="18"/>
              </w:rPr>
              <w:t xml:space="preserve">will reduce unregulated hunting and trade of wildlife / wild meat in the target area by strengthening the management of protected areas and promoting alternatives to hunting. Where controlled hunting for tourism is permitted, the </w:t>
            </w:r>
            <w:proofErr w:type="gramStart"/>
            <w:r w:rsidR="007B469A" w:rsidRPr="00A63E29">
              <w:rPr>
                <w:color w:val="201F1E"/>
                <w:sz w:val="18"/>
                <w:szCs w:val="18"/>
              </w:rPr>
              <w:t>opportunities</w:t>
            </w:r>
            <w:proofErr w:type="gramEnd"/>
            <w:r w:rsidR="007B469A" w:rsidRPr="00A63E29">
              <w:rPr>
                <w:color w:val="201F1E"/>
                <w:sz w:val="18"/>
                <w:szCs w:val="18"/>
              </w:rPr>
              <w:t xml:space="preserve"> for veterinary control is much greater than is the case for uncontrolled and illegal hunting and therefore the risk of the spread of zoonoses is reduced. </w:t>
            </w:r>
          </w:p>
        </w:tc>
      </w:tr>
      <w:tr w:rsidR="00374EF3" w:rsidRPr="007263B4" w14:paraId="3BB615AE" w14:textId="77777777" w:rsidTr="00374EF3">
        <w:tc>
          <w:tcPr>
            <w:tcW w:w="3681" w:type="dxa"/>
            <w:shd w:val="clear" w:color="auto" w:fill="FFFFFF"/>
            <w:tcMar>
              <w:top w:w="0" w:type="dxa"/>
              <w:left w:w="108" w:type="dxa"/>
              <w:bottom w:w="0" w:type="dxa"/>
              <w:right w:w="108" w:type="dxa"/>
            </w:tcMar>
            <w:hideMark/>
          </w:tcPr>
          <w:p w14:paraId="44020DEB" w14:textId="77777777" w:rsidR="00374EF3" w:rsidRPr="00A63E29" w:rsidRDefault="00374EF3" w:rsidP="00374EF3">
            <w:pPr>
              <w:rPr>
                <w:color w:val="201F1E"/>
                <w:sz w:val="18"/>
                <w:szCs w:val="18"/>
              </w:rPr>
            </w:pPr>
            <w:r w:rsidRPr="00A63E29">
              <w:rPr>
                <w:color w:val="201F1E"/>
                <w:sz w:val="18"/>
                <w:szCs w:val="18"/>
              </w:rPr>
              <w:t>Can the project include a focus on production landscapes and land use practices within them to decrease the risk of human/nature conflicts?</w:t>
            </w:r>
          </w:p>
        </w:tc>
        <w:tc>
          <w:tcPr>
            <w:tcW w:w="1276" w:type="dxa"/>
            <w:shd w:val="clear" w:color="auto" w:fill="FFFFFF"/>
            <w:tcMar>
              <w:top w:w="0" w:type="dxa"/>
              <w:left w:w="108" w:type="dxa"/>
              <w:bottom w:w="0" w:type="dxa"/>
              <w:right w:w="108" w:type="dxa"/>
            </w:tcMar>
            <w:hideMark/>
          </w:tcPr>
          <w:p w14:paraId="1DDCC890" w14:textId="2655A504" w:rsidR="00374EF3" w:rsidRPr="00A63E29" w:rsidRDefault="002C6C50" w:rsidP="00374EF3">
            <w:pPr>
              <w:rPr>
                <w:color w:val="201F1E"/>
                <w:sz w:val="18"/>
                <w:szCs w:val="18"/>
              </w:rPr>
            </w:pPr>
            <w:r w:rsidRPr="00A63E29">
              <w:rPr>
                <w:color w:val="201F1E"/>
                <w:sz w:val="18"/>
                <w:szCs w:val="18"/>
              </w:rPr>
              <w:t>H</w:t>
            </w:r>
            <w:r w:rsidR="00374EF3" w:rsidRPr="00A63E29">
              <w:rPr>
                <w:color w:val="201F1E"/>
                <w:sz w:val="18"/>
                <w:szCs w:val="18"/>
              </w:rPr>
              <w:t>igh</w:t>
            </w:r>
          </w:p>
        </w:tc>
        <w:tc>
          <w:tcPr>
            <w:tcW w:w="5811" w:type="dxa"/>
            <w:shd w:val="clear" w:color="auto" w:fill="FFFFFF"/>
            <w:tcMar>
              <w:top w:w="0" w:type="dxa"/>
              <w:left w:w="108" w:type="dxa"/>
              <w:bottom w:w="0" w:type="dxa"/>
              <w:right w:w="108" w:type="dxa"/>
            </w:tcMar>
            <w:hideMark/>
          </w:tcPr>
          <w:p w14:paraId="3A070E23" w14:textId="17361997" w:rsidR="00374EF3" w:rsidRPr="00A63E29" w:rsidRDefault="00374EF3" w:rsidP="00374EF3">
            <w:pPr>
              <w:rPr>
                <w:color w:val="201F1E"/>
                <w:sz w:val="18"/>
                <w:szCs w:val="18"/>
              </w:rPr>
            </w:pPr>
            <w:r w:rsidRPr="00A63E29">
              <w:rPr>
                <w:color w:val="201F1E"/>
                <w:sz w:val="18"/>
                <w:szCs w:val="18"/>
              </w:rPr>
              <w:t xml:space="preserve">The </w:t>
            </w:r>
            <w:r w:rsidR="007B469A" w:rsidRPr="00A63E29">
              <w:rPr>
                <w:color w:val="201F1E"/>
                <w:sz w:val="18"/>
                <w:szCs w:val="18"/>
              </w:rPr>
              <w:t xml:space="preserve">project focuses on the PONASI landscape as a mosaic of various protected areas of different categories, wildlife corridors and the surrounding production landscape. Its objective is to ensure the sustainable management of both protected and surrounding areas. Reducing human-wildlife conflict (here mostly related to elephants) is one of its objectives. Another key objective is to reduce or prevent the encroachment of human land uses (agriculture, pastoralism) into protected areas which results in their fragmentation and increased risk of human-wildlife conflicts with negative impacts for both sides. </w:t>
            </w:r>
          </w:p>
        </w:tc>
      </w:tr>
      <w:tr w:rsidR="00374EF3" w:rsidRPr="007263B4" w14:paraId="7CF4241E" w14:textId="77777777" w:rsidTr="00374EF3">
        <w:tc>
          <w:tcPr>
            <w:tcW w:w="3681" w:type="dxa"/>
            <w:shd w:val="clear" w:color="auto" w:fill="FFFFFF"/>
            <w:tcMar>
              <w:top w:w="0" w:type="dxa"/>
              <w:left w:w="108" w:type="dxa"/>
              <w:bottom w:w="0" w:type="dxa"/>
              <w:right w:w="108" w:type="dxa"/>
            </w:tcMar>
            <w:hideMark/>
          </w:tcPr>
          <w:p w14:paraId="536A7A31" w14:textId="77777777" w:rsidR="00374EF3" w:rsidRPr="00A63E29" w:rsidRDefault="00374EF3" w:rsidP="00374EF3">
            <w:pPr>
              <w:rPr>
                <w:color w:val="201F1E"/>
                <w:sz w:val="18"/>
                <w:szCs w:val="18"/>
              </w:rPr>
            </w:pPr>
            <w:r w:rsidRPr="00A63E29">
              <w:rPr>
                <w:color w:val="201F1E"/>
                <w:sz w:val="18"/>
                <w:szCs w:val="18"/>
              </w:rPr>
              <w:t>Can the project promote circular solutions to reduce unsustainable resource extraction and environmental degradation?</w:t>
            </w:r>
          </w:p>
        </w:tc>
        <w:tc>
          <w:tcPr>
            <w:tcW w:w="1276" w:type="dxa"/>
            <w:shd w:val="clear" w:color="auto" w:fill="FFFFFF"/>
            <w:tcMar>
              <w:top w:w="0" w:type="dxa"/>
              <w:left w:w="108" w:type="dxa"/>
              <w:bottom w:w="0" w:type="dxa"/>
              <w:right w:w="108" w:type="dxa"/>
            </w:tcMar>
            <w:hideMark/>
          </w:tcPr>
          <w:p w14:paraId="36DE9CAB" w14:textId="0683B17C" w:rsidR="00374EF3" w:rsidRPr="00A63E29" w:rsidRDefault="007B469A" w:rsidP="00374EF3">
            <w:pPr>
              <w:rPr>
                <w:color w:val="201F1E"/>
                <w:sz w:val="18"/>
                <w:szCs w:val="18"/>
              </w:rPr>
            </w:pPr>
            <w:r w:rsidRPr="00A63E29">
              <w:rPr>
                <w:color w:val="201F1E"/>
                <w:sz w:val="18"/>
                <w:szCs w:val="18"/>
              </w:rPr>
              <w:t>H</w:t>
            </w:r>
            <w:r w:rsidR="00374EF3" w:rsidRPr="00A63E29">
              <w:rPr>
                <w:color w:val="201F1E"/>
                <w:sz w:val="18"/>
                <w:szCs w:val="18"/>
              </w:rPr>
              <w:t>igh</w:t>
            </w:r>
          </w:p>
        </w:tc>
        <w:tc>
          <w:tcPr>
            <w:tcW w:w="5811" w:type="dxa"/>
            <w:shd w:val="clear" w:color="auto" w:fill="FFFFFF"/>
            <w:tcMar>
              <w:top w:w="0" w:type="dxa"/>
              <w:left w:w="108" w:type="dxa"/>
              <w:bottom w:w="0" w:type="dxa"/>
              <w:right w:w="108" w:type="dxa"/>
            </w:tcMar>
            <w:hideMark/>
          </w:tcPr>
          <w:p w14:paraId="152D110F" w14:textId="7774BE2B" w:rsidR="00374EF3" w:rsidRPr="00A63E29" w:rsidRDefault="00374EF3" w:rsidP="00374EF3">
            <w:pPr>
              <w:rPr>
                <w:color w:val="201F1E"/>
                <w:sz w:val="18"/>
                <w:szCs w:val="18"/>
              </w:rPr>
            </w:pPr>
            <w:r w:rsidRPr="00A63E29">
              <w:rPr>
                <w:color w:val="201F1E"/>
                <w:sz w:val="18"/>
                <w:szCs w:val="18"/>
              </w:rPr>
              <w:t xml:space="preserve">The project </w:t>
            </w:r>
            <w:r w:rsidR="00E82387" w:rsidRPr="00A63E29">
              <w:rPr>
                <w:color w:val="201F1E"/>
                <w:sz w:val="18"/>
                <w:szCs w:val="18"/>
              </w:rPr>
              <w:t xml:space="preserve">will </w:t>
            </w:r>
            <w:r w:rsidRPr="00A63E29">
              <w:rPr>
                <w:color w:val="201F1E"/>
                <w:sz w:val="18"/>
                <w:szCs w:val="18"/>
              </w:rPr>
              <w:t>ensure sustainable procurement, careful waste management</w:t>
            </w:r>
            <w:r w:rsidR="007B469A" w:rsidRPr="00A63E29">
              <w:rPr>
                <w:color w:val="201F1E"/>
                <w:sz w:val="18"/>
                <w:szCs w:val="18"/>
              </w:rPr>
              <w:t>,</w:t>
            </w:r>
            <w:r w:rsidRPr="00A63E29">
              <w:rPr>
                <w:color w:val="201F1E"/>
                <w:sz w:val="18"/>
                <w:szCs w:val="18"/>
              </w:rPr>
              <w:t xml:space="preserve"> avoidance of contribution to POPs </w:t>
            </w:r>
            <w:r w:rsidR="007B469A" w:rsidRPr="00A63E29">
              <w:rPr>
                <w:color w:val="201F1E"/>
                <w:sz w:val="18"/>
                <w:szCs w:val="18"/>
              </w:rPr>
              <w:t>(</w:t>
            </w:r>
            <w:proofErr w:type="spellStart"/>
            <w:proofErr w:type="gramStart"/>
            <w:r w:rsidR="007B469A" w:rsidRPr="00A63E29">
              <w:rPr>
                <w:color w:val="201F1E"/>
                <w:sz w:val="18"/>
                <w:szCs w:val="18"/>
              </w:rPr>
              <w:t>eg</w:t>
            </w:r>
            <w:proofErr w:type="spellEnd"/>
            <w:proofErr w:type="gramEnd"/>
            <w:r w:rsidR="007B469A" w:rsidRPr="00A63E29">
              <w:rPr>
                <w:color w:val="201F1E"/>
                <w:sz w:val="18"/>
                <w:szCs w:val="18"/>
              </w:rPr>
              <w:t xml:space="preserve"> by reducing the use of pesticides including unauthorized ones in and around the target landscape) </w:t>
            </w:r>
            <w:r w:rsidRPr="00A63E29">
              <w:rPr>
                <w:color w:val="201F1E"/>
                <w:sz w:val="18"/>
                <w:szCs w:val="18"/>
              </w:rPr>
              <w:t>and GHG emissions</w:t>
            </w:r>
            <w:r w:rsidR="002C6C50" w:rsidRPr="00A63E29">
              <w:rPr>
                <w:color w:val="201F1E"/>
                <w:sz w:val="18"/>
                <w:szCs w:val="18"/>
              </w:rPr>
              <w:t xml:space="preserve"> (through forest conservation and restoration)</w:t>
            </w:r>
            <w:r w:rsidRPr="00A63E29">
              <w:rPr>
                <w:color w:val="201F1E"/>
                <w:sz w:val="18"/>
                <w:szCs w:val="18"/>
              </w:rPr>
              <w:t xml:space="preserve">. </w:t>
            </w:r>
            <w:r w:rsidR="002C6C50" w:rsidRPr="00A63E29">
              <w:rPr>
                <w:color w:val="201F1E"/>
                <w:sz w:val="18"/>
                <w:szCs w:val="18"/>
              </w:rPr>
              <w:t>Landscape p</w:t>
            </w:r>
            <w:r w:rsidRPr="00A63E29">
              <w:rPr>
                <w:color w:val="201F1E"/>
                <w:sz w:val="18"/>
                <w:szCs w:val="18"/>
              </w:rPr>
              <w:t xml:space="preserve">lanning </w:t>
            </w:r>
            <w:r w:rsidR="002C6C50" w:rsidRPr="00A63E29">
              <w:rPr>
                <w:color w:val="201F1E"/>
                <w:sz w:val="18"/>
                <w:szCs w:val="18"/>
              </w:rPr>
              <w:t xml:space="preserve">will contribute to recovery of the natural vegetation and enhanced landscape connectivity and carbon storage. </w:t>
            </w:r>
          </w:p>
        </w:tc>
      </w:tr>
      <w:tr w:rsidR="00374EF3" w:rsidRPr="007263B4" w14:paraId="5856AAA1" w14:textId="77777777" w:rsidTr="00374EF3">
        <w:tc>
          <w:tcPr>
            <w:tcW w:w="3681" w:type="dxa"/>
            <w:shd w:val="clear" w:color="auto" w:fill="FFFFFF"/>
            <w:tcMar>
              <w:top w:w="0" w:type="dxa"/>
              <w:left w:w="108" w:type="dxa"/>
              <w:bottom w:w="0" w:type="dxa"/>
              <w:right w:w="108" w:type="dxa"/>
            </w:tcMar>
          </w:tcPr>
          <w:p w14:paraId="3D1A9187" w14:textId="77777777" w:rsidR="00374EF3" w:rsidRPr="00A63E29" w:rsidRDefault="00374EF3" w:rsidP="00374EF3">
            <w:pPr>
              <w:rPr>
                <w:color w:val="201F1E"/>
                <w:sz w:val="18"/>
                <w:szCs w:val="18"/>
              </w:rPr>
            </w:pPr>
            <w:r w:rsidRPr="00A63E29">
              <w:rPr>
                <w:color w:val="201F1E"/>
                <w:sz w:val="18"/>
                <w:szCs w:val="18"/>
              </w:rPr>
              <w:t>Short-term opportunity to support Covid economic recovery</w:t>
            </w:r>
          </w:p>
        </w:tc>
        <w:tc>
          <w:tcPr>
            <w:tcW w:w="1276" w:type="dxa"/>
            <w:shd w:val="clear" w:color="auto" w:fill="FFFFFF"/>
            <w:tcMar>
              <w:top w:w="0" w:type="dxa"/>
              <w:left w:w="108" w:type="dxa"/>
              <w:bottom w:w="0" w:type="dxa"/>
              <w:right w:w="108" w:type="dxa"/>
            </w:tcMar>
          </w:tcPr>
          <w:p w14:paraId="3F4DC0FC" w14:textId="6031283D" w:rsidR="00374EF3" w:rsidRPr="00A63E29" w:rsidRDefault="00374EF3" w:rsidP="00374EF3">
            <w:pPr>
              <w:rPr>
                <w:color w:val="201F1E"/>
                <w:sz w:val="18"/>
                <w:szCs w:val="18"/>
              </w:rPr>
            </w:pPr>
            <w:r w:rsidRPr="00A63E29">
              <w:rPr>
                <w:color w:val="201F1E"/>
                <w:sz w:val="18"/>
                <w:szCs w:val="18"/>
              </w:rPr>
              <w:t>High</w:t>
            </w:r>
          </w:p>
        </w:tc>
        <w:tc>
          <w:tcPr>
            <w:tcW w:w="5811" w:type="dxa"/>
            <w:shd w:val="clear" w:color="auto" w:fill="FFFFFF"/>
            <w:tcMar>
              <w:top w:w="0" w:type="dxa"/>
              <w:left w:w="108" w:type="dxa"/>
              <w:bottom w:w="0" w:type="dxa"/>
              <w:right w:w="108" w:type="dxa"/>
            </w:tcMar>
          </w:tcPr>
          <w:p w14:paraId="24F14E54" w14:textId="41F85D45" w:rsidR="00374EF3" w:rsidRPr="00A63E29" w:rsidRDefault="00374EF3" w:rsidP="00374EF3">
            <w:pPr>
              <w:rPr>
                <w:color w:val="201F1E"/>
                <w:sz w:val="18"/>
                <w:szCs w:val="18"/>
              </w:rPr>
            </w:pPr>
            <w:r w:rsidRPr="00A63E29">
              <w:rPr>
                <w:color w:val="201F1E"/>
                <w:sz w:val="18"/>
                <w:szCs w:val="18"/>
              </w:rPr>
              <w:t xml:space="preserve">The </w:t>
            </w:r>
            <w:r w:rsidR="002C6C50" w:rsidRPr="00A63E29">
              <w:rPr>
                <w:color w:val="201F1E"/>
                <w:sz w:val="18"/>
                <w:szCs w:val="18"/>
              </w:rPr>
              <w:t>promotion of sustainable agriculture</w:t>
            </w:r>
            <w:r w:rsidR="008F2091" w:rsidRPr="00A63E29">
              <w:rPr>
                <w:color w:val="201F1E"/>
                <w:sz w:val="18"/>
                <w:szCs w:val="18"/>
              </w:rPr>
              <w:t xml:space="preserve"> (129,678 ha under improved practices)</w:t>
            </w:r>
            <w:r w:rsidR="002C6C50" w:rsidRPr="00A63E29">
              <w:rPr>
                <w:color w:val="201F1E"/>
                <w:sz w:val="18"/>
                <w:szCs w:val="18"/>
              </w:rPr>
              <w:t xml:space="preserve">, agroforestry </w:t>
            </w:r>
            <w:r w:rsidR="008F2091" w:rsidRPr="00A63E29">
              <w:rPr>
                <w:color w:val="201F1E"/>
                <w:sz w:val="18"/>
                <w:szCs w:val="18"/>
              </w:rPr>
              <w:t xml:space="preserve">(11,000 ha restored land) </w:t>
            </w:r>
            <w:r w:rsidR="002C6C50" w:rsidRPr="00A63E29">
              <w:rPr>
                <w:color w:val="201F1E"/>
                <w:sz w:val="18"/>
                <w:szCs w:val="18"/>
              </w:rPr>
              <w:t xml:space="preserve">and use of </w:t>
            </w:r>
            <w:r w:rsidR="003E12E6" w:rsidRPr="00A63E29">
              <w:rPr>
                <w:color w:val="201F1E"/>
                <w:sz w:val="18"/>
                <w:szCs w:val="18"/>
              </w:rPr>
              <w:t>non-timber</w:t>
            </w:r>
            <w:r w:rsidR="002C6C50" w:rsidRPr="00A63E29">
              <w:rPr>
                <w:color w:val="201F1E"/>
                <w:sz w:val="18"/>
                <w:szCs w:val="18"/>
              </w:rPr>
              <w:t xml:space="preserve"> forest products in and around the target landscapes, as well as sustainable tourism in the protected areas, will all contribute to income generation and the recovery of the local economy. All </w:t>
            </w:r>
            <w:r w:rsidRPr="00A63E29">
              <w:rPr>
                <w:color w:val="201F1E"/>
                <w:sz w:val="18"/>
                <w:szCs w:val="18"/>
              </w:rPr>
              <w:t xml:space="preserve">alternative livelihoods </w:t>
            </w:r>
            <w:r w:rsidR="002C6C50" w:rsidRPr="00A63E29">
              <w:rPr>
                <w:color w:val="201F1E"/>
                <w:sz w:val="18"/>
                <w:szCs w:val="18"/>
              </w:rPr>
              <w:t xml:space="preserve">activities are intended towards </w:t>
            </w:r>
            <w:r w:rsidRPr="00A63E29">
              <w:rPr>
                <w:color w:val="201F1E"/>
                <w:sz w:val="18"/>
                <w:szCs w:val="18"/>
              </w:rPr>
              <w:t xml:space="preserve">green growth </w:t>
            </w:r>
            <w:r w:rsidR="002C6C50" w:rsidRPr="00A63E29">
              <w:rPr>
                <w:color w:val="201F1E"/>
                <w:sz w:val="18"/>
                <w:szCs w:val="18"/>
              </w:rPr>
              <w:t xml:space="preserve">models </w:t>
            </w:r>
            <w:r w:rsidRPr="00A63E29">
              <w:rPr>
                <w:color w:val="201F1E"/>
                <w:sz w:val="18"/>
                <w:szCs w:val="18"/>
              </w:rPr>
              <w:t xml:space="preserve">and a circular economy by focusing on business models </w:t>
            </w:r>
            <w:r w:rsidR="002C6C50" w:rsidRPr="00A63E29">
              <w:rPr>
                <w:color w:val="201F1E"/>
                <w:sz w:val="18"/>
                <w:szCs w:val="18"/>
              </w:rPr>
              <w:t xml:space="preserve">and land uses </w:t>
            </w:r>
            <w:r w:rsidRPr="00A63E29">
              <w:rPr>
                <w:color w:val="201F1E"/>
                <w:sz w:val="18"/>
                <w:szCs w:val="18"/>
              </w:rPr>
              <w:t xml:space="preserve">that incorporate climate, </w:t>
            </w:r>
            <w:proofErr w:type="gramStart"/>
            <w:r w:rsidRPr="00A63E29">
              <w:rPr>
                <w:color w:val="201F1E"/>
                <w:sz w:val="18"/>
                <w:szCs w:val="18"/>
              </w:rPr>
              <w:t>biodiversity</w:t>
            </w:r>
            <w:proofErr w:type="gramEnd"/>
            <w:r w:rsidRPr="00A63E29">
              <w:rPr>
                <w:color w:val="201F1E"/>
                <w:sz w:val="18"/>
                <w:szCs w:val="18"/>
              </w:rPr>
              <w:t xml:space="preserve"> and sustainability.</w:t>
            </w:r>
          </w:p>
        </w:tc>
      </w:tr>
      <w:tr w:rsidR="00374EF3" w:rsidRPr="009B2C29" w14:paraId="15639577" w14:textId="77777777" w:rsidTr="00374EF3">
        <w:tc>
          <w:tcPr>
            <w:tcW w:w="3681" w:type="dxa"/>
            <w:shd w:val="clear" w:color="auto" w:fill="FFFFFF"/>
            <w:tcMar>
              <w:top w:w="0" w:type="dxa"/>
              <w:left w:w="108" w:type="dxa"/>
              <w:bottom w:w="0" w:type="dxa"/>
              <w:right w:w="108" w:type="dxa"/>
            </w:tcMar>
            <w:hideMark/>
          </w:tcPr>
          <w:p w14:paraId="0FDCD296" w14:textId="77777777" w:rsidR="00374EF3" w:rsidRPr="00A63E29" w:rsidRDefault="00374EF3" w:rsidP="00374EF3">
            <w:pPr>
              <w:rPr>
                <w:color w:val="201F1E"/>
                <w:sz w:val="18"/>
                <w:szCs w:val="18"/>
              </w:rPr>
            </w:pPr>
            <w:r w:rsidRPr="00A63E29">
              <w:rPr>
                <w:color w:val="201F1E"/>
                <w:sz w:val="18"/>
                <w:szCs w:val="18"/>
              </w:rPr>
              <w:t>Can the project innovate in climate change mitigation and engaging with the private sector?</w:t>
            </w:r>
          </w:p>
        </w:tc>
        <w:tc>
          <w:tcPr>
            <w:tcW w:w="1276" w:type="dxa"/>
            <w:shd w:val="clear" w:color="auto" w:fill="FFFFFF"/>
            <w:tcMar>
              <w:top w:w="0" w:type="dxa"/>
              <w:left w:w="108" w:type="dxa"/>
              <w:bottom w:w="0" w:type="dxa"/>
              <w:right w:w="108" w:type="dxa"/>
            </w:tcMar>
            <w:hideMark/>
          </w:tcPr>
          <w:p w14:paraId="25876DC8" w14:textId="1FBCCF52" w:rsidR="00374EF3" w:rsidRPr="00A63E29" w:rsidRDefault="00374EF3" w:rsidP="00374EF3">
            <w:pPr>
              <w:rPr>
                <w:color w:val="201F1E"/>
                <w:sz w:val="18"/>
                <w:szCs w:val="18"/>
              </w:rPr>
            </w:pPr>
            <w:r w:rsidRPr="00A63E29">
              <w:rPr>
                <w:color w:val="201F1E"/>
                <w:sz w:val="18"/>
                <w:szCs w:val="18"/>
              </w:rPr>
              <w:t>High</w:t>
            </w:r>
          </w:p>
        </w:tc>
        <w:tc>
          <w:tcPr>
            <w:tcW w:w="5811" w:type="dxa"/>
            <w:shd w:val="clear" w:color="auto" w:fill="FFFFFF"/>
            <w:tcMar>
              <w:top w:w="0" w:type="dxa"/>
              <w:left w:w="108" w:type="dxa"/>
              <w:bottom w:w="0" w:type="dxa"/>
              <w:right w:w="108" w:type="dxa"/>
            </w:tcMar>
            <w:hideMark/>
          </w:tcPr>
          <w:p w14:paraId="578B485A" w14:textId="0C5BD130" w:rsidR="00374EF3" w:rsidRPr="00374EF3" w:rsidRDefault="002C6C50" w:rsidP="00374EF3">
            <w:pPr>
              <w:rPr>
                <w:color w:val="201F1E"/>
                <w:sz w:val="18"/>
                <w:szCs w:val="18"/>
              </w:rPr>
            </w:pPr>
            <w:r w:rsidRPr="00A63E29">
              <w:rPr>
                <w:color w:val="201F1E"/>
                <w:sz w:val="18"/>
                <w:szCs w:val="18"/>
              </w:rPr>
              <w:t>A large p</w:t>
            </w:r>
            <w:r w:rsidR="00374EF3" w:rsidRPr="00A63E29">
              <w:rPr>
                <w:color w:val="201F1E"/>
                <w:sz w:val="18"/>
                <w:szCs w:val="18"/>
              </w:rPr>
              <w:t xml:space="preserve">art of the project involves working with local communities to mainstream climate mitigation and biodiversity into </w:t>
            </w:r>
            <w:r w:rsidRPr="00A63E29">
              <w:rPr>
                <w:color w:val="201F1E"/>
                <w:sz w:val="18"/>
                <w:szCs w:val="18"/>
              </w:rPr>
              <w:t>their land uses</w:t>
            </w:r>
            <w:r w:rsidR="00374EF3" w:rsidRPr="00A63E29">
              <w:rPr>
                <w:color w:val="201F1E"/>
                <w:sz w:val="18"/>
                <w:szCs w:val="18"/>
              </w:rPr>
              <w:t xml:space="preserve">. Under the </w:t>
            </w:r>
            <w:proofErr w:type="spellStart"/>
            <w:r w:rsidR="00374EF3" w:rsidRPr="00A63E29">
              <w:rPr>
                <w:color w:val="201F1E"/>
                <w:sz w:val="18"/>
                <w:szCs w:val="18"/>
              </w:rPr>
              <w:t>agro</w:t>
            </w:r>
            <w:proofErr w:type="spellEnd"/>
            <w:r w:rsidR="00374EF3" w:rsidRPr="00A63E29">
              <w:rPr>
                <w:color w:val="201F1E"/>
                <w:sz w:val="18"/>
                <w:szCs w:val="18"/>
              </w:rPr>
              <w:t xml:space="preserve">-forest aspects, increased carbon sequestration in </w:t>
            </w:r>
            <w:proofErr w:type="spellStart"/>
            <w:r w:rsidR="00374EF3" w:rsidRPr="00A63E29">
              <w:rPr>
                <w:color w:val="201F1E"/>
                <w:sz w:val="18"/>
                <w:szCs w:val="18"/>
              </w:rPr>
              <w:t>agro</w:t>
            </w:r>
            <w:proofErr w:type="spellEnd"/>
            <w:r w:rsidR="00374EF3" w:rsidRPr="00A63E29">
              <w:rPr>
                <w:color w:val="201F1E"/>
                <w:sz w:val="18"/>
                <w:szCs w:val="18"/>
              </w:rPr>
              <w:t xml:space="preserve">-forests on what would be otherwise </w:t>
            </w:r>
            <w:r w:rsidRPr="00A63E29">
              <w:rPr>
                <w:color w:val="201F1E"/>
                <w:sz w:val="18"/>
                <w:szCs w:val="18"/>
              </w:rPr>
              <w:t xml:space="preserve">degraded </w:t>
            </w:r>
            <w:r w:rsidR="00374EF3" w:rsidRPr="00A63E29">
              <w:rPr>
                <w:color w:val="201F1E"/>
                <w:sz w:val="18"/>
                <w:szCs w:val="18"/>
              </w:rPr>
              <w:t xml:space="preserve">lands, will increase climate mitigation aspects. </w:t>
            </w:r>
            <w:r w:rsidR="00F4463C" w:rsidRPr="00A63E29">
              <w:rPr>
                <w:color w:val="201F1E"/>
                <w:sz w:val="18"/>
                <w:szCs w:val="18"/>
              </w:rPr>
              <w:t xml:space="preserve">The project will mitigate the emissions of 5,448,924 </w:t>
            </w:r>
            <w:r w:rsidR="00F4463C" w:rsidRPr="00A63E29">
              <w:rPr>
                <w:rFonts w:ascii="Times New Roman" w:hAnsi="Times New Roman"/>
              </w:rPr>
              <w:t>metric tons of CO</w:t>
            </w:r>
            <w:r w:rsidR="00F4463C" w:rsidRPr="00A63E29">
              <w:rPr>
                <w:rFonts w:ascii="Times New Roman" w:hAnsi="Times New Roman"/>
                <w:vertAlign w:val="subscript"/>
              </w:rPr>
              <w:t>2</w:t>
            </w:r>
            <w:r w:rsidR="00F4463C" w:rsidRPr="00A63E29">
              <w:rPr>
                <w:rFonts w:ascii="Times New Roman" w:hAnsi="Times New Roman"/>
              </w:rPr>
              <w:t>e.</w:t>
            </w:r>
            <w:r w:rsidR="00F4463C">
              <w:rPr>
                <w:rFonts w:ascii="Times New Roman" w:hAnsi="Times New Roman"/>
              </w:rPr>
              <w:t xml:space="preserve"> </w:t>
            </w:r>
          </w:p>
        </w:tc>
      </w:tr>
    </w:tbl>
    <w:bookmarkEnd w:id="19"/>
    <w:p w14:paraId="09C25AC6" w14:textId="31B654F7" w:rsidR="00302BFE" w:rsidRDefault="00302BFE" w:rsidP="00C46720">
      <w:pPr>
        <w:pStyle w:val="Paragraphedeliste"/>
        <w:numPr>
          <w:ilvl w:val="0"/>
          <w:numId w:val="14"/>
        </w:numPr>
        <w:tabs>
          <w:tab w:val="left" w:pos="284"/>
        </w:tabs>
        <w:spacing w:before="240" w:after="120"/>
        <w:ind w:left="0" w:firstLine="0"/>
        <w:jc w:val="both"/>
        <w:rPr>
          <w:rFonts w:ascii="Calibri" w:hAnsi="Calibri" w:cs="Segoe UI"/>
          <w:color w:val="000000"/>
          <w:sz w:val="20"/>
          <w:szCs w:val="20"/>
        </w:rPr>
      </w:pPr>
      <w:r w:rsidRPr="00B81C30">
        <w:rPr>
          <w:rFonts w:ascii="Calibri" w:hAnsi="Calibri" w:cs="Segoe UI"/>
          <w:color w:val="000000"/>
          <w:sz w:val="20"/>
          <w:szCs w:val="20"/>
          <w:u w:val="single"/>
        </w:rPr>
        <w:t>Stakeholder engagement plan</w:t>
      </w:r>
      <w:r w:rsidRPr="00B81C30">
        <w:rPr>
          <w:rFonts w:ascii="Calibri" w:hAnsi="Calibri" w:cs="Segoe UI"/>
          <w:color w:val="000000"/>
          <w:sz w:val="20"/>
          <w:szCs w:val="20"/>
        </w:rPr>
        <w:t xml:space="preserve">: A project stakeholder engagement plan is included in </w:t>
      </w:r>
      <w:r w:rsidRPr="00A93827">
        <w:rPr>
          <w:rFonts w:ascii="Calibri" w:hAnsi="Calibri" w:cs="Segoe UI"/>
          <w:color w:val="000000"/>
          <w:sz w:val="20"/>
          <w:szCs w:val="20"/>
        </w:rPr>
        <w:t xml:space="preserve">Annex </w:t>
      </w:r>
      <w:r w:rsidR="009523FE" w:rsidRPr="00A93827">
        <w:rPr>
          <w:rFonts w:ascii="Calibri" w:hAnsi="Calibri" w:cs="Segoe UI"/>
          <w:color w:val="000000"/>
          <w:sz w:val="20"/>
          <w:szCs w:val="20"/>
        </w:rPr>
        <w:t>E</w:t>
      </w:r>
      <w:r w:rsidRPr="00ED6CC0">
        <w:rPr>
          <w:rFonts w:ascii="Calibri" w:hAnsi="Calibri" w:cs="Segoe UI"/>
          <w:color w:val="000000"/>
          <w:sz w:val="20"/>
          <w:szCs w:val="20"/>
        </w:rPr>
        <w:t xml:space="preserve">. </w:t>
      </w:r>
      <w:r w:rsidR="00E07615" w:rsidRPr="00ED6CC0">
        <w:rPr>
          <w:rFonts w:ascii="Calibri" w:hAnsi="Calibri" w:cs="Segoe UI"/>
          <w:color w:val="000000"/>
          <w:sz w:val="20"/>
          <w:szCs w:val="20"/>
        </w:rPr>
        <w:t xml:space="preserve">A Comprehensive Stakeholder Engagement Plan, based on the Stakeholder Analysis, will be developed during the first six months of the project. </w:t>
      </w:r>
      <w:r w:rsidRPr="00ED6CC0">
        <w:rPr>
          <w:rFonts w:ascii="Calibri" w:hAnsi="Calibri" w:cs="Segoe UI"/>
          <w:color w:val="000000"/>
          <w:sz w:val="20"/>
          <w:szCs w:val="20"/>
        </w:rPr>
        <w:t>The successful implementation of the project will largely depend on the effective communication and coordination with the</w:t>
      </w:r>
      <w:r w:rsidRPr="00B81C30">
        <w:rPr>
          <w:rFonts w:ascii="Calibri" w:hAnsi="Calibri" w:cs="Segoe UI"/>
          <w:color w:val="000000"/>
          <w:sz w:val="20"/>
          <w:szCs w:val="20"/>
        </w:rPr>
        <w:t xml:space="preserve"> multiple project stakeholders and the implementation of mechanisms to ensure these stakeholders’ participation. The project will work with key national and regional State actors including the Ministries in charge of environment, agriculture, </w:t>
      </w:r>
      <w:proofErr w:type="gramStart"/>
      <w:r w:rsidRPr="00B81C30">
        <w:rPr>
          <w:rFonts w:ascii="Calibri" w:hAnsi="Calibri" w:cs="Segoe UI"/>
          <w:color w:val="000000"/>
          <w:sz w:val="20"/>
          <w:szCs w:val="20"/>
        </w:rPr>
        <w:t>livestock</w:t>
      </w:r>
      <w:proofErr w:type="gramEnd"/>
      <w:r w:rsidRPr="00B81C30">
        <w:rPr>
          <w:rFonts w:ascii="Calibri" w:hAnsi="Calibri" w:cs="Segoe UI"/>
          <w:color w:val="000000"/>
          <w:sz w:val="20"/>
          <w:szCs w:val="20"/>
        </w:rPr>
        <w:t xml:space="preserve"> and water. These actors are represented at the local level through their regional, </w:t>
      </w:r>
      <w:proofErr w:type="gramStart"/>
      <w:r w:rsidRPr="00B81C30">
        <w:rPr>
          <w:rFonts w:ascii="Calibri" w:hAnsi="Calibri" w:cs="Segoe UI"/>
          <w:color w:val="000000"/>
          <w:sz w:val="20"/>
          <w:szCs w:val="20"/>
        </w:rPr>
        <w:t>provincial</w:t>
      </w:r>
      <w:proofErr w:type="gramEnd"/>
      <w:r w:rsidRPr="00B81C30">
        <w:rPr>
          <w:rFonts w:ascii="Calibri" w:hAnsi="Calibri" w:cs="Segoe UI"/>
          <w:color w:val="000000"/>
          <w:sz w:val="20"/>
          <w:szCs w:val="20"/>
        </w:rPr>
        <w:t xml:space="preserve"> and communal departments. Within the </w:t>
      </w:r>
      <w:proofErr w:type="spellStart"/>
      <w:r w:rsidR="00806DBD">
        <w:rPr>
          <w:rFonts w:ascii="Calibri" w:hAnsi="Calibri" w:cs="Segoe UI"/>
          <w:color w:val="000000"/>
          <w:sz w:val="20"/>
          <w:szCs w:val="20"/>
        </w:rPr>
        <w:t>Ministere</w:t>
      </w:r>
      <w:proofErr w:type="spellEnd"/>
      <w:r w:rsidR="00806DBD">
        <w:rPr>
          <w:rFonts w:ascii="Calibri" w:hAnsi="Calibri" w:cs="Segoe UI"/>
          <w:color w:val="000000"/>
          <w:sz w:val="20"/>
          <w:szCs w:val="20"/>
        </w:rPr>
        <w:t xml:space="preserve"> de </w:t>
      </w:r>
      <w:proofErr w:type="spellStart"/>
      <w:r w:rsidR="00806DBD">
        <w:rPr>
          <w:rFonts w:ascii="Calibri" w:hAnsi="Calibri" w:cs="Segoe UI"/>
          <w:color w:val="000000"/>
          <w:sz w:val="20"/>
          <w:szCs w:val="20"/>
        </w:rPr>
        <w:t>l’environnement</w:t>
      </w:r>
      <w:proofErr w:type="spellEnd"/>
      <w:r w:rsidR="00806DBD">
        <w:rPr>
          <w:rFonts w:ascii="Calibri" w:hAnsi="Calibri" w:cs="Segoe UI"/>
          <w:color w:val="000000"/>
          <w:sz w:val="20"/>
          <w:szCs w:val="20"/>
        </w:rPr>
        <w:t xml:space="preserve">, de </w:t>
      </w:r>
      <w:proofErr w:type="spellStart"/>
      <w:r w:rsidR="00806DBD">
        <w:rPr>
          <w:rFonts w:ascii="Calibri" w:hAnsi="Calibri" w:cs="Segoe UI"/>
          <w:color w:val="000000"/>
          <w:sz w:val="20"/>
          <w:szCs w:val="20"/>
        </w:rPr>
        <w:t>l’eau</w:t>
      </w:r>
      <w:proofErr w:type="spellEnd"/>
      <w:r w:rsidR="00806DBD">
        <w:rPr>
          <w:rFonts w:ascii="Calibri" w:hAnsi="Calibri" w:cs="Segoe UI"/>
          <w:color w:val="000000"/>
          <w:sz w:val="20"/>
          <w:szCs w:val="20"/>
        </w:rPr>
        <w:t xml:space="preserve"> et de </w:t>
      </w:r>
      <w:proofErr w:type="spellStart"/>
      <w:proofErr w:type="gramStart"/>
      <w:r w:rsidR="00806DBD">
        <w:rPr>
          <w:rFonts w:ascii="Calibri" w:hAnsi="Calibri" w:cs="Segoe UI"/>
          <w:color w:val="000000"/>
          <w:sz w:val="20"/>
          <w:szCs w:val="20"/>
        </w:rPr>
        <w:t>l”Assainissement</w:t>
      </w:r>
      <w:proofErr w:type="spellEnd"/>
      <w:proofErr w:type="gramEnd"/>
      <w:r w:rsidRPr="00B81C30">
        <w:rPr>
          <w:rFonts w:ascii="Calibri" w:hAnsi="Calibri" w:cs="Segoe UI"/>
          <w:color w:val="000000"/>
          <w:sz w:val="20"/>
          <w:szCs w:val="20"/>
        </w:rPr>
        <w:t xml:space="preserve">, the National Office of Protected Areas (OFINAP) manages the </w:t>
      </w:r>
      <w:proofErr w:type="spellStart"/>
      <w:r w:rsidRPr="00B81C30">
        <w:rPr>
          <w:rFonts w:ascii="Calibri" w:hAnsi="Calibri" w:cs="Segoe UI"/>
          <w:color w:val="000000"/>
          <w:sz w:val="20"/>
          <w:szCs w:val="20"/>
        </w:rPr>
        <w:t>Nazinga</w:t>
      </w:r>
      <w:proofErr w:type="spellEnd"/>
      <w:r w:rsidRPr="00B81C30">
        <w:rPr>
          <w:rFonts w:ascii="Calibri" w:hAnsi="Calibri" w:cs="Segoe UI"/>
          <w:color w:val="000000"/>
          <w:sz w:val="20"/>
          <w:szCs w:val="20"/>
        </w:rPr>
        <w:t xml:space="preserve"> Game Ranch, and the Directorate General of Water and Forests (DGEF), through its technical services, manages the PNKT and </w:t>
      </w:r>
      <w:proofErr w:type="spellStart"/>
      <w:r w:rsidRPr="00B81C30">
        <w:rPr>
          <w:rFonts w:ascii="Calibri" w:hAnsi="Calibri" w:cs="Segoe UI"/>
          <w:color w:val="000000"/>
          <w:sz w:val="20"/>
          <w:szCs w:val="20"/>
        </w:rPr>
        <w:t>Sissili</w:t>
      </w:r>
      <w:proofErr w:type="spellEnd"/>
      <w:r w:rsidRPr="00B81C30">
        <w:rPr>
          <w:rFonts w:ascii="Calibri" w:hAnsi="Calibri" w:cs="Segoe UI"/>
          <w:color w:val="000000"/>
          <w:sz w:val="20"/>
          <w:szCs w:val="20"/>
        </w:rPr>
        <w:t xml:space="preserve"> CF. </w:t>
      </w:r>
    </w:p>
    <w:p w14:paraId="002110CF" w14:textId="1D1DE5B8" w:rsidR="00302BFE" w:rsidRPr="00AD629D" w:rsidRDefault="00302BFE" w:rsidP="00C46720">
      <w:pPr>
        <w:pStyle w:val="Paragraphedeliste"/>
        <w:numPr>
          <w:ilvl w:val="0"/>
          <w:numId w:val="14"/>
        </w:numPr>
        <w:tabs>
          <w:tab w:val="left" w:pos="284"/>
        </w:tabs>
        <w:spacing w:before="120" w:after="120"/>
        <w:ind w:left="0" w:firstLine="0"/>
        <w:jc w:val="both"/>
        <w:rPr>
          <w:rFonts w:ascii="Calibri" w:hAnsi="Calibri" w:cs="Segoe UI"/>
          <w:color w:val="000000"/>
          <w:sz w:val="20"/>
          <w:szCs w:val="20"/>
        </w:rPr>
      </w:pPr>
      <w:r w:rsidRPr="00AD629D">
        <w:rPr>
          <w:rFonts w:ascii="Calibri" w:hAnsi="Calibri" w:cs="Segoe UI"/>
          <w:sz w:val="20"/>
          <w:szCs w:val="20"/>
        </w:rPr>
        <w:t xml:space="preserve">At the local level, the most relevant stakeholders are the local communities and natural resource users who will be involved in </w:t>
      </w:r>
      <w:r w:rsidRPr="00AD629D">
        <w:rPr>
          <w:rFonts w:ascii="Calibri" w:eastAsia="Calibri" w:hAnsi="Calibri"/>
          <w:sz w:val="20"/>
          <w:szCs w:val="20"/>
          <w:lang w:val="en-CA"/>
        </w:rPr>
        <w:t xml:space="preserve">livelihood development based on agriculture, livestock and natural resource exploitation, who will contribute to improve their land </w:t>
      </w:r>
      <w:r w:rsidRPr="00AD629D">
        <w:rPr>
          <w:rFonts w:ascii="Calibri" w:eastAsia="Calibri" w:hAnsi="Calibri"/>
          <w:sz w:val="20"/>
          <w:szCs w:val="20"/>
          <w:lang w:val="en-CA"/>
        </w:rPr>
        <w:lastRenderedPageBreak/>
        <w:t>through soil and water conservation and soil defen</w:t>
      </w:r>
      <w:r w:rsidR="00CB2536">
        <w:rPr>
          <w:rFonts w:ascii="Calibri" w:eastAsia="Calibri" w:hAnsi="Calibri"/>
          <w:sz w:val="20"/>
          <w:szCs w:val="20"/>
          <w:lang w:val="en-CA"/>
        </w:rPr>
        <w:t>c</w:t>
      </w:r>
      <w:r w:rsidRPr="00AD629D">
        <w:rPr>
          <w:rFonts w:ascii="Calibri" w:eastAsia="Calibri" w:hAnsi="Calibri"/>
          <w:sz w:val="20"/>
          <w:szCs w:val="20"/>
          <w:lang w:val="en-CA"/>
        </w:rPr>
        <w:t>e and restoration techniques,</w:t>
      </w:r>
      <w:r w:rsidRPr="00AD629D">
        <w:rPr>
          <w:rFonts w:ascii="Calibri" w:hAnsi="Calibri" w:cs="Segoe UI"/>
          <w:sz w:val="20"/>
          <w:szCs w:val="20"/>
        </w:rPr>
        <w:t xml:space="preserve"> including management groups for hunting areas (ZOVICs), </w:t>
      </w:r>
      <w:r w:rsidRPr="00AD629D">
        <w:rPr>
          <w:rFonts w:ascii="Calibri" w:hAnsi="Calibri"/>
          <w:sz w:val="20"/>
          <w:szCs w:val="20"/>
          <w:lang w:val="en-GB"/>
        </w:rPr>
        <w:t>NTFP</w:t>
      </w:r>
      <w:r w:rsidRPr="00AD629D">
        <w:rPr>
          <w:rFonts w:ascii="Calibri" w:hAnsi="Calibri" w:cs="Segoe UI"/>
          <w:sz w:val="20"/>
          <w:szCs w:val="20"/>
        </w:rPr>
        <w:t xml:space="preserve"> user groups and women groups, </w:t>
      </w:r>
      <w:r w:rsidRPr="00AD629D">
        <w:rPr>
          <w:rFonts w:ascii="Calibri" w:eastAsia="Calibri" w:hAnsi="Calibri"/>
          <w:sz w:val="20"/>
          <w:szCs w:val="20"/>
          <w:lang w:val="en-CA"/>
        </w:rPr>
        <w:t xml:space="preserve">user groups in charge of managing forest worksites (CAF), </w:t>
      </w:r>
      <w:r w:rsidRPr="00AD629D">
        <w:rPr>
          <w:rFonts w:ascii="Calibri" w:hAnsi="Calibri"/>
          <w:sz w:val="20"/>
          <w:szCs w:val="20"/>
          <w:lang w:val="en-CA"/>
        </w:rPr>
        <w:t xml:space="preserve">village and communal forests, and woodlands, and supervisors, </w:t>
      </w:r>
      <w:proofErr w:type="spellStart"/>
      <w:r w:rsidRPr="00AD629D">
        <w:rPr>
          <w:rFonts w:ascii="Calibri" w:hAnsi="Calibri"/>
          <w:sz w:val="20"/>
          <w:szCs w:val="20"/>
          <w:lang w:val="en-CA"/>
        </w:rPr>
        <w:t>ecoguards</w:t>
      </w:r>
      <w:proofErr w:type="spellEnd"/>
      <w:r w:rsidRPr="00AD629D">
        <w:rPr>
          <w:rFonts w:ascii="Calibri" w:hAnsi="Calibri"/>
          <w:sz w:val="20"/>
          <w:szCs w:val="20"/>
          <w:lang w:val="en-CA"/>
        </w:rPr>
        <w:t xml:space="preserve"> and trackers involved in PA monitoring and surveillance. Throughout components 1 and 3, the project will work with </w:t>
      </w:r>
      <w:r w:rsidRPr="00AD629D">
        <w:rPr>
          <w:rFonts w:ascii="Calibri" w:eastAsia="Calibri" w:hAnsi="Calibri"/>
          <w:bCs/>
          <w:sz w:val="20"/>
          <w:szCs w:val="20"/>
          <w:lang w:eastAsia="de-DE" w:bidi="as-IN"/>
        </w:rPr>
        <w:t>local authorities (</w:t>
      </w:r>
      <w:proofErr w:type="spellStart"/>
      <w:r w:rsidRPr="00AD629D">
        <w:rPr>
          <w:rFonts w:ascii="Calibri" w:eastAsia="Calibri" w:hAnsi="Calibri"/>
          <w:bCs/>
          <w:i/>
          <w:sz w:val="20"/>
          <w:szCs w:val="20"/>
          <w:lang w:eastAsia="de-DE" w:bidi="as-IN"/>
        </w:rPr>
        <w:t>collectivités</w:t>
      </w:r>
      <w:proofErr w:type="spellEnd"/>
      <w:r w:rsidRPr="00AD629D">
        <w:rPr>
          <w:rFonts w:ascii="Calibri" w:eastAsia="Calibri" w:hAnsi="Calibri"/>
          <w:bCs/>
          <w:sz w:val="20"/>
          <w:szCs w:val="20"/>
          <w:lang w:eastAsia="de-DE" w:bidi="as-IN"/>
        </w:rPr>
        <w:t>) at commune and regional levels in accordance with t</w:t>
      </w:r>
      <w:r w:rsidRPr="00AD629D">
        <w:rPr>
          <w:rFonts w:ascii="Calibri" w:hAnsi="Calibri"/>
          <w:sz w:val="20"/>
          <w:szCs w:val="20"/>
          <w:lang w:val="en-CA"/>
        </w:rPr>
        <w:t xml:space="preserve">he General Code of Local Authorities which gives communes and regions the power to draw up and implement their development policies and plans in accordance with the guidelines of the State. In this respect, local authorities elaborate and implement regional development plans and communal development plans in which the sustainable management of land, forests and the environment and the development of livelihoods occupy an important place. The </w:t>
      </w:r>
      <w:r w:rsidRPr="00AD629D">
        <w:rPr>
          <w:rFonts w:ascii="Calibri" w:hAnsi="Calibri" w:cs="Segoe UI"/>
          <w:sz w:val="20"/>
          <w:szCs w:val="20"/>
        </w:rPr>
        <w:t xml:space="preserve">nine communes include </w:t>
      </w:r>
      <w:proofErr w:type="spellStart"/>
      <w:r w:rsidRPr="00AD629D">
        <w:rPr>
          <w:rFonts w:ascii="Calibri" w:eastAsia="Calibri" w:hAnsi="Calibri"/>
          <w:bCs/>
          <w:sz w:val="20"/>
          <w:szCs w:val="20"/>
        </w:rPr>
        <w:t>Zabré</w:t>
      </w:r>
      <w:proofErr w:type="spellEnd"/>
      <w:r w:rsidRPr="00AD629D">
        <w:rPr>
          <w:rFonts w:ascii="Calibri" w:eastAsia="Calibri" w:hAnsi="Calibri"/>
          <w:bCs/>
          <w:sz w:val="20"/>
          <w:szCs w:val="20"/>
        </w:rPr>
        <w:t xml:space="preserve">, </w:t>
      </w:r>
      <w:proofErr w:type="spellStart"/>
      <w:r w:rsidRPr="00AD629D">
        <w:rPr>
          <w:rFonts w:ascii="Calibri" w:eastAsia="Calibri" w:hAnsi="Calibri"/>
          <w:bCs/>
          <w:sz w:val="20"/>
          <w:szCs w:val="20"/>
        </w:rPr>
        <w:t>Zoaga</w:t>
      </w:r>
      <w:proofErr w:type="spellEnd"/>
      <w:r w:rsidRPr="00AD629D">
        <w:rPr>
          <w:rFonts w:ascii="Calibri" w:eastAsia="Calibri" w:hAnsi="Calibri"/>
          <w:bCs/>
          <w:sz w:val="20"/>
          <w:szCs w:val="20"/>
        </w:rPr>
        <w:t xml:space="preserve">, </w:t>
      </w:r>
      <w:proofErr w:type="spellStart"/>
      <w:r w:rsidRPr="00AD629D">
        <w:rPr>
          <w:rFonts w:ascii="Calibri" w:eastAsia="Calibri" w:hAnsi="Calibri"/>
          <w:bCs/>
          <w:sz w:val="20"/>
          <w:szCs w:val="20"/>
        </w:rPr>
        <w:t>Guiaro</w:t>
      </w:r>
      <w:proofErr w:type="spellEnd"/>
      <w:r w:rsidRPr="00AD629D">
        <w:rPr>
          <w:rFonts w:ascii="Calibri" w:eastAsia="Calibri" w:hAnsi="Calibri"/>
          <w:bCs/>
          <w:sz w:val="20"/>
          <w:szCs w:val="20"/>
        </w:rPr>
        <w:t xml:space="preserve">, </w:t>
      </w:r>
      <w:proofErr w:type="spellStart"/>
      <w:r w:rsidRPr="00AD629D">
        <w:rPr>
          <w:rFonts w:ascii="Calibri" w:eastAsia="Calibri" w:hAnsi="Calibri"/>
          <w:bCs/>
          <w:sz w:val="20"/>
          <w:szCs w:val="20"/>
        </w:rPr>
        <w:t>Pô</w:t>
      </w:r>
      <w:proofErr w:type="spellEnd"/>
      <w:r w:rsidRPr="00AD629D">
        <w:rPr>
          <w:rFonts w:ascii="Calibri" w:eastAsia="Calibri" w:hAnsi="Calibri"/>
          <w:bCs/>
          <w:sz w:val="20"/>
          <w:szCs w:val="20"/>
        </w:rPr>
        <w:t xml:space="preserve">, </w:t>
      </w:r>
      <w:proofErr w:type="spellStart"/>
      <w:r w:rsidRPr="00AD629D">
        <w:rPr>
          <w:rFonts w:ascii="Calibri" w:eastAsia="Calibri" w:hAnsi="Calibri"/>
          <w:bCs/>
          <w:sz w:val="20"/>
          <w:szCs w:val="20"/>
        </w:rPr>
        <w:t>Toecé</w:t>
      </w:r>
      <w:proofErr w:type="spellEnd"/>
      <w:r w:rsidRPr="00AD629D">
        <w:rPr>
          <w:rFonts w:ascii="Calibri" w:eastAsia="Calibri" w:hAnsi="Calibri"/>
          <w:bCs/>
          <w:sz w:val="20"/>
          <w:szCs w:val="20"/>
        </w:rPr>
        <w:t xml:space="preserve">, </w:t>
      </w:r>
      <w:proofErr w:type="spellStart"/>
      <w:r w:rsidRPr="00AD629D">
        <w:rPr>
          <w:rFonts w:ascii="Calibri" w:eastAsia="Calibri" w:hAnsi="Calibri"/>
          <w:bCs/>
          <w:sz w:val="20"/>
          <w:szCs w:val="20"/>
        </w:rPr>
        <w:t>Doulougou</w:t>
      </w:r>
      <w:proofErr w:type="spellEnd"/>
      <w:r w:rsidRPr="00AD629D">
        <w:rPr>
          <w:rFonts w:ascii="Calibri" w:eastAsia="Calibri" w:hAnsi="Calibri"/>
          <w:bCs/>
          <w:sz w:val="20"/>
          <w:szCs w:val="20"/>
        </w:rPr>
        <w:t xml:space="preserve">, </w:t>
      </w:r>
      <w:proofErr w:type="spellStart"/>
      <w:r w:rsidRPr="00AD629D">
        <w:rPr>
          <w:rFonts w:ascii="Calibri" w:eastAsia="Calibri" w:hAnsi="Calibri"/>
          <w:bCs/>
          <w:sz w:val="20"/>
          <w:szCs w:val="20"/>
        </w:rPr>
        <w:t>Biéha</w:t>
      </w:r>
      <w:proofErr w:type="spellEnd"/>
      <w:r w:rsidRPr="00AD629D">
        <w:rPr>
          <w:rFonts w:ascii="Calibri" w:eastAsia="Calibri" w:hAnsi="Calibri"/>
          <w:bCs/>
          <w:sz w:val="20"/>
          <w:szCs w:val="20"/>
        </w:rPr>
        <w:t xml:space="preserve">, </w:t>
      </w:r>
      <w:proofErr w:type="spellStart"/>
      <w:r w:rsidRPr="00AD629D">
        <w:rPr>
          <w:rFonts w:ascii="Calibri" w:eastAsia="Calibri" w:hAnsi="Calibri"/>
          <w:bCs/>
          <w:sz w:val="20"/>
          <w:szCs w:val="20"/>
        </w:rPr>
        <w:t>Sapouy</w:t>
      </w:r>
      <w:proofErr w:type="spellEnd"/>
      <w:r w:rsidRPr="00AD629D">
        <w:rPr>
          <w:rFonts w:ascii="Calibri" w:eastAsia="Calibri" w:hAnsi="Calibri"/>
          <w:bCs/>
          <w:sz w:val="20"/>
          <w:szCs w:val="20"/>
        </w:rPr>
        <w:t xml:space="preserve">, and </w:t>
      </w:r>
      <w:proofErr w:type="spellStart"/>
      <w:r w:rsidRPr="00AD629D">
        <w:rPr>
          <w:rFonts w:ascii="Calibri" w:eastAsia="Calibri" w:hAnsi="Calibri"/>
          <w:bCs/>
          <w:sz w:val="20"/>
          <w:szCs w:val="20"/>
        </w:rPr>
        <w:t>Nobéré</w:t>
      </w:r>
      <w:proofErr w:type="spellEnd"/>
      <w:r w:rsidRPr="00AD629D">
        <w:rPr>
          <w:rFonts w:ascii="Calibri" w:hAnsi="Calibri" w:cs="Segoe UI"/>
          <w:sz w:val="20"/>
          <w:szCs w:val="20"/>
        </w:rPr>
        <w:t xml:space="preserve">. </w:t>
      </w:r>
      <w:r w:rsidRPr="00AD629D">
        <w:rPr>
          <w:rFonts w:ascii="Calibri" w:eastAsia="Calibri" w:hAnsi="Calibri"/>
          <w:sz w:val="20"/>
          <w:szCs w:val="20"/>
          <w:lang w:val="en-CA" w:eastAsia="de-DE" w:bidi="as-IN"/>
        </w:rPr>
        <w:t xml:space="preserve">The NGOs, foundation and associations such as NATURAMA, TREE AID, NATUDEV, IUCN, and Ga Mo </w:t>
      </w:r>
      <w:proofErr w:type="spellStart"/>
      <w:r w:rsidRPr="00AD629D">
        <w:rPr>
          <w:rFonts w:ascii="Calibri" w:eastAsia="Calibri" w:hAnsi="Calibri"/>
          <w:sz w:val="20"/>
          <w:szCs w:val="20"/>
          <w:lang w:val="en-CA" w:eastAsia="de-DE" w:bidi="as-IN"/>
        </w:rPr>
        <w:t>Wigna</w:t>
      </w:r>
      <w:proofErr w:type="spellEnd"/>
      <w:r w:rsidRPr="00AD629D">
        <w:rPr>
          <w:rFonts w:ascii="Calibri" w:eastAsia="Calibri" w:hAnsi="Calibri"/>
          <w:sz w:val="20"/>
          <w:szCs w:val="20"/>
          <w:lang w:val="en-CA" w:eastAsia="de-DE" w:bidi="as-IN"/>
        </w:rPr>
        <w:t>, engaged in the management of protected areas, forests, wildlife, fish resources, and land, and in the development of livelihood for communities, will be involved and provide support in their own field of expertise including</w:t>
      </w:r>
      <w:r w:rsidRPr="00AD629D">
        <w:rPr>
          <w:rFonts w:ascii="Calibri" w:eastAsia="Calibri" w:hAnsi="Calibri"/>
          <w:sz w:val="20"/>
          <w:szCs w:val="20"/>
          <w:shd w:val="clear" w:color="auto" w:fill="FFFFFF"/>
          <w:lang w:val="en-CA"/>
        </w:rPr>
        <w:t xml:space="preserve"> ecological monitoring (birds and mammals), development and implementation of management plans and participatory management of conservation areas, development plans and management charters of pastoral areas, promotion of good practices of sustainable land management- local governance of forest resources, </w:t>
      </w:r>
      <w:r w:rsidRPr="00AD629D">
        <w:rPr>
          <w:rFonts w:ascii="Calibri" w:eastAsia="Calibri" w:hAnsi="Calibri"/>
          <w:sz w:val="20"/>
          <w:szCs w:val="20"/>
          <w:shd w:val="clear" w:color="auto" w:fill="FFFFFF"/>
        </w:rPr>
        <w:t xml:space="preserve">development of value chains, research, and </w:t>
      </w:r>
      <w:r w:rsidRPr="00AD629D">
        <w:rPr>
          <w:rFonts w:ascii="Calibri" w:eastAsia="Calibri" w:hAnsi="Calibri"/>
          <w:sz w:val="20"/>
          <w:szCs w:val="20"/>
          <w:shd w:val="clear" w:color="auto" w:fill="FFFFFF"/>
          <w:lang w:val="en-CA"/>
        </w:rPr>
        <w:t xml:space="preserve">drawing up cross-border agreements related to elephant conservation. </w:t>
      </w:r>
      <w:r w:rsidRPr="00AD629D">
        <w:rPr>
          <w:rFonts w:ascii="Calibri" w:eastAsia="Calibri" w:hAnsi="Calibri"/>
          <w:sz w:val="20"/>
          <w:szCs w:val="20"/>
          <w:lang w:val="en-CA" w:eastAsia="de-DE" w:bidi="as-IN"/>
        </w:rPr>
        <w:t xml:space="preserve">The private sector includes hunting concessionaires </w:t>
      </w:r>
      <w:proofErr w:type="spellStart"/>
      <w:r w:rsidRPr="00AD629D">
        <w:rPr>
          <w:rFonts w:ascii="Calibri" w:eastAsia="Calibri" w:hAnsi="Calibri"/>
          <w:sz w:val="20"/>
          <w:szCs w:val="20"/>
          <w:lang w:val="en-CA" w:eastAsia="de-DE" w:bidi="as-IN"/>
        </w:rPr>
        <w:t>Nahouri</w:t>
      </w:r>
      <w:proofErr w:type="spellEnd"/>
      <w:r w:rsidRPr="00AD629D">
        <w:rPr>
          <w:rFonts w:ascii="Calibri" w:eastAsia="Calibri" w:hAnsi="Calibri"/>
          <w:sz w:val="20"/>
          <w:szCs w:val="20"/>
          <w:lang w:val="en-CA" w:eastAsia="de-DE" w:bidi="as-IN"/>
        </w:rPr>
        <w:t xml:space="preserve"> Safari and Safari </w:t>
      </w:r>
      <w:proofErr w:type="spellStart"/>
      <w:r w:rsidRPr="00AD629D">
        <w:rPr>
          <w:rFonts w:ascii="Calibri" w:eastAsia="Calibri" w:hAnsi="Calibri"/>
          <w:sz w:val="20"/>
          <w:szCs w:val="20"/>
          <w:lang w:val="en-CA" w:eastAsia="de-DE" w:bidi="as-IN"/>
        </w:rPr>
        <w:t>Sissili</w:t>
      </w:r>
      <w:proofErr w:type="spellEnd"/>
      <w:r w:rsidRPr="00AD629D">
        <w:rPr>
          <w:rFonts w:ascii="Calibri" w:eastAsia="Calibri" w:hAnsi="Calibri"/>
          <w:sz w:val="20"/>
          <w:szCs w:val="20"/>
          <w:lang w:val="en-CA" w:eastAsia="de-DE" w:bidi="as-IN"/>
        </w:rPr>
        <w:t xml:space="preserve">, to whom the </w:t>
      </w:r>
      <w:proofErr w:type="spellStart"/>
      <w:r w:rsidRPr="00AD629D">
        <w:rPr>
          <w:rFonts w:ascii="Calibri" w:eastAsia="Calibri" w:hAnsi="Calibri"/>
          <w:sz w:val="20"/>
          <w:szCs w:val="20"/>
          <w:lang w:val="en-CA" w:eastAsia="de-DE" w:bidi="as-IN"/>
        </w:rPr>
        <w:t>Nazinga</w:t>
      </w:r>
      <w:proofErr w:type="spellEnd"/>
      <w:r w:rsidRPr="00AD629D">
        <w:rPr>
          <w:rFonts w:ascii="Calibri" w:eastAsia="Calibri" w:hAnsi="Calibri"/>
          <w:sz w:val="20"/>
          <w:szCs w:val="20"/>
          <w:lang w:val="en-CA" w:eastAsia="de-DE" w:bidi="as-IN"/>
        </w:rPr>
        <w:t xml:space="preserve"> Game Ranch and FC </w:t>
      </w:r>
      <w:proofErr w:type="spellStart"/>
      <w:r w:rsidRPr="00AD629D">
        <w:rPr>
          <w:rFonts w:ascii="Calibri" w:eastAsia="Calibri" w:hAnsi="Calibri"/>
          <w:sz w:val="20"/>
          <w:szCs w:val="20"/>
          <w:lang w:val="en-CA" w:eastAsia="de-DE" w:bidi="as-IN"/>
        </w:rPr>
        <w:t>Sissili</w:t>
      </w:r>
      <w:proofErr w:type="spellEnd"/>
      <w:r w:rsidRPr="00AD629D">
        <w:rPr>
          <w:rFonts w:ascii="Calibri" w:eastAsia="Calibri" w:hAnsi="Calibri"/>
          <w:sz w:val="20"/>
          <w:szCs w:val="20"/>
          <w:lang w:val="en-CA" w:eastAsia="de-DE" w:bidi="as-IN"/>
        </w:rPr>
        <w:t xml:space="preserve"> have been licensed. They carry out activities in the areas of development of wildlife, silvicultural and fisheries productions and their development, the development of </w:t>
      </w:r>
      <w:proofErr w:type="spellStart"/>
      <w:r w:rsidRPr="00AD629D">
        <w:rPr>
          <w:rFonts w:ascii="Calibri" w:eastAsia="Calibri" w:hAnsi="Calibri"/>
          <w:sz w:val="20"/>
          <w:szCs w:val="20"/>
          <w:lang w:val="en-CA" w:eastAsia="de-DE" w:bidi="as-IN"/>
        </w:rPr>
        <w:t>Nazinga</w:t>
      </w:r>
      <w:proofErr w:type="spellEnd"/>
      <w:r w:rsidRPr="00AD629D">
        <w:rPr>
          <w:rFonts w:ascii="Calibri" w:eastAsia="Calibri" w:hAnsi="Calibri"/>
          <w:sz w:val="20"/>
          <w:szCs w:val="20"/>
          <w:lang w:val="en-CA" w:eastAsia="de-DE" w:bidi="as-IN"/>
        </w:rPr>
        <w:t xml:space="preserve">, tourism and community mobilization. </w:t>
      </w:r>
      <w:r w:rsidRPr="00AD629D">
        <w:rPr>
          <w:rFonts w:ascii="Calibri" w:hAnsi="Calibri" w:cs="Segoe UI"/>
          <w:sz w:val="20"/>
          <w:szCs w:val="20"/>
          <w:lang w:val="en-CA"/>
        </w:rPr>
        <w:t>P</w:t>
      </w:r>
      <w:proofErr w:type="spellStart"/>
      <w:r w:rsidRPr="00AD629D">
        <w:rPr>
          <w:rFonts w:ascii="Calibri" w:hAnsi="Calibri" w:cs="Segoe UI"/>
          <w:sz w:val="20"/>
          <w:szCs w:val="20"/>
        </w:rPr>
        <w:t>rivate</w:t>
      </w:r>
      <w:proofErr w:type="spellEnd"/>
      <w:r w:rsidRPr="00AD629D">
        <w:rPr>
          <w:rFonts w:ascii="Calibri" w:hAnsi="Calibri" w:cs="Segoe UI"/>
          <w:sz w:val="20"/>
          <w:szCs w:val="20"/>
        </w:rPr>
        <w:t xml:space="preserve"> landowners or a</w:t>
      </w:r>
      <w:proofErr w:type="spellStart"/>
      <w:r w:rsidRPr="00AD629D">
        <w:rPr>
          <w:rFonts w:ascii="Calibri" w:eastAsia="Calibri" w:hAnsi="Calibri"/>
          <w:sz w:val="20"/>
          <w:szCs w:val="20"/>
          <w:lang w:val="en-CA" w:eastAsia="de-DE" w:bidi="as-IN"/>
        </w:rPr>
        <w:t>grobusinessmen</w:t>
      </w:r>
      <w:proofErr w:type="spellEnd"/>
      <w:r w:rsidRPr="00AD629D">
        <w:rPr>
          <w:rFonts w:ascii="Calibri" w:eastAsia="Calibri" w:hAnsi="Calibri"/>
          <w:sz w:val="20"/>
          <w:szCs w:val="20"/>
          <w:lang w:val="en-CA" w:eastAsia="de-DE" w:bidi="as-IN"/>
        </w:rPr>
        <w:t xml:space="preserve"> are important actors involved in agricultural production.</w:t>
      </w:r>
    </w:p>
    <w:p w14:paraId="0F8E957E" w14:textId="5F74C847" w:rsidR="00302BFE" w:rsidRPr="00755BF9" w:rsidRDefault="00302BFE" w:rsidP="00C46720">
      <w:pPr>
        <w:pStyle w:val="Paragraphedeliste"/>
        <w:numPr>
          <w:ilvl w:val="0"/>
          <w:numId w:val="14"/>
        </w:numPr>
        <w:tabs>
          <w:tab w:val="left" w:pos="284"/>
        </w:tabs>
        <w:spacing w:before="120" w:after="120"/>
        <w:ind w:left="0" w:firstLine="0"/>
        <w:jc w:val="both"/>
        <w:rPr>
          <w:rFonts w:ascii="Calibri" w:eastAsia="Calibri" w:hAnsi="Calibri"/>
          <w:sz w:val="20"/>
          <w:szCs w:val="20"/>
          <w:shd w:val="clear" w:color="auto" w:fill="FFFFFF"/>
          <w:lang w:val="en-CA"/>
        </w:rPr>
      </w:pPr>
      <w:r w:rsidRPr="00A93827">
        <w:rPr>
          <w:rFonts w:ascii="Calibri" w:hAnsi="Calibri" w:cs="Segoe UI"/>
          <w:color w:val="000000"/>
          <w:sz w:val="20"/>
          <w:szCs w:val="20"/>
        </w:rPr>
        <w:t xml:space="preserve">The project’s Stakeholder Engagement Plan in Annex </w:t>
      </w:r>
      <w:r w:rsidR="009523FE" w:rsidRPr="00A93827">
        <w:rPr>
          <w:rFonts w:ascii="Calibri" w:hAnsi="Calibri" w:cs="Segoe UI"/>
          <w:color w:val="000000"/>
          <w:sz w:val="20"/>
          <w:szCs w:val="20"/>
        </w:rPr>
        <w:t>E</w:t>
      </w:r>
      <w:r w:rsidRPr="00A93827">
        <w:rPr>
          <w:rFonts w:ascii="Calibri" w:hAnsi="Calibri" w:cs="Segoe UI"/>
          <w:color w:val="000000"/>
          <w:sz w:val="20"/>
          <w:szCs w:val="20"/>
        </w:rPr>
        <w:t xml:space="preserve"> includes information summarizing the PPG participatory process. A list </w:t>
      </w:r>
      <w:r w:rsidRPr="00755BF9">
        <w:rPr>
          <w:rFonts w:ascii="Calibri" w:eastAsia="Calibri" w:hAnsi="Calibri"/>
          <w:sz w:val="20"/>
          <w:szCs w:val="20"/>
          <w:shd w:val="clear" w:color="auto" w:fill="FFFFFF"/>
          <w:lang w:val="en-CA"/>
        </w:rPr>
        <w:t xml:space="preserve">of people consulted during project development is included in Annex </w:t>
      </w:r>
      <w:r w:rsidR="009523FE" w:rsidRPr="00755BF9">
        <w:rPr>
          <w:rFonts w:ascii="Calibri" w:eastAsia="Calibri" w:hAnsi="Calibri"/>
          <w:sz w:val="20"/>
          <w:szCs w:val="20"/>
          <w:shd w:val="clear" w:color="auto" w:fill="FFFFFF"/>
          <w:lang w:val="en-CA"/>
        </w:rPr>
        <w:t>M</w:t>
      </w:r>
      <w:r w:rsidRPr="00755BF9">
        <w:rPr>
          <w:rFonts w:ascii="Calibri" w:eastAsia="Calibri" w:hAnsi="Calibri"/>
          <w:sz w:val="20"/>
          <w:szCs w:val="20"/>
          <w:shd w:val="clear" w:color="auto" w:fill="FFFFFF"/>
          <w:lang w:val="en-CA"/>
        </w:rPr>
        <w:t>.</w:t>
      </w:r>
    </w:p>
    <w:p w14:paraId="5654EF87" w14:textId="30D9F1E8" w:rsidR="00E07615" w:rsidRPr="00ED6CC0" w:rsidRDefault="00E07615" w:rsidP="00E07615">
      <w:pPr>
        <w:pStyle w:val="Paragraphedeliste"/>
        <w:tabs>
          <w:tab w:val="left" w:pos="284"/>
        </w:tabs>
        <w:spacing w:before="120" w:after="120"/>
        <w:ind w:left="0"/>
        <w:jc w:val="both"/>
        <w:rPr>
          <w:rFonts w:ascii="Calibri" w:eastAsia="Calibri" w:hAnsi="Calibri"/>
          <w:sz w:val="20"/>
          <w:szCs w:val="20"/>
          <w:shd w:val="clear" w:color="auto" w:fill="FFFFFF"/>
          <w:lang w:val="en-CA"/>
        </w:rPr>
      </w:pPr>
      <w:r w:rsidRPr="00ED6CC0">
        <w:rPr>
          <w:rFonts w:ascii="Calibri" w:eastAsia="Calibri" w:hAnsi="Calibri"/>
          <w:sz w:val="20"/>
          <w:szCs w:val="20"/>
          <w:shd w:val="clear" w:color="auto" w:fill="FFFFFF"/>
          <w:lang w:val="en-CA"/>
        </w:rPr>
        <w:t xml:space="preserve">Considering the presence, among the stakeholders, of Indigenous Peoples, an Indigenous Peoples Plan will be developed during the first year of the project, based on the Indigenous Peoples Planning Framework included in the ESMF, in annex to the </w:t>
      </w:r>
      <w:proofErr w:type="spellStart"/>
      <w:r w:rsidRPr="00ED6CC0">
        <w:rPr>
          <w:rFonts w:ascii="Calibri" w:eastAsia="Calibri" w:hAnsi="Calibri"/>
          <w:sz w:val="20"/>
          <w:szCs w:val="20"/>
          <w:shd w:val="clear" w:color="auto" w:fill="FFFFFF"/>
          <w:lang w:val="en-CA"/>
        </w:rPr>
        <w:t>ProDoC</w:t>
      </w:r>
      <w:proofErr w:type="spellEnd"/>
      <w:r w:rsidRPr="00ED6CC0">
        <w:rPr>
          <w:rFonts w:ascii="Calibri" w:eastAsia="Calibri" w:hAnsi="Calibri"/>
          <w:sz w:val="20"/>
          <w:szCs w:val="20"/>
          <w:shd w:val="clear" w:color="auto" w:fill="FFFFFF"/>
          <w:lang w:val="en-CA"/>
        </w:rPr>
        <w:t>.</w:t>
      </w:r>
    </w:p>
    <w:p w14:paraId="34222CC5" w14:textId="4972FE07" w:rsidR="00E07615" w:rsidRPr="00ED6CC0" w:rsidRDefault="00E07615" w:rsidP="00E07615">
      <w:pPr>
        <w:pStyle w:val="Paragraphedeliste"/>
        <w:tabs>
          <w:tab w:val="left" w:pos="284"/>
        </w:tabs>
        <w:spacing w:before="120" w:after="120"/>
        <w:ind w:left="0"/>
        <w:jc w:val="both"/>
        <w:rPr>
          <w:rFonts w:ascii="Calibri" w:eastAsia="Calibri" w:hAnsi="Calibri"/>
          <w:sz w:val="20"/>
          <w:szCs w:val="20"/>
          <w:shd w:val="clear" w:color="auto" w:fill="FFFFFF"/>
          <w:lang w:val="en-CA"/>
        </w:rPr>
      </w:pPr>
      <w:r w:rsidRPr="00ED6CC0">
        <w:rPr>
          <w:rFonts w:ascii="Calibri" w:eastAsia="Calibri" w:hAnsi="Calibri"/>
          <w:sz w:val="20"/>
          <w:szCs w:val="20"/>
          <w:shd w:val="clear" w:color="auto" w:fill="FFFFFF"/>
          <w:lang w:val="en-CA"/>
        </w:rPr>
        <w:t>The IPP will be part of the ESMP that will be developed during the first year of the project.</w:t>
      </w:r>
    </w:p>
    <w:p w14:paraId="5B882D48" w14:textId="09076097" w:rsidR="00B66ED6" w:rsidRPr="00ED6CC0" w:rsidRDefault="00B66ED6" w:rsidP="00E07615">
      <w:pPr>
        <w:pStyle w:val="Paragraphedeliste"/>
        <w:tabs>
          <w:tab w:val="left" w:pos="284"/>
        </w:tabs>
        <w:spacing w:before="120" w:after="120"/>
        <w:ind w:left="0"/>
        <w:jc w:val="both"/>
        <w:rPr>
          <w:rFonts w:ascii="Calibri" w:eastAsia="Calibri" w:hAnsi="Calibri"/>
          <w:sz w:val="20"/>
          <w:szCs w:val="20"/>
          <w:shd w:val="clear" w:color="auto" w:fill="FFFFFF"/>
          <w:lang w:val="en-CA"/>
        </w:rPr>
      </w:pPr>
      <w:r w:rsidRPr="00ED6CC0">
        <w:rPr>
          <w:rFonts w:ascii="Calibri" w:eastAsia="Calibri" w:hAnsi="Calibri"/>
          <w:sz w:val="20"/>
          <w:szCs w:val="20"/>
          <w:shd w:val="clear" w:color="auto" w:fill="FFFFFF"/>
          <w:lang w:val="en-CA"/>
        </w:rPr>
        <w:t>Stakeholders’ consultations will be developed ensuring FPIC – as indicated in the IPPF.</w:t>
      </w:r>
    </w:p>
    <w:p w14:paraId="7B113F31" w14:textId="196EA9AA" w:rsidR="00BC088C" w:rsidRPr="00755BF9" w:rsidRDefault="00BC088C" w:rsidP="00755BF9">
      <w:pPr>
        <w:pStyle w:val="Paragraphedeliste"/>
        <w:tabs>
          <w:tab w:val="left" w:pos="284"/>
        </w:tabs>
        <w:spacing w:before="120" w:after="120"/>
        <w:ind w:left="0"/>
        <w:jc w:val="both"/>
        <w:rPr>
          <w:rFonts w:ascii="Calibri" w:eastAsia="Calibri" w:hAnsi="Calibri"/>
          <w:sz w:val="20"/>
          <w:szCs w:val="20"/>
          <w:shd w:val="clear" w:color="auto" w:fill="FFFFFF"/>
          <w:lang w:val="en-CA"/>
        </w:rPr>
      </w:pPr>
      <w:r w:rsidRPr="00ED6CC0">
        <w:rPr>
          <w:rFonts w:ascii="Calibri" w:eastAsia="Calibri" w:hAnsi="Calibri"/>
          <w:sz w:val="20"/>
          <w:szCs w:val="20"/>
          <w:shd w:val="clear" w:color="auto" w:fill="FFFFFF"/>
          <w:lang w:val="en-CA"/>
        </w:rPr>
        <w:t xml:space="preserve">The Stakeholder Engagement process will be reinforced by the Grievance Redress </w:t>
      </w:r>
      <w:r w:rsidR="00653542" w:rsidRPr="00ED6CC0">
        <w:rPr>
          <w:rFonts w:ascii="Calibri" w:eastAsia="Calibri" w:hAnsi="Calibri"/>
          <w:sz w:val="20"/>
          <w:szCs w:val="20"/>
          <w:shd w:val="clear" w:color="auto" w:fill="FFFFFF"/>
          <w:lang w:val="en-CA"/>
        </w:rPr>
        <w:t>Mechanism</w:t>
      </w:r>
      <w:r w:rsidRPr="00ED6CC0">
        <w:rPr>
          <w:rFonts w:ascii="Calibri" w:eastAsia="Calibri" w:hAnsi="Calibri"/>
          <w:sz w:val="20"/>
          <w:szCs w:val="20"/>
          <w:shd w:val="clear" w:color="auto" w:fill="FFFFFF"/>
          <w:lang w:val="en-CA"/>
        </w:rPr>
        <w:t xml:space="preserve"> that will be developed during the first three months of the project.</w:t>
      </w:r>
    </w:p>
    <w:p w14:paraId="6C09B067" w14:textId="77777777" w:rsidR="00302BFE" w:rsidRPr="001F7890"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9E2DD5">
        <w:rPr>
          <w:rFonts w:ascii="Calibri" w:hAnsi="Calibri"/>
          <w:sz w:val="20"/>
          <w:szCs w:val="20"/>
          <w:u w:val="single"/>
        </w:rPr>
        <w:t>Gender equality and empowering women</w:t>
      </w:r>
      <w:r w:rsidRPr="009E2DD5">
        <w:rPr>
          <w:rFonts w:ascii="Calibri" w:hAnsi="Calibri"/>
          <w:sz w:val="20"/>
          <w:szCs w:val="20"/>
        </w:rPr>
        <w:t xml:space="preserve">: </w:t>
      </w:r>
      <w:r w:rsidRPr="009E2DD5">
        <w:rPr>
          <w:rFonts w:ascii="Calibri" w:hAnsi="Calibri"/>
          <w:bCs/>
          <w:sz w:val="20"/>
          <w:szCs w:val="20"/>
        </w:rPr>
        <w:t>According</w:t>
      </w:r>
      <w:r w:rsidRPr="009E2DD5">
        <w:rPr>
          <w:rFonts w:ascii="Calibri" w:hAnsi="Calibri"/>
          <w:sz w:val="20"/>
          <w:szCs w:val="20"/>
        </w:rPr>
        <w:t xml:space="preserve"> to the UNDP Gender Marker Rating, the project is categorized as GEN2: gender equality as a significant objective. During the PPG, a gender analysis for the prioritized landscape and a detailed Gender Action Plan (included as </w:t>
      </w:r>
      <w:r w:rsidRPr="00A93827">
        <w:rPr>
          <w:rFonts w:ascii="Calibri" w:hAnsi="Calibri"/>
          <w:sz w:val="20"/>
          <w:szCs w:val="20"/>
        </w:rPr>
        <w:t xml:space="preserve">Annex </w:t>
      </w:r>
      <w:r w:rsidR="009523FE" w:rsidRPr="00A93827">
        <w:rPr>
          <w:rFonts w:ascii="Calibri" w:hAnsi="Calibri"/>
          <w:sz w:val="20"/>
          <w:szCs w:val="20"/>
        </w:rPr>
        <w:t>F</w:t>
      </w:r>
      <w:r w:rsidRPr="009E2DD5">
        <w:rPr>
          <w:rFonts w:ascii="Calibri" w:hAnsi="Calibri"/>
          <w:sz w:val="20"/>
          <w:szCs w:val="20"/>
        </w:rPr>
        <w:t xml:space="preserve">) were developed to ensure gender mainstreaming in the project; specific gender-disaggregated indicators will be used for monitoring and a gender specialist will be part of the </w:t>
      </w:r>
      <w:r w:rsidRPr="009E2DD5">
        <w:rPr>
          <w:rFonts w:ascii="Calibri" w:hAnsi="Calibri" w:cs="Calibri"/>
          <w:sz w:val="20"/>
          <w:szCs w:val="20"/>
        </w:rPr>
        <w:t>Project Management Unit (PMU)</w:t>
      </w:r>
      <w:r w:rsidRPr="009E2DD5">
        <w:rPr>
          <w:rFonts w:ascii="Calibri" w:hAnsi="Calibri"/>
          <w:sz w:val="20"/>
          <w:szCs w:val="20"/>
        </w:rPr>
        <w:t xml:space="preserve"> to facilitate improvements to gender equality and women’s empowerment.</w:t>
      </w:r>
      <w:r>
        <w:rPr>
          <w:rFonts w:ascii="Calibri" w:hAnsi="Calibri"/>
          <w:sz w:val="20"/>
          <w:szCs w:val="20"/>
        </w:rPr>
        <w:t xml:space="preserve"> </w:t>
      </w:r>
    </w:p>
    <w:p w14:paraId="4AC15F60"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Pr>
          <w:rFonts w:ascii="Calibri" w:hAnsi="Calibri" w:cs="Calibri"/>
          <w:sz w:val="20"/>
          <w:szCs w:val="20"/>
          <w:lang w:val="en-CA"/>
        </w:rPr>
        <w:t>The g</w:t>
      </w:r>
      <w:r w:rsidRPr="001F7890">
        <w:rPr>
          <w:rFonts w:ascii="Calibri" w:hAnsi="Calibri" w:cs="Calibri"/>
          <w:sz w:val="20"/>
          <w:szCs w:val="20"/>
          <w:lang w:val="en-CA"/>
        </w:rPr>
        <w:t xml:space="preserve">ender analysis has identified </w:t>
      </w:r>
      <w:proofErr w:type="gramStart"/>
      <w:r w:rsidRPr="001F7890">
        <w:rPr>
          <w:rFonts w:ascii="Calibri" w:hAnsi="Calibri" w:cs="Calibri"/>
          <w:sz w:val="20"/>
          <w:szCs w:val="20"/>
          <w:lang w:val="en-CA"/>
        </w:rPr>
        <w:t>a number of</w:t>
      </w:r>
      <w:proofErr w:type="gramEnd"/>
      <w:r w:rsidRPr="001F7890">
        <w:rPr>
          <w:rFonts w:ascii="Calibri" w:hAnsi="Calibri" w:cs="Calibri"/>
          <w:sz w:val="20"/>
          <w:szCs w:val="20"/>
          <w:lang w:val="en-CA"/>
        </w:rPr>
        <w:t xml:space="preserve"> factors that </w:t>
      </w:r>
      <w:r>
        <w:rPr>
          <w:rFonts w:ascii="Calibri" w:hAnsi="Calibri" w:cs="Calibri"/>
          <w:sz w:val="20"/>
          <w:szCs w:val="20"/>
          <w:lang w:val="en-CA"/>
        </w:rPr>
        <w:t xml:space="preserve">hinder </w:t>
      </w:r>
      <w:r w:rsidRPr="001F7890">
        <w:rPr>
          <w:rFonts w:ascii="Calibri" w:hAnsi="Calibri" w:cs="Calibri"/>
          <w:sz w:val="20"/>
          <w:szCs w:val="20"/>
          <w:lang w:val="en-CA"/>
        </w:rPr>
        <w:t>the effective participation of women in the protection of protected areas and adjacent lands. The factors identified include: The low level of income generated from the exploitation of forest resources, the low level of participation in the control of the forest resources they exploit, the low level of access to financial services for the development of forest resources. income-generating activities and to support the development of value chains, the low level of representativeness in the coordination and management bodies of forest resources, and the degradation of the plant resources they exploit.</w:t>
      </w:r>
    </w:p>
    <w:p w14:paraId="7774D0F2" w14:textId="77D75AE3" w:rsidR="00302BFE"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1F7890">
        <w:rPr>
          <w:rFonts w:ascii="Calibri" w:hAnsi="Calibri" w:cs="Calibri"/>
          <w:sz w:val="20"/>
          <w:szCs w:val="20"/>
          <w:lang w:val="en-CA"/>
        </w:rPr>
        <w:t>The project includes specific actions to alleviate these constraints and promote specific support for women through all the interventions in the pilot sites, and to encourage their active involvement in participatory decision-making processes. It will support the development of promising value chains based on the exploitation of forest resources, particularly non-timber forest products (</w:t>
      </w:r>
      <w:r w:rsidRPr="00831652">
        <w:rPr>
          <w:rFonts w:ascii="Calibri" w:hAnsi="Calibri"/>
          <w:sz w:val="20"/>
          <w:szCs w:val="20"/>
          <w:lang w:val="en-GB"/>
        </w:rPr>
        <w:t>NTFP</w:t>
      </w:r>
      <w:r w:rsidRPr="00831652">
        <w:rPr>
          <w:rFonts w:ascii="Calibri" w:hAnsi="Calibri" w:cs="Calibri"/>
          <w:sz w:val="20"/>
          <w:szCs w:val="20"/>
          <w:lang w:val="en-CA"/>
        </w:rPr>
        <w:t>s</w:t>
      </w:r>
      <w:r w:rsidRPr="001F7890">
        <w:rPr>
          <w:rFonts w:ascii="Calibri" w:hAnsi="Calibri" w:cs="Calibri"/>
          <w:sz w:val="20"/>
          <w:szCs w:val="20"/>
          <w:lang w:val="en-CA"/>
        </w:rPr>
        <w:t>), where they are the majority. Their increased presence in the participatory platforms that will be set up under the project will also promote gender mainstreaming in the development and implementation of resource and land management plans.</w:t>
      </w:r>
      <w:r>
        <w:rPr>
          <w:rFonts w:ascii="Calibri" w:hAnsi="Calibri" w:cs="Calibri"/>
          <w:sz w:val="20"/>
          <w:szCs w:val="20"/>
          <w:lang w:val="en-CA"/>
        </w:rPr>
        <w:t xml:space="preserve"> </w:t>
      </w:r>
      <w:r w:rsidRPr="001F7890">
        <w:rPr>
          <w:rFonts w:ascii="Calibri" w:hAnsi="Calibri" w:cs="Calibri"/>
          <w:sz w:val="20"/>
          <w:szCs w:val="20"/>
          <w:lang w:val="en-CA"/>
        </w:rPr>
        <w:t>The main actions will focus on: i) the representativeness of women in the concerted governance mechanism and participating in the decision-making process on the use of land and resources; ii) contribution to a better knowledge and integration of the concept of gender and development in the PONASI landscape; (iii) empowering women and improving their capacity to develop viable forest enterprises; iv) the empowerment of women in the management of woodlands in order to develop promising value chains.</w:t>
      </w:r>
      <w:r w:rsidR="00BC088C">
        <w:rPr>
          <w:rFonts w:ascii="Calibri" w:hAnsi="Calibri" w:cs="Calibri"/>
          <w:sz w:val="20"/>
          <w:szCs w:val="20"/>
          <w:lang w:val="en-CA"/>
        </w:rPr>
        <w:t xml:space="preserve"> </w:t>
      </w:r>
    </w:p>
    <w:p w14:paraId="1BC6A057" w14:textId="4A8FEC48" w:rsidR="00BC088C" w:rsidRPr="00983884" w:rsidRDefault="00BC088C" w:rsidP="00BC088C">
      <w:pPr>
        <w:pStyle w:val="Paragraphedeliste"/>
        <w:tabs>
          <w:tab w:val="left" w:pos="284"/>
        </w:tabs>
        <w:spacing w:before="120" w:after="120"/>
        <w:ind w:left="0"/>
        <w:jc w:val="both"/>
        <w:rPr>
          <w:rFonts w:ascii="Calibri" w:hAnsi="Calibri" w:cs="Calibri"/>
          <w:sz w:val="20"/>
          <w:szCs w:val="20"/>
          <w:lang w:val="en-CA"/>
        </w:rPr>
      </w:pPr>
      <w:r w:rsidRPr="00983884">
        <w:rPr>
          <w:rFonts w:ascii="Calibri" w:hAnsi="Calibri" w:cs="Calibri"/>
          <w:sz w:val="20"/>
          <w:szCs w:val="20"/>
          <w:lang w:val="en-CA"/>
        </w:rPr>
        <w:t>The Gender Action Plan will be updated at project inception phase and will include consideration on indigenous women.</w:t>
      </w:r>
    </w:p>
    <w:p w14:paraId="0E686073" w14:textId="2952A8C5" w:rsidR="00BC088C" w:rsidRDefault="00BC088C" w:rsidP="00BC088C">
      <w:pPr>
        <w:pStyle w:val="Paragraphedeliste"/>
        <w:tabs>
          <w:tab w:val="left" w:pos="284"/>
        </w:tabs>
        <w:spacing w:before="120" w:after="120"/>
        <w:ind w:left="0"/>
        <w:jc w:val="both"/>
        <w:rPr>
          <w:rFonts w:ascii="Calibri" w:hAnsi="Calibri" w:cs="Calibri"/>
          <w:sz w:val="20"/>
          <w:szCs w:val="20"/>
          <w:lang w:val="en-CA"/>
        </w:rPr>
      </w:pPr>
      <w:r w:rsidRPr="00983884">
        <w:rPr>
          <w:rFonts w:ascii="Calibri" w:hAnsi="Calibri" w:cs="Calibri"/>
          <w:sz w:val="20"/>
          <w:szCs w:val="20"/>
          <w:lang w:val="en-CA"/>
        </w:rPr>
        <w:t xml:space="preserve">Additional details regarding Stakeholder Engagement process and Gender Analysis and Action Plan are included in the SESP, in attachment to the </w:t>
      </w:r>
      <w:proofErr w:type="spellStart"/>
      <w:r w:rsidRPr="00983884">
        <w:rPr>
          <w:rFonts w:ascii="Calibri" w:hAnsi="Calibri" w:cs="Calibri"/>
          <w:sz w:val="20"/>
          <w:szCs w:val="20"/>
          <w:lang w:val="en-CA"/>
        </w:rPr>
        <w:t>ProDoc</w:t>
      </w:r>
      <w:proofErr w:type="spellEnd"/>
      <w:r w:rsidRPr="00983884">
        <w:rPr>
          <w:rFonts w:ascii="Calibri" w:hAnsi="Calibri" w:cs="Calibri"/>
          <w:sz w:val="20"/>
          <w:szCs w:val="20"/>
          <w:lang w:val="en-CA"/>
        </w:rPr>
        <w:t>.</w:t>
      </w:r>
      <w:r>
        <w:rPr>
          <w:rFonts w:ascii="Calibri" w:hAnsi="Calibri" w:cs="Calibri"/>
          <w:sz w:val="20"/>
          <w:szCs w:val="20"/>
          <w:lang w:val="en-CA"/>
        </w:rPr>
        <w:t xml:space="preserve"> </w:t>
      </w:r>
    </w:p>
    <w:p w14:paraId="4591E4E8" w14:textId="77777777" w:rsidR="00BC088C" w:rsidRPr="00E05C4F" w:rsidRDefault="00BC088C" w:rsidP="00755BF9">
      <w:pPr>
        <w:pStyle w:val="Paragraphedeliste"/>
        <w:tabs>
          <w:tab w:val="left" w:pos="284"/>
        </w:tabs>
        <w:spacing w:before="120" w:after="120"/>
        <w:ind w:left="0"/>
        <w:jc w:val="both"/>
        <w:rPr>
          <w:rFonts w:ascii="Calibri" w:hAnsi="Calibri" w:cs="Calibri"/>
          <w:sz w:val="20"/>
          <w:szCs w:val="20"/>
          <w:lang w:val="en-CA"/>
        </w:rPr>
      </w:pPr>
    </w:p>
    <w:p w14:paraId="5780C368" w14:textId="77777777" w:rsidR="00302BFE" w:rsidRPr="00711332"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E61001">
        <w:rPr>
          <w:rFonts w:ascii="Calibri" w:hAnsi="Calibri"/>
          <w:sz w:val="20"/>
          <w:szCs w:val="20"/>
          <w:u w:val="single"/>
        </w:rPr>
        <w:lastRenderedPageBreak/>
        <w:t>South-South and Triangular Cooperation (</w:t>
      </w:r>
      <w:proofErr w:type="spellStart"/>
      <w:r w:rsidRPr="00E61001">
        <w:rPr>
          <w:rFonts w:ascii="Calibri" w:hAnsi="Calibri"/>
          <w:sz w:val="20"/>
          <w:szCs w:val="20"/>
          <w:u w:val="single"/>
        </w:rPr>
        <w:t>SSTrC</w:t>
      </w:r>
      <w:proofErr w:type="spellEnd"/>
      <w:r w:rsidRPr="00E61001">
        <w:rPr>
          <w:rFonts w:ascii="Calibri" w:hAnsi="Calibri"/>
          <w:sz w:val="20"/>
          <w:szCs w:val="20"/>
          <w:u w:val="single"/>
        </w:rPr>
        <w:t>)</w:t>
      </w:r>
      <w:r w:rsidRPr="00E61001">
        <w:rPr>
          <w:rFonts w:ascii="Calibri" w:hAnsi="Calibri"/>
          <w:sz w:val="20"/>
          <w:szCs w:val="20"/>
        </w:rPr>
        <w:t xml:space="preserve">. </w:t>
      </w:r>
      <w:r w:rsidRPr="00711332">
        <w:rPr>
          <w:rFonts w:ascii="Calibri" w:hAnsi="Calibri" w:cs="Calibri"/>
          <w:sz w:val="20"/>
          <w:szCs w:val="20"/>
          <w:lang w:val="en-CA"/>
        </w:rPr>
        <w:t>The project will promote south-south cooperation with the other countries in the region that are implementing similar initiatives; this will be achieved through exchanges with the Country Offices and UNDP's Regional Service Centre for Africa. Technically qualified staff and groups of experts in the issues addressed by the project from these countries will have many opportunities to exchange experiences and knowledge. Finally, successful experiences will have a prominent place in the lessons learned that would be disseminated to ensure their widespread adoption and replication in other African countries.</w:t>
      </w:r>
    </w:p>
    <w:p w14:paraId="01D5516A"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E61001">
        <w:rPr>
          <w:rFonts w:ascii="Calibri" w:hAnsi="Calibri" w:cs="Calibri"/>
          <w:sz w:val="20"/>
          <w:szCs w:val="20"/>
          <w:u w:val="single"/>
        </w:rPr>
        <w:t xml:space="preserve">Sustainability and </w:t>
      </w:r>
      <w:r w:rsidRPr="00F75F6C">
        <w:rPr>
          <w:rFonts w:ascii="Calibri" w:hAnsi="Calibri" w:cs="Calibri"/>
          <w:sz w:val="20"/>
          <w:szCs w:val="20"/>
          <w:u w:val="single"/>
        </w:rPr>
        <w:t>Scaling Up</w:t>
      </w:r>
      <w:r w:rsidRPr="00E61001">
        <w:rPr>
          <w:rFonts w:ascii="Calibri" w:hAnsi="Calibri" w:cs="Calibri"/>
          <w:sz w:val="20"/>
          <w:szCs w:val="20"/>
          <w:lang w:val="en-CA"/>
        </w:rPr>
        <w:t xml:space="preserve"> </w:t>
      </w:r>
      <w:r w:rsidRPr="00711332">
        <w:rPr>
          <w:rFonts w:ascii="Calibri" w:hAnsi="Calibri" w:cs="Calibri"/>
          <w:sz w:val="20"/>
          <w:szCs w:val="20"/>
          <w:lang w:val="en-CA"/>
        </w:rPr>
        <w:t xml:space="preserve">The environmental, social, and financial aspects of sustainability are closely related and will be addressed through an integrated project design combining </w:t>
      </w:r>
      <w:r>
        <w:rPr>
          <w:rFonts w:ascii="Calibri" w:hAnsi="Calibri" w:cs="Calibri"/>
          <w:sz w:val="20"/>
          <w:szCs w:val="20"/>
          <w:lang w:val="en-CA"/>
        </w:rPr>
        <w:t xml:space="preserve">multi-level </w:t>
      </w:r>
      <w:r w:rsidRPr="00711332">
        <w:rPr>
          <w:rFonts w:ascii="Calibri" w:hAnsi="Calibri" w:cs="Calibri"/>
          <w:sz w:val="20"/>
          <w:szCs w:val="20"/>
          <w:lang w:val="en-CA"/>
        </w:rPr>
        <w:t xml:space="preserve">institutional </w:t>
      </w:r>
      <w:r>
        <w:rPr>
          <w:rFonts w:ascii="Calibri" w:hAnsi="Calibri" w:cs="Calibri"/>
          <w:sz w:val="20"/>
          <w:szCs w:val="20"/>
          <w:lang w:val="en-CA"/>
        </w:rPr>
        <w:t xml:space="preserve">and individual </w:t>
      </w:r>
      <w:r w:rsidRPr="00711332">
        <w:rPr>
          <w:rFonts w:ascii="Calibri" w:hAnsi="Calibri" w:cs="Calibri"/>
          <w:sz w:val="20"/>
          <w:szCs w:val="20"/>
          <w:lang w:val="en-CA"/>
        </w:rPr>
        <w:t xml:space="preserve">capacity-building </w:t>
      </w:r>
      <w:r>
        <w:rPr>
          <w:rFonts w:ascii="Calibri" w:hAnsi="Calibri" w:cs="Calibri"/>
          <w:sz w:val="20"/>
          <w:szCs w:val="20"/>
          <w:lang w:val="en-CA"/>
        </w:rPr>
        <w:t>for the major stakeholders targeted by the project interventions</w:t>
      </w:r>
      <w:r w:rsidRPr="00711332">
        <w:rPr>
          <w:rFonts w:ascii="Calibri" w:hAnsi="Calibri" w:cs="Calibri"/>
          <w:sz w:val="20"/>
          <w:szCs w:val="20"/>
          <w:lang w:val="en-CA"/>
        </w:rPr>
        <w:t xml:space="preserve">. </w:t>
      </w:r>
    </w:p>
    <w:p w14:paraId="6FA100CF" w14:textId="248F9D33" w:rsidR="00302BFE" w:rsidRPr="00D64F48"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6F6155">
        <w:rPr>
          <w:rFonts w:ascii="Calibri" w:hAnsi="Calibri" w:cs="Calibri"/>
          <w:b/>
          <w:sz w:val="20"/>
          <w:szCs w:val="20"/>
          <w:lang w:val="en-CA"/>
        </w:rPr>
        <w:t>Environmental sustainability</w:t>
      </w:r>
      <w:r w:rsidRPr="006F6155">
        <w:rPr>
          <w:rFonts w:ascii="Calibri" w:hAnsi="Calibri" w:cs="Calibri"/>
          <w:sz w:val="20"/>
          <w:szCs w:val="20"/>
          <w:lang w:val="en-CA"/>
        </w:rPr>
        <w:t xml:space="preserve"> will be ensured through strengthening government capacities in land use and biodiversity conservation planning, information management, and monitoring/evaluation tools and practices; through integrating sustainable land management, climate change mitigation and biodiversity conservation principles in landscape-level planning and management of landscape units; through strengthening PA management effectiveness in State and community PAs; and through introducing a set of climate-resilient and sustainable land and resource use practices at producer’s level that will support soil, water, and biodiversity conservation in village and commune lands that surround PAs. The project´s focus on improving sustainable </w:t>
      </w:r>
      <w:proofErr w:type="spellStart"/>
      <w:r w:rsidRPr="006F6155">
        <w:rPr>
          <w:rFonts w:ascii="Calibri" w:hAnsi="Calibri" w:cs="Calibri"/>
          <w:sz w:val="20"/>
          <w:szCs w:val="20"/>
          <w:lang w:val="en-CA"/>
        </w:rPr>
        <w:t>agro</w:t>
      </w:r>
      <w:proofErr w:type="spellEnd"/>
      <w:r w:rsidRPr="006F6155">
        <w:rPr>
          <w:rFonts w:ascii="Calibri" w:hAnsi="Calibri" w:cs="Calibri"/>
          <w:sz w:val="20"/>
          <w:szCs w:val="20"/>
          <w:lang w:val="en-CA"/>
        </w:rPr>
        <w:t>-</w:t>
      </w:r>
      <w:proofErr w:type="spellStart"/>
      <w:r w:rsidRPr="006F6155">
        <w:rPr>
          <w:rFonts w:ascii="Calibri" w:hAnsi="Calibri" w:cs="Calibri"/>
          <w:sz w:val="20"/>
          <w:szCs w:val="20"/>
          <w:lang w:val="en-CA"/>
        </w:rPr>
        <w:t>silvo</w:t>
      </w:r>
      <w:proofErr w:type="spellEnd"/>
      <w:r w:rsidRPr="006F6155">
        <w:rPr>
          <w:rFonts w:ascii="Calibri" w:hAnsi="Calibri" w:cs="Calibri"/>
          <w:sz w:val="20"/>
          <w:szCs w:val="20"/>
          <w:lang w:val="en-CA"/>
        </w:rPr>
        <w:t xml:space="preserve">-pastoral practices with inherent biodiversity and soil and conservation benefits, including organic certification for forest areas where NTFP support the development of value chains, will also contribute to environmental sustainability. </w:t>
      </w:r>
      <w:r w:rsidRPr="00E61001">
        <w:rPr>
          <w:rFonts w:ascii="Calibri" w:hAnsi="Calibri" w:cs="Calibri"/>
          <w:sz w:val="20"/>
          <w:szCs w:val="20"/>
          <w:lang w:val="en-CA"/>
        </w:rPr>
        <w:t xml:space="preserve">The landscape approach adopted by the project will allow tackling jointly all environmental stressors including from local communities whose livelihoods mostly depend on natural resources, smallholder farms, hunting and tourism enterprises, and resource-based enterprises such as agriculture, pastoralism, </w:t>
      </w:r>
      <w:proofErr w:type="gramStart"/>
      <w:r w:rsidRPr="00E61001">
        <w:rPr>
          <w:rFonts w:ascii="Calibri" w:hAnsi="Calibri" w:cs="Calibri"/>
          <w:sz w:val="20"/>
          <w:szCs w:val="20"/>
          <w:lang w:val="en-CA"/>
        </w:rPr>
        <w:t>forestry</w:t>
      </w:r>
      <w:proofErr w:type="gramEnd"/>
      <w:r w:rsidRPr="00E61001">
        <w:rPr>
          <w:rFonts w:ascii="Calibri" w:hAnsi="Calibri" w:cs="Calibri"/>
          <w:sz w:val="20"/>
          <w:szCs w:val="20"/>
          <w:lang w:val="en-CA"/>
        </w:rPr>
        <w:t xml:space="preserve"> and mining which all impose their own set of pressures on land and resources, while generating </w:t>
      </w:r>
      <w:r w:rsidRPr="00E61001">
        <w:rPr>
          <w:rFonts w:ascii="Calibri" w:hAnsi="Calibri"/>
          <w:sz w:val="20"/>
          <w:szCs w:val="20"/>
          <w:lang w:val="en-CA"/>
        </w:rPr>
        <w:t xml:space="preserve">multiple global and local benefits to support the sustainability </w:t>
      </w:r>
      <w:r w:rsidRPr="00D64F48">
        <w:rPr>
          <w:rFonts w:ascii="Calibri" w:hAnsi="Calibri"/>
          <w:sz w:val="20"/>
          <w:szCs w:val="20"/>
          <w:lang w:val="en-CA"/>
        </w:rPr>
        <w:t>cycle.</w:t>
      </w:r>
      <w:r w:rsidR="00D92E82" w:rsidRPr="00D64F48">
        <w:rPr>
          <w:rFonts w:ascii="Calibri" w:hAnsi="Calibri"/>
          <w:sz w:val="20"/>
          <w:szCs w:val="20"/>
          <w:lang w:val="en-CA"/>
        </w:rPr>
        <w:t xml:space="preserve"> </w:t>
      </w:r>
      <w:r w:rsidR="00D92E82" w:rsidRPr="00A63E29">
        <w:rPr>
          <w:rFonts w:ascii="Calibri" w:hAnsi="Calibri"/>
          <w:sz w:val="20"/>
          <w:szCs w:val="20"/>
          <w:lang w:val="en-CA"/>
        </w:rPr>
        <w:t>The focus on conserving and rehabilitating healthy ecosystems at the landscape scale is also intended to reduce the risk of future zoonoses by limiting uncontrolled encroachment of human activities into natural habitat, habitat fragmentation, and the uncontrolled consumption of wild meat.</w:t>
      </w:r>
      <w:r w:rsidR="00D92E82" w:rsidRPr="00D64F48">
        <w:rPr>
          <w:rFonts w:ascii="Calibri" w:hAnsi="Calibri"/>
          <w:sz w:val="20"/>
          <w:szCs w:val="20"/>
          <w:lang w:val="en-CA"/>
        </w:rPr>
        <w:t xml:space="preserve"> </w:t>
      </w:r>
    </w:p>
    <w:p w14:paraId="0EA8F2FA" w14:textId="54FF6450" w:rsidR="00302BFE" w:rsidRPr="00A3352F"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E61001">
        <w:rPr>
          <w:rFonts w:ascii="Calibri" w:hAnsi="Calibri" w:cs="Calibri"/>
          <w:b/>
          <w:sz w:val="20"/>
          <w:szCs w:val="20"/>
          <w:lang w:val="en-CA"/>
        </w:rPr>
        <w:t>Social sustainability</w:t>
      </w:r>
      <w:r w:rsidRPr="00E61001">
        <w:rPr>
          <w:rFonts w:ascii="Calibri" w:hAnsi="Calibri" w:cs="Calibri"/>
          <w:sz w:val="20"/>
          <w:szCs w:val="20"/>
          <w:lang w:val="en-CA"/>
        </w:rPr>
        <w:t xml:space="preserve"> will be pursued through </w:t>
      </w:r>
      <w:r>
        <w:rPr>
          <w:rFonts w:ascii="Calibri" w:hAnsi="Calibri" w:cs="Calibri"/>
          <w:sz w:val="20"/>
          <w:szCs w:val="20"/>
          <w:lang w:val="en-CA"/>
        </w:rPr>
        <w:t xml:space="preserve">implementing effective </w:t>
      </w:r>
      <w:r w:rsidRPr="00E61001">
        <w:rPr>
          <w:rFonts w:ascii="Calibri" w:hAnsi="Calibri"/>
          <w:sz w:val="20"/>
          <w:szCs w:val="20"/>
          <w:lang w:val="en-CA"/>
        </w:rPr>
        <w:t xml:space="preserve">participatory processes </w:t>
      </w:r>
      <w:r w:rsidRPr="00E61001">
        <w:rPr>
          <w:rFonts w:ascii="Calibri" w:hAnsi="Calibri" w:cs="Calibri"/>
          <w:sz w:val="20"/>
          <w:szCs w:val="20"/>
          <w:lang w:val="en-CA"/>
        </w:rPr>
        <w:t xml:space="preserve">with a gender focus </w:t>
      </w:r>
      <w:r w:rsidRPr="00E61001">
        <w:rPr>
          <w:rFonts w:ascii="Calibri" w:hAnsi="Calibri"/>
          <w:sz w:val="20"/>
          <w:szCs w:val="20"/>
          <w:lang w:val="en-CA"/>
        </w:rPr>
        <w:t xml:space="preserve">involving local users, technical </w:t>
      </w:r>
      <w:proofErr w:type="gramStart"/>
      <w:r w:rsidRPr="00E61001">
        <w:rPr>
          <w:rFonts w:ascii="Calibri" w:hAnsi="Calibri"/>
          <w:sz w:val="20"/>
          <w:szCs w:val="20"/>
          <w:lang w:val="en-CA"/>
        </w:rPr>
        <w:t>services</w:t>
      </w:r>
      <w:proofErr w:type="gramEnd"/>
      <w:r w:rsidRPr="00E61001">
        <w:rPr>
          <w:rFonts w:ascii="Calibri" w:hAnsi="Calibri"/>
          <w:sz w:val="20"/>
          <w:szCs w:val="20"/>
          <w:lang w:val="en-CA"/>
        </w:rPr>
        <w:t xml:space="preserve"> and authorities at all levels, for assessments, negotiations, decision-making, implementation, monitoring and evaluations, including </w:t>
      </w:r>
      <w:r w:rsidRPr="00E61001">
        <w:rPr>
          <w:rFonts w:ascii="Calibri" w:hAnsi="Calibri" w:cs="Calibri"/>
          <w:sz w:val="20"/>
          <w:szCs w:val="20"/>
          <w:lang w:val="en-CA"/>
        </w:rPr>
        <w:t xml:space="preserve">extensive involvement of stakeholders at all levels for the participatory Environmental Land Use Planning process. </w:t>
      </w:r>
      <w:r w:rsidRPr="00A3352F">
        <w:rPr>
          <w:rFonts w:ascii="Calibri" w:hAnsi="Calibri" w:cs="Calibri"/>
          <w:sz w:val="20"/>
          <w:szCs w:val="20"/>
          <w:lang w:val="en-CA"/>
        </w:rPr>
        <w:t xml:space="preserve">It is expected that local actors will have better ownership of the decisions and planning made through </w:t>
      </w:r>
      <w:r>
        <w:rPr>
          <w:rFonts w:ascii="Calibri" w:hAnsi="Calibri" w:cs="Calibri"/>
          <w:sz w:val="20"/>
          <w:szCs w:val="20"/>
          <w:lang w:val="en-CA"/>
        </w:rPr>
        <w:t xml:space="preserve">a transparent and </w:t>
      </w:r>
      <w:r w:rsidRPr="00A3352F">
        <w:rPr>
          <w:rFonts w:ascii="Calibri" w:hAnsi="Calibri" w:cs="Calibri"/>
          <w:sz w:val="20"/>
          <w:szCs w:val="20"/>
          <w:lang w:val="en-CA"/>
        </w:rPr>
        <w:t>participatory approach.</w:t>
      </w:r>
      <w:r>
        <w:rPr>
          <w:rFonts w:ascii="Calibri" w:hAnsi="Calibri" w:cs="Calibri"/>
          <w:sz w:val="20"/>
          <w:szCs w:val="20"/>
          <w:lang w:val="en-CA"/>
        </w:rPr>
        <w:t xml:space="preserve"> </w:t>
      </w:r>
      <w:r w:rsidRPr="009E2DD5">
        <w:rPr>
          <w:rFonts w:ascii="Calibri" w:hAnsi="Calibri"/>
          <w:sz w:val="20"/>
          <w:szCs w:val="20"/>
          <w:lang w:val="en-CA"/>
        </w:rPr>
        <w:t>Greater involvement of local communities</w:t>
      </w:r>
      <w:r w:rsidR="00DF3306">
        <w:rPr>
          <w:rFonts w:ascii="Calibri" w:hAnsi="Calibri"/>
          <w:sz w:val="20"/>
          <w:szCs w:val="20"/>
          <w:lang w:val="en-CA"/>
        </w:rPr>
        <w:t xml:space="preserve"> (including Indigenous Peoples and vulnerable groups)</w:t>
      </w:r>
      <w:r w:rsidRPr="009E2DD5">
        <w:rPr>
          <w:rFonts w:ascii="Calibri" w:hAnsi="Calibri"/>
          <w:sz w:val="20"/>
          <w:szCs w:val="20"/>
          <w:lang w:val="en-CA"/>
        </w:rPr>
        <w:t xml:space="preserve"> and equity of revenue and benefit sharing from biodiversity conservation and sustainable management of natural resources and ecosystem services will be cross-cutting elements of interventions under each component. </w:t>
      </w:r>
    </w:p>
    <w:p w14:paraId="027E08E9"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E61001">
        <w:rPr>
          <w:rFonts w:ascii="Calibri" w:hAnsi="Calibri" w:cs="Calibri"/>
          <w:sz w:val="20"/>
          <w:szCs w:val="20"/>
          <w:lang w:val="en-CA"/>
        </w:rPr>
        <w:t xml:space="preserve">Namely, for improving PA management effectiveness, the project will </w:t>
      </w:r>
      <w:r w:rsidRPr="009E2DD5">
        <w:rPr>
          <w:rFonts w:ascii="Calibri" w:hAnsi="Calibri" w:cs="Calibri"/>
          <w:sz w:val="20"/>
          <w:szCs w:val="20"/>
          <w:lang w:val="en-CA"/>
        </w:rPr>
        <w:t xml:space="preserve">implement a collaborative management approach through developing tools, </w:t>
      </w:r>
      <w:proofErr w:type="gramStart"/>
      <w:r w:rsidRPr="009E2DD5">
        <w:rPr>
          <w:rFonts w:ascii="Calibri" w:hAnsi="Calibri" w:cs="Calibri"/>
          <w:sz w:val="20"/>
          <w:szCs w:val="20"/>
          <w:lang w:val="en-CA"/>
        </w:rPr>
        <w:t>processes</w:t>
      </w:r>
      <w:proofErr w:type="gramEnd"/>
      <w:r w:rsidRPr="009E2DD5">
        <w:rPr>
          <w:rFonts w:ascii="Calibri" w:hAnsi="Calibri" w:cs="Calibri"/>
          <w:sz w:val="20"/>
          <w:szCs w:val="20"/>
          <w:lang w:val="en-CA"/>
        </w:rPr>
        <w:t xml:space="preserve"> and capacities for technical services as well as for local communities to </w:t>
      </w:r>
      <w:r>
        <w:rPr>
          <w:rFonts w:ascii="Calibri" w:hAnsi="Calibri" w:cs="Calibri"/>
          <w:sz w:val="20"/>
          <w:szCs w:val="20"/>
          <w:lang w:val="en-CA"/>
        </w:rPr>
        <w:t xml:space="preserve">build trust between PA institutions and adjacent communities and to </w:t>
      </w:r>
      <w:r w:rsidRPr="009E2DD5">
        <w:rPr>
          <w:rFonts w:ascii="Calibri" w:hAnsi="Calibri" w:cs="Calibri"/>
          <w:sz w:val="20"/>
          <w:szCs w:val="20"/>
          <w:lang w:val="en-CA"/>
        </w:rPr>
        <w:t xml:space="preserve">ensure their effective involvement and enhance their perception of the benefits resulting from the ecosystem services provided by PAs. </w:t>
      </w:r>
      <w:r>
        <w:rPr>
          <w:rFonts w:ascii="Calibri" w:hAnsi="Calibri" w:cs="Calibri"/>
          <w:sz w:val="20"/>
          <w:szCs w:val="20"/>
          <w:lang w:val="en-CA"/>
        </w:rPr>
        <w:t>The project will conduct a prior information process</w:t>
      </w:r>
      <w:r w:rsidRPr="00A3352F">
        <w:rPr>
          <w:rFonts w:ascii="Calibri" w:hAnsi="Calibri" w:cs="Calibri"/>
          <w:sz w:val="20"/>
          <w:szCs w:val="20"/>
          <w:lang w:val="en-CA"/>
        </w:rPr>
        <w:t xml:space="preserve"> </w:t>
      </w:r>
      <w:r>
        <w:rPr>
          <w:rFonts w:ascii="Calibri" w:hAnsi="Calibri" w:cs="Calibri"/>
          <w:sz w:val="20"/>
          <w:szCs w:val="20"/>
          <w:lang w:val="en-CA"/>
        </w:rPr>
        <w:t xml:space="preserve">with adjacent communities </w:t>
      </w:r>
      <w:proofErr w:type="gramStart"/>
      <w:r>
        <w:rPr>
          <w:rFonts w:ascii="Calibri" w:hAnsi="Calibri" w:cs="Calibri"/>
          <w:sz w:val="20"/>
          <w:szCs w:val="20"/>
          <w:lang w:val="en-CA"/>
        </w:rPr>
        <w:t>in order to</w:t>
      </w:r>
      <w:proofErr w:type="gramEnd"/>
      <w:r>
        <w:rPr>
          <w:rFonts w:ascii="Calibri" w:hAnsi="Calibri" w:cs="Calibri"/>
          <w:sz w:val="20"/>
          <w:szCs w:val="20"/>
          <w:lang w:val="en-CA"/>
        </w:rPr>
        <w:t xml:space="preserve"> obtain their voluntary consent to get involved in the project activities to establish collaborative management of PAs. </w:t>
      </w:r>
    </w:p>
    <w:p w14:paraId="38288CF1" w14:textId="64B82C19" w:rsidR="00302BFE" w:rsidRPr="00983884"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9E2DD5">
        <w:rPr>
          <w:rFonts w:ascii="Calibri" w:hAnsi="Calibri" w:cs="Calibri"/>
          <w:sz w:val="20"/>
          <w:szCs w:val="20"/>
          <w:lang w:val="en-CA"/>
        </w:rPr>
        <w:t xml:space="preserve">Furthermore, social sustainability will be improved through reviewing and improving the management and governance arrangements for the various land and resource use units within the PONASI landscape (including pastoral, </w:t>
      </w:r>
      <w:proofErr w:type="gramStart"/>
      <w:r w:rsidRPr="009E2DD5">
        <w:rPr>
          <w:rFonts w:ascii="Calibri" w:hAnsi="Calibri" w:cs="Calibri"/>
          <w:sz w:val="20"/>
          <w:szCs w:val="20"/>
          <w:lang w:val="en-CA"/>
        </w:rPr>
        <w:t>forest</w:t>
      </w:r>
      <w:proofErr w:type="gramEnd"/>
      <w:r w:rsidRPr="009E2DD5">
        <w:rPr>
          <w:rFonts w:ascii="Calibri" w:hAnsi="Calibri" w:cs="Calibri"/>
          <w:sz w:val="20"/>
          <w:szCs w:val="20"/>
          <w:lang w:val="en-CA"/>
        </w:rPr>
        <w:t xml:space="preserve"> and agricultural lands) to ensure a fair and equitable sharing of the benefits </w:t>
      </w:r>
      <w:r w:rsidRPr="009E2DD5">
        <w:rPr>
          <w:rFonts w:ascii="Calibri" w:hAnsi="Calibri"/>
          <w:sz w:val="20"/>
          <w:szCs w:val="20"/>
          <w:lang w:val="en-CA"/>
        </w:rPr>
        <w:t>generated among</w:t>
      </w:r>
      <w:r w:rsidRPr="009E2DD5">
        <w:rPr>
          <w:rFonts w:ascii="Calibri" w:hAnsi="Calibri" w:cs="Calibri"/>
          <w:sz w:val="20"/>
          <w:szCs w:val="20"/>
          <w:lang w:val="en-CA"/>
        </w:rPr>
        <w:t xml:space="preserve"> all stakeholders, </w:t>
      </w:r>
      <w:r w:rsidRPr="009E2DD5">
        <w:rPr>
          <w:rFonts w:ascii="Calibri" w:hAnsi="Calibri"/>
          <w:sz w:val="20"/>
          <w:szCs w:val="20"/>
          <w:lang w:val="en-CA"/>
        </w:rPr>
        <w:t>including local communities,</w:t>
      </w:r>
      <w:r w:rsidRPr="009E2DD5">
        <w:rPr>
          <w:rFonts w:ascii="Calibri" w:hAnsi="Calibri" w:cs="Calibri"/>
          <w:sz w:val="20"/>
          <w:szCs w:val="20"/>
          <w:lang w:val="en-CA"/>
        </w:rPr>
        <w:t xml:space="preserve"> which will serve as an incentive to adopt and maintain sustainable land and resource use practices. Sustainability of the training programmes will be supported through the systematic capturing, analysis, and dissemination of the technical documentation, experiences and </w:t>
      </w:r>
      <w:r w:rsidRPr="00983884">
        <w:rPr>
          <w:rFonts w:ascii="Calibri" w:hAnsi="Calibri" w:cs="Calibri"/>
          <w:sz w:val="20"/>
          <w:szCs w:val="20"/>
          <w:lang w:val="en-CA"/>
        </w:rPr>
        <w:t xml:space="preserve">learnings, and integration of training material into the curricula of training institutions. </w:t>
      </w:r>
    </w:p>
    <w:p w14:paraId="0880AF86" w14:textId="74CF7D45" w:rsidR="00DF3306" w:rsidRPr="009E2DD5" w:rsidRDefault="00DF3306" w:rsidP="00755BF9">
      <w:pPr>
        <w:pStyle w:val="Paragraphedeliste"/>
        <w:tabs>
          <w:tab w:val="left" w:pos="284"/>
        </w:tabs>
        <w:spacing w:before="120" w:after="120"/>
        <w:ind w:left="0"/>
        <w:jc w:val="both"/>
        <w:rPr>
          <w:rFonts w:ascii="Calibri" w:hAnsi="Calibri" w:cs="Calibri"/>
          <w:sz w:val="20"/>
          <w:szCs w:val="20"/>
          <w:lang w:val="en-CA"/>
        </w:rPr>
      </w:pPr>
      <w:r w:rsidRPr="00983884">
        <w:rPr>
          <w:rFonts w:ascii="Calibri" w:hAnsi="Calibri" w:cs="Calibri"/>
          <w:sz w:val="20"/>
          <w:szCs w:val="20"/>
          <w:lang w:val="en-CA"/>
        </w:rPr>
        <w:t xml:space="preserve">All the aspects related to Environmental and Social sustainability have been further assessed through the SESP (in attachment to the </w:t>
      </w:r>
      <w:proofErr w:type="spellStart"/>
      <w:r w:rsidRPr="00983884">
        <w:rPr>
          <w:rFonts w:ascii="Calibri" w:hAnsi="Calibri" w:cs="Calibri"/>
          <w:sz w:val="20"/>
          <w:szCs w:val="20"/>
          <w:lang w:val="en-CA"/>
        </w:rPr>
        <w:t>ProDoc</w:t>
      </w:r>
      <w:proofErr w:type="spellEnd"/>
      <w:r w:rsidRPr="00983884">
        <w:rPr>
          <w:rFonts w:ascii="Calibri" w:hAnsi="Calibri" w:cs="Calibri"/>
          <w:sz w:val="20"/>
          <w:szCs w:val="20"/>
          <w:lang w:val="en-CA"/>
        </w:rPr>
        <w:t xml:space="preserve">) and management measures for social and environmental impacts have been identified in the SESP and in the ESMF (attached to the </w:t>
      </w:r>
      <w:proofErr w:type="spellStart"/>
      <w:r w:rsidRPr="00983884">
        <w:rPr>
          <w:rFonts w:ascii="Calibri" w:hAnsi="Calibri" w:cs="Calibri"/>
          <w:sz w:val="20"/>
          <w:szCs w:val="20"/>
          <w:lang w:val="en-CA"/>
        </w:rPr>
        <w:t>ProDoc</w:t>
      </w:r>
      <w:proofErr w:type="spellEnd"/>
      <w:r w:rsidRPr="00983884">
        <w:rPr>
          <w:rFonts w:ascii="Calibri" w:hAnsi="Calibri" w:cs="Calibri"/>
          <w:sz w:val="20"/>
          <w:szCs w:val="20"/>
          <w:lang w:val="en-CA"/>
        </w:rPr>
        <w:t>). These management measures will strengthen the social and environmental sustainability of the project.</w:t>
      </w:r>
    </w:p>
    <w:p w14:paraId="06B3B92C"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9E2DD5">
        <w:rPr>
          <w:rFonts w:ascii="Calibri" w:hAnsi="Calibri" w:cs="Calibri"/>
          <w:b/>
          <w:sz w:val="20"/>
          <w:szCs w:val="20"/>
          <w:lang w:val="en-CA"/>
        </w:rPr>
        <w:t>Financial sustainability</w:t>
      </w:r>
      <w:r w:rsidRPr="00286184">
        <w:rPr>
          <w:rFonts w:ascii="Calibri" w:hAnsi="Calibri" w:cs="Calibri"/>
          <w:sz w:val="20"/>
          <w:szCs w:val="20"/>
          <w:lang w:val="en-CA"/>
        </w:rPr>
        <w:t xml:space="preserve"> will be ensured through establishing a collaborative governance platform involving regional authorities who are responsible for mobilizing, </w:t>
      </w:r>
      <w:proofErr w:type="gramStart"/>
      <w:r w:rsidRPr="00286184">
        <w:rPr>
          <w:rFonts w:ascii="Calibri" w:hAnsi="Calibri" w:cs="Calibri"/>
          <w:sz w:val="20"/>
          <w:szCs w:val="20"/>
          <w:lang w:val="en-CA"/>
        </w:rPr>
        <w:t>channeling</w:t>
      </w:r>
      <w:proofErr w:type="gramEnd"/>
      <w:r w:rsidRPr="00286184">
        <w:rPr>
          <w:rFonts w:ascii="Calibri" w:hAnsi="Calibri" w:cs="Calibri"/>
          <w:sz w:val="20"/>
          <w:szCs w:val="20"/>
          <w:lang w:val="en-CA"/>
        </w:rPr>
        <w:t xml:space="preserve"> and investing financial resources allocated by the Government and other donors, and who will participate in the development of a business plan for the long-term implementation of the integrated Management Master Plan for the PONASI Landscape.</w:t>
      </w:r>
      <w:r w:rsidRPr="00E61001">
        <w:rPr>
          <w:rFonts w:ascii="Calibri" w:hAnsi="Calibri"/>
          <w:sz w:val="20"/>
          <w:szCs w:val="20"/>
          <w:lang w:val="en-CA"/>
        </w:rPr>
        <w:t xml:space="preserve"> </w:t>
      </w:r>
      <w:r w:rsidRPr="00286184">
        <w:rPr>
          <w:rFonts w:ascii="Calibri" w:hAnsi="Calibri"/>
          <w:sz w:val="20"/>
          <w:szCs w:val="20"/>
          <w:lang w:val="en-CA"/>
        </w:rPr>
        <w:t xml:space="preserve">The effective mobilization of financial resources from governments at all levels (national, regional and commune) and from development partners will ensure the effectiveness and sustainability of the planning process and of the implementation of the landscape management master plan. Financial sustainability will also be improved through the development of a business plan for the PONASI PA system, as part of the PA management and development plans. </w:t>
      </w:r>
      <w:r w:rsidRPr="00B141D7">
        <w:rPr>
          <w:rFonts w:ascii="Calibri" w:hAnsi="Calibri" w:cs="Calibri"/>
          <w:sz w:val="20"/>
          <w:szCs w:val="20"/>
          <w:lang w:val="en-CA"/>
        </w:rPr>
        <w:t xml:space="preserve">It will be essential that the various land and resource management regimes within the landscape generate sufficient benefits at all levels for local communities to perceive tangible, short- and medium-term interests resulting from the adoption of improved and sustainable practices, and for the communal and regional authorities to agree to allocate the necessary resources for the planning and </w:t>
      </w:r>
      <w:r w:rsidRPr="00B141D7">
        <w:rPr>
          <w:rFonts w:ascii="Calibri" w:hAnsi="Calibri" w:cs="Calibri"/>
          <w:sz w:val="20"/>
          <w:szCs w:val="20"/>
          <w:lang w:val="en-CA"/>
        </w:rPr>
        <w:lastRenderedPageBreak/>
        <w:t>implementation of management prescriptions as well as the technical staff required to supervise and monitor local actors in the implementation of management plans.</w:t>
      </w:r>
    </w:p>
    <w:p w14:paraId="37D37945" w14:textId="77777777" w:rsidR="00302BFE" w:rsidRPr="00F75F6C" w:rsidRDefault="00302BFE" w:rsidP="00C46720">
      <w:pPr>
        <w:pStyle w:val="Paragraphedeliste"/>
        <w:numPr>
          <w:ilvl w:val="0"/>
          <w:numId w:val="14"/>
        </w:numPr>
        <w:tabs>
          <w:tab w:val="left" w:pos="284"/>
        </w:tabs>
        <w:spacing w:before="120" w:after="360"/>
        <w:ind w:left="0" w:firstLine="0"/>
        <w:jc w:val="both"/>
        <w:rPr>
          <w:rFonts w:ascii="Calibri" w:hAnsi="Calibri" w:cs="Calibri"/>
          <w:sz w:val="20"/>
          <w:szCs w:val="20"/>
          <w:lang w:val="en-CA"/>
        </w:rPr>
      </w:pPr>
      <w:r w:rsidRPr="00F75F6C">
        <w:rPr>
          <w:rFonts w:ascii="Calibri" w:hAnsi="Calibri" w:cs="Calibri"/>
          <w:b/>
          <w:sz w:val="20"/>
          <w:szCs w:val="20"/>
          <w:lang w:val="en-CA"/>
        </w:rPr>
        <w:t>Scaling up</w:t>
      </w:r>
      <w:r w:rsidRPr="00F75F6C">
        <w:rPr>
          <w:rFonts w:ascii="Calibri" w:hAnsi="Calibri" w:cs="Calibri"/>
          <w:sz w:val="20"/>
          <w:szCs w:val="20"/>
          <w:lang w:val="en-CA"/>
        </w:rPr>
        <w:t xml:space="preserve">. The project includes all the elements necessary for scaling-up its outputs and outcomes, first within the PONASI landscape </w:t>
      </w:r>
      <w:proofErr w:type="gramStart"/>
      <w:r w:rsidRPr="00F75F6C">
        <w:rPr>
          <w:rFonts w:ascii="Calibri" w:hAnsi="Calibri" w:cs="Calibri"/>
          <w:sz w:val="20"/>
          <w:szCs w:val="20"/>
          <w:lang w:val="en-CA"/>
        </w:rPr>
        <w:t>and also</w:t>
      </w:r>
      <w:proofErr w:type="gramEnd"/>
      <w:r w:rsidRPr="00F75F6C">
        <w:rPr>
          <w:rFonts w:ascii="Calibri" w:hAnsi="Calibri" w:cs="Calibri"/>
          <w:sz w:val="20"/>
          <w:szCs w:val="20"/>
          <w:lang w:val="en-CA"/>
        </w:rPr>
        <w:t xml:space="preserve"> at the national level. Replication elements include i) developing a common vision shared by the landscape stakeholders at all levels (output 1.1), including actors who will implement the master plan at local levels, technical services within local authorities (communes and regions), and national institutions, ii) involving all actors in decision-making, planning, monitoring, evaluating and learning, iii) building capacities at all levels to ensure effective participation and implementation of recommended solutions by all stakeholders, including women, iv) strengthening capacities of the technical services and setting up demonstration sites to provide support and supervision to new stakeholders outside pilot sites, and </w:t>
      </w:r>
      <w:r w:rsidR="00A93827">
        <w:rPr>
          <w:rFonts w:ascii="Calibri" w:hAnsi="Calibri" w:cs="Calibri"/>
          <w:sz w:val="20"/>
          <w:szCs w:val="20"/>
          <w:lang w:val="en-CA"/>
        </w:rPr>
        <w:t xml:space="preserve">v) </w:t>
      </w:r>
      <w:r w:rsidRPr="00F75F6C">
        <w:rPr>
          <w:rFonts w:ascii="Calibri" w:hAnsi="Calibri" w:cs="Calibri"/>
          <w:sz w:val="20"/>
          <w:szCs w:val="20"/>
          <w:lang w:val="en-CA"/>
        </w:rPr>
        <w:t xml:space="preserve">collecting and managing knowledge throughout the planning and implementation stages to use it for replication in other sites. The pilot sites for the interventions of </w:t>
      </w:r>
      <w:proofErr w:type="gramStart"/>
      <w:r w:rsidRPr="00F75F6C">
        <w:rPr>
          <w:rFonts w:ascii="Calibri" w:hAnsi="Calibri" w:cs="Calibri"/>
          <w:sz w:val="20"/>
          <w:szCs w:val="20"/>
          <w:lang w:val="en-CA"/>
        </w:rPr>
        <w:t>component</w:t>
      </w:r>
      <w:proofErr w:type="gramEnd"/>
      <w:r w:rsidRPr="00F75F6C">
        <w:rPr>
          <w:rFonts w:ascii="Calibri" w:hAnsi="Calibri" w:cs="Calibri"/>
          <w:sz w:val="20"/>
          <w:szCs w:val="20"/>
          <w:lang w:val="en-CA"/>
        </w:rPr>
        <w:t xml:space="preserve"> 3 and 4 were identified with the participation of all stakeholders on the basis of the predefined criteria (see </w:t>
      </w:r>
      <w:r w:rsidR="00A93827">
        <w:rPr>
          <w:rFonts w:ascii="Calibri" w:hAnsi="Calibri" w:cs="Calibri"/>
          <w:sz w:val="20"/>
          <w:szCs w:val="20"/>
          <w:lang w:val="en-CA"/>
        </w:rPr>
        <w:t>A</w:t>
      </w:r>
      <w:r w:rsidRPr="00A93827">
        <w:rPr>
          <w:rFonts w:ascii="Calibri" w:hAnsi="Calibri" w:cs="Calibri"/>
          <w:sz w:val="20"/>
          <w:szCs w:val="20"/>
          <w:lang w:val="en-CA"/>
        </w:rPr>
        <w:t xml:space="preserve">nnex </w:t>
      </w:r>
      <w:r w:rsidR="009523FE" w:rsidRPr="00A93827">
        <w:rPr>
          <w:rFonts w:ascii="Calibri" w:hAnsi="Calibri" w:cs="Calibri"/>
          <w:sz w:val="20"/>
          <w:szCs w:val="20"/>
          <w:lang w:val="en-CA"/>
        </w:rPr>
        <w:t>I</w:t>
      </w:r>
      <w:r w:rsidRPr="00F75F6C">
        <w:rPr>
          <w:rFonts w:ascii="Calibri" w:hAnsi="Calibri" w:cs="Calibri"/>
          <w:sz w:val="20"/>
          <w:szCs w:val="20"/>
          <w:lang w:val="en-CA"/>
        </w:rPr>
        <w:t xml:space="preserve"> for details) to ensure their representativeness in order to scale up the effective practices developed within these sites. The fourth component, especially output 4.2 which focuses on collecting, </w:t>
      </w:r>
      <w:proofErr w:type="gramStart"/>
      <w:r w:rsidRPr="00F75F6C">
        <w:rPr>
          <w:rFonts w:ascii="Calibri" w:hAnsi="Calibri" w:cs="Calibri"/>
          <w:sz w:val="20"/>
          <w:szCs w:val="20"/>
          <w:lang w:val="en-CA"/>
        </w:rPr>
        <w:t>managing</w:t>
      </w:r>
      <w:proofErr w:type="gramEnd"/>
      <w:r w:rsidRPr="00F75F6C">
        <w:rPr>
          <w:rFonts w:ascii="Calibri" w:hAnsi="Calibri" w:cs="Calibri"/>
          <w:sz w:val="20"/>
          <w:szCs w:val="20"/>
          <w:lang w:val="en-CA"/>
        </w:rPr>
        <w:t xml:space="preserve"> and disseminating knowledge in support of the conservation of BD and ecosystem services in productive landscapes through the monitoring systems implemented under the other project components provides the lever that enable the project to expand and replicate interventions and impacts across the landscape, based on learning from pilot sites and dissemination at landscape and country level. </w:t>
      </w:r>
    </w:p>
    <w:p w14:paraId="46E00CF4" w14:textId="77777777" w:rsidR="00302BFE" w:rsidRPr="008644B7" w:rsidRDefault="00302BFE" w:rsidP="00302BFE">
      <w:pPr>
        <w:pStyle w:val="Titre1"/>
        <w:spacing w:before="0" w:after="0"/>
        <w:rPr>
          <w:rFonts w:ascii="Calibri" w:hAnsi="Calibri"/>
          <w:szCs w:val="28"/>
        </w:rPr>
      </w:pPr>
      <w:bookmarkStart w:id="20" w:name="_Toc9961792"/>
      <w:bookmarkStart w:id="21" w:name="_Toc207800912"/>
      <w:r>
        <w:rPr>
          <w:rFonts w:ascii="Calibri" w:hAnsi="Calibri"/>
          <w:szCs w:val="28"/>
        </w:rPr>
        <w:t>Project Management</w:t>
      </w:r>
      <w:bookmarkEnd w:id="20"/>
    </w:p>
    <w:p w14:paraId="1C5DD205"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FD05B2">
        <w:rPr>
          <w:rFonts w:ascii="Calibri" w:hAnsi="Calibri" w:cs="Arial"/>
          <w:noProof/>
          <w:sz w:val="20"/>
          <w:szCs w:val="20"/>
          <w:u w:val="single"/>
          <w:lang w:eastAsia="zh-CN"/>
        </w:rPr>
        <w:t>Cost efficiency and effectiveness</w:t>
      </w:r>
      <w:r w:rsidRPr="00FD05B2">
        <w:rPr>
          <w:rFonts w:ascii="Calibri" w:hAnsi="Calibri" w:cs="Arial"/>
          <w:i/>
          <w:noProof/>
          <w:sz w:val="20"/>
          <w:szCs w:val="20"/>
          <w:lang w:eastAsia="zh-CN"/>
        </w:rPr>
        <w:t xml:space="preserve">: </w:t>
      </w:r>
      <w:r w:rsidRPr="00FD05B2">
        <w:rPr>
          <w:rFonts w:ascii="Calibri" w:hAnsi="Calibri" w:cs="Calibri"/>
          <w:sz w:val="20"/>
          <w:szCs w:val="20"/>
        </w:rPr>
        <w:t xml:space="preserve">Cost efficiency of the project will be achieved through various means, including close </w:t>
      </w:r>
      <w:r w:rsidRPr="00D61C93">
        <w:rPr>
          <w:rFonts w:ascii="Calibri" w:hAnsi="Calibri" w:cs="Calibri"/>
          <w:sz w:val="20"/>
          <w:szCs w:val="20"/>
        </w:rPr>
        <w:t xml:space="preserve">collaboration and partnerships with ongoing initiatives in the PONASI landscape. These partnerships are presented in section IV. In addition, </w:t>
      </w:r>
      <w:r w:rsidR="0057587F" w:rsidRPr="00D61C93">
        <w:rPr>
          <w:rFonts w:ascii="Calibri" w:hAnsi="Calibri" w:cs="Calibri"/>
          <w:sz w:val="20"/>
          <w:szCs w:val="20"/>
        </w:rPr>
        <w:t>baseline</w:t>
      </w:r>
      <w:r w:rsidRPr="00D61C93">
        <w:rPr>
          <w:rFonts w:ascii="Calibri" w:hAnsi="Calibri" w:cs="Calibri"/>
          <w:sz w:val="20"/>
          <w:szCs w:val="20"/>
        </w:rPr>
        <w:t xml:space="preserve"> co-financing has been secured from the Government of Burkina Faso and development partners, which will increase the cost efficiency and impact of the project.</w:t>
      </w:r>
    </w:p>
    <w:p w14:paraId="564EDA70"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D61C93">
        <w:rPr>
          <w:rFonts w:ascii="Calibri" w:hAnsi="Calibri"/>
          <w:sz w:val="20"/>
          <w:szCs w:val="20"/>
          <w:lang w:val="en-CA"/>
        </w:rPr>
        <w:t xml:space="preserve">For components 1, 2 and 3, the project will build on the main achievements of the PONASI project financed by the European Union relating to i) the establishment of a co-governance mechanism for the PONASI complex involving village communities, public </w:t>
      </w:r>
      <w:proofErr w:type="gramStart"/>
      <w:r w:rsidRPr="00D61C93">
        <w:rPr>
          <w:rFonts w:ascii="Calibri" w:hAnsi="Calibri"/>
          <w:sz w:val="20"/>
          <w:szCs w:val="20"/>
          <w:lang w:val="en-CA"/>
        </w:rPr>
        <w:t>authorities</w:t>
      </w:r>
      <w:proofErr w:type="gramEnd"/>
      <w:r w:rsidRPr="00D61C93">
        <w:rPr>
          <w:rFonts w:ascii="Calibri" w:hAnsi="Calibri"/>
          <w:sz w:val="20"/>
          <w:szCs w:val="20"/>
          <w:lang w:val="en-CA"/>
        </w:rPr>
        <w:t xml:space="preserve"> and private operators, and ii) the development of the complex's natural resources to contribute to its economic viability. Although the project has not been able to set up a functional co-governance system for the PONASI complex involving village communities, public authorities and private operators, village general assemblies held in eighty-eight (88) villages bordering the Kaboré </w:t>
      </w:r>
      <w:proofErr w:type="spellStart"/>
      <w:r w:rsidRPr="00D61C93">
        <w:rPr>
          <w:rFonts w:ascii="Calibri" w:hAnsi="Calibri"/>
          <w:sz w:val="20"/>
          <w:szCs w:val="20"/>
          <w:lang w:val="en-CA"/>
        </w:rPr>
        <w:t>Tambi</w:t>
      </w:r>
      <w:proofErr w:type="spellEnd"/>
      <w:r w:rsidRPr="00D61C93">
        <w:rPr>
          <w:rFonts w:ascii="Calibri" w:hAnsi="Calibri"/>
          <w:sz w:val="20"/>
          <w:szCs w:val="20"/>
          <w:lang w:val="en-CA"/>
        </w:rPr>
        <w:t xml:space="preserve"> National Park, the </w:t>
      </w:r>
      <w:proofErr w:type="spellStart"/>
      <w:r w:rsidRPr="00D61C93">
        <w:rPr>
          <w:rFonts w:ascii="Calibri" w:hAnsi="Calibri"/>
          <w:sz w:val="20"/>
          <w:szCs w:val="20"/>
          <w:lang w:val="en-CA"/>
        </w:rPr>
        <w:t>Nazinga</w:t>
      </w:r>
      <w:proofErr w:type="spellEnd"/>
      <w:r w:rsidRPr="00D61C93">
        <w:rPr>
          <w:rFonts w:ascii="Calibri" w:hAnsi="Calibri"/>
          <w:sz w:val="20"/>
          <w:szCs w:val="20"/>
          <w:lang w:val="en-CA"/>
        </w:rPr>
        <w:t xml:space="preserve"> Game Ranch and the </w:t>
      </w:r>
      <w:proofErr w:type="spellStart"/>
      <w:r w:rsidRPr="00D61C93">
        <w:rPr>
          <w:rFonts w:ascii="Calibri" w:hAnsi="Calibri"/>
          <w:sz w:val="20"/>
          <w:szCs w:val="20"/>
          <w:lang w:val="en-CA"/>
        </w:rPr>
        <w:t>Sissili</w:t>
      </w:r>
      <w:proofErr w:type="spellEnd"/>
      <w:r w:rsidRPr="00D61C93">
        <w:rPr>
          <w:rFonts w:ascii="Calibri" w:hAnsi="Calibri"/>
          <w:sz w:val="20"/>
          <w:szCs w:val="20"/>
          <w:lang w:val="en-CA"/>
        </w:rPr>
        <w:t xml:space="preserve"> Classified Forest, and many other exchange meetings mostly held in villages, have put the actors at the same level of information. These outreach activities have laid a foundation on which the project will build for the development of a collaborative management of PAs with local communities under component 2. As regards development of natural resources, the project provided equipment and training for beekeepers of the communes of </w:t>
      </w:r>
      <w:proofErr w:type="spellStart"/>
      <w:r w:rsidRPr="00D61C93">
        <w:rPr>
          <w:rFonts w:ascii="Calibri" w:hAnsi="Calibri"/>
          <w:sz w:val="20"/>
          <w:szCs w:val="20"/>
          <w:lang w:val="en-CA"/>
        </w:rPr>
        <w:t>Guiaro</w:t>
      </w:r>
      <w:proofErr w:type="spellEnd"/>
      <w:r w:rsidRPr="00D61C93">
        <w:rPr>
          <w:rFonts w:ascii="Calibri" w:hAnsi="Calibri"/>
          <w:sz w:val="20"/>
          <w:szCs w:val="20"/>
          <w:lang w:val="en-CA"/>
        </w:rPr>
        <w:t xml:space="preserve"> and </w:t>
      </w:r>
      <w:proofErr w:type="spellStart"/>
      <w:r w:rsidRPr="00D61C93">
        <w:rPr>
          <w:rFonts w:ascii="Calibri" w:hAnsi="Calibri"/>
          <w:sz w:val="20"/>
          <w:szCs w:val="20"/>
          <w:lang w:val="en-CA"/>
        </w:rPr>
        <w:t>Bieha</w:t>
      </w:r>
      <w:proofErr w:type="spellEnd"/>
      <w:r w:rsidRPr="00D61C93">
        <w:rPr>
          <w:rFonts w:ascii="Calibri" w:hAnsi="Calibri"/>
          <w:sz w:val="20"/>
          <w:szCs w:val="20"/>
          <w:lang w:val="en-CA"/>
        </w:rPr>
        <w:t xml:space="preserve">, and the reinforcement of modern processing units for </w:t>
      </w:r>
      <w:r w:rsidRPr="00D61C93">
        <w:rPr>
          <w:rFonts w:ascii="Calibri" w:hAnsi="Calibri"/>
          <w:sz w:val="20"/>
          <w:szCs w:val="20"/>
          <w:lang w:val="en-GB"/>
        </w:rPr>
        <w:t>NTFP</w:t>
      </w:r>
      <w:r w:rsidRPr="00D61C93">
        <w:rPr>
          <w:rFonts w:ascii="Calibri" w:hAnsi="Calibri"/>
          <w:sz w:val="20"/>
          <w:szCs w:val="20"/>
          <w:lang w:val="en-CA"/>
        </w:rPr>
        <w:t xml:space="preserve"> in the commune of Po. These investments and experience and the study on the </w:t>
      </w:r>
      <w:r w:rsidRPr="00D61C93">
        <w:rPr>
          <w:rFonts w:ascii="Calibri" w:hAnsi="Calibri"/>
          <w:sz w:val="20"/>
          <w:szCs w:val="20"/>
          <w:lang w:val="en-GB"/>
        </w:rPr>
        <w:t>NTFP</w:t>
      </w:r>
      <w:r w:rsidRPr="00D61C93">
        <w:rPr>
          <w:rFonts w:ascii="Calibri" w:hAnsi="Calibri"/>
          <w:sz w:val="20"/>
          <w:szCs w:val="20"/>
          <w:lang w:val="en-CA"/>
        </w:rPr>
        <w:t xml:space="preserve"> supply chains </w:t>
      </w:r>
      <w:proofErr w:type="gramStart"/>
      <w:r w:rsidRPr="00D61C93">
        <w:rPr>
          <w:rFonts w:ascii="Calibri" w:hAnsi="Calibri"/>
          <w:sz w:val="20"/>
          <w:szCs w:val="20"/>
          <w:lang w:val="en-CA"/>
        </w:rPr>
        <w:t>in the area of</w:t>
      </w:r>
      <w:proofErr w:type="gramEnd"/>
      <w:r w:rsidRPr="00D61C93">
        <w:rPr>
          <w:rFonts w:ascii="Calibri" w:hAnsi="Calibri"/>
          <w:sz w:val="20"/>
          <w:szCs w:val="20"/>
          <w:lang w:val="en-CA"/>
        </w:rPr>
        <w:t xml:space="preserve"> the PONASI complex are useful achievements that the project has built upon to design the tasks under Output 3.3 and that will be useful during implementation.</w:t>
      </w:r>
    </w:p>
    <w:p w14:paraId="2A1EE59D"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D61C93">
        <w:rPr>
          <w:rFonts w:ascii="Calibri" w:hAnsi="Calibri"/>
          <w:sz w:val="20"/>
          <w:szCs w:val="20"/>
          <w:lang w:val="en-CA"/>
        </w:rPr>
        <w:t xml:space="preserve">The design of the framework for integrated management of the PONASI landscape rests on lessons learned from UNDP-GEF projects under the Country Partnership Program for SLM. According to the evaluations and stakeholders of these projects, establishing partnerships at the regional level was key to their successful achievements. These partnerships have led to greater openness and collaboration, and even sharing of actions and resources, thus leading to changes in the methods and operational strategies of rural development projects and programs that previously </w:t>
      </w:r>
      <w:proofErr w:type="gramStart"/>
      <w:r w:rsidRPr="00D61C93">
        <w:rPr>
          <w:rFonts w:ascii="Calibri" w:hAnsi="Calibri"/>
          <w:sz w:val="20"/>
          <w:szCs w:val="20"/>
          <w:lang w:val="en-CA"/>
        </w:rPr>
        <w:t>had a tendency to</w:t>
      </w:r>
      <w:proofErr w:type="gramEnd"/>
      <w:r w:rsidRPr="00D61C93">
        <w:rPr>
          <w:rFonts w:ascii="Calibri" w:hAnsi="Calibri"/>
          <w:sz w:val="20"/>
          <w:szCs w:val="20"/>
          <w:lang w:val="en-CA"/>
        </w:rPr>
        <w:t xml:space="preserve"> work in silo and improved the capacity of institutions and actors to understand SLM and integrate it into planning tools and local development strategies. The project tasks under Output 1.1 have integrated other significant learnings from these projects related to the establishment of a landscape co-governance platform to enable joint decision-making on land use within the landscape: Demonstrating the evolution of land degradation in recent decades, using map illustrations, has proven to be an effective and cost-effective approach to raise stakeholders’ awareness on the urgency to halt environmental degradation and to encourage them to get involved and participate in actions proposed by the project. These visual demonstrations served as a reference for debates on the underlying causes of land degradation and helped to change the perceptions and attitudes of institutional actors as well as users of land and resources.</w:t>
      </w:r>
    </w:p>
    <w:p w14:paraId="7E5B733A"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D61C93">
        <w:rPr>
          <w:rFonts w:ascii="Calibri" w:hAnsi="Calibri" w:cs="Arial"/>
          <w:sz w:val="20"/>
          <w:szCs w:val="20"/>
          <w:lang w:eastAsia="es-ES"/>
        </w:rPr>
        <w:t>Under Component 1, the project will provide an inclusive training program for all stakeholders involved in environmental land use planning to ensure their effective contribution to decision-making in this planning exercise, which will build capacities to support recurrent planning and update exercises. To make full economic and social use of the potential of the forest areas of the PONASI landscape, the project will integrate the ongoing REDD+ process under the Forest Investment Program and will work closely with the Participatory Forest Management Project for REDD +, funded by the AfDB by using the same approaches and tools they have developed for the MRV process.</w:t>
      </w:r>
    </w:p>
    <w:p w14:paraId="156064F2"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D61C93">
        <w:rPr>
          <w:rFonts w:ascii="Calibri" w:hAnsi="Calibri" w:cs="Calibri"/>
          <w:sz w:val="20"/>
          <w:szCs w:val="20"/>
          <w:lang w:val="en-CA"/>
        </w:rPr>
        <w:lastRenderedPageBreak/>
        <w:t xml:space="preserve">Capacity building activities are integrated under each component in relation to their specific </w:t>
      </w:r>
      <w:proofErr w:type="gramStart"/>
      <w:r w:rsidRPr="00D61C93">
        <w:rPr>
          <w:rFonts w:ascii="Calibri" w:hAnsi="Calibri" w:cs="Calibri"/>
          <w:sz w:val="20"/>
          <w:szCs w:val="20"/>
          <w:lang w:val="en-CA"/>
        </w:rPr>
        <w:t>focus, and</w:t>
      </w:r>
      <w:proofErr w:type="gramEnd"/>
      <w:r w:rsidRPr="00D61C93">
        <w:rPr>
          <w:rFonts w:ascii="Calibri" w:hAnsi="Calibri" w:cs="Calibri"/>
          <w:sz w:val="20"/>
          <w:szCs w:val="20"/>
          <w:lang w:val="en-CA"/>
        </w:rPr>
        <w:t xml:space="preserve"> targeting actors at all levels. By building this capacity, this project investment will prove to be cost-effective over the long run as supervisory and implementing capacities will be readily available in-country to support future CSA, SLM, and biodiversity conservation initiatives and for the replication of project’s good practices and experiences. </w:t>
      </w:r>
    </w:p>
    <w:p w14:paraId="2E0D488B"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D61C93">
        <w:rPr>
          <w:rFonts w:ascii="Calibri" w:hAnsi="Calibri" w:cs="Calibri"/>
          <w:sz w:val="20"/>
          <w:szCs w:val="20"/>
          <w:lang w:val="en-CA"/>
        </w:rPr>
        <w:t xml:space="preserve">During implementation, the project will seek to maximize the financial resources made available for project activities. All activities will be included in AWPs, which will be discussed and approved by the Project Consultation/Dialogue Framework to ensure that proposed actions are relevant and necessary, and to identify potential synergies with ongoing or planned actions under other projects and interventions. Cost-effectiveness will be considered throughout project implementation without compromising the quality of the outputs. When hiring third-party consultants/service providers, the project will follow standard UNDP recruitment and advertising processes to have at least three competitors for each advertised position. Selection will be based on the applicant’s qualifications, technical and operational experience, and the cost-effectiveness of the financial proposals, to facilitate hiring the best consultants (individuals or organizations). Expenses will be accounted for according to UNDP rules and in line with GEF policy. </w:t>
      </w:r>
    </w:p>
    <w:p w14:paraId="4EA4D1EA" w14:textId="48EC689B" w:rsidR="00302BFE" w:rsidRPr="00983884"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D61C93">
        <w:rPr>
          <w:rFonts w:ascii="Calibri" w:hAnsi="Calibri" w:cs="Calibri"/>
          <w:sz w:val="20"/>
          <w:szCs w:val="20"/>
          <w:u w:val="single"/>
          <w:lang w:val="en-CA"/>
        </w:rPr>
        <w:t>Project management</w:t>
      </w:r>
      <w:r w:rsidRPr="00D61C93">
        <w:rPr>
          <w:rFonts w:ascii="Calibri" w:hAnsi="Calibri" w:cs="Calibri"/>
          <w:sz w:val="20"/>
          <w:szCs w:val="20"/>
          <w:lang w:val="en-CA"/>
        </w:rPr>
        <w:t xml:space="preserve">. The Project Coordination Unit (PCU) will be based in </w:t>
      </w:r>
      <w:proofErr w:type="spellStart"/>
      <w:r w:rsidRPr="00D61C93">
        <w:rPr>
          <w:rFonts w:ascii="Calibri" w:hAnsi="Calibri" w:cs="Calibri"/>
          <w:sz w:val="20"/>
          <w:szCs w:val="20"/>
          <w:lang w:val="en-CA"/>
        </w:rPr>
        <w:t>Pô</w:t>
      </w:r>
      <w:proofErr w:type="spellEnd"/>
      <w:r w:rsidRPr="00D61C93">
        <w:rPr>
          <w:rFonts w:ascii="Calibri" w:hAnsi="Calibri" w:cs="Calibri"/>
          <w:sz w:val="20"/>
          <w:szCs w:val="20"/>
          <w:lang w:val="en-CA"/>
        </w:rPr>
        <w:t xml:space="preserve"> which is situated in the center of the intervention area and easily accessible from Ouagadougou by the main road at less than 150 km. From this base, project staff and consultants will easily travel to prioritized pilot sites and throughout the PONASI landscape area and will be able to maintain close contact with local stakeholders, </w:t>
      </w:r>
      <w:proofErr w:type="gramStart"/>
      <w:r w:rsidRPr="00D61C93">
        <w:rPr>
          <w:rFonts w:ascii="Calibri" w:hAnsi="Calibri" w:cs="Calibri"/>
          <w:sz w:val="20"/>
          <w:szCs w:val="20"/>
          <w:lang w:val="en-CA"/>
        </w:rPr>
        <w:t>communities</w:t>
      </w:r>
      <w:proofErr w:type="gramEnd"/>
      <w:r w:rsidRPr="00D61C93">
        <w:rPr>
          <w:rFonts w:ascii="Calibri" w:hAnsi="Calibri" w:cs="Calibri"/>
          <w:sz w:val="20"/>
          <w:szCs w:val="20"/>
          <w:lang w:val="en-CA"/>
        </w:rPr>
        <w:t xml:space="preserve"> and authorities, which will be essential to enable the extensive mobilization required for this project. The PCU will oversee the day-to-day </w:t>
      </w:r>
      <w:r w:rsidR="00193614" w:rsidRPr="00D61C93">
        <w:rPr>
          <w:rFonts w:ascii="Calibri" w:hAnsi="Calibri" w:cs="Calibri"/>
          <w:sz w:val="20"/>
          <w:szCs w:val="20"/>
          <w:lang w:val="en-CA"/>
        </w:rPr>
        <w:t>implementation</w:t>
      </w:r>
      <w:r w:rsidRPr="00D61C93">
        <w:rPr>
          <w:rFonts w:ascii="Calibri" w:hAnsi="Calibri" w:cs="Calibri"/>
          <w:sz w:val="20"/>
          <w:szCs w:val="20"/>
          <w:lang w:val="en-CA"/>
        </w:rPr>
        <w:t xml:space="preserve"> of project activities and will have responsibility for, among others: a) operational planning, managing, and </w:t>
      </w:r>
      <w:r w:rsidR="0056396B" w:rsidRPr="00D61C93">
        <w:rPr>
          <w:rFonts w:ascii="Calibri" w:hAnsi="Calibri" w:cs="Calibri"/>
          <w:sz w:val="20"/>
          <w:szCs w:val="20"/>
          <w:lang w:val="en-CA"/>
        </w:rPr>
        <w:t>implementing</w:t>
      </w:r>
      <w:r w:rsidRPr="00D61C93">
        <w:rPr>
          <w:rFonts w:ascii="Calibri" w:hAnsi="Calibri" w:cs="Calibri"/>
          <w:sz w:val="20"/>
          <w:szCs w:val="20"/>
          <w:lang w:val="en-CA"/>
        </w:rPr>
        <w:t xml:space="preserve"> the project, including the direct supervision of project activities sub-contracted to specialists and other institutions; b) coordinating the management of financial resources and procurement; c) reporting on the application of resources </w:t>
      </w:r>
      <w:r w:rsidRPr="00983884">
        <w:rPr>
          <w:rFonts w:ascii="Calibri" w:hAnsi="Calibri" w:cs="Calibri"/>
          <w:sz w:val="20"/>
          <w:szCs w:val="20"/>
          <w:lang w:val="en-CA"/>
        </w:rPr>
        <w:t xml:space="preserve">and results achieved; d) preparing reports and any proposals for adaptive management of the project, if required, and based on inputs from the project M&amp;E plan; e) promoting inter-institutional synergies; </w:t>
      </w:r>
      <w:r w:rsidR="00C64B8C" w:rsidRPr="00983884">
        <w:rPr>
          <w:rFonts w:ascii="Calibri" w:hAnsi="Calibri" w:cs="Calibri"/>
          <w:sz w:val="20"/>
          <w:szCs w:val="20"/>
          <w:lang w:val="en-CA"/>
        </w:rPr>
        <w:t xml:space="preserve">f) ensuring the implementation of the ESMF and related Management Plan; </w:t>
      </w:r>
      <w:r w:rsidRPr="00983884">
        <w:rPr>
          <w:rFonts w:ascii="Calibri" w:hAnsi="Calibri" w:cs="Calibri"/>
          <w:sz w:val="20"/>
          <w:szCs w:val="20"/>
          <w:lang w:val="en-CA"/>
        </w:rPr>
        <w:t>and f) disseminating project results. An administrative/financial assistant will be hired to provide operational support.</w:t>
      </w:r>
    </w:p>
    <w:p w14:paraId="2415DA8C" w14:textId="24C4980B"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983884">
        <w:rPr>
          <w:rFonts w:ascii="Calibri" w:hAnsi="Calibri" w:cs="Calibri"/>
          <w:sz w:val="20"/>
          <w:szCs w:val="20"/>
          <w:lang w:val="en-CA"/>
        </w:rPr>
        <w:t xml:space="preserve">The PCU will liaise regularly with technical staff based in the </w:t>
      </w:r>
      <w:proofErr w:type="spellStart"/>
      <w:r w:rsidR="001265F0" w:rsidRPr="001265F0">
        <w:rPr>
          <w:rFonts w:ascii="Calibri" w:hAnsi="Calibri" w:cs="Calibri"/>
          <w:sz w:val="20"/>
          <w:szCs w:val="20"/>
          <w:highlight w:val="green"/>
        </w:rPr>
        <w:t>Ministère</w:t>
      </w:r>
      <w:proofErr w:type="spellEnd"/>
      <w:r w:rsidR="001265F0" w:rsidRPr="001265F0">
        <w:rPr>
          <w:rFonts w:ascii="Calibri" w:hAnsi="Calibri" w:cs="Calibri"/>
          <w:sz w:val="20"/>
          <w:szCs w:val="20"/>
          <w:highlight w:val="green"/>
        </w:rPr>
        <w:t xml:space="preserve"> de </w:t>
      </w:r>
      <w:proofErr w:type="spellStart"/>
      <w:r w:rsidR="001265F0" w:rsidRPr="001265F0">
        <w:rPr>
          <w:rFonts w:ascii="Calibri" w:hAnsi="Calibri" w:cs="Calibri"/>
          <w:sz w:val="20"/>
          <w:szCs w:val="20"/>
          <w:highlight w:val="green"/>
        </w:rPr>
        <w:t>l'environnement</w:t>
      </w:r>
      <w:proofErr w:type="spellEnd"/>
      <w:r w:rsidR="001265F0" w:rsidRPr="001265F0">
        <w:rPr>
          <w:rFonts w:ascii="Calibri" w:hAnsi="Calibri" w:cs="Calibri"/>
          <w:sz w:val="20"/>
          <w:szCs w:val="20"/>
          <w:highlight w:val="green"/>
        </w:rPr>
        <w:t xml:space="preserve">, de </w:t>
      </w:r>
      <w:proofErr w:type="spellStart"/>
      <w:r w:rsidR="001265F0" w:rsidRPr="001265F0">
        <w:rPr>
          <w:rFonts w:ascii="Calibri" w:hAnsi="Calibri" w:cs="Calibri"/>
          <w:sz w:val="20"/>
          <w:szCs w:val="20"/>
          <w:highlight w:val="green"/>
        </w:rPr>
        <w:t>l'eau</w:t>
      </w:r>
      <w:proofErr w:type="spellEnd"/>
      <w:r w:rsidR="001265F0" w:rsidRPr="001265F0">
        <w:rPr>
          <w:rFonts w:ascii="Calibri" w:hAnsi="Calibri" w:cs="Calibri"/>
          <w:sz w:val="20"/>
          <w:szCs w:val="20"/>
          <w:highlight w:val="green"/>
        </w:rPr>
        <w:t xml:space="preserve"> et de </w:t>
      </w:r>
      <w:proofErr w:type="spellStart"/>
      <w:r w:rsidR="001265F0" w:rsidRPr="001265F0">
        <w:rPr>
          <w:rFonts w:ascii="Calibri" w:hAnsi="Calibri" w:cs="Calibri"/>
          <w:sz w:val="20"/>
          <w:szCs w:val="20"/>
          <w:highlight w:val="green"/>
        </w:rPr>
        <w:t>l’Assainissement</w:t>
      </w:r>
      <w:proofErr w:type="spellEnd"/>
      <w:r w:rsidRPr="00983884">
        <w:rPr>
          <w:rFonts w:ascii="Calibri" w:hAnsi="Calibri" w:cs="Calibri"/>
          <w:sz w:val="20"/>
          <w:szCs w:val="20"/>
          <w:lang w:val="en-CA"/>
        </w:rPr>
        <w:t>, especially with OFINAP and DGEF, and with the Ministry of Agriculture and Hydro-Agricultural Facilities and other key ministries, and with their</w:t>
      </w:r>
      <w:r w:rsidRPr="00D61C93">
        <w:rPr>
          <w:rFonts w:ascii="Calibri" w:hAnsi="Calibri" w:cs="Calibri"/>
          <w:sz w:val="20"/>
          <w:szCs w:val="20"/>
          <w:lang w:val="en-CA"/>
        </w:rPr>
        <w:t xml:space="preserve"> decentralized directorates in the Center-South, Center-East and Center-West regions, and will therefore benefit from their expertise and time contribution. </w:t>
      </w:r>
    </w:p>
    <w:p w14:paraId="756DECD8"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lang w:val="en-CA"/>
        </w:rPr>
      </w:pPr>
      <w:r w:rsidRPr="00D61C93">
        <w:rPr>
          <w:rFonts w:ascii="Calibri" w:hAnsi="Calibri" w:cs="Calibri"/>
          <w:sz w:val="20"/>
          <w:szCs w:val="20"/>
          <w:u w:val="single"/>
          <w:lang w:val="en-CA"/>
        </w:rPr>
        <w:t>Agreement on intellectual property rights and use of logo on the project’s deliverables and disclosure of information</w:t>
      </w:r>
      <w:r w:rsidRPr="00D61C93">
        <w:rPr>
          <w:rFonts w:ascii="Calibri" w:hAnsi="Calibri" w:cs="Calibri"/>
          <w:sz w:val="20"/>
          <w:szCs w:val="20"/>
          <w:lang w:val="en-CA"/>
        </w:rPr>
        <w:t>:  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Pr="00D61C93">
        <w:rPr>
          <w:rFonts w:ascii="Calibri" w:hAnsi="Calibri" w:cs="Calibri"/>
          <w:sz w:val="20"/>
          <w:vertAlign w:val="superscript"/>
          <w:lang w:val="en-CA"/>
        </w:rPr>
        <w:footnoteReference w:id="69"/>
      </w:r>
      <w:r w:rsidRPr="00D61C93">
        <w:rPr>
          <w:rFonts w:ascii="Calibri" w:hAnsi="Calibri" w:cs="Calibri"/>
          <w:sz w:val="20"/>
          <w:szCs w:val="20"/>
          <w:lang w:val="en-CA"/>
        </w:rPr>
        <w:t xml:space="preserve"> and the GEF policy on public involvement</w:t>
      </w:r>
      <w:r w:rsidRPr="00D61C93">
        <w:rPr>
          <w:rFonts w:ascii="Calibri" w:hAnsi="Calibri" w:cs="Calibri"/>
          <w:sz w:val="20"/>
          <w:vertAlign w:val="superscript"/>
          <w:lang w:val="en-CA"/>
        </w:rPr>
        <w:footnoteReference w:id="70"/>
      </w:r>
      <w:r w:rsidRPr="00D61C93">
        <w:rPr>
          <w:rFonts w:ascii="Calibri" w:hAnsi="Calibri" w:cs="Calibri"/>
          <w:sz w:val="20"/>
          <w:szCs w:val="20"/>
          <w:lang w:val="en-CA"/>
        </w:rPr>
        <w:t>.</w:t>
      </w:r>
    </w:p>
    <w:p w14:paraId="15241F52" w14:textId="77777777" w:rsidR="00302BFE" w:rsidRDefault="00302BFE" w:rsidP="00302BFE">
      <w:pPr>
        <w:spacing w:before="120" w:after="120"/>
        <w:jc w:val="left"/>
        <w:rPr>
          <w:rFonts w:cs="Arial"/>
          <w:noProof/>
          <w:szCs w:val="20"/>
          <w:u w:val="single"/>
          <w:lang w:eastAsia="zh-CN"/>
        </w:rPr>
      </w:pPr>
    </w:p>
    <w:p w14:paraId="25D24237" w14:textId="77777777" w:rsidR="00302BFE" w:rsidRPr="0003763F" w:rsidRDefault="00302BFE" w:rsidP="00302BFE">
      <w:pPr>
        <w:pStyle w:val="Paragraphedeliste"/>
        <w:spacing w:after="60"/>
        <w:ind w:left="1080"/>
        <w:contextualSpacing/>
        <w:rPr>
          <w:rFonts w:cs="Segoe UI"/>
          <w:color w:val="000000"/>
          <w:szCs w:val="20"/>
        </w:rPr>
        <w:sectPr w:rsidR="00302BFE" w:rsidRPr="0003763F" w:rsidSect="00243B15">
          <w:pgSz w:w="12240" w:h="15840" w:code="1"/>
          <w:pgMar w:top="720" w:right="720" w:bottom="720" w:left="720" w:header="720" w:footer="432" w:gutter="0"/>
          <w:cols w:space="708"/>
          <w:titlePg/>
          <w:docGrid w:linePitch="360"/>
        </w:sectPr>
      </w:pPr>
    </w:p>
    <w:p w14:paraId="0E42FF04" w14:textId="77777777" w:rsidR="00302BFE" w:rsidRPr="0003763F" w:rsidRDefault="00302BFE" w:rsidP="00302BFE">
      <w:pPr>
        <w:pStyle w:val="Titre1"/>
        <w:spacing w:before="0" w:after="60"/>
        <w:rPr>
          <w:rFonts w:ascii="Calibri" w:hAnsi="Calibri"/>
          <w:szCs w:val="28"/>
        </w:rPr>
      </w:pPr>
      <w:bookmarkStart w:id="22" w:name="_Toc9961793"/>
      <w:r w:rsidRPr="0003763F">
        <w:rPr>
          <w:rFonts w:ascii="Calibri" w:hAnsi="Calibri"/>
          <w:szCs w:val="28"/>
        </w:rPr>
        <w:lastRenderedPageBreak/>
        <w:t>Project Results Framework</w:t>
      </w:r>
      <w:bookmarkEnd w:id="22"/>
    </w:p>
    <w:p w14:paraId="3B3DF76C" w14:textId="77777777" w:rsidR="00302BFE" w:rsidRDefault="00302BFE" w:rsidP="00302BFE">
      <w:pPr>
        <w:jc w:val="left"/>
        <w:rPr>
          <w:i/>
          <w:szCs w:val="20"/>
        </w:rPr>
      </w:pPr>
    </w:p>
    <w:tbl>
      <w:tblPr>
        <w:tblW w:w="1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006"/>
        <w:gridCol w:w="3016"/>
        <w:gridCol w:w="1552"/>
        <w:gridCol w:w="1552"/>
        <w:gridCol w:w="1552"/>
        <w:gridCol w:w="4712"/>
      </w:tblGrid>
      <w:tr w:rsidR="00302BFE" w:rsidRPr="006E490C" w14:paraId="4FAC01CF" w14:textId="77777777" w:rsidTr="00243B15">
        <w:tc>
          <w:tcPr>
            <w:tcW w:w="14390" w:type="dxa"/>
            <w:gridSpan w:val="6"/>
            <w:tcBorders>
              <w:top w:val="single" w:sz="4" w:space="0" w:color="auto"/>
              <w:left w:val="single" w:sz="4" w:space="0" w:color="auto"/>
              <w:bottom w:val="single" w:sz="4" w:space="0" w:color="auto"/>
              <w:right w:val="single" w:sz="4" w:space="0" w:color="auto"/>
            </w:tcBorders>
            <w:shd w:val="pct12" w:color="auto" w:fill="auto"/>
          </w:tcPr>
          <w:p w14:paraId="5349C233" w14:textId="77777777" w:rsidR="00302BFE" w:rsidRPr="006E490C" w:rsidRDefault="00302BFE" w:rsidP="00243B15">
            <w:pPr>
              <w:rPr>
                <w:i/>
                <w:iCs/>
                <w:sz w:val="18"/>
                <w:szCs w:val="18"/>
              </w:rPr>
            </w:pPr>
            <w:bookmarkStart w:id="23" w:name="_Hlk7883088"/>
            <w:r w:rsidRPr="006E490C">
              <w:rPr>
                <w:b/>
                <w:sz w:val="18"/>
                <w:szCs w:val="18"/>
              </w:rPr>
              <w:t xml:space="preserve">This project will contribute to the following Sustainable Development Goal (s): </w:t>
            </w:r>
            <w:r w:rsidRPr="006E490C">
              <w:rPr>
                <w:i/>
                <w:iCs/>
                <w:sz w:val="18"/>
                <w:szCs w:val="18"/>
              </w:rPr>
              <w:t xml:space="preserve">Goal 1 – End poverty in all its forms everywhere; Goal 2 – </w:t>
            </w:r>
            <w:r w:rsidRPr="006E490C">
              <w:rPr>
                <w:i/>
                <w:sz w:val="18"/>
                <w:szCs w:val="18"/>
                <w:lang w:val="en-CA"/>
              </w:rPr>
              <w:t>End hunger, achieve food security and improved nutrition and promote sustainable agriculture</w:t>
            </w:r>
            <w:r w:rsidRPr="006E490C">
              <w:rPr>
                <w:i/>
                <w:iCs/>
                <w:sz w:val="18"/>
                <w:szCs w:val="18"/>
              </w:rPr>
              <w:t xml:space="preserve">; Goal 5 – Achieve gender equality and empower all women and girls; Goal 6 – </w:t>
            </w:r>
            <w:r w:rsidRPr="006E490C">
              <w:rPr>
                <w:i/>
                <w:sz w:val="18"/>
                <w:szCs w:val="18"/>
                <w:lang w:val="en-CA"/>
              </w:rPr>
              <w:t>Ensure availability and sustainable management of water and sanitation for all</w:t>
            </w:r>
            <w:r w:rsidRPr="006E490C">
              <w:rPr>
                <w:i/>
                <w:iCs/>
                <w:sz w:val="18"/>
                <w:szCs w:val="18"/>
              </w:rPr>
              <w:t xml:space="preserve">; Goal 8 – </w:t>
            </w:r>
            <w:r w:rsidRPr="006E490C">
              <w:rPr>
                <w:i/>
                <w:sz w:val="18"/>
                <w:szCs w:val="18"/>
                <w:lang w:val="en-CA"/>
              </w:rPr>
              <w:t>Promote sustained, inclusive and sustainable economic growth, full and productive employment and decent work for all</w:t>
            </w:r>
            <w:r w:rsidRPr="006E490C">
              <w:rPr>
                <w:i/>
                <w:iCs/>
                <w:sz w:val="18"/>
                <w:szCs w:val="18"/>
              </w:rPr>
              <w:t xml:space="preserve">; Goal 12 – </w:t>
            </w:r>
            <w:r w:rsidRPr="006E490C">
              <w:rPr>
                <w:i/>
                <w:sz w:val="18"/>
                <w:szCs w:val="18"/>
                <w:lang w:val="en-CA"/>
              </w:rPr>
              <w:t>Ensure sustainable consumption and production patterns</w:t>
            </w:r>
            <w:r w:rsidRPr="006E490C">
              <w:rPr>
                <w:i/>
                <w:iCs/>
                <w:sz w:val="18"/>
                <w:szCs w:val="18"/>
              </w:rPr>
              <w:t xml:space="preserve">; Goal 13 – Take urgent action to combat climate change and its impacts; and Goal 15 – </w:t>
            </w:r>
            <w:r w:rsidRPr="006E490C">
              <w:rPr>
                <w:bCs/>
                <w:i/>
                <w:iCs/>
                <w:sz w:val="18"/>
                <w:szCs w:val="18"/>
              </w:rPr>
              <w:t>Protect, restore and promote sustainable use of terrestrial ecosystems, sustainably manage forests, combat desertification, and halt and reverse land degradation and halt biodiversity loss</w:t>
            </w:r>
          </w:p>
        </w:tc>
      </w:tr>
      <w:tr w:rsidR="00302BFE" w:rsidRPr="006E490C" w14:paraId="450212E7" w14:textId="77777777" w:rsidTr="00243B15">
        <w:tc>
          <w:tcPr>
            <w:tcW w:w="14390" w:type="dxa"/>
            <w:gridSpan w:val="6"/>
            <w:tcBorders>
              <w:top w:val="single" w:sz="4" w:space="0" w:color="auto"/>
              <w:left w:val="single" w:sz="4" w:space="0" w:color="auto"/>
              <w:bottom w:val="single" w:sz="4" w:space="0" w:color="auto"/>
              <w:right w:val="single" w:sz="4" w:space="0" w:color="auto"/>
            </w:tcBorders>
            <w:shd w:val="pct12" w:color="auto" w:fill="auto"/>
          </w:tcPr>
          <w:p w14:paraId="14CE2F87" w14:textId="77777777" w:rsidR="00302BFE" w:rsidRPr="006E490C" w:rsidRDefault="00302BFE" w:rsidP="00243B15">
            <w:pPr>
              <w:rPr>
                <w:b/>
                <w:szCs w:val="20"/>
              </w:rPr>
            </w:pPr>
            <w:r w:rsidRPr="006E490C">
              <w:rPr>
                <w:b/>
                <w:bCs/>
                <w:sz w:val="18"/>
                <w:szCs w:val="18"/>
              </w:rPr>
              <w:t xml:space="preserve">This project will contribute to the following country outcome included in the UNDAF/Country </w:t>
            </w:r>
            <w:proofErr w:type="spellStart"/>
            <w:r w:rsidRPr="006E490C">
              <w:rPr>
                <w:b/>
                <w:bCs/>
                <w:sz w:val="18"/>
                <w:szCs w:val="18"/>
              </w:rPr>
              <w:t>Programme</w:t>
            </w:r>
            <w:proofErr w:type="spellEnd"/>
            <w:r w:rsidRPr="006E490C">
              <w:rPr>
                <w:b/>
                <w:bCs/>
                <w:sz w:val="18"/>
                <w:szCs w:val="18"/>
              </w:rPr>
              <w:t xml:space="preserve"> Document: </w:t>
            </w:r>
            <w:r w:rsidRPr="006E490C">
              <w:rPr>
                <w:i/>
                <w:iCs/>
                <w:sz w:val="18"/>
                <w:szCs w:val="18"/>
              </w:rPr>
              <w:t xml:space="preserve">Outcome 3.2 – By the end of 2020, populations, especially young </w:t>
            </w:r>
            <w:proofErr w:type="gramStart"/>
            <w:r w:rsidRPr="006E490C">
              <w:rPr>
                <w:i/>
                <w:iCs/>
                <w:sz w:val="18"/>
                <w:szCs w:val="18"/>
              </w:rPr>
              <w:t>people</w:t>
            </w:r>
            <w:proofErr w:type="gramEnd"/>
            <w:r w:rsidRPr="006E490C">
              <w:rPr>
                <w:i/>
                <w:iCs/>
                <w:sz w:val="18"/>
                <w:szCs w:val="18"/>
              </w:rPr>
              <w:t xml:space="preserve"> and women in intervention areas (urban/rural), increase their income, adopt sustainable production and consumption patterns, and improve their food security</w:t>
            </w:r>
          </w:p>
        </w:tc>
      </w:tr>
      <w:tr w:rsidR="00302BFE" w:rsidRPr="006E490C" w14:paraId="2A91E5EF" w14:textId="77777777" w:rsidTr="00243B15">
        <w:tc>
          <w:tcPr>
            <w:tcW w:w="14390" w:type="dxa"/>
            <w:gridSpan w:val="6"/>
            <w:tcBorders>
              <w:top w:val="single" w:sz="4" w:space="0" w:color="auto"/>
              <w:left w:val="single" w:sz="4" w:space="0" w:color="auto"/>
              <w:bottom w:val="single" w:sz="4" w:space="0" w:color="auto"/>
              <w:right w:val="single" w:sz="4" w:space="0" w:color="auto"/>
            </w:tcBorders>
            <w:shd w:val="pct12" w:color="auto" w:fill="auto"/>
            <w:hideMark/>
          </w:tcPr>
          <w:p w14:paraId="7B9BFEFB" w14:textId="77777777" w:rsidR="00302BFE" w:rsidRPr="006E490C" w:rsidRDefault="00302BFE" w:rsidP="00243B15">
            <w:pPr>
              <w:jc w:val="left"/>
              <w:rPr>
                <w:rFonts w:cs="Arial"/>
                <w:sz w:val="18"/>
                <w:szCs w:val="18"/>
                <w:lang w:val="en-CA"/>
              </w:rPr>
            </w:pPr>
            <w:r w:rsidRPr="006E490C">
              <w:rPr>
                <w:b/>
                <w:bCs/>
                <w:sz w:val="18"/>
                <w:szCs w:val="18"/>
                <w:lang w:val="en-CA"/>
              </w:rPr>
              <w:t xml:space="preserve">This project will be linked to the following results of the UNDP strategic plan: </w:t>
            </w:r>
            <w:r w:rsidRPr="006E490C">
              <w:rPr>
                <w:rFonts w:cs="Arial"/>
                <w:i/>
                <w:sz w:val="18"/>
                <w:szCs w:val="18"/>
                <w:lang w:val="en-CA"/>
              </w:rPr>
              <w:t>Output 1.4.1: Scaled-up solutions for the sustainable management of natural resources, including sustainable commodities and ecological and inclusive value chains</w:t>
            </w:r>
          </w:p>
        </w:tc>
      </w:tr>
      <w:tr w:rsidR="00302BFE" w:rsidRPr="006E490C" w14:paraId="5CBD1911" w14:textId="77777777" w:rsidTr="00243B15">
        <w:tc>
          <w:tcPr>
            <w:tcW w:w="2006" w:type="dxa"/>
            <w:tcBorders>
              <w:top w:val="single" w:sz="4" w:space="0" w:color="auto"/>
              <w:left w:val="single" w:sz="4" w:space="0" w:color="auto"/>
              <w:bottom w:val="single" w:sz="4" w:space="0" w:color="auto"/>
              <w:right w:val="single" w:sz="4" w:space="0" w:color="auto"/>
            </w:tcBorders>
            <w:shd w:val="pct12" w:color="auto" w:fill="auto"/>
          </w:tcPr>
          <w:p w14:paraId="3A2EDA51" w14:textId="77777777" w:rsidR="00302BFE" w:rsidRPr="006E490C" w:rsidRDefault="00302BFE" w:rsidP="00243B15">
            <w:pPr>
              <w:jc w:val="center"/>
              <w:rPr>
                <w:rFonts w:ascii="Times New Roman" w:hAnsi="Times New Roman"/>
                <w:b/>
                <w:bCs/>
                <w:sz w:val="18"/>
                <w:szCs w:val="18"/>
                <w:lang w:val="en-CA"/>
              </w:rPr>
            </w:pPr>
          </w:p>
        </w:tc>
        <w:tc>
          <w:tcPr>
            <w:tcW w:w="3016" w:type="dxa"/>
            <w:tcBorders>
              <w:top w:val="single" w:sz="4" w:space="0" w:color="auto"/>
              <w:left w:val="single" w:sz="4" w:space="0" w:color="auto"/>
              <w:bottom w:val="single" w:sz="4" w:space="0" w:color="auto"/>
              <w:right w:val="single" w:sz="4" w:space="0" w:color="auto"/>
            </w:tcBorders>
            <w:shd w:val="pct12" w:color="auto" w:fill="auto"/>
            <w:hideMark/>
          </w:tcPr>
          <w:p w14:paraId="327A1CC2" w14:textId="77777777" w:rsidR="00302BFE" w:rsidRPr="006E490C" w:rsidRDefault="00302BFE" w:rsidP="00243B15">
            <w:pPr>
              <w:jc w:val="center"/>
              <w:rPr>
                <w:b/>
                <w:bCs/>
                <w:sz w:val="18"/>
                <w:szCs w:val="18"/>
                <w:lang w:val="fr-CA"/>
              </w:rPr>
            </w:pPr>
            <w:r w:rsidRPr="006E490C">
              <w:rPr>
                <w:b/>
                <w:bCs/>
                <w:sz w:val="18"/>
                <w:szCs w:val="18"/>
                <w:lang w:val="fr-CA"/>
              </w:rPr>
              <w:t xml:space="preserve">Objective and </w:t>
            </w:r>
            <w:proofErr w:type="spellStart"/>
            <w:r w:rsidRPr="006E490C">
              <w:rPr>
                <w:b/>
                <w:bCs/>
                <w:sz w:val="18"/>
                <w:szCs w:val="18"/>
                <w:lang w:val="fr-CA"/>
              </w:rPr>
              <w:t>Outcome</w:t>
            </w:r>
            <w:proofErr w:type="spellEnd"/>
            <w:r w:rsidRPr="006E490C">
              <w:rPr>
                <w:b/>
                <w:bCs/>
                <w:sz w:val="18"/>
                <w:szCs w:val="18"/>
                <w:lang w:val="fr-CA"/>
              </w:rPr>
              <w:t xml:space="preserve"> </w:t>
            </w:r>
            <w:proofErr w:type="spellStart"/>
            <w:r w:rsidRPr="006E490C">
              <w:rPr>
                <w:b/>
                <w:bCs/>
                <w:sz w:val="18"/>
                <w:szCs w:val="18"/>
                <w:lang w:val="fr-CA"/>
              </w:rPr>
              <w:t>Indicators</w:t>
            </w:r>
            <w:proofErr w:type="spellEnd"/>
          </w:p>
        </w:tc>
        <w:tc>
          <w:tcPr>
            <w:tcW w:w="1552" w:type="dxa"/>
            <w:tcBorders>
              <w:top w:val="single" w:sz="4" w:space="0" w:color="auto"/>
              <w:left w:val="single" w:sz="4" w:space="0" w:color="auto"/>
              <w:bottom w:val="single" w:sz="4" w:space="0" w:color="auto"/>
              <w:right w:val="single" w:sz="4" w:space="0" w:color="auto"/>
            </w:tcBorders>
            <w:shd w:val="pct12" w:color="auto" w:fill="auto"/>
          </w:tcPr>
          <w:p w14:paraId="11AE1552" w14:textId="77777777" w:rsidR="00302BFE" w:rsidRPr="006E490C" w:rsidRDefault="00302BFE" w:rsidP="00243B15">
            <w:pPr>
              <w:jc w:val="center"/>
              <w:rPr>
                <w:b/>
                <w:bCs/>
                <w:sz w:val="18"/>
                <w:szCs w:val="18"/>
              </w:rPr>
            </w:pPr>
            <w:r w:rsidRPr="006E490C">
              <w:rPr>
                <w:b/>
                <w:bCs/>
                <w:sz w:val="18"/>
                <w:szCs w:val="18"/>
              </w:rPr>
              <w:t>Baseline</w:t>
            </w:r>
          </w:p>
        </w:tc>
        <w:tc>
          <w:tcPr>
            <w:tcW w:w="1552" w:type="dxa"/>
            <w:tcBorders>
              <w:top w:val="single" w:sz="4" w:space="0" w:color="auto"/>
              <w:left w:val="single" w:sz="4" w:space="0" w:color="auto"/>
              <w:bottom w:val="single" w:sz="4" w:space="0" w:color="auto"/>
              <w:right w:val="single" w:sz="4" w:space="0" w:color="auto"/>
            </w:tcBorders>
            <w:shd w:val="pct12" w:color="auto" w:fill="auto"/>
          </w:tcPr>
          <w:p w14:paraId="5E74B245" w14:textId="77777777" w:rsidR="00302BFE" w:rsidRPr="006E490C" w:rsidRDefault="00302BFE" w:rsidP="00243B15">
            <w:pPr>
              <w:jc w:val="center"/>
              <w:rPr>
                <w:b/>
                <w:bCs/>
                <w:sz w:val="18"/>
                <w:szCs w:val="18"/>
              </w:rPr>
            </w:pPr>
            <w:r w:rsidRPr="006E490C">
              <w:rPr>
                <w:b/>
                <w:bCs/>
                <w:sz w:val="18"/>
                <w:szCs w:val="18"/>
              </w:rPr>
              <w:t>Mid-term target</w:t>
            </w:r>
          </w:p>
        </w:tc>
        <w:tc>
          <w:tcPr>
            <w:tcW w:w="1552" w:type="dxa"/>
            <w:tcBorders>
              <w:top w:val="single" w:sz="4" w:space="0" w:color="auto"/>
              <w:left w:val="single" w:sz="4" w:space="0" w:color="auto"/>
              <w:bottom w:val="single" w:sz="4" w:space="0" w:color="auto"/>
              <w:right w:val="single" w:sz="4" w:space="0" w:color="auto"/>
            </w:tcBorders>
            <w:shd w:val="pct12" w:color="auto" w:fill="auto"/>
          </w:tcPr>
          <w:p w14:paraId="3DE7E5D8" w14:textId="77777777" w:rsidR="00302BFE" w:rsidRPr="006E490C" w:rsidRDefault="00302BFE" w:rsidP="00243B15">
            <w:pPr>
              <w:jc w:val="center"/>
              <w:rPr>
                <w:b/>
                <w:bCs/>
                <w:sz w:val="18"/>
                <w:szCs w:val="18"/>
                <w:lang w:val="fr-CA"/>
              </w:rPr>
            </w:pPr>
            <w:r w:rsidRPr="006E490C">
              <w:rPr>
                <w:b/>
                <w:bCs/>
                <w:sz w:val="18"/>
                <w:szCs w:val="18"/>
                <w:lang w:val="fr-CA"/>
              </w:rPr>
              <w:t xml:space="preserve">End of </w:t>
            </w:r>
            <w:proofErr w:type="spellStart"/>
            <w:r w:rsidRPr="006E490C">
              <w:rPr>
                <w:b/>
                <w:bCs/>
                <w:sz w:val="18"/>
                <w:szCs w:val="18"/>
                <w:lang w:val="fr-CA"/>
              </w:rPr>
              <w:t>project</w:t>
            </w:r>
            <w:proofErr w:type="spellEnd"/>
            <w:r w:rsidRPr="006E490C">
              <w:rPr>
                <w:b/>
                <w:bCs/>
                <w:sz w:val="18"/>
                <w:szCs w:val="18"/>
                <w:lang w:val="fr-CA"/>
              </w:rPr>
              <w:t xml:space="preserve"> </w:t>
            </w:r>
            <w:proofErr w:type="spellStart"/>
            <w:r w:rsidRPr="006E490C">
              <w:rPr>
                <w:b/>
                <w:bCs/>
                <w:sz w:val="18"/>
                <w:szCs w:val="18"/>
                <w:lang w:val="fr-CA"/>
              </w:rPr>
              <w:t>target</w:t>
            </w:r>
            <w:proofErr w:type="spellEnd"/>
          </w:p>
        </w:tc>
        <w:tc>
          <w:tcPr>
            <w:tcW w:w="4712" w:type="dxa"/>
            <w:tcBorders>
              <w:top w:val="single" w:sz="4" w:space="0" w:color="auto"/>
              <w:left w:val="single" w:sz="4" w:space="0" w:color="auto"/>
              <w:bottom w:val="single" w:sz="4" w:space="0" w:color="auto"/>
              <w:right w:val="single" w:sz="4" w:space="0" w:color="auto"/>
            </w:tcBorders>
            <w:shd w:val="pct12" w:color="auto" w:fill="auto"/>
          </w:tcPr>
          <w:p w14:paraId="04697513" w14:textId="77777777" w:rsidR="00302BFE" w:rsidRPr="006E490C" w:rsidRDefault="00302BFE" w:rsidP="00243B15">
            <w:pPr>
              <w:jc w:val="center"/>
              <w:rPr>
                <w:b/>
                <w:bCs/>
                <w:sz w:val="18"/>
                <w:szCs w:val="18"/>
                <w:lang w:val="en-CA"/>
              </w:rPr>
            </w:pPr>
            <w:r w:rsidRPr="006E490C">
              <w:rPr>
                <w:b/>
                <w:bCs/>
                <w:sz w:val="18"/>
                <w:szCs w:val="18"/>
                <w:lang w:val="en-CA"/>
              </w:rPr>
              <w:t>Methods of Data Collection and Risks / Assumptions</w:t>
            </w:r>
          </w:p>
        </w:tc>
      </w:tr>
      <w:tr w:rsidR="00302BFE" w:rsidRPr="006E490C" w14:paraId="3DBD4EA5" w14:textId="77777777" w:rsidTr="00243B15">
        <w:tc>
          <w:tcPr>
            <w:tcW w:w="2006" w:type="dxa"/>
            <w:vMerge w:val="restart"/>
            <w:tcBorders>
              <w:top w:val="single" w:sz="4" w:space="0" w:color="auto"/>
              <w:left w:val="single" w:sz="4" w:space="0" w:color="auto"/>
              <w:right w:val="single" w:sz="4" w:space="0" w:color="auto"/>
            </w:tcBorders>
            <w:shd w:val="pct12" w:color="auto" w:fill="auto"/>
          </w:tcPr>
          <w:p w14:paraId="5D777FBC" w14:textId="77777777" w:rsidR="00302BFE" w:rsidRPr="006E490C" w:rsidRDefault="00302BFE" w:rsidP="00243B15">
            <w:pPr>
              <w:rPr>
                <w:b/>
                <w:bCs/>
                <w:szCs w:val="20"/>
                <w:lang w:val="en-CA"/>
              </w:rPr>
            </w:pPr>
            <w:r w:rsidRPr="006E490C">
              <w:rPr>
                <w:rFonts w:ascii="Times New Roman" w:hAnsi="Times New Roman"/>
                <w:b/>
                <w:bCs/>
                <w:sz w:val="18"/>
                <w:szCs w:val="18"/>
                <w:lang w:val="en-CA"/>
              </w:rPr>
              <w:t xml:space="preserve"> </w:t>
            </w:r>
            <w:r w:rsidRPr="006E490C">
              <w:rPr>
                <w:b/>
                <w:bCs/>
                <w:szCs w:val="20"/>
                <w:lang w:val="en-CA"/>
              </w:rPr>
              <w:t>Project Objective:</w:t>
            </w:r>
          </w:p>
          <w:p w14:paraId="4C6C31FA" w14:textId="77777777" w:rsidR="00302BFE" w:rsidRPr="006E490C" w:rsidRDefault="00302BFE" w:rsidP="00243B15">
            <w:pPr>
              <w:jc w:val="left"/>
              <w:rPr>
                <w:rFonts w:ascii="Times New Roman" w:hAnsi="Times New Roman"/>
                <w:b/>
                <w:bCs/>
                <w:sz w:val="18"/>
                <w:szCs w:val="18"/>
                <w:lang w:val="en-CA"/>
              </w:rPr>
            </w:pPr>
            <w:r w:rsidRPr="006E490C">
              <w:rPr>
                <w:bCs/>
                <w:szCs w:val="20"/>
                <w:lang w:val="en-CA"/>
              </w:rPr>
              <w:t xml:space="preserve">To safeguard critical wildlife habitat, </w:t>
            </w:r>
            <w:proofErr w:type="gramStart"/>
            <w:r w:rsidRPr="006E490C">
              <w:rPr>
                <w:bCs/>
                <w:szCs w:val="20"/>
                <w:lang w:val="en-CA"/>
              </w:rPr>
              <w:t>biodiversity</w:t>
            </w:r>
            <w:proofErr w:type="gramEnd"/>
            <w:r w:rsidRPr="006E490C">
              <w:rPr>
                <w:bCs/>
                <w:szCs w:val="20"/>
                <w:lang w:val="en-CA"/>
              </w:rPr>
              <w:t xml:space="preserve"> and ecosystem services in the PONASI Protected Area complex through integrated landscape management, generating multiple benefits for sustainable development in the southern central Burkina Faso.</w:t>
            </w:r>
          </w:p>
        </w:tc>
        <w:tc>
          <w:tcPr>
            <w:tcW w:w="3016" w:type="dxa"/>
            <w:tcBorders>
              <w:top w:val="single" w:sz="4" w:space="0" w:color="auto"/>
              <w:left w:val="single" w:sz="4" w:space="0" w:color="auto"/>
              <w:bottom w:val="single" w:sz="4" w:space="0" w:color="auto"/>
              <w:right w:val="single" w:sz="4" w:space="0" w:color="auto"/>
            </w:tcBorders>
            <w:hideMark/>
          </w:tcPr>
          <w:p w14:paraId="6DC62620" w14:textId="77777777" w:rsidR="00302BFE" w:rsidRPr="006E490C" w:rsidRDefault="00302BFE" w:rsidP="00243B15">
            <w:pPr>
              <w:spacing w:after="0"/>
              <w:jc w:val="left"/>
              <w:rPr>
                <w:color w:val="000000"/>
                <w:sz w:val="18"/>
                <w:szCs w:val="18"/>
              </w:rPr>
            </w:pPr>
            <w:r w:rsidRPr="006E490C">
              <w:rPr>
                <w:b/>
                <w:color w:val="000000"/>
                <w:sz w:val="18"/>
                <w:szCs w:val="18"/>
                <w:u w:val="single"/>
              </w:rPr>
              <w:t>Mandatory indicator 1 (from the IRRF)</w:t>
            </w:r>
            <w:r w:rsidRPr="006E490C">
              <w:rPr>
                <w:color w:val="000000"/>
                <w:sz w:val="18"/>
                <w:szCs w:val="18"/>
              </w:rPr>
              <w:t>:</w:t>
            </w:r>
          </w:p>
          <w:p w14:paraId="65B17F73" w14:textId="77777777" w:rsidR="00302BFE" w:rsidRPr="006E490C" w:rsidRDefault="00302BFE" w:rsidP="00243B15">
            <w:pPr>
              <w:spacing w:after="0"/>
              <w:jc w:val="left"/>
              <w:rPr>
                <w:color w:val="000000"/>
                <w:sz w:val="18"/>
                <w:szCs w:val="18"/>
              </w:rPr>
            </w:pPr>
            <w:r w:rsidRPr="006E490C">
              <w:rPr>
                <w:color w:val="000000"/>
                <w:sz w:val="18"/>
                <w:szCs w:val="18"/>
              </w:rPr>
              <w:t xml:space="preserve">Natural resources that are managed under a sustainable use, conservation, </w:t>
            </w:r>
            <w:proofErr w:type="gramStart"/>
            <w:r w:rsidRPr="006E490C">
              <w:rPr>
                <w:color w:val="000000"/>
                <w:sz w:val="18"/>
                <w:szCs w:val="18"/>
              </w:rPr>
              <w:t>access</w:t>
            </w:r>
            <w:proofErr w:type="gramEnd"/>
            <w:r w:rsidRPr="006E490C">
              <w:rPr>
                <w:color w:val="000000"/>
                <w:sz w:val="18"/>
                <w:szCs w:val="18"/>
              </w:rPr>
              <w:t xml:space="preserve"> and benefit-sharing regime:</w:t>
            </w:r>
          </w:p>
          <w:p w14:paraId="65735948" w14:textId="77777777" w:rsidR="00302BFE" w:rsidRPr="006E490C" w:rsidRDefault="00302BFE" w:rsidP="00243B15">
            <w:pPr>
              <w:spacing w:after="0"/>
              <w:jc w:val="left"/>
              <w:rPr>
                <w:bCs/>
                <w:sz w:val="18"/>
                <w:szCs w:val="18"/>
                <w:lang w:val="en-CA"/>
              </w:rPr>
            </w:pPr>
            <w:r w:rsidRPr="006E490C">
              <w:rPr>
                <w:bCs/>
                <w:sz w:val="18"/>
                <w:szCs w:val="18"/>
                <w:lang w:val="en-CA"/>
              </w:rPr>
              <w:t>a) Area of terrestrial habitat under (new) protection (hectares) (ref indicator 8b)</w:t>
            </w:r>
          </w:p>
          <w:p w14:paraId="15351EB0" w14:textId="77777777" w:rsidR="00302BFE" w:rsidRPr="006E490C" w:rsidRDefault="00302BFE" w:rsidP="00243B15">
            <w:pPr>
              <w:spacing w:after="0"/>
              <w:jc w:val="left"/>
              <w:rPr>
                <w:bCs/>
                <w:sz w:val="18"/>
                <w:szCs w:val="18"/>
                <w:lang w:val="en-CA"/>
              </w:rPr>
            </w:pPr>
            <w:r w:rsidRPr="006E490C">
              <w:rPr>
                <w:bCs/>
                <w:sz w:val="18"/>
                <w:szCs w:val="18"/>
                <w:lang w:val="en-CA"/>
              </w:rPr>
              <w:t>b) Area of existing protected area under improved management (hectares) (ref indicator 8a)</w:t>
            </w:r>
          </w:p>
          <w:p w14:paraId="31E6FF42" w14:textId="77777777" w:rsidR="00302BFE" w:rsidRPr="006E490C" w:rsidRDefault="00302BFE" w:rsidP="00243B15">
            <w:pPr>
              <w:spacing w:after="0"/>
              <w:jc w:val="left"/>
              <w:rPr>
                <w:bCs/>
                <w:sz w:val="18"/>
                <w:szCs w:val="18"/>
                <w:lang w:val="en-CA"/>
              </w:rPr>
            </w:pPr>
            <w:r w:rsidRPr="006E490C">
              <w:rPr>
                <w:bCs/>
                <w:sz w:val="18"/>
                <w:szCs w:val="18"/>
                <w:lang w:val="en-CA"/>
              </w:rPr>
              <w:t>c) Area under sustainable forest management (hectares)</w:t>
            </w:r>
          </w:p>
          <w:p w14:paraId="05DB5F19" w14:textId="77777777" w:rsidR="00302BFE" w:rsidRPr="006E490C" w:rsidRDefault="00302BFE" w:rsidP="00243B15">
            <w:pPr>
              <w:spacing w:after="0"/>
              <w:jc w:val="left"/>
              <w:rPr>
                <w:bCs/>
                <w:sz w:val="18"/>
                <w:szCs w:val="18"/>
                <w:lang w:val="en-CA"/>
              </w:rPr>
            </w:pPr>
            <w:r w:rsidRPr="006E490C">
              <w:rPr>
                <w:bCs/>
                <w:sz w:val="18"/>
                <w:szCs w:val="18"/>
                <w:lang w:val="en-CA"/>
              </w:rPr>
              <w:t>d) Land area devoted to sustainable practices of pastoral management or climate-smart agriculture within pilot sites</w:t>
            </w:r>
          </w:p>
        </w:tc>
        <w:tc>
          <w:tcPr>
            <w:tcW w:w="1552" w:type="dxa"/>
            <w:tcBorders>
              <w:top w:val="single" w:sz="4" w:space="0" w:color="auto"/>
              <w:left w:val="single" w:sz="4" w:space="0" w:color="auto"/>
              <w:bottom w:val="single" w:sz="4" w:space="0" w:color="auto"/>
              <w:right w:val="single" w:sz="4" w:space="0" w:color="auto"/>
            </w:tcBorders>
            <w:hideMark/>
          </w:tcPr>
          <w:p w14:paraId="4BDBE692" w14:textId="77777777" w:rsidR="00302BFE" w:rsidRPr="00243B15" w:rsidRDefault="00302BFE" w:rsidP="00243B15">
            <w:pPr>
              <w:jc w:val="left"/>
              <w:rPr>
                <w:bCs/>
                <w:sz w:val="18"/>
                <w:szCs w:val="18"/>
                <w:lang w:val="en-CA"/>
              </w:rPr>
            </w:pPr>
            <w:r w:rsidRPr="00243B15">
              <w:rPr>
                <w:bCs/>
                <w:sz w:val="18"/>
                <w:szCs w:val="18"/>
                <w:lang w:val="en-CA"/>
              </w:rPr>
              <w:t>a) 0 ha</w:t>
            </w:r>
          </w:p>
          <w:p w14:paraId="4E295A7C" w14:textId="77777777" w:rsidR="00302BFE" w:rsidRPr="00243B15" w:rsidRDefault="00302BFE" w:rsidP="00243B15">
            <w:pPr>
              <w:jc w:val="left"/>
              <w:rPr>
                <w:bCs/>
                <w:sz w:val="18"/>
                <w:szCs w:val="18"/>
                <w:lang w:val="en-CA"/>
              </w:rPr>
            </w:pPr>
            <w:r w:rsidRPr="00243B15">
              <w:rPr>
                <w:bCs/>
                <w:sz w:val="18"/>
                <w:szCs w:val="18"/>
                <w:lang w:val="en-CA"/>
              </w:rPr>
              <w:t>b) 0 ha</w:t>
            </w:r>
          </w:p>
          <w:p w14:paraId="23813305" w14:textId="77777777" w:rsidR="00302BFE" w:rsidRPr="006E490C" w:rsidRDefault="00302BFE" w:rsidP="00243B15">
            <w:pPr>
              <w:jc w:val="left"/>
              <w:rPr>
                <w:bCs/>
                <w:sz w:val="18"/>
                <w:szCs w:val="18"/>
                <w:lang w:val="en-CA"/>
              </w:rPr>
            </w:pPr>
            <w:r w:rsidRPr="006E490C">
              <w:rPr>
                <w:bCs/>
                <w:sz w:val="18"/>
                <w:szCs w:val="18"/>
                <w:lang w:val="en-CA"/>
              </w:rPr>
              <w:t xml:space="preserve">c) </w:t>
            </w:r>
            <w:proofErr w:type="spellStart"/>
            <w:r w:rsidRPr="006E490C">
              <w:rPr>
                <w:bCs/>
                <w:sz w:val="18"/>
                <w:szCs w:val="18"/>
                <w:lang w:val="en-CA"/>
              </w:rPr>
              <w:t>t.b.d</w:t>
            </w:r>
            <w:proofErr w:type="spellEnd"/>
            <w:r w:rsidRPr="006E490C">
              <w:rPr>
                <w:bCs/>
                <w:sz w:val="18"/>
                <w:szCs w:val="18"/>
                <w:lang w:val="en-CA"/>
              </w:rPr>
              <w:t xml:space="preserve"> in 1</w:t>
            </w:r>
            <w:r w:rsidRPr="006E490C">
              <w:rPr>
                <w:bCs/>
                <w:sz w:val="18"/>
                <w:szCs w:val="18"/>
                <w:vertAlign w:val="superscript"/>
                <w:lang w:val="en-CA"/>
              </w:rPr>
              <w:t>st</w:t>
            </w:r>
            <w:r w:rsidRPr="006E490C">
              <w:rPr>
                <w:bCs/>
                <w:sz w:val="18"/>
                <w:szCs w:val="18"/>
                <w:lang w:val="en-CA"/>
              </w:rPr>
              <w:t xml:space="preserve"> year</w:t>
            </w:r>
          </w:p>
          <w:p w14:paraId="2E8F16D7" w14:textId="77777777" w:rsidR="00302BFE" w:rsidRPr="00243B15" w:rsidRDefault="00302BFE" w:rsidP="00243B15">
            <w:pPr>
              <w:jc w:val="left"/>
              <w:rPr>
                <w:bCs/>
                <w:sz w:val="18"/>
                <w:szCs w:val="18"/>
                <w:lang w:val="en-CA"/>
              </w:rPr>
            </w:pPr>
            <w:r w:rsidRPr="00243B15">
              <w:rPr>
                <w:bCs/>
                <w:sz w:val="18"/>
                <w:szCs w:val="18"/>
                <w:lang w:val="en-CA"/>
              </w:rPr>
              <w:t>d) 0 ha</w:t>
            </w:r>
          </w:p>
          <w:p w14:paraId="426C0FA5" w14:textId="77777777" w:rsidR="00302BFE" w:rsidRPr="00243B15" w:rsidRDefault="00302BFE" w:rsidP="00243B15">
            <w:pPr>
              <w:jc w:val="left"/>
              <w:rPr>
                <w:bCs/>
                <w:sz w:val="18"/>
                <w:szCs w:val="18"/>
                <w:lang w:val="en-CA"/>
              </w:rPr>
            </w:pPr>
          </w:p>
          <w:p w14:paraId="46A1091A" w14:textId="77777777" w:rsidR="00302BFE" w:rsidRPr="006E490C" w:rsidRDefault="00302BFE" w:rsidP="00243B15">
            <w:pPr>
              <w:jc w:val="left"/>
              <w:rPr>
                <w:bCs/>
                <w:i/>
                <w:sz w:val="18"/>
                <w:szCs w:val="18"/>
                <w:lang w:val="en-CA"/>
              </w:rPr>
            </w:pPr>
            <w:r w:rsidRPr="006E490C">
              <w:rPr>
                <w:bCs/>
                <w:sz w:val="18"/>
                <w:szCs w:val="18"/>
              </w:rPr>
              <w:t>(</w:t>
            </w:r>
            <w:proofErr w:type="gramStart"/>
            <w:r w:rsidRPr="006E490C">
              <w:rPr>
                <w:bCs/>
                <w:sz w:val="18"/>
                <w:szCs w:val="18"/>
              </w:rPr>
              <w:t>the</w:t>
            </w:r>
            <w:proofErr w:type="gramEnd"/>
            <w:r w:rsidRPr="006E490C">
              <w:rPr>
                <w:bCs/>
                <w:sz w:val="18"/>
                <w:szCs w:val="18"/>
              </w:rPr>
              <w:t xml:space="preserve"> project has not started yet)</w:t>
            </w:r>
          </w:p>
        </w:tc>
        <w:tc>
          <w:tcPr>
            <w:tcW w:w="1552" w:type="dxa"/>
            <w:tcBorders>
              <w:top w:val="single" w:sz="4" w:space="0" w:color="auto"/>
              <w:left w:val="single" w:sz="4" w:space="0" w:color="auto"/>
              <w:bottom w:val="single" w:sz="4" w:space="0" w:color="auto"/>
              <w:right w:val="single" w:sz="4" w:space="0" w:color="auto"/>
            </w:tcBorders>
            <w:hideMark/>
          </w:tcPr>
          <w:p w14:paraId="2AE71452" w14:textId="77777777" w:rsidR="00302BFE" w:rsidRPr="006E490C" w:rsidRDefault="00302BFE" w:rsidP="00243B15">
            <w:pPr>
              <w:jc w:val="left"/>
              <w:rPr>
                <w:bCs/>
                <w:sz w:val="18"/>
                <w:szCs w:val="18"/>
                <w:lang w:val="fr-CA"/>
              </w:rPr>
            </w:pPr>
            <w:r w:rsidRPr="006E490C">
              <w:rPr>
                <w:bCs/>
                <w:sz w:val="18"/>
                <w:szCs w:val="18"/>
                <w:lang w:val="fr-CA"/>
              </w:rPr>
              <w:t>a) 0 ha</w:t>
            </w:r>
          </w:p>
          <w:p w14:paraId="7E035A83" w14:textId="77777777" w:rsidR="00302BFE" w:rsidRPr="006E490C" w:rsidRDefault="00302BFE" w:rsidP="00243B15">
            <w:pPr>
              <w:jc w:val="left"/>
              <w:rPr>
                <w:bCs/>
                <w:sz w:val="18"/>
                <w:szCs w:val="18"/>
                <w:lang w:val="fr-CA"/>
              </w:rPr>
            </w:pPr>
            <w:r w:rsidRPr="006E490C">
              <w:rPr>
                <w:bCs/>
                <w:sz w:val="18"/>
                <w:szCs w:val="18"/>
                <w:lang w:val="fr-CA"/>
              </w:rPr>
              <w:t>b) 91,300 ha (</w:t>
            </w:r>
            <w:proofErr w:type="spellStart"/>
            <w:r w:rsidRPr="006E490C">
              <w:rPr>
                <w:bCs/>
                <w:sz w:val="18"/>
                <w:szCs w:val="18"/>
                <w:lang w:val="fr-CA"/>
              </w:rPr>
              <w:t>Nazinga</w:t>
            </w:r>
            <w:proofErr w:type="spellEnd"/>
            <w:r w:rsidRPr="006E490C">
              <w:rPr>
                <w:bCs/>
                <w:sz w:val="18"/>
                <w:szCs w:val="18"/>
                <w:lang w:val="fr-CA"/>
              </w:rPr>
              <w:t>)</w:t>
            </w:r>
          </w:p>
          <w:p w14:paraId="61B453CA" w14:textId="77777777" w:rsidR="00302BFE" w:rsidRPr="006E490C" w:rsidRDefault="00302BFE" w:rsidP="00243B15">
            <w:pPr>
              <w:jc w:val="left"/>
              <w:rPr>
                <w:bCs/>
                <w:sz w:val="18"/>
                <w:szCs w:val="18"/>
                <w:lang w:val="en-CA"/>
              </w:rPr>
            </w:pPr>
            <w:r w:rsidRPr="006E490C">
              <w:rPr>
                <w:bCs/>
                <w:sz w:val="18"/>
                <w:szCs w:val="18"/>
                <w:lang w:val="en-CA"/>
              </w:rPr>
              <w:t>c) 28,438 ha</w:t>
            </w:r>
          </w:p>
          <w:p w14:paraId="5DFF647E" w14:textId="77777777" w:rsidR="00302BFE" w:rsidRPr="006E490C" w:rsidRDefault="00302BFE" w:rsidP="00243B15">
            <w:pPr>
              <w:jc w:val="left"/>
              <w:rPr>
                <w:bCs/>
                <w:sz w:val="18"/>
                <w:szCs w:val="18"/>
                <w:lang w:val="en-CA"/>
              </w:rPr>
            </w:pPr>
            <w:r w:rsidRPr="006E490C">
              <w:rPr>
                <w:bCs/>
                <w:sz w:val="18"/>
                <w:szCs w:val="18"/>
                <w:lang w:val="en-CA"/>
              </w:rPr>
              <w:t>d) 0 ha</w:t>
            </w:r>
          </w:p>
          <w:p w14:paraId="29BF1622" w14:textId="77777777" w:rsidR="00302BFE" w:rsidRPr="006E490C" w:rsidRDefault="00302BFE" w:rsidP="00243B15">
            <w:pPr>
              <w:spacing w:before="120"/>
              <w:jc w:val="left"/>
              <w:rPr>
                <w:bCs/>
                <w:sz w:val="16"/>
                <w:szCs w:val="16"/>
                <w:lang w:val="en-CA"/>
              </w:rPr>
            </w:pPr>
            <w:r w:rsidRPr="006E490C">
              <w:rPr>
                <w:bCs/>
                <w:sz w:val="16"/>
                <w:szCs w:val="16"/>
                <w:lang w:val="en-CA"/>
              </w:rPr>
              <w:t>(</w:t>
            </w:r>
            <w:proofErr w:type="gramStart"/>
            <w:r w:rsidRPr="006E490C">
              <w:rPr>
                <w:bCs/>
                <w:sz w:val="16"/>
                <w:szCs w:val="16"/>
                <w:lang w:val="en-CA"/>
              </w:rPr>
              <w:t>planning</w:t>
            </w:r>
            <w:proofErr w:type="gramEnd"/>
            <w:r w:rsidRPr="006E490C">
              <w:rPr>
                <w:bCs/>
                <w:sz w:val="16"/>
                <w:szCs w:val="16"/>
                <w:lang w:val="en-CA"/>
              </w:rPr>
              <w:t xml:space="preserve"> and capacity development stage, implementation not sufficiently advanced to measure areas under sustainable practices)</w:t>
            </w:r>
          </w:p>
        </w:tc>
        <w:tc>
          <w:tcPr>
            <w:tcW w:w="1552" w:type="dxa"/>
            <w:tcBorders>
              <w:top w:val="single" w:sz="4" w:space="0" w:color="auto"/>
              <w:left w:val="single" w:sz="4" w:space="0" w:color="auto"/>
              <w:bottom w:val="single" w:sz="4" w:space="0" w:color="auto"/>
              <w:right w:val="single" w:sz="4" w:space="0" w:color="auto"/>
            </w:tcBorders>
            <w:hideMark/>
          </w:tcPr>
          <w:p w14:paraId="22C0E075" w14:textId="77777777" w:rsidR="00302BFE" w:rsidRPr="00CD48B7" w:rsidRDefault="00302BFE" w:rsidP="00243B15">
            <w:pPr>
              <w:jc w:val="left"/>
              <w:rPr>
                <w:bCs/>
                <w:sz w:val="18"/>
                <w:szCs w:val="18"/>
                <w:lang w:val="pt-PT"/>
              </w:rPr>
            </w:pPr>
            <w:r w:rsidRPr="00CD48B7">
              <w:rPr>
                <w:bCs/>
                <w:sz w:val="18"/>
                <w:szCs w:val="18"/>
                <w:lang w:val="pt-PT"/>
              </w:rPr>
              <w:t>a) 33,000 ha (corridor 2)</w:t>
            </w:r>
          </w:p>
          <w:p w14:paraId="5C6FB4A1" w14:textId="77777777" w:rsidR="00302BFE" w:rsidRPr="00CD48B7" w:rsidRDefault="00302BFE" w:rsidP="00243B15">
            <w:pPr>
              <w:jc w:val="left"/>
              <w:rPr>
                <w:bCs/>
                <w:sz w:val="18"/>
                <w:szCs w:val="18"/>
                <w:lang w:val="pt-PT"/>
              </w:rPr>
            </w:pPr>
            <w:r w:rsidRPr="00CD48B7">
              <w:rPr>
                <w:bCs/>
                <w:sz w:val="18"/>
                <w:szCs w:val="18"/>
                <w:lang w:val="pt-PT"/>
              </w:rPr>
              <w:t>b) 321,781 ha (Nazinga, Sissili, PNKT, ZOVICs, corridor 1)</w:t>
            </w:r>
          </w:p>
          <w:p w14:paraId="4471734F" w14:textId="77777777" w:rsidR="00302BFE" w:rsidRPr="006E490C" w:rsidRDefault="00302BFE" w:rsidP="00243B15">
            <w:pPr>
              <w:jc w:val="left"/>
              <w:rPr>
                <w:bCs/>
                <w:sz w:val="18"/>
                <w:szCs w:val="18"/>
                <w:lang w:val="en-CA"/>
              </w:rPr>
            </w:pPr>
            <w:r w:rsidRPr="006E490C">
              <w:rPr>
                <w:bCs/>
                <w:sz w:val="18"/>
                <w:szCs w:val="18"/>
                <w:lang w:val="en-CA"/>
              </w:rPr>
              <w:t xml:space="preserve">c) 85,314 ha (= 75% of CAF, forest massifs, </w:t>
            </w:r>
            <w:proofErr w:type="gramStart"/>
            <w:r w:rsidRPr="006E490C">
              <w:rPr>
                <w:bCs/>
                <w:sz w:val="18"/>
                <w:szCs w:val="18"/>
                <w:lang w:val="en-CA"/>
              </w:rPr>
              <w:t>commune</w:t>
            </w:r>
            <w:proofErr w:type="gramEnd"/>
            <w:r w:rsidRPr="006E490C">
              <w:rPr>
                <w:bCs/>
                <w:sz w:val="18"/>
                <w:szCs w:val="18"/>
                <w:lang w:val="en-CA"/>
              </w:rPr>
              <w:t xml:space="preserve"> and village forests areas)</w:t>
            </w:r>
          </w:p>
          <w:p w14:paraId="4F6169FA" w14:textId="77777777" w:rsidR="00302BFE" w:rsidRPr="006E490C" w:rsidRDefault="00302BFE" w:rsidP="00243B15">
            <w:pPr>
              <w:jc w:val="left"/>
              <w:rPr>
                <w:bCs/>
                <w:i/>
                <w:sz w:val="18"/>
                <w:szCs w:val="18"/>
                <w:lang w:val="en-CA"/>
              </w:rPr>
            </w:pPr>
            <w:r w:rsidRPr="006E490C">
              <w:rPr>
                <w:bCs/>
                <w:sz w:val="18"/>
                <w:szCs w:val="18"/>
                <w:lang w:val="en-CA"/>
              </w:rPr>
              <w:t>d) 39,664 ha (=75% of pastoral areas) and 4,500 ha under climate-smart agriculture in pilot site lands</w:t>
            </w:r>
          </w:p>
        </w:tc>
        <w:tc>
          <w:tcPr>
            <w:tcW w:w="4712" w:type="dxa"/>
            <w:tcBorders>
              <w:top w:val="single" w:sz="4" w:space="0" w:color="auto"/>
              <w:left w:val="single" w:sz="4" w:space="0" w:color="auto"/>
              <w:right w:val="single" w:sz="4" w:space="0" w:color="auto"/>
            </w:tcBorders>
            <w:hideMark/>
          </w:tcPr>
          <w:p w14:paraId="672B7236" w14:textId="77777777" w:rsidR="00302BFE" w:rsidRPr="006E490C" w:rsidRDefault="00302BFE" w:rsidP="00243B15">
            <w:pPr>
              <w:jc w:val="left"/>
              <w:rPr>
                <w:sz w:val="18"/>
                <w:szCs w:val="18"/>
                <w:lang w:val="en-CA"/>
              </w:rPr>
            </w:pPr>
            <w:r w:rsidRPr="006E490C">
              <w:rPr>
                <w:bCs/>
                <w:i/>
                <w:sz w:val="18"/>
                <w:szCs w:val="18"/>
                <w:lang w:val="en-CA"/>
              </w:rPr>
              <w:t>Data collection source / method</w:t>
            </w:r>
            <w:r w:rsidRPr="006E490C">
              <w:rPr>
                <w:bCs/>
                <w:i/>
                <w:sz w:val="18"/>
                <w:szCs w:val="18"/>
                <w:lang w:val="en-CA"/>
              </w:rPr>
              <w:br/>
            </w:r>
            <w:r w:rsidRPr="006E490C">
              <w:rPr>
                <w:sz w:val="18"/>
                <w:szCs w:val="18"/>
                <w:lang w:val="en-CA"/>
              </w:rPr>
              <w:t>a) Ref indicator 8b</w:t>
            </w:r>
          </w:p>
          <w:p w14:paraId="08C96C05" w14:textId="77777777" w:rsidR="00302BFE" w:rsidRPr="006E490C" w:rsidRDefault="00302BFE" w:rsidP="00243B15">
            <w:pPr>
              <w:jc w:val="left"/>
              <w:rPr>
                <w:sz w:val="18"/>
                <w:szCs w:val="18"/>
                <w:lang w:val="en-CA"/>
              </w:rPr>
            </w:pPr>
            <w:r w:rsidRPr="006E490C">
              <w:rPr>
                <w:sz w:val="18"/>
                <w:szCs w:val="18"/>
                <w:lang w:val="en-CA"/>
              </w:rPr>
              <w:t>b) Ref indicator 8a</w:t>
            </w:r>
          </w:p>
          <w:p w14:paraId="3241AC99" w14:textId="77777777" w:rsidR="00302BFE" w:rsidRPr="006E490C" w:rsidRDefault="00302BFE" w:rsidP="00243B15">
            <w:pPr>
              <w:jc w:val="left"/>
              <w:rPr>
                <w:sz w:val="18"/>
                <w:szCs w:val="18"/>
                <w:lang w:val="en-CA"/>
              </w:rPr>
            </w:pPr>
            <w:r w:rsidRPr="006E490C">
              <w:rPr>
                <w:sz w:val="18"/>
                <w:szCs w:val="18"/>
                <w:lang w:val="en-CA"/>
              </w:rPr>
              <w:t>c) Annual multi-stakeholder reports prepared by the Project Management Unit with technical support from AP PONASI's Landscape Co-management Platform Technical Core</w:t>
            </w:r>
          </w:p>
          <w:p w14:paraId="1C872693" w14:textId="77777777" w:rsidR="00302BFE" w:rsidRPr="006E490C" w:rsidRDefault="00302BFE" w:rsidP="00243B15">
            <w:pPr>
              <w:jc w:val="left"/>
              <w:rPr>
                <w:i/>
                <w:sz w:val="18"/>
                <w:szCs w:val="18"/>
                <w:lang w:val="en-CA"/>
              </w:rPr>
            </w:pPr>
            <w:r w:rsidRPr="006E490C">
              <w:rPr>
                <w:sz w:val="18"/>
                <w:szCs w:val="18"/>
                <w:lang w:val="en-CA"/>
              </w:rPr>
              <w:t xml:space="preserve">d) Annual multi-stakeholder reports prepared by the Project Management Unit with technical support from AP PONASI's Landscape Co-management Platform Technical Core. </w:t>
            </w:r>
            <w:r w:rsidRPr="006E490C">
              <w:rPr>
                <w:bCs/>
                <w:sz w:val="18"/>
                <w:szCs w:val="18"/>
                <w:lang w:val="en-CA"/>
              </w:rPr>
              <w:t>The area of farmland managed according to climate-smart practices in other villages in the project area and financed by other stakeholders will be followed by the platform</w:t>
            </w:r>
          </w:p>
          <w:p w14:paraId="07DFA9B3" w14:textId="77777777" w:rsidR="00302BFE" w:rsidRPr="006E490C" w:rsidRDefault="00302BFE" w:rsidP="00243B15">
            <w:pPr>
              <w:jc w:val="left"/>
              <w:rPr>
                <w:sz w:val="18"/>
                <w:szCs w:val="18"/>
                <w:lang w:val="en-CA"/>
              </w:rPr>
            </w:pPr>
            <w:r w:rsidRPr="006E490C">
              <w:rPr>
                <w:i/>
                <w:sz w:val="18"/>
                <w:szCs w:val="18"/>
                <w:lang w:val="en-CA"/>
              </w:rPr>
              <w:t>Risks</w:t>
            </w:r>
            <w:r w:rsidRPr="006E490C">
              <w:rPr>
                <w:sz w:val="18"/>
                <w:szCs w:val="18"/>
                <w:lang w:val="en-CA"/>
              </w:rPr>
              <w:t>: An unstable socio-economic and security context undermines the emergence of environmental sensitivity among the population who are not ready to change their unsustainable use of natural resources and adhere to the requirements of the Integrated Landscape Management Framework.</w:t>
            </w:r>
          </w:p>
          <w:p w14:paraId="2A7DF8C4" w14:textId="77777777" w:rsidR="00302BFE" w:rsidRPr="006E490C" w:rsidRDefault="00302BFE" w:rsidP="00243B15">
            <w:pPr>
              <w:jc w:val="left"/>
              <w:rPr>
                <w:bCs/>
                <w:i/>
                <w:sz w:val="18"/>
                <w:szCs w:val="18"/>
                <w:lang w:val="en-CA"/>
              </w:rPr>
            </w:pPr>
            <w:r w:rsidRPr="006E490C">
              <w:rPr>
                <w:i/>
                <w:sz w:val="18"/>
                <w:szCs w:val="18"/>
                <w:lang w:val="en-CA"/>
              </w:rPr>
              <w:t>Assumption</w:t>
            </w:r>
            <w:r w:rsidRPr="006E490C">
              <w:rPr>
                <w:sz w:val="18"/>
                <w:szCs w:val="18"/>
                <w:lang w:val="en-CA"/>
              </w:rPr>
              <w:t>: The preservation of biodiversity and ecosystem services is a priority for regional authorities and local governments who agree to participate in the planning of land and resource use within the landscape and to mobilize the necessary co-financing for its implementation</w:t>
            </w:r>
          </w:p>
        </w:tc>
      </w:tr>
      <w:tr w:rsidR="00302BFE" w:rsidRPr="006E490C" w14:paraId="1B7903F1" w14:textId="77777777" w:rsidTr="00243B15">
        <w:tc>
          <w:tcPr>
            <w:tcW w:w="2006" w:type="dxa"/>
            <w:vMerge/>
            <w:tcBorders>
              <w:left w:val="single" w:sz="4" w:space="0" w:color="auto"/>
              <w:right w:val="single" w:sz="4" w:space="0" w:color="auto"/>
            </w:tcBorders>
            <w:vAlign w:val="center"/>
            <w:hideMark/>
          </w:tcPr>
          <w:p w14:paraId="227EE8CF" w14:textId="77777777" w:rsidR="00302BFE" w:rsidRPr="006E490C" w:rsidRDefault="00302BFE" w:rsidP="00243B15">
            <w:pPr>
              <w:spacing w:after="0"/>
              <w:jc w:val="left"/>
              <w:rPr>
                <w:rFonts w:ascii="Times New Roman" w:hAnsi="Times New Roman"/>
                <w:b/>
                <w:bCs/>
                <w:i/>
                <w:sz w:val="18"/>
                <w:szCs w:val="18"/>
                <w:lang w:val="en-CA"/>
              </w:rPr>
            </w:pPr>
          </w:p>
        </w:tc>
        <w:tc>
          <w:tcPr>
            <w:tcW w:w="3016" w:type="dxa"/>
            <w:vMerge w:val="restart"/>
            <w:tcBorders>
              <w:top w:val="single" w:sz="4" w:space="0" w:color="auto"/>
              <w:left w:val="single" w:sz="4" w:space="0" w:color="auto"/>
              <w:bottom w:val="single" w:sz="4" w:space="0" w:color="auto"/>
              <w:right w:val="single" w:sz="4" w:space="0" w:color="auto"/>
            </w:tcBorders>
            <w:hideMark/>
          </w:tcPr>
          <w:p w14:paraId="79B61102" w14:textId="77777777" w:rsidR="00302BFE" w:rsidRPr="006E490C" w:rsidRDefault="00302BFE" w:rsidP="00243B15">
            <w:pPr>
              <w:jc w:val="left"/>
              <w:rPr>
                <w:bCs/>
                <w:sz w:val="18"/>
                <w:szCs w:val="18"/>
                <w:lang w:val="en-CA"/>
              </w:rPr>
            </w:pPr>
            <w:r w:rsidRPr="006E490C">
              <w:rPr>
                <w:bCs/>
                <w:sz w:val="18"/>
                <w:szCs w:val="18"/>
                <w:u w:val="single"/>
                <w:lang w:val="en-CA"/>
              </w:rPr>
              <w:t>Mandatory indicator 2</w:t>
            </w:r>
            <w:r w:rsidRPr="006E490C">
              <w:rPr>
                <w:bCs/>
                <w:sz w:val="18"/>
                <w:szCs w:val="18"/>
                <w:lang w:val="en-CA"/>
              </w:rPr>
              <w:t xml:space="preserve">: Number of direct beneficiaries of the project (men and women farmers, forest and agricultural labourers / herders, men and women in value chains and tourism activities), benefiting from livelihoods created or improved in relation to </w:t>
            </w:r>
            <w:r w:rsidRPr="006E490C">
              <w:rPr>
                <w:bCs/>
                <w:sz w:val="18"/>
                <w:szCs w:val="18"/>
                <w:lang w:val="en-CA"/>
              </w:rPr>
              <w:lastRenderedPageBreak/>
              <w:t>sustainable management of natural resources and ecosystem services within the PONASI landscape, disaggregated by sex.</w:t>
            </w:r>
          </w:p>
          <w:p w14:paraId="58B76253" w14:textId="77777777" w:rsidR="00302BFE" w:rsidRPr="006E490C" w:rsidRDefault="00302BFE" w:rsidP="00243B15">
            <w:pPr>
              <w:jc w:val="left"/>
              <w:rPr>
                <w:bCs/>
                <w:sz w:val="18"/>
                <w:szCs w:val="18"/>
                <w:lang w:val="en-CA"/>
              </w:rPr>
            </w:pPr>
            <w:r w:rsidRPr="006E490C">
              <w:rPr>
                <w:bCs/>
                <w:sz w:val="18"/>
                <w:szCs w:val="18"/>
                <w:lang w:val="en-CA"/>
              </w:rPr>
              <w:t>(</w:t>
            </w:r>
            <w:r w:rsidRPr="006E490C">
              <w:rPr>
                <w:b/>
                <w:bCs/>
                <w:sz w:val="18"/>
                <w:szCs w:val="18"/>
                <w:lang w:val="en-CA"/>
              </w:rPr>
              <w:t>GEF-7 Core indicator 11</w:t>
            </w:r>
            <w:r w:rsidRPr="006E490C">
              <w:rPr>
                <w:bCs/>
                <w:sz w:val="18"/>
                <w:szCs w:val="18"/>
                <w:lang w:val="en-CA"/>
              </w:rPr>
              <w:t>)</w:t>
            </w:r>
          </w:p>
        </w:tc>
        <w:tc>
          <w:tcPr>
            <w:tcW w:w="1552" w:type="dxa"/>
            <w:vMerge w:val="restart"/>
            <w:tcBorders>
              <w:top w:val="single" w:sz="4" w:space="0" w:color="auto"/>
              <w:left w:val="single" w:sz="4" w:space="0" w:color="auto"/>
              <w:bottom w:val="single" w:sz="4" w:space="0" w:color="auto"/>
              <w:right w:val="single" w:sz="4" w:space="0" w:color="auto"/>
            </w:tcBorders>
            <w:hideMark/>
          </w:tcPr>
          <w:p w14:paraId="0E43F9E0" w14:textId="77777777" w:rsidR="00302BFE" w:rsidRPr="006E490C" w:rsidRDefault="00302BFE" w:rsidP="00243B15">
            <w:pPr>
              <w:jc w:val="left"/>
              <w:rPr>
                <w:bCs/>
                <w:i/>
                <w:sz w:val="18"/>
                <w:szCs w:val="18"/>
              </w:rPr>
            </w:pPr>
            <w:r w:rsidRPr="006E490C">
              <w:rPr>
                <w:bCs/>
                <w:sz w:val="18"/>
                <w:szCs w:val="18"/>
              </w:rPr>
              <w:lastRenderedPageBreak/>
              <w:t>0 (the project has not started yet)</w:t>
            </w:r>
          </w:p>
        </w:tc>
        <w:tc>
          <w:tcPr>
            <w:tcW w:w="1552" w:type="dxa"/>
            <w:vMerge w:val="restart"/>
            <w:tcBorders>
              <w:top w:val="single" w:sz="4" w:space="0" w:color="auto"/>
              <w:left w:val="single" w:sz="4" w:space="0" w:color="auto"/>
              <w:bottom w:val="single" w:sz="4" w:space="0" w:color="auto"/>
              <w:right w:val="single" w:sz="4" w:space="0" w:color="auto"/>
            </w:tcBorders>
            <w:hideMark/>
          </w:tcPr>
          <w:p w14:paraId="60D5B32E" w14:textId="77777777" w:rsidR="00302BFE" w:rsidRPr="006E490C" w:rsidRDefault="00302BFE" w:rsidP="00243B15">
            <w:pPr>
              <w:jc w:val="left"/>
              <w:rPr>
                <w:bCs/>
                <w:sz w:val="18"/>
                <w:szCs w:val="18"/>
              </w:rPr>
            </w:pPr>
            <w:r w:rsidRPr="006E490C">
              <w:rPr>
                <w:bCs/>
                <w:sz w:val="18"/>
                <w:szCs w:val="18"/>
              </w:rPr>
              <w:t>8,095 with 60% women overall</w:t>
            </w:r>
            <w:r w:rsidRPr="006E490C">
              <w:rPr>
                <w:bCs/>
                <w:sz w:val="18"/>
                <w:szCs w:val="18"/>
              </w:rPr>
              <w:br/>
              <w:t>a) 90 men in CAFs</w:t>
            </w:r>
            <w:r w:rsidRPr="006E490C">
              <w:rPr>
                <w:bCs/>
                <w:sz w:val="18"/>
                <w:szCs w:val="18"/>
              </w:rPr>
              <w:br/>
              <w:t>b) 1600 men and women in pastoral activities</w:t>
            </w:r>
            <w:r w:rsidRPr="006E490C">
              <w:rPr>
                <w:bCs/>
                <w:sz w:val="18"/>
                <w:szCs w:val="18"/>
              </w:rPr>
              <w:br/>
              <w:t xml:space="preserve">c) 300 men and </w:t>
            </w:r>
            <w:r w:rsidRPr="006E490C">
              <w:rPr>
                <w:bCs/>
                <w:sz w:val="18"/>
                <w:szCs w:val="18"/>
              </w:rPr>
              <w:lastRenderedPageBreak/>
              <w:t>women in climate-smart agriculture activities –</w:t>
            </w:r>
            <w:r w:rsidRPr="006E490C">
              <w:rPr>
                <w:bCs/>
                <w:i/>
                <w:sz w:val="18"/>
                <w:szCs w:val="18"/>
              </w:rPr>
              <w:t>terroirs</w:t>
            </w:r>
            <w:r w:rsidRPr="006E490C">
              <w:rPr>
                <w:bCs/>
                <w:sz w:val="18"/>
                <w:szCs w:val="18"/>
              </w:rPr>
              <w:br/>
              <w:t>d) 5,100 men and women in communal and village forests (other than PAs and CAFs)</w:t>
            </w:r>
            <w:r w:rsidRPr="006E490C">
              <w:rPr>
                <w:bCs/>
                <w:sz w:val="18"/>
                <w:szCs w:val="18"/>
              </w:rPr>
              <w:br/>
              <w:t>e) 50 men and 155 women in non-timber forest products value chains</w:t>
            </w:r>
          </w:p>
          <w:p w14:paraId="0147DD62" w14:textId="77777777" w:rsidR="00302BFE" w:rsidRPr="006E490C" w:rsidRDefault="00302BFE" w:rsidP="00243B15">
            <w:pPr>
              <w:jc w:val="left"/>
              <w:rPr>
                <w:bCs/>
                <w:sz w:val="18"/>
                <w:szCs w:val="18"/>
                <w:lang w:val="en-CA"/>
              </w:rPr>
            </w:pPr>
            <w:r w:rsidRPr="006E490C">
              <w:rPr>
                <w:bCs/>
                <w:sz w:val="18"/>
                <w:szCs w:val="18"/>
                <w:lang w:val="en-CA"/>
              </w:rPr>
              <w:t>[</w:t>
            </w:r>
            <w:r w:rsidRPr="006E490C">
              <w:rPr>
                <w:bCs/>
                <w:sz w:val="16"/>
                <w:szCs w:val="16"/>
                <w:lang w:val="en-CA"/>
              </w:rPr>
              <w:t>honey VC: 50 men, 50 women)</w:t>
            </w:r>
            <w:r w:rsidRPr="006E490C">
              <w:rPr>
                <w:bCs/>
                <w:sz w:val="16"/>
                <w:szCs w:val="16"/>
                <w:lang w:val="en-CA"/>
              </w:rPr>
              <w:br/>
              <w:t>shea VC: 75 women</w:t>
            </w:r>
            <w:r w:rsidRPr="006E490C">
              <w:rPr>
                <w:bCs/>
                <w:sz w:val="16"/>
                <w:szCs w:val="16"/>
                <w:lang w:val="en-CA"/>
              </w:rPr>
              <w:br/>
            </w:r>
            <w:proofErr w:type="spellStart"/>
            <w:r w:rsidRPr="006E490C">
              <w:rPr>
                <w:bCs/>
                <w:sz w:val="16"/>
                <w:szCs w:val="16"/>
                <w:lang w:val="en-CA"/>
              </w:rPr>
              <w:t>liane</w:t>
            </w:r>
            <w:proofErr w:type="spellEnd"/>
            <w:r w:rsidRPr="006E490C">
              <w:rPr>
                <w:bCs/>
                <w:sz w:val="16"/>
                <w:szCs w:val="16"/>
                <w:lang w:val="en-CA"/>
              </w:rPr>
              <w:t xml:space="preserve"> </w:t>
            </w:r>
            <w:proofErr w:type="spellStart"/>
            <w:r w:rsidRPr="006E490C">
              <w:rPr>
                <w:bCs/>
                <w:sz w:val="16"/>
                <w:szCs w:val="16"/>
                <w:lang w:val="en-CA"/>
              </w:rPr>
              <w:t>goïne</w:t>
            </w:r>
            <w:proofErr w:type="spellEnd"/>
            <w:r w:rsidRPr="006E490C">
              <w:rPr>
                <w:bCs/>
                <w:sz w:val="16"/>
                <w:szCs w:val="16"/>
                <w:lang w:val="en-CA"/>
              </w:rPr>
              <w:t xml:space="preserve"> VC: 30 women]</w:t>
            </w:r>
          </w:p>
          <w:p w14:paraId="3D049AC5" w14:textId="77777777" w:rsidR="00302BFE" w:rsidRPr="006E490C" w:rsidRDefault="00302BFE" w:rsidP="00243B15">
            <w:pPr>
              <w:jc w:val="left"/>
              <w:rPr>
                <w:bCs/>
                <w:sz w:val="18"/>
                <w:szCs w:val="18"/>
                <w:lang w:val="en-CA"/>
              </w:rPr>
            </w:pPr>
            <w:r w:rsidRPr="006E490C">
              <w:rPr>
                <w:bCs/>
                <w:sz w:val="18"/>
                <w:szCs w:val="18"/>
                <w:lang w:val="en-CA"/>
              </w:rPr>
              <w:t xml:space="preserve">f) 15 men and 35 women in tourism </w:t>
            </w:r>
            <w:r w:rsidRPr="006E490C">
              <w:rPr>
                <w:bCs/>
                <w:sz w:val="18"/>
                <w:szCs w:val="18"/>
                <w:lang w:val="en-CA"/>
              </w:rPr>
              <w:br/>
              <w:t>g) 375 men and 375 women - paid work (opening of trails, opening and maintenance of firebreaks, management of early fires, rehabilitation of corridor # 2, etc.)</w:t>
            </w:r>
          </w:p>
        </w:tc>
        <w:tc>
          <w:tcPr>
            <w:tcW w:w="1552" w:type="dxa"/>
            <w:vMerge w:val="restart"/>
            <w:tcBorders>
              <w:top w:val="single" w:sz="4" w:space="0" w:color="auto"/>
              <w:left w:val="single" w:sz="4" w:space="0" w:color="auto"/>
              <w:bottom w:val="single" w:sz="4" w:space="0" w:color="auto"/>
              <w:right w:val="single" w:sz="4" w:space="0" w:color="auto"/>
            </w:tcBorders>
            <w:hideMark/>
          </w:tcPr>
          <w:p w14:paraId="74B24ACF" w14:textId="77777777" w:rsidR="00302BFE" w:rsidRPr="006E490C" w:rsidRDefault="00302BFE" w:rsidP="00243B15">
            <w:pPr>
              <w:jc w:val="left"/>
              <w:rPr>
                <w:bCs/>
                <w:sz w:val="18"/>
                <w:szCs w:val="18"/>
                <w:lang w:val="en-CA"/>
              </w:rPr>
            </w:pPr>
            <w:bookmarkStart w:id="24" w:name="_Hlk9253838"/>
            <w:r w:rsidRPr="006E490C">
              <w:rPr>
                <w:bCs/>
                <w:sz w:val="18"/>
                <w:szCs w:val="18"/>
                <w:lang w:val="en-CA"/>
              </w:rPr>
              <w:lastRenderedPageBreak/>
              <w:t>30,885 with 60% women overall</w:t>
            </w:r>
            <w:r w:rsidRPr="006E490C">
              <w:rPr>
                <w:bCs/>
                <w:sz w:val="18"/>
                <w:szCs w:val="18"/>
                <w:lang w:val="en-CA"/>
              </w:rPr>
              <w:br/>
              <w:t>a) 365 men in CAFs</w:t>
            </w:r>
            <w:r w:rsidRPr="006E490C">
              <w:rPr>
                <w:bCs/>
                <w:sz w:val="18"/>
                <w:szCs w:val="18"/>
                <w:lang w:val="en-CA"/>
              </w:rPr>
              <w:br/>
              <w:t xml:space="preserve">b) 6400 </w:t>
            </w:r>
            <w:r w:rsidRPr="006E490C">
              <w:rPr>
                <w:bCs/>
                <w:sz w:val="18"/>
                <w:szCs w:val="18"/>
              </w:rPr>
              <w:t>men and women in pastoral activities</w:t>
            </w:r>
            <w:r w:rsidRPr="006E490C">
              <w:rPr>
                <w:bCs/>
                <w:sz w:val="18"/>
                <w:szCs w:val="18"/>
                <w:lang w:val="en-CA"/>
              </w:rPr>
              <w:br/>
              <w:t xml:space="preserve">c) 1,200 men and </w:t>
            </w:r>
            <w:r w:rsidRPr="006E490C">
              <w:rPr>
                <w:bCs/>
                <w:sz w:val="18"/>
                <w:szCs w:val="18"/>
                <w:lang w:val="en-CA"/>
              </w:rPr>
              <w:lastRenderedPageBreak/>
              <w:t xml:space="preserve">women in climate-smart agriculture activities - </w:t>
            </w:r>
            <w:r w:rsidRPr="006E490C">
              <w:rPr>
                <w:bCs/>
                <w:i/>
                <w:sz w:val="18"/>
                <w:szCs w:val="18"/>
                <w:lang w:val="en-CA"/>
              </w:rPr>
              <w:t>terroirs</w:t>
            </w:r>
            <w:r w:rsidRPr="006E490C">
              <w:rPr>
                <w:bCs/>
                <w:sz w:val="18"/>
                <w:szCs w:val="18"/>
                <w:lang w:val="en-CA"/>
              </w:rPr>
              <w:br/>
              <w:t xml:space="preserve">d) 20,400 </w:t>
            </w:r>
            <w:r w:rsidRPr="006E490C">
              <w:rPr>
                <w:bCs/>
                <w:sz w:val="18"/>
                <w:szCs w:val="18"/>
              </w:rPr>
              <w:t>men and women in communal and village forests (other than PAs and CAFs)</w:t>
            </w:r>
            <w:r w:rsidRPr="006E490C">
              <w:rPr>
                <w:bCs/>
                <w:sz w:val="18"/>
                <w:szCs w:val="18"/>
                <w:lang w:val="en-CA"/>
              </w:rPr>
              <w:br/>
              <w:t xml:space="preserve">e) 200 </w:t>
            </w:r>
            <w:r w:rsidRPr="006E490C">
              <w:rPr>
                <w:bCs/>
                <w:sz w:val="18"/>
                <w:szCs w:val="18"/>
              </w:rPr>
              <w:t xml:space="preserve">men and </w:t>
            </w:r>
            <w:r w:rsidRPr="006E490C">
              <w:rPr>
                <w:bCs/>
                <w:sz w:val="18"/>
                <w:szCs w:val="18"/>
                <w:lang w:val="en-CA"/>
              </w:rPr>
              <w:t xml:space="preserve">620 </w:t>
            </w:r>
            <w:r w:rsidRPr="006E490C">
              <w:rPr>
                <w:bCs/>
                <w:sz w:val="18"/>
                <w:szCs w:val="18"/>
              </w:rPr>
              <w:t>women in non-timber forest products value chains</w:t>
            </w:r>
          </w:p>
          <w:p w14:paraId="76ECEB4B" w14:textId="77777777" w:rsidR="00302BFE" w:rsidRPr="006E490C" w:rsidRDefault="00302BFE" w:rsidP="00243B15">
            <w:pPr>
              <w:jc w:val="left"/>
              <w:rPr>
                <w:bCs/>
                <w:sz w:val="16"/>
                <w:szCs w:val="16"/>
                <w:lang w:val="en-CA"/>
              </w:rPr>
            </w:pPr>
            <w:r w:rsidRPr="006E490C">
              <w:rPr>
                <w:bCs/>
                <w:sz w:val="16"/>
                <w:szCs w:val="16"/>
                <w:lang w:val="en-CA"/>
              </w:rPr>
              <w:t>honey VC: 200 men, 200 women)</w:t>
            </w:r>
            <w:r w:rsidRPr="006E490C">
              <w:rPr>
                <w:bCs/>
                <w:sz w:val="16"/>
                <w:szCs w:val="16"/>
                <w:lang w:val="en-CA"/>
              </w:rPr>
              <w:br/>
              <w:t>shea VC: 300 women</w:t>
            </w:r>
            <w:r w:rsidRPr="006E490C">
              <w:rPr>
                <w:bCs/>
                <w:sz w:val="16"/>
                <w:szCs w:val="16"/>
                <w:lang w:val="en-CA"/>
              </w:rPr>
              <w:br/>
            </w:r>
            <w:proofErr w:type="spellStart"/>
            <w:r w:rsidRPr="006E490C">
              <w:rPr>
                <w:bCs/>
                <w:sz w:val="16"/>
                <w:szCs w:val="16"/>
                <w:lang w:val="en-CA"/>
              </w:rPr>
              <w:t>liane</w:t>
            </w:r>
            <w:proofErr w:type="spellEnd"/>
            <w:r w:rsidRPr="006E490C">
              <w:rPr>
                <w:bCs/>
                <w:sz w:val="16"/>
                <w:szCs w:val="16"/>
                <w:lang w:val="en-CA"/>
              </w:rPr>
              <w:t xml:space="preserve"> </w:t>
            </w:r>
            <w:proofErr w:type="spellStart"/>
            <w:r w:rsidRPr="006E490C">
              <w:rPr>
                <w:bCs/>
                <w:sz w:val="16"/>
                <w:szCs w:val="16"/>
                <w:lang w:val="en-CA"/>
              </w:rPr>
              <w:t>goïne</w:t>
            </w:r>
            <w:proofErr w:type="spellEnd"/>
            <w:r w:rsidRPr="006E490C">
              <w:rPr>
                <w:bCs/>
                <w:sz w:val="16"/>
                <w:szCs w:val="16"/>
                <w:lang w:val="en-CA"/>
              </w:rPr>
              <w:t xml:space="preserve"> VC: 120 women]</w:t>
            </w:r>
          </w:p>
          <w:p w14:paraId="7A0BA570" w14:textId="77777777" w:rsidR="00302BFE" w:rsidRPr="006E490C" w:rsidRDefault="00302BFE" w:rsidP="00243B15">
            <w:pPr>
              <w:jc w:val="left"/>
              <w:rPr>
                <w:bCs/>
                <w:sz w:val="18"/>
                <w:szCs w:val="18"/>
                <w:lang w:val="en-CA"/>
              </w:rPr>
            </w:pPr>
            <w:r w:rsidRPr="006E490C">
              <w:rPr>
                <w:bCs/>
                <w:sz w:val="18"/>
                <w:szCs w:val="18"/>
                <w:lang w:val="en-CA"/>
              </w:rPr>
              <w:t>f) 60 men and 140 women in tourism</w:t>
            </w:r>
            <w:r w:rsidRPr="006E490C">
              <w:rPr>
                <w:bCs/>
                <w:sz w:val="18"/>
                <w:szCs w:val="18"/>
                <w:lang w:val="en-CA"/>
              </w:rPr>
              <w:br/>
              <w:t>g) 750 men and 750 women - paid work (opening of trails, opening and maintenance of firebreaks, management of early fires, rehabilitation of corridor # 2, etc.)</w:t>
            </w:r>
            <w:bookmarkEnd w:id="24"/>
          </w:p>
        </w:tc>
        <w:tc>
          <w:tcPr>
            <w:tcW w:w="4712" w:type="dxa"/>
            <w:tcBorders>
              <w:top w:val="single" w:sz="4" w:space="0" w:color="auto"/>
              <w:left w:val="single" w:sz="4" w:space="0" w:color="auto"/>
              <w:bottom w:val="single" w:sz="4" w:space="0" w:color="auto"/>
              <w:right w:val="single" w:sz="4" w:space="0" w:color="auto"/>
            </w:tcBorders>
            <w:hideMark/>
          </w:tcPr>
          <w:p w14:paraId="2BD6AA02" w14:textId="77777777" w:rsidR="00302BFE" w:rsidRPr="006E490C" w:rsidRDefault="00302BFE" w:rsidP="00243B15">
            <w:pPr>
              <w:jc w:val="left"/>
              <w:rPr>
                <w:bCs/>
                <w:sz w:val="18"/>
                <w:szCs w:val="18"/>
                <w:lang w:val="en-CA"/>
              </w:rPr>
            </w:pPr>
            <w:r w:rsidRPr="006E490C">
              <w:rPr>
                <w:bCs/>
                <w:i/>
                <w:sz w:val="18"/>
                <w:szCs w:val="18"/>
                <w:lang w:val="en-CA"/>
              </w:rPr>
              <w:lastRenderedPageBreak/>
              <w:t>Data collection source / method</w:t>
            </w:r>
            <w:r w:rsidRPr="006E490C">
              <w:rPr>
                <w:bCs/>
                <w:sz w:val="18"/>
                <w:szCs w:val="18"/>
                <w:lang w:val="en-CA"/>
              </w:rPr>
              <w:t xml:space="preserve">: </w:t>
            </w:r>
          </w:p>
          <w:p w14:paraId="6544CCFD" w14:textId="77777777" w:rsidR="00302BFE" w:rsidRPr="006E490C" w:rsidRDefault="00302BFE" w:rsidP="00243B15">
            <w:pPr>
              <w:jc w:val="left"/>
              <w:rPr>
                <w:bCs/>
                <w:i/>
                <w:szCs w:val="20"/>
                <w:lang w:val="en-CA"/>
              </w:rPr>
            </w:pPr>
            <w:r w:rsidRPr="006E490C">
              <w:rPr>
                <w:bCs/>
                <w:sz w:val="18"/>
                <w:szCs w:val="18"/>
                <w:lang w:val="en-CA"/>
              </w:rPr>
              <w:t xml:space="preserve">Household surveys conducted in the project intervention sites at project start, </w:t>
            </w:r>
            <w:proofErr w:type="gramStart"/>
            <w:r w:rsidRPr="006E490C">
              <w:rPr>
                <w:bCs/>
                <w:sz w:val="18"/>
                <w:szCs w:val="18"/>
                <w:lang w:val="en-CA"/>
              </w:rPr>
              <w:t>midterm</w:t>
            </w:r>
            <w:proofErr w:type="gramEnd"/>
            <w:r w:rsidRPr="006E490C">
              <w:rPr>
                <w:bCs/>
                <w:sz w:val="18"/>
                <w:szCs w:val="18"/>
                <w:lang w:val="en-CA"/>
              </w:rPr>
              <w:t xml:space="preserve"> and end.</w:t>
            </w:r>
          </w:p>
        </w:tc>
      </w:tr>
      <w:tr w:rsidR="00302BFE" w:rsidRPr="006E490C" w14:paraId="04E07BC7" w14:textId="77777777" w:rsidTr="00243B15">
        <w:tc>
          <w:tcPr>
            <w:tcW w:w="2006" w:type="dxa"/>
            <w:vMerge/>
            <w:tcBorders>
              <w:left w:val="single" w:sz="4" w:space="0" w:color="auto"/>
              <w:right w:val="single" w:sz="4" w:space="0" w:color="auto"/>
            </w:tcBorders>
            <w:vAlign w:val="center"/>
            <w:hideMark/>
          </w:tcPr>
          <w:p w14:paraId="0C98FBF6" w14:textId="77777777" w:rsidR="00302BFE" w:rsidRPr="006E490C" w:rsidRDefault="00302BFE" w:rsidP="00243B15">
            <w:pPr>
              <w:spacing w:after="0"/>
              <w:jc w:val="left"/>
              <w:rPr>
                <w:rFonts w:ascii="Times New Roman" w:hAnsi="Times New Roman"/>
                <w:b/>
                <w:bCs/>
                <w:i/>
                <w:sz w:val="18"/>
                <w:szCs w:val="18"/>
                <w:lang w:val="en-CA"/>
              </w:rPr>
            </w:pPr>
          </w:p>
        </w:tc>
        <w:tc>
          <w:tcPr>
            <w:tcW w:w="3016" w:type="dxa"/>
            <w:vMerge/>
            <w:tcBorders>
              <w:top w:val="single" w:sz="4" w:space="0" w:color="auto"/>
              <w:left w:val="single" w:sz="4" w:space="0" w:color="auto"/>
              <w:bottom w:val="single" w:sz="4" w:space="0" w:color="auto"/>
              <w:right w:val="single" w:sz="4" w:space="0" w:color="auto"/>
            </w:tcBorders>
            <w:vAlign w:val="center"/>
            <w:hideMark/>
          </w:tcPr>
          <w:p w14:paraId="6406C3D0" w14:textId="77777777" w:rsidR="00302BFE" w:rsidRPr="006E490C" w:rsidRDefault="00302BFE" w:rsidP="00243B15">
            <w:pPr>
              <w:spacing w:after="0"/>
              <w:jc w:val="left"/>
              <w:rPr>
                <w:bCs/>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14:paraId="7292EC49"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14:paraId="097F91AD"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14:paraId="7E0455B6" w14:textId="77777777" w:rsidR="00302BFE" w:rsidRPr="006E490C" w:rsidRDefault="00302BFE" w:rsidP="00243B15">
            <w:pPr>
              <w:spacing w:after="0"/>
              <w:jc w:val="left"/>
              <w:rPr>
                <w:bCs/>
                <w:i/>
                <w:sz w:val="18"/>
                <w:szCs w:val="18"/>
                <w:lang w:val="en-CA"/>
              </w:rPr>
            </w:pPr>
          </w:p>
        </w:tc>
        <w:tc>
          <w:tcPr>
            <w:tcW w:w="4712" w:type="dxa"/>
            <w:tcBorders>
              <w:top w:val="single" w:sz="4" w:space="0" w:color="auto"/>
              <w:left w:val="single" w:sz="4" w:space="0" w:color="auto"/>
              <w:bottom w:val="single" w:sz="4" w:space="0" w:color="auto"/>
              <w:right w:val="single" w:sz="4" w:space="0" w:color="auto"/>
            </w:tcBorders>
          </w:tcPr>
          <w:p w14:paraId="07592C58" w14:textId="77777777" w:rsidR="00302BFE" w:rsidRPr="006E490C" w:rsidRDefault="00302BFE" w:rsidP="00243B15">
            <w:pPr>
              <w:jc w:val="left"/>
              <w:rPr>
                <w:sz w:val="18"/>
                <w:szCs w:val="18"/>
                <w:lang w:val="en-CA"/>
              </w:rPr>
            </w:pPr>
            <w:r w:rsidRPr="006E490C">
              <w:rPr>
                <w:i/>
                <w:sz w:val="18"/>
                <w:szCs w:val="18"/>
                <w:lang w:val="en-CA"/>
              </w:rPr>
              <w:t>Risks</w:t>
            </w:r>
            <w:r w:rsidRPr="006E490C">
              <w:rPr>
                <w:sz w:val="18"/>
                <w:szCs w:val="18"/>
                <w:lang w:val="en-CA"/>
              </w:rPr>
              <w:t xml:space="preserve">: Lack of local stakeholder buy-in on biodiversity conservation and sustainable natural resource management </w:t>
            </w:r>
            <w:r w:rsidRPr="006E490C">
              <w:rPr>
                <w:sz w:val="18"/>
                <w:szCs w:val="18"/>
                <w:lang w:val="en-CA"/>
              </w:rPr>
              <w:lastRenderedPageBreak/>
              <w:t>measures proposed in the integrated landscape management framework</w:t>
            </w:r>
          </w:p>
          <w:p w14:paraId="0306DDF3" w14:textId="77777777" w:rsidR="00302BFE" w:rsidRPr="006E490C" w:rsidRDefault="00302BFE" w:rsidP="00243B15">
            <w:pPr>
              <w:jc w:val="left"/>
              <w:rPr>
                <w:sz w:val="18"/>
                <w:szCs w:val="18"/>
                <w:lang w:val="en-CA"/>
              </w:rPr>
            </w:pPr>
            <w:r w:rsidRPr="006E490C">
              <w:rPr>
                <w:sz w:val="18"/>
                <w:szCs w:val="18"/>
                <w:lang w:val="en-CA"/>
              </w:rPr>
              <w:t>The lack of securing women's rights to access and use of land and resources limits their benefits related to the conservation and sustainable management of natural resources</w:t>
            </w:r>
          </w:p>
          <w:p w14:paraId="397D6CAC" w14:textId="77777777" w:rsidR="00302BFE" w:rsidRPr="006E490C" w:rsidRDefault="00302BFE" w:rsidP="00243B15">
            <w:pPr>
              <w:jc w:val="left"/>
              <w:rPr>
                <w:bCs/>
                <w:sz w:val="18"/>
                <w:szCs w:val="18"/>
                <w:lang w:val="en-CA"/>
              </w:rPr>
            </w:pPr>
            <w:r w:rsidRPr="006E490C">
              <w:rPr>
                <w:bCs/>
                <w:i/>
                <w:sz w:val="18"/>
                <w:szCs w:val="18"/>
                <w:lang w:val="en-CA"/>
              </w:rPr>
              <w:t>Assumption</w:t>
            </w:r>
            <w:r w:rsidRPr="006E490C">
              <w:rPr>
                <w:bCs/>
                <w:sz w:val="18"/>
                <w:szCs w:val="18"/>
                <w:lang w:val="en-CA"/>
              </w:rPr>
              <w:t xml:space="preserve">: </w:t>
            </w:r>
          </w:p>
          <w:p w14:paraId="1BBEE193" w14:textId="77777777" w:rsidR="00302BFE" w:rsidRPr="006E490C" w:rsidRDefault="00302BFE" w:rsidP="00243B15">
            <w:pPr>
              <w:jc w:val="left"/>
              <w:rPr>
                <w:bCs/>
                <w:sz w:val="18"/>
                <w:szCs w:val="18"/>
                <w:lang w:val="en-CA"/>
              </w:rPr>
            </w:pPr>
            <w:r w:rsidRPr="006E490C">
              <w:rPr>
                <w:bCs/>
                <w:sz w:val="18"/>
                <w:szCs w:val="18"/>
                <w:lang w:val="en-CA"/>
              </w:rPr>
              <w:t>Enhanced awareness of environmental degradation trends and their impact, as well as strengthened capacities and institutional framework, lead to increased adoption of sustainable land and natural resource management practices and their effective implementation</w:t>
            </w:r>
          </w:p>
        </w:tc>
      </w:tr>
      <w:tr w:rsidR="00302BFE" w:rsidRPr="006E490C" w14:paraId="4373AE6A" w14:textId="77777777" w:rsidTr="00243B15">
        <w:tc>
          <w:tcPr>
            <w:tcW w:w="2006" w:type="dxa"/>
            <w:vMerge/>
            <w:tcBorders>
              <w:left w:val="single" w:sz="4" w:space="0" w:color="auto"/>
              <w:right w:val="single" w:sz="4" w:space="0" w:color="auto"/>
            </w:tcBorders>
            <w:vAlign w:val="center"/>
            <w:hideMark/>
          </w:tcPr>
          <w:p w14:paraId="32F93DB0" w14:textId="77777777" w:rsidR="00302BFE" w:rsidRPr="006E490C" w:rsidRDefault="00302BFE" w:rsidP="00243B15">
            <w:pPr>
              <w:spacing w:after="0"/>
              <w:jc w:val="left"/>
              <w:rPr>
                <w:rFonts w:ascii="Times New Roman" w:hAnsi="Times New Roman"/>
                <w:b/>
                <w:bCs/>
                <w:i/>
                <w:sz w:val="18"/>
                <w:szCs w:val="18"/>
                <w:lang w:val="en-CA"/>
              </w:rPr>
            </w:pPr>
          </w:p>
        </w:tc>
        <w:tc>
          <w:tcPr>
            <w:tcW w:w="3016" w:type="dxa"/>
            <w:vMerge w:val="restart"/>
            <w:tcBorders>
              <w:top w:val="single" w:sz="4" w:space="0" w:color="auto"/>
              <w:left w:val="single" w:sz="4" w:space="0" w:color="auto"/>
              <w:bottom w:val="single" w:sz="4" w:space="0" w:color="auto"/>
              <w:right w:val="single" w:sz="4" w:space="0" w:color="auto"/>
            </w:tcBorders>
            <w:hideMark/>
          </w:tcPr>
          <w:p w14:paraId="1EC04BDA" w14:textId="77777777" w:rsidR="00302BFE" w:rsidRPr="006E490C" w:rsidRDefault="00302BFE" w:rsidP="00243B15">
            <w:pPr>
              <w:jc w:val="left"/>
              <w:rPr>
                <w:bCs/>
                <w:i/>
                <w:sz w:val="18"/>
                <w:szCs w:val="18"/>
                <w:u w:val="single"/>
                <w:lang w:val="en-CA"/>
              </w:rPr>
            </w:pPr>
            <w:r w:rsidRPr="006E490C">
              <w:rPr>
                <w:bCs/>
                <w:i/>
                <w:sz w:val="18"/>
                <w:szCs w:val="18"/>
                <w:u w:val="single"/>
                <w:lang w:val="en-CA"/>
              </w:rPr>
              <w:t>Indicator 3:</w:t>
            </w:r>
          </w:p>
          <w:p w14:paraId="522AA58A" w14:textId="77777777" w:rsidR="00302BFE" w:rsidRPr="006E490C" w:rsidRDefault="00302BFE" w:rsidP="00DC7D98">
            <w:pPr>
              <w:jc w:val="left"/>
              <w:rPr>
                <w:bCs/>
                <w:sz w:val="18"/>
                <w:szCs w:val="18"/>
                <w:lang w:val="en-CA"/>
              </w:rPr>
            </w:pPr>
            <w:r w:rsidRPr="006E490C">
              <w:rPr>
                <w:bCs/>
                <w:sz w:val="18"/>
                <w:szCs w:val="18"/>
                <w:lang w:val="en-CA"/>
              </w:rPr>
              <w:t>Statistically significant trend in elephant population size in the PONASI landscape</w:t>
            </w:r>
          </w:p>
        </w:tc>
        <w:tc>
          <w:tcPr>
            <w:tcW w:w="1552" w:type="dxa"/>
            <w:vMerge w:val="restart"/>
            <w:tcBorders>
              <w:top w:val="single" w:sz="4" w:space="0" w:color="auto"/>
              <w:left w:val="single" w:sz="4" w:space="0" w:color="auto"/>
              <w:bottom w:val="single" w:sz="4" w:space="0" w:color="auto"/>
              <w:right w:val="single" w:sz="4" w:space="0" w:color="auto"/>
            </w:tcBorders>
          </w:tcPr>
          <w:p w14:paraId="491D7394" w14:textId="77777777" w:rsidR="00302BFE" w:rsidRPr="006E490C" w:rsidRDefault="00302BFE" w:rsidP="00243B15">
            <w:pPr>
              <w:jc w:val="left"/>
              <w:rPr>
                <w:bCs/>
                <w:sz w:val="18"/>
                <w:szCs w:val="18"/>
                <w:lang w:val="en-CA"/>
              </w:rPr>
            </w:pPr>
            <w:r w:rsidRPr="006E490C">
              <w:rPr>
                <w:bCs/>
                <w:sz w:val="18"/>
                <w:szCs w:val="18"/>
                <w:lang w:val="en-CA"/>
              </w:rPr>
              <w:t>Baseline to be determined during first year of project implementation</w:t>
            </w:r>
          </w:p>
        </w:tc>
        <w:tc>
          <w:tcPr>
            <w:tcW w:w="1552" w:type="dxa"/>
            <w:vMerge w:val="restart"/>
            <w:tcBorders>
              <w:top w:val="single" w:sz="4" w:space="0" w:color="auto"/>
              <w:left w:val="single" w:sz="4" w:space="0" w:color="auto"/>
              <w:bottom w:val="single" w:sz="4" w:space="0" w:color="auto"/>
              <w:right w:val="single" w:sz="4" w:space="0" w:color="auto"/>
            </w:tcBorders>
          </w:tcPr>
          <w:p w14:paraId="09E7C372" w14:textId="77777777" w:rsidR="00302BFE" w:rsidRPr="006E490C" w:rsidRDefault="00302BFE" w:rsidP="00243B15">
            <w:pPr>
              <w:jc w:val="left"/>
              <w:rPr>
                <w:bCs/>
                <w:sz w:val="18"/>
                <w:szCs w:val="18"/>
                <w:lang w:val="fr-CA"/>
              </w:rPr>
            </w:pPr>
            <w:r w:rsidRPr="006E490C">
              <w:rPr>
                <w:bCs/>
                <w:sz w:val="18"/>
                <w:szCs w:val="18"/>
                <w:lang w:val="fr-CA"/>
              </w:rPr>
              <w:t xml:space="preserve">No </w:t>
            </w:r>
            <w:proofErr w:type="spellStart"/>
            <w:r w:rsidRPr="006E490C">
              <w:rPr>
                <w:bCs/>
                <w:sz w:val="18"/>
                <w:szCs w:val="18"/>
                <w:lang w:val="fr-CA"/>
              </w:rPr>
              <w:t>decrease</w:t>
            </w:r>
            <w:proofErr w:type="spellEnd"/>
          </w:p>
        </w:tc>
        <w:tc>
          <w:tcPr>
            <w:tcW w:w="1552" w:type="dxa"/>
            <w:vMerge w:val="restart"/>
            <w:tcBorders>
              <w:top w:val="single" w:sz="4" w:space="0" w:color="auto"/>
              <w:left w:val="single" w:sz="4" w:space="0" w:color="auto"/>
              <w:bottom w:val="single" w:sz="4" w:space="0" w:color="auto"/>
              <w:right w:val="single" w:sz="4" w:space="0" w:color="auto"/>
            </w:tcBorders>
          </w:tcPr>
          <w:p w14:paraId="1B419541" w14:textId="77777777" w:rsidR="00302BFE" w:rsidRPr="006E490C" w:rsidRDefault="00302BFE" w:rsidP="00243B15">
            <w:pPr>
              <w:jc w:val="left"/>
              <w:rPr>
                <w:bCs/>
                <w:sz w:val="18"/>
                <w:szCs w:val="18"/>
                <w:lang w:val="fr-CA"/>
              </w:rPr>
            </w:pPr>
            <w:r w:rsidRPr="006E490C">
              <w:rPr>
                <w:bCs/>
                <w:sz w:val="18"/>
                <w:szCs w:val="18"/>
                <w:lang w:val="fr-CA"/>
              </w:rPr>
              <w:t xml:space="preserve">No </w:t>
            </w:r>
            <w:proofErr w:type="spellStart"/>
            <w:r w:rsidRPr="006E490C">
              <w:rPr>
                <w:bCs/>
                <w:sz w:val="18"/>
                <w:szCs w:val="18"/>
                <w:lang w:val="fr-CA"/>
              </w:rPr>
              <w:t>decrease</w:t>
            </w:r>
            <w:proofErr w:type="spellEnd"/>
          </w:p>
        </w:tc>
        <w:tc>
          <w:tcPr>
            <w:tcW w:w="4712" w:type="dxa"/>
            <w:tcBorders>
              <w:top w:val="single" w:sz="4" w:space="0" w:color="auto"/>
              <w:left w:val="single" w:sz="4" w:space="0" w:color="auto"/>
              <w:bottom w:val="single" w:sz="4" w:space="0" w:color="auto"/>
              <w:right w:val="single" w:sz="4" w:space="0" w:color="auto"/>
            </w:tcBorders>
            <w:hideMark/>
          </w:tcPr>
          <w:p w14:paraId="3E0791DD" w14:textId="77777777" w:rsidR="00302BFE" w:rsidRPr="006E490C" w:rsidRDefault="00302BFE" w:rsidP="00243B15">
            <w:pPr>
              <w:jc w:val="left"/>
              <w:rPr>
                <w:bCs/>
                <w:sz w:val="18"/>
                <w:szCs w:val="18"/>
                <w:lang w:val="en-CA"/>
              </w:rPr>
            </w:pPr>
            <w:r w:rsidRPr="006E490C">
              <w:rPr>
                <w:bCs/>
                <w:i/>
                <w:sz w:val="18"/>
                <w:szCs w:val="18"/>
                <w:lang w:val="en-CA"/>
              </w:rPr>
              <w:t>Data collection source / method</w:t>
            </w:r>
            <w:r w:rsidRPr="006E490C">
              <w:rPr>
                <w:bCs/>
                <w:sz w:val="18"/>
                <w:szCs w:val="18"/>
                <w:lang w:val="en-CA"/>
              </w:rPr>
              <w:t xml:space="preserve">: Annual estimate, during the peak of the dry season, of the density of elephant dung along permanent transects following the methodology of Hedges and Lawson (2006) presented in Hema </w:t>
            </w:r>
            <w:r w:rsidRPr="006E490C">
              <w:rPr>
                <w:bCs/>
                <w:i/>
                <w:sz w:val="18"/>
                <w:szCs w:val="18"/>
                <w:lang w:val="en-CA"/>
              </w:rPr>
              <w:t>et al</w:t>
            </w:r>
            <w:r w:rsidRPr="006E490C">
              <w:rPr>
                <w:bCs/>
                <w:sz w:val="18"/>
                <w:szCs w:val="18"/>
                <w:lang w:val="en-CA"/>
              </w:rPr>
              <w:t xml:space="preserve">. (2013) Elephants or excrements? Comparison of the power of two survey methods for elephants in West African savanna. </w:t>
            </w:r>
            <w:r w:rsidRPr="006E490C">
              <w:rPr>
                <w:bCs/>
                <w:i/>
                <w:sz w:val="18"/>
                <w:szCs w:val="18"/>
                <w:lang w:val="en-CA"/>
              </w:rPr>
              <w:t>Environment and Pollution</w:t>
            </w:r>
            <w:r w:rsidRPr="006E490C">
              <w:rPr>
                <w:bCs/>
                <w:sz w:val="18"/>
                <w:szCs w:val="18"/>
                <w:lang w:val="en-CA"/>
              </w:rPr>
              <w:t xml:space="preserve"> 2: 14-24.</w:t>
            </w:r>
          </w:p>
        </w:tc>
      </w:tr>
      <w:tr w:rsidR="00302BFE" w:rsidRPr="006E490C" w14:paraId="36780041" w14:textId="77777777" w:rsidTr="00243B15">
        <w:tc>
          <w:tcPr>
            <w:tcW w:w="2006" w:type="dxa"/>
            <w:vMerge/>
            <w:tcBorders>
              <w:left w:val="single" w:sz="4" w:space="0" w:color="auto"/>
              <w:right w:val="single" w:sz="4" w:space="0" w:color="auto"/>
            </w:tcBorders>
            <w:vAlign w:val="center"/>
            <w:hideMark/>
          </w:tcPr>
          <w:p w14:paraId="47F6FE43" w14:textId="77777777" w:rsidR="00302BFE" w:rsidRPr="006E490C" w:rsidRDefault="00302BFE" w:rsidP="00243B15">
            <w:pPr>
              <w:spacing w:after="0"/>
              <w:jc w:val="left"/>
              <w:rPr>
                <w:rFonts w:ascii="Times New Roman" w:hAnsi="Times New Roman"/>
                <w:b/>
                <w:bCs/>
                <w:i/>
                <w:sz w:val="18"/>
                <w:szCs w:val="18"/>
                <w:lang w:val="en-CA"/>
              </w:rPr>
            </w:pPr>
          </w:p>
        </w:tc>
        <w:tc>
          <w:tcPr>
            <w:tcW w:w="3016" w:type="dxa"/>
            <w:vMerge/>
            <w:tcBorders>
              <w:top w:val="single" w:sz="4" w:space="0" w:color="auto"/>
              <w:left w:val="single" w:sz="4" w:space="0" w:color="auto"/>
              <w:bottom w:val="single" w:sz="4" w:space="0" w:color="auto"/>
              <w:right w:val="single" w:sz="4" w:space="0" w:color="auto"/>
            </w:tcBorders>
            <w:vAlign w:val="center"/>
            <w:hideMark/>
          </w:tcPr>
          <w:p w14:paraId="69851D70"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32C74E5F"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23164F95"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29F7BC08" w14:textId="77777777" w:rsidR="00302BFE" w:rsidRPr="006E490C" w:rsidRDefault="00302BFE" w:rsidP="00243B15">
            <w:pPr>
              <w:spacing w:after="0"/>
              <w:jc w:val="left"/>
              <w:rPr>
                <w:bCs/>
                <w:i/>
                <w:sz w:val="18"/>
                <w:szCs w:val="18"/>
                <w:lang w:val="en-CA"/>
              </w:rPr>
            </w:pPr>
          </w:p>
        </w:tc>
        <w:tc>
          <w:tcPr>
            <w:tcW w:w="4712" w:type="dxa"/>
            <w:tcBorders>
              <w:top w:val="single" w:sz="4" w:space="0" w:color="auto"/>
              <w:left w:val="single" w:sz="4" w:space="0" w:color="auto"/>
              <w:bottom w:val="single" w:sz="4" w:space="0" w:color="auto"/>
              <w:right w:val="single" w:sz="4" w:space="0" w:color="auto"/>
            </w:tcBorders>
          </w:tcPr>
          <w:p w14:paraId="1FF53B87" w14:textId="77777777" w:rsidR="00302BFE" w:rsidRPr="006E490C" w:rsidRDefault="00302BFE" w:rsidP="00243B15">
            <w:pPr>
              <w:jc w:val="left"/>
              <w:rPr>
                <w:sz w:val="18"/>
                <w:szCs w:val="18"/>
                <w:lang w:val="en-CA"/>
              </w:rPr>
            </w:pPr>
            <w:r w:rsidRPr="006E490C">
              <w:rPr>
                <w:i/>
                <w:sz w:val="18"/>
                <w:szCs w:val="18"/>
                <w:lang w:val="en-CA"/>
              </w:rPr>
              <w:t>Risks</w:t>
            </w:r>
            <w:r w:rsidRPr="006E490C">
              <w:rPr>
                <w:sz w:val="18"/>
                <w:szCs w:val="18"/>
                <w:lang w:val="en-CA"/>
              </w:rPr>
              <w:t>: The presence of barriers to elephant movements causes local overload of critical habitat</w:t>
            </w:r>
          </w:p>
          <w:p w14:paraId="1DF95B80" w14:textId="77777777" w:rsidR="00302BFE" w:rsidRPr="006E490C" w:rsidRDefault="00302BFE" w:rsidP="00243B15">
            <w:pPr>
              <w:jc w:val="left"/>
              <w:rPr>
                <w:sz w:val="18"/>
                <w:szCs w:val="18"/>
                <w:lang w:val="en-CA"/>
              </w:rPr>
            </w:pPr>
            <w:r w:rsidRPr="006E490C">
              <w:rPr>
                <w:sz w:val="18"/>
                <w:szCs w:val="18"/>
                <w:lang w:val="en-CA"/>
              </w:rPr>
              <w:t>The effect of climate change intensifies the seasonal water scarcity in protected areas and corridors</w:t>
            </w:r>
          </w:p>
          <w:p w14:paraId="0237EC7C" w14:textId="77777777" w:rsidR="00302BFE" w:rsidRPr="006E490C" w:rsidRDefault="00302BFE" w:rsidP="00243B15">
            <w:pPr>
              <w:jc w:val="left"/>
              <w:rPr>
                <w:bCs/>
                <w:sz w:val="18"/>
                <w:szCs w:val="18"/>
                <w:lang w:val="en-CA"/>
              </w:rPr>
            </w:pPr>
            <w:r w:rsidRPr="006E490C">
              <w:rPr>
                <w:bCs/>
                <w:i/>
                <w:sz w:val="18"/>
                <w:szCs w:val="18"/>
                <w:lang w:val="en-CA"/>
              </w:rPr>
              <w:t xml:space="preserve">Assumption: </w:t>
            </w:r>
            <w:r w:rsidRPr="006E490C">
              <w:rPr>
                <w:bCs/>
                <w:sz w:val="18"/>
                <w:szCs w:val="18"/>
                <w:lang w:val="en-CA"/>
              </w:rPr>
              <w:t xml:space="preserve">Ongoing efforts by the Government and its partners have significantly reduced the encroachment of </w:t>
            </w:r>
            <w:r w:rsidRPr="006E490C">
              <w:rPr>
                <w:bCs/>
                <w:sz w:val="18"/>
                <w:szCs w:val="18"/>
                <w:lang w:val="en-CA"/>
              </w:rPr>
              <w:lastRenderedPageBreak/>
              <w:t>Corridor # 1 by agricultural and pastoral activities and thus ensure security for elephant movement.</w:t>
            </w:r>
          </w:p>
        </w:tc>
      </w:tr>
      <w:tr w:rsidR="00302BFE" w:rsidRPr="006E490C" w14:paraId="1E65879D" w14:textId="77777777" w:rsidTr="00243B15">
        <w:tc>
          <w:tcPr>
            <w:tcW w:w="2006" w:type="dxa"/>
            <w:vMerge/>
            <w:tcBorders>
              <w:left w:val="single" w:sz="4" w:space="0" w:color="auto"/>
              <w:right w:val="single" w:sz="4" w:space="0" w:color="auto"/>
            </w:tcBorders>
            <w:vAlign w:val="center"/>
          </w:tcPr>
          <w:p w14:paraId="34AE81BA" w14:textId="77777777" w:rsidR="00302BFE" w:rsidRPr="006E490C" w:rsidRDefault="00302BFE" w:rsidP="00243B15">
            <w:pPr>
              <w:spacing w:after="0"/>
              <w:jc w:val="left"/>
              <w:rPr>
                <w:rFonts w:ascii="Times New Roman" w:hAnsi="Times New Roman"/>
                <w:b/>
                <w:bCs/>
                <w:i/>
                <w:sz w:val="18"/>
                <w:szCs w:val="18"/>
                <w:lang w:val="en-CA"/>
              </w:rPr>
            </w:pPr>
          </w:p>
        </w:tc>
        <w:tc>
          <w:tcPr>
            <w:tcW w:w="3016" w:type="dxa"/>
            <w:vMerge w:val="restart"/>
            <w:tcBorders>
              <w:top w:val="single" w:sz="4" w:space="0" w:color="auto"/>
              <w:left w:val="single" w:sz="4" w:space="0" w:color="auto"/>
              <w:right w:val="single" w:sz="4" w:space="0" w:color="auto"/>
            </w:tcBorders>
          </w:tcPr>
          <w:p w14:paraId="25B38B52" w14:textId="77777777" w:rsidR="00302BFE" w:rsidRPr="006E490C" w:rsidRDefault="00302BFE" w:rsidP="00243B15">
            <w:pPr>
              <w:spacing w:after="0"/>
              <w:jc w:val="left"/>
              <w:rPr>
                <w:sz w:val="18"/>
                <w:szCs w:val="18"/>
                <w:u w:val="single"/>
                <w:lang w:val="en-CA"/>
              </w:rPr>
            </w:pPr>
            <w:r w:rsidRPr="006E490C">
              <w:rPr>
                <w:i/>
                <w:sz w:val="18"/>
                <w:szCs w:val="18"/>
                <w:u w:val="single"/>
                <w:lang w:val="en-CA"/>
              </w:rPr>
              <w:t>Indicator 4</w:t>
            </w:r>
            <w:r w:rsidRPr="006E490C">
              <w:rPr>
                <w:sz w:val="18"/>
                <w:szCs w:val="18"/>
                <w:u w:val="single"/>
                <w:lang w:val="en-CA"/>
              </w:rPr>
              <w:t>:</w:t>
            </w:r>
          </w:p>
          <w:p w14:paraId="73F49EF4" w14:textId="77777777" w:rsidR="00302BFE" w:rsidRPr="006E490C" w:rsidRDefault="00302BFE" w:rsidP="00243B15">
            <w:pPr>
              <w:spacing w:after="0"/>
              <w:jc w:val="left"/>
              <w:rPr>
                <w:sz w:val="18"/>
                <w:szCs w:val="18"/>
                <w:lang w:val="en-CA"/>
              </w:rPr>
            </w:pPr>
            <w:r w:rsidRPr="006E490C">
              <w:rPr>
                <w:sz w:val="18"/>
                <w:szCs w:val="18"/>
                <w:lang w:val="en-CA"/>
              </w:rPr>
              <w:t>GHG emissions avoided by an integrated landscape management by reducing the rate of deforestation in forest landscapes and restoring natural habitats</w:t>
            </w:r>
          </w:p>
          <w:p w14:paraId="0A82F280" w14:textId="77777777" w:rsidR="00302BFE" w:rsidRPr="006E490C" w:rsidRDefault="00302BFE" w:rsidP="00243B15">
            <w:pPr>
              <w:spacing w:after="0"/>
              <w:jc w:val="left"/>
              <w:rPr>
                <w:b/>
                <w:bCs/>
                <w:sz w:val="18"/>
                <w:szCs w:val="18"/>
                <w:lang w:val="en-CA"/>
              </w:rPr>
            </w:pPr>
            <w:r w:rsidRPr="006E490C">
              <w:rPr>
                <w:b/>
                <w:bCs/>
                <w:sz w:val="18"/>
                <w:szCs w:val="18"/>
                <w:lang w:val="en-CA"/>
              </w:rPr>
              <w:t>(GEF-7 Core indicator 6 – Greenhouse gas emissions mitigated (metric tons of carbon dioxide equivalent)</w:t>
            </w:r>
          </w:p>
        </w:tc>
        <w:tc>
          <w:tcPr>
            <w:tcW w:w="1552" w:type="dxa"/>
            <w:vMerge w:val="restart"/>
            <w:tcBorders>
              <w:top w:val="single" w:sz="4" w:space="0" w:color="auto"/>
              <w:left w:val="single" w:sz="4" w:space="0" w:color="auto"/>
              <w:right w:val="single" w:sz="4" w:space="0" w:color="auto"/>
            </w:tcBorders>
          </w:tcPr>
          <w:p w14:paraId="5C9DD5B7" w14:textId="77777777" w:rsidR="00302BFE" w:rsidRPr="006E490C" w:rsidRDefault="00302BFE" w:rsidP="00243B15">
            <w:pPr>
              <w:spacing w:after="0"/>
              <w:jc w:val="left"/>
              <w:rPr>
                <w:bCs/>
                <w:i/>
                <w:sz w:val="18"/>
                <w:szCs w:val="18"/>
                <w:lang w:val="en-CA"/>
              </w:rPr>
            </w:pPr>
            <w:r w:rsidRPr="006E490C">
              <w:rPr>
                <w:bCs/>
                <w:sz w:val="18"/>
                <w:szCs w:val="18"/>
              </w:rPr>
              <w:t>0 (the project has not started yet)</w:t>
            </w:r>
          </w:p>
        </w:tc>
        <w:tc>
          <w:tcPr>
            <w:tcW w:w="1552" w:type="dxa"/>
            <w:vMerge w:val="restart"/>
            <w:tcBorders>
              <w:top w:val="single" w:sz="4" w:space="0" w:color="auto"/>
              <w:left w:val="single" w:sz="4" w:space="0" w:color="auto"/>
              <w:right w:val="single" w:sz="4" w:space="0" w:color="auto"/>
            </w:tcBorders>
          </w:tcPr>
          <w:p w14:paraId="2E1CB6AE" w14:textId="77777777" w:rsidR="00302BFE" w:rsidRPr="00D61C93" w:rsidRDefault="00302BFE" w:rsidP="00243B15">
            <w:pPr>
              <w:spacing w:after="0"/>
              <w:jc w:val="left"/>
              <w:rPr>
                <w:bCs/>
                <w:i/>
                <w:sz w:val="18"/>
                <w:szCs w:val="18"/>
                <w:lang w:val="fr-CA"/>
              </w:rPr>
            </w:pPr>
            <w:r w:rsidRPr="00D61C93">
              <w:rPr>
                <w:bCs/>
                <w:i/>
                <w:sz w:val="18"/>
                <w:szCs w:val="18"/>
                <w:lang w:val="fr-CA"/>
              </w:rPr>
              <w:t>---</w:t>
            </w:r>
          </w:p>
        </w:tc>
        <w:tc>
          <w:tcPr>
            <w:tcW w:w="1552" w:type="dxa"/>
            <w:vMerge w:val="restart"/>
            <w:tcBorders>
              <w:top w:val="single" w:sz="4" w:space="0" w:color="auto"/>
              <w:left w:val="single" w:sz="4" w:space="0" w:color="auto"/>
              <w:right w:val="single" w:sz="4" w:space="0" w:color="auto"/>
            </w:tcBorders>
          </w:tcPr>
          <w:p w14:paraId="1E990BF4" w14:textId="77777777" w:rsidR="00302BFE" w:rsidRPr="00D61C93" w:rsidRDefault="00CD025C" w:rsidP="00243B15">
            <w:pPr>
              <w:spacing w:after="0"/>
              <w:jc w:val="left"/>
              <w:rPr>
                <w:bCs/>
                <w:sz w:val="18"/>
                <w:szCs w:val="18"/>
                <w:lang w:val="en-CA"/>
              </w:rPr>
            </w:pPr>
            <w:r w:rsidRPr="00D61C93">
              <w:rPr>
                <w:bCs/>
                <w:sz w:val="18"/>
                <w:szCs w:val="18"/>
                <w:lang w:val="en-CA"/>
              </w:rPr>
              <w:t>5</w:t>
            </w:r>
            <w:r w:rsidR="00302BFE" w:rsidRPr="00D61C93">
              <w:rPr>
                <w:bCs/>
                <w:sz w:val="18"/>
                <w:szCs w:val="18"/>
                <w:lang w:val="en-CA"/>
              </w:rPr>
              <w:t>,</w:t>
            </w:r>
            <w:r w:rsidRPr="00D61C93">
              <w:rPr>
                <w:bCs/>
                <w:sz w:val="18"/>
                <w:szCs w:val="18"/>
                <w:lang w:val="en-CA"/>
              </w:rPr>
              <w:t>44</w:t>
            </w:r>
            <w:r w:rsidR="00DD5172" w:rsidRPr="00D61C93">
              <w:rPr>
                <w:bCs/>
                <w:sz w:val="18"/>
                <w:szCs w:val="18"/>
                <w:lang w:val="en-CA"/>
              </w:rPr>
              <w:t>8</w:t>
            </w:r>
            <w:r w:rsidR="00302BFE" w:rsidRPr="00D61C93">
              <w:rPr>
                <w:bCs/>
                <w:sz w:val="18"/>
                <w:szCs w:val="18"/>
                <w:lang w:val="en-CA"/>
              </w:rPr>
              <w:t>,</w:t>
            </w:r>
            <w:r w:rsidRPr="00D61C93">
              <w:rPr>
                <w:bCs/>
                <w:sz w:val="18"/>
                <w:szCs w:val="18"/>
                <w:lang w:val="en-CA"/>
              </w:rPr>
              <w:t>9</w:t>
            </w:r>
            <w:r w:rsidR="00DD5172" w:rsidRPr="00D61C93">
              <w:rPr>
                <w:bCs/>
                <w:sz w:val="18"/>
                <w:szCs w:val="18"/>
                <w:lang w:val="en-CA"/>
              </w:rPr>
              <w:t>24</w:t>
            </w:r>
            <w:r w:rsidR="00302BFE" w:rsidRPr="00D61C93">
              <w:rPr>
                <w:bCs/>
                <w:sz w:val="18"/>
                <w:szCs w:val="18"/>
                <w:lang w:val="en-CA"/>
              </w:rPr>
              <w:t xml:space="preserve"> tCO</w:t>
            </w:r>
            <w:r w:rsidR="00302BFE" w:rsidRPr="00D61C93">
              <w:rPr>
                <w:bCs/>
                <w:sz w:val="18"/>
                <w:szCs w:val="18"/>
                <w:vertAlign w:val="subscript"/>
                <w:lang w:val="en-CA"/>
              </w:rPr>
              <w:t>2</w:t>
            </w:r>
            <w:r w:rsidR="00302BFE" w:rsidRPr="00D61C93">
              <w:rPr>
                <w:bCs/>
                <w:sz w:val="18"/>
                <w:szCs w:val="18"/>
                <w:lang w:val="en-CA"/>
              </w:rPr>
              <w:t xml:space="preserve">eq of GHG corresponding to a </w:t>
            </w:r>
            <w:r w:rsidRPr="00D61C93">
              <w:rPr>
                <w:bCs/>
                <w:sz w:val="18"/>
                <w:szCs w:val="18"/>
                <w:lang w:val="en-CA"/>
              </w:rPr>
              <w:t xml:space="preserve">50% </w:t>
            </w:r>
            <w:r w:rsidR="00302BFE" w:rsidRPr="00D61C93">
              <w:rPr>
                <w:bCs/>
                <w:sz w:val="18"/>
                <w:szCs w:val="18"/>
                <w:lang w:val="en-CA"/>
              </w:rPr>
              <w:t xml:space="preserve">reduction in deforestation rate over </w:t>
            </w:r>
            <w:r w:rsidRPr="00D61C93">
              <w:rPr>
                <w:bCs/>
                <w:sz w:val="18"/>
                <w:szCs w:val="18"/>
                <w:lang w:val="en-CA"/>
              </w:rPr>
              <w:t>394</w:t>
            </w:r>
            <w:r w:rsidR="00302BFE" w:rsidRPr="00D61C93">
              <w:rPr>
                <w:bCs/>
                <w:sz w:val="18"/>
                <w:szCs w:val="18"/>
                <w:lang w:val="en-CA"/>
              </w:rPr>
              <w:t>,5</w:t>
            </w:r>
            <w:r w:rsidRPr="00D61C93">
              <w:rPr>
                <w:bCs/>
                <w:sz w:val="18"/>
                <w:szCs w:val="18"/>
                <w:lang w:val="en-CA"/>
              </w:rPr>
              <w:t>64</w:t>
            </w:r>
            <w:r w:rsidR="00302BFE" w:rsidRPr="00D61C93">
              <w:rPr>
                <w:bCs/>
                <w:sz w:val="18"/>
                <w:szCs w:val="18"/>
                <w:lang w:val="en-CA"/>
              </w:rPr>
              <w:t xml:space="preserve"> ha (protected areas and forest landscapes) and restoration of 11,000 ha of agroforestry ecosystems</w:t>
            </w:r>
          </w:p>
        </w:tc>
        <w:tc>
          <w:tcPr>
            <w:tcW w:w="4712" w:type="dxa"/>
            <w:tcBorders>
              <w:top w:val="single" w:sz="4" w:space="0" w:color="auto"/>
              <w:left w:val="single" w:sz="4" w:space="0" w:color="auto"/>
              <w:bottom w:val="single" w:sz="4" w:space="0" w:color="auto"/>
              <w:right w:val="single" w:sz="4" w:space="0" w:color="auto"/>
            </w:tcBorders>
          </w:tcPr>
          <w:p w14:paraId="706C41D7" w14:textId="77777777" w:rsidR="00302BFE" w:rsidRPr="00D61C93" w:rsidRDefault="00302BFE" w:rsidP="00243B15">
            <w:pPr>
              <w:jc w:val="left"/>
              <w:rPr>
                <w:bCs/>
                <w:i/>
                <w:sz w:val="18"/>
                <w:szCs w:val="18"/>
                <w:lang w:val="en-CA"/>
              </w:rPr>
            </w:pPr>
            <w:r w:rsidRPr="00D61C93">
              <w:rPr>
                <w:bCs/>
                <w:i/>
                <w:sz w:val="18"/>
                <w:szCs w:val="18"/>
                <w:lang w:val="en-CA"/>
              </w:rPr>
              <w:t>Data collection source / method</w:t>
            </w:r>
          </w:p>
          <w:p w14:paraId="0426C9C6" w14:textId="77777777" w:rsidR="00302BFE" w:rsidRPr="00D61C93" w:rsidRDefault="00302BFE" w:rsidP="00243B15">
            <w:pPr>
              <w:jc w:val="left"/>
              <w:rPr>
                <w:sz w:val="18"/>
                <w:szCs w:val="18"/>
                <w:lang w:val="en-CA"/>
              </w:rPr>
            </w:pPr>
            <w:r w:rsidRPr="00D61C93">
              <w:rPr>
                <w:sz w:val="18"/>
                <w:szCs w:val="18"/>
                <w:lang w:val="en-CA"/>
              </w:rPr>
              <w:t xml:space="preserve">Updated FAO Ex-Ante Carbon Balance Tool (EX-ACT) </w:t>
            </w:r>
            <w:proofErr w:type="gramStart"/>
            <w:r w:rsidRPr="00D61C93">
              <w:rPr>
                <w:sz w:val="18"/>
                <w:szCs w:val="18"/>
                <w:lang w:val="en-CA"/>
              </w:rPr>
              <w:t>on the basis of</w:t>
            </w:r>
            <w:proofErr w:type="gramEnd"/>
            <w:r w:rsidRPr="00D61C93">
              <w:rPr>
                <w:sz w:val="18"/>
                <w:szCs w:val="18"/>
                <w:lang w:val="en-CA"/>
              </w:rPr>
              <w:t xml:space="preserve"> area of habitat restored and area where deforestation is reduced.</w:t>
            </w:r>
          </w:p>
          <w:p w14:paraId="5F175D5C" w14:textId="77777777" w:rsidR="001274DA" w:rsidRPr="00D61C93" w:rsidRDefault="00302BFE" w:rsidP="00243B15">
            <w:pPr>
              <w:jc w:val="left"/>
              <w:rPr>
                <w:sz w:val="16"/>
                <w:szCs w:val="16"/>
                <w:lang w:val="en-GB"/>
              </w:rPr>
            </w:pPr>
            <w:r w:rsidRPr="00D61C93">
              <w:rPr>
                <w:sz w:val="16"/>
                <w:szCs w:val="16"/>
                <w:lang w:val="en-GB"/>
              </w:rPr>
              <w:t xml:space="preserve">The carbon sequestration estimates have been computed using the Ex-Ante Carbon-Balance Tool (EX-ACT) Tier Standard Edition, developed by FAO. The forest-type selected for the calculations is Tropical Dry Forest, building on a baseline of degraded land in a Dry Tropical climate. The soil-type generally consists of fertile Low Activity Clay loams derived from a basaltic substrate, albeit highly degraded through prior deforestation activity and subsequent over-grazing/agriculture. The </w:t>
            </w:r>
            <w:r w:rsidR="00CD025C" w:rsidRPr="00D61C93">
              <w:rPr>
                <w:sz w:val="16"/>
                <w:szCs w:val="16"/>
                <w:lang w:val="en-GB"/>
              </w:rPr>
              <w:t xml:space="preserve">annual </w:t>
            </w:r>
            <w:r w:rsidRPr="00D61C93">
              <w:rPr>
                <w:sz w:val="16"/>
                <w:szCs w:val="16"/>
                <w:lang w:val="en-GB"/>
              </w:rPr>
              <w:t xml:space="preserve">deforestation rate used is </w:t>
            </w:r>
            <w:r w:rsidR="00CD025C" w:rsidRPr="00D61C93">
              <w:rPr>
                <w:sz w:val="16"/>
                <w:szCs w:val="16"/>
                <w:lang w:val="en-GB"/>
              </w:rPr>
              <w:t>1</w:t>
            </w:r>
            <w:r w:rsidRPr="00D61C93">
              <w:rPr>
                <w:sz w:val="16"/>
                <w:szCs w:val="16"/>
                <w:lang w:val="en-GB"/>
              </w:rPr>
              <w:t xml:space="preserve">%. The project involves a </w:t>
            </w:r>
            <w:r w:rsidR="00CD025C" w:rsidRPr="00D61C93">
              <w:rPr>
                <w:sz w:val="16"/>
                <w:szCs w:val="16"/>
                <w:lang w:val="en-GB"/>
              </w:rPr>
              <w:t xml:space="preserve">50% </w:t>
            </w:r>
            <w:r w:rsidRPr="00D61C93">
              <w:rPr>
                <w:sz w:val="16"/>
                <w:szCs w:val="16"/>
                <w:lang w:val="en-GB"/>
              </w:rPr>
              <w:t>reduction of the deforestation rate o</w:t>
            </w:r>
            <w:r w:rsidR="00CD025C" w:rsidRPr="00D61C93">
              <w:rPr>
                <w:sz w:val="16"/>
                <w:szCs w:val="16"/>
                <w:lang w:val="en-GB"/>
              </w:rPr>
              <w:t>ver</w:t>
            </w:r>
            <w:r w:rsidRPr="00D61C93">
              <w:rPr>
                <w:sz w:val="16"/>
                <w:szCs w:val="16"/>
                <w:lang w:val="en-GB"/>
              </w:rPr>
              <w:t xml:space="preserve"> </w:t>
            </w:r>
            <w:r w:rsidR="00CD025C" w:rsidRPr="00D61C93">
              <w:rPr>
                <w:sz w:val="16"/>
                <w:szCs w:val="16"/>
                <w:lang w:val="en-GB"/>
              </w:rPr>
              <w:t>394,564</w:t>
            </w:r>
            <w:r w:rsidRPr="00D61C93">
              <w:rPr>
                <w:sz w:val="16"/>
                <w:szCs w:val="16"/>
                <w:lang w:val="en-GB"/>
              </w:rPr>
              <w:t xml:space="preserve"> ha and the restoration of 11,000 ha of agroforestry ecosystems using indigenous species. </w:t>
            </w:r>
            <w:r w:rsidR="001274DA" w:rsidRPr="00D61C93">
              <w:rPr>
                <w:sz w:val="16"/>
                <w:szCs w:val="16"/>
                <w:lang w:val="en-GB"/>
              </w:rPr>
              <w:t xml:space="preserve">Conservatively, instead of the entire 952,000 ha of the PONASI landscape, 394,564 ha were used in the calculation, which corresponds to 354,781 ha of State and community protected areas, including corridors, and 39,783 ha of forests (38,891 ha of large forests, 127 ha commune forests and 765 ha village forests) where improved management effectiveness will reduce deforestation. </w:t>
            </w:r>
            <w:r w:rsidRPr="00D61C93">
              <w:rPr>
                <w:sz w:val="16"/>
                <w:szCs w:val="16"/>
                <w:lang w:val="en-GB"/>
              </w:rPr>
              <w:t xml:space="preserve">Over a period of </w:t>
            </w:r>
            <w:r w:rsidR="00CD025C" w:rsidRPr="00D61C93">
              <w:rPr>
                <w:sz w:val="16"/>
                <w:szCs w:val="16"/>
                <w:lang w:val="en-GB"/>
              </w:rPr>
              <w:t>2</w:t>
            </w:r>
            <w:r w:rsidRPr="00D61C93">
              <w:rPr>
                <w:sz w:val="16"/>
                <w:szCs w:val="16"/>
                <w:lang w:val="en-GB"/>
              </w:rPr>
              <w:t xml:space="preserve">0 years, approximately </w:t>
            </w:r>
            <w:r w:rsidR="00CD025C" w:rsidRPr="00D61C93">
              <w:rPr>
                <w:sz w:val="16"/>
                <w:szCs w:val="16"/>
                <w:lang w:val="en-GB"/>
              </w:rPr>
              <w:t>5</w:t>
            </w:r>
            <w:r w:rsidRPr="00D61C93">
              <w:rPr>
                <w:sz w:val="16"/>
                <w:szCs w:val="16"/>
                <w:lang w:val="en-GB"/>
              </w:rPr>
              <w:t>.</w:t>
            </w:r>
            <w:r w:rsidR="00CD025C" w:rsidRPr="00D61C93">
              <w:rPr>
                <w:sz w:val="16"/>
                <w:szCs w:val="16"/>
                <w:lang w:val="en-GB"/>
              </w:rPr>
              <w:t>4</w:t>
            </w:r>
            <w:r w:rsidRPr="00D61C93">
              <w:rPr>
                <w:sz w:val="16"/>
                <w:szCs w:val="16"/>
                <w:lang w:val="en-GB"/>
              </w:rPr>
              <w:t xml:space="preserve"> million tCO</w:t>
            </w:r>
            <w:r w:rsidRPr="00D61C93">
              <w:rPr>
                <w:sz w:val="16"/>
                <w:szCs w:val="16"/>
                <w:vertAlign w:val="subscript"/>
                <w:lang w:val="en-GB"/>
              </w:rPr>
              <w:t>2</w:t>
            </w:r>
            <w:r w:rsidR="001274DA" w:rsidRPr="00D61C93">
              <w:rPr>
                <w:sz w:val="16"/>
                <w:szCs w:val="16"/>
                <w:vertAlign w:val="subscript"/>
                <w:lang w:val="en-GB"/>
              </w:rPr>
              <w:t>eq</w:t>
            </w:r>
            <w:r w:rsidRPr="00D61C93">
              <w:rPr>
                <w:sz w:val="16"/>
                <w:szCs w:val="16"/>
                <w:lang w:val="en-GB"/>
              </w:rPr>
              <w:t xml:space="preserve"> will be sequestered through the project’s intervention. FAO EXACT result sheet is attached in Annex </w:t>
            </w:r>
            <w:r w:rsidR="005453A0" w:rsidRPr="00D61C93">
              <w:rPr>
                <w:sz w:val="16"/>
                <w:szCs w:val="16"/>
                <w:lang w:val="en-GB"/>
              </w:rPr>
              <w:t>O</w:t>
            </w:r>
            <w:r w:rsidRPr="00D61C93">
              <w:rPr>
                <w:sz w:val="16"/>
                <w:szCs w:val="16"/>
                <w:lang w:val="en-GB"/>
              </w:rPr>
              <w:t>.</w:t>
            </w:r>
          </w:p>
        </w:tc>
      </w:tr>
      <w:tr w:rsidR="00302BFE" w:rsidRPr="006E490C" w14:paraId="1BEB06C5" w14:textId="77777777" w:rsidTr="00243B15">
        <w:tc>
          <w:tcPr>
            <w:tcW w:w="2006" w:type="dxa"/>
            <w:vMerge/>
            <w:tcBorders>
              <w:left w:val="single" w:sz="4" w:space="0" w:color="auto"/>
              <w:right w:val="single" w:sz="4" w:space="0" w:color="auto"/>
            </w:tcBorders>
            <w:vAlign w:val="center"/>
          </w:tcPr>
          <w:p w14:paraId="381048CF" w14:textId="77777777" w:rsidR="00302BFE" w:rsidRPr="006E490C" w:rsidRDefault="00302BFE" w:rsidP="00243B15">
            <w:pPr>
              <w:spacing w:after="0"/>
              <w:jc w:val="left"/>
              <w:rPr>
                <w:rFonts w:ascii="Times New Roman" w:hAnsi="Times New Roman"/>
                <w:b/>
                <w:bCs/>
                <w:i/>
                <w:sz w:val="18"/>
                <w:szCs w:val="18"/>
                <w:lang w:val="en-CA"/>
              </w:rPr>
            </w:pPr>
          </w:p>
        </w:tc>
        <w:tc>
          <w:tcPr>
            <w:tcW w:w="3016" w:type="dxa"/>
            <w:vMerge/>
            <w:tcBorders>
              <w:left w:val="single" w:sz="4" w:space="0" w:color="auto"/>
              <w:bottom w:val="single" w:sz="4" w:space="0" w:color="auto"/>
              <w:right w:val="single" w:sz="4" w:space="0" w:color="auto"/>
            </w:tcBorders>
            <w:vAlign w:val="center"/>
          </w:tcPr>
          <w:p w14:paraId="63C5FE92" w14:textId="77777777" w:rsidR="00302BFE" w:rsidRPr="006E490C" w:rsidRDefault="00302BFE" w:rsidP="00243B15">
            <w:pPr>
              <w:spacing w:after="0"/>
              <w:jc w:val="left"/>
              <w:rPr>
                <w:bCs/>
                <w:i/>
                <w:sz w:val="18"/>
                <w:szCs w:val="18"/>
                <w:lang w:val="en-CA"/>
              </w:rPr>
            </w:pPr>
          </w:p>
        </w:tc>
        <w:tc>
          <w:tcPr>
            <w:tcW w:w="1552" w:type="dxa"/>
            <w:vMerge/>
            <w:tcBorders>
              <w:left w:val="single" w:sz="4" w:space="0" w:color="auto"/>
              <w:bottom w:val="single" w:sz="4" w:space="0" w:color="auto"/>
              <w:right w:val="single" w:sz="4" w:space="0" w:color="auto"/>
            </w:tcBorders>
            <w:vAlign w:val="center"/>
          </w:tcPr>
          <w:p w14:paraId="3DC40AEB" w14:textId="77777777" w:rsidR="00302BFE" w:rsidRPr="006E490C" w:rsidRDefault="00302BFE" w:rsidP="00243B15">
            <w:pPr>
              <w:spacing w:after="0"/>
              <w:jc w:val="left"/>
              <w:rPr>
                <w:bCs/>
                <w:i/>
                <w:sz w:val="18"/>
                <w:szCs w:val="18"/>
                <w:lang w:val="en-CA"/>
              </w:rPr>
            </w:pPr>
          </w:p>
        </w:tc>
        <w:tc>
          <w:tcPr>
            <w:tcW w:w="1552" w:type="dxa"/>
            <w:vMerge/>
            <w:tcBorders>
              <w:left w:val="single" w:sz="4" w:space="0" w:color="auto"/>
              <w:bottom w:val="single" w:sz="4" w:space="0" w:color="auto"/>
              <w:right w:val="single" w:sz="4" w:space="0" w:color="auto"/>
            </w:tcBorders>
            <w:vAlign w:val="center"/>
          </w:tcPr>
          <w:p w14:paraId="24E3B815" w14:textId="77777777" w:rsidR="00302BFE" w:rsidRPr="006E490C" w:rsidRDefault="00302BFE" w:rsidP="00243B15">
            <w:pPr>
              <w:spacing w:after="0"/>
              <w:jc w:val="left"/>
              <w:rPr>
                <w:bCs/>
                <w:i/>
                <w:sz w:val="18"/>
                <w:szCs w:val="18"/>
                <w:lang w:val="en-CA"/>
              </w:rPr>
            </w:pPr>
          </w:p>
        </w:tc>
        <w:tc>
          <w:tcPr>
            <w:tcW w:w="1552" w:type="dxa"/>
            <w:vMerge/>
            <w:tcBorders>
              <w:left w:val="single" w:sz="4" w:space="0" w:color="auto"/>
              <w:bottom w:val="single" w:sz="4" w:space="0" w:color="auto"/>
              <w:right w:val="single" w:sz="4" w:space="0" w:color="auto"/>
            </w:tcBorders>
            <w:vAlign w:val="center"/>
          </w:tcPr>
          <w:p w14:paraId="4F19C7E2" w14:textId="77777777" w:rsidR="00302BFE" w:rsidRPr="006E490C" w:rsidRDefault="00302BFE" w:rsidP="00243B15">
            <w:pPr>
              <w:spacing w:after="0"/>
              <w:jc w:val="left"/>
              <w:rPr>
                <w:bCs/>
                <w:i/>
                <w:sz w:val="18"/>
                <w:szCs w:val="18"/>
                <w:lang w:val="en-CA"/>
              </w:rPr>
            </w:pPr>
          </w:p>
        </w:tc>
        <w:tc>
          <w:tcPr>
            <w:tcW w:w="4712" w:type="dxa"/>
            <w:tcBorders>
              <w:top w:val="single" w:sz="4" w:space="0" w:color="auto"/>
              <w:left w:val="single" w:sz="4" w:space="0" w:color="auto"/>
              <w:right w:val="single" w:sz="4" w:space="0" w:color="auto"/>
            </w:tcBorders>
          </w:tcPr>
          <w:p w14:paraId="2B16032B" w14:textId="77777777" w:rsidR="00302BFE" w:rsidRPr="006E490C" w:rsidRDefault="00302BFE" w:rsidP="00243B15">
            <w:pPr>
              <w:jc w:val="left"/>
              <w:rPr>
                <w:sz w:val="18"/>
                <w:szCs w:val="18"/>
                <w:lang w:val="en-CA"/>
              </w:rPr>
            </w:pPr>
            <w:r w:rsidRPr="006E490C">
              <w:rPr>
                <w:i/>
                <w:sz w:val="18"/>
                <w:szCs w:val="18"/>
                <w:lang w:val="en-CA"/>
              </w:rPr>
              <w:t>Risks</w:t>
            </w:r>
            <w:r w:rsidRPr="006E490C">
              <w:rPr>
                <w:sz w:val="18"/>
                <w:szCs w:val="18"/>
                <w:lang w:val="en-CA"/>
              </w:rPr>
              <w:t>: Lack of stakeholder buy-in to the measures advocated in the landscape management master plan</w:t>
            </w:r>
          </w:p>
          <w:p w14:paraId="068448D7" w14:textId="77777777" w:rsidR="00302BFE" w:rsidRPr="006E490C" w:rsidRDefault="00302BFE" w:rsidP="00243B15">
            <w:pPr>
              <w:jc w:val="left"/>
              <w:rPr>
                <w:sz w:val="18"/>
                <w:szCs w:val="18"/>
                <w:lang w:val="en-CA"/>
              </w:rPr>
            </w:pPr>
            <w:r w:rsidRPr="006E490C">
              <w:rPr>
                <w:i/>
                <w:sz w:val="18"/>
                <w:szCs w:val="18"/>
                <w:lang w:val="en-CA"/>
              </w:rPr>
              <w:t>Assumptions</w:t>
            </w:r>
            <w:r w:rsidRPr="006E490C">
              <w:rPr>
                <w:sz w:val="18"/>
                <w:szCs w:val="18"/>
                <w:lang w:val="en-CA"/>
              </w:rPr>
              <w:t>: Environmental variability is within normal ranges</w:t>
            </w:r>
          </w:p>
        </w:tc>
      </w:tr>
      <w:tr w:rsidR="00302BFE" w:rsidRPr="006E490C" w14:paraId="67D04DE6" w14:textId="77777777" w:rsidTr="00243B15">
        <w:trPr>
          <w:trHeight w:val="719"/>
        </w:trPr>
        <w:tc>
          <w:tcPr>
            <w:tcW w:w="2006" w:type="dxa"/>
            <w:vMerge w:val="restart"/>
            <w:tcBorders>
              <w:top w:val="single" w:sz="4" w:space="0" w:color="auto"/>
              <w:left w:val="single" w:sz="4" w:space="0" w:color="auto"/>
              <w:bottom w:val="single" w:sz="4" w:space="0" w:color="auto"/>
              <w:right w:val="single" w:sz="4" w:space="0" w:color="auto"/>
            </w:tcBorders>
            <w:shd w:val="pct12" w:color="auto" w:fill="auto"/>
          </w:tcPr>
          <w:p w14:paraId="226F82EB" w14:textId="77777777" w:rsidR="00302BFE" w:rsidRPr="006E490C" w:rsidRDefault="00302BFE" w:rsidP="00243B15">
            <w:pPr>
              <w:jc w:val="left"/>
              <w:rPr>
                <w:b/>
                <w:bCs/>
                <w:sz w:val="18"/>
                <w:szCs w:val="18"/>
                <w:lang w:val="en-CA"/>
              </w:rPr>
            </w:pPr>
            <w:r w:rsidRPr="006E490C">
              <w:rPr>
                <w:b/>
                <w:bCs/>
                <w:sz w:val="18"/>
                <w:szCs w:val="18"/>
                <w:lang w:val="en-CA"/>
              </w:rPr>
              <w:t>Component/ Outcome 1</w:t>
            </w:r>
          </w:p>
          <w:p w14:paraId="2AFE328F" w14:textId="77777777" w:rsidR="00302BFE" w:rsidRPr="006E490C" w:rsidRDefault="00302BFE" w:rsidP="00243B15">
            <w:pPr>
              <w:jc w:val="left"/>
              <w:rPr>
                <w:szCs w:val="20"/>
                <w:lang w:val="en-CA"/>
              </w:rPr>
            </w:pPr>
            <w:r w:rsidRPr="006E490C">
              <w:rPr>
                <w:szCs w:val="20"/>
                <w:lang w:val="en-CA"/>
              </w:rPr>
              <w:t>Framework for Integrated Landscape Management of PONASI with sustainable financing for its operation</w:t>
            </w:r>
          </w:p>
          <w:p w14:paraId="74E672D6" w14:textId="77777777" w:rsidR="00302BFE" w:rsidRPr="006E490C" w:rsidRDefault="00302BFE" w:rsidP="00243B15">
            <w:pPr>
              <w:jc w:val="left"/>
              <w:rPr>
                <w:szCs w:val="20"/>
                <w:lang w:val="en-CA"/>
              </w:rPr>
            </w:pPr>
            <w:r w:rsidRPr="006E490C">
              <w:rPr>
                <w:szCs w:val="20"/>
                <w:lang w:val="en-CA"/>
              </w:rPr>
              <w:t xml:space="preserve">1.1 Updated, strengthened and operationalized PONASI landscape co-governance framework to ensure concerted, integrated and equitable management of land and resource use within the </w:t>
            </w:r>
            <w:proofErr w:type="gramStart"/>
            <w:r w:rsidRPr="006E490C">
              <w:rPr>
                <w:szCs w:val="20"/>
                <w:lang w:val="en-CA"/>
              </w:rPr>
              <w:t xml:space="preserve">952,000 </w:t>
            </w:r>
            <w:r w:rsidRPr="006E490C">
              <w:rPr>
                <w:szCs w:val="20"/>
                <w:lang w:val="en-CA"/>
              </w:rPr>
              <w:lastRenderedPageBreak/>
              <w:t>ha</w:t>
            </w:r>
            <w:proofErr w:type="gramEnd"/>
            <w:r w:rsidRPr="006E490C">
              <w:rPr>
                <w:szCs w:val="20"/>
                <w:lang w:val="en-CA"/>
              </w:rPr>
              <w:t xml:space="preserve"> landscape and to maximize environmental and socio-economic benefits.</w:t>
            </w:r>
          </w:p>
        </w:tc>
        <w:tc>
          <w:tcPr>
            <w:tcW w:w="3016" w:type="dxa"/>
            <w:vMerge w:val="restart"/>
            <w:tcBorders>
              <w:top w:val="single" w:sz="4" w:space="0" w:color="auto"/>
              <w:left w:val="single" w:sz="4" w:space="0" w:color="auto"/>
              <w:bottom w:val="single" w:sz="4" w:space="0" w:color="auto"/>
              <w:right w:val="single" w:sz="4" w:space="0" w:color="auto"/>
            </w:tcBorders>
          </w:tcPr>
          <w:p w14:paraId="47D0623E" w14:textId="77777777" w:rsidR="00302BFE" w:rsidRPr="006E490C" w:rsidRDefault="00302BFE" w:rsidP="00243B15">
            <w:pPr>
              <w:rPr>
                <w:bCs/>
                <w:i/>
                <w:sz w:val="18"/>
                <w:szCs w:val="18"/>
                <w:u w:val="single"/>
                <w:lang w:val="en-CA"/>
              </w:rPr>
            </w:pPr>
            <w:r w:rsidRPr="006E490C">
              <w:rPr>
                <w:bCs/>
                <w:i/>
                <w:sz w:val="18"/>
                <w:szCs w:val="18"/>
                <w:u w:val="single"/>
                <w:lang w:val="en-CA"/>
              </w:rPr>
              <w:lastRenderedPageBreak/>
              <w:t>Indicator 5:</w:t>
            </w:r>
          </w:p>
          <w:p w14:paraId="2055D0F2" w14:textId="77777777" w:rsidR="00302BFE" w:rsidRPr="006E490C" w:rsidRDefault="00302BFE" w:rsidP="00DC7D98">
            <w:pPr>
              <w:spacing w:after="0"/>
              <w:jc w:val="left"/>
              <w:rPr>
                <w:bCs/>
                <w:sz w:val="18"/>
                <w:szCs w:val="18"/>
                <w:lang w:val="en-CA"/>
              </w:rPr>
            </w:pPr>
            <w:r w:rsidRPr="006E490C">
              <w:rPr>
                <w:sz w:val="18"/>
                <w:szCs w:val="18"/>
                <w:lang w:val="en-CA"/>
              </w:rPr>
              <w:t>Area of the PONASI landscape that is effectively managed in accordance with the landscape management master plan</w:t>
            </w:r>
          </w:p>
        </w:tc>
        <w:tc>
          <w:tcPr>
            <w:tcW w:w="1552" w:type="dxa"/>
            <w:vMerge w:val="restart"/>
            <w:tcBorders>
              <w:top w:val="single" w:sz="4" w:space="0" w:color="auto"/>
              <w:left w:val="single" w:sz="4" w:space="0" w:color="auto"/>
              <w:bottom w:val="single" w:sz="4" w:space="0" w:color="auto"/>
              <w:right w:val="single" w:sz="4" w:space="0" w:color="auto"/>
            </w:tcBorders>
          </w:tcPr>
          <w:p w14:paraId="173DA763" w14:textId="77777777" w:rsidR="00302BFE" w:rsidRPr="006E490C" w:rsidRDefault="00302BFE" w:rsidP="00243B15">
            <w:pPr>
              <w:jc w:val="left"/>
              <w:rPr>
                <w:bCs/>
                <w:sz w:val="18"/>
                <w:szCs w:val="18"/>
                <w:lang w:val="en-CA"/>
              </w:rPr>
            </w:pPr>
            <w:r w:rsidRPr="006E490C">
              <w:rPr>
                <w:bCs/>
                <w:sz w:val="18"/>
                <w:szCs w:val="18"/>
              </w:rPr>
              <w:t>0 (the project has not started yet)</w:t>
            </w:r>
          </w:p>
        </w:tc>
        <w:tc>
          <w:tcPr>
            <w:tcW w:w="1552" w:type="dxa"/>
            <w:vMerge w:val="restart"/>
            <w:tcBorders>
              <w:top w:val="single" w:sz="4" w:space="0" w:color="auto"/>
              <w:left w:val="single" w:sz="4" w:space="0" w:color="auto"/>
              <w:bottom w:val="single" w:sz="4" w:space="0" w:color="auto"/>
              <w:right w:val="single" w:sz="4" w:space="0" w:color="auto"/>
            </w:tcBorders>
          </w:tcPr>
          <w:p w14:paraId="334B41C7" w14:textId="77777777" w:rsidR="00302BFE" w:rsidRPr="006E490C" w:rsidRDefault="00302BFE" w:rsidP="00243B15">
            <w:pPr>
              <w:jc w:val="left"/>
              <w:rPr>
                <w:bCs/>
                <w:sz w:val="18"/>
                <w:szCs w:val="18"/>
                <w:lang w:val="en-CA"/>
              </w:rPr>
            </w:pPr>
            <w:r w:rsidRPr="006E490C">
              <w:rPr>
                <w:bCs/>
                <w:sz w:val="18"/>
                <w:szCs w:val="18"/>
                <w:lang w:val="en-CA"/>
              </w:rPr>
              <w:t xml:space="preserve">354,781 ha corresponding to the areas of </w:t>
            </w:r>
            <w:proofErr w:type="spellStart"/>
            <w:r w:rsidRPr="006E490C">
              <w:rPr>
                <w:bCs/>
                <w:sz w:val="18"/>
                <w:szCs w:val="18"/>
                <w:lang w:val="en-CA"/>
              </w:rPr>
              <w:t>Nazinga</w:t>
            </w:r>
            <w:proofErr w:type="spellEnd"/>
            <w:r w:rsidRPr="006E490C">
              <w:rPr>
                <w:bCs/>
                <w:sz w:val="18"/>
                <w:szCs w:val="18"/>
                <w:lang w:val="en-CA"/>
              </w:rPr>
              <w:t xml:space="preserve">, PNKT, </w:t>
            </w:r>
            <w:proofErr w:type="spellStart"/>
            <w:r w:rsidRPr="006E490C">
              <w:rPr>
                <w:bCs/>
                <w:sz w:val="18"/>
                <w:szCs w:val="18"/>
                <w:lang w:val="en-CA"/>
              </w:rPr>
              <w:t>Sissili</w:t>
            </w:r>
            <w:proofErr w:type="spellEnd"/>
            <w:r w:rsidRPr="006E490C">
              <w:rPr>
                <w:bCs/>
                <w:sz w:val="18"/>
                <w:szCs w:val="18"/>
                <w:lang w:val="en-CA"/>
              </w:rPr>
              <w:t>, corridors # 1 and # 2 and ZOVICs</w:t>
            </w:r>
          </w:p>
        </w:tc>
        <w:tc>
          <w:tcPr>
            <w:tcW w:w="1552" w:type="dxa"/>
            <w:vMerge w:val="restart"/>
            <w:tcBorders>
              <w:top w:val="single" w:sz="4" w:space="0" w:color="auto"/>
              <w:left w:val="single" w:sz="4" w:space="0" w:color="auto"/>
              <w:bottom w:val="single" w:sz="4" w:space="0" w:color="auto"/>
              <w:right w:val="single" w:sz="4" w:space="0" w:color="auto"/>
            </w:tcBorders>
          </w:tcPr>
          <w:p w14:paraId="69274DB3" w14:textId="77777777" w:rsidR="00302BFE" w:rsidRPr="006E490C" w:rsidRDefault="00302BFE" w:rsidP="00243B15">
            <w:pPr>
              <w:jc w:val="left"/>
              <w:rPr>
                <w:bCs/>
                <w:sz w:val="18"/>
                <w:szCs w:val="18"/>
                <w:lang w:val="en-CA"/>
              </w:rPr>
            </w:pPr>
            <w:r w:rsidRPr="006E490C">
              <w:rPr>
                <w:bCs/>
                <w:sz w:val="18"/>
                <w:szCs w:val="18"/>
                <w:lang w:val="en-CA"/>
              </w:rPr>
              <w:t>952,000 ha corresponding to the total area of the PONASI landscape</w:t>
            </w:r>
          </w:p>
        </w:tc>
        <w:tc>
          <w:tcPr>
            <w:tcW w:w="4712" w:type="dxa"/>
            <w:tcBorders>
              <w:top w:val="single" w:sz="4" w:space="0" w:color="auto"/>
              <w:left w:val="single" w:sz="4" w:space="0" w:color="auto"/>
              <w:bottom w:val="single" w:sz="4" w:space="0" w:color="auto"/>
              <w:right w:val="single" w:sz="4" w:space="0" w:color="auto"/>
            </w:tcBorders>
          </w:tcPr>
          <w:p w14:paraId="23DCC723" w14:textId="77777777" w:rsidR="00302BFE" w:rsidRPr="006E490C" w:rsidRDefault="00302BFE" w:rsidP="00243B15">
            <w:pPr>
              <w:jc w:val="left"/>
              <w:rPr>
                <w:sz w:val="18"/>
                <w:szCs w:val="18"/>
                <w:lang w:val="en-CA"/>
              </w:rPr>
            </w:pPr>
            <w:r w:rsidRPr="006E490C">
              <w:rPr>
                <w:bCs/>
                <w:i/>
                <w:sz w:val="18"/>
                <w:szCs w:val="18"/>
                <w:lang w:val="en-CA"/>
              </w:rPr>
              <w:t>Data collection source / method</w:t>
            </w:r>
            <w:r w:rsidRPr="006E490C">
              <w:rPr>
                <w:bCs/>
                <w:i/>
                <w:sz w:val="18"/>
                <w:szCs w:val="18"/>
                <w:lang w:val="en-CA"/>
              </w:rPr>
              <w:br/>
            </w:r>
            <w:r w:rsidRPr="006E490C">
              <w:rPr>
                <w:sz w:val="18"/>
                <w:szCs w:val="18"/>
                <w:lang w:val="en-CA"/>
              </w:rPr>
              <w:t>National Observatory for Sustainable Development, Regional Directorates for the Environment</w:t>
            </w:r>
          </w:p>
        </w:tc>
      </w:tr>
      <w:tr w:rsidR="00302BFE" w:rsidRPr="006E490C" w14:paraId="2E736BC5" w14:textId="77777777" w:rsidTr="00243B15">
        <w:tc>
          <w:tcPr>
            <w:tcW w:w="2006" w:type="dxa"/>
            <w:vMerge/>
            <w:tcBorders>
              <w:left w:val="single" w:sz="4" w:space="0" w:color="auto"/>
              <w:right w:val="single" w:sz="4" w:space="0" w:color="auto"/>
            </w:tcBorders>
            <w:vAlign w:val="center"/>
            <w:hideMark/>
          </w:tcPr>
          <w:p w14:paraId="3D4955A2" w14:textId="77777777" w:rsidR="00302BFE" w:rsidRPr="006E490C" w:rsidRDefault="00302BFE" w:rsidP="00243B15">
            <w:pPr>
              <w:spacing w:after="0"/>
              <w:jc w:val="left"/>
              <w:rPr>
                <w:rFonts w:ascii="Times New Roman" w:hAnsi="Times New Roman"/>
                <w:bCs/>
                <w:i/>
                <w:sz w:val="18"/>
                <w:szCs w:val="18"/>
                <w:lang w:val="en-CA"/>
              </w:rPr>
            </w:pPr>
          </w:p>
        </w:tc>
        <w:tc>
          <w:tcPr>
            <w:tcW w:w="3016" w:type="dxa"/>
            <w:vMerge/>
            <w:tcBorders>
              <w:left w:val="single" w:sz="4" w:space="0" w:color="auto"/>
              <w:bottom w:val="single" w:sz="4" w:space="0" w:color="auto"/>
              <w:right w:val="single" w:sz="4" w:space="0" w:color="auto"/>
            </w:tcBorders>
            <w:vAlign w:val="center"/>
            <w:hideMark/>
          </w:tcPr>
          <w:p w14:paraId="416702F7" w14:textId="77777777" w:rsidR="00302BFE" w:rsidRPr="006E490C" w:rsidRDefault="00302BFE" w:rsidP="00243B15">
            <w:pPr>
              <w:spacing w:after="0"/>
              <w:jc w:val="left"/>
              <w:rPr>
                <w:sz w:val="18"/>
                <w:szCs w:val="18"/>
                <w:lang w:val="en-CA"/>
              </w:rPr>
            </w:pPr>
          </w:p>
        </w:tc>
        <w:tc>
          <w:tcPr>
            <w:tcW w:w="1552" w:type="dxa"/>
            <w:vMerge/>
            <w:tcBorders>
              <w:left w:val="single" w:sz="4" w:space="0" w:color="auto"/>
              <w:bottom w:val="single" w:sz="4" w:space="0" w:color="auto"/>
              <w:right w:val="single" w:sz="4" w:space="0" w:color="auto"/>
            </w:tcBorders>
            <w:vAlign w:val="center"/>
          </w:tcPr>
          <w:p w14:paraId="27E992C7" w14:textId="77777777" w:rsidR="00302BFE" w:rsidRPr="006E490C" w:rsidRDefault="00302BFE" w:rsidP="00243B15">
            <w:pPr>
              <w:spacing w:after="0"/>
              <w:jc w:val="left"/>
              <w:rPr>
                <w:bCs/>
                <w:i/>
                <w:sz w:val="18"/>
                <w:szCs w:val="18"/>
                <w:lang w:val="en-CA"/>
              </w:rPr>
            </w:pPr>
          </w:p>
        </w:tc>
        <w:tc>
          <w:tcPr>
            <w:tcW w:w="1552" w:type="dxa"/>
            <w:vMerge/>
            <w:tcBorders>
              <w:left w:val="single" w:sz="4" w:space="0" w:color="auto"/>
              <w:bottom w:val="single" w:sz="4" w:space="0" w:color="auto"/>
              <w:right w:val="single" w:sz="4" w:space="0" w:color="auto"/>
            </w:tcBorders>
            <w:vAlign w:val="center"/>
          </w:tcPr>
          <w:p w14:paraId="46B095FD" w14:textId="77777777" w:rsidR="00302BFE" w:rsidRPr="006E490C" w:rsidRDefault="00302BFE" w:rsidP="00243B15">
            <w:pPr>
              <w:spacing w:after="0"/>
              <w:jc w:val="left"/>
              <w:rPr>
                <w:bCs/>
                <w:i/>
                <w:sz w:val="18"/>
                <w:szCs w:val="18"/>
                <w:lang w:val="en-CA"/>
              </w:rPr>
            </w:pPr>
          </w:p>
        </w:tc>
        <w:tc>
          <w:tcPr>
            <w:tcW w:w="1552" w:type="dxa"/>
            <w:vMerge/>
            <w:tcBorders>
              <w:left w:val="single" w:sz="4" w:space="0" w:color="auto"/>
              <w:bottom w:val="single" w:sz="4" w:space="0" w:color="auto"/>
              <w:right w:val="single" w:sz="4" w:space="0" w:color="auto"/>
            </w:tcBorders>
            <w:vAlign w:val="center"/>
          </w:tcPr>
          <w:p w14:paraId="7F76DF80" w14:textId="77777777" w:rsidR="00302BFE" w:rsidRPr="006E490C" w:rsidRDefault="00302BFE" w:rsidP="00243B15">
            <w:pPr>
              <w:spacing w:after="0"/>
              <w:jc w:val="left"/>
              <w:rPr>
                <w:bCs/>
                <w:i/>
                <w:sz w:val="18"/>
                <w:szCs w:val="18"/>
                <w:lang w:val="en-CA"/>
              </w:rPr>
            </w:pPr>
          </w:p>
        </w:tc>
        <w:tc>
          <w:tcPr>
            <w:tcW w:w="4712" w:type="dxa"/>
            <w:tcBorders>
              <w:top w:val="single" w:sz="4" w:space="0" w:color="auto"/>
              <w:left w:val="single" w:sz="4" w:space="0" w:color="auto"/>
              <w:right w:val="single" w:sz="4" w:space="0" w:color="auto"/>
            </w:tcBorders>
          </w:tcPr>
          <w:p w14:paraId="0E69347A" w14:textId="77777777" w:rsidR="00302BFE" w:rsidRPr="006E490C" w:rsidRDefault="00302BFE" w:rsidP="00243B15">
            <w:pPr>
              <w:jc w:val="left"/>
              <w:rPr>
                <w:sz w:val="18"/>
                <w:szCs w:val="18"/>
                <w:lang w:val="en-CA"/>
              </w:rPr>
            </w:pPr>
            <w:r w:rsidRPr="006E490C">
              <w:rPr>
                <w:i/>
                <w:sz w:val="18"/>
                <w:szCs w:val="18"/>
                <w:lang w:val="en-CA"/>
              </w:rPr>
              <w:t>Risks</w:t>
            </w:r>
            <w:r w:rsidRPr="006E490C">
              <w:rPr>
                <w:sz w:val="18"/>
                <w:szCs w:val="18"/>
                <w:lang w:val="en-CA"/>
              </w:rPr>
              <w:t>: Stakeholders have different priorities than conservation and sustainable management of land and natural resources and do not adhere to the landscape management master plan</w:t>
            </w:r>
          </w:p>
          <w:p w14:paraId="750EF346" w14:textId="77777777" w:rsidR="00302BFE" w:rsidRPr="006E490C" w:rsidRDefault="00302BFE" w:rsidP="00243B15">
            <w:pPr>
              <w:jc w:val="left"/>
              <w:rPr>
                <w:sz w:val="18"/>
                <w:szCs w:val="18"/>
                <w:lang w:val="en-CA"/>
              </w:rPr>
            </w:pPr>
            <w:r w:rsidRPr="006E490C">
              <w:rPr>
                <w:sz w:val="18"/>
                <w:szCs w:val="18"/>
                <w:lang w:val="en-CA"/>
              </w:rPr>
              <w:t>Insufficient resources to implement the landscape management plan</w:t>
            </w:r>
          </w:p>
          <w:p w14:paraId="5997C528" w14:textId="77777777" w:rsidR="00302BFE" w:rsidRPr="006E490C" w:rsidRDefault="00302BFE" w:rsidP="00243B15">
            <w:pPr>
              <w:jc w:val="left"/>
              <w:rPr>
                <w:sz w:val="18"/>
                <w:szCs w:val="18"/>
                <w:lang w:val="en-CA"/>
              </w:rPr>
            </w:pPr>
            <w:r w:rsidRPr="006E490C">
              <w:rPr>
                <w:i/>
                <w:sz w:val="18"/>
                <w:szCs w:val="18"/>
                <w:lang w:val="en-CA"/>
              </w:rPr>
              <w:t>Assumptions</w:t>
            </w:r>
            <w:r w:rsidRPr="006E490C">
              <w:rPr>
                <w:sz w:val="18"/>
                <w:szCs w:val="18"/>
                <w:lang w:val="en-CA"/>
              </w:rPr>
              <w:t>: Regional and communal authorities have adequate capacities to mobilize the resources necessary to implement the landscape management plan and its prescriptions</w:t>
            </w:r>
          </w:p>
        </w:tc>
      </w:tr>
      <w:tr w:rsidR="00302BFE" w:rsidRPr="006E490C" w14:paraId="35F22C55" w14:textId="77777777" w:rsidTr="00243B15">
        <w:tc>
          <w:tcPr>
            <w:tcW w:w="2006" w:type="dxa"/>
            <w:vMerge w:val="restart"/>
            <w:tcBorders>
              <w:top w:val="single" w:sz="4" w:space="0" w:color="auto"/>
              <w:left w:val="single" w:sz="4" w:space="0" w:color="auto"/>
              <w:right w:val="single" w:sz="4" w:space="0" w:color="auto"/>
            </w:tcBorders>
            <w:shd w:val="pct12" w:color="auto" w:fill="auto"/>
          </w:tcPr>
          <w:p w14:paraId="1CFA2F0C" w14:textId="77777777" w:rsidR="00302BFE" w:rsidRPr="006E490C" w:rsidRDefault="00302BFE" w:rsidP="00243B15">
            <w:pPr>
              <w:jc w:val="left"/>
              <w:rPr>
                <w:b/>
                <w:bCs/>
                <w:sz w:val="18"/>
                <w:szCs w:val="18"/>
                <w:lang w:val="en-CA"/>
              </w:rPr>
            </w:pPr>
            <w:r w:rsidRPr="006E490C">
              <w:rPr>
                <w:b/>
                <w:bCs/>
                <w:sz w:val="18"/>
                <w:szCs w:val="18"/>
                <w:lang w:val="en-CA"/>
              </w:rPr>
              <w:t>Component/ Outcome 2</w:t>
            </w:r>
          </w:p>
          <w:p w14:paraId="44EBA7F7" w14:textId="77777777" w:rsidR="00302BFE" w:rsidRPr="006E490C" w:rsidRDefault="00302BFE" w:rsidP="00243B15">
            <w:pPr>
              <w:jc w:val="left"/>
              <w:rPr>
                <w:rFonts w:eastAsia="Calibri"/>
                <w:lang w:val="en-CA"/>
              </w:rPr>
            </w:pPr>
            <w:r w:rsidRPr="006E490C">
              <w:rPr>
                <w:rFonts w:eastAsia="Calibri"/>
                <w:lang w:val="en-CA"/>
              </w:rPr>
              <w:t>Strengthening the PONASI Protected Area System</w:t>
            </w:r>
          </w:p>
          <w:p w14:paraId="1F9788F2" w14:textId="77777777" w:rsidR="00302BFE" w:rsidRPr="006E490C" w:rsidRDefault="00302BFE" w:rsidP="00243B15">
            <w:pPr>
              <w:jc w:val="left"/>
              <w:rPr>
                <w:rFonts w:eastAsia="Calibri"/>
                <w:lang w:val="en-CA"/>
              </w:rPr>
            </w:pPr>
            <w:r w:rsidRPr="006E490C">
              <w:rPr>
                <w:rFonts w:eastAsia="Calibri"/>
                <w:lang w:val="en-CA"/>
              </w:rPr>
              <w:t>2.1 Increased institutional capacity of protected area management agencies (OFINAP and DGEF) and of the 3 relevant DREEVCCs to manage knowledge and design rules for the use and development of natural resources</w:t>
            </w:r>
          </w:p>
          <w:p w14:paraId="136D7A11" w14:textId="77777777" w:rsidR="00302BFE" w:rsidRPr="006E490C" w:rsidRDefault="00302BFE" w:rsidP="00243B15">
            <w:pPr>
              <w:jc w:val="left"/>
              <w:rPr>
                <w:rFonts w:eastAsia="Calibri"/>
                <w:lang w:val="en-CA"/>
              </w:rPr>
            </w:pPr>
            <w:r w:rsidRPr="006E490C">
              <w:rPr>
                <w:rFonts w:eastAsia="Calibri"/>
                <w:lang w:val="en-CA"/>
              </w:rPr>
              <w:t>2.2 Increased effectiveness of PA management over 354,781 ha including State protected areas, community protected areas and wildlife corridors within the PONASI complex</w:t>
            </w:r>
          </w:p>
        </w:tc>
        <w:tc>
          <w:tcPr>
            <w:tcW w:w="3016" w:type="dxa"/>
            <w:vMerge w:val="restart"/>
            <w:tcBorders>
              <w:top w:val="single" w:sz="4" w:space="0" w:color="auto"/>
              <w:left w:val="single" w:sz="4" w:space="0" w:color="auto"/>
              <w:bottom w:val="single" w:sz="4" w:space="0" w:color="auto"/>
              <w:right w:val="single" w:sz="4" w:space="0" w:color="auto"/>
            </w:tcBorders>
            <w:hideMark/>
          </w:tcPr>
          <w:p w14:paraId="69F0A2F5" w14:textId="77777777" w:rsidR="00302BFE" w:rsidRPr="006E490C" w:rsidRDefault="00302BFE" w:rsidP="00243B15">
            <w:pPr>
              <w:jc w:val="left"/>
              <w:rPr>
                <w:bCs/>
                <w:i/>
                <w:sz w:val="18"/>
                <w:szCs w:val="18"/>
                <w:u w:val="single"/>
                <w:lang w:val="en-CA"/>
              </w:rPr>
            </w:pPr>
            <w:r w:rsidRPr="006E490C">
              <w:rPr>
                <w:bCs/>
                <w:i/>
                <w:sz w:val="18"/>
                <w:szCs w:val="18"/>
                <w:u w:val="single"/>
                <w:lang w:val="en-CA"/>
              </w:rPr>
              <w:t>Indicator 6:</w:t>
            </w:r>
          </w:p>
          <w:p w14:paraId="4FA88777" w14:textId="77777777" w:rsidR="00302BFE" w:rsidRPr="006E490C" w:rsidRDefault="00302BFE" w:rsidP="00243B15">
            <w:pPr>
              <w:jc w:val="left"/>
              <w:rPr>
                <w:bCs/>
                <w:sz w:val="18"/>
                <w:szCs w:val="18"/>
                <w:lang w:val="en-CA"/>
              </w:rPr>
            </w:pPr>
            <w:r w:rsidRPr="006E490C">
              <w:rPr>
                <w:bCs/>
                <w:sz w:val="18"/>
                <w:szCs w:val="18"/>
                <w:lang w:val="en-CA"/>
              </w:rPr>
              <w:t>Change in institutional capacity of protected areas management agencies, as measured by the UNDP Capacity Development scorecard for GEF projects:</w:t>
            </w:r>
          </w:p>
          <w:p w14:paraId="0F61C0BE" w14:textId="77777777" w:rsidR="00302BFE" w:rsidRPr="006E490C" w:rsidRDefault="00302BFE" w:rsidP="00243B15">
            <w:pPr>
              <w:jc w:val="left"/>
              <w:rPr>
                <w:bCs/>
                <w:sz w:val="18"/>
                <w:szCs w:val="18"/>
                <w:lang w:val="en-CA"/>
              </w:rPr>
            </w:pPr>
            <w:r w:rsidRPr="006E490C">
              <w:rPr>
                <w:bCs/>
                <w:sz w:val="18"/>
                <w:szCs w:val="18"/>
                <w:lang w:val="en-CA"/>
              </w:rPr>
              <w:t>1: Capacities for engagement</w:t>
            </w:r>
            <w:r w:rsidRPr="006E490C">
              <w:rPr>
                <w:bCs/>
                <w:sz w:val="18"/>
                <w:szCs w:val="18"/>
                <w:lang w:val="en-CA"/>
              </w:rPr>
              <w:br/>
              <w:t>2: Capacities to generate, access and use information and knowledge</w:t>
            </w:r>
            <w:r w:rsidRPr="006E490C">
              <w:rPr>
                <w:bCs/>
                <w:sz w:val="18"/>
                <w:szCs w:val="18"/>
                <w:lang w:val="en-CA"/>
              </w:rPr>
              <w:br/>
              <w:t xml:space="preserve">3: Capabilities for strategy, </w:t>
            </w:r>
            <w:proofErr w:type="gramStart"/>
            <w:r w:rsidRPr="006E490C">
              <w:rPr>
                <w:bCs/>
                <w:sz w:val="18"/>
                <w:szCs w:val="18"/>
                <w:lang w:val="en-CA"/>
              </w:rPr>
              <w:t>policy</w:t>
            </w:r>
            <w:proofErr w:type="gramEnd"/>
            <w:r w:rsidRPr="006E490C">
              <w:rPr>
                <w:bCs/>
                <w:sz w:val="18"/>
                <w:szCs w:val="18"/>
                <w:lang w:val="en-CA"/>
              </w:rPr>
              <w:t xml:space="preserve"> and legislation development</w:t>
            </w:r>
            <w:r w:rsidRPr="006E490C">
              <w:rPr>
                <w:bCs/>
                <w:sz w:val="18"/>
                <w:szCs w:val="18"/>
                <w:lang w:val="en-CA"/>
              </w:rPr>
              <w:br/>
              <w:t>4: Capacities for management and implementation</w:t>
            </w:r>
            <w:r w:rsidRPr="006E490C">
              <w:rPr>
                <w:bCs/>
                <w:sz w:val="18"/>
                <w:szCs w:val="18"/>
                <w:lang w:val="en-CA"/>
              </w:rPr>
              <w:br/>
              <w:t>5: Capabilities to monitor and evaluate</w:t>
            </w:r>
          </w:p>
        </w:tc>
        <w:tc>
          <w:tcPr>
            <w:tcW w:w="1552" w:type="dxa"/>
            <w:vMerge w:val="restart"/>
            <w:tcBorders>
              <w:top w:val="single" w:sz="4" w:space="0" w:color="auto"/>
              <w:left w:val="single" w:sz="4" w:space="0" w:color="auto"/>
              <w:bottom w:val="single" w:sz="4" w:space="0" w:color="auto"/>
              <w:right w:val="single" w:sz="4" w:space="0" w:color="auto"/>
            </w:tcBorders>
          </w:tcPr>
          <w:p w14:paraId="342BEAB4" w14:textId="77777777" w:rsidR="00302BFE" w:rsidRPr="006E490C" w:rsidRDefault="00302BFE" w:rsidP="00243B15">
            <w:pPr>
              <w:jc w:val="left"/>
              <w:rPr>
                <w:rFonts w:eastAsia="Calibri"/>
                <w:sz w:val="18"/>
                <w:szCs w:val="18"/>
                <w:lang w:val="en-CA"/>
              </w:rPr>
            </w:pPr>
            <w:r w:rsidRPr="006E490C">
              <w:rPr>
                <w:bCs/>
                <w:i/>
                <w:sz w:val="18"/>
                <w:szCs w:val="18"/>
                <w:lang w:val="en-CA"/>
              </w:rPr>
              <w:t>Scores assessed during PPG for OFINAP and DGEF:</w:t>
            </w:r>
            <w:r w:rsidRPr="006E490C">
              <w:rPr>
                <w:bCs/>
                <w:i/>
                <w:sz w:val="18"/>
                <w:szCs w:val="18"/>
                <w:lang w:val="en-CA"/>
              </w:rPr>
              <w:br/>
            </w:r>
            <w:proofErr w:type="gramStart"/>
            <w:r w:rsidRPr="006E490C">
              <w:rPr>
                <w:rFonts w:eastAsia="Calibri"/>
                <w:sz w:val="18"/>
                <w:szCs w:val="18"/>
                <w:lang w:val="en-CA"/>
              </w:rPr>
              <w:t>1 :</w:t>
            </w:r>
            <w:proofErr w:type="gramEnd"/>
            <w:r w:rsidRPr="006E490C">
              <w:rPr>
                <w:rFonts w:eastAsia="Calibri"/>
                <w:sz w:val="18"/>
                <w:szCs w:val="18"/>
                <w:lang w:val="en-CA"/>
              </w:rPr>
              <w:t xml:space="preserve"> 67%</w:t>
            </w:r>
          </w:p>
          <w:p w14:paraId="13D7BF47" w14:textId="77777777" w:rsidR="00302BFE" w:rsidRPr="006E490C" w:rsidRDefault="00302BFE" w:rsidP="00243B15">
            <w:pPr>
              <w:jc w:val="left"/>
              <w:rPr>
                <w:rFonts w:eastAsia="Calibri"/>
                <w:sz w:val="18"/>
                <w:szCs w:val="18"/>
                <w:lang w:val="en-CA"/>
              </w:rPr>
            </w:pPr>
            <w:proofErr w:type="gramStart"/>
            <w:r w:rsidRPr="006E490C">
              <w:rPr>
                <w:rFonts w:eastAsia="Calibri"/>
                <w:sz w:val="18"/>
                <w:szCs w:val="18"/>
                <w:lang w:val="en-CA"/>
              </w:rPr>
              <w:t>2 :</w:t>
            </w:r>
            <w:proofErr w:type="gramEnd"/>
            <w:r w:rsidRPr="006E490C">
              <w:rPr>
                <w:rFonts w:eastAsia="Calibri"/>
                <w:sz w:val="18"/>
                <w:szCs w:val="18"/>
                <w:lang w:val="en-CA"/>
              </w:rPr>
              <w:t xml:space="preserve"> 40%</w:t>
            </w:r>
          </w:p>
          <w:p w14:paraId="56D1CFFF" w14:textId="77777777" w:rsidR="00302BFE" w:rsidRPr="006E490C" w:rsidRDefault="00302BFE" w:rsidP="00243B15">
            <w:pPr>
              <w:jc w:val="left"/>
              <w:rPr>
                <w:rFonts w:eastAsia="Calibri"/>
                <w:sz w:val="18"/>
                <w:szCs w:val="18"/>
                <w:lang w:val="en-CA"/>
              </w:rPr>
            </w:pPr>
            <w:proofErr w:type="gramStart"/>
            <w:r w:rsidRPr="006E490C">
              <w:rPr>
                <w:rFonts w:eastAsia="Calibri"/>
                <w:sz w:val="18"/>
                <w:szCs w:val="18"/>
                <w:lang w:val="en-CA"/>
              </w:rPr>
              <w:t>3 :</w:t>
            </w:r>
            <w:proofErr w:type="gramEnd"/>
            <w:r w:rsidRPr="006E490C">
              <w:rPr>
                <w:rFonts w:eastAsia="Calibri"/>
                <w:sz w:val="18"/>
                <w:szCs w:val="18"/>
                <w:lang w:val="en-CA"/>
              </w:rPr>
              <w:t xml:space="preserve"> 56%</w:t>
            </w:r>
          </w:p>
          <w:p w14:paraId="4A25553C" w14:textId="77777777" w:rsidR="00302BFE" w:rsidRPr="006E490C" w:rsidRDefault="00302BFE" w:rsidP="00243B15">
            <w:pPr>
              <w:jc w:val="left"/>
              <w:rPr>
                <w:rFonts w:eastAsia="Calibri"/>
                <w:sz w:val="18"/>
                <w:szCs w:val="18"/>
                <w:lang w:val="en-CA"/>
              </w:rPr>
            </w:pPr>
            <w:proofErr w:type="gramStart"/>
            <w:r w:rsidRPr="006E490C">
              <w:rPr>
                <w:rFonts w:eastAsia="Calibri"/>
                <w:sz w:val="18"/>
                <w:szCs w:val="18"/>
                <w:lang w:val="en-CA"/>
              </w:rPr>
              <w:t>4 :</w:t>
            </w:r>
            <w:proofErr w:type="gramEnd"/>
            <w:r w:rsidRPr="006E490C">
              <w:rPr>
                <w:rFonts w:eastAsia="Calibri"/>
                <w:sz w:val="18"/>
                <w:szCs w:val="18"/>
                <w:lang w:val="en-CA"/>
              </w:rPr>
              <w:t xml:space="preserve"> 50%</w:t>
            </w:r>
          </w:p>
          <w:p w14:paraId="1543B258" w14:textId="77777777" w:rsidR="00302BFE" w:rsidRPr="006E490C" w:rsidRDefault="00302BFE" w:rsidP="00243B15">
            <w:pPr>
              <w:jc w:val="left"/>
              <w:rPr>
                <w:rFonts w:eastAsia="Calibri"/>
                <w:sz w:val="18"/>
                <w:szCs w:val="18"/>
                <w:lang w:val="en-CA"/>
              </w:rPr>
            </w:pPr>
            <w:proofErr w:type="gramStart"/>
            <w:r w:rsidRPr="006E490C">
              <w:rPr>
                <w:rFonts w:eastAsia="Calibri"/>
                <w:sz w:val="18"/>
                <w:szCs w:val="18"/>
                <w:lang w:val="en-CA"/>
              </w:rPr>
              <w:t>5 :</w:t>
            </w:r>
            <w:proofErr w:type="gramEnd"/>
            <w:r w:rsidRPr="006E490C">
              <w:rPr>
                <w:rFonts w:eastAsia="Calibri"/>
                <w:sz w:val="18"/>
                <w:szCs w:val="18"/>
                <w:lang w:val="en-CA"/>
              </w:rPr>
              <w:t xml:space="preserve"> 17%</w:t>
            </w:r>
          </w:p>
        </w:tc>
        <w:tc>
          <w:tcPr>
            <w:tcW w:w="1552" w:type="dxa"/>
            <w:vMerge w:val="restart"/>
            <w:tcBorders>
              <w:top w:val="single" w:sz="4" w:space="0" w:color="auto"/>
              <w:left w:val="single" w:sz="4" w:space="0" w:color="auto"/>
              <w:bottom w:val="single" w:sz="4" w:space="0" w:color="auto"/>
              <w:right w:val="single" w:sz="4" w:space="0" w:color="auto"/>
            </w:tcBorders>
          </w:tcPr>
          <w:p w14:paraId="611DA1C0" w14:textId="77777777" w:rsidR="00302BFE" w:rsidRPr="006E490C" w:rsidRDefault="00302BFE" w:rsidP="00243B15">
            <w:pPr>
              <w:jc w:val="left"/>
              <w:rPr>
                <w:bCs/>
                <w:i/>
                <w:sz w:val="18"/>
                <w:szCs w:val="18"/>
                <w:lang w:val="fr-CA"/>
              </w:rPr>
            </w:pPr>
            <w:proofErr w:type="spellStart"/>
            <w:r w:rsidRPr="006E490C">
              <w:rPr>
                <w:bCs/>
                <w:i/>
                <w:sz w:val="18"/>
                <w:szCs w:val="18"/>
                <w:lang w:val="fr-CA"/>
              </w:rPr>
              <w:t>n.a</w:t>
            </w:r>
            <w:proofErr w:type="spellEnd"/>
            <w:r w:rsidRPr="006E490C">
              <w:rPr>
                <w:bCs/>
                <w:i/>
                <w:sz w:val="18"/>
                <w:szCs w:val="18"/>
                <w:lang w:val="fr-CA"/>
              </w:rPr>
              <w:t>.</w:t>
            </w:r>
          </w:p>
        </w:tc>
        <w:tc>
          <w:tcPr>
            <w:tcW w:w="1552" w:type="dxa"/>
            <w:vMerge w:val="restart"/>
            <w:tcBorders>
              <w:top w:val="single" w:sz="4" w:space="0" w:color="auto"/>
              <w:left w:val="single" w:sz="4" w:space="0" w:color="auto"/>
              <w:bottom w:val="single" w:sz="4" w:space="0" w:color="auto"/>
              <w:right w:val="single" w:sz="4" w:space="0" w:color="auto"/>
            </w:tcBorders>
          </w:tcPr>
          <w:p w14:paraId="48D31D0A" w14:textId="77777777" w:rsidR="00302BFE" w:rsidRPr="006E490C" w:rsidRDefault="00302BFE" w:rsidP="00243B15">
            <w:pPr>
              <w:jc w:val="left"/>
              <w:rPr>
                <w:bCs/>
                <w:i/>
                <w:sz w:val="18"/>
                <w:szCs w:val="18"/>
                <w:lang w:val="en-CA"/>
              </w:rPr>
            </w:pPr>
            <w:r w:rsidRPr="006E490C">
              <w:rPr>
                <w:bCs/>
                <w:i/>
                <w:sz w:val="18"/>
                <w:szCs w:val="18"/>
                <w:lang w:val="en-CA"/>
              </w:rPr>
              <w:t>Scores assessed at end of project for OFINAP and DGEF:</w:t>
            </w:r>
          </w:p>
          <w:p w14:paraId="660DDDC0" w14:textId="77777777" w:rsidR="00302BFE" w:rsidRPr="006E490C" w:rsidRDefault="00302BFE" w:rsidP="00243B15">
            <w:pPr>
              <w:jc w:val="left"/>
              <w:rPr>
                <w:rFonts w:eastAsia="Calibri"/>
                <w:sz w:val="18"/>
                <w:szCs w:val="18"/>
                <w:lang w:val="fr-CA"/>
              </w:rPr>
            </w:pPr>
            <w:r w:rsidRPr="006E490C">
              <w:rPr>
                <w:rFonts w:eastAsia="Calibri"/>
                <w:sz w:val="18"/>
                <w:szCs w:val="18"/>
                <w:lang w:val="fr-CA"/>
              </w:rPr>
              <w:t>1 : 89%</w:t>
            </w:r>
          </w:p>
          <w:p w14:paraId="3D00F5C7" w14:textId="77777777" w:rsidR="00302BFE" w:rsidRPr="006E490C" w:rsidRDefault="00302BFE" w:rsidP="00243B15">
            <w:pPr>
              <w:jc w:val="left"/>
              <w:rPr>
                <w:rFonts w:eastAsia="Calibri"/>
                <w:sz w:val="18"/>
                <w:szCs w:val="18"/>
                <w:lang w:val="fr-CA"/>
              </w:rPr>
            </w:pPr>
            <w:r w:rsidRPr="006E490C">
              <w:rPr>
                <w:rFonts w:eastAsia="Calibri"/>
                <w:sz w:val="18"/>
                <w:szCs w:val="18"/>
                <w:lang w:val="fr-CA"/>
              </w:rPr>
              <w:t>2 : 80%</w:t>
            </w:r>
          </w:p>
          <w:p w14:paraId="68E1A3C4" w14:textId="77777777" w:rsidR="00302BFE" w:rsidRPr="006E490C" w:rsidRDefault="00302BFE" w:rsidP="00243B15">
            <w:pPr>
              <w:jc w:val="left"/>
              <w:rPr>
                <w:rFonts w:eastAsia="Calibri"/>
                <w:sz w:val="18"/>
                <w:szCs w:val="18"/>
                <w:lang w:val="fr-CA"/>
              </w:rPr>
            </w:pPr>
            <w:r w:rsidRPr="006E490C">
              <w:rPr>
                <w:rFonts w:eastAsia="Calibri"/>
                <w:sz w:val="18"/>
                <w:szCs w:val="18"/>
                <w:lang w:val="fr-CA"/>
              </w:rPr>
              <w:t>3 : 67%</w:t>
            </w:r>
          </w:p>
          <w:p w14:paraId="33547331" w14:textId="77777777" w:rsidR="00302BFE" w:rsidRPr="006E490C" w:rsidRDefault="00302BFE" w:rsidP="00243B15">
            <w:pPr>
              <w:jc w:val="left"/>
              <w:rPr>
                <w:rFonts w:eastAsia="Calibri"/>
                <w:sz w:val="18"/>
                <w:szCs w:val="18"/>
                <w:lang w:val="fr-CA"/>
              </w:rPr>
            </w:pPr>
            <w:r w:rsidRPr="006E490C">
              <w:rPr>
                <w:rFonts w:eastAsia="Calibri"/>
                <w:sz w:val="18"/>
                <w:szCs w:val="18"/>
                <w:lang w:val="fr-CA"/>
              </w:rPr>
              <w:t>4 : 67%</w:t>
            </w:r>
          </w:p>
          <w:p w14:paraId="49D3E23C" w14:textId="77777777" w:rsidR="00302BFE" w:rsidRPr="006E490C" w:rsidRDefault="00302BFE" w:rsidP="00243B15">
            <w:pPr>
              <w:jc w:val="left"/>
              <w:rPr>
                <w:rFonts w:eastAsia="Calibri"/>
                <w:sz w:val="18"/>
                <w:szCs w:val="18"/>
                <w:lang w:val="fr-CA"/>
              </w:rPr>
            </w:pPr>
            <w:r w:rsidRPr="006E490C">
              <w:rPr>
                <w:rFonts w:eastAsia="Calibri"/>
                <w:sz w:val="18"/>
                <w:szCs w:val="18"/>
                <w:lang w:val="fr-CA"/>
              </w:rPr>
              <w:t>5 : 67%</w:t>
            </w:r>
          </w:p>
        </w:tc>
        <w:tc>
          <w:tcPr>
            <w:tcW w:w="4712" w:type="dxa"/>
            <w:tcBorders>
              <w:top w:val="single" w:sz="4" w:space="0" w:color="auto"/>
              <w:left w:val="single" w:sz="4" w:space="0" w:color="auto"/>
              <w:bottom w:val="single" w:sz="4" w:space="0" w:color="auto"/>
              <w:right w:val="single" w:sz="4" w:space="0" w:color="auto"/>
            </w:tcBorders>
            <w:hideMark/>
          </w:tcPr>
          <w:p w14:paraId="609B03EB" w14:textId="77777777" w:rsidR="00302BFE" w:rsidRPr="006E490C" w:rsidRDefault="00302BFE" w:rsidP="00243B15">
            <w:pPr>
              <w:jc w:val="left"/>
              <w:rPr>
                <w:sz w:val="18"/>
                <w:szCs w:val="18"/>
                <w:lang w:val="en-CA"/>
              </w:rPr>
            </w:pPr>
            <w:r w:rsidRPr="006E490C">
              <w:rPr>
                <w:bCs/>
                <w:i/>
                <w:sz w:val="18"/>
                <w:szCs w:val="18"/>
                <w:lang w:val="en-CA"/>
              </w:rPr>
              <w:t>Data collection source / method</w:t>
            </w:r>
            <w:r w:rsidRPr="006E490C">
              <w:rPr>
                <w:sz w:val="18"/>
                <w:szCs w:val="18"/>
                <w:lang w:val="en-CA"/>
              </w:rPr>
              <w:t xml:space="preserve"> </w:t>
            </w:r>
            <w:r w:rsidRPr="006E490C">
              <w:rPr>
                <w:sz w:val="18"/>
                <w:szCs w:val="18"/>
                <w:lang w:val="en-CA"/>
              </w:rPr>
              <w:br/>
              <w:t>Participatory assessment involving concerned stakeholders, using the UNDP Capacity Development Scorecard for GEF Projects at the end of the project</w:t>
            </w:r>
          </w:p>
        </w:tc>
      </w:tr>
      <w:tr w:rsidR="00302BFE" w:rsidRPr="006E490C" w14:paraId="5005B036" w14:textId="77777777" w:rsidTr="00243B15">
        <w:tc>
          <w:tcPr>
            <w:tcW w:w="2006" w:type="dxa"/>
            <w:vMerge/>
            <w:tcBorders>
              <w:left w:val="single" w:sz="4" w:space="0" w:color="auto"/>
              <w:right w:val="single" w:sz="4" w:space="0" w:color="auto"/>
            </w:tcBorders>
            <w:vAlign w:val="center"/>
            <w:hideMark/>
          </w:tcPr>
          <w:p w14:paraId="269B8A2E" w14:textId="77777777" w:rsidR="00302BFE" w:rsidRPr="006E490C" w:rsidRDefault="00302BFE" w:rsidP="00243B15">
            <w:pPr>
              <w:spacing w:after="0"/>
              <w:jc w:val="left"/>
              <w:rPr>
                <w:rFonts w:ascii="Times New Roman" w:hAnsi="Times New Roman"/>
                <w:b/>
                <w:bCs/>
                <w:sz w:val="18"/>
                <w:szCs w:val="18"/>
                <w:lang w:val="en-CA"/>
              </w:rPr>
            </w:pPr>
          </w:p>
        </w:tc>
        <w:tc>
          <w:tcPr>
            <w:tcW w:w="3016" w:type="dxa"/>
            <w:vMerge/>
            <w:tcBorders>
              <w:top w:val="single" w:sz="4" w:space="0" w:color="auto"/>
              <w:left w:val="single" w:sz="4" w:space="0" w:color="auto"/>
              <w:bottom w:val="single" w:sz="4" w:space="0" w:color="auto"/>
              <w:right w:val="single" w:sz="4" w:space="0" w:color="auto"/>
            </w:tcBorders>
            <w:vAlign w:val="center"/>
            <w:hideMark/>
          </w:tcPr>
          <w:p w14:paraId="3810BD42"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75396FCE"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37832214"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3CBF3700" w14:textId="77777777" w:rsidR="00302BFE" w:rsidRPr="006E490C" w:rsidRDefault="00302BFE" w:rsidP="00243B15">
            <w:pPr>
              <w:spacing w:after="0"/>
              <w:jc w:val="left"/>
              <w:rPr>
                <w:bCs/>
                <w:i/>
                <w:sz w:val="18"/>
                <w:szCs w:val="18"/>
                <w:lang w:val="en-CA"/>
              </w:rPr>
            </w:pPr>
          </w:p>
        </w:tc>
        <w:tc>
          <w:tcPr>
            <w:tcW w:w="4712" w:type="dxa"/>
            <w:tcBorders>
              <w:top w:val="single" w:sz="4" w:space="0" w:color="auto"/>
              <w:left w:val="single" w:sz="4" w:space="0" w:color="auto"/>
              <w:bottom w:val="single" w:sz="4" w:space="0" w:color="auto"/>
              <w:right w:val="single" w:sz="4" w:space="0" w:color="auto"/>
            </w:tcBorders>
          </w:tcPr>
          <w:p w14:paraId="0EADDDC2" w14:textId="77777777" w:rsidR="00302BFE" w:rsidRPr="006E490C" w:rsidRDefault="00302BFE" w:rsidP="00243B15">
            <w:pPr>
              <w:jc w:val="left"/>
              <w:rPr>
                <w:sz w:val="18"/>
                <w:szCs w:val="18"/>
                <w:lang w:val="en-CA"/>
              </w:rPr>
            </w:pPr>
            <w:r w:rsidRPr="006E490C">
              <w:rPr>
                <w:i/>
                <w:sz w:val="18"/>
                <w:szCs w:val="18"/>
                <w:lang w:val="en-CA"/>
              </w:rPr>
              <w:t>Risks</w:t>
            </w:r>
            <w:r w:rsidRPr="006E490C">
              <w:rPr>
                <w:sz w:val="18"/>
                <w:szCs w:val="18"/>
                <w:lang w:val="en-CA"/>
              </w:rPr>
              <w:t>:</w:t>
            </w:r>
            <w:r w:rsidRPr="006E490C">
              <w:rPr>
                <w:sz w:val="18"/>
                <w:szCs w:val="18"/>
                <w:lang w:val="en-CA"/>
              </w:rPr>
              <w:br/>
              <w:t>Inter-institutional mobility of training beneficiaries</w:t>
            </w:r>
          </w:p>
          <w:p w14:paraId="3F211E63" w14:textId="77777777" w:rsidR="00302BFE" w:rsidRPr="006E490C" w:rsidRDefault="00302BFE" w:rsidP="00243B15">
            <w:pPr>
              <w:jc w:val="left"/>
              <w:rPr>
                <w:sz w:val="18"/>
                <w:szCs w:val="18"/>
                <w:lang w:val="en-CA"/>
              </w:rPr>
            </w:pPr>
            <w:r w:rsidRPr="006E490C">
              <w:rPr>
                <w:sz w:val="18"/>
                <w:szCs w:val="18"/>
                <w:lang w:val="en-CA"/>
              </w:rPr>
              <w:t>Difficulties in recruiting the required staff within OFINAP and DGEF due to limited financial resources</w:t>
            </w:r>
          </w:p>
          <w:p w14:paraId="74979DAB" w14:textId="77777777" w:rsidR="00302BFE" w:rsidRPr="006E490C" w:rsidRDefault="00302BFE" w:rsidP="00243B15">
            <w:pPr>
              <w:jc w:val="left"/>
              <w:rPr>
                <w:sz w:val="18"/>
                <w:szCs w:val="18"/>
                <w:lang w:val="en-CA"/>
              </w:rPr>
            </w:pPr>
            <w:r w:rsidRPr="006E490C">
              <w:rPr>
                <w:i/>
                <w:sz w:val="18"/>
                <w:szCs w:val="18"/>
                <w:lang w:val="en-CA"/>
              </w:rPr>
              <w:t>Assumptions</w:t>
            </w:r>
            <w:r w:rsidRPr="006E490C">
              <w:rPr>
                <w:sz w:val="18"/>
                <w:szCs w:val="18"/>
                <w:lang w:val="en-CA"/>
              </w:rPr>
              <w:t>:</w:t>
            </w:r>
            <w:r w:rsidRPr="006E490C">
              <w:rPr>
                <w:sz w:val="18"/>
                <w:szCs w:val="18"/>
                <w:lang w:val="en-CA"/>
              </w:rPr>
              <w:br/>
              <w:t>All stakeholders including OFINAP and DGEF commit to the capacity building objectives of PAs in the PONASI landscape</w:t>
            </w:r>
          </w:p>
          <w:p w14:paraId="7788A3ED" w14:textId="77777777" w:rsidR="00302BFE" w:rsidRPr="006E490C" w:rsidRDefault="00302BFE" w:rsidP="00243B15">
            <w:pPr>
              <w:jc w:val="left"/>
              <w:rPr>
                <w:sz w:val="18"/>
                <w:szCs w:val="18"/>
                <w:lang w:val="en-CA"/>
              </w:rPr>
            </w:pPr>
            <w:r w:rsidRPr="006E490C">
              <w:rPr>
                <w:sz w:val="18"/>
                <w:szCs w:val="18"/>
                <w:lang w:val="en-CA"/>
              </w:rPr>
              <w:t>The Government allocates adequate resources (staff and operational budget) to ensure the effective management of all State PAs in the PONASI landscape</w:t>
            </w:r>
          </w:p>
        </w:tc>
      </w:tr>
      <w:tr w:rsidR="00302BFE" w:rsidRPr="006E490C" w14:paraId="19652202" w14:textId="77777777" w:rsidTr="00243B15">
        <w:tc>
          <w:tcPr>
            <w:tcW w:w="2006" w:type="dxa"/>
            <w:vMerge/>
            <w:tcBorders>
              <w:left w:val="single" w:sz="4" w:space="0" w:color="auto"/>
              <w:right w:val="single" w:sz="4" w:space="0" w:color="auto"/>
            </w:tcBorders>
            <w:vAlign w:val="center"/>
            <w:hideMark/>
          </w:tcPr>
          <w:p w14:paraId="0545DDDD" w14:textId="77777777" w:rsidR="00302BFE" w:rsidRPr="006E490C" w:rsidRDefault="00302BFE" w:rsidP="00243B15">
            <w:pPr>
              <w:spacing w:after="0"/>
              <w:jc w:val="left"/>
              <w:rPr>
                <w:rFonts w:ascii="Times New Roman" w:hAnsi="Times New Roman"/>
                <w:b/>
                <w:bCs/>
                <w:sz w:val="18"/>
                <w:szCs w:val="18"/>
                <w:lang w:val="en-CA"/>
              </w:rPr>
            </w:pPr>
          </w:p>
        </w:tc>
        <w:tc>
          <w:tcPr>
            <w:tcW w:w="3016" w:type="dxa"/>
            <w:vMerge w:val="restart"/>
            <w:tcBorders>
              <w:top w:val="single" w:sz="4" w:space="0" w:color="auto"/>
              <w:left w:val="single" w:sz="4" w:space="0" w:color="auto"/>
              <w:bottom w:val="single" w:sz="4" w:space="0" w:color="auto"/>
              <w:right w:val="single" w:sz="4" w:space="0" w:color="auto"/>
            </w:tcBorders>
            <w:hideMark/>
          </w:tcPr>
          <w:p w14:paraId="645D1D62" w14:textId="77777777" w:rsidR="00302BFE" w:rsidRPr="006E490C" w:rsidRDefault="00302BFE" w:rsidP="00243B15">
            <w:pPr>
              <w:jc w:val="left"/>
              <w:rPr>
                <w:i/>
                <w:sz w:val="18"/>
                <w:szCs w:val="18"/>
                <w:u w:val="single"/>
                <w:lang w:val="en-CA"/>
              </w:rPr>
            </w:pPr>
            <w:r w:rsidRPr="006E490C">
              <w:rPr>
                <w:i/>
                <w:sz w:val="18"/>
                <w:szCs w:val="18"/>
                <w:u w:val="single"/>
                <w:lang w:val="en-CA"/>
              </w:rPr>
              <w:t>Indicator 7:</w:t>
            </w:r>
          </w:p>
          <w:p w14:paraId="633D17FC" w14:textId="77777777" w:rsidR="00302BFE" w:rsidRPr="006E490C" w:rsidRDefault="00302BFE" w:rsidP="00C46720">
            <w:pPr>
              <w:pStyle w:val="Paragraphedeliste"/>
              <w:numPr>
                <w:ilvl w:val="0"/>
                <w:numId w:val="9"/>
              </w:numPr>
              <w:spacing w:after="60"/>
              <w:ind w:left="258" w:hanging="178"/>
              <w:contextualSpacing/>
              <w:rPr>
                <w:rFonts w:ascii="Calibri" w:hAnsi="Calibri"/>
                <w:sz w:val="18"/>
                <w:szCs w:val="18"/>
                <w:lang w:val="en-CA"/>
              </w:rPr>
            </w:pPr>
            <w:r w:rsidRPr="006E490C">
              <w:rPr>
                <w:rFonts w:ascii="Calibri" w:eastAsia="Calibri" w:hAnsi="Calibri"/>
                <w:sz w:val="18"/>
                <w:szCs w:val="18"/>
                <w:lang w:val="en-CA"/>
              </w:rPr>
              <w:t xml:space="preserve">Area of terrestrial protected areas whose management effectiveness has been improved as evidenced by the evolution of METT scores of existing protected areas from the following reference values: PNKT (39), </w:t>
            </w:r>
            <w:proofErr w:type="spellStart"/>
            <w:r w:rsidRPr="006E490C">
              <w:rPr>
                <w:rFonts w:ascii="Calibri" w:eastAsia="Calibri" w:hAnsi="Calibri"/>
                <w:sz w:val="18"/>
                <w:szCs w:val="18"/>
                <w:lang w:val="en-CA"/>
              </w:rPr>
              <w:t>Sissili</w:t>
            </w:r>
            <w:proofErr w:type="spellEnd"/>
            <w:r w:rsidRPr="006E490C">
              <w:rPr>
                <w:rFonts w:ascii="Calibri" w:eastAsia="Calibri" w:hAnsi="Calibri"/>
                <w:sz w:val="18"/>
                <w:szCs w:val="18"/>
                <w:lang w:val="en-CA"/>
              </w:rPr>
              <w:t xml:space="preserve"> (47), </w:t>
            </w:r>
            <w:proofErr w:type="spellStart"/>
            <w:r w:rsidRPr="006E490C">
              <w:rPr>
                <w:rFonts w:ascii="Calibri" w:eastAsia="Calibri" w:hAnsi="Calibri"/>
                <w:sz w:val="18"/>
                <w:szCs w:val="18"/>
                <w:lang w:val="en-CA"/>
              </w:rPr>
              <w:t>Nazinga</w:t>
            </w:r>
            <w:proofErr w:type="spellEnd"/>
            <w:r w:rsidRPr="006E490C">
              <w:rPr>
                <w:rFonts w:ascii="Calibri" w:eastAsia="Calibri" w:hAnsi="Calibri"/>
                <w:sz w:val="18"/>
                <w:szCs w:val="18"/>
                <w:lang w:val="en-CA"/>
              </w:rPr>
              <w:t xml:space="preserve"> (75), corridor # 1 (31), ZOVICs </w:t>
            </w:r>
            <w:proofErr w:type="spellStart"/>
            <w:r w:rsidRPr="006E490C">
              <w:rPr>
                <w:rFonts w:ascii="Calibri" w:eastAsia="Calibri" w:hAnsi="Calibri"/>
                <w:sz w:val="18"/>
                <w:szCs w:val="18"/>
                <w:lang w:val="en-CA"/>
              </w:rPr>
              <w:t>Bieha</w:t>
            </w:r>
            <w:proofErr w:type="spellEnd"/>
            <w:r w:rsidRPr="006E490C">
              <w:rPr>
                <w:rFonts w:ascii="Calibri" w:eastAsia="Calibri" w:hAnsi="Calibri"/>
                <w:sz w:val="18"/>
                <w:szCs w:val="18"/>
                <w:lang w:val="en-CA"/>
              </w:rPr>
              <w:t xml:space="preserve"> (36) and ZOVICs </w:t>
            </w:r>
            <w:proofErr w:type="spellStart"/>
            <w:r w:rsidRPr="006E490C">
              <w:rPr>
                <w:rFonts w:ascii="Calibri" w:eastAsia="Calibri" w:hAnsi="Calibri"/>
                <w:sz w:val="18"/>
                <w:szCs w:val="18"/>
                <w:lang w:val="en-CA"/>
              </w:rPr>
              <w:t>Guiaro</w:t>
            </w:r>
            <w:proofErr w:type="spellEnd"/>
            <w:r w:rsidRPr="006E490C">
              <w:rPr>
                <w:rFonts w:ascii="Calibri" w:eastAsia="Calibri" w:hAnsi="Calibri"/>
                <w:sz w:val="18"/>
                <w:szCs w:val="18"/>
                <w:lang w:val="en-CA"/>
              </w:rPr>
              <w:t xml:space="preserve"> and Po (55) (</w:t>
            </w:r>
            <w:r w:rsidRPr="006E490C">
              <w:rPr>
                <w:rFonts w:ascii="Calibri" w:eastAsia="Calibri" w:hAnsi="Calibri"/>
                <w:b/>
                <w:sz w:val="18"/>
                <w:szCs w:val="18"/>
                <w:lang w:val="en-CA"/>
              </w:rPr>
              <w:t>GEF-7 Core indicator 1.2</w:t>
            </w:r>
            <w:r w:rsidRPr="006E490C">
              <w:rPr>
                <w:rFonts w:ascii="Calibri" w:eastAsia="Calibri" w:hAnsi="Calibri"/>
                <w:sz w:val="18"/>
                <w:szCs w:val="18"/>
                <w:lang w:val="en-CA"/>
              </w:rPr>
              <w:t>)</w:t>
            </w:r>
          </w:p>
          <w:p w14:paraId="39CE0127" w14:textId="77777777" w:rsidR="00302BFE" w:rsidRPr="006E490C" w:rsidRDefault="00302BFE" w:rsidP="00C46720">
            <w:pPr>
              <w:pStyle w:val="Paragraphedeliste"/>
              <w:numPr>
                <w:ilvl w:val="0"/>
                <w:numId w:val="9"/>
              </w:numPr>
              <w:spacing w:after="60"/>
              <w:ind w:left="258" w:hanging="178"/>
              <w:contextualSpacing/>
              <w:rPr>
                <w:sz w:val="18"/>
                <w:szCs w:val="18"/>
                <w:lang w:val="en-CA"/>
              </w:rPr>
            </w:pPr>
            <w:r w:rsidRPr="006E490C">
              <w:rPr>
                <w:rFonts w:ascii="Calibri" w:hAnsi="Calibri"/>
                <w:sz w:val="18"/>
                <w:szCs w:val="18"/>
                <w:lang w:val="en-CA"/>
              </w:rPr>
              <w:t>Area of newly created protected area (Corridor # 2) (</w:t>
            </w:r>
            <w:r w:rsidRPr="006E490C">
              <w:rPr>
                <w:rFonts w:ascii="Calibri" w:hAnsi="Calibri"/>
                <w:b/>
                <w:sz w:val="18"/>
                <w:szCs w:val="18"/>
                <w:lang w:val="en-CA"/>
              </w:rPr>
              <w:t>GEF-7 Core indicator 1.1</w:t>
            </w:r>
            <w:r w:rsidRPr="006E490C">
              <w:rPr>
                <w:rFonts w:ascii="Calibri" w:hAnsi="Calibri"/>
                <w:sz w:val="18"/>
                <w:szCs w:val="18"/>
                <w:lang w:val="en-CA"/>
              </w:rPr>
              <w:t>)</w:t>
            </w:r>
          </w:p>
        </w:tc>
        <w:tc>
          <w:tcPr>
            <w:tcW w:w="1552" w:type="dxa"/>
            <w:vMerge w:val="restart"/>
            <w:tcBorders>
              <w:top w:val="single" w:sz="4" w:space="0" w:color="auto"/>
              <w:left w:val="single" w:sz="4" w:space="0" w:color="auto"/>
              <w:bottom w:val="single" w:sz="4" w:space="0" w:color="auto"/>
              <w:right w:val="single" w:sz="4" w:space="0" w:color="auto"/>
            </w:tcBorders>
          </w:tcPr>
          <w:p w14:paraId="2F0F1082" w14:textId="77777777" w:rsidR="00302BFE" w:rsidRPr="006E490C" w:rsidRDefault="00302BFE" w:rsidP="00243B15">
            <w:pPr>
              <w:jc w:val="left"/>
              <w:rPr>
                <w:bCs/>
                <w:sz w:val="18"/>
                <w:szCs w:val="18"/>
              </w:rPr>
            </w:pPr>
            <w:r w:rsidRPr="006E490C">
              <w:rPr>
                <w:bCs/>
                <w:sz w:val="18"/>
                <w:szCs w:val="18"/>
              </w:rPr>
              <w:t>a) 0 (the project has not started yet)</w:t>
            </w:r>
          </w:p>
          <w:p w14:paraId="6FF90ECF" w14:textId="77777777" w:rsidR="00302BFE" w:rsidRPr="006E490C" w:rsidRDefault="00302BFE" w:rsidP="00243B15">
            <w:pPr>
              <w:jc w:val="left"/>
              <w:rPr>
                <w:bCs/>
                <w:sz w:val="18"/>
                <w:szCs w:val="18"/>
              </w:rPr>
            </w:pPr>
          </w:p>
          <w:p w14:paraId="40BA1542" w14:textId="77777777" w:rsidR="00302BFE" w:rsidRPr="006E490C" w:rsidRDefault="00302BFE" w:rsidP="00243B15">
            <w:pPr>
              <w:jc w:val="left"/>
              <w:rPr>
                <w:bCs/>
                <w:sz w:val="18"/>
                <w:szCs w:val="18"/>
              </w:rPr>
            </w:pPr>
          </w:p>
          <w:p w14:paraId="3DCE5AC5" w14:textId="77777777" w:rsidR="00302BFE" w:rsidRPr="006E490C" w:rsidRDefault="00302BFE" w:rsidP="00243B15">
            <w:pPr>
              <w:jc w:val="left"/>
              <w:rPr>
                <w:bCs/>
                <w:sz w:val="18"/>
                <w:szCs w:val="18"/>
              </w:rPr>
            </w:pPr>
          </w:p>
          <w:p w14:paraId="307D1095" w14:textId="77777777" w:rsidR="00302BFE" w:rsidRPr="006E490C" w:rsidRDefault="00302BFE" w:rsidP="00243B15">
            <w:pPr>
              <w:jc w:val="left"/>
              <w:rPr>
                <w:rFonts w:ascii="Times New Roman" w:hAnsi="Times New Roman"/>
                <w:bCs/>
                <w:i/>
                <w:sz w:val="18"/>
                <w:szCs w:val="18"/>
                <w:lang w:val="en-CA"/>
              </w:rPr>
            </w:pPr>
            <w:r w:rsidRPr="006E490C">
              <w:rPr>
                <w:bCs/>
                <w:sz w:val="18"/>
                <w:szCs w:val="18"/>
              </w:rPr>
              <w:t>b) 0 (the project has not started yet)</w:t>
            </w:r>
          </w:p>
        </w:tc>
        <w:tc>
          <w:tcPr>
            <w:tcW w:w="1552" w:type="dxa"/>
            <w:vMerge w:val="restart"/>
            <w:tcBorders>
              <w:top w:val="single" w:sz="4" w:space="0" w:color="auto"/>
              <w:left w:val="single" w:sz="4" w:space="0" w:color="auto"/>
              <w:bottom w:val="single" w:sz="4" w:space="0" w:color="auto"/>
              <w:right w:val="single" w:sz="4" w:space="0" w:color="auto"/>
            </w:tcBorders>
          </w:tcPr>
          <w:p w14:paraId="48F1F5E0" w14:textId="77777777" w:rsidR="00302BFE" w:rsidRPr="00CD48B7" w:rsidRDefault="00302BFE" w:rsidP="00243B15">
            <w:pPr>
              <w:jc w:val="left"/>
              <w:rPr>
                <w:bCs/>
                <w:sz w:val="18"/>
                <w:szCs w:val="18"/>
                <w:lang w:val="pt-PT"/>
              </w:rPr>
            </w:pPr>
            <w:r w:rsidRPr="00CD48B7">
              <w:rPr>
                <w:bCs/>
                <w:sz w:val="18"/>
                <w:szCs w:val="18"/>
                <w:lang w:val="pt-PT"/>
              </w:rPr>
              <w:t>a) 91,300 ha (Nazinga area)</w:t>
            </w:r>
          </w:p>
          <w:p w14:paraId="057272BD" w14:textId="77777777" w:rsidR="00302BFE" w:rsidRPr="00CD48B7" w:rsidRDefault="00302BFE" w:rsidP="00243B15">
            <w:pPr>
              <w:jc w:val="left"/>
              <w:rPr>
                <w:bCs/>
                <w:sz w:val="18"/>
                <w:szCs w:val="18"/>
                <w:lang w:val="pt-PT"/>
              </w:rPr>
            </w:pPr>
          </w:p>
          <w:p w14:paraId="12A86067" w14:textId="77777777" w:rsidR="00302BFE" w:rsidRPr="00CD48B7" w:rsidRDefault="00302BFE" w:rsidP="00243B15">
            <w:pPr>
              <w:jc w:val="left"/>
              <w:rPr>
                <w:bCs/>
                <w:sz w:val="18"/>
                <w:szCs w:val="18"/>
                <w:lang w:val="pt-PT"/>
              </w:rPr>
            </w:pPr>
          </w:p>
          <w:p w14:paraId="60871B8B" w14:textId="77777777" w:rsidR="00302BFE" w:rsidRPr="00CD48B7" w:rsidRDefault="00302BFE" w:rsidP="00243B15">
            <w:pPr>
              <w:jc w:val="left"/>
              <w:rPr>
                <w:bCs/>
                <w:sz w:val="18"/>
                <w:szCs w:val="18"/>
                <w:lang w:val="pt-PT"/>
              </w:rPr>
            </w:pPr>
          </w:p>
          <w:p w14:paraId="3A389251" w14:textId="77777777" w:rsidR="00302BFE" w:rsidRPr="00CD48B7" w:rsidRDefault="00302BFE" w:rsidP="00243B15">
            <w:pPr>
              <w:jc w:val="left"/>
              <w:rPr>
                <w:rFonts w:ascii="Times New Roman" w:hAnsi="Times New Roman"/>
                <w:bCs/>
                <w:i/>
                <w:sz w:val="18"/>
                <w:szCs w:val="18"/>
                <w:lang w:val="pt-PT"/>
              </w:rPr>
            </w:pPr>
            <w:r w:rsidRPr="00CD48B7">
              <w:rPr>
                <w:bCs/>
                <w:sz w:val="18"/>
                <w:szCs w:val="18"/>
                <w:lang w:val="pt-PT"/>
              </w:rPr>
              <w:t>b) 0 ha</w:t>
            </w:r>
          </w:p>
        </w:tc>
        <w:tc>
          <w:tcPr>
            <w:tcW w:w="1552" w:type="dxa"/>
            <w:vMerge w:val="restart"/>
            <w:tcBorders>
              <w:top w:val="single" w:sz="4" w:space="0" w:color="auto"/>
              <w:left w:val="single" w:sz="4" w:space="0" w:color="auto"/>
              <w:bottom w:val="single" w:sz="4" w:space="0" w:color="auto"/>
              <w:right w:val="single" w:sz="4" w:space="0" w:color="auto"/>
            </w:tcBorders>
          </w:tcPr>
          <w:p w14:paraId="2751F9B4" w14:textId="77777777" w:rsidR="00302BFE" w:rsidRPr="006E490C" w:rsidRDefault="00302BFE" w:rsidP="00243B15">
            <w:pPr>
              <w:jc w:val="left"/>
              <w:rPr>
                <w:bCs/>
                <w:sz w:val="18"/>
                <w:szCs w:val="18"/>
                <w:lang w:val="en-CA"/>
              </w:rPr>
            </w:pPr>
            <w:r w:rsidRPr="006E490C">
              <w:rPr>
                <w:bCs/>
                <w:sz w:val="18"/>
                <w:szCs w:val="18"/>
                <w:lang w:val="en-CA"/>
              </w:rPr>
              <w:t xml:space="preserve">a) 321 781 ha (total area for PNKT, </w:t>
            </w:r>
            <w:proofErr w:type="spellStart"/>
            <w:r w:rsidRPr="006E490C">
              <w:rPr>
                <w:bCs/>
                <w:sz w:val="18"/>
                <w:szCs w:val="18"/>
                <w:lang w:val="en-CA"/>
              </w:rPr>
              <w:t>Sissili</w:t>
            </w:r>
            <w:proofErr w:type="spellEnd"/>
            <w:r w:rsidRPr="006E490C">
              <w:rPr>
                <w:bCs/>
                <w:sz w:val="18"/>
                <w:szCs w:val="18"/>
                <w:lang w:val="en-CA"/>
              </w:rPr>
              <w:t xml:space="preserve">, </w:t>
            </w:r>
            <w:proofErr w:type="spellStart"/>
            <w:r w:rsidRPr="006E490C">
              <w:rPr>
                <w:bCs/>
                <w:sz w:val="18"/>
                <w:szCs w:val="18"/>
                <w:lang w:val="en-CA"/>
              </w:rPr>
              <w:t>Nazinga</w:t>
            </w:r>
            <w:proofErr w:type="spellEnd"/>
            <w:r w:rsidRPr="006E490C">
              <w:rPr>
                <w:bCs/>
                <w:sz w:val="18"/>
                <w:szCs w:val="18"/>
                <w:lang w:val="en-CA"/>
              </w:rPr>
              <w:t>, ZOVICs and corridor #1)</w:t>
            </w:r>
          </w:p>
          <w:p w14:paraId="0EE544C9" w14:textId="77777777" w:rsidR="00302BFE" w:rsidRPr="006E490C" w:rsidRDefault="00302BFE" w:rsidP="00243B15">
            <w:pPr>
              <w:jc w:val="left"/>
              <w:rPr>
                <w:bCs/>
                <w:sz w:val="18"/>
                <w:szCs w:val="18"/>
              </w:rPr>
            </w:pPr>
          </w:p>
          <w:p w14:paraId="0C8C970F" w14:textId="77777777" w:rsidR="00302BFE" w:rsidRPr="006E490C" w:rsidRDefault="00302BFE" w:rsidP="00243B15">
            <w:pPr>
              <w:jc w:val="left"/>
              <w:rPr>
                <w:rFonts w:ascii="Times New Roman" w:hAnsi="Times New Roman"/>
                <w:bCs/>
                <w:i/>
                <w:sz w:val="18"/>
                <w:szCs w:val="18"/>
                <w:lang w:val="en-CA"/>
              </w:rPr>
            </w:pPr>
            <w:r w:rsidRPr="006E490C">
              <w:rPr>
                <w:bCs/>
                <w:sz w:val="18"/>
                <w:szCs w:val="18"/>
              </w:rPr>
              <w:t>b) 33,000 ha</w:t>
            </w:r>
          </w:p>
        </w:tc>
        <w:tc>
          <w:tcPr>
            <w:tcW w:w="4712" w:type="dxa"/>
            <w:tcBorders>
              <w:top w:val="single" w:sz="4" w:space="0" w:color="auto"/>
              <w:left w:val="single" w:sz="4" w:space="0" w:color="auto"/>
              <w:bottom w:val="single" w:sz="4" w:space="0" w:color="auto"/>
              <w:right w:val="single" w:sz="4" w:space="0" w:color="auto"/>
            </w:tcBorders>
            <w:hideMark/>
          </w:tcPr>
          <w:p w14:paraId="088BCB3B" w14:textId="77777777" w:rsidR="00302BFE" w:rsidRPr="006E490C" w:rsidRDefault="00302BFE" w:rsidP="00243B15">
            <w:pPr>
              <w:jc w:val="left"/>
              <w:rPr>
                <w:bCs/>
                <w:i/>
                <w:sz w:val="18"/>
                <w:szCs w:val="18"/>
                <w:lang w:val="en-CA"/>
              </w:rPr>
            </w:pPr>
            <w:r w:rsidRPr="006E490C">
              <w:rPr>
                <w:bCs/>
                <w:i/>
                <w:sz w:val="18"/>
                <w:szCs w:val="18"/>
                <w:lang w:val="en-CA"/>
              </w:rPr>
              <w:t>Data collection source / method</w:t>
            </w:r>
          </w:p>
          <w:p w14:paraId="7600536C" w14:textId="77777777" w:rsidR="00302BFE" w:rsidRPr="006E490C" w:rsidRDefault="00302BFE" w:rsidP="00243B15">
            <w:pPr>
              <w:jc w:val="left"/>
              <w:rPr>
                <w:sz w:val="18"/>
                <w:szCs w:val="18"/>
                <w:lang w:val="en-CA"/>
              </w:rPr>
            </w:pPr>
            <w:r w:rsidRPr="006E490C">
              <w:rPr>
                <w:sz w:val="18"/>
                <w:szCs w:val="18"/>
                <w:lang w:val="en-CA"/>
              </w:rPr>
              <w:t>a) Assessment of changes in PA management effectiveness based on the GEF BD METT score applied at mid-term and end of project</w:t>
            </w:r>
          </w:p>
          <w:p w14:paraId="058D50E5" w14:textId="77777777" w:rsidR="00302BFE" w:rsidRPr="006E490C" w:rsidRDefault="00302BFE" w:rsidP="00243B15">
            <w:pPr>
              <w:jc w:val="left"/>
              <w:rPr>
                <w:sz w:val="18"/>
                <w:szCs w:val="18"/>
                <w:lang w:val="en-CA"/>
              </w:rPr>
            </w:pPr>
            <w:r w:rsidRPr="006E490C">
              <w:rPr>
                <w:sz w:val="18"/>
                <w:szCs w:val="18"/>
                <w:lang w:val="en-CA"/>
              </w:rPr>
              <w:t>b) Decree for gazetting corridor # 2</w:t>
            </w:r>
          </w:p>
        </w:tc>
      </w:tr>
      <w:tr w:rsidR="00302BFE" w:rsidRPr="006E490C" w14:paraId="457AF92A" w14:textId="77777777" w:rsidTr="00243B15">
        <w:tc>
          <w:tcPr>
            <w:tcW w:w="2006" w:type="dxa"/>
            <w:vMerge/>
            <w:tcBorders>
              <w:left w:val="single" w:sz="4" w:space="0" w:color="auto"/>
              <w:right w:val="single" w:sz="4" w:space="0" w:color="auto"/>
            </w:tcBorders>
            <w:vAlign w:val="center"/>
            <w:hideMark/>
          </w:tcPr>
          <w:p w14:paraId="57D65EC6" w14:textId="77777777" w:rsidR="00302BFE" w:rsidRPr="006E490C" w:rsidRDefault="00302BFE" w:rsidP="00243B15">
            <w:pPr>
              <w:spacing w:after="0"/>
              <w:jc w:val="left"/>
              <w:rPr>
                <w:rFonts w:ascii="Times New Roman" w:hAnsi="Times New Roman"/>
                <w:b/>
                <w:bCs/>
                <w:sz w:val="18"/>
                <w:szCs w:val="18"/>
                <w:lang w:val="en-CA"/>
              </w:rPr>
            </w:pPr>
          </w:p>
        </w:tc>
        <w:tc>
          <w:tcPr>
            <w:tcW w:w="3016" w:type="dxa"/>
            <w:vMerge/>
            <w:tcBorders>
              <w:top w:val="single" w:sz="4" w:space="0" w:color="auto"/>
              <w:left w:val="single" w:sz="4" w:space="0" w:color="auto"/>
              <w:bottom w:val="single" w:sz="4" w:space="0" w:color="auto"/>
              <w:right w:val="single" w:sz="4" w:space="0" w:color="auto"/>
            </w:tcBorders>
            <w:vAlign w:val="center"/>
            <w:hideMark/>
          </w:tcPr>
          <w:p w14:paraId="55FEA6AC" w14:textId="77777777" w:rsidR="00302BFE" w:rsidRPr="006E490C" w:rsidRDefault="00302BFE" w:rsidP="00243B15">
            <w:pPr>
              <w:spacing w:after="0"/>
              <w:jc w:val="left"/>
              <w:rPr>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254CFF09" w14:textId="77777777" w:rsidR="00302BFE" w:rsidRPr="006E490C" w:rsidRDefault="00302BFE" w:rsidP="00243B15">
            <w:pPr>
              <w:spacing w:after="0"/>
              <w:jc w:val="left"/>
              <w:rPr>
                <w:rFonts w:ascii="Times New Roman" w:hAnsi="Times New Roman"/>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15E0BAFD" w14:textId="77777777" w:rsidR="00302BFE" w:rsidRPr="006E490C" w:rsidRDefault="00302BFE" w:rsidP="00243B15">
            <w:pPr>
              <w:spacing w:after="0"/>
              <w:jc w:val="left"/>
              <w:rPr>
                <w:rFonts w:ascii="Times New Roman" w:hAnsi="Times New Roman"/>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697230A8" w14:textId="77777777" w:rsidR="00302BFE" w:rsidRPr="006E490C" w:rsidRDefault="00302BFE" w:rsidP="00243B15">
            <w:pPr>
              <w:spacing w:after="0"/>
              <w:jc w:val="left"/>
              <w:rPr>
                <w:rFonts w:ascii="Times New Roman" w:hAnsi="Times New Roman"/>
                <w:bCs/>
                <w:i/>
                <w:sz w:val="18"/>
                <w:szCs w:val="18"/>
                <w:lang w:val="en-CA"/>
              </w:rPr>
            </w:pPr>
          </w:p>
        </w:tc>
        <w:tc>
          <w:tcPr>
            <w:tcW w:w="4712" w:type="dxa"/>
            <w:tcBorders>
              <w:top w:val="single" w:sz="4" w:space="0" w:color="auto"/>
              <w:left w:val="single" w:sz="4" w:space="0" w:color="auto"/>
              <w:bottom w:val="single" w:sz="4" w:space="0" w:color="auto"/>
              <w:right w:val="single" w:sz="4" w:space="0" w:color="auto"/>
            </w:tcBorders>
          </w:tcPr>
          <w:p w14:paraId="5CC19870" w14:textId="77777777" w:rsidR="00302BFE" w:rsidRPr="006E490C" w:rsidRDefault="00302BFE" w:rsidP="00243B15">
            <w:pPr>
              <w:jc w:val="left"/>
              <w:rPr>
                <w:sz w:val="18"/>
                <w:szCs w:val="18"/>
                <w:lang w:val="en-CA"/>
              </w:rPr>
            </w:pPr>
            <w:r w:rsidRPr="006E490C">
              <w:rPr>
                <w:i/>
                <w:sz w:val="18"/>
                <w:szCs w:val="18"/>
                <w:lang w:val="en-CA"/>
              </w:rPr>
              <w:t>Risks</w:t>
            </w:r>
            <w:r w:rsidRPr="006E490C">
              <w:rPr>
                <w:sz w:val="18"/>
                <w:szCs w:val="18"/>
                <w:lang w:val="en-CA"/>
              </w:rPr>
              <w:t>:</w:t>
            </w:r>
          </w:p>
          <w:p w14:paraId="0A01E0C0" w14:textId="77777777" w:rsidR="00302BFE" w:rsidRPr="006E490C" w:rsidRDefault="00302BFE" w:rsidP="00243B15">
            <w:pPr>
              <w:jc w:val="left"/>
              <w:rPr>
                <w:sz w:val="18"/>
                <w:szCs w:val="18"/>
                <w:lang w:val="en-CA"/>
              </w:rPr>
            </w:pPr>
            <w:r w:rsidRPr="006E490C">
              <w:rPr>
                <w:sz w:val="18"/>
                <w:szCs w:val="18"/>
                <w:lang w:val="en-CA"/>
              </w:rPr>
              <w:t>Difficulties in recruiting the necessary staff to perform the essential functions of PA management</w:t>
            </w:r>
          </w:p>
          <w:p w14:paraId="0517D3FC" w14:textId="77777777" w:rsidR="00302BFE" w:rsidRPr="006E490C" w:rsidRDefault="00302BFE" w:rsidP="00243B15">
            <w:pPr>
              <w:jc w:val="left"/>
              <w:rPr>
                <w:sz w:val="18"/>
                <w:szCs w:val="18"/>
                <w:lang w:val="en-CA"/>
              </w:rPr>
            </w:pPr>
            <w:r w:rsidRPr="006E490C">
              <w:rPr>
                <w:sz w:val="18"/>
                <w:szCs w:val="18"/>
                <w:lang w:val="en-CA"/>
              </w:rPr>
              <w:t>Conflicts related to the occupation of corridor # 2 and the use of its resources are obstacles to its gazettement and protection</w:t>
            </w:r>
          </w:p>
          <w:p w14:paraId="7E2C20CB" w14:textId="77777777" w:rsidR="00302BFE" w:rsidRPr="006E490C" w:rsidRDefault="00302BFE" w:rsidP="00243B15">
            <w:pPr>
              <w:jc w:val="left"/>
              <w:rPr>
                <w:sz w:val="18"/>
                <w:szCs w:val="18"/>
                <w:lang w:val="en-CA"/>
              </w:rPr>
            </w:pPr>
            <w:r w:rsidRPr="006E490C">
              <w:rPr>
                <w:i/>
                <w:sz w:val="18"/>
                <w:szCs w:val="18"/>
                <w:lang w:val="en-CA"/>
              </w:rPr>
              <w:t>Assumption</w:t>
            </w:r>
            <w:r w:rsidRPr="006E490C">
              <w:rPr>
                <w:sz w:val="18"/>
                <w:szCs w:val="18"/>
                <w:lang w:val="en-CA"/>
              </w:rPr>
              <w:t>:</w:t>
            </w:r>
          </w:p>
          <w:p w14:paraId="7DF2F910" w14:textId="77777777" w:rsidR="00302BFE" w:rsidRPr="006E490C" w:rsidRDefault="00302BFE" w:rsidP="00243B15">
            <w:pPr>
              <w:jc w:val="left"/>
              <w:rPr>
                <w:sz w:val="18"/>
                <w:szCs w:val="18"/>
                <w:lang w:val="en-CA"/>
              </w:rPr>
            </w:pPr>
            <w:r w:rsidRPr="006E490C">
              <w:rPr>
                <w:sz w:val="18"/>
                <w:szCs w:val="18"/>
                <w:lang w:val="en-CA"/>
              </w:rPr>
              <w:t>Commitment of stakeholders (local populations and authorities, OFINAP, DGEF, technical services, private concessionaires) to the objective of improving PA management</w:t>
            </w:r>
          </w:p>
          <w:p w14:paraId="6D49DB9D" w14:textId="77777777" w:rsidR="00302BFE" w:rsidRPr="006E490C" w:rsidRDefault="00302BFE" w:rsidP="00243B15">
            <w:pPr>
              <w:jc w:val="left"/>
              <w:rPr>
                <w:sz w:val="18"/>
                <w:szCs w:val="18"/>
                <w:lang w:val="en-CA"/>
              </w:rPr>
            </w:pPr>
            <w:r w:rsidRPr="006E490C">
              <w:rPr>
                <w:sz w:val="18"/>
                <w:szCs w:val="18"/>
                <w:lang w:val="en-CA"/>
              </w:rPr>
              <w:t>The gazettement of corridor # 2 is a priority on the agenda of the Legislative Assembly</w:t>
            </w:r>
          </w:p>
        </w:tc>
      </w:tr>
      <w:tr w:rsidR="00302BFE" w:rsidRPr="006E490C" w14:paraId="18991FE5" w14:textId="77777777" w:rsidTr="00243B15">
        <w:tc>
          <w:tcPr>
            <w:tcW w:w="2006" w:type="dxa"/>
            <w:vMerge/>
            <w:tcBorders>
              <w:left w:val="single" w:sz="4" w:space="0" w:color="auto"/>
              <w:right w:val="single" w:sz="4" w:space="0" w:color="auto"/>
            </w:tcBorders>
            <w:vAlign w:val="center"/>
            <w:hideMark/>
          </w:tcPr>
          <w:p w14:paraId="19B5A617" w14:textId="77777777" w:rsidR="00302BFE" w:rsidRPr="006E490C" w:rsidRDefault="00302BFE" w:rsidP="00243B15">
            <w:pPr>
              <w:spacing w:after="0"/>
              <w:jc w:val="left"/>
              <w:rPr>
                <w:rFonts w:ascii="Times New Roman" w:hAnsi="Times New Roman"/>
                <w:b/>
                <w:bCs/>
                <w:sz w:val="18"/>
                <w:szCs w:val="18"/>
                <w:lang w:val="en-CA"/>
              </w:rPr>
            </w:pPr>
          </w:p>
        </w:tc>
        <w:tc>
          <w:tcPr>
            <w:tcW w:w="3016" w:type="dxa"/>
            <w:vMerge w:val="restart"/>
            <w:tcBorders>
              <w:top w:val="single" w:sz="4" w:space="0" w:color="auto"/>
              <w:left w:val="single" w:sz="4" w:space="0" w:color="auto"/>
              <w:bottom w:val="single" w:sz="4" w:space="0" w:color="auto"/>
              <w:right w:val="single" w:sz="4" w:space="0" w:color="auto"/>
            </w:tcBorders>
            <w:hideMark/>
          </w:tcPr>
          <w:p w14:paraId="68B16E0F" w14:textId="77777777" w:rsidR="00302BFE" w:rsidRPr="006E490C" w:rsidRDefault="00302BFE" w:rsidP="00243B15">
            <w:pPr>
              <w:rPr>
                <w:bCs/>
                <w:i/>
                <w:sz w:val="18"/>
                <w:szCs w:val="18"/>
                <w:u w:val="single"/>
                <w:lang w:val="en-CA"/>
              </w:rPr>
            </w:pPr>
            <w:r w:rsidRPr="006E490C">
              <w:rPr>
                <w:bCs/>
                <w:i/>
                <w:sz w:val="18"/>
                <w:szCs w:val="18"/>
                <w:u w:val="single"/>
                <w:lang w:val="en-CA"/>
              </w:rPr>
              <w:t xml:space="preserve">Indicator 8: </w:t>
            </w:r>
          </w:p>
          <w:p w14:paraId="79D82E01" w14:textId="77777777" w:rsidR="00302BFE" w:rsidRPr="006E490C" w:rsidRDefault="00302BFE" w:rsidP="00DC7D98">
            <w:pPr>
              <w:jc w:val="left"/>
              <w:rPr>
                <w:bCs/>
                <w:sz w:val="18"/>
                <w:szCs w:val="18"/>
                <w:lang w:val="en-CA"/>
              </w:rPr>
            </w:pPr>
            <w:r w:rsidRPr="006E490C">
              <w:rPr>
                <w:bCs/>
                <w:sz w:val="18"/>
                <w:szCs w:val="18"/>
                <w:lang w:val="en-CA"/>
              </w:rPr>
              <w:t xml:space="preserve">Annual number of human-wildlife conflict cases in hotspots (identified in the first year through the SAFE Systems rapid assessment) including </w:t>
            </w:r>
            <w:proofErr w:type="spellStart"/>
            <w:r w:rsidRPr="006E490C">
              <w:rPr>
                <w:bCs/>
                <w:sz w:val="18"/>
                <w:szCs w:val="18"/>
                <w:lang w:val="en-CA"/>
              </w:rPr>
              <w:t>Mantoingo</w:t>
            </w:r>
            <w:proofErr w:type="spellEnd"/>
            <w:r w:rsidRPr="006E490C">
              <w:rPr>
                <w:bCs/>
                <w:sz w:val="18"/>
                <w:szCs w:val="18"/>
                <w:lang w:val="en-CA"/>
              </w:rPr>
              <w:t xml:space="preserve">, </w:t>
            </w:r>
            <w:proofErr w:type="spellStart"/>
            <w:r w:rsidRPr="006E490C">
              <w:rPr>
                <w:bCs/>
                <w:sz w:val="18"/>
                <w:szCs w:val="18"/>
                <w:lang w:val="en-CA"/>
              </w:rPr>
              <w:t>Zerboko</w:t>
            </w:r>
            <w:proofErr w:type="spellEnd"/>
            <w:r w:rsidRPr="006E490C">
              <w:rPr>
                <w:bCs/>
                <w:sz w:val="18"/>
                <w:szCs w:val="18"/>
                <w:lang w:val="en-CA"/>
              </w:rPr>
              <w:t xml:space="preserve">, </w:t>
            </w:r>
            <w:proofErr w:type="spellStart"/>
            <w:r w:rsidRPr="006E490C">
              <w:rPr>
                <w:bCs/>
                <w:sz w:val="18"/>
                <w:szCs w:val="18"/>
                <w:lang w:val="en-CA"/>
              </w:rPr>
              <w:t>Yougoudri</w:t>
            </w:r>
            <w:proofErr w:type="spellEnd"/>
            <w:r w:rsidRPr="006E490C">
              <w:rPr>
                <w:bCs/>
                <w:sz w:val="18"/>
                <w:szCs w:val="18"/>
                <w:lang w:val="en-CA"/>
              </w:rPr>
              <w:t xml:space="preserve">, </w:t>
            </w:r>
            <w:proofErr w:type="spellStart"/>
            <w:r w:rsidRPr="006E490C">
              <w:rPr>
                <w:bCs/>
                <w:sz w:val="18"/>
                <w:szCs w:val="18"/>
                <w:lang w:val="en-CA"/>
              </w:rPr>
              <w:t>Saro</w:t>
            </w:r>
            <w:proofErr w:type="spellEnd"/>
            <w:r w:rsidRPr="006E490C">
              <w:rPr>
                <w:bCs/>
                <w:sz w:val="18"/>
                <w:szCs w:val="18"/>
                <w:lang w:val="en-CA"/>
              </w:rPr>
              <w:t xml:space="preserve">, Sia, </w:t>
            </w:r>
            <w:proofErr w:type="spellStart"/>
            <w:r w:rsidRPr="006E490C">
              <w:rPr>
                <w:bCs/>
                <w:sz w:val="18"/>
                <w:szCs w:val="18"/>
                <w:lang w:val="en-CA"/>
              </w:rPr>
              <w:t>Natiédougou</w:t>
            </w:r>
            <w:proofErr w:type="spellEnd"/>
            <w:r w:rsidRPr="006E490C">
              <w:rPr>
                <w:bCs/>
                <w:sz w:val="18"/>
                <w:szCs w:val="18"/>
                <w:lang w:val="en-CA"/>
              </w:rPr>
              <w:t xml:space="preserve">, </w:t>
            </w:r>
            <w:proofErr w:type="spellStart"/>
            <w:r w:rsidRPr="006E490C">
              <w:rPr>
                <w:bCs/>
                <w:sz w:val="18"/>
                <w:szCs w:val="18"/>
                <w:lang w:val="en-CA"/>
              </w:rPr>
              <w:t>Boissa</w:t>
            </w:r>
            <w:proofErr w:type="spellEnd"/>
            <w:r w:rsidRPr="006E490C">
              <w:rPr>
                <w:bCs/>
                <w:sz w:val="18"/>
                <w:szCs w:val="18"/>
                <w:lang w:val="en-CA"/>
              </w:rPr>
              <w:t xml:space="preserve"> and </w:t>
            </w:r>
            <w:proofErr w:type="spellStart"/>
            <w:r w:rsidRPr="006E490C">
              <w:rPr>
                <w:bCs/>
                <w:sz w:val="18"/>
                <w:szCs w:val="18"/>
                <w:lang w:val="en-CA"/>
              </w:rPr>
              <w:t>Boala</w:t>
            </w:r>
            <w:proofErr w:type="spellEnd"/>
            <w:r w:rsidRPr="006E490C">
              <w:rPr>
                <w:bCs/>
                <w:sz w:val="18"/>
                <w:szCs w:val="18"/>
                <w:lang w:val="en-CA"/>
              </w:rPr>
              <w:t xml:space="preserve"> villages</w:t>
            </w:r>
          </w:p>
        </w:tc>
        <w:tc>
          <w:tcPr>
            <w:tcW w:w="1552" w:type="dxa"/>
            <w:vMerge w:val="restart"/>
            <w:tcBorders>
              <w:top w:val="single" w:sz="4" w:space="0" w:color="auto"/>
              <w:left w:val="single" w:sz="4" w:space="0" w:color="auto"/>
              <w:bottom w:val="single" w:sz="4" w:space="0" w:color="auto"/>
              <w:right w:val="single" w:sz="4" w:space="0" w:color="auto"/>
            </w:tcBorders>
          </w:tcPr>
          <w:p w14:paraId="7569E687" w14:textId="77777777" w:rsidR="00302BFE" w:rsidRPr="006E490C" w:rsidRDefault="00302BFE" w:rsidP="00243B15">
            <w:pPr>
              <w:jc w:val="left"/>
              <w:rPr>
                <w:rFonts w:ascii="Times New Roman" w:hAnsi="Times New Roman"/>
                <w:bCs/>
                <w:sz w:val="18"/>
                <w:szCs w:val="18"/>
                <w:lang w:val="en-CA"/>
              </w:rPr>
            </w:pPr>
            <w:r w:rsidRPr="006E490C">
              <w:rPr>
                <w:bCs/>
                <w:sz w:val="18"/>
                <w:szCs w:val="18"/>
                <w:lang w:val="en-CA"/>
              </w:rPr>
              <w:t xml:space="preserve">List of human-wildlife conflict hotspots to be confirmed and reference value of the indicator to be determined in the </w:t>
            </w:r>
            <w:r w:rsidRPr="006E490C">
              <w:rPr>
                <w:bCs/>
                <w:sz w:val="18"/>
                <w:szCs w:val="18"/>
                <w:lang w:val="en-CA"/>
              </w:rPr>
              <w:lastRenderedPageBreak/>
              <w:t>first year of the project</w:t>
            </w:r>
          </w:p>
        </w:tc>
        <w:tc>
          <w:tcPr>
            <w:tcW w:w="1552" w:type="dxa"/>
            <w:vMerge w:val="restart"/>
            <w:tcBorders>
              <w:top w:val="single" w:sz="4" w:space="0" w:color="auto"/>
              <w:left w:val="single" w:sz="4" w:space="0" w:color="auto"/>
              <w:bottom w:val="single" w:sz="4" w:space="0" w:color="auto"/>
              <w:right w:val="single" w:sz="4" w:space="0" w:color="auto"/>
            </w:tcBorders>
          </w:tcPr>
          <w:p w14:paraId="7ABDC725" w14:textId="77777777" w:rsidR="00302BFE" w:rsidRPr="006E490C" w:rsidRDefault="00302BFE" w:rsidP="00243B15">
            <w:pPr>
              <w:jc w:val="left"/>
              <w:rPr>
                <w:rFonts w:ascii="Times New Roman" w:hAnsi="Times New Roman"/>
                <w:bCs/>
                <w:i/>
                <w:sz w:val="18"/>
                <w:szCs w:val="18"/>
                <w:lang w:val="fr-CA"/>
              </w:rPr>
            </w:pPr>
            <w:proofErr w:type="spellStart"/>
            <w:r w:rsidRPr="006E490C">
              <w:rPr>
                <w:bCs/>
                <w:i/>
                <w:sz w:val="18"/>
                <w:szCs w:val="18"/>
                <w:lang w:val="fr-CA"/>
              </w:rPr>
              <w:lastRenderedPageBreak/>
              <w:t>Decrease</w:t>
            </w:r>
            <w:proofErr w:type="spellEnd"/>
            <w:r w:rsidRPr="006E490C">
              <w:rPr>
                <w:bCs/>
                <w:i/>
                <w:sz w:val="18"/>
                <w:szCs w:val="18"/>
                <w:lang w:val="fr-CA"/>
              </w:rPr>
              <w:t xml:space="preserve"> in </w:t>
            </w:r>
            <w:proofErr w:type="spellStart"/>
            <w:r w:rsidRPr="006E490C">
              <w:rPr>
                <w:bCs/>
                <w:i/>
                <w:sz w:val="18"/>
                <w:szCs w:val="18"/>
                <w:lang w:val="fr-CA"/>
              </w:rPr>
              <w:t>conflicts</w:t>
            </w:r>
            <w:proofErr w:type="spellEnd"/>
            <w:r w:rsidRPr="006E490C">
              <w:rPr>
                <w:bCs/>
                <w:i/>
                <w:sz w:val="18"/>
                <w:szCs w:val="18"/>
                <w:lang w:val="fr-CA"/>
              </w:rPr>
              <w:t xml:space="preserve"> by 30%</w:t>
            </w:r>
          </w:p>
        </w:tc>
        <w:tc>
          <w:tcPr>
            <w:tcW w:w="1552" w:type="dxa"/>
            <w:vMerge w:val="restart"/>
            <w:tcBorders>
              <w:top w:val="single" w:sz="4" w:space="0" w:color="auto"/>
              <w:left w:val="single" w:sz="4" w:space="0" w:color="auto"/>
              <w:bottom w:val="single" w:sz="4" w:space="0" w:color="auto"/>
              <w:right w:val="single" w:sz="4" w:space="0" w:color="auto"/>
            </w:tcBorders>
          </w:tcPr>
          <w:p w14:paraId="5D8DCB41" w14:textId="77777777" w:rsidR="00302BFE" w:rsidRPr="006E490C" w:rsidRDefault="00302BFE" w:rsidP="00243B15">
            <w:pPr>
              <w:jc w:val="left"/>
              <w:rPr>
                <w:rFonts w:ascii="Times New Roman" w:hAnsi="Times New Roman"/>
                <w:bCs/>
                <w:i/>
                <w:sz w:val="18"/>
                <w:szCs w:val="18"/>
                <w:lang w:val="fr-CA"/>
              </w:rPr>
            </w:pPr>
            <w:proofErr w:type="spellStart"/>
            <w:r w:rsidRPr="006E490C">
              <w:rPr>
                <w:bCs/>
                <w:i/>
                <w:sz w:val="18"/>
                <w:szCs w:val="18"/>
                <w:lang w:val="fr-CA"/>
              </w:rPr>
              <w:t>Decrease</w:t>
            </w:r>
            <w:proofErr w:type="spellEnd"/>
            <w:r w:rsidRPr="006E490C">
              <w:rPr>
                <w:bCs/>
                <w:i/>
                <w:sz w:val="18"/>
                <w:szCs w:val="18"/>
                <w:lang w:val="fr-CA"/>
              </w:rPr>
              <w:t xml:space="preserve"> in </w:t>
            </w:r>
            <w:proofErr w:type="spellStart"/>
            <w:r w:rsidRPr="006E490C">
              <w:rPr>
                <w:bCs/>
                <w:i/>
                <w:sz w:val="18"/>
                <w:szCs w:val="18"/>
                <w:lang w:val="fr-CA"/>
              </w:rPr>
              <w:t>conflicts</w:t>
            </w:r>
            <w:proofErr w:type="spellEnd"/>
            <w:r w:rsidRPr="006E490C">
              <w:rPr>
                <w:bCs/>
                <w:i/>
                <w:sz w:val="18"/>
                <w:szCs w:val="18"/>
                <w:lang w:val="fr-CA"/>
              </w:rPr>
              <w:t xml:space="preserve"> by 70%</w:t>
            </w:r>
          </w:p>
        </w:tc>
        <w:tc>
          <w:tcPr>
            <w:tcW w:w="4712" w:type="dxa"/>
            <w:tcBorders>
              <w:top w:val="single" w:sz="4" w:space="0" w:color="auto"/>
              <w:left w:val="single" w:sz="4" w:space="0" w:color="auto"/>
              <w:bottom w:val="single" w:sz="4" w:space="0" w:color="auto"/>
              <w:right w:val="single" w:sz="4" w:space="0" w:color="auto"/>
            </w:tcBorders>
            <w:hideMark/>
          </w:tcPr>
          <w:p w14:paraId="23BB5D59" w14:textId="77777777" w:rsidR="00302BFE" w:rsidRPr="006E490C" w:rsidRDefault="00302BFE" w:rsidP="00243B15">
            <w:pPr>
              <w:jc w:val="left"/>
              <w:rPr>
                <w:bCs/>
                <w:i/>
                <w:sz w:val="18"/>
                <w:szCs w:val="18"/>
                <w:lang w:val="en-CA"/>
              </w:rPr>
            </w:pPr>
            <w:r w:rsidRPr="006E490C">
              <w:rPr>
                <w:bCs/>
                <w:i/>
                <w:sz w:val="18"/>
                <w:szCs w:val="18"/>
                <w:lang w:val="en-CA"/>
              </w:rPr>
              <w:t>Data collection source / method</w:t>
            </w:r>
          </w:p>
          <w:p w14:paraId="65F8E5EA" w14:textId="77777777" w:rsidR="00302BFE" w:rsidRPr="006E490C" w:rsidRDefault="00302BFE" w:rsidP="00243B15">
            <w:pPr>
              <w:jc w:val="left"/>
              <w:rPr>
                <w:sz w:val="18"/>
                <w:szCs w:val="18"/>
                <w:lang w:val="en-CA"/>
              </w:rPr>
            </w:pPr>
            <w:r w:rsidRPr="006E490C">
              <w:rPr>
                <w:sz w:val="18"/>
                <w:szCs w:val="18"/>
                <w:lang w:val="en-CA"/>
              </w:rPr>
              <w:t>Activity report of the management structure of the PONASI complex</w:t>
            </w:r>
          </w:p>
        </w:tc>
      </w:tr>
      <w:tr w:rsidR="00302BFE" w:rsidRPr="006E490C" w14:paraId="38F6A738" w14:textId="77777777" w:rsidTr="00243B15">
        <w:tc>
          <w:tcPr>
            <w:tcW w:w="2006" w:type="dxa"/>
            <w:vMerge/>
            <w:tcBorders>
              <w:left w:val="single" w:sz="4" w:space="0" w:color="auto"/>
              <w:right w:val="single" w:sz="4" w:space="0" w:color="auto"/>
            </w:tcBorders>
            <w:vAlign w:val="center"/>
            <w:hideMark/>
          </w:tcPr>
          <w:p w14:paraId="45695E85" w14:textId="77777777" w:rsidR="00302BFE" w:rsidRPr="006E490C" w:rsidRDefault="00302BFE" w:rsidP="00243B15">
            <w:pPr>
              <w:spacing w:after="0"/>
              <w:jc w:val="left"/>
              <w:rPr>
                <w:rFonts w:ascii="Times New Roman" w:hAnsi="Times New Roman"/>
                <w:b/>
                <w:bCs/>
                <w:sz w:val="18"/>
                <w:szCs w:val="18"/>
                <w:lang w:val="en-CA"/>
              </w:rPr>
            </w:pPr>
          </w:p>
        </w:tc>
        <w:tc>
          <w:tcPr>
            <w:tcW w:w="3016" w:type="dxa"/>
            <w:vMerge/>
            <w:tcBorders>
              <w:top w:val="single" w:sz="4" w:space="0" w:color="auto"/>
              <w:left w:val="single" w:sz="4" w:space="0" w:color="auto"/>
              <w:bottom w:val="single" w:sz="4" w:space="0" w:color="auto"/>
              <w:right w:val="single" w:sz="4" w:space="0" w:color="auto"/>
            </w:tcBorders>
            <w:vAlign w:val="center"/>
            <w:hideMark/>
          </w:tcPr>
          <w:p w14:paraId="765BF558" w14:textId="77777777" w:rsidR="00302BFE" w:rsidRPr="006E490C" w:rsidRDefault="00302BFE" w:rsidP="00243B15">
            <w:pPr>
              <w:spacing w:after="0"/>
              <w:jc w:val="left"/>
              <w:rPr>
                <w:rFonts w:ascii="Times New Roman" w:hAnsi="Times New Roman"/>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40E039CA" w14:textId="77777777" w:rsidR="00302BFE" w:rsidRPr="006E490C" w:rsidRDefault="00302BFE" w:rsidP="00243B15">
            <w:pPr>
              <w:spacing w:after="0"/>
              <w:jc w:val="left"/>
              <w:rPr>
                <w:rFonts w:ascii="Times New Roman" w:hAnsi="Times New Roman"/>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7515C7EE" w14:textId="77777777" w:rsidR="00302BFE" w:rsidRPr="006E490C" w:rsidRDefault="00302BFE" w:rsidP="00243B15">
            <w:pPr>
              <w:spacing w:after="0"/>
              <w:jc w:val="left"/>
              <w:rPr>
                <w:rFonts w:ascii="Times New Roman" w:hAnsi="Times New Roman"/>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5FA3F596" w14:textId="77777777" w:rsidR="00302BFE" w:rsidRPr="006E490C" w:rsidRDefault="00302BFE" w:rsidP="00243B15">
            <w:pPr>
              <w:spacing w:after="0"/>
              <w:jc w:val="left"/>
              <w:rPr>
                <w:rFonts w:ascii="Times New Roman" w:hAnsi="Times New Roman"/>
                <w:bCs/>
                <w:i/>
                <w:sz w:val="18"/>
                <w:szCs w:val="18"/>
                <w:lang w:val="en-CA"/>
              </w:rPr>
            </w:pPr>
          </w:p>
        </w:tc>
        <w:tc>
          <w:tcPr>
            <w:tcW w:w="4712" w:type="dxa"/>
            <w:tcBorders>
              <w:top w:val="single" w:sz="4" w:space="0" w:color="auto"/>
              <w:left w:val="single" w:sz="4" w:space="0" w:color="auto"/>
              <w:bottom w:val="single" w:sz="4" w:space="0" w:color="auto"/>
              <w:right w:val="single" w:sz="4" w:space="0" w:color="auto"/>
            </w:tcBorders>
          </w:tcPr>
          <w:p w14:paraId="30116CB6" w14:textId="77777777" w:rsidR="00302BFE" w:rsidRPr="006E490C" w:rsidRDefault="00302BFE" w:rsidP="00243B15">
            <w:pPr>
              <w:jc w:val="left"/>
              <w:rPr>
                <w:sz w:val="18"/>
                <w:szCs w:val="18"/>
                <w:lang w:val="en-CA"/>
              </w:rPr>
            </w:pPr>
            <w:r w:rsidRPr="006E490C">
              <w:rPr>
                <w:i/>
                <w:sz w:val="18"/>
                <w:szCs w:val="18"/>
                <w:lang w:val="en-CA"/>
              </w:rPr>
              <w:t>Risks</w:t>
            </w:r>
            <w:r w:rsidRPr="006E490C">
              <w:rPr>
                <w:sz w:val="18"/>
                <w:szCs w:val="18"/>
                <w:lang w:val="en-CA"/>
              </w:rPr>
              <w:t>:</w:t>
            </w:r>
          </w:p>
          <w:p w14:paraId="27844734" w14:textId="77777777" w:rsidR="00302BFE" w:rsidRPr="006E490C" w:rsidRDefault="00302BFE" w:rsidP="00243B15">
            <w:pPr>
              <w:jc w:val="left"/>
              <w:rPr>
                <w:sz w:val="18"/>
                <w:szCs w:val="18"/>
                <w:lang w:val="en-CA"/>
              </w:rPr>
            </w:pPr>
            <w:r w:rsidRPr="006E490C">
              <w:rPr>
                <w:sz w:val="18"/>
                <w:szCs w:val="18"/>
                <w:lang w:val="en-CA"/>
              </w:rPr>
              <w:t>Insufficient financial resources to implement the human-wildlife conflict reduction strategy</w:t>
            </w:r>
          </w:p>
          <w:p w14:paraId="18AC5B80" w14:textId="77777777" w:rsidR="00302BFE" w:rsidRPr="006E490C" w:rsidRDefault="00302BFE" w:rsidP="00243B15">
            <w:pPr>
              <w:jc w:val="left"/>
              <w:rPr>
                <w:sz w:val="18"/>
                <w:szCs w:val="18"/>
                <w:lang w:val="en-CA"/>
              </w:rPr>
            </w:pPr>
            <w:r w:rsidRPr="006E490C">
              <w:rPr>
                <w:i/>
                <w:sz w:val="18"/>
                <w:szCs w:val="18"/>
                <w:lang w:val="en-CA"/>
              </w:rPr>
              <w:lastRenderedPageBreak/>
              <w:t>Assumptions</w:t>
            </w:r>
            <w:r w:rsidRPr="006E490C">
              <w:rPr>
                <w:sz w:val="18"/>
                <w:szCs w:val="18"/>
                <w:lang w:val="en-CA"/>
              </w:rPr>
              <w:t>:</w:t>
            </w:r>
          </w:p>
          <w:p w14:paraId="273F0D86" w14:textId="77777777" w:rsidR="00302BFE" w:rsidRPr="006E490C" w:rsidRDefault="00302BFE" w:rsidP="00243B15">
            <w:pPr>
              <w:jc w:val="left"/>
              <w:rPr>
                <w:sz w:val="18"/>
                <w:szCs w:val="18"/>
                <w:lang w:val="en-CA"/>
              </w:rPr>
            </w:pPr>
            <w:r w:rsidRPr="006E490C">
              <w:rPr>
                <w:sz w:val="18"/>
                <w:szCs w:val="18"/>
                <w:lang w:val="en-CA"/>
              </w:rPr>
              <w:t>Commitment of stakeholders and especially local communities to the SAFE Systems approach and to identify and implement solutions to reduce human-wildlife conflicts</w:t>
            </w:r>
          </w:p>
        </w:tc>
      </w:tr>
      <w:tr w:rsidR="00302BFE" w:rsidRPr="006E490C" w14:paraId="5CA5871F" w14:textId="77777777" w:rsidTr="00243B15">
        <w:tc>
          <w:tcPr>
            <w:tcW w:w="2006" w:type="dxa"/>
            <w:vMerge/>
            <w:tcBorders>
              <w:left w:val="single" w:sz="4" w:space="0" w:color="auto"/>
              <w:right w:val="single" w:sz="4" w:space="0" w:color="auto"/>
            </w:tcBorders>
            <w:vAlign w:val="center"/>
          </w:tcPr>
          <w:p w14:paraId="6979EB81" w14:textId="77777777" w:rsidR="00302BFE" w:rsidRPr="006E490C" w:rsidRDefault="00302BFE" w:rsidP="00243B15">
            <w:pPr>
              <w:spacing w:after="0"/>
              <w:jc w:val="left"/>
              <w:rPr>
                <w:rFonts w:ascii="Times New Roman" w:hAnsi="Times New Roman"/>
                <w:b/>
                <w:bCs/>
                <w:sz w:val="18"/>
                <w:szCs w:val="18"/>
                <w:lang w:val="en-CA"/>
              </w:rPr>
            </w:pPr>
          </w:p>
        </w:tc>
        <w:tc>
          <w:tcPr>
            <w:tcW w:w="3016" w:type="dxa"/>
            <w:vMerge w:val="restart"/>
            <w:tcBorders>
              <w:top w:val="single" w:sz="4" w:space="0" w:color="auto"/>
              <w:left w:val="single" w:sz="4" w:space="0" w:color="auto"/>
              <w:right w:val="single" w:sz="4" w:space="0" w:color="auto"/>
            </w:tcBorders>
            <w:vAlign w:val="center"/>
          </w:tcPr>
          <w:p w14:paraId="054C9DBE" w14:textId="77777777" w:rsidR="00302BFE" w:rsidRPr="006E490C" w:rsidRDefault="00302BFE" w:rsidP="00243B15">
            <w:pPr>
              <w:spacing w:after="0"/>
              <w:jc w:val="left"/>
              <w:rPr>
                <w:bCs/>
                <w:i/>
                <w:sz w:val="18"/>
                <w:szCs w:val="18"/>
                <w:u w:val="single"/>
                <w:lang w:val="en-CA"/>
              </w:rPr>
            </w:pPr>
            <w:r w:rsidRPr="006E490C">
              <w:rPr>
                <w:bCs/>
                <w:i/>
                <w:sz w:val="18"/>
                <w:szCs w:val="18"/>
                <w:u w:val="single"/>
                <w:lang w:val="en-CA"/>
              </w:rPr>
              <w:t>Indicator 9:</w:t>
            </w:r>
          </w:p>
          <w:p w14:paraId="674C2862" w14:textId="77777777" w:rsidR="00302BFE" w:rsidRPr="006E490C" w:rsidRDefault="00302BFE" w:rsidP="00243B15">
            <w:pPr>
              <w:spacing w:after="0"/>
              <w:jc w:val="left"/>
              <w:rPr>
                <w:bCs/>
                <w:sz w:val="18"/>
                <w:szCs w:val="18"/>
                <w:lang w:val="en-CA"/>
              </w:rPr>
            </w:pPr>
            <w:r w:rsidRPr="006E490C">
              <w:rPr>
                <w:bCs/>
                <w:sz w:val="18"/>
                <w:szCs w:val="18"/>
                <w:lang w:val="en-CA"/>
              </w:rPr>
              <w:t xml:space="preserve">Average annual number of direct and indirect indications (evidence) of illicit activities recorded per patrol outing, including carcasses, snares, visual </w:t>
            </w:r>
            <w:proofErr w:type="gramStart"/>
            <w:r w:rsidRPr="006E490C">
              <w:rPr>
                <w:bCs/>
                <w:sz w:val="18"/>
                <w:szCs w:val="18"/>
                <w:lang w:val="en-CA"/>
              </w:rPr>
              <w:t>encounters</w:t>
            </w:r>
            <w:proofErr w:type="gramEnd"/>
            <w:r w:rsidRPr="006E490C">
              <w:rPr>
                <w:bCs/>
                <w:sz w:val="18"/>
                <w:szCs w:val="18"/>
                <w:lang w:val="en-CA"/>
              </w:rPr>
              <w:t xml:space="preserve"> and arrests of poachers </w:t>
            </w:r>
          </w:p>
        </w:tc>
        <w:tc>
          <w:tcPr>
            <w:tcW w:w="1552" w:type="dxa"/>
            <w:vMerge w:val="restart"/>
            <w:tcBorders>
              <w:top w:val="single" w:sz="4" w:space="0" w:color="auto"/>
              <w:left w:val="single" w:sz="4" w:space="0" w:color="auto"/>
              <w:right w:val="single" w:sz="4" w:space="0" w:color="auto"/>
            </w:tcBorders>
          </w:tcPr>
          <w:p w14:paraId="6FB637CD" w14:textId="77777777" w:rsidR="00302BFE" w:rsidRPr="006E490C" w:rsidRDefault="00302BFE" w:rsidP="00243B15">
            <w:pPr>
              <w:spacing w:after="0"/>
              <w:jc w:val="left"/>
              <w:rPr>
                <w:bCs/>
                <w:i/>
                <w:sz w:val="18"/>
                <w:szCs w:val="18"/>
                <w:lang w:val="en-CA"/>
              </w:rPr>
            </w:pPr>
            <w:r w:rsidRPr="006E490C">
              <w:rPr>
                <w:bCs/>
                <w:sz w:val="18"/>
                <w:szCs w:val="18"/>
                <w:lang w:val="en-CA"/>
              </w:rPr>
              <w:t>To be determined during the 1</w:t>
            </w:r>
            <w:r w:rsidRPr="006E490C">
              <w:rPr>
                <w:bCs/>
                <w:sz w:val="18"/>
                <w:szCs w:val="18"/>
                <w:vertAlign w:val="superscript"/>
                <w:lang w:val="en-CA"/>
              </w:rPr>
              <w:t>st</w:t>
            </w:r>
            <w:r w:rsidRPr="006E490C">
              <w:rPr>
                <w:bCs/>
                <w:sz w:val="18"/>
                <w:szCs w:val="18"/>
                <w:lang w:val="en-CA"/>
              </w:rPr>
              <w:t xml:space="preserve"> year of the project</w:t>
            </w:r>
          </w:p>
        </w:tc>
        <w:tc>
          <w:tcPr>
            <w:tcW w:w="1552" w:type="dxa"/>
            <w:vMerge w:val="restart"/>
            <w:tcBorders>
              <w:top w:val="single" w:sz="4" w:space="0" w:color="auto"/>
              <w:left w:val="single" w:sz="4" w:space="0" w:color="auto"/>
              <w:right w:val="single" w:sz="4" w:space="0" w:color="auto"/>
            </w:tcBorders>
          </w:tcPr>
          <w:p w14:paraId="3C87AB82" w14:textId="77777777" w:rsidR="00302BFE" w:rsidRPr="006E490C" w:rsidRDefault="00302BFE" w:rsidP="00243B15">
            <w:pPr>
              <w:spacing w:after="0"/>
              <w:jc w:val="left"/>
              <w:rPr>
                <w:bCs/>
                <w:sz w:val="18"/>
                <w:szCs w:val="18"/>
                <w:lang w:val="fr-CA"/>
              </w:rPr>
            </w:pPr>
            <w:r w:rsidRPr="006E490C">
              <w:rPr>
                <w:bCs/>
                <w:sz w:val="18"/>
                <w:szCs w:val="18"/>
                <w:lang w:val="fr-CA"/>
              </w:rPr>
              <w:t xml:space="preserve">20% </w:t>
            </w:r>
            <w:proofErr w:type="spellStart"/>
            <w:r w:rsidRPr="006E490C">
              <w:rPr>
                <w:bCs/>
                <w:sz w:val="18"/>
                <w:szCs w:val="18"/>
                <w:lang w:val="fr-CA"/>
              </w:rPr>
              <w:t>reduction</w:t>
            </w:r>
            <w:proofErr w:type="spellEnd"/>
          </w:p>
        </w:tc>
        <w:tc>
          <w:tcPr>
            <w:tcW w:w="1552" w:type="dxa"/>
            <w:vMerge w:val="restart"/>
            <w:tcBorders>
              <w:top w:val="single" w:sz="4" w:space="0" w:color="auto"/>
              <w:left w:val="single" w:sz="4" w:space="0" w:color="auto"/>
              <w:right w:val="single" w:sz="4" w:space="0" w:color="auto"/>
            </w:tcBorders>
          </w:tcPr>
          <w:p w14:paraId="3BCB73C4" w14:textId="77777777" w:rsidR="00302BFE" w:rsidRPr="006E490C" w:rsidRDefault="00302BFE" w:rsidP="00243B15">
            <w:pPr>
              <w:spacing w:after="0"/>
              <w:jc w:val="left"/>
              <w:rPr>
                <w:bCs/>
                <w:sz w:val="18"/>
                <w:szCs w:val="18"/>
                <w:lang w:val="fr-CA"/>
              </w:rPr>
            </w:pPr>
            <w:r w:rsidRPr="006E490C">
              <w:rPr>
                <w:bCs/>
                <w:sz w:val="18"/>
                <w:szCs w:val="18"/>
                <w:lang w:val="fr-CA"/>
              </w:rPr>
              <w:t xml:space="preserve">50% </w:t>
            </w:r>
            <w:proofErr w:type="spellStart"/>
            <w:r w:rsidRPr="006E490C">
              <w:rPr>
                <w:bCs/>
                <w:sz w:val="18"/>
                <w:szCs w:val="18"/>
                <w:lang w:val="fr-CA"/>
              </w:rPr>
              <w:t>reduction</w:t>
            </w:r>
            <w:proofErr w:type="spellEnd"/>
          </w:p>
        </w:tc>
        <w:tc>
          <w:tcPr>
            <w:tcW w:w="4712" w:type="dxa"/>
            <w:tcBorders>
              <w:top w:val="single" w:sz="4" w:space="0" w:color="auto"/>
              <w:left w:val="single" w:sz="4" w:space="0" w:color="auto"/>
              <w:bottom w:val="single" w:sz="4" w:space="0" w:color="auto"/>
              <w:right w:val="single" w:sz="4" w:space="0" w:color="auto"/>
            </w:tcBorders>
          </w:tcPr>
          <w:p w14:paraId="0725025E" w14:textId="77777777" w:rsidR="00302BFE" w:rsidRPr="006E490C" w:rsidRDefault="00302BFE" w:rsidP="00243B15">
            <w:pPr>
              <w:jc w:val="left"/>
              <w:rPr>
                <w:bCs/>
                <w:i/>
                <w:sz w:val="18"/>
                <w:szCs w:val="18"/>
                <w:lang w:val="en-CA"/>
              </w:rPr>
            </w:pPr>
            <w:r w:rsidRPr="006E490C">
              <w:rPr>
                <w:bCs/>
                <w:i/>
                <w:sz w:val="18"/>
                <w:szCs w:val="18"/>
                <w:lang w:val="en-CA"/>
              </w:rPr>
              <w:t>Data collection source / method</w:t>
            </w:r>
          </w:p>
          <w:p w14:paraId="31D893A9" w14:textId="77777777" w:rsidR="00302BFE" w:rsidRPr="006E490C" w:rsidRDefault="00302BFE" w:rsidP="00243B15">
            <w:pPr>
              <w:jc w:val="left"/>
              <w:rPr>
                <w:sz w:val="18"/>
                <w:szCs w:val="18"/>
                <w:lang w:val="en-CA"/>
              </w:rPr>
            </w:pPr>
            <w:r w:rsidRPr="006E490C">
              <w:rPr>
                <w:sz w:val="18"/>
                <w:szCs w:val="18"/>
                <w:lang w:val="en-CA"/>
              </w:rPr>
              <w:t>SMART reports (Spatial Monitoring and Reporting Tool) of PA surveillance patrols</w:t>
            </w:r>
          </w:p>
        </w:tc>
      </w:tr>
      <w:tr w:rsidR="00302BFE" w:rsidRPr="006E490C" w14:paraId="43FA5798" w14:textId="77777777" w:rsidTr="00243B15">
        <w:tc>
          <w:tcPr>
            <w:tcW w:w="2006" w:type="dxa"/>
            <w:vMerge/>
            <w:tcBorders>
              <w:left w:val="single" w:sz="4" w:space="0" w:color="auto"/>
              <w:right w:val="single" w:sz="4" w:space="0" w:color="auto"/>
            </w:tcBorders>
            <w:vAlign w:val="center"/>
          </w:tcPr>
          <w:p w14:paraId="553D8A1A" w14:textId="77777777" w:rsidR="00302BFE" w:rsidRPr="006E490C" w:rsidRDefault="00302BFE" w:rsidP="00243B15">
            <w:pPr>
              <w:spacing w:after="0"/>
              <w:jc w:val="left"/>
              <w:rPr>
                <w:rFonts w:ascii="Times New Roman" w:hAnsi="Times New Roman"/>
                <w:b/>
                <w:bCs/>
                <w:sz w:val="18"/>
                <w:szCs w:val="18"/>
                <w:lang w:val="en-CA"/>
              </w:rPr>
            </w:pPr>
          </w:p>
        </w:tc>
        <w:tc>
          <w:tcPr>
            <w:tcW w:w="3016" w:type="dxa"/>
            <w:vMerge/>
            <w:tcBorders>
              <w:left w:val="single" w:sz="4" w:space="0" w:color="auto"/>
              <w:bottom w:val="single" w:sz="4" w:space="0" w:color="auto"/>
              <w:right w:val="single" w:sz="4" w:space="0" w:color="auto"/>
            </w:tcBorders>
            <w:vAlign w:val="center"/>
          </w:tcPr>
          <w:p w14:paraId="34E7D91E" w14:textId="77777777" w:rsidR="00302BFE" w:rsidRPr="006E490C" w:rsidRDefault="00302BFE" w:rsidP="00243B15">
            <w:pPr>
              <w:rPr>
                <w:bCs/>
                <w:i/>
                <w:sz w:val="18"/>
                <w:szCs w:val="18"/>
                <w:lang w:val="en-CA"/>
              </w:rPr>
            </w:pPr>
          </w:p>
        </w:tc>
        <w:tc>
          <w:tcPr>
            <w:tcW w:w="1552" w:type="dxa"/>
            <w:vMerge/>
            <w:tcBorders>
              <w:left w:val="single" w:sz="4" w:space="0" w:color="auto"/>
              <w:bottom w:val="single" w:sz="4" w:space="0" w:color="auto"/>
              <w:right w:val="single" w:sz="4" w:space="0" w:color="auto"/>
            </w:tcBorders>
          </w:tcPr>
          <w:p w14:paraId="3D812D4A" w14:textId="77777777" w:rsidR="00302BFE" w:rsidRPr="006E490C" w:rsidRDefault="00302BFE" w:rsidP="00243B15">
            <w:pPr>
              <w:spacing w:after="0"/>
              <w:jc w:val="left"/>
              <w:rPr>
                <w:bCs/>
                <w:i/>
                <w:sz w:val="18"/>
                <w:szCs w:val="18"/>
                <w:lang w:val="en-CA"/>
              </w:rPr>
            </w:pPr>
          </w:p>
        </w:tc>
        <w:tc>
          <w:tcPr>
            <w:tcW w:w="1552" w:type="dxa"/>
            <w:vMerge/>
            <w:tcBorders>
              <w:left w:val="single" w:sz="4" w:space="0" w:color="auto"/>
              <w:bottom w:val="single" w:sz="4" w:space="0" w:color="auto"/>
              <w:right w:val="single" w:sz="4" w:space="0" w:color="auto"/>
            </w:tcBorders>
          </w:tcPr>
          <w:p w14:paraId="1FB33E1C" w14:textId="77777777" w:rsidR="00302BFE" w:rsidRPr="006E490C" w:rsidRDefault="00302BFE" w:rsidP="00243B15">
            <w:pPr>
              <w:spacing w:after="0"/>
              <w:jc w:val="left"/>
              <w:rPr>
                <w:bCs/>
                <w:i/>
                <w:sz w:val="18"/>
                <w:szCs w:val="18"/>
                <w:lang w:val="en-CA"/>
              </w:rPr>
            </w:pPr>
          </w:p>
        </w:tc>
        <w:tc>
          <w:tcPr>
            <w:tcW w:w="1552" w:type="dxa"/>
            <w:vMerge/>
            <w:tcBorders>
              <w:left w:val="single" w:sz="4" w:space="0" w:color="auto"/>
              <w:bottom w:val="single" w:sz="4" w:space="0" w:color="auto"/>
              <w:right w:val="single" w:sz="4" w:space="0" w:color="auto"/>
            </w:tcBorders>
          </w:tcPr>
          <w:p w14:paraId="3A6283ED" w14:textId="77777777" w:rsidR="00302BFE" w:rsidRPr="006E490C" w:rsidRDefault="00302BFE" w:rsidP="00243B15">
            <w:pPr>
              <w:spacing w:after="0"/>
              <w:jc w:val="left"/>
              <w:rPr>
                <w:bCs/>
                <w:i/>
                <w:sz w:val="18"/>
                <w:szCs w:val="18"/>
                <w:lang w:val="en-CA"/>
              </w:rPr>
            </w:pPr>
          </w:p>
        </w:tc>
        <w:tc>
          <w:tcPr>
            <w:tcW w:w="4712" w:type="dxa"/>
            <w:tcBorders>
              <w:top w:val="single" w:sz="4" w:space="0" w:color="auto"/>
              <w:left w:val="single" w:sz="4" w:space="0" w:color="auto"/>
              <w:bottom w:val="single" w:sz="4" w:space="0" w:color="auto"/>
              <w:right w:val="single" w:sz="4" w:space="0" w:color="auto"/>
            </w:tcBorders>
          </w:tcPr>
          <w:p w14:paraId="706BE713" w14:textId="77777777" w:rsidR="00302BFE" w:rsidRPr="006E490C" w:rsidRDefault="00302BFE" w:rsidP="00243B15">
            <w:pPr>
              <w:jc w:val="left"/>
              <w:rPr>
                <w:sz w:val="18"/>
                <w:szCs w:val="18"/>
                <w:lang w:val="en-CA"/>
              </w:rPr>
            </w:pPr>
            <w:r w:rsidRPr="006E490C">
              <w:rPr>
                <w:i/>
                <w:sz w:val="18"/>
                <w:szCs w:val="18"/>
                <w:lang w:val="en-CA"/>
              </w:rPr>
              <w:t>Risks</w:t>
            </w:r>
            <w:r w:rsidRPr="006E490C">
              <w:rPr>
                <w:sz w:val="18"/>
                <w:szCs w:val="18"/>
                <w:lang w:val="en-CA"/>
              </w:rPr>
              <w:t>:</w:t>
            </w:r>
          </w:p>
          <w:p w14:paraId="768CA4C8" w14:textId="77777777" w:rsidR="00302BFE" w:rsidRPr="006E490C" w:rsidRDefault="00302BFE" w:rsidP="00243B15">
            <w:pPr>
              <w:jc w:val="left"/>
              <w:rPr>
                <w:sz w:val="18"/>
                <w:szCs w:val="18"/>
                <w:lang w:val="en-CA"/>
              </w:rPr>
            </w:pPr>
            <w:r w:rsidRPr="006E490C">
              <w:rPr>
                <w:sz w:val="18"/>
                <w:szCs w:val="18"/>
                <w:lang w:val="en-CA"/>
              </w:rPr>
              <w:t>Insufficient resources allocated to surveillance (staff, equipment, logistics) hinders its effectiveness</w:t>
            </w:r>
          </w:p>
          <w:p w14:paraId="0C9A879E" w14:textId="77777777" w:rsidR="00302BFE" w:rsidRPr="006E490C" w:rsidRDefault="00302BFE" w:rsidP="00243B15">
            <w:pPr>
              <w:jc w:val="left"/>
              <w:rPr>
                <w:sz w:val="18"/>
                <w:szCs w:val="18"/>
                <w:lang w:val="en-CA"/>
              </w:rPr>
            </w:pPr>
            <w:r w:rsidRPr="006E490C">
              <w:rPr>
                <w:i/>
                <w:sz w:val="18"/>
                <w:szCs w:val="18"/>
                <w:lang w:val="en-CA"/>
              </w:rPr>
              <w:t>Assumptions</w:t>
            </w:r>
            <w:r w:rsidRPr="006E490C">
              <w:rPr>
                <w:sz w:val="18"/>
                <w:szCs w:val="18"/>
                <w:lang w:val="en-CA"/>
              </w:rPr>
              <w:t>:</w:t>
            </w:r>
          </w:p>
          <w:p w14:paraId="1F516EB9" w14:textId="77777777" w:rsidR="00302BFE" w:rsidRPr="006E490C" w:rsidRDefault="00302BFE" w:rsidP="00243B15">
            <w:pPr>
              <w:jc w:val="left"/>
              <w:rPr>
                <w:sz w:val="18"/>
                <w:szCs w:val="18"/>
                <w:lang w:val="en-CA"/>
              </w:rPr>
            </w:pPr>
            <w:r w:rsidRPr="006E490C">
              <w:rPr>
                <w:sz w:val="18"/>
                <w:szCs w:val="18"/>
                <w:lang w:val="en-CA"/>
              </w:rPr>
              <w:t>The frequency and coverage of surveillance patrols is adequate to provide the information necessary for effective control of poaching activities.</w:t>
            </w:r>
          </w:p>
          <w:p w14:paraId="12117D23" w14:textId="77777777" w:rsidR="00302BFE" w:rsidRPr="006E490C" w:rsidRDefault="00302BFE" w:rsidP="00243B15">
            <w:pPr>
              <w:jc w:val="left"/>
              <w:rPr>
                <w:sz w:val="18"/>
                <w:szCs w:val="18"/>
                <w:lang w:val="en-CA"/>
              </w:rPr>
            </w:pPr>
            <w:proofErr w:type="gramStart"/>
            <w:r w:rsidRPr="006E490C">
              <w:rPr>
                <w:sz w:val="18"/>
                <w:szCs w:val="18"/>
                <w:lang w:val="en-CA"/>
              </w:rPr>
              <w:t>Poachers</w:t>
            </w:r>
            <w:proofErr w:type="gramEnd"/>
            <w:r w:rsidRPr="006E490C">
              <w:rPr>
                <w:sz w:val="18"/>
                <w:szCs w:val="18"/>
                <w:lang w:val="en-CA"/>
              </w:rPr>
              <w:t xml:space="preserve"> arrests are followed by appropriate legal action as provided for in the law.</w:t>
            </w:r>
          </w:p>
        </w:tc>
      </w:tr>
      <w:tr w:rsidR="00302BFE" w:rsidRPr="006E490C" w14:paraId="523F4D53" w14:textId="77777777" w:rsidTr="00243B15">
        <w:tc>
          <w:tcPr>
            <w:tcW w:w="2006" w:type="dxa"/>
            <w:vMerge/>
            <w:tcBorders>
              <w:left w:val="single" w:sz="4" w:space="0" w:color="auto"/>
              <w:bottom w:val="single" w:sz="4" w:space="0" w:color="auto"/>
              <w:right w:val="single" w:sz="4" w:space="0" w:color="auto"/>
            </w:tcBorders>
            <w:vAlign w:val="center"/>
          </w:tcPr>
          <w:p w14:paraId="75FF3EAD" w14:textId="77777777" w:rsidR="00302BFE" w:rsidRPr="006E490C" w:rsidRDefault="00302BFE" w:rsidP="00243B15">
            <w:pPr>
              <w:spacing w:after="0"/>
              <w:jc w:val="left"/>
              <w:rPr>
                <w:rFonts w:ascii="Times New Roman" w:hAnsi="Times New Roman"/>
                <w:b/>
                <w:bCs/>
                <w:sz w:val="18"/>
                <w:szCs w:val="18"/>
                <w:lang w:val="en-CA"/>
              </w:rPr>
            </w:pPr>
          </w:p>
        </w:tc>
        <w:tc>
          <w:tcPr>
            <w:tcW w:w="3016" w:type="dxa"/>
            <w:tcBorders>
              <w:left w:val="single" w:sz="4" w:space="0" w:color="auto"/>
              <w:bottom w:val="single" w:sz="4" w:space="0" w:color="auto"/>
              <w:right w:val="single" w:sz="4" w:space="0" w:color="auto"/>
            </w:tcBorders>
            <w:vAlign w:val="center"/>
          </w:tcPr>
          <w:p w14:paraId="5C147898" w14:textId="77777777" w:rsidR="00302BFE" w:rsidRPr="006E490C" w:rsidRDefault="00302BFE" w:rsidP="00243B15">
            <w:pPr>
              <w:jc w:val="left"/>
              <w:rPr>
                <w:bCs/>
                <w:i/>
                <w:sz w:val="18"/>
                <w:szCs w:val="18"/>
                <w:u w:val="single"/>
                <w:lang w:val="en-CA"/>
              </w:rPr>
            </w:pPr>
            <w:r w:rsidRPr="006E490C">
              <w:rPr>
                <w:bCs/>
                <w:i/>
                <w:sz w:val="18"/>
                <w:szCs w:val="18"/>
                <w:u w:val="single"/>
                <w:lang w:val="en-CA"/>
              </w:rPr>
              <w:t>Indicator 10:</w:t>
            </w:r>
          </w:p>
          <w:p w14:paraId="186341E7" w14:textId="77777777" w:rsidR="00302BFE" w:rsidRPr="006E490C" w:rsidRDefault="00302BFE" w:rsidP="00DC7D98">
            <w:pPr>
              <w:spacing w:after="0"/>
              <w:jc w:val="left"/>
              <w:rPr>
                <w:bCs/>
                <w:sz w:val="18"/>
                <w:szCs w:val="18"/>
                <w:lang w:val="en-CA"/>
              </w:rPr>
            </w:pPr>
            <w:r w:rsidRPr="006E490C">
              <w:rPr>
                <w:bCs/>
                <w:sz w:val="18"/>
                <w:szCs w:val="18"/>
                <w:lang w:val="en-CA"/>
              </w:rPr>
              <w:t>Condition of resources in Protected Areas, Including State Protected Areas, ZOVICs, and Corridors</w:t>
            </w:r>
          </w:p>
          <w:p w14:paraId="32E3F6DD" w14:textId="2957BE6F" w:rsidR="00302BFE" w:rsidRPr="006E490C" w:rsidRDefault="00302BFE" w:rsidP="00C46720">
            <w:pPr>
              <w:pStyle w:val="Paragraphedeliste"/>
              <w:numPr>
                <w:ilvl w:val="0"/>
                <w:numId w:val="12"/>
              </w:numPr>
              <w:ind w:left="260" w:hanging="176"/>
              <w:contextualSpacing/>
              <w:rPr>
                <w:rFonts w:ascii="Calibri" w:hAnsi="Calibri"/>
                <w:bCs/>
                <w:sz w:val="18"/>
                <w:szCs w:val="18"/>
                <w:lang w:val="en-CA"/>
              </w:rPr>
            </w:pPr>
            <w:r w:rsidRPr="006E490C">
              <w:rPr>
                <w:rFonts w:ascii="Calibri" w:hAnsi="Calibri"/>
                <w:bCs/>
                <w:sz w:val="18"/>
                <w:szCs w:val="18"/>
                <w:lang w:val="en-CA"/>
              </w:rPr>
              <w:t xml:space="preserve">Relative abundance of large and medium mammals, including Bushbuck </w:t>
            </w:r>
            <w:r w:rsidRPr="006E490C">
              <w:rPr>
                <w:rFonts w:ascii="Calibri" w:hAnsi="Calibri"/>
                <w:bCs/>
                <w:i/>
                <w:sz w:val="18"/>
                <w:szCs w:val="18"/>
                <w:lang w:val="en-CA"/>
              </w:rPr>
              <w:t>Tragelaphus scriptus</w:t>
            </w:r>
            <w:r w:rsidRPr="006E490C">
              <w:rPr>
                <w:rFonts w:ascii="Calibri" w:hAnsi="Calibri"/>
                <w:bCs/>
                <w:sz w:val="18"/>
                <w:szCs w:val="18"/>
                <w:lang w:val="en-CA"/>
              </w:rPr>
              <w:t xml:space="preserve"> and Bohor Reedbuck </w:t>
            </w:r>
            <w:proofErr w:type="spellStart"/>
            <w:r w:rsidRPr="006E490C">
              <w:rPr>
                <w:rFonts w:ascii="Calibri" w:hAnsi="Calibri"/>
                <w:bCs/>
                <w:i/>
                <w:sz w:val="18"/>
                <w:szCs w:val="18"/>
                <w:lang w:val="en-CA"/>
              </w:rPr>
              <w:t>Redunca</w:t>
            </w:r>
            <w:proofErr w:type="spellEnd"/>
            <w:r w:rsidRPr="006E490C">
              <w:rPr>
                <w:rFonts w:ascii="Calibri" w:hAnsi="Calibri"/>
                <w:bCs/>
                <w:i/>
                <w:sz w:val="18"/>
                <w:szCs w:val="18"/>
                <w:lang w:val="en-CA"/>
              </w:rPr>
              <w:t xml:space="preserve"> </w:t>
            </w:r>
            <w:proofErr w:type="spellStart"/>
            <w:proofErr w:type="gramStart"/>
            <w:r w:rsidRPr="006E490C">
              <w:rPr>
                <w:rFonts w:ascii="Calibri" w:hAnsi="Calibri"/>
                <w:bCs/>
                <w:i/>
                <w:sz w:val="18"/>
                <w:szCs w:val="18"/>
                <w:lang w:val="en-CA"/>
              </w:rPr>
              <w:t>redunca</w:t>
            </w:r>
            <w:proofErr w:type="spellEnd"/>
            <w:r w:rsidRPr="006E490C">
              <w:rPr>
                <w:rFonts w:ascii="Calibri" w:hAnsi="Calibri"/>
                <w:bCs/>
                <w:sz w:val="18"/>
                <w:szCs w:val="18"/>
                <w:lang w:val="en-CA"/>
              </w:rPr>
              <w:t>;</w:t>
            </w:r>
            <w:proofErr w:type="gramEnd"/>
          </w:p>
          <w:p w14:paraId="6E823BBF" w14:textId="77777777" w:rsidR="00302BFE" w:rsidRPr="006E490C" w:rsidRDefault="00302BFE" w:rsidP="00C46720">
            <w:pPr>
              <w:pStyle w:val="Paragraphedeliste"/>
              <w:numPr>
                <w:ilvl w:val="0"/>
                <w:numId w:val="12"/>
              </w:numPr>
              <w:ind w:left="260" w:hanging="176"/>
              <w:contextualSpacing/>
              <w:rPr>
                <w:rFonts w:ascii="Calibri" w:hAnsi="Calibri"/>
                <w:bCs/>
                <w:sz w:val="18"/>
                <w:szCs w:val="18"/>
                <w:lang w:val="en-CA"/>
              </w:rPr>
            </w:pPr>
            <w:r w:rsidRPr="006E490C">
              <w:rPr>
                <w:rFonts w:ascii="Calibri" w:hAnsi="Calibri"/>
                <w:bCs/>
                <w:sz w:val="18"/>
                <w:szCs w:val="18"/>
                <w:lang w:val="en-CA"/>
              </w:rPr>
              <w:t xml:space="preserve">Relative abundance of small game, including </w:t>
            </w:r>
            <w:r w:rsidRPr="006E490C">
              <w:rPr>
                <w:rFonts w:ascii="Calibri" w:hAnsi="Calibri"/>
                <w:sz w:val="18"/>
                <w:szCs w:val="18"/>
                <w:lang w:val="en-CA"/>
              </w:rPr>
              <w:t>Turtledoves (various species), Guinea fowl</w:t>
            </w:r>
            <w:r w:rsidRPr="006E490C">
              <w:rPr>
                <w:rFonts w:ascii="Calibri" w:hAnsi="Calibri"/>
                <w:i/>
                <w:sz w:val="18"/>
                <w:szCs w:val="18"/>
                <w:lang w:val="en-CA"/>
              </w:rPr>
              <w:t xml:space="preserve"> (Numida meleagris), </w:t>
            </w:r>
            <w:r w:rsidRPr="006E490C">
              <w:rPr>
                <w:rFonts w:ascii="Calibri" w:hAnsi="Calibri"/>
                <w:sz w:val="18"/>
                <w:szCs w:val="18"/>
                <w:lang w:val="en-CA"/>
              </w:rPr>
              <w:t>and Francolin</w:t>
            </w:r>
            <w:r w:rsidRPr="006E490C">
              <w:rPr>
                <w:rFonts w:ascii="Calibri" w:hAnsi="Calibri"/>
                <w:i/>
                <w:sz w:val="18"/>
                <w:szCs w:val="18"/>
                <w:lang w:val="en-CA"/>
              </w:rPr>
              <w:t xml:space="preserve"> (</w:t>
            </w:r>
            <w:proofErr w:type="spellStart"/>
            <w:r w:rsidRPr="006E490C">
              <w:rPr>
                <w:rFonts w:ascii="Calibri" w:hAnsi="Calibri"/>
                <w:i/>
                <w:sz w:val="18"/>
                <w:szCs w:val="18"/>
                <w:lang w:val="en-CA"/>
              </w:rPr>
              <w:t>Francolinus</w:t>
            </w:r>
            <w:proofErr w:type="spellEnd"/>
            <w:r w:rsidRPr="006E490C">
              <w:rPr>
                <w:rFonts w:ascii="Calibri" w:hAnsi="Calibri"/>
                <w:i/>
                <w:sz w:val="18"/>
                <w:szCs w:val="18"/>
                <w:lang w:val="en-CA"/>
              </w:rPr>
              <w:t xml:space="preserve"> </w:t>
            </w:r>
            <w:proofErr w:type="spellStart"/>
            <w:r w:rsidRPr="006E490C">
              <w:rPr>
                <w:rFonts w:ascii="Calibri" w:hAnsi="Calibri"/>
                <w:i/>
                <w:sz w:val="18"/>
                <w:szCs w:val="18"/>
                <w:lang w:val="en-CA"/>
              </w:rPr>
              <w:t>bicalcaratus</w:t>
            </w:r>
            <w:proofErr w:type="spellEnd"/>
            <w:proofErr w:type="gramStart"/>
            <w:r w:rsidRPr="006E490C">
              <w:rPr>
                <w:rFonts w:ascii="Calibri" w:hAnsi="Calibri"/>
                <w:i/>
                <w:sz w:val="18"/>
                <w:szCs w:val="18"/>
                <w:lang w:val="en-CA"/>
              </w:rPr>
              <w:t>);</w:t>
            </w:r>
            <w:proofErr w:type="gramEnd"/>
          </w:p>
          <w:p w14:paraId="153B08D3" w14:textId="77777777" w:rsidR="00302BFE" w:rsidRPr="006E490C" w:rsidRDefault="00302BFE" w:rsidP="00C46720">
            <w:pPr>
              <w:pStyle w:val="Paragraphedeliste"/>
              <w:numPr>
                <w:ilvl w:val="0"/>
                <w:numId w:val="12"/>
              </w:numPr>
              <w:ind w:left="260" w:hanging="176"/>
              <w:contextualSpacing/>
              <w:rPr>
                <w:rFonts w:ascii="Calibri" w:hAnsi="Calibri"/>
                <w:bCs/>
                <w:sz w:val="18"/>
                <w:szCs w:val="18"/>
                <w:lang w:val="en-CA"/>
              </w:rPr>
            </w:pPr>
            <w:r w:rsidRPr="006E490C">
              <w:rPr>
                <w:rFonts w:ascii="Calibri" w:hAnsi="Calibri"/>
                <w:bCs/>
                <w:sz w:val="18"/>
                <w:szCs w:val="18"/>
                <w:lang w:val="en-CA"/>
              </w:rPr>
              <w:t>Invasion level of PAs by domestic livestock</w:t>
            </w:r>
          </w:p>
        </w:tc>
        <w:tc>
          <w:tcPr>
            <w:tcW w:w="1552" w:type="dxa"/>
            <w:tcBorders>
              <w:left w:val="single" w:sz="4" w:space="0" w:color="auto"/>
              <w:bottom w:val="single" w:sz="4" w:space="0" w:color="auto"/>
              <w:right w:val="single" w:sz="4" w:space="0" w:color="auto"/>
            </w:tcBorders>
          </w:tcPr>
          <w:p w14:paraId="14CE32A3" w14:textId="77777777" w:rsidR="00302BFE" w:rsidRPr="006E490C" w:rsidRDefault="00302BFE" w:rsidP="00243B15">
            <w:pPr>
              <w:spacing w:after="0"/>
              <w:jc w:val="left"/>
              <w:rPr>
                <w:bCs/>
                <w:sz w:val="18"/>
                <w:szCs w:val="18"/>
                <w:lang w:val="en-CA"/>
              </w:rPr>
            </w:pPr>
            <w:r w:rsidRPr="006E490C">
              <w:rPr>
                <w:bCs/>
                <w:sz w:val="18"/>
                <w:szCs w:val="18"/>
                <w:lang w:val="en-CA"/>
              </w:rPr>
              <w:t>a. To be determined during the first year of implementation of the project</w:t>
            </w:r>
          </w:p>
          <w:p w14:paraId="45796298" w14:textId="77777777" w:rsidR="00302BFE" w:rsidRPr="006E490C" w:rsidRDefault="00302BFE" w:rsidP="00243B15">
            <w:pPr>
              <w:spacing w:after="0"/>
              <w:jc w:val="left"/>
              <w:rPr>
                <w:bCs/>
                <w:sz w:val="18"/>
                <w:szCs w:val="18"/>
                <w:lang w:val="en-CA"/>
              </w:rPr>
            </w:pPr>
            <w:r w:rsidRPr="006E490C">
              <w:rPr>
                <w:bCs/>
                <w:sz w:val="18"/>
                <w:szCs w:val="18"/>
                <w:lang w:val="en-CA"/>
              </w:rPr>
              <w:t>b. To be determined during the first year of implementation of the project</w:t>
            </w:r>
          </w:p>
          <w:p w14:paraId="5CC830B7" w14:textId="77777777" w:rsidR="00302BFE" w:rsidRPr="006E490C" w:rsidRDefault="00302BFE" w:rsidP="00243B15">
            <w:pPr>
              <w:spacing w:after="0"/>
              <w:jc w:val="left"/>
              <w:rPr>
                <w:bCs/>
                <w:i/>
                <w:sz w:val="18"/>
                <w:szCs w:val="18"/>
                <w:lang w:val="en-CA"/>
              </w:rPr>
            </w:pPr>
            <w:r w:rsidRPr="006E490C">
              <w:rPr>
                <w:bCs/>
                <w:sz w:val="18"/>
                <w:szCs w:val="18"/>
                <w:lang w:val="en-CA"/>
              </w:rPr>
              <w:t>c. To be determined during the first year of implementation of the project</w:t>
            </w:r>
          </w:p>
        </w:tc>
        <w:tc>
          <w:tcPr>
            <w:tcW w:w="1552" w:type="dxa"/>
            <w:tcBorders>
              <w:left w:val="single" w:sz="4" w:space="0" w:color="auto"/>
              <w:bottom w:val="single" w:sz="4" w:space="0" w:color="auto"/>
              <w:right w:val="single" w:sz="4" w:space="0" w:color="auto"/>
            </w:tcBorders>
          </w:tcPr>
          <w:p w14:paraId="0701D1F9" w14:textId="77777777" w:rsidR="00302BFE" w:rsidRPr="006E490C" w:rsidRDefault="00302BFE" w:rsidP="00243B15">
            <w:pPr>
              <w:spacing w:after="0"/>
              <w:jc w:val="left"/>
              <w:rPr>
                <w:bCs/>
                <w:sz w:val="18"/>
                <w:szCs w:val="18"/>
                <w:lang w:val="en-CA"/>
              </w:rPr>
            </w:pPr>
            <w:r w:rsidRPr="006E490C">
              <w:rPr>
                <w:bCs/>
                <w:sz w:val="18"/>
                <w:szCs w:val="18"/>
                <w:lang w:val="en-CA"/>
              </w:rPr>
              <w:t>a. No decrease</w:t>
            </w:r>
          </w:p>
          <w:p w14:paraId="6BE0E9BD" w14:textId="77777777" w:rsidR="00302BFE" w:rsidRPr="006E490C" w:rsidRDefault="00302BFE" w:rsidP="00243B15">
            <w:pPr>
              <w:spacing w:after="0"/>
              <w:jc w:val="left"/>
              <w:rPr>
                <w:bCs/>
                <w:sz w:val="18"/>
                <w:szCs w:val="18"/>
                <w:lang w:val="en-CA"/>
              </w:rPr>
            </w:pPr>
            <w:r w:rsidRPr="006E490C">
              <w:rPr>
                <w:bCs/>
                <w:sz w:val="18"/>
                <w:szCs w:val="18"/>
                <w:lang w:val="en-CA"/>
              </w:rPr>
              <w:t>b. No decrease</w:t>
            </w:r>
          </w:p>
          <w:p w14:paraId="2E73DEEA" w14:textId="77777777" w:rsidR="00302BFE" w:rsidRPr="006E490C" w:rsidRDefault="00302BFE" w:rsidP="00243B15">
            <w:pPr>
              <w:spacing w:after="0"/>
              <w:jc w:val="left"/>
              <w:rPr>
                <w:bCs/>
                <w:i/>
                <w:sz w:val="18"/>
                <w:szCs w:val="18"/>
                <w:lang w:val="en-CA"/>
              </w:rPr>
            </w:pPr>
            <w:r w:rsidRPr="006E490C">
              <w:rPr>
                <w:bCs/>
                <w:sz w:val="18"/>
                <w:szCs w:val="18"/>
                <w:lang w:val="en-CA"/>
              </w:rPr>
              <w:t>c. 20% decrease</w:t>
            </w:r>
          </w:p>
        </w:tc>
        <w:tc>
          <w:tcPr>
            <w:tcW w:w="1552" w:type="dxa"/>
            <w:tcBorders>
              <w:left w:val="single" w:sz="4" w:space="0" w:color="auto"/>
              <w:bottom w:val="single" w:sz="4" w:space="0" w:color="auto"/>
              <w:right w:val="single" w:sz="4" w:space="0" w:color="auto"/>
            </w:tcBorders>
          </w:tcPr>
          <w:p w14:paraId="2E3B762C" w14:textId="77777777" w:rsidR="00302BFE" w:rsidRPr="006E490C" w:rsidRDefault="00302BFE" w:rsidP="00243B15">
            <w:pPr>
              <w:spacing w:after="0"/>
              <w:jc w:val="left"/>
              <w:rPr>
                <w:bCs/>
                <w:sz w:val="18"/>
                <w:szCs w:val="18"/>
                <w:lang w:val="en-CA"/>
              </w:rPr>
            </w:pPr>
            <w:r w:rsidRPr="006E490C">
              <w:rPr>
                <w:bCs/>
                <w:sz w:val="18"/>
                <w:szCs w:val="18"/>
                <w:lang w:val="en-CA"/>
              </w:rPr>
              <w:t>a. No decrease</w:t>
            </w:r>
          </w:p>
          <w:p w14:paraId="3A31548B" w14:textId="77777777" w:rsidR="00302BFE" w:rsidRPr="006E490C" w:rsidRDefault="00302BFE" w:rsidP="00243B15">
            <w:pPr>
              <w:spacing w:after="0"/>
              <w:jc w:val="left"/>
              <w:rPr>
                <w:bCs/>
                <w:sz w:val="18"/>
                <w:szCs w:val="18"/>
                <w:lang w:val="en-CA"/>
              </w:rPr>
            </w:pPr>
            <w:r w:rsidRPr="006E490C">
              <w:rPr>
                <w:bCs/>
                <w:sz w:val="18"/>
                <w:szCs w:val="18"/>
                <w:lang w:val="en-CA"/>
              </w:rPr>
              <w:t>b. No decrease</w:t>
            </w:r>
          </w:p>
          <w:p w14:paraId="11853B2E" w14:textId="77777777" w:rsidR="00302BFE" w:rsidRPr="006E490C" w:rsidRDefault="00302BFE" w:rsidP="00243B15">
            <w:pPr>
              <w:spacing w:after="0"/>
              <w:jc w:val="left"/>
              <w:rPr>
                <w:bCs/>
                <w:i/>
                <w:sz w:val="18"/>
                <w:szCs w:val="18"/>
                <w:lang w:val="en-CA"/>
              </w:rPr>
            </w:pPr>
            <w:r w:rsidRPr="006E490C">
              <w:rPr>
                <w:bCs/>
                <w:sz w:val="18"/>
                <w:szCs w:val="18"/>
                <w:lang w:val="en-CA"/>
              </w:rPr>
              <w:t>c. 50% decrease</w:t>
            </w:r>
          </w:p>
        </w:tc>
        <w:tc>
          <w:tcPr>
            <w:tcW w:w="4712" w:type="dxa"/>
            <w:tcBorders>
              <w:top w:val="single" w:sz="4" w:space="0" w:color="auto"/>
              <w:left w:val="single" w:sz="4" w:space="0" w:color="auto"/>
              <w:bottom w:val="single" w:sz="4" w:space="0" w:color="auto"/>
              <w:right w:val="single" w:sz="4" w:space="0" w:color="auto"/>
            </w:tcBorders>
          </w:tcPr>
          <w:p w14:paraId="3F3C0FA7" w14:textId="77777777" w:rsidR="00302BFE" w:rsidRPr="006E490C" w:rsidRDefault="00302BFE" w:rsidP="00243B15">
            <w:pPr>
              <w:jc w:val="left"/>
              <w:rPr>
                <w:sz w:val="18"/>
                <w:szCs w:val="18"/>
                <w:lang w:val="en-CA"/>
              </w:rPr>
            </w:pPr>
            <w:r w:rsidRPr="006E490C">
              <w:rPr>
                <w:sz w:val="18"/>
                <w:szCs w:val="18"/>
                <w:lang w:val="en-CA"/>
              </w:rPr>
              <w:t>Field surveys of target natural resources in intervention sites conducted in the first year, at mid-term and at end of project:</w:t>
            </w:r>
          </w:p>
          <w:p w14:paraId="7E315F7E" w14:textId="32D4A652" w:rsidR="00302BFE" w:rsidRPr="006E490C" w:rsidRDefault="00302BFE" w:rsidP="00C46720">
            <w:pPr>
              <w:pStyle w:val="Paragraphedeliste"/>
              <w:numPr>
                <w:ilvl w:val="0"/>
                <w:numId w:val="11"/>
              </w:numPr>
              <w:ind w:left="237" w:hanging="199"/>
              <w:contextualSpacing/>
              <w:rPr>
                <w:rFonts w:ascii="Calibri" w:hAnsi="Calibri"/>
                <w:bCs/>
                <w:sz w:val="18"/>
                <w:szCs w:val="18"/>
                <w:lang w:val="en-CA"/>
              </w:rPr>
            </w:pPr>
            <w:r w:rsidRPr="006E490C">
              <w:rPr>
                <w:rFonts w:ascii="Calibri" w:hAnsi="Calibri"/>
                <w:bCs/>
                <w:sz w:val="18"/>
                <w:szCs w:val="18"/>
                <w:lang w:val="en-CA"/>
              </w:rPr>
              <w:t>Relative abundance of medium and large mammals per km</w:t>
            </w:r>
            <w:r w:rsidRPr="006E490C">
              <w:rPr>
                <w:rFonts w:ascii="Calibri" w:hAnsi="Calibri"/>
                <w:bCs/>
                <w:sz w:val="18"/>
                <w:szCs w:val="18"/>
                <w:vertAlign w:val="superscript"/>
                <w:lang w:val="en-CA"/>
              </w:rPr>
              <w:t>2</w:t>
            </w:r>
            <w:r w:rsidRPr="006E490C">
              <w:rPr>
                <w:rFonts w:ascii="Calibri" w:hAnsi="Calibri"/>
                <w:bCs/>
                <w:sz w:val="18"/>
                <w:szCs w:val="18"/>
                <w:lang w:val="en-CA"/>
              </w:rPr>
              <w:t xml:space="preserve"> or IKA, namely for Bushbuck </w:t>
            </w:r>
            <w:r w:rsidRPr="006E490C">
              <w:rPr>
                <w:rFonts w:ascii="Calibri" w:hAnsi="Calibri"/>
                <w:bCs/>
                <w:i/>
                <w:sz w:val="18"/>
                <w:szCs w:val="18"/>
                <w:lang w:val="en-CA"/>
              </w:rPr>
              <w:t>Tragelaphus scriptus</w:t>
            </w:r>
            <w:r w:rsidRPr="006E490C">
              <w:rPr>
                <w:rFonts w:ascii="Calibri" w:hAnsi="Calibri"/>
                <w:bCs/>
                <w:sz w:val="18"/>
                <w:szCs w:val="18"/>
                <w:lang w:val="en-CA"/>
              </w:rPr>
              <w:t xml:space="preserve"> and Bohor Reedbuck </w:t>
            </w:r>
            <w:proofErr w:type="spellStart"/>
            <w:r w:rsidRPr="006E490C">
              <w:rPr>
                <w:rFonts w:ascii="Calibri" w:hAnsi="Calibri"/>
                <w:bCs/>
                <w:i/>
                <w:sz w:val="18"/>
                <w:szCs w:val="18"/>
                <w:lang w:val="en-CA"/>
              </w:rPr>
              <w:t>Redunca</w:t>
            </w:r>
            <w:proofErr w:type="spellEnd"/>
            <w:r w:rsidRPr="006E490C">
              <w:rPr>
                <w:rFonts w:ascii="Calibri" w:hAnsi="Calibri"/>
                <w:bCs/>
                <w:i/>
                <w:sz w:val="18"/>
                <w:szCs w:val="18"/>
                <w:lang w:val="en-CA"/>
              </w:rPr>
              <w:t xml:space="preserve"> </w:t>
            </w:r>
            <w:proofErr w:type="spellStart"/>
            <w:proofErr w:type="gramStart"/>
            <w:r w:rsidRPr="006E490C">
              <w:rPr>
                <w:rFonts w:ascii="Calibri" w:hAnsi="Calibri"/>
                <w:bCs/>
                <w:i/>
                <w:sz w:val="18"/>
                <w:szCs w:val="18"/>
                <w:lang w:val="en-CA"/>
              </w:rPr>
              <w:t>redunca</w:t>
            </w:r>
            <w:proofErr w:type="spellEnd"/>
            <w:r w:rsidRPr="006E490C">
              <w:rPr>
                <w:rFonts w:ascii="Calibri" w:hAnsi="Calibri"/>
                <w:bCs/>
                <w:sz w:val="18"/>
                <w:szCs w:val="18"/>
                <w:lang w:val="en-CA"/>
              </w:rPr>
              <w:t>;</w:t>
            </w:r>
            <w:proofErr w:type="gramEnd"/>
            <w:r w:rsidR="00DC7D98">
              <w:rPr>
                <w:rFonts w:ascii="Calibri" w:hAnsi="Calibri"/>
                <w:bCs/>
                <w:sz w:val="18"/>
                <w:szCs w:val="18"/>
                <w:lang w:val="en-CA"/>
              </w:rPr>
              <w:t xml:space="preserve"> </w:t>
            </w:r>
          </w:p>
          <w:p w14:paraId="47295F35" w14:textId="77777777" w:rsidR="00302BFE" w:rsidRPr="006E490C" w:rsidRDefault="00302BFE" w:rsidP="00C46720">
            <w:pPr>
              <w:pStyle w:val="Paragraphedeliste"/>
              <w:numPr>
                <w:ilvl w:val="0"/>
                <w:numId w:val="11"/>
              </w:numPr>
              <w:ind w:left="237" w:hanging="199"/>
              <w:contextualSpacing/>
              <w:rPr>
                <w:rFonts w:ascii="Calibri" w:hAnsi="Calibri"/>
                <w:bCs/>
                <w:sz w:val="18"/>
                <w:szCs w:val="18"/>
                <w:lang w:val="en-CA"/>
              </w:rPr>
            </w:pPr>
            <w:r w:rsidRPr="006E490C">
              <w:rPr>
                <w:rFonts w:ascii="Calibri" w:hAnsi="Calibri"/>
                <w:sz w:val="18"/>
                <w:szCs w:val="18"/>
                <w:lang w:val="en-CA"/>
              </w:rPr>
              <w:t xml:space="preserve">Kilometric index (numbers of observed birds per covered kilometre) along ecological monitoring </w:t>
            </w:r>
            <w:proofErr w:type="gramStart"/>
            <w:r w:rsidRPr="006E490C">
              <w:rPr>
                <w:rFonts w:ascii="Calibri" w:hAnsi="Calibri"/>
                <w:sz w:val="18"/>
                <w:szCs w:val="18"/>
                <w:lang w:val="en-CA"/>
              </w:rPr>
              <w:t>transect</w:t>
            </w:r>
            <w:proofErr w:type="gramEnd"/>
            <w:r w:rsidRPr="006E490C">
              <w:rPr>
                <w:rFonts w:ascii="Calibri" w:hAnsi="Calibri"/>
                <w:sz w:val="18"/>
                <w:szCs w:val="18"/>
                <w:lang w:val="en-CA"/>
              </w:rPr>
              <w:t xml:space="preserve"> for Turtledoves (various species), Guinea fowl</w:t>
            </w:r>
            <w:r w:rsidRPr="006E490C">
              <w:rPr>
                <w:rFonts w:ascii="Calibri" w:hAnsi="Calibri"/>
                <w:i/>
                <w:sz w:val="18"/>
                <w:szCs w:val="18"/>
                <w:lang w:val="en-CA"/>
              </w:rPr>
              <w:t xml:space="preserve"> (Numida meleagris), </w:t>
            </w:r>
            <w:r w:rsidRPr="006E490C">
              <w:rPr>
                <w:rFonts w:ascii="Calibri" w:hAnsi="Calibri"/>
                <w:sz w:val="18"/>
                <w:szCs w:val="18"/>
                <w:lang w:val="en-CA"/>
              </w:rPr>
              <w:t>and Francolin</w:t>
            </w:r>
            <w:r w:rsidRPr="006E490C">
              <w:rPr>
                <w:rFonts w:ascii="Calibri" w:hAnsi="Calibri"/>
                <w:i/>
                <w:sz w:val="18"/>
                <w:szCs w:val="18"/>
                <w:lang w:val="en-CA"/>
              </w:rPr>
              <w:t xml:space="preserve"> (</w:t>
            </w:r>
            <w:proofErr w:type="spellStart"/>
            <w:r w:rsidRPr="006E490C">
              <w:rPr>
                <w:rFonts w:ascii="Calibri" w:hAnsi="Calibri"/>
                <w:i/>
                <w:sz w:val="18"/>
                <w:szCs w:val="18"/>
                <w:lang w:val="en-CA"/>
              </w:rPr>
              <w:t>Francolinus</w:t>
            </w:r>
            <w:proofErr w:type="spellEnd"/>
            <w:r w:rsidRPr="006E490C">
              <w:rPr>
                <w:rFonts w:ascii="Calibri" w:hAnsi="Calibri"/>
                <w:i/>
                <w:sz w:val="18"/>
                <w:szCs w:val="18"/>
                <w:lang w:val="en-CA"/>
              </w:rPr>
              <w:t xml:space="preserve"> </w:t>
            </w:r>
            <w:proofErr w:type="spellStart"/>
            <w:r w:rsidRPr="006E490C">
              <w:rPr>
                <w:rFonts w:ascii="Calibri" w:hAnsi="Calibri"/>
                <w:i/>
                <w:sz w:val="18"/>
                <w:szCs w:val="18"/>
                <w:lang w:val="en-CA"/>
              </w:rPr>
              <w:t>bicalcaratus</w:t>
            </w:r>
            <w:proofErr w:type="spellEnd"/>
            <w:r w:rsidRPr="006E490C">
              <w:rPr>
                <w:rFonts w:ascii="Calibri" w:hAnsi="Calibri"/>
                <w:i/>
                <w:sz w:val="18"/>
                <w:szCs w:val="18"/>
                <w:lang w:val="en-CA"/>
              </w:rPr>
              <w:t>);</w:t>
            </w:r>
          </w:p>
          <w:p w14:paraId="1936469A" w14:textId="77777777" w:rsidR="00302BFE" w:rsidRPr="006E490C" w:rsidRDefault="00302BFE" w:rsidP="00C46720">
            <w:pPr>
              <w:pStyle w:val="Paragraphedeliste"/>
              <w:numPr>
                <w:ilvl w:val="0"/>
                <w:numId w:val="11"/>
              </w:numPr>
              <w:ind w:left="237" w:hanging="199"/>
              <w:contextualSpacing/>
              <w:rPr>
                <w:rFonts w:ascii="Calibri" w:hAnsi="Calibri"/>
                <w:bCs/>
                <w:sz w:val="18"/>
                <w:szCs w:val="18"/>
                <w:lang w:val="en-CA"/>
              </w:rPr>
            </w:pPr>
            <w:r w:rsidRPr="006E490C">
              <w:rPr>
                <w:rFonts w:ascii="Calibri" w:hAnsi="Calibri"/>
                <w:sz w:val="18"/>
                <w:szCs w:val="18"/>
                <w:lang w:val="en-CA"/>
              </w:rPr>
              <w:t>Level of invasion of PAs by livestock, determined by the average depth of encroachment within the PA.</w:t>
            </w:r>
          </w:p>
        </w:tc>
      </w:tr>
      <w:tr w:rsidR="00302BFE" w:rsidRPr="006E490C" w14:paraId="1837FB6A" w14:textId="77777777" w:rsidTr="00243B15">
        <w:tc>
          <w:tcPr>
            <w:tcW w:w="2006" w:type="dxa"/>
            <w:vMerge w:val="restart"/>
            <w:tcBorders>
              <w:top w:val="single" w:sz="4" w:space="0" w:color="auto"/>
              <w:left w:val="single" w:sz="4" w:space="0" w:color="auto"/>
              <w:right w:val="single" w:sz="4" w:space="0" w:color="auto"/>
            </w:tcBorders>
            <w:shd w:val="pct12" w:color="auto" w:fill="auto"/>
          </w:tcPr>
          <w:p w14:paraId="618638A6" w14:textId="77777777" w:rsidR="00302BFE" w:rsidRPr="006E490C" w:rsidRDefault="00302BFE" w:rsidP="00243B15">
            <w:pPr>
              <w:jc w:val="left"/>
              <w:rPr>
                <w:b/>
                <w:bCs/>
                <w:sz w:val="18"/>
                <w:szCs w:val="18"/>
                <w:lang w:val="en-CA"/>
              </w:rPr>
            </w:pPr>
            <w:r w:rsidRPr="006E490C">
              <w:rPr>
                <w:b/>
                <w:bCs/>
                <w:sz w:val="18"/>
                <w:szCs w:val="18"/>
                <w:lang w:val="en-CA"/>
              </w:rPr>
              <w:t>Component/ Outcome 3</w:t>
            </w:r>
          </w:p>
          <w:p w14:paraId="75382DCA" w14:textId="77777777" w:rsidR="00302BFE" w:rsidRPr="006E490C" w:rsidRDefault="00302BFE" w:rsidP="00243B15">
            <w:pPr>
              <w:jc w:val="left"/>
              <w:rPr>
                <w:rFonts w:eastAsia="Calibri"/>
                <w:lang w:val="en-CA"/>
              </w:rPr>
            </w:pPr>
            <w:r w:rsidRPr="006E490C">
              <w:rPr>
                <w:rFonts w:eastAsia="Calibri"/>
                <w:lang w:val="en-CA"/>
              </w:rPr>
              <w:t>3. Sustainable land management and livelihood diversification</w:t>
            </w:r>
          </w:p>
          <w:p w14:paraId="07419765" w14:textId="77777777" w:rsidR="00302BFE" w:rsidRPr="006E490C" w:rsidRDefault="00302BFE" w:rsidP="00243B15">
            <w:pPr>
              <w:jc w:val="left"/>
              <w:rPr>
                <w:rFonts w:eastAsia="Calibri"/>
                <w:lang w:val="en-CA"/>
              </w:rPr>
            </w:pPr>
            <w:r w:rsidRPr="006E490C">
              <w:rPr>
                <w:rFonts w:eastAsia="Calibri"/>
                <w:lang w:val="en-CA"/>
              </w:rPr>
              <w:t xml:space="preserve">3.1 Increased adoption of effective </w:t>
            </w:r>
            <w:proofErr w:type="spellStart"/>
            <w:r w:rsidRPr="006E490C">
              <w:rPr>
                <w:rFonts w:eastAsia="Calibri"/>
                <w:lang w:val="en-CA"/>
              </w:rPr>
              <w:t>agri</w:t>
            </w:r>
            <w:proofErr w:type="spellEnd"/>
            <w:r w:rsidRPr="006E490C">
              <w:rPr>
                <w:rFonts w:eastAsia="Calibri"/>
                <w:lang w:val="en-CA"/>
              </w:rPr>
              <w:t>-</w:t>
            </w:r>
            <w:proofErr w:type="spellStart"/>
            <w:r w:rsidRPr="006E490C">
              <w:rPr>
                <w:rFonts w:eastAsia="Calibri"/>
                <w:lang w:val="en-CA"/>
              </w:rPr>
              <w:t>silvo</w:t>
            </w:r>
            <w:proofErr w:type="spellEnd"/>
            <w:r w:rsidRPr="006E490C">
              <w:rPr>
                <w:rFonts w:eastAsia="Calibri"/>
                <w:lang w:val="en-CA"/>
              </w:rPr>
              <w:t>-pastoral integrated management of natural and agricultural resources, and climate-</w:t>
            </w:r>
            <w:r w:rsidRPr="006E490C">
              <w:rPr>
                <w:rFonts w:eastAsia="Calibri"/>
                <w:lang w:val="en-CA"/>
              </w:rPr>
              <w:lastRenderedPageBreak/>
              <w:t>smart agriculture by local communities within the PONASI landscape.</w:t>
            </w:r>
          </w:p>
          <w:p w14:paraId="7A59BEA7" w14:textId="77777777" w:rsidR="00302BFE" w:rsidRPr="006E490C" w:rsidRDefault="00302BFE" w:rsidP="00243B15">
            <w:pPr>
              <w:jc w:val="left"/>
              <w:rPr>
                <w:rFonts w:ascii="Times New Roman" w:hAnsi="Times New Roman"/>
                <w:b/>
                <w:bCs/>
                <w:sz w:val="18"/>
                <w:szCs w:val="18"/>
                <w:lang w:val="en-CA"/>
              </w:rPr>
            </w:pPr>
            <w:r w:rsidRPr="006E490C">
              <w:rPr>
                <w:rFonts w:eastAsia="Calibri"/>
                <w:lang w:val="en-CA"/>
              </w:rPr>
              <w:t xml:space="preserve">3.2 Diversified livelihoods of local communities related to tourism development and value chains based on forest products- </w:t>
            </w:r>
          </w:p>
        </w:tc>
        <w:tc>
          <w:tcPr>
            <w:tcW w:w="3016" w:type="dxa"/>
            <w:vMerge w:val="restart"/>
            <w:tcBorders>
              <w:top w:val="single" w:sz="4" w:space="0" w:color="auto"/>
              <w:left w:val="single" w:sz="4" w:space="0" w:color="auto"/>
              <w:bottom w:val="single" w:sz="4" w:space="0" w:color="auto"/>
              <w:right w:val="single" w:sz="4" w:space="0" w:color="auto"/>
            </w:tcBorders>
            <w:hideMark/>
          </w:tcPr>
          <w:p w14:paraId="5FF3F903" w14:textId="77777777" w:rsidR="00302BFE" w:rsidRPr="006E490C" w:rsidRDefault="00302BFE" w:rsidP="00243B15">
            <w:pPr>
              <w:jc w:val="left"/>
              <w:rPr>
                <w:bCs/>
                <w:i/>
                <w:sz w:val="18"/>
                <w:szCs w:val="18"/>
                <w:u w:val="single"/>
                <w:lang w:val="en-CA"/>
              </w:rPr>
            </w:pPr>
            <w:r w:rsidRPr="006E490C">
              <w:rPr>
                <w:bCs/>
                <w:i/>
                <w:sz w:val="18"/>
                <w:szCs w:val="18"/>
                <w:u w:val="single"/>
                <w:lang w:val="en-CA"/>
              </w:rPr>
              <w:lastRenderedPageBreak/>
              <w:t>Indicator 11:</w:t>
            </w:r>
          </w:p>
          <w:p w14:paraId="2DA4DB1B" w14:textId="77777777" w:rsidR="00302BFE" w:rsidRPr="006E490C" w:rsidRDefault="00302BFE" w:rsidP="00243B15">
            <w:pPr>
              <w:jc w:val="left"/>
              <w:rPr>
                <w:bCs/>
                <w:sz w:val="18"/>
                <w:szCs w:val="18"/>
                <w:lang w:val="en-CA"/>
              </w:rPr>
            </w:pPr>
            <w:r w:rsidRPr="006E490C">
              <w:rPr>
                <w:bCs/>
                <w:sz w:val="18"/>
                <w:szCs w:val="18"/>
                <w:lang w:val="en-CA"/>
              </w:rPr>
              <w:t xml:space="preserve">Land area under improved </w:t>
            </w:r>
            <w:proofErr w:type="spellStart"/>
            <w:r w:rsidRPr="006E490C">
              <w:rPr>
                <w:bCs/>
                <w:sz w:val="18"/>
                <w:szCs w:val="18"/>
                <w:lang w:val="en-CA"/>
              </w:rPr>
              <w:t>agri</w:t>
            </w:r>
            <w:proofErr w:type="spellEnd"/>
            <w:r w:rsidRPr="006E490C">
              <w:rPr>
                <w:bCs/>
                <w:sz w:val="18"/>
                <w:szCs w:val="18"/>
                <w:lang w:val="en-CA"/>
              </w:rPr>
              <w:t>-</w:t>
            </w:r>
            <w:proofErr w:type="spellStart"/>
            <w:r w:rsidRPr="006E490C">
              <w:rPr>
                <w:bCs/>
                <w:sz w:val="18"/>
                <w:szCs w:val="18"/>
                <w:lang w:val="en-CA"/>
              </w:rPr>
              <w:t>silvo</w:t>
            </w:r>
            <w:proofErr w:type="spellEnd"/>
            <w:r w:rsidRPr="006E490C">
              <w:rPr>
                <w:bCs/>
                <w:sz w:val="18"/>
                <w:szCs w:val="18"/>
                <w:lang w:val="en-CA"/>
              </w:rPr>
              <w:t>-pastoral management practices, and climate-smart agriculture) including:</w:t>
            </w:r>
          </w:p>
          <w:p w14:paraId="28766DAE" w14:textId="77777777" w:rsidR="00302BFE" w:rsidRPr="006E490C" w:rsidRDefault="00302BFE" w:rsidP="00243B15">
            <w:pPr>
              <w:jc w:val="left"/>
              <w:rPr>
                <w:bCs/>
                <w:sz w:val="18"/>
                <w:szCs w:val="18"/>
                <w:lang w:val="en-CA"/>
              </w:rPr>
            </w:pPr>
            <w:r w:rsidRPr="006E490C">
              <w:rPr>
                <w:bCs/>
                <w:sz w:val="18"/>
                <w:szCs w:val="18"/>
                <w:lang w:val="en-CA"/>
              </w:rPr>
              <w:t xml:space="preserve">a) area of developed </w:t>
            </w:r>
            <w:proofErr w:type="spellStart"/>
            <w:r w:rsidRPr="006E490C">
              <w:rPr>
                <w:bCs/>
                <w:sz w:val="18"/>
                <w:szCs w:val="18"/>
                <w:lang w:val="en-CA"/>
              </w:rPr>
              <w:t>agro</w:t>
            </w:r>
            <w:proofErr w:type="spellEnd"/>
            <w:r w:rsidRPr="006E490C">
              <w:rPr>
                <w:bCs/>
                <w:sz w:val="18"/>
                <w:szCs w:val="18"/>
                <w:lang w:val="en-CA"/>
              </w:rPr>
              <w:t>-pastoral land (total area: 6000 ha within pilot sites)</w:t>
            </w:r>
          </w:p>
          <w:p w14:paraId="625A8201" w14:textId="77777777" w:rsidR="00302BFE" w:rsidRPr="006E490C" w:rsidRDefault="00302BFE" w:rsidP="00243B15">
            <w:pPr>
              <w:jc w:val="left"/>
              <w:rPr>
                <w:bCs/>
                <w:sz w:val="18"/>
                <w:szCs w:val="18"/>
                <w:lang w:val="en-CA"/>
              </w:rPr>
            </w:pPr>
            <w:r w:rsidRPr="006E490C">
              <w:rPr>
                <w:bCs/>
                <w:sz w:val="18"/>
                <w:szCs w:val="18"/>
                <w:lang w:val="en-CA"/>
              </w:rPr>
              <w:t>b) communal and village forests and massif forest areas (total area: 39,783 ha)</w:t>
            </w:r>
            <w:r w:rsidRPr="006E490C">
              <w:rPr>
                <w:bCs/>
                <w:sz w:val="18"/>
                <w:szCs w:val="18"/>
                <w:lang w:val="en-CA"/>
              </w:rPr>
              <w:br/>
              <w:t>c) pasture areas subject to consensual management tools (total area: 52,886 ha)</w:t>
            </w:r>
            <w:r w:rsidRPr="006E490C">
              <w:rPr>
                <w:bCs/>
                <w:sz w:val="18"/>
                <w:szCs w:val="18"/>
                <w:lang w:val="en-CA"/>
              </w:rPr>
              <w:br/>
            </w:r>
            <w:r w:rsidRPr="006E490C">
              <w:rPr>
                <w:bCs/>
                <w:sz w:val="18"/>
                <w:szCs w:val="18"/>
                <w:lang w:val="en-CA"/>
              </w:rPr>
              <w:lastRenderedPageBreak/>
              <w:t>d) forest management areas (</w:t>
            </w:r>
            <w:r w:rsidRPr="006E490C">
              <w:rPr>
                <w:bCs/>
                <w:i/>
                <w:sz w:val="18"/>
                <w:szCs w:val="18"/>
                <w:lang w:val="en-CA"/>
              </w:rPr>
              <w:t xml:space="preserve">Chantiers </w:t>
            </w:r>
            <w:proofErr w:type="spellStart"/>
            <w:r w:rsidRPr="006E490C">
              <w:rPr>
                <w:bCs/>
                <w:i/>
                <w:sz w:val="18"/>
                <w:szCs w:val="18"/>
                <w:lang w:val="en-CA"/>
              </w:rPr>
              <w:t>d’Aménagement</w:t>
            </w:r>
            <w:proofErr w:type="spellEnd"/>
            <w:r w:rsidRPr="006E490C">
              <w:rPr>
                <w:bCs/>
                <w:i/>
                <w:sz w:val="18"/>
                <w:szCs w:val="18"/>
                <w:lang w:val="en-CA"/>
              </w:rPr>
              <w:t xml:space="preserve"> Forestier</w:t>
            </w:r>
            <w:r w:rsidRPr="006E490C">
              <w:rPr>
                <w:bCs/>
                <w:sz w:val="18"/>
                <w:szCs w:val="18"/>
                <w:lang w:val="en-CA"/>
              </w:rPr>
              <w:t xml:space="preserve">) whose model is evaluated, </w:t>
            </w:r>
            <w:proofErr w:type="gramStart"/>
            <w:r w:rsidRPr="006E490C">
              <w:rPr>
                <w:bCs/>
                <w:sz w:val="18"/>
                <w:szCs w:val="18"/>
                <w:lang w:val="en-CA"/>
              </w:rPr>
              <w:t>revised</w:t>
            </w:r>
            <w:proofErr w:type="gramEnd"/>
            <w:r w:rsidRPr="006E490C">
              <w:rPr>
                <w:bCs/>
                <w:sz w:val="18"/>
                <w:szCs w:val="18"/>
                <w:lang w:val="en-CA"/>
              </w:rPr>
              <w:t xml:space="preserve"> and implemented (total area: 73,969 ha)</w:t>
            </w:r>
          </w:p>
          <w:p w14:paraId="453A3961" w14:textId="77777777" w:rsidR="00302BFE" w:rsidRPr="006E490C" w:rsidRDefault="00302BFE" w:rsidP="00243B15">
            <w:pPr>
              <w:jc w:val="left"/>
              <w:rPr>
                <w:bCs/>
                <w:i/>
                <w:sz w:val="18"/>
                <w:szCs w:val="18"/>
                <w:lang w:val="en-CA"/>
              </w:rPr>
            </w:pPr>
            <w:r w:rsidRPr="006E490C">
              <w:rPr>
                <w:rFonts w:eastAsia="Calibri"/>
                <w:b/>
                <w:sz w:val="18"/>
                <w:szCs w:val="18"/>
                <w:lang w:val="en-CA"/>
              </w:rPr>
              <w:t>(GEF-7 Core indicator 4)</w:t>
            </w:r>
          </w:p>
        </w:tc>
        <w:tc>
          <w:tcPr>
            <w:tcW w:w="1552" w:type="dxa"/>
            <w:vMerge w:val="restart"/>
            <w:tcBorders>
              <w:top w:val="single" w:sz="4" w:space="0" w:color="auto"/>
              <w:left w:val="single" w:sz="4" w:space="0" w:color="auto"/>
              <w:bottom w:val="single" w:sz="4" w:space="0" w:color="auto"/>
              <w:right w:val="single" w:sz="4" w:space="0" w:color="auto"/>
            </w:tcBorders>
          </w:tcPr>
          <w:p w14:paraId="65B80FFC" w14:textId="77777777" w:rsidR="00302BFE" w:rsidRPr="006E490C" w:rsidRDefault="00302BFE" w:rsidP="00243B15">
            <w:pPr>
              <w:jc w:val="left"/>
              <w:rPr>
                <w:bCs/>
                <w:sz w:val="18"/>
                <w:szCs w:val="18"/>
                <w:lang w:val="en-CA"/>
              </w:rPr>
            </w:pPr>
            <w:r w:rsidRPr="006E490C">
              <w:rPr>
                <w:bCs/>
                <w:sz w:val="18"/>
                <w:szCs w:val="18"/>
              </w:rPr>
              <w:lastRenderedPageBreak/>
              <w:t>0 (the project has not started yet)</w:t>
            </w:r>
          </w:p>
        </w:tc>
        <w:tc>
          <w:tcPr>
            <w:tcW w:w="1552" w:type="dxa"/>
            <w:vMerge w:val="restart"/>
            <w:tcBorders>
              <w:top w:val="single" w:sz="4" w:space="0" w:color="auto"/>
              <w:left w:val="single" w:sz="4" w:space="0" w:color="auto"/>
              <w:bottom w:val="single" w:sz="4" w:space="0" w:color="auto"/>
              <w:right w:val="single" w:sz="4" w:space="0" w:color="auto"/>
            </w:tcBorders>
          </w:tcPr>
          <w:p w14:paraId="614A16E7" w14:textId="77777777" w:rsidR="00302BFE" w:rsidRPr="006E490C" w:rsidRDefault="00302BFE" w:rsidP="00243B15">
            <w:pPr>
              <w:jc w:val="left"/>
              <w:rPr>
                <w:bCs/>
                <w:sz w:val="18"/>
                <w:szCs w:val="18"/>
                <w:lang w:val="en-CA"/>
              </w:rPr>
            </w:pPr>
            <w:r w:rsidRPr="006E490C">
              <w:rPr>
                <w:bCs/>
                <w:sz w:val="18"/>
                <w:szCs w:val="18"/>
                <w:lang w:val="en-CA"/>
              </w:rPr>
              <w:t>25% of the areas targeted for each land use category:</w:t>
            </w:r>
          </w:p>
          <w:p w14:paraId="725D8C62" w14:textId="77777777" w:rsidR="00302BFE" w:rsidRPr="006E490C" w:rsidRDefault="00302BFE" w:rsidP="00243B15">
            <w:pPr>
              <w:jc w:val="left"/>
              <w:rPr>
                <w:bCs/>
                <w:sz w:val="18"/>
                <w:szCs w:val="18"/>
                <w:lang w:val="fr-CA"/>
              </w:rPr>
            </w:pPr>
            <w:r w:rsidRPr="006E490C">
              <w:rPr>
                <w:bCs/>
                <w:sz w:val="18"/>
                <w:szCs w:val="18"/>
                <w:lang w:val="fr-CA"/>
              </w:rPr>
              <w:t>a) 1,500 ha</w:t>
            </w:r>
          </w:p>
          <w:p w14:paraId="09DF7E18" w14:textId="77777777" w:rsidR="00302BFE" w:rsidRPr="006E490C" w:rsidRDefault="00302BFE" w:rsidP="00243B15">
            <w:pPr>
              <w:jc w:val="left"/>
              <w:rPr>
                <w:bCs/>
                <w:sz w:val="18"/>
                <w:szCs w:val="18"/>
                <w:lang w:val="fr-CA"/>
              </w:rPr>
            </w:pPr>
            <w:r w:rsidRPr="006E490C">
              <w:rPr>
                <w:bCs/>
                <w:sz w:val="18"/>
                <w:szCs w:val="18"/>
                <w:lang w:val="fr-CA"/>
              </w:rPr>
              <w:t>b) 9,946 ha</w:t>
            </w:r>
          </w:p>
          <w:p w14:paraId="5DF5272C" w14:textId="77777777" w:rsidR="00302BFE" w:rsidRPr="006E490C" w:rsidRDefault="00302BFE" w:rsidP="00243B15">
            <w:pPr>
              <w:jc w:val="left"/>
              <w:rPr>
                <w:bCs/>
                <w:sz w:val="18"/>
                <w:szCs w:val="18"/>
                <w:lang w:val="fr-CA"/>
              </w:rPr>
            </w:pPr>
            <w:r w:rsidRPr="006E490C">
              <w:rPr>
                <w:bCs/>
                <w:sz w:val="18"/>
                <w:szCs w:val="18"/>
                <w:lang w:val="fr-CA"/>
              </w:rPr>
              <w:t>c) 13,221 ha</w:t>
            </w:r>
          </w:p>
          <w:p w14:paraId="20ECB5A0" w14:textId="77777777" w:rsidR="00302BFE" w:rsidRPr="006E490C" w:rsidRDefault="00302BFE" w:rsidP="00243B15">
            <w:pPr>
              <w:jc w:val="left"/>
              <w:rPr>
                <w:bCs/>
                <w:sz w:val="18"/>
                <w:szCs w:val="18"/>
                <w:lang w:val="fr-CA"/>
              </w:rPr>
            </w:pPr>
            <w:r w:rsidRPr="006E490C">
              <w:rPr>
                <w:bCs/>
                <w:sz w:val="18"/>
                <w:szCs w:val="18"/>
                <w:lang w:val="fr-CA"/>
              </w:rPr>
              <w:t>d) 18,492 ha</w:t>
            </w:r>
          </w:p>
          <w:p w14:paraId="34009185" w14:textId="77777777" w:rsidR="00302BFE" w:rsidRPr="006E490C" w:rsidRDefault="00302BFE" w:rsidP="00243B15">
            <w:pPr>
              <w:jc w:val="left"/>
              <w:rPr>
                <w:bCs/>
                <w:sz w:val="18"/>
                <w:szCs w:val="18"/>
                <w:lang w:val="fr-CA"/>
              </w:rPr>
            </w:pPr>
            <w:proofErr w:type="spellStart"/>
            <w:proofErr w:type="gramStart"/>
            <w:r w:rsidRPr="006E490C">
              <w:rPr>
                <w:bCs/>
                <w:sz w:val="18"/>
                <w:szCs w:val="18"/>
                <w:lang w:val="fr-CA"/>
              </w:rPr>
              <w:t>totaling</w:t>
            </w:r>
            <w:proofErr w:type="spellEnd"/>
            <w:proofErr w:type="gramEnd"/>
            <w:r w:rsidRPr="006E490C">
              <w:rPr>
                <w:bCs/>
                <w:sz w:val="18"/>
                <w:szCs w:val="18"/>
                <w:lang w:val="fr-CA"/>
              </w:rPr>
              <w:t xml:space="preserve"> 43,159 ha</w:t>
            </w:r>
          </w:p>
        </w:tc>
        <w:tc>
          <w:tcPr>
            <w:tcW w:w="1552" w:type="dxa"/>
            <w:vMerge w:val="restart"/>
            <w:tcBorders>
              <w:top w:val="single" w:sz="4" w:space="0" w:color="auto"/>
              <w:left w:val="single" w:sz="4" w:space="0" w:color="auto"/>
              <w:bottom w:val="single" w:sz="4" w:space="0" w:color="auto"/>
              <w:right w:val="single" w:sz="4" w:space="0" w:color="auto"/>
            </w:tcBorders>
          </w:tcPr>
          <w:p w14:paraId="14DB5F5B" w14:textId="77777777" w:rsidR="00302BFE" w:rsidRPr="006E490C" w:rsidRDefault="00302BFE" w:rsidP="00243B15">
            <w:pPr>
              <w:jc w:val="left"/>
              <w:rPr>
                <w:bCs/>
                <w:sz w:val="18"/>
                <w:szCs w:val="18"/>
                <w:lang w:val="en-CA"/>
              </w:rPr>
            </w:pPr>
            <w:r w:rsidRPr="006E490C">
              <w:rPr>
                <w:bCs/>
                <w:sz w:val="18"/>
                <w:szCs w:val="18"/>
                <w:lang w:val="en-CA"/>
              </w:rPr>
              <w:t>75% of the areas targeted for each land use category:</w:t>
            </w:r>
          </w:p>
          <w:p w14:paraId="3EE5D6D6" w14:textId="77777777" w:rsidR="00302BFE" w:rsidRPr="006E490C" w:rsidRDefault="00302BFE" w:rsidP="00243B15">
            <w:pPr>
              <w:jc w:val="left"/>
              <w:rPr>
                <w:bCs/>
                <w:sz w:val="18"/>
                <w:szCs w:val="18"/>
                <w:lang w:val="fr-CA"/>
              </w:rPr>
            </w:pPr>
            <w:r w:rsidRPr="006E490C">
              <w:rPr>
                <w:bCs/>
                <w:sz w:val="18"/>
                <w:szCs w:val="18"/>
                <w:lang w:val="fr-CA"/>
              </w:rPr>
              <w:t>a) 4,500 ha</w:t>
            </w:r>
          </w:p>
          <w:p w14:paraId="126FB31A" w14:textId="77777777" w:rsidR="00302BFE" w:rsidRPr="006E490C" w:rsidRDefault="00302BFE" w:rsidP="00243B15">
            <w:pPr>
              <w:jc w:val="left"/>
              <w:rPr>
                <w:bCs/>
                <w:sz w:val="18"/>
                <w:szCs w:val="18"/>
                <w:lang w:val="fr-CA"/>
              </w:rPr>
            </w:pPr>
            <w:r w:rsidRPr="006E490C">
              <w:rPr>
                <w:bCs/>
                <w:sz w:val="18"/>
                <w:szCs w:val="18"/>
                <w:lang w:val="fr-CA"/>
              </w:rPr>
              <w:t>b) 29,837 ha</w:t>
            </w:r>
          </w:p>
          <w:p w14:paraId="62369A60" w14:textId="77777777" w:rsidR="00302BFE" w:rsidRPr="006E490C" w:rsidRDefault="00302BFE" w:rsidP="00243B15">
            <w:pPr>
              <w:jc w:val="left"/>
              <w:rPr>
                <w:bCs/>
                <w:sz w:val="18"/>
                <w:szCs w:val="18"/>
                <w:lang w:val="fr-CA"/>
              </w:rPr>
            </w:pPr>
            <w:r w:rsidRPr="006E490C">
              <w:rPr>
                <w:bCs/>
                <w:sz w:val="18"/>
                <w:szCs w:val="18"/>
                <w:lang w:val="fr-CA"/>
              </w:rPr>
              <w:t>c) 39,664 ha</w:t>
            </w:r>
          </w:p>
          <w:p w14:paraId="63CD3BF9" w14:textId="77777777" w:rsidR="00302BFE" w:rsidRPr="006E490C" w:rsidRDefault="00302BFE" w:rsidP="00243B15">
            <w:pPr>
              <w:jc w:val="left"/>
              <w:rPr>
                <w:bCs/>
                <w:sz w:val="18"/>
                <w:szCs w:val="18"/>
                <w:lang w:val="fr-CA"/>
              </w:rPr>
            </w:pPr>
            <w:r w:rsidRPr="006E490C">
              <w:rPr>
                <w:bCs/>
                <w:sz w:val="18"/>
                <w:szCs w:val="18"/>
                <w:lang w:val="fr-CA"/>
              </w:rPr>
              <w:t>d) 55,477 ha</w:t>
            </w:r>
          </w:p>
          <w:p w14:paraId="5382BD43" w14:textId="77777777" w:rsidR="00302BFE" w:rsidRPr="006E490C" w:rsidRDefault="00302BFE" w:rsidP="00243B15">
            <w:pPr>
              <w:jc w:val="left"/>
              <w:rPr>
                <w:bCs/>
                <w:sz w:val="18"/>
                <w:szCs w:val="18"/>
                <w:lang w:val="fr-CA"/>
              </w:rPr>
            </w:pPr>
            <w:proofErr w:type="spellStart"/>
            <w:proofErr w:type="gramStart"/>
            <w:r w:rsidRPr="006E490C">
              <w:rPr>
                <w:bCs/>
                <w:sz w:val="18"/>
                <w:szCs w:val="18"/>
                <w:lang w:val="fr-CA"/>
              </w:rPr>
              <w:t>totaling</w:t>
            </w:r>
            <w:proofErr w:type="spellEnd"/>
            <w:proofErr w:type="gramEnd"/>
            <w:r w:rsidRPr="006E490C">
              <w:rPr>
                <w:bCs/>
                <w:sz w:val="18"/>
                <w:szCs w:val="18"/>
                <w:lang w:val="fr-CA"/>
              </w:rPr>
              <w:t xml:space="preserve"> 129,478 ha</w:t>
            </w:r>
          </w:p>
        </w:tc>
        <w:tc>
          <w:tcPr>
            <w:tcW w:w="4712" w:type="dxa"/>
            <w:tcBorders>
              <w:top w:val="single" w:sz="4" w:space="0" w:color="auto"/>
              <w:left w:val="single" w:sz="4" w:space="0" w:color="auto"/>
              <w:bottom w:val="single" w:sz="4" w:space="0" w:color="auto"/>
              <w:right w:val="single" w:sz="4" w:space="0" w:color="auto"/>
            </w:tcBorders>
            <w:hideMark/>
          </w:tcPr>
          <w:p w14:paraId="59A38C34" w14:textId="77777777" w:rsidR="00302BFE" w:rsidRPr="006E490C" w:rsidRDefault="00302BFE" w:rsidP="00243B15">
            <w:pPr>
              <w:jc w:val="left"/>
              <w:rPr>
                <w:bCs/>
                <w:i/>
                <w:sz w:val="18"/>
                <w:szCs w:val="18"/>
                <w:lang w:val="en-CA"/>
              </w:rPr>
            </w:pPr>
            <w:r w:rsidRPr="006E490C">
              <w:rPr>
                <w:bCs/>
                <w:i/>
                <w:sz w:val="18"/>
                <w:szCs w:val="18"/>
                <w:lang w:val="en-CA"/>
              </w:rPr>
              <w:t>Data collection source / method</w:t>
            </w:r>
          </w:p>
          <w:p w14:paraId="72469110" w14:textId="77777777" w:rsidR="00302BFE" w:rsidRPr="006E490C" w:rsidRDefault="00302BFE" w:rsidP="00243B15">
            <w:pPr>
              <w:jc w:val="left"/>
              <w:rPr>
                <w:sz w:val="18"/>
                <w:szCs w:val="18"/>
                <w:lang w:val="en-CA"/>
              </w:rPr>
            </w:pPr>
            <w:r w:rsidRPr="006E490C">
              <w:rPr>
                <w:sz w:val="18"/>
                <w:szCs w:val="18"/>
                <w:lang w:val="en-CA"/>
              </w:rPr>
              <w:t>Annual reports of the co-governance system</w:t>
            </w:r>
          </w:p>
        </w:tc>
      </w:tr>
      <w:tr w:rsidR="00302BFE" w:rsidRPr="006E490C" w14:paraId="33F4CFFE" w14:textId="77777777" w:rsidTr="00243B15">
        <w:tc>
          <w:tcPr>
            <w:tcW w:w="2006" w:type="dxa"/>
            <w:vMerge/>
            <w:tcBorders>
              <w:left w:val="single" w:sz="4" w:space="0" w:color="auto"/>
              <w:right w:val="single" w:sz="4" w:space="0" w:color="auto"/>
            </w:tcBorders>
            <w:vAlign w:val="center"/>
            <w:hideMark/>
          </w:tcPr>
          <w:p w14:paraId="36B4DADD" w14:textId="77777777" w:rsidR="00302BFE" w:rsidRPr="006E490C" w:rsidRDefault="00302BFE" w:rsidP="00243B15">
            <w:pPr>
              <w:spacing w:after="0"/>
              <w:jc w:val="left"/>
              <w:rPr>
                <w:rFonts w:ascii="Times New Roman" w:hAnsi="Times New Roman"/>
                <w:b/>
                <w:bCs/>
                <w:sz w:val="18"/>
                <w:szCs w:val="18"/>
                <w:lang w:val="en-CA"/>
              </w:rPr>
            </w:pPr>
          </w:p>
        </w:tc>
        <w:tc>
          <w:tcPr>
            <w:tcW w:w="3016" w:type="dxa"/>
            <w:vMerge/>
            <w:tcBorders>
              <w:top w:val="single" w:sz="4" w:space="0" w:color="auto"/>
              <w:left w:val="single" w:sz="4" w:space="0" w:color="auto"/>
              <w:bottom w:val="single" w:sz="4" w:space="0" w:color="auto"/>
              <w:right w:val="single" w:sz="4" w:space="0" w:color="auto"/>
            </w:tcBorders>
            <w:vAlign w:val="center"/>
            <w:hideMark/>
          </w:tcPr>
          <w:p w14:paraId="533D2374"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6B860ACE"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10596FBC"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52202C2E" w14:textId="77777777" w:rsidR="00302BFE" w:rsidRPr="006E490C" w:rsidRDefault="00302BFE" w:rsidP="00243B15">
            <w:pPr>
              <w:spacing w:after="0"/>
              <w:jc w:val="left"/>
              <w:rPr>
                <w:bCs/>
                <w:i/>
                <w:sz w:val="18"/>
                <w:szCs w:val="18"/>
                <w:lang w:val="en-CA"/>
              </w:rPr>
            </w:pPr>
          </w:p>
        </w:tc>
        <w:tc>
          <w:tcPr>
            <w:tcW w:w="4712" w:type="dxa"/>
            <w:tcBorders>
              <w:top w:val="single" w:sz="4" w:space="0" w:color="auto"/>
              <w:left w:val="single" w:sz="4" w:space="0" w:color="auto"/>
              <w:bottom w:val="single" w:sz="4" w:space="0" w:color="auto"/>
              <w:right w:val="single" w:sz="4" w:space="0" w:color="auto"/>
            </w:tcBorders>
          </w:tcPr>
          <w:p w14:paraId="374BB2FC" w14:textId="77777777" w:rsidR="00302BFE" w:rsidRPr="006E490C" w:rsidRDefault="00302BFE" w:rsidP="00243B15">
            <w:pPr>
              <w:jc w:val="left"/>
              <w:rPr>
                <w:sz w:val="18"/>
                <w:szCs w:val="18"/>
                <w:lang w:val="en-CA"/>
              </w:rPr>
            </w:pPr>
            <w:r w:rsidRPr="006E490C">
              <w:rPr>
                <w:i/>
                <w:sz w:val="18"/>
                <w:szCs w:val="18"/>
                <w:lang w:val="en-CA"/>
              </w:rPr>
              <w:t>Risks</w:t>
            </w:r>
            <w:r w:rsidRPr="006E490C">
              <w:rPr>
                <w:sz w:val="18"/>
                <w:szCs w:val="18"/>
                <w:lang w:val="en-CA"/>
              </w:rPr>
              <w:t>:</w:t>
            </w:r>
          </w:p>
          <w:p w14:paraId="6E1E31F4" w14:textId="77777777" w:rsidR="00302BFE" w:rsidRPr="006E490C" w:rsidRDefault="00302BFE" w:rsidP="00243B15">
            <w:pPr>
              <w:jc w:val="left"/>
              <w:rPr>
                <w:sz w:val="18"/>
                <w:szCs w:val="18"/>
                <w:lang w:val="en-CA"/>
              </w:rPr>
            </w:pPr>
            <w:r w:rsidRPr="006E490C">
              <w:rPr>
                <w:sz w:val="18"/>
                <w:szCs w:val="18"/>
                <w:lang w:val="en-CA"/>
              </w:rPr>
              <w:t>Lack of stakeholder buy-in to the measures prescribed in the Landscape Management Master Plan</w:t>
            </w:r>
          </w:p>
          <w:p w14:paraId="176F57A0" w14:textId="77777777" w:rsidR="00302BFE" w:rsidRPr="006E490C" w:rsidRDefault="00302BFE" w:rsidP="00243B15">
            <w:pPr>
              <w:jc w:val="left"/>
              <w:rPr>
                <w:sz w:val="18"/>
                <w:szCs w:val="18"/>
                <w:lang w:val="en-CA"/>
              </w:rPr>
            </w:pPr>
            <w:r w:rsidRPr="006E490C">
              <w:rPr>
                <w:i/>
                <w:sz w:val="18"/>
                <w:szCs w:val="18"/>
                <w:lang w:val="en-CA"/>
              </w:rPr>
              <w:t>Assumptions</w:t>
            </w:r>
            <w:r w:rsidRPr="006E490C">
              <w:rPr>
                <w:sz w:val="18"/>
                <w:szCs w:val="18"/>
                <w:lang w:val="en-CA"/>
              </w:rPr>
              <w:t>:</w:t>
            </w:r>
          </w:p>
          <w:p w14:paraId="258163E0" w14:textId="77777777" w:rsidR="00302BFE" w:rsidRPr="006E490C" w:rsidRDefault="00302BFE" w:rsidP="00243B15">
            <w:pPr>
              <w:jc w:val="left"/>
              <w:rPr>
                <w:sz w:val="18"/>
                <w:szCs w:val="18"/>
                <w:lang w:val="en-CA"/>
              </w:rPr>
            </w:pPr>
            <w:r w:rsidRPr="006E490C">
              <w:rPr>
                <w:sz w:val="18"/>
                <w:szCs w:val="18"/>
                <w:lang w:val="en-CA"/>
              </w:rPr>
              <w:t xml:space="preserve">Effective mobilization of co-financing to ensure the implementation of the master landscape management plan </w:t>
            </w:r>
          </w:p>
          <w:p w14:paraId="6FE15E8A" w14:textId="77777777" w:rsidR="00302BFE" w:rsidRPr="006E490C" w:rsidRDefault="00302BFE" w:rsidP="00243B15">
            <w:pPr>
              <w:jc w:val="left"/>
              <w:rPr>
                <w:sz w:val="18"/>
                <w:szCs w:val="18"/>
                <w:lang w:val="en-CA"/>
              </w:rPr>
            </w:pPr>
            <w:r w:rsidRPr="006E490C">
              <w:rPr>
                <w:sz w:val="18"/>
                <w:szCs w:val="18"/>
                <w:lang w:val="en-CA"/>
              </w:rPr>
              <w:t>Men and women stakeholders’ willingness to adapt their practices and to adopt improved and more sustainable production schemes</w:t>
            </w:r>
          </w:p>
        </w:tc>
      </w:tr>
      <w:tr w:rsidR="00302BFE" w:rsidRPr="006E490C" w14:paraId="78F4ABC1" w14:textId="77777777" w:rsidTr="00243B15">
        <w:tc>
          <w:tcPr>
            <w:tcW w:w="2006" w:type="dxa"/>
            <w:vMerge/>
            <w:tcBorders>
              <w:left w:val="single" w:sz="4" w:space="0" w:color="auto"/>
              <w:right w:val="single" w:sz="4" w:space="0" w:color="auto"/>
            </w:tcBorders>
            <w:vAlign w:val="center"/>
            <w:hideMark/>
          </w:tcPr>
          <w:p w14:paraId="51DC007D" w14:textId="77777777" w:rsidR="00302BFE" w:rsidRPr="006E490C" w:rsidRDefault="00302BFE" w:rsidP="00243B15">
            <w:pPr>
              <w:spacing w:after="0"/>
              <w:jc w:val="left"/>
              <w:rPr>
                <w:rFonts w:ascii="Times New Roman" w:hAnsi="Times New Roman"/>
                <w:b/>
                <w:bCs/>
                <w:sz w:val="18"/>
                <w:szCs w:val="18"/>
                <w:lang w:val="en-CA"/>
              </w:rPr>
            </w:pPr>
          </w:p>
        </w:tc>
        <w:tc>
          <w:tcPr>
            <w:tcW w:w="3016" w:type="dxa"/>
            <w:vMerge w:val="restart"/>
            <w:tcBorders>
              <w:top w:val="single" w:sz="4" w:space="0" w:color="auto"/>
              <w:left w:val="single" w:sz="4" w:space="0" w:color="auto"/>
              <w:bottom w:val="single" w:sz="4" w:space="0" w:color="auto"/>
              <w:right w:val="single" w:sz="4" w:space="0" w:color="auto"/>
            </w:tcBorders>
            <w:hideMark/>
          </w:tcPr>
          <w:p w14:paraId="000BA49D" w14:textId="77777777" w:rsidR="00302BFE" w:rsidRPr="006E490C" w:rsidRDefault="00302BFE" w:rsidP="00243B15">
            <w:pPr>
              <w:rPr>
                <w:bCs/>
                <w:i/>
                <w:sz w:val="18"/>
                <w:szCs w:val="18"/>
                <w:u w:val="single"/>
                <w:lang w:val="en-CA"/>
              </w:rPr>
            </w:pPr>
            <w:r w:rsidRPr="006E490C">
              <w:rPr>
                <w:bCs/>
                <w:i/>
                <w:sz w:val="18"/>
                <w:szCs w:val="18"/>
                <w:u w:val="single"/>
                <w:lang w:val="en-CA"/>
              </w:rPr>
              <w:t>Indicator 12:</w:t>
            </w:r>
          </w:p>
          <w:p w14:paraId="59B6CF69" w14:textId="77777777" w:rsidR="00302BFE" w:rsidRPr="006E490C" w:rsidRDefault="00302BFE" w:rsidP="00DC7D98">
            <w:pPr>
              <w:jc w:val="left"/>
              <w:rPr>
                <w:rFonts w:eastAsia="Calibri"/>
                <w:sz w:val="18"/>
                <w:szCs w:val="18"/>
                <w:lang w:val="en-CA"/>
              </w:rPr>
            </w:pPr>
            <w:r w:rsidRPr="006E490C">
              <w:rPr>
                <w:rFonts w:eastAsia="Calibri"/>
                <w:sz w:val="18"/>
                <w:szCs w:val="18"/>
                <w:lang w:val="en-CA"/>
              </w:rPr>
              <w:t>Average annual individual income in local communities and number of direct beneficiaries (disaggregated by sex) from employment in NTFP and tourism value chains</w:t>
            </w:r>
          </w:p>
          <w:p w14:paraId="553FC7B6" w14:textId="77777777" w:rsidR="00302BFE" w:rsidRPr="006E490C" w:rsidRDefault="00302BFE" w:rsidP="00DC7D98">
            <w:pPr>
              <w:jc w:val="left"/>
              <w:rPr>
                <w:rFonts w:eastAsia="Calibri"/>
                <w:sz w:val="18"/>
                <w:szCs w:val="18"/>
                <w:lang w:val="en-CA"/>
              </w:rPr>
            </w:pPr>
            <w:r w:rsidRPr="006E490C">
              <w:rPr>
                <w:rFonts w:eastAsia="Calibri"/>
                <w:sz w:val="18"/>
                <w:szCs w:val="18"/>
                <w:lang w:val="en-CA"/>
              </w:rPr>
              <w:t>a. from tourism related to protected areas</w:t>
            </w:r>
          </w:p>
          <w:p w14:paraId="0ADD6D0F" w14:textId="77777777" w:rsidR="00302BFE" w:rsidRPr="006E490C" w:rsidRDefault="00302BFE" w:rsidP="00DC7D98">
            <w:pPr>
              <w:jc w:val="left"/>
              <w:rPr>
                <w:rFonts w:eastAsia="Calibri"/>
                <w:sz w:val="18"/>
                <w:szCs w:val="18"/>
                <w:lang w:val="en-CA"/>
              </w:rPr>
            </w:pPr>
            <w:r w:rsidRPr="006E490C">
              <w:rPr>
                <w:rFonts w:eastAsia="Calibri"/>
                <w:sz w:val="18"/>
                <w:szCs w:val="18"/>
                <w:lang w:val="en-CA"/>
              </w:rPr>
              <w:t xml:space="preserve">b. from the shea, </w:t>
            </w:r>
            <w:proofErr w:type="spellStart"/>
            <w:r w:rsidRPr="006E490C">
              <w:rPr>
                <w:rFonts w:eastAsia="Calibri"/>
                <w:sz w:val="18"/>
                <w:szCs w:val="18"/>
                <w:lang w:val="en-CA"/>
              </w:rPr>
              <w:t>liane</w:t>
            </w:r>
            <w:proofErr w:type="spellEnd"/>
            <w:r w:rsidRPr="006E490C">
              <w:rPr>
                <w:rFonts w:eastAsia="Calibri"/>
                <w:sz w:val="18"/>
                <w:szCs w:val="18"/>
                <w:lang w:val="en-CA"/>
              </w:rPr>
              <w:t xml:space="preserve"> </w:t>
            </w:r>
            <w:proofErr w:type="spellStart"/>
            <w:r w:rsidRPr="006E490C">
              <w:rPr>
                <w:rFonts w:eastAsia="Calibri"/>
                <w:sz w:val="18"/>
                <w:szCs w:val="18"/>
                <w:lang w:val="en-CA"/>
              </w:rPr>
              <w:t>goïne</w:t>
            </w:r>
            <w:proofErr w:type="spellEnd"/>
            <w:r w:rsidRPr="006E490C">
              <w:rPr>
                <w:rFonts w:eastAsia="Calibri"/>
                <w:sz w:val="18"/>
                <w:szCs w:val="18"/>
                <w:lang w:val="en-CA"/>
              </w:rPr>
              <w:t xml:space="preserve"> and honey value chains</w:t>
            </w:r>
          </w:p>
        </w:tc>
        <w:tc>
          <w:tcPr>
            <w:tcW w:w="1552" w:type="dxa"/>
            <w:vMerge w:val="restart"/>
            <w:tcBorders>
              <w:top w:val="single" w:sz="4" w:space="0" w:color="auto"/>
              <w:left w:val="single" w:sz="4" w:space="0" w:color="auto"/>
              <w:bottom w:val="single" w:sz="4" w:space="0" w:color="auto"/>
              <w:right w:val="single" w:sz="4" w:space="0" w:color="auto"/>
            </w:tcBorders>
          </w:tcPr>
          <w:p w14:paraId="6BAD870D" w14:textId="77777777" w:rsidR="00302BFE" w:rsidRPr="006E490C" w:rsidRDefault="00302BFE" w:rsidP="00243B15">
            <w:pPr>
              <w:jc w:val="left"/>
              <w:rPr>
                <w:bCs/>
                <w:sz w:val="18"/>
                <w:szCs w:val="18"/>
                <w:lang w:val="en-CA"/>
              </w:rPr>
            </w:pPr>
            <w:r w:rsidRPr="006E490C">
              <w:rPr>
                <w:bCs/>
                <w:sz w:val="18"/>
                <w:szCs w:val="18"/>
                <w:lang w:val="en-CA"/>
              </w:rPr>
              <w:t>a) Reference situation on income and number of direct beneficiaries to be determined in the first year of the project</w:t>
            </w:r>
          </w:p>
          <w:p w14:paraId="7B22FD2C" w14:textId="77777777" w:rsidR="00302BFE" w:rsidRPr="006E490C" w:rsidRDefault="00302BFE" w:rsidP="00243B15">
            <w:pPr>
              <w:jc w:val="left"/>
              <w:rPr>
                <w:bCs/>
                <w:sz w:val="18"/>
                <w:szCs w:val="18"/>
                <w:lang w:val="en-CA"/>
              </w:rPr>
            </w:pPr>
            <w:r w:rsidRPr="006E490C">
              <w:rPr>
                <w:bCs/>
                <w:sz w:val="18"/>
                <w:szCs w:val="18"/>
                <w:lang w:val="en-CA"/>
              </w:rPr>
              <w:t>b) Reference situation on income and number of direct beneficiaries to be determined in the first year of the project</w:t>
            </w:r>
          </w:p>
        </w:tc>
        <w:tc>
          <w:tcPr>
            <w:tcW w:w="1552" w:type="dxa"/>
            <w:vMerge w:val="restart"/>
            <w:tcBorders>
              <w:top w:val="single" w:sz="4" w:space="0" w:color="auto"/>
              <w:left w:val="single" w:sz="4" w:space="0" w:color="auto"/>
              <w:bottom w:val="single" w:sz="4" w:space="0" w:color="auto"/>
              <w:right w:val="single" w:sz="4" w:space="0" w:color="auto"/>
            </w:tcBorders>
          </w:tcPr>
          <w:p w14:paraId="08578024" w14:textId="77777777" w:rsidR="00302BFE" w:rsidRPr="006E490C" w:rsidRDefault="00302BFE" w:rsidP="00243B15">
            <w:pPr>
              <w:jc w:val="left"/>
              <w:rPr>
                <w:bCs/>
                <w:sz w:val="18"/>
                <w:szCs w:val="18"/>
                <w:lang w:val="en-CA"/>
              </w:rPr>
            </w:pPr>
            <w:r w:rsidRPr="006E490C">
              <w:rPr>
                <w:bCs/>
                <w:sz w:val="18"/>
                <w:szCs w:val="18"/>
                <w:lang w:val="en-CA"/>
              </w:rPr>
              <w:t>a) No significant change expected mid-term (training stage)</w:t>
            </w:r>
          </w:p>
          <w:p w14:paraId="1FDBA1FF" w14:textId="77777777" w:rsidR="00302BFE" w:rsidRPr="006E490C" w:rsidRDefault="00302BFE" w:rsidP="00243B15">
            <w:pPr>
              <w:jc w:val="left"/>
              <w:rPr>
                <w:bCs/>
                <w:sz w:val="18"/>
                <w:szCs w:val="18"/>
                <w:lang w:val="en-CA"/>
              </w:rPr>
            </w:pPr>
            <w:r w:rsidRPr="006E490C">
              <w:rPr>
                <w:bCs/>
                <w:sz w:val="18"/>
                <w:szCs w:val="18"/>
                <w:lang w:val="en-CA"/>
              </w:rPr>
              <w:t>b) No significant change expected mid-term (training stage)</w:t>
            </w:r>
          </w:p>
        </w:tc>
        <w:tc>
          <w:tcPr>
            <w:tcW w:w="1552" w:type="dxa"/>
            <w:vMerge w:val="restart"/>
            <w:tcBorders>
              <w:top w:val="single" w:sz="4" w:space="0" w:color="auto"/>
              <w:left w:val="single" w:sz="4" w:space="0" w:color="auto"/>
              <w:bottom w:val="single" w:sz="4" w:space="0" w:color="auto"/>
              <w:right w:val="single" w:sz="4" w:space="0" w:color="auto"/>
            </w:tcBorders>
          </w:tcPr>
          <w:p w14:paraId="47E280F6" w14:textId="77777777" w:rsidR="00302BFE" w:rsidRPr="006E490C" w:rsidRDefault="00302BFE" w:rsidP="00243B15">
            <w:pPr>
              <w:jc w:val="left"/>
              <w:rPr>
                <w:bCs/>
                <w:sz w:val="18"/>
                <w:szCs w:val="18"/>
                <w:lang w:val="en-CA"/>
              </w:rPr>
            </w:pPr>
            <w:r w:rsidRPr="006E490C">
              <w:rPr>
                <w:bCs/>
                <w:sz w:val="18"/>
                <w:szCs w:val="18"/>
                <w:lang w:val="en-CA"/>
              </w:rPr>
              <w:t>a) Revenues increased by 30% for 200 direct beneficiaries of tourism small enterprises (60 men - 140 women)</w:t>
            </w:r>
          </w:p>
          <w:p w14:paraId="577A4897" w14:textId="77777777" w:rsidR="00302BFE" w:rsidRPr="006E490C" w:rsidRDefault="00302BFE" w:rsidP="00243B15">
            <w:pPr>
              <w:spacing w:after="0"/>
              <w:jc w:val="left"/>
              <w:rPr>
                <w:bCs/>
                <w:sz w:val="18"/>
                <w:szCs w:val="18"/>
                <w:lang w:val="en-CA"/>
              </w:rPr>
            </w:pPr>
            <w:r w:rsidRPr="006E490C">
              <w:rPr>
                <w:bCs/>
                <w:sz w:val="18"/>
                <w:szCs w:val="18"/>
                <w:lang w:val="en-CA"/>
              </w:rPr>
              <w:t>b) Increased income for 820 direct beneficiaries (200 men, 620 women) of NTFP value chains, including:</w:t>
            </w:r>
          </w:p>
          <w:p w14:paraId="093F9FED" w14:textId="77777777" w:rsidR="00302BFE" w:rsidRPr="006E490C" w:rsidRDefault="00302BFE" w:rsidP="00243B15">
            <w:pPr>
              <w:spacing w:after="0"/>
              <w:jc w:val="left"/>
              <w:rPr>
                <w:bCs/>
                <w:sz w:val="18"/>
                <w:szCs w:val="18"/>
                <w:lang w:val="en-CA"/>
              </w:rPr>
            </w:pPr>
            <w:r w:rsidRPr="006E490C">
              <w:rPr>
                <w:bCs/>
                <w:sz w:val="18"/>
                <w:szCs w:val="18"/>
                <w:lang w:val="en-CA"/>
              </w:rPr>
              <w:t>- shea value chain: revenues increased by 20% for 300 women</w:t>
            </w:r>
          </w:p>
          <w:p w14:paraId="68E6FD1E" w14:textId="77777777" w:rsidR="00302BFE" w:rsidRPr="006E490C" w:rsidRDefault="00302BFE" w:rsidP="00243B15">
            <w:pPr>
              <w:spacing w:after="0"/>
              <w:jc w:val="left"/>
              <w:rPr>
                <w:bCs/>
                <w:sz w:val="18"/>
                <w:szCs w:val="18"/>
                <w:lang w:val="en-CA"/>
              </w:rPr>
            </w:pPr>
            <w:r w:rsidRPr="006E490C">
              <w:rPr>
                <w:bCs/>
                <w:sz w:val="18"/>
                <w:szCs w:val="18"/>
                <w:lang w:val="en-CA"/>
              </w:rPr>
              <w:t xml:space="preserve">- </w:t>
            </w:r>
            <w:proofErr w:type="spellStart"/>
            <w:r w:rsidRPr="006E490C">
              <w:rPr>
                <w:bCs/>
                <w:sz w:val="18"/>
                <w:szCs w:val="18"/>
                <w:lang w:val="en-CA"/>
              </w:rPr>
              <w:t>liane</w:t>
            </w:r>
            <w:proofErr w:type="spellEnd"/>
            <w:r w:rsidRPr="006E490C">
              <w:rPr>
                <w:bCs/>
                <w:sz w:val="18"/>
                <w:szCs w:val="18"/>
                <w:lang w:val="en-CA"/>
              </w:rPr>
              <w:t xml:space="preserve"> </w:t>
            </w:r>
            <w:proofErr w:type="spellStart"/>
            <w:r w:rsidRPr="006E490C">
              <w:rPr>
                <w:bCs/>
                <w:sz w:val="18"/>
                <w:szCs w:val="18"/>
                <w:lang w:val="en-CA"/>
              </w:rPr>
              <w:t>goine</w:t>
            </w:r>
            <w:proofErr w:type="spellEnd"/>
            <w:r w:rsidRPr="006E490C">
              <w:rPr>
                <w:bCs/>
                <w:sz w:val="18"/>
                <w:szCs w:val="18"/>
                <w:lang w:val="en-CA"/>
              </w:rPr>
              <w:t xml:space="preserve"> value chain: increased revenues by 50% for 120 women </w:t>
            </w:r>
          </w:p>
          <w:p w14:paraId="008966AE" w14:textId="77777777" w:rsidR="00302BFE" w:rsidRPr="006E490C" w:rsidRDefault="00302BFE" w:rsidP="00243B15">
            <w:pPr>
              <w:jc w:val="left"/>
              <w:rPr>
                <w:bCs/>
                <w:sz w:val="18"/>
                <w:szCs w:val="18"/>
                <w:lang w:val="en-CA"/>
              </w:rPr>
            </w:pPr>
            <w:r w:rsidRPr="006E490C">
              <w:rPr>
                <w:bCs/>
                <w:sz w:val="18"/>
                <w:szCs w:val="18"/>
                <w:lang w:val="en-CA"/>
              </w:rPr>
              <w:t>- honey value chain: increased revenues by 20% for 200 men and 200 women</w:t>
            </w:r>
          </w:p>
        </w:tc>
        <w:tc>
          <w:tcPr>
            <w:tcW w:w="4712" w:type="dxa"/>
            <w:tcBorders>
              <w:top w:val="single" w:sz="4" w:space="0" w:color="auto"/>
              <w:left w:val="single" w:sz="4" w:space="0" w:color="auto"/>
              <w:bottom w:val="single" w:sz="4" w:space="0" w:color="auto"/>
              <w:right w:val="single" w:sz="4" w:space="0" w:color="auto"/>
            </w:tcBorders>
            <w:hideMark/>
          </w:tcPr>
          <w:p w14:paraId="3234E193" w14:textId="77777777" w:rsidR="00302BFE" w:rsidRPr="006E490C" w:rsidRDefault="00302BFE" w:rsidP="00243B15">
            <w:pPr>
              <w:jc w:val="left"/>
              <w:rPr>
                <w:bCs/>
                <w:i/>
                <w:sz w:val="18"/>
                <w:szCs w:val="18"/>
                <w:lang w:val="en-CA"/>
              </w:rPr>
            </w:pPr>
            <w:r w:rsidRPr="006E490C">
              <w:rPr>
                <w:bCs/>
                <w:i/>
                <w:sz w:val="18"/>
                <w:szCs w:val="18"/>
                <w:lang w:val="en-CA"/>
              </w:rPr>
              <w:t>Data collection source / method</w:t>
            </w:r>
          </w:p>
          <w:p w14:paraId="31BE9F5E" w14:textId="77777777" w:rsidR="00302BFE" w:rsidRPr="006E490C" w:rsidRDefault="00302BFE" w:rsidP="00243B15">
            <w:pPr>
              <w:jc w:val="left"/>
              <w:rPr>
                <w:sz w:val="18"/>
                <w:szCs w:val="18"/>
                <w:lang w:val="en-CA"/>
              </w:rPr>
            </w:pPr>
            <w:r w:rsidRPr="006E490C">
              <w:rPr>
                <w:sz w:val="18"/>
                <w:szCs w:val="18"/>
                <w:lang w:val="en-CA"/>
              </w:rPr>
              <w:t>Participatory surveys on household income in intervention sites conducted in the first year and at end of project</w:t>
            </w:r>
          </w:p>
        </w:tc>
      </w:tr>
      <w:tr w:rsidR="00302BFE" w:rsidRPr="006E490C" w14:paraId="2B44481D" w14:textId="77777777" w:rsidTr="00243B15">
        <w:tc>
          <w:tcPr>
            <w:tcW w:w="2006" w:type="dxa"/>
            <w:vMerge/>
            <w:tcBorders>
              <w:left w:val="single" w:sz="4" w:space="0" w:color="auto"/>
              <w:right w:val="single" w:sz="4" w:space="0" w:color="auto"/>
            </w:tcBorders>
            <w:vAlign w:val="center"/>
            <w:hideMark/>
          </w:tcPr>
          <w:p w14:paraId="5D6E020F" w14:textId="77777777" w:rsidR="00302BFE" w:rsidRPr="006E490C" w:rsidRDefault="00302BFE" w:rsidP="00243B15">
            <w:pPr>
              <w:spacing w:after="0"/>
              <w:jc w:val="left"/>
              <w:rPr>
                <w:rFonts w:ascii="Times New Roman" w:hAnsi="Times New Roman"/>
                <w:b/>
                <w:bCs/>
                <w:sz w:val="18"/>
                <w:szCs w:val="18"/>
                <w:lang w:val="en-CA"/>
              </w:rPr>
            </w:pPr>
          </w:p>
        </w:tc>
        <w:tc>
          <w:tcPr>
            <w:tcW w:w="3016" w:type="dxa"/>
            <w:vMerge/>
            <w:tcBorders>
              <w:top w:val="single" w:sz="4" w:space="0" w:color="auto"/>
              <w:left w:val="single" w:sz="4" w:space="0" w:color="auto"/>
              <w:bottom w:val="single" w:sz="4" w:space="0" w:color="auto"/>
              <w:right w:val="single" w:sz="4" w:space="0" w:color="auto"/>
            </w:tcBorders>
            <w:vAlign w:val="center"/>
            <w:hideMark/>
          </w:tcPr>
          <w:p w14:paraId="6051F41B"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430E96E9"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21C04017"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676764DB" w14:textId="77777777" w:rsidR="00302BFE" w:rsidRPr="006E490C" w:rsidRDefault="00302BFE" w:rsidP="00243B15">
            <w:pPr>
              <w:spacing w:after="0"/>
              <w:jc w:val="left"/>
              <w:rPr>
                <w:bCs/>
                <w:i/>
                <w:sz w:val="18"/>
                <w:szCs w:val="18"/>
                <w:lang w:val="en-CA"/>
              </w:rPr>
            </w:pPr>
          </w:p>
        </w:tc>
        <w:tc>
          <w:tcPr>
            <w:tcW w:w="4712" w:type="dxa"/>
            <w:tcBorders>
              <w:top w:val="single" w:sz="4" w:space="0" w:color="auto"/>
              <w:left w:val="single" w:sz="4" w:space="0" w:color="auto"/>
              <w:bottom w:val="single" w:sz="4" w:space="0" w:color="auto"/>
              <w:right w:val="single" w:sz="4" w:space="0" w:color="auto"/>
            </w:tcBorders>
          </w:tcPr>
          <w:p w14:paraId="04950FBC" w14:textId="77777777" w:rsidR="00302BFE" w:rsidRPr="006E490C" w:rsidRDefault="00302BFE" w:rsidP="00243B15">
            <w:pPr>
              <w:jc w:val="left"/>
              <w:rPr>
                <w:sz w:val="18"/>
                <w:szCs w:val="18"/>
                <w:lang w:val="en-CA"/>
              </w:rPr>
            </w:pPr>
            <w:r w:rsidRPr="006E490C">
              <w:rPr>
                <w:i/>
                <w:sz w:val="18"/>
                <w:szCs w:val="18"/>
                <w:lang w:val="en-CA"/>
              </w:rPr>
              <w:t>Risks</w:t>
            </w:r>
            <w:r w:rsidRPr="006E490C">
              <w:rPr>
                <w:sz w:val="18"/>
                <w:szCs w:val="18"/>
                <w:lang w:val="en-CA"/>
              </w:rPr>
              <w:t>:</w:t>
            </w:r>
          </w:p>
          <w:p w14:paraId="65896188" w14:textId="77777777" w:rsidR="00302BFE" w:rsidRPr="006E490C" w:rsidRDefault="00302BFE" w:rsidP="00243B15">
            <w:pPr>
              <w:jc w:val="left"/>
              <w:rPr>
                <w:sz w:val="18"/>
                <w:szCs w:val="18"/>
                <w:lang w:val="en-CA"/>
              </w:rPr>
            </w:pPr>
            <w:r w:rsidRPr="006E490C">
              <w:rPr>
                <w:sz w:val="18"/>
                <w:szCs w:val="18"/>
                <w:lang w:val="en-CA"/>
              </w:rPr>
              <w:t>Falling market prices for products developed by the value chains</w:t>
            </w:r>
          </w:p>
          <w:p w14:paraId="626F8E1F" w14:textId="77777777" w:rsidR="00302BFE" w:rsidRPr="006E490C" w:rsidRDefault="00302BFE" w:rsidP="00243B15">
            <w:pPr>
              <w:jc w:val="left"/>
              <w:rPr>
                <w:sz w:val="18"/>
                <w:szCs w:val="18"/>
                <w:lang w:val="en-CA"/>
              </w:rPr>
            </w:pPr>
            <w:r w:rsidRPr="006E490C">
              <w:rPr>
                <w:sz w:val="18"/>
                <w:szCs w:val="18"/>
                <w:lang w:val="en-CA"/>
              </w:rPr>
              <w:t>Increasing level of insecurity in the country reduces the attractiveness of PONASI sites for international tourists</w:t>
            </w:r>
          </w:p>
          <w:p w14:paraId="6CAC34CB" w14:textId="77777777" w:rsidR="00302BFE" w:rsidRPr="006E490C" w:rsidRDefault="00302BFE" w:rsidP="00243B15">
            <w:pPr>
              <w:jc w:val="left"/>
              <w:rPr>
                <w:sz w:val="18"/>
                <w:szCs w:val="18"/>
                <w:lang w:val="en-CA"/>
              </w:rPr>
            </w:pPr>
            <w:r w:rsidRPr="006E490C">
              <w:rPr>
                <w:i/>
                <w:sz w:val="18"/>
                <w:szCs w:val="18"/>
                <w:lang w:val="en-CA"/>
              </w:rPr>
              <w:t>Assumptions</w:t>
            </w:r>
            <w:r w:rsidRPr="006E490C">
              <w:rPr>
                <w:sz w:val="18"/>
                <w:szCs w:val="18"/>
                <w:lang w:val="en-CA"/>
              </w:rPr>
              <w:t>:</w:t>
            </w:r>
          </w:p>
          <w:p w14:paraId="2572416A" w14:textId="77777777" w:rsidR="00302BFE" w:rsidRPr="006E490C" w:rsidRDefault="00302BFE" w:rsidP="00243B15">
            <w:pPr>
              <w:jc w:val="left"/>
              <w:rPr>
                <w:sz w:val="18"/>
                <w:szCs w:val="18"/>
                <w:lang w:val="en-CA"/>
              </w:rPr>
            </w:pPr>
            <w:r w:rsidRPr="006E490C">
              <w:rPr>
                <w:sz w:val="18"/>
                <w:szCs w:val="18"/>
                <w:lang w:val="en-CA"/>
              </w:rPr>
              <w:t>Stakeholders’ willingness to adapt their practices and adopt improved and more sustainable production schemes</w:t>
            </w:r>
          </w:p>
        </w:tc>
      </w:tr>
      <w:tr w:rsidR="00302BFE" w:rsidRPr="006E490C" w14:paraId="5A7EFA48" w14:textId="77777777" w:rsidTr="00243B15">
        <w:tc>
          <w:tcPr>
            <w:tcW w:w="2006" w:type="dxa"/>
            <w:vMerge/>
            <w:tcBorders>
              <w:left w:val="single" w:sz="4" w:space="0" w:color="auto"/>
              <w:right w:val="single" w:sz="4" w:space="0" w:color="auto"/>
            </w:tcBorders>
            <w:vAlign w:val="center"/>
          </w:tcPr>
          <w:p w14:paraId="758F5ABF" w14:textId="77777777" w:rsidR="00302BFE" w:rsidRPr="006E490C" w:rsidRDefault="00302BFE" w:rsidP="00243B15">
            <w:pPr>
              <w:spacing w:after="0"/>
              <w:jc w:val="left"/>
              <w:rPr>
                <w:rFonts w:ascii="Times New Roman" w:hAnsi="Times New Roman"/>
                <w:b/>
                <w:bCs/>
                <w:sz w:val="18"/>
                <w:szCs w:val="18"/>
                <w:lang w:val="en-CA"/>
              </w:rPr>
            </w:pPr>
          </w:p>
        </w:tc>
        <w:tc>
          <w:tcPr>
            <w:tcW w:w="3016" w:type="dxa"/>
            <w:vMerge w:val="restart"/>
            <w:tcBorders>
              <w:top w:val="single" w:sz="4" w:space="0" w:color="auto"/>
              <w:left w:val="single" w:sz="4" w:space="0" w:color="auto"/>
              <w:right w:val="single" w:sz="4" w:space="0" w:color="auto"/>
            </w:tcBorders>
            <w:vAlign w:val="center"/>
          </w:tcPr>
          <w:p w14:paraId="179945E7" w14:textId="77777777" w:rsidR="00302BFE" w:rsidRPr="006E490C" w:rsidRDefault="00302BFE" w:rsidP="00243B15">
            <w:pPr>
              <w:jc w:val="left"/>
              <w:rPr>
                <w:bCs/>
                <w:i/>
                <w:sz w:val="18"/>
                <w:szCs w:val="18"/>
                <w:u w:val="single"/>
                <w:lang w:val="en-CA"/>
              </w:rPr>
            </w:pPr>
            <w:r w:rsidRPr="006E490C">
              <w:rPr>
                <w:bCs/>
                <w:i/>
                <w:sz w:val="18"/>
                <w:szCs w:val="18"/>
                <w:u w:val="single"/>
                <w:lang w:val="en-CA"/>
              </w:rPr>
              <w:t>Indicator 13:</w:t>
            </w:r>
          </w:p>
          <w:p w14:paraId="6E1B73C6" w14:textId="77777777" w:rsidR="00302BFE" w:rsidRPr="006E490C" w:rsidRDefault="00302BFE" w:rsidP="00243B15">
            <w:pPr>
              <w:spacing w:after="0"/>
              <w:jc w:val="left"/>
              <w:rPr>
                <w:bCs/>
                <w:sz w:val="18"/>
                <w:szCs w:val="18"/>
                <w:lang w:val="en-CA"/>
              </w:rPr>
            </w:pPr>
            <w:r w:rsidRPr="006E490C">
              <w:rPr>
                <w:bCs/>
                <w:sz w:val="18"/>
                <w:szCs w:val="18"/>
                <w:lang w:val="en-CA"/>
              </w:rPr>
              <w:t>Condition of resources in:</w:t>
            </w:r>
          </w:p>
          <w:p w14:paraId="2E35705C" w14:textId="77777777" w:rsidR="00302BFE" w:rsidRPr="006E490C" w:rsidRDefault="00302BFE" w:rsidP="00C46720">
            <w:pPr>
              <w:pStyle w:val="Paragraphedeliste"/>
              <w:numPr>
                <w:ilvl w:val="0"/>
                <w:numId w:val="10"/>
              </w:numPr>
              <w:ind w:left="258" w:hanging="178"/>
              <w:contextualSpacing/>
              <w:rPr>
                <w:rFonts w:ascii="Calibri" w:hAnsi="Calibri"/>
                <w:bCs/>
                <w:sz w:val="18"/>
                <w:szCs w:val="18"/>
                <w:lang w:val="en-CA"/>
              </w:rPr>
            </w:pPr>
            <w:r w:rsidRPr="006E490C">
              <w:rPr>
                <w:rFonts w:ascii="Calibri" w:hAnsi="Calibri"/>
                <w:bCs/>
                <w:sz w:val="18"/>
                <w:szCs w:val="18"/>
                <w:lang w:val="en-CA"/>
              </w:rPr>
              <w:t>Forest areas including Forest Management Areas (CAF), communes and village forests</w:t>
            </w:r>
          </w:p>
          <w:p w14:paraId="532455F5" w14:textId="77777777" w:rsidR="00302BFE" w:rsidRPr="006E490C" w:rsidRDefault="00302BFE" w:rsidP="00C46720">
            <w:pPr>
              <w:pStyle w:val="Paragraphedeliste"/>
              <w:numPr>
                <w:ilvl w:val="0"/>
                <w:numId w:val="10"/>
              </w:numPr>
              <w:ind w:left="258" w:hanging="178"/>
              <w:contextualSpacing/>
              <w:rPr>
                <w:rFonts w:ascii="Calibri" w:hAnsi="Calibri"/>
                <w:bCs/>
                <w:sz w:val="18"/>
                <w:szCs w:val="18"/>
                <w:lang w:val="en-CA"/>
              </w:rPr>
            </w:pPr>
            <w:r w:rsidRPr="006E490C">
              <w:rPr>
                <w:rFonts w:ascii="Calibri" w:hAnsi="Calibri"/>
                <w:bCs/>
                <w:sz w:val="18"/>
                <w:szCs w:val="18"/>
                <w:lang w:val="en-CA"/>
              </w:rPr>
              <w:t>Pasture areas</w:t>
            </w:r>
          </w:p>
        </w:tc>
        <w:tc>
          <w:tcPr>
            <w:tcW w:w="1552" w:type="dxa"/>
            <w:vMerge w:val="restart"/>
            <w:tcBorders>
              <w:top w:val="single" w:sz="4" w:space="0" w:color="auto"/>
              <w:left w:val="single" w:sz="4" w:space="0" w:color="auto"/>
              <w:right w:val="single" w:sz="4" w:space="0" w:color="auto"/>
            </w:tcBorders>
            <w:vAlign w:val="center"/>
          </w:tcPr>
          <w:p w14:paraId="34027E5B" w14:textId="77777777" w:rsidR="00302BFE" w:rsidRPr="006E490C" w:rsidRDefault="00302BFE" w:rsidP="00243B15">
            <w:pPr>
              <w:spacing w:after="0"/>
              <w:jc w:val="left"/>
              <w:rPr>
                <w:bCs/>
                <w:sz w:val="18"/>
                <w:szCs w:val="18"/>
                <w:lang w:val="en-CA"/>
              </w:rPr>
            </w:pPr>
            <w:r w:rsidRPr="006E490C">
              <w:rPr>
                <w:bCs/>
                <w:sz w:val="18"/>
                <w:szCs w:val="18"/>
                <w:lang w:val="en-CA"/>
              </w:rPr>
              <w:t>To be determined in the 1</w:t>
            </w:r>
            <w:r w:rsidRPr="006E490C">
              <w:rPr>
                <w:bCs/>
                <w:sz w:val="18"/>
                <w:szCs w:val="18"/>
                <w:vertAlign w:val="superscript"/>
                <w:lang w:val="en-CA"/>
              </w:rPr>
              <w:t>st</w:t>
            </w:r>
            <w:r w:rsidRPr="006E490C">
              <w:rPr>
                <w:bCs/>
                <w:sz w:val="18"/>
                <w:szCs w:val="18"/>
                <w:lang w:val="en-CA"/>
              </w:rPr>
              <w:t xml:space="preserve"> year of the project</w:t>
            </w:r>
          </w:p>
        </w:tc>
        <w:tc>
          <w:tcPr>
            <w:tcW w:w="1552" w:type="dxa"/>
            <w:vMerge w:val="restart"/>
            <w:tcBorders>
              <w:top w:val="single" w:sz="4" w:space="0" w:color="auto"/>
              <w:left w:val="single" w:sz="4" w:space="0" w:color="auto"/>
              <w:right w:val="single" w:sz="4" w:space="0" w:color="auto"/>
            </w:tcBorders>
            <w:vAlign w:val="center"/>
          </w:tcPr>
          <w:p w14:paraId="5EB6478B" w14:textId="77777777" w:rsidR="00302BFE" w:rsidRPr="006E490C" w:rsidRDefault="00302BFE" w:rsidP="00243B15">
            <w:pPr>
              <w:spacing w:after="0"/>
              <w:jc w:val="left"/>
              <w:rPr>
                <w:bCs/>
                <w:i/>
                <w:sz w:val="18"/>
                <w:szCs w:val="18"/>
                <w:lang w:val="fr-CA"/>
              </w:rPr>
            </w:pPr>
            <w:proofErr w:type="spellStart"/>
            <w:r w:rsidRPr="006E490C">
              <w:rPr>
                <w:bCs/>
                <w:sz w:val="18"/>
                <w:szCs w:val="18"/>
                <w:lang w:val="fr-CA"/>
              </w:rPr>
              <w:t>Maintaining</w:t>
            </w:r>
            <w:proofErr w:type="spellEnd"/>
            <w:r w:rsidRPr="006E490C">
              <w:rPr>
                <w:bCs/>
                <w:sz w:val="18"/>
                <w:szCs w:val="18"/>
                <w:lang w:val="fr-CA"/>
              </w:rPr>
              <w:t xml:space="preserve"> or </w:t>
            </w:r>
            <w:proofErr w:type="spellStart"/>
            <w:r w:rsidRPr="006E490C">
              <w:rPr>
                <w:bCs/>
                <w:sz w:val="18"/>
                <w:szCs w:val="18"/>
                <w:lang w:val="fr-CA"/>
              </w:rPr>
              <w:t>improving</w:t>
            </w:r>
            <w:proofErr w:type="spellEnd"/>
            <w:r w:rsidRPr="006E490C">
              <w:rPr>
                <w:bCs/>
                <w:sz w:val="18"/>
                <w:szCs w:val="18"/>
                <w:lang w:val="fr-CA"/>
              </w:rPr>
              <w:t xml:space="preserve"> values</w:t>
            </w:r>
          </w:p>
        </w:tc>
        <w:tc>
          <w:tcPr>
            <w:tcW w:w="1552" w:type="dxa"/>
            <w:vMerge w:val="restart"/>
            <w:tcBorders>
              <w:top w:val="single" w:sz="4" w:space="0" w:color="auto"/>
              <w:left w:val="single" w:sz="4" w:space="0" w:color="auto"/>
              <w:right w:val="single" w:sz="4" w:space="0" w:color="auto"/>
            </w:tcBorders>
            <w:vAlign w:val="center"/>
          </w:tcPr>
          <w:p w14:paraId="11E37B36" w14:textId="77777777" w:rsidR="00302BFE" w:rsidRPr="006E490C" w:rsidRDefault="00302BFE" w:rsidP="00243B15">
            <w:pPr>
              <w:spacing w:after="0"/>
              <w:jc w:val="left"/>
              <w:rPr>
                <w:bCs/>
                <w:i/>
                <w:sz w:val="18"/>
                <w:szCs w:val="18"/>
                <w:lang w:val="fr-CA"/>
              </w:rPr>
            </w:pPr>
            <w:proofErr w:type="spellStart"/>
            <w:r w:rsidRPr="006E490C">
              <w:rPr>
                <w:bCs/>
                <w:sz w:val="18"/>
                <w:szCs w:val="18"/>
                <w:lang w:val="fr-CA"/>
              </w:rPr>
              <w:t>Maintaining</w:t>
            </w:r>
            <w:proofErr w:type="spellEnd"/>
            <w:r w:rsidRPr="006E490C">
              <w:rPr>
                <w:bCs/>
                <w:sz w:val="18"/>
                <w:szCs w:val="18"/>
                <w:lang w:val="fr-CA"/>
              </w:rPr>
              <w:t xml:space="preserve"> or </w:t>
            </w:r>
            <w:proofErr w:type="spellStart"/>
            <w:r w:rsidRPr="006E490C">
              <w:rPr>
                <w:bCs/>
                <w:sz w:val="18"/>
                <w:szCs w:val="18"/>
                <w:lang w:val="fr-CA"/>
              </w:rPr>
              <w:t>improving</w:t>
            </w:r>
            <w:proofErr w:type="spellEnd"/>
            <w:r w:rsidRPr="006E490C">
              <w:rPr>
                <w:bCs/>
                <w:sz w:val="18"/>
                <w:szCs w:val="18"/>
                <w:lang w:val="fr-CA"/>
              </w:rPr>
              <w:t xml:space="preserve"> values</w:t>
            </w:r>
          </w:p>
        </w:tc>
        <w:tc>
          <w:tcPr>
            <w:tcW w:w="4712" w:type="dxa"/>
            <w:tcBorders>
              <w:top w:val="single" w:sz="4" w:space="0" w:color="auto"/>
              <w:left w:val="single" w:sz="4" w:space="0" w:color="auto"/>
              <w:bottom w:val="single" w:sz="4" w:space="0" w:color="auto"/>
              <w:right w:val="single" w:sz="4" w:space="0" w:color="auto"/>
            </w:tcBorders>
          </w:tcPr>
          <w:p w14:paraId="5EFA86AE" w14:textId="77777777" w:rsidR="00302BFE" w:rsidRPr="006E490C" w:rsidRDefault="00302BFE" w:rsidP="00243B15">
            <w:pPr>
              <w:jc w:val="left"/>
              <w:rPr>
                <w:bCs/>
                <w:i/>
                <w:sz w:val="18"/>
                <w:szCs w:val="18"/>
                <w:lang w:val="en-CA"/>
              </w:rPr>
            </w:pPr>
            <w:r w:rsidRPr="006E490C">
              <w:rPr>
                <w:bCs/>
                <w:i/>
                <w:sz w:val="18"/>
                <w:szCs w:val="18"/>
                <w:lang w:val="en-CA"/>
              </w:rPr>
              <w:t>Data collection source / method</w:t>
            </w:r>
          </w:p>
          <w:p w14:paraId="4C0DA6AA" w14:textId="77777777" w:rsidR="00302BFE" w:rsidRPr="006E490C" w:rsidRDefault="00302BFE" w:rsidP="00243B15">
            <w:pPr>
              <w:jc w:val="left"/>
              <w:rPr>
                <w:sz w:val="18"/>
                <w:szCs w:val="18"/>
                <w:lang w:val="en-CA"/>
              </w:rPr>
            </w:pPr>
            <w:r w:rsidRPr="006E490C">
              <w:rPr>
                <w:sz w:val="18"/>
                <w:szCs w:val="18"/>
                <w:lang w:val="en-CA"/>
              </w:rPr>
              <w:t>Field surveys of target natural resources in intervention sites conducted in the first year, at mid-term and at end of project:</w:t>
            </w:r>
          </w:p>
          <w:p w14:paraId="42BF9F59" w14:textId="77777777" w:rsidR="00302BFE" w:rsidRPr="006E490C" w:rsidRDefault="00302BFE" w:rsidP="00C46720">
            <w:pPr>
              <w:pStyle w:val="Paragraphedeliste"/>
              <w:numPr>
                <w:ilvl w:val="0"/>
                <w:numId w:val="13"/>
              </w:numPr>
              <w:spacing w:after="60"/>
              <w:ind w:left="237" w:hanging="199"/>
              <w:contextualSpacing/>
              <w:rPr>
                <w:rFonts w:ascii="Calibri" w:hAnsi="Calibri"/>
                <w:bCs/>
                <w:sz w:val="18"/>
                <w:szCs w:val="18"/>
                <w:lang w:val="en-CA"/>
              </w:rPr>
            </w:pPr>
            <w:r w:rsidRPr="006E490C">
              <w:rPr>
                <w:rFonts w:ascii="Calibri" w:hAnsi="Calibri"/>
                <w:bCs/>
                <w:sz w:val="18"/>
                <w:szCs w:val="18"/>
                <w:lang w:val="en-CA"/>
              </w:rPr>
              <w:t>Forest inventories: forest cover, species composition and vegetation structure</w:t>
            </w:r>
          </w:p>
          <w:p w14:paraId="4C510022" w14:textId="77777777" w:rsidR="00302BFE" w:rsidRPr="006E490C" w:rsidRDefault="00302BFE" w:rsidP="00C46720">
            <w:pPr>
              <w:pStyle w:val="Paragraphedeliste"/>
              <w:numPr>
                <w:ilvl w:val="0"/>
                <w:numId w:val="13"/>
              </w:numPr>
              <w:spacing w:after="60"/>
              <w:ind w:left="237" w:hanging="199"/>
              <w:contextualSpacing/>
              <w:rPr>
                <w:rFonts w:ascii="Calibri" w:hAnsi="Calibri"/>
                <w:bCs/>
                <w:sz w:val="18"/>
                <w:szCs w:val="18"/>
                <w:lang w:val="en-CA"/>
              </w:rPr>
            </w:pPr>
            <w:r w:rsidRPr="006E490C">
              <w:rPr>
                <w:rFonts w:ascii="Calibri" w:hAnsi="Calibri"/>
                <w:bCs/>
                <w:sz w:val="18"/>
                <w:szCs w:val="18"/>
                <w:lang w:val="en-CA"/>
              </w:rPr>
              <w:t>Annual fodder balance to ensure the right balance between stocks and needs</w:t>
            </w:r>
          </w:p>
        </w:tc>
      </w:tr>
      <w:tr w:rsidR="00302BFE" w:rsidRPr="006E490C" w14:paraId="42C63BB5" w14:textId="77777777" w:rsidTr="00243B15">
        <w:tc>
          <w:tcPr>
            <w:tcW w:w="2006" w:type="dxa"/>
            <w:vMerge/>
            <w:tcBorders>
              <w:left w:val="single" w:sz="4" w:space="0" w:color="auto"/>
              <w:right w:val="single" w:sz="4" w:space="0" w:color="auto"/>
            </w:tcBorders>
            <w:vAlign w:val="center"/>
          </w:tcPr>
          <w:p w14:paraId="54548581" w14:textId="77777777" w:rsidR="00302BFE" w:rsidRPr="006E490C" w:rsidRDefault="00302BFE" w:rsidP="00243B15">
            <w:pPr>
              <w:spacing w:after="0"/>
              <w:jc w:val="left"/>
              <w:rPr>
                <w:rFonts w:ascii="Times New Roman" w:hAnsi="Times New Roman"/>
                <w:b/>
                <w:bCs/>
                <w:sz w:val="18"/>
                <w:szCs w:val="18"/>
                <w:lang w:val="en-CA"/>
              </w:rPr>
            </w:pPr>
          </w:p>
        </w:tc>
        <w:tc>
          <w:tcPr>
            <w:tcW w:w="3016" w:type="dxa"/>
            <w:vMerge/>
            <w:tcBorders>
              <w:left w:val="single" w:sz="4" w:space="0" w:color="auto"/>
              <w:bottom w:val="single" w:sz="4" w:space="0" w:color="auto"/>
              <w:right w:val="single" w:sz="4" w:space="0" w:color="auto"/>
            </w:tcBorders>
            <w:vAlign w:val="center"/>
          </w:tcPr>
          <w:p w14:paraId="49928E8A" w14:textId="77777777" w:rsidR="00302BFE" w:rsidRPr="006E490C" w:rsidRDefault="00302BFE" w:rsidP="00243B15">
            <w:pPr>
              <w:spacing w:after="0"/>
              <w:jc w:val="left"/>
              <w:rPr>
                <w:bCs/>
                <w:i/>
                <w:sz w:val="18"/>
                <w:szCs w:val="18"/>
                <w:lang w:val="en-CA"/>
              </w:rPr>
            </w:pPr>
          </w:p>
        </w:tc>
        <w:tc>
          <w:tcPr>
            <w:tcW w:w="1552" w:type="dxa"/>
            <w:vMerge/>
            <w:tcBorders>
              <w:left w:val="single" w:sz="4" w:space="0" w:color="auto"/>
              <w:bottom w:val="single" w:sz="4" w:space="0" w:color="auto"/>
              <w:right w:val="single" w:sz="4" w:space="0" w:color="auto"/>
            </w:tcBorders>
            <w:vAlign w:val="center"/>
          </w:tcPr>
          <w:p w14:paraId="16731475" w14:textId="77777777" w:rsidR="00302BFE" w:rsidRPr="006E490C" w:rsidRDefault="00302BFE" w:rsidP="00243B15">
            <w:pPr>
              <w:spacing w:after="0"/>
              <w:jc w:val="left"/>
              <w:rPr>
                <w:bCs/>
                <w:i/>
                <w:sz w:val="18"/>
                <w:szCs w:val="18"/>
                <w:lang w:val="en-CA"/>
              </w:rPr>
            </w:pPr>
          </w:p>
        </w:tc>
        <w:tc>
          <w:tcPr>
            <w:tcW w:w="1552" w:type="dxa"/>
            <w:vMerge/>
            <w:tcBorders>
              <w:left w:val="single" w:sz="4" w:space="0" w:color="auto"/>
              <w:bottom w:val="single" w:sz="4" w:space="0" w:color="auto"/>
              <w:right w:val="single" w:sz="4" w:space="0" w:color="auto"/>
            </w:tcBorders>
            <w:vAlign w:val="center"/>
          </w:tcPr>
          <w:p w14:paraId="57E49B8D" w14:textId="77777777" w:rsidR="00302BFE" w:rsidRPr="006E490C" w:rsidRDefault="00302BFE" w:rsidP="00243B15">
            <w:pPr>
              <w:spacing w:after="0"/>
              <w:jc w:val="left"/>
              <w:rPr>
                <w:bCs/>
                <w:i/>
                <w:sz w:val="18"/>
                <w:szCs w:val="18"/>
                <w:lang w:val="en-CA"/>
              </w:rPr>
            </w:pPr>
          </w:p>
        </w:tc>
        <w:tc>
          <w:tcPr>
            <w:tcW w:w="1552" w:type="dxa"/>
            <w:vMerge/>
            <w:tcBorders>
              <w:left w:val="single" w:sz="4" w:space="0" w:color="auto"/>
              <w:bottom w:val="single" w:sz="4" w:space="0" w:color="auto"/>
              <w:right w:val="single" w:sz="4" w:space="0" w:color="auto"/>
            </w:tcBorders>
            <w:vAlign w:val="center"/>
          </w:tcPr>
          <w:p w14:paraId="78306243" w14:textId="77777777" w:rsidR="00302BFE" w:rsidRPr="006E490C" w:rsidRDefault="00302BFE" w:rsidP="00243B15">
            <w:pPr>
              <w:spacing w:after="0"/>
              <w:jc w:val="left"/>
              <w:rPr>
                <w:bCs/>
                <w:i/>
                <w:sz w:val="18"/>
                <w:szCs w:val="18"/>
                <w:lang w:val="en-CA"/>
              </w:rPr>
            </w:pPr>
          </w:p>
        </w:tc>
        <w:tc>
          <w:tcPr>
            <w:tcW w:w="4712" w:type="dxa"/>
            <w:tcBorders>
              <w:top w:val="single" w:sz="4" w:space="0" w:color="auto"/>
              <w:left w:val="single" w:sz="4" w:space="0" w:color="auto"/>
              <w:bottom w:val="single" w:sz="4" w:space="0" w:color="auto"/>
              <w:right w:val="single" w:sz="4" w:space="0" w:color="auto"/>
            </w:tcBorders>
          </w:tcPr>
          <w:p w14:paraId="73368FB6" w14:textId="77777777" w:rsidR="00302BFE" w:rsidRPr="006E490C" w:rsidRDefault="00302BFE" w:rsidP="00243B15">
            <w:pPr>
              <w:jc w:val="left"/>
              <w:rPr>
                <w:sz w:val="18"/>
                <w:szCs w:val="18"/>
                <w:lang w:val="en-CA"/>
              </w:rPr>
            </w:pPr>
            <w:r w:rsidRPr="006E490C">
              <w:rPr>
                <w:i/>
                <w:sz w:val="18"/>
                <w:szCs w:val="18"/>
                <w:lang w:val="en-CA"/>
              </w:rPr>
              <w:t>Risks</w:t>
            </w:r>
            <w:r w:rsidRPr="006E490C">
              <w:rPr>
                <w:sz w:val="18"/>
                <w:szCs w:val="18"/>
                <w:lang w:val="en-CA"/>
              </w:rPr>
              <w:t>: Lack of stakeholder buy-in to the measures prescribed in the Landscape Management Master Plan</w:t>
            </w:r>
          </w:p>
          <w:p w14:paraId="0F341E33" w14:textId="77777777" w:rsidR="00302BFE" w:rsidRPr="006E490C" w:rsidRDefault="00302BFE" w:rsidP="00243B15">
            <w:pPr>
              <w:jc w:val="left"/>
              <w:rPr>
                <w:sz w:val="18"/>
                <w:szCs w:val="18"/>
                <w:lang w:val="en-CA"/>
              </w:rPr>
            </w:pPr>
            <w:r w:rsidRPr="006E490C">
              <w:rPr>
                <w:i/>
                <w:sz w:val="18"/>
                <w:szCs w:val="18"/>
                <w:lang w:val="en-CA"/>
              </w:rPr>
              <w:t>Assumptions</w:t>
            </w:r>
            <w:r w:rsidRPr="006E490C">
              <w:rPr>
                <w:sz w:val="18"/>
                <w:szCs w:val="18"/>
                <w:lang w:val="en-CA"/>
              </w:rPr>
              <w:t xml:space="preserve">: Effective mobilization of co-financing to ensure the implementation of the master landscape management plan </w:t>
            </w:r>
          </w:p>
          <w:p w14:paraId="5D773F5A" w14:textId="77777777" w:rsidR="00302BFE" w:rsidRPr="006E490C" w:rsidRDefault="00302BFE" w:rsidP="00243B15">
            <w:pPr>
              <w:jc w:val="left"/>
              <w:rPr>
                <w:sz w:val="18"/>
                <w:szCs w:val="18"/>
                <w:lang w:val="en-CA"/>
              </w:rPr>
            </w:pPr>
            <w:r w:rsidRPr="006E490C">
              <w:rPr>
                <w:sz w:val="18"/>
                <w:szCs w:val="18"/>
                <w:lang w:val="en-CA"/>
              </w:rPr>
              <w:t xml:space="preserve">Stakeholders’ willingness to adapt their practices and adopt improved and more sustainable production schemes </w:t>
            </w:r>
          </w:p>
        </w:tc>
      </w:tr>
      <w:tr w:rsidR="00302BFE" w:rsidRPr="006E490C" w14:paraId="7B2A8833" w14:textId="77777777" w:rsidTr="00243B15">
        <w:tc>
          <w:tcPr>
            <w:tcW w:w="2006" w:type="dxa"/>
            <w:vMerge w:val="restart"/>
            <w:tcBorders>
              <w:top w:val="single" w:sz="4" w:space="0" w:color="auto"/>
              <w:left w:val="single" w:sz="4" w:space="0" w:color="auto"/>
              <w:right w:val="single" w:sz="4" w:space="0" w:color="auto"/>
            </w:tcBorders>
            <w:shd w:val="pct12" w:color="auto" w:fill="auto"/>
            <w:hideMark/>
          </w:tcPr>
          <w:p w14:paraId="49ED6AB1" w14:textId="77777777" w:rsidR="00302BFE" w:rsidRPr="006E490C" w:rsidRDefault="00302BFE" w:rsidP="00243B15">
            <w:pPr>
              <w:jc w:val="left"/>
              <w:rPr>
                <w:b/>
                <w:bCs/>
                <w:sz w:val="18"/>
                <w:szCs w:val="18"/>
                <w:lang w:val="en-CA"/>
              </w:rPr>
            </w:pPr>
            <w:r w:rsidRPr="006E490C">
              <w:rPr>
                <w:b/>
                <w:bCs/>
                <w:sz w:val="18"/>
                <w:szCs w:val="18"/>
                <w:lang w:val="en-CA"/>
              </w:rPr>
              <w:t>Component/ Outcome 4</w:t>
            </w:r>
          </w:p>
          <w:p w14:paraId="3422DD45" w14:textId="77777777" w:rsidR="00302BFE" w:rsidRPr="006E490C" w:rsidRDefault="00302BFE" w:rsidP="00243B15">
            <w:pPr>
              <w:jc w:val="left"/>
              <w:rPr>
                <w:szCs w:val="20"/>
                <w:lang w:val="en-CA"/>
              </w:rPr>
            </w:pPr>
            <w:r w:rsidRPr="006E490C">
              <w:rPr>
                <w:szCs w:val="20"/>
                <w:lang w:val="en-CA"/>
              </w:rPr>
              <w:lastRenderedPageBreak/>
              <w:t>4. Gender mainstreaming, and knowledge management and learning</w:t>
            </w:r>
          </w:p>
          <w:p w14:paraId="388F7928" w14:textId="77777777" w:rsidR="00302BFE" w:rsidRPr="006E490C" w:rsidRDefault="00302BFE" w:rsidP="00243B15">
            <w:pPr>
              <w:jc w:val="left"/>
              <w:rPr>
                <w:szCs w:val="20"/>
                <w:lang w:val="en-CA"/>
              </w:rPr>
            </w:pPr>
            <w:r w:rsidRPr="006E490C">
              <w:rPr>
                <w:szCs w:val="20"/>
                <w:lang w:val="en-CA"/>
              </w:rPr>
              <w:t>4.1 Increased opportunities for women to benefit from the sustainable management of natural resources and PA-related value chains within the PONASI landscape</w:t>
            </w:r>
          </w:p>
          <w:p w14:paraId="7327CC3E" w14:textId="77777777" w:rsidR="00302BFE" w:rsidRPr="006E490C" w:rsidRDefault="00302BFE" w:rsidP="00243B15">
            <w:pPr>
              <w:jc w:val="left"/>
              <w:rPr>
                <w:szCs w:val="20"/>
                <w:lang w:val="en-CA"/>
              </w:rPr>
            </w:pPr>
            <w:r w:rsidRPr="006E490C">
              <w:rPr>
                <w:szCs w:val="20"/>
                <w:lang w:val="en-CA"/>
              </w:rPr>
              <w:t>4.2 Appropriation of the knowledge developed in the PONASI project by the various actors within the PONASI landscape and in Burkina Faso</w:t>
            </w:r>
          </w:p>
        </w:tc>
        <w:tc>
          <w:tcPr>
            <w:tcW w:w="3016" w:type="dxa"/>
            <w:vMerge w:val="restart"/>
            <w:tcBorders>
              <w:top w:val="single" w:sz="4" w:space="0" w:color="auto"/>
              <w:left w:val="single" w:sz="4" w:space="0" w:color="auto"/>
              <w:bottom w:val="single" w:sz="4" w:space="0" w:color="auto"/>
              <w:right w:val="single" w:sz="4" w:space="0" w:color="auto"/>
            </w:tcBorders>
            <w:hideMark/>
          </w:tcPr>
          <w:p w14:paraId="58D3691F" w14:textId="77777777" w:rsidR="00302BFE" w:rsidRPr="006E490C" w:rsidRDefault="00302BFE" w:rsidP="00243B15">
            <w:pPr>
              <w:rPr>
                <w:rFonts w:eastAsia="Calibri"/>
                <w:sz w:val="18"/>
                <w:szCs w:val="18"/>
                <w:u w:val="single"/>
                <w:lang w:val="en-CA"/>
              </w:rPr>
            </w:pPr>
            <w:r w:rsidRPr="006E490C">
              <w:rPr>
                <w:rFonts w:eastAsia="Calibri"/>
                <w:i/>
                <w:sz w:val="18"/>
                <w:szCs w:val="18"/>
                <w:u w:val="single"/>
                <w:lang w:val="en-CA"/>
              </w:rPr>
              <w:lastRenderedPageBreak/>
              <w:t>Indicator 14</w:t>
            </w:r>
            <w:r w:rsidRPr="006E490C">
              <w:rPr>
                <w:rFonts w:eastAsia="Calibri"/>
                <w:sz w:val="18"/>
                <w:szCs w:val="18"/>
                <w:u w:val="single"/>
                <w:lang w:val="en-CA"/>
              </w:rPr>
              <w:t>:</w:t>
            </w:r>
          </w:p>
          <w:p w14:paraId="4174BB2E" w14:textId="77777777" w:rsidR="00302BFE" w:rsidRPr="006E490C" w:rsidRDefault="00302BFE" w:rsidP="00DC7D98">
            <w:pPr>
              <w:jc w:val="left"/>
              <w:rPr>
                <w:rFonts w:eastAsia="Calibri"/>
                <w:sz w:val="18"/>
                <w:szCs w:val="18"/>
                <w:lang w:val="en-CA"/>
              </w:rPr>
            </w:pPr>
            <w:r w:rsidRPr="006E490C">
              <w:rPr>
                <w:rFonts w:eastAsia="Calibri"/>
                <w:sz w:val="18"/>
                <w:szCs w:val="18"/>
                <w:lang w:val="en-CA"/>
              </w:rPr>
              <w:lastRenderedPageBreak/>
              <w:t>Representativeness of women in the collaborative governance arrangement and participating in decision making on land and resource use</w:t>
            </w:r>
          </w:p>
        </w:tc>
        <w:tc>
          <w:tcPr>
            <w:tcW w:w="1552" w:type="dxa"/>
            <w:vMerge w:val="restart"/>
            <w:tcBorders>
              <w:top w:val="single" w:sz="4" w:space="0" w:color="auto"/>
              <w:left w:val="single" w:sz="4" w:space="0" w:color="auto"/>
              <w:bottom w:val="single" w:sz="4" w:space="0" w:color="auto"/>
              <w:right w:val="single" w:sz="4" w:space="0" w:color="auto"/>
            </w:tcBorders>
          </w:tcPr>
          <w:p w14:paraId="363DA349" w14:textId="77777777" w:rsidR="00302BFE" w:rsidRPr="006E490C" w:rsidRDefault="00302BFE" w:rsidP="00243B15">
            <w:pPr>
              <w:jc w:val="left"/>
              <w:rPr>
                <w:bCs/>
                <w:i/>
                <w:sz w:val="18"/>
                <w:szCs w:val="18"/>
                <w:lang w:val="en-CA"/>
              </w:rPr>
            </w:pPr>
            <w:proofErr w:type="spellStart"/>
            <w:r w:rsidRPr="006E490C">
              <w:rPr>
                <w:bCs/>
                <w:i/>
                <w:sz w:val="18"/>
                <w:szCs w:val="18"/>
                <w:lang w:val="en-CA"/>
              </w:rPr>
              <w:lastRenderedPageBreak/>
              <w:t>n.a.</w:t>
            </w:r>
            <w:proofErr w:type="spellEnd"/>
          </w:p>
          <w:p w14:paraId="75ADFD9C" w14:textId="77777777" w:rsidR="00302BFE" w:rsidRPr="006E490C" w:rsidRDefault="00302BFE" w:rsidP="00243B15">
            <w:pPr>
              <w:jc w:val="left"/>
              <w:rPr>
                <w:bCs/>
                <w:i/>
                <w:sz w:val="18"/>
                <w:szCs w:val="18"/>
                <w:lang w:val="en-CA"/>
              </w:rPr>
            </w:pPr>
            <w:r w:rsidRPr="006E490C">
              <w:rPr>
                <w:bCs/>
                <w:sz w:val="18"/>
                <w:szCs w:val="18"/>
              </w:rPr>
              <w:lastRenderedPageBreak/>
              <w:t xml:space="preserve"> (</w:t>
            </w:r>
            <w:proofErr w:type="gramStart"/>
            <w:r w:rsidRPr="006E490C">
              <w:rPr>
                <w:bCs/>
                <w:sz w:val="18"/>
                <w:szCs w:val="18"/>
              </w:rPr>
              <w:t>the</w:t>
            </w:r>
            <w:proofErr w:type="gramEnd"/>
            <w:r w:rsidRPr="006E490C">
              <w:rPr>
                <w:bCs/>
                <w:sz w:val="18"/>
                <w:szCs w:val="18"/>
              </w:rPr>
              <w:t xml:space="preserve"> project has not started yet)</w:t>
            </w:r>
          </w:p>
        </w:tc>
        <w:tc>
          <w:tcPr>
            <w:tcW w:w="1552" w:type="dxa"/>
            <w:vMerge w:val="restart"/>
            <w:tcBorders>
              <w:top w:val="single" w:sz="4" w:space="0" w:color="auto"/>
              <w:left w:val="single" w:sz="4" w:space="0" w:color="auto"/>
              <w:bottom w:val="single" w:sz="4" w:space="0" w:color="auto"/>
              <w:right w:val="single" w:sz="4" w:space="0" w:color="auto"/>
            </w:tcBorders>
          </w:tcPr>
          <w:p w14:paraId="2EE73E90" w14:textId="77777777" w:rsidR="00302BFE" w:rsidRPr="006E490C" w:rsidRDefault="00302BFE" w:rsidP="00243B15">
            <w:pPr>
              <w:jc w:val="left"/>
              <w:rPr>
                <w:bCs/>
                <w:sz w:val="18"/>
                <w:szCs w:val="18"/>
                <w:lang w:val="fr-CA"/>
              </w:rPr>
            </w:pPr>
            <w:r w:rsidRPr="006E490C">
              <w:rPr>
                <w:bCs/>
                <w:sz w:val="18"/>
                <w:szCs w:val="18"/>
                <w:lang w:val="fr-CA"/>
              </w:rPr>
              <w:lastRenderedPageBreak/>
              <w:t>30%</w:t>
            </w:r>
          </w:p>
        </w:tc>
        <w:tc>
          <w:tcPr>
            <w:tcW w:w="1552" w:type="dxa"/>
            <w:vMerge w:val="restart"/>
            <w:tcBorders>
              <w:top w:val="single" w:sz="4" w:space="0" w:color="auto"/>
              <w:left w:val="single" w:sz="4" w:space="0" w:color="auto"/>
              <w:bottom w:val="single" w:sz="4" w:space="0" w:color="auto"/>
              <w:right w:val="single" w:sz="4" w:space="0" w:color="auto"/>
            </w:tcBorders>
          </w:tcPr>
          <w:p w14:paraId="7857DB92" w14:textId="77777777" w:rsidR="00302BFE" w:rsidRPr="006E490C" w:rsidRDefault="00302BFE" w:rsidP="00243B15">
            <w:pPr>
              <w:jc w:val="left"/>
              <w:rPr>
                <w:bCs/>
                <w:sz w:val="18"/>
                <w:szCs w:val="18"/>
                <w:lang w:val="en-CA"/>
              </w:rPr>
            </w:pPr>
            <w:r w:rsidRPr="006E490C">
              <w:rPr>
                <w:bCs/>
                <w:sz w:val="18"/>
                <w:szCs w:val="18"/>
                <w:lang w:val="en-CA"/>
              </w:rPr>
              <w:t>30%</w:t>
            </w:r>
            <w:r w:rsidRPr="006E490C">
              <w:rPr>
                <w:bCs/>
                <w:sz w:val="18"/>
                <w:szCs w:val="18"/>
                <w:lang w:val="en-CA"/>
              </w:rPr>
              <w:br/>
              <w:t>(Corresponding to the national women representation quota)</w:t>
            </w:r>
          </w:p>
        </w:tc>
        <w:tc>
          <w:tcPr>
            <w:tcW w:w="4712" w:type="dxa"/>
            <w:tcBorders>
              <w:top w:val="single" w:sz="4" w:space="0" w:color="auto"/>
              <w:left w:val="single" w:sz="4" w:space="0" w:color="auto"/>
              <w:bottom w:val="single" w:sz="4" w:space="0" w:color="auto"/>
              <w:right w:val="single" w:sz="4" w:space="0" w:color="auto"/>
            </w:tcBorders>
            <w:hideMark/>
          </w:tcPr>
          <w:p w14:paraId="5D8F7842" w14:textId="77777777" w:rsidR="00302BFE" w:rsidRPr="006E490C" w:rsidRDefault="00302BFE" w:rsidP="00243B15">
            <w:pPr>
              <w:jc w:val="left"/>
              <w:rPr>
                <w:bCs/>
                <w:i/>
                <w:sz w:val="18"/>
                <w:szCs w:val="18"/>
                <w:lang w:val="en-CA"/>
              </w:rPr>
            </w:pPr>
            <w:r w:rsidRPr="006E490C">
              <w:rPr>
                <w:bCs/>
                <w:i/>
                <w:sz w:val="18"/>
                <w:szCs w:val="18"/>
                <w:lang w:val="en-CA"/>
              </w:rPr>
              <w:t>Data collection source / method</w:t>
            </w:r>
          </w:p>
          <w:p w14:paraId="64055E81" w14:textId="77777777" w:rsidR="00302BFE" w:rsidRPr="006E490C" w:rsidRDefault="00302BFE" w:rsidP="00243B15">
            <w:pPr>
              <w:jc w:val="left"/>
              <w:rPr>
                <w:sz w:val="18"/>
                <w:szCs w:val="18"/>
                <w:lang w:val="en-CA"/>
              </w:rPr>
            </w:pPr>
            <w:r w:rsidRPr="006E490C">
              <w:rPr>
                <w:sz w:val="18"/>
                <w:szCs w:val="18"/>
                <w:lang w:val="en-CA"/>
              </w:rPr>
              <w:lastRenderedPageBreak/>
              <w:t>Attendance records of the meetings of the PONASI landscape consultation frameworks</w:t>
            </w:r>
          </w:p>
          <w:p w14:paraId="3D077599" w14:textId="77777777" w:rsidR="00302BFE" w:rsidRPr="006E490C" w:rsidRDefault="00302BFE" w:rsidP="00243B15">
            <w:pPr>
              <w:jc w:val="left"/>
              <w:rPr>
                <w:sz w:val="18"/>
                <w:szCs w:val="18"/>
                <w:lang w:val="en-CA"/>
              </w:rPr>
            </w:pPr>
            <w:r w:rsidRPr="006E490C">
              <w:rPr>
                <w:sz w:val="18"/>
                <w:szCs w:val="18"/>
                <w:lang w:val="en-CA"/>
              </w:rPr>
              <w:t>Updated Action Plan on Gender</w:t>
            </w:r>
          </w:p>
          <w:p w14:paraId="62373649" w14:textId="77777777" w:rsidR="00302BFE" w:rsidRPr="006E490C" w:rsidRDefault="00302BFE" w:rsidP="00243B15">
            <w:pPr>
              <w:jc w:val="left"/>
              <w:rPr>
                <w:sz w:val="18"/>
                <w:szCs w:val="18"/>
                <w:lang w:val="en-CA"/>
              </w:rPr>
            </w:pPr>
            <w:r w:rsidRPr="006E490C">
              <w:rPr>
                <w:sz w:val="18"/>
                <w:szCs w:val="18"/>
                <w:lang w:val="en-CA"/>
              </w:rPr>
              <w:t>Project Progress Reports</w:t>
            </w:r>
          </w:p>
        </w:tc>
      </w:tr>
      <w:tr w:rsidR="00302BFE" w:rsidRPr="006E490C" w14:paraId="2E8BB390" w14:textId="77777777" w:rsidTr="00243B15">
        <w:tc>
          <w:tcPr>
            <w:tcW w:w="2006" w:type="dxa"/>
            <w:vMerge/>
            <w:tcBorders>
              <w:left w:val="single" w:sz="4" w:space="0" w:color="auto"/>
              <w:right w:val="single" w:sz="4" w:space="0" w:color="auto"/>
            </w:tcBorders>
            <w:vAlign w:val="center"/>
            <w:hideMark/>
          </w:tcPr>
          <w:p w14:paraId="29B80C22" w14:textId="77777777" w:rsidR="00302BFE" w:rsidRPr="006E490C" w:rsidRDefault="00302BFE" w:rsidP="00243B15">
            <w:pPr>
              <w:spacing w:after="0"/>
              <w:jc w:val="left"/>
              <w:rPr>
                <w:rFonts w:ascii="Times New Roman" w:hAnsi="Times New Roman"/>
                <w:b/>
                <w:bCs/>
                <w:sz w:val="18"/>
                <w:szCs w:val="18"/>
                <w:lang w:val="en-CA"/>
              </w:rPr>
            </w:pPr>
          </w:p>
        </w:tc>
        <w:tc>
          <w:tcPr>
            <w:tcW w:w="3016" w:type="dxa"/>
            <w:vMerge/>
            <w:tcBorders>
              <w:top w:val="single" w:sz="4" w:space="0" w:color="auto"/>
              <w:left w:val="single" w:sz="4" w:space="0" w:color="auto"/>
              <w:bottom w:val="single" w:sz="4" w:space="0" w:color="auto"/>
              <w:right w:val="single" w:sz="4" w:space="0" w:color="auto"/>
            </w:tcBorders>
            <w:vAlign w:val="center"/>
            <w:hideMark/>
          </w:tcPr>
          <w:p w14:paraId="14B634B8"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2D112B72"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06BC7B86"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07DB859F" w14:textId="77777777" w:rsidR="00302BFE" w:rsidRPr="006E490C" w:rsidRDefault="00302BFE" w:rsidP="00243B15">
            <w:pPr>
              <w:spacing w:after="0"/>
              <w:jc w:val="left"/>
              <w:rPr>
                <w:bCs/>
                <w:i/>
                <w:sz w:val="18"/>
                <w:szCs w:val="18"/>
                <w:lang w:val="en-CA"/>
              </w:rPr>
            </w:pPr>
          </w:p>
        </w:tc>
        <w:tc>
          <w:tcPr>
            <w:tcW w:w="4712" w:type="dxa"/>
            <w:tcBorders>
              <w:top w:val="single" w:sz="4" w:space="0" w:color="auto"/>
              <w:left w:val="single" w:sz="4" w:space="0" w:color="auto"/>
              <w:bottom w:val="single" w:sz="4" w:space="0" w:color="auto"/>
              <w:right w:val="single" w:sz="4" w:space="0" w:color="auto"/>
            </w:tcBorders>
          </w:tcPr>
          <w:p w14:paraId="0BA1D23F" w14:textId="77777777" w:rsidR="00302BFE" w:rsidRPr="006E490C" w:rsidRDefault="00302BFE" w:rsidP="00243B15">
            <w:pPr>
              <w:jc w:val="left"/>
              <w:rPr>
                <w:sz w:val="18"/>
                <w:szCs w:val="18"/>
                <w:lang w:val="en-CA"/>
              </w:rPr>
            </w:pPr>
            <w:r w:rsidRPr="006E490C">
              <w:rPr>
                <w:i/>
                <w:sz w:val="18"/>
                <w:szCs w:val="18"/>
                <w:lang w:val="en-CA"/>
              </w:rPr>
              <w:t>Risks</w:t>
            </w:r>
            <w:r w:rsidRPr="006E490C">
              <w:rPr>
                <w:sz w:val="18"/>
                <w:szCs w:val="18"/>
                <w:lang w:val="en-CA"/>
              </w:rPr>
              <w:t>:</w:t>
            </w:r>
          </w:p>
          <w:p w14:paraId="5A0B782D" w14:textId="77777777" w:rsidR="00302BFE" w:rsidRPr="006E490C" w:rsidRDefault="00302BFE" w:rsidP="00243B15">
            <w:pPr>
              <w:jc w:val="left"/>
              <w:rPr>
                <w:sz w:val="18"/>
                <w:szCs w:val="18"/>
                <w:lang w:val="en-CA"/>
              </w:rPr>
            </w:pPr>
            <w:r w:rsidRPr="006E490C">
              <w:rPr>
                <w:sz w:val="18"/>
                <w:szCs w:val="18"/>
                <w:lang w:val="en-CA"/>
              </w:rPr>
              <w:t>Socio-cultural constraints within certain ethnic groups may limit women's participation and increase their vulnerability to face risks</w:t>
            </w:r>
          </w:p>
          <w:p w14:paraId="050E4685" w14:textId="77777777" w:rsidR="00302BFE" w:rsidRPr="006E490C" w:rsidRDefault="00302BFE" w:rsidP="00243B15">
            <w:pPr>
              <w:jc w:val="left"/>
              <w:rPr>
                <w:sz w:val="18"/>
                <w:szCs w:val="18"/>
                <w:lang w:val="en-CA"/>
              </w:rPr>
            </w:pPr>
            <w:r w:rsidRPr="006E490C">
              <w:rPr>
                <w:sz w:val="18"/>
                <w:szCs w:val="18"/>
                <w:lang w:val="en-CA"/>
              </w:rPr>
              <w:t>The financial vulnerability of women and the difficulty of accessing credit are a hindrance to their participation in the implementation of project proposals</w:t>
            </w:r>
          </w:p>
          <w:p w14:paraId="0FB40C93" w14:textId="77777777" w:rsidR="00302BFE" w:rsidRPr="006E490C" w:rsidRDefault="00302BFE" w:rsidP="00243B15">
            <w:pPr>
              <w:jc w:val="left"/>
              <w:rPr>
                <w:sz w:val="18"/>
                <w:szCs w:val="18"/>
                <w:lang w:val="en-CA"/>
              </w:rPr>
            </w:pPr>
            <w:r w:rsidRPr="006E490C">
              <w:rPr>
                <w:sz w:val="18"/>
                <w:szCs w:val="18"/>
                <w:lang w:val="en-CA"/>
              </w:rPr>
              <w:t>The lack of securing women's rights to access and use of land and resources limits their benefits related to the conservation and sustainable management of natural resources</w:t>
            </w:r>
          </w:p>
          <w:p w14:paraId="095315FC" w14:textId="77777777" w:rsidR="00302BFE" w:rsidRPr="006E490C" w:rsidRDefault="00302BFE" w:rsidP="00243B15">
            <w:pPr>
              <w:jc w:val="left"/>
              <w:rPr>
                <w:sz w:val="18"/>
                <w:szCs w:val="18"/>
                <w:lang w:val="en-CA"/>
              </w:rPr>
            </w:pPr>
            <w:r w:rsidRPr="006E490C">
              <w:rPr>
                <w:i/>
                <w:sz w:val="18"/>
                <w:szCs w:val="18"/>
                <w:lang w:val="en-CA"/>
              </w:rPr>
              <w:t>Assumptions</w:t>
            </w:r>
            <w:r w:rsidRPr="006E490C">
              <w:rPr>
                <w:sz w:val="18"/>
                <w:szCs w:val="18"/>
                <w:lang w:val="en-CA"/>
              </w:rPr>
              <w:t>:</w:t>
            </w:r>
          </w:p>
          <w:p w14:paraId="537F08F6" w14:textId="77777777" w:rsidR="00302BFE" w:rsidRPr="006E490C" w:rsidRDefault="00302BFE" w:rsidP="00243B15">
            <w:pPr>
              <w:jc w:val="left"/>
              <w:rPr>
                <w:sz w:val="18"/>
                <w:szCs w:val="18"/>
                <w:lang w:val="en-CA"/>
              </w:rPr>
            </w:pPr>
            <w:r w:rsidRPr="006E490C">
              <w:rPr>
                <w:sz w:val="18"/>
                <w:szCs w:val="18"/>
                <w:lang w:val="en-CA"/>
              </w:rPr>
              <w:t>Continued interest of women to participate in the project</w:t>
            </w:r>
          </w:p>
          <w:p w14:paraId="4B87A9D8" w14:textId="77777777" w:rsidR="00302BFE" w:rsidRPr="006E490C" w:rsidRDefault="00302BFE" w:rsidP="00243B15">
            <w:pPr>
              <w:jc w:val="left"/>
              <w:rPr>
                <w:sz w:val="18"/>
                <w:szCs w:val="18"/>
                <w:lang w:val="en-CA"/>
              </w:rPr>
            </w:pPr>
            <w:r w:rsidRPr="006E490C">
              <w:rPr>
                <w:sz w:val="18"/>
                <w:szCs w:val="18"/>
                <w:lang w:val="en-CA"/>
              </w:rPr>
              <w:t>Each structure represented in the consultation framework encourages the participation of women in the consultation framework for the integrated management of the PONASI landscape and has the possibility of proposing one or more women</w:t>
            </w:r>
          </w:p>
        </w:tc>
      </w:tr>
      <w:tr w:rsidR="00302BFE" w:rsidRPr="006E490C" w14:paraId="23389E5D" w14:textId="77777777" w:rsidTr="00243B15">
        <w:tc>
          <w:tcPr>
            <w:tcW w:w="2006" w:type="dxa"/>
            <w:vMerge/>
            <w:tcBorders>
              <w:left w:val="single" w:sz="4" w:space="0" w:color="auto"/>
              <w:right w:val="single" w:sz="4" w:space="0" w:color="auto"/>
            </w:tcBorders>
            <w:vAlign w:val="center"/>
            <w:hideMark/>
          </w:tcPr>
          <w:p w14:paraId="40746AF6" w14:textId="77777777" w:rsidR="00302BFE" w:rsidRPr="006E490C" w:rsidRDefault="00302BFE" w:rsidP="00243B15">
            <w:pPr>
              <w:spacing w:after="0"/>
              <w:jc w:val="left"/>
              <w:rPr>
                <w:rFonts w:ascii="Times New Roman" w:hAnsi="Times New Roman"/>
                <w:b/>
                <w:bCs/>
                <w:sz w:val="18"/>
                <w:szCs w:val="18"/>
                <w:lang w:val="en-CA"/>
              </w:rPr>
            </w:pPr>
          </w:p>
        </w:tc>
        <w:tc>
          <w:tcPr>
            <w:tcW w:w="3016" w:type="dxa"/>
            <w:vMerge w:val="restart"/>
            <w:tcBorders>
              <w:top w:val="single" w:sz="4" w:space="0" w:color="auto"/>
              <w:left w:val="single" w:sz="4" w:space="0" w:color="auto"/>
              <w:bottom w:val="single" w:sz="4" w:space="0" w:color="auto"/>
              <w:right w:val="single" w:sz="4" w:space="0" w:color="auto"/>
            </w:tcBorders>
            <w:hideMark/>
          </w:tcPr>
          <w:p w14:paraId="4D383C6D" w14:textId="77777777" w:rsidR="00302BFE" w:rsidRPr="006E490C" w:rsidRDefault="00302BFE" w:rsidP="00243B15">
            <w:pPr>
              <w:rPr>
                <w:sz w:val="18"/>
                <w:szCs w:val="18"/>
                <w:u w:val="single"/>
                <w:lang w:val="en-CA"/>
              </w:rPr>
            </w:pPr>
            <w:r w:rsidRPr="006E490C">
              <w:rPr>
                <w:i/>
                <w:sz w:val="18"/>
                <w:szCs w:val="18"/>
                <w:u w:val="single"/>
                <w:lang w:val="en-CA"/>
              </w:rPr>
              <w:t>Indicator 15</w:t>
            </w:r>
            <w:r w:rsidRPr="006E490C">
              <w:rPr>
                <w:sz w:val="18"/>
                <w:szCs w:val="18"/>
                <w:u w:val="single"/>
                <w:lang w:val="en-CA"/>
              </w:rPr>
              <w:t>:</w:t>
            </w:r>
          </w:p>
          <w:p w14:paraId="0173125E" w14:textId="77777777" w:rsidR="00302BFE" w:rsidRPr="006E490C" w:rsidRDefault="00302BFE" w:rsidP="00DC7D98">
            <w:pPr>
              <w:jc w:val="left"/>
              <w:rPr>
                <w:sz w:val="18"/>
                <w:szCs w:val="18"/>
                <w:lang w:val="en-CA"/>
              </w:rPr>
            </w:pPr>
            <w:r w:rsidRPr="006E490C">
              <w:rPr>
                <w:sz w:val="18"/>
                <w:szCs w:val="18"/>
                <w:lang w:val="en-CA"/>
              </w:rPr>
              <w:t>Proportion of village groups / associations that apply knowledge shared through the project, outside the pilot intervention sites</w:t>
            </w:r>
          </w:p>
        </w:tc>
        <w:tc>
          <w:tcPr>
            <w:tcW w:w="1552" w:type="dxa"/>
            <w:vMerge w:val="restart"/>
            <w:tcBorders>
              <w:top w:val="single" w:sz="4" w:space="0" w:color="auto"/>
              <w:left w:val="single" w:sz="4" w:space="0" w:color="auto"/>
              <w:bottom w:val="single" w:sz="4" w:space="0" w:color="auto"/>
              <w:right w:val="single" w:sz="4" w:space="0" w:color="auto"/>
            </w:tcBorders>
          </w:tcPr>
          <w:p w14:paraId="369461C9" w14:textId="77777777" w:rsidR="00302BFE" w:rsidRPr="006E490C" w:rsidRDefault="00302BFE" w:rsidP="00243B15">
            <w:pPr>
              <w:jc w:val="left"/>
              <w:rPr>
                <w:bCs/>
                <w:i/>
                <w:sz w:val="18"/>
                <w:szCs w:val="18"/>
                <w:lang w:val="en-CA"/>
              </w:rPr>
            </w:pPr>
            <w:r w:rsidRPr="006E490C">
              <w:rPr>
                <w:bCs/>
                <w:sz w:val="18"/>
                <w:szCs w:val="18"/>
              </w:rPr>
              <w:t>0% (the project has not started yet)</w:t>
            </w:r>
          </w:p>
        </w:tc>
        <w:tc>
          <w:tcPr>
            <w:tcW w:w="1552" w:type="dxa"/>
            <w:vMerge w:val="restart"/>
            <w:tcBorders>
              <w:top w:val="single" w:sz="4" w:space="0" w:color="auto"/>
              <w:left w:val="single" w:sz="4" w:space="0" w:color="auto"/>
              <w:bottom w:val="single" w:sz="4" w:space="0" w:color="auto"/>
              <w:right w:val="single" w:sz="4" w:space="0" w:color="auto"/>
            </w:tcBorders>
          </w:tcPr>
          <w:p w14:paraId="75783A5A" w14:textId="77777777" w:rsidR="00302BFE" w:rsidRPr="006E490C" w:rsidRDefault="00302BFE" w:rsidP="00243B15">
            <w:pPr>
              <w:jc w:val="left"/>
              <w:rPr>
                <w:bCs/>
                <w:sz w:val="18"/>
                <w:szCs w:val="18"/>
                <w:lang w:val="fr-CA"/>
              </w:rPr>
            </w:pPr>
            <w:r w:rsidRPr="006E490C">
              <w:rPr>
                <w:bCs/>
                <w:sz w:val="18"/>
                <w:szCs w:val="18"/>
                <w:lang w:val="fr-CA"/>
              </w:rPr>
              <w:t>20%</w:t>
            </w:r>
          </w:p>
        </w:tc>
        <w:tc>
          <w:tcPr>
            <w:tcW w:w="1552" w:type="dxa"/>
            <w:vMerge w:val="restart"/>
            <w:tcBorders>
              <w:top w:val="single" w:sz="4" w:space="0" w:color="auto"/>
              <w:left w:val="single" w:sz="4" w:space="0" w:color="auto"/>
              <w:bottom w:val="single" w:sz="4" w:space="0" w:color="auto"/>
              <w:right w:val="single" w:sz="4" w:space="0" w:color="auto"/>
            </w:tcBorders>
          </w:tcPr>
          <w:p w14:paraId="20638E4D" w14:textId="77777777" w:rsidR="00302BFE" w:rsidRPr="006E490C" w:rsidRDefault="00302BFE" w:rsidP="00243B15">
            <w:pPr>
              <w:jc w:val="left"/>
              <w:rPr>
                <w:bCs/>
                <w:sz w:val="18"/>
                <w:szCs w:val="18"/>
                <w:lang w:val="en-CA"/>
              </w:rPr>
            </w:pPr>
            <w:r w:rsidRPr="006E490C">
              <w:rPr>
                <w:bCs/>
                <w:sz w:val="18"/>
                <w:szCs w:val="18"/>
                <w:lang w:val="en-CA"/>
              </w:rPr>
              <w:t>80%</w:t>
            </w:r>
          </w:p>
        </w:tc>
        <w:tc>
          <w:tcPr>
            <w:tcW w:w="4712" w:type="dxa"/>
            <w:tcBorders>
              <w:top w:val="single" w:sz="4" w:space="0" w:color="auto"/>
              <w:left w:val="single" w:sz="4" w:space="0" w:color="auto"/>
              <w:bottom w:val="single" w:sz="4" w:space="0" w:color="auto"/>
              <w:right w:val="single" w:sz="4" w:space="0" w:color="auto"/>
            </w:tcBorders>
            <w:hideMark/>
          </w:tcPr>
          <w:p w14:paraId="2656E057" w14:textId="77777777" w:rsidR="00302BFE" w:rsidRPr="006E490C" w:rsidRDefault="00302BFE" w:rsidP="00243B15">
            <w:pPr>
              <w:jc w:val="left"/>
              <w:rPr>
                <w:bCs/>
                <w:i/>
                <w:sz w:val="18"/>
                <w:szCs w:val="18"/>
                <w:lang w:val="en-CA"/>
              </w:rPr>
            </w:pPr>
            <w:r w:rsidRPr="006E490C">
              <w:rPr>
                <w:bCs/>
                <w:i/>
                <w:sz w:val="18"/>
                <w:szCs w:val="18"/>
                <w:lang w:val="en-CA"/>
              </w:rPr>
              <w:t>Data collection source / method</w:t>
            </w:r>
          </w:p>
          <w:p w14:paraId="6DE91E34" w14:textId="77777777" w:rsidR="00302BFE" w:rsidRPr="006E490C" w:rsidRDefault="00302BFE" w:rsidP="00243B15">
            <w:pPr>
              <w:jc w:val="left"/>
              <w:rPr>
                <w:sz w:val="18"/>
                <w:szCs w:val="18"/>
                <w:lang w:val="en-CA"/>
              </w:rPr>
            </w:pPr>
            <w:r w:rsidRPr="006E490C">
              <w:rPr>
                <w:sz w:val="18"/>
                <w:szCs w:val="18"/>
                <w:lang w:val="en-CA"/>
              </w:rPr>
              <w:t>Survey reports covering the entire PONASI landscape, including village communities outside pilot intervention sites</w:t>
            </w:r>
          </w:p>
        </w:tc>
      </w:tr>
      <w:tr w:rsidR="00302BFE" w:rsidRPr="00445ECE" w14:paraId="6A432382" w14:textId="77777777" w:rsidTr="00243B15">
        <w:tc>
          <w:tcPr>
            <w:tcW w:w="2006" w:type="dxa"/>
            <w:vMerge/>
            <w:tcBorders>
              <w:left w:val="single" w:sz="4" w:space="0" w:color="auto"/>
              <w:right w:val="single" w:sz="4" w:space="0" w:color="auto"/>
            </w:tcBorders>
            <w:vAlign w:val="center"/>
            <w:hideMark/>
          </w:tcPr>
          <w:p w14:paraId="4E2017CC" w14:textId="77777777" w:rsidR="00302BFE" w:rsidRPr="006E490C" w:rsidRDefault="00302BFE" w:rsidP="00243B15">
            <w:pPr>
              <w:spacing w:after="0"/>
              <w:jc w:val="left"/>
              <w:rPr>
                <w:rFonts w:ascii="Times New Roman" w:hAnsi="Times New Roman"/>
                <w:b/>
                <w:bCs/>
                <w:sz w:val="18"/>
                <w:szCs w:val="18"/>
                <w:lang w:val="en-CA"/>
              </w:rPr>
            </w:pPr>
          </w:p>
        </w:tc>
        <w:tc>
          <w:tcPr>
            <w:tcW w:w="3016" w:type="dxa"/>
            <w:vMerge/>
            <w:tcBorders>
              <w:top w:val="single" w:sz="4" w:space="0" w:color="auto"/>
              <w:left w:val="single" w:sz="4" w:space="0" w:color="auto"/>
              <w:bottom w:val="single" w:sz="4" w:space="0" w:color="auto"/>
              <w:right w:val="single" w:sz="4" w:space="0" w:color="auto"/>
            </w:tcBorders>
            <w:vAlign w:val="center"/>
            <w:hideMark/>
          </w:tcPr>
          <w:p w14:paraId="403DC7EC" w14:textId="77777777" w:rsidR="00302BFE" w:rsidRPr="006E490C" w:rsidRDefault="00302BFE" w:rsidP="00243B15">
            <w:pPr>
              <w:spacing w:after="0"/>
              <w:jc w:val="left"/>
              <w:rPr>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1D2B8845"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2A17893F" w14:textId="77777777" w:rsidR="00302BFE" w:rsidRPr="006E490C" w:rsidRDefault="00302BFE" w:rsidP="00243B15">
            <w:pPr>
              <w:spacing w:after="0"/>
              <w:jc w:val="left"/>
              <w:rPr>
                <w:bCs/>
                <w:i/>
                <w:sz w:val="18"/>
                <w:szCs w:val="18"/>
                <w:lang w:val="en-CA"/>
              </w:rPr>
            </w:pPr>
          </w:p>
        </w:tc>
        <w:tc>
          <w:tcPr>
            <w:tcW w:w="1552" w:type="dxa"/>
            <w:vMerge/>
            <w:tcBorders>
              <w:top w:val="single" w:sz="4" w:space="0" w:color="auto"/>
              <w:left w:val="single" w:sz="4" w:space="0" w:color="auto"/>
              <w:bottom w:val="single" w:sz="4" w:space="0" w:color="auto"/>
              <w:right w:val="single" w:sz="4" w:space="0" w:color="auto"/>
            </w:tcBorders>
            <w:vAlign w:val="center"/>
          </w:tcPr>
          <w:p w14:paraId="63F908FB" w14:textId="77777777" w:rsidR="00302BFE" w:rsidRPr="006E490C" w:rsidRDefault="00302BFE" w:rsidP="00243B15">
            <w:pPr>
              <w:spacing w:after="0"/>
              <w:jc w:val="left"/>
              <w:rPr>
                <w:bCs/>
                <w:i/>
                <w:sz w:val="18"/>
                <w:szCs w:val="18"/>
                <w:lang w:val="en-CA"/>
              </w:rPr>
            </w:pPr>
          </w:p>
        </w:tc>
        <w:tc>
          <w:tcPr>
            <w:tcW w:w="4712" w:type="dxa"/>
            <w:tcBorders>
              <w:top w:val="single" w:sz="4" w:space="0" w:color="auto"/>
              <w:left w:val="single" w:sz="4" w:space="0" w:color="auto"/>
              <w:bottom w:val="single" w:sz="4" w:space="0" w:color="auto"/>
              <w:right w:val="single" w:sz="4" w:space="0" w:color="auto"/>
            </w:tcBorders>
          </w:tcPr>
          <w:p w14:paraId="63DA6FE1" w14:textId="77777777" w:rsidR="00302BFE" w:rsidRPr="006E490C" w:rsidRDefault="00302BFE" w:rsidP="00243B15">
            <w:pPr>
              <w:jc w:val="left"/>
              <w:rPr>
                <w:sz w:val="18"/>
                <w:szCs w:val="18"/>
                <w:lang w:val="en-CA"/>
              </w:rPr>
            </w:pPr>
            <w:r w:rsidRPr="006E490C">
              <w:rPr>
                <w:i/>
                <w:sz w:val="18"/>
                <w:szCs w:val="18"/>
                <w:lang w:val="en-CA"/>
              </w:rPr>
              <w:t>Risks</w:t>
            </w:r>
            <w:r w:rsidRPr="006E490C">
              <w:rPr>
                <w:sz w:val="18"/>
                <w:szCs w:val="18"/>
                <w:lang w:val="en-CA"/>
              </w:rPr>
              <w:t>:</w:t>
            </w:r>
          </w:p>
          <w:p w14:paraId="4E02FDC1" w14:textId="77777777" w:rsidR="00302BFE" w:rsidRPr="006E490C" w:rsidRDefault="00302BFE" w:rsidP="00243B15">
            <w:pPr>
              <w:jc w:val="left"/>
              <w:rPr>
                <w:sz w:val="18"/>
                <w:szCs w:val="18"/>
                <w:lang w:val="en-CA"/>
              </w:rPr>
            </w:pPr>
            <w:r w:rsidRPr="006E490C">
              <w:rPr>
                <w:sz w:val="18"/>
                <w:szCs w:val="18"/>
                <w:lang w:val="en-CA"/>
              </w:rPr>
              <w:t>Lack of stakeholder buy-in of knowledge generated by the project and of the measures recommended in the landscape management master plan</w:t>
            </w:r>
          </w:p>
          <w:p w14:paraId="63CDA7FB" w14:textId="77777777" w:rsidR="00302BFE" w:rsidRPr="006E490C" w:rsidRDefault="00302BFE" w:rsidP="00243B15">
            <w:pPr>
              <w:jc w:val="left"/>
              <w:rPr>
                <w:sz w:val="18"/>
                <w:szCs w:val="18"/>
                <w:lang w:val="en-CA"/>
              </w:rPr>
            </w:pPr>
            <w:r w:rsidRPr="006E490C">
              <w:rPr>
                <w:sz w:val="18"/>
                <w:szCs w:val="18"/>
                <w:lang w:val="en-CA"/>
              </w:rPr>
              <w:t>Insufficient financial resources to implement the landscape management master plan</w:t>
            </w:r>
          </w:p>
          <w:p w14:paraId="63B24457" w14:textId="77777777" w:rsidR="00302BFE" w:rsidRPr="006E490C" w:rsidRDefault="00302BFE" w:rsidP="00243B15">
            <w:pPr>
              <w:jc w:val="left"/>
              <w:rPr>
                <w:sz w:val="18"/>
                <w:szCs w:val="18"/>
                <w:lang w:val="en-CA"/>
              </w:rPr>
            </w:pPr>
            <w:r w:rsidRPr="006E490C">
              <w:rPr>
                <w:i/>
                <w:sz w:val="18"/>
                <w:szCs w:val="18"/>
                <w:lang w:val="en-CA"/>
              </w:rPr>
              <w:t>Assumptions</w:t>
            </w:r>
            <w:r w:rsidRPr="006E490C">
              <w:rPr>
                <w:sz w:val="18"/>
                <w:szCs w:val="18"/>
                <w:lang w:val="en-CA"/>
              </w:rPr>
              <w:t>:</w:t>
            </w:r>
          </w:p>
          <w:p w14:paraId="48F4969F" w14:textId="77777777" w:rsidR="00302BFE" w:rsidRPr="00D15CBD" w:rsidRDefault="00302BFE" w:rsidP="00243B15">
            <w:pPr>
              <w:jc w:val="left"/>
              <w:rPr>
                <w:sz w:val="18"/>
                <w:szCs w:val="18"/>
                <w:lang w:val="en-CA"/>
              </w:rPr>
            </w:pPr>
            <w:r w:rsidRPr="006E490C">
              <w:rPr>
                <w:sz w:val="18"/>
                <w:szCs w:val="18"/>
                <w:lang w:val="en-CA"/>
              </w:rPr>
              <w:t xml:space="preserve">Each group / association </w:t>
            </w:r>
            <w:proofErr w:type="gramStart"/>
            <w:r w:rsidRPr="006E490C">
              <w:rPr>
                <w:sz w:val="18"/>
                <w:szCs w:val="18"/>
                <w:lang w:val="en-CA"/>
              </w:rPr>
              <w:t>is able to</w:t>
            </w:r>
            <w:proofErr w:type="gramEnd"/>
            <w:r w:rsidRPr="006E490C">
              <w:rPr>
                <w:sz w:val="18"/>
                <w:szCs w:val="18"/>
                <w:lang w:val="en-CA"/>
              </w:rPr>
              <w:t xml:space="preserve"> mobilize resources for knowledge translation and implementation of the measures recommended in the landscape management master plan</w:t>
            </w:r>
          </w:p>
        </w:tc>
      </w:tr>
      <w:bookmarkEnd w:id="23"/>
    </w:tbl>
    <w:p w14:paraId="2CB61296" w14:textId="77777777" w:rsidR="00302BFE" w:rsidRDefault="00302BFE" w:rsidP="00302BFE">
      <w:pPr>
        <w:jc w:val="left"/>
        <w:rPr>
          <w:i/>
          <w:szCs w:val="20"/>
        </w:rPr>
      </w:pPr>
    </w:p>
    <w:p w14:paraId="5FF3CE98" w14:textId="77777777" w:rsidR="00302BFE" w:rsidRPr="0003763F" w:rsidRDefault="00302BFE" w:rsidP="00302BFE">
      <w:pPr>
        <w:jc w:val="left"/>
        <w:rPr>
          <w:i/>
          <w:szCs w:val="20"/>
        </w:rPr>
      </w:pPr>
    </w:p>
    <w:p w14:paraId="27498FB6" w14:textId="77777777" w:rsidR="00302BFE" w:rsidRPr="0003763F" w:rsidRDefault="00302BFE" w:rsidP="00302BFE">
      <w:pPr>
        <w:sectPr w:rsidR="00302BFE" w:rsidRPr="0003763F" w:rsidSect="00243B15">
          <w:pgSz w:w="15840" w:h="12240" w:orient="landscape" w:code="1"/>
          <w:pgMar w:top="720" w:right="720" w:bottom="720" w:left="720" w:header="720" w:footer="432" w:gutter="0"/>
          <w:cols w:space="708"/>
          <w:titlePg/>
          <w:docGrid w:linePitch="360"/>
        </w:sectPr>
      </w:pPr>
    </w:p>
    <w:p w14:paraId="4C1B0193" w14:textId="77777777" w:rsidR="00302BFE" w:rsidRPr="0003763F" w:rsidRDefault="00302BFE" w:rsidP="00302BFE">
      <w:pPr>
        <w:pStyle w:val="Titre1"/>
        <w:spacing w:before="0" w:after="60"/>
        <w:rPr>
          <w:rFonts w:ascii="Calibri" w:hAnsi="Calibri"/>
          <w:szCs w:val="28"/>
        </w:rPr>
      </w:pPr>
      <w:bookmarkStart w:id="25" w:name="_Toc9961794"/>
      <w:bookmarkStart w:id="26" w:name="_Toc207800914"/>
      <w:bookmarkStart w:id="27" w:name="_Toc407785522"/>
      <w:bookmarkEnd w:id="21"/>
      <w:r w:rsidRPr="0003763F">
        <w:rPr>
          <w:rFonts w:ascii="Calibri" w:hAnsi="Calibri"/>
          <w:szCs w:val="28"/>
        </w:rPr>
        <w:lastRenderedPageBreak/>
        <w:t>Monitoring and Evaluation (M&amp;E) Plan</w:t>
      </w:r>
      <w:bookmarkEnd w:id="25"/>
    </w:p>
    <w:p w14:paraId="22B40B10" w14:textId="77777777" w:rsidR="0071360F" w:rsidRPr="00966EF0" w:rsidRDefault="0071360F" w:rsidP="0071360F">
      <w:pPr>
        <w:spacing w:after="0"/>
        <w:rPr>
          <w:rFonts w:cs="Calibri"/>
          <w:b/>
          <w:color w:val="0000FF"/>
          <w:szCs w:val="20"/>
          <w:u w:val="single"/>
        </w:rPr>
      </w:pPr>
      <w:r w:rsidRPr="00966EF0">
        <w:rPr>
          <w:rFonts w:cs="Calibri"/>
          <w:szCs w:val="20"/>
        </w:rPr>
        <w:t xml:space="preserve">Project-level monitoring and evaluation will be undertaken in compliance with UNDP requirements as outlined in the </w:t>
      </w:r>
      <w:hyperlink r:id="rId28" w:history="1">
        <w:r w:rsidRPr="00966EF0">
          <w:rPr>
            <w:rFonts w:cs="Calibri"/>
            <w:color w:val="0000FF"/>
            <w:szCs w:val="20"/>
            <w:u w:val="single"/>
          </w:rPr>
          <w:t>UNDP POPP</w:t>
        </w:r>
      </w:hyperlink>
      <w:r w:rsidRPr="00966EF0">
        <w:rPr>
          <w:rFonts w:cs="Calibri"/>
          <w:color w:val="0000FF"/>
          <w:szCs w:val="20"/>
          <w:u w:val="single"/>
        </w:rPr>
        <w:t xml:space="preserve"> (including guidance on GEF project revisions) and </w:t>
      </w:r>
      <w:hyperlink r:id="rId29" w:history="1">
        <w:r w:rsidRPr="00966EF0">
          <w:rPr>
            <w:rFonts w:cs="Calibri"/>
            <w:color w:val="0000FF"/>
            <w:szCs w:val="20"/>
            <w:u w:val="single"/>
          </w:rPr>
          <w:t>UNDP Evaluation Policy</w:t>
        </w:r>
      </w:hyperlink>
      <w:r w:rsidRPr="00966EF0">
        <w:rPr>
          <w:rFonts w:cs="Calibri"/>
          <w:color w:val="0000FF"/>
          <w:szCs w:val="20"/>
          <w:u w:val="single"/>
        </w:rPr>
        <w:t xml:space="preserve"> </w:t>
      </w:r>
      <w:r w:rsidRPr="00966EF0">
        <w:rPr>
          <w:rFonts w:cs="Calibri"/>
          <w:b/>
          <w:color w:val="0000FF"/>
          <w:szCs w:val="20"/>
          <w:u w:val="single"/>
        </w:rPr>
        <w:t xml:space="preserve">The UNDP Country Office is responsible for ensuring full compliance with all UNDP project </w:t>
      </w:r>
      <w:r w:rsidRPr="00966EF0">
        <w:rPr>
          <w:rFonts w:cs="Calibri"/>
          <w:b/>
          <w:bCs/>
          <w:color w:val="0000FF"/>
          <w:szCs w:val="20"/>
          <w:u w:val="single"/>
        </w:rPr>
        <w:t xml:space="preserve">M&amp;E requirements including project </w:t>
      </w:r>
      <w:r w:rsidRPr="00966EF0">
        <w:rPr>
          <w:rFonts w:cs="Calibri"/>
          <w:b/>
          <w:color w:val="0000FF"/>
          <w:szCs w:val="20"/>
          <w:u w:val="single"/>
        </w:rPr>
        <w:t xml:space="preserve">monitoring, UNDP quality assurance requirements, quarterly risk management, and evaluation requirements. </w:t>
      </w:r>
    </w:p>
    <w:p w14:paraId="70191D15" w14:textId="77777777" w:rsidR="0071360F" w:rsidRPr="00966EF0" w:rsidRDefault="0071360F" w:rsidP="0071360F">
      <w:pPr>
        <w:spacing w:after="0"/>
        <w:rPr>
          <w:rFonts w:cs="Calibri"/>
          <w:szCs w:val="20"/>
        </w:rPr>
      </w:pPr>
    </w:p>
    <w:p w14:paraId="0E7D9848" w14:textId="77777777" w:rsidR="0071360F" w:rsidRPr="00966EF0" w:rsidRDefault="0071360F" w:rsidP="0071360F">
      <w:pPr>
        <w:spacing w:after="0"/>
        <w:rPr>
          <w:rFonts w:cs="Calibri"/>
          <w:szCs w:val="20"/>
        </w:rPr>
      </w:pPr>
      <w:r w:rsidRPr="00966EF0">
        <w:rPr>
          <w:rFonts w:cs="Calibri"/>
          <w:szCs w:val="20"/>
        </w:rPr>
        <w:t xml:space="preserve">Additional mandatory GEF-specific M&amp;E requirements will be undertaken in accordance with the </w:t>
      </w:r>
      <w:hyperlink r:id="rId30" w:history="1">
        <w:r w:rsidRPr="00966EF0">
          <w:rPr>
            <w:rFonts w:cs="Calibri"/>
            <w:color w:val="0000FF"/>
            <w:szCs w:val="20"/>
            <w:u w:val="single"/>
          </w:rPr>
          <w:t>GEF Monitoring Policy</w:t>
        </w:r>
      </w:hyperlink>
      <w:r w:rsidRPr="00966EF0">
        <w:rPr>
          <w:rFonts w:cs="Calibri"/>
          <w:szCs w:val="20"/>
        </w:rPr>
        <w:t xml:space="preserve"> and the </w:t>
      </w:r>
      <w:hyperlink r:id="rId31" w:history="1">
        <w:r w:rsidRPr="00966EF0">
          <w:rPr>
            <w:rFonts w:cs="Calibri"/>
            <w:color w:val="0000FF"/>
            <w:szCs w:val="20"/>
            <w:u w:val="single"/>
          </w:rPr>
          <w:t>GEF Evaluation Policy</w:t>
        </w:r>
      </w:hyperlink>
      <w:r w:rsidRPr="00966EF0">
        <w:rPr>
          <w:rFonts w:cs="Calibri"/>
          <w:szCs w:val="20"/>
        </w:rPr>
        <w:t xml:space="preserve"> and other </w:t>
      </w:r>
      <w:hyperlink r:id="rId32" w:history="1">
        <w:r w:rsidRPr="00966EF0">
          <w:rPr>
            <w:rFonts w:cs="Calibri"/>
            <w:color w:val="0000FF"/>
            <w:szCs w:val="20"/>
            <w:u w:val="single"/>
          </w:rPr>
          <w:t>relevant GEF policies</w:t>
        </w:r>
      </w:hyperlink>
      <w:r w:rsidRPr="00966EF0">
        <w:rPr>
          <w:rFonts w:ascii="Arial" w:hAnsi="Arial"/>
          <w:sz w:val="18"/>
          <w:szCs w:val="20"/>
          <w:vertAlign w:val="superscript"/>
        </w:rPr>
        <w:footnoteReference w:id="71"/>
      </w:r>
      <w:r w:rsidRPr="00966EF0">
        <w:rPr>
          <w:rFonts w:cs="Calibri"/>
          <w:szCs w:val="20"/>
        </w:rPr>
        <w:t>. The M&amp;E plan and budget included below will guide the GEF-specific M&amp;E activities to be undertaken by this project.</w:t>
      </w:r>
    </w:p>
    <w:p w14:paraId="0347BA22" w14:textId="77777777" w:rsidR="0071360F" w:rsidRPr="00966EF0" w:rsidRDefault="0071360F" w:rsidP="0071360F">
      <w:pPr>
        <w:spacing w:after="0"/>
        <w:rPr>
          <w:rFonts w:cs="Calibri"/>
          <w:szCs w:val="20"/>
        </w:rPr>
      </w:pPr>
    </w:p>
    <w:p w14:paraId="71BC51C3" w14:textId="77777777" w:rsidR="0071360F" w:rsidRPr="00966EF0" w:rsidRDefault="0071360F" w:rsidP="0071360F">
      <w:pPr>
        <w:spacing w:after="0"/>
        <w:rPr>
          <w:rFonts w:cs="Calibri"/>
          <w:szCs w:val="20"/>
        </w:rPr>
      </w:pPr>
      <w:r w:rsidRPr="00966EF0">
        <w:rPr>
          <w:rFonts w:cs="Calibri"/>
          <w:szCs w:val="20"/>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60999482" w14:textId="77777777" w:rsidR="0071360F" w:rsidRPr="00966EF0" w:rsidRDefault="0071360F" w:rsidP="0071360F">
      <w:pPr>
        <w:spacing w:after="0"/>
        <w:rPr>
          <w:rFonts w:cs="Calibri"/>
          <w:szCs w:val="20"/>
        </w:rPr>
      </w:pPr>
    </w:p>
    <w:p w14:paraId="7EE33AEE" w14:textId="77777777" w:rsidR="0071360F" w:rsidRPr="00966EF0" w:rsidRDefault="0071360F" w:rsidP="0071360F">
      <w:pPr>
        <w:spacing w:after="0"/>
        <w:rPr>
          <w:i/>
          <w:szCs w:val="20"/>
        </w:rPr>
      </w:pPr>
      <w:r w:rsidRPr="00966EF0">
        <w:rPr>
          <w:rFonts w:cs="Calibri"/>
          <w:b/>
          <w:szCs w:val="20"/>
        </w:rPr>
        <w:t>Minimum project monitoring and reporting requirements as required by the GEF:</w:t>
      </w:r>
      <w:r w:rsidRPr="00966EF0">
        <w:rPr>
          <w:i/>
          <w:szCs w:val="20"/>
          <w:highlight w:val="magenta"/>
        </w:rPr>
        <w:t xml:space="preserve"> </w:t>
      </w:r>
    </w:p>
    <w:p w14:paraId="6E58B864" w14:textId="77777777" w:rsidR="0071360F" w:rsidRPr="00966EF0" w:rsidRDefault="0071360F" w:rsidP="0071360F">
      <w:pPr>
        <w:spacing w:after="0"/>
        <w:rPr>
          <w:rFonts w:cs="Calibri"/>
          <w:szCs w:val="20"/>
          <w:u w:val="single"/>
        </w:rPr>
      </w:pPr>
    </w:p>
    <w:p w14:paraId="5CA6BEF3" w14:textId="77777777" w:rsidR="0071360F" w:rsidRPr="00966EF0" w:rsidRDefault="0071360F" w:rsidP="0071360F">
      <w:pPr>
        <w:spacing w:after="0"/>
        <w:rPr>
          <w:rFonts w:cs="Calibri"/>
          <w:szCs w:val="20"/>
        </w:rPr>
      </w:pPr>
      <w:r w:rsidRPr="00966EF0">
        <w:rPr>
          <w:rFonts w:cs="Calibri"/>
          <w:szCs w:val="20"/>
          <w:u w:val="single"/>
        </w:rPr>
        <w:t>Inception Workshop and Report</w:t>
      </w:r>
      <w:r w:rsidRPr="00966EF0">
        <w:rPr>
          <w:rFonts w:cs="Calibri"/>
          <w:szCs w:val="20"/>
        </w:rPr>
        <w:t xml:space="preserve">:  A project inception workshop will be held within 2 months from the First disbursement date, with the aim to: </w:t>
      </w:r>
    </w:p>
    <w:p w14:paraId="03F85C67" w14:textId="77777777" w:rsidR="0071360F" w:rsidRPr="00966EF0" w:rsidRDefault="0071360F" w:rsidP="00C46720">
      <w:pPr>
        <w:numPr>
          <w:ilvl w:val="0"/>
          <w:numId w:val="69"/>
        </w:numPr>
        <w:spacing w:after="0"/>
        <w:rPr>
          <w:rFonts w:ascii="Times New Roman" w:hAnsi="Times New Roman" w:cs="Calibri"/>
          <w:sz w:val="24"/>
          <w:szCs w:val="20"/>
        </w:rPr>
      </w:pPr>
      <w:r w:rsidRPr="00966EF0">
        <w:rPr>
          <w:rFonts w:cs="Calibri"/>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69FD9303" w14:textId="77777777" w:rsidR="0071360F" w:rsidRPr="00966EF0" w:rsidRDefault="0071360F" w:rsidP="00C46720">
      <w:pPr>
        <w:numPr>
          <w:ilvl w:val="0"/>
          <w:numId w:val="69"/>
        </w:numPr>
        <w:spacing w:after="0"/>
        <w:rPr>
          <w:rFonts w:ascii="Times New Roman" w:hAnsi="Times New Roman" w:cs="Calibri"/>
          <w:sz w:val="24"/>
          <w:szCs w:val="20"/>
        </w:rPr>
      </w:pPr>
      <w:r w:rsidRPr="00966EF0">
        <w:rPr>
          <w:rFonts w:cs="Calibri"/>
          <w:szCs w:val="20"/>
        </w:rPr>
        <w:t xml:space="preserve">Discuss the roles and responsibilities of the project team, including reporting lines, stakeholder engagement strategies and conflict resolution mechanisms. </w:t>
      </w:r>
    </w:p>
    <w:p w14:paraId="3FFDD1C0" w14:textId="77777777" w:rsidR="0071360F" w:rsidRPr="00966EF0" w:rsidRDefault="0071360F" w:rsidP="00C46720">
      <w:pPr>
        <w:numPr>
          <w:ilvl w:val="0"/>
          <w:numId w:val="69"/>
        </w:numPr>
        <w:spacing w:after="0"/>
        <w:rPr>
          <w:rFonts w:ascii="Times New Roman" w:hAnsi="Times New Roman" w:cs="Calibri"/>
          <w:sz w:val="24"/>
          <w:szCs w:val="20"/>
        </w:rPr>
      </w:pPr>
      <w:r w:rsidRPr="00966EF0">
        <w:rPr>
          <w:rFonts w:cs="Calibri"/>
          <w:szCs w:val="20"/>
        </w:rPr>
        <w:t xml:space="preserve">Review the results framework and monitoring plan. </w:t>
      </w:r>
    </w:p>
    <w:p w14:paraId="07648FAA" w14:textId="77777777" w:rsidR="0071360F" w:rsidRPr="00966EF0" w:rsidRDefault="0071360F" w:rsidP="00C46720">
      <w:pPr>
        <w:numPr>
          <w:ilvl w:val="0"/>
          <w:numId w:val="69"/>
        </w:numPr>
        <w:spacing w:after="0"/>
        <w:rPr>
          <w:rFonts w:cs="Calibri"/>
          <w:szCs w:val="20"/>
        </w:rPr>
      </w:pPr>
      <w:r w:rsidRPr="00966EF0">
        <w:rPr>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37E8293A" w14:textId="77777777" w:rsidR="0071360F" w:rsidRPr="00966EF0" w:rsidRDefault="0071360F" w:rsidP="00C46720">
      <w:pPr>
        <w:numPr>
          <w:ilvl w:val="0"/>
          <w:numId w:val="69"/>
        </w:numPr>
        <w:spacing w:after="0"/>
        <w:rPr>
          <w:szCs w:val="20"/>
        </w:rPr>
      </w:pPr>
      <w:r w:rsidRPr="00966EF0">
        <w:rPr>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60825FF3" w14:textId="77777777" w:rsidR="0071360F" w:rsidRPr="00966EF0" w:rsidRDefault="0071360F" w:rsidP="00C46720">
      <w:pPr>
        <w:numPr>
          <w:ilvl w:val="0"/>
          <w:numId w:val="69"/>
        </w:numPr>
        <w:spacing w:after="0"/>
        <w:rPr>
          <w:szCs w:val="20"/>
        </w:rPr>
      </w:pPr>
      <w:r w:rsidRPr="00966EF0">
        <w:rPr>
          <w:szCs w:val="20"/>
        </w:rPr>
        <w:t xml:space="preserve">Review financial reporting procedures and budget monitoring and other mandatory requirements and agree on the arrangements for the annual audit. </w:t>
      </w:r>
    </w:p>
    <w:p w14:paraId="04A7CADE" w14:textId="77777777" w:rsidR="0071360F" w:rsidRPr="00966EF0" w:rsidRDefault="0071360F" w:rsidP="00C46720">
      <w:pPr>
        <w:numPr>
          <w:ilvl w:val="0"/>
          <w:numId w:val="69"/>
        </w:numPr>
        <w:spacing w:after="0"/>
        <w:rPr>
          <w:szCs w:val="20"/>
        </w:rPr>
      </w:pPr>
      <w:r w:rsidRPr="00966EF0">
        <w:rPr>
          <w:szCs w:val="20"/>
        </w:rPr>
        <w:t>Plan and schedule Project Board meetings and finalize the first-year annual work plan.  Finalize the TOR of the Project Board.</w:t>
      </w:r>
    </w:p>
    <w:p w14:paraId="341E551B" w14:textId="77777777" w:rsidR="0071360F" w:rsidRPr="00966EF0" w:rsidRDefault="0071360F" w:rsidP="00C46720">
      <w:pPr>
        <w:numPr>
          <w:ilvl w:val="0"/>
          <w:numId w:val="69"/>
        </w:numPr>
        <w:spacing w:after="0"/>
        <w:rPr>
          <w:szCs w:val="20"/>
        </w:rPr>
      </w:pPr>
      <w:r w:rsidRPr="00966EF0">
        <w:rPr>
          <w:szCs w:val="20"/>
        </w:rPr>
        <w:t>Formally launch the Project.</w:t>
      </w:r>
    </w:p>
    <w:p w14:paraId="0AB3B7F7" w14:textId="77777777" w:rsidR="0071360F" w:rsidRPr="00966EF0" w:rsidRDefault="0071360F" w:rsidP="0071360F">
      <w:pPr>
        <w:spacing w:after="0"/>
        <w:rPr>
          <w:rFonts w:cs="Calibri"/>
          <w:szCs w:val="20"/>
          <w:u w:val="single"/>
        </w:rPr>
      </w:pPr>
    </w:p>
    <w:p w14:paraId="2BA53953" w14:textId="31CEB1ED" w:rsidR="0071360F" w:rsidRPr="00966EF0" w:rsidRDefault="0071360F" w:rsidP="0071360F">
      <w:pPr>
        <w:spacing w:after="0"/>
        <w:rPr>
          <w:i/>
          <w:szCs w:val="20"/>
        </w:rPr>
      </w:pPr>
      <w:r w:rsidRPr="00966EF0">
        <w:rPr>
          <w:rFonts w:cs="Calibri"/>
          <w:szCs w:val="20"/>
          <w:u w:val="single"/>
        </w:rPr>
        <w:t>GEF Project Implementation Report (PIR</w:t>
      </w:r>
      <w:r w:rsidRPr="00966EF0">
        <w:rPr>
          <w:rFonts w:cs="Calibri"/>
          <w:szCs w:val="20"/>
        </w:rPr>
        <w:t>):</w:t>
      </w:r>
    </w:p>
    <w:p w14:paraId="7C9500A3" w14:textId="77777777" w:rsidR="0071360F" w:rsidRPr="00966EF0" w:rsidRDefault="0071360F" w:rsidP="0071360F">
      <w:pPr>
        <w:spacing w:after="0"/>
        <w:rPr>
          <w:rFonts w:cs="Calibri"/>
          <w:szCs w:val="20"/>
        </w:rPr>
      </w:pPr>
      <w:r w:rsidRPr="00966EF0">
        <w:rPr>
          <w:rFonts w:cs="Calibri"/>
          <w:szCs w:val="20"/>
        </w:rPr>
        <w:t xml:space="preserve">The annual GEF PIR covering the reporting period July (previous year) to June (current year) will be completed for each year of project implementation. UNDP will undertake quality assurance of the PIR before submission to the GEF. The PIR submitted to the GEF will be shared with the Project Board. UNDP will conduct a quality review of the PIR, and this quality review and feedback will be used to inform the preparation of the subsequent annual PIR.  </w:t>
      </w:r>
    </w:p>
    <w:p w14:paraId="7B466519" w14:textId="77777777" w:rsidR="0071360F" w:rsidRPr="00966EF0" w:rsidRDefault="0071360F" w:rsidP="0071360F">
      <w:pPr>
        <w:spacing w:after="0"/>
        <w:rPr>
          <w:rFonts w:cs="Calibri"/>
          <w:szCs w:val="20"/>
          <w:u w:val="single"/>
          <w:lang w:val="en-GB"/>
        </w:rPr>
      </w:pPr>
    </w:p>
    <w:p w14:paraId="08358B1A" w14:textId="77821430" w:rsidR="0071360F" w:rsidRPr="00966EF0" w:rsidRDefault="0071360F" w:rsidP="0071360F">
      <w:pPr>
        <w:spacing w:after="0"/>
        <w:rPr>
          <w:rFonts w:cs="Calibri"/>
          <w:szCs w:val="20"/>
          <w:lang w:val="en-GB"/>
        </w:rPr>
      </w:pPr>
      <w:r w:rsidRPr="0042658C">
        <w:rPr>
          <w:rFonts w:cs="Calibri"/>
          <w:szCs w:val="20"/>
          <w:u w:val="single"/>
          <w:lang w:val="en-GB"/>
        </w:rPr>
        <w:t>GEF and/or LDCF Core</w:t>
      </w:r>
      <w:r w:rsidRPr="00966EF0">
        <w:rPr>
          <w:rFonts w:cs="Calibri"/>
          <w:szCs w:val="20"/>
          <w:u w:val="single"/>
          <w:lang w:val="en-GB"/>
        </w:rPr>
        <w:t xml:space="preserve"> Indicators</w:t>
      </w:r>
      <w:r w:rsidRPr="00966EF0">
        <w:rPr>
          <w:rFonts w:cs="Calibri"/>
          <w:szCs w:val="20"/>
          <w:lang w:val="en-GB"/>
        </w:rPr>
        <w:t xml:space="preserve">: </w:t>
      </w:r>
      <w:r w:rsidRPr="00966EF0">
        <w:rPr>
          <w:rFonts w:cs="Calibri"/>
          <w:b/>
          <w:szCs w:val="20"/>
        </w:rPr>
        <w:t xml:space="preserve"> </w:t>
      </w:r>
      <w:r w:rsidRPr="0042658C">
        <w:rPr>
          <w:rFonts w:cs="Calibri"/>
          <w:szCs w:val="20"/>
          <w:lang w:val="en-GB"/>
        </w:rPr>
        <w:t>The GEF and/or LDCF</w:t>
      </w:r>
      <w:r w:rsidRPr="00966EF0">
        <w:rPr>
          <w:rFonts w:cs="Calibri"/>
          <w:szCs w:val="20"/>
          <w:lang w:val="en-GB"/>
        </w:rPr>
        <w:t xml:space="preserve"> Core indicators included as Annex will be used to monitor global environmental benefits and will be updated for reporting to the GEF prior to MTR and TE. Note that the project team is responsible for updating the indicator status. The updated monitoring data should be shared with MTR/TE consultants </w:t>
      </w:r>
      <w:r w:rsidRPr="00966EF0">
        <w:rPr>
          <w:rFonts w:cs="Calibri"/>
          <w:szCs w:val="20"/>
          <w:u w:val="single"/>
          <w:lang w:val="en-GB"/>
        </w:rPr>
        <w:t>prior</w:t>
      </w:r>
      <w:r w:rsidRPr="00966EF0">
        <w:rPr>
          <w:rFonts w:cs="Calibri"/>
          <w:szCs w:val="20"/>
          <w:lang w:val="en-GB"/>
        </w:rPr>
        <w:t xml:space="preserve"> to required evaluation missions, so these can be used for subsequent </w:t>
      </w:r>
      <w:proofErr w:type="spellStart"/>
      <w:r w:rsidRPr="00966EF0">
        <w:rPr>
          <w:rFonts w:cs="Calibri"/>
          <w:szCs w:val="20"/>
          <w:lang w:val="en-GB"/>
        </w:rPr>
        <w:t>groundtruthing</w:t>
      </w:r>
      <w:proofErr w:type="spellEnd"/>
      <w:r w:rsidRPr="00966EF0">
        <w:rPr>
          <w:rFonts w:cs="Calibri"/>
          <w:szCs w:val="20"/>
          <w:lang w:val="en-GB"/>
        </w:rPr>
        <w:t xml:space="preserve">. The methodologies to be used in data collection have been defined by the GEF and are available on the GEF </w:t>
      </w:r>
      <w:hyperlink r:id="rId33" w:history="1">
        <w:r w:rsidRPr="00966EF0">
          <w:rPr>
            <w:rFonts w:cs="Calibri"/>
            <w:color w:val="0000FF"/>
            <w:szCs w:val="20"/>
            <w:u w:val="single"/>
            <w:lang w:val="en-GB"/>
          </w:rPr>
          <w:t>website</w:t>
        </w:r>
      </w:hyperlink>
      <w:r w:rsidR="00274460">
        <w:rPr>
          <w:rFonts w:cs="Calibri"/>
          <w:szCs w:val="20"/>
          <w:lang w:val="en-GB"/>
        </w:rPr>
        <w:t>.</w:t>
      </w:r>
      <w:r w:rsidRPr="00966EF0">
        <w:rPr>
          <w:rFonts w:cs="Calibri"/>
          <w:szCs w:val="20"/>
          <w:lang w:val="en-GB"/>
        </w:rPr>
        <w:t xml:space="preserve"> </w:t>
      </w:r>
    </w:p>
    <w:p w14:paraId="0926100F" w14:textId="77777777" w:rsidR="0071360F" w:rsidRPr="00966EF0" w:rsidRDefault="0071360F" w:rsidP="0071360F">
      <w:pPr>
        <w:spacing w:after="0"/>
        <w:rPr>
          <w:rFonts w:cs="Calibri"/>
          <w:szCs w:val="20"/>
          <w:lang w:val="en-GB"/>
        </w:rPr>
      </w:pPr>
    </w:p>
    <w:p w14:paraId="33D32DEC" w14:textId="4335F58A" w:rsidR="0071360F" w:rsidRPr="008358DF" w:rsidRDefault="0071360F" w:rsidP="0071360F">
      <w:pPr>
        <w:spacing w:after="0"/>
        <w:rPr>
          <w:rFonts w:cs="Calibri"/>
          <w:szCs w:val="20"/>
        </w:rPr>
      </w:pPr>
      <w:r w:rsidRPr="008358DF">
        <w:rPr>
          <w:rFonts w:cs="Calibri"/>
          <w:iCs/>
          <w:szCs w:val="20"/>
          <w:u w:val="single"/>
        </w:rPr>
        <w:lastRenderedPageBreak/>
        <w:t>Independent Mid-term Review (MTR)</w:t>
      </w:r>
      <w:r w:rsidRPr="008358DF">
        <w:rPr>
          <w:rFonts w:cs="Calibri"/>
          <w:iCs/>
          <w:szCs w:val="20"/>
        </w:rPr>
        <w:t>:</w:t>
      </w:r>
      <w:r w:rsidR="008358DF" w:rsidRPr="008358DF">
        <w:rPr>
          <w:rFonts w:cs="Calibri"/>
          <w:i/>
          <w:szCs w:val="20"/>
        </w:rPr>
        <w:t xml:space="preserve"> </w:t>
      </w:r>
      <w:r w:rsidRPr="008358DF">
        <w:rPr>
          <w:rFonts w:cs="Calibri"/>
          <w:szCs w:val="20"/>
        </w:rPr>
        <w:t xml:space="preserve">The terms of reference, the review process and the final MTR report will follow the standard UNDP templates and UNDP guidance for GEF-financed projects available on the </w:t>
      </w:r>
      <w:hyperlink r:id="rId34" w:anchor="gef" w:history="1">
        <w:r w:rsidRPr="008358DF">
          <w:rPr>
            <w:rFonts w:cs="Calibri"/>
            <w:color w:val="0000FF"/>
            <w:szCs w:val="20"/>
            <w:u w:val="single"/>
          </w:rPr>
          <w:t>UNDP Evaluation Resource Center</w:t>
        </w:r>
      </w:hyperlink>
      <w:r w:rsidRPr="008358DF">
        <w:rPr>
          <w:rFonts w:cs="Calibri"/>
          <w:color w:val="0000FF"/>
          <w:szCs w:val="20"/>
          <w:u w:val="single"/>
        </w:rPr>
        <w:t xml:space="preserve"> (ERC).</w:t>
      </w:r>
      <w:r w:rsidRPr="008358DF">
        <w:rPr>
          <w:rFonts w:cs="Calibri"/>
          <w:szCs w:val="20"/>
        </w:rPr>
        <w:t xml:space="preserve"> </w:t>
      </w:r>
    </w:p>
    <w:p w14:paraId="479574A0" w14:textId="77777777" w:rsidR="0071360F" w:rsidRPr="00966EF0" w:rsidRDefault="0071360F" w:rsidP="0071360F">
      <w:pPr>
        <w:spacing w:after="0"/>
        <w:rPr>
          <w:highlight w:val="yellow"/>
        </w:rPr>
      </w:pPr>
    </w:p>
    <w:p w14:paraId="4BA7F950" w14:textId="77777777" w:rsidR="0071360F" w:rsidRPr="00966EF0" w:rsidRDefault="0071360F" w:rsidP="0071360F">
      <w:r w:rsidRPr="008358DF">
        <w:t xml:space="preserve">The evaluation will be ‘independent, impartial and </w:t>
      </w:r>
      <w:proofErr w:type="gramStart"/>
      <w:r w:rsidRPr="008358DF">
        <w:t>rigorous’</w:t>
      </w:r>
      <w:proofErr w:type="gramEnd"/>
      <w:r w:rsidRPr="008358DF">
        <w:t xml:space="preserve">. The evaluators that UNDP will hire to undertake the assignment will be independent from organizations that were involved in designing, </w:t>
      </w:r>
      <w:proofErr w:type="gramStart"/>
      <w:r w:rsidRPr="008358DF">
        <w:t>executing</w:t>
      </w:r>
      <w:proofErr w:type="gramEnd"/>
      <w:r w:rsidRPr="008358DF">
        <w:t xml:space="preserve"> or advising on the project to be evaluated. Equally, the evaluators should not be in a position where there may be the possibility of future contracts regarding the project under review. </w:t>
      </w:r>
    </w:p>
    <w:p w14:paraId="06144E14" w14:textId="77777777" w:rsidR="0071360F" w:rsidRPr="00966EF0" w:rsidRDefault="0071360F" w:rsidP="0071360F">
      <w:pPr>
        <w:rPr>
          <w:rFonts w:eastAsia="Calibri" w:cs="Arial"/>
        </w:rPr>
      </w:pPr>
    </w:p>
    <w:p w14:paraId="54040AD7" w14:textId="77777777" w:rsidR="0071360F" w:rsidRPr="00C03999" w:rsidRDefault="0071360F" w:rsidP="0071360F">
      <w:pPr>
        <w:spacing w:after="0"/>
        <w:rPr>
          <w:rFonts w:cs="Calibri"/>
          <w:szCs w:val="20"/>
        </w:rPr>
      </w:pPr>
      <w:r w:rsidRPr="00C03999">
        <w:t xml:space="preserve">The GEF Operational Focal Point and other stakeholders will be actively involved and consulted during the evaluation process. </w:t>
      </w:r>
      <w:r w:rsidRPr="00C03999">
        <w:rPr>
          <w:rFonts w:cs="Calibri"/>
          <w:szCs w:val="20"/>
        </w:rPr>
        <w:t>Additional quality assurance support is available from the BPPS/NCE-VF Directorate.</w:t>
      </w:r>
    </w:p>
    <w:p w14:paraId="3A20AF13" w14:textId="77777777" w:rsidR="0071360F" w:rsidRPr="00966EF0" w:rsidRDefault="0071360F" w:rsidP="0071360F">
      <w:pPr>
        <w:spacing w:after="0"/>
        <w:rPr>
          <w:rFonts w:cs="Calibri"/>
          <w:szCs w:val="20"/>
          <w:highlight w:val="yellow"/>
        </w:rPr>
      </w:pPr>
    </w:p>
    <w:p w14:paraId="12E944FF" w14:textId="50815675" w:rsidR="0071360F" w:rsidRPr="00B77E76" w:rsidRDefault="0071360F" w:rsidP="0071360F">
      <w:pPr>
        <w:spacing w:after="0"/>
        <w:rPr>
          <w:rFonts w:cs="Calibri"/>
          <w:i/>
          <w:color w:val="FF0000"/>
          <w:szCs w:val="20"/>
        </w:rPr>
      </w:pPr>
      <w:r w:rsidRPr="00B77E76">
        <w:rPr>
          <w:rFonts w:cs="Calibri"/>
          <w:szCs w:val="20"/>
        </w:rPr>
        <w:t xml:space="preserve">The </w:t>
      </w:r>
      <w:r w:rsidRPr="00626E02">
        <w:rPr>
          <w:rFonts w:cs="Calibri"/>
          <w:szCs w:val="20"/>
        </w:rPr>
        <w:t>final MTR report and MTR TOR will be publicly available in English and will be posted on the UNDP ERC by</w:t>
      </w:r>
      <w:r w:rsidR="00B77E76" w:rsidRPr="00626E02">
        <w:rPr>
          <w:rFonts w:cs="Calibri"/>
          <w:szCs w:val="20"/>
        </w:rPr>
        <w:t xml:space="preserve"> </w:t>
      </w:r>
      <w:r w:rsidR="00FF37DA">
        <w:rPr>
          <w:rFonts w:cs="Calibri"/>
          <w:szCs w:val="20"/>
        </w:rPr>
        <w:t xml:space="preserve">1 </w:t>
      </w:r>
      <w:r w:rsidR="00350733">
        <w:rPr>
          <w:rFonts w:cs="Calibri"/>
          <w:szCs w:val="20"/>
        </w:rPr>
        <w:t>June</w:t>
      </w:r>
      <w:r w:rsidR="00B77E76" w:rsidRPr="00626E02">
        <w:t xml:space="preserve"> 2026</w:t>
      </w:r>
      <w:r w:rsidR="00626E02" w:rsidRPr="00626E02">
        <w:rPr>
          <w:rFonts w:cs="Calibri"/>
          <w:szCs w:val="20"/>
        </w:rPr>
        <w:t>.</w:t>
      </w:r>
      <w:r w:rsidR="00626E02">
        <w:rPr>
          <w:rFonts w:cs="Calibri"/>
          <w:szCs w:val="20"/>
        </w:rPr>
        <w:t xml:space="preserve"> </w:t>
      </w:r>
      <w:r w:rsidRPr="00B77E76">
        <w:rPr>
          <w:rFonts w:cs="Calibri"/>
          <w:szCs w:val="20"/>
        </w:rPr>
        <w:t>A management response to MTR recommendations will be posted in the ERC within six weeks of the MTR report’s completion.</w:t>
      </w:r>
    </w:p>
    <w:p w14:paraId="1A089CFE" w14:textId="77777777" w:rsidR="0071360F" w:rsidRPr="00966EF0" w:rsidRDefault="0071360F" w:rsidP="0071360F">
      <w:pPr>
        <w:rPr>
          <w:rFonts w:cs="Calibri"/>
          <w:szCs w:val="20"/>
          <w:u w:val="single"/>
        </w:rPr>
      </w:pPr>
    </w:p>
    <w:p w14:paraId="35D6E649" w14:textId="15720C73" w:rsidR="0071360F" w:rsidRPr="00966EF0" w:rsidRDefault="0071360F" w:rsidP="0071360F">
      <w:pPr>
        <w:spacing w:after="0"/>
        <w:rPr>
          <w:rFonts w:cs="Calibri"/>
        </w:rPr>
      </w:pPr>
      <w:r w:rsidRPr="00966EF0">
        <w:rPr>
          <w:rFonts w:cs="Calibri"/>
          <w:szCs w:val="20"/>
          <w:u w:val="single"/>
        </w:rPr>
        <w:t>Terminal Evaluation (TE)</w:t>
      </w:r>
      <w:r w:rsidRPr="00966EF0">
        <w:rPr>
          <w:rFonts w:cs="Calibri"/>
          <w:szCs w:val="20"/>
        </w:rPr>
        <w:t xml:space="preserve">: </w:t>
      </w:r>
      <w:r w:rsidRPr="00966EF0">
        <w:rPr>
          <w:rFonts w:cs="Calibri"/>
        </w:rPr>
        <w:t xml:space="preserve">An independent terminal evaluation (TE) will take place upon completion of all major project outputs and activities. The terms of reference, the evaluation process and the final TE report will follow the standard templates and guidance for GEF-financed projects available on the </w:t>
      </w:r>
      <w:hyperlink r:id="rId35" w:anchor="gef">
        <w:r w:rsidRPr="00966EF0">
          <w:rPr>
            <w:rFonts w:cs="Calibri"/>
            <w:color w:val="0000FF"/>
            <w:u w:val="single"/>
          </w:rPr>
          <w:t>UNDP Evaluation Resource Center</w:t>
        </w:r>
      </w:hyperlink>
      <w:r w:rsidRPr="00966EF0">
        <w:rPr>
          <w:rFonts w:cs="Calibri"/>
          <w:color w:val="0000FF"/>
          <w:u w:val="single"/>
        </w:rPr>
        <w:t>.</w:t>
      </w:r>
      <w:r w:rsidRPr="00966EF0">
        <w:rPr>
          <w:rFonts w:cs="Calibri"/>
        </w:rPr>
        <w:t xml:space="preserve"> TE should be completed 3 months before the estimated operational closure date, set from the signature of the </w:t>
      </w:r>
      <w:proofErr w:type="spellStart"/>
      <w:r w:rsidRPr="00966EF0">
        <w:rPr>
          <w:rFonts w:cs="Calibri"/>
        </w:rPr>
        <w:t>ProDoc</w:t>
      </w:r>
      <w:proofErr w:type="spellEnd"/>
      <w:r w:rsidRPr="00966EF0">
        <w:rPr>
          <w:rFonts w:cs="Calibri"/>
        </w:rPr>
        <w:t xml:space="preserve"> and according to the duration of the project. Provisions should be taken to complete the TE in due time to avoid delay in project closure. Therefore, TE must start no later than 6 months to the expected date of completion of the TE (or 9 months prior to the estimated operational closure date). </w:t>
      </w:r>
    </w:p>
    <w:p w14:paraId="104D4721" w14:textId="77777777" w:rsidR="0071360F" w:rsidRPr="00966EF0" w:rsidRDefault="0071360F" w:rsidP="0071360F">
      <w:pPr>
        <w:spacing w:after="0"/>
      </w:pPr>
    </w:p>
    <w:p w14:paraId="7FAE70D6" w14:textId="77777777" w:rsidR="0071360F" w:rsidRPr="00966EF0" w:rsidRDefault="0071360F" w:rsidP="0071360F">
      <w:r w:rsidRPr="00966EF0">
        <w:t xml:space="preserve">The evaluation will be ‘independent, impartial and </w:t>
      </w:r>
      <w:proofErr w:type="gramStart"/>
      <w:r w:rsidRPr="00966EF0">
        <w:t>rigorous’</w:t>
      </w:r>
      <w:proofErr w:type="gramEnd"/>
      <w:r w:rsidRPr="00966EF0">
        <w:t xml:space="preserve">. The evaluators that UNDP will hire to undertake the assignment will be independent from organizations that were involved in designing, </w:t>
      </w:r>
      <w:proofErr w:type="gramStart"/>
      <w:r w:rsidRPr="00966EF0">
        <w:t>executing</w:t>
      </w:r>
      <w:proofErr w:type="gramEnd"/>
      <w:r w:rsidRPr="00966EF0">
        <w:t xml:space="preserve"> or advising on the project to be evaluated. Equally, the evaluators should not be in a position where there may be the possibility of future contracts regarding the project being evaluated. </w:t>
      </w:r>
    </w:p>
    <w:p w14:paraId="622BB641" w14:textId="77777777" w:rsidR="0071360F" w:rsidRPr="00966EF0" w:rsidRDefault="0071360F" w:rsidP="0071360F">
      <w:pPr>
        <w:spacing w:after="0"/>
      </w:pPr>
    </w:p>
    <w:p w14:paraId="41FBC6D6" w14:textId="77777777" w:rsidR="0071360F" w:rsidRPr="00966EF0" w:rsidRDefault="0071360F" w:rsidP="0071360F">
      <w:pPr>
        <w:spacing w:after="0"/>
        <w:rPr>
          <w:rFonts w:cs="Calibri"/>
          <w:szCs w:val="20"/>
        </w:rPr>
      </w:pPr>
      <w:r w:rsidRPr="00966EF0">
        <w:t xml:space="preserve">The GEF Operational Focal Point and other stakeholders will be actively involved and consulted during the terminal evaluation process. </w:t>
      </w:r>
      <w:r w:rsidRPr="00966EF0">
        <w:rPr>
          <w:rFonts w:cs="Calibri"/>
          <w:szCs w:val="20"/>
        </w:rPr>
        <w:t xml:space="preserve">Additional quality assurance support is available from the BPPS/NCE-VF Directorate. </w:t>
      </w:r>
    </w:p>
    <w:p w14:paraId="7307D6CE" w14:textId="77777777" w:rsidR="0071360F" w:rsidRPr="00966EF0" w:rsidRDefault="0071360F" w:rsidP="0071360F">
      <w:pPr>
        <w:spacing w:after="0"/>
        <w:rPr>
          <w:rFonts w:cs="Calibri"/>
          <w:szCs w:val="20"/>
        </w:rPr>
      </w:pPr>
    </w:p>
    <w:p w14:paraId="0EC89F97" w14:textId="56F03CA7" w:rsidR="0071360F" w:rsidRPr="00966EF0" w:rsidRDefault="0071360F" w:rsidP="0071360F">
      <w:pPr>
        <w:spacing w:after="0"/>
        <w:rPr>
          <w:rFonts w:cs="Calibri"/>
          <w:szCs w:val="20"/>
        </w:rPr>
      </w:pPr>
      <w:r w:rsidRPr="00966EF0">
        <w:rPr>
          <w:rFonts w:cs="Calibri"/>
          <w:szCs w:val="20"/>
        </w:rPr>
        <w:t>The final TE report and TE TOR will be publicly available in English and posted on the UNDP ERC by</w:t>
      </w:r>
      <w:r w:rsidR="009B782F">
        <w:rPr>
          <w:rFonts w:cs="Calibri"/>
          <w:szCs w:val="20"/>
        </w:rPr>
        <w:t xml:space="preserve"> </w:t>
      </w:r>
      <w:r w:rsidR="00FF37DA">
        <w:rPr>
          <w:rFonts w:cs="Calibri"/>
          <w:szCs w:val="20"/>
        </w:rPr>
        <w:t>2</w:t>
      </w:r>
      <w:r w:rsidR="00350733">
        <w:rPr>
          <w:rFonts w:cs="Calibri"/>
          <w:szCs w:val="20"/>
        </w:rPr>
        <w:t>8</w:t>
      </w:r>
      <w:r w:rsidR="00F73A10">
        <w:rPr>
          <w:rFonts w:cs="Calibri"/>
          <w:szCs w:val="20"/>
        </w:rPr>
        <w:t xml:space="preserve"> </w:t>
      </w:r>
      <w:r w:rsidR="00FF37DA">
        <w:rPr>
          <w:rFonts w:cs="Calibri"/>
          <w:szCs w:val="20"/>
        </w:rPr>
        <w:t>February</w:t>
      </w:r>
      <w:r w:rsidR="00F73A10">
        <w:rPr>
          <w:rFonts w:cs="Calibri"/>
          <w:szCs w:val="20"/>
        </w:rPr>
        <w:t xml:space="preserve"> 2029</w:t>
      </w:r>
      <w:r w:rsidR="009B782F">
        <w:rPr>
          <w:rFonts w:cs="Calibri"/>
          <w:szCs w:val="20"/>
        </w:rPr>
        <w:t xml:space="preserve">. </w:t>
      </w:r>
      <w:r w:rsidRPr="00966EF0">
        <w:rPr>
          <w:rFonts w:cs="Calibri"/>
          <w:szCs w:val="20"/>
        </w:rPr>
        <w:t>A management response to the TE recommendations will be posted to the ERC within six weeks of the TE report’s completion.</w:t>
      </w:r>
    </w:p>
    <w:p w14:paraId="419F15FC" w14:textId="77777777" w:rsidR="0071360F" w:rsidRPr="00966EF0" w:rsidRDefault="0071360F" w:rsidP="0071360F">
      <w:pPr>
        <w:spacing w:after="0"/>
        <w:rPr>
          <w:rFonts w:cs="Calibri"/>
          <w:szCs w:val="20"/>
          <w:u w:val="single"/>
        </w:rPr>
      </w:pPr>
    </w:p>
    <w:p w14:paraId="206F2D95" w14:textId="4D2ACF92" w:rsidR="0071360F" w:rsidRPr="00966EF0" w:rsidRDefault="0071360F" w:rsidP="0071360F">
      <w:pPr>
        <w:spacing w:after="0"/>
        <w:rPr>
          <w:rFonts w:cs="Calibri"/>
          <w:szCs w:val="20"/>
        </w:rPr>
      </w:pPr>
      <w:r w:rsidRPr="00966EF0">
        <w:rPr>
          <w:rFonts w:cs="Calibri"/>
          <w:szCs w:val="20"/>
          <w:u w:val="single"/>
        </w:rPr>
        <w:t>Final Report</w:t>
      </w:r>
      <w:r w:rsidRPr="00966EF0">
        <w:rPr>
          <w:rFonts w:cs="Calibri"/>
          <w:szCs w:val="20"/>
        </w:rPr>
        <w:t>:</w:t>
      </w:r>
      <w:r w:rsidR="009B782F">
        <w:rPr>
          <w:rFonts w:cs="Calibri"/>
          <w:szCs w:val="20"/>
        </w:rPr>
        <w:t xml:space="preserve"> </w:t>
      </w:r>
      <w:r w:rsidRPr="00966EF0">
        <w:rPr>
          <w:rFonts w:cs="Calibri"/>
          <w:szCs w:val="20"/>
        </w:rPr>
        <w:t xml:space="preserve">The project’s terminal GEF PIR along with the terminal evaluation (TE) report and corresponding management response will serve as the final project report package. The final project report package shall be discussed with the Project Board during an end-of-project review meeting to discuss lesson learned and opportunities for scaling up.    </w:t>
      </w:r>
    </w:p>
    <w:p w14:paraId="6434749C" w14:textId="77777777" w:rsidR="0071360F" w:rsidRPr="00966EF0" w:rsidRDefault="0071360F" w:rsidP="0071360F">
      <w:pPr>
        <w:spacing w:after="0"/>
        <w:rPr>
          <w:rFonts w:cs="Calibri"/>
          <w:szCs w:val="20"/>
        </w:rPr>
      </w:pPr>
    </w:p>
    <w:p w14:paraId="4B6A6973" w14:textId="77777777" w:rsidR="0071360F" w:rsidRPr="00966EF0" w:rsidRDefault="0071360F" w:rsidP="0071360F">
      <w:pPr>
        <w:spacing w:after="0"/>
        <w:rPr>
          <w:rFonts w:cs="Segoe UI"/>
          <w:color w:val="000000"/>
          <w:szCs w:val="20"/>
        </w:rPr>
      </w:pPr>
      <w:r w:rsidRPr="00966EF0">
        <w:rPr>
          <w:szCs w:val="20"/>
          <w:u w:val="single"/>
        </w:rPr>
        <w:t>Agreement on intellectual property rights and use of logo on the project’s deliverables and disclosure of information</w:t>
      </w:r>
      <w:r w:rsidRPr="00966EF0">
        <w:rPr>
          <w:b/>
          <w:szCs w:val="20"/>
        </w:rPr>
        <w:t xml:space="preserve">:  </w:t>
      </w:r>
      <w:r w:rsidRPr="00966EF0">
        <w:rPr>
          <w:szCs w:val="20"/>
        </w:rPr>
        <w:t>T</w:t>
      </w:r>
      <w:r w:rsidRPr="00966EF0">
        <w:rPr>
          <w:rFonts w:cs="Calibri"/>
          <w:szCs w:val="20"/>
        </w:rPr>
        <w: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Pr="00966EF0">
        <w:rPr>
          <w:rFonts w:ascii="Arial" w:hAnsi="Arial"/>
          <w:sz w:val="18"/>
          <w:szCs w:val="20"/>
          <w:vertAlign w:val="superscript"/>
        </w:rPr>
        <w:footnoteReference w:id="72"/>
      </w:r>
      <w:r w:rsidRPr="00966EF0">
        <w:rPr>
          <w:rFonts w:cs="Calibri"/>
          <w:szCs w:val="20"/>
        </w:rPr>
        <w:t xml:space="preserve"> and</w:t>
      </w:r>
      <w:r w:rsidRPr="00966EF0">
        <w:rPr>
          <w:rFonts w:cs="Segoe UI"/>
          <w:color w:val="000000"/>
          <w:szCs w:val="20"/>
        </w:rPr>
        <w:t xml:space="preserve"> the GEF policy on public involvement</w:t>
      </w:r>
      <w:r w:rsidRPr="00966EF0">
        <w:rPr>
          <w:rFonts w:ascii="Arial" w:hAnsi="Arial"/>
          <w:color w:val="000000"/>
          <w:sz w:val="18"/>
          <w:szCs w:val="20"/>
          <w:vertAlign w:val="superscript"/>
        </w:rPr>
        <w:footnoteReference w:id="73"/>
      </w:r>
      <w:r w:rsidRPr="00966EF0">
        <w:rPr>
          <w:rFonts w:cs="Segoe UI"/>
          <w:color w:val="000000"/>
          <w:szCs w:val="20"/>
        </w:rPr>
        <w:t xml:space="preserve">. </w:t>
      </w:r>
    </w:p>
    <w:p w14:paraId="4C5C4661" w14:textId="77777777" w:rsidR="0071360F" w:rsidRPr="00966EF0" w:rsidRDefault="0071360F" w:rsidP="0071360F">
      <w:pPr>
        <w:spacing w:after="0"/>
        <w:rPr>
          <w:rFonts w:cs="Arial"/>
          <w:noProof/>
          <w:szCs w:val="20"/>
          <w:u w:val="single"/>
          <w:lang w:eastAsia="zh-CN"/>
        </w:rPr>
      </w:pPr>
    </w:p>
    <w:p w14:paraId="0B04DCC5" w14:textId="77777777" w:rsidR="0071360F" w:rsidRPr="00966EF0" w:rsidRDefault="0071360F" w:rsidP="0071360F">
      <w:pPr>
        <w:spacing w:after="0"/>
        <w:rPr>
          <w:rFonts w:cs="Calibri"/>
          <w:szCs w:val="20"/>
        </w:rPr>
      </w:pPr>
    </w:p>
    <w:p w14:paraId="1699D0A0" w14:textId="77777777" w:rsidR="0071360F" w:rsidRPr="00966EF0" w:rsidRDefault="0071360F" w:rsidP="0071360F">
      <w:pPr>
        <w:rPr>
          <w:lang w:val="en-GB"/>
        </w:rPr>
        <w:sectPr w:rsidR="0071360F" w:rsidRPr="00966EF0" w:rsidSect="006353F2">
          <w:headerReference w:type="default" r:id="rId36"/>
          <w:footerReference w:type="default" r:id="rId37"/>
          <w:pgSz w:w="12240" w:h="15840" w:code="1"/>
          <w:pgMar w:top="1440" w:right="1440" w:bottom="1440" w:left="1440" w:header="720" w:footer="432" w:gutter="0"/>
          <w:cols w:space="708"/>
          <w:titlePg/>
          <w:docGrid w:linePitch="360"/>
        </w:sectPr>
      </w:pPr>
    </w:p>
    <w:p w14:paraId="25E54997" w14:textId="77777777" w:rsidR="0071360F" w:rsidRPr="00966EF0" w:rsidRDefault="0071360F" w:rsidP="0071360F">
      <w:pPr>
        <w:spacing w:after="0"/>
        <w:rPr>
          <w:rFonts w:cs="Calibri"/>
          <w:szCs w:val="20"/>
        </w:rPr>
      </w:pPr>
      <w:bookmarkStart w:id="28" w:name="_Toc10449648"/>
      <w:r w:rsidRPr="00966EF0">
        <w:rPr>
          <w:b/>
          <w:bCs/>
        </w:rPr>
        <w:lastRenderedPageBreak/>
        <w:t>Monitoring Plan:</w:t>
      </w:r>
      <w:bookmarkEnd w:id="28"/>
      <w:r w:rsidRPr="00966EF0">
        <w:rPr>
          <w:b/>
          <w:bCs/>
        </w:rPr>
        <w:t xml:space="preserve">  </w:t>
      </w:r>
      <w:r w:rsidRPr="00966EF0">
        <w:rPr>
          <w:rFonts w:cs="Calibri"/>
          <w:szCs w:val="20"/>
        </w:rPr>
        <w:t xml:space="preserve"> 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04BEB201" w14:textId="77777777" w:rsidR="00302BFE" w:rsidRPr="0003763F" w:rsidRDefault="00302BFE" w:rsidP="00302B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120"/>
        <w:rPr>
          <w:rFonts w:cs="Calibri"/>
          <w:b/>
          <w:szCs w:val="20"/>
        </w:rPr>
      </w:pPr>
      <w:r w:rsidRPr="0003763F">
        <w:rPr>
          <w:rFonts w:cs="Calibri"/>
          <w:b/>
          <w:szCs w:val="20"/>
        </w:rPr>
        <w:t xml:space="preserve">Mandatory GEF M&amp;E Requirements and M&amp;E Budget:  </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
        <w:gridCol w:w="3239"/>
        <w:gridCol w:w="2409"/>
        <w:gridCol w:w="1811"/>
        <w:gridCol w:w="1451"/>
        <w:gridCol w:w="1854"/>
      </w:tblGrid>
      <w:tr w:rsidR="00302BFE" w:rsidRPr="006E490C" w14:paraId="5FE10476" w14:textId="77777777" w:rsidTr="000E4F17">
        <w:trPr>
          <w:gridBefore w:val="1"/>
          <w:wBefore w:w="9" w:type="dxa"/>
          <w:tblHeader/>
          <w:jc w:val="center"/>
        </w:trPr>
        <w:tc>
          <w:tcPr>
            <w:tcW w:w="3239" w:type="dxa"/>
            <w:shd w:val="clear" w:color="auto" w:fill="BFBFBF"/>
          </w:tcPr>
          <w:p w14:paraId="22BF7AB3" w14:textId="77777777" w:rsidR="00302BFE" w:rsidRPr="006E490C" w:rsidRDefault="00302BFE" w:rsidP="00243B15">
            <w:pPr>
              <w:jc w:val="center"/>
              <w:rPr>
                <w:rFonts w:cs="Calibri"/>
                <w:b/>
                <w:szCs w:val="20"/>
              </w:rPr>
            </w:pPr>
            <w:r w:rsidRPr="006E490C">
              <w:rPr>
                <w:rFonts w:cs="Calibri"/>
                <w:b/>
                <w:szCs w:val="20"/>
              </w:rPr>
              <w:t>GEF M&amp;E requirements</w:t>
            </w:r>
          </w:p>
          <w:p w14:paraId="26D2F08F" w14:textId="77777777" w:rsidR="00302BFE" w:rsidRPr="006E490C" w:rsidRDefault="00302BFE" w:rsidP="00243B15">
            <w:pPr>
              <w:jc w:val="center"/>
              <w:rPr>
                <w:rFonts w:cs="Calibri"/>
                <w:b/>
                <w:szCs w:val="20"/>
              </w:rPr>
            </w:pPr>
          </w:p>
        </w:tc>
        <w:tc>
          <w:tcPr>
            <w:tcW w:w="2409" w:type="dxa"/>
            <w:vMerge w:val="restart"/>
            <w:shd w:val="clear" w:color="auto" w:fill="BFBFBF"/>
          </w:tcPr>
          <w:p w14:paraId="05635507" w14:textId="77777777" w:rsidR="00302BFE" w:rsidRPr="006E490C" w:rsidRDefault="00302BFE" w:rsidP="00243B15">
            <w:pPr>
              <w:jc w:val="center"/>
              <w:rPr>
                <w:rFonts w:cs="Calibri"/>
                <w:b/>
                <w:szCs w:val="20"/>
              </w:rPr>
            </w:pPr>
            <w:r w:rsidRPr="006E490C">
              <w:rPr>
                <w:rFonts w:cs="Calibri"/>
                <w:b/>
                <w:szCs w:val="20"/>
              </w:rPr>
              <w:t>Primary responsibility</w:t>
            </w:r>
          </w:p>
        </w:tc>
        <w:tc>
          <w:tcPr>
            <w:tcW w:w="3262" w:type="dxa"/>
            <w:gridSpan w:val="2"/>
            <w:shd w:val="clear" w:color="auto" w:fill="BFBFBF"/>
          </w:tcPr>
          <w:p w14:paraId="4EC18E10" w14:textId="77777777" w:rsidR="00302BFE" w:rsidRPr="006E490C" w:rsidRDefault="00302BFE" w:rsidP="00243B15">
            <w:pPr>
              <w:jc w:val="center"/>
              <w:rPr>
                <w:rFonts w:cs="Calibri"/>
                <w:b/>
                <w:szCs w:val="20"/>
              </w:rPr>
            </w:pPr>
            <w:r w:rsidRPr="006E490C">
              <w:rPr>
                <w:rFonts w:cs="Calibri"/>
                <w:b/>
                <w:szCs w:val="20"/>
              </w:rPr>
              <w:t>Indicative costs to be charged to the Project Budget</w:t>
            </w:r>
            <w:r w:rsidRPr="006E490C">
              <w:rPr>
                <w:rStyle w:val="Appelnotedebasdep"/>
                <w:b/>
                <w:szCs w:val="20"/>
              </w:rPr>
              <w:footnoteReference w:id="74"/>
            </w:r>
            <w:r w:rsidRPr="006E490C">
              <w:rPr>
                <w:rFonts w:cs="Calibri"/>
                <w:b/>
                <w:szCs w:val="20"/>
              </w:rPr>
              <w:t xml:space="preserve">  (US$)</w:t>
            </w:r>
          </w:p>
        </w:tc>
        <w:tc>
          <w:tcPr>
            <w:tcW w:w="1854" w:type="dxa"/>
            <w:vMerge w:val="restart"/>
            <w:shd w:val="clear" w:color="auto" w:fill="BFBFBF"/>
          </w:tcPr>
          <w:p w14:paraId="7273CF34" w14:textId="77777777" w:rsidR="00302BFE" w:rsidRPr="006E490C" w:rsidRDefault="00302BFE" w:rsidP="00243B15">
            <w:pPr>
              <w:jc w:val="center"/>
              <w:rPr>
                <w:rFonts w:cs="Calibri"/>
                <w:b/>
                <w:szCs w:val="20"/>
              </w:rPr>
            </w:pPr>
            <w:r w:rsidRPr="006E490C">
              <w:rPr>
                <w:rFonts w:cs="Calibri"/>
                <w:b/>
                <w:szCs w:val="20"/>
              </w:rPr>
              <w:t>Time frame</w:t>
            </w:r>
          </w:p>
        </w:tc>
      </w:tr>
      <w:tr w:rsidR="00302BFE" w:rsidRPr="006E490C" w14:paraId="579B25B8" w14:textId="77777777" w:rsidTr="000E4F17">
        <w:trPr>
          <w:tblHeader/>
          <w:jc w:val="center"/>
        </w:trPr>
        <w:tc>
          <w:tcPr>
            <w:tcW w:w="3248" w:type="dxa"/>
            <w:gridSpan w:val="2"/>
            <w:shd w:val="clear" w:color="auto" w:fill="BFBFBF"/>
          </w:tcPr>
          <w:p w14:paraId="56750566" w14:textId="77777777" w:rsidR="00302BFE" w:rsidRPr="006E490C" w:rsidRDefault="00302BFE" w:rsidP="00243B15">
            <w:pPr>
              <w:jc w:val="left"/>
              <w:rPr>
                <w:rFonts w:cs="Calibri"/>
                <w:b/>
                <w:szCs w:val="20"/>
              </w:rPr>
            </w:pPr>
          </w:p>
        </w:tc>
        <w:tc>
          <w:tcPr>
            <w:tcW w:w="2409" w:type="dxa"/>
            <w:vMerge/>
            <w:shd w:val="clear" w:color="auto" w:fill="BFBFBF"/>
          </w:tcPr>
          <w:p w14:paraId="625CEE6C" w14:textId="77777777" w:rsidR="00302BFE" w:rsidRPr="006E490C" w:rsidRDefault="00302BFE" w:rsidP="00243B15">
            <w:pPr>
              <w:jc w:val="left"/>
              <w:rPr>
                <w:rFonts w:cs="Calibri"/>
                <w:b/>
                <w:szCs w:val="20"/>
              </w:rPr>
            </w:pPr>
          </w:p>
        </w:tc>
        <w:tc>
          <w:tcPr>
            <w:tcW w:w="1811" w:type="dxa"/>
            <w:shd w:val="clear" w:color="auto" w:fill="BFBFBF"/>
          </w:tcPr>
          <w:p w14:paraId="2233934E" w14:textId="77777777" w:rsidR="00302BFE" w:rsidRPr="006E490C" w:rsidRDefault="00302BFE" w:rsidP="00243B15">
            <w:pPr>
              <w:jc w:val="left"/>
              <w:rPr>
                <w:rFonts w:cs="Calibri"/>
                <w:b/>
                <w:szCs w:val="20"/>
              </w:rPr>
            </w:pPr>
            <w:r w:rsidRPr="006E490C">
              <w:rPr>
                <w:rFonts w:cs="Calibri"/>
                <w:b/>
                <w:szCs w:val="20"/>
              </w:rPr>
              <w:t>GEF grant</w:t>
            </w:r>
          </w:p>
        </w:tc>
        <w:tc>
          <w:tcPr>
            <w:tcW w:w="1451" w:type="dxa"/>
            <w:shd w:val="clear" w:color="auto" w:fill="BFBFBF"/>
          </w:tcPr>
          <w:p w14:paraId="2FA6EAA8" w14:textId="77777777" w:rsidR="00302BFE" w:rsidRPr="006E490C" w:rsidRDefault="00302BFE" w:rsidP="00243B15">
            <w:pPr>
              <w:jc w:val="left"/>
              <w:rPr>
                <w:rFonts w:cs="Calibri"/>
                <w:b/>
                <w:szCs w:val="20"/>
              </w:rPr>
            </w:pPr>
            <w:r w:rsidRPr="006E490C">
              <w:rPr>
                <w:rFonts w:cs="Calibri"/>
                <w:b/>
                <w:szCs w:val="20"/>
              </w:rPr>
              <w:t>Co-financing</w:t>
            </w:r>
          </w:p>
        </w:tc>
        <w:tc>
          <w:tcPr>
            <w:tcW w:w="1854" w:type="dxa"/>
            <w:vMerge/>
            <w:shd w:val="clear" w:color="auto" w:fill="BFBFBF"/>
          </w:tcPr>
          <w:p w14:paraId="31850846" w14:textId="77777777" w:rsidR="00302BFE" w:rsidRPr="006E490C" w:rsidRDefault="00302BFE" w:rsidP="00243B15">
            <w:pPr>
              <w:jc w:val="left"/>
              <w:rPr>
                <w:rFonts w:cs="Calibri"/>
                <w:b/>
                <w:szCs w:val="20"/>
              </w:rPr>
            </w:pPr>
          </w:p>
        </w:tc>
      </w:tr>
      <w:tr w:rsidR="00302BFE" w:rsidRPr="006E490C" w14:paraId="45995150" w14:textId="77777777" w:rsidTr="000E4F17">
        <w:trPr>
          <w:gridBefore w:val="1"/>
          <w:wBefore w:w="9" w:type="dxa"/>
          <w:jc w:val="center"/>
        </w:trPr>
        <w:tc>
          <w:tcPr>
            <w:tcW w:w="3239" w:type="dxa"/>
          </w:tcPr>
          <w:p w14:paraId="7602D7D6" w14:textId="77777777" w:rsidR="00302BFE" w:rsidRPr="006E490C" w:rsidRDefault="00302BFE" w:rsidP="00243B15">
            <w:pPr>
              <w:jc w:val="left"/>
              <w:rPr>
                <w:rFonts w:cs="Calibri"/>
                <w:b/>
                <w:sz w:val="18"/>
                <w:szCs w:val="18"/>
              </w:rPr>
            </w:pPr>
            <w:r w:rsidRPr="006E490C">
              <w:rPr>
                <w:rFonts w:cs="Calibri"/>
                <w:b/>
                <w:sz w:val="18"/>
                <w:szCs w:val="18"/>
              </w:rPr>
              <w:t xml:space="preserve">Inception Workshop </w:t>
            </w:r>
          </w:p>
        </w:tc>
        <w:tc>
          <w:tcPr>
            <w:tcW w:w="2409" w:type="dxa"/>
          </w:tcPr>
          <w:p w14:paraId="661F1E55" w14:textId="77777777" w:rsidR="00302BFE" w:rsidRPr="006E490C" w:rsidRDefault="00302BFE" w:rsidP="00243B15">
            <w:pPr>
              <w:jc w:val="left"/>
              <w:rPr>
                <w:rFonts w:cs="Calibri"/>
                <w:sz w:val="18"/>
                <w:szCs w:val="18"/>
              </w:rPr>
            </w:pPr>
            <w:r w:rsidRPr="006E490C">
              <w:rPr>
                <w:rFonts w:cs="Calibri"/>
                <w:sz w:val="18"/>
                <w:szCs w:val="18"/>
              </w:rPr>
              <w:t xml:space="preserve">UNDP Country Office </w:t>
            </w:r>
          </w:p>
        </w:tc>
        <w:tc>
          <w:tcPr>
            <w:tcW w:w="1811" w:type="dxa"/>
          </w:tcPr>
          <w:p w14:paraId="52DB8ACE" w14:textId="77777777" w:rsidR="00302BFE" w:rsidRPr="006E490C" w:rsidRDefault="00302BFE" w:rsidP="00243B15">
            <w:pPr>
              <w:jc w:val="left"/>
              <w:rPr>
                <w:rFonts w:cs="Calibri"/>
                <w:sz w:val="18"/>
                <w:szCs w:val="18"/>
              </w:rPr>
            </w:pPr>
            <w:r w:rsidRPr="006E490C">
              <w:rPr>
                <w:rFonts w:cs="Calibri"/>
                <w:sz w:val="18"/>
                <w:szCs w:val="18"/>
              </w:rPr>
              <w:t>USD 5,000</w:t>
            </w:r>
          </w:p>
        </w:tc>
        <w:tc>
          <w:tcPr>
            <w:tcW w:w="1451" w:type="dxa"/>
          </w:tcPr>
          <w:p w14:paraId="4B68D834" w14:textId="77777777" w:rsidR="00302BFE" w:rsidRPr="006E490C" w:rsidRDefault="00302BFE" w:rsidP="00243B15">
            <w:pPr>
              <w:jc w:val="left"/>
              <w:rPr>
                <w:rFonts w:cs="Calibri"/>
                <w:sz w:val="18"/>
                <w:szCs w:val="18"/>
              </w:rPr>
            </w:pPr>
            <w:r w:rsidRPr="006E490C">
              <w:rPr>
                <w:rFonts w:cs="Calibri"/>
                <w:sz w:val="18"/>
                <w:szCs w:val="18"/>
              </w:rPr>
              <w:t>USD 3,500</w:t>
            </w:r>
          </w:p>
        </w:tc>
        <w:tc>
          <w:tcPr>
            <w:tcW w:w="1854" w:type="dxa"/>
          </w:tcPr>
          <w:p w14:paraId="103B14CA" w14:textId="77777777" w:rsidR="00302BFE" w:rsidRPr="006E490C" w:rsidRDefault="00302BFE" w:rsidP="00243B15">
            <w:pPr>
              <w:jc w:val="left"/>
              <w:rPr>
                <w:rFonts w:cs="Calibri"/>
                <w:sz w:val="18"/>
                <w:szCs w:val="18"/>
              </w:rPr>
            </w:pPr>
            <w:r w:rsidRPr="006E490C">
              <w:rPr>
                <w:rFonts w:cs="Calibri"/>
                <w:sz w:val="18"/>
                <w:szCs w:val="18"/>
              </w:rPr>
              <w:t xml:space="preserve">Within two months of project document signature </w:t>
            </w:r>
          </w:p>
        </w:tc>
      </w:tr>
      <w:tr w:rsidR="00302BFE" w:rsidRPr="006E490C" w14:paraId="28A9A3E6" w14:textId="77777777" w:rsidTr="000E4F17">
        <w:trPr>
          <w:gridBefore w:val="1"/>
          <w:wBefore w:w="9" w:type="dxa"/>
          <w:jc w:val="center"/>
        </w:trPr>
        <w:tc>
          <w:tcPr>
            <w:tcW w:w="3239" w:type="dxa"/>
          </w:tcPr>
          <w:p w14:paraId="25D1524A" w14:textId="77777777" w:rsidR="00302BFE" w:rsidRPr="006E490C" w:rsidRDefault="00302BFE" w:rsidP="00243B15">
            <w:pPr>
              <w:jc w:val="left"/>
              <w:rPr>
                <w:rFonts w:cs="Calibri"/>
                <w:b/>
                <w:sz w:val="18"/>
                <w:szCs w:val="18"/>
              </w:rPr>
            </w:pPr>
            <w:r w:rsidRPr="006E490C">
              <w:rPr>
                <w:rFonts w:cs="Calibri"/>
                <w:b/>
                <w:sz w:val="18"/>
                <w:szCs w:val="18"/>
              </w:rPr>
              <w:t>Inception Report</w:t>
            </w:r>
          </w:p>
        </w:tc>
        <w:tc>
          <w:tcPr>
            <w:tcW w:w="2409" w:type="dxa"/>
          </w:tcPr>
          <w:p w14:paraId="6A4EADC2" w14:textId="77777777" w:rsidR="00302BFE" w:rsidRPr="006E490C" w:rsidRDefault="00302BFE" w:rsidP="00243B15">
            <w:pPr>
              <w:jc w:val="left"/>
              <w:rPr>
                <w:rFonts w:cs="Calibri"/>
                <w:sz w:val="18"/>
                <w:szCs w:val="18"/>
              </w:rPr>
            </w:pPr>
            <w:r w:rsidRPr="006E490C">
              <w:rPr>
                <w:rFonts w:cs="Calibri"/>
                <w:sz w:val="18"/>
                <w:szCs w:val="18"/>
              </w:rPr>
              <w:t>Project Manager</w:t>
            </w:r>
          </w:p>
        </w:tc>
        <w:tc>
          <w:tcPr>
            <w:tcW w:w="1811" w:type="dxa"/>
          </w:tcPr>
          <w:p w14:paraId="676CD340" w14:textId="77777777" w:rsidR="00302BFE" w:rsidRPr="006E490C" w:rsidRDefault="00302BFE" w:rsidP="00243B15">
            <w:pPr>
              <w:jc w:val="left"/>
              <w:rPr>
                <w:rFonts w:cs="Calibri"/>
                <w:sz w:val="18"/>
                <w:szCs w:val="18"/>
              </w:rPr>
            </w:pPr>
            <w:r w:rsidRPr="006E490C">
              <w:rPr>
                <w:rFonts w:cs="Calibri"/>
                <w:sz w:val="18"/>
                <w:szCs w:val="18"/>
              </w:rPr>
              <w:t>None</w:t>
            </w:r>
          </w:p>
        </w:tc>
        <w:tc>
          <w:tcPr>
            <w:tcW w:w="1451" w:type="dxa"/>
          </w:tcPr>
          <w:p w14:paraId="54F12E0B" w14:textId="77777777" w:rsidR="00302BFE" w:rsidRPr="006E490C" w:rsidRDefault="00302BFE" w:rsidP="00243B15">
            <w:pPr>
              <w:jc w:val="left"/>
              <w:rPr>
                <w:rFonts w:cs="Calibri"/>
                <w:sz w:val="18"/>
                <w:szCs w:val="18"/>
              </w:rPr>
            </w:pPr>
            <w:r w:rsidRPr="006E490C">
              <w:rPr>
                <w:rFonts w:cs="Calibri"/>
                <w:sz w:val="18"/>
                <w:szCs w:val="18"/>
              </w:rPr>
              <w:t>None</w:t>
            </w:r>
          </w:p>
        </w:tc>
        <w:tc>
          <w:tcPr>
            <w:tcW w:w="1854" w:type="dxa"/>
          </w:tcPr>
          <w:p w14:paraId="43803623" w14:textId="77777777" w:rsidR="00302BFE" w:rsidRPr="006E490C" w:rsidRDefault="00302BFE" w:rsidP="00243B15">
            <w:pPr>
              <w:jc w:val="left"/>
              <w:rPr>
                <w:rFonts w:cs="Calibri"/>
                <w:sz w:val="18"/>
                <w:szCs w:val="18"/>
              </w:rPr>
            </w:pPr>
            <w:r w:rsidRPr="006E490C">
              <w:rPr>
                <w:rFonts w:cs="Calibri"/>
                <w:sz w:val="18"/>
                <w:szCs w:val="18"/>
              </w:rPr>
              <w:t>Within two weeks of inception workshop</w:t>
            </w:r>
          </w:p>
        </w:tc>
      </w:tr>
      <w:tr w:rsidR="00302BFE" w:rsidRPr="006E490C" w14:paraId="11F2C734" w14:textId="77777777" w:rsidTr="000E4F17">
        <w:trPr>
          <w:gridBefore w:val="1"/>
          <w:wBefore w:w="9" w:type="dxa"/>
          <w:jc w:val="center"/>
        </w:trPr>
        <w:tc>
          <w:tcPr>
            <w:tcW w:w="3239" w:type="dxa"/>
          </w:tcPr>
          <w:p w14:paraId="0F017777" w14:textId="77777777" w:rsidR="00302BFE" w:rsidRPr="006E490C" w:rsidRDefault="00302BFE" w:rsidP="00243B15">
            <w:pPr>
              <w:jc w:val="left"/>
              <w:rPr>
                <w:rFonts w:cs="Calibri"/>
                <w:b/>
                <w:sz w:val="18"/>
                <w:szCs w:val="18"/>
              </w:rPr>
            </w:pPr>
            <w:r w:rsidRPr="006E490C">
              <w:rPr>
                <w:rFonts w:cs="Calibri"/>
                <w:b/>
                <w:sz w:val="18"/>
                <w:szCs w:val="18"/>
              </w:rPr>
              <w:t xml:space="preserve">Standard UNDP monitoring and reporting requirements as outlined in the UNDP POPP </w:t>
            </w:r>
          </w:p>
        </w:tc>
        <w:tc>
          <w:tcPr>
            <w:tcW w:w="2409" w:type="dxa"/>
          </w:tcPr>
          <w:p w14:paraId="4650B997" w14:textId="77777777" w:rsidR="00302BFE" w:rsidRPr="006E490C" w:rsidRDefault="00302BFE" w:rsidP="00243B15">
            <w:pPr>
              <w:jc w:val="left"/>
              <w:rPr>
                <w:rFonts w:cs="Calibri"/>
                <w:sz w:val="18"/>
                <w:szCs w:val="18"/>
              </w:rPr>
            </w:pPr>
            <w:r w:rsidRPr="006E490C">
              <w:rPr>
                <w:rFonts w:cs="Calibri"/>
                <w:sz w:val="18"/>
                <w:szCs w:val="18"/>
              </w:rPr>
              <w:t>UNDP Country Office</w:t>
            </w:r>
          </w:p>
          <w:p w14:paraId="21ECB9E3" w14:textId="77777777" w:rsidR="00302BFE" w:rsidRPr="006E490C" w:rsidRDefault="00302BFE" w:rsidP="00243B15">
            <w:pPr>
              <w:jc w:val="left"/>
              <w:rPr>
                <w:rFonts w:cs="Calibri"/>
                <w:b/>
                <w:sz w:val="18"/>
                <w:szCs w:val="18"/>
              </w:rPr>
            </w:pPr>
          </w:p>
        </w:tc>
        <w:tc>
          <w:tcPr>
            <w:tcW w:w="1811" w:type="dxa"/>
          </w:tcPr>
          <w:p w14:paraId="11A3FFC0" w14:textId="77777777" w:rsidR="00302BFE" w:rsidRPr="006E490C" w:rsidRDefault="00302BFE" w:rsidP="00243B15">
            <w:pPr>
              <w:jc w:val="left"/>
              <w:rPr>
                <w:rFonts w:cs="Calibri"/>
                <w:sz w:val="18"/>
                <w:szCs w:val="18"/>
              </w:rPr>
            </w:pPr>
            <w:r w:rsidRPr="006E490C">
              <w:rPr>
                <w:rFonts w:cs="Calibri"/>
                <w:sz w:val="18"/>
                <w:szCs w:val="18"/>
              </w:rPr>
              <w:t>None</w:t>
            </w:r>
          </w:p>
        </w:tc>
        <w:tc>
          <w:tcPr>
            <w:tcW w:w="1451" w:type="dxa"/>
          </w:tcPr>
          <w:p w14:paraId="5B972AC3" w14:textId="77777777" w:rsidR="00302BFE" w:rsidRPr="006E490C" w:rsidRDefault="00302BFE" w:rsidP="00243B15">
            <w:pPr>
              <w:jc w:val="left"/>
              <w:rPr>
                <w:rFonts w:cs="Calibri"/>
                <w:sz w:val="18"/>
                <w:szCs w:val="18"/>
              </w:rPr>
            </w:pPr>
            <w:r w:rsidRPr="006E490C">
              <w:rPr>
                <w:rFonts w:cs="Calibri"/>
                <w:sz w:val="18"/>
                <w:szCs w:val="18"/>
              </w:rPr>
              <w:t>None</w:t>
            </w:r>
          </w:p>
        </w:tc>
        <w:tc>
          <w:tcPr>
            <w:tcW w:w="1854" w:type="dxa"/>
          </w:tcPr>
          <w:p w14:paraId="515055A7" w14:textId="77777777" w:rsidR="00302BFE" w:rsidRPr="006E490C" w:rsidRDefault="00302BFE" w:rsidP="00243B15">
            <w:pPr>
              <w:jc w:val="left"/>
              <w:rPr>
                <w:rFonts w:cs="Calibri"/>
                <w:sz w:val="18"/>
                <w:szCs w:val="18"/>
              </w:rPr>
            </w:pPr>
            <w:r w:rsidRPr="006E490C">
              <w:rPr>
                <w:rFonts w:cs="Calibri"/>
                <w:sz w:val="18"/>
                <w:szCs w:val="18"/>
              </w:rPr>
              <w:t>Quarterly, annually</w:t>
            </w:r>
          </w:p>
        </w:tc>
      </w:tr>
      <w:tr w:rsidR="00302BFE" w:rsidRPr="006E490C" w14:paraId="1838813A" w14:textId="77777777" w:rsidTr="000E4F17">
        <w:trPr>
          <w:gridBefore w:val="1"/>
          <w:wBefore w:w="9" w:type="dxa"/>
          <w:jc w:val="center"/>
        </w:trPr>
        <w:tc>
          <w:tcPr>
            <w:tcW w:w="3239" w:type="dxa"/>
          </w:tcPr>
          <w:p w14:paraId="29D0E012" w14:textId="77777777" w:rsidR="00302BFE" w:rsidRPr="006E490C" w:rsidRDefault="00302BFE" w:rsidP="00243B15">
            <w:pPr>
              <w:jc w:val="left"/>
              <w:rPr>
                <w:rFonts w:cs="Calibri"/>
                <w:b/>
                <w:sz w:val="18"/>
                <w:szCs w:val="18"/>
              </w:rPr>
            </w:pPr>
            <w:r w:rsidRPr="006E490C">
              <w:rPr>
                <w:rFonts w:cs="Calibri"/>
                <w:b/>
                <w:sz w:val="18"/>
                <w:szCs w:val="18"/>
              </w:rPr>
              <w:t>Risk management</w:t>
            </w:r>
          </w:p>
        </w:tc>
        <w:tc>
          <w:tcPr>
            <w:tcW w:w="2409" w:type="dxa"/>
          </w:tcPr>
          <w:p w14:paraId="4D30E5A2" w14:textId="77777777" w:rsidR="00302BFE" w:rsidRPr="006E490C" w:rsidRDefault="00302BFE" w:rsidP="00243B15">
            <w:pPr>
              <w:jc w:val="left"/>
              <w:rPr>
                <w:rFonts w:cs="Calibri"/>
                <w:sz w:val="18"/>
                <w:szCs w:val="18"/>
              </w:rPr>
            </w:pPr>
            <w:r w:rsidRPr="006E490C">
              <w:rPr>
                <w:rFonts w:cs="Calibri"/>
                <w:sz w:val="18"/>
                <w:szCs w:val="18"/>
              </w:rPr>
              <w:t>Project Manager</w:t>
            </w:r>
          </w:p>
          <w:p w14:paraId="67E6628C" w14:textId="77777777" w:rsidR="00302BFE" w:rsidRPr="006E490C" w:rsidRDefault="00302BFE" w:rsidP="00243B15">
            <w:pPr>
              <w:jc w:val="left"/>
              <w:rPr>
                <w:rFonts w:cs="Calibri"/>
                <w:sz w:val="18"/>
                <w:szCs w:val="18"/>
              </w:rPr>
            </w:pPr>
            <w:r w:rsidRPr="006E490C">
              <w:rPr>
                <w:rFonts w:cs="Calibri"/>
                <w:sz w:val="18"/>
                <w:szCs w:val="18"/>
              </w:rPr>
              <w:t>Country Office</w:t>
            </w:r>
          </w:p>
        </w:tc>
        <w:tc>
          <w:tcPr>
            <w:tcW w:w="1811" w:type="dxa"/>
          </w:tcPr>
          <w:p w14:paraId="0C5F87E1" w14:textId="77777777" w:rsidR="00302BFE" w:rsidRPr="006E490C" w:rsidRDefault="00302BFE" w:rsidP="00243B15">
            <w:pPr>
              <w:jc w:val="left"/>
              <w:rPr>
                <w:rFonts w:cs="Calibri"/>
                <w:sz w:val="18"/>
                <w:szCs w:val="18"/>
              </w:rPr>
            </w:pPr>
            <w:r w:rsidRPr="006E490C">
              <w:rPr>
                <w:rFonts w:cs="Calibri"/>
                <w:sz w:val="18"/>
                <w:szCs w:val="18"/>
              </w:rPr>
              <w:t>None</w:t>
            </w:r>
          </w:p>
        </w:tc>
        <w:tc>
          <w:tcPr>
            <w:tcW w:w="1451" w:type="dxa"/>
          </w:tcPr>
          <w:p w14:paraId="47EC6F3F" w14:textId="77777777" w:rsidR="00302BFE" w:rsidRPr="006E490C" w:rsidRDefault="00302BFE" w:rsidP="00243B15">
            <w:pPr>
              <w:jc w:val="left"/>
              <w:rPr>
                <w:rFonts w:cs="Calibri"/>
                <w:sz w:val="18"/>
                <w:szCs w:val="18"/>
              </w:rPr>
            </w:pPr>
            <w:r w:rsidRPr="006E490C">
              <w:rPr>
                <w:rFonts w:cs="Calibri"/>
                <w:sz w:val="18"/>
                <w:szCs w:val="18"/>
              </w:rPr>
              <w:t>None</w:t>
            </w:r>
          </w:p>
        </w:tc>
        <w:tc>
          <w:tcPr>
            <w:tcW w:w="1854" w:type="dxa"/>
          </w:tcPr>
          <w:p w14:paraId="547499AE" w14:textId="77777777" w:rsidR="00302BFE" w:rsidRPr="006E490C" w:rsidRDefault="00302BFE" w:rsidP="00243B15">
            <w:pPr>
              <w:jc w:val="left"/>
              <w:rPr>
                <w:rFonts w:cs="Calibri"/>
                <w:sz w:val="18"/>
                <w:szCs w:val="18"/>
              </w:rPr>
            </w:pPr>
            <w:r w:rsidRPr="006E490C">
              <w:rPr>
                <w:rFonts w:cs="Calibri"/>
                <w:sz w:val="18"/>
                <w:szCs w:val="18"/>
              </w:rPr>
              <w:t>Quarterly, annually</w:t>
            </w:r>
          </w:p>
        </w:tc>
      </w:tr>
      <w:tr w:rsidR="00302BFE" w:rsidRPr="006E490C" w14:paraId="14D6A6D4" w14:textId="77777777" w:rsidTr="000E4F17">
        <w:trPr>
          <w:gridBefore w:val="1"/>
          <w:wBefore w:w="9" w:type="dxa"/>
          <w:jc w:val="center"/>
        </w:trPr>
        <w:tc>
          <w:tcPr>
            <w:tcW w:w="3239" w:type="dxa"/>
          </w:tcPr>
          <w:p w14:paraId="4AC25FD1" w14:textId="77777777" w:rsidR="00302BFE" w:rsidRPr="006E490C" w:rsidRDefault="00302BFE" w:rsidP="00243B15">
            <w:pPr>
              <w:jc w:val="left"/>
              <w:rPr>
                <w:rFonts w:cs="Calibri"/>
                <w:b/>
                <w:sz w:val="18"/>
                <w:szCs w:val="18"/>
              </w:rPr>
            </w:pPr>
            <w:r w:rsidRPr="006E490C">
              <w:rPr>
                <w:rFonts w:cs="Calibri"/>
                <w:b/>
                <w:sz w:val="18"/>
                <w:szCs w:val="18"/>
              </w:rPr>
              <w:t>Monitoring of indicators in project results framework</w:t>
            </w:r>
          </w:p>
        </w:tc>
        <w:tc>
          <w:tcPr>
            <w:tcW w:w="2409" w:type="dxa"/>
          </w:tcPr>
          <w:p w14:paraId="1DE2B549" w14:textId="77777777" w:rsidR="00302BFE" w:rsidRPr="006E490C" w:rsidRDefault="00302BFE" w:rsidP="00243B15">
            <w:pPr>
              <w:jc w:val="left"/>
              <w:rPr>
                <w:rFonts w:cs="Calibri"/>
                <w:sz w:val="18"/>
                <w:szCs w:val="18"/>
              </w:rPr>
            </w:pPr>
            <w:r w:rsidRPr="006E490C">
              <w:rPr>
                <w:rFonts w:cs="Calibri"/>
                <w:sz w:val="18"/>
                <w:szCs w:val="18"/>
              </w:rPr>
              <w:t>Project Manager</w:t>
            </w:r>
          </w:p>
          <w:p w14:paraId="1D517BA0" w14:textId="77777777" w:rsidR="00302BFE" w:rsidRPr="006E490C" w:rsidRDefault="00302BFE" w:rsidP="00243B15">
            <w:pPr>
              <w:jc w:val="left"/>
              <w:rPr>
                <w:rFonts w:cs="Calibri"/>
                <w:sz w:val="18"/>
                <w:szCs w:val="18"/>
              </w:rPr>
            </w:pPr>
            <w:r w:rsidRPr="006E490C">
              <w:rPr>
                <w:rFonts w:cs="Calibri"/>
                <w:sz w:val="18"/>
                <w:szCs w:val="18"/>
              </w:rPr>
              <w:t>M&amp;E/Safeguards expert</w:t>
            </w:r>
          </w:p>
        </w:tc>
        <w:tc>
          <w:tcPr>
            <w:tcW w:w="1811" w:type="dxa"/>
          </w:tcPr>
          <w:p w14:paraId="5A007540" w14:textId="77777777" w:rsidR="00302BFE" w:rsidRPr="006E490C" w:rsidRDefault="00302BFE" w:rsidP="00243B15">
            <w:pPr>
              <w:pStyle w:val="BodyText23"/>
              <w:widowControl/>
              <w:tabs>
                <w:tab w:val="clear" w:pos="547"/>
              </w:tabs>
              <w:spacing w:after="60"/>
              <w:rPr>
                <w:rFonts w:ascii="Calibri" w:hAnsi="Calibri" w:cs="Calibri"/>
                <w:snapToGrid/>
                <w:sz w:val="18"/>
                <w:szCs w:val="18"/>
                <w:lang w:val="en-GB"/>
              </w:rPr>
            </w:pPr>
            <w:r w:rsidRPr="006E490C">
              <w:rPr>
                <w:rFonts w:ascii="Calibri" w:hAnsi="Calibri" w:cs="Calibri"/>
                <w:snapToGrid/>
                <w:sz w:val="18"/>
                <w:szCs w:val="18"/>
                <w:lang w:val="en-GB"/>
              </w:rPr>
              <w:t>Paid through Components 1, 2, 3 and 4</w:t>
            </w:r>
          </w:p>
        </w:tc>
        <w:tc>
          <w:tcPr>
            <w:tcW w:w="1451" w:type="dxa"/>
          </w:tcPr>
          <w:p w14:paraId="5E9F0711" w14:textId="77777777" w:rsidR="00302BFE" w:rsidRPr="006E490C" w:rsidRDefault="00302BFE" w:rsidP="00243B15">
            <w:pPr>
              <w:pStyle w:val="BodyText23"/>
              <w:widowControl/>
              <w:tabs>
                <w:tab w:val="clear" w:pos="547"/>
              </w:tabs>
              <w:rPr>
                <w:rFonts w:ascii="Calibri" w:hAnsi="Calibri" w:cs="Calibri"/>
                <w:sz w:val="18"/>
                <w:szCs w:val="18"/>
              </w:rPr>
            </w:pPr>
            <w:r w:rsidRPr="006E490C">
              <w:rPr>
                <w:rFonts w:ascii="Calibri" w:hAnsi="Calibri" w:cs="Calibri"/>
                <w:sz w:val="18"/>
                <w:szCs w:val="18"/>
              </w:rPr>
              <w:t>USD 5,000</w:t>
            </w:r>
          </w:p>
          <w:p w14:paraId="15DF09D2" w14:textId="77777777" w:rsidR="00302BFE" w:rsidRPr="006E490C" w:rsidRDefault="00302BFE" w:rsidP="00243B15">
            <w:pPr>
              <w:pStyle w:val="BodyText23"/>
              <w:widowControl/>
              <w:tabs>
                <w:tab w:val="clear" w:pos="547"/>
              </w:tabs>
              <w:rPr>
                <w:rFonts w:ascii="Calibri" w:hAnsi="Calibri" w:cs="Calibri"/>
                <w:snapToGrid/>
                <w:sz w:val="18"/>
                <w:szCs w:val="18"/>
                <w:lang w:val="en-GB"/>
              </w:rPr>
            </w:pPr>
            <w:r w:rsidRPr="006E490C">
              <w:rPr>
                <w:rFonts w:ascii="Calibri" w:hAnsi="Calibri" w:cs="Calibri"/>
                <w:sz w:val="18"/>
                <w:szCs w:val="18"/>
              </w:rPr>
              <w:t>(</w:t>
            </w:r>
            <w:r w:rsidRPr="006E490C">
              <w:rPr>
                <w:rFonts w:ascii="Calibri" w:hAnsi="Calibri" w:cs="Calibri"/>
                <w:sz w:val="16"/>
                <w:szCs w:val="16"/>
              </w:rPr>
              <w:t>Gov. contribution /staff time)</w:t>
            </w:r>
          </w:p>
        </w:tc>
        <w:tc>
          <w:tcPr>
            <w:tcW w:w="1854" w:type="dxa"/>
          </w:tcPr>
          <w:p w14:paraId="28886D52" w14:textId="77777777" w:rsidR="00302BFE" w:rsidRPr="006E490C" w:rsidRDefault="00302BFE" w:rsidP="00243B15">
            <w:pPr>
              <w:jc w:val="left"/>
              <w:rPr>
                <w:rFonts w:cs="Calibri"/>
                <w:sz w:val="18"/>
                <w:szCs w:val="18"/>
              </w:rPr>
            </w:pPr>
            <w:r w:rsidRPr="006E490C">
              <w:rPr>
                <w:rFonts w:cs="Calibri"/>
                <w:sz w:val="18"/>
                <w:szCs w:val="18"/>
              </w:rPr>
              <w:t>Annually before PIR</w:t>
            </w:r>
          </w:p>
        </w:tc>
      </w:tr>
      <w:tr w:rsidR="00302BFE" w:rsidRPr="006E490C" w14:paraId="111CD719" w14:textId="77777777" w:rsidTr="000E4F17">
        <w:trPr>
          <w:gridBefore w:val="1"/>
          <w:wBefore w:w="9" w:type="dxa"/>
          <w:jc w:val="center"/>
        </w:trPr>
        <w:tc>
          <w:tcPr>
            <w:tcW w:w="3239" w:type="dxa"/>
          </w:tcPr>
          <w:p w14:paraId="09CAC3CC" w14:textId="77777777" w:rsidR="00302BFE" w:rsidRPr="006E490C" w:rsidRDefault="00302BFE" w:rsidP="00243B15">
            <w:pPr>
              <w:jc w:val="left"/>
              <w:rPr>
                <w:rFonts w:cs="Calibri"/>
                <w:b/>
                <w:sz w:val="18"/>
                <w:szCs w:val="18"/>
              </w:rPr>
            </w:pPr>
            <w:r w:rsidRPr="006E490C">
              <w:rPr>
                <w:rFonts w:cs="Calibri"/>
                <w:b/>
                <w:sz w:val="18"/>
                <w:szCs w:val="18"/>
              </w:rPr>
              <w:t xml:space="preserve">GEF Project Implementation Report (PIR) </w:t>
            </w:r>
          </w:p>
        </w:tc>
        <w:tc>
          <w:tcPr>
            <w:tcW w:w="2409" w:type="dxa"/>
          </w:tcPr>
          <w:p w14:paraId="42C6261A" w14:textId="77777777" w:rsidR="00302BFE" w:rsidRPr="006E490C" w:rsidRDefault="00302BFE" w:rsidP="00243B15">
            <w:pPr>
              <w:jc w:val="left"/>
              <w:rPr>
                <w:rFonts w:cs="Calibri"/>
                <w:sz w:val="18"/>
                <w:szCs w:val="18"/>
              </w:rPr>
            </w:pPr>
            <w:r w:rsidRPr="006E490C">
              <w:rPr>
                <w:rFonts w:cs="Calibri"/>
                <w:sz w:val="18"/>
                <w:szCs w:val="18"/>
              </w:rPr>
              <w:t>Project Manager and UNDP Country Office and UNDP-GEF team</w:t>
            </w:r>
          </w:p>
        </w:tc>
        <w:tc>
          <w:tcPr>
            <w:tcW w:w="1811" w:type="dxa"/>
          </w:tcPr>
          <w:p w14:paraId="46B087BD" w14:textId="77777777" w:rsidR="00302BFE" w:rsidRPr="006E490C" w:rsidRDefault="00302BFE" w:rsidP="00243B15">
            <w:pPr>
              <w:pStyle w:val="BodyText23"/>
              <w:widowControl/>
              <w:tabs>
                <w:tab w:val="clear" w:pos="547"/>
              </w:tabs>
              <w:spacing w:after="60"/>
              <w:rPr>
                <w:rFonts w:ascii="Calibri" w:hAnsi="Calibri" w:cs="Calibri"/>
                <w:snapToGrid/>
                <w:sz w:val="18"/>
                <w:szCs w:val="18"/>
                <w:lang w:val="en-GB"/>
              </w:rPr>
            </w:pPr>
            <w:r w:rsidRPr="006E490C">
              <w:rPr>
                <w:rFonts w:ascii="Calibri" w:hAnsi="Calibri" w:cs="Calibri"/>
                <w:snapToGrid/>
                <w:sz w:val="18"/>
                <w:szCs w:val="18"/>
                <w:lang w:val="en-GB"/>
              </w:rPr>
              <w:t>None</w:t>
            </w:r>
          </w:p>
        </w:tc>
        <w:tc>
          <w:tcPr>
            <w:tcW w:w="1451" w:type="dxa"/>
          </w:tcPr>
          <w:p w14:paraId="7D5444C2" w14:textId="77777777" w:rsidR="00302BFE" w:rsidRPr="006E490C" w:rsidRDefault="00302BFE" w:rsidP="00243B15">
            <w:pPr>
              <w:pStyle w:val="BodyText23"/>
              <w:widowControl/>
              <w:tabs>
                <w:tab w:val="clear" w:pos="547"/>
              </w:tabs>
              <w:spacing w:after="60"/>
              <w:rPr>
                <w:rFonts w:ascii="Calibri" w:hAnsi="Calibri" w:cs="Calibri"/>
                <w:snapToGrid/>
                <w:sz w:val="18"/>
                <w:szCs w:val="18"/>
                <w:lang w:val="en-GB"/>
              </w:rPr>
            </w:pPr>
            <w:r w:rsidRPr="006E490C">
              <w:rPr>
                <w:rFonts w:ascii="Calibri" w:hAnsi="Calibri" w:cs="Calibri"/>
                <w:snapToGrid/>
                <w:sz w:val="18"/>
                <w:szCs w:val="18"/>
                <w:lang w:val="en-GB"/>
              </w:rPr>
              <w:t>None</w:t>
            </w:r>
          </w:p>
        </w:tc>
        <w:tc>
          <w:tcPr>
            <w:tcW w:w="1854" w:type="dxa"/>
          </w:tcPr>
          <w:p w14:paraId="24DEC448" w14:textId="77777777" w:rsidR="00302BFE" w:rsidRPr="006E490C" w:rsidRDefault="00302BFE" w:rsidP="00243B15">
            <w:pPr>
              <w:jc w:val="left"/>
              <w:rPr>
                <w:rFonts w:cs="Calibri"/>
                <w:sz w:val="18"/>
                <w:szCs w:val="18"/>
              </w:rPr>
            </w:pPr>
            <w:r w:rsidRPr="006E490C">
              <w:rPr>
                <w:rFonts w:cs="Calibri"/>
                <w:sz w:val="18"/>
                <w:szCs w:val="18"/>
              </w:rPr>
              <w:t xml:space="preserve">Annually </w:t>
            </w:r>
          </w:p>
        </w:tc>
      </w:tr>
      <w:tr w:rsidR="00302BFE" w:rsidRPr="006E490C" w14:paraId="50F423D3" w14:textId="77777777" w:rsidTr="000E4F17">
        <w:trPr>
          <w:gridBefore w:val="1"/>
          <w:wBefore w:w="9" w:type="dxa"/>
          <w:jc w:val="center"/>
        </w:trPr>
        <w:tc>
          <w:tcPr>
            <w:tcW w:w="3239" w:type="dxa"/>
          </w:tcPr>
          <w:p w14:paraId="79B97B3E" w14:textId="77777777" w:rsidR="00302BFE" w:rsidRPr="006E490C" w:rsidRDefault="00302BFE" w:rsidP="00243B15">
            <w:pPr>
              <w:jc w:val="left"/>
              <w:rPr>
                <w:rFonts w:cs="Calibri"/>
                <w:b/>
                <w:sz w:val="18"/>
                <w:szCs w:val="18"/>
              </w:rPr>
            </w:pPr>
            <w:r w:rsidRPr="006E490C">
              <w:rPr>
                <w:rFonts w:cs="Calibri"/>
                <w:b/>
                <w:sz w:val="18"/>
                <w:szCs w:val="18"/>
              </w:rPr>
              <w:t>Lessons learned and knowledge generation</w:t>
            </w:r>
          </w:p>
        </w:tc>
        <w:tc>
          <w:tcPr>
            <w:tcW w:w="2409" w:type="dxa"/>
          </w:tcPr>
          <w:p w14:paraId="5BB9FE38" w14:textId="77777777" w:rsidR="00302BFE" w:rsidRPr="006E490C" w:rsidRDefault="00302BFE" w:rsidP="00243B15">
            <w:pPr>
              <w:jc w:val="left"/>
              <w:rPr>
                <w:rFonts w:cs="Calibri"/>
                <w:sz w:val="18"/>
                <w:szCs w:val="18"/>
              </w:rPr>
            </w:pPr>
            <w:r w:rsidRPr="006E490C">
              <w:rPr>
                <w:rFonts w:cs="Calibri"/>
                <w:sz w:val="18"/>
                <w:szCs w:val="18"/>
              </w:rPr>
              <w:t>Project Manager</w:t>
            </w:r>
          </w:p>
          <w:p w14:paraId="095A9E90" w14:textId="77777777" w:rsidR="00302BFE" w:rsidRPr="006E490C" w:rsidRDefault="00302BFE" w:rsidP="00243B15">
            <w:pPr>
              <w:jc w:val="left"/>
              <w:rPr>
                <w:rFonts w:cs="Calibri"/>
                <w:sz w:val="18"/>
                <w:szCs w:val="18"/>
              </w:rPr>
            </w:pPr>
            <w:r w:rsidRPr="006E490C">
              <w:rPr>
                <w:rFonts w:cs="Calibri"/>
                <w:sz w:val="18"/>
                <w:szCs w:val="18"/>
              </w:rPr>
              <w:t>Communication / KM expert</w:t>
            </w:r>
          </w:p>
        </w:tc>
        <w:tc>
          <w:tcPr>
            <w:tcW w:w="1811" w:type="dxa"/>
          </w:tcPr>
          <w:p w14:paraId="7481A338" w14:textId="77777777" w:rsidR="00302BFE" w:rsidRPr="006E490C" w:rsidRDefault="00302BFE" w:rsidP="00243B15">
            <w:pPr>
              <w:jc w:val="left"/>
              <w:rPr>
                <w:rFonts w:cs="Calibri"/>
                <w:sz w:val="18"/>
                <w:szCs w:val="18"/>
              </w:rPr>
            </w:pPr>
            <w:r w:rsidRPr="006E490C">
              <w:rPr>
                <w:rFonts w:cs="Calibri"/>
                <w:sz w:val="18"/>
                <w:szCs w:val="18"/>
                <w:lang w:val="en-GB"/>
              </w:rPr>
              <w:t>Paid through Components 1, 2, 3 and 4</w:t>
            </w:r>
          </w:p>
        </w:tc>
        <w:tc>
          <w:tcPr>
            <w:tcW w:w="1451" w:type="dxa"/>
          </w:tcPr>
          <w:p w14:paraId="2C5FA24B" w14:textId="77777777" w:rsidR="00302BFE" w:rsidRPr="006E490C" w:rsidRDefault="00302BFE" w:rsidP="00243B15">
            <w:pPr>
              <w:jc w:val="left"/>
              <w:rPr>
                <w:rFonts w:cs="Calibri"/>
                <w:sz w:val="18"/>
                <w:szCs w:val="18"/>
              </w:rPr>
            </w:pPr>
            <w:r w:rsidRPr="006E490C">
              <w:rPr>
                <w:rFonts w:cs="Calibri"/>
                <w:sz w:val="18"/>
                <w:szCs w:val="18"/>
              </w:rPr>
              <w:t>USD 10,000</w:t>
            </w:r>
          </w:p>
        </w:tc>
        <w:tc>
          <w:tcPr>
            <w:tcW w:w="1854" w:type="dxa"/>
          </w:tcPr>
          <w:p w14:paraId="6BE1CFF7" w14:textId="77777777" w:rsidR="00302BFE" w:rsidRPr="006E490C" w:rsidRDefault="00302BFE" w:rsidP="00243B15">
            <w:pPr>
              <w:jc w:val="left"/>
              <w:rPr>
                <w:rFonts w:cs="Calibri"/>
                <w:sz w:val="18"/>
                <w:szCs w:val="18"/>
              </w:rPr>
            </w:pPr>
            <w:r w:rsidRPr="006E490C">
              <w:rPr>
                <w:rFonts w:cs="Calibri"/>
                <w:sz w:val="18"/>
                <w:szCs w:val="18"/>
              </w:rPr>
              <w:t>Annually</w:t>
            </w:r>
          </w:p>
        </w:tc>
      </w:tr>
      <w:tr w:rsidR="00302BFE" w:rsidRPr="006E490C" w14:paraId="24250150" w14:textId="77777777" w:rsidTr="000E4F17">
        <w:trPr>
          <w:gridBefore w:val="1"/>
          <w:wBefore w:w="9" w:type="dxa"/>
          <w:jc w:val="center"/>
        </w:trPr>
        <w:tc>
          <w:tcPr>
            <w:tcW w:w="3239" w:type="dxa"/>
          </w:tcPr>
          <w:p w14:paraId="410F4179" w14:textId="77777777" w:rsidR="00302BFE" w:rsidRPr="00E753E6" w:rsidRDefault="00302BFE" w:rsidP="00243B15">
            <w:pPr>
              <w:jc w:val="left"/>
              <w:rPr>
                <w:rFonts w:cs="Calibri"/>
                <w:b/>
                <w:sz w:val="18"/>
                <w:szCs w:val="18"/>
              </w:rPr>
            </w:pPr>
            <w:r w:rsidRPr="00E753E6">
              <w:rPr>
                <w:rFonts w:cs="Calibri"/>
                <w:b/>
                <w:sz w:val="18"/>
                <w:szCs w:val="18"/>
              </w:rPr>
              <w:t>Monitoring of environmental and social risks, and corresponding management plans as relevant</w:t>
            </w:r>
          </w:p>
        </w:tc>
        <w:tc>
          <w:tcPr>
            <w:tcW w:w="2409" w:type="dxa"/>
          </w:tcPr>
          <w:p w14:paraId="014FA769" w14:textId="77777777" w:rsidR="00302BFE" w:rsidRPr="006E490C" w:rsidRDefault="00302BFE" w:rsidP="00243B15">
            <w:pPr>
              <w:jc w:val="left"/>
              <w:rPr>
                <w:rFonts w:cs="Calibri"/>
                <w:sz w:val="18"/>
                <w:szCs w:val="18"/>
              </w:rPr>
            </w:pPr>
            <w:r w:rsidRPr="006E490C">
              <w:rPr>
                <w:rFonts w:cs="Calibri"/>
                <w:sz w:val="18"/>
                <w:szCs w:val="18"/>
              </w:rPr>
              <w:t>Project Manager</w:t>
            </w:r>
          </w:p>
          <w:p w14:paraId="67D62290" w14:textId="77777777" w:rsidR="00302BFE" w:rsidRPr="006E490C" w:rsidRDefault="00302BFE" w:rsidP="00243B15">
            <w:pPr>
              <w:jc w:val="left"/>
              <w:rPr>
                <w:rFonts w:cs="Calibri"/>
                <w:sz w:val="18"/>
                <w:szCs w:val="18"/>
              </w:rPr>
            </w:pPr>
            <w:r w:rsidRPr="006E490C">
              <w:rPr>
                <w:rFonts w:cs="Calibri"/>
                <w:sz w:val="18"/>
                <w:szCs w:val="18"/>
              </w:rPr>
              <w:t>UNDP Country Office</w:t>
            </w:r>
          </w:p>
          <w:p w14:paraId="1CF8C9BB" w14:textId="77777777" w:rsidR="00302BFE" w:rsidRPr="006E490C" w:rsidRDefault="00302BFE" w:rsidP="00243B15">
            <w:pPr>
              <w:jc w:val="left"/>
              <w:rPr>
                <w:rFonts w:cs="Calibri"/>
                <w:sz w:val="18"/>
                <w:szCs w:val="18"/>
              </w:rPr>
            </w:pPr>
            <w:r w:rsidRPr="006E490C">
              <w:rPr>
                <w:rFonts w:cs="Calibri"/>
                <w:sz w:val="18"/>
                <w:szCs w:val="18"/>
              </w:rPr>
              <w:t>M&amp;E/Safeguards expert</w:t>
            </w:r>
          </w:p>
        </w:tc>
        <w:tc>
          <w:tcPr>
            <w:tcW w:w="1811" w:type="dxa"/>
          </w:tcPr>
          <w:p w14:paraId="0F5FBA97" w14:textId="77777777" w:rsidR="00302BFE" w:rsidRPr="006E490C" w:rsidRDefault="00302BFE" w:rsidP="00243B15">
            <w:pPr>
              <w:jc w:val="left"/>
              <w:rPr>
                <w:rFonts w:cs="Calibri"/>
                <w:i/>
                <w:sz w:val="18"/>
                <w:szCs w:val="18"/>
              </w:rPr>
            </w:pPr>
            <w:r w:rsidRPr="006E490C">
              <w:rPr>
                <w:rFonts w:cs="Calibri"/>
                <w:sz w:val="18"/>
                <w:szCs w:val="18"/>
                <w:lang w:val="en-GB"/>
              </w:rPr>
              <w:t>Paid through Components 1, 2, 3 and 4</w:t>
            </w:r>
          </w:p>
        </w:tc>
        <w:tc>
          <w:tcPr>
            <w:tcW w:w="1451" w:type="dxa"/>
          </w:tcPr>
          <w:p w14:paraId="6685FA69" w14:textId="77777777" w:rsidR="00302BFE" w:rsidRPr="006E490C" w:rsidRDefault="00302BFE" w:rsidP="00243B15">
            <w:pPr>
              <w:jc w:val="left"/>
              <w:rPr>
                <w:rFonts w:cs="Calibri"/>
                <w:sz w:val="18"/>
                <w:szCs w:val="18"/>
              </w:rPr>
            </w:pPr>
            <w:r w:rsidRPr="006E490C">
              <w:rPr>
                <w:rFonts w:cs="Calibri"/>
                <w:sz w:val="18"/>
                <w:szCs w:val="18"/>
              </w:rPr>
              <w:t>None</w:t>
            </w:r>
          </w:p>
        </w:tc>
        <w:tc>
          <w:tcPr>
            <w:tcW w:w="1854" w:type="dxa"/>
          </w:tcPr>
          <w:p w14:paraId="3CE479E4" w14:textId="77777777" w:rsidR="00302BFE" w:rsidRPr="006E490C" w:rsidRDefault="00302BFE" w:rsidP="00243B15">
            <w:pPr>
              <w:jc w:val="left"/>
              <w:rPr>
                <w:rFonts w:cs="Calibri"/>
                <w:sz w:val="18"/>
                <w:szCs w:val="18"/>
              </w:rPr>
            </w:pPr>
            <w:r w:rsidRPr="006E490C">
              <w:rPr>
                <w:rFonts w:cs="Calibri"/>
                <w:sz w:val="18"/>
                <w:szCs w:val="18"/>
              </w:rPr>
              <w:t>On-going</w:t>
            </w:r>
          </w:p>
        </w:tc>
      </w:tr>
      <w:tr w:rsidR="000E4F17" w:rsidRPr="006E490C" w14:paraId="126D8038" w14:textId="77777777" w:rsidTr="000E4F17">
        <w:trPr>
          <w:gridBefore w:val="1"/>
          <w:wBefore w:w="9" w:type="dxa"/>
          <w:jc w:val="center"/>
        </w:trPr>
        <w:tc>
          <w:tcPr>
            <w:tcW w:w="3239" w:type="dxa"/>
          </w:tcPr>
          <w:p w14:paraId="3AB0199A" w14:textId="44EFD0DB" w:rsidR="000E4F17" w:rsidRPr="00E753E6" w:rsidRDefault="00EC08CA" w:rsidP="000E4F17">
            <w:pPr>
              <w:jc w:val="left"/>
              <w:rPr>
                <w:rFonts w:cs="Calibri"/>
                <w:b/>
                <w:sz w:val="18"/>
                <w:szCs w:val="18"/>
              </w:rPr>
            </w:pPr>
            <w:r w:rsidRPr="00A63E29">
              <w:rPr>
                <w:rFonts w:cs="Calibri"/>
                <w:b/>
                <w:sz w:val="18"/>
                <w:szCs w:val="18"/>
              </w:rPr>
              <w:t xml:space="preserve">Monitoring of implementation of </w:t>
            </w:r>
            <w:r w:rsidR="000E4F17" w:rsidRPr="00A63E29">
              <w:rPr>
                <w:rFonts w:cs="Calibri"/>
                <w:b/>
                <w:sz w:val="18"/>
                <w:szCs w:val="18"/>
              </w:rPr>
              <w:t>Stakeholder Engagement Plan</w:t>
            </w:r>
          </w:p>
        </w:tc>
        <w:tc>
          <w:tcPr>
            <w:tcW w:w="2409" w:type="dxa"/>
          </w:tcPr>
          <w:p w14:paraId="10D303FD" w14:textId="77777777" w:rsidR="000E4F17" w:rsidRPr="00E753E6" w:rsidRDefault="000E4F17" w:rsidP="000E4F17">
            <w:pPr>
              <w:rPr>
                <w:rFonts w:cs="Calibri"/>
                <w:sz w:val="18"/>
                <w:szCs w:val="18"/>
              </w:rPr>
            </w:pPr>
            <w:r w:rsidRPr="00E753E6">
              <w:rPr>
                <w:rFonts w:cs="Calibri"/>
                <w:sz w:val="18"/>
                <w:szCs w:val="18"/>
              </w:rPr>
              <w:t>Project Manager</w:t>
            </w:r>
          </w:p>
          <w:p w14:paraId="0A4CA8A0" w14:textId="77777777" w:rsidR="000E4F17" w:rsidRPr="00E753E6" w:rsidRDefault="000E4F17" w:rsidP="000E4F17">
            <w:pPr>
              <w:rPr>
                <w:rFonts w:cs="Calibri"/>
                <w:sz w:val="18"/>
                <w:szCs w:val="18"/>
              </w:rPr>
            </w:pPr>
            <w:r w:rsidRPr="00E753E6">
              <w:rPr>
                <w:rFonts w:cs="Calibri"/>
                <w:sz w:val="18"/>
                <w:szCs w:val="18"/>
              </w:rPr>
              <w:t>UNDP Country Office</w:t>
            </w:r>
          </w:p>
          <w:p w14:paraId="39EDBFF1" w14:textId="77777777" w:rsidR="000E4F17" w:rsidRPr="00E753E6" w:rsidRDefault="000E4F17" w:rsidP="000E4F17">
            <w:pPr>
              <w:rPr>
                <w:rFonts w:cs="Calibri"/>
                <w:sz w:val="18"/>
                <w:szCs w:val="18"/>
              </w:rPr>
            </w:pPr>
            <w:r w:rsidRPr="00E753E6">
              <w:rPr>
                <w:rFonts w:cs="Calibri"/>
                <w:sz w:val="18"/>
                <w:szCs w:val="18"/>
              </w:rPr>
              <w:t>Community mobilization specialist</w:t>
            </w:r>
          </w:p>
        </w:tc>
        <w:tc>
          <w:tcPr>
            <w:tcW w:w="1811" w:type="dxa"/>
          </w:tcPr>
          <w:p w14:paraId="70E954C4" w14:textId="6201A5BE" w:rsidR="000E4F17" w:rsidRPr="00A63E29" w:rsidRDefault="000E4F17" w:rsidP="000E4F17">
            <w:pPr>
              <w:jc w:val="left"/>
              <w:rPr>
                <w:rFonts w:cs="Calibri"/>
                <w:i/>
                <w:sz w:val="18"/>
                <w:szCs w:val="18"/>
              </w:rPr>
            </w:pPr>
            <w:r w:rsidRPr="00A63E29">
              <w:rPr>
                <w:rFonts w:cs="Calibri"/>
                <w:sz w:val="18"/>
                <w:szCs w:val="18"/>
              </w:rPr>
              <w:t xml:space="preserve">Total USD 10,000 - USD 2,000 per year </w:t>
            </w:r>
            <w:r w:rsidR="00EC08CA" w:rsidRPr="00A63E29">
              <w:rPr>
                <w:rFonts w:cs="Calibri"/>
                <w:sz w:val="18"/>
                <w:szCs w:val="18"/>
              </w:rPr>
              <w:t xml:space="preserve">in </w:t>
            </w:r>
            <w:r w:rsidRPr="00A63E29">
              <w:rPr>
                <w:rFonts w:cs="Calibri"/>
                <w:sz w:val="18"/>
                <w:szCs w:val="18"/>
              </w:rPr>
              <w:t>year</w:t>
            </w:r>
            <w:r w:rsidR="00EC08CA" w:rsidRPr="00A63E29">
              <w:rPr>
                <w:rFonts w:cs="Calibri"/>
                <w:sz w:val="18"/>
                <w:szCs w:val="18"/>
              </w:rPr>
              <w:t>s</w:t>
            </w:r>
            <w:r w:rsidRPr="00A63E29">
              <w:rPr>
                <w:rFonts w:cs="Calibri"/>
                <w:sz w:val="18"/>
                <w:szCs w:val="18"/>
              </w:rPr>
              <w:t xml:space="preserve"> 2</w:t>
            </w:r>
            <w:r w:rsidR="00EC08CA" w:rsidRPr="00A63E29">
              <w:rPr>
                <w:rFonts w:cs="Calibri"/>
                <w:sz w:val="18"/>
                <w:szCs w:val="18"/>
              </w:rPr>
              <w:t>-5</w:t>
            </w:r>
          </w:p>
        </w:tc>
        <w:tc>
          <w:tcPr>
            <w:tcW w:w="1451" w:type="dxa"/>
          </w:tcPr>
          <w:p w14:paraId="4265E9B3" w14:textId="77777777" w:rsidR="000E4F17" w:rsidRPr="006E490C" w:rsidRDefault="000E4F17" w:rsidP="000E4F17">
            <w:pPr>
              <w:jc w:val="left"/>
              <w:rPr>
                <w:rFonts w:cs="Calibri"/>
                <w:i/>
                <w:sz w:val="18"/>
                <w:szCs w:val="18"/>
              </w:rPr>
            </w:pPr>
            <w:r w:rsidRPr="006E490C">
              <w:rPr>
                <w:rFonts w:cs="Calibri"/>
                <w:sz w:val="18"/>
                <w:szCs w:val="18"/>
              </w:rPr>
              <w:t>None</w:t>
            </w:r>
          </w:p>
        </w:tc>
        <w:tc>
          <w:tcPr>
            <w:tcW w:w="1854" w:type="dxa"/>
          </w:tcPr>
          <w:p w14:paraId="5AC353AA" w14:textId="77777777" w:rsidR="000E4F17" w:rsidRPr="006E490C" w:rsidRDefault="000E4F17" w:rsidP="000E4F17">
            <w:pPr>
              <w:jc w:val="left"/>
              <w:rPr>
                <w:rFonts w:cs="Calibri"/>
                <w:sz w:val="18"/>
                <w:szCs w:val="18"/>
              </w:rPr>
            </w:pPr>
            <w:r w:rsidRPr="006E490C">
              <w:rPr>
                <w:rFonts w:cs="Calibri"/>
                <w:sz w:val="18"/>
                <w:szCs w:val="18"/>
              </w:rPr>
              <w:t>On-going</w:t>
            </w:r>
          </w:p>
        </w:tc>
      </w:tr>
      <w:tr w:rsidR="00EC08CA" w:rsidRPr="006E490C" w14:paraId="70D81C30" w14:textId="77777777" w:rsidTr="000E4F17">
        <w:trPr>
          <w:gridBefore w:val="1"/>
          <w:wBefore w:w="9" w:type="dxa"/>
          <w:jc w:val="center"/>
        </w:trPr>
        <w:tc>
          <w:tcPr>
            <w:tcW w:w="3239" w:type="dxa"/>
          </w:tcPr>
          <w:p w14:paraId="0DDCA78F" w14:textId="65D9CCB3" w:rsidR="00EC08CA" w:rsidRPr="00A63E29" w:rsidRDefault="00EC08CA" w:rsidP="00EC08CA">
            <w:pPr>
              <w:jc w:val="left"/>
              <w:rPr>
                <w:rFonts w:cs="Calibri"/>
                <w:b/>
                <w:sz w:val="18"/>
                <w:szCs w:val="18"/>
              </w:rPr>
            </w:pPr>
            <w:r w:rsidRPr="00A63E29">
              <w:rPr>
                <w:rFonts w:cs="Calibri"/>
                <w:b/>
                <w:sz w:val="18"/>
                <w:szCs w:val="18"/>
              </w:rPr>
              <w:t>Monitoring of implementation of Gender Action Plan</w:t>
            </w:r>
          </w:p>
        </w:tc>
        <w:tc>
          <w:tcPr>
            <w:tcW w:w="2409" w:type="dxa"/>
          </w:tcPr>
          <w:p w14:paraId="6514C9CD" w14:textId="77777777" w:rsidR="00EC08CA" w:rsidRPr="00E753E6" w:rsidRDefault="00EC08CA" w:rsidP="00EC08CA">
            <w:pPr>
              <w:rPr>
                <w:rFonts w:cs="Calibri"/>
                <w:sz w:val="18"/>
                <w:szCs w:val="18"/>
              </w:rPr>
            </w:pPr>
            <w:r w:rsidRPr="00E753E6">
              <w:rPr>
                <w:rFonts w:cs="Calibri"/>
                <w:sz w:val="18"/>
                <w:szCs w:val="18"/>
              </w:rPr>
              <w:t>Project Manager</w:t>
            </w:r>
          </w:p>
          <w:p w14:paraId="698EA7CB" w14:textId="77777777" w:rsidR="00EC08CA" w:rsidRPr="00E753E6" w:rsidRDefault="00EC08CA" w:rsidP="00EC08CA">
            <w:r w:rsidRPr="00E753E6">
              <w:rPr>
                <w:rFonts w:cs="Calibri"/>
                <w:sz w:val="18"/>
                <w:szCs w:val="18"/>
              </w:rPr>
              <w:t>Gender Specialist</w:t>
            </w:r>
          </w:p>
        </w:tc>
        <w:tc>
          <w:tcPr>
            <w:tcW w:w="1811" w:type="dxa"/>
          </w:tcPr>
          <w:p w14:paraId="20C80D49" w14:textId="3B54646C" w:rsidR="00EC08CA" w:rsidRPr="00A63E29" w:rsidRDefault="00EC08CA" w:rsidP="00EC08CA">
            <w:pPr>
              <w:jc w:val="left"/>
              <w:rPr>
                <w:rFonts w:cs="Calibri"/>
                <w:sz w:val="18"/>
                <w:szCs w:val="18"/>
              </w:rPr>
            </w:pPr>
            <w:r w:rsidRPr="00A63E29">
              <w:rPr>
                <w:rFonts w:cs="Calibri"/>
                <w:sz w:val="18"/>
                <w:szCs w:val="18"/>
              </w:rPr>
              <w:t>Total USD 10,000 - USD 2,000 per year in years 2-5</w:t>
            </w:r>
          </w:p>
        </w:tc>
        <w:tc>
          <w:tcPr>
            <w:tcW w:w="1451" w:type="dxa"/>
          </w:tcPr>
          <w:p w14:paraId="35B26AA2" w14:textId="18B7B05B" w:rsidR="00EC08CA" w:rsidRPr="00E753E6" w:rsidRDefault="00EC08CA" w:rsidP="00EC08CA">
            <w:pPr>
              <w:jc w:val="left"/>
              <w:rPr>
                <w:rFonts w:cs="Calibri"/>
                <w:sz w:val="18"/>
                <w:szCs w:val="18"/>
              </w:rPr>
            </w:pPr>
            <w:r w:rsidRPr="00A63E29">
              <w:rPr>
                <w:rFonts w:cs="Calibri"/>
                <w:sz w:val="18"/>
                <w:szCs w:val="18"/>
              </w:rPr>
              <w:t>None</w:t>
            </w:r>
          </w:p>
        </w:tc>
        <w:tc>
          <w:tcPr>
            <w:tcW w:w="1854" w:type="dxa"/>
          </w:tcPr>
          <w:p w14:paraId="18B19CC6" w14:textId="77777777" w:rsidR="00EC08CA" w:rsidRPr="006E490C" w:rsidRDefault="00EC08CA" w:rsidP="00EC08CA">
            <w:pPr>
              <w:jc w:val="left"/>
              <w:rPr>
                <w:rFonts w:cs="Calibri"/>
                <w:sz w:val="18"/>
                <w:szCs w:val="18"/>
              </w:rPr>
            </w:pPr>
            <w:r w:rsidRPr="006E490C">
              <w:rPr>
                <w:rFonts w:cs="Calibri"/>
                <w:sz w:val="18"/>
                <w:szCs w:val="18"/>
              </w:rPr>
              <w:t>On-going</w:t>
            </w:r>
          </w:p>
        </w:tc>
      </w:tr>
      <w:tr w:rsidR="00302BFE" w:rsidRPr="006E490C" w14:paraId="16B242CC" w14:textId="77777777" w:rsidTr="000E4F17">
        <w:trPr>
          <w:gridBefore w:val="1"/>
          <w:wBefore w:w="9" w:type="dxa"/>
          <w:jc w:val="center"/>
        </w:trPr>
        <w:tc>
          <w:tcPr>
            <w:tcW w:w="3239" w:type="dxa"/>
          </w:tcPr>
          <w:p w14:paraId="2DBE497C" w14:textId="77777777" w:rsidR="00302BFE" w:rsidRPr="00E753E6" w:rsidRDefault="00302BFE" w:rsidP="00243B15">
            <w:pPr>
              <w:jc w:val="left"/>
              <w:rPr>
                <w:rFonts w:cs="Calibri"/>
                <w:b/>
                <w:sz w:val="18"/>
                <w:szCs w:val="18"/>
              </w:rPr>
            </w:pPr>
            <w:r w:rsidRPr="00E753E6">
              <w:rPr>
                <w:rFonts w:cs="Calibri"/>
                <w:b/>
                <w:sz w:val="18"/>
                <w:szCs w:val="18"/>
              </w:rPr>
              <w:t>Addressing environmental and social grievances</w:t>
            </w:r>
          </w:p>
        </w:tc>
        <w:tc>
          <w:tcPr>
            <w:tcW w:w="2409" w:type="dxa"/>
          </w:tcPr>
          <w:p w14:paraId="7815F12F" w14:textId="77777777" w:rsidR="00302BFE" w:rsidRPr="006E490C" w:rsidRDefault="00302BFE" w:rsidP="00243B15">
            <w:pPr>
              <w:jc w:val="left"/>
              <w:rPr>
                <w:rFonts w:cs="Calibri"/>
                <w:sz w:val="18"/>
                <w:szCs w:val="18"/>
              </w:rPr>
            </w:pPr>
            <w:r w:rsidRPr="006E490C">
              <w:rPr>
                <w:rFonts w:cs="Calibri"/>
                <w:sz w:val="18"/>
                <w:szCs w:val="18"/>
              </w:rPr>
              <w:t>Project Manager</w:t>
            </w:r>
          </w:p>
          <w:p w14:paraId="7CD2A1CA" w14:textId="77777777" w:rsidR="00302BFE" w:rsidRPr="006E490C" w:rsidRDefault="00302BFE" w:rsidP="00243B15">
            <w:pPr>
              <w:jc w:val="left"/>
              <w:rPr>
                <w:rFonts w:cs="Calibri"/>
                <w:sz w:val="18"/>
                <w:szCs w:val="18"/>
              </w:rPr>
            </w:pPr>
            <w:r w:rsidRPr="006E490C">
              <w:rPr>
                <w:rFonts w:cs="Calibri"/>
                <w:sz w:val="18"/>
                <w:szCs w:val="18"/>
              </w:rPr>
              <w:t>M&amp;E/Safeguards expert</w:t>
            </w:r>
          </w:p>
          <w:p w14:paraId="3795BD31" w14:textId="77777777" w:rsidR="00302BFE" w:rsidRPr="006E490C" w:rsidRDefault="00302BFE" w:rsidP="00243B15">
            <w:pPr>
              <w:jc w:val="left"/>
              <w:rPr>
                <w:rFonts w:cs="Calibri"/>
                <w:sz w:val="18"/>
                <w:szCs w:val="18"/>
              </w:rPr>
            </w:pPr>
            <w:r w:rsidRPr="006E490C">
              <w:rPr>
                <w:rFonts w:cs="Calibri"/>
                <w:sz w:val="18"/>
                <w:szCs w:val="18"/>
              </w:rPr>
              <w:t>UNDP Country Office</w:t>
            </w:r>
          </w:p>
        </w:tc>
        <w:tc>
          <w:tcPr>
            <w:tcW w:w="1811" w:type="dxa"/>
          </w:tcPr>
          <w:p w14:paraId="0687CF8E" w14:textId="77777777" w:rsidR="00302BFE" w:rsidRPr="00E753E6" w:rsidRDefault="00302BFE" w:rsidP="00243B15">
            <w:pPr>
              <w:jc w:val="left"/>
              <w:rPr>
                <w:rFonts w:cs="Calibri"/>
                <w:sz w:val="18"/>
                <w:szCs w:val="18"/>
              </w:rPr>
            </w:pPr>
            <w:r w:rsidRPr="00E753E6">
              <w:rPr>
                <w:rFonts w:cs="Calibri"/>
                <w:sz w:val="18"/>
                <w:szCs w:val="18"/>
              </w:rPr>
              <w:t>USD 32,400</w:t>
            </w:r>
            <w:r w:rsidRPr="00E753E6">
              <w:rPr>
                <w:rStyle w:val="Appelnotedebasdep"/>
                <w:szCs w:val="18"/>
              </w:rPr>
              <w:footnoteReference w:id="75"/>
            </w:r>
          </w:p>
        </w:tc>
        <w:tc>
          <w:tcPr>
            <w:tcW w:w="1451" w:type="dxa"/>
          </w:tcPr>
          <w:p w14:paraId="23322A64" w14:textId="77777777" w:rsidR="00302BFE" w:rsidRPr="00E753E6" w:rsidRDefault="00302BFE" w:rsidP="00243B15">
            <w:pPr>
              <w:jc w:val="left"/>
              <w:rPr>
                <w:rFonts w:cs="Calibri"/>
                <w:sz w:val="18"/>
                <w:szCs w:val="18"/>
              </w:rPr>
            </w:pPr>
            <w:r w:rsidRPr="00E753E6">
              <w:rPr>
                <w:rFonts w:cs="Calibri"/>
                <w:sz w:val="18"/>
                <w:szCs w:val="18"/>
              </w:rPr>
              <w:t>None</w:t>
            </w:r>
          </w:p>
        </w:tc>
        <w:tc>
          <w:tcPr>
            <w:tcW w:w="1854" w:type="dxa"/>
          </w:tcPr>
          <w:p w14:paraId="569113D2" w14:textId="77777777" w:rsidR="00302BFE" w:rsidRPr="006E490C" w:rsidRDefault="00302BFE" w:rsidP="00243B15">
            <w:pPr>
              <w:jc w:val="left"/>
              <w:rPr>
                <w:rFonts w:cs="Calibri"/>
                <w:sz w:val="18"/>
                <w:szCs w:val="18"/>
              </w:rPr>
            </w:pPr>
            <w:r w:rsidRPr="006E490C">
              <w:rPr>
                <w:rFonts w:cs="Calibri"/>
                <w:sz w:val="18"/>
                <w:szCs w:val="18"/>
              </w:rPr>
              <w:t>On-going</w:t>
            </w:r>
          </w:p>
        </w:tc>
      </w:tr>
      <w:tr w:rsidR="00302BFE" w:rsidRPr="006E490C" w14:paraId="3858022F" w14:textId="77777777" w:rsidTr="000E4F17">
        <w:trPr>
          <w:gridBefore w:val="1"/>
          <w:wBefore w:w="9" w:type="dxa"/>
          <w:jc w:val="center"/>
        </w:trPr>
        <w:tc>
          <w:tcPr>
            <w:tcW w:w="3239" w:type="dxa"/>
          </w:tcPr>
          <w:p w14:paraId="4FB947FA" w14:textId="77777777" w:rsidR="00302BFE" w:rsidRPr="006E490C" w:rsidRDefault="00302BFE" w:rsidP="00243B15">
            <w:pPr>
              <w:jc w:val="left"/>
              <w:rPr>
                <w:rFonts w:cs="Calibri"/>
                <w:b/>
                <w:sz w:val="18"/>
                <w:szCs w:val="18"/>
              </w:rPr>
            </w:pPr>
            <w:r w:rsidRPr="006E490C">
              <w:rPr>
                <w:rFonts w:cs="Calibri"/>
                <w:b/>
                <w:sz w:val="18"/>
                <w:szCs w:val="18"/>
              </w:rPr>
              <w:t>Project Consultation/Dialogue Framework meetings</w:t>
            </w:r>
          </w:p>
        </w:tc>
        <w:tc>
          <w:tcPr>
            <w:tcW w:w="2409" w:type="dxa"/>
          </w:tcPr>
          <w:p w14:paraId="120B20AF" w14:textId="77777777" w:rsidR="00302BFE" w:rsidRPr="006E490C" w:rsidRDefault="00302BFE" w:rsidP="00243B15">
            <w:pPr>
              <w:jc w:val="left"/>
              <w:rPr>
                <w:rFonts w:cs="Calibri"/>
                <w:sz w:val="18"/>
                <w:szCs w:val="18"/>
              </w:rPr>
            </w:pPr>
            <w:r w:rsidRPr="006E490C">
              <w:rPr>
                <w:rFonts w:cs="Calibri"/>
                <w:sz w:val="18"/>
                <w:szCs w:val="18"/>
              </w:rPr>
              <w:t>Project Consultation/Dialogue Framework</w:t>
            </w:r>
          </w:p>
          <w:p w14:paraId="4FF18B67" w14:textId="77777777" w:rsidR="00302BFE" w:rsidRPr="006E490C" w:rsidRDefault="00302BFE" w:rsidP="00243B15">
            <w:pPr>
              <w:jc w:val="left"/>
              <w:rPr>
                <w:rFonts w:cs="Calibri"/>
                <w:sz w:val="18"/>
                <w:szCs w:val="18"/>
              </w:rPr>
            </w:pPr>
            <w:r w:rsidRPr="006E490C">
              <w:rPr>
                <w:rFonts w:cs="Calibri"/>
                <w:sz w:val="18"/>
                <w:szCs w:val="18"/>
              </w:rPr>
              <w:t>UNDP Country Office</w:t>
            </w:r>
          </w:p>
          <w:p w14:paraId="007DC03E" w14:textId="77777777" w:rsidR="00302BFE" w:rsidRPr="006E490C" w:rsidRDefault="00302BFE" w:rsidP="00243B15">
            <w:pPr>
              <w:jc w:val="left"/>
              <w:rPr>
                <w:rFonts w:cs="Calibri"/>
                <w:sz w:val="18"/>
                <w:szCs w:val="18"/>
              </w:rPr>
            </w:pPr>
            <w:r w:rsidRPr="006E490C">
              <w:rPr>
                <w:rFonts w:cs="Calibri"/>
                <w:sz w:val="18"/>
                <w:szCs w:val="18"/>
              </w:rPr>
              <w:t>Project Manager</w:t>
            </w:r>
          </w:p>
        </w:tc>
        <w:tc>
          <w:tcPr>
            <w:tcW w:w="1811" w:type="dxa"/>
          </w:tcPr>
          <w:p w14:paraId="7344CB7C" w14:textId="77777777" w:rsidR="00302BFE" w:rsidRPr="006E490C" w:rsidRDefault="00302BFE" w:rsidP="00243B15">
            <w:pPr>
              <w:jc w:val="left"/>
              <w:rPr>
                <w:rFonts w:cs="Calibri"/>
                <w:sz w:val="18"/>
                <w:szCs w:val="18"/>
              </w:rPr>
            </w:pPr>
            <w:r w:rsidRPr="006E490C">
              <w:rPr>
                <w:rFonts w:cs="Calibri"/>
                <w:sz w:val="18"/>
                <w:szCs w:val="18"/>
              </w:rPr>
              <w:t>USD 3,000 (Per year: USD 500)</w:t>
            </w:r>
          </w:p>
        </w:tc>
        <w:tc>
          <w:tcPr>
            <w:tcW w:w="1451" w:type="dxa"/>
          </w:tcPr>
          <w:p w14:paraId="313F4065" w14:textId="77777777" w:rsidR="00302BFE" w:rsidRPr="006E490C" w:rsidRDefault="00302BFE" w:rsidP="00243B15">
            <w:pPr>
              <w:jc w:val="left"/>
              <w:rPr>
                <w:rFonts w:cs="Calibri"/>
                <w:sz w:val="18"/>
                <w:szCs w:val="18"/>
              </w:rPr>
            </w:pPr>
            <w:r w:rsidRPr="006E490C">
              <w:rPr>
                <w:rFonts w:cs="Calibri"/>
                <w:sz w:val="18"/>
                <w:szCs w:val="18"/>
              </w:rPr>
              <w:t>USD 6,000 (Per year: USD 1,000)</w:t>
            </w:r>
          </w:p>
        </w:tc>
        <w:tc>
          <w:tcPr>
            <w:tcW w:w="1854" w:type="dxa"/>
          </w:tcPr>
          <w:p w14:paraId="62963ABB" w14:textId="77777777" w:rsidR="00302BFE" w:rsidRPr="006E490C" w:rsidRDefault="00302BFE" w:rsidP="00243B15">
            <w:pPr>
              <w:jc w:val="left"/>
              <w:rPr>
                <w:rFonts w:cs="Calibri"/>
                <w:sz w:val="18"/>
                <w:szCs w:val="18"/>
              </w:rPr>
            </w:pPr>
            <w:r w:rsidRPr="006E490C">
              <w:rPr>
                <w:rFonts w:cs="Calibri"/>
                <w:sz w:val="18"/>
                <w:szCs w:val="18"/>
              </w:rPr>
              <w:t>At minimum annually</w:t>
            </w:r>
          </w:p>
        </w:tc>
      </w:tr>
      <w:tr w:rsidR="00302BFE" w:rsidRPr="006E490C" w14:paraId="4F78E668" w14:textId="77777777" w:rsidTr="000E4F17">
        <w:trPr>
          <w:gridBefore w:val="1"/>
          <w:wBefore w:w="9" w:type="dxa"/>
          <w:jc w:val="center"/>
        </w:trPr>
        <w:tc>
          <w:tcPr>
            <w:tcW w:w="3239" w:type="dxa"/>
          </w:tcPr>
          <w:p w14:paraId="23588E48" w14:textId="77777777" w:rsidR="00302BFE" w:rsidRPr="006E490C" w:rsidRDefault="00302BFE" w:rsidP="00243B15">
            <w:pPr>
              <w:jc w:val="left"/>
              <w:rPr>
                <w:rFonts w:cs="Calibri"/>
                <w:b/>
                <w:sz w:val="18"/>
                <w:szCs w:val="18"/>
              </w:rPr>
            </w:pPr>
            <w:r w:rsidRPr="006E490C">
              <w:rPr>
                <w:rFonts w:cs="Calibri"/>
                <w:b/>
                <w:sz w:val="18"/>
                <w:szCs w:val="18"/>
              </w:rPr>
              <w:t>Supervision missions</w:t>
            </w:r>
          </w:p>
        </w:tc>
        <w:tc>
          <w:tcPr>
            <w:tcW w:w="2409" w:type="dxa"/>
          </w:tcPr>
          <w:p w14:paraId="17572565" w14:textId="77777777" w:rsidR="00302BFE" w:rsidRPr="006E490C" w:rsidRDefault="00302BFE" w:rsidP="00243B15">
            <w:pPr>
              <w:jc w:val="left"/>
              <w:rPr>
                <w:rFonts w:cs="Calibri"/>
                <w:b/>
                <w:sz w:val="18"/>
                <w:szCs w:val="18"/>
              </w:rPr>
            </w:pPr>
            <w:r w:rsidRPr="006E490C">
              <w:rPr>
                <w:rFonts w:cs="Calibri"/>
                <w:sz w:val="18"/>
                <w:szCs w:val="18"/>
              </w:rPr>
              <w:t>UNDP Country Office</w:t>
            </w:r>
          </w:p>
        </w:tc>
        <w:tc>
          <w:tcPr>
            <w:tcW w:w="1811" w:type="dxa"/>
          </w:tcPr>
          <w:p w14:paraId="054240E1" w14:textId="77777777" w:rsidR="00302BFE" w:rsidRPr="006E490C" w:rsidRDefault="00302BFE" w:rsidP="00243B15">
            <w:pPr>
              <w:pStyle w:val="BodyText23"/>
              <w:widowControl/>
              <w:tabs>
                <w:tab w:val="clear" w:pos="547"/>
              </w:tabs>
              <w:spacing w:after="60"/>
              <w:rPr>
                <w:rFonts w:ascii="Calibri" w:hAnsi="Calibri" w:cs="Calibri"/>
                <w:snapToGrid/>
                <w:sz w:val="18"/>
                <w:szCs w:val="18"/>
                <w:lang w:val="en-GB"/>
              </w:rPr>
            </w:pPr>
            <w:r w:rsidRPr="006E490C">
              <w:rPr>
                <w:rFonts w:ascii="Calibri" w:hAnsi="Calibri" w:cs="Calibri"/>
                <w:snapToGrid/>
                <w:sz w:val="18"/>
                <w:szCs w:val="18"/>
                <w:lang w:val="en-GB"/>
              </w:rPr>
              <w:t>None</w:t>
            </w:r>
            <w:bookmarkStart w:id="29" w:name="_Ref434335281"/>
            <w:r w:rsidRPr="006E490C">
              <w:rPr>
                <w:rStyle w:val="Appelnotedebasdep"/>
                <w:rFonts w:ascii="Calibri" w:hAnsi="Calibri"/>
                <w:b/>
                <w:szCs w:val="18"/>
              </w:rPr>
              <w:footnoteReference w:id="76"/>
            </w:r>
            <w:bookmarkEnd w:id="29"/>
          </w:p>
        </w:tc>
        <w:tc>
          <w:tcPr>
            <w:tcW w:w="1451" w:type="dxa"/>
          </w:tcPr>
          <w:p w14:paraId="59BF9928" w14:textId="77777777" w:rsidR="00302BFE" w:rsidRPr="006E490C" w:rsidRDefault="00302BFE" w:rsidP="00243B15">
            <w:pPr>
              <w:pStyle w:val="BodyText23"/>
              <w:widowControl/>
              <w:tabs>
                <w:tab w:val="clear" w:pos="547"/>
              </w:tabs>
              <w:spacing w:after="60"/>
              <w:rPr>
                <w:rFonts w:ascii="Calibri" w:hAnsi="Calibri" w:cs="Calibri"/>
                <w:snapToGrid/>
                <w:sz w:val="18"/>
                <w:szCs w:val="18"/>
                <w:lang w:val="en-GB"/>
              </w:rPr>
            </w:pPr>
            <w:r w:rsidRPr="006E490C">
              <w:rPr>
                <w:rFonts w:ascii="Calibri" w:hAnsi="Calibri" w:cs="Calibri"/>
                <w:sz w:val="18"/>
                <w:szCs w:val="18"/>
              </w:rPr>
              <w:t>None</w:t>
            </w:r>
          </w:p>
        </w:tc>
        <w:tc>
          <w:tcPr>
            <w:tcW w:w="1854" w:type="dxa"/>
          </w:tcPr>
          <w:p w14:paraId="26636DD2" w14:textId="77777777" w:rsidR="00302BFE" w:rsidRPr="006E490C" w:rsidRDefault="00302BFE" w:rsidP="00243B15">
            <w:pPr>
              <w:jc w:val="left"/>
              <w:rPr>
                <w:rFonts w:cs="Calibri"/>
                <w:sz w:val="18"/>
                <w:szCs w:val="18"/>
              </w:rPr>
            </w:pPr>
            <w:r w:rsidRPr="006E490C">
              <w:rPr>
                <w:rFonts w:cs="Calibri"/>
                <w:sz w:val="18"/>
                <w:szCs w:val="18"/>
              </w:rPr>
              <w:t>Annually</w:t>
            </w:r>
          </w:p>
        </w:tc>
      </w:tr>
      <w:tr w:rsidR="00302BFE" w:rsidRPr="006E490C" w14:paraId="4C958F08" w14:textId="77777777" w:rsidTr="000E4F17">
        <w:trPr>
          <w:gridBefore w:val="1"/>
          <w:wBefore w:w="9" w:type="dxa"/>
          <w:jc w:val="center"/>
        </w:trPr>
        <w:tc>
          <w:tcPr>
            <w:tcW w:w="3239" w:type="dxa"/>
          </w:tcPr>
          <w:p w14:paraId="6C2C0ACE" w14:textId="77777777" w:rsidR="00302BFE" w:rsidRPr="006E490C" w:rsidRDefault="00302BFE" w:rsidP="00243B15">
            <w:pPr>
              <w:jc w:val="left"/>
              <w:rPr>
                <w:rFonts w:cs="Calibri"/>
                <w:b/>
                <w:sz w:val="18"/>
                <w:szCs w:val="18"/>
              </w:rPr>
            </w:pPr>
            <w:r w:rsidRPr="006E490C">
              <w:rPr>
                <w:rFonts w:cs="Calibri"/>
                <w:b/>
                <w:sz w:val="18"/>
                <w:szCs w:val="18"/>
              </w:rPr>
              <w:t>Oversight missions</w:t>
            </w:r>
          </w:p>
        </w:tc>
        <w:tc>
          <w:tcPr>
            <w:tcW w:w="2409" w:type="dxa"/>
          </w:tcPr>
          <w:p w14:paraId="70A777AB" w14:textId="77777777" w:rsidR="00302BFE" w:rsidRPr="006E490C" w:rsidRDefault="00302BFE" w:rsidP="00243B15">
            <w:pPr>
              <w:jc w:val="left"/>
              <w:rPr>
                <w:rFonts w:cs="Calibri"/>
                <w:b/>
                <w:sz w:val="18"/>
                <w:szCs w:val="18"/>
              </w:rPr>
            </w:pPr>
            <w:r w:rsidRPr="006E490C">
              <w:rPr>
                <w:rFonts w:cs="Calibri"/>
                <w:sz w:val="18"/>
                <w:szCs w:val="18"/>
              </w:rPr>
              <w:t>UNDP-GEF team</w:t>
            </w:r>
          </w:p>
        </w:tc>
        <w:tc>
          <w:tcPr>
            <w:tcW w:w="1811" w:type="dxa"/>
          </w:tcPr>
          <w:p w14:paraId="63A6DE9E" w14:textId="011743B9" w:rsidR="00302BFE" w:rsidRPr="006E490C" w:rsidRDefault="00302BFE" w:rsidP="00243B15">
            <w:pPr>
              <w:pStyle w:val="BodyText23"/>
              <w:widowControl/>
              <w:tabs>
                <w:tab w:val="clear" w:pos="547"/>
              </w:tabs>
              <w:spacing w:after="60"/>
              <w:rPr>
                <w:rFonts w:ascii="Calibri" w:hAnsi="Calibri" w:cs="Calibri"/>
                <w:snapToGrid/>
                <w:sz w:val="18"/>
                <w:szCs w:val="18"/>
                <w:lang w:val="en-GB"/>
              </w:rPr>
            </w:pPr>
            <w:r w:rsidRPr="006E490C">
              <w:rPr>
                <w:rFonts w:ascii="Calibri" w:hAnsi="Calibri" w:cs="Calibri"/>
                <w:snapToGrid/>
                <w:sz w:val="18"/>
                <w:szCs w:val="18"/>
                <w:lang w:val="en-GB"/>
              </w:rPr>
              <w:t>None</w:t>
            </w:r>
            <w:r w:rsidRPr="006E490C">
              <w:rPr>
                <w:rFonts w:ascii="Calibri" w:hAnsi="Calibri" w:cs="Calibri"/>
                <w:snapToGrid/>
                <w:sz w:val="18"/>
                <w:szCs w:val="18"/>
                <w:lang w:val="en-GB"/>
              </w:rPr>
              <w:fldChar w:fldCharType="begin"/>
            </w:r>
            <w:r w:rsidRPr="006E490C">
              <w:rPr>
                <w:rFonts w:ascii="Calibri" w:hAnsi="Calibri" w:cs="Calibri"/>
                <w:snapToGrid/>
                <w:sz w:val="18"/>
                <w:szCs w:val="18"/>
                <w:lang w:val="en-GB"/>
              </w:rPr>
              <w:instrText xml:space="preserve"> NOTEREF _Ref434335281 \f \h </w:instrText>
            </w:r>
            <w:r>
              <w:rPr>
                <w:rFonts w:ascii="Calibri" w:hAnsi="Calibri" w:cs="Calibri"/>
                <w:snapToGrid/>
                <w:sz w:val="18"/>
                <w:szCs w:val="18"/>
                <w:lang w:val="en-GB"/>
              </w:rPr>
              <w:instrText xml:space="preserve"> \* MERGEFORMAT </w:instrText>
            </w:r>
            <w:r w:rsidRPr="006E490C">
              <w:rPr>
                <w:rFonts w:ascii="Calibri" w:hAnsi="Calibri" w:cs="Calibri"/>
                <w:snapToGrid/>
                <w:sz w:val="18"/>
                <w:szCs w:val="18"/>
                <w:lang w:val="en-GB"/>
              </w:rPr>
            </w:r>
            <w:r w:rsidRPr="006E490C">
              <w:rPr>
                <w:rFonts w:ascii="Calibri" w:hAnsi="Calibri" w:cs="Calibri"/>
                <w:snapToGrid/>
                <w:sz w:val="18"/>
                <w:szCs w:val="18"/>
                <w:lang w:val="en-GB"/>
              </w:rPr>
              <w:fldChar w:fldCharType="separate"/>
            </w:r>
            <w:r w:rsidR="00EB5F3C" w:rsidRPr="00EB5F3C">
              <w:rPr>
                <w:rStyle w:val="Appelnotedebasdep"/>
              </w:rPr>
              <w:t>76</w:t>
            </w:r>
            <w:r w:rsidRPr="006E490C">
              <w:rPr>
                <w:rFonts w:ascii="Calibri" w:hAnsi="Calibri" w:cs="Calibri"/>
                <w:snapToGrid/>
                <w:sz w:val="18"/>
                <w:szCs w:val="18"/>
                <w:lang w:val="en-GB"/>
              </w:rPr>
              <w:fldChar w:fldCharType="end"/>
            </w:r>
          </w:p>
        </w:tc>
        <w:tc>
          <w:tcPr>
            <w:tcW w:w="1451" w:type="dxa"/>
          </w:tcPr>
          <w:p w14:paraId="13B74B36" w14:textId="77777777" w:rsidR="00302BFE" w:rsidRPr="006E490C" w:rsidRDefault="00302BFE" w:rsidP="00243B15">
            <w:pPr>
              <w:pStyle w:val="BodyText23"/>
              <w:widowControl/>
              <w:tabs>
                <w:tab w:val="clear" w:pos="547"/>
              </w:tabs>
              <w:spacing w:after="60"/>
              <w:rPr>
                <w:rFonts w:ascii="Calibri" w:hAnsi="Calibri" w:cs="Calibri"/>
                <w:snapToGrid/>
                <w:sz w:val="18"/>
                <w:szCs w:val="18"/>
                <w:lang w:val="en-GB"/>
              </w:rPr>
            </w:pPr>
            <w:r w:rsidRPr="006E490C">
              <w:rPr>
                <w:rFonts w:ascii="Calibri" w:hAnsi="Calibri" w:cs="Calibri"/>
                <w:sz w:val="18"/>
                <w:szCs w:val="18"/>
              </w:rPr>
              <w:t>None</w:t>
            </w:r>
          </w:p>
        </w:tc>
        <w:tc>
          <w:tcPr>
            <w:tcW w:w="1854" w:type="dxa"/>
          </w:tcPr>
          <w:p w14:paraId="79CD1B19" w14:textId="77777777" w:rsidR="00302BFE" w:rsidRPr="006E490C" w:rsidRDefault="00302BFE" w:rsidP="00243B15">
            <w:pPr>
              <w:jc w:val="left"/>
              <w:rPr>
                <w:rFonts w:cs="Calibri"/>
                <w:sz w:val="18"/>
                <w:szCs w:val="18"/>
              </w:rPr>
            </w:pPr>
            <w:r w:rsidRPr="006E490C">
              <w:rPr>
                <w:rFonts w:cs="Calibri"/>
                <w:sz w:val="18"/>
                <w:szCs w:val="18"/>
              </w:rPr>
              <w:t>Troubleshooting as needed</w:t>
            </w:r>
          </w:p>
        </w:tc>
      </w:tr>
      <w:tr w:rsidR="00302BFE" w:rsidRPr="006E490C" w14:paraId="5931C191" w14:textId="77777777" w:rsidTr="000E4F17">
        <w:trPr>
          <w:gridBefore w:val="1"/>
          <w:wBefore w:w="9" w:type="dxa"/>
          <w:jc w:val="center"/>
        </w:trPr>
        <w:tc>
          <w:tcPr>
            <w:tcW w:w="3239" w:type="dxa"/>
          </w:tcPr>
          <w:p w14:paraId="209D16FA" w14:textId="77777777" w:rsidR="00302BFE" w:rsidRPr="006E490C" w:rsidRDefault="00302BFE" w:rsidP="00243B15">
            <w:pPr>
              <w:jc w:val="left"/>
              <w:rPr>
                <w:rFonts w:cs="Calibri"/>
                <w:b/>
                <w:sz w:val="18"/>
                <w:szCs w:val="18"/>
              </w:rPr>
            </w:pPr>
            <w:r w:rsidRPr="006E490C">
              <w:rPr>
                <w:rFonts w:cs="Calibri"/>
                <w:b/>
                <w:sz w:val="18"/>
                <w:szCs w:val="18"/>
              </w:rPr>
              <w:lastRenderedPageBreak/>
              <w:t xml:space="preserve">GEF Secretariat learning missions/site visits </w:t>
            </w:r>
          </w:p>
        </w:tc>
        <w:tc>
          <w:tcPr>
            <w:tcW w:w="2409" w:type="dxa"/>
          </w:tcPr>
          <w:p w14:paraId="45872BF8" w14:textId="77777777" w:rsidR="00302BFE" w:rsidRPr="006E490C" w:rsidRDefault="00302BFE" w:rsidP="00243B15">
            <w:pPr>
              <w:jc w:val="left"/>
              <w:rPr>
                <w:rFonts w:cs="Calibri"/>
                <w:sz w:val="18"/>
                <w:szCs w:val="18"/>
              </w:rPr>
            </w:pPr>
            <w:r w:rsidRPr="006E490C">
              <w:rPr>
                <w:rFonts w:cs="Calibri"/>
                <w:sz w:val="18"/>
                <w:szCs w:val="18"/>
              </w:rPr>
              <w:t>UNDP Country Office and Project Manager and UNDP-GEF team</w:t>
            </w:r>
          </w:p>
        </w:tc>
        <w:tc>
          <w:tcPr>
            <w:tcW w:w="1811" w:type="dxa"/>
          </w:tcPr>
          <w:p w14:paraId="6DAE96F1" w14:textId="77777777" w:rsidR="00302BFE" w:rsidRPr="006E490C" w:rsidRDefault="00302BFE" w:rsidP="00243B15">
            <w:pPr>
              <w:pStyle w:val="BodyText23"/>
              <w:widowControl/>
              <w:tabs>
                <w:tab w:val="clear" w:pos="547"/>
              </w:tabs>
              <w:spacing w:after="60"/>
              <w:rPr>
                <w:rFonts w:ascii="Calibri" w:hAnsi="Calibri" w:cs="Calibri"/>
                <w:snapToGrid/>
                <w:sz w:val="18"/>
                <w:szCs w:val="18"/>
                <w:lang w:val="en-GB"/>
              </w:rPr>
            </w:pPr>
            <w:r w:rsidRPr="006E490C">
              <w:rPr>
                <w:rFonts w:ascii="Calibri" w:hAnsi="Calibri" w:cs="Calibri"/>
                <w:snapToGrid/>
                <w:sz w:val="18"/>
                <w:szCs w:val="18"/>
                <w:lang w:val="en-GB"/>
              </w:rPr>
              <w:t>None</w:t>
            </w:r>
          </w:p>
        </w:tc>
        <w:tc>
          <w:tcPr>
            <w:tcW w:w="1451" w:type="dxa"/>
          </w:tcPr>
          <w:p w14:paraId="5DE19130" w14:textId="77777777" w:rsidR="00302BFE" w:rsidRPr="006E490C" w:rsidRDefault="00302BFE" w:rsidP="00243B15">
            <w:pPr>
              <w:pStyle w:val="BodyText23"/>
              <w:widowControl/>
              <w:tabs>
                <w:tab w:val="clear" w:pos="547"/>
              </w:tabs>
              <w:spacing w:after="60"/>
              <w:rPr>
                <w:rFonts w:ascii="Calibri" w:hAnsi="Calibri" w:cs="Calibri"/>
                <w:snapToGrid/>
                <w:sz w:val="18"/>
                <w:szCs w:val="18"/>
                <w:lang w:val="en-GB"/>
              </w:rPr>
            </w:pPr>
            <w:r w:rsidRPr="006E490C">
              <w:rPr>
                <w:rFonts w:ascii="Calibri" w:hAnsi="Calibri" w:cs="Calibri"/>
                <w:sz w:val="18"/>
                <w:szCs w:val="18"/>
              </w:rPr>
              <w:t>None</w:t>
            </w:r>
          </w:p>
        </w:tc>
        <w:tc>
          <w:tcPr>
            <w:tcW w:w="1854" w:type="dxa"/>
          </w:tcPr>
          <w:p w14:paraId="318BBF2C" w14:textId="77777777" w:rsidR="00302BFE" w:rsidRPr="006E490C" w:rsidRDefault="00302BFE" w:rsidP="00243B15">
            <w:pPr>
              <w:jc w:val="left"/>
              <w:rPr>
                <w:rFonts w:cs="Calibri"/>
                <w:sz w:val="18"/>
                <w:szCs w:val="18"/>
              </w:rPr>
            </w:pPr>
            <w:r w:rsidRPr="006E490C">
              <w:rPr>
                <w:rFonts w:cs="Calibri"/>
                <w:sz w:val="18"/>
                <w:szCs w:val="18"/>
              </w:rPr>
              <w:t>To be determined.</w:t>
            </w:r>
          </w:p>
        </w:tc>
      </w:tr>
      <w:tr w:rsidR="00302BFE" w:rsidRPr="006E490C" w14:paraId="673062A0" w14:textId="77777777" w:rsidTr="000E4F17">
        <w:trPr>
          <w:gridBefore w:val="1"/>
          <w:wBefore w:w="9" w:type="dxa"/>
          <w:jc w:val="center"/>
        </w:trPr>
        <w:tc>
          <w:tcPr>
            <w:tcW w:w="3239" w:type="dxa"/>
          </w:tcPr>
          <w:p w14:paraId="64DBB58F" w14:textId="77777777" w:rsidR="00302BFE" w:rsidRPr="006E490C" w:rsidRDefault="00302BFE" w:rsidP="00243B15">
            <w:pPr>
              <w:jc w:val="left"/>
              <w:rPr>
                <w:rFonts w:cs="Calibri"/>
                <w:b/>
                <w:sz w:val="18"/>
                <w:szCs w:val="18"/>
              </w:rPr>
            </w:pPr>
            <w:r w:rsidRPr="006E490C">
              <w:rPr>
                <w:rFonts w:cs="Calibri"/>
                <w:b/>
                <w:sz w:val="18"/>
                <w:szCs w:val="18"/>
              </w:rPr>
              <w:t>Evaluation of missing baseline values for the project indicators in the Project Result Framework</w:t>
            </w:r>
          </w:p>
        </w:tc>
        <w:tc>
          <w:tcPr>
            <w:tcW w:w="2409" w:type="dxa"/>
          </w:tcPr>
          <w:p w14:paraId="5BD11FA4" w14:textId="77777777" w:rsidR="00302BFE" w:rsidRPr="006E490C" w:rsidRDefault="00302BFE" w:rsidP="00243B15">
            <w:pPr>
              <w:jc w:val="left"/>
              <w:rPr>
                <w:rFonts w:cs="Calibri"/>
                <w:sz w:val="18"/>
                <w:szCs w:val="18"/>
              </w:rPr>
            </w:pPr>
            <w:r w:rsidRPr="006E490C">
              <w:rPr>
                <w:rFonts w:cs="Calibri"/>
                <w:sz w:val="18"/>
                <w:szCs w:val="18"/>
              </w:rPr>
              <w:t>Monitoring and Evaluation/Safeguards Expert</w:t>
            </w:r>
          </w:p>
          <w:p w14:paraId="00B7B79D" w14:textId="77777777" w:rsidR="00302BFE" w:rsidRPr="006E490C" w:rsidRDefault="00302BFE" w:rsidP="00243B15">
            <w:pPr>
              <w:jc w:val="left"/>
              <w:rPr>
                <w:rFonts w:cs="Calibri"/>
                <w:sz w:val="18"/>
                <w:szCs w:val="18"/>
              </w:rPr>
            </w:pPr>
            <w:r w:rsidRPr="006E490C">
              <w:rPr>
                <w:rFonts w:cs="Calibri"/>
                <w:sz w:val="18"/>
                <w:szCs w:val="18"/>
              </w:rPr>
              <w:t>With support of other project staff and consultants</w:t>
            </w:r>
          </w:p>
        </w:tc>
        <w:tc>
          <w:tcPr>
            <w:tcW w:w="1811" w:type="dxa"/>
          </w:tcPr>
          <w:p w14:paraId="230BBE21" w14:textId="77777777" w:rsidR="00302BFE" w:rsidRPr="006E490C" w:rsidRDefault="00302BFE" w:rsidP="00243B15">
            <w:pPr>
              <w:pStyle w:val="BodyText23"/>
              <w:widowControl/>
              <w:tabs>
                <w:tab w:val="clear" w:pos="547"/>
              </w:tabs>
              <w:spacing w:after="60"/>
              <w:rPr>
                <w:rFonts w:ascii="Calibri" w:hAnsi="Calibri" w:cs="Calibri"/>
                <w:snapToGrid/>
                <w:sz w:val="18"/>
                <w:szCs w:val="18"/>
                <w:lang w:val="en-GB"/>
              </w:rPr>
            </w:pPr>
            <w:r w:rsidRPr="006E490C">
              <w:rPr>
                <w:rFonts w:ascii="Calibri" w:hAnsi="Calibri" w:cs="Calibri"/>
                <w:snapToGrid/>
                <w:sz w:val="18"/>
                <w:szCs w:val="18"/>
                <w:lang w:val="en-GB"/>
              </w:rPr>
              <w:t>USD 18,500</w:t>
            </w:r>
            <w:r w:rsidRPr="006E490C">
              <w:rPr>
                <w:rStyle w:val="Appelnotedebasdep"/>
                <w:snapToGrid/>
                <w:szCs w:val="18"/>
                <w:lang w:val="en-GB"/>
              </w:rPr>
              <w:footnoteReference w:id="77"/>
            </w:r>
          </w:p>
        </w:tc>
        <w:tc>
          <w:tcPr>
            <w:tcW w:w="1451" w:type="dxa"/>
          </w:tcPr>
          <w:p w14:paraId="1489C565" w14:textId="77777777" w:rsidR="00302BFE" w:rsidRPr="006E490C" w:rsidRDefault="00302BFE" w:rsidP="00243B15">
            <w:pPr>
              <w:pStyle w:val="BodyText23"/>
              <w:widowControl/>
              <w:tabs>
                <w:tab w:val="clear" w:pos="547"/>
              </w:tabs>
              <w:spacing w:after="60"/>
              <w:rPr>
                <w:rFonts w:ascii="Calibri" w:hAnsi="Calibri" w:cs="Calibri"/>
                <w:sz w:val="18"/>
                <w:szCs w:val="18"/>
              </w:rPr>
            </w:pPr>
            <w:r w:rsidRPr="006E490C">
              <w:rPr>
                <w:rFonts w:ascii="Calibri" w:hAnsi="Calibri" w:cs="Calibri"/>
                <w:sz w:val="18"/>
                <w:szCs w:val="18"/>
              </w:rPr>
              <w:t>USD 5,000</w:t>
            </w:r>
          </w:p>
        </w:tc>
        <w:tc>
          <w:tcPr>
            <w:tcW w:w="1854" w:type="dxa"/>
          </w:tcPr>
          <w:p w14:paraId="046664A9" w14:textId="77777777" w:rsidR="00302BFE" w:rsidRPr="006E490C" w:rsidRDefault="00302BFE" w:rsidP="00243B15">
            <w:pPr>
              <w:jc w:val="left"/>
              <w:rPr>
                <w:rFonts w:cs="Calibri"/>
                <w:sz w:val="18"/>
                <w:szCs w:val="18"/>
              </w:rPr>
            </w:pPr>
            <w:r w:rsidRPr="006E490C">
              <w:rPr>
                <w:rFonts w:cs="Calibri"/>
                <w:sz w:val="18"/>
                <w:szCs w:val="18"/>
              </w:rPr>
              <w:t>First year of the project</w:t>
            </w:r>
          </w:p>
        </w:tc>
      </w:tr>
      <w:tr w:rsidR="00302BFE" w:rsidRPr="006E490C" w14:paraId="32CF5C67" w14:textId="77777777" w:rsidTr="000E4F17">
        <w:trPr>
          <w:gridBefore w:val="1"/>
          <w:wBefore w:w="9" w:type="dxa"/>
          <w:jc w:val="center"/>
        </w:trPr>
        <w:tc>
          <w:tcPr>
            <w:tcW w:w="3239" w:type="dxa"/>
          </w:tcPr>
          <w:p w14:paraId="4644714C" w14:textId="77777777" w:rsidR="00302BFE" w:rsidRPr="006E490C" w:rsidRDefault="00302BFE" w:rsidP="00243B15">
            <w:pPr>
              <w:jc w:val="left"/>
              <w:rPr>
                <w:rFonts w:cs="Calibri"/>
                <w:b/>
                <w:sz w:val="18"/>
                <w:szCs w:val="18"/>
              </w:rPr>
            </w:pPr>
            <w:r w:rsidRPr="006E490C">
              <w:rPr>
                <w:rFonts w:cs="Segoe UI"/>
                <w:b/>
                <w:color w:val="000000"/>
                <w:sz w:val="18"/>
                <w:szCs w:val="18"/>
              </w:rPr>
              <w:t xml:space="preserve">Development of an Environmental and Social Management </w:t>
            </w:r>
            <w:r>
              <w:rPr>
                <w:rFonts w:cs="Segoe UI"/>
                <w:b/>
                <w:color w:val="000000"/>
                <w:sz w:val="18"/>
                <w:szCs w:val="18"/>
              </w:rPr>
              <w:t>Plan</w:t>
            </w:r>
            <w:r w:rsidRPr="006E490C">
              <w:rPr>
                <w:rFonts w:cs="Segoe UI"/>
                <w:b/>
                <w:color w:val="000000"/>
                <w:sz w:val="18"/>
                <w:szCs w:val="18"/>
              </w:rPr>
              <w:t xml:space="preserve"> (ESM</w:t>
            </w:r>
            <w:r>
              <w:rPr>
                <w:rFonts w:cs="Segoe UI"/>
                <w:b/>
                <w:color w:val="000000"/>
                <w:sz w:val="18"/>
                <w:szCs w:val="18"/>
              </w:rPr>
              <w:t>P</w:t>
            </w:r>
            <w:r w:rsidRPr="006E490C">
              <w:rPr>
                <w:rFonts w:cs="Segoe UI"/>
                <w:b/>
                <w:color w:val="000000"/>
                <w:sz w:val="18"/>
                <w:szCs w:val="18"/>
              </w:rPr>
              <w:t>) and monitoring its implementation</w:t>
            </w:r>
          </w:p>
        </w:tc>
        <w:tc>
          <w:tcPr>
            <w:tcW w:w="2409" w:type="dxa"/>
          </w:tcPr>
          <w:p w14:paraId="4ABB589C" w14:textId="77777777" w:rsidR="00302BFE" w:rsidRPr="006E490C" w:rsidRDefault="00302BFE" w:rsidP="00243B15">
            <w:pPr>
              <w:jc w:val="left"/>
              <w:rPr>
                <w:rFonts w:cs="Calibri"/>
                <w:sz w:val="18"/>
                <w:szCs w:val="18"/>
              </w:rPr>
            </w:pPr>
            <w:r w:rsidRPr="006E490C">
              <w:rPr>
                <w:rFonts w:cs="Calibri"/>
                <w:sz w:val="18"/>
                <w:szCs w:val="18"/>
              </w:rPr>
              <w:t>Monitoring and Evaluation/Safeguards Expert</w:t>
            </w:r>
            <w:r>
              <w:rPr>
                <w:rFonts w:cs="Calibri"/>
                <w:sz w:val="18"/>
                <w:szCs w:val="18"/>
              </w:rPr>
              <w:t xml:space="preserve"> </w:t>
            </w:r>
            <w:r w:rsidRPr="006E490C">
              <w:rPr>
                <w:rFonts w:cs="Calibri"/>
                <w:sz w:val="18"/>
                <w:szCs w:val="18"/>
              </w:rPr>
              <w:t>with support of an ESM</w:t>
            </w:r>
            <w:r>
              <w:rPr>
                <w:rFonts w:cs="Calibri"/>
                <w:sz w:val="18"/>
                <w:szCs w:val="18"/>
              </w:rPr>
              <w:t>P</w:t>
            </w:r>
            <w:r w:rsidRPr="006E490C">
              <w:rPr>
                <w:rFonts w:cs="Calibri"/>
                <w:sz w:val="18"/>
                <w:szCs w:val="18"/>
              </w:rPr>
              <w:t xml:space="preserve"> consultant</w:t>
            </w:r>
          </w:p>
        </w:tc>
        <w:tc>
          <w:tcPr>
            <w:tcW w:w="1811" w:type="dxa"/>
          </w:tcPr>
          <w:p w14:paraId="10433703" w14:textId="77777777" w:rsidR="00302BFE" w:rsidRPr="006E490C" w:rsidRDefault="00302BFE" w:rsidP="00243B15">
            <w:pPr>
              <w:pStyle w:val="BodyText23"/>
              <w:widowControl/>
              <w:tabs>
                <w:tab w:val="clear" w:pos="547"/>
              </w:tabs>
              <w:spacing w:after="60"/>
              <w:rPr>
                <w:rFonts w:ascii="Calibri" w:hAnsi="Calibri" w:cs="Calibri"/>
                <w:snapToGrid/>
                <w:sz w:val="18"/>
                <w:szCs w:val="18"/>
                <w:lang w:val="en-GB"/>
              </w:rPr>
            </w:pPr>
            <w:r w:rsidRPr="006E490C">
              <w:rPr>
                <w:rFonts w:ascii="Calibri" w:hAnsi="Calibri" w:cs="Calibri"/>
                <w:snapToGrid/>
                <w:sz w:val="18"/>
                <w:szCs w:val="18"/>
                <w:lang w:val="en-GB"/>
              </w:rPr>
              <w:t xml:space="preserve">USD </w:t>
            </w:r>
            <w:r>
              <w:rPr>
                <w:rFonts w:ascii="Calibri" w:hAnsi="Calibri" w:cs="Calibri"/>
                <w:snapToGrid/>
                <w:sz w:val="18"/>
                <w:szCs w:val="18"/>
                <w:lang w:val="en-GB"/>
              </w:rPr>
              <w:t>30</w:t>
            </w:r>
            <w:r w:rsidRPr="006E490C">
              <w:rPr>
                <w:rFonts w:ascii="Calibri" w:hAnsi="Calibri" w:cs="Calibri"/>
                <w:snapToGrid/>
                <w:sz w:val="18"/>
                <w:szCs w:val="18"/>
                <w:lang w:val="en-GB"/>
              </w:rPr>
              <w:t>,500</w:t>
            </w:r>
            <w:r w:rsidRPr="006E490C">
              <w:rPr>
                <w:rStyle w:val="Appelnotedebasdep"/>
                <w:snapToGrid/>
                <w:szCs w:val="18"/>
                <w:lang w:val="en-GB"/>
              </w:rPr>
              <w:footnoteReference w:id="78"/>
            </w:r>
          </w:p>
        </w:tc>
        <w:tc>
          <w:tcPr>
            <w:tcW w:w="1451" w:type="dxa"/>
          </w:tcPr>
          <w:p w14:paraId="7DA21580" w14:textId="77777777" w:rsidR="00302BFE" w:rsidRPr="006E490C" w:rsidRDefault="00302BFE" w:rsidP="00243B15">
            <w:pPr>
              <w:pStyle w:val="BodyText23"/>
              <w:widowControl/>
              <w:tabs>
                <w:tab w:val="clear" w:pos="547"/>
              </w:tabs>
              <w:spacing w:after="60"/>
              <w:rPr>
                <w:rFonts w:ascii="Calibri" w:hAnsi="Calibri" w:cs="Calibri"/>
                <w:sz w:val="18"/>
                <w:szCs w:val="18"/>
              </w:rPr>
            </w:pPr>
            <w:r w:rsidRPr="006E490C">
              <w:rPr>
                <w:rFonts w:ascii="Calibri" w:hAnsi="Calibri" w:cs="Calibri"/>
                <w:sz w:val="18"/>
                <w:szCs w:val="18"/>
              </w:rPr>
              <w:t>USD 5,000</w:t>
            </w:r>
          </w:p>
        </w:tc>
        <w:tc>
          <w:tcPr>
            <w:tcW w:w="1854" w:type="dxa"/>
          </w:tcPr>
          <w:p w14:paraId="4E1FBE2B" w14:textId="77777777" w:rsidR="00302BFE" w:rsidRPr="006E490C" w:rsidRDefault="00302BFE" w:rsidP="00243B15">
            <w:pPr>
              <w:jc w:val="left"/>
              <w:rPr>
                <w:rFonts w:cs="Calibri"/>
                <w:sz w:val="18"/>
                <w:szCs w:val="18"/>
              </w:rPr>
            </w:pPr>
            <w:r w:rsidRPr="006E490C">
              <w:rPr>
                <w:rFonts w:cs="Calibri"/>
                <w:sz w:val="18"/>
                <w:szCs w:val="18"/>
              </w:rPr>
              <w:t>First year of the project</w:t>
            </w:r>
          </w:p>
        </w:tc>
      </w:tr>
      <w:tr w:rsidR="00302BFE" w:rsidRPr="006E490C" w14:paraId="50299E1E" w14:textId="77777777" w:rsidTr="000E4F17">
        <w:trPr>
          <w:gridBefore w:val="1"/>
          <w:wBefore w:w="9" w:type="dxa"/>
          <w:jc w:val="center"/>
        </w:trPr>
        <w:tc>
          <w:tcPr>
            <w:tcW w:w="3239" w:type="dxa"/>
          </w:tcPr>
          <w:p w14:paraId="58189AA8" w14:textId="77777777" w:rsidR="00302BFE" w:rsidRPr="006E490C" w:rsidRDefault="00302BFE" w:rsidP="00243B15">
            <w:pPr>
              <w:jc w:val="left"/>
              <w:rPr>
                <w:rFonts w:cs="Calibri"/>
                <w:b/>
                <w:sz w:val="18"/>
                <w:szCs w:val="18"/>
              </w:rPr>
            </w:pPr>
            <w:r w:rsidRPr="006E490C">
              <w:rPr>
                <w:rFonts w:cs="Calibri"/>
                <w:b/>
                <w:sz w:val="18"/>
                <w:szCs w:val="18"/>
              </w:rPr>
              <w:t xml:space="preserve">Mid-term GEF Core Indicators and GEF Tracking Tools to be updated by </w:t>
            </w:r>
            <w:r w:rsidRPr="006E490C">
              <w:rPr>
                <w:rFonts w:cs="Calibri"/>
                <w:sz w:val="18"/>
                <w:szCs w:val="18"/>
              </w:rPr>
              <w:t>the Monitoring and Evaluation/Safeguards Expert with the support of the Forest Engineer/ REDD+ specialist and Expert in PA Management</w:t>
            </w:r>
          </w:p>
        </w:tc>
        <w:tc>
          <w:tcPr>
            <w:tcW w:w="2409" w:type="dxa"/>
          </w:tcPr>
          <w:p w14:paraId="42F2048F" w14:textId="77777777" w:rsidR="00302BFE" w:rsidRPr="006E490C" w:rsidRDefault="00302BFE" w:rsidP="00243B15">
            <w:pPr>
              <w:jc w:val="left"/>
              <w:rPr>
                <w:rFonts w:cs="Calibri"/>
                <w:sz w:val="18"/>
                <w:szCs w:val="18"/>
              </w:rPr>
            </w:pPr>
            <w:r w:rsidRPr="006E490C">
              <w:rPr>
                <w:rFonts w:cs="Calibri"/>
                <w:sz w:val="18"/>
                <w:szCs w:val="18"/>
              </w:rPr>
              <w:t>Project Manager</w:t>
            </w:r>
          </w:p>
          <w:p w14:paraId="59A5C082" w14:textId="77777777" w:rsidR="00302BFE" w:rsidRPr="006E490C" w:rsidRDefault="00302BFE" w:rsidP="00243B15">
            <w:pPr>
              <w:jc w:val="left"/>
              <w:rPr>
                <w:rFonts w:cs="Calibri"/>
                <w:sz w:val="18"/>
                <w:szCs w:val="18"/>
              </w:rPr>
            </w:pPr>
            <w:r w:rsidRPr="006E490C">
              <w:rPr>
                <w:rFonts w:cs="Calibri"/>
                <w:sz w:val="18"/>
                <w:szCs w:val="18"/>
              </w:rPr>
              <w:t>Monitoring and Evaluation/Safeguards Expert</w:t>
            </w:r>
          </w:p>
          <w:p w14:paraId="46D71DE8" w14:textId="77777777" w:rsidR="00302BFE" w:rsidRPr="006E490C" w:rsidRDefault="00302BFE" w:rsidP="00243B15">
            <w:pPr>
              <w:jc w:val="left"/>
              <w:rPr>
                <w:rFonts w:cs="Calibri"/>
                <w:sz w:val="18"/>
                <w:szCs w:val="18"/>
              </w:rPr>
            </w:pPr>
            <w:r w:rsidRPr="006E490C">
              <w:rPr>
                <w:rFonts w:cs="Calibri"/>
                <w:sz w:val="18"/>
                <w:szCs w:val="18"/>
              </w:rPr>
              <w:t>With support of other project staff</w:t>
            </w:r>
          </w:p>
        </w:tc>
        <w:tc>
          <w:tcPr>
            <w:tcW w:w="1811" w:type="dxa"/>
          </w:tcPr>
          <w:p w14:paraId="45A32F96" w14:textId="77777777" w:rsidR="00302BFE" w:rsidRPr="006E490C" w:rsidRDefault="00302BFE" w:rsidP="00243B15">
            <w:pPr>
              <w:jc w:val="left"/>
              <w:rPr>
                <w:rFonts w:cs="Calibri"/>
                <w:sz w:val="18"/>
                <w:szCs w:val="18"/>
              </w:rPr>
            </w:pPr>
            <w:r w:rsidRPr="006E490C">
              <w:rPr>
                <w:rFonts w:cs="Calibri"/>
                <w:sz w:val="18"/>
                <w:szCs w:val="18"/>
              </w:rPr>
              <w:t>USD 10,000</w:t>
            </w:r>
          </w:p>
        </w:tc>
        <w:tc>
          <w:tcPr>
            <w:tcW w:w="1451" w:type="dxa"/>
          </w:tcPr>
          <w:p w14:paraId="20657352" w14:textId="77777777" w:rsidR="00302BFE" w:rsidRPr="006E490C" w:rsidRDefault="00302BFE" w:rsidP="00243B15">
            <w:pPr>
              <w:jc w:val="left"/>
              <w:rPr>
                <w:rFonts w:cs="Calibri"/>
                <w:i/>
                <w:sz w:val="18"/>
                <w:szCs w:val="18"/>
              </w:rPr>
            </w:pPr>
            <w:r w:rsidRPr="006E490C">
              <w:rPr>
                <w:rFonts w:cs="Calibri"/>
                <w:sz w:val="18"/>
                <w:szCs w:val="18"/>
              </w:rPr>
              <w:t>USD 6,000 (Per year for years 1, 2, 3: USD 2,000)</w:t>
            </w:r>
          </w:p>
        </w:tc>
        <w:tc>
          <w:tcPr>
            <w:tcW w:w="1854" w:type="dxa"/>
          </w:tcPr>
          <w:p w14:paraId="6F05E4DB" w14:textId="77777777" w:rsidR="00302BFE" w:rsidRPr="006E490C" w:rsidRDefault="00302BFE" w:rsidP="00243B15">
            <w:pPr>
              <w:jc w:val="left"/>
              <w:rPr>
                <w:rFonts w:cs="Calibri"/>
                <w:sz w:val="18"/>
                <w:szCs w:val="18"/>
              </w:rPr>
            </w:pPr>
            <w:r w:rsidRPr="006E490C">
              <w:rPr>
                <w:rFonts w:cs="Calibri"/>
                <w:sz w:val="18"/>
                <w:szCs w:val="18"/>
              </w:rPr>
              <w:t>Before mid-term review mission takes place.</w:t>
            </w:r>
          </w:p>
        </w:tc>
      </w:tr>
      <w:tr w:rsidR="00302BFE" w:rsidRPr="006E490C" w14:paraId="17035B71" w14:textId="77777777" w:rsidTr="000E4F17">
        <w:trPr>
          <w:gridBefore w:val="1"/>
          <w:wBefore w:w="9" w:type="dxa"/>
          <w:jc w:val="center"/>
        </w:trPr>
        <w:tc>
          <w:tcPr>
            <w:tcW w:w="3239" w:type="dxa"/>
          </w:tcPr>
          <w:p w14:paraId="67A3C8C7" w14:textId="77777777" w:rsidR="00302BFE" w:rsidRPr="006E490C" w:rsidRDefault="00302BFE" w:rsidP="00243B15">
            <w:pPr>
              <w:jc w:val="left"/>
              <w:rPr>
                <w:rFonts w:cs="Calibri"/>
                <w:b/>
                <w:sz w:val="18"/>
                <w:szCs w:val="18"/>
              </w:rPr>
            </w:pPr>
            <w:r w:rsidRPr="006E490C">
              <w:rPr>
                <w:rFonts w:cs="Calibri"/>
                <w:b/>
                <w:sz w:val="18"/>
                <w:szCs w:val="18"/>
              </w:rPr>
              <w:t xml:space="preserve">Independent Mid-term Review (MTR) and management response </w:t>
            </w:r>
          </w:p>
        </w:tc>
        <w:tc>
          <w:tcPr>
            <w:tcW w:w="2409" w:type="dxa"/>
          </w:tcPr>
          <w:p w14:paraId="115A5901" w14:textId="77777777" w:rsidR="00302BFE" w:rsidRPr="006E490C" w:rsidRDefault="00302BFE" w:rsidP="00243B15">
            <w:pPr>
              <w:jc w:val="left"/>
              <w:rPr>
                <w:rFonts w:cs="Calibri"/>
                <w:sz w:val="18"/>
                <w:szCs w:val="18"/>
              </w:rPr>
            </w:pPr>
            <w:r w:rsidRPr="006E490C">
              <w:rPr>
                <w:rFonts w:cs="Calibri"/>
                <w:sz w:val="18"/>
                <w:szCs w:val="18"/>
              </w:rPr>
              <w:t>UNDP Country Office and Project team and UNDP-GEF team</w:t>
            </w:r>
          </w:p>
        </w:tc>
        <w:tc>
          <w:tcPr>
            <w:tcW w:w="1811" w:type="dxa"/>
          </w:tcPr>
          <w:p w14:paraId="5215459E" w14:textId="77777777" w:rsidR="00302BFE" w:rsidRPr="006E490C" w:rsidRDefault="00302BFE" w:rsidP="00243B15">
            <w:pPr>
              <w:jc w:val="left"/>
              <w:rPr>
                <w:rFonts w:cs="Calibri"/>
                <w:i/>
                <w:sz w:val="18"/>
                <w:szCs w:val="18"/>
              </w:rPr>
            </w:pPr>
            <w:r w:rsidRPr="006E490C">
              <w:rPr>
                <w:rFonts w:cs="Calibri"/>
                <w:sz w:val="18"/>
                <w:szCs w:val="18"/>
              </w:rPr>
              <w:t>USD 30,000</w:t>
            </w:r>
          </w:p>
        </w:tc>
        <w:tc>
          <w:tcPr>
            <w:tcW w:w="1451" w:type="dxa"/>
          </w:tcPr>
          <w:p w14:paraId="151C9877" w14:textId="77777777" w:rsidR="00302BFE" w:rsidRPr="006E490C" w:rsidRDefault="00302BFE" w:rsidP="00243B15">
            <w:pPr>
              <w:jc w:val="left"/>
              <w:rPr>
                <w:rFonts w:cs="Calibri"/>
                <w:i/>
                <w:sz w:val="18"/>
                <w:szCs w:val="18"/>
              </w:rPr>
            </w:pPr>
            <w:r w:rsidRPr="006E490C">
              <w:rPr>
                <w:rFonts w:cs="Calibri"/>
                <w:sz w:val="18"/>
                <w:szCs w:val="18"/>
              </w:rPr>
              <w:t>USD 7,500</w:t>
            </w:r>
          </w:p>
        </w:tc>
        <w:tc>
          <w:tcPr>
            <w:tcW w:w="1854" w:type="dxa"/>
          </w:tcPr>
          <w:p w14:paraId="0511CD73" w14:textId="77777777" w:rsidR="00302BFE" w:rsidRPr="006E490C" w:rsidRDefault="00302BFE" w:rsidP="00243B15">
            <w:pPr>
              <w:jc w:val="left"/>
              <w:rPr>
                <w:rFonts w:cs="Calibri"/>
                <w:sz w:val="18"/>
                <w:szCs w:val="18"/>
              </w:rPr>
            </w:pPr>
            <w:r w:rsidRPr="006E490C">
              <w:rPr>
                <w:rFonts w:cs="Calibri"/>
                <w:sz w:val="18"/>
                <w:szCs w:val="18"/>
              </w:rPr>
              <w:t>Between 2</w:t>
            </w:r>
            <w:r w:rsidRPr="006E490C">
              <w:rPr>
                <w:rFonts w:cs="Calibri"/>
                <w:sz w:val="18"/>
                <w:szCs w:val="18"/>
                <w:vertAlign w:val="superscript"/>
              </w:rPr>
              <w:t>nd</w:t>
            </w:r>
            <w:r w:rsidRPr="006E490C">
              <w:rPr>
                <w:rFonts w:cs="Calibri"/>
                <w:sz w:val="18"/>
                <w:szCs w:val="18"/>
              </w:rPr>
              <w:t xml:space="preserve"> and 3</w:t>
            </w:r>
            <w:r w:rsidRPr="006E490C">
              <w:rPr>
                <w:rFonts w:cs="Calibri"/>
                <w:sz w:val="18"/>
                <w:szCs w:val="18"/>
                <w:vertAlign w:val="superscript"/>
              </w:rPr>
              <w:t>rd</w:t>
            </w:r>
            <w:r w:rsidRPr="006E490C">
              <w:rPr>
                <w:rFonts w:cs="Calibri"/>
                <w:sz w:val="18"/>
                <w:szCs w:val="18"/>
              </w:rPr>
              <w:t xml:space="preserve"> PIR.  </w:t>
            </w:r>
          </w:p>
        </w:tc>
      </w:tr>
      <w:tr w:rsidR="00302BFE" w:rsidRPr="006E490C" w14:paraId="2F7E33C3" w14:textId="77777777" w:rsidTr="000E4F17">
        <w:trPr>
          <w:gridBefore w:val="1"/>
          <w:wBefore w:w="9" w:type="dxa"/>
          <w:jc w:val="center"/>
        </w:trPr>
        <w:tc>
          <w:tcPr>
            <w:tcW w:w="3239" w:type="dxa"/>
          </w:tcPr>
          <w:p w14:paraId="76D7CD66" w14:textId="77777777" w:rsidR="00302BFE" w:rsidRPr="006E490C" w:rsidRDefault="00302BFE" w:rsidP="00243B15">
            <w:pPr>
              <w:jc w:val="left"/>
              <w:rPr>
                <w:rFonts w:cs="Calibri"/>
                <w:b/>
                <w:sz w:val="18"/>
                <w:szCs w:val="18"/>
              </w:rPr>
            </w:pPr>
            <w:r w:rsidRPr="006E490C">
              <w:rPr>
                <w:rFonts w:cs="Calibri"/>
                <w:b/>
                <w:sz w:val="18"/>
                <w:szCs w:val="18"/>
              </w:rPr>
              <w:t xml:space="preserve">Terminal GEF Core Indicators and GEF Tracking Tool to be updated by </w:t>
            </w:r>
            <w:r w:rsidRPr="006E490C">
              <w:rPr>
                <w:rFonts w:cs="Calibri"/>
                <w:sz w:val="18"/>
                <w:szCs w:val="18"/>
              </w:rPr>
              <w:t>the Monitoring and Evaluation/Safeguards Expert with the support of the Forest Engineer/ REDD+ specialist and Expert in PA Management</w:t>
            </w:r>
          </w:p>
        </w:tc>
        <w:tc>
          <w:tcPr>
            <w:tcW w:w="2409" w:type="dxa"/>
          </w:tcPr>
          <w:p w14:paraId="4FEFA99B" w14:textId="77777777" w:rsidR="00302BFE" w:rsidRPr="006E490C" w:rsidRDefault="00302BFE" w:rsidP="00243B15">
            <w:pPr>
              <w:jc w:val="left"/>
              <w:rPr>
                <w:rFonts w:cs="Calibri"/>
                <w:sz w:val="18"/>
                <w:szCs w:val="18"/>
              </w:rPr>
            </w:pPr>
            <w:r w:rsidRPr="006E490C">
              <w:rPr>
                <w:rFonts w:cs="Calibri"/>
                <w:sz w:val="18"/>
                <w:szCs w:val="18"/>
              </w:rPr>
              <w:t xml:space="preserve">Project Manager </w:t>
            </w:r>
          </w:p>
          <w:p w14:paraId="384A7A59" w14:textId="77777777" w:rsidR="00302BFE" w:rsidRPr="006E490C" w:rsidRDefault="00302BFE" w:rsidP="00243B15">
            <w:pPr>
              <w:jc w:val="left"/>
              <w:rPr>
                <w:rFonts w:cs="Calibri"/>
                <w:sz w:val="18"/>
                <w:szCs w:val="18"/>
              </w:rPr>
            </w:pPr>
            <w:r w:rsidRPr="006E490C">
              <w:rPr>
                <w:rFonts w:cs="Calibri"/>
                <w:sz w:val="18"/>
                <w:szCs w:val="18"/>
              </w:rPr>
              <w:t>Monitoring and Evaluation/Safeguards Expert</w:t>
            </w:r>
          </w:p>
          <w:p w14:paraId="1C447669" w14:textId="77777777" w:rsidR="00302BFE" w:rsidRPr="006E490C" w:rsidRDefault="00302BFE" w:rsidP="00243B15">
            <w:pPr>
              <w:jc w:val="left"/>
              <w:rPr>
                <w:rFonts w:cs="Calibri"/>
                <w:sz w:val="18"/>
                <w:szCs w:val="18"/>
              </w:rPr>
            </w:pPr>
            <w:r w:rsidRPr="006E490C">
              <w:rPr>
                <w:rFonts w:cs="Calibri"/>
                <w:sz w:val="18"/>
                <w:szCs w:val="18"/>
              </w:rPr>
              <w:t>With support of other project staff</w:t>
            </w:r>
          </w:p>
        </w:tc>
        <w:tc>
          <w:tcPr>
            <w:tcW w:w="1811" w:type="dxa"/>
          </w:tcPr>
          <w:p w14:paraId="097F57F7" w14:textId="77777777" w:rsidR="00302BFE" w:rsidRPr="006E490C" w:rsidRDefault="00302BFE" w:rsidP="00243B15">
            <w:pPr>
              <w:jc w:val="left"/>
              <w:rPr>
                <w:rFonts w:cs="Calibri"/>
                <w:sz w:val="18"/>
                <w:szCs w:val="18"/>
              </w:rPr>
            </w:pPr>
            <w:r w:rsidRPr="006E490C">
              <w:rPr>
                <w:rFonts w:cs="Calibri"/>
                <w:sz w:val="18"/>
                <w:szCs w:val="18"/>
              </w:rPr>
              <w:t xml:space="preserve">USD 10,000 </w:t>
            </w:r>
          </w:p>
        </w:tc>
        <w:tc>
          <w:tcPr>
            <w:tcW w:w="1451" w:type="dxa"/>
          </w:tcPr>
          <w:p w14:paraId="755E4C95" w14:textId="77777777" w:rsidR="00302BFE" w:rsidRPr="006E490C" w:rsidRDefault="00302BFE" w:rsidP="00243B15">
            <w:pPr>
              <w:jc w:val="left"/>
              <w:rPr>
                <w:rFonts w:cs="Calibri"/>
                <w:sz w:val="18"/>
                <w:szCs w:val="18"/>
              </w:rPr>
            </w:pPr>
            <w:r w:rsidRPr="006E490C">
              <w:rPr>
                <w:rFonts w:cs="Calibri"/>
                <w:sz w:val="18"/>
                <w:szCs w:val="18"/>
              </w:rPr>
              <w:t>USD 6,000 (Per year for years 4, 5, 6: USD 2,000)</w:t>
            </w:r>
          </w:p>
        </w:tc>
        <w:tc>
          <w:tcPr>
            <w:tcW w:w="1854" w:type="dxa"/>
          </w:tcPr>
          <w:p w14:paraId="3DACF6A0" w14:textId="77777777" w:rsidR="00302BFE" w:rsidRPr="006E490C" w:rsidRDefault="00302BFE" w:rsidP="00243B15">
            <w:pPr>
              <w:jc w:val="left"/>
              <w:rPr>
                <w:rFonts w:cs="Calibri"/>
                <w:sz w:val="18"/>
                <w:szCs w:val="18"/>
              </w:rPr>
            </w:pPr>
            <w:r w:rsidRPr="006E490C">
              <w:rPr>
                <w:rFonts w:cs="Calibri"/>
                <w:sz w:val="18"/>
                <w:szCs w:val="18"/>
              </w:rPr>
              <w:t>Before terminal evaluation mission takes place</w:t>
            </w:r>
          </w:p>
        </w:tc>
      </w:tr>
      <w:tr w:rsidR="00302BFE" w:rsidRPr="006E490C" w14:paraId="2B067CF2" w14:textId="77777777" w:rsidTr="000E4F17">
        <w:trPr>
          <w:gridBefore w:val="1"/>
          <w:wBefore w:w="9" w:type="dxa"/>
          <w:jc w:val="center"/>
        </w:trPr>
        <w:tc>
          <w:tcPr>
            <w:tcW w:w="3239" w:type="dxa"/>
          </w:tcPr>
          <w:p w14:paraId="17949F4D" w14:textId="77777777" w:rsidR="00302BFE" w:rsidRPr="006E490C" w:rsidRDefault="00302BFE" w:rsidP="00243B15">
            <w:pPr>
              <w:jc w:val="left"/>
              <w:rPr>
                <w:rFonts w:cs="Calibri"/>
                <w:b/>
                <w:sz w:val="18"/>
                <w:szCs w:val="18"/>
              </w:rPr>
            </w:pPr>
            <w:r w:rsidRPr="006E490C">
              <w:rPr>
                <w:rFonts w:cs="Calibri"/>
                <w:b/>
                <w:sz w:val="18"/>
                <w:szCs w:val="18"/>
              </w:rPr>
              <w:t>Independent Terminal Evaluation (TE) included in UNDP evaluation plan, and management response</w:t>
            </w:r>
          </w:p>
        </w:tc>
        <w:tc>
          <w:tcPr>
            <w:tcW w:w="2409" w:type="dxa"/>
          </w:tcPr>
          <w:p w14:paraId="3BB0102F" w14:textId="77777777" w:rsidR="00302BFE" w:rsidRPr="006E490C" w:rsidRDefault="00302BFE" w:rsidP="00243B15">
            <w:pPr>
              <w:jc w:val="left"/>
              <w:rPr>
                <w:rFonts w:cs="Calibri"/>
                <w:sz w:val="18"/>
                <w:szCs w:val="18"/>
              </w:rPr>
            </w:pPr>
            <w:r w:rsidRPr="006E490C">
              <w:rPr>
                <w:rFonts w:cs="Calibri"/>
                <w:sz w:val="18"/>
                <w:szCs w:val="18"/>
              </w:rPr>
              <w:t>UNDP Country Office and Project team and UNDP-GEF team</w:t>
            </w:r>
          </w:p>
        </w:tc>
        <w:tc>
          <w:tcPr>
            <w:tcW w:w="1811" w:type="dxa"/>
          </w:tcPr>
          <w:p w14:paraId="6C69B24A" w14:textId="77777777" w:rsidR="00302BFE" w:rsidRPr="006E490C" w:rsidRDefault="00302BFE" w:rsidP="00243B15">
            <w:pPr>
              <w:jc w:val="left"/>
              <w:rPr>
                <w:rFonts w:cs="Calibri"/>
                <w:sz w:val="18"/>
                <w:szCs w:val="18"/>
              </w:rPr>
            </w:pPr>
            <w:r w:rsidRPr="006E490C">
              <w:rPr>
                <w:rFonts w:cs="Calibri"/>
                <w:sz w:val="18"/>
                <w:szCs w:val="18"/>
              </w:rPr>
              <w:t>USD 35,000</w:t>
            </w:r>
          </w:p>
        </w:tc>
        <w:tc>
          <w:tcPr>
            <w:tcW w:w="1451" w:type="dxa"/>
          </w:tcPr>
          <w:p w14:paraId="2DE9AB35" w14:textId="77777777" w:rsidR="00302BFE" w:rsidRPr="006E490C" w:rsidRDefault="00302BFE" w:rsidP="00243B15">
            <w:pPr>
              <w:tabs>
                <w:tab w:val="center" w:pos="1216"/>
              </w:tabs>
              <w:jc w:val="left"/>
              <w:rPr>
                <w:rFonts w:cs="Calibri"/>
                <w:sz w:val="18"/>
                <w:szCs w:val="18"/>
              </w:rPr>
            </w:pPr>
            <w:r w:rsidRPr="006E490C">
              <w:rPr>
                <w:rFonts w:cs="Calibri"/>
                <w:sz w:val="18"/>
                <w:szCs w:val="18"/>
              </w:rPr>
              <w:t>USD 6,000</w:t>
            </w:r>
          </w:p>
        </w:tc>
        <w:tc>
          <w:tcPr>
            <w:tcW w:w="1854" w:type="dxa"/>
          </w:tcPr>
          <w:p w14:paraId="7859E080" w14:textId="77777777" w:rsidR="00302BFE" w:rsidRPr="006E490C" w:rsidRDefault="00302BFE" w:rsidP="00243B15">
            <w:pPr>
              <w:jc w:val="left"/>
              <w:rPr>
                <w:rFonts w:cs="Calibri"/>
                <w:sz w:val="18"/>
                <w:szCs w:val="18"/>
              </w:rPr>
            </w:pPr>
            <w:r w:rsidRPr="006E490C">
              <w:rPr>
                <w:rFonts w:cs="Calibri"/>
                <w:sz w:val="18"/>
                <w:szCs w:val="18"/>
              </w:rPr>
              <w:t>At least three months before operational closure</w:t>
            </w:r>
          </w:p>
        </w:tc>
      </w:tr>
      <w:tr w:rsidR="00302BFE" w:rsidRPr="006E490C" w14:paraId="6583D907" w14:textId="77777777" w:rsidTr="000E4F17">
        <w:trPr>
          <w:gridBefore w:val="1"/>
          <w:wBefore w:w="9" w:type="dxa"/>
          <w:jc w:val="center"/>
        </w:trPr>
        <w:tc>
          <w:tcPr>
            <w:tcW w:w="3239" w:type="dxa"/>
          </w:tcPr>
          <w:p w14:paraId="32F41FDD" w14:textId="77777777" w:rsidR="00302BFE" w:rsidRPr="006E490C" w:rsidRDefault="00302BFE" w:rsidP="00243B15">
            <w:pPr>
              <w:jc w:val="left"/>
              <w:rPr>
                <w:rFonts w:cs="Calibri"/>
                <w:b/>
                <w:sz w:val="18"/>
                <w:szCs w:val="18"/>
              </w:rPr>
            </w:pPr>
            <w:r w:rsidRPr="006E490C">
              <w:rPr>
                <w:rFonts w:cs="Calibri"/>
                <w:b/>
                <w:sz w:val="18"/>
                <w:szCs w:val="18"/>
              </w:rPr>
              <w:t>Translation of MTR and TE reports into English</w:t>
            </w:r>
          </w:p>
        </w:tc>
        <w:tc>
          <w:tcPr>
            <w:tcW w:w="2409" w:type="dxa"/>
          </w:tcPr>
          <w:p w14:paraId="5A7733DB" w14:textId="77777777" w:rsidR="00302BFE" w:rsidRPr="006E490C" w:rsidRDefault="00302BFE" w:rsidP="00243B15">
            <w:pPr>
              <w:jc w:val="left"/>
              <w:rPr>
                <w:rFonts w:cs="Calibri"/>
                <w:sz w:val="18"/>
                <w:szCs w:val="18"/>
              </w:rPr>
            </w:pPr>
            <w:r w:rsidRPr="006E490C">
              <w:rPr>
                <w:rFonts w:cs="Calibri"/>
                <w:sz w:val="18"/>
                <w:szCs w:val="18"/>
              </w:rPr>
              <w:t>UNDP Country Office</w:t>
            </w:r>
          </w:p>
        </w:tc>
        <w:tc>
          <w:tcPr>
            <w:tcW w:w="1811" w:type="dxa"/>
          </w:tcPr>
          <w:p w14:paraId="2A0D38D8" w14:textId="77777777" w:rsidR="00302BFE" w:rsidRPr="006E490C" w:rsidRDefault="00302BFE" w:rsidP="00243B15">
            <w:pPr>
              <w:jc w:val="left"/>
              <w:rPr>
                <w:rFonts w:cs="Calibri"/>
                <w:sz w:val="18"/>
                <w:szCs w:val="18"/>
              </w:rPr>
            </w:pPr>
            <w:r w:rsidRPr="006E490C">
              <w:rPr>
                <w:rFonts w:cs="Calibri"/>
                <w:sz w:val="18"/>
                <w:szCs w:val="18"/>
              </w:rPr>
              <w:t>USD 10,000 (USD 5,000 / report)</w:t>
            </w:r>
          </w:p>
        </w:tc>
        <w:tc>
          <w:tcPr>
            <w:tcW w:w="1451" w:type="dxa"/>
          </w:tcPr>
          <w:p w14:paraId="584A799A" w14:textId="77777777" w:rsidR="00302BFE" w:rsidRPr="006E490C" w:rsidRDefault="00302BFE" w:rsidP="00243B15">
            <w:pPr>
              <w:jc w:val="left"/>
              <w:rPr>
                <w:rFonts w:cs="Calibri"/>
                <w:sz w:val="18"/>
                <w:szCs w:val="18"/>
              </w:rPr>
            </w:pPr>
            <w:r w:rsidRPr="006E490C">
              <w:rPr>
                <w:rFonts w:cs="Calibri"/>
                <w:sz w:val="18"/>
                <w:szCs w:val="18"/>
              </w:rPr>
              <w:t>None</w:t>
            </w:r>
          </w:p>
        </w:tc>
        <w:tc>
          <w:tcPr>
            <w:tcW w:w="1854" w:type="dxa"/>
          </w:tcPr>
          <w:p w14:paraId="3C27FF8F" w14:textId="77777777" w:rsidR="00302BFE" w:rsidRPr="006E490C" w:rsidRDefault="00302BFE" w:rsidP="00243B15">
            <w:pPr>
              <w:jc w:val="left"/>
              <w:rPr>
                <w:rFonts w:cs="Calibri"/>
                <w:sz w:val="18"/>
                <w:szCs w:val="18"/>
              </w:rPr>
            </w:pPr>
            <w:r w:rsidRPr="006E490C">
              <w:rPr>
                <w:rFonts w:cs="Calibri"/>
                <w:sz w:val="18"/>
                <w:szCs w:val="18"/>
              </w:rPr>
              <w:t>As required.  GEF will only accept reports in English.</w:t>
            </w:r>
          </w:p>
        </w:tc>
      </w:tr>
      <w:tr w:rsidR="00272066" w:rsidRPr="0003763F" w14:paraId="337B9B42" w14:textId="77777777" w:rsidTr="000E4F17">
        <w:trPr>
          <w:gridBefore w:val="1"/>
          <w:wBefore w:w="9" w:type="dxa"/>
          <w:cantSplit/>
          <w:trHeight w:val="710"/>
          <w:jc w:val="center"/>
        </w:trPr>
        <w:tc>
          <w:tcPr>
            <w:tcW w:w="5648" w:type="dxa"/>
            <w:gridSpan w:val="2"/>
            <w:shd w:val="clear" w:color="auto" w:fill="E6E6E6"/>
          </w:tcPr>
          <w:p w14:paraId="0E29D7B5" w14:textId="77777777" w:rsidR="00272066" w:rsidRPr="006E490C" w:rsidRDefault="00272066" w:rsidP="00272066">
            <w:pPr>
              <w:jc w:val="left"/>
              <w:rPr>
                <w:rFonts w:cs="Calibri"/>
                <w:b/>
                <w:sz w:val="18"/>
                <w:szCs w:val="18"/>
              </w:rPr>
            </w:pPr>
            <w:r w:rsidRPr="006E490C">
              <w:rPr>
                <w:rFonts w:cs="Calibri"/>
                <w:b/>
                <w:sz w:val="18"/>
                <w:szCs w:val="18"/>
              </w:rPr>
              <w:t xml:space="preserve">TOTAL indicative COST </w:t>
            </w:r>
          </w:p>
          <w:p w14:paraId="7644FF63" w14:textId="77777777" w:rsidR="00272066" w:rsidRPr="006E490C" w:rsidRDefault="00272066" w:rsidP="00272066">
            <w:pPr>
              <w:jc w:val="left"/>
              <w:rPr>
                <w:rFonts w:cs="Calibri"/>
                <w:sz w:val="18"/>
                <w:szCs w:val="18"/>
              </w:rPr>
            </w:pPr>
            <w:r w:rsidRPr="006E490C">
              <w:rPr>
                <w:rFonts w:cs="Calibri"/>
                <w:sz w:val="18"/>
                <w:szCs w:val="18"/>
              </w:rPr>
              <w:t xml:space="preserve">Excluding project team staff time, and UNDP staff and travel expenses </w:t>
            </w:r>
          </w:p>
        </w:tc>
        <w:tc>
          <w:tcPr>
            <w:tcW w:w="1811" w:type="dxa"/>
            <w:shd w:val="clear" w:color="auto" w:fill="E6E6E6"/>
          </w:tcPr>
          <w:p w14:paraId="5006617D" w14:textId="77777777" w:rsidR="00272066" w:rsidRPr="0027290A" w:rsidRDefault="00272066" w:rsidP="00272066">
            <w:pPr>
              <w:jc w:val="left"/>
              <w:rPr>
                <w:rFonts w:cs="Calibri"/>
                <w:sz w:val="18"/>
                <w:szCs w:val="18"/>
              </w:rPr>
            </w:pPr>
            <w:r w:rsidRPr="006E490C">
              <w:rPr>
                <w:rFonts w:cs="Calibri"/>
                <w:sz w:val="18"/>
                <w:szCs w:val="18"/>
              </w:rPr>
              <w:t xml:space="preserve">USD </w:t>
            </w:r>
            <w:r>
              <w:rPr>
                <w:rFonts w:cs="Calibri"/>
                <w:sz w:val="18"/>
                <w:szCs w:val="18"/>
              </w:rPr>
              <w:t>204</w:t>
            </w:r>
            <w:r w:rsidRPr="006E490C">
              <w:rPr>
                <w:rFonts w:cs="Calibri"/>
                <w:sz w:val="18"/>
                <w:szCs w:val="18"/>
              </w:rPr>
              <w:t>,400</w:t>
            </w:r>
          </w:p>
        </w:tc>
        <w:tc>
          <w:tcPr>
            <w:tcW w:w="1451" w:type="dxa"/>
            <w:shd w:val="clear" w:color="auto" w:fill="E6E6E6"/>
          </w:tcPr>
          <w:p w14:paraId="1FD6E13D" w14:textId="4BCFC25F" w:rsidR="00272066" w:rsidRPr="006E490C" w:rsidRDefault="00272066" w:rsidP="00272066">
            <w:pPr>
              <w:jc w:val="left"/>
              <w:rPr>
                <w:rFonts w:cs="Calibri"/>
                <w:sz w:val="18"/>
                <w:szCs w:val="18"/>
              </w:rPr>
            </w:pPr>
            <w:r w:rsidRPr="006E490C">
              <w:rPr>
                <w:rFonts w:cs="Calibri"/>
                <w:sz w:val="18"/>
                <w:szCs w:val="18"/>
              </w:rPr>
              <w:t>USD 60,000</w:t>
            </w:r>
          </w:p>
        </w:tc>
        <w:tc>
          <w:tcPr>
            <w:tcW w:w="1854" w:type="dxa"/>
            <w:shd w:val="clear" w:color="auto" w:fill="E6E6E6"/>
          </w:tcPr>
          <w:p w14:paraId="118B990F" w14:textId="77777777" w:rsidR="00272066" w:rsidRPr="006E490C" w:rsidRDefault="00272066" w:rsidP="00272066">
            <w:pPr>
              <w:jc w:val="left"/>
              <w:rPr>
                <w:rFonts w:cs="Calibri"/>
                <w:sz w:val="18"/>
                <w:szCs w:val="18"/>
              </w:rPr>
            </w:pPr>
          </w:p>
        </w:tc>
      </w:tr>
    </w:tbl>
    <w:p w14:paraId="27FFFF68" w14:textId="77777777" w:rsidR="00302BFE" w:rsidRDefault="00302BFE" w:rsidP="00302BFE">
      <w:pPr>
        <w:spacing w:before="240"/>
        <w:rPr>
          <w:rFonts w:cs="Arial"/>
          <w:b/>
          <w:bCs/>
          <w:szCs w:val="20"/>
        </w:rPr>
      </w:pPr>
    </w:p>
    <w:p w14:paraId="22F5F6C0" w14:textId="77777777" w:rsidR="00302BFE" w:rsidRPr="0003763F" w:rsidRDefault="00302BFE" w:rsidP="00302BFE">
      <w:pPr>
        <w:pStyle w:val="Titre1"/>
        <w:spacing w:before="0" w:after="0"/>
        <w:rPr>
          <w:rFonts w:ascii="Calibri" w:hAnsi="Calibri"/>
        </w:rPr>
      </w:pPr>
      <w:bookmarkStart w:id="30" w:name="_Toc9961795"/>
      <w:bookmarkStart w:id="31" w:name="_Hlk8383377"/>
      <w:r w:rsidRPr="0003763F">
        <w:rPr>
          <w:rFonts w:ascii="Calibri" w:hAnsi="Calibri"/>
        </w:rPr>
        <w:t>Governance and Management Arrangements</w:t>
      </w:r>
      <w:bookmarkEnd w:id="30"/>
      <w:r w:rsidRPr="0003763F">
        <w:rPr>
          <w:rFonts w:ascii="Calibri" w:hAnsi="Calibri"/>
        </w:rPr>
        <w:t xml:space="preserve"> </w:t>
      </w:r>
    </w:p>
    <w:p w14:paraId="5107DF8B" w14:textId="4C3B08B7" w:rsidR="00302BFE" w:rsidRPr="00755BF9"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u w:val="single"/>
        </w:rPr>
      </w:pPr>
      <w:r w:rsidRPr="005B1365">
        <w:rPr>
          <w:rFonts w:ascii="Calibri" w:hAnsi="Calibri" w:cs="Arial"/>
          <w:noProof/>
          <w:sz w:val="20"/>
          <w:szCs w:val="20"/>
          <w:u w:val="single"/>
          <w:lang w:eastAsia="zh-CN"/>
        </w:rPr>
        <w:t>Roles and responsibilities of the project’s governance mechanism</w:t>
      </w:r>
      <w:r w:rsidRPr="005B1365">
        <w:rPr>
          <w:rFonts w:ascii="Calibri" w:hAnsi="Calibri" w:cs="Arial"/>
          <w:noProof/>
          <w:sz w:val="20"/>
          <w:szCs w:val="20"/>
          <w:lang w:eastAsia="zh-CN"/>
        </w:rPr>
        <w:t>: The project will be implemented following UNDP’s national implementation modality,</w:t>
      </w:r>
      <w:r w:rsidRPr="005B1365">
        <w:rPr>
          <w:rFonts w:ascii="Calibri" w:hAnsi="Calibri" w:cs="Arial"/>
          <w:sz w:val="20"/>
          <w:szCs w:val="20"/>
        </w:rPr>
        <w:t xml:space="preserve"> according to the Standard Basic Assistance Agreement between UNDP and the Government of Burkina Faso</w:t>
      </w:r>
      <w:r w:rsidRPr="005B1365">
        <w:rPr>
          <w:rFonts w:ascii="Calibri" w:hAnsi="Calibri" w:cs="Arial"/>
          <w:i/>
          <w:sz w:val="20"/>
          <w:szCs w:val="20"/>
        </w:rPr>
        <w:t>,</w:t>
      </w:r>
      <w:r w:rsidRPr="005B1365">
        <w:rPr>
          <w:rFonts w:ascii="Calibri" w:hAnsi="Calibri" w:cs="Arial"/>
          <w:sz w:val="20"/>
          <w:szCs w:val="20"/>
        </w:rPr>
        <w:t xml:space="preserve"> and the Country </w:t>
      </w:r>
      <w:proofErr w:type="spellStart"/>
      <w:r w:rsidRPr="005B1365">
        <w:rPr>
          <w:rFonts w:ascii="Calibri" w:hAnsi="Calibri" w:cs="Arial"/>
          <w:sz w:val="20"/>
          <w:szCs w:val="20"/>
        </w:rPr>
        <w:t>Programme</w:t>
      </w:r>
      <w:proofErr w:type="spellEnd"/>
      <w:r w:rsidRPr="005B1365">
        <w:rPr>
          <w:rFonts w:ascii="Calibri" w:hAnsi="Calibri" w:cs="Arial"/>
          <w:i/>
          <w:sz w:val="20"/>
          <w:szCs w:val="20"/>
        </w:rPr>
        <w:t>.</w:t>
      </w:r>
    </w:p>
    <w:p w14:paraId="0FCA32BE" w14:textId="16B88DEB" w:rsidR="00A8560F" w:rsidRPr="00FF0FBB" w:rsidRDefault="00A8560F" w:rsidP="00755BF9">
      <w:pPr>
        <w:pStyle w:val="Paragraphedeliste"/>
        <w:tabs>
          <w:tab w:val="left" w:pos="284"/>
        </w:tabs>
        <w:spacing w:before="120" w:after="120"/>
        <w:ind w:left="0"/>
        <w:jc w:val="both"/>
        <w:rPr>
          <w:rFonts w:ascii="Calibri" w:hAnsi="Calibri" w:cs="Calibri"/>
          <w:sz w:val="20"/>
          <w:szCs w:val="20"/>
          <w:u w:val="single"/>
        </w:rPr>
      </w:pPr>
      <w:r w:rsidRPr="001326D9">
        <w:rPr>
          <w:rFonts w:ascii="Calibri" w:hAnsi="Calibri" w:cs="Arial"/>
          <w:noProof/>
          <w:sz w:val="20"/>
          <w:szCs w:val="20"/>
          <w:u w:val="single"/>
          <w:lang w:eastAsia="zh-CN"/>
        </w:rPr>
        <w:t>Roles and responsibilities in terms of compliance with SES are detailed in the ESMF, in attachment to the ProDoc.</w:t>
      </w:r>
    </w:p>
    <w:p w14:paraId="3617AF63" w14:textId="333CCF95" w:rsidR="00302BFE" w:rsidRPr="00810670"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u w:val="single"/>
        </w:rPr>
      </w:pPr>
      <w:r w:rsidRPr="00810670">
        <w:rPr>
          <w:rFonts w:ascii="Calibri" w:hAnsi="Calibri"/>
          <w:sz w:val="20"/>
          <w:szCs w:val="20"/>
        </w:rPr>
        <w:t>In application of Articles 6 and 7 of Decree No. 2018-0092/PRES/PM/MINEFID of 15 February 2018 regulating development projects and programs implemented in Burkina Faso, the project is attached to the budget program "Environmental Governance and Sustainable Development (GEDD)"</w:t>
      </w:r>
      <w:r w:rsidR="006E6BBB">
        <w:rPr>
          <w:rFonts w:ascii="Calibri" w:hAnsi="Calibri"/>
          <w:sz w:val="20"/>
          <w:szCs w:val="20"/>
        </w:rPr>
        <w:t xml:space="preserve"> </w:t>
      </w:r>
      <w:r w:rsidRPr="00810670">
        <w:rPr>
          <w:rFonts w:ascii="Calibri" w:hAnsi="Calibri"/>
          <w:sz w:val="20"/>
          <w:szCs w:val="20"/>
        </w:rPr>
        <w:t xml:space="preserve">of the </w:t>
      </w:r>
      <w:proofErr w:type="spellStart"/>
      <w:r w:rsidR="00806DBD">
        <w:rPr>
          <w:rFonts w:ascii="Calibri" w:hAnsi="Calibri"/>
          <w:sz w:val="20"/>
          <w:szCs w:val="20"/>
        </w:rPr>
        <w:t>Ministere</w:t>
      </w:r>
      <w:proofErr w:type="spellEnd"/>
      <w:r w:rsidR="00806DBD">
        <w:rPr>
          <w:rFonts w:ascii="Calibri" w:hAnsi="Calibri"/>
          <w:sz w:val="20"/>
          <w:szCs w:val="20"/>
        </w:rPr>
        <w:t xml:space="preserve"> de </w:t>
      </w:r>
      <w:proofErr w:type="spellStart"/>
      <w:r w:rsidR="00806DBD">
        <w:rPr>
          <w:rFonts w:ascii="Calibri" w:hAnsi="Calibri"/>
          <w:sz w:val="20"/>
          <w:szCs w:val="20"/>
        </w:rPr>
        <w:t>l’environnement</w:t>
      </w:r>
      <w:proofErr w:type="spellEnd"/>
      <w:r w:rsidR="00806DBD">
        <w:rPr>
          <w:rFonts w:ascii="Calibri" w:hAnsi="Calibri"/>
          <w:sz w:val="20"/>
          <w:szCs w:val="20"/>
        </w:rPr>
        <w:t xml:space="preserve">, de </w:t>
      </w:r>
      <w:proofErr w:type="spellStart"/>
      <w:r w:rsidR="00806DBD">
        <w:rPr>
          <w:rFonts w:ascii="Calibri" w:hAnsi="Calibri"/>
          <w:sz w:val="20"/>
          <w:szCs w:val="20"/>
        </w:rPr>
        <w:t>l’eau</w:t>
      </w:r>
      <w:proofErr w:type="spellEnd"/>
      <w:r w:rsidR="00806DBD">
        <w:rPr>
          <w:rFonts w:ascii="Calibri" w:hAnsi="Calibri"/>
          <w:sz w:val="20"/>
          <w:szCs w:val="20"/>
        </w:rPr>
        <w:t xml:space="preserve"> et de </w:t>
      </w:r>
      <w:proofErr w:type="spellStart"/>
      <w:proofErr w:type="gramStart"/>
      <w:r w:rsidR="00806DBD">
        <w:rPr>
          <w:rFonts w:ascii="Calibri" w:hAnsi="Calibri"/>
          <w:sz w:val="20"/>
          <w:szCs w:val="20"/>
        </w:rPr>
        <w:t>l”Assainissement</w:t>
      </w:r>
      <w:proofErr w:type="spellEnd"/>
      <w:proofErr w:type="gramEnd"/>
      <w:r w:rsidRPr="00810670">
        <w:rPr>
          <w:rFonts w:ascii="Calibri" w:hAnsi="Calibri"/>
          <w:sz w:val="20"/>
          <w:szCs w:val="20"/>
        </w:rPr>
        <w:t xml:space="preserve"> (MEEVCC) which </w:t>
      </w:r>
      <w:r w:rsidR="006E6BBB">
        <w:rPr>
          <w:rFonts w:ascii="Calibri" w:hAnsi="Calibri"/>
          <w:sz w:val="20"/>
          <w:szCs w:val="20"/>
        </w:rPr>
        <w:t>provides the</w:t>
      </w:r>
      <w:r w:rsidRPr="00810670">
        <w:rPr>
          <w:rFonts w:ascii="Calibri" w:hAnsi="Calibri"/>
          <w:sz w:val="20"/>
          <w:szCs w:val="20"/>
        </w:rPr>
        <w:t xml:space="preserve"> </w:t>
      </w:r>
      <w:r w:rsidRPr="00810670">
        <w:rPr>
          <w:rFonts w:ascii="Calibri" w:hAnsi="Calibri"/>
          <w:sz w:val="20"/>
          <w:szCs w:val="20"/>
        </w:rPr>
        <w:lastRenderedPageBreak/>
        <w:t>technical supervision. Financial supervision is provided by the Ministry of the Economy, Finance and Development (MINEFID) in accordance with Article 8 of the Decree.</w:t>
      </w:r>
    </w:p>
    <w:p w14:paraId="45B04547" w14:textId="77777777" w:rsidR="00302BFE" w:rsidRPr="00810670"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u w:val="single"/>
        </w:rPr>
      </w:pPr>
      <w:r w:rsidRPr="00810670">
        <w:rPr>
          <w:rFonts w:ascii="Calibri" w:hAnsi="Calibri"/>
          <w:sz w:val="20"/>
          <w:szCs w:val="20"/>
        </w:rPr>
        <w:t>The PONASI project is a pilot project for the restoration of forest landscapes. Forest landscape restoration is an integrative land-use framework to ensure that key ecosystem functions and conditions to meet social demands are maintained or strengthened. It is an application of the implementation of several international commitments including the 15</w:t>
      </w:r>
      <w:r w:rsidRPr="00810670">
        <w:rPr>
          <w:rFonts w:ascii="Calibri" w:hAnsi="Calibri"/>
          <w:sz w:val="20"/>
          <w:szCs w:val="20"/>
          <w:vertAlign w:val="superscript"/>
        </w:rPr>
        <w:t>th</w:t>
      </w:r>
      <w:r w:rsidRPr="00810670">
        <w:rPr>
          <w:rFonts w:ascii="Calibri" w:hAnsi="Calibri"/>
          <w:sz w:val="20"/>
          <w:szCs w:val="20"/>
        </w:rPr>
        <w:t xml:space="preserve"> Aichi Target of the Convention on Biological Diversity, the REDD+ goal of the United Nations Framework Convention on Climate Change, the Rio+ target 20 on land degradation and Goal 15 of the Sustainable Development Goals.</w:t>
      </w:r>
    </w:p>
    <w:p w14:paraId="165E863E"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u w:val="single"/>
        </w:rPr>
      </w:pPr>
      <w:r w:rsidRPr="00810670">
        <w:rPr>
          <w:rFonts w:ascii="Calibri" w:hAnsi="Calibri"/>
          <w:sz w:val="20"/>
          <w:szCs w:val="20"/>
        </w:rPr>
        <w:t xml:space="preserve">The GEDD budget program is responsible for developing tools and instruments for managing and steering environmental governance and promoting sustainable development for stakeholders. This program is also in charge of coordinating consultation </w:t>
      </w:r>
      <w:r w:rsidRPr="00D61C93">
        <w:rPr>
          <w:rFonts w:ascii="Calibri" w:hAnsi="Calibri"/>
          <w:sz w:val="20"/>
          <w:szCs w:val="20"/>
        </w:rPr>
        <w:t xml:space="preserve">frameworks both at national and local levels, as well as monitoring vegetation, wildlife and informing sustainable development indicators through </w:t>
      </w:r>
      <w:r w:rsidR="006E6BBB" w:rsidRPr="00D61C93">
        <w:rPr>
          <w:rFonts w:ascii="Calibri" w:hAnsi="Calibri"/>
          <w:sz w:val="20"/>
          <w:szCs w:val="20"/>
          <w:lang w:val="en-CA"/>
        </w:rPr>
        <w:t xml:space="preserve">the </w:t>
      </w:r>
      <w:r w:rsidR="006E6BBB" w:rsidRPr="00D61C93">
        <w:rPr>
          <w:rFonts w:ascii="Calibri" w:hAnsi="Calibri"/>
          <w:sz w:val="20"/>
          <w:szCs w:val="20"/>
        </w:rPr>
        <w:t>National Observatory of the Environment and Sustainable Development (ONEDD)</w:t>
      </w:r>
      <w:r w:rsidRPr="00D61C93">
        <w:rPr>
          <w:rFonts w:ascii="Calibri" w:hAnsi="Calibri"/>
          <w:sz w:val="20"/>
          <w:szCs w:val="20"/>
        </w:rPr>
        <w:t>.</w:t>
      </w:r>
    </w:p>
    <w:p w14:paraId="4350BD02" w14:textId="2B687D63" w:rsidR="00910E2B" w:rsidRPr="00D61C93"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u w:val="single"/>
        </w:rPr>
      </w:pPr>
      <w:r w:rsidRPr="00D61C93">
        <w:rPr>
          <w:rFonts w:ascii="Calibri" w:hAnsi="Calibri"/>
          <w:sz w:val="20"/>
          <w:szCs w:val="20"/>
        </w:rPr>
        <w:t xml:space="preserve">The landscape management approach implies that it is imperative to establish multisectoral consultation platforms for integrating the sustainable management of conservation areas into local development planning through local charters and regional development plans and communal development plans (art 12 of law 008-2014 / AN of 8 April 2014 on the sustainable development orientation law in Burkina Faso). </w:t>
      </w:r>
      <w:r w:rsidR="00A300D7" w:rsidRPr="00D61C93">
        <w:rPr>
          <w:rFonts w:ascii="Calibri" w:hAnsi="Calibri"/>
          <w:sz w:val="20"/>
          <w:szCs w:val="20"/>
        </w:rPr>
        <w:t>A</w:t>
      </w:r>
      <w:r w:rsidRPr="00D61C93">
        <w:rPr>
          <w:rFonts w:ascii="Calibri" w:hAnsi="Calibri"/>
          <w:sz w:val="20"/>
          <w:szCs w:val="20"/>
        </w:rPr>
        <w:t xml:space="preserve">s such, the </w:t>
      </w:r>
      <w:proofErr w:type="spellStart"/>
      <w:r w:rsidR="005D2B28" w:rsidRPr="005D2B28">
        <w:rPr>
          <w:rFonts w:ascii="Calibri" w:hAnsi="Calibri"/>
          <w:sz w:val="20"/>
          <w:szCs w:val="20"/>
          <w:highlight w:val="green"/>
        </w:rPr>
        <w:t>Ministere</w:t>
      </w:r>
      <w:proofErr w:type="spellEnd"/>
      <w:r w:rsidR="005D2B28" w:rsidRPr="005D2B28">
        <w:rPr>
          <w:rFonts w:ascii="Calibri" w:hAnsi="Calibri"/>
          <w:sz w:val="20"/>
          <w:szCs w:val="20"/>
          <w:highlight w:val="green"/>
        </w:rPr>
        <w:t xml:space="preserve"> de </w:t>
      </w:r>
      <w:proofErr w:type="spellStart"/>
      <w:r w:rsidR="005D2B28" w:rsidRPr="005D2B28">
        <w:rPr>
          <w:rFonts w:ascii="Calibri" w:hAnsi="Calibri"/>
          <w:sz w:val="20"/>
          <w:szCs w:val="20"/>
          <w:highlight w:val="green"/>
        </w:rPr>
        <w:t>l'environnement</w:t>
      </w:r>
      <w:proofErr w:type="spellEnd"/>
      <w:r w:rsidR="005D2B28" w:rsidRPr="005D2B28">
        <w:rPr>
          <w:rFonts w:ascii="Calibri" w:hAnsi="Calibri"/>
          <w:sz w:val="20"/>
          <w:szCs w:val="20"/>
          <w:highlight w:val="green"/>
        </w:rPr>
        <w:t xml:space="preserve">, de </w:t>
      </w:r>
      <w:proofErr w:type="spellStart"/>
      <w:r w:rsidR="005D2B28" w:rsidRPr="005D2B28">
        <w:rPr>
          <w:rFonts w:ascii="Calibri" w:hAnsi="Calibri"/>
          <w:sz w:val="20"/>
          <w:szCs w:val="20"/>
          <w:highlight w:val="green"/>
        </w:rPr>
        <w:t>l'eau</w:t>
      </w:r>
      <w:proofErr w:type="spellEnd"/>
      <w:r w:rsidR="005D2B28" w:rsidRPr="005D2B28">
        <w:rPr>
          <w:rFonts w:ascii="Calibri" w:hAnsi="Calibri"/>
          <w:sz w:val="20"/>
          <w:szCs w:val="20"/>
          <w:highlight w:val="green"/>
        </w:rPr>
        <w:t xml:space="preserve"> et de </w:t>
      </w:r>
      <w:proofErr w:type="spellStart"/>
      <w:r w:rsidR="005D2B28" w:rsidRPr="005D2B28">
        <w:rPr>
          <w:rFonts w:ascii="Calibri" w:hAnsi="Calibri"/>
          <w:sz w:val="20"/>
          <w:szCs w:val="20"/>
          <w:highlight w:val="green"/>
        </w:rPr>
        <w:t>l"Assainissement</w:t>
      </w:r>
      <w:proofErr w:type="spellEnd"/>
      <w:r w:rsidR="00342675">
        <w:rPr>
          <w:rFonts w:ascii="Calibri" w:hAnsi="Calibri"/>
          <w:sz w:val="20"/>
          <w:szCs w:val="20"/>
        </w:rPr>
        <w:t xml:space="preserve"> </w:t>
      </w:r>
      <w:r w:rsidRPr="00D61C93">
        <w:rPr>
          <w:rFonts w:ascii="Calibri" w:hAnsi="Calibri"/>
          <w:sz w:val="20"/>
          <w:szCs w:val="20"/>
        </w:rPr>
        <w:t>which is the steering body for environmental governance and sustainable development</w:t>
      </w:r>
      <w:r w:rsidR="00910E2B" w:rsidRPr="00D61C93">
        <w:rPr>
          <w:rFonts w:ascii="Calibri" w:hAnsi="Calibri"/>
          <w:sz w:val="20"/>
          <w:szCs w:val="20"/>
        </w:rPr>
        <w:t>, is the designated body to support the operationalization of these development tools</w:t>
      </w:r>
      <w:r w:rsidRPr="00D61C93">
        <w:rPr>
          <w:rFonts w:ascii="Calibri" w:hAnsi="Calibri"/>
          <w:sz w:val="20"/>
          <w:szCs w:val="20"/>
        </w:rPr>
        <w:t xml:space="preserve"> </w:t>
      </w:r>
      <w:r w:rsidR="00910E2B" w:rsidRPr="00D61C93">
        <w:rPr>
          <w:rFonts w:ascii="Calibri" w:hAnsi="Calibri"/>
          <w:sz w:val="20"/>
          <w:szCs w:val="20"/>
        </w:rPr>
        <w:t>in support of local authorities.</w:t>
      </w:r>
    </w:p>
    <w:p w14:paraId="0B6FD052"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u w:val="single"/>
        </w:rPr>
      </w:pPr>
      <w:r w:rsidRPr="00D61C93">
        <w:rPr>
          <w:rFonts w:ascii="Calibri" w:hAnsi="Calibri"/>
          <w:sz w:val="20"/>
          <w:szCs w:val="20"/>
        </w:rPr>
        <w:t>The review of the project's results framework shows that its implementation involves the budget programs "Sustainable Management of Forest and Fauna Resources", "Green Economy and Climate Change" as well as other budgetary programs of the Ministries in charge of Agriculture and Animal Resources.</w:t>
      </w:r>
      <w:r w:rsidRPr="00D61C93">
        <w:rPr>
          <w:szCs w:val="20"/>
        </w:rPr>
        <w:t xml:space="preserve"> </w:t>
      </w:r>
      <w:r w:rsidRPr="00D61C93">
        <w:rPr>
          <w:rFonts w:ascii="Calibri" w:hAnsi="Calibri"/>
          <w:sz w:val="20"/>
          <w:szCs w:val="20"/>
        </w:rPr>
        <w:t xml:space="preserve">As a result, the composition of the committee for the review of the budget programs involved must be revised to </w:t>
      </w:r>
      <w:proofErr w:type="gramStart"/>
      <w:r w:rsidRPr="00D61C93">
        <w:rPr>
          <w:rFonts w:ascii="Calibri" w:hAnsi="Calibri"/>
          <w:sz w:val="20"/>
          <w:szCs w:val="20"/>
        </w:rPr>
        <w:t>take into account</w:t>
      </w:r>
      <w:proofErr w:type="gramEnd"/>
      <w:r w:rsidRPr="00D61C93">
        <w:rPr>
          <w:rFonts w:ascii="Calibri" w:hAnsi="Calibri"/>
          <w:sz w:val="20"/>
          <w:szCs w:val="20"/>
        </w:rPr>
        <w:t xml:space="preserve"> this PONASI project in accordance with the provisions of Article 16 paragraph 2 of Decree 2018-092.</w:t>
      </w:r>
    </w:p>
    <w:p w14:paraId="5B977E0E"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u w:val="single"/>
        </w:rPr>
      </w:pPr>
      <w:r w:rsidRPr="00D61C93">
        <w:rPr>
          <w:rFonts w:ascii="Calibri" w:hAnsi="Calibri"/>
          <w:sz w:val="20"/>
          <w:szCs w:val="20"/>
        </w:rPr>
        <w:t xml:space="preserve">In accordance with Article 12 of the new general regulations on development projects and programs mentioned above, and in consultation with the Ministry of the Environment, Green </w:t>
      </w:r>
      <w:proofErr w:type="gramStart"/>
      <w:r w:rsidRPr="00D61C93">
        <w:rPr>
          <w:rFonts w:ascii="Calibri" w:hAnsi="Calibri"/>
          <w:sz w:val="20"/>
          <w:szCs w:val="20"/>
        </w:rPr>
        <w:t>Economy</w:t>
      </w:r>
      <w:proofErr w:type="gramEnd"/>
      <w:r w:rsidRPr="00D61C93">
        <w:rPr>
          <w:rFonts w:ascii="Calibri" w:hAnsi="Calibri"/>
          <w:sz w:val="20"/>
          <w:szCs w:val="20"/>
        </w:rPr>
        <w:t xml:space="preserve"> and Climate Change (MEEVCC), it was decided that the project "Integrated and Sustainable Management of the PONASI Protected Area Landscape" should be considered as a "Category 1" project. Category 1 projects or programs include all projects carried out directly by the public administration, including local authorities, state-owned companies, semi-public </w:t>
      </w:r>
      <w:proofErr w:type="gramStart"/>
      <w:r w:rsidRPr="00D61C93">
        <w:rPr>
          <w:rFonts w:ascii="Calibri" w:hAnsi="Calibri"/>
          <w:sz w:val="20"/>
          <w:szCs w:val="20"/>
        </w:rPr>
        <w:t>companies</w:t>
      </w:r>
      <w:proofErr w:type="gramEnd"/>
      <w:r w:rsidRPr="00D61C93">
        <w:rPr>
          <w:rFonts w:ascii="Calibri" w:hAnsi="Calibri"/>
          <w:sz w:val="20"/>
          <w:szCs w:val="20"/>
        </w:rPr>
        <w:t xml:space="preserve"> and state-owned public institutions. Category 1 programs and projects are under the coordination of the Head of the attached Budgetary Program. In accordance with Article 53 of Decree 2018-092, a management</w:t>
      </w:r>
      <w:r w:rsidR="00011708" w:rsidRPr="00D61C93">
        <w:rPr>
          <w:rFonts w:ascii="Calibri" w:hAnsi="Calibri"/>
          <w:sz w:val="20"/>
          <w:szCs w:val="20"/>
        </w:rPr>
        <w:t xml:space="preserve"> </w:t>
      </w:r>
      <w:r w:rsidRPr="00D61C93">
        <w:rPr>
          <w:rFonts w:ascii="Calibri" w:hAnsi="Calibri"/>
          <w:sz w:val="20"/>
          <w:szCs w:val="20"/>
        </w:rPr>
        <w:t xml:space="preserve">unit will be set up within the </w:t>
      </w:r>
      <w:r w:rsidR="00A300D7" w:rsidRPr="00D61C93">
        <w:rPr>
          <w:rFonts w:ascii="Calibri" w:hAnsi="Calibri"/>
          <w:sz w:val="20"/>
          <w:szCs w:val="20"/>
        </w:rPr>
        <w:t xml:space="preserve">Environmental Governance and Sustainable Development </w:t>
      </w:r>
      <w:r w:rsidRPr="00D61C93">
        <w:rPr>
          <w:rFonts w:ascii="Calibri" w:hAnsi="Calibri"/>
          <w:sz w:val="20"/>
          <w:szCs w:val="20"/>
        </w:rPr>
        <w:t>program for the implementation of the project. This management unit includes the staff assigned by the State and the staff recruited by the project (Article 59 of Decree 2018-092).</w:t>
      </w:r>
    </w:p>
    <w:p w14:paraId="5DCBB5A0" w14:textId="3FEDC413"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u w:val="single"/>
        </w:rPr>
      </w:pPr>
      <w:r w:rsidRPr="00D61C93">
        <w:rPr>
          <w:rFonts w:ascii="Calibri" w:hAnsi="Calibri"/>
          <w:sz w:val="20"/>
          <w:szCs w:val="20"/>
        </w:rPr>
        <w:t xml:space="preserve">Pursuant to the </w:t>
      </w:r>
      <w:proofErr w:type="gramStart"/>
      <w:r w:rsidRPr="00D61C93">
        <w:rPr>
          <w:rFonts w:ascii="Calibri" w:hAnsi="Calibri"/>
          <w:sz w:val="20"/>
          <w:szCs w:val="20"/>
        </w:rPr>
        <w:t>aforementioned provisions</w:t>
      </w:r>
      <w:proofErr w:type="gramEnd"/>
      <w:r w:rsidRPr="00D61C93">
        <w:rPr>
          <w:rFonts w:ascii="Calibri" w:hAnsi="Calibri"/>
          <w:sz w:val="20"/>
          <w:szCs w:val="20"/>
        </w:rPr>
        <w:t xml:space="preserve"> of the Decree, the implementation of activities will be entrusted to the </w:t>
      </w:r>
      <w:proofErr w:type="spellStart"/>
      <w:r w:rsidR="00806DBD" w:rsidRPr="005D2B28">
        <w:rPr>
          <w:rFonts w:ascii="Calibri" w:hAnsi="Calibri"/>
          <w:sz w:val="20"/>
          <w:szCs w:val="20"/>
          <w:highlight w:val="green"/>
        </w:rPr>
        <w:t>Ministere</w:t>
      </w:r>
      <w:proofErr w:type="spellEnd"/>
      <w:r w:rsidR="00806DBD" w:rsidRPr="005D2B28">
        <w:rPr>
          <w:rFonts w:ascii="Calibri" w:hAnsi="Calibri"/>
          <w:sz w:val="20"/>
          <w:szCs w:val="20"/>
          <w:highlight w:val="green"/>
        </w:rPr>
        <w:t xml:space="preserve"> de </w:t>
      </w:r>
      <w:proofErr w:type="spellStart"/>
      <w:r w:rsidR="00806DBD" w:rsidRPr="005D2B28">
        <w:rPr>
          <w:rFonts w:ascii="Calibri" w:hAnsi="Calibri"/>
          <w:sz w:val="20"/>
          <w:szCs w:val="20"/>
          <w:highlight w:val="green"/>
        </w:rPr>
        <w:t>l'environnement</w:t>
      </w:r>
      <w:proofErr w:type="spellEnd"/>
      <w:r w:rsidR="00806DBD" w:rsidRPr="005D2B28">
        <w:rPr>
          <w:rFonts w:ascii="Calibri" w:hAnsi="Calibri"/>
          <w:sz w:val="20"/>
          <w:szCs w:val="20"/>
          <w:highlight w:val="green"/>
        </w:rPr>
        <w:t xml:space="preserve">, de </w:t>
      </w:r>
      <w:proofErr w:type="spellStart"/>
      <w:r w:rsidR="00806DBD" w:rsidRPr="005D2B28">
        <w:rPr>
          <w:rFonts w:ascii="Calibri" w:hAnsi="Calibri"/>
          <w:sz w:val="20"/>
          <w:szCs w:val="20"/>
          <w:highlight w:val="green"/>
        </w:rPr>
        <w:t>l'eau</w:t>
      </w:r>
      <w:proofErr w:type="spellEnd"/>
      <w:r w:rsidR="00806DBD" w:rsidRPr="005D2B28">
        <w:rPr>
          <w:rFonts w:ascii="Calibri" w:hAnsi="Calibri"/>
          <w:sz w:val="20"/>
          <w:szCs w:val="20"/>
          <w:highlight w:val="green"/>
        </w:rPr>
        <w:t xml:space="preserve"> et de </w:t>
      </w:r>
      <w:proofErr w:type="spellStart"/>
      <w:r w:rsidR="00806DBD" w:rsidRPr="005D2B28">
        <w:rPr>
          <w:rFonts w:ascii="Calibri" w:hAnsi="Calibri"/>
          <w:sz w:val="20"/>
          <w:szCs w:val="20"/>
          <w:highlight w:val="green"/>
        </w:rPr>
        <w:t>l"Assainissement</w:t>
      </w:r>
      <w:proofErr w:type="spellEnd"/>
      <w:r w:rsidR="00806DBD">
        <w:rPr>
          <w:rFonts w:ascii="Calibri" w:hAnsi="Calibri"/>
          <w:sz w:val="20"/>
          <w:szCs w:val="20"/>
        </w:rPr>
        <w:t xml:space="preserve"> </w:t>
      </w:r>
      <w:r w:rsidRPr="00D61C93">
        <w:rPr>
          <w:rFonts w:ascii="Calibri" w:hAnsi="Calibri"/>
          <w:sz w:val="20"/>
          <w:szCs w:val="20"/>
        </w:rPr>
        <w:t>and the beneficiary local authorities in accordance with the work plan and the results framework. Expenses will be settled according to the procedures corresponding to the national execution modality.</w:t>
      </w:r>
    </w:p>
    <w:p w14:paraId="6B03B375"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u w:val="single"/>
        </w:rPr>
      </w:pPr>
      <w:r w:rsidRPr="00D61C93">
        <w:rPr>
          <w:rFonts w:ascii="Calibri" w:hAnsi="Calibri"/>
          <w:sz w:val="20"/>
          <w:szCs w:val="20"/>
        </w:rPr>
        <w:t xml:space="preserve">The monitoring / evaluation mechanism that will be implemented under this project will provide the required information to the Manager of the Budget Program ‘Environmental Governance and Sustainable Development’ of </w:t>
      </w:r>
      <w:r w:rsidRPr="00D61C93">
        <w:rPr>
          <w:rFonts w:ascii="Calibri" w:hAnsi="Calibri"/>
          <w:sz w:val="20"/>
          <w:szCs w:val="20"/>
          <w:lang w:val="en-CA"/>
        </w:rPr>
        <w:t xml:space="preserve">MEEVCC to </w:t>
      </w:r>
      <w:r w:rsidRPr="00D61C93">
        <w:rPr>
          <w:rFonts w:ascii="Calibri" w:hAnsi="Calibri"/>
          <w:sz w:val="20"/>
          <w:szCs w:val="20"/>
        </w:rPr>
        <w:t>which it is attached, for the preparation of the Review Committee, in accordance with the new general regulations on development projects and programs.</w:t>
      </w:r>
    </w:p>
    <w:p w14:paraId="080884C5" w14:textId="77A2D441" w:rsidR="00302BFE" w:rsidRPr="00965566"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u w:val="single"/>
        </w:rPr>
      </w:pPr>
      <w:r w:rsidRPr="00D61C93">
        <w:rPr>
          <w:rFonts w:ascii="Calibri" w:hAnsi="Calibri"/>
          <w:sz w:val="20"/>
          <w:szCs w:val="20"/>
          <w:lang w:val="en-CA"/>
        </w:rPr>
        <w:t xml:space="preserve">According to the Basic Assistance Agreement of 19 July 1976 between the Government of Burkina Faso and the United Nations Development Program, the </w:t>
      </w:r>
      <w:r w:rsidR="006E6BBB" w:rsidRPr="00D61C93">
        <w:rPr>
          <w:rFonts w:ascii="Calibri" w:hAnsi="Calibri"/>
          <w:b/>
          <w:sz w:val="20"/>
          <w:szCs w:val="20"/>
          <w:lang w:val="en-CA"/>
        </w:rPr>
        <w:t>implementing</w:t>
      </w:r>
      <w:r w:rsidR="00B1386C" w:rsidRPr="00D61C93">
        <w:rPr>
          <w:rFonts w:ascii="Calibri" w:hAnsi="Calibri"/>
          <w:b/>
          <w:sz w:val="20"/>
          <w:szCs w:val="20"/>
          <w:lang w:val="en-CA"/>
        </w:rPr>
        <w:t xml:space="preserve"> partner</w:t>
      </w:r>
      <w:r w:rsidR="00B1386C" w:rsidRPr="00D61C93">
        <w:rPr>
          <w:rFonts w:ascii="Calibri" w:hAnsi="Calibri"/>
          <w:sz w:val="20"/>
          <w:szCs w:val="20"/>
          <w:lang w:val="en-CA"/>
        </w:rPr>
        <w:t xml:space="preserve"> </w:t>
      </w:r>
      <w:r w:rsidRPr="00D61C93">
        <w:rPr>
          <w:rFonts w:ascii="Calibri" w:hAnsi="Calibri"/>
          <w:sz w:val="20"/>
          <w:szCs w:val="20"/>
          <w:lang w:val="en-CA"/>
        </w:rPr>
        <w:t xml:space="preserve">in the host country will be the </w:t>
      </w:r>
      <w:proofErr w:type="spellStart"/>
      <w:r w:rsidR="00806DBD" w:rsidRPr="005D2B28">
        <w:rPr>
          <w:rFonts w:ascii="Calibri" w:hAnsi="Calibri"/>
          <w:sz w:val="20"/>
          <w:szCs w:val="20"/>
          <w:highlight w:val="green"/>
          <w:lang w:val="en-CA"/>
        </w:rPr>
        <w:t>Ministere</w:t>
      </w:r>
      <w:proofErr w:type="spellEnd"/>
      <w:r w:rsidR="00806DBD" w:rsidRPr="005D2B28">
        <w:rPr>
          <w:rFonts w:ascii="Calibri" w:hAnsi="Calibri"/>
          <w:sz w:val="20"/>
          <w:szCs w:val="20"/>
          <w:highlight w:val="green"/>
          <w:lang w:val="en-CA"/>
        </w:rPr>
        <w:t xml:space="preserve"> de </w:t>
      </w:r>
      <w:proofErr w:type="spellStart"/>
      <w:r w:rsidR="00806DBD" w:rsidRPr="005D2B28">
        <w:rPr>
          <w:rFonts w:ascii="Calibri" w:hAnsi="Calibri"/>
          <w:sz w:val="20"/>
          <w:szCs w:val="20"/>
          <w:highlight w:val="green"/>
          <w:lang w:val="en-CA"/>
        </w:rPr>
        <w:t>l'environnement</w:t>
      </w:r>
      <w:proofErr w:type="spellEnd"/>
      <w:r w:rsidR="00806DBD" w:rsidRPr="005D2B28">
        <w:rPr>
          <w:rFonts w:ascii="Calibri" w:hAnsi="Calibri"/>
          <w:sz w:val="20"/>
          <w:szCs w:val="20"/>
          <w:highlight w:val="green"/>
          <w:lang w:val="en-CA"/>
        </w:rPr>
        <w:t xml:space="preserve">, de </w:t>
      </w:r>
      <w:proofErr w:type="spellStart"/>
      <w:r w:rsidR="00806DBD" w:rsidRPr="005D2B28">
        <w:rPr>
          <w:rFonts w:ascii="Calibri" w:hAnsi="Calibri"/>
          <w:sz w:val="20"/>
          <w:szCs w:val="20"/>
          <w:highlight w:val="green"/>
          <w:lang w:val="en-CA"/>
        </w:rPr>
        <w:t>l'eau</w:t>
      </w:r>
      <w:proofErr w:type="spellEnd"/>
      <w:r w:rsidR="00806DBD" w:rsidRPr="005D2B28">
        <w:rPr>
          <w:rFonts w:ascii="Calibri" w:hAnsi="Calibri"/>
          <w:sz w:val="20"/>
          <w:szCs w:val="20"/>
          <w:highlight w:val="green"/>
          <w:lang w:val="en-CA"/>
        </w:rPr>
        <w:t xml:space="preserve"> et de </w:t>
      </w:r>
      <w:proofErr w:type="spellStart"/>
      <w:r w:rsidR="00806DBD" w:rsidRPr="005D2B28">
        <w:rPr>
          <w:rFonts w:ascii="Calibri" w:hAnsi="Calibri"/>
          <w:sz w:val="20"/>
          <w:szCs w:val="20"/>
          <w:highlight w:val="green"/>
          <w:lang w:val="en-CA"/>
        </w:rPr>
        <w:t>l"Assainissement</w:t>
      </w:r>
      <w:proofErr w:type="spellEnd"/>
      <w:r w:rsidRPr="005D2B28">
        <w:rPr>
          <w:rFonts w:ascii="Calibri" w:hAnsi="Calibri"/>
          <w:sz w:val="20"/>
          <w:szCs w:val="20"/>
          <w:highlight w:val="green"/>
          <w:lang w:val="en-CA"/>
        </w:rPr>
        <w:t>.</w:t>
      </w:r>
      <w:r w:rsidRPr="00D61C93">
        <w:rPr>
          <w:rFonts w:ascii="Calibri" w:hAnsi="Calibri"/>
          <w:sz w:val="20"/>
          <w:szCs w:val="20"/>
          <w:lang w:val="en-CA"/>
        </w:rPr>
        <w:t xml:space="preserve"> The implementing partner is responsible and accountable for managing this project, including the monitoring and evaluation of project interventions, achieving project outcomes, and for the effective use of UNDP resources. </w:t>
      </w:r>
      <w:proofErr w:type="gramStart"/>
      <w:r w:rsidRPr="00D61C93">
        <w:rPr>
          <w:rFonts w:ascii="Calibri" w:hAnsi="Calibri"/>
          <w:sz w:val="20"/>
          <w:szCs w:val="20"/>
          <w:lang w:val="en-CA"/>
        </w:rPr>
        <w:t>Taking into account</w:t>
      </w:r>
      <w:proofErr w:type="gramEnd"/>
      <w:r w:rsidRPr="00D61C93">
        <w:rPr>
          <w:rFonts w:ascii="Calibri" w:hAnsi="Calibri"/>
          <w:sz w:val="20"/>
          <w:szCs w:val="20"/>
          <w:lang w:val="en-CA"/>
        </w:rPr>
        <w:t xml:space="preserve"> the above, the responsibility for the safety and security of the implementing partner, its staff and assets, and the UNDP assets managed by the implementing partner is the responsibility of the implementing partner</w:t>
      </w:r>
      <w:r w:rsidRPr="005B1365">
        <w:rPr>
          <w:rFonts w:ascii="Calibri" w:hAnsi="Calibri"/>
          <w:sz w:val="20"/>
          <w:szCs w:val="20"/>
          <w:lang w:val="en-CA"/>
        </w:rPr>
        <w:t xml:space="preserve">. It will have to: i) set up an appropriate security plan, ii) update the plan </w:t>
      </w:r>
      <w:proofErr w:type="gramStart"/>
      <w:r w:rsidRPr="005B1365">
        <w:rPr>
          <w:rFonts w:ascii="Calibri" w:hAnsi="Calibri"/>
          <w:sz w:val="20"/>
          <w:szCs w:val="20"/>
          <w:lang w:val="en-CA"/>
        </w:rPr>
        <w:t>taking into account</w:t>
      </w:r>
      <w:proofErr w:type="gramEnd"/>
      <w:r w:rsidRPr="005B1365">
        <w:rPr>
          <w:rFonts w:ascii="Calibri" w:hAnsi="Calibri"/>
          <w:sz w:val="20"/>
          <w:szCs w:val="20"/>
          <w:lang w:val="en-CA"/>
        </w:rPr>
        <w:t xml:space="preserve"> the security situation in the country, iii) assume all the risks related to the security of the implementing partner and the full implementation of the security plan. UNDP reserves the right to verify the implementation of the security plan and to suggest modifications if necessary.</w:t>
      </w:r>
    </w:p>
    <w:p w14:paraId="49DA3762" w14:textId="77777777" w:rsidR="00302BFE" w:rsidRDefault="00302BFE" w:rsidP="00C46720">
      <w:pPr>
        <w:pStyle w:val="Paragraphedeliste"/>
        <w:numPr>
          <w:ilvl w:val="0"/>
          <w:numId w:val="14"/>
        </w:numPr>
        <w:tabs>
          <w:tab w:val="left" w:pos="284"/>
        </w:tabs>
        <w:spacing w:before="120"/>
        <w:ind w:left="0" w:firstLine="0"/>
        <w:jc w:val="both"/>
        <w:rPr>
          <w:rFonts w:ascii="Calibri" w:hAnsi="Calibri" w:cs="Calibri"/>
          <w:sz w:val="20"/>
          <w:szCs w:val="20"/>
        </w:rPr>
      </w:pPr>
      <w:r w:rsidRPr="00965566">
        <w:rPr>
          <w:rFonts w:ascii="Calibri" w:hAnsi="Calibri" w:cs="Calibri"/>
          <w:sz w:val="20"/>
          <w:szCs w:val="20"/>
        </w:rPr>
        <w:t>The implementing partner is responsible for</w:t>
      </w:r>
      <w:r>
        <w:rPr>
          <w:rFonts w:ascii="Calibri" w:hAnsi="Calibri" w:cs="Calibri"/>
          <w:sz w:val="20"/>
          <w:szCs w:val="20"/>
        </w:rPr>
        <w:t>:</w:t>
      </w:r>
    </w:p>
    <w:p w14:paraId="538B7ED2" w14:textId="77777777" w:rsidR="00302BFE" w:rsidRDefault="00302BFE" w:rsidP="00C46720">
      <w:pPr>
        <w:pStyle w:val="Paragraphedeliste"/>
        <w:numPr>
          <w:ilvl w:val="0"/>
          <w:numId w:val="52"/>
        </w:numPr>
        <w:tabs>
          <w:tab w:val="left" w:pos="284"/>
        </w:tabs>
        <w:ind w:left="714" w:hanging="357"/>
        <w:jc w:val="both"/>
        <w:rPr>
          <w:rFonts w:ascii="Calibri" w:hAnsi="Calibri" w:cs="Calibri"/>
          <w:sz w:val="20"/>
          <w:szCs w:val="20"/>
        </w:rPr>
      </w:pPr>
      <w:r>
        <w:rPr>
          <w:rFonts w:ascii="Calibri" w:hAnsi="Calibri" w:cs="Calibri"/>
          <w:sz w:val="20"/>
          <w:szCs w:val="20"/>
        </w:rPr>
        <w:t xml:space="preserve">Approving and signing the multiyear </w:t>
      </w:r>
      <w:proofErr w:type="gramStart"/>
      <w:r>
        <w:rPr>
          <w:rFonts w:ascii="Calibri" w:hAnsi="Calibri" w:cs="Calibri"/>
          <w:sz w:val="20"/>
          <w:szCs w:val="20"/>
        </w:rPr>
        <w:t>workplan;</w:t>
      </w:r>
      <w:proofErr w:type="gramEnd"/>
    </w:p>
    <w:p w14:paraId="298D1E6C" w14:textId="77777777" w:rsidR="00302BFE" w:rsidRDefault="00302BFE" w:rsidP="00C46720">
      <w:pPr>
        <w:pStyle w:val="Paragraphedeliste"/>
        <w:numPr>
          <w:ilvl w:val="0"/>
          <w:numId w:val="52"/>
        </w:numPr>
        <w:tabs>
          <w:tab w:val="left" w:pos="284"/>
        </w:tabs>
        <w:ind w:left="714" w:hanging="357"/>
        <w:jc w:val="both"/>
        <w:rPr>
          <w:rFonts w:ascii="Calibri" w:hAnsi="Calibri" w:cs="Calibri"/>
          <w:sz w:val="20"/>
          <w:szCs w:val="20"/>
        </w:rPr>
      </w:pPr>
      <w:r>
        <w:rPr>
          <w:rFonts w:ascii="Calibri" w:hAnsi="Calibri" w:cs="Calibri"/>
          <w:sz w:val="20"/>
          <w:szCs w:val="20"/>
        </w:rPr>
        <w:t>Approving and signing the combined delivery report at the end of the year; and,</w:t>
      </w:r>
    </w:p>
    <w:p w14:paraId="25D4F0CC" w14:textId="77777777" w:rsidR="00302BFE" w:rsidRPr="00965566" w:rsidRDefault="00302BFE" w:rsidP="00C46720">
      <w:pPr>
        <w:pStyle w:val="Paragraphedeliste"/>
        <w:numPr>
          <w:ilvl w:val="0"/>
          <w:numId w:val="52"/>
        </w:numPr>
        <w:tabs>
          <w:tab w:val="left" w:pos="284"/>
        </w:tabs>
        <w:ind w:left="714" w:hanging="357"/>
        <w:jc w:val="both"/>
        <w:rPr>
          <w:rFonts w:ascii="Calibri" w:hAnsi="Calibri" w:cs="Calibri"/>
          <w:sz w:val="20"/>
          <w:szCs w:val="20"/>
        </w:rPr>
      </w:pPr>
      <w:r>
        <w:rPr>
          <w:rFonts w:ascii="Calibri" w:hAnsi="Calibri" w:cs="Calibri"/>
          <w:sz w:val="20"/>
          <w:szCs w:val="20"/>
        </w:rPr>
        <w:t>Signing the financial report of the funding authorization and certificate of expenditures.</w:t>
      </w:r>
    </w:p>
    <w:p w14:paraId="75269A99" w14:textId="77777777" w:rsidR="00302BFE" w:rsidRPr="00810670"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u w:val="single"/>
        </w:rPr>
      </w:pPr>
      <w:r w:rsidRPr="00810670">
        <w:rPr>
          <w:rFonts w:ascii="Calibri" w:hAnsi="Calibri"/>
          <w:sz w:val="20"/>
          <w:szCs w:val="20"/>
        </w:rPr>
        <w:lastRenderedPageBreak/>
        <w:t xml:space="preserve">In accordance with the provisions of this new regulation, the </w:t>
      </w:r>
      <w:r w:rsidRPr="00965566">
        <w:rPr>
          <w:rFonts w:ascii="Calibri" w:hAnsi="Calibri"/>
          <w:b/>
          <w:sz w:val="20"/>
          <w:szCs w:val="20"/>
        </w:rPr>
        <w:t>Manager</w:t>
      </w:r>
      <w:r w:rsidRPr="00810670">
        <w:rPr>
          <w:rFonts w:ascii="Calibri" w:hAnsi="Calibri"/>
          <w:sz w:val="20"/>
          <w:szCs w:val="20"/>
        </w:rPr>
        <w:t xml:space="preserve"> (or coordinator) of the Project "Integrated and Sustainable Management of the PONASI Protected Area Landscape" attends the meetings of the budget program review committee "Environmental Governance and Sustainable Development". </w:t>
      </w:r>
      <w:r w:rsidRPr="00810670">
        <w:rPr>
          <w:rFonts w:ascii="Calibri" w:hAnsi="Calibri"/>
          <w:sz w:val="20"/>
          <w:szCs w:val="20"/>
          <w:lang w:val="en-CA"/>
        </w:rPr>
        <w:t xml:space="preserve">This Review Committee meets twice (2) a year in ordinary session, </w:t>
      </w:r>
      <w:proofErr w:type="gramStart"/>
      <w:r w:rsidRPr="00810670">
        <w:rPr>
          <w:rFonts w:ascii="Calibri" w:hAnsi="Calibri"/>
          <w:sz w:val="20"/>
          <w:szCs w:val="20"/>
          <w:lang w:val="en-CA"/>
        </w:rPr>
        <w:t>i.e.</w:t>
      </w:r>
      <w:proofErr w:type="gramEnd"/>
      <w:r w:rsidRPr="00810670">
        <w:rPr>
          <w:rFonts w:ascii="Calibri" w:hAnsi="Calibri"/>
          <w:sz w:val="20"/>
          <w:szCs w:val="20"/>
          <w:lang w:val="en-CA"/>
        </w:rPr>
        <w:t xml:space="preserve"> once a semester (December and July at the latest). It may meet in extraordinary session if necessary. Its main missions are to:</w:t>
      </w:r>
    </w:p>
    <w:p w14:paraId="6505CD46" w14:textId="77777777" w:rsidR="00302BFE" w:rsidRPr="00876A18" w:rsidRDefault="00302BFE" w:rsidP="00C46720">
      <w:pPr>
        <w:pStyle w:val="Paragraphedeliste"/>
        <w:numPr>
          <w:ilvl w:val="0"/>
          <w:numId w:val="30"/>
        </w:numPr>
        <w:ind w:left="714" w:hanging="357"/>
        <w:jc w:val="both"/>
        <w:rPr>
          <w:rFonts w:ascii="Calibri" w:hAnsi="Calibri"/>
          <w:sz w:val="20"/>
          <w:szCs w:val="20"/>
          <w:lang w:val="en-CA"/>
        </w:rPr>
      </w:pPr>
      <w:r w:rsidRPr="00876A18">
        <w:rPr>
          <w:rFonts w:ascii="Calibri" w:hAnsi="Calibri"/>
          <w:sz w:val="20"/>
          <w:szCs w:val="20"/>
          <w:lang w:val="en-CA"/>
        </w:rPr>
        <w:t xml:space="preserve">review and adopt the project implementation </w:t>
      </w:r>
      <w:proofErr w:type="gramStart"/>
      <w:r w:rsidRPr="00876A18">
        <w:rPr>
          <w:rFonts w:ascii="Calibri" w:hAnsi="Calibri"/>
          <w:sz w:val="20"/>
          <w:szCs w:val="20"/>
          <w:lang w:val="en-CA"/>
        </w:rPr>
        <w:t>plan;</w:t>
      </w:r>
      <w:proofErr w:type="gramEnd"/>
    </w:p>
    <w:p w14:paraId="2AA0F3A3" w14:textId="77777777" w:rsidR="00302BFE" w:rsidRPr="00876A18" w:rsidRDefault="00302BFE" w:rsidP="00C46720">
      <w:pPr>
        <w:pStyle w:val="Paragraphedeliste"/>
        <w:numPr>
          <w:ilvl w:val="0"/>
          <w:numId w:val="30"/>
        </w:numPr>
        <w:ind w:left="714" w:hanging="357"/>
        <w:jc w:val="both"/>
        <w:rPr>
          <w:rFonts w:ascii="Calibri" w:hAnsi="Calibri"/>
          <w:sz w:val="20"/>
          <w:szCs w:val="20"/>
          <w:lang w:val="en-CA"/>
        </w:rPr>
      </w:pPr>
      <w:r w:rsidRPr="00876A18">
        <w:rPr>
          <w:rFonts w:ascii="Calibri" w:hAnsi="Calibri"/>
          <w:sz w:val="20"/>
          <w:szCs w:val="20"/>
          <w:lang w:val="en-CA"/>
        </w:rPr>
        <w:t xml:space="preserve">review and adopt the various project evaluation </w:t>
      </w:r>
      <w:proofErr w:type="gramStart"/>
      <w:r w:rsidRPr="00876A18">
        <w:rPr>
          <w:rFonts w:ascii="Calibri" w:hAnsi="Calibri"/>
          <w:sz w:val="20"/>
          <w:szCs w:val="20"/>
          <w:lang w:val="en-CA"/>
        </w:rPr>
        <w:t>reports;</w:t>
      </w:r>
      <w:proofErr w:type="gramEnd"/>
    </w:p>
    <w:p w14:paraId="7BAF7BB1" w14:textId="77777777" w:rsidR="00302BFE" w:rsidRPr="00876A18" w:rsidRDefault="00302BFE" w:rsidP="00C46720">
      <w:pPr>
        <w:pStyle w:val="Paragraphedeliste"/>
        <w:numPr>
          <w:ilvl w:val="0"/>
          <w:numId w:val="30"/>
        </w:numPr>
        <w:ind w:left="714" w:hanging="357"/>
        <w:jc w:val="both"/>
        <w:rPr>
          <w:rFonts w:ascii="Calibri" w:hAnsi="Calibri"/>
          <w:sz w:val="20"/>
          <w:szCs w:val="20"/>
          <w:lang w:val="en-CA"/>
        </w:rPr>
      </w:pPr>
      <w:r w:rsidRPr="00876A18">
        <w:rPr>
          <w:rFonts w:ascii="Calibri" w:hAnsi="Calibri"/>
          <w:sz w:val="20"/>
          <w:szCs w:val="20"/>
          <w:lang w:val="en-CA"/>
        </w:rPr>
        <w:t xml:space="preserve">review and adopt periodic activity and financial </w:t>
      </w:r>
      <w:proofErr w:type="gramStart"/>
      <w:r w:rsidRPr="00876A18">
        <w:rPr>
          <w:rFonts w:ascii="Calibri" w:hAnsi="Calibri"/>
          <w:sz w:val="20"/>
          <w:szCs w:val="20"/>
          <w:lang w:val="en-CA"/>
        </w:rPr>
        <w:t>reports;</w:t>
      </w:r>
      <w:proofErr w:type="gramEnd"/>
    </w:p>
    <w:p w14:paraId="16294072" w14:textId="77777777" w:rsidR="00302BFE" w:rsidRPr="00876A18" w:rsidRDefault="00302BFE" w:rsidP="00C46720">
      <w:pPr>
        <w:pStyle w:val="Paragraphedeliste"/>
        <w:numPr>
          <w:ilvl w:val="0"/>
          <w:numId w:val="30"/>
        </w:numPr>
        <w:ind w:left="714" w:hanging="357"/>
        <w:jc w:val="both"/>
        <w:rPr>
          <w:rFonts w:ascii="Calibri" w:hAnsi="Calibri"/>
          <w:sz w:val="20"/>
          <w:szCs w:val="20"/>
          <w:lang w:val="en-CA"/>
        </w:rPr>
      </w:pPr>
      <w:r w:rsidRPr="00876A18">
        <w:rPr>
          <w:rFonts w:ascii="Calibri" w:hAnsi="Calibri"/>
          <w:sz w:val="20"/>
          <w:szCs w:val="20"/>
          <w:lang w:val="en-CA"/>
        </w:rPr>
        <w:t xml:space="preserve">review and adopt the multiyear workplan, budgets and procurement </w:t>
      </w:r>
      <w:proofErr w:type="gramStart"/>
      <w:r w:rsidRPr="00876A18">
        <w:rPr>
          <w:rFonts w:ascii="Calibri" w:hAnsi="Calibri"/>
          <w:sz w:val="20"/>
          <w:szCs w:val="20"/>
          <w:lang w:val="en-CA"/>
        </w:rPr>
        <w:t>plans;</w:t>
      </w:r>
      <w:proofErr w:type="gramEnd"/>
    </w:p>
    <w:p w14:paraId="479A14BA" w14:textId="77777777" w:rsidR="00302BFE" w:rsidRPr="00876A18" w:rsidRDefault="00302BFE" w:rsidP="00C46720">
      <w:pPr>
        <w:pStyle w:val="Paragraphedeliste"/>
        <w:numPr>
          <w:ilvl w:val="0"/>
          <w:numId w:val="30"/>
        </w:numPr>
        <w:ind w:left="714" w:hanging="357"/>
        <w:jc w:val="both"/>
        <w:rPr>
          <w:rFonts w:ascii="Calibri" w:hAnsi="Calibri"/>
          <w:sz w:val="20"/>
          <w:szCs w:val="20"/>
          <w:lang w:val="en-CA"/>
        </w:rPr>
      </w:pPr>
      <w:r w:rsidRPr="00876A18">
        <w:rPr>
          <w:rFonts w:ascii="Calibri" w:hAnsi="Calibri"/>
          <w:sz w:val="20"/>
          <w:szCs w:val="20"/>
          <w:lang w:val="en-CA"/>
        </w:rPr>
        <w:t xml:space="preserve">review, approve and sign the combined delivery report at the end of the </w:t>
      </w:r>
      <w:proofErr w:type="gramStart"/>
      <w:r w:rsidRPr="00876A18">
        <w:rPr>
          <w:rFonts w:ascii="Calibri" w:hAnsi="Calibri"/>
          <w:sz w:val="20"/>
          <w:szCs w:val="20"/>
          <w:lang w:val="en-CA"/>
        </w:rPr>
        <w:t>year;</w:t>
      </w:r>
      <w:proofErr w:type="gramEnd"/>
    </w:p>
    <w:p w14:paraId="7D1A1010" w14:textId="77777777" w:rsidR="00302BFE" w:rsidRPr="00876A18" w:rsidRDefault="00302BFE" w:rsidP="00C46720">
      <w:pPr>
        <w:pStyle w:val="Paragraphedeliste"/>
        <w:numPr>
          <w:ilvl w:val="0"/>
          <w:numId w:val="30"/>
        </w:numPr>
        <w:ind w:left="714" w:hanging="357"/>
        <w:jc w:val="both"/>
        <w:rPr>
          <w:rFonts w:ascii="Calibri" w:hAnsi="Calibri"/>
          <w:sz w:val="20"/>
          <w:szCs w:val="20"/>
          <w:lang w:val="en-CA"/>
        </w:rPr>
      </w:pPr>
      <w:r w:rsidRPr="00876A18">
        <w:rPr>
          <w:rFonts w:ascii="Calibri" w:hAnsi="Calibri"/>
          <w:sz w:val="20"/>
          <w:szCs w:val="20"/>
          <w:lang w:val="en-CA"/>
        </w:rPr>
        <w:t xml:space="preserve">ensure the implementation of the recommendations of its sessions, evaluation and monitoring missions, projects or programs meetings, portfolio reviews and various </w:t>
      </w:r>
      <w:proofErr w:type="gramStart"/>
      <w:r w:rsidRPr="00876A18">
        <w:rPr>
          <w:rFonts w:ascii="Calibri" w:hAnsi="Calibri"/>
          <w:sz w:val="20"/>
          <w:szCs w:val="20"/>
          <w:lang w:val="en-CA"/>
        </w:rPr>
        <w:t>audits;</w:t>
      </w:r>
      <w:proofErr w:type="gramEnd"/>
    </w:p>
    <w:p w14:paraId="6BE7369D" w14:textId="77777777" w:rsidR="00302BFE" w:rsidRPr="00876A18" w:rsidRDefault="00302BFE" w:rsidP="00C46720">
      <w:pPr>
        <w:pStyle w:val="Paragraphedeliste"/>
        <w:numPr>
          <w:ilvl w:val="0"/>
          <w:numId w:val="30"/>
        </w:numPr>
        <w:ind w:left="714" w:hanging="357"/>
        <w:jc w:val="both"/>
        <w:rPr>
          <w:rFonts w:ascii="Calibri" w:hAnsi="Calibri"/>
          <w:sz w:val="20"/>
          <w:szCs w:val="20"/>
          <w:lang w:val="en-CA"/>
        </w:rPr>
      </w:pPr>
      <w:r w:rsidRPr="00876A18">
        <w:rPr>
          <w:rFonts w:ascii="Calibri" w:hAnsi="Calibri"/>
          <w:sz w:val="20"/>
          <w:szCs w:val="20"/>
          <w:lang w:val="en-CA"/>
        </w:rPr>
        <w:t xml:space="preserve">evaluate the performance of the Budget Program Officer in accordance with his mission </w:t>
      </w:r>
      <w:proofErr w:type="gramStart"/>
      <w:r w:rsidRPr="00876A18">
        <w:rPr>
          <w:rFonts w:ascii="Calibri" w:hAnsi="Calibri"/>
          <w:sz w:val="20"/>
          <w:szCs w:val="20"/>
          <w:lang w:val="en-CA"/>
        </w:rPr>
        <w:t>statement;</w:t>
      </w:r>
      <w:proofErr w:type="gramEnd"/>
    </w:p>
    <w:p w14:paraId="2027082B" w14:textId="77777777" w:rsidR="00302BFE" w:rsidRPr="00876A18" w:rsidRDefault="00302BFE" w:rsidP="00C46720">
      <w:pPr>
        <w:pStyle w:val="Paragraphedeliste"/>
        <w:numPr>
          <w:ilvl w:val="0"/>
          <w:numId w:val="30"/>
        </w:numPr>
        <w:ind w:left="714" w:hanging="357"/>
        <w:jc w:val="both"/>
        <w:rPr>
          <w:rFonts w:ascii="Calibri" w:hAnsi="Calibri"/>
          <w:sz w:val="20"/>
          <w:szCs w:val="20"/>
          <w:lang w:val="en-CA"/>
        </w:rPr>
      </w:pPr>
      <w:r w:rsidRPr="00876A18">
        <w:rPr>
          <w:rFonts w:ascii="Calibri" w:hAnsi="Calibri"/>
          <w:sz w:val="20"/>
          <w:szCs w:val="20"/>
          <w:lang w:val="en-CA"/>
        </w:rPr>
        <w:t xml:space="preserve">make recommendations to the attention of the project coordination and various partners in the project </w:t>
      </w:r>
      <w:proofErr w:type="gramStart"/>
      <w:r w:rsidRPr="00876A18">
        <w:rPr>
          <w:rFonts w:ascii="Calibri" w:hAnsi="Calibri"/>
          <w:sz w:val="20"/>
          <w:szCs w:val="20"/>
          <w:lang w:val="en-CA"/>
        </w:rPr>
        <w:t>life;</w:t>
      </w:r>
      <w:proofErr w:type="gramEnd"/>
    </w:p>
    <w:p w14:paraId="14711917" w14:textId="77777777" w:rsidR="00302BFE" w:rsidRPr="00876A18" w:rsidRDefault="00302BFE" w:rsidP="00C46720">
      <w:pPr>
        <w:pStyle w:val="Paragraphedeliste"/>
        <w:numPr>
          <w:ilvl w:val="0"/>
          <w:numId w:val="30"/>
        </w:numPr>
        <w:ind w:left="714" w:hanging="357"/>
        <w:jc w:val="both"/>
        <w:rPr>
          <w:rFonts w:ascii="Calibri" w:hAnsi="Calibri"/>
          <w:sz w:val="20"/>
          <w:szCs w:val="20"/>
          <w:lang w:val="en-CA"/>
        </w:rPr>
      </w:pPr>
      <w:r w:rsidRPr="00876A18">
        <w:rPr>
          <w:rFonts w:ascii="Calibri" w:hAnsi="Calibri"/>
          <w:sz w:val="20"/>
          <w:szCs w:val="20"/>
          <w:lang w:val="en-CA"/>
        </w:rPr>
        <w:t xml:space="preserve">approve the financial statements of the project and sign the certificate of </w:t>
      </w:r>
      <w:proofErr w:type="gramStart"/>
      <w:r w:rsidRPr="00876A18">
        <w:rPr>
          <w:rFonts w:ascii="Calibri" w:hAnsi="Calibri"/>
          <w:sz w:val="20"/>
          <w:szCs w:val="20"/>
          <w:lang w:val="en-CA"/>
        </w:rPr>
        <w:t>expenditure;</w:t>
      </w:r>
      <w:proofErr w:type="gramEnd"/>
    </w:p>
    <w:p w14:paraId="51DC3510" w14:textId="77777777" w:rsidR="00302BFE" w:rsidRPr="00876A18" w:rsidRDefault="00302BFE" w:rsidP="00C46720">
      <w:pPr>
        <w:pStyle w:val="Paragraphedeliste"/>
        <w:numPr>
          <w:ilvl w:val="0"/>
          <w:numId w:val="30"/>
        </w:numPr>
        <w:ind w:left="714" w:hanging="357"/>
        <w:jc w:val="both"/>
        <w:rPr>
          <w:rFonts w:ascii="Calibri" w:hAnsi="Calibri"/>
          <w:sz w:val="20"/>
          <w:szCs w:val="20"/>
          <w:lang w:val="en-CA"/>
        </w:rPr>
      </w:pPr>
      <w:r w:rsidRPr="00876A18">
        <w:rPr>
          <w:rFonts w:ascii="Calibri" w:hAnsi="Calibri"/>
          <w:sz w:val="20"/>
          <w:szCs w:val="20"/>
          <w:lang w:val="en-CA"/>
        </w:rPr>
        <w:t xml:space="preserve">approve the inventory report of the project </w:t>
      </w:r>
      <w:proofErr w:type="gramStart"/>
      <w:r w:rsidRPr="00876A18">
        <w:rPr>
          <w:rFonts w:ascii="Calibri" w:hAnsi="Calibri"/>
          <w:sz w:val="20"/>
          <w:szCs w:val="20"/>
          <w:lang w:val="en-CA"/>
        </w:rPr>
        <w:t>assets;</w:t>
      </w:r>
      <w:proofErr w:type="gramEnd"/>
    </w:p>
    <w:p w14:paraId="07EC7903" w14:textId="77777777" w:rsidR="00302BFE" w:rsidRPr="00876A18" w:rsidRDefault="00302BFE" w:rsidP="00C46720">
      <w:pPr>
        <w:pStyle w:val="Paragraphedeliste"/>
        <w:numPr>
          <w:ilvl w:val="0"/>
          <w:numId w:val="30"/>
        </w:numPr>
        <w:ind w:left="714" w:hanging="357"/>
        <w:jc w:val="both"/>
        <w:rPr>
          <w:rFonts w:ascii="Calibri" w:hAnsi="Calibri"/>
          <w:sz w:val="20"/>
          <w:szCs w:val="20"/>
          <w:lang w:val="en-CA"/>
        </w:rPr>
      </w:pPr>
      <w:r w:rsidRPr="00876A18">
        <w:rPr>
          <w:rFonts w:ascii="Calibri" w:hAnsi="Calibri"/>
          <w:sz w:val="20"/>
          <w:szCs w:val="20"/>
          <w:lang w:val="en-CA"/>
        </w:rPr>
        <w:t>examine and adopt any file submitted to it.</w:t>
      </w:r>
    </w:p>
    <w:p w14:paraId="15EB2589" w14:textId="77777777" w:rsidR="00302BFE" w:rsidRPr="00810670" w:rsidRDefault="00302BFE" w:rsidP="00C46720">
      <w:pPr>
        <w:pStyle w:val="Paragraphedeliste"/>
        <w:numPr>
          <w:ilvl w:val="0"/>
          <w:numId w:val="14"/>
        </w:numPr>
        <w:tabs>
          <w:tab w:val="left" w:pos="284"/>
        </w:tabs>
        <w:spacing w:before="120" w:after="120"/>
        <w:ind w:left="0" w:firstLine="0"/>
        <w:jc w:val="both"/>
        <w:rPr>
          <w:rFonts w:ascii="Calibri" w:hAnsi="Calibri" w:cs="Calibri"/>
          <w:sz w:val="20"/>
          <w:szCs w:val="20"/>
          <w:u w:val="single"/>
        </w:rPr>
      </w:pPr>
      <w:r w:rsidRPr="005B1365">
        <w:rPr>
          <w:rFonts w:ascii="Calibri" w:hAnsi="Calibri"/>
          <w:sz w:val="20"/>
          <w:szCs w:val="20"/>
          <w:lang w:val="en-CA"/>
        </w:rPr>
        <w:t xml:space="preserve">The implementation of the project requires ongoing consultation with all stakeholders to ensure the effectiveness of strategies and the </w:t>
      </w:r>
      <w:r w:rsidRPr="00810670">
        <w:rPr>
          <w:rFonts w:ascii="Calibri" w:hAnsi="Calibri"/>
          <w:sz w:val="20"/>
          <w:szCs w:val="20"/>
          <w:lang w:val="en-CA"/>
        </w:rPr>
        <w:t xml:space="preserve">relevance of technical and financial means to implement to achieve the intended results. </w:t>
      </w:r>
      <w:proofErr w:type="gramStart"/>
      <w:r w:rsidRPr="00810670">
        <w:rPr>
          <w:rFonts w:ascii="Calibri" w:hAnsi="Calibri"/>
          <w:sz w:val="20"/>
          <w:szCs w:val="20"/>
          <w:lang w:val="en-CA"/>
        </w:rPr>
        <w:t>In order to</w:t>
      </w:r>
      <w:proofErr w:type="gramEnd"/>
      <w:r w:rsidRPr="00810670">
        <w:rPr>
          <w:rFonts w:ascii="Calibri" w:hAnsi="Calibri"/>
          <w:sz w:val="20"/>
          <w:szCs w:val="20"/>
          <w:lang w:val="en-CA"/>
        </w:rPr>
        <w:t xml:space="preserve"> ensure this consultation and the active participation of all key stakeholders (Beneficiaries, Executive, Suppliers), a "Consultation </w:t>
      </w:r>
      <w:r w:rsidR="006E6BBB">
        <w:rPr>
          <w:rFonts w:ascii="Calibri" w:hAnsi="Calibri"/>
          <w:sz w:val="20"/>
          <w:szCs w:val="20"/>
          <w:lang w:val="en-CA"/>
        </w:rPr>
        <w:t>and</w:t>
      </w:r>
      <w:r w:rsidRPr="00810670">
        <w:rPr>
          <w:rFonts w:ascii="Calibri" w:hAnsi="Calibri"/>
          <w:sz w:val="20"/>
          <w:szCs w:val="20"/>
          <w:lang w:val="en-CA"/>
        </w:rPr>
        <w:t xml:space="preserve"> Dialogue framework" will be set up as part of the management of this project, which will involve the representatives of the various stakeholders concerned. The role of this </w:t>
      </w:r>
      <w:r w:rsidR="006E6BBB">
        <w:rPr>
          <w:rFonts w:ascii="Calibri" w:hAnsi="Calibri"/>
          <w:sz w:val="20"/>
          <w:szCs w:val="20"/>
          <w:lang w:val="en-CA"/>
        </w:rPr>
        <w:t>C</w:t>
      </w:r>
      <w:r w:rsidRPr="00810670">
        <w:rPr>
          <w:rFonts w:ascii="Calibri" w:hAnsi="Calibri"/>
          <w:sz w:val="20"/>
          <w:szCs w:val="20"/>
          <w:lang w:val="en-CA"/>
        </w:rPr>
        <w:t>onsultation or Dialogue framework will be to contribute to the review of the implementation of the project and to suggest directions for the optimal achievement of the expected results. The reflections and contributions of this consultation /dialogue framework will also help to prepare sufficiently "objective" activity reports to be made available to the MEGECC Budget Program Manager “Environmental Governance and Sustainable Development”. This arrangement will not only facilitate the monitoring of the project by the budget program manager but will also enable him to better prepare his participation in the Review Committee sessions instituted under the program and project regulation.</w:t>
      </w:r>
    </w:p>
    <w:p w14:paraId="790BAA25" w14:textId="77777777" w:rsidR="00302BFE" w:rsidRPr="00810670" w:rsidRDefault="00302BFE" w:rsidP="00C46720">
      <w:pPr>
        <w:pStyle w:val="Paragraphedeliste"/>
        <w:numPr>
          <w:ilvl w:val="0"/>
          <w:numId w:val="14"/>
        </w:numPr>
        <w:tabs>
          <w:tab w:val="left" w:pos="284"/>
        </w:tabs>
        <w:spacing w:before="120"/>
        <w:ind w:left="0" w:firstLine="0"/>
        <w:jc w:val="both"/>
        <w:rPr>
          <w:rFonts w:ascii="Calibri" w:hAnsi="Calibri" w:cs="Calibri"/>
          <w:sz w:val="20"/>
          <w:szCs w:val="20"/>
          <w:u w:val="single"/>
        </w:rPr>
      </w:pPr>
      <w:r w:rsidRPr="00810670">
        <w:rPr>
          <w:rFonts w:ascii="Calibri" w:hAnsi="Calibri"/>
          <w:sz w:val="20"/>
          <w:szCs w:val="20"/>
          <w:lang w:val="en-CA"/>
        </w:rPr>
        <w:t>The operational mechanism of the project will be organized around the following organs:</w:t>
      </w:r>
    </w:p>
    <w:p w14:paraId="4F8B422E" w14:textId="77777777" w:rsidR="00302BFE" w:rsidRPr="00810670" w:rsidRDefault="00302BFE" w:rsidP="00C46720">
      <w:pPr>
        <w:pStyle w:val="Paragraphedeliste"/>
        <w:numPr>
          <w:ilvl w:val="0"/>
          <w:numId w:val="29"/>
        </w:numPr>
        <w:ind w:left="714" w:hanging="357"/>
        <w:jc w:val="both"/>
        <w:rPr>
          <w:rFonts w:ascii="Calibri" w:hAnsi="Calibri"/>
          <w:sz w:val="20"/>
          <w:szCs w:val="20"/>
          <w:lang w:val="en-CA"/>
        </w:rPr>
      </w:pPr>
      <w:r w:rsidRPr="00810670">
        <w:rPr>
          <w:rFonts w:ascii="Calibri" w:hAnsi="Calibri"/>
          <w:sz w:val="20"/>
          <w:szCs w:val="20"/>
          <w:lang w:val="en-CA"/>
        </w:rPr>
        <w:t>The consultation framework or dialogue framework,</w:t>
      </w:r>
    </w:p>
    <w:p w14:paraId="2C76B88D" w14:textId="77777777" w:rsidR="00302BFE" w:rsidRPr="005B1365" w:rsidRDefault="00302BFE" w:rsidP="00C46720">
      <w:pPr>
        <w:pStyle w:val="Paragraphedeliste"/>
        <w:numPr>
          <w:ilvl w:val="0"/>
          <w:numId w:val="29"/>
        </w:numPr>
        <w:ind w:left="714" w:hanging="357"/>
        <w:jc w:val="both"/>
        <w:rPr>
          <w:rFonts w:ascii="Calibri" w:hAnsi="Calibri"/>
          <w:sz w:val="20"/>
          <w:szCs w:val="20"/>
          <w:lang w:val="en-CA"/>
        </w:rPr>
      </w:pPr>
      <w:r w:rsidRPr="005B1365">
        <w:rPr>
          <w:rFonts w:ascii="Calibri" w:hAnsi="Calibri"/>
          <w:sz w:val="20"/>
          <w:szCs w:val="20"/>
          <w:lang w:val="en-CA"/>
        </w:rPr>
        <w:t>The coordination of the project.</w:t>
      </w:r>
    </w:p>
    <w:p w14:paraId="6192CAE5" w14:textId="77777777" w:rsidR="00302BFE" w:rsidRPr="00810670" w:rsidRDefault="00302BFE" w:rsidP="00302BFE">
      <w:pPr>
        <w:spacing w:before="120" w:after="120"/>
        <w:rPr>
          <w:b/>
          <w:bCs/>
          <w:szCs w:val="20"/>
          <w:lang w:val="en-CA"/>
        </w:rPr>
      </w:pPr>
      <w:r w:rsidRPr="005B1365">
        <w:rPr>
          <w:b/>
          <w:bCs/>
          <w:szCs w:val="20"/>
          <w:lang w:val="en-CA"/>
        </w:rPr>
        <w:t xml:space="preserve">The </w:t>
      </w:r>
      <w:r w:rsidRPr="005B1365">
        <w:rPr>
          <w:rFonts w:cs="Arial"/>
          <w:b/>
          <w:noProof/>
          <w:szCs w:val="20"/>
          <w:lang w:eastAsia="zh-CN"/>
        </w:rPr>
        <w:t xml:space="preserve">Project </w:t>
      </w:r>
      <w:r w:rsidRPr="005B1365">
        <w:rPr>
          <w:b/>
          <w:bCs/>
          <w:szCs w:val="20"/>
          <w:lang w:val="en-CA"/>
        </w:rPr>
        <w:t xml:space="preserve">Consultation </w:t>
      </w:r>
      <w:r w:rsidR="006E6BBB">
        <w:rPr>
          <w:b/>
          <w:szCs w:val="20"/>
          <w:lang w:val="en-CA"/>
        </w:rPr>
        <w:t>/</w:t>
      </w:r>
      <w:r w:rsidRPr="00810670">
        <w:rPr>
          <w:b/>
          <w:szCs w:val="20"/>
          <w:lang w:val="en-CA"/>
        </w:rPr>
        <w:t xml:space="preserve"> Dialogue framework</w:t>
      </w:r>
      <w:r>
        <w:rPr>
          <w:b/>
          <w:szCs w:val="20"/>
          <w:lang w:val="en-CA"/>
        </w:rPr>
        <w:t xml:space="preserve"> </w:t>
      </w:r>
      <w:r w:rsidRPr="00810670">
        <w:rPr>
          <w:szCs w:val="20"/>
          <w:lang w:val="en-CA"/>
        </w:rPr>
        <w:t>(previously called Project Board or Project Steering Committee)</w:t>
      </w:r>
    </w:p>
    <w:p w14:paraId="577E8C94" w14:textId="77777777" w:rsidR="00302BFE" w:rsidRPr="00810670"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proofErr w:type="gramStart"/>
      <w:r w:rsidRPr="00810670">
        <w:rPr>
          <w:rFonts w:ascii="Calibri" w:hAnsi="Calibri"/>
          <w:sz w:val="20"/>
          <w:szCs w:val="20"/>
          <w:lang w:val="en-CA"/>
        </w:rPr>
        <w:t>In order to</w:t>
      </w:r>
      <w:proofErr w:type="gramEnd"/>
      <w:r w:rsidRPr="00810670">
        <w:rPr>
          <w:rFonts w:ascii="Calibri" w:hAnsi="Calibri"/>
          <w:sz w:val="20"/>
          <w:szCs w:val="20"/>
          <w:lang w:val="en-CA"/>
        </w:rPr>
        <w:t xml:space="preserve"> ensure UNDP’s ultimate accountability, Project Consultation/Dialogue Framework’s decisions should be made in accordance with standards that shall ensure management for development results, best value money, fairness, integrity, transparency and effective international competition. In case a consensus cannot be reached within the Board, final decision shall rest with the UNDP Programme Manager. </w:t>
      </w:r>
    </w:p>
    <w:p w14:paraId="2CE3FE5B" w14:textId="77777777" w:rsidR="00302BFE" w:rsidRPr="00816870"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10670">
        <w:rPr>
          <w:rFonts w:ascii="Calibri" w:hAnsi="Calibri"/>
          <w:sz w:val="20"/>
          <w:szCs w:val="20"/>
          <w:lang w:val="en-CA"/>
        </w:rPr>
        <w:t xml:space="preserve">The Project Consultation Framework or Dialogue framework (previously called Project Board or Project Steering Committee) is responsible for making </w:t>
      </w:r>
      <w:r w:rsidR="006E6BBB" w:rsidRPr="00810670">
        <w:rPr>
          <w:rFonts w:ascii="Calibri" w:hAnsi="Calibri"/>
          <w:sz w:val="20"/>
          <w:szCs w:val="20"/>
          <w:lang w:val="en-CA"/>
        </w:rPr>
        <w:t xml:space="preserve">management decisions </w:t>
      </w:r>
      <w:r w:rsidRPr="00810670">
        <w:rPr>
          <w:rFonts w:ascii="Calibri" w:hAnsi="Calibri"/>
          <w:sz w:val="20"/>
          <w:szCs w:val="20"/>
          <w:lang w:val="en-CA"/>
        </w:rPr>
        <w:t>by consensus, when guidance is required by the Project Manager, including recommendations for approval of project</w:t>
      </w:r>
      <w:r w:rsidRPr="005B1365">
        <w:rPr>
          <w:rFonts w:ascii="Calibri" w:hAnsi="Calibri"/>
          <w:sz w:val="20"/>
          <w:szCs w:val="20"/>
          <w:lang w:val="en-CA"/>
        </w:rPr>
        <w:t xml:space="preserve"> plans and revisions, and addressing any project level grievances. The </w:t>
      </w:r>
      <w:r>
        <w:rPr>
          <w:rFonts w:ascii="Calibri" w:hAnsi="Calibri"/>
          <w:sz w:val="20"/>
          <w:szCs w:val="20"/>
          <w:lang w:val="en-CA"/>
        </w:rPr>
        <w:t>Project Consultation/Dialogue Framework</w:t>
      </w:r>
      <w:r w:rsidRPr="005B1365">
        <w:rPr>
          <w:rFonts w:ascii="Calibri" w:hAnsi="Calibri"/>
          <w:sz w:val="20"/>
          <w:szCs w:val="20"/>
          <w:lang w:val="en-CA"/>
        </w:rPr>
        <w:t xml:space="preserve"> will contribute to the implementation of the project through the review of results and activities. It will formulate suggestions and directions for the optimal achievement of the expected results. To this end, the main responsibilities of the </w:t>
      </w:r>
      <w:r>
        <w:rPr>
          <w:rFonts w:ascii="Calibri" w:hAnsi="Calibri"/>
          <w:sz w:val="20"/>
          <w:szCs w:val="20"/>
          <w:lang w:val="en-CA"/>
        </w:rPr>
        <w:t>Project Consultation/Dialogue Framework</w:t>
      </w:r>
      <w:r w:rsidRPr="005B1365">
        <w:rPr>
          <w:rFonts w:ascii="Calibri" w:hAnsi="Calibri"/>
          <w:sz w:val="20"/>
          <w:szCs w:val="20"/>
          <w:lang w:val="en-CA"/>
        </w:rPr>
        <w:t xml:space="preserve"> will be to:</w:t>
      </w:r>
    </w:p>
    <w:p w14:paraId="41A1B4D0" w14:textId="77777777" w:rsidR="00302BFE" w:rsidRPr="005B1365" w:rsidRDefault="00302BFE" w:rsidP="00C46720">
      <w:pPr>
        <w:pStyle w:val="Paragraphedeliste"/>
        <w:numPr>
          <w:ilvl w:val="0"/>
          <w:numId w:val="30"/>
        </w:numPr>
        <w:ind w:left="714" w:hanging="357"/>
        <w:jc w:val="both"/>
        <w:rPr>
          <w:rFonts w:ascii="Calibri" w:hAnsi="Calibri"/>
          <w:sz w:val="20"/>
          <w:szCs w:val="20"/>
          <w:lang w:val="en-CA"/>
        </w:rPr>
      </w:pPr>
      <w:r w:rsidRPr="005B1365">
        <w:rPr>
          <w:rFonts w:ascii="Calibri" w:hAnsi="Calibri"/>
          <w:sz w:val="20"/>
          <w:szCs w:val="20"/>
          <w:lang w:val="en-CA"/>
        </w:rPr>
        <w:t>review the project implementation plan,</w:t>
      </w:r>
    </w:p>
    <w:p w14:paraId="73A25B89" w14:textId="77777777" w:rsidR="00302BFE" w:rsidRPr="005B1365" w:rsidRDefault="00302BFE" w:rsidP="00C46720">
      <w:pPr>
        <w:pStyle w:val="Paragraphedeliste"/>
        <w:numPr>
          <w:ilvl w:val="0"/>
          <w:numId w:val="30"/>
        </w:numPr>
        <w:ind w:left="714" w:hanging="357"/>
        <w:jc w:val="both"/>
        <w:rPr>
          <w:rFonts w:ascii="Calibri" w:hAnsi="Calibri"/>
          <w:sz w:val="20"/>
          <w:szCs w:val="20"/>
          <w:lang w:val="en-CA"/>
        </w:rPr>
      </w:pPr>
      <w:r w:rsidRPr="005B1365">
        <w:rPr>
          <w:rFonts w:ascii="Calibri" w:hAnsi="Calibri"/>
          <w:sz w:val="20"/>
          <w:szCs w:val="20"/>
          <w:lang w:val="en-CA"/>
        </w:rPr>
        <w:t>examine the various project evaluation reports,</w:t>
      </w:r>
    </w:p>
    <w:p w14:paraId="369E9E04" w14:textId="77777777" w:rsidR="00302BFE" w:rsidRPr="005B1365" w:rsidRDefault="00302BFE" w:rsidP="00C46720">
      <w:pPr>
        <w:pStyle w:val="Paragraphedeliste"/>
        <w:numPr>
          <w:ilvl w:val="0"/>
          <w:numId w:val="30"/>
        </w:numPr>
        <w:ind w:left="714" w:hanging="357"/>
        <w:jc w:val="both"/>
        <w:rPr>
          <w:rFonts w:ascii="Calibri" w:hAnsi="Calibri"/>
          <w:sz w:val="20"/>
          <w:szCs w:val="20"/>
          <w:lang w:val="en-CA"/>
        </w:rPr>
      </w:pPr>
      <w:r w:rsidRPr="005B1365">
        <w:rPr>
          <w:rFonts w:ascii="Calibri" w:hAnsi="Calibri"/>
          <w:sz w:val="20"/>
          <w:szCs w:val="20"/>
          <w:lang w:val="en-CA"/>
        </w:rPr>
        <w:t>review periodic activity and financial reports</w:t>
      </w:r>
    </w:p>
    <w:p w14:paraId="7E20D40B" w14:textId="77777777" w:rsidR="00302BFE" w:rsidRPr="005B1365" w:rsidRDefault="00302BFE" w:rsidP="00C46720">
      <w:pPr>
        <w:pStyle w:val="Paragraphedeliste"/>
        <w:numPr>
          <w:ilvl w:val="0"/>
          <w:numId w:val="30"/>
        </w:numPr>
        <w:ind w:left="714" w:hanging="357"/>
        <w:jc w:val="both"/>
        <w:rPr>
          <w:rFonts w:ascii="Calibri" w:hAnsi="Calibri"/>
          <w:sz w:val="20"/>
          <w:szCs w:val="20"/>
          <w:lang w:val="en-CA"/>
        </w:rPr>
      </w:pPr>
      <w:r w:rsidRPr="005B1365">
        <w:rPr>
          <w:rFonts w:ascii="Calibri" w:hAnsi="Calibri"/>
          <w:sz w:val="20"/>
          <w:szCs w:val="20"/>
          <w:lang w:val="en-CA"/>
        </w:rPr>
        <w:t xml:space="preserve">review the annual program of activities, the </w:t>
      </w:r>
      <w:proofErr w:type="gramStart"/>
      <w:r w:rsidRPr="005B1365">
        <w:rPr>
          <w:rFonts w:ascii="Calibri" w:hAnsi="Calibri"/>
          <w:sz w:val="20"/>
          <w:szCs w:val="20"/>
          <w:lang w:val="en-CA"/>
        </w:rPr>
        <w:t>budget</w:t>
      </w:r>
      <w:proofErr w:type="gramEnd"/>
      <w:r w:rsidRPr="005B1365">
        <w:rPr>
          <w:rFonts w:ascii="Calibri" w:hAnsi="Calibri"/>
          <w:sz w:val="20"/>
          <w:szCs w:val="20"/>
          <w:lang w:val="en-CA"/>
        </w:rPr>
        <w:t xml:space="preserve"> and the procurement plan</w:t>
      </w:r>
    </w:p>
    <w:p w14:paraId="4C73ACF8" w14:textId="77777777" w:rsidR="00302BFE" w:rsidRPr="005B1365" w:rsidRDefault="00302BFE" w:rsidP="00C46720">
      <w:pPr>
        <w:pStyle w:val="Paragraphedeliste"/>
        <w:numPr>
          <w:ilvl w:val="0"/>
          <w:numId w:val="30"/>
        </w:numPr>
        <w:ind w:left="714" w:hanging="357"/>
        <w:jc w:val="both"/>
        <w:rPr>
          <w:rFonts w:ascii="Calibri" w:hAnsi="Calibri"/>
          <w:sz w:val="20"/>
          <w:szCs w:val="20"/>
          <w:lang w:val="en-CA"/>
        </w:rPr>
      </w:pPr>
      <w:r w:rsidRPr="005B1365">
        <w:rPr>
          <w:rFonts w:ascii="Calibri" w:hAnsi="Calibri"/>
          <w:sz w:val="20"/>
          <w:szCs w:val="20"/>
          <w:lang w:val="en-CA"/>
        </w:rPr>
        <w:t>ensure the implementation of the recommendations of the Review Committee, supervision and monitoring missions and various audits</w:t>
      </w:r>
    </w:p>
    <w:p w14:paraId="0CBF936B" w14:textId="77777777" w:rsidR="00302BFE" w:rsidRPr="005B1365" w:rsidRDefault="00302BFE" w:rsidP="00C46720">
      <w:pPr>
        <w:pStyle w:val="Paragraphedeliste"/>
        <w:numPr>
          <w:ilvl w:val="0"/>
          <w:numId w:val="30"/>
        </w:numPr>
        <w:ind w:left="714" w:hanging="357"/>
        <w:jc w:val="both"/>
        <w:rPr>
          <w:rFonts w:ascii="Calibri" w:hAnsi="Calibri"/>
          <w:sz w:val="20"/>
          <w:szCs w:val="20"/>
          <w:lang w:val="en-CA"/>
        </w:rPr>
      </w:pPr>
      <w:r w:rsidRPr="005B1365">
        <w:rPr>
          <w:rFonts w:ascii="Calibri" w:hAnsi="Calibri"/>
          <w:sz w:val="20"/>
          <w:szCs w:val="20"/>
          <w:lang w:val="en-CA"/>
        </w:rPr>
        <w:t>make recommendations to the attention of the project coordinator and the various actors involved in the life of the project</w:t>
      </w:r>
    </w:p>
    <w:p w14:paraId="2C8723DF" w14:textId="77777777" w:rsidR="00302BFE" w:rsidRPr="005B1365" w:rsidRDefault="00302BFE" w:rsidP="00C46720">
      <w:pPr>
        <w:pStyle w:val="Paragraphedeliste"/>
        <w:numPr>
          <w:ilvl w:val="0"/>
          <w:numId w:val="30"/>
        </w:numPr>
        <w:spacing w:after="120"/>
        <w:ind w:left="714" w:hanging="357"/>
        <w:jc w:val="both"/>
        <w:rPr>
          <w:rFonts w:ascii="Calibri" w:hAnsi="Calibri"/>
          <w:sz w:val="20"/>
          <w:szCs w:val="20"/>
          <w:lang w:val="en-CA"/>
        </w:rPr>
      </w:pPr>
      <w:r w:rsidRPr="005B1365">
        <w:rPr>
          <w:rFonts w:ascii="Calibri" w:hAnsi="Calibri"/>
          <w:sz w:val="20"/>
          <w:szCs w:val="20"/>
          <w:lang w:val="en-CA"/>
        </w:rPr>
        <w:t>examine any file submitted to it.</w:t>
      </w:r>
    </w:p>
    <w:p w14:paraId="5777FE19" w14:textId="77777777" w:rsidR="00302BFE" w:rsidRPr="005B1365"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proofErr w:type="gramStart"/>
      <w:r w:rsidRPr="005B1365">
        <w:rPr>
          <w:rFonts w:ascii="Calibri" w:hAnsi="Calibri"/>
          <w:sz w:val="20"/>
          <w:szCs w:val="20"/>
          <w:lang w:val="en-CA"/>
        </w:rPr>
        <w:t>In order to</w:t>
      </w:r>
      <w:proofErr w:type="gramEnd"/>
      <w:r w:rsidRPr="005B1365">
        <w:rPr>
          <w:rFonts w:ascii="Calibri" w:hAnsi="Calibri"/>
          <w:sz w:val="20"/>
          <w:szCs w:val="20"/>
          <w:lang w:val="en-CA"/>
        </w:rPr>
        <w:t xml:space="preserve"> ensure ultimate accountability of UNDP, the decisions of the project's consultative framework should be </w:t>
      </w:r>
      <w:r>
        <w:rPr>
          <w:rFonts w:ascii="Calibri" w:hAnsi="Calibri"/>
          <w:sz w:val="20"/>
          <w:szCs w:val="20"/>
          <w:lang w:val="en-CA"/>
        </w:rPr>
        <w:t>made in accordance</w:t>
      </w:r>
      <w:r w:rsidRPr="005B1365">
        <w:rPr>
          <w:rFonts w:ascii="Calibri" w:hAnsi="Calibri"/>
          <w:sz w:val="20"/>
          <w:szCs w:val="20"/>
          <w:lang w:val="en-CA"/>
        </w:rPr>
        <w:t xml:space="preserve"> with standards that </w:t>
      </w:r>
      <w:r>
        <w:rPr>
          <w:rFonts w:ascii="Calibri" w:hAnsi="Calibri"/>
          <w:sz w:val="20"/>
          <w:szCs w:val="20"/>
          <w:lang w:val="en-CA"/>
        </w:rPr>
        <w:t>shall ensure</w:t>
      </w:r>
      <w:r w:rsidRPr="005B1365">
        <w:rPr>
          <w:rFonts w:ascii="Calibri" w:hAnsi="Calibri"/>
          <w:sz w:val="20"/>
          <w:szCs w:val="20"/>
          <w:lang w:val="en-CA"/>
        </w:rPr>
        <w:t xml:space="preserve"> management of development results, be</w:t>
      </w:r>
      <w:r>
        <w:rPr>
          <w:rFonts w:ascii="Calibri" w:hAnsi="Calibri"/>
          <w:sz w:val="20"/>
          <w:szCs w:val="20"/>
          <w:lang w:val="en-CA"/>
        </w:rPr>
        <w:t>st value money</w:t>
      </w:r>
      <w:r w:rsidRPr="005B1365">
        <w:rPr>
          <w:rFonts w:ascii="Calibri" w:hAnsi="Calibri"/>
          <w:sz w:val="20"/>
          <w:szCs w:val="20"/>
          <w:lang w:val="en-CA"/>
        </w:rPr>
        <w:t xml:space="preserve">, </w:t>
      </w:r>
      <w:r>
        <w:rPr>
          <w:rFonts w:ascii="Calibri" w:hAnsi="Calibri"/>
          <w:sz w:val="20"/>
          <w:szCs w:val="20"/>
          <w:lang w:val="en-CA"/>
        </w:rPr>
        <w:t xml:space="preserve">fairness, </w:t>
      </w:r>
      <w:r w:rsidRPr="005B1365">
        <w:rPr>
          <w:rFonts w:ascii="Calibri" w:hAnsi="Calibri"/>
          <w:sz w:val="20"/>
          <w:szCs w:val="20"/>
          <w:lang w:val="en-CA"/>
        </w:rPr>
        <w:t xml:space="preserve">integrity, transparency </w:t>
      </w:r>
      <w:r w:rsidRPr="005B1365">
        <w:rPr>
          <w:rFonts w:ascii="Calibri" w:hAnsi="Calibri"/>
          <w:sz w:val="20"/>
          <w:szCs w:val="20"/>
          <w:lang w:val="en-CA"/>
        </w:rPr>
        <w:lastRenderedPageBreak/>
        <w:t xml:space="preserve">and effective international competition. In </w:t>
      </w:r>
      <w:r>
        <w:rPr>
          <w:rFonts w:ascii="Calibri" w:hAnsi="Calibri"/>
          <w:sz w:val="20"/>
          <w:szCs w:val="20"/>
          <w:lang w:val="en-CA"/>
        </w:rPr>
        <w:t>case a</w:t>
      </w:r>
      <w:r w:rsidRPr="005B1365">
        <w:rPr>
          <w:rFonts w:ascii="Calibri" w:hAnsi="Calibri"/>
          <w:sz w:val="20"/>
          <w:szCs w:val="20"/>
          <w:lang w:val="en-CA"/>
        </w:rPr>
        <w:t xml:space="preserve"> consensus can</w:t>
      </w:r>
      <w:r>
        <w:rPr>
          <w:rFonts w:ascii="Calibri" w:hAnsi="Calibri"/>
          <w:sz w:val="20"/>
          <w:szCs w:val="20"/>
          <w:lang w:val="en-CA"/>
        </w:rPr>
        <w:t>not</w:t>
      </w:r>
      <w:r w:rsidRPr="005B1365">
        <w:rPr>
          <w:rFonts w:ascii="Calibri" w:hAnsi="Calibri"/>
          <w:sz w:val="20"/>
          <w:szCs w:val="20"/>
          <w:lang w:val="en-CA"/>
        </w:rPr>
        <w:t xml:space="preserve"> be reached within the </w:t>
      </w:r>
      <w:r>
        <w:rPr>
          <w:rFonts w:ascii="Calibri" w:hAnsi="Calibri"/>
          <w:sz w:val="20"/>
          <w:szCs w:val="20"/>
          <w:lang w:val="en-CA"/>
        </w:rPr>
        <w:t>Consultation Framework</w:t>
      </w:r>
      <w:r w:rsidRPr="005B1365">
        <w:rPr>
          <w:rFonts w:ascii="Calibri" w:hAnsi="Calibri"/>
          <w:sz w:val="20"/>
          <w:szCs w:val="20"/>
          <w:lang w:val="en-CA"/>
        </w:rPr>
        <w:t xml:space="preserve">, final decision </w:t>
      </w:r>
      <w:r>
        <w:rPr>
          <w:rFonts w:ascii="Calibri" w:hAnsi="Calibri"/>
          <w:sz w:val="20"/>
          <w:szCs w:val="20"/>
          <w:lang w:val="en-CA"/>
        </w:rPr>
        <w:t>shall rest with</w:t>
      </w:r>
      <w:r w:rsidRPr="005B1365">
        <w:rPr>
          <w:rFonts w:ascii="Calibri" w:hAnsi="Calibri"/>
          <w:sz w:val="20"/>
          <w:szCs w:val="20"/>
          <w:lang w:val="en-CA"/>
        </w:rPr>
        <w:t xml:space="preserve"> the UNDP Program Manager.</w:t>
      </w:r>
    </w:p>
    <w:p w14:paraId="315BE7FD" w14:textId="77777777" w:rsidR="00302BFE" w:rsidRPr="00816870"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16870">
        <w:rPr>
          <w:rFonts w:ascii="Calibri" w:hAnsi="Calibri"/>
          <w:sz w:val="20"/>
          <w:szCs w:val="20"/>
          <w:lang w:val="en-CA"/>
        </w:rPr>
        <w:t>To enable it to fulfill its missions, the composition and operation of the Consultation Framework are as follows:</w:t>
      </w:r>
    </w:p>
    <w:p w14:paraId="2DDFA5C2" w14:textId="77777777" w:rsidR="00302BFE" w:rsidRPr="00810670" w:rsidRDefault="00302BFE" w:rsidP="00302BFE">
      <w:pPr>
        <w:spacing w:before="120" w:after="120"/>
        <w:ind w:left="720"/>
        <w:rPr>
          <w:color w:val="4472C4"/>
          <w:szCs w:val="20"/>
          <w:lang w:val="en-CA"/>
        </w:rPr>
      </w:pPr>
      <w:r w:rsidRPr="00810670">
        <w:rPr>
          <w:color w:val="4472C4"/>
          <w:szCs w:val="20"/>
          <w:lang w:val="en-CA"/>
        </w:rPr>
        <w:t>Membership of the Consultation Framework or Dialogue Framework</w:t>
      </w:r>
    </w:p>
    <w:p w14:paraId="77E6DCF0" w14:textId="77777777" w:rsidR="00302BFE" w:rsidRPr="00810670"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10670">
        <w:rPr>
          <w:rFonts w:ascii="Calibri" w:hAnsi="Calibri"/>
          <w:sz w:val="20"/>
          <w:szCs w:val="20"/>
          <w:lang w:val="en-CA"/>
        </w:rPr>
        <w:t>The Dialogue Framework is composed as follows:</w:t>
      </w:r>
    </w:p>
    <w:p w14:paraId="6EB6DEBE" w14:textId="22EE2492" w:rsidR="00302BFE" w:rsidRPr="00AB47BD" w:rsidRDefault="00302BFE" w:rsidP="00302BFE">
      <w:pPr>
        <w:spacing w:before="120" w:after="120"/>
        <w:rPr>
          <w:szCs w:val="20"/>
          <w:lang w:val="fr-FR"/>
        </w:rPr>
      </w:pPr>
      <w:proofErr w:type="spellStart"/>
      <w:proofErr w:type="gramStart"/>
      <w:r w:rsidRPr="00AB47BD">
        <w:rPr>
          <w:szCs w:val="20"/>
          <w:u w:val="single"/>
          <w:lang w:val="fr-FR"/>
        </w:rPr>
        <w:t>President</w:t>
      </w:r>
      <w:proofErr w:type="spellEnd"/>
      <w:r w:rsidRPr="00AB47BD">
        <w:rPr>
          <w:szCs w:val="20"/>
          <w:lang w:val="fr-FR"/>
        </w:rPr>
        <w:t>:</w:t>
      </w:r>
      <w:proofErr w:type="gramEnd"/>
      <w:r w:rsidRPr="00AB47BD">
        <w:rPr>
          <w:szCs w:val="20"/>
          <w:lang w:val="fr-FR"/>
        </w:rPr>
        <w:t xml:space="preserve"> The </w:t>
      </w:r>
      <w:proofErr w:type="spellStart"/>
      <w:r w:rsidRPr="00AB47BD">
        <w:rPr>
          <w:szCs w:val="20"/>
          <w:lang w:val="fr-FR"/>
        </w:rPr>
        <w:t>representative</w:t>
      </w:r>
      <w:proofErr w:type="spellEnd"/>
      <w:r w:rsidRPr="00AB47BD">
        <w:rPr>
          <w:szCs w:val="20"/>
          <w:lang w:val="fr-FR"/>
        </w:rPr>
        <w:t xml:space="preserve"> of the </w:t>
      </w:r>
      <w:proofErr w:type="spellStart"/>
      <w:r w:rsidR="00806DBD" w:rsidRPr="00AB47BD">
        <w:rPr>
          <w:szCs w:val="20"/>
          <w:lang w:val="fr-FR"/>
        </w:rPr>
        <w:t>Ministere</w:t>
      </w:r>
      <w:proofErr w:type="spellEnd"/>
      <w:r w:rsidR="00806DBD" w:rsidRPr="00AB47BD">
        <w:rPr>
          <w:szCs w:val="20"/>
          <w:lang w:val="fr-FR"/>
        </w:rPr>
        <w:t xml:space="preserve"> de l’environnement, de l’eau et de </w:t>
      </w:r>
      <w:proofErr w:type="spellStart"/>
      <w:r w:rsidR="00806DBD" w:rsidRPr="00AB47BD">
        <w:rPr>
          <w:szCs w:val="20"/>
          <w:lang w:val="fr-FR"/>
        </w:rPr>
        <w:t>l”Assainissement</w:t>
      </w:r>
      <w:proofErr w:type="spellEnd"/>
    </w:p>
    <w:p w14:paraId="788C0D17" w14:textId="77777777" w:rsidR="00302BFE" w:rsidRPr="00810670" w:rsidRDefault="00302BFE" w:rsidP="00302BFE">
      <w:pPr>
        <w:spacing w:before="120" w:after="120"/>
        <w:rPr>
          <w:szCs w:val="20"/>
          <w:lang w:val="en-CA"/>
        </w:rPr>
      </w:pPr>
      <w:r w:rsidRPr="00810670">
        <w:rPr>
          <w:szCs w:val="20"/>
          <w:u w:val="single"/>
          <w:lang w:val="en-CA"/>
        </w:rPr>
        <w:t>Co-Chair</w:t>
      </w:r>
      <w:r w:rsidRPr="00810670">
        <w:rPr>
          <w:szCs w:val="20"/>
          <w:lang w:val="en-CA"/>
        </w:rPr>
        <w:t>: The UNDP Resident Representative or his/her representative</w:t>
      </w:r>
    </w:p>
    <w:p w14:paraId="2FDF251E" w14:textId="77777777" w:rsidR="00302BFE" w:rsidRPr="00810670" w:rsidRDefault="00302BFE" w:rsidP="00302BFE">
      <w:pPr>
        <w:spacing w:before="120" w:after="120"/>
        <w:rPr>
          <w:szCs w:val="20"/>
          <w:lang w:val="en-CA"/>
        </w:rPr>
      </w:pPr>
      <w:r w:rsidRPr="00810670">
        <w:rPr>
          <w:szCs w:val="20"/>
          <w:u w:val="single"/>
          <w:lang w:val="en-CA"/>
        </w:rPr>
        <w:t>Members</w:t>
      </w:r>
      <w:r w:rsidRPr="00810670">
        <w:rPr>
          <w:szCs w:val="20"/>
          <w:lang w:val="en-CA"/>
        </w:rPr>
        <w:t>:</w:t>
      </w:r>
    </w:p>
    <w:p w14:paraId="1E9FA9D2" w14:textId="77777777" w:rsidR="00302BFE" w:rsidRPr="00810670" w:rsidRDefault="00302BFE" w:rsidP="00302BFE">
      <w:pPr>
        <w:tabs>
          <w:tab w:val="left" w:pos="2921"/>
        </w:tabs>
        <w:spacing w:before="120" w:after="0"/>
        <w:rPr>
          <w:szCs w:val="20"/>
          <w:lang w:val="fr-FR"/>
        </w:rPr>
      </w:pPr>
      <w:r w:rsidRPr="00810670">
        <w:rPr>
          <w:szCs w:val="20"/>
          <w:lang w:val="fr-FR"/>
        </w:rPr>
        <w:t xml:space="preserve">As </w:t>
      </w:r>
      <w:proofErr w:type="spellStart"/>
      <w:r w:rsidRPr="00810670">
        <w:rPr>
          <w:szCs w:val="20"/>
          <w:lang w:val="fr-FR"/>
        </w:rPr>
        <w:t>implementing</w:t>
      </w:r>
      <w:proofErr w:type="spellEnd"/>
      <w:r w:rsidRPr="00810670">
        <w:rPr>
          <w:szCs w:val="20"/>
          <w:lang w:val="fr-FR"/>
        </w:rPr>
        <w:t xml:space="preserve"> </w:t>
      </w:r>
      <w:proofErr w:type="spellStart"/>
      <w:proofErr w:type="gramStart"/>
      <w:r w:rsidRPr="00810670">
        <w:rPr>
          <w:szCs w:val="20"/>
          <w:lang w:val="fr-FR"/>
        </w:rPr>
        <w:t>actors</w:t>
      </w:r>
      <w:proofErr w:type="spellEnd"/>
      <w:r w:rsidRPr="00810670">
        <w:rPr>
          <w:szCs w:val="20"/>
          <w:lang w:val="fr-FR"/>
        </w:rPr>
        <w:t>:</w:t>
      </w:r>
      <w:proofErr w:type="gramEnd"/>
    </w:p>
    <w:p w14:paraId="6E42A06C" w14:textId="77777777" w:rsidR="00302BFE" w:rsidRPr="00810670" w:rsidRDefault="00302BFE" w:rsidP="00C46720">
      <w:pPr>
        <w:numPr>
          <w:ilvl w:val="0"/>
          <w:numId w:val="31"/>
        </w:numPr>
        <w:autoSpaceDN w:val="0"/>
        <w:spacing w:after="0"/>
        <w:ind w:left="714" w:hanging="357"/>
        <w:rPr>
          <w:szCs w:val="20"/>
          <w:lang w:val="en-CA"/>
        </w:rPr>
      </w:pPr>
      <w:r w:rsidRPr="00810670">
        <w:rPr>
          <w:szCs w:val="20"/>
          <w:lang w:val="en-CA"/>
        </w:rPr>
        <w:t>A representative of the Ministry of the Economy of Finance and Development (MINEFID)</w:t>
      </w:r>
    </w:p>
    <w:p w14:paraId="0D1145D9" w14:textId="369D6EEE" w:rsidR="00302BFE" w:rsidRPr="00810670" w:rsidRDefault="00302BFE" w:rsidP="00C46720">
      <w:pPr>
        <w:numPr>
          <w:ilvl w:val="0"/>
          <w:numId w:val="31"/>
        </w:numPr>
        <w:autoSpaceDN w:val="0"/>
        <w:spacing w:after="0"/>
        <w:ind w:left="714" w:hanging="357"/>
        <w:rPr>
          <w:szCs w:val="20"/>
          <w:lang w:val="en-CA"/>
        </w:rPr>
      </w:pPr>
      <w:r w:rsidRPr="00810670">
        <w:rPr>
          <w:szCs w:val="20"/>
          <w:lang w:val="en-CA"/>
        </w:rPr>
        <w:t xml:space="preserve">Four representatives of the </w:t>
      </w:r>
      <w:proofErr w:type="spellStart"/>
      <w:r w:rsidR="00806DBD" w:rsidRPr="00DD6D1E">
        <w:rPr>
          <w:szCs w:val="20"/>
          <w:highlight w:val="green"/>
          <w:lang w:val="en-CA"/>
        </w:rPr>
        <w:t>Ministere</w:t>
      </w:r>
      <w:proofErr w:type="spellEnd"/>
      <w:r w:rsidR="00806DBD" w:rsidRPr="00DD6D1E">
        <w:rPr>
          <w:szCs w:val="20"/>
          <w:highlight w:val="green"/>
          <w:lang w:val="en-CA"/>
        </w:rPr>
        <w:t xml:space="preserve"> de </w:t>
      </w:r>
      <w:proofErr w:type="spellStart"/>
      <w:r w:rsidR="00806DBD" w:rsidRPr="00DD6D1E">
        <w:rPr>
          <w:szCs w:val="20"/>
          <w:highlight w:val="green"/>
          <w:lang w:val="en-CA"/>
        </w:rPr>
        <w:t>l’environnement</w:t>
      </w:r>
      <w:proofErr w:type="spellEnd"/>
      <w:r w:rsidR="00806DBD" w:rsidRPr="00DD6D1E">
        <w:rPr>
          <w:szCs w:val="20"/>
          <w:highlight w:val="green"/>
          <w:lang w:val="en-CA"/>
        </w:rPr>
        <w:t xml:space="preserve">, de </w:t>
      </w:r>
      <w:proofErr w:type="spellStart"/>
      <w:r w:rsidR="00806DBD" w:rsidRPr="00DD6D1E">
        <w:rPr>
          <w:szCs w:val="20"/>
          <w:highlight w:val="green"/>
          <w:lang w:val="en-CA"/>
        </w:rPr>
        <w:t>l’eau</w:t>
      </w:r>
      <w:proofErr w:type="spellEnd"/>
      <w:r w:rsidR="00806DBD" w:rsidRPr="00DD6D1E">
        <w:rPr>
          <w:szCs w:val="20"/>
          <w:highlight w:val="green"/>
          <w:lang w:val="en-CA"/>
        </w:rPr>
        <w:t xml:space="preserve"> et de </w:t>
      </w:r>
      <w:proofErr w:type="spellStart"/>
      <w:proofErr w:type="gramStart"/>
      <w:r w:rsidR="00806DBD" w:rsidRPr="00DD6D1E">
        <w:rPr>
          <w:szCs w:val="20"/>
          <w:highlight w:val="green"/>
          <w:lang w:val="en-CA"/>
        </w:rPr>
        <w:t>l”Assainissement</w:t>
      </w:r>
      <w:proofErr w:type="spellEnd"/>
      <w:proofErr w:type="gramEnd"/>
      <w:r w:rsidRPr="00810670">
        <w:rPr>
          <w:szCs w:val="20"/>
          <w:lang w:val="en-CA"/>
        </w:rPr>
        <w:t xml:space="preserve"> (Head of the Budget Attachment Program or his/her representative, the Director of Fauna or his/her representative, the Director of OFINAP or his/her representative, and the Director General of Studies and Sectoral Statistics or his/her representative) </w:t>
      </w:r>
    </w:p>
    <w:p w14:paraId="6AB15DFC" w14:textId="77777777" w:rsidR="00302BFE" w:rsidRPr="00810670" w:rsidRDefault="00302BFE" w:rsidP="00302BFE">
      <w:pPr>
        <w:spacing w:before="120" w:after="0"/>
        <w:rPr>
          <w:szCs w:val="20"/>
          <w:lang w:val="en-CA"/>
        </w:rPr>
      </w:pPr>
      <w:r w:rsidRPr="00810670">
        <w:rPr>
          <w:szCs w:val="20"/>
          <w:lang w:val="en-CA"/>
        </w:rPr>
        <w:t>As beneficiaries:</w:t>
      </w:r>
    </w:p>
    <w:p w14:paraId="316F89AE" w14:textId="77777777" w:rsidR="00302BFE" w:rsidRPr="00810670" w:rsidRDefault="00302BFE" w:rsidP="00C46720">
      <w:pPr>
        <w:numPr>
          <w:ilvl w:val="0"/>
          <w:numId w:val="31"/>
        </w:numPr>
        <w:autoSpaceDN w:val="0"/>
        <w:spacing w:after="0"/>
        <w:ind w:left="714" w:hanging="357"/>
        <w:rPr>
          <w:szCs w:val="20"/>
          <w:lang w:val="en-CA"/>
        </w:rPr>
      </w:pPr>
      <w:r w:rsidRPr="00810670">
        <w:rPr>
          <w:szCs w:val="20"/>
          <w:lang w:val="en-CA"/>
        </w:rPr>
        <w:t>A representative of the Directorate General of Waters and Forests</w:t>
      </w:r>
    </w:p>
    <w:p w14:paraId="1F0198BA" w14:textId="77777777" w:rsidR="00302BFE" w:rsidRPr="00810670" w:rsidRDefault="00302BFE" w:rsidP="00C46720">
      <w:pPr>
        <w:numPr>
          <w:ilvl w:val="0"/>
          <w:numId w:val="31"/>
        </w:numPr>
        <w:autoSpaceDN w:val="0"/>
        <w:spacing w:after="0"/>
        <w:ind w:left="714" w:hanging="357"/>
        <w:rPr>
          <w:szCs w:val="20"/>
          <w:lang w:val="en-CA"/>
        </w:rPr>
      </w:pPr>
      <w:r w:rsidRPr="00810670">
        <w:rPr>
          <w:szCs w:val="20"/>
          <w:lang w:val="en-CA"/>
        </w:rPr>
        <w:t>9 representatives of local authorities representing the pilot communes in the PONASI landscape that are involved in this project</w:t>
      </w:r>
    </w:p>
    <w:p w14:paraId="1B4CDA1C" w14:textId="77777777" w:rsidR="00302BFE" w:rsidRPr="00810670" w:rsidRDefault="00302BFE" w:rsidP="00C46720">
      <w:pPr>
        <w:numPr>
          <w:ilvl w:val="0"/>
          <w:numId w:val="31"/>
        </w:numPr>
        <w:autoSpaceDN w:val="0"/>
        <w:spacing w:after="0"/>
        <w:ind w:left="714" w:hanging="357"/>
        <w:rPr>
          <w:szCs w:val="20"/>
          <w:lang w:val="en-CA"/>
        </w:rPr>
      </w:pPr>
      <w:r w:rsidRPr="00810670">
        <w:rPr>
          <w:szCs w:val="20"/>
          <w:lang w:val="en-CA"/>
        </w:rPr>
        <w:t>Three representatives of the regional authorities (Center-South, Center-East and Center-West regions)</w:t>
      </w:r>
    </w:p>
    <w:p w14:paraId="6E582309" w14:textId="77777777" w:rsidR="00302BFE" w:rsidRPr="00816870" w:rsidRDefault="00302BFE" w:rsidP="00302BFE">
      <w:pPr>
        <w:spacing w:before="120" w:after="0"/>
        <w:rPr>
          <w:szCs w:val="20"/>
          <w:lang w:val="fr-FR"/>
        </w:rPr>
      </w:pPr>
      <w:r w:rsidRPr="00816870">
        <w:rPr>
          <w:szCs w:val="20"/>
          <w:lang w:val="fr-FR"/>
        </w:rPr>
        <w:t>As providers :</w:t>
      </w:r>
    </w:p>
    <w:p w14:paraId="4644F952" w14:textId="77777777" w:rsidR="00302BFE" w:rsidRPr="00816870" w:rsidRDefault="00302BFE" w:rsidP="00C46720">
      <w:pPr>
        <w:numPr>
          <w:ilvl w:val="0"/>
          <w:numId w:val="31"/>
        </w:numPr>
        <w:autoSpaceDN w:val="0"/>
        <w:spacing w:after="0"/>
        <w:ind w:left="714" w:hanging="357"/>
        <w:rPr>
          <w:szCs w:val="20"/>
          <w:lang w:val="en-CA"/>
        </w:rPr>
      </w:pPr>
      <w:r w:rsidRPr="00816870">
        <w:rPr>
          <w:szCs w:val="20"/>
          <w:lang w:val="en-CA"/>
        </w:rPr>
        <w:t>A representative of UNDP Resident Representative</w:t>
      </w:r>
    </w:p>
    <w:p w14:paraId="5F1D8BBD" w14:textId="77777777" w:rsidR="00302BFE" w:rsidRPr="00816870" w:rsidRDefault="00302BFE" w:rsidP="00C46720">
      <w:pPr>
        <w:numPr>
          <w:ilvl w:val="0"/>
          <w:numId w:val="31"/>
        </w:numPr>
        <w:autoSpaceDN w:val="0"/>
        <w:spacing w:after="0"/>
        <w:ind w:left="714" w:hanging="357"/>
        <w:rPr>
          <w:szCs w:val="20"/>
          <w:lang w:val="en-CA"/>
        </w:rPr>
      </w:pPr>
      <w:r w:rsidRPr="00816870">
        <w:rPr>
          <w:szCs w:val="20"/>
          <w:lang w:val="en-CA"/>
        </w:rPr>
        <w:t xml:space="preserve">Representatives of partner projects in the intervention zone </w:t>
      </w:r>
    </w:p>
    <w:p w14:paraId="0B86C068" w14:textId="77777777" w:rsidR="00302BFE" w:rsidRPr="00816870" w:rsidRDefault="00302BFE" w:rsidP="00302BFE">
      <w:pPr>
        <w:spacing w:before="120" w:after="0"/>
        <w:rPr>
          <w:szCs w:val="20"/>
          <w:lang w:val="en-CA"/>
        </w:rPr>
      </w:pPr>
      <w:r w:rsidRPr="005B1365">
        <w:rPr>
          <w:szCs w:val="20"/>
          <w:lang w:val="en-CA"/>
        </w:rPr>
        <w:t>Observers and resource persons:</w:t>
      </w:r>
    </w:p>
    <w:p w14:paraId="4B901B17" w14:textId="77777777" w:rsidR="00302BFE" w:rsidRPr="00816870" w:rsidRDefault="00302BFE" w:rsidP="00C46720">
      <w:pPr>
        <w:numPr>
          <w:ilvl w:val="0"/>
          <w:numId w:val="31"/>
        </w:numPr>
        <w:autoSpaceDN w:val="0"/>
        <w:spacing w:after="0"/>
        <w:ind w:left="714" w:hanging="357"/>
        <w:rPr>
          <w:szCs w:val="20"/>
          <w:lang w:val="en-CA"/>
        </w:rPr>
      </w:pPr>
      <w:r w:rsidRPr="00816870">
        <w:rPr>
          <w:szCs w:val="20"/>
          <w:lang w:val="en-CA"/>
        </w:rPr>
        <w:t>UNDP</w:t>
      </w:r>
    </w:p>
    <w:p w14:paraId="726C1BDE" w14:textId="77777777" w:rsidR="00302BFE" w:rsidRPr="00816870" w:rsidRDefault="00302BFE" w:rsidP="00C46720">
      <w:pPr>
        <w:numPr>
          <w:ilvl w:val="0"/>
          <w:numId w:val="31"/>
        </w:numPr>
        <w:autoSpaceDN w:val="0"/>
        <w:spacing w:after="0"/>
        <w:ind w:left="714" w:hanging="357"/>
        <w:rPr>
          <w:szCs w:val="20"/>
          <w:lang w:val="en-CA"/>
        </w:rPr>
      </w:pPr>
      <w:r w:rsidRPr="00816870">
        <w:rPr>
          <w:szCs w:val="20"/>
          <w:lang w:val="en-CA"/>
        </w:rPr>
        <w:t>Technical Ministries</w:t>
      </w:r>
    </w:p>
    <w:p w14:paraId="3875FDAC" w14:textId="77777777" w:rsidR="00302BFE" w:rsidRPr="00816870" w:rsidRDefault="00302BFE" w:rsidP="00C46720">
      <w:pPr>
        <w:numPr>
          <w:ilvl w:val="0"/>
          <w:numId w:val="31"/>
        </w:numPr>
        <w:autoSpaceDN w:val="0"/>
        <w:spacing w:after="0"/>
        <w:ind w:left="714" w:hanging="357"/>
        <w:rPr>
          <w:szCs w:val="20"/>
          <w:lang w:val="en-CA"/>
        </w:rPr>
      </w:pPr>
      <w:r w:rsidRPr="00816870">
        <w:rPr>
          <w:szCs w:val="20"/>
          <w:lang w:val="en-CA"/>
        </w:rPr>
        <w:t>Other technical and financial partners</w:t>
      </w:r>
    </w:p>
    <w:p w14:paraId="21918A3A" w14:textId="77777777" w:rsidR="00302BFE" w:rsidRPr="00810670"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16870">
        <w:rPr>
          <w:rFonts w:ascii="Calibri" w:hAnsi="Calibri"/>
          <w:sz w:val="20"/>
          <w:szCs w:val="20"/>
          <w:lang w:val="en-CA"/>
        </w:rPr>
        <w:t xml:space="preserve">As part of the execution of </w:t>
      </w:r>
      <w:r w:rsidR="00193614">
        <w:rPr>
          <w:rFonts w:ascii="Calibri" w:hAnsi="Calibri"/>
          <w:sz w:val="20"/>
          <w:szCs w:val="20"/>
          <w:lang w:val="en-CA"/>
        </w:rPr>
        <w:t>his/her</w:t>
      </w:r>
      <w:r w:rsidRPr="00816870">
        <w:rPr>
          <w:rFonts w:ascii="Calibri" w:hAnsi="Calibri"/>
          <w:sz w:val="20"/>
          <w:szCs w:val="20"/>
          <w:lang w:val="en-CA"/>
        </w:rPr>
        <w:t xml:space="preserve"> mission, the Chairman of the Consultation Framework may, if necessary, invite any other person to the work of the </w:t>
      </w:r>
      <w:r w:rsidRPr="00810670">
        <w:rPr>
          <w:rFonts w:ascii="Calibri" w:hAnsi="Calibri"/>
          <w:sz w:val="20"/>
          <w:szCs w:val="20"/>
          <w:lang w:val="en-CA"/>
        </w:rPr>
        <w:t>consultation/dialogue framework of the project.</w:t>
      </w:r>
    </w:p>
    <w:p w14:paraId="67708545" w14:textId="77777777" w:rsidR="00302BFE" w:rsidRPr="00810670" w:rsidRDefault="00302BFE" w:rsidP="00302BFE">
      <w:pPr>
        <w:pStyle w:val="Paragraphedeliste"/>
        <w:spacing w:before="120" w:after="120"/>
        <w:jc w:val="both"/>
        <w:rPr>
          <w:rFonts w:ascii="Calibri" w:hAnsi="Calibri"/>
          <w:color w:val="4472C4"/>
          <w:sz w:val="20"/>
          <w:szCs w:val="20"/>
          <w:lang w:val="en-CA"/>
        </w:rPr>
      </w:pPr>
      <w:r w:rsidRPr="00810670">
        <w:rPr>
          <w:rFonts w:ascii="Calibri" w:hAnsi="Calibri"/>
          <w:color w:val="4472C4"/>
          <w:sz w:val="20"/>
          <w:szCs w:val="20"/>
          <w:lang w:val="en-CA"/>
        </w:rPr>
        <w:t>Operation of the Consultation or Dialogue Framework</w:t>
      </w:r>
    </w:p>
    <w:p w14:paraId="62B59CBA"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10670">
        <w:rPr>
          <w:rFonts w:ascii="Calibri" w:hAnsi="Calibri"/>
          <w:sz w:val="20"/>
          <w:szCs w:val="20"/>
          <w:lang w:val="en-CA"/>
        </w:rPr>
        <w:t>The Chairman of the Dialogue Framework facilitates and coordinates the activities. He/she decides on the agenda of the sessions on proposal of the project supervisor and signs any act relating to the exercise of the missions of the dialogue framework</w:t>
      </w:r>
      <w:r w:rsidRPr="005B1365">
        <w:rPr>
          <w:rFonts w:ascii="Calibri" w:hAnsi="Calibri"/>
          <w:sz w:val="20"/>
          <w:szCs w:val="20"/>
          <w:lang w:val="en-CA"/>
        </w:rPr>
        <w:t xml:space="preserve">. The Consultation Framework meets twice a year at the </w:t>
      </w:r>
      <w:r w:rsidRPr="00810670">
        <w:rPr>
          <w:rFonts w:ascii="Calibri" w:hAnsi="Calibri"/>
          <w:sz w:val="20"/>
          <w:szCs w:val="20"/>
          <w:lang w:val="en-CA"/>
        </w:rPr>
        <w:t xml:space="preserve">invitation of its </w:t>
      </w:r>
      <w:proofErr w:type="gramStart"/>
      <w:r w:rsidRPr="00810670">
        <w:rPr>
          <w:rFonts w:ascii="Calibri" w:hAnsi="Calibri"/>
          <w:sz w:val="20"/>
          <w:szCs w:val="20"/>
          <w:lang w:val="en-CA"/>
        </w:rPr>
        <w:t>Chairman</w:t>
      </w:r>
      <w:proofErr w:type="gramEnd"/>
      <w:r w:rsidRPr="00810670">
        <w:rPr>
          <w:rFonts w:ascii="Calibri" w:hAnsi="Calibri"/>
          <w:sz w:val="20"/>
          <w:szCs w:val="20"/>
          <w:lang w:val="en-CA"/>
        </w:rPr>
        <w:t xml:space="preserve">. However, it may meet in special session if necessary. The project coordinator is </w:t>
      </w:r>
      <w:r w:rsidR="00A300D7">
        <w:rPr>
          <w:rFonts w:ascii="Calibri" w:hAnsi="Calibri"/>
          <w:sz w:val="20"/>
          <w:szCs w:val="20"/>
          <w:lang w:val="en-CA"/>
        </w:rPr>
        <w:t>responsible for</w:t>
      </w:r>
      <w:r w:rsidRPr="00810670">
        <w:rPr>
          <w:rFonts w:ascii="Calibri" w:hAnsi="Calibri"/>
          <w:sz w:val="20"/>
          <w:szCs w:val="20"/>
          <w:lang w:val="en-CA"/>
        </w:rPr>
        <w:t xml:space="preserve"> the secretariat of the Dialogue Framework. The cost</w:t>
      </w:r>
      <w:r w:rsidR="00A300D7">
        <w:rPr>
          <w:rFonts w:ascii="Calibri" w:hAnsi="Calibri"/>
          <w:sz w:val="20"/>
          <w:szCs w:val="20"/>
          <w:lang w:val="en-CA"/>
        </w:rPr>
        <w:t>s</w:t>
      </w:r>
      <w:r w:rsidRPr="00810670">
        <w:rPr>
          <w:rFonts w:ascii="Calibri" w:hAnsi="Calibri"/>
          <w:sz w:val="20"/>
          <w:szCs w:val="20"/>
          <w:lang w:val="en-CA"/>
        </w:rPr>
        <w:t xml:space="preserve"> of organizing the Dialogue Framework sessions are supported by the project on the contributions from financial partners.</w:t>
      </w:r>
    </w:p>
    <w:p w14:paraId="6C4A84A7"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Pr>
          <w:rFonts w:ascii="Calibri" w:hAnsi="Calibri"/>
          <w:sz w:val="20"/>
          <w:szCs w:val="20"/>
          <w:lang w:val="en-CA"/>
        </w:rPr>
        <w:t>Specific responsibilities of the Project Consultative/Dialogue Framework include:</w:t>
      </w:r>
    </w:p>
    <w:p w14:paraId="01CFE8E4" w14:textId="77777777" w:rsidR="00302BFE" w:rsidRPr="002021FE" w:rsidRDefault="00302BFE" w:rsidP="00C46720">
      <w:pPr>
        <w:pStyle w:val="Paragraphedeliste"/>
        <w:numPr>
          <w:ilvl w:val="0"/>
          <w:numId w:val="53"/>
        </w:numPr>
        <w:tabs>
          <w:tab w:val="left" w:pos="284"/>
        </w:tabs>
        <w:jc w:val="both"/>
        <w:rPr>
          <w:rFonts w:ascii="Calibri" w:hAnsi="Calibri"/>
          <w:sz w:val="20"/>
          <w:szCs w:val="20"/>
        </w:rPr>
      </w:pPr>
      <w:r w:rsidRPr="002021FE">
        <w:rPr>
          <w:rFonts w:ascii="Calibri" w:hAnsi="Calibri"/>
          <w:sz w:val="20"/>
          <w:szCs w:val="20"/>
        </w:rPr>
        <w:t xml:space="preserve">Provide overall guidance and direction to the project, ensuring it remains within any specified </w:t>
      </w:r>
      <w:proofErr w:type="gramStart"/>
      <w:r w:rsidRPr="002021FE">
        <w:rPr>
          <w:rFonts w:ascii="Calibri" w:hAnsi="Calibri"/>
          <w:sz w:val="20"/>
          <w:szCs w:val="20"/>
        </w:rPr>
        <w:t>constraints;</w:t>
      </w:r>
      <w:proofErr w:type="gramEnd"/>
    </w:p>
    <w:p w14:paraId="20262DCD" w14:textId="77777777" w:rsidR="00302BFE" w:rsidRPr="002021FE" w:rsidRDefault="00302BFE" w:rsidP="00C46720">
      <w:pPr>
        <w:pStyle w:val="Paragraphedeliste"/>
        <w:numPr>
          <w:ilvl w:val="0"/>
          <w:numId w:val="53"/>
        </w:numPr>
        <w:tabs>
          <w:tab w:val="left" w:pos="284"/>
        </w:tabs>
        <w:jc w:val="both"/>
        <w:rPr>
          <w:rFonts w:ascii="Calibri" w:hAnsi="Calibri"/>
          <w:sz w:val="20"/>
          <w:szCs w:val="20"/>
        </w:rPr>
      </w:pPr>
      <w:r w:rsidRPr="002021FE">
        <w:rPr>
          <w:rFonts w:ascii="Calibri" w:hAnsi="Calibri"/>
          <w:sz w:val="20"/>
          <w:szCs w:val="20"/>
        </w:rPr>
        <w:t xml:space="preserve">Address project issues as raised by the project </w:t>
      </w:r>
      <w:proofErr w:type="gramStart"/>
      <w:r w:rsidRPr="002021FE">
        <w:rPr>
          <w:rFonts w:ascii="Calibri" w:hAnsi="Calibri"/>
          <w:sz w:val="20"/>
          <w:szCs w:val="20"/>
        </w:rPr>
        <w:t>manager;</w:t>
      </w:r>
      <w:proofErr w:type="gramEnd"/>
    </w:p>
    <w:p w14:paraId="73B7C313" w14:textId="77777777" w:rsidR="00302BFE" w:rsidRPr="002021FE" w:rsidRDefault="00302BFE" w:rsidP="00C46720">
      <w:pPr>
        <w:pStyle w:val="Paragraphedeliste"/>
        <w:numPr>
          <w:ilvl w:val="0"/>
          <w:numId w:val="53"/>
        </w:numPr>
        <w:tabs>
          <w:tab w:val="left" w:pos="284"/>
        </w:tabs>
        <w:jc w:val="both"/>
        <w:rPr>
          <w:rFonts w:ascii="Calibri" w:hAnsi="Calibri"/>
          <w:sz w:val="20"/>
          <w:szCs w:val="20"/>
        </w:rPr>
      </w:pPr>
      <w:r w:rsidRPr="002021FE">
        <w:rPr>
          <w:rFonts w:ascii="Calibri" w:hAnsi="Calibri"/>
          <w:sz w:val="20"/>
          <w:szCs w:val="20"/>
        </w:rPr>
        <w:t xml:space="preserve">Provide guidance on new project risks, and agree on possible countermeasures and management actions to address specific </w:t>
      </w:r>
      <w:proofErr w:type="gramStart"/>
      <w:r w:rsidRPr="002021FE">
        <w:rPr>
          <w:rFonts w:ascii="Calibri" w:hAnsi="Calibri"/>
          <w:sz w:val="20"/>
          <w:szCs w:val="20"/>
        </w:rPr>
        <w:t>risks;</w:t>
      </w:r>
      <w:proofErr w:type="gramEnd"/>
      <w:r w:rsidRPr="002021FE">
        <w:rPr>
          <w:rFonts w:ascii="Calibri" w:hAnsi="Calibri"/>
          <w:sz w:val="20"/>
          <w:szCs w:val="20"/>
        </w:rPr>
        <w:t xml:space="preserve"> </w:t>
      </w:r>
    </w:p>
    <w:p w14:paraId="6BC3AA2F" w14:textId="77777777" w:rsidR="00302BFE" w:rsidRPr="002021FE" w:rsidRDefault="00302BFE" w:rsidP="00C46720">
      <w:pPr>
        <w:pStyle w:val="Paragraphedeliste"/>
        <w:numPr>
          <w:ilvl w:val="0"/>
          <w:numId w:val="53"/>
        </w:numPr>
        <w:tabs>
          <w:tab w:val="left" w:pos="284"/>
        </w:tabs>
        <w:jc w:val="both"/>
        <w:rPr>
          <w:rFonts w:ascii="Calibri" w:hAnsi="Calibri"/>
          <w:sz w:val="20"/>
          <w:szCs w:val="20"/>
        </w:rPr>
      </w:pPr>
      <w:r w:rsidRPr="002021FE">
        <w:rPr>
          <w:rFonts w:ascii="Calibri" w:hAnsi="Calibri"/>
          <w:sz w:val="20"/>
          <w:szCs w:val="20"/>
        </w:rPr>
        <w:t xml:space="preserve">Agree on project manager’s tolerances as </w:t>
      </w:r>
      <w:proofErr w:type="gramStart"/>
      <w:r w:rsidRPr="002021FE">
        <w:rPr>
          <w:rFonts w:ascii="Calibri" w:hAnsi="Calibri"/>
          <w:sz w:val="20"/>
          <w:szCs w:val="20"/>
        </w:rPr>
        <w:t>required;</w:t>
      </w:r>
      <w:proofErr w:type="gramEnd"/>
    </w:p>
    <w:p w14:paraId="4C64B7B2" w14:textId="77777777" w:rsidR="00302BFE" w:rsidRPr="002021FE" w:rsidRDefault="00302BFE" w:rsidP="00C46720">
      <w:pPr>
        <w:pStyle w:val="Paragraphedeliste"/>
        <w:numPr>
          <w:ilvl w:val="0"/>
          <w:numId w:val="53"/>
        </w:numPr>
        <w:tabs>
          <w:tab w:val="left" w:pos="284"/>
        </w:tabs>
        <w:jc w:val="both"/>
        <w:rPr>
          <w:rFonts w:ascii="Calibri" w:hAnsi="Calibri"/>
          <w:sz w:val="20"/>
          <w:szCs w:val="20"/>
        </w:rPr>
      </w:pPr>
      <w:r w:rsidRPr="002021FE">
        <w:rPr>
          <w:rFonts w:ascii="Calibri" w:hAnsi="Calibri"/>
          <w:sz w:val="20"/>
          <w:szCs w:val="20"/>
        </w:rPr>
        <w:t xml:space="preserve">Review the project progress, and provide direction and recommendations to ensure that the agreed deliverables are produced satisfactorily according to </w:t>
      </w:r>
      <w:proofErr w:type="gramStart"/>
      <w:r w:rsidRPr="002021FE">
        <w:rPr>
          <w:rFonts w:ascii="Calibri" w:hAnsi="Calibri"/>
          <w:sz w:val="20"/>
          <w:szCs w:val="20"/>
        </w:rPr>
        <w:t>plans;</w:t>
      </w:r>
      <w:proofErr w:type="gramEnd"/>
    </w:p>
    <w:p w14:paraId="4EE813C9" w14:textId="77777777" w:rsidR="00302BFE" w:rsidRPr="002021FE" w:rsidRDefault="00302BFE" w:rsidP="00C46720">
      <w:pPr>
        <w:pStyle w:val="Paragraphedeliste"/>
        <w:numPr>
          <w:ilvl w:val="0"/>
          <w:numId w:val="53"/>
        </w:numPr>
        <w:tabs>
          <w:tab w:val="left" w:pos="284"/>
        </w:tabs>
        <w:jc w:val="both"/>
        <w:rPr>
          <w:rFonts w:ascii="Calibri" w:hAnsi="Calibri"/>
          <w:sz w:val="20"/>
          <w:szCs w:val="20"/>
        </w:rPr>
      </w:pPr>
      <w:r w:rsidRPr="002021FE">
        <w:rPr>
          <w:rFonts w:ascii="Calibri" w:hAnsi="Calibri"/>
          <w:sz w:val="20"/>
          <w:szCs w:val="20"/>
        </w:rPr>
        <w:t xml:space="preserve">Appraise the annual project implementation report, including the quality assessment rating report; make recommendations for the </w:t>
      </w:r>
      <w:proofErr w:type="gramStart"/>
      <w:r w:rsidRPr="002021FE">
        <w:rPr>
          <w:rFonts w:ascii="Calibri" w:hAnsi="Calibri"/>
          <w:sz w:val="20"/>
          <w:szCs w:val="20"/>
        </w:rPr>
        <w:t>workplan;</w:t>
      </w:r>
      <w:proofErr w:type="gramEnd"/>
      <w:r w:rsidRPr="002021FE">
        <w:rPr>
          <w:rFonts w:ascii="Calibri" w:hAnsi="Calibri"/>
          <w:sz w:val="20"/>
          <w:szCs w:val="20"/>
        </w:rPr>
        <w:t xml:space="preserve"> </w:t>
      </w:r>
    </w:p>
    <w:p w14:paraId="384BE3FB" w14:textId="77777777" w:rsidR="00302BFE" w:rsidRPr="002021FE" w:rsidRDefault="00302BFE" w:rsidP="00C46720">
      <w:pPr>
        <w:pStyle w:val="Paragraphedeliste"/>
        <w:numPr>
          <w:ilvl w:val="0"/>
          <w:numId w:val="53"/>
        </w:numPr>
        <w:tabs>
          <w:tab w:val="left" w:pos="284"/>
        </w:tabs>
        <w:jc w:val="both"/>
        <w:rPr>
          <w:rFonts w:ascii="Calibri" w:hAnsi="Calibri"/>
          <w:sz w:val="20"/>
          <w:szCs w:val="20"/>
        </w:rPr>
      </w:pPr>
      <w:r w:rsidRPr="002021FE">
        <w:rPr>
          <w:rFonts w:ascii="Calibri" w:hAnsi="Calibri"/>
          <w:sz w:val="20"/>
          <w:szCs w:val="20"/>
        </w:rPr>
        <w:t xml:space="preserve">Provide ad hoc direction and advice for exceptional situations when the project manager’s tolerances are exceeded; and </w:t>
      </w:r>
    </w:p>
    <w:p w14:paraId="5275E57B" w14:textId="77777777" w:rsidR="00302BFE" w:rsidRDefault="00302BFE" w:rsidP="00C46720">
      <w:pPr>
        <w:pStyle w:val="Paragraphedeliste"/>
        <w:numPr>
          <w:ilvl w:val="0"/>
          <w:numId w:val="53"/>
        </w:numPr>
        <w:tabs>
          <w:tab w:val="left" w:pos="284"/>
        </w:tabs>
        <w:jc w:val="both"/>
        <w:rPr>
          <w:rFonts w:ascii="Calibri" w:hAnsi="Calibri"/>
          <w:sz w:val="20"/>
          <w:szCs w:val="20"/>
        </w:rPr>
      </w:pPr>
      <w:r w:rsidRPr="002021FE">
        <w:rPr>
          <w:rFonts w:ascii="Calibri" w:hAnsi="Calibri"/>
          <w:sz w:val="20"/>
          <w:szCs w:val="20"/>
        </w:rPr>
        <w:t>Assess and decide to proceed on project changes through appropriate revisions.</w:t>
      </w:r>
    </w:p>
    <w:p w14:paraId="0FF17C99"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Pr>
          <w:rFonts w:ascii="Calibri" w:hAnsi="Calibri"/>
          <w:sz w:val="20"/>
          <w:szCs w:val="20"/>
          <w:lang w:val="en-CA"/>
        </w:rPr>
        <w:t>The composition of the Project Consultative/Dialogue Framework must include the following role:</w:t>
      </w:r>
    </w:p>
    <w:p w14:paraId="3E45B60D" w14:textId="5C6F75A9"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93DD1">
        <w:rPr>
          <w:rFonts w:ascii="Calibri" w:hAnsi="Calibri"/>
          <w:sz w:val="20"/>
          <w:szCs w:val="20"/>
          <w:u w:val="single"/>
          <w:lang w:val="en-IN"/>
        </w:rPr>
        <w:lastRenderedPageBreak/>
        <w:t>Executive</w:t>
      </w:r>
      <w:r w:rsidRPr="00893DD1">
        <w:rPr>
          <w:rFonts w:ascii="Calibri" w:hAnsi="Calibri"/>
          <w:sz w:val="20"/>
          <w:szCs w:val="20"/>
          <w:lang w:val="en-IN"/>
        </w:rPr>
        <w:t xml:space="preserve">: The Executive is an individual who represents ownership of the project who will chair the Project </w:t>
      </w:r>
      <w:r w:rsidRPr="00D61C93">
        <w:rPr>
          <w:rFonts w:ascii="Calibri" w:hAnsi="Calibri"/>
          <w:sz w:val="20"/>
          <w:szCs w:val="20"/>
          <w:lang w:val="en-CA"/>
        </w:rPr>
        <w:t>Consultative/Dialogue Framework</w:t>
      </w:r>
      <w:r w:rsidRPr="00D61C93">
        <w:rPr>
          <w:rFonts w:ascii="Calibri" w:hAnsi="Calibri"/>
          <w:sz w:val="20"/>
          <w:szCs w:val="20"/>
          <w:lang w:val="en-IN"/>
        </w:rPr>
        <w:t xml:space="preserve">. This role can be held by a representative from the Government Cooperating Agency. The Executive is </w:t>
      </w:r>
      <w:r w:rsidRPr="00D61C93">
        <w:rPr>
          <w:rFonts w:ascii="Calibri" w:hAnsi="Calibri"/>
          <w:sz w:val="20"/>
          <w:szCs w:val="20"/>
          <w:lang w:val="en-CA"/>
        </w:rPr>
        <w:t xml:space="preserve">the representative of the </w:t>
      </w:r>
      <w:proofErr w:type="spellStart"/>
      <w:r w:rsidR="00806DBD">
        <w:rPr>
          <w:rFonts w:ascii="Calibri" w:hAnsi="Calibri"/>
          <w:sz w:val="20"/>
          <w:szCs w:val="20"/>
          <w:lang w:val="en-CA"/>
        </w:rPr>
        <w:t>Ministere</w:t>
      </w:r>
      <w:proofErr w:type="spellEnd"/>
      <w:r w:rsidR="00806DBD">
        <w:rPr>
          <w:rFonts w:ascii="Calibri" w:hAnsi="Calibri"/>
          <w:sz w:val="20"/>
          <w:szCs w:val="20"/>
          <w:lang w:val="en-CA"/>
        </w:rPr>
        <w:t xml:space="preserve"> de </w:t>
      </w:r>
      <w:proofErr w:type="spellStart"/>
      <w:r w:rsidR="00806DBD">
        <w:rPr>
          <w:rFonts w:ascii="Calibri" w:hAnsi="Calibri"/>
          <w:sz w:val="20"/>
          <w:szCs w:val="20"/>
          <w:lang w:val="en-CA"/>
        </w:rPr>
        <w:t>l’environnement</w:t>
      </w:r>
      <w:proofErr w:type="spellEnd"/>
      <w:r w:rsidR="00806DBD">
        <w:rPr>
          <w:rFonts w:ascii="Calibri" w:hAnsi="Calibri"/>
          <w:sz w:val="20"/>
          <w:szCs w:val="20"/>
          <w:lang w:val="en-CA"/>
        </w:rPr>
        <w:t xml:space="preserve">, de </w:t>
      </w:r>
      <w:proofErr w:type="spellStart"/>
      <w:r w:rsidR="00806DBD">
        <w:rPr>
          <w:rFonts w:ascii="Calibri" w:hAnsi="Calibri"/>
          <w:sz w:val="20"/>
          <w:szCs w:val="20"/>
          <w:lang w:val="en-CA"/>
        </w:rPr>
        <w:t>l’eau</w:t>
      </w:r>
      <w:proofErr w:type="spellEnd"/>
      <w:r w:rsidR="00806DBD">
        <w:rPr>
          <w:rFonts w:ascii="Calibri" w:hAnsi="Calibri"/>
          <w:sz w:val="20"/>
          <w:szCs w:val="20"/>
          <w:lang w:val="en-CA"/>
        </w:rPr>
        <w:t xml:space="preserve"> et de </w:t>
      </w:r>
      <w:proofErr w:type="spellStart"/>
      <w:proofErr w:type="gramStart"/>
      <w:r w:rsidR="00806DBD">
        <w:rPr>
          <w:rFonts w:ascii="Calibri" w:hAnsi="Calibri"/>
          <w:sz w:val="20"/>
          <w:szCs w:val="20"/>
          <w:lang w:val="en-CA"/>
        </w:rPr>
        <w:t>l”Assainissement</w:t>
      </w:r>
      <w:proofErr w:type="spellEnd"/>
      <w:proofErr w:type="gramEnd"/>
      <w:r w:rsidRPr="00D61C93">
        <w:rPr>
          <w:rFonts w:ascii="Calibri" w:hAnsi="Calibri"/>
          <w:sz w:val="20"/>
          <w:szCs w:val="20"/>
          <w:lang w:val="en-CA"/>
        </w:rPr>
        <w:t>, who is</w:t>
      </w:r>
      <w:r w:rsidRPr="00D61C93">
        <w:rPr>
          <w:rFonts w:ascii="Calibri" w:hAnsi="Calibri"/>
          <w:sz w:val="20"/>
          <w:szCs w:val="20"/>
          <w:lang w:val="en-IN"/>
        </w:rPr>
        <w:t xml:space="preserve"> the President of the Project </w:t>
      </w:r>
      <w:r w:rsidRPr="00D61C93">
        <w:rPr>
          <w:rFonts w:ascii="Calibri" w:hAnsi="Calibri"/>
          <w:sz w:val="20"/>
          <w:szCs w:val="20"/>
          <w:lang w:val="en-CA"/>
        </w:rPr>
        <w:t>Consultative/Dialogue Framework</w:t>
      </w:r>
      <w:r w:rsidRPr="00D61C93">
        <w:rPr>
          <w:rFonts w:ascii="Calibri" w:hAnsi="Calibri"/>
          <w:i/>
          <w:iCs/>
          <w:sz w:val="20"/>
          <w:szCs w:val="20"/>
          <w:lang w:val="en-IN"/>
        </w:rPr>
        <w:t>.</w:t>
      </w:r>
    </w:p>
    <w:p w14:paraId="1365DA9B"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D61C93">
        <w:rPr>
          <w:rFonts w:ascii="Calibri" w:hAnsi="Calibri"/>
          <w:sz w:val="20"/>
          <w:szCs w:val="20"/>
          <w:lang w:val="en-CA"/>
        </w:rPr>
        <w:t xml:space="preserve">The Executive is ultimately responsible for the project, supported by the Senior Beneficiary and Senior Supplier.  The Executive’s role is to ensure that the project is focused throughout its life cycle on achieving its objectives and delivering outputs that will contribute to higher level outcomes. The executive </w:t>
      </w:r>
      <w:proofErr w:type="gramStart"/>
      <w:r w:rsidRPr="00D61C93">
        <w:rPr>
          <w:rFonts w:ascii="Calibri" w:hAnsi="Calibri"/>
          <w:sz w:val="20"/>
          <w:szCs w:val="20"/>
          <w:lang w:val="en-CA"/>
        </w:rPr>
        <w:t>has to</w:t>
      </w:r>
      <w:proofErr w:type="gramEnd"/>
      <w:r w:rsidRPr="00D61C93">
        <w:rPr>
          <w:rFonts w:ascii="Calibri" w:hAnsi="Calibri"/>
          <w:sz w:val="20"/>
          <w:szCs w:val="20"/>
          <w:lang w:val="en-CA"/>
        </w:rPr>
        <w:t xml:space="preserve"> ensure that the project gives value for money, ensuring cost-conscious approach to the project, balancing the demands of beneficiary and suppler.  </w:t>
      </w:r>
    </w:p>
    <w:p w14:paraId="45802388" w14:textId="77777777" w:rsidR="00302BFE" w:rsidRPr="00A86576"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A86576">
        <w:rPr>
          <w:rFonts w:ascii="Calibri" w:hAnsi="Calibri"/>
          <w:sz w:val="20"/>
          <w:szCs w:val="20"/>
          <w:lang w:val="en-CA"/>
        </w:rPr>
        <w:t xml:space="preserve">Specific Responsibilities: (as part of the above responsibilities for the Project </w:t>
      </w:r>
      <w:r>
        <w:rPr>
          <w:rFonts w:ascii="Calibri" w:hAnsi="Calibri"/>
          <w:sz w:val="20"/>
          <w:szCs w:val="20"/>
          <w:lang w:val="en-CA"/>
        </w:rPr>
        <w:t>Consultative/Dialogue Framework</w:t>
      </w:r>
      <w:r w:rsidRPr="00A86576">
        <w:rPr>
          <w:rFonts w:ascii="Calibri" w:hAnsi="Calibri"/>
          <w:sz w:val="20"/>
          <w:szCs w:val="20"/>
          <w:lang w:val="en-CA"/>
        </w:rPr>
        <w:t>)</w:t>
      </w:r>
    </w:p>
    <w:p w14:paraId="5FDFED39" w14:textId="77777777" w:rsidR="00302BFE" w:rsidRPr="00A86576" w:rsidRDefault="00302BFE" w:rsidP="00C46720">
      <w:pPr>
        <w:numPr>
          <w:ilvl w:val="0"/>
          <w:numId w:val="54"/>
        </w:numPr>
        <w:spacing w:after="0"/>
        <w:rPr>
          <w:rFonts w:eastAsia="Times New Roman"/>
          <w:lang w:val="en-IN"/>
        </w:rPr>
      </w:pPr>
      <w:r w:rsidRPr="00A86576">
        <w:rPr>
          <w:rFonts w:eastAsia="Times New Roman"/>
          <w:lang w:val="en-IN"/>
        </w:rPr>
        <w:t xml:space="preserve">Ensure that there is a coherent project organisation structure and logical set of </w:t>
      </w:r>
      <w:proofErr w:type="gramStart"/>
      <w:r w:rsidRPr="00A86576">
        <w:rPr>
          <w:rFonts w:eastAsia="Times New Roman"/>
          <w:lang w:val="en-IN"/>
        </w:rPr>
        <w:t>plans;</w:t>
      </w:r>
      <w:proofErr w:type="gramEnd"/>
    </w:p>
    <w:p w14:paraId="2C9C953A" w14:textId="77777777" w:rsidR="00302BFE" w:rsidRPr="00A86576" w:rsidRDefault="00302BFE" w:rsidP="00C46720">
      <w:pPr>
        <w:numPr>
          <w:ilvl w:val="0"/>
          <w:numId w:val="54"/>
        </w:numPr>
        <w:spacing w:after="0"/>
        <w:rPr>
          <w:rFonts w:eastAsia="Times New Roman"/>
          <w:lang w:val="en-IN"/>
        </w:rPr>
      </w:pPr>
      <w:r w:rsidRPr="00A86576">
        <w:rPr>
          <w:rFonts w:eastAsia="Times New Roman"/>
          <w:lang w:val="en-IN"/>
        </w:rPr>
        <w:t xml:space="preserve">Set tolerances in the AWP and other plans as required for the Project </w:t>
      </w:r>
      <w:proofErr w:type="gramStart"/>
      <w:r w:rsidRPr="00A86576">
        <w:rPr>
          <w:rFonts w:eastAsia="Times New Roman"/>
          <w:lang w:val="en-IN"/>
        </w:rPr>
        <w:t>Manager;</w:t>
      </w:r>
      <w:proofErr w:type="gramEnd"/>
    </w:p>
    <w:p w14:paraId="0E158CAB" w14:textId="77777777" w:rsidR="00302BFE" w:rsidRPr="00A86576" w:rsidRDefault="00302BFE" w:rsidP="00C46720">
      <w:pPr>
        <w:numPr>
          <w:ilvl w:val="0"/>
          <w:numId w:val="54"/>
        </w:numPr>
        <w:spacing w:after="0"/>
        <w:rPr>
          <w:rFonts w:eastAsia="Times New Roman"/>
          <w:lang w:val="en-IN"/>
        </w:rPr>
      </w:pPr>
      <w:r w:rsidRPr="00A86576">
        <w:rPr>
          <w:rFonts w:eastAsia="Times New Roman"/>
          <w:lang w:val="en-IN"/>
        </w:rPr>
        <w:t xml:space="preserve">Monitor and control the progress of the project at a strategic </w:t>
      </w:r>
      <w:proofErr w:type="gramStart"/>
      <w:r w:rsidRPr="00A86576">
        <w:rPr>
          <w:rFonts w:eastAsia="Times New Roman"/>
          <w:lang w:val="en-IN"/>
        </w:rPr>
        <w:t>level;</w:t>
      </w:r>
      <w:proofErr w:type="gramEnd"/>
    </w:p>
    <w:p w14:paraId="6BC2313E" w14:textId="77777777" w:rsidR="00302BFE" w:rsidRPr="00A86576" w:rsidRDefault="00302BFE" w:rsidP="00C46720">
      <w:pPr>
        <w:numPr>
          <w:ilvl w:val="0"/>
          <w:numId w:val="54"/>
        </w:numPr>
        <w:spacing w:after="0"/>
        <w:rPr>
          <w:rFonts w:eastAsia="Times New Roman"/>
          <w:lang w:val="en-IN"/>
        </w:rPr>
      </w:pPr>
      <w:r w:rsidRPr="00A86576">
        <w:rPr>
          <w:rFonts w:eastAsia="Times New Roman"/>
          <w:lang w:val="en-IN"/>
        </w:rPr>
        <w:t xml:space="preserve">Ensure that risks are being tracked and mitigated as effectively as </w:t>
      </w:r>
      <w:proofErr w:type="gramStart"/>
      <w:r w:rsidRPr="00A86576">
        <w:rPr>
          <w:rFonts w:eastAsia="Times New Roman"/>
          <w:lang w:val="en-IN"/>
        </w:rPr>
        <w:t>possible;</w:t>
      </w:r>
      <w:proofErr w:type="gramEnd"/>
    </w:p>
    <w:p w14:paraId="13E80F69" w14:textId="77777777" w:rsidR="00302BFE" w:rsidRPr="00A86576" w:rsidRDefault="00302BFE" w:rsidP="00C46720">
      <w:pPr>
        <w:numPr>
          <w:ilvl w:val="0"/>
          <w:numId w:val="54"/>
        </w:numPr>
        <w:spacing w:after="0"/>
        <w:rPr>
          <w:rFonts w:eastAsia="Times New Roman"/>
          <w:lang w:val="en-IN"/>
        </w:rPr>
      </w:pPr>
      <w:r w:rsidRPr="00A86576">
        <w:rPr>
          <w:rFonts w:eastAsia="Times New Roman"/>
          <w:lang w:val="en-IN"/>
        </w:rPr>
        <w:t xml:space="preserve">Brief relevant stakeholders about project </w:t>
      </w:r>
      <w:proofErr w:type="gramStart"/>
      <w:r w:rsidRPr="00A86576">
        <w:rPr>
          <w:rFonts w:eastAsia="Times New Roman"/>
          <w:lang w:val="en-IN"/>
        </w:rPr>
        <w:t>progress;</w:t>
      </w:r>
      <w:proofErr w:type="gramEnd"/>
    </w:p>
    <w:p w14:paraId="48A3FA99" w14:textId="77777777" w:rsidR="00302BFE" w:rsidRPr="00A86576" w:rsidRDefault="00302BFE" w:rsidP="00C46720">
      <w:pPr>
        <w:numPr>
          <w:ilvl w:val="0"/>
          <w:numId w:val="54"/>
        </w:numPr>
        <w:spacing w:after="0"/>
        <w:rPr>
          <w:rFonts w:eastAsia="Times New Roman"/>
          <w:lang w:val="en-IN"/>
        </w:rPr>
      </w:pPr>
      <w:r w:rsidRPr="00A86576">
        <w:rPr>
          <w:rFonts w:eastAsia="Times New Roman"/>
          <w:lang w:val="en-IN"/>
        </w:rPr>
        <w:t>Organise and chair Project Board meetings.</w:t>
      </w:r>
    </w:p>
    <w:p w14:paraId="55D1960C" w14:textId="77777777" w:rsidR="00302BFE" w:rsidRPr="00810670" w:rsidRDefault="00302BFE" w:rsidP="00302BFE">
      <w:pPr>
        <w:spacing w:before="120" w:after="120"/>
        <w:rPr>
          <w:b/>
          <w:szCs w:val="20"/>
        </w:rPr>
      </w:pPr>
      <w:r w:rsidRPr="00810670">
        <w:rPr>
          <w:b/>
          <w:szCs w:val="20"/>
        </w:rPr>
        <w:t>Coordination of the project</w:t>
      </w:r>
    </w:p>
    <w:p w14:paraId="64763BB9" w14:textId="77777777" w:rsidR="00302BFE" w:rsidRPr="00810670"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10670">
        <w:rPr>
          <w:rFonts w:ascii="Calibri" w:hAnsi="Calibri"/>
          <w:b/>
          <w:sz w:val="20"/>
          <w:szCs w:val="20"/>
          <w:lang w:val="en-CA"/>
        </w:rPr>
        <w:t>Responsibilities</w:t>
      </w:r>
      <w:r w:rsidRPr="00810670">
        <w:rPr>
          <w:rFonts w:ascii="Calibri" w:hAnsi="Calibri"/>
          <w:sz w:val="20"/>
          <w:szCs w:val="20"/>
          <w:lang w:val="en-CA"/>
        </w:rPr>
        <w:t xml:space="preserve">. To manage the implementation of the project, UNDP will establish an </w:t>
      </w:r>
      <w:r w:rsidR="006E6BBB">
        <w:rPr>
          <w:rFonts w:ascii="Calibri" w:hAnsi="Calibri"/>
          <w:sz w:val="20"/>
          <w:szCs w:val="20"/>
          <w:lang w:val="en-CA"/>
        </w:rPr>
        <w:t>executing</w:t>
      </w:r>
      <w:r w:rsidRPr="00810670">
        <w:rPr>
          <w:rFonts w:ascii="Calibri" w:hAnsi="Calibri"/>
          <w:sz w:val="20"/>
          <w:szCs w:val="20"/>
          <w:lang w:val="en-CA"/>
        </w:rPr>
        <w:t xml:space="preserve"> and monitoring body. Under the responsibility of a coordinator, this body is responsible for:</w:t>
      </w:r>
    </w:p>
    <w:p w14:paraId="26DE2198"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 xml:space="preserve">ensuring the technical, </w:t>
      </w:r>
      <w:proofErr w:type="gramStart"/>
      <w:r w:rsidRPr="00810670">
        <w:rPr>
          <w:rFonts w:ascii="Calibri" w:hAnsi="Calibri"/>
          <w:sz w:val="20"/>
          <w:szCs w:val="20"/>
          <w:lang w:val="en-CA"/>
        </w:rPr>
        <w:t>administrative</w:t>
      </w:r>
      <w:proofErr w:type="gramEnd"/>
      <w:r w:rsidRPr="00810670">
        <w:rPr>
          <w:rFonts w:ascii="Calibri" w:hAnsi="Calibri"/>
          <w:sz w:val="20"/>
          <w:szCs w:val="20"/>
          <w:lang w:val="en-CA"/>
        </w:rPr>
        <w:t xml:space="preserve"> and financial execution of the project</w:t>
      </w:r>
    </w:p>
    <w:p w14:paraId="32BB8196"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developing the annual project implementation plan</w:t>
      </w:r>
    </w:p>
    <w:p w14:paraId="5E672843"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reporting on the state of execution of the project to the Dialogue framework and the supervisory authorities</w:t>
      </w:r>
    </w:p>
    <w:p w14:paraId="36808B33"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ensuring the proper use of the goods made available to the project</w:t>
      </w:r>
    </w:p>
    <w:p w14:paraId="7C68FCD7"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preparing the initial and periodic inventory of project assets</w:t>
      </w:r>
    </w:p>
    <w:p w14:paraId="62B8B1B9"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ensuring the implementation of the recommendations of the Dialogue framework, the review committee for the evaluation and monitoring missions and the various audits</w:t>
      </w:r>
    </w:p>
    <w:p w14:paraId="6286FC84"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writing the project's periodic and end-of-mission reports.</w:t>
      </w:r>
    </w:p>
    <w:p w14:paraId="6F924CE3" w14:textId="77777777" w:rsidR="00302BFE" w:rsidRPr="00816870"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16870">
        <w:rPr>
          <w:rFonts w:ascii="Calibri" w:hAnsi="Calibri"/>
          <w:sz w:val="20"/>
          <w:szCs w:val="20"/>
          <w:lang w:val="en-CA"/>
        </w:rPr>
        <w:t>The project organisation structure is as follows:</w:t>
      </w:r>
    </w:p>
    <w:p w14:paraId="5A9C80BF" w14:textId="761A303E" w:rsidR="00302BFE" w:rsidRPr="004032F1" w:rsidRDefault="00302BFE" w:rsidP="00302BFE">
      <w:pPr>
        <w:shd w:val="clear" w:color="auto" w:fill="FFFFFF"/>
        <w:jc w:val="left"/>
        <w:textAlignment w:val="top"/>
        <w:rPr>
          <w:rFonts w:cs="Arial"/>
          <w:noProof/>
          <w:sz w:val="24"/>
          <w:szCs w:val="20"/>
          <w:lang w:eastAsia="zh-CN"/>
        </w:rPr>
      </w:pPr>
    </w:p>
    <w:p w14:paraId="410408F6" w14:textId="3A49A37B" w:rsidR="00302BFE" w:rsidRPr="00816870" w:rsidRDefault="00B54F8A" w:rsidP="00302BFE">
      <w:pPr>
        <w:shd w:val="clear" w:color="auto" w:fill="FFFFFF"/>
        <w:spacing w:before="120" w:after="120"/>
        <w:jc w:val="left"/>
        <w:rPr>
          <w:rFonts w:cs="Arial"/>
          <w:noProof/>
          <w:szCs w:val="20"/>
          <w:lang w:eastAsia="zh-CN"/>
        </w:rPr>
      </w:pPr>
      <w:r>
        <w:rPr>
          <w:noProof/>
        </w:rPr>
        <w:drawing>
          <wp:inline distT="0" distB="0" distL="0" distR="0" wp14:anchorId="57AEDF6F" wp14:editId="4B5001A7">
            <wp:extent cx="6349042" cy="3233308"/>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354576" cy="3236126"/>
                    </a:xfrm>
                    <a:prstGeom prst="rect">
                      <a:avLst/>
                    </a:prstGeom>
                  </pic:spPr>
                </pic:pic>
              </a:graphicData>
            </a:graphic>
          </wp:inline>
        </w:drawing>
      </w:r>
    </w:p>
    <w:p w14:paraId="52D89C95" w14:textId="1364E31B" w:rsidR="00302BFE" w:rsidRPr="00816870"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76A18">
        <w:rPr>
          <w:rFonts w:ascii="Calibri" w:hAnsi="Calibri"/>
          <w:sz w:val="20"/>
          <w:szCs w:val="20"/>
          <w:u w:val="single"/>
          <w:lang w:val="en-CA"/>
        </w:rPr>
        <w:lastRenderedPageBreak/>
        <w:t>Senior Supplier</w:t>
      </w:r>
      <w:r w:rsidRPr="00816870">
        <w:rPr>
          <w:rFonts w:ascii="Calibri" w:hAnsi="Calibri"/>
          <w:sz w:val="20"/>
          <w:szCs w:val="20"/>
          <w:lang w:val="en-CA"/>
        </w:rPr>
        <w:t>: The Senior Supplier is an individual or group representing the interests of the parties concerned which provide funding and/or technical expertise to the project (designing, developing, facilitating, procuring, implementing). The Senior Supplier’s primary function within the Board is to provide guidance regarding the technical feasibility of the project. The Senior Supplier role must have the authority to commit or acquire supplier resources required. If necessary, more than one person may be required for this role. Typically, the implementing partner, UNDP and/or donor(s) would be represented under this role. The Senior Supplier is the UNDP Country Office in Burkina Faso.</w:t>
      </w:r>
    </w:p>
    <w:p w14:paraId="5AFBEA73" w14:textId="77777777" w:rsidR="00302BFE" w:rsidRPr="00810670"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16870">
        <w:rPr>
          <w:rFonts w:ascii="Calibri" w:hAnsi="Calibri"/>
          <w:sz w:val="20"/>
          <w:szCs w:val="20"/>
          <w:lang w:val="en-CA"/>
        </w:rPr>
        <w:t xml:space="preserve">Specific Responsibilities (as part of the above responsibilities for the </w:t>
      </w:r>
      <w:r w:rsidRPr="00810670">
        <w:rPr>
          <w:rFonts w:ascii="Calibri" w:hAnsi="Calibri"/>
          <w:sz w:val="20"/>
          <w:szCs w:val="20"/>
          <w:lang w:val="en-CA"/>
        </w:rPr>
        <w:t>Project Consultation Framework/Dialogue Framework):</w:t>
      </w:r>
    </w:p>
    <w:p w14:paraId="0D5E3451"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 xml:space="preserve">Make sure that progress towards the outputs remains consistent from the supplier </w:t>
      </w:r>
      <w:proofErr w:type="gramStart"/>
      <w:r w:rsidRPr="00810670">
        <w:rPr>
          <w:rFonts w:ascii="Calibri" w:hAnsi="Calibri"/>
          <w:sz w:val="20"/>
          <w:szCs w:val="20"/>
          <w:lang w:val="en-CA"/>
        </w:rPr>
        <w:t>perspective;</w:t>
      </w:r>
      <w:proofErr w:type="gramEnd"/>
    </w:p>
    <w:p w14:paraId="7209C889"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 xml:space="preserve">Promote and maintain focus on the expected project output(s) from the point of view of supplier </w:t>
      </w:r>
      <w:proofErr w:type="gramStart"/>
      <w:r w:rsidRPr="00810670">
        <w:rPr>
          <w:rFonts w:ascii="Calibri" w:hAnsi="Calibri"/>
          <w:sz w:val="20"/>
          <w:szCs w:val="20"/>
          <w:lang w:val="en-CA"/>
        </w:rPr>
        <w:t>management;</w:t>
      </w:r>
      <w:proofErr w:type="gramEnd"/>
    </w:p>
    <w:p w14:paraId="7C5F2A0D"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 xml:space="preserve">Ensure that the supplier resources required for the project are made </w:t>
      </w:r>
      <w:proofErr w:type="gramStart"/>
      <w:r w:rsidRPr="00810670">
        <w:rPr>
          <w:rFonts w:ascii="Calibri" w:hAnsi="Calibri"/>
          <w:sz w:val="20"/>
          <w:szCs w:val="20"/>
          <w:lang w:val="en-CA"/>
        </w:rPr>
        <w:t>available;</w:t>
      </w:r>
      <w:proofErr w:type="gramEnd"/>
    </w:p>
    <w:p w14:paraId="69DD1F58" w14:textId="3D2A7DB0"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 xml:space="preserve">Contribute supplier opinions on Project Consultation/Dialogue Framework decisions on whether to implement recommendations on proposed </w:t>
      </w:r>
      <w:proofErr w:type="gramStart"/>
      <w:r w:rsidRPr="00810670">
        <w:rPr>
          <w:rFonts w:ascii="Calibri" w:hAnsi="Calibri"/>
          <w:sz w:val="20"/>
          <w:szCs w:val="20"/>
          <w:lang w:val="en-CA"/>
        </w:rPr>
        <w:t>changes;</w:t>
      </w:r>
      <w:proofErr w:type="gramEnd"/>
    </w:p>
    <w:p w14:paraId="63085F17"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Arbitrate on, and ensure resolution of, any supplier priority or resource conflicts.</w:t>
      </w:r>
    </w:p>
    <w:p w14:paraId="5334D351" w14:textId="045DB063" w:rsidR="00302BFE" w:rsidRPr="00816870"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10670">
        <w:rPr>
          <w:rFonts w:ascii="Calibri" w:hAnsi="Calibri"/>
          <w:sz w:val="20"/>
          <w:szCs w:val="20"/>
          <w:u w:val="single"/>
          <w:lang w:val="en-CA"/>
        </w:rPr>
        <w:t>Senior Beneficiary</w:t>
      </w:r>
      <w:r w:rsidRPr="00810670">
        <w:rPr>
          <w:rFonts w:ascii="Calibri" w:hAnsi="Calibri"/>
          <w:sz w:val="20"/>
          <w:szCs w:val="20"/>
          <w:lang w:val="en-CA"/>
        </w:rPr>
        <w:t xml:space="preserve">: The Senior Beneficiary is an individual or group of individuals representing the interests of those who will ultimately benefit from the project. The Senior Beneficiary’s primary function within the Board is to ensure the realization of project results from the perspective of project beneficiaries. The Senior Beneficiary role is held by a representative of the government or civil society. The Senior Beneficiaries are </w:t>
      </w:r>
      <w:proofErr w:type="spellStart"/>
      <w:r w:rsidR="00667E0F" w:rsidRPr="003A26D9">
        <w:rPr>
          <w:rFonts w:ascii="Calibri" w:hAnsi="Calibri"/>
          <w:sz w:val="20"/>
          <w:szCs w:val="20"/>
          <w:highlight w:val="green"/>
          <w:lang w:val="en-CA"/>
        </w:rPr>
        <w:t>Ministere</w:t>
      </w:r>
      <w:proofErr w:type="spellEnd"/>
      <w:r w:rsidR="00667E0F" w:rsidRPr="003A26D9">
        <w:rPr>
          <w:rFonts w:ascii="Calibri" w:hAnsi="Calibri"/>
          <w:sz w:val="20"/>
          <w:szCs w:val="20"/>
          <w:highlight w:val="green"/>
          <w:lang w:val="en-CA"/>
        </w:rPr>
        <w:t xml:space="preserve"> de </w:t>
      </w:r>
      <w:proofErr w:type="spellStart"/>
      <w:r w:rsidR="00667E0F" w:rsidRPr="003A26D9">
        <w:rPr>
          <w:rFonts w:ascii="Calibri" w:hAnsi="Calibri"/>
          <w:sz w:val="20"/>
          <w:szCs w:val="20"/>
          <w:highlight w:val="green"/>
          <w:lang w:val="en-CA"/>
        </w:rPr>
        <w:t>l'environnement</w:t>
      </w:r>
      <w:proofErr w:type="spellEnd"/>
      <w:r w:rsidR="00667E0F" w:rsidRPr="003A26D9">
        <w:rPr>
          <w:rFonts w:ascii="Calibri" w:hAnsi="Calibri"/>
          <w:sz w:val="20"/>
          <w:szCs w:val="20"/>
          <w:highlight w:val="green"/>
          <w:lang w:val="en-CA"/>
        </w:rPr>
        <w:t xml:space="preserve">, de </w:t>
      </w:r>
      <w:proofErr w:type="spellStart"/>
      <w:r w:rsidR="00667E0F" w:rsidRPr="003A26D9">
        <w:rPr>
          <w:rFonts w:ascii="Calibri" w:hAnsi="Calibri"/>
          <w:sz w:val="20"/>
          <w:szCs w:val="20"/>
          <w:highlight w:val="green"/>
          <w:lang w:val="en-CA"/>
        </w:rPr>
        <w:t>l'eau</w:t>
      </w:r>
      <w:proofErr w:type="spellEnd"/>
      <w:r w:rsidR="00667E0F" w:rsidRPr="003A26D9">
        <w:rPr>
          <w:rFonts w:ascii="Calibri" w:hAnsi="Calibri"/>
          <w:sz w:val="20"/>
          <w:szCs w:val="20"/>
          <w:highlight w:val="green"/>
          <w:lang w:val="en-CA"/>
        </w:rPr>
        <w:t xml:space="preserve"> et de </w:t>
      </w:r>
      <w:proofErr w:type="spellStart"/>
      <w:r w:rsidR="00667E0F" w:rsidRPr="003A26D9">
        <w:rPr>
          <w:rFonts w:ascii="Calibri" w:hAnsi="Calibri"/>
          <w:sz w:val="20"/>
          <w:szCs w:val="20"/>
          <w:highlight w:val="green"/>
          <w:lang w:val="en-CA"/>
        </w:rPr>
        <w:t>l"Assainissement</w:t>
      </w:r>
      <w:proofErr w:type="spellEnd"/>
      <w:r w:rsidRPr="00810670">
        <w:rPr>
          <w:rFonts w:ascii="Calibri" w:hAnsi="Calibri"/>
          <w:sz w:val="20"/>
          <w:szCs w:val="20"/>
          <w:lang w:val="en-CA"/>
        </w:rPr>
        <w:t>, DGEF, OFINAP</w:t>
      </w:r>
      <w:r w:rsidRPr="00816870">
        <w:rPr>
          <w:rFonts w:ascii="Calibri" w:hAnsi="Calibri"/>
          <w:sz w:val="20"/>
          <w:szCs w:val="20"/>
          <w:lang w:val="en-CA"/>
        </w:rPr>
        <w:t xml:space="preserve"> and the relevant DREEVCC under the </w:t>
      </w:r>
      <w:r>
        <w:rPr>
          <w:rFonts w:ascii="Calibri" w:hAnsi="Calibri"/>
          <w:sz w:val="20"/>
          <w:szCs w:val="20"/>
          <w:lang w:val="en-CA"/>
        </w:rPr>
        <w:t>MEGECC</w:t>
      </w:r>
      <w:r w:rsidRPr="00816870">
        <w:rPr>
          <w:rFonts w:ascii="Calibri" w:hAnsi="Calibri"/>
          <w:sz w:val="20"/>
          <w:szCs w:val="20"/>
          <w:lang w:val="en-CA"/>
        </w:rPr>
        <w:t>, the local communities, their representatives at the commune level and the private sector.</w:t>
      </w:r>
    </w:p>
    <w:p w14:paraId="2C9B9BB9" w14:textId="77777777" w:rsidR="00302BFE" w:rsidRPr="00816870"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16870">
        <w:rPr>
          <w:rFonts w:ascii="Calibri" w:hAnsi="Calibri"/>
          <w:sz w:val="20"/>
          <w:szCs w:val="20"/>
          <w:lang w:val="en-CA"/>
        </w:rPr>
        <w:t>The Senior Beneficiary is responsible for validating the needs and for monitoring that the solution will meet those needs within the constraints of the project. The Senior Beneficiary role monitors progress against targets and quality criteria. This role may require more than one person to cover all the beneficiary interests. For the sake of effectiveness, the role should not be split between too many people.</w:t>
      </w:r>
    </w:p>
    <w:p w14:paraId="68B1E51E" w14:textId="77777777" w:rsidR="00302BFE" w:rsidRPr="00816870"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16870">
        <w:rPr>
          <w:rFonts w:ascii="Calibri" w:hAnsi="Calibri"/>
          <w:sz w:val="20"/>
          <w:szCs w:val="20"/>
          <w:lang w:val="en-CA"/>
        </w:rPr>
        <w:t>Specific Responsibilities (as part of the above responsibilities for the Project Consultation</w:t>
      </w:r>
      <w:r>
        <w:rPr>
          <w:rFonts w:ascii="Calibri" w:hAnsi="Calibri"/>
          <w:sz w:val="20"/>
          <w:szCs w:val="20"/>
          <w:lang w:val="en-CA"/>
        </w:rPr>
        <w:t>/</w:t>
      </w:r>
      <w:r w:rsidRPr="00810670">
        <w:rPr>
          <w:rFonts w:ascii="Calibri" w:hAnsi="Calibri"/>
          <w:sz w:val="20"/>
          <w:szCs w:val="20"/>
          <w:lang w:val="en-CA"/>
        </w:rPr>
        <w:t>Dialogue</w:t>
      </w:r>
      <w:r w:rsidRPr="00816870">
        <w:rPr>
          <w:rFonts w:ascii="Calibri" w:hAnsi="Calibri"/>
          <w:sz w:val="20"/>
          <w:szCs w:val="20"/>
          <w:lang w:val="en-CA"/>
        </w:rPr>
        <w:t xml:space="preserve"> Framework):</w:t>
      </w:r>
    </w:p>
    <w:p w14:paraId="0BAF92BB"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 xml:space="preserve">Prioritize and contribute beneficiaries’ opinions on </w:t>
      </w:r>
      <w:r>
        <w:rPr>
          <w:rFonts w:ascii="Calibri" w:hAnsi="Calibri"/>
          <w:sz w:val="20"/>
          <w:szCs w:val="20"/>
          <w:lang w:val="en-CA"/>
        </w:rPr>
        <w:t>Project Consultation/Dialogue Framework</w:t>
      </w:r>
      <w:r w:rsidRPr="00816870">
        <w:rPr>
          <w:rFonts w:ascii="Calibri" w:hAnsi="Calibri"/>
          <w:sz w:val="20"/>
          <w:szCs w:val="20"/>
          <w:lang w:val="en-CA"/>
        </w:rPr>
        <w:t xml:space="preserve"> decisions on whether to implement recommendations on proposed </w:t>
      </w:r>
      <w:proofErr w:type="gramStart"/>
      <w:r w:rsidRPr="00816870">
        <w:rPr>
          <w:rFonts w:ascii="Calibri" w:hAnsi="Calibri"/>
          <w:sz w:val="20"/>
          <w:szCs w:val="20"/>
          <w:lang w:val="en-CA"/>
        </w:rPr>
        <w:t>changes;</w:t>
      </w:r>
      <w:proofErr w:type="gramEnd"/>
    </w:p>
    <w:p w14:paraId="699CD9D0"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 xml:space="preserve">Specification of the Beneficiary’s needs is accurate, complete and </w:t>
      </w:r>
      <w:proofErr w:type="gramStart"/>
      <w:r w:rsidRPr="00816870">
        <w:rPr>
          <w:rFonts w:ascii="Calibri" w:hAnsi="Calibri"/>
          <w:sz w:val="20"/>
          <w:szCs w:val="20"/>
          <w:lang w:val="en-CA"/>
        </w:rPr>
        <w:t>unambiguous;</w:t>
      </w:r>
      <w:proofErr w:type="gramEnd"/>
    </w:p>
    <w:p w14:paraId="415CDE26"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 xml:space="preserve">Implementation of activities at all stages is monitored to ensure that they will meet the beneficiary’s needs and are progressing towards that </w:t>
      </w:r>
      <w:proofErr w:type="gramStart"/>
      <w:r w:rsidRPr="00816870">
        <w:rPr>
          <w:rFonts w:ascii="Calibri" w:hAnsi="Calibri"/>
          <w:sz w:val="20"/>
          <w:szCs w:val="20"/>
          <w:lang w:val="en-CA"/>
        </w:rPr>
        <w:t>target;</w:t>
      </w:r>
      <w:proofErr w:type="gramEnd"/>
    </w:p>
    <w:p w14:paraId="22C32CA0"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 xml:space="preserve">Impact of potential changes is evaluated from the beneficiary point of </w:t>
      </w:r>
      <w:proofErr w:type="gramStart"/>
      <w:r w:rsidRPr="00816870">
        <w:rPr>
          <w:rFonts w:ascii="Calibri" w:hAnsi="Calibri"/>
          <w:sz w:val="20"/>
          <w:szCs w:val="20"/>
          <w:lang w:val="en-CA"/>
        </w:rPr>
        <w:t>view;</w:t>
      </w:r>
      <w:proofErr w:type="gramEnd"/>
    </w:p>
    <w:p w14:paraId="3493C147"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Risks to the beneficiaries are frequently monitored.</w:t>
      </w:r>
    </w:p>
    <w:p w14:paraId="236AA1C1" w14:textId="77777777" w:rsidR="00302BFE" w:rsidRPr="00BD7A41"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16870">
        <w:rPr>
          <w:rFonts w:ascii="Calibri" w:hAnsi="Calibri"/>
          <w:sz w:val="20"/>
          <w:szCs w:val="20"/>
          <w:lang w:val="en-CA"/>
        </w:rPr>
        <w:t xml:space="preserve">The </w:t>
      </w:r>
      <w:r w:rsidRPr="002C0466">
        <w:rPr>
          <w:rFonts w:ascii="Calibri" w:hAnsi="Calibri"/>
          <w:sz w:val="20"/>
          <w:szCs w:val="20"/>
          <w:lang w:val="en-CA"/>
        </w:rPr>
        <w:t xml:space="preserve">Permanent Secretary of the National Council for </w:t>
      </w:r>
      <w:r>
        <w:rPr>
          <w:rFonts w:ascii="Calibri" w:hAnsi="Calibri"/>
          <w:sz w:val="20"/>
          <w:szCs w:val="20"/>
          <w:lang w:val="en-CA"/>
        </w:rPr>
        <w:t xml:space="preserve">Sustainable </w:t>
      </w:r>
      <w:r w:rsidRPr="002C0466">
        <w:rPr>
          <w:rFonts w:ascii="Calibri" w:hAnsi="Calibri"/>
          <w:sz w:val="20"/>
          <w:szCs w:val="20"/>
          <w:lang w:val="en-CA"/>
        </w:rPr>
        <w:t>Development</w:t>
      </w:r>
      <w:r w:rsidRPr="00816870">
        <w:rPr>
          <w:rFonts w:ascii="Calibri" w:hAnsi="Calibri"/>
          <w:sz w:val="20"/>
          <w:szCs w:val="20"/>
          <w:lang w:val="en-CA"/>
        </w:rPr>
        <w:t xml:space="preserve"> is the Project Director. As such, he authorizes expenditures on the project budget. The Project Director ensures the overall implementation of the activities and ensures the coherence of the project actions with the project document, and with the policies and strategic orientations of the UNDP.</w:t>
      </w:r>
    </w:p>
    <w:p w14:paraId="4CCC1E3D" w14:textId="77777777" w:rsidR="00302BFE"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BD7A41">
        <w:rPr>
          <w:rFonts w:ascii="Calibri" w:hAnsi="Calibri"/>
          <w:sz w:val="20"/>
          <w:szCs w:val="20"/>
          <w:u w:val="single"/>
          <w:lang w:val="en-CA"/>
        </w:rPr>
        <w:t>Project Manager/Coordinator</w:t>
      </w:r>
      <w:r w:rsidRPr="00816870">
        <w:rPr>
          <w:rFonts w:ascii="Calibri" w:hAnsi="Calibri"/>
          <w:sz w:val="20"/>
          <w:szCs w:val="20"/>
          <w:lang w:val="en-CA"/>
        </w:rPr>
        <w:t xml:space="preserve">: The Project Manager has the responsibility to run the project on a day-to-day basis on behalf of the </w:t>
      </w:r>
      <w:r>
        <w:rPr>
          <w:rFonts w:ascii="Calibri" w:hAnsi="Calibri"/>
          <w:sz w:val="20"/>
          <w:szCs w:val="20"/>
          <w:lang w:val="en-CA"/>
        </w:rPr>
        <w:t>Project Consultation/Dialogue Framework</w:t>
      </w:r>
      <w:r w:rsidRPr="00816870">
        <w:rPr>
          <w:rFonts w:ascii="Calibri" w:hAnsi="Calibri"/>
          <w:sz w:val="20"/>
          <w:szCs w:val="20"/>
          <w:lang w:val="en-CA"/>
        </w:rPr>
        <w:t xml:space="preserve"> within the constraints it lays down. The Project Manager is responsible for day-to-day management and decision-making for the project. The Project Manager’s prime responsibility is to ensure that the project produces the results specified in the project document, to the required standard of quality and within the specified constraints of time and cost. The Project Coordinator is also responsible for timely and quality production of the various reports (quarterly, annual, review reports) of its component, as well as the organization and delivery of the project monitoring missions and the production of related reports. The Project Director and Coordinator jointly implement the operational activities at both the central and decentralized levels and are jointly responsible for the quality of the results and concrete impacts of the project. They are accountable for the efficient and effective use of resources, as well as for the rational use of goods and equipment acquired under this project, in accordance with UNDP procedures.</w:t>
      </w:r>
    </w:p>
    <w:p w14:paraId="4DB0DBAE" w14:textId="77777777" w:rsidR="00302BFE" w:rsidRPr="00816870"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16870">
        <w:rPr>
          <w:rFonts w:ascii="Calibri" w:hAnsi="Calibri"/>
          <w:sz w:val="20"/>
          <w:szCs w:val="20"/>
          <w:lang w:val="en-CA"/>
        </w:rPr>
        <w:t>Specific responsibilities include:</w:t>
      </w:r>
    </w:p>
    <w:p w14:paraId="14E89408"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Provide direction and guidance to project team(s)/ responsible party (</w:t>
      </w:r>
      <w:proofErr w:type="spellStart"/>
      <w:r w:rsidRPr="00816870">
        <w:rPr>
          <w:rFonts w:ascii="Calibri" w:hAnsi="Calibri"/>
          <w:sz w:val="20"/>
          <w:szCs w:val="20"/>
          <w:lang w:val="en-CA"/>
        </w:rPr>
        <w:t>ies</w:t>
      </w:r>
      <w:proofErr w:type="spellEnd"/>
      <w:proofErr w:type="gramStart"/>
      <w:r w:rsidRPr="00816870">
        <w:rPr>
          <w:rFonts w:ascii="Calibri" w:hAnsi="Calibri"/>
          <w:sz w:val="20"/>
          <w:szCs w:val="20"/>
          <w:lang w:val="en-CA"/>
        </w:rPr>
        <w:t>);</w:t>
      </w:r>
      <w:proofErr w:type="gramEnd"/>
    </w:p>
    <w:p w14:paraId="3983A703"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 xml:space="preserve">Liaise with the </w:t>
      </w:r>
      <w:r>
        <w:rPr>
          <w:rFonts w:ascii="Calibri" w:hAnsi="Calibri"/>
          <w:sz w:val="20"/>
          <w:szCs w:val="20"/>
          <w:lang w:val="en-CA"/>
        </w:rPr>
        <w:t>Project Consultation/Dialogue Framework</w:t>
      </w:r>
      <w:r w:rsidRPr="00816870">
        <w:rPr>
          <w:rFonts w:ascii="Calibri" w:hAnsi="Calibri"/>
          <w:sz w:val="20"/>
          <w:szCs w:val="20"/>
          <w:lang w:val="en-CA"/>
        </w:rPr>
        <w:t xml:space="preserve"> to assure the overall direction and integrity of the </w:t>
      </w:r>
      <w:proofErr w:type="gramStart"/>
      <w:r w:rsidRPr="00816870">
        <w:rPr>
          <w:rFonts w:ascii="Calibri" w:hAnsi="Calibri"/>
          <w:sz w:val="20"/>
          <w:szCs w:val="20"/>
          <w:lang w:val="en-CA"/>
        </w:rPr>
        <w:t>project;</w:t>
      </w:r>
      <w:proofErr w:type="gramEnd"/>
    </w:p>
    <w:p w14:paraId="0AAAE919"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 xml:space="preserve">Identify and obtain any support and advice required for the management, planning and control of the </w:t>
      </w:r>
      <w:proofErr w:type="gramStart"/>
      <w:r w:rsidRPr="00816870">
        <w:rPr>
          <w:rFonts w:ascii="Calibri" w:hAnsi="Calibri"/>
          <w:sz w:val="20"/>
          <w:szCs w:val="20"/>
          <w:lang w:val="en-CA"/>
        </w:rPr>
        <w:t>project;</w:t>
      </w:r>
      <w:proofErr w:type="gramEnd"/>
    </w:p>
    <w:p w14:paraId="59BD10BD"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 xml:space="preserve">Responsible for project </w:t>
      </w:r>
      <w:proofErr w:type="gramStart"/>
      <w:r w:rsidRPr="00816870">
        <w:rPr>
          <w:rFonts w:ascii="Calibri" w:hAnsi="Calibri"/>
          <w:sz w:val="20"/>
          <w:szCs w:val="20"/>
          <w:lang w:val="en-CA"/>
        </w:rPr>
        <w:t>administration;</w:t>
      </w:r>
      <w:proofErr w:type="gramEnd"/>
    </w:p>
    <w:p w14:paraId="45380664"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 xml:space="preserve">Plan the activities of the project and monitor progress against the project results framework and the approved annual </w:t>
      </w:r>
      <w:proofErr w:type="gramStart"/>
      <w:r w:rsidRPr="00816870">
        <w:rPr>
          <w:rFonts w:ascii="Calibri" w:hAnsi="Calibri"/>
          <w:sz w:val="20"/>
          <w:szCs w:val="20"/>
          <w:lang w:val="en-CA"/>
        </w:rPr>
        <w:t>workplan;</w:t>
      </w:r>
      <w:proofErr w:type="gramEnd"/>
    </w:p>
    <w:p w14:paraId="1159FB1B"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lastRenderedPageBreak/>
        <w:t xml:space="preserve">Mobilize personnel, goods and services, training and micro-capital grants to initiative activities, including drafting terms of reference and work specifications, and overseeing all contractors’ </w:t>
      </w:r>
      <w:proofErr w:type="gramStart"/>
      <w:r w:rsidRPr="00816870">
        <w:rPr>
          <w:rFonts w:ascii="Calibri" w:hAnsi="Calibri"/>
          <w:sz w:val="20"/>
          <w:szCs w:val="20"/>
          <w:lang w:val="en-CA"/>
        </w:rPr>
        <w:t>work;</w:t>
      </w:r>
      <w:proofErr w:type="gramEnd"/>
    </w:p>
    <w:p w14:paraId="4402E6F1"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 xml:space="preserve">Monitor events as determined in the project monitoring schedule plan/timetable, and update the plan as </w:t>
      </w:r>
      <w:proofErr w:type="gramStart"/>
      <w:r w:rsidRPr="00816870">
        <w:rPr>
          <w:rFonts w:ascii="Calibri" w:hAnsi="Calibri"/>
          <w:sz w:val="20"/>
          <w:szCs w:val="20"/>
          <w:lang w:val="en-CA"/>
        </w:rPr>
        <w:t>required;</w:t>
      </w:r>
      <w:proofErr w:type="gramEnd"/>
    </w:p>
    <w:p w14:paraId="3E6284DE"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 xml:space="preserve">Manage requests for the provision of financial resources by UNDP, through advance of funds, direct payments or reimbursement using the fund authorization and certificate of </w:t>
      </w:r>
      <w:proofErr w:type="gramStart"/>
      <w:r w:rsidRPr="00816870">
        <w:rPr>
          <w:rFonts w:ascii="Calibri" w:hAnsi="Calibri"/>
          <w:sz w:val="20"/>
          <w:szCs w:val="20"/>
          <w:lang w:val="en-CA"/>
        </w:rPr>
        <w:t>expenditures;</w:t>
      </w:r>
      <w:proofErr w:type="gramEnd"/>
    </w:p>
    <w:p w14:paraId="648FFFE7"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 xml:space="preserve">Monitor financial resources and accounting to ensure the accuracy and reliability of financial </w:t>
      </w:r>
      <w:proofErr w:type="gramStart"/>
      <w:r w:rsidRPr="00816870">
        <w:rPr>
          <w:rFonts w:ascii="Calibri" w:hAnsi="Calibri"/>
          <w:sz w:val="20"/>
          <w:szCs w:val="20"/>
          <w:lang w:val="en-CA"/>
        </w:rPr>
        <w:t>reports;</w:t>
      </w:r>
      <w:proofErr w:type="gramEnd"/>
    </w:p>
    <w:p w14:paraId="03593729"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 xml:space="preserve">Be responsible for preparing and submitting financial reports to UNDP on a quarterly </w:t>
      </w:r>
      <w:proofErr w:type="gramStart"/>
      <w:r w:rsidRPr="00816870">
        <w:rPr>
          <w:rFonts w:ascii="Calibri" w:hAnsi="Calibri"/>
          <w:sz w:val="20"/>
          <w:szCs w:val="20"/>
          <w:lang w:val="en-CA"/>
        </w:rPr>
        <w:t>basis;</w:t>
      </w:r>
      <w:proofErr w:type="gramEnd"/>
    </w:p>
    <w:p w14:paraId="10A5C523"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 xml:space="preserve">Manage and monitor the project risks initially identified and submit new risks to the </w:t>
      </w:r>
      <w:r>
        <w:rPr>
          <w:rFonts w:ascii="Calibri" w:hAnsi="Calibri"/>
          <w:sz w:val="20"/>
          <w:szCs w:val="20"/>
          <w:lang w:val="en-CA"/>
        </w:rPr>
        <w:t>Project Consultation/Dialogue Framework</w:t>
      </w:r>
      <w:r w:rsidRPr="00816870">
        <w:rPr>
          <w:rFonts w:ascii="Calibri" w:hAnsi="Calibri"/>
          <w:sz w:val="20"/>
          <w:szCs w:val="20"/>
          <w:lang w:val="en-CA"/>
        </w:rPr>
        <w:t xml:space="preserve"> for consideration and decision on possible actions if required; update the status of these risks by maintaining the project risks </w:t>
      </w:r>
      <w:proofErr w:type="gramStart"/>
      <w:r w:rsidRPr="00816870">
        <w:rPr>
          <w:rFonts w:ascii="Calibri" w:hAnsi="Calibri"/>
          <w:sz w:val="20"/>
          <w:szCs w:val="20"/>
          <w:lang w:val="en-CA"/>
        </w:rPr>
        <w:t>log;</w:t>
      </w:r>
      <w:proofErr w:type="gramEnd"/>
    </w:p>
    <w:p w14:paraId="42888DC1" w14:textId="77777777" w:rsidR="00302BFE" w:rsidRPr="00816870" w:rsidRDefault="00302BFE" w:rsidP="00C46720">
      <w:pPr>
        <w:pStyle w:val="Paragraphedeliste"/>
        <w:numPr>
          <w:ilvl w:val="0"/>
          <w:numId w:val="30"/>
        </w:numPr>
        <w:ind w:left="714" w:hanging="357"/>
        <w:jc w:val="both"/>
        <w:rPr>
          <w:rFonts w:ascii="Calibri" w:hAnsi="Calibri"/>
          <w:sz w:val="20"/>
          <w:szCs w:val="20"/>
          <w:lang w:val="en-CA"/>
        </w:rPr>
      </w:pPr>
      <w:r w:rsidRPr="00816870">
        <w:rPr>
          <w:rFonts w:ascii="Calibri" w:hAnsi="Calibri"/>
          <w:sz w:val="20"/>
          <w:szCs w:val="20"/>
          <w:lang w:val="en-CA"/>
        </w:rPr>
        <w:t xml:space="preserve">Capture lessons learned during project </w:t>
      </w:r>
      <w:proofErr w:type="gramStart"/>
      <w:r w:rsidRPr="00816870">
        <w:rPr>
          <w:rFonts w:ascii="Calibri" w:hAnsi="Calibri"/>
          <w:sz w:val="20"/>
          <w:szCs w:val="20"/>
          <w:lang w:val="en-CA"/>
        </w:rPr>
        <w:t>implementation;</w:t>
      </w:r>
      <w:proofErr w:type="gramEnd"/>
      <w:r w:rsidRPr="00816870">
        <w:rPr>
          <w:rFonts w:ascii="Calibri" w:hAnsi="Calibri"/>
          <w:sz w:val="20"/>
          <w:szCs w:val="20"/>
          <w:lang w:val="en-CA"/>
        </w:rPr>
        <w:t xml:space="preserve"> </w:t>
      </w:r>
    </w:p>
    <w:p w14:paraId="0BB30E3E"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 xml:space="preserve">Prepare the annual workplan for the following year; and update the Atlas Project Management module if external access is made </w:t>
      </w:r>
      <w:proofErr w:type="gramStart"/>
      <w:r w:rsidRPr="00810670">
        <w:rPr>
          <w:rFonts w:ascii="Calibri" w:hAnsi="Calibri"/>
          <w:sz w:val="20"/>
          <w:szCs w:val="20"/>
          <w:lang w:val="en-CA"/>
        </w:rPr>
        <w:t>available;</w:t>
      </w:r>
      <w:proofErr w:type="gramEnd"/>
    </w:p>
    <w:p w14:paraId="6F360DED"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 xml:space="preserve">Prepare the GEF PIR and submit the final report to the Project Consultation/Dialogue </w:t>
      </w:r>
      <w:proofErr w:type="gramStart"/>
      <w:r w:rsidRPr="00810670">
        <w:rPr>
          <w:rFonts w:ascii="Calibri" w:hAnsi="Calibri"/>
          <w:sz w:val="20"/>
          <w:szCs w:val="20"/>
          <w:lang w:val="en-CA"/>
        </w:rPr>
        <w:t>Framework;</w:t>
      </w:r>
      <w:proofErr w:type="gramEnd"/>
    </w:p>
    <w:p w14:paraId="07C14027"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 xml:space="preserve">Based on the GEF PIR and the Project Consultation/Dialogue Framework review, prepare the AWP for the following </w:t>
      </w:r>
      <w:proofErr w:type="gramStart"/>
      <w:r w:rsidRPr="00810670">
        <w:rPr>
          <w:rFonts w:ascii="Calibri" w:hAnsi="Calibri"/>
          <w:sz w:val="20"/>
          <w:szCs w:val="20"/>
          <w:lang w:val="en-CA"/>
        </w:rPr>
        <w:t>year;</w:t>
      </w:r>
      <w:proofErr w:type="gramEnd"/>
    </w:p>
    <w:p w14:paraId="1BC6BFCF"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 xml:space="preserve">Ensure the mid-term review process is undertaken as per the UNDP guidance, and submit the final MTR report to the Project Consultation/Dialogue </w:t>
      </w:r>
      <w:proofErr w:type="gramStart"/>
      <w:r w:rsidRPr="00810670">
        <w:rPr>
          <w:rFonts w:ascii="Calibri" w:hAnsi="Calibri"/>
          <w:sz w:val="20"/>
          <w:szCs w:val="20"/>
          <w:lang w:val="en-CA"/>
        </w:rPr>
        <w:t>Framework;</w:t>
      </w:r>
      <w:proofErr w:type="gramEnd"/>
    </w:p>
    <w:p w14:paraId="32B91F0C" w14:textId="77777777" w:rsidR="00302BFE" w:rsidRPr="00810670" w:rsidRDefault="00302BFE" w:rsidP="00C46720">
      <w:pPr>
        <w:pStyle w:val="Paragraphedeliste"/>
        <w:numPr>
          <w:ilvl w:val="0"/>
          <w:numId w:val="30"/>
        </w:numPr>
        <w:ind w:left="714" w:hanging="357"/>
        <w:jc w:val="both"/>
        <w:rPr>
          <w:rFonts w:ascii="Calibri" w:hAnsi="Calibri"/>
          <w:sz w:val="20"/>
          <w:szCs w:val="20"/>
          <w:lang w:val="en-CA"/>
        </w:rPr>
      </w:pPr>
      <w:r w:rsidRPr="00810670">
        <w:rPr>
          <w:rFonts w:ascii="Calibri" w:hAnsi="Calibri"/>
          <w:sz w:val="20"/>
          <w:szCs w:val="20"/>
          <w:lang w:val="en-CA"/>
        </w:rPr>
        <w:t xml:space="preserve">Identify follow-on actions and submit them for consideration to the Project Consultation/Dialogue </w:t>
      </w:r>
      <w:proofErr w:type="gramStart"/>
      <w:r w:rsidRPr="00810670">
        <w:rPr>
          <w:rFonts w:ascii="Calibri" w:hAnsi="Calibri"/>
          <w:sz w:val="20"/>
          <w:szCs w:val="20"/>
          <w:lang w:val="en-CA"/>
        </w:rPr>
        <w:t>Framework;</w:t>
      </w:r>
      <w:proofErr w:type="gramEnd"/>
    </w:p>
    <w:p w14:paraId="02E8E7B4" w14:textId="77777777" w:rsidR="00302BFE" w:rsidRPr="00810670" w:rsidRDefault="00302BFE" w:rsidP="00C46720">
      <w:pPr>
        <w:pStyle w:val="Paragraphedeliste"/>
        <w:numPr>
          <w:ilvl w:val="0"/>
          <w:numId w:val="30"/>
        </w:numPr>
        <w:spacing w:after="120"/>
        <w:ind w:left="714" w:hanging="357"/>
        <w:jc w:val="both"/>
        <w:rPr>
          <w:rFonts w:ascii="Calibri" w:hAnsi="Calibri"/>
          <w:sz w:val="20"/>
          <w:szCs w:val="20"/>
          <w:lang w:val="en-CA"/>
        </w:rPr>
      </w:pPr>
      <w:r w:rsidRPr="00810670">
        <w:rPr>
          <w:rFonts w:ascii="Calibri" w:hAnsi="Calibri"/>
          <w:sz w:val="20"/>
          <w:szCs w:val="20"/>
          <w:lang w:val="en-CA"/>
        </w:rPr>
        <w:t xml:space="preserve">Ensure the terminal evaluation process is undertaken as per the UNDP </w:t>
      </w:r>
      <w:proofErr w:type="gramStart"/>
      <w:r w:rsidRPr="00810670">
        <w:rPr>
          <w:rFonts w:ascii="Calibri" w:hAnsi="Calibri"/>
          <w:sz w:val="20"/>
          <w:szCs w:val="20"/>
          <w:lang w:val="en-CA"/>
        </w:rPr>
        <w:t>guidance, and</w:t>
      </w:r>
      <w:proofErr w:type="gramEnd"/>
      <w:r w:rsidRPr="00810670">
        <w:rPr>
          <w:rFonts w:ascii="Calibri" w:hAnsi="Calibri"/>
          <w:sz w:val="20"/>
          <w:szCs w:val="20"/>
          <w:lang w:val="en-CA"/>
        </w:rPr>
        <w:t xml:space="preserve"> submit the final TE report to the Project Consultation/Dialogue Framework.</w:t>
      </w:r>
    </w:p>
    <w:p w14:paraId="3C0D9DC9" w14:textId="77777777" w:rsidR="00302BFE" w:rsidRPr="00816870"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810670">
        <w:rPr>
          <w:rFonts w:ascii="Calibri" w:hAnsi="Calibri"/>
          <w:b/>
          <w:sz w:val="20"/>
          <w:szCs w:val="20"/>
          <w:lang w:val="en-CA"/>
        </w:rPr>
        <w:t>Project Assurance</w:t>
      </w:r>
      <w:r w:rsidRPr="00810670">
        <w:rPr>
          <w:rFonts w:ascii="Calibri" w:hAnsi="Calibri"/>
          <w:sz w:val="20"/>
          <w:szCs w:val="20"/>
          <w:lang w:val="en-CA"/>
        </w:rPr>
        <w:t xml:space="preserve">:  UNDP provides a three – tier supervision, </w:t>
      </w:r>
      <w:proofErr w:type="gramStart"/>
      <w:r w:rsidRPr="00810670">
        <w:rPr>
          <w:rFonts w:ascii="Calibri" w:hAnsi="Calibri"/>
          <w:sz w:val="20"/>
          <w:szCs w:val="20"/>
          <w:lang w:val="en-CA"/>
        </w:rPr>
        <w:t>oversight</w:t>
      </w:r>
      <w:proofErr w:type="gramEnd"/>
      <w:r w:rsidRPr="00810670">
        <w:rPr>
          <w:rFonts w:ascii="Calibri" w:hAnsi="Calibri"/>
          <w:sz w:val="20"/>
          <w:szCs w:val="20"/>
          <w:lang w:val="en-CA"/>
        </w:rPr>
        <w:t xml:space="preserve"> and quality assurance role – funded by the GEF agency fee – involving UNDP staff in Country Offices and at regional and headquarters levels. Project Assurance must be totally independent of the Project Management function. The quality assurance role supports the Project Consultation/Dialogue Framework and Project Coordination Unit by carrying</w:t>
      </w:r>
      <w:r w:rsidRPr="00816870">
        <w:rPr>
          <w:rFonts w:ascii="Calibri" w:hAnsi="Calibri"/>
          <w:sz w:val="20"/>
          <w:szCs w:val="20"/>
          <w:lang w:val="en-CA"/>
        </w:rPr>
        <w:t xml:space="preserve"> out objective and independent project oversight and monitoring functions. This role ensures appropriate project management milestones are managed and completed. </w:t>
      </w:r>
    </w:p>
    <w:p w14:paraId="716B071A" w14:textId="77777777" w:rsidR="00302BFE" w:rsidRPr="00816870" w:rsidRDefault="00302BFE" w:rsidP="00302BFE">
      <w:pPr>
        <w:spacing w:before="120" w:after="120"/>
        <w:jc w:val="left"/>
        <w:rPr>
          <w:b/>
          <w:szCs w:val="20"/>
        </w:rPr>
      </w:pPr>
      <w:r w:rsidRPr="00816870">
        <w:rPr>
          <w:b/>
          <w:szCs w:val="20"/>
        </w:rPr>
        <w:t>Governance role for project target groups:</w:t>
      </w:r>
    </w:p>
    <w:p w14:paraId="31FC748C"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D61C93">
        <w:rPr>
          <w:rFonts w:ascii="Calibri" w:hAnsi="Calibri"/>
          <w:b/>
          <w:sz w:val="20"/>
          <w:szCs w:val="20"/>
          <w:lang w:val="en-CA"/>
        </w:rPr>
        <w:t>Local project committees</w:t>
      </w:r>
      <w:r w:rsidRPr="00D61C93">
        <w:rPr>
          <w:rFonts w:ascii="Calibri" w:hAnsi="Calibri"/>
          <w:sz w:val="20"/>
          <w:szCs w:val="20"/>
          <w:lang w:val="en-CA"/>
        </w:rPr>
        <w:t xml:space="preserve"> will be established at the commune level where the project interventions will take place. Through these committees, local partners will have the opportunity to participate in decision making regarding project management, including implementation of plans and project reviews /evaluation, </w:t>
      </w:r>
      <w:proofErr w:type="gramStart"/>
      <w:r w:rsidRPr="00D61C93">
        <w:rPr>
          <w:rFonts w:ascii="Calibri" w:hAnsi="Calibri"/>
          <w:sz w:val="20"/>
          <w:szCs w:val="20"/>
          <w:lang w:val="en-CA"/>
        </w:rPr>
        <w:t>and also</w:t>
      </w:r>
      <w:proofErr w:type="gramEnd"/>
      <w:r w:rsidRPr="00D61C93">
        <w:rPr>
          <w:rFonts w:ascii="Calibri" w:hAnsi="Calibri"/>
          <w:sz w:val="20"/>
          <w:szCs w:val="20"/>
          <w:lang w:val="en-CA"/>
        </w:rPr>
        <w:t xml:space="preserve"> to provide guidance on technical aspects of the project, including to consultants. </w:t>
      </w:r>
    </w:p>
    <w:p w14:paraId="3D0FDB54"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D61C93">
        <w:rPr>
          <w:rFonts w:ascii="Calibri" w:hAnsi="Calibri"/>
          <w:sz w:val="20"/>
          <w:szCs w:val="20"/>
          <w:lang w:val="en-CA"/>
        </w:rPr>
        <w:t>In addition, at the local level, communities, local organizations, and the private sector will have an effective participation in decision-making as part of the landscape-level planning, in the development and negotiation of agreements, and dialogue for the development, promotion and implementation of practices for the sustainable management of protected areas and natural resources and environmentally sound production practices and biodiversity-friendly value chains in the PONASI landscape.</w:t>
      </w:r>
    </w:p>
    <w:p w14:paraId="245DEF66"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D61C93">
        <w:rPr>
          <w:rFonts w:ascii="Calibri" w:hAnsi="Calibri"/>
          <w:sz w:val="20"/>
          <w:szCs w:val="20"/>
          <w:lang w:val="en-CA"/>
        </w:rPr>
        <w:t xml:space="preserve">These committees will ensure the contribution of traditional knowledge in determining sustainable natural resource management measures as well as </w:t>
      </w:r>
      <w:proofErr w:type="gramStart"/>
      <w:r w:rsidRPr="00D61C93">
        <w:rPr>
          <w:rFonts w:ascii="Calibri" w:hAnsi="Calibri"/>
          <w:sz w:val="20"/>
          <w:szCs w:val="20"/>
          <w:lang w:val="en-CA"/>
        </w:rPr>
        <w:t>taking into account</w:t>
      </w:r>
      <w:proofErr w:type="gramEnd"/>
      <w:r w:rsidRPr="00D61C93">
        <w:rPr>
          <w:rFonts w:ascii="Calibri" w:hAnsi="Calibri"/>
          <w:sz w:val="20"/>
          <w:szCs w:val="20"/>
          <w:lang w:val="en-CA"/>
        </w:rPr>
        <w:t xml:space="preserve"> local rights, priorities and needs of communities in decision-making and planning processes. They will ensure the contribution of local actors to document / inform the outcome indicators that affect them. These committees will play a central role in the process of prior dissemination of information regarding the project's interventions with local communities and the obtaining of consent agreements to participate in them, as well as in the reporting mechanism of incidents and grievances.</w:t>
      </w:r>
    </w:p>
    <w:p w14:paraId="42B5D347" w14:textId="77777777" w:rsidR="00302BFE" w:rsidRPr="00D61C93" w:rsidRDefault="00302BFE" w:rsidP="00302BFE">
      <w:pPr>
        <w:pStyle w:val="Paragraphedeliste"/>
        <w:tabs>
          <w:tab w:val="left" w:pos="284"/>
        </w:tabs>
        <w:spacing w:before="120" w:after="120"/>
        <w:ind w:left="0"/>
        <w:jc w:val="both"/>
        <w:rPr>
          <w:rFonts w:ascii="Calibri" w:hAnsi="Calibri"/>
          <w:b/>
          <w:sz w:val="20"/>
          <w:szCs w:val="20"/>
          <w:lang w:val="en-CA"/>
        </w:rPr>
      </w:pPr>
      <w:bookmarkStart w:id="32" w:name="_Toc508200045"/>
      <w:bookmarkStart w:id="33" w:name="_Toc487470633"/>
      <w:r w:rsidRPr="00D61C93">
        <w:rPr>
          <w:rFonts w:ascii="Calibri" w:hAnsi="Calibri"/>
          <w:b/>
          <w:sz w:val="20"/>
          <w:szCs w:val="20"/>
          <w:lang w:val="en-CA"/>
        </w:rPr>
        <w:t xml:space="preserve">Composition and operation of the </w:t>
      </w:r>
      <w:r w:rsidR="00094C08" w:rsidRPr="00D61C93">
        <w:rPr>
          <w:rFonts w:ascii="Calibri" w:hAnsi="Calibri"/>
          <w:b/>
          <w:sz w:val="20"/>
          <w:szCs w:val="20"/>
          <w:lang w:val="en-CA"/>
        </w:rPr>
        <w:t xml:space="preserve">project coordination unit </w:t>
      </w:r>
    </w:p>
    <w:p w14:paraId="54771F9C"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D61C93">
        <w:rPr>
          <w:rFonts w:ascii="Calibri" w:hAnsi="Calibri"/>
          <w:sz w:val="20"/>
          <w:szCs w:val="20"/>
          <w:lang w:val="en-CA"/>
        </w:rPr>
        <w:t xml:space="preserve">The role of the </w:t>
      </w:r>
      <w:r w:rsidR="0056396B" w:rsidRPr="00D61C93">
        <w:rPr>
          <w:rFonts w:ascii="Calibri" w:hAnsi="Calibri"/>
          <w:sz w:val="20"/>
          <w:szCs w:val="20"/>
          <w:lang w:val="en-CA"/>
        </w:rPr>
        <w:t>project coordination unit</w:t>
      </w:r>
      <w:r w:rsidR="00094C08" w:rsidRPr="00D61C93">
        <w:rPr>
          <w:rFonts w:ascii="Calibri" w:hAnsi="Calibri"/>
          <w:sz w:val="20"/>
          <w:szCs w:val="20"/>
          <w:lang w:val="en-CA"/>
        </w:rPr>
        <w:t>,</w:t>
      </w:r>
      <w:r w:rsidRPr="00D61C93">
        <w:rPr>
          <w:rFonts w:ascii="Calibri" w:hAnsi="Calibri"/>
          <w:sz w:val="20"/>
          <w:szCs w:val="20"/>
          <w:lang w:val="en-CA"/>
        </w:rPr>
        <w:t xml:space="preserve"> </w:t>
      </w:r>
      <w:r w:rsidR="00094C08" w:rsidRPr="00D61C93">
        <w:rPr>
          <w:rFonts w:ascii="Calibri" w:hAnsi="Calibri"/>
          <w:sz w:val="20"/>
          <w:szCs w:val="20"/>
          <w:lang w:val="en-CA"/>
        </w:rPr>
        <w:t>or executing body as per Government designation,</w:t>
      </w:r>
      <w:r w:rsidR="00094C08" w:rsidRPr="00D61C93">
        <w:rPr>
          <w:rFonts w:ascii="Calibri" w:hAnsi="Calibri"/>
          <w:b/>
          <w:sz w:val="20"/>
          <w:szCs w:val="20"/>
          <w:lang w:val="en-CA"/>
        </w:rPr>
        <w:t xml:space="preserve"> </w:t>
      </w:r>
      <w:r w:rsidRPr="00D61C93">
        <w:rPr>
          <w:rFonts w:ascii="Calibri" w:hAnsi="Calibri"/>
          <w:sz w:val="20"/>
          <w:szCs w:val="20"/>
          <w:lang w:val="en-CA"/>
        </w:rPr>
        <w:t>is to coordinate the activities of the project, to ensure the mobilization and proper management of resources, to ensure the accountability of the beneficiaries, and to ensure the Secretariat of the consultation/dialogue framework of the project.</w:t>
      </w:r>
    </w:p>
    <w:p w14:paraId="7904952F"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D61C93">
        <w:rPr>
          <w:rFonts w:ascii="Calibri" w:hAnsi="Calibri"/>
          <w:sz w:val="20"/>
          <w:szCs w:val="20"/>
          <w:lang w:val="en-CA"/>
        </w:rPr>
        <w:t xml:space="preserve">Under the direction of the </w:t>
      </w:r>
      <w:proofErr w:type="gramStart"/>
      <w:r w:rsidRPr="00D61C93">
        <w:rPr>
          <w:rFonts w:ascii="Calibri" w:hAnsi="Calibri"/>
          <w:sz w:val="20"/>
          <w:szCs w:val="20"/>
          <w:lang w:val="en-CA"/>
        </w:rPr>
        <w:t>Coordinator</w:t>
      </w:r>
      <w:proofErr w:type="gramEnd"/>
      <w:r w:rsidRPr="00D61C93">
        <w:rPr>
          <w:rFonts w:ascii="Calibri" w:hAnsi="Calibri"/>
          <w:sz w:val="20"/>
          <w:szCs w:val="20"/>
          <w:lang w:val="en-CA"/>
        </w:rPr>
        <w:t xml:space="preserve">, the </w:t>
      </w:r>
      <w:r w:rsidR="0056396B" w:rsidRPr="00D61C93">
        <w:rPr>
          <w:rFonts w:ascii="Calibri" w:hAnsi="Calibri"/>
          <w:sz w:val="20"/>
          <w:szCs w:val="20"/>
          <w:lang w:val="en-CA"/>
        </w:rPr>
        <w:t xml:space="preserve">project coordination unit </w:t>
      </w:r>
      <w:r w:rsidRPr="00D61C93">
        <w:rPr>
          <w:rFonts w:ascii="Calibri" w:hAnsi="Calibri"/>
          <w:sz w:val="20"/>
          <w:szCs w:val="20"/>
          <w:lang w:val="en-CA"/>
        </w:rPr>
        <w:t>is composed as follows:</w:t>
      </w:r>
    </w:p>
    <w:bookmarkEnd w:id="32"/>
    <w:bookmarkEnd w:id="33"/>
    <w:p w14:paraId="3FDC3365" w14:textId="77777777" w:rsidR="0056396B" w:rsidRPr="00D61C93" w:rsidRDefault="00302BFE" w:rsidP="00C46720">
      <w:pPr>
        <w:pStyle w:val="Paragraphedeliste"/>
        <w:numPr>
          <w:ilvl w:val="0"/>
          <w:numId w:val="33"/>
        </w:numPr>
        <w:rPr>
          <w:rFonts w:ascii="Calibri" w:hAnsi="Calibri"/>
          <w:sz w:val="20"/>
          <w:szCs w:val="20"/>
          <w:lang w:val="en-CA"/>
        </w:rPr>
      </w:pPr>
      <w:r w:rsidRPr="00D61C93">
        <w:rPr>
          <w:rFonts w:ascii="Calibri" w:hAnsi="Calibri"/>
          <w:sz w:val="20"/>
          <w:szCs w:val="20"/>
          <w:lang w:val="en-CA"/>
        </w:rPr>
        <w:t>a</w:t>
      </w:r>
      <w:r w:rsidR="006E6BBB" w:rsidRPr="00D61C93">
        <w:rPr>
          <w:rFonts w:ascii="Calibri" w:hAnsi="Calibri"/>
          <w:sz w:val="20"/>
          <w:szCs w:val="20"/>
          <w:lang w:val="en-CA"/>
        </w:rPr>
        <w:t xml:space="preserve"> full-time</w:t>
      </w:r>
      <w:r w:rsidRPr="00D61C93">
        <w:rPr>
          <w:rFonts w:ascii="Calibri" w:hAnsi="Calibri"/>
          <w:sz w:val="20"/>
          <w:szCs w:val="20"/>
          <w:lang w:val="en-CA"/>
        </w:rPr>
        <w:t xml:space="preserve"> administrative and financial </w:t>
      </w:r>
      <w:proofErr w:type="gramStart"/>
      <w:r w:rsidRPr="00D61C93">
        <w:rPr>
          <w:rFonts w:ascii="Calibri" w:hAnsi="Calibri"/>
          <w:sz w:val="20"/>
          <w:szCs w:val="20"/>
          <w:lang w:val="en-CA"/>
        </w:rPr>
        <w:t>assistant;</w:t>
      </w:r>
      <w:proofErr w:type="gramEnd"/>
    </w:p>
    <w:p w14:paraId="7DAC8553" w14:textId="42D51CBA" w:rsidR="00302BFE" w:rsidRPr="00D61C93" w:rsidRDefault="00094C08" w:rsidP="00C46720">
      <w:pPr>
        <w:pStyle w:val="Paragraphedeliste"/>
        <w:numPr>
          <w:ilvl w:val="0"/>
          <w:numId w:val="33"/>
        </w:numPr>
        <w:rPr>
          <w:rFonts w:ascii="Calibri" w:hAnsi="Calibri"/>
          <w:sz w:val="20"/>
          <w:szCs w:val="20"/>
          <w:lang w:val="en-CA"/>
        </w:rPr>
      </w:pPr>
      <w:r w:rsidRPr="00D61C93">
        <w:rPr>
          <w:rFonts w:ascii="Calibri" w:hAnsi="Calibri"/>
          <w:sz w:val="20"/>
          <w:szCs w:val="20"/>
          <w:lang w:val="en-CA"/>
        </w:rPr>
        <w:t xml:space="preserve">a </w:t>
      </w:r>
      <w:r w:rsidR="006E6BBB" w:rsidRPr="00D61C93">
        <w:rPr>
          <w:rFonts w:ascii="Calibri" w:hAnsi="Calibri"/>
          <w:sz w:val="20"/>
          <w:szCs w:val="20"/>
          <w:lang w:val="en-CA"/>
        </w:rPr>
        <w:t xml:space="preserve">full-time </w:t>
      </w:r>
      <w:r w:rsidR="009218D4" w:rsidRPr="00D61C93">
        <w:rPr>
          <w:rFonts w:ascii="Calibri" w:hAnsi="Calibri"/>
          <w:sz w:val="20"/>
          <w:szCs w:val="20"/>
          <w:lang w:val="en-CA"/>
        </w:rPr>
        <w:t>procurement specialist</w:t>
      </w:r>
      <w:r w:rsidR="006E6BBB" w:rsidRPr="00D61C93">
        <w:rPr>
          <w:rFonts w:ascii="Calibri" w:hAnsi="Calibri"/>
          <w:sz w:val="20"/>
          <w:szCs w:val="20"/>
          <w:lang w:val="en-CA"/>
        </w:rPr>
        <w:t xml:space="preserve"> for the three first years</w:t>
      </w:r>
      <w:r w:rsidR="004708C8" w:rsidRPr="00D61C93">
        <w:rPr>
          <w:rFonts w:ascii="Calibri" w:hAnsi="Calibri"/>
          <w:sz w:val="20"/>
          <w:szCs w:val="20"/>
          <w:lang w:val="en-CA"/>
        </w:rPr>
        <w:t xml:space="preserve"> of the project</w:t>
      </w:r>
      <w:r w:rsidR="00BC5CDF" w:rsidRPr="00D61C93">
        <w:rPr>
          <w:rFonts w:ascii="Calibri" w:hAnsi="Calibri"/>
          <w:sz w:val="20"/>
          <w:szCs w:val="20"/>
          <w:lang w:val="en-CA"/>
        </w:rPr>
        <w:t xml:space="preserve"> (procurement functions will be taken over by the administrative and financial assistant in the following </w:t>
      </w:r>
      <w:proofErr w:type="gramStart"/>
      <w:r w:rsidR="00BC5CDF" w:rsidRPr="00D61C93">
        <w:rPr>
          <w:rFonts w:ascii="Calibri" w:hAnsi="Calibri"/>
          <w:sz w:val="20"/>
          <w:szCs w:val="20"/>
          <w:lang w:val="en-CA"/>
        </w:rPr>
        <w:t>years</w:t>
      </w:r>
      <w:r w:rsidRPr="00D61C93">
        <w:rPr>
          <w:rFonts w:ascii="Calibri" w:hAnsi="Calibri"/>
          <w:sz w:val="20"/>
          <w:szCs w:val="20"/>
          <w:lang w:val="en-CA"/>
        </w:rPr>
        <w:t>;</w:t>
      </w:r>
      <w:proofErr w:type="gramEnd"/>
    </w:p>
    <w:p w14:paraId="5E83C6F9" w14:textId="77777777" w:rsidR="00302BFE" w:rsidRPr="00D61C93" w:rsidRDefault="00302BFE" w:rsidP="00C46720">
      <w:pPr>
        <w:pStyle w:val="Paragraphedeliste"/>
        <w:numPr>
          <w:ilvl w:val="0"/>
          <w:numId w:val="33"/>
        </w:numPr>
        <w:rPr>
          <w:rFonts w:ascii="Calibri" w:hAnsi="Calibri"/>
          <w:sz w:val="20"/>
          <w:szCs w:val="20"/>
          <w:lang w:val="fr-FR"/>
        </w:rPr>
      </w:pPr>
      <w:proofErr w:type="gramStart"/>
      <w:r w:rsidRPr="00D61C93">
        <w:rPr>
          <w:rFonts w:ascii="Calibri" w:hAnsi="Calibri"/>
          <w:sz w:val="20"/>
          <w:szCs w:val="20"/>
          <w:lang w:val="fr-FR"/>
        </w:rPr>
        <w:t>a</w:t>
      </w:r>
      <w:proofErr w:type="gramEnd"/>
      <w:r w:rsidRPr="00D61C93">
        <w:rPr>
          <w:rFonts w:ascii="Calibri" w:hAnsi="Calibri"/>
          <w:sz w:val="20"/>
          <w:szCs w:val="20"/>
          <w:lang w:val="fr-FR"/>
        </w:rPr>
        <w:t xml:space="preserve"> driver-</w:t>
      </w:r>
      <w:proofErr w:type="spellStart"/>
      <w:r w:rsidRPr="00D61C93">
        <w:rPr>
          <w:rFonts w:ascii="Calibri" w:hAnsi="Calibri"/>
          <w:sz w:val="20"/>
          <w:szCs w:val="20"/>
          <w:lang w:val="fr-FR"/>
        </w:rPr>
        <w:t>logistician</w:t>
      </w:r>
      <w:proofErr w:type="spellEnd"/>
      <w:r w:rsidRPr="00D61C93">
        <w:rPr>
          <w:rFonts w:ascii="Calibri" w:hAnsi="Calibri"/>
          <w:sz w:val="20"/>
          <w:szCs w:val="20"/>
          <w:lang w:val="fr-FR"/>
        </w:rPr>
        <w:t>;</w:t>
      </w:r>
    </w:p>
    <w:p w14:paraId="0075282F" w14:textId="77777777" w:rsidR="00302BFE" w:rsidRPr="00D61C93" w:rsidRDefault="00302BFE" w:rsidP="00C46720">
      <w:pPr>
        <w:pStyle w:val="Paragraphedeliste"/>
        <w:numPr>
          <w:ilvl w:val="0"/>
          <w:numId w:val="33"/>
        </w:numPr>
        <w:rPr>
          <w:rFonts w:ascii="Calibri" w:hAnsi="Calibri"/>
          <w:sz w:val="20"/>
          <w:szCs w:val="20"/>
          <w:lang w:val="en-CA"/>
        </w:rPr>
      </w:pPr>
      <w:r w:rsidRPr="00D61C93">
        <w:rPr>
          <w:rFonts w:ascii="Calibri" w:hAnsi="Calibri"/>
          <w:sz w:val="20"/>
          <w:szCs w:val="20"/>
          <w:lang w:val="en-CA"/>
        </w:rPr>
        <w:t xml:space="preserve">a full-time expert responsible for monitoring and evaluation and </w:t>
      </w:r>
      <w:proofErr w:type="gramStart"/>
      <w:r w:rsidRPr="00D61C93">
        <w:rPr>
          <w:rFonts w:ascii="Calibri" w:hAnsi="Calibri"/>
          <w:sz w:val="20"/>
          <w:szCs w:val="20"/>
          <w:lang w:val="en-CA"/>
        </w:rPr>
        <w:t>safeguards;</w:t>
      </w:r>
      <w:proofErr w:type="gramEnd"/>
    </w:p>
    <w:p w14:paraId="299351DE" w14:textId="77777777" w:rsidR="00302BFE" w:rsidRPr="00D61C93" w:rsidRDefault="00302BFE" w:rsidP="00C46720">
      <w:pPr>
        <w:pStyle w:val="Paragraphedeliste"/>
        <w:numPr>
          <w:ilvl w:val="0"/>
          <w:numId w:val="33"/>
        </w:numPr>
        <w:rPr>
          <w:rFonts w:ascii="Calibri" w:hAnsi="Calibri"/>
          <w:sz w:val="20"/>
          <w:szCs w:val="20"/>
          <w:lang w:val="en-CA"/>
        </w:rPr>
      </w:pPr>
      <w:r w:rsidRPr="00D61C93">
        <w:rPr>
          <w:rFonts w:ascii="Calibri" w:hAnsi="Calibri"/>
          <w:sz w:val="20"/>
          <w:szCs w:val="20"/>
          <w:lang w:val="en-CA"/>
        </w:rPr>
        <w:lastRenderedPageBreak/>
        <w:t xml:space="preserve">an expert on gender issues on a part-time </w:t>
      </w:r>
      <w:proofErr w:type="gramStart"/>
      <w:r w:rsidRPr="00D61C93">
        <w:rPr>
          <w:rFonts w:ascii="Calibri" w:hAnsi="Calibri"/>
          <w:sz w:val="20"/>
          <w:szCs w:val="20"/>
          <w:lang w:val="en-CA"/>
        </w:rPr>
        <w:t>basis;</w:t>
      </w:r>
      <w:proofErr w:type="gramEnd"/>
    </w:p>
    <w:p w14:paraId="13B86D5F" w14:textId="77777777" w:rsidR="00302BFE" w:rsidRPr="00D61C93" w:rsidRDefault="00302BFE" w:rsidP="00C46720">
      <w:pPr>
        <w:pStyle w:val="Paragraphedeliste"/>
        <w:numPr>
          <w:ilvl w:val="0"/>
          <w:numId w:val="33"/>
        </w:numPr>
        <w:rPr>
          <w:rFonts w:ascii="Calibri" w:hAnsi="Calibri"/>
          <w:sz w:val="20"/>
          <w:szCs w:val="20"/>
          <w:lang w:val="en-CA"/>
        </w:rPr>
      </w:pPr>
      <w:r w:rsidRPr="00D61C93">
        <w:rPr>
          <w:rFonts w:ascii="Calibri" w:hAnsi="Calibri"/>
          <w:sz w:val="20"/>
          <w:szCs w:val="20"/>
          <w:lang w:val="en-CA"/>
        </w:rPr>
        <w:t>an expert in communication and knowledge management on a part-time basis.</w:t>
      </w:r>
    </w:p>
    <w:p w14:paraId="25488B93" w14:textId="77777777" w:rsidR="00302BFE" w:rsidRPr="00D61C93"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D61C93">
        <w:rPr>
          <w:rFonts w:ascii="Calibri" w:eastAsia="Times New Roman" w:hAnsi="Calibri"/>
          <w:color w:val="000000"/>
          <w:sz w:val="20"/>
          <w:szCs w:val="20"/>
        </w:rPr>
        <w:t xml:space="preserve">This project covers many different areas of work, from the REDD+ components; elephant and ecological monitoring; small grants; capacity development; infrastructural improvements; sustainable livelihoods, cross-boundary cooperation with Ghana; land-use issues, rangers; HWC; organic and fair certifications; ecosystem valuation; marketing strategy, </w:t>
      </w:r>
      <w:proofErr w:type="gramStart"/>
      <w:r w:rsidRPr="00D61C93">
        <w:rPr>
          <w:rFonts w:ascii="Calibri" w:eastAsia="Times New Roman" w:hAnsi="Calibri"/>
          <w:color w:val="000000"/>
          <w:sz w:val="20"/>
          <w:szCs w:val="20"/>
        </w:rPr>
        <w:t>label</w:t>
      </w:r>
      <w:proofErr w:type="gramEnd"/>
      <w:r w:rsidRPr="00D61C93">
        <w:rPr>
          <w:rFonts w:ascii="Calibri" w:eastAsia="Times New Roman" w:hAnsi="Calibri"/>
          <w:color w:val="000000"/>
          <w:sz w:val="20"/>
          <w:szCs w:val="20"/>
        </w:rPr>
        <w:t xml:space="preserve"> and brand development; tourism development. It will be essential to ensure solid capacity within the project management unit to be able to implement this complex project in Burkina </w:t>
      </w:r>
      <w:r w:rsidR="0056396B" w:rsidRPr="00D61C93">
        <w:rPr>
          <w:rFonts w:ascii="Calibri" w:eastAsia="Times New Roman" w:hAnsi="Calibri"/>
          <w:color w:val="000000"/>
          <w:sz w:val="20"/>
          <w:szCs w:val="20"/>
        </w:rPr>
        <w:t xml:space="preserve">Faso’s </w:t>
      </w:r>
      <w:r w:rsidRPr="00D61C93">
        <w:rPr>
          <w:rFonts w:ascii="Calibri" w:eastAsia="Times New Roman" w:hAnsi="Calibri"/>
          <w:color w:val="000000"/>
          <w:sz w:val="20"/>
          <w:szCs w:val="20"/>
        </w:rPr>
        <w:t>context.</w:t>
      </w:r>
    </w:p>
    <w:p w14:paraId="6B1F4F1E" w14:textId="77777777" w:rsidR="00302BFE" w:rsidRPr="00D61C93" w:rsidRDefault="00302BFE" w:rsidP="00C46720">
      <w:pPr>
        <w:pStyle w:val="Paragraphedeliste"/>
        <w:numPr>
          <w:ilvl w:val="0"/>
          <w:numId w:val="14"/>
        </w:numPr>
        <w:tabs>
          <w:tab w:val="left" w:pos="284"/>
        </w:tabs>
        <w:spacing w:before="120" w:after="360"/>
        <w:ind w:left="0" w:firstLine="0"/>
        <w:jc w:val="both"/>
        <w:rPr>
          <w:rFonts w:ascii="Calibri" w:hAnsi="Calibri"/>
          <w:sz w:val="20"/>
          <w:szCs w:val="20"/>
          <w:lang w:val="en-CA"/>
        </w:rPr>
      </w:pPr>
      <w:r w:rsidRPr="00D61C93">
        <w:rPr>
          <w:rFonts w:ascii="Calibri" w:hAnsi="Calibri"/>
          <w:sz w:val="20"/>
          <w:szCs w:val="20"/>
          <w:lang w:val="en-CA"/>
        </w:rPr>
        <w:t xml:space="preserve">The PCU will </w:t>
      </w:r>
      <w:proofErr w:type="gramStart"/>
      <w:r w:rsidRPr="00D61C93">
        <w:rPr>
          <w:rFonts w:ascii="Calibri" w:hAnsi="Calibri"/>
          <w:sz w:val="20"/>
          <w:szCs w:val="20"/>
          <w:lang w:val="en-CA"/>
        </w:rPr>
        <w:t>be located in</w:t>
      </w:r>
      <w:proofErr w:type="gramEnd"/>
      <w:r w:rsidRPr="00D61C93">
        <w:rPr>
          <w:rFonts w:ascii="Calibri" w:hAnsi="Calibri"/>
          <w:sz w:val="20"/>
          <w:szCs w:val="20"/>
          <w:lang w:val="en-CA"/>
        </w:rPr>
        <w:t xml:space="preserve"> the city of </w:t>
      </w:r>
      <w:proofErr w:type="spellStart"/>
      <w:r w:rsidRPr="00D61C93">
        <w:rPr>
          <w:rFonts w:ascii="Calibri" w:hAnsi="Calibri"/>
          <w:sz w:val="20"/>
          <w:szCs w:val="20"/>
          <w:lang w:val="en-CA"/>
        </w:rPr>
        <w:t>Pô</w:t>
      </w:r>
      <w:proofErr w:type="spellEnd"/>
      <w:r w:rsidRPr="00D61C93">
        <w:rPr>
          <w:rFonts w:ascii="Calibri" w:hAnsi="Calibri"/>
          <w:sz w:val="20"/>
          <w:szCs w:val="20"/>
          <w:lang w:val="en-CA"/>
        </w:rPr>
        <w:t>, Burkina Faso and housed in the DREEVCC. It will include a Project Coordinator, an Administrative and Financial Assistant, a full time M&amp;E and Safeguards Expert, and part-time Gender Expert and Communications and Knowledge Management Expert.</w:t>
      </w:r>
    </w:p>
    <w:p w14:paraId="2B2B29BF" w14:textId="77777777" w:rsidR="00302BFE" w:rsidRPr="00D57400" w:rsidRDefault="00302BFE" w:rsidP="00302BFE">
      <w:pPr>
        <w:pStyle w:val="Titre1"/>
        <w:spacing w:before="0" w:after="0"/>
        <w:rPr>
          <w:rFonts w:ascii="Calibri" w:hAnsi="Calibri"/>
        </w:rPr>
      </w:pPr>
      <w:bookmarkStart w:id="34" w:name="_Toc9961796"/>
      <w:bookmarkEnd w:id="31"/>
      <w:r w:rsidRPr="00D57400">
        <w:rPr>
          <w:rFonts w:ascii="Calibri" w:hAnsi="Calibri"/>
        </w:rPr>
        <w:t>Financial Planning and Management</w:t>
      </w:r>
      <w:bookmarkEnd w:id="34"/>
      <w:r w:rsidRPr="00D57400">
        <w:rPr>
          <w:rFonts w:ascii="Calibri" w:hAnsi="Calibri"/>
        </w:rPr>
        <w:t xml:space="preserve"> </w:t>
      </w:r>
    </w:p>
    <w:p w14:paraId="31ED5F93" w14:textId="7C62735C" w:rsidR="00302BFE" w:rsidRPr="00D57400" w:rsidRDefault="00D266F2"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D57400">
        <w:rPr>
          <w:rFonts w:ascii="Calibri" w:hAnsi="Calibri"/>
          <w:sz w:val="20"/>
          <w:szCs w:val="20"/>
          <w:lang w:val="en-CA"/>
        </w:rPr>
        <w:t xml:space="preserve">The total cost of the project is USD 27,619,303. This is financed through a GEF grant of USD 5,279,452, USD 270,000 in cash co-financing to be administered by UNDP and </w:t>
      </w:r>
      <w:r w:rsidR="007B5025" w:rsidRPr="00D57400">
        <w:rPr>
          <w:rFonts w:ascii="Calibri" w:hAnsi="Calibri"/>
          <w:sz w:val="20"/>
          <w:szCs w:val="20"/>
          <w:lang w:val="en-CA"/>
        </w:rPr>
        <w:t>USD 22,069,851 in baseline co-financing</w:t>
      </w:r>
      <w:r w:rsidRPr="00D57400">
        <w:rPr>
          <w:rFonts w:ascii="Calibri" w:hAnsi="Calibri"/>
          <w:sz w:val="20"/>
          <w:szCs w:val="20"/>
          <w:lang w:val="en-CA"/>
        </w:rPr>
        <w:t>.  UNDP, as the GEF Implementing Agency, is responsible for the execution of the GEF resources and the cash co-financing transferred to UNDP bank account only.</w:t>
      </w:r>
    </w:p>
    <w:p w14:paraId="7A786669" w14:textId="77777777" w:rsidR="00302BFE" w:rsidRPr="00D57400" w:rsidRDefault="0057587F" w:rsidP="00C46720">
      <w:pPr>
        <w:pStyle w:val="Paragraphedeliste"/>
        <w:numPr>
          <w:ilvl w:val="0"/>
          <w:numId w:val="14"/>
        </w:numPr>
        <w:tabs>
          <w:tab w:val="left" w:pos="284"/>
        </w:tabs>
        <w:spacing w:before="120" w:after="120"/>
        <w:ind w:left="0" w:firstLine="0"/>
        <w:jc w:val="both"/>
        <w:rPr>
          <w:rFonts w:ascii="Calibri" w:hAnsi="Calibri"/>
          <w:sz w:val="20"/>
          <w:szCs w:val="20"/>
          <w:lang w:val="en-CA"/>
        </w:rPr>
      </w:pPr>
      <w:r w:rsidRPr="00D57400">
        <w:rPr>
          <w:rFonts w:ascii="Calibri" w:hAnsi="Calibri"/>
          <w:sz w:val="20"/>
          <w:szCs w:val="20"/>
          <w:u w:val="single"/>
        </w:rPr>
        <w:t>Baseline</w:t>
      </w:r>
      <w:r w:rsidR="00302BFE" w:rsidRPr="00D57400">
        <w:rPr>
          <w:rFonts w:ascii="Calibri" w:hAnsi="Calibri"/>
          <w:sz w:val="20"/>
          <w:szCs w:val="20"/>
          <w:u w:val="single"/>
        </w:rPr>
        <w:t xml:space="preserve"> co-financing</w:t>
      </w:r>
      <w:r w:rsidR="00302BFE" w:rsidRPr="00D57400">
        <w:rPr>
          <w:rFonts w:ascii="Calibri" w:hAnsi="Calibri"/>
          <w:sz w:val="20"/>
          <w:szCs w:val="20"/>
        </w:rPr>
        <w:t xml:space="preserve">:  The actual realization of project co-financing will be monitored during the mid-term review and terminal evaluation process and will be reported to the GEF. The planned </w:t>
      </w:r>
      <w:r w:rsidRPr="00D57400">
        <w:rPr>
          <w:rFonts w:ascii="Calibri" w:hAnsi="Calibri"/>
          <w:sz w:val="20"/>
          <w:szCs w:val="20"/>
        </w:rPr>
        <w:t>baseline</w:t>
      </w:r>
      <w:r w:rsidR="00302BFE" w:rsidRPr="00D57400">
        <w:rPr>
          <w:rFonts w:ascii="Calibri" w:hAnsi="Calibri"/>
          <w:sz w:val="20"/>
          <w:szCs w:val="20"/>
        </w:rPr>
        <w:t xml:space="preserve"> co-financing will be used as follows:</w:t>
      </w:r>
    </w:p>
    <w:p w14:paraId="77FDCC71" w14:textId="77777777" w:rsidR="00302BFE" w:rsidRPr="00D57400" w:rsidRDefault="00302BFE" w:rsidP="00302BFE">
      <w:pPr>
        <w:autoSpaceDE w:val="0"/>
        <w:autoSpaceDN w:val="0"/>
        <w:adjustRightInd w:val="0"/>
        <w:spacing w:after="0"/>
        <w:jc w:val="left"/>
        <w:rPr>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1440"/>
        <w:gridCol w:w="1710"/>
      </w:tblGrid>
      <w:tr w:rsidR="007663FD" w:rsidRPr="00D57400" w14:paraId="69E52A9D" w14:textId="77777777" w:rsidTr="007663FD">
        <w:trPr>
          <w:jc w:val="center"/>
        </w:trPr>
        <w:tc>
          <w:tcPr>
            <w:tcW w:w="4405" w:type="dxa"/>
            <w:shd w:val="clear" w:color="auto" w:fill="auto"/>
          </w:tcPr>
          <w:p w14:paraId="5E990675" w14:textId="77777777" w:rsidR="007663FD" w:rsidRPr="00D57400" w:rsidRDefault="007663FD" w:rsidP="00243B15">
            <w:pPr>
              <w:autoSpaceDE w:val="0"/>
              <w:autoSpaceDN w:val="0"/>
              <w:adjustRightInd w:val="0"/>
              <w:spacing w:after="0"/>
              <w:jc w:val="center"/>
              <w:rPr>
                <w:b/>
                <w:sz w:val="18"/>
                <w:szCs w:val="18"/>
              </w:rPr>
            </w:pPr>
            <w:r w:rsidRPr="00D57400">
              <w:rPr>
                <w:b/>
                <w:sz w:val="18"/>
                <w:szCs w:val="18"/>
              </w:rPr>
              <w:t>Co-financing source</w:t>
            </w:r>
          </w:p>
        </w:tc>
        <w:tc>
          <w:tcPr>
            <w:tcW w:w="1440" w:type="dxa"/>
            <w:shd w:val="clear" w:color="auto" w:fill="auto"/>
          </w:tcPr>
          <w:p w14:paraId="2F9996A3" w14:textId="77777777" w:rsidR="007663FD" w:rsidRPr="00D57400" w:rsidRDefault="007663FD" w:rsidP="00243B15">
            <w:pPr>
              <w:autoSpaceDE w:val="0"/>
              <w:autoSpaceDN w:val="0"/>
              <w:adjustRightInd w:val="0"/>
              <w:spacing w:after="0"/>
              <w:jc w:val="center"/>
              <w:rPr>
                <w:b/>
                <w:sz w:val="18"/>
                <w:szCs w:val="18"/>
              </w:rPr>
            </w:pPr>
            <w:r w:rsidRPr="00D57400">
              <w:rPr>
                <w:b/>
                <w:sz w:val="18"/>
                <w:szCs w:val="18"/>
              </w:rPr>
              <w:t>Co-financing type</w:t>
            </w:r>
          </w:p>
        </w:tc>
        <w:tc>
          <w:tcPr>
            <w:tcW w:w="1710" w:type="dxa"/>
            <w:shd w:val="clear" w:color="auto" w:fill="auto"/>
          </w:tcPr>
          <w:p w14:paraId="3234C6C7" w14:textId="77777777" w:rsidR="007663FD" w:rsidRPr="00D57400" w:rsidRDefault="007663FD" w:rsidP="00243B15">
            <w:pPr>
              <w:autoSpaceDE w:val="0"/>
              <w:autoSpaceDN w:val="0"/>
              <w:adjustRightInd w:val="0"/>
              <w:spacing w:after="0"/>
              <w:jc w:val="center"/>
              <w:rPr>
                <w:b/>
                <w:sz w:val="18"/>
                <w:szCs w:val="18"/>
              </w:rPr>
            </w:pPr>
            <w:r w:rsidRPr="00D57400">
              <w:rPr>
                <w:b/>
                <w:sz w:val="18"/>
                <w:szCs w:val="18"/>
              </w:rPr>
              <w:t>Co-financing amount (USD)</w:t>
            </w:r>
          </w:p>
        </w:tc>
      </w:tr>
      <w:tr w:rsidR="007663FD" w:rsidRPr="00D57400" w14:paraId="4F11668B" w14:textId="77777777" w:rsidTr="007663FD">
        <w:trPr>
          <w:jc w:val="center"/>
        </w:trPr>
        <w:tc>
          <w:tcPr>
            <w:tcW w:w="4405" w:type="dxa"/>
            <w:shd w:val="clear" w:color="auto" w:fill="auto"/>
            <w:vAlign w:val="center"/>
          </w:tcPr>
          <w:p w14:paraId="17A0ADD1" w14:textId="77777777" w:rsidR="007663FD" w:rsidRPr="00D57400" w:rsidRDefault="007663FD" w:rsidP="007663FD">
            <w:pPr>
              <w:autoSpaceDE w:val="0"/>
              <w:autoSpaceDN w:val="0"/>
              <w:adjustRightInd w:val="0"/>
              <w:spacing w:after="0"/>
              <w:jc w:val="left"/>
              <w:rPr>
                <w:i/>
                <w:sz w:val="18"/>
                <w:szCs w:val="18"/>
              </w:rPr>
            </w:pPr>
            <w:r w:rsidRPr="00D57400">
              <w:rPr>
                <w:rFonts w:cs="Arial"/>
                <w:sz w:val="18"/>
                <w:szCs w:val="18"/>
              </w:rPr>
              <w:t>UNDP</w:t>
            </w:r>
          </w:p>
        </w:tc>
        <w:tc>
          <w:tcPr>
            <w:tcW w:w="1440" w:type="dxa"/>
            <w:shd w:val="clear" w:color="auto" w:fill="auto"/>
            <w:vAlign w:val="center"/>
          </w:tcPr>
          <w:p w14:paraId="0A38EA2B" w14:textId="77777777" w:rsidR="007663FD" w:rsidRPr="00D57400" w:rsidRDefault="007663FD" w:rsidP="007663FD">
            <w:pPr>
              <w:autoSpaceDE w:val="0"/>
              <w:autoSpaceDN w:val="0"/>
              <w:adjustRightInd w:val="0"/>
              <w:spacing w:after="0"/>
              <w:jc w:val="left"/>
              <w:rPr>
                <w:i/>
                <w:sz w:val="18"/>
                <w:szCs w:val="18"/>
              </w:rPr>
            </w:pPr>
            <w:r w:rsidRPr="00D57400">
              <w:rPr>
                <w:sz w:val="18"/>
                <w:szCs w:val="18"/>
              </w:rPr>
              <w:t>Grant</w:t>
            </w:r>
          </w:p>
        </w:tc>
        <w:tc>
          <w:tcPr>
            <w:tcW w:w="1710" w:type="dxa"/>
            <w:shd w:val="clear" w:color="auto" w:fill="auto"/>
            <w:vAlign w:val="center"/>
          </w:tcPr>
          <w:p w14:paraId="447C32C9" w14:textId="77777777" w:rsidR="007663FD" w:rsidRPr="00D57400" w:rsidRDefault="007663FD" w:rsidP="007663FD">
            <w:pPr>
              <w:autoSpaceDE w:val="0"/>
              <w:autoSpaceDN w:val="0"/>
              <w:adjustRightInd w:val="0"/>
              <w:spacing w:after="0"/>
              <w:jc w:val="right"/>
              <w:rPr>
                <w:sz w:val="18"/>
                <w:szCs w:val="18"/>
              </w:rPr>
            </w:pPr>
            <w:r w:rsidRPr="00D57400">
              <w:rPr>
                <w:sz w:val="18"/>
                <w:szCs w:val="18"/>
              </w:rPr>
              <w:t>270,000</w:t>
            </w:r>
          </w:p>
        </w:tc>
      </w:tr>
      <w:tr w:rsidR="007663FD" w:rsidRPr="00D57400" w14:paraId="0EB7FBE3" w14:textId="77777777" w:rsidTr="007663FD">
        <w:trPr>
          <w:jc w:val="center"/>
        </w:trPr>
        <w:tc>
          <w:tcPr>
            <w:tcW w:w="4405" w:type="dxa"/>
            <w:shd w:val="clear" w:color="auto" w:fill="auto"/>
            <w:vAlign w:val="center"/>
          </w:tcPr>
          <w:p w14:paraId="6D89E0E6" w14:textId="04BF14D7" w:rsidR="00AE640D" w:rsidRPr="00AB47BD" w:rsidRDefault="00AE640D" w:rsidP="007663FD">
            <w:pPr>
              <w:autoSpaceDE w:val="0"/>
              <w:autoSpaceDN w:val="0"/>
              <w:adjustRightInd w:val="0"/>
              <w:spacing w:after="0"/>
              <w:jc w:val="left"/>
              <w:rPr>
                <w:rFonts w:cs="Arial"/>
                <w:sz w:val="18"/>
                <w:szCs w:val="18"/>
                <w:lang w:val="fr-FR"/>
              </w:rPr>
            </w:pPr>
            <w:proofErr w:type="spellStart"/>
            <w:r w:rsidRPr="00AB47BD">
              <w:rPr>
                <w:rFonts w:cs="Arial"/>
                <w:sz w:val="18"/>
                <w:szCs w:val="18"/>
                <w:highlight w:val="green"/>
                <w:lang w:val="fr-FR"/>
              </w:rPr>
              <w:t>Ministere</w:t>
            </w:r>
            <w:proofErr w:type="spellEnd"/>
            <w:r w:rsidRPr="00AB47BD">
              <w:rPr>
                <w:rFonts w:cs="Arial"/>
                <w:sz w:val="18"/>
                <w:szCs w:val="18"/>
                <w:highlight w:val="green"/>
                <w:lang w:val="fr-FR"/>
              </w:rPr>
              <w:t xml:space="preserve"> de l'environnement, de l'eau et de l’Assainissement</w:t>
            </w:r>
            <w:r w:rsidRPr="00AB47BD">
              <w:rPr>
                <w:rFonts w:cs="Arial"/>
                <w:sz w:val="18"/>
                <w:szCs w:val="18"/>
                <w:lang w:val="fr-FR"/>
              </w:rPr>
              <w:t xml:space="preserve"> </w:t>
            </w:r>
          </w:p>
          <w:p w14:paraId="7BA591FB" w14:textId="67E594C9" w:rsidR="007663FD" w:rsidRPr="00D57400" w:rsidRDefault="007663FD" w:rsidP="007663FD">
            <w:pPr>
              <w:autoSpaceDE w:val="0"/>
              <w:autoSpaceDN w:val="0"/>
              <w:adjustRightInd w:val="0"/>
              <w:spacing w:after="0"/>
              <w:jc w:val="left"/>
              <w:rPr>
                <w:sz w:val="18"/>
                <w:szCs w:val="18"/>
                <w:lang w:val="en-CA"/>
              </w:rPr>
            </w:pPr>
            <w:r w:rsidRPr="00D57400">
              <w:rPr>
                <w:sz w:val="18"/>
                <w:szCs w:val="18"/>
                <w:lang w:val="en-CA"/>
              </w:rPr>
              <w:t>(Participatory management of classified forests for REDD+; Project to mitigate the effects of water stress on large fauna; Support for the sustainable management of forest resources; Decentralized Management of Forests and Woodlands Project)</w:t>
            </w:r>
          </w:p>
        </w:tc>
        <w:tc>
          <w:tcPr>
            <w:tcW w:w="1440" w:type="dxa"/>
            <w:shd w:val="clear" w:color="auto" w:fill="auto"/>
            <w:vAlign w:val="center"/>
          </w:tcPr>
          <w:p w14:paraId="19DE50D5" w14:textId="77777777" w:rsidR="007663FD" w:rsidRPr="00D57400" w:rsidRDefault="007663FD" w:rsidP="007663FD">
            <w:pPr>
              <w:autoSpaceDE w:val="0"/>
              <w:autoSpaceDN w:val="0"/>
              <w:adjustRightInd w:val="0"/>
              <w:spacing w:after="0"/>
              <w:jc w:val="left"/>
              <w:rPr>
                <w:sz w:val="18"/>
                <w:szCs w:val="18"/>
              </w:rPr>
            </w:pPr>
            <w:r w:rsidRPr="00D57400">
              <w:rPr>
                <w:sz w:val="18"/>
                <w:szCs w:val="18"/>
              </w:rPr>
              <w:t>Grant</w:t>
            </w:r>
          </w:p>
        </w:tc>
        <w:tc>
          <w:tcPr>
            <w:tcW w:w="1710" w:type="dxa"/>
            <w:shd w:val="clear" w:color="auto" w:fill="auto"/>
            <w:vAlign w:val="center"/>
          </w:tcPr>
          <w:p w14:paraId="00CFBE98" w14:textId="77777777" w:rsidR="007663FD" w:rsidRPr="00D57400" w:rsidRDefault="007663FD" w:rsidP="007663FD">
            <w:pPr>
              <w:autoSpaceDE w:val="0"/>
              <w:autoSpaceDN w:val="0"/>
              <w:adjustRightInd w:val="0"/>
              <w:spacing w:after="0"/>
              <w:jc w:val="right"/>
              <w:rPr>
                <w:sz w:val="18"/>
                <w:szCs w:val="18"/>
              </w:rPr>
            </w:pPr>
            <w:r w:rsidRPr="00D57400">
              <w:rPr>
                <w:rFonts w:cs="Arial"/>
                <w:sz w:val="18"/>
                <w:szCs w:val="18"/>
              </w:rPr>
              <w:t>10,318,111</w:t>
            </w:r>
          </w:p>
        </w:tc>
      </w:tr>
      <w:tr w:rsidR="007663FD" w:rsidRPr="00D57400" w14:paraId="03C0AFE2" w14:textId="77777777" w:rsidTr="007663FD">
        <w:trPr>
          <w:jc w:val="center"/>
        </w:trPr>
        <w:tc>
          <w:tcPr>
            <w:tcW w:w="4405" w:type="dxa"/>
            <w:shd w:val="clear" w:color="auto" w:fill="auto"/>
            <w:vAlign w:val="center"/>
          </w:tcPr>
          <w:p w14:paraId="4346D9C1" w14:textId="77777777" w:rsidR="007663FD" w:rsidRPr="00D57400" w:rsidRDefault="007663FD" w:rsidP="007663FD">
            <w:pPr>
              <w:autoSpaceDE w:val="0"/>
              <w:autoSpaceDN w:val="0"/>
              <w:adjustRightInd w:val="0"/>
              <w:spacing w:after="0"/>
              <w:jc w:val="left"/>
              <w:rPr>
                <w:rFonts w:cs="Arial"/>
                <w:sz w:val="18"/>
                <w:szCs w:val="18"/>
              </w:rPr>
            </w:pPr>
            <w:r w:rsidRPr="00D57400">
              <w:rPr>
                <w:rFonts w:cs="Arial"/>
                <w:sz w:val="18"/>
                <w:szCs w:val="18"/>
              </w:rPr>
              <w:t>Ministry of Agriculture and Hydro-agricultural Infrastructure</w:t>
            </w:r>
          </w:p>
          <w:p w14:paraId="101C93FD" w14:textId="77777777" w:rsidR="007663FD" w:rsidRPr="00D57400" w:rsidRDefault="007663FD" w:rsidP="007663FD">
            <w:pPr>
              <w:autoSpaceDE w:val="0"/>
              <w:autoSpaceDN w:val="0"/>
              <w:adjustRightInd w:val="0"/>
              <w:spacing w:after="0"/>
              <w:jc w:val="left"/>
              <w:rPr>
                <w:rFonts w:cs="Arial"/>
                <w:sz w:val="18"/>
                <w:szCs w:val="18"/>
                <w:lang w:val="en-CA"/>
              </w:rPr>
            </w:pPr>
            <w:r w:rsidRPr="00D57400">
              <w:rPr>
                <w:rFonts w:cs="Arial"/>
                <w:sz w:val="18"/>
                <w:szCs w:val="18"/>
                <w:lang w:val="en-CA"/>
              </w:rPr>
              <w:t>(Agricultural Economic Growth Program, Agricultural Productivity and Food Security Improvement Project, Lowland Development)</w:t>
            </w:r>
          </w:p>
        </w:tc>
        <w:tc>
          <w:tcPr>
            <w:tcW w:w="1440" w:type="dxa"/>
            <w:shd w:val="clear" w:color="auto" w:fill="auto"/>
            <w:vAlign w:val="center"/>
          </w:tcPr>
          <w:p w14:paraId="33660057" w14:textId="77777777" w:rsidR="007663FD" w:rsidRPr="00D57400" w:rsidRDefault="007663FD" w:rsidP="007663FD">
            <w:pPr>
              <w:autoSpaceDE w:val="0"/>
              <w:autoSpaceDN w:val="0"/>
              <w:adjustRightInd w:val="0"/>
              <w:spacing w:after="0"/>
              <w:jc w:val="left"/>
              <w:rPr>
                <w:sz w:val="18"/>
                <w:szCs w:val="18"/>
              </w:rPr>
            </w:pPr>
            <w:r w:rsidRPr="00D57400">
              <w:rPr>
                <w:sz w:val="18"/>
                <w:szCs w:val="18"/>
              </w:rPr>
              <w:t>Grant</w:t>
            </w:r>
          </w:p>
        </w:tc>
        <w:tc>
          <w:tcPr>
            <w:tcW w:w="1710" w:type="dxa"/>
            <w:shd w:val="clear" w:color="auto" w:fill="auto"/>
            <w:vAlign w:val="center"/>
          </w:tcPr>
          <w:p w14:paraId="6B27E29E" w14:textId="77777777" w:rsidR="007663FD" w:rsidRPr="00D57400" w:rsidRDefault="007663FD" w:rsidP="007663FD">
            <w:pPr>
              <w:autoSpaceDE w:val="0"/>
              <w:autoSpaceDN w:val="0"/>
              <w:adjustRightInd w:val="0"/>
              <w:spacing w:after="0"/>
              <w:jc w:val="right"/>
              <w:rPr>
                <w:rFonts w:cs="Arial"/>
                <w:sz w:val="18"/>
                <w:szCs w:val="18"/>
              </w:rPr>
            </w:pPr>
            <w:r w:rsidRPr="00D57400">
              <w:rPr>
                <w:rFonts w:cs="Arial"/>
                <w:sz w:val="18"/>
                <w:szCs w:val="18"/>
              </w:rPr>
              <w:t>6,780,945</w:t>
            </w:r>
          </w:p>
        </w:tc>
      </w:tr>
      <w:tr w:rsidR="007663FD" w:rsidRPr="00D57400" w14:paraId="0F4C2A10" w14:textId="77777777" w:rsidTr="007663FD">
        <w:trPr>
          <w:jc w:val="center"/>
        </w:trPr>
        <w:tc>
          <w:tcPr>
            <w:tcW w:w="4405" w:type="dxa"/>
            <w:shd w:val="clear" w:color="auto" w:fill="auto"/>
            <w:vAlign w:val="center"/>
          </w:tcPr>
          <w:p w14:paraId="12282268" w14:textId="77777777" w:rsidR="007663FD" w:rsidRPr="00D57400" w:rsidRDefault="007663FD" w:rsidP="007663FD">
            <w:pPr>
              <w:autoSpaceDE w:val="0"/>
              <w:autoSpaceDN w:val="0"/>
              <w:adjustRightInd w:val="0"/>
              <w:spacing w:after="0"/>
              <w:jc w:val="left"/>
              <w:rPr>
                <w:rFonts w:cs="Arial"/>
                <w:sz w:val="18"/>
                <w:szCs w:val="18"/>
              </w:rPr>
            </w:pPr>
            <w:r w:rsidRPr="00D57400">
              <w:rPr>
                <w:rFonts w:cs="Arial"/>
                <w:sz w:val="18"/>
                <w:szCs w:val="18"/>
              </w:rPr>
              <w:t>Ministry of Animal and Fisheries Resources</w:t>
            </w:r>
          </w:p>
          <w:p w14:paraId="28BCB731" w14:textId="77777777" w:rsidR="007663FD" w:rsidRPr="00D57400" w:rsidRDefault="007663FD" w:rsidP="007663FD">
            <w:pPr>
              <w:autoSpaceDE w:val="0"/>
              <w:autoSpaceDN w:val="0"/>
              <w:adjustRightInd w:val="0"/>
              <w:spacing w:after="0"/>
              <w:jc w:val="left"/>
              <w:rPr>
                <w:rFonts w:cs="Arial"/>
                <w:sz w:val="18"/>
                <w:szCs w:val="18"/>
                <w:lang w:val="en-CA"/>
              </w:rPr>
            </w:pPr>
            <w:r w:rsidRPr="00D57400">
              <w:rPr>
                <w:rFonts w:cs="Arial"/>
                <w:sz w:val="18"/>
                <w:szCs w:val="18"/>
                <w:lang w:val="en-CA"/>
              </w:rPr>
              <w:t>(Sahel Regional Support Project for Pastoralism, Livestock Development Support Project in Burkina Faso, Support for the Valorisation of NTFP-2)</w:t>
            </w:r>
          </w:p>
        </w:tc>
        <w:tc>
          <w:tcPr>
            <w:tcW w:w="1440" w:type="dxa"/>
            <w:shd w:val="clear" w:color="auto" w:fill="auto"/>
            <w:vAlign w:val="center"/>
          </w:tcPr>
          <w:p w14:paraId="6ACC8A3F" w14:textId="77777777" w:rsidR="007663FD" w:rsidRPr="00D57400" w:rsidRDefault="007663FD" w:rsidP="007663FD">
            <w:pPr>
              <w:autoSpaceDE w:val="0"/>
              <w:autoSpaceDN w:val="0"/>
              <w:adjustRightInd w:val="0"/>
              <w:spacing w:after="0"/>
              <w:jc w:val="left"/>
              <w:rPr>
                <w:sz w:val="18"/>
                <w:szCs w:val="18"/>
              </w:rPr>
            </w:pPr>
            <w:r w:rsidRPr="00D57400">
              <w:rPr>
                <w:sz w:val="18"/>
                <w:szCs w:val="18"/>
              </w:rPr>
              <w:t>Grant</w:t>
            </w:r>
          </w:p>
        </w:tc>
        <w:tc>
          <w:tcPr>
            <w:tcW w:w="1710" w:type="dxa"/>
            <w:shd w:val="clear" w:color="auto" w:fill="auto"/>
            <w:vAlign w:val="center"/>
          </w:tcPr>
          <w:p w14:paraId="43E07C9C" w14:textId="77777777" w:rsidR="007663FD" w:rsidRPr="00D57400" w:rsidRDefault="007663FD" w:rsidP="007663FD">
            <w:pPr>
              <w:autoSpaceDE w:val="0"/>
              <w:autoSpaceDN w:val="0"/>
              <w:adjustRightInd w:val="0"/>
              <w:spacing w:after="0"/>
              <w:jc w:val="right"/>
              <w:rPr>
                <w:rFonts w:cs="Arial"/>
                <w:sz w:val="18"/>
                <w:szCs w:val="18"/>
              </w:rPr>
            </w:pPr>
            <w:r w:rsidRPr="00D57400">
              <w:rPr>
                <w:rFonts w:cs="Arial"/>
                <w:sz w:val="18"/>
                <w:szCs w:val="18"/>
              </w:rPr>
              <w:t>1,500,000</w:t>
            </w:r>
          </w:p>
        </w:tc>
      </w:tr>
      <w:tr w:rsidR="007663FD" w:rsidRPr="00D57400" w14:paraId="21E5870C" w14:textId="77777777" w:rsidTr="007663FD">
        <w:trPr>
          <w:jc w:val="center"/>
        </w:trPr>
        <w:tc>
          <w:tcPr>
            <w:tcW w:w="4405" w:type="dxa"/>
            <w:shd w:val="clear" w:color="auto" w:fill="auto"/>
            <w:vAlign w:val="center"/>
          </w:tcPr>
          <w:p w14:paraId="77F67283" w14:textId="77777777" w:rsidR="007663FD" w:rsidRPr="00D57400" w:rsidRDefault="007663FD" w:rsidP="007663FD">
            <w:pPr>
              <w:autoSpaceDE w:val="0"/>
              <w:autoSpaceDN w:val="0"/>
              <w:adjustRightInd w:val="0"/>
              <w:spacing w:after="0"/>
              <w:jc w:val="left"/>
              <w:rPr>
                <w:rFonts w:cs="Arial"/>
                <w:sz w:val="18"/>
                <w:szCs w:val="18"/>
              </w:rPr>
            </w:pPr>
            <w:r w:rsidRPr="00D57400">
              <w:rPr>
                <w:rFonts w:cs="Arial"/>
                <w:sz w:val="18"/>
                <w:szCs w:val="18"/>
              </w:rPr>
              <w:t>Tree Aid</w:t>
            </w:r>
          </w:p>
          <w:p w14:paraId="44940F77" w14:textId="77777777" w:rsidR="007663FD" w:rsidRPr="00D57400" w:rsidRDefault="007663FD" w:rsidP="007663FD">
            <w:pPr>
              <w:autoSpaceDE w:val="0"/>
              <w:autoSpaceDN w:val="0"/>
              <w:adjustRightInd w:val="0"/>
              <w:spacing w:after="0"/>
              <w:jc w:val="left"/>
              <w:rPr>
                <w:rFonts w:cs="Arial"/>
                <w:sz w:val="18"/>
                <w:szCs w:val="18"/>
              </w:rPr>
            </w:pPr>
            <w:r w:rsidRPr="00D57400">
              <w:rPr>
                <w:rFonts w:cs="Arial"/>
                <w:sz w:val="18"/>
                <w:szCs w:val="18"/>
              </w:rPr>
              <w:t>(Local governance of forest resources)</w:t>
            </w:r>
          </w:p>
        </w:tc>
        <w:tc>
          <w:tcPr>
            <w:tcW w:w="1440" w:type="dxa"/>
            <w:shd w:val="clear" w:color="auto" w:fill="auto"/>
            <w:vAlign w:val="center"/>
          </w:tcPr>
          <w:p w14:paraId="7F221614" w14:textId="77777777" w:rsidR="007663FD" w:rsidRPr="00D57400" w:rsidRDefault="007663FD" w:rsidP="007663FD">
            <w:pPr>
              <w:autoSpaceDE w:val="0"/>
              <w:autoSpaceDN w:val="0"/>
              <w:adjustRightInd w:val="0"/>
              <w:spacing w:after="0"/>
              <w:jc w:val="left"/>
              <w:rPr>
                <w:sz w:val="18"/>
                <w:szCs w:val="18"/>
              </w:rPr>
            </w:pPr>
            <w:r w:rsidRPr="00D57400">
              <w:rPr>
                <w:sz w:val="18"/>
                <w:szCs w:val="18"/>
              </w:rPr>
              <w:t>Grant</w:t>
            </w:r>
          </w:p>
        </w:tc>
        <w:tc>
          <w:tcPr>
            <w:tcW w:w="1710" w:type="dxa"/>
            <w:shd w:val="clear" w:color="auto" w:fill="auto"/>
            <w:vAlign w:val="center"/>
          </w:tcPr>
          <w:p w14:paraId="59B5F2E7" w14:textId="77777777" w:rsidR="007663FD" w:rsidRPr="00D57400" w:rsidRDefault="007663FD" w:rsidP="007663FD">
            <w:pPr>
              <w:autoSpaceDE w:val="0"/>
              <w:autoSpaceDN w:val="0"/>
              <w:adjustRightInd w:val="0"/>
              <w:spacing w:after="0"/>
              <w:jc w:val="right"/>
              <w:rPr>
                <w:rFonts w:cs="Arial"/>
                <w:sz w:val="18"/>
                <w:szCs w:val="18"/>
              </w:rPr>
            </w:pPr>
            <w:r w:rsidRPr="00D57400">
              <w:rPr>
                <w:rFonts w:cs="Arial"/>
                <w:sz w:val="18"/>
                <w:szCs w:val="18"/>
              </w:rPr>
              <w:t>1,198,840</w:t>
            </w:r>
          </w:p>
        </w:tc>
      </w:tr>
      <w:tr w:rsidR="007663FD" w:rsidRPr="00D57400" w14:paraId="641B99CC" w14:textId="77777777" w:rsidTr="007663FD">
        <w:trPr>
          <w:jc w:val="center"/>
        </w:trPr>
        <w:tc>
          <w:tcPr>
            <w:tcW w:w="4405" w:type="dxa"/>
            <w:shd w:val="clear" w:color="auto" w:fill="auto"/>
            <w:vAlign w:val="center"/>
          </w:tcPr>
          <w:p w14:paraId="7D7A9206" w14:textId="77777777" w:rsidR="007663FD" w:rsidRPr="00D57400" w:rsidRDefault="007663FD" w:rsidP="007663FD">
            <w:pPr>
              <w:autoSpaceDE w:val="0"/>
              <w:autoSpaceDN w:val="0"/>
              <w:adjustRightInd w:val="0"/>
              <w:spacing w:after="0"/>
              <w:jc w:val="left"/>
              <w:rPr>
                <w:rFonts w:cs="Arial"/>
                <w:sz w:val="18"/>
                <w:szCs w:val="18"/>
              </w:rPr>
            </w:pPr>
            <w:r w:rsidRPr="00D57400">
              <w:rPr>
                <w:rFonts w:cs="Arial"/>
                <w:sz w:val="18"/>
                <w:szCs w:val="18"/>
              </w:rPr>
              <w:t>IUCN Burkina Faso</w:t>
            </w:r>
          </w:p>
          <w:p w14:paraId="6240F8FF" w14:textId="77777777" w:rsidR="007663FD" w:rsidRPr="00D57400" w:rsidRDefault="007663FD" w:rsidP="007663FD">
            <w:pPr>
              <w:autoSpaceDE w:val="0"/>
              <w:autoSpaceDN w:val="0"/>
              <w:adjustRightInd w:val="0"/>
              <w:spacing w:after="0"/>
              <w:jc w:val="left"/>
              <w:rPr>
                <w:rFonts w:cs="Arial"/>
                <w:sz w:val="18"/>
                <w:szCs w:val="18"/>
              </w:rPr>
            </w:pPr>
            <w:r w:rsidRPr="00D57400">
              <w:rPr>
                <w:rFonts w:cs="Arial"/>
                <w:sz w:val="18"/>
                <w:szCs w:val="18"/>
              </w:rPr>
              <w:t>(Forest Dependent Populations Support Project)</w:t>
            </w:r>
          </w:p>
        </w:tc>
        <w:tc>
          <w:tcPr>
            <w:tcW w:w="1440" w:type="dxa"/>
            <w:shd w:val="clear" w:color="auto" w:fill="auto"/>
            <w:vAlign w:val="center"/>
          </w:tcPr>
          <w:p w14:paraId="719D428C" w14:textId="77777777" w:rsidR="007663FD" w:rsidRPr="00D57400" w:rsidRDefault="007663FD" w:rsidP="007663FD">
            <w:pPr>
              <w:autoSpaceDE w:val="0"/>
              <w:autoSpaceDN w:val="0"/>
              <w:adjustRightInd w:val="0"/>
              <w:spacing w:after="0"/>
              <w:jc w:val="left"/>
              <w:rPr>
                <w:sz w:val="18"/>
                <w:szCs w:val="18"/>
              </w:rPr>
            </w:pPr>
            <w:r w:rsidRPr="00D57400">
              <w:rPr>
                <w:sz w:val="18"/>
                <w:szCs w:val="18"/>
              </w:rPr>
              <w:t>Grant</w:t>
            </w:r>
          </w:p>
        </w:tc>
        <w:tc>
          <w:tcPr>
            <w:tcW w:w="1710" w:type="dxa"/>
            <w:shd w:val="clear" w:color="auto" w:fill="auto"/>
            <w:vAlign w:val="center"/>
          </w:tcPr>
          <w:p w14:paraId="390EF4FD" w14:textId="77777777" w:rsidR="007663FD" w:rsidRPr="00D57400" w:rsidRDefault="007663FD" w:rsidP="007663FD">
            <w:pPr>
              <w:autoSpaceDE w:val="0"/>
              <w:autoSpaceDN w:val="0"/>
              <w:adjustRightInd w:val="0"/>
              <w:spacing w:after="0"/>
              <w:jc w:val="right"/>
              <w:rPr>
                <w:rFonts w:cs="Arial"/>
                <w:sz w:val="18"/>
                <w:szCs w:val="18"/>
              </w:rPr>
            </w:pPr>
            <w:r w:rsidRPr="00D57400">
              <w:rPr>
                <w:rFonts w:cs="Arial"/>
                <w:sz w:val="18"/>
                <w:szCs w:val="18"/>
              </w:rPr>
              <w:t>720,000</w:t>
            </w:r>
          </w:p>
        </w:tc>
      </w:tr>
      <w:tr w:rsidR="007663FD" w:rsidRPr="00D57400" w14:paraId="22848AA6" w14:textId="77777777" w:rsidTr="007663FD">
        <w:trPr>
          <w:jc w:val="center"/>
        </w:trPr>
        <w:tc>
          <w:tcPr>
            <w:tcW w:w="4405" w:type="dxa"/>
            <w:shd w:val="clear" w:color="auto" w:fill="auto"/>
            <w:vAlign w:val="center"/>
          </w:tcPr>
          <w:p w14:paraId="11E800A7" w14:textId="77777777" w:rsidR="007663FD" w:rsidRPr="00D57400" w:rsidRDefault="007663FD" w:rsidP="007663FD">
            <w:pPr>
              <w:autoSpaceDE w:val="0"/>
              <w:autoSpaceDN w:val="0"/>
              <w:adjustRightInd w:val="0"/>
              <w:spacing w:after="0"/>
              <w:jc w:val="left"/>
              <w:rPr>
                <w:sz w:val="18"/>
                <w:szCs w:val="18"/>
                <w:lang w:val="fr-CA"/>
              </w:rPr>
            </w:pPr>
            <w:r w:rsidRPr="00D57400">
              <w:rPr>
                <w:sz w:val="18"/>
                <w:szCs w:val="18"/>
                <w:lang w:val="fr-CA"/>
              </w:rPr>
              <w:t>Agence Pour la Promotion de la Petite et Moyenne Entreprise/Agriculture et Artisanat (APME.2A)</w:t>
            </w:r>
          </w:p>
          <w:p w14:paraId="0C6DBC78" w14:textId="77777777" w:rsidR="007663FD" w:rsidRPr="00D57400" w:rsidRDefault="007663FD" w:rsidP="007663FD">
            <w:pPr>
              <w:autoSpaceDE w:val="0"/>
              <w:autoSpaceDN w:val="0"/>
              <w:adjustRightInd w:val="0"/>
              <w:spacing w:after="0"/>
              <w:jc w:val="left"/>
              <w:rPr>
                <w:rFonts w:cs="Arial"/>
                <w:sz w:val="18"/>
                <w:szCs w:val="18"/>
              </w:rPr>
            </w:pPr>
            <w:r w:rsidRPr="00D57400">
              <w:rPr>
                <w:rFonts w:cs="Arial"/>
                <w:sz w:val="18"/>
                <w:szCs w:val="18"/>
              </w:rPr>
              <w:t>(Value chain governance and inclusion of the cowpea, milk and NTFP sectors)</w:t>
            </w:r>
          </w:p>
        </w:tc>
        <w:tc>
          <w:tcPr>
            <w:tcW w:w="1440" w:type="dxa"/>
            <w:shd w:val="clear" w:color="auto" w:fill="auto"/>
            <w:vAlign w:val="center"/>
          </w:tcPr>
          <w:p w14:paraId="68E40B1A" w14:textId="77777777" w:rsidR="007663FD" w:rsidRPr="00D57400" w:rsidRDefault="007663FD" w:rsidP="007663FD">
            <w:pPr>
              <w:autoSpaceDE w:val="0"/>
              <w:autoSpaceDN w:val="0"/>
              <w:adjustRightInd w:val="0"/>
              <w:spacing w:after="0"/>
              <w:jc w:val="left"/>
              <w:rPr>
                <w:sz w:val="18"/>
                <w:szCs w:val="18"/>
              </w:rPr>
            </w:pPr>
            <w:r w:rsidRPr="00D57400">
              <w:rPr>
                <w:sz w:val="18"/>
                <w:szCs w:val="18"/>
              </w:rPr>
              <w:t>Grant</w:t>
            </w:r>
          </w:p>
        </w:tc>
        <w:tc>
          <w:tcPr>
            <w:tcW w:w="1710" w:type="dxa"/>
            <w:shd w:val="clear" w:color="auto" w:fill="auto"/>
            <w:vAlign w:val="center"/>
          </w:tcPr>
          <w:p w14:paraId="0F8AD78A" w14:textId="77777777" w:rsidR="007663FD" w:rsidRPr="00D57400" w:rsidRDefault="007663FD" w:rsidP="007663FD">
            <w:pPr>
              <w:autoSpaceDE w:val="0"/>
              <w:autoSpaceDN w:val="0"/>
              <w:adjustRightInd w:val="0"/>
              <w:spacing w:after="0"/>
              <w:jc w:val="right"/>
              <w:rPr>
                <w:rFonts w:cs="Arial"/>
                <w:sz w:val="18"/>
                <w:szCs w:val="18"/>
              </w:rPr>
            </w:pPr>
            <w:r w:rsidRPr="00D57400">
              <w:rPr>
                <w:rFonts w:cs="Arial"/>
                <w:sz w:val="18"/>
                <w:szCs w:val="18"/>
              </w:rPr>
              <w:t>719,505</w:t>
            </w:r>
          </w:p>
        </w:tc>
      </w:tr>
      <w:tr w:rsidR="007663FD" w:rsidRPr="00D57400" w14:paraId="22E56124" w14:textId="77777777" w:rsidTr="007663FD">
        <w:trPr>
          <w:jc w:val="center"/>
        </w:trPr>
        <w:tc>
          <w:tcPr>
            <w:tcW w:w="4405" w:type="dxa"/>
            <w:shd w:val="clear" w:color="auto" w:fill="auto"/>
            <w:vAlign w:val="center"/>
          </w:tcPr>
          <w:p w14:paraId="51C7CE0E" w14:textId="77777777" w:rsidR="007663FD" w:rsidRPr="00D57400" w:rsidRDefault="007663FD" w:rsidP="007663FD">
            <w:pPr>
              <w:autoSpaceDE w:val="0"/>
              <w:autoSpaceDN w:val="0"/>
              <w:adjustRightInd w:val="0"/>
              <w:spacing w:after="0"/>
              <w:jc w:val="left"/>
              <w:rPr>
                <w:rFonts w:cs="Arial"/>
                <w:sz w:val="18"/>
                <w:szCs w:val="18"/>
              </w:rPr>
            </w:pPr>
            <w:proofErr w:type="spellStart"/>
            <w:r w:rsidRPr="00D57400">
              <w:rPr>
                <w:rFonts w:cs="Arial"/>
                <w:sz w:val="18"/>
                <w:szCs w:val="18"/>
              </w:rPr>
              <w:t>Nahouri</w:t>
            </w:r>
            <w:proofErr w:type="spellEnd"/>
            <w:r w:rsidRPr="00D57400">
              <w:rPr>
                <w:rFonts w:cs="Arial"/>
                <w:sz w:val="18"/>
                <w:szCs w:val="18"/>
              </w:rPr>
              <w:t xml:space="preserve"> Safari</w:t>
            </w:r>
          </w:p>
          <w:p w14:paraId="7938E16C" w14:textId="77777777" w:rsidR="007663FD" w:rsidRPr="00D57400" w:rsidRDefault="007663FD" w:rsidP="007663FD">
            <w:pPr>
              <w:autoSpaceDE w:val="0"/>
              <w:autoSpaceDN w:val="0"/>
              <w:adjustRightInd w:val="0"/>
              <w:spacing w:after="0"/>
              <w:jc w:val="left"/>
              <w:rPr>
                <w:rFonts w:cs="Arial"/>
                <w:sz w:val="18"/>
                <w:szCs w:val="18"/>
                <w:lang w:val="en-CA"/>
              </w:rPr>
            </w:pPr>
            <w:r w:rsidRPr="00D57400">
              <w:rPr>
                <w:rFonts w:cs="Arial"/>
                <w:sz w:val="18"/>
                <w:szCs w:val="18"/>
                <w:lang w:val="en-CA"/>
              </w:rPr>
              <w:t xml:space="preserve">(Capacity building and equipment for village patrollers and guides; Capacity building and equipment for </w:t>
            </w:r>
            <w:proofErr w:type="spellStart"/>
            <w:r w:rsidRPr="00D57400">
              <w:rPr>
                <w:rFonts w:cs="Arial"/>
                <w:sz w:val="18"/>
                <w:szCs w:val="18"/>
                <w:lang w:val="en-CA"/>
              </w:rPr>
              <w:t>ecoguards</w:t>
            </w:r>
            <w:proofErr w:type="spellEnd"/>
            <w:r w:rsidRPr="00D57400">
              <w:rPr>
                <w:rFonts w:cs="Arial"/>
                <w:sz w:val="18"/>
                <w:szCs w:val="18"/>
                <w:lang w:val="en-CA"/>
              </w:rPr>
              <w:t>)</w:t>
            </w:r>
          </w:p>
        </w:tc>
        <w:tc>
          <w:tcPr>
            <w:tcW w:w="1440" w:type="dxa"/>
            <w:shd w:val="clear" w:color="auto" w:fill="auto"/>
            <w:vAlign w:val="center"/>
          </w:tcPr>
          <w:p w14:paraId="162CF37C" w14:textId="77777777" w:rsidR="007663FD" w:rsidRPr="00D57400" w:rsidRDefault="007663FD" w:rsidP="007663FD">
            <w:pPr>
              <w:autoSpaceDE w:val="0"/>
              <w:autoSpaceDN w:val="0"/>
              <w:adjustRightInd w:val="0"/>
              <w:spacing w:after="0"/>
              <w:jc w:val="left"/>
              <w:rPr>
                <w:sz w:val="18"/>
                <w:szCs w:val="18"/>
              </w:rPr>
            </w:pPr>
            <w:r w:rsidRPr="00D57400">
              <w:rPr>
                <w:sz w:val="18"/>
                <w:szCs w:val="18"/>
              </w:rPr>
              <w:t>Grant</w:t>
            </w:r>
          </w:p>
        </w:tc>
        <w:tc>
          <w:tcPr>
            <w:tcW w:w="1710" w:type="dxa"/>
            <w:shd w:val="clear" w:color="auto" w:fill="auto"/>
            <w:vAlign w:val="center"/>
          </w:tcPr>
          <w:p w14:paraId="55858A47" w14:textId="77777777" w:rsidR="007663FD" w:rsidRPr="00D57400" w:rsidRDefault="007663FD" w:rsidP="007663FD">
            <w:pPr>
              <w:autoSpaceDE w:val="0"/>
              <w:autoSpaceDN w:val="0"/>
              <w:adjustRightInd w:val="0"/>
              <w:spacing w:after="0"/>
              <w:jc w:val="right"/>
              <w:rPr>
                <w:rFonts w:cs="Arial"/>
                <w:sz w:val="18"/>
                <w:szCs w:val="18"/>
              </w:rPr>
            </w:pPr>
            <w:r w:rsidRPr="00D57400">
              <w:rPr>
                <w:rFonts w:cs="Arial"/>
                <w:sz w:val="18"/>
                <w:szCs w:val="18"/>
              </w:rPr>
              <w:t>429,649</w:t>
            </w:r>
          </w:p>
        </w:tc>
      </w:tr>
      <w:tr w:rsidR="007663FD" w:rsidRPr="00D57400" w14:paraId="3C2498FB" w14:textId="77777777" w:rsidTr="007663FD">
        <w:trPr>
          <w:jc w:val="center"/>
        </w:trPr>
        <w:tc>
          <w:tcPr>
            <w:tcW w:w="4405" w:type="dxa"/>
            <w:shd w:val="clear" w:color="auto" w:fill="auto"/>
            <w:vAlign w:val="center"/>
          </w:tcPr>
          <w:p w14:paraId="54CC5A80" w14:textId="77777777" w:rsidR="007663FD" w:rsidRPr="00D57400" w:rsidRDefault="007663FD" w:rsidP="007663FD">
            <w:pPr>
              <w:autoSpaceDE w:val="0"/>
              <w:autoSpaceDN w:val="0"/>
              <w:adjustRightInd w:val="0"/>
              <w:spacing w:after="0"/>
              <w:jc w:val="left"/>
              <w:rPr>
                <w:rFonts w:cs="Arial"/>
                <w:sz w:val="18"/>
                <w:szCs w:val="18"/>
              </w:rPr>
            </w:pPr>
            <w:r w:rsidRPr="00D57400">
              <w:rPr>
                <w:rFonts w:cs="Arial"/>
                <w:sz w:val="18"/>
                <w:szCs w:val="18"/>
              </w:rPr>
              <w:t>NATURAMA Foundation</w:t>
            </w:r>
          </w:p>
          <w:p w14:paraId="3EB8B1B9" w14:textId="77777777" w:rsidR="007663FD" w:rsidRPr="00D57400" w:rsidRDefault="007663FD" w:rsidP="007663FD">
            <w:pPr>
              <w:autoSpaceDE w:val="0"/>
              <w:autoSpaceDN w:val="0"/>
              <w:adjustRightInd w:val="0"/>
              <w:spacing w:after="0"/>
              <w:jc w:val="left"/>
              <w:rPr>
                <w:rFonts w:cs="Arial"/>
                <w:sz w:val="18"/>
                <w:szCs w:val="18"/>
              </w:rPr>
            </w:pPr>
            <w:r w:rsidRPr="00D57400">
              <w:rPr>
                <w:rFonts w:cs="Arial"/>
                <w:sz w:val="18"/>
                <w:szCs w:val="18"/>
              </w:rPr>
              <w:t xml:space="preserve">(Shared resources and common solutions program for Burkina Faso, </w:t>
            </w:r>
            <w:proofErr w:type="gramStart"/>
            <w:r w:rsidRPr="00D57400">
              <w:rPr>
                <w:rFonts w:cs="Arial"/>
                <w:sz w:val="18"/>
                <w:szCs w:val="18"/>
              </w:rPr>
              <w:t>Building</w:t>
            </w:r>
            <w:proofErr w:type="gramEnd"/>
            <w:r w:rsidRPr="00D57400">
              <w:rPr>
                <w:rFonts w:cs="Arial"/>
                <w:sz w:val="18"/>
                <w:szCs w:val="18"/>
              </w:rPr>
              <w:t xml:space="preserve"> resilient landscapes and livelihoods in BF's shea parklands, Monitoring the </w:t>
            </w:r>
            <w:r w:rsidRPr="00D57400">
              <w:rPr>
                <w:rFonts w:cs="Arial"/>
                <w:sz w:val="18"/>
                <w:szCs w:val="18"/>
              </w:rPr>
              <w:lastRenderedPageBreak/>
              <w:t>success of bird management interventions in shea parks in the BF (neighboring PNKT communes)</w:t>
            </w:r>
          </w:p>
        </w:tc>
        <w:tc>
          <w:tcPr>
            <w:tcW w:w="1440" w:type="dxa"/>
            <w:shd w:val="clear" w:color="auto" w:fill="auto"/>
            <w:vAlign w:val="center"/>
          </w:tcPr>
          <w:p w14:paraId="4E86DC26" w14:textId="77777777" w:rsidR="007663FD" w:rsidRPr="00D57400" w:rsidRDefault="007663FD" w:rsidP="007663FD">
            <w:pPr>
              <w:autoSpaceDE w:val="0"/>
              <w:autoSpaceDN w:val="0"/>
              <w:adjustRightInd w:val="0"/>
              <w:spacing w:after="0"/>
              <w:jc w:val="left"/>
              <w:rPr>
                <w:sz w:val="18"/>
                <w:szCs w:val="18"/>
              </w:rPr>
            </w:pPr>
            <w:r w:rsidRPr="00D57400">
              <w:rPr>
                <w:sz w:val="18"/>
                <w:szCs w:val="18"/>
              </w:rPr>
              <w:lastRenderedPageBreak/>
              <w:t>Grant</w:t>
            </w:r>
          </w:p>
        </w:tc>
        <w:tc>
          <w:tcPr>
            <w:tcW w:w="1710" w:type="dxa"/>
            <w:shd w:val="clear" w:color="auto" w:fill="auto"/>
            <w:vAlign w:val="center"/>
          </w:tcPr>
          <w:p w14:paraId="26B884C2" w14:textId="77777777" w:rsidR="007663FD" w:rsidRPr="00D57400" w:rsidRDefault="007663FD" w:rsidP="007663FD">
            <w:pPr>
              <w:autoSpaceDE w:val="0"/>
              <w:autoSpaceDN w:val="0"/>
              <w:adjustRightInd w:val="0"/>
              <w:spacing w:after="0"/>
              <w:jc w:val="right"/>
              <w:rPr>
                <w:rFonts w:cs="Arial"/>
                <w:sz w:val="18"/>
                <w:szCs w:val="18"/>
              </w:rPr>
            </w:pPr>
            <w:r w:rsidRPr="00D57400">
              <w:rPr>
                <w:rFonts w:cs="Arial"/>
                <w:sz w:val="18"/>
                <w:szCs w:val="18"/>
              </w:rPr>
              <w:t>164,036</w:t>
            </w:r>
          </w:p>
        </w:tc>
      </w:tr>
      <w:tr w:rsidR="007663FD" w:rsidRPr="00D57400" w14:paraId="0D5E6F55" w14:textId="77777777" w:rsidTr="007663FD">
        <w:trPr>
          <w:jc w:val="center"/>
        </w:trPr>
        <w:tc>
          <w:tcPr>
            <w:tcW w:w="4405" w:type="dxa"/>
            <w:shd w:val="clear" w:color="auto" w:fill="auto"/>
            <w:vAlign w:val="center"/>
          </w:tcPr>
          <w:p w14:paraId="630DA162" w14:textId="77777777" w:rsidR="007663FD" w:rsidRPr="00D57400" w:rsidRDefault="007663FD" w:rsidP="007663FD">
            <w:pPr>
              <w:autoSpaceDE w:val="0"/>
              <w:autoSpaceDN w:val="0"/>
              <w:adjustRightInd w:val="0"/>
              <w:spacing w:after="0"/>
              <w:jc w:val="left"/>
              <w:rPr>
                <w:rFonts w:cs="Arial"/>
                <w:sz w:val="18"/>
                <w:szCs w:val="18"/>
              </w:rPr>
            </w:pPr>
            <w:r w:rsidRPr="00D57400">
              <w:rPr>
                <w:rFonts w:cs="Arial"/>
                <w:sz w:val="18"/>
                <w:szCs w:val="18"/>
              </w:rPr>
              <w:t xml:space="preserve">GA Mo </w:t>
            </w:r>
            <w:proofErr w:type="spellStart"/>
            <w:r w:rsidRPr="00D57400">
              <w:rPr>
                <w:rFonts w:cs="Arial"/>
                <w:sz w:val="18"/>
                <w:szCs w:val="18"/>
              </w:rPr>
              <w:t>Wiya</w:t>
            </w:r>
            <w:proofErr w:type="spellEnd"/>
            <w:r w:rsidRPr="00D57400">
              <w:rPr>
                <w:rFonts w:cs="Arial"/>
                <w:sz w:val="18"/>
                <w:szCs w:val="18"/>
              </w:rPr>
              <w:t xml:space="preserve"> Association</w:t>
            </w:r>
          </w:p>
          <w:p w14:paraId="1CF52264" w14:textId="77777777" w:rsidR="007663FD" w:rsidRPr="00D57400" w:rsidRDefault="007663FD" w:rsidP="007663FD">
            <w:pPr>
              <w:autoSpaceDE w:val="0"/>
              <w:autoSpaceDN w:val="0"/>
              <w:adjustRightInd w:val="0"/>
              <w:spacing w:after="0"/>
              <w:jc w:val="left"/>
              <w:rPr>
                <w:rFonts w:cs="Arial"/>
                <w:sz w:val="18"/>
                <w:szCs w:val="18"/>
              </w:rPr>
            </w:pPr>
            <w:r w:rsidRPr="00D57400">
              <w:rPr>
                <w:rFonts w:cs="Arial"/>
                <w:sz w:val="18"/>
                <w:szCs w:val="18"/>
              </w:rPr>
              <w:t>(Capacity building for producers on several themes related to climate change)</w:t>
            </w:r>
          </w:p>
        </w:tc>
        <w:tc>
          <w:tcPr>
            <w:tcW w:w="1440" w:type="dxa"/>
            <w:shd w:val="clear" w:color="auto" w:fill="auto"/>
            <w:vAlign w:val="center"/>
          </w:tcPr>
          <w:p w14:paraId="03351E7D" w14:textId="77777777" w:rsidR="007663FD" w:rsidRPr="00D57400" w:rsidRDefault="007663FD" w:rsidP="007663FD">
            <w:pPr>
              <w:autoSpaceDE w:val="0"/>
              <w:autoSpaceDN w:val="0"/>
              <w:adjustRightInd w:val="0"/>
              <w:spacing w:after="0"/>
              <w:jc w:val="left"/>
              <w:rPr>
                <w:sz w:val="18"/>
                <w:szCs w:val="18"/>
              </w:rPr>
            </w:pPr>
            <w:r w:rsidRPr="00D57400">
              <w:rPr>
                <w:sz w:val="18"/>
                <w:szCs w:val="18"/>
              </w:rPr>
              <w:t>Grant</w:t>
            </w:r>
          </w:p>
        </w:tc>
        <w:tc>
          <w:tcPr>
            <w:tcW w:w="1710" w:type="dxa"/>
            <w:shd w:val="clear" w:color="auto" w:fill="auto"/>
            <w:vAlign w:val="center"/>
          </w:tcPr>
          <w:p w14:paraId="27DF51D1" w14:textId="77777777" w:rsidR="007663FD" w:rsidRPr="00D57400" w:rsidRDefault="007663FD" w:rsidP="007663FD">
            <w:pPr>
              <w:autoSpaceDE w:val="0"/>
              <w:autoSpaceDN w:val="0"/>
              <w:adjustRightInd w:val="0"/>
              <w:spacing w:after="0"/>
              <w:jc w:val="right"/>
              <w:rPr>
                <w:rFonts w:cs="Arial"/>
                <w:sz w:val="18"/>
                <w:szCs w:val="18"/>
              </w:rPr>
            </w:pPr>
            <w:r w:rsidRPr="00D57400">
              <w:rPr>
                <w:rFonts w:cs="Arial"/>
                <w:sz w:val="18"/>
                <w:szCs w:val="18"/>
              </w:rPr>
              <w:t>136,026</w:t>
            </w:r>
          </w:p>
        </w:tc>
      </w:tr>
      <w:tr w:rsidR="007663FD" w:rsidRPr="00D57400" w14:paraId="0051887A" w14:textId="77777777" w:rsidTr="007663FD">
        <w:trPr>
          <w:jc w:val="center"/>
        </w:trPr>
        <w:tc>
          <w:tcPr>
            <w:tcW w:w="4405" w:type="dxa"/>
            <w:shd w:val="clear" w:color="auto" w:fill="auto"/>
            <w:vAlign w:val="center"/>
          </w:tcPr>
          <w:p w14:paraId="7AE1B63D" w14:textId="77777777" w:rsidR="007663FD" w:rsidRPr="00D57400" w:rsidRDefault="007663FD" w:rsidP="007663FD">
            <w:pPr>
              <w:autoSpaceDE w:val="0"/>
              <w:autoSpaceDN w:val="0"/>
              <w:adjustRightInd w:val="0"/>
              <w:spacing w:after="0"/>
              <w:jc w:val="left"/>
              <w:rPr>
                <w:rFonts w:cs="Arial"/>
                <w:sz w:val="18"/>
                <w:szCs w:val="18"/>
                <w:lang w:val="en-CA"/>
              </w:rPr>
            </w:pPr>
            <w:r w:rsidRPr="00D57400">
              <w:rPr>
                <w:rFonts w:cs="Arial"/>
                <w:sz w:val="18"/>
                <w:szCs w:val="18"/>
                <w:lang w:val="en-CA"/>
              </w:rPr>
              <w:t>Ministry of Mines and Quarries (Mining Sector Support Project)</w:t>
            </w:r>
          </w:p>
        </w:tc>
        <w:tc>
          <w:tcPr>
            <w:tcW w:w="1440" w:type="dxa"/>
            <w:shd w:val="clear" w:color="auto" w:fill="auto"/>
            <w:vAlign w:val="center"/>
          </w:tcPr>
          <w:p w14:paraId="4019425D" w14:textId="77777777" w:rsidR="007663FD" w:rsidRPr="00D57400" w:rsidRDefault="007663FD" w:rsidP="007663FD">
            <w:pPr>
              <w:autoSpaceDE w:val="0"/>
              <w:autoSpaceDN w:val="0"/>
              <w:adjustRightInd w:val="0"/>
              <w:spacing w:after="0"/>
              <w:jc w:val="left"/>
              <w:rPr>
                <w:sz w:val="18"/>
                <w:szCs w:val="18"/>
              </w:rPr>
            </w:pPr>
            <w:r w:rsidRPr="00D57400">
              <w:rPr>
                <w:sz w:val="18"/>
                <w:szCs w:val="18"/>
              </w:rPr>
              <w:t>Grant</w:t>
            </w:r>
          </w:p>
        </w:tc>
        <w:tc>
          <w:tcPr>
            <w:tcW w:w="1710" w:type="dxa"/>
            <w:shd w:val="clear" w:color="auto" w:fill="auto"/>
            <w:vAlign w:val="center"/>
          </w:tcPr>
          <w:p w14:paraId="2413BB89" w14:textId="77777777" w:rsidR="007663FD" w:rsidRPr="00D57400" w:rsidRDefault="007663FD" w:rsidP="007663FD">
            <w:pPr>
              <w:autoSpaceDE w:val="0"/>
              <w:autoSpaceDN w:val="0"/>
              <w:adjustRightInd w:val="0"/>
              <w:spacing w:after="0"/>
              <w:jc w:val="right"/>
              <w:rPr>
                <w:rFonts w:cs="Arial"/>
                <w:sz w:val="18"/>
                <w:szCs w:val="18"/>
              </w:rPr>
            </w:pPr>
            <w:r w:rsidRPr="00D57400">
              <w:rPr>
                <w:rFonts w:cs="Arial"/>
                <w:sz w:val="18"/>
                <w:szCs w:val="18"/>
              </w:rPr>
              <w:t>102,739</w:t>
            </w:r>
          </w:p>
        </w:tc>
      </w:tr>
    </w:tbl>
    <w:p w14:paraId="52ED563C" w14:textId="77777777" w:rsidR="00302BFE" w:rsidRPr="00D57400" w:rsidRDefault="00302BFE" w:rsidP="00302BFE">
      <w:pPr>
        <w:autoSpaceDE w:val="0"/>
        <w:autoSpaceDN w:val="0"/>
        <w:adjustRightInd w:val="0"/>
        <w:spacing w:after="0"/>
        <w:jc w:val="left"/>
        <w:rPr>
          <w:sz w:val="10"/>
          <w:szCs w:val="10"/>
        </w:rPr>
      </w:pPr>
    </w:p>
    <w:p w14:paraId="66A2F652" w14:textId="77777777" w:rsidR="00E34E6F" w:rsidRPr="00966EF0" w:rsidRDefault="00E34E6F" w:rsidP="00E34E6F">
      <w:pPr>
        <w:spacing w:after="0"/>
        <w:rPr>
          <w:szCs w:val="20"/>
        </w:rPr>
      </w:pPr>
      <w:r w:rsidRPr="00966EF0">
        <w:rPr>
          <w:b/>
          <w:bCs/>
          <w:szCs w:val="20"/>
          <w:u w:val="single"/>
        </w:rPr>
        <w:t>Budget Revision and Tolerance</w:t>
      </w:r>
      <w:r w:rsidRPr="00966EF0">
        <w:rPr>
          <w:szCs w:val="20"/>
        </w:rPr>
        <w:t>: As per UNDP POPP, the project board may agree with the project manager on a tolerance level for each detailed plan under the overall multi-year workplan.</w:t>
      </w:r>
      <w:r w:rsidRPr="00966EF0">
        <w:rPr>
          <w:rFonts w:ascii="Times New Roman" w:hAnsi="Times New Roman"/>
          <w:sz w:val="24"/>
        </w:rPr>
        <w:t xml:space="preserve"> </w:t>
      </w:r>
      <w:r w:rsidRPr="00966EF0">
        <w:rPr>
          <w:szCs w:val="20"/>
        </w:rPr>
        <w:t xml:space="preserve">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14D0914B" w14:textId="77777777" w:rsidR="00E34E6F" w:rsidRPr="00966EF0" w:rsidRDefault="00E34E6F" w:rsidP="00E34E6F">
      <w:pPr>
        <w:spacing w:after="0"/>
        <w:rPr>
          <w:szCs w:val="20"/>
        </w:rPr>
      </w:pPr>
    </w:p>
    <w:p w14:paraId="20629422" w14:textId="77777777" w:rsidR="00E34E6F" w:rsidRPr="00966EF0" w:rsidRDefault="00E34E6F" w:rsidP="00E34E6F">
      <w:pPr>
        <w:rPr>
          <w:szCs w:val="20"/>
        </w:rPr>
      </w:pPr>
      <w:r w:rsidRPr="00966EF0">
        <w:rPr>
          <w:szCs w:val="20"/>
        </w:rPr>
        <w:t xml:space="preserve">Should the following deviations occur, the Project Manager/IP through UNDP Country Office will seek the approval of the BPPS/NCE-VF team to ensure accurate reporting to the GEF.  It is </w:t>
      </w:r>
      <w:r w:rsidRPr="00966EF0">
        <w:rPr>
          <w:b/>
          <w:bCs/>
          <w:szCs w:val="20"/>
        </w:rPr>
        <w:t>strongly encouraged</w:t>
      </w:r>
      <w:r w:rsidRPr="00966EF0">
        <w:rPr>
          <w:szCs w:val="20"/>
        </w:rPr>
        <w:t xml:space="preserve"> to maintain the expenditures within the approved budget at the budgetary account and at the component level:</w:t>
      </w:r>
    </w:p>
    <w:p w14:paraId="00D9A470" w14:textId="77777777" w:rsidR="00E34E6F" w:rsidRPr="00966EF0" w:rsidRDefault="00E34E6F" w:rsidP="00E34E6F">
      <w:pPr>
        <w:spacing w:after="0"/>
        <w:rPr>
          <w:szCs w:val="20"/>
        </w:rPr>
      </w:pPr>
    </w:p>
    <w:p w14:paraId="38860620" w14:textId="77777777" w:rsidR="00E34E6F" w:rsidRPr="00966EF0" w:rsidRDefault="00E34E6F" w:rsidP="00E34E6F">
      <w:pPr>
        <w:numPr>
          <w:ilvl w:val="0"/>
          <w:numId w:val="70"/>
        </w:numPr>
        <w:spacing w:after="0"/>
        <w:rPr>
          <w:szCs w:val="20"/>
        </w:rPr>
      </w:pPr>
      <w:r w:rsidRPr="00966EF0">
        <w:rPr>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08A5BE44" w14:textId="77777777" w:rsidR="00E34E6F" w:rsidRPr="00966EF0" w:rsidRDefault="00E34E6F" w:rsidP="00E34E6F">
      <w:pPr>
        <w:numPr>
          <w:ilvl w:val="0"/>
          <w:numId w:val="70"/>
        </w:numPr>
        <w:spacing w:after="0"/>
        <w:rPr>
          <w:szCs w:val="20"/>
        </w:rPr>
      </w:pPr>
      <w:r w:rsidRPr="00966EF0">
        <w:rPr>
          <w:szCs w:val="20"/>
        </w:rPr>
        <w:t>Introduction of new outputs/activities (</w:t>
      </w:r>
      <w:proofErr w:type="gramStart"/>
      <w:r w:rsidRPr="00966EF0">
        <w:rPr>
          <w:szCs w:val="20"/>
        </w:rPr>
        <w:t>i.e.</w:t>
      </w:r>
      <w:proofErr w:type="gramEnd"/>
      <w:r w:rsidRPr="00966EF0">
        <w:rPr>
          <w:szCs w:val="20"/>
        </w:rPr>
        <w:t xml:space="preserve"> budget items)</w:t>
      </w:r>
      <w:r w:rsidRPr="00966EF0">
        <w:rPr>
          <w:rFonts w:ascii="Times New Roman" w:hAnsi="Times New Roman"/>
          <w:sz w:val="24"/>
        </w:rPr>
        <w:t xml:space="preserve"> </w:t>
      </w:r>
      <w:r w:rsidRPr="00966EF0">
        <w:rPr>
          <w:szCs w:val="20"/>
        </w:rPr>
        <w:t xml:space="preserve">that were not part of the agreed project document and TBWP that represent a value greater than 5% of the total GEF grant. The new budget items must be eligible as per the </w:t>
      </w:r>
      <w:hyperlink r:id="rId39" w:history="1">
        <w:r w:rsidRPr="00966EF0">
          <w:rPr>
            <w:color w:val="0000FF"/>
            <w:szCs w:val="20"/>
            <w:u w:val="single"/>
          </w:rPr>
          <w:t>GEF and UNDP  policies</w:t>
        </w:r>
      </w:hyperlink>
      <w:r w:rsidRPr="00966EF0">
        <w:rPr>
          <w:szCs w:val="20"/>
        </w:rPr>
        <w:t xml:space="preserve">. </w:t>
      </w:r>
    </w:p>
    <w:p w14:paraId="5980DDF7" w14:textId="77777777" w:rsidR="00E34E6F" w:rsidRPr="00966EF0" w:rsidRDefault="00E34E6F" w:rsidP="00E34E6F">
      <w:pPr>
        <w:numPr>
          <w:ilvl w:val="0"/>
          <w:numId w:val="70"/>
        </w:numPr>
        <w:spacing w:after="0"/>
        <w:rPr>
          <w:szCs w:val="20"/>
        </w:rPr>
      </w:pPr>
      <w:r w:rsidRPr="00966EF0">
        <w:rPr>
          <w:szCs w:val="20"/>
        </w:rPr>
        <w:t>Project management cost (PMC): budget under PMC component is capped and cannot be increased.</w:t>
      </w:r>
    </w:p>
    <w:p w14:paraId="3FD02D77" w14:textId="77777777" w:rsidR="00E34E6F" w:rsidRPr="00966EF0" w:rsidRDefault="00E34E6F" w:rsidP="00E34E6F">
      <w:pPr>
        <w:spacing w:after="0"/>
        <w:rPr>
          <w:sz w:val="24"/>
          <w:szCs w:val="20"/>
        </w:rPr>
      </w:pPr>
    </w:p>
    <w:p w14:paraId="306CF4D0" w14:textId="77777777" w:rsidR="00E34E6F" w:rsidRPr="00966EF0" w:rsidRDefault="00E34E6F" w:rsidP="00E34E6F">
      <w:pPr>
        <w:spacing w:after="0"/>
        <w:rPr>
          <w:szCs w:val="20"/>
          <w:u w:val="single"/>
        </w:rPr>
      </w:pPr>
      <w:r w:rsidRPr="00966EF0">
        <w:rPr>
          <w:szCs w:val="20"/>
        </w:rPr>
        <w:t>Any over expenditure incurred beyond the available GEF grant amount must be absorbed by non-GEF resources (</w:t>
      </w:r>
      <w:proofErr w:type="gramStart"/>
      <w:r w:rsidRPr="00966EF0">
        <w:rPr>
          <w:szCs w:val="20"/>
        </w:rPr>
        <w:t>e.g.</w:t>
      </w:r>
      <w:proofErr w:type="gramEnd"/>
      <w:r w:rsidRPr="00966EF0">
        <w:rPr>
          <w:szCs w:val="20"/>
        </w:rPr>
        <w:t xml:space="preserve"> UNDP TRAC or cash co-financing).</w:t>
      </w:r>
      <w:r w:rsidRPr="00966EF0">
        <w:rPr>
          <w:szCs w:val="20"/>
          <w:u w:val="single"/>
        </w:rPr>
        <w:t xml:space="preserve"> </w:t>
      </w:r>
    </w:p>
    <w:p w14:paraId="5EF8AD72" w14:textId="77777777" w:rsidR="00E34E6F" w:rsidRPr="00966EF0" w:rsidRDefault="00E34E6F" w:rsidP="00E34E6F">
      <w:pPr>
        <w:spacing w:after="0"/>
        <w:rPr>
          <w:szCs w:val="20"/>
          <w:u w:val="single"/>
        </w:rPr>
      </w:pPr>
    </w:p>
    <w:p w14:paraId="0522DF1C" w14:textId="77777777" w:rsidR="00E34E6F" w:rsidRPr="00966EF0" w:rsidRDefault="00E34E6F" w:rsidP="00E34E6F">
      <w:pPr>
        <w:spacing w:after="0"/>
      </w:pPr>
      <w:r w:rsidRPr="00966EF0">
        <w:rPr>
          <w:rFonts w:cs="Arial"/>
          <w:b/>
          <w:bCs/>
          <w:noProof/>
          <w:u w:val="single"/>
          <w:lang w:val="en-GB" w:eastAsia="zh-CN"/>
        </w:rPr>
        <w:t>Project extensions</w:t>
      </w:r>
      <w:r w:rsidRPr="00966EF0">
        <w:rPr>
          <w:rFonts w:cs="Arial"/>
          <w:b/>
          <w:bCs/>
          <w:noProof/>
          <w:lang w:val="en-GB" w:eastAsia="zh-CN"/>
        </w:rPr>
        <w:t xml:space="preserve">: </w:t>
      </w:r>
      <w:r w:rsidRPr="00966EF0">
        <w:rPr>
          <w:rFonts w:cs="Arial"/>
          <w:noProof/>
          <w:lang w:val="en-GB" w:eastAsia="zh-CN"/>
        </w:rPr>
        <w:t>The UNDP Resident Representative and the UNDP-GEF Executive Coordinator must approve all project extension requests. Note that all extensions incur costs and the GEF project budget cannot be increased. A single extension may be granted on an exceptional basis and subject to the conditions and maximum durations set out in the UNDP POPP; the project management costs during the extension period must remain within the originally approved amount, and any increase in PMC costs will be covered by non-GEF resources; the additional UNDP oversight costs during the extension period must be covered by non-GEF resources, in accordance with UNDP’s guidance set out in UNDP POPP.</w:t>
      </w:r>
      <w:r w:rsidRPr="00966EF0">
        <w:t xml:space="preserve"> </w:t>
      </w:r>
    </w:p>
    <w:p w14:paraId="25D5EFD8" w14:textId="77777777" w:rsidR="00E34E6F" w:rsidRPr="00966EF0" w:rsidRDefault="00E34E6F" w:rsidP="00E34E6F">
      <w:pPr>
        <w:spacing w:after="0"/>
        <w:rPr>
          <w:rFonts w:cs="Arial"/>
          <w:noProof/>
          <w:szCs w:val="20"/>
          <w:lang w:val="en-GB" w:eastAsia="zh-CN"/>
        </w:rPr>
      </w:pPr>
    </w:p>
    <w:p w14:paraId="1B5EED90" w14:textId="7A0FC20D" w:rsidR="00E34E6F" w:rsidRPr="00966EF0" w:rsidRDefault="00E34E6F" w:rsidP="00E34E6F">
      <w:pPr>
        <w:spacing w:after="0"/>
        <w:rPr>
          <w:rFonts w:cs="Calibri"/>
        </w:rPr>
      </w:pPr>
      <w:r w:rsidRPr="00966EF0">
        <w:rPr>
          <w:rFonts w:cs="Calibri"/>
          <w:u w:val="single"/>
        </w:rPr>
        <w:t>Audit</w:t>
      </w:r>
      <w:r w:rsidRPr="00966EF0">
        <w:rPr>
          <w:rFonts w:cs="Calibri"/>
        </w:rPr>
        <w:t>: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sidRPr="00966EF0">
        <w:rPr>
          <w:rFonts w:cs="Calibri"/>
          <w:i/>
        </w:rPr>
        <w:t xml:space="preserve"> </w:t>
      </w:r>
    </w:p>
    <w:p w14:paraId="23CC7AB7" w14:textId="77777777" w:rsidR="00E34E6F" w:rsidRPr="00966EF0" w:rsidRDefault="00E34E6F" w:rsidP="00E34E6F">
      <w:pPr>
        <w:spacing w:after="0"/>
        <w:rPr>
          <w:szCs w:val="20"/>
          <w:u w:val="single"/>
        </w:rPr>
      </w:pPr>
    </w:p>
    <w:p w14:paraId="768C8A4E" w14:textId="77777777" w:rsidR="00E34E6F" w:rsidRPr="00966EF0" w:rsidRDefault="00E34E6F" w:rsidP="00E34E6F">
      <w:pPr>
        <w:spacing w:after="0"/>
        <w:rPr>
          <w:rFonts w:cs="Calibri"/>
          <w:szCs w:val="20"/>
        </w:rPr>
      </w:pPr>
      <w:r w:rsidRPr="00966EF0">
        <w:rPr>
          <w:b/>
          <w:bCs/>
          <w:szCs w:val="20"/>
          <w:u w:val="single"/>
        </w:rPr>
        <w:t>Project Closure</w:t>
      </w:r>
      <w:r w:rsidRPr="00966EF0">
        <w:rPr>
          <w:szCs w:val="20"/>
        </w:rPr>
        <w:t>: Project closure will be conducted as per UNDP requirements outlined in the UNDP POPP. All c</w:t>
      </w:r>
      <w:r w:rsidRPr="00966EF0">
        <w:rPr>
          <w:rFonts w:cs="Calibri"/>
          <w:szCs w:val="20"/>
        </w:rPr>
        <w:t xml:space="preserve">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08A2CBA6" w14:textId="77777777" w:rsidR="00E34E6F" w:rsidRPr="00966EF0" w:rsidRDefault="00E34E6F" w:rsidP="00E34E6F">
      <w:pPr>
        <w:spacing w:after="0"/>
        <w:rPr>
          <w:szCs w:val="20"/>
          <w:u w:val="single"/>
        </w:rPr>
      </w:pPr>
    </w:p>
    <w:p w14:paraId="686B55C7" w14:textId="77777777" w:rsidR="00E34E6F" w:rsidRPr="00966EF0" w:rsidRDefault="00E34E6F" w:rsidP="00E34E6F">
      <w:pPr>
        <w:spacing w:after="0"/>
      </w:pPr>
      <w:r w:rsidRPr="00966EF0">
        <w:rPr>
          <w:b/>
          <w:bCs/>
          <w:u w:val="single"/>
        </w:rPr>
        <w:t>Operational completion</w:t>
      </w:r>
      <w:r w:rsidRPr="00966EF0">
        <w:t xml:space="preserve">: 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Project Board meeting. </w:t>
      </w:r>
      <w:r w:rsidRPr="00966EF0">
        <w:rPr>
          <w:b/>
        </w:rPr>
        <w:t xml:space="preserve">Operational closure must happen at the end date calculated by the approved duration after the Project Document signature or at the revised operational closure date as approved in the project extension.  Any expected activity after the operational date requires project extension approval. </w:t>
      </w:r>
      <w:r w:rsidRPr="00966EF0">
        <w:t xml:space="preserve"> The Implementing Partner through a Project Board decision will notify the UNDP Country Office when operational closure has been completed. At this time, the project should have completed the transfer or disposal of any equipment that is still the property of UNDP. </w:t>
      </w:r>
    </w:p>
    <w:p w14:paraId="78C68F27" w14:textId="77777777" w:rsidR="00E34E6F" w:rsidRPr="00966EF0" w:rsidRDefault="00E34E6F" w:rsidP="00E34E6F">
      <w:pPr>
        <w:spacing w:after="0"/>
        <w:rPr>
          <w:szCs w:val="20"/>
          <w:u w:val="single"/>
        </w:rPr>
      </w:pPr>
    </w:p>
    <w:p w14:paraId="746EBF87" w14:textId="77777777" w:rsidR="00E34E6F" w:rsidRPr="00966EF0" w:rsidRDefault="00E34E6F" w:rsidP="00E34E6F">
      <w:pPr>
        <w:rPr>
          <w:szCs w:val="20"/>
        </w:rPr>
      </w:pPr>
      <w:r w:rsidRPr="00966EF0">
        <w:rPr>
          <w:b/>
          <w:bCs/>
          <w:szCs w:val="20"/>
          <w:u w:val="single"/>
        </w:rPr>
        <w:lastRenderedPageBreak/>
        <w:t>Transfer or disposal of assets</w:t>
      </w:r>
      <w:r w:rsidRPr="00966EF0">
        <w:rPr>
          <w:szCs w:val="20"/>
        </w:rPr>
        <w:t>: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(it is strongly encouraged to be done before the operational closure date). In all cases of transfer, a transfer document must be prepared and kept on file</w:t>
      </w:r>
      <w:r w:rsidRPr="00966EF0">
        <w:rPr>
          <w:sz w:val="18"/>
          <w:szCs w:val="20"/>
          <w:vertAlign w:val="superscript"/>
        </w:rPr>
        <w:footnoteReference w:id="79"/>
      </w:r>
      <w:r w:rsidRPr="00966EF0">
        <w:rPr>
          <w:szCs w:val="20"/>
        </w:rPr>
        <w:t>. The transfer should be done before Project Management Unit complete their assignments.</w:t>
      </w:r>
    </w:p>
    <w:p w14:paraId="57B6A1B1" w14:textId="77777777" w:rsidR="00E34E6F" w:rsidRPr="00966EF0" w:rsidRDefault="00E34E6F" w:rsidP="00E34E6F">
      <w:pPr>
        <w:spacing w:after="0"/>
        <w:rPr>
          <w:szCs w:val="20"/>
          <w:u w:val="single"/>
        </w:rPr>
      </w:pPr>
    </w:p>
    <w:p w14:paraId="1465E2B0" w14:textId="77777777" w:rsidR="00E34E6F" w:rsidRPr="00966EF0" w:rsidRDefault="00E34E6F" w:rsidP="00E34E6F">
      <w:pPr>
        <w:spacing w:after="0"/>
        <w:rPr>
          <w:szCs w:val="20"/>
        </w:rPr>
      </w:pPr>
      <w:r w:rsidRPr="00966EF0">
        <w:rPr>
          <w:b/>
          <w:bCs/>
          <w:szCs w:val="20"/>
          <w:u w:val="single"/>
        </w:rPr>
        <w:t>Financial completion (closure)</w:t>
      </w:r>
      <w:r w:rsidRPr="00966EF0">
        <w:rPr>
          <w:b/>
          <w:bCs/>
          <w:szCs w:val="20"/>
        </w:rPr>
        <w:t>:</w:t>
      </w:r>
      <w:r w:rsidRPr="00966EF0">
        <w:rPr>
          <w:szCs w:val="20"/>
        </w:rPr>
        <w:t xml:space="preserve">  The project will be financially closed when the following conditions have been </w:t>
      </w:r>
      <w:proofErr w:type="gramStart"/>
      <w:r w:rsidRPr="00966EF0">
        <w:rPr>
          <w:szCs w:val="20"/>
        </w:rPr>
        <w:t>met:</w:t>
      </w:r>
      <w:proofErr w:type="gramEnd"/>
      <w:r w:rsidRPr="00966EF0">
        <w:rPr>
          <w:szCs w:val="20"/>
        </w:rPr>
        <w:t xml:space="preserve">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23B6362F" w14:textId="77777777" w:rsidR="00E34E6F" w:rsidRPr="00966EF0" w:rsidRDefault="00E34E6F" w:rsidP="00E34E6F">
      <w:pPr>
        <w:spacing w:after="0"/>
        <w:rPr>
          <w:szCs w:val="20"/>
        </w:rPr>
      </w:pPr>
    </w:p>
    <w:p w14:paraId="20495E0D" w14:textId="77777777" w:rsidR="00E34E6F" w:rsidRPr="00966EF0" w:rsidRDefault="00E34E6F" w:rsidP="00E34E6F">
      <w:pPr>
        <w:spacing w:after="0"/>
      </w:pPr>
      <w:r w:rsidRPr="00966EF0">
        <w:t xml:space="preserve">The project will be financially completed </w:t>
      </w:r>
      <w:r w:rsidRPr="00966EF0">
        <w:rPr>
          <w:b/>
        </w:rPr>
        <w:t>within 6 months of operational closure or after the date of cancellation</w:t>
      </w:r>
      <w:r w:rsidRPr="00966EF0">
        <w:t xml:space="preserve">. If Operational Closure is delayed for any justified and approved reason, the Country Office should do all efforts to Financially Close the project within 9 months after TE is completed.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BPPS/NCE-VF Unit for confirmation before the project will be financially closed in Atlas by the UNDP Country Office. </w:t>
      </w:r>
    </w:p>
    <w:p w14:paraId="39A9DC4F" w14:textId="77777777" w:rsidR="00E34E6F" w:rsidRPr="00966EF0" w:rsidRDefault="00E34E6F" w:rsidP="00E34E6F">
      <w:pPr>
        <w:spacing w:after="0"/>
        <w:rPr>
          <w:szCs w:val="20"/>
        </w:rPr>
      </w:pPr>
    </w:p>
    <w:p w14:paraId="44759665" w14:textId="77777777" w:rsidR="00E34E6F" w:rsidRPr="00966EF0" w:rsidRDefault="00E34E6F" w:rsidP="00E34E6F">
      <w:pPr>
        <w:spacing w:after="0"/>
        <w:rPr>
          <w:szCs w:val="20"/>
        </w:rPr>
      </w:pPr>
      <w:r w:rsidRPr="00966EF0">
        <w:rPr>
          <w:szCs w:val="20"/>
          <w:u w:val="single"/>
        </w:rPr>
        <w:t>Refund to GEF:</w:t>
      </w:r>
      <w:r w:rsidRPr="00966EF0">
        <w:rPr>
          <w:szCs w:val="20"/>
        </w:rPr>
        <w:t xml:space="preserve">  Should a refund of unspent funds to the GEF be necessary, this will be managed directly by the BPPS/NCE-VF Directorate in New York. No action is required by the UNDP Country Office on the actual refund from UNDP project to the GEF Trustee.</w:t>
      </w:r>
    </w:p>
    <w:p w14:paraId="6E177668" w14:textId="77777777" w:rsidR="00E34E6F" w:rsidRPr="00966EF0" w:rsidRDefault="00E34E6F" w:rsidP="00E34E6F">
      <w:pPr>
        <w:spacing w:after="0"/>
        <w:rPr>
          <w:szCs w:val="20"/>
          <w:u w:val="single"/>
        </w:rPr>
      </w:pPr>
    </w:p>
    <w:p w14:paraId="15266C32" w14:textId="77777777" w:rsidR="00E34E6F" w:rsidRPr="00966EF0" w:rsidRDefault="00E34E6F" w:rsidP="00E34E6F">
      <w:pPr>
        <w:spacing w:after="0"/>
        <w:rPr>
          <w:szCs w:val="20"/>
          <w:u w:val="single"/>
        </w:rPr>
      </w:pPr>
    </w:p>
    <w:p w14:paraId="7E1169BD" w14:textId="77777777" w:rsidR="00E34E6F" w:rsidRPr="00966EF0" w:rsidRDefault="00E34E6F" w:rsidP="00E34E6F">
      <w:pPr>
        <w:rPr>
          <w:szCs w:val="20"/>
        </w:rPr>
      </w:pPr>
    </w:p>
    <w:p w14:paraId="6A703D1F" w14:textId="77777777" w:rsidR="00302BFE" w:rsidRPr="00A63E29" w:rsidRDefault="00302BFE" w:rsidP="00302BFE">
      <w:pPr>
        <w:spacing w:after="0"/>
        <w:jc w:val="left"/>
        <w:rPr>
          <w:b/>
          <w:smallCaps/>
          <w:spacing w:val="-2"/>
          <w:sz w:val="28"/>
          <w:szCs w:val="28"/>
        </w:rPr>
        <w:sectPr w:rsidR="00302BFE" w:rsidRPr="00A63E29" w:rsidSect="00243B15">
          <w:headerReference w:type="default" r:id="rId40"/>
          <w:footerReference w:type="default" r:id="rId41"/>
          <w:pgSz w:w="12240" w:h="15840" w:code="1"/>
          <w:pgMar w:top="720" w:right="720" w:bottom="720" w:left="720" w:header="720" w:footer="432" w:gutter="0"/>
          <w:cols w:space="708"/>
          <w:titlePg/>
          <w:docGrid w:linePitch="360"/>
        </w:sectPr>
      </w:pPr>
    </w:p>
    <w:p w14:paraId="6EE5AFBE" w14:textId="77777777" w:rsidR="00302BFE" w:rsidRPr="003F6286" w:rsidRDefault="00302BFE" w:rsidP="00302BFE">
      <w:pPr>
        <w:pStyle w:val="Titre1"/>
        <w:spacing w:before="0" w:after="60"/>
        <w:rPr>
          <w:rFonts w:ascii="Calibri" w:hAnsi="Calibri"/>
          <w:sz w:val="22"/>
          <w:szCs w:val="22"/>
        </w:rPr>
      </w:pPr>
      <w:bookmarkStart w:id="35" w:name="_Toc9961797"/>
      <w:r w:rsidRPr="003F6286">
        <w:rPr>
          <w:rFonts w:ascii="Calibri" w:hAnsi="Calibri"/>
          <w:sz w:val="22"/>
          <w:szCs w:val="22"/>
        </w:rPr>
        <w:lastRenderedPageBreak/>
        <w:t>Total Budget and Work Plan</w:t>
      </w:r>
      <w:bookmarkEnd w:id="35"/>
    </w:p>
    <w:p w14:paraId="7C93F1EC" w14:textId="77777777" w:rsidR="00302BFE" w:rsidRPr="00EC508B" w:rsidRDefault="00302BFE" w:rsidP="00302BFE">
      <w:pPr>
        <w:spacing w:after="0"/>
        <w:rPr>
          <w:rFonts w:cs="Arial"/>
          <w:i/>
          <w:noProof/>
          <w:sz w:val="12"/>
          <w:szCs w:val="12"/>
          <w:lang w:eastAsia="zh-CN"/>
        </w:rPr>
      </w:pPr>
    </w:p>
    <w:tbl>
      <w:tblPr>
        <w:tblW w:w="13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1"/>
        <w:gridCol w:w="3946"/>
        <w:gridCol w:w="3949"/>
        <w:gridCol w:w="1189"/>
      </w:tblGrid>
      <w:tr w:rsidR="00302BFE" w:rsidRPr="007603E7" w14:paraId="01D3C8DF" w14:textId="77777777" w:rsidTr="00243B15">
        <w:trPr>
          <w:cantSplit/>
          <w:jc w:val="center"/>
        </w:trPr>
        <w:tc>
          <w:tcPr>
            <w:tcW w:w="13495" w:type="dxa"/>
            <w:gridSpan w:val="4"/>
            <w:tcBorders>
              <w:top w:val="single" w:sz="4" w:space="0" w:color="auto"/>
              <w:left w:val="single" w:sz="4" w:space="0" w:color="auto"/>
              <w:bottom w:val="single" w:sz="4" w:space="0" w:color="auto"/>
              <w:right w:val="single" w:sz="4" w:space="0" w:color="auto"/>
            </w:tcBorders>
            <w:noWrap/>
            <w:vAlign w:val="bottom"/>
            <w:hideMark/>
          </w:tcPr>
          <w:p w14:paraId="52B4EC22" w14:textId="77777777" w:rsidR="00302BFE" w:rsidRPr="003F6286" w:rsidRDefault="00302BFE" w:rsidP="00243B15">
            <w:pPr>
              <w:spacing w:after="0"/>
              <w:rPr>
                <w:b/>
                <w:bCs/>
                <w:sz w:val="18"/>
                <w:szCs w:val="18"/>
                <w:lang w:val="en-CA" w:eastAsia="es-CL"/>
              </w:rPr>
            </w:pPr>
            <w:r w:rsidRPr="003F6286">
              <w:rPr>
                <w:b/>
                <w:bCs/>
                <w:sz w:val="18"/>
                <w:szCs w:val="18"/>
                <w:lang w:val="en-CA" w:eastAsia="es-CL"/>
              </w:rPr>
              <w:t xml:space="preserve">Total Budget and Work Plan </w:t>
            </w:r>
          </w:p>
        </w:tc>
      </w:tr>
      <w:tr w:rsidR="00302BFE" w14:paraId="45343B7F" w14:textId="77777777" w:rsidTr="00243B15">
        <w:trPr>
          <w:trHeight w:val="70"/>
          <w:jc w:val="center"/>
        </w:trPr>
        <w:tc>
          <w:tcPr>
            <w:tcW w:w="4411" w:type="dxa"/>
            <w:tcBorders>
              <w:top w:val="single" w:sz="4" w:space="0" w:color="auto"/>
              <w:left w:val="single" w:sz="4" w:space="0" w:color="auto"/>
              <w:bottom w:val="single" w:sz="4" w:space="0" w:color="auto"/>
              <w:right w:val="single" w:sz="4" w:space="0" w:color="auto"/>
            </w:tcBorders>
            <w:noWrap/>
            <w:vAlign w:val="center"/>
            <w:hideMark/>
          </w:tcPr>
          <w:p w14:paraId="34CDB16F" w14:textId="77777777" w:rsidR="00302BFE" w:rsidRPr="003F6286" w:rsidRDefault="00302BFE" w:rsidP="00243B15">
            <w:pPr>
              <w:spacing w:after="0"/>
              <w:rPr>
                <w:bCs/>
                <w:sz w:val="18"/>
                <w:szCs w:val="18"/>
                <w:lang w:eastAsia="zh-CN"/>
              </w:rPr>
            </w:pPr>
            <w:r w:rsidRPr="003F6286">
              <w:rPr>
                <w:bCs/>
                <w:sz w:val="18"/>
                <w:szCs w:val="18"/>
                <w:lang w:val="en-CA" w:eastAsia="zh-CN"/>
              </w:rPr>
              <w:t xml:space="preserve">Atlas Proposal or Award </w:t>
            </w:r>
            <w:r w:rsidRPr="003F6286">
              <w:rPr>
                <w:bCs/>
                <w:sz w:val="18"/>
                <w:szCs w:val="18"/>
                <w:lang w:eastAsia="zh-CN"/>
              </w:rPr>
              <w:t>ID:</w:t>
            </w:r>
          </w:p>
        </w:tc>
        <w:tc>
          <w:tcPr>
            <w:tcW w:w="3946" w:type="dxa"/>
            <w:tcBorders>
              <w:top w:val="single" w:sz="4" w:space="0" w:color="auto"/>
              <w:left w:val="nil"/>
              <w:bottom w:val="single" w:sz="4" w:space="0" w:color="auto"/>
              <w:right w:val="single" w:sz="4" w:space="0" w:color="000000"/>
            </w:tcBorders>
            <w:noWrap/>
            <w:vAlign w:val="center"/>
          </w:tcPr>
          <w:p w14:paraId="521CBF6D" w14:textId="77777777" w:rsidR="00302BFE" w:rsidRPr="003F6286" w:rsidRDefault="00302BFE" w:rsidP="00243B15">
            <w:pPr>
              <w:spacing w:after="0"/>
              <w:rPr>
                <w:bCs/>
                <w:sz w:val="18"/>
                <w:szCs w:val="18"/>
                <w:lang w:eastAsia="zh-CN"/>
              </w:rPr>
            </w:pPr>
            <w:r w:rsidRPr="003F6286">
              <w:rPr>
                <w:bCs/>
                <w:sz w:val="18"/>
                <w:szCs w:val="18"/>
                <w:lang w:eastAsia="zh-CN"/>
              </w:rPr>
              <w:t>00090370</w:t>
            </w:r>
          </w:p>
        </w:tc>
        <w:tc>
          <w:tcPr>
            <w:tcW w:w="3949" w:type="dxa"/>
            <w:tcBorders>
              <w:top w:val="single" w:sz="4" w:space="0" w:color="auto"/>
              <w:left w:val="nil"/>
              <w:bottom w:val="single" w:sz="4" w:space="0" w:color="auto"/>
              <w:right w:val="single" w:sz="4" w:space="0" w:color="000000"/>
            </w:tcBorders>
            <w:vAlign w:val="center"/>
            <w:hideMark/>
          </w:tcPr>
          <w:p w14:paraId="33E889BF" w14:textId="77777777" w:rsidR="00302BFE" w:rsidRPr="003F6286" w:rsidRDefault="00302BFE" w:rsidP="00243B15">
            <w:pPr>
              <w:spacing w:after="0"/>
              <w:rPr>
                <w:bCs/>
                <w:sz w:val="18"/>
                <w:szCs w:val="18"/>
                <w:lang w:val="en-CA" w:eastAsia="zh-CN"/>
              </w:rPr>
            </w:pPr>
            <w:r w:rsidRPr="003F6286">
              <w:rPr>
                <w:bCs/>
                <w:sz w:val="18"/>
                <w:szCs w:val="18"/>
                <w:lang w:val="en-CA" w:eastAsia="zh-CN"/>
              </w:rPr>
              <w:t>Atlas Primary Output Project ID:</w:t>
            </w:r>
          </w:p>
        </w:tc>
        <w:tc>
          <w:tcPr>
            <w:tcW w:w="1189" w:type="dxa"/>
            <w:tcBorders>
              <w:top w:val="single" w:sz="4" w:space="0" w:color="auto"/>
              <w:left w:val="nil"/>
              <w:bottom w:val="single" w:sz="4" w:space="0" w:color="auto"/>
              <w:right w:val="single" w:sz="4" w:space="0" w:color="000000"/>
            </w:tcBorders>
            <w:vAlign w:val="center"/>
            <w:hideMark/>
          </w:tcPr>
          <w:p w14:paraId="7AF9335C" w14:textId="77777777" w:rsidR="00302BFE" w:rsidRPr="003F6286" w:rsidRDefault="00302BFE" w:rsidP="00243B15">
            <w:pPr>
              <w:spacing w:after="0"/>
              <w:rPr>
                <w:bCs/>
                <w:sz w:val="18"/>
                <w:szCs w:val="18"/>
                <w:lang w:eastAsia="zh-CN"/>
              </w:rPr>
            </w:pPr>
            <w:r w:rsidRPr="003F6286">
              <w:rPr>
                <w:bCs/>
                <w:sz w:val="18"/>
                <w:szCs w:val="18"/>
                <w:lang w:eastAsia="zh-CN"/>
              </w:rPr>
              <w:t>00096170</w:t>
            </w:r>
          </w:p>
        </w:tc>
      </w:tr>
      <w:tr w:rsidR="00302BFE" w:rsidRPr="00C10C3B" w14:paraId="4F45DF6F" w14:textId="77777777" w:rsidTr="00243B15">
        <w:trPr>
          <w:trHeight w:val="77"/>
          <w:jc w:val="center"/>
        </w:trPr>
        <w:tc>
          <w:tcPr>
            <w:tcW w:w="4411" w:type="dxa"/>
            <w:tcBorders>
              <w:top w:val="nil"/>
              <w:left w:val="single" w:sz="4" w:space="0" w:color="auto"/>
              <w:bottom w:val="single" w:sz="4" w:space="0" w:color="auto"/>
              <w:right w:val="single" w:sz="4" w:space="0" w:color="auto"/>
            </w:tcBorders>
            <w:noWrap/>
            <w:vAlign w:val="center"/>
            <w:hideMark/>
          </w:tcPr>
          <w:p w14:paraId="7FDB4057" w14:textId="77777777" w:rsidR="00302BFE" w:rsidRPr="003F6286" w:rsidRDefault="00302BFE" w:rsidP="00243B15">
            <w:pPr>
              <w:spacing w:after="0"/>
              <w:rPr>
                <w:bCs/>
                <w:sz w:val="18"/>
                <w:szCs w:val="18"/>
                <w:lang w:val="en-CA" w:eastAsia="zh-CN"/>
              </w:rPr>
            </w:pPr>
            <w:r w:rsidRPr="003F6286">
              <w:rPr>
                <w:bCs/>
                <w:sz w:val="18"/>
                <w:szCs w:val="18"/>
                <w:lang w:val="en-CA" w:eastAsia="zh-CN"/>
              </w:rPr>
              <w:t>Atlas Proposal or Award Title:</w:t>
            </w:r>
          </w:p>
        </w:tc>
        <w:tc>
          <w:tcPr>
            <w:tcW w:w="9084" w:type="dxa"/>
            <w:gridSpan w:val="3"/>
            <w:tcBorders>
              <w:top w:val="single" w:sz="4" w:space="0" w:color="auto"/>
              <w:left w:val="nil"/>
              <w:bottom w:val="single" w:sz="4" w:space="0" w:color="auto"/>
              <w:right w:val="single" w:sz="4" w:space="0" w:color="000000"/>
            </w:tcBorders>
            <w:noWrap/>
            <w:vAlign w:val="center"/>
            <w:hideMark/>
          </w:tcPr>
          <w:p w14:paraId="19403535" w14:textId="77777777" w:rsidR="00302BFE" w:rsidRPr="003F6286" w:rsidRDefault="00302BFE" w:rsidP="00243B15">
            <w:pPr>
              <w:spacing w:after="0"/>
              <w:rPr>
                <w:bCs/>
                <w:sz w:val="18"/>
                <w:szCs w:val="18"/>
                <w:lang w:val="en-CA" w:eastAsia="zh-CN"/>
              </w:rPr>
            </w:pPr>
            <w:r w:rsidRPr="003F6286">
              <w:rPr>
                <w:rFonts w:cs="Arial"/>
                <w:sz w:val="18"/>
                <w:szCs w:val="18"/>
                <w:lang w:val="en-CA"/>
              </w:rPr>
              <w:t>Integrated and Sustainable Management of PONASI Protected Area Landscape</w:t>
            </w:r>
          </w:p>
        </w:tc>
      </w:tr>
      <w:tr w:rsidR="00302BFE" w14:paraId="061B7F39" w14:textId="77777777" w:rsidTr="00243B15">
        <w:trPr>
          <w:trHeight w:val="77"/>
          <w:jc w:val="center"/>
        </w:trPr>
        <w:tc>
          <w:tcPr>
            <w:tcW w:w="4411" w:type="dxa"/>
            <w:tcBorders>
              <w:top w:val="nil"/>
              <w:left w:val="single" w:sz="4" w:space="0" w:color="auto"/>
              <w:bottom w:val="single" w:sz="4" w:space="0" w:color="auto"/>
              <w:right w:val="single" w:sz="4" w:space="0" w:color="auto"/>
            </w:tcBorders>
            <w:noWrap/>
            <w:vAlign w:val="center"/>
            <w:hideMark/>
          </w:tcPr>
          <w:p w14:paraId="46999378" w14:textId="77777777" w:rsidR="00302BFE" w:rsidRPr="003F6286" w:rsidRDefault="00302BFE" w:rsidP="00243B15">
            <w:pPr>
              <w:spacing w:after="0"/>
              <w:rPr>
                <w:bCs/>
                <w:sz w:val="18"/>
                <w:szCs w:val="18"/>
                <w:lang w:val="fr-CA" w:eastAsia="zh-CN"/>
              </w:rPr>
            </w:pPr>
            <w:r w:rsidRPr="003F6286">
              <w:rPr>
                <w:bCs/>
                <w:sz w:val="18"/>
                <w:szCs w:val="18"/>
                <w:lang w:val="fr-CA" w:eastAsia="zh-CN"/>
              </w:rPr>
              <w:t>Atlas Business Unit</w:t>
            </w:r>
          </w:p>
        </w:tc>
        <w:tc>
          <w:tcPr>
            <w:tcW w:w="9084" w:type="dxa"/>
            <w:gridSpan w:val="3"/>
            <w:tcBorders>
              <w:top w:val="single" w:sz="4" w:space="0" w:color="auto"/>
              <w:left w:val="nil"/>
              <w:bottom w:val="single" w:sz="4" w:space="0" w:color="auto"/>
              <w:right w:val="single" w:sz="4" w:space="0" w:color="000000"/>
            </w:tcBorders>
            <w:noWrap/>
            <w:vAlign w:val="center"/>
            <w:hideMark/>
          </w:tcPr>
          <w:p w14:paraId="0CBB3CE3" w14:textId="77777777" w:rsidR="00302BFE" w:rsidRPr="003F6286" w:rsidRDefault="00302BFE" w:rsidP="00243B15">
            <w:pPr>
              <w:spacing w:after="0"/>
              <w:rPr>
                <w:bCs/>
                <w:iCs/>
                <w:sz w:val="18"/>
                <w:szCs w:val="18"/>
                <w:lang w:eastAsia="zh-CN"/>
              </w:rPr>
            </w:pPr>
            <w:r w:rsidRPr="003F6286">
              <w:rPr>
                <w:bCs/>
                <w:iCs/>
                <w:sz w:val="18"/>
                <w:szCs w:val="18"/>
                <w:lang w:eastAsia="zh-CN"/>
              </w:rPr>
              <w:t>BFA10</w:t>
            </w:r>
          </w:p>
        </w:tc>
      </w:tr>
      <w:tr w:rsidR="00302BFE" w:rsidRPr="00C10C3B" w14:paraId="2FA65A89" w14:textId="77777777" w:rsidTr="00243B15">
        <w:trPr>
          <w:trHeight w:val="77"/>
          <w:jc w:val="center"/>
        </w:trPr>
        <w:tc>
          <w:tcPr>
            <w:tcW w:w="4411" w:type="dxa"/>
            <w:tcBorders>
              <w:top w:val="nil"/>
              <w:left w:val="single" w:sz="4" w:space="0" w:color="auto"/>
              <w:bottom w:val="single" w:sz="4" w:space="0" w:color="auto"/>
              <w:right w:val="single" w:sz="4" w:space="0" w:color="auto"/>
            </w:tcBorders>
            <w:noWrap/>
            <w:vAlign w:val="center"/>
            <w:hideMark/>
          </w:tcPr>
          <w:p w14:paraId="67EC6E5E" w14:textId="77777777" w:rsidR="00302BFE" w:rsidRPr="003F6286" w:rsidRDefault="00302BFE" w:rsidP="00243B15">
            <w:pPr>
              <w:spacing w:after="0"/>
              <w:ind w:left="75" w:hanging="75"/>
              <w:rPr>
                <w:bCs/>
                <w:sz w:val="18"/>
                <w:szCs w:val="18"/>
                <w:lang w:val="en-CA" w:eastAsia="zh-CN"/>
              </w:rPr>
            </w:pPr>
            <w:r w:rsidRPr="003F6286">
              <w:rPr>
                <w:bCs/>
                <w:sz w:val="18"/>
                <w:szCs w:val="18"/>
                <w:lang w:val="en-CA" w:eastAsia="zh-CN"/>
              </w:rPr>
              <w:t>Atlas Primary Output Project Title</w:t>
            </w:r>
          </w:p>
        </w:tc>
        <w:tc>
          <w:tcPr>
            <w:tcW w:w="9084" w:type="dxa"/>
            <w:gridSpan w:val="3"/>
            <w:tcBorders>
              <w:top w:val="single" w:sz="4" w:space="0" w:color="auto"/>
              <w:left w:val="nil"/>
              <w:bottom w:val="single" w:sz="4" w:space="0" w:color="auto"/>
              <w:right w:val="single" w:sz="4" w:space="0" w:color="000000"/>
            </w:tcBorders>
            <w:noWrap/>
            <w:vAlign w:val="center"/>
            <w:hideMark/>
          </w:tcPr>
          <w:p w14:paraId="745302FB" w14:textId="77777777" w:rsidR="00302BFE" w:rsidRPr="003F6286" w:rsidRDefault="00302BFE" w:rsidP="00243B15">
            <w:pPr>
              <w:spacing w:after="0"/>
              <w:rPr>
                <w:bCs/>
                <w:sz w:val="18"/>
                <w:szCs w:val="18"/>
                <w:lang w:val="en-CA" w:eastAsia="zh-CN"/>
              </w:rPr>
            </w:pPr>
            <w:r w:rsidRPr="003F6286">
              <w:rPr>
                <w:rFonts w:cs="Arial"/>
                <w:sz w:val="18"/>
                <w:szCs w:val="18"/>
                <w:lang w:val="en-CA"/>
              </w:rPr>
              <w:t>Integrated and Sustainable Management of PONASI Protected Area Landscape</w:t>
            </w:r>
          </w:p>
        </w:tc>
      </w:tr>
      <w:tr w:rsidR="00302BFE" w14:paraId="5C16DAF0" w14:textId="77777777" w:rsidTr="00243B15">
        <w:trPr>
          <w:trHeight w:val="77"/>
          <w:jc w:val="center"/>
        </w:trPr>
        <w:tc>
          <w:tcPr>
            <w:tcW w:w="4411" w:type="dxa"/>
            <w:tcBorders>
              <w:top w:val="nil"/>
              <w:left w:val="single" w:sz="4" w:space="0" w:color="auto"/>
              <w:bottom w:val="single" w:sz="4" w:space="0" w:color="auto"/>
              <w:right w:val="single" w:sz="4" w:space="0" w:color="auto"/>
            </w:tcBorders>
            <w:noWrap/>
            <w:vAlign w:val="center"/>
            <w:hideMark/>
          </w:tcPr>
          <w:p w14:paraId="1BEBFD48" w14:textId="77777777" w:rsidR="00302BFE" w:rsidRPr="003F6286" w:rsidRDefault="00302BFE" w:rsidP="00243B15">
            <w:pPr>
              <w:spacing w:after="0"/>
              <w:rPr>
                <w:bCs/>
                <w:sz w:val="18"/>
                <w:szCs w:val="18"/>
                <w:lang w:eastAsia="zh-CN"/>
              </w:rPr>
            </w:pPr>
            <w:r w:rsidRPr="003F6286">
              <w:rPr>
                <w:bCs/>
                <w:sz w:val="18"/>
                <w:szCs w:val="18"/>
                <w:lang w:eastAsia="zh-CN"/>
              </w:rPr>
              <w:t>UNDP-GEF PIMS No.</w:t>
            </w:r>
          </w:p>
        </w:tc>
        <w:tc>
          <w:tcPr>
            <w:tcW w:w="9084" w:type="dxa"/>
            <w:gridSpan w:val="3"/>
            <w:tcBorders>
              <w:top w:val="single" w:sz="4" w:space="0" w:color="auto"/>
              <w:left w:val="nil"/>
              <w:bottom w:val="single" w:sz="4" w:space="0" w:color="auto"/>
              <w:right w:val="single" w:sz="4" w:space="0" w:color="auto"/>
            </w:tcBorders>
            <w:noWrap/>
            <w:vAlign w:val="center"/>
            <w:hideMark/>
          </w:tcPr>
          <w:p w14:paraId="47607FE2" w14:textId="77777777" w:rsidR="00302BFE" w:rsidRPr="003F6286" w:rsidRDefault="00302BFE" w:rsidP="00243B15">
            <w:pPr>
              <w:spacing w:after="0"/>
              <w:rPr>
                <w:bCs/>
                <w:sz w:val="18"/>
                <w:szCs w:val="18"/>
                <w:lang w:eastAsia="zh-CN"/>
              </w:rPr>
            </w:pPr>
            <w:r w:rsidRPr="003F6286">
              <w:rPr>
                <w:bCs/>
                <w:sz w:val="18"/>
                <w:szCs w:val="18"/>
                <w:lang w:eastAsia="zh-CN"/>
              </w:rPr>
              <w:t>5938</w:t>
            </w:r>
          </w:p>
        </w:tc>
      </w:tr>
      <w:tr w:rsidR="00302BFE" w:rsidRPr="00AB47BD" w14:paraId="3E4ECA62" w14:textId="77777777" w:rsidTr="00243B15">
        <w:trPr>
          <w:trHeight w:val="77"/>
          <w:jc w:val="center"/>
        </w:trPr>
        <w:tc>
          <w:tcPr>
            <w:tcW w:w="4411" w:type="dxa"/>
            <w:tcBorders>
              <w:top w:val="nil"/>
              <w:left w:val="single" w:sz="4" w:space="0" w:color="auto"/>
              <w:bottom w:val="single" w:sz="4" w:space="0" w:color="auto"/>
              <w:right w:val="single" w:sz="4" w:space="0" w:color="auto"/>
            </w:tcBorders>
            <w:hideMark/>
          </w:tcPr>
          <w:p w14:paraId="73DA2138" w14:textId="77777777" w:rsidR="00302BFE" w:rsidRPr="003F6286" w:rsidRDefault="00302BFE" w:rsidP="00243B15">
            <w:pPr>
              <w:spacing w:after="0"/>
              <w:rPr>
                <w:bCs/>
                <w:sz w:val="18"/>
                <w:szCs w:val="18"/>
                <w:lang w:eastAsia="zh-CN"/>
              </w:rPr>
            </w:pPr>
            <w:r w:rsidRPr="003F6286">
              <w:rPr>
                <w:bCs/>
                <w:sz w:val="18"/>
                <w:szCs w:val="18"/>
                <w:lang w:eastAsia="zh-CN"/>
              </w:rPr>
              <w:t>Executing Agency</w:t>
            </w:r>
          </w:p>
        </w:tc>
        <w:tc>
          <w:tcPr>
            <w:tcW w:w="9084" w:type="dxa"/>
            <w:gridSpan w:val="3"/>
            <w:tcBorders>
              <w:top w:val="single" w:sz="4" w:space="0" w:color="auto"/>
              <w:left w:val="nil"/>
              <w:bottom w:val="single" w:sz="4" w:space="0" w:color="auto"/>
              <w:right w:val="single" w:sz="4" w:space="0" w:color="000000"/>
            </w:tcBorders>
            <w:noWrap/>
            <w:vAlign w:val="center"/>
          </w:tcPr>
          <w:p w14:paraId="1239611A" w14:textId="2166BB9D" w:rsidR="00302BFE" w:rsidRPr="00AB47BD" w:rsidRDefault="00AF1EDA" w:rsidP="00243B15">
            <w:pPr>
              <w:spacing w:after="0"/>
              <w:rPr>
                <w:bCs/>
                <w:sz w:val="18"/>
                <w:szCs w:val="18"/>
                <w:lang w:val="fr-FR" w:eastAsia="zh-CN"/>
              </w:rPr>
            </w:pPr>
            <w:proofErr w:type="spellStart"/>
            <w:r w:rsidRPr="00AB47BD">
              <w:rPr>
                <w:rFonts w:cs="Arial"/>
                <w:szCs w:val="20"/>
                <w:highlight w:val="green"/>
                <w:lang w:val="fr-FR"/>
              </w:rPr>
              <w:t>Ministere</w:t>
            </w:r>
            <w:proofErr w:type="spellEnd"/>
            <w:r w:rsidRPr="00AB47BD">
              <w:rPr>
                <w:rFonts w:cs="Arial"/>
                <w:szCs w:val="20"/>
                <w:highlight w:val="green"/>
                <w:lang w:val="fr-FR"/>
              </w:rPr>
              <w:t xml:space="preserve"> de l'environnement, de l'eau et de </w:t>
            </w:r>
            <w:proofErr w:type="spellStart"/>
            <w:r w:rsidRPr="00AB47BD">
              <w:rPr>
                <w:rFonts w:cs="Arial"/>
                <w:szCs w:val="20"/>
                <w:highlight w:val="green"/>
                <w:lang w:val="fr-FR"/>
              </w:rPr>
              <w:t>l"Assainissement</w:t>
            </w:r>
            <w:proofErr w:type="spellEnd"/>
          </w:p>
        </w:tc>
      </w:tr>
    </w:tbl>
    <w:p w14:paraId="6FB6E452" w14:textId="6CB75BEE" w:rsidR="00302BFE" w:rsidRPr="00AB47BD" w:rsidRDefault="00302BFE" w:rsidP="00302BFE">
      <w:pPr>
        <w:spacing w:after="0"/>
        <w:rPr>
          <w:rFonts w:ascii="Times New Roman" w:hAnsi="Times New Roman"/>
          <w:sz w:val="12"/>
          <w:szCs w:val="12"/>
          <w:lang w:val="fr-FR"/>
        </w:rPr>
      </w:pPr>
    </w:p>
    <w:tbl>
      <w:tblPr>
        <w:tblW w:w="14164" w:type="dxa"/>
        <w:tblInd w:w="440" w:type="dxa"/>
        <w:tblLook w:val="04A0" w:firstRow="1" w:lastRow="0" w:firstColumn="1" w:lastColumn="0" w:noHBand="0" w:noVBand="1"/>
      </w:tblPr>
      <w:tblGrid>
        <w:gridCol w:w="1335"/>
        <w:gridCol w:w="1363"/>
        <w:gridCol w:w="622"/>
        <w:gridCol w:w="632"/>
        <w:gridCol w:w="901"/>
        <w:gridCol w:w="1597"/>
        <w:gridCol w:w="935"/>
        <w:gridCol w:w="996"/>
        <w:gridCol w:w="925"/>
        <w:gridCol w:w="925"/>
        <w:gridCol w:w="925"/>
        <w:gridCol w:w="925"/>
        <w:gridCol w:w="1244"/>
        <w:gridCol w:w="844"/>
      </w:tblGrid>
      <w:tr w:rsidR="001F7EF7" w:rsidRPr="00913CCF" w14:paraId="178F5D64" w14:textId="77777777" w:rsidTr="00512288">
        <w:trPr>
          <w:trHeight w:val="848"/>
        </w:trPr>
        <w:tc>
          <w:tcPr>
            <w:tcW w:w="1335" w:type="dxa"/>
            <w:tcBorders>
              <w:top w:val="double" w:sz="4" w:space="0" w:color="auto"/>
              <w:left w:val="single" w:sz="8" w:space="0" w:color="auto"/>
              <w:bottom w:val="single" w:sz="8" w:space="0" w:color="auto"/>
              <w:right w:val="single" w:sz="8" w:space="0" w:color="auto"/>
            </w:tcBorders>
            <w:shd w:val="clear" w:color="auto" w:fill="auto"/>
            <w:vAlign w:val="center"/>
            <w:hideMark/>
          </w:tcPr>
          <w:p w14:paraId="6D2C249A" w14:textId="77777777" w:rsidR="004320B0" w:rsidRPr="00913CCF" w:rsidRDefault="004320B0" w:rsidP="004320B0">
            <w:pPr>
              <w:spacing w:after="0"/>
              <w:jc w:val="center"/>
              <w:rPr>
                <w:rFonts w:eastAsia="Times New Roman" w:cs="Calibri"/>
                <w:b/>
                <w:bCs/>
                <w:color w:val="000000"/>
                <w:sz w:val="18"/>
                <w:szCs w:val="18"/>
              </w:rPr>
            </w:pPr>
            <w:bookmarkStart w:id="36" w:name="RANGE!A1"/>
            <w:r w:rsidRPr="00913CCF">
              <w:rPr>
                <w:rFonts w:eastAsia="Times New Roman" w:cs="Calibri"/>
                <w:b/>
                <w:bCs/>
                <w:color w:val="000000"/>
                <w:sz w:val="18"/>
                <w:szCs w:val="18"/>
              </w:rPr>
              <w:t>GEF Component/ Atlas Activity</w:t>
            </w:r>
            <w:bookmarkEnd w:id="36"/>
          </w:p>
        </w:tc>
        <w:tc>
          <w:tcPr>
            <w:tcW w:w="1267" w:type="dxa"/>
            <w:tcBorders>
              <w:top w:val="double" w:sz="4" w:space="0" w:color="auto"/>
              <w:left w:val="nil"/>
              <w:bottom w:val="single" w:sz="8" w:space="0" w:color="auto"/>
              <w:right w:val="single" w:sz="8" w:space="0" w:color="auto"/>
            </w:tcBorders>
            <w:shd w:val="clear" w:color="auto" w:fill="auto"/>
            <w:vAlign w:val="center"/>
            <w:hideMark/>
          </w:tcPr>
          <w:p w14:paraId="51851078" w14:textId="77777777" w:rsidR="004320B0" w:rsidRPr="00913CCF" w:rsidRDefault="004320B0" w:rsidP="004320B0">
            <w:pPr>
              <w:spacing w:after="0"/>
              <w:jc w:val="center"/>
              <w:rPr>
                <w:rFonts w:eastAsia="Times New Roman" w:cs="Calibri"/>
                <w:b/>
                <w:bCs/>
                <w:color w:val="000000"/>
                <w:sz w:val="16"/>
                <w:szCs w:val="16"/>
              </w:rPr>
            </w:pPr>
            <w:r w:rsidRPr="00913CCF">
              <w:rPr>
                <w:rFonts w:eastAsia="Times New Roman" w:cs="Calibri"/>
                <w:b/>
                <w:bCs/>
                <w:color w:val="000000"/>
                <w:sz w:val="16"/>
                <w:szCs w:val="16"/>
              </w:rPr>
              <w:t>Responsible Party/ (Atlas Implementing Agent)</w:t>
            </w:r>
          </w:p>
        </w:tc>
        <w:tc>
          <w:tcPr>
            <w:tcW w:w="713" w:type="dxa"/>
            <w:tcBorders>
              <w:top w:val="double" w:sz="4" w:space="0" w:color="auto"/>
              <w:left w:val="nil"/>
              <w:bottom w:val="single" w:sz="8" w:space="0" w:color="auto"/>
              <w:right w:val="single" w:sz="8" w:space="0" w:color="auto"/>
            </w:tcBorders>
            <w:shd w:val="clear" w:color="auto" w:fill="auto"/>
            <w:vAlign w:val="center"/>
            <w:hideMark/>
          </w:tcPr>
          <w:p w14:paraId="78D5B46A" w14:textId="77777777" w:rsidR="004320B0" w:rsidRPr="00913CCF" w:rsidRDefault="004320B0" w:rsidP="004320B0">
            <w:pPr>
              <w:spacing w:after="0"/>
              <w:jc w:val="center"/>
              <w:rPr>
                <w:rFonts w:eastAsia="Times New Roman" w:cs="Calibri"/>
                <w:b/>
                <w:bCs/>
                <w:color w:val="000000"/>
                <w:sz w:val="16"/>
                <w:szCs w:val="16"/>
              </w:rPr>
            </w:pPr>
            <w:r w:rsidRPr="00913CCF">
              <w:rPr>
                <w:rFonts w:eastAsia="Times New Roman" w:cs="Calibri"/>
                <w:b/>
                <w:bCs/>
                <w:color w:val="000000"/>
                <w:sz w:val="16"/>
                <w:szCs w:val="16"/>
              </w:rPr>
              <w:t>Fund ID</w:t>
            </w:r>
          </w:p>
        </w:tc>
        <w:tc>
          <w:tcPr>
            <w:tcW w:w="632" w:type="dxa"/>
            <w:tcBorders>
              <w:top w:val="double" w:sz="4" w:space="0" w:color="auto"/>
              <w:left w:val="nil"/>
              <w:bottom w:val="single" w:sz="8" w:space="0" w:color="auto"/>
              <w:right w:val="single" w:sz="8" w:space="0" w:color="auto"/>
            </w:tcBorders>
            <w:shd w:val="clear" w:color="auto" w:fill="auto"/>
            <w:vAlign w:val="center"/>
            <w:hideMark/>
          </w:tcPr>
          <w:p w14:paraId="39774B22" w14:textId="77777777" w:rsidR="004320B0" w:rsidRPr="00913CCF" w:rsidRDefault="004320B0" w:rsidP="004320B0">
            <w:pPr>
              <w:spacing w:after="0"/>
              <w:jc w:val="center"/>
              <w:rPr>
                <w:rFonts w:eastAsia="Times New Roman" w:cs="Calibri"/>
                <w:b/>
                <w:bCs/>
                <w:color w:val="000000"/>
                <w:sz w:val="16"/>
                <w:szCs w:val="16"/>
              </w:rPr>
            </w:pPr>
            <w:r w:rsidRPr="00913CCF">
              <w:rPr>
                <w:rFonts w:eastAsia="Times New Roman" w:cs="Calibri"/>
                <w:b/>
                <w:bCs/>
                <w:color w:val="000000"/>
                <w:sz w:val="16"/>
                <w:szCs w:val="16"/>
              </w:rPr>
              <w:t>Donor Name</w:t>
            </w:r>
          </w:p>
        </w:tc>
        <w:tc>
          <w:tcPr>
            <w:tcW w:w="901" w:type="dxa"/>
            <w:tcBorders>
              <w:top w:val="double" w:sz="4" w:space="0" w:color="auto"/>
              <w:left w:val="nil"/>
              <w:bottom w:val="single" w:sz="8" w:space="0" w:color="auto"/>
              <w:right w:val="single" w:sz="8" w:space="0" w:color="auto"/>
            </w:tcBorders>
            <w:shd w:val="clear" w:color="auto" w:fill="auto"/>
            <w:vAlign w:val="center"/>
            <w:hideMark/>
          </w:tcPr>
          <w:p w14:paraId="308A1E4F" w14:textId="77777777" w:rsidR="004320B0" w:rsidRPr="00913CCF" w:rsidRDefault="004320B0" w:rsidP="004320B0">
            <w:pPr>
              <w:spacing w:after="0"/>
              <w:jc w:val="center"/>
              <w:rPr>
                <w:rFonts w:eastAsia="Times New Roman" w:cs="Calibri"/>
                <w:b/>
                <w:bCs/>
                <w:color w:val="000000"/>
                <w:sz w:val="16"/>
                <w:szCs w:val="16"/>
              </w:rPr>
            </w:pPr>
            <w:r w:rsidRPr="00913CCF">
              <w:rPr>
                <w:rFonts w:eastAsia="Times New Roman" w:cs="Calibri"/>
                <w:b/>
                <w:bCs/>
                <w:color w:val="000000"/>
                <w:sz w:val="16"/>
                <w:szCs w:val="16"/>
              </w:rPr>
              <w:t>Atlas Budgetary Account Code</w:t>
            </w:r>
          </w:p>
        </w:tc>
        <w:tc>
          <w:tcPr>
            <w:tcW w:w="1597" w:type="dxa"/>
            <w:tcBorders>
              <w:top w:val="double" w:sz="4" w:space="0" w:color="auto"/>
              <w:left w:val="nil"/>
              <w:bottom w:val="single" w:sz="8" w:space="0" w:color="auto"/>
              <w:right w:val="single" w:sz="8" w:space="0" w:color="auto"/>
            </w:tcBorders>
            <w:shd w:val="clear" w:color="auto" w:fill="auto"/>
            <w:vAlign w:val="center"/>
            <w:hideMark/>
          </w:tcPr>
          <w:p w14:paraId="3DB99710" w14:textId="77777777" w:rsidR="004320B0" w:rsidRPr="00913CCF" w:rsidRDefault="004320B0" w:rsidP="004320B0">
            <w:pPr>
              <w:spacing w:after="0"/>
              <w:jc w:val="left"/>
              <w:rPr>
                <w:rFonts w:eastAsia="Times New Roman" w:cs="Calibri"/>
                <w:b/>
                <w:bCs/>
                <w:color w:val="000000"/>
                <w:sz w:val="16"/>
                <w:szCs w:val="16"/>
              </w:rPr>
            </w:pPr>
            <w:r w:rsidRPr="00913CCF">
              <w:rPr>
                <w:rFonts w:eastAsia="Times New Roman" w:cs="Calibri"/>
                <w:b/>
                <w:bCs/>
                <w:color w:val="000000"/>
                <w:sz w:val="16"/>
                <w:szCs w:val="16"/>
              </w:rPr>
              <w:t>ATLAS Budget Description</w:t>
            </w:r>
          </w:p>
        </w:tc>
        <w:tc>
          <w:tcPr>
            <w:tcW w:w="935" w:type="dxa"/>
            <w:tcBorders>
              <w:top w:val="double" w:sz="4" w:space="0" w:color="auto"/>
              <w:left w:val="nil"/>
              <w:bottom w:val="single" w:sz="8" w:space="0" w:color="auto"/>
              <w:right w:val="single" w:sz="8" w:space="0" w:color="auto"/>
            </w:tcBorders>
            <w:shd w:val="clear" w:color="auto" w:fill="auto"/>
            <w:vAlign w:val="center"/>
            <w:hideMark/>
          </w:tcPr>
          <w:p w14:paraId="13E51CE7" w14:textId="77777777" w:rsidR="004320B0" w:rsidRPr="00913CCF" w:rsidRDefault="004320B0" w:rsidP="004320B0">
            <w:pPr>
              <w:spacing w:after="0"/>
              <w:jc w:val="center"/>
              <w:rPr>
                <w:rFonts w:eastAsia="Times New Roman" w:cs="Calibri"/>
                <w:b/>
                <w:bCs/>
                <w:color w:val="000000"/>
                <w:sz w:val="16"/>
                <w:szCs w:val="16"/>
              </w:rPr>
            </w:pPr>
            <w:r w:rsidRPr="00913CCF">
              <w:rPr>
                <w:rFonts w:eastAsia="Times New Roman" w:cs="Calibri"/>
                <w:b/>
                <w:bCs/>
                <w:color w:val="000000"/>
                <w:sz w:val="16"/>
                <w:szCs w:val="16"/>
              </w:rPr>
              <w:t>Amount Year 1 (USD)</w:t>
            </w:r>
          </w:p>
        </w:tc>
        <w:tc>
          <w:tcPr>
            <w:tcW w:w="996" w:type="dxa"/>
            <w:tcBorders>
              <w:top w:val="double" w:sz="4" w:space="0" w:color="auto"/>
              <w:left w:val="nil"/>
              <w:bottom w:val="single" w:sz="8" w:space="0" w:color="auto"/>
              <w:right w:val="single" w:sz="8" w:space="0" w:color="auto"/>
            </w:tcBorders>
            <w:shd w:val="clear" w:color="auto" w:fill="auto"/>
            <w:vAlign w:val="center"/>
            <w:hideMark/>
          </w:tcPr>
          <w:p w14:paraId="57928675" w14:textId="77777777" w:rsidR="004320B0" w:rsidRPr="00913CCF" w:rsidRDefault="004320B0" w:rsidP="004320B0">
            <w:pPr>
              <w:spacing w:after="0"/>
              <w:jc w:val="center"/>
              <w:rPr>
                <w:rFonts w:eastAsia="Times New Roman" w:cs="Calibri"/>
                <w:b/>
                <w:bCs/>
                <w:color w:val="000000"/>
                <w:sz w:val="16"/>
                <w:szCs w:val="16"/>
              </w:rPr>
            </w:pPr>
            <w:r w:rsidRPr="00913CCF">
              <w:rPr>
                <w:rFonts w:eastAsia="Times New Roman" w:cs="Calibri"/>
                <w:b/>
                <w:bCs/>
                <w:color w:val="000000"/>
                <w:sz w:val="16"/>
                <w:szCs w:val="16"/>
              </w:rPr>
              <w:t>Amount Year 2 (USD)</w:t>
            </w:r>
          </w:p>
        </w:tc>
        <w:tc>
          <w:tcPr>
            <w:tcW w:w="925" w:type="dxa"/>
            <w:tcBorders>
              <w:top w:val="double" w:sz="4" w:space="0" w:color="auto"/>
              <w:left w:val="nil"/>
              <w:bottom w:val="single" w:sz="8" w:space="0" w:color="auto"/>
              <w:right w:val="single" w:sz="8" w:space="0" w:color="auto"/>
            </w:tcBorders>
            <w:shd w:val="clear" w:color="auto" w:fill="auto"/>
            <w:vAlign w:val="center"/>
            <w:hideMark/>
          </w:tcPr>
          <w:p w14:paraId="2B3D2DB7" w14:textId="77777777" w:rsidR="004320B0" w:rsidRPr="00913CCF" w:rsidRDefault="004320B0" w:rsidP="004320B0">
            <w:pPr>
              <w:spacing w:after="0"/>
              <w:jc w:val="center"/>
              <w:rPr>
                <w:rFonts w:eastAsia="Times New Roman" w:cs="Calibri"/>
                <w:b/>
                <w:bCs/>
                <w:color w:val="000000"/>
                <w:sz w:val="16"/>
                <w:szCs w:val="16"/>
              </w:rPr>
            </w:pPr>
            <w:r w:rsidRPr="00913CCF">
              <w:rPr>
                <w:rFonts w:eastAsia="Times New Roman" w:cs="Calibri"/>
                <w:b/>
                <w:bCs/>
                <w:color w:val="000000"/>
                <w:sz w:val="16"/>
                <w:szCs w:val="16"/>
              </w:rPr>
              <w:t>Amount Year 3 (USD)</w:t>
            </w:r>
          </w:p>
        </w:tc>
        <w:tc>
          <w:tcPr>
            <w:tcW w:w="925" w:type="dxa"/>
            <w:tcBorders>
              <w:top w:val="double" w:sz="4" w:space="0" w:color="auto"/>
              <w:left w:val="nil"/>
              <w:bottom w:val="single" w:sz="8" w:space="0" w:color="auto"/>
              <w:right w:val="single" w:sz="8" w:space="0" w:color="auto"/>
            </w:tcBorders>
            <w:shd w:val="clear" w:color="auto" w:fill="auto"/>
            <w:vAlign w:val="center"/>
            <w:hideMark/>
          </w:tcPr>
          <w:p w14:paraId="650F9EF1" w14:textId="77777777" w:rsidR="004320B0" w:rsidRPr="00913CCF" w:rsidRDefault="004320B0" w:rsidP="004320B0">
            <w:pPr>
              <w:spacing w:after="0"/>
              <w:jc w:val="center"/>
              <w:rPr>
                <w:rFonts w:eastAsia="Times New Roman" w:cs="Calibri"/>
                <w:b/>
                <w:bCs/>
                <w:color w:val="000000"/>
                <w:sz w:val="16"/>
                <w:szCs w:val="16"/>
              </w:rPr>
            </w:pPr>
            <w:r w:rsidRPr="00913CCF">
              <w:rPr>
                <w:rFonts w:eastAsia="Times New Roman" w:cs="Calibri"/>
                <w:b/>
                <w:bCs/>
                <w:color w:val="000000"/>
                <w:sz w:val="16"/>
                <w:szCs w:val="16"/>
              </w:rPr>
              <w:t>Amount Year 4 (USD))</w:t>
            </w:r>
          </w:p>
        </w:tc>
        <w:tc>
          <w:tcPr>
            <w:tcW w:w="925" w:type="dxa"/>
            <w:tcBorders>
              <w:top w:val="double" w:sz="4" w:space="0" w:color="auto"/>
              <w:left w:val="nil"/>
              <w:bottom w:val="single" w:sz="8" w:space="0" w:color="auto"/>
              <w:right w:val="single" w:sz="8" w:space="0" w:color="auto"/>
            </w:tcBorders>
            <w:shd w:val="clear" w:color="auto" w:fill="auto"/>
            <w:vAlign w:val="center"/>
            <w:hideMark/>
          </w:tcPr>
          <w:p w14:paraId="23517F1C" w14:textId="77777777" w:rsidR="004320B0" w:rsidRPr="00913CCF" w:rsidRDefault="004320B0" w:rsidP="004320B0">
            <w:pPr>
              <w:spacing w:after="0"/>
              <w:jc w:val="center"/>
              <w:rPr>
                <w:rFonts w:eastAsia="Times New Roman" w:cs="Calibri"/>
                <w:b/>
                <w:bCs/>
                <w:color w:val="000000"/>
                <w:sz w:val="16"/>
                <w:szCs w:val="16"/>
              </w:rPr>
            </w:pPr>
            <w:r w:rsidRPr="00913CCF">
              <w:rPr>
                <w:rFonts w:eastAsia="Times New Roman" w:cs="Calibri"/>
                <w:b/>
                <w:bCs/>
                <w:color w:val="000000"/>
                <w:sz w:val="16"/>
                <w:szCs w:val="16"/>
              </w:rPr>
              <w:t>Amount Year 5 (USD)</w:t>
            </w:r>
          </w:p>
        </w:tc>
        <w:tc>
          <w:tcPr>
            <w:tcW w:w="925" w:type="dxa"/>
            <w:tcBorders>
              <w:top w:val="double" w:sz="4" w:space="0" w:color="auto"/>
              <w:left w:val="nil"/>
              <w:bottom w:val="single" w:sz="8" w:space="0" w:color="auto"/>
              <w:right w:val="single" w:sz="8" w:space="0" w:color="auto"/>
            </w:tcBorders>
            <w:shd w:val="clear" w:color="auto" w:fill="auto"/>
            <w:vAlign w:val="center"/>
            <w:hideMark/>
          </w:tcPr>
          <w:p w14:paraId="08861CCF" w14:textId="77777777" w:rsidR="004320B0" w:rsidRPr="00913CCF" w:rsidRDefault="004320B0" w:rsidP="004320B0">
            <w:pPr>
              <w:spacing w:after="0"/>
              <w:jc w:val="center"/>
              <w:rPr>
                <w:rFonts w:eastAsia="Times New Roman" w:cs="Calibri"/>
                <w:b/>
                <w:bCs/>
                <w:color w:val="000000"/>
                <w:sz w:val="16"/>
                <w:szCs w:val="16"/>
              </w:rPr>
            </w:pPr>
            <w:r w:rsidRPr="00913CCF">
              <w:rPr>
                <w:rFonts w:eastAsia="Times New Roman" w:cs="Calibri"/>
                <w:b/>
                <w:bCs/>
                <w:color w:val="000000"/>
                <w:sz w:val="16"/>
                <w:szCs w:val="16"/>
              </w:rPr>
              <w:t>Amount Year 6 (USD)</w:t>
            </w:r>
          </w:p>
        </w:tc>
        <w:tc>
          <w:tcPr>
            <w:tcW w:w="1244" w:type="dxa"/>
            <w:tcBorders>
              <w:top w:val="double" w:sz="4" w:space="0" w:color="auto"/>
              <w:left w:val="nil"/>
              <w:bottom w:val="single" w:sz="8" w:space="0" w:color="auto"/>
              <w:right w:val="single" w:sz="8" w:space="0" w:color="auto"/>
            </w:tcBorders>
            <w:shd w:val="clear" w:color="auto" w:fill="auto"/>
            <w:noWrap/>
            <w:vAlign w:val="center"/>
            <w:hideMark/>
          </w:tcPr>
          <w:p w14:paraId="1C0BD731" w14:textId="77777777" w:rsidR="004320B0" w:rsidRPr="00913CCF" w:rsidRDefault="004320B0" w:rsidP="004320B0">
            <w:pPr>
              <w:spacing w:after="0"/>
              <w:jc w:val="center"/>
              <w:rPr>
                <w:rFonts w:eastAsia="Times New Roman" w:cs="Calibri"/>
                <w:b/>
                <w:bCs/>
                <w:color w:val="000000"/>
                <w:sz w:val="16"/>
                <w:szCs w:val="16"/>
              </w:rPr>
            </w:pPr>
            <w:r w:rsidRPr="00913CCF">
              <w:rPr>
                <w:rFonts w:eastAsia="Times New Roman" w:cs="Calibri"/>
                <w:b/>
                <w:bCs/>
                <w:color w:val="000000"/>
                <w:sz w:val="16"/>
                <w:szCs w:val="16"/>
              </w:rPr>
              <w:t>Total (USD)</w:t>
            </w:r>
          </w:p>
        </w:tc>
        <w:tc>
          <w:tcPr>
            <w:tcW w:w="844" w:type="dxa"/>
            <w:tcBorders>
              <w:top w:val="double" w:sz="4" w:space="0" w:color="auto"/>
              <w:left w:val="nil"/>
              <w:bottom w:val="single" w:sz="8" w:space="0" w:color="auto"/>
              <w:right w:val="single" w:sz="8" w:space="0" w:color="auto"/>
            </w:tcBorders>
            <w:shd w:val="clear" w:color="auto" w:fill="auto"/>
            <w:vAlign w:val="center"/>
            <w:hideMark/>
          </w:tcPr>
          <w:p w14:paraId="0D4B29CD" w14:textId="77777777" w:rsidR="004320B0" w:rsidRPr="00913CCF" w:rsidRDefault="004320B0" w:rsidP="004320B0">
            <w:pPr>
              <w:spacing w:after="0"/>
              <w:jc w:val="center"/>
              <w:rPr>
                <w:rFonts w:eastAsia="Times New Roman" w:cs="Calibri"/>
                <w:b/>
                <w:bCs/>
                <w:color w:val="000000"/>
                <w:sz w:val="16"/>
                <w:szCs w:val="16"/>
              </w:rPr>
            </w:pPr>
            <w:r w:rsidRPr="00913CCF">
              <w:rPr>
                <w:rFonts w:eastAsia="Times New Roman" w:cs="Calibri"/>
                <w:b/>
                <w:bCs/>
                <w:color w:val="000000"/>
                <w:sz w:val="16"/>
                <w:szCs w:val="16"/>
              </w:rPr>
              <w:t>See Budget Note:</w:t>
            </w:r>
          </w:p>
        </w:tc>
      </w:tr>
      <w:tr w:rsidR="001F45CE" w:rsidRPr="00913CCF" w14:paraId="323993A5" w14:textId="77777777" w:rsidTr="00512288">
        <w:trPr>
          <w:cantSplit/>
          <w:trHeight w:val="243"/>
        </w:trPr>
        <w:tc>
          <w:tcPr>
            <w:tcW w:w="1335" w:type="dxa"/>
            <w:vMerge w:val="restart"/>
            <w:tcBorders>
              <w:top w:val="single" w:sz="8" w:space="0" w:color="auto"/>
              <w:left w:val="single" w:sz="8" w:space="0" w:color="auto"/>
              <w:bottom w:val="double" w:sz="6" w:space="0" w:color="000000"/>
              <w:right w:val="single" w:sz="8" w:space="0" w:color="auto"/>
            </w:tcBorders>
            <w:shd w:val="clear" w:color="auto" w:fill="auto"/>
            <w:vAlign w:val="center"/>
            <w:hideMark/>
          </w:tcPr>
          <w:p w14:paraId="71FE767A"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 xml:space="preserve">COMPONENT / OUTCOME 1: </w:t>
            </w:r>
          </w:p>
        </w:tc>
        <w:tc>
          <w:tcPr>
            <w:tcW w:w="1267" w:type="dxa"/>
            <w:vMerge w:val="restart"/>
            <w:tcBorders>
              <w:top w:val="single" w:sz="8" w:space="0" w:color="auto"/>
              <w:left w:val="single" w:sz="8" w:space="0" w:color="auto"/>
              <w:bottom w:val="double" w:sz="6" w:space="0" w:color="000000"/>
              <w:right w:val="single" w:sz="8" w:space="0" w:color="auto"/>
            </w:tcBorders>
            <w:shd w:val="clear" w:color="auto" w:fill="auto"/>
            <w:vAlign w:val="center"/>
            <w:hideMark/>
          </w:tcPr>
          <w:p w14:paraId="4A142C84" w14:textId="6E4B7627" w:rsidR="001F45CE" w:rsidRPr="00AB47BD" w:rsidRDefault="001265F0" w:rsidP="001F45CE">
            <w:pPr>
              <w:spacing w:after="0"/>
              <w:rPr>
                <w:rFonts w:eastAsia="Times New Roman" w:cs="Calibri"/>
                <w:b/>
                <w:bCs/>
                <w:color w:val="000000"/>
                <w:sz w:val="16"/>
                <w:szCs w:val="16"/>
                <w:lang w:val="fr-FR"/>
              </w:rPr>
            </w:pPr>
            <w:r w:rsidRPr="00AB47BD">
              <w:rPr>
                <w:rFonts w:cs="Arial"/>
                <w:b/>
                <w:bCs/>
                <w:sz w:val="16"/>
                <w:szCs w:val="16"/>
                <w:highlight w:val="green"/>
                <w:lang w:val="fr-FR"/>
              </w:rPr>
              <w:t>Ministère de l'environnement, de l'eau et de l’Assainissement</w:t>
            </w:r>
          </w:p>
        </w:tc>
        <w:tc>
          <w:tcPr>
            <w:tcW w:w="713" w:type="dxa"/>
            <w:vMerge w:val="restart"/>
            <w:tcBorders>
              <w:top w:val="single" w:sz="8" w:space="0" w:color="auto"/>
              <w:left w:val="single" w:sz="8" w:space="0" w:color="auto"/>
              <w:bottom w:val="double" w:sz="6" w:space="0" w:color="000000"/>
              <w:right w:val="single" w:sz="8" w:space="0" w:color="auto"/>
            </w:tcBorders>
            <w:shd w:val="clear" w:color="auto" w:fill="auto"/>
            <w:vAlign w:val="center"/>
            <w:hideMark/>
          </w:tcPr>
          <w:p w14:paraId="02FCAA16"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62000</w:t>
            </w:r>
          </w:p>
        </w:tc>
        <w:tc>
          <w:tcPr>
            <w:tcW w:w="632" w:type="dxa"/>
            <w:vMerge w:val="restart"/>
            <w:tcBorders>
              <w:top w:val="single" w:sz="8" w:space="0" w:color="auto"/>
              <w:left w:val="single" w:sz="8" w:space="0" w:color="auto"/>
              <w:bottom w:val="double" w:sz="6" w:space="0" w:color="000000"/>
              <w:right w:val="single" w:sz="8" w:space="0" w:color="auto"/>
            </w:tcBorders>
            <w:shd w:val="clear" w:color="auto" w:fill="auto"/>
            <w:vAlign w:val="center"/>
            <w:hideMark/>
          </w:tcPr>
          <w:p w14:paraId="3215B136"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GEF</w:t>
            </w:r>
          </w:p>
        </w:tc>
        <w:tc>
          <w:tcPr>
            <w:tcW w:w="901" w:type="dxa"/>
            <w:tcBorders>
              <w:top w:val="single" w:sz="8" w:space="0" w:color="auto"/>
              <w:left w:val="nil"/>
              <w:bottom w:val="single" w:sz="8" w:space="0" w:color="auto"/>
              <w:right w:val="single" w:sz="8" w:space="0" w:color="auto"/>
            </w:tcBorders>
            <w:shd w:val="clear" w:color="auto" w:fill="auto"/>
            <w:noWrap/>
            <w:vAlign w:val="center"/>
            <w:hideMark/>
          </w:tcPr>
          <w:p w14:paraId="053C2656"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71200</w:t>
            </w:r>
          </w:p>
        </w:tc>
        <w:tc>
          <w:tcPr>
            <w:tcW w:w="1597" w:type="dxa"/>
            <w:tcBorders>
              <w:top w:val="single" w:sz="8" w:space="0" w:color="auto"/>
              <w:left w:val="nil"/>
              <w:bottom w:val="single" w:sz="8" w:space="0" w:color="auto"/>
              <w:right w:val="single" w:sz="8" w:space="0" w:color="auto"/>
            </w:tcBorders>
            <w:shd w:val="clear" w:color="auto" w:fill="auto"/>
            <w:vAlign w:val="center"/>
            <w:hideMark/>
          </w:tcPr>
          <w:p w14:paraId="6F9760D2"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International Cons</w:t>
            </w:r>
          </w:p>
        </w:tc>
        <w:tc>
          <w:tcPr>
            <w:tcW w:w="935" w:type="dxa"/>
            <w:tcBorders>
              <w:top w:val="single" w:sz="8" w:space="0" w:color="auto"/>
              <w:left w:val="nil"/>
              <w:bottom w:val="single" w:sz="8" w:space="0" w:color="auto"/>
              <w:right w:val="single" w:sz="8" w:space="0" w:color="auto"/>
            </w:tcBorders>
            <w:shd w:val="clear" w:color="auto" w:fill="auto"/>
            <w:noWrap/>
            <w:vAlign w:val="center"/>
            <w:hideMark/>
          </w:tcPr>
          <w:p w14:paraId="1D6A3F3E"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31,000</w:t>
            </w:r>
          </w:p>
        </w:tc>
        <w:tc>
          <w:tcPr>
            <w:tcW w:w="996" w:type="dxa"/>
            <w:tcBorders>
              <w:top w:val="single" w:sz="8" w:space="0" w:color="auto"/>
              <w:left w:val="nil"/>
              <w:bottom w:val="single" w:sz="8" w:space="0" w:color="auto"/>
              <w:right w:val="single" w:sz="8" w:space="0" w:color="auto"/>
            </w:tcBorders>
            <w:shd w:val="clear" w:color="auto" w:fill="auto"/>
            <w:noWrap/>
            <w:vAlign w:val="center"/>
            <w:hideMark/>
          </w:tcPr>
          <w:p w14:paraId="1008F72E"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48,000</w:t>
            </w:r>
          </w:p>
        </w:tc>
        <w:tc>
          <w:tcPr>
            <w:tcW w:w="925" w:type="dxa"/>
            <w:tcBorders>
              <w:top w:val="single" w:sz="8" w:space="0" w:color="auto"/>
              <w:left w:val="nil"/>
              <w:bottom w:val="single" w:sz="8" w:space="0" w:color="auto"/>
              <w:right w:val="single" w:sz="8" w:space="0" w:color="auto"/>
            </w:tcBorders>
            <w:shd w:val="clear" w:color="auto" w:fill="auto"/>
            <w:noWrap/>
            <w:vAlign w:val="center"/>
            <w:hideMark/>
          </w:tcPr>
          <w:p w14:paraId="42FF6864"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14,000</w:t>
            </w:r>
          </w:p>
        </w:tc>
        <w:tc>
          <w:tcPr>
            <w:tcW w:w="925" w:type="dxa"/>
            <w:tcBorders>
              <w:top w:val="single" w:sz="8" w:space="0" w:color="auto"/>
              <w:left w:val="nil"/>
              <w:bottom w:val="single" w:sz="8" w:space="0" w:color="auto"/>
              <w:right w:val="single" w:sz="8" w:space="0" w:color="auto"/>
            </w:tcBorders>
            <w:shd w:val="clear" w:color="auto" w:fill="auto"/>
            <w:noWrap/>
            <w:vAlign w:val="center"/>
            <w:hideMark/>
          </w:tcPr>
          <w:p w14:paraId="5B54A58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7,000</w:t>
            </w:r>
          </w:p>
        </w:tc>
        <w:tc>
          <w:tcPr>
            <w:tcW w:w="925" w:type="dxa"/>
            <w:tcBorders>
              <w:top w:val="single" w:sz="8" w:space="0" w:color="auto"/>
              <w:left w:val="nil"/>
              <w:bottom w:val="single" w:sz="8" w:space="0" w:color="auto"/>
              <w:right w:val="single" w:sz="8" w:space="0" w:color="auto"/>
            </w:tcBorders>
            <w:shd w:val="clear" w:color="auto" w:fill="auto"/>
            <w:noWrap/>
            <w:vAlign w:val="center"/>
            <w:hideMark/>
          </w:tcPr>
          <w:p w14:paraId="595E5C9E"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single" w:sz="8" w:space="0" w:color="auto"/>
              <w:left w:val="nil"/>
              <w:bottom w:val="single" w:sz="8" w:space="0" w:color="auto"/>
              <w:right w:val="single" w:sz="8" w:space="0" w:color="auto"/>
            </w:tcBorders>
            <w:shd w:val="clear" w:color="auto" w:fill="auto"/>
            <w:vAlign w:val="center"/>
            <w:hideMark/>
          </w:tcPr>
          <w:p w14:paraId="141404EC"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0</w:t>
            </w:r>
          </w:p>
        </w:tc>
        <w:tc>
          <w:tcPr>
            <w:tcW w:w="1244" w:type="dxa"/>
            <w:tcBorders>
              <w:top w:val="single" w:sz="8" w:space="0" w:color="auto"/>
              <w:left w:val="nil"/>
              <w:bottom w:val="single" w:sz="8" w:space="0" w:color="auto"/>
              <w:right w:val="single" w:sz="8" w:space="0" w:color="auto"/>
            </w:tcBorders>
            <w:shd w:val="clear" w:color="auto" w:fill="auto"/>
            <w:noWrap/>
            <w:vAlign w:val="center"/>
            <w:hideMark/>
          </w:tcPr>
          <w:p w14:paraId="5F0D9E4F"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100,000</w:t>
            </w:r>
          </w:p>
        </w:tc>
        <w:tc>
          <w:tcPr>
            <w:tcW w:w="844" w:type="dxa"/>
            <w:tcBorders>
              <w:top w:val="single" w:sz="8" w:space="0" w:color="auto"/>
              <w:left w:val="nil"/>
              <w:bottom w:val="single" w:sz="8" w:space="0" w:color="auto"/>
              <w:right w:val="single" w:sz="8" w:space="0" w:color="auto"/>
            </w:tcBorders>
            <w:shd w:val="clear" w:color="auto" w:fill="auto"/>
            <w:vAlign w:val="center"/>
            <w:hideMark/>
          </w:tcPr>
          <w:p w14:paraId="287F2EF7" w14:textId="77777777"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1</w:t>
            </w:r>
          </w:p>
        </w:tc>
      </w:tr>
      <w:tr w:rsidR="001F45CE" w:rsidRPr="00913CCF" w14:paraId="0D323607" w14:textId="77777777" w:rsidTr="00512288">
        <w:trPr>
          <w:trHeight w:val="225"/>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65E1F994"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double" w:sz="6" w:space="0" w:color="auto"/>
              <w:left w:val="single" w:sz="8" w:space="0" w:color="auto"/>
              <w:bottom w:val="double" w:sz="6" w:space="0" w:color="000000"/>
              <w:right w:val="single" w:sz="8" w:space="0" w:color="auto"/>
            </w:tcBorders>
            <w:shd w:val="clear" w:color="auto" w:fill="auto"/>
            <w:vAlign w:val="center"/>
            <w:hideMark/>
          </w:tcPr>
          <w:p w14:paraId="29309E66"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49397DA7"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3D965E43"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4CAB0E13"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71300</w:t>
            </w:r>
          </w:p>
        </w:tc>
        <w:tc>
          <w:tcPr>
            <w:tcW w:w="1597" w:type="dxa"/>
            <w:tcBorders>
              <w:top w:val="nil"/>
              <w:left w:val="nil"/>
              <w:bottom w:val="single" w:sz="8" w:space="0" w:color="auto"/>
              <w:right w:val="single" w:sz="8" w:space="0" w:color="auto"/>
            </w:tcBorders>
            <w:shd w:val="clear" w:color="auto" w:fill="auto"/>
            <w:vAlign w:val="center"/>
            <w:hideMark/>
          </w:tcPr>
          <w:p w14:paraId="5947D1A8"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Local Consultants</w:t>
            </w:r>
          </w:p>
        </w:tc>
        <w:tc>
          <w:tcPr>
            <w:tcW w:w="935" w:type="dxa"/>
            <w:tcBorders>
              <w:top w:val="nil"/>
              <w:left w:val="nil"/>
              <w:bottom w:val="single" w:sz="8" w:space="0" w:color="auto"/>
              <w:right w:val="single" w:sz="8" w:space="0" w:color="auto"/>
            </w:tcBorders>
            <w:shd w:val="clear" w:color="auto" w:fill="auto"/>
            <w:noWrap/>
            <w:vAlign w:val="center"/>
            <w:hideMark/>
          </w:tcPr>
          <w:p w14:paraId="3343034E"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14,750</w:t>
            </w:r>
          </w:p>
        </w:tc>
        <w:tc>
          <w:tcPr>
            <w:tcW w:w="996" w:type="dxa"/>
            <w:tcBorders>
              <w:top w:val="nil"/>
              <w:left w:val="nil"/>
              <w:bottom w:val="single" w:sz="8" w:space="0" w:color="auto"/>
              <w:right w:val="single" w:sz="8" w:space="0" w:color="auto"/>
            </w:tcBorders>
            <w:shd w:val="clear" w:color="auto" w:fill="auto"/>
            <w:noWrap/>
            <w:vAlign w:val="center"/>
            <w:hideMark/>
          </w:tcPr>
          <w:p w14:paraId="2CE2A90B"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37,750</w:t>
            </w:r>
          </w:p>
        </w:tc>
        <w:tc>
          <w:tcPr>
            <w:tcW w:w="925" w:type="dxa"/>
            <w:tcBorders>
              <w:top w:val="nil"/>
              <w:left w:val="nil"/>
              <w:bottom w:val="single" w:sz="8" w:space="0" w:color="auto"/>
              <w:right w:val="single" w:sz="8" w:space="0" w:color="auto"/>
            </w:tcBorders>
            <w:shd w:val="clear" w:color="auto" w:fill="auto"/>
            <w:noWrap/>
            <w:vAlign w:val="center"/>
            <w:hideMark/>
          </w:tcPr>
          <w:p w14:paraId="0E7BDF7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16,500</w:t>
            </w:r>
          </w:p>
        </w:tc>
        <w:tc>
          <w:tcPr>
            <w:tcW w:w="925" w:type="dxa"/>
            <w:tcBorders>
              <w:top w:val="nil"/>
              <w:left w:val="nil"/>
              <w:bottom w:val="single" w:sz="8" w:space="0" w:color="auto"/>
              <w:right w:val="single" w:sz="8" w:space="0" w:color="auto"/>
            </w:tcBorders>
            <w:shd w:val="clear" w:color="auto" w:fill="auto"/>
            <w:noWrap/>
            <w:vAlign w:val="center"/>
            <w:hideMark/>
          </w:tcPr>
          <w:p w14:paraId="4137C0BA"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noWrap/>
            <w:vAlign w:val="center"/>
            <w:hideMark/>
          </w:tcPr>
          <w:p w14:paraId="12E96EC6"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204B552F"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9,500</w:t>
            </w:r>
          </w:p>
        </w:tc>
        <w:tc>
          <w:tcPr>
            <w:tcW w:w="1244" w:type="dxa"/>
            <w:tcBorders>
              <w:top w:val="nil"/>
              <w:left w:val="nil"/>
              <w:bottom w:val="single" w:sz="8" w:space="0" w:color="auto"/>
              <w:right w:val="single" w:sz="8" w:space="0" w:color="auto"/>
            </w:tcBorders>
            <w:shd w:val="clear" w:color="auto" w:fill="auto"/>
            <w:noWrap/>
            <w:vAlign w:val="center"/>
            <w:hideMark/>
          </w:tcPr>
          <w:p w14:paraId="050FA8D8"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78,500</w:t>
            </w:r>
          </w:p>
        </w:tc>
        <w:tc>
          <w:tcPr>
            <w:tcW w:w="844" w:type="dxa"/>
            <w:tcBorders>
              <w:top w:val="nil"/>
              <w:left w:val="nil"/>
              <w:bottom w:val="single" w:sz="8" w:space="0" w:color="auto"/>
              <w:right w:val="single" w:sz="8" w:space="0" w:color="auto"/>
            </w:tcBorders>
            <w:shd w:val="clear" w:color="auto" w:fill="auto"/>
            <w:vAlign w:val="center"/>
            <w:hideMark/>
          </w:tcPr>
          <w:p w14:paraId="44CD25DC" w14:textId="77777777"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2</w:t>
            </w:r>
          </w:p>
        </w:tc>
      </w:tr>
      <w:tr w:rsidR="001F45CE" w:rsidRPr="00913CCF" w14:paraId="7F660569" w14:textId="77777777" w:rsidTr="00512288">
        <w:trPr>
          <w:trHeight w:val="225"/>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5A4F5A7F"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double" w:sz="6" w:space="0" w:color="auto"/>
              <w:left w:val="single" w:sz="8" w:space="0" w:color="auto"/>
              <w:bottom w:val="double" w:sz="6" w:space="0" w:color="000000"/>
              <w:right w:val="single" w:sz="8" w:space="0" w:color="auto"/>
            </w:tcBorders>
            <w:shd w:val="clear" w:color="auto" w:fill="auto"/>
            <w:vAlign w:val="center"/>
            <w:hideMark/>
          </w:tcPr>
          <w:p w14:paraId="314F9D91"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565C9EF0"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3A4A402B"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4D8C8970"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71400</w:t>
            </w:r>
          </w:p>
        </w:tc>
        <w:tc>
          <w:tcPr>
            <w:tcW w:w="1597" w:type="dxa"/>
            <w:tcBorders>
              <w:top w:val="nil"/>
              <w:left w:val="nil"/>
              <w:bottom w:val="single" w:sz="8" w:space="0" w:color="auto"/>
              <w:right w:val="single" w:sz="8" w:space="0" w:color="auto"/>
            </w:tcBorders>
            <w:shd w:val="clear" w:color="auto" w:fill="auto"/>
            <w:vAlign w:val="center"/>
            <w:hideMark/>
          </w:tcPr>
          <w:p w14:paraId="23816308"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Contr. serv. Ind.</w:t>
            </w:r>
          </w:p>
        </w:tc>
        <w:tc>
          <w:tcPr>
            <w:tcW w:w="935" w:type="dxa"/>
            <w:tcBorders>
              <w:top w:val="nil"/>
              <w:left w:val="nil"/>
              <w:bottom w:val="single" w:sz="8" w:space="0" w:color="auto"/>
              <w:right w:val="single" w:sz="8" w:space="0" w:color="auto"/>
            </w:tcBorders>
            <w:shd w:val="clear" w:color="auto" w:fill="auto"/>
            <w:noWrap/>
            <w:vAlign w:val="center"/>
            <w:hideMark/>
          </w:tcPr>
          <w:p w14:paraId="35C0FF7A"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14,025</w:t>
            </w:r>
          </w:p>
        </w:tc>
        <w:tc>
          <w:tcPr>
            <w:tcW w:w="996" w:type="dxa"/>
            <w:tcBorders>
              <w:top w:val="nil"/>
              <w:left w:val="nil"/>
              <w:bottom w:val="single" w:sz="8" w:space="0" w:color="auto"/>
              <w:right w:val="single" w:sz="8" w:space="0" w:color="auto"/>
            </w:tcBorders>
            <w:shd w:val="clear" w:color="auto" w:fill="auto"/>
            <w:noWrap/>
            <w:vAlign w:val="center"/>
            <w:hideMark/>
          </w:tcPr>
          <w:p w14:paraId="4815AF6E"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14,400</w:t>
            </w:r>
          </w:p>
        </w:tc>
        <w:tc>
          <w:tcPr>
            <w:tcW w:w="925" w:type="dxa"/>
            <w:tcBorders>
              <w:top w:val="nil"/>
              <w:left w:val="nil"/>
              <w:bottom w:val="single" w:sz="8" w:space="0" w:color="auto"/>
              <w:right w:val="single" w:sz="8" w:space="0" w:color="auto"/>
            </w:tcBorders>
            <w:shd w:val="clear" w:color="auto" w:fill="auto"/>
            <w:noWrap/>
            <w:vAlign w:val="center"/>
            <w:hideMark/>
          </w:tcPr>
          <w:p w14:paraId="02F7ED13"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14,400</w:t>
            </w:r>
          </w:p>
        </w:tc>
        <w:tc>
          <w:tcPr>
            <w:tcW w:w="925" w:type="dxa"/>
            <w:tcBorders>
              <w:top w:val="nil"/>
              <w:left w:val="nil"/>
              <w:bottom w:val="single" w:sz="8" w:space="0" w:color="auto"/>
              <w:right w:val="single" w:sz="8" w:space="0" w:color="auto"/>
            </w:tcBorders>
            <w:shd w:val="clear" w:color="auto" w:fill="auto"/>
            <w:noWrap/>
            <w:vAlign w:val="center"/>
            <w:hideMark/>
          </w:tcPr>
          <w:p w14:paraId="7C4EAAC5"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14,400</w:t>
            </w:r>
          </w:p>
        </w:tc>
        <w:tc>
          <w:tcPr>
            <w:tcW w:w="925" w:type="dxa"/>
            <w:tcBorders>
              <w:top w:val="nil"/>
              <w:left w:val="nil"/>
              <w:bottom w:val="single" w:sz="8" w:space="0" w:color="auto"/>
              <w:right w:val="single" w:sz="8" w:space="0" w:color="auto"/>
            </w:tcBorders>
            <w:shd w:val="clear" w:color="auto" w:fill="auto"/>
            <w:noWrap/>
            <w:vAlign w:val="center"/>
            <w:hideMark/>
          </w:tcPr>
          <w:p w14:paraId="70FA4299"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14,400</w:t>
            </w:r>
          </w:p>
        </w:tc>
        <w:tc>
          <w:tcPr>
            <w:tcW w:w="925" w:type="dxa"/>
            <w:tcBorders>
              <w:top w:val="nil"/>
              <w:left w:val="nil"/>
              <w:bottom w:val="single" w:sz="8" w:space="0" w:color="auto"/>
              <w:right w:val="single" w:sz="8" w:space="0" w:color="auto"/>
            </w:tcBorders>
            <w:shd w:val="clear" w:color="auto" w:fill="auto"/>
            <w:vAlign w:val="center"/>
            <w:hideMark/>
          </w:tcPr>
          <w:p w14:paraId="4BD9E23D"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14,400</w:t>
            </w:r>
          </w:p>
        </w:tc>
        <w:tc>
          <w:tcPr>
            <w:tcW w:w="1244" w:type="dxa"/>
            <w:tcBorders>
              <w:top w:val="nil"/>
              <w:left w:val="nil"/>
              <w:bottom w:val="single" w:sz="8" w:space="0" w:color="auto"/>
              <w:right w:val="single" w:sz="8" w:space="0" w:color="auto"/>
            </w:tcBorders>
            <w:shd w:val="clear" w:color="auto" w:fill="auto"/>
            <w:noWrap/>
            <w:vAlign w:val="center"/>
            <w:hideMark/>
          </w:tcPr>
          <w:p w14:paraId="00C92557"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86,025</w:t>
            </w:r>
          </w:p>
        </w:tc>
        <w:tc>
          <w:tcPr>
            <w:tcW w:w="844" w:type="dxa"/>
            <w:tcBorders>
              <w:top w:val="nil"/>
              <w:left w:val="nil"/>
              <w:bottom w:val="single" w:sz="8" w:space="0" w:color="auto"/>
              <w:right w:val="single" w:sz="8" w:space="0" w:color="auto"/>
            </w:tcBorders>
            <w:shd w:val="clear" w:color="auto" w:fill="auto"/>
            <w:vAlign w:val="center"/>
            <w:hideMark/>
          </w:tcPr>
          <w:p w14:paraId="3FAA32A7" w14:textId="77777777"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3</w:t>
            </w:r>
          </w:p>
        </w:tc>
      </w:tr>
      <w:tr w:rsidR="001F45CE" w:rsidRPr="00913CCF" w14:paraId="15A7838F" w14:textId="77777777" w:rsidTr="00512288">
        <w:trPr>
          <w:trHeight w:val="225"/>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07EA8329"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double" w:sz="6" w:space="0" w:color="auto"/>
              <w:left w:val="single" w:sz="8" w:space="0" w:color="auto"/>
              <w:bottom w:val="double" w:sz="6" w:space="0" w:color="000000"/>
              <w:right w:val="single" w:sz="8" w:space="0" w:color="auto"/>
            </w:tcBorders>
            <w:shd w:val="clear" w:color="auto" w:fill="auto"/>
            <w:vAlign w:val="center"/>
            <w:hideMark/>
          </w:tcPr>
          <w:p w14:paraId="4AB672AB"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5459DB7E"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164654A8"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232A6961"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71600</w:t>
            </w:r>
          </w:p>
        </w:tc>
        <w:tc>
          <w:tcPr>
            <w:tcW w:w="1597" w:type="dxa"/>
            <w:tcBorders>
              <w:top w:val="nil"/>
              <w:left w:val="nil"/>
              <w:bottom w:val="single" w:sz="8" w:space="0" w:color="auto"/>
              <w:right w:val="single" w:sz="8" w:space="0" w:color="auto"/>
            </w:tcBorders>
            <w:shd w:val="clear" w:color="auto" w:fill="auto"/>
            <w:vAlign w:val="center"/>
            <w:hideMark/>
          </w:tcPr>
          <w:p w14:paraId="2D19787E"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Travel</w:t>
            </w:r>
          </w:p>
        </w:tc>
        <w:tc>
          <w:tcPr>
            <w:tcW w:w="935" w:type="dxa"/>
            <w:tcBorders>
              <w:top w:val="nil"/>
              <w:left w:val="nil"/>
              <w:bottom w:val="single" w:sz="8" w:space="0" w:color="auto"/>
              <w:right w:val="single" w:sz="8" w:space="0" w:color="auto"/>
            </w:tcBorders>
            <w:shd w:val="clear" w:color="auto" w:fill="auto"/>
            <w:noWrap/>
            <w:vAlign w:val="center"/>
            <w:hideMark/>
          </w:tcPr>
          <w:p w14:paraId="453053D6"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16,400</w:t>
            </w:r>
          </w:p>
        </w:tc>
        <w:tc>
          <w:tcPr>
            <w:tcW w:w="996" w:type="dxa"/>
            <w:tcBorders>
              <w:top w:val="nil"/>
              <w:left w:val="nil"/>
              <w:bottom w:val="single" w:sz="8" w:space="0" w:color="auto"/>
              <w:right w:val="single" w:sz="8" w:space="0" w:color="auto"/>
            </w:tcBorders>
            <w:shd w:val="clear" w:color="auto" w:fill="auto"/>
            <w:noWrap/>
            <w:vAlign w:val="center"/>
            <w:hideMark/>
          </w:tcPr>
          <w:p w14:paraId="6A0D1F51"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18,400</w:t>
            </w:r>
          </w:p>
        </w:tc>
        <w:tc>
          <w:tcPr>
            <w:tcW w:w="925" w:type="dxa"/>
            <w:tcBorders>
              <w:top w:val="nil"/>
              <w:left w:val="nil"/>
              <w:bottom w:val="single" w:sz="8" w:space="0" w:color="auto"/>
              <w:right w:val="single" w:sz="8" w:space="0" w:color="auto"/>
            </w:tcBorders>
            <w:shd w:val="clear" w:color="auto" w:fill="auto"/>
            <w:noWrap/>
            <w:vAlign w:val="center"/>
            <w:hideMark/>
          </w:tcPr>
          <w:p w14:paraId="147759D1"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7,900</w:t>
            </w:r>
          </w:p>
        </w:tc>
        <w:tc>
          <w:tcPr>
            <w:tcW w:w="925" w:type="dxa"/>
            <w:tcBorders>
              <w:top w:val="nil"/>
              <w:left w:val="nil"/>
              <w:bottom w:val="single" w:sz="8" w:space="0" w:color="auto"/>
              <w:right w:val="single" w:sz="8" w:space="0" w:color="auto"/>
            </w:tcBorders>
            <w:shd w:val="clear" w:color="auto" w:fill="auto"/>
            <w:noWrap/>
            <w:vAlign w:val="center"/>
            <w:hideMark/>
          </w:tcPr>
          <w:p w14:paraId="41BD7646"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6,300</w:t>
            </w:r>
          </w:p>
        </w:tc>
        <w:tc>
          <w:tcPr>
            <w:tcW w:w="925" w:type="dxa"/>
            <w:tcBorders>
              <w:top w:val="nil"/>
              <w:left w:val="nil"/>
              <w:bottom w:val="single" w:sz="8" w:space="0" w:color="auto"/>
              <w:right w:val="single" w:sz="8" w:space="0" w:color="auto"/>
            </w:tcBorders>
            <w:shd w:val="clear" w:color="auto" w:fill="auto"/>
            <w:noWrap/>
            <w:vAlign w:val="center"/>
            <w:hideMark/>
          </w:tcPr>
          <w:p w14:paraId="1C6F42FC"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1,500</w:t>
            </w:r>
          </w:p>
        </w:tc>
        <w:tc>
          <w:tcPr>
            <w:tcW w:w="925" w:type="dxa"/>
            <w:tcBorders>
              <w:top w:val="nil"/>
              <w:left w:val="nil"/>
              <w:bottom w:val="single" w:sz="8" w:space="0" w:color="auto"/>
              <w:right w:val="single" w:sz="8" w:space="0" w:color="auto"/>
            </w:tcBorders>
            <w:shd w:val="clear" w:color="auto" w:fill="auto"/>
            <w:vAlign w:val="center"/>
            <w:hideMark/>
          </w:tcPr>
          <w:p w14:paraId="7369721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bCs/>
                <w:color w:val="000000"/>
                <w:sz w:val="16"/>
                <w:szCs w:val="16"/>
              </w:rPr>
              <w:t>3,100</w:t>
            </w:r>
          </w:p>
        </w:tc>
        <w:tc>
          <w:tcPr>
            <w:tcW w:w="1244" w:type="dxa"/>
            <w:tcBorders>
              <w:top w:val="nil"/>
              <w:left w:val="nil"/>
              <w:bottom w:val="single" w:sz="8" w:space="0" w:color="auto"/>
              <w:right w:val="single" w:sz="8" w:space="0" w:color="auto"/>
            </w:tcBorders>
            <w:shd w:val="clear" w:color="auto" w:fill="auto"/>
            <w:noWrap/>
            <w:vAlign w:val="center"/>
            <w:hideMark/>
          </w:tcPr>
          <w:p w14:paraId="2F4A030B"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53,600</w:t>
            </w:r>
          </w:p>
        </w:tc>
        <w:tc>
          <w:tcPr>
            <w:tcW w:w="844" w:type="dxa"/>
            <w:tcBorders>
              <w:top w:val="nil"/>
              <w:left w:val="nil"/>
              <w:bottom w:val="single" w:sz="8" w:space="0" w:color="auto"/>
              <w:right w:val="single" w:sz="8" w:space="0" w:color="auto"/>
            </w:tcBorders>
            <w:shd w:val="clear" w:color="auto" w:fill="auto"/>
            <w:vAlign w:val="center"/>
            <w:hideMark/>
          </w:tcPr>
          <w:p w14:paraId="4563830E" w14:textId="77777777"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4</w:t>
            </w:r>
          </w:p>
        </w:tc>
      </w:tr>
      <w:tr w:rsidR="001F45CE" w:rsidRPr="00913CCF" w14:paraId="7FEA093B" w14:textId="77777777" w:rsidTr="00512288">
        <w:trPr>
          <w:trHeight w:val="207"/>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62C41269"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double" w:sz="6" w:space="0" w:color="auto"/>
              <w:left w:val="single" w:sz="8" w:space="0" w:color="auto"/>
              <w:bottom w:val="double" w:sz="6" w:space="0" w:color="000000"/>
              <w:right w:val="single" w:sz="8" w:space="0" w:color="auto"/>
            </w:tcBorders>
            <w:shd w:val="clear" w:color="auto" w:fill="auto"/>
            <w:vAlign w:val="center"/>
            <w:hideMark/>
          </w:tcPr>
          <w:p w14:paraId="17034440"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735E199F"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7C09E8D0"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23355DBD"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72100</w:t>
            </w:r>
          </w:p>
        </w:tc>
        <w:tc>
          <w:tcPr>
            <w:tcW w:w="1597" w:type="dxa"/>
            <w:tcBorders>
              <w:top w:val="nil"/>
              <w:left w:val="nil"/>
              <w:bottom w:val="single" w:sz="8" w:space="0" w:color="auto"/>
              <w:right w:val="single" w:sz="8" w:space="0" w:color="auto"/>
            </w:tcBorders>
            <w:shd w:val="clear" w:color="auto" w:fill="auto"/>
            <w:vAlign w:val="center"/>
            <w:hideMark/>
          </w:tcPr>
          <w:p w14:paraId="5159DDF9"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 xml:space="preserve">Contr. serv. </w:t>
            </w:r>
            <w:proofErr w:type="spellStart"/>
            <w:r w:rsidRPr="00913CCF">
              <w:rPr>
                <w:rFonts w:eastAsia="Times New Roman" w:cs="Calibri"/>
                <w:color w:val="000000"/>
                <w:sz w:val="16"/>
                <w:szCs w:val="16"/>
              </w:rPr>
              <w:t>cies</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7FA569C7"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96" w:type="dxa"/>
            <w:tcBorders>
              <w:top w:val="nil"/>
              <w:left w:val="nil"/>
              <w:bottom w:val="single" w:sz="8" w:space="0" w:color="auto"/>
              <w:right w:val="single" w:sz="8" w:space="0" w:color="auto"/>
            </w:tcBorders>
            <w:shd w:val="clear" w:color="auto" w:fill="auto"/>
            <w:noWrap/>
            <w:vAlign w:val="center"/>
            <w:hideMark/>
          </w:tcPr>
          <w:p w14:paraId="07D7ECB6"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98,000</w:t>
            </w:r>
          </w:p>
        </w:tc>
        <w:tc>
          <w:tcPr>
            <w:tcW w:w="925" w:type="dxa"/>
            <w:tcBorders>
              <w:top w:val="nil"/>
              <w:left w:val="nil"/>
              <w:bottom w:val="single" w:sz="8" w:space="0" w:color="auto"/>
              <w:right w:val="single" w:sz="8" w:space="0" w:color="auto"/>
            </w:tcBorders>
            <w:shd w:val="clear" w:color="auto" w:fill="auto"/>
            <w:noWrap/>
            <w:vAlign w:val="center"/>
            <w:hideMark/>
          </w:tcPr>
          <w:p w14:paraId="01A0A783"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noWrap/>
            <w:vAlign w:val="center"/>
            <w:hideMark/>
          </w:tcPr>
          <w:p w14:paraId="0B46F235"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noWrap/>
            <w:vAlign w:val="center"/>
            <w:hideMark/>
          </w:tcPr>
          <w:p w14:paraId="3BC695C6"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4C6CACF3"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1244" w:type="dxa"/>
            <w:tcBorders>
              <w:top w:val="nil"/>
              <w:left w:val="nil"/>
              <w:bottom w:val="single" w:sz="8" w:space="0" w:color="auto"/>
              <w:right w:val="single" w:sz="8" w:space="0" w:color="auto"/>
            </w:tcBorders>
            <w:shd w:val="clear" w:color="auto" w:fill="auto"/>
            <w:noWrap/>
            <w:vAlign w:val="center"/>
            <w:hideMark/>
          </w:tcPr>
          <w:p w14:paraId="0033CA89"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98,000</w:t>
            </w:r>
          </w:p>
        </w:tc>
        <w:tc>
          <w:tcPr>
            <w:tcW w:w="844" w:type="dxa"/>
            <w:tcBorders>
              <w:top w:val="nil"/>
              <w:left w:val="nil"/>
              <w:bottom w:val="single" w:sz="8" w:space="0" w:color="auto"/>
              <w:right w:val="single" w:sz="8" w:space="0" w:color="auto"/>
            </w:tcBorders>
            <w:shd w:val="clear" w:color="auto" w:fill="auto"/>
            <w:vAlign w:val="center"/>
            <w:hideMark/>
          </w:tcPr>
          <w:p w14:paraId="5DED9E98" w14:textId="6CBD7295" w:rsidR="001F45CE" w:rsidRPr="00913CCF" w:rsidRDefault="00096659" w:rsidP="001F45CE">
            <w:pPr>
              <w:spacing w:after="0"/>
              <w:jc w:val="center"/>
              <w:rPr>
                <w:rFonts w:eastAsia="Times New Roman" w:cs="Calibri"/>
                <w:i/>
                <w:iCs/>
                <w:color w:val="000000"/>
                <w:sz w:val="16"/>
                <w:szCs w:val="16"/>
              </w:rPr>
            </w:pPr>
            <w:r>
              <w:rPr>
                <w:rFonts w:eastAsia="Times New Roman" w:cs="Calibri"/>
                <w:i/>
                <w:iCs/>
                <w:color w:val="000000"/>
                <w:sz w:val="16"/>
                <w:szCs w:val="16"/>
              </w:rPr>
              <w:t>5</w:t>
            </w:r>
          </w:p>
        </w:tc>
      </w:tr>
      <w:tr w:rsidR="001F45CE" w:rsidRPr="00913CCF" w14:paraId="6706286C" w14:textId="77777777" w:rsidTr="00512288">
        <w:trPr>
          <w:trHeight w:val="35"/>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507106C2"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double" w:sz="6" w:space="0" w:color="auto"/>
              <w:left w:val="single" w:sz="8" w:space="0" w:color="auto"/>
              <w:bottom w:val="double" w:sz="6" w:space="0" w:color="000000"/>
              <w:right w:val="single" w:sz="8" w:space="0" w:color="auto"/>
            </w:tcBorders>
            <w:shd w:val="clear" w:color="auto" w:fill="auto"/>
            <w:vAlign w:val="center"/>
            <w:hideMark/>
          </w:tcPr>
          <w:p w14:paraId="1B1D10BA"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451777A7"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30561178"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70E8ED3A"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72800</w:t>
            </w:r>
          </w:p>
        </w:tc>
        <w:tc>
          <w:tcPr>
            <w:tcW w:w="1597" w:type="dxa"/>
            <w:tcBorders>
              <w:top w:val="nil"/>
              <w:left w:val="nil"/>
              <w:bottom w:val="single" w:sz="8" w:space="0" w:color="auto"/>
              <w:right w:val="single" w:sz="8" w:space="0" w:color="auto"/>
            </w:tcBorders>
            <w:shd w:val="clear" w:color="auto" w:fill="auto"/>
            <w:vAlign w:val="center"/>
            <w:hideMark/>
          </w:tcPr>
          <w:p w14:paraId="32E1B299"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Info. Tech. Equip</w:t>
            </w:r>
          </w:p>
        </w:tc>
        <w:tc>
          <w:tcPr>
            <w:tcW w:w="935" w:type="dxa"/>
            <w:tcBorders>
              <w:top w:val="nil"/>
              <w:left w:val="nil"/>
              <w:bottom w:val="single" w:sz="8" w:space="0" w:color="auto"/>
              <w:right w:val="single" w:sz="8" w:space="0" w:color="auto"/>
            </w:tcBorders>
            <w:shd w:val="clear" w:color="auto" w:fill="auto"/>
            <w:noWrap/>
            <w:vAlign w:val="center"/>
            <w:hideMark/>
          </w:tcPr>
          <w:p w14:paraId="178D5A0C"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lang w:val="fr-CA"/>
              </w:rPr>
              <w:t>8,500</w:t>
            </w:r>
          </w:p>
        </w:tc>
        <w:tc>
          <w:tcPr>
            <w:tcW w:w="996" w:type="dxa"/>
            <w:tcBorders>
              <w:top w:val="nil"/>
              <w:left w:val="nil"/>
              <w:bottom w:val="single" w:sz="8" w:space="0" w:color="auto"/>
              <w:right w:val="single" w:sz="8" w:space="0" w:color="auto"/>
            </w:tcBorders>
            <w:shd w:val="clear" w:color="auto" w:fill="auto"/>
            <w:noWrap/>
            <w:vAlign w:val="center"/>
            <w:hideMark/>
          </w:tcPr>
          <w:p w14:paraId="24C4364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noWrap/>
            <w:vAlign w:val="center"/>
            <w:hideMark/>
          </w:tcPr>
          <w:p w14:paraId="166248C9"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noWrap/>
            <w:vAlign w:val="center"/>
            <w:hideMark/>
          </w:tcPr>
          <w:p w14:paraId="538F137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noWrap/>
            <w:vAlign w:val="center"/>
            <w:hideMark/>
          </w:tcPr>
          <w:p w14:paraId="32E9E0BF"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515FBB2E"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1244" w:type="dxa"/>
            <w:tcBorders>
              <w:top w:val="nil"/>
              <w:left w:val="nil"/>
              <w:bottom w:val="single" w:sz="8" w:space="0" w:color="auto"/>
              <w:right w:val="single" w:sz="8" w:space="0" w:color="auto"/>
            </w:tcBorders>
            <w:shd w:val="clear" w:color="auto" w:fill="auto"/>
            <w:noWrap/>
            <w:vAlign w:val="center"/>
            <w:hideMark/>
          </w:tcPr>
          <w:p w14:paraId="609CAB9A"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16,000</w:t>
            </w:r>
          </w:p>
        </w:tc>
        <w:tc>
          <w:tcPr>
            <w:tcW w:w="844" w:type="dxa"/>
            <w:tcBorders>
              <w:top w:val="nil"/>
              <w:left w:val="nil"/>
              <w:bottom w:val="single" w:sz="8" w:space="0" w:color="auto"/>
              <w:right w:val="single" w:sz="8" w:space="0" w:color="auto"/>
            </w:tcBorders>
            <w:shd w:val="clear" w:color="auto" w:fill="auto"/>
            <w:vAlign w:val="center"/>
            <w:hideMark/>
          </w:tcPr>
          <w:p w14:paraId="75700F41" w14:textId="0163B3CD" w:rsidR="001F45CE" w:rsidRPr="00913CCF" w:rsidRDefault="00096659" w:rsidP="001F45CE">
            <w:pPr>
              <w:spacing w:after="0"/>
              <w:jc w:val="center"/>
              <w:rPr>
                <w:rFonts w:eastAsia="Times New Roman" w:cs="Calibri"/>
                <w:i/>
                <w:iCs/>
                <w:color w:val="000000"/>
                <w:sz w:val="16"/>
                <w:szCs w:val="16"/>
              </w:rPr>
            </w:pPr>
            <w:r>
              <w:rPr>
                <w:rFonts w:eastAsia="Times New Roman" w:cs="Calibri"/>
                <w:i/>
                <w:iCs/>
                <w:color w:val="000000"/>
                <w:sz w:val="16"/>
                <w:szCs w:val="16"/>
              </w:rPr>
              <w:t>6</w:t>
            </w:r>
          </w:p>
        </w:tc>
      </w:tr>
      <w:tr w:rsidR="001F45CE" w:rsidRPr="00913CCF" w14:paraId="4F7494F0" w14:textId="77777777" w:rsidTr="00512288">
        <w:trPr>
          <w:trHeight w:val="293"/>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7249A228"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double" w:sz="6" w:space="0" w:color="auto"/>
              <w:left w:val="single" w:sz="8" w:space="0" w:color="auto"/>
              <w:bottom w:val="double" w:sz="6" w:space="0" w:color="000000"/>
              <w:right w:val="single" w:sz="8" w:space="0" w:color="auto"/>
            </w:tcBorders>
            <w:shd w:val="clear" w:color="auto" w:fill="auto"/>
            <w:vAlign w:val="center"/>
            <w:hideMark/>
          </w:tcPr>
          <w:p w14:paraId="0DDEBA17"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3495CB04"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719A16F1"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3F6F081F"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74200</w:t>
            </w:r>
          </w:p>
        </w:tc>
        <w:tc>
          <w:tcPr>
            <w:tcW w:w="1597" w:type="dxa"/>
            <w:tcBorders>
              <w:top w:val="nil"/>
              <w:left w:val="nil"/>
              <w:bottom w:val="single" w:sz="8" w:space="0" w:color="auto"/>
              <w:right w:val="single" w:sz="8" w:space="0" w:color="auto"/>
            </w:tcBorders>
            <w:shd w:val="clear" w:color="auto" w:fill="auto"/>
            <w:vAlign w:val="center"/>
            <w:hideMark/>
          </w:tcPr>
          <w:p w14:paraId="21976EBF" w14:textId="77777777" w:rsidR="001F45CE" w:rsidRPr="00913CCF" w:rsidRDefault="001F45CE" w:rsidP="001F45CE">
            <w:pPr>
              <w:spacing w:after="0"/>
              <w:jc w:val="left"/>
              <w:rPr>
                <w:rFonts w:eastAsia="Times New Roman" w:cs="Calibri"/>
                <w:color w:val="000000"/>
                <w:sz w:val="16"/>
                <w:szCs w:val="16"/>
              </w:rPr>
            </w:pPr>
            <w:proofErr w:type="spellStart"/>
            <w:r w:rsidRPr="00913CCF">
              <w:rPr>
                <w:rFonts w:eastAsia="Times New Roman" w:cs="Calibri"/>
                <w:color w:val="000000"/>
                <w:sz w:val="16"/>
                <w:szCs w:val="16"/>
                <w:lang w:val="fr-CA"/>
              </w:rPr>
              <w:t>Audiov</w:t>
            </w:r>
            <w:proofErr w:type="spellEnd"/>
            <w:r w:rsidRPr="00913CCF">
              <w:rPr>
                <w:rFonts w:eastAsia="Times New Roman" w:cs="Calibri"/>
                <w:color w:val="000000"/>
                <w:sz w:val="16"/>
                <w:szCs w:val="16"/>
                <w:lang w:val="fr-CA"/>
              </w:rPr>
              <w:t xml:space="preserve">. </w:t>
            </w:r>
            <w:proofErr w:type="spellStart"/>
            <w:proofErr w:type="gramStart"/>
            <w:r w:rsidRPr="00913CCF">
              <w:rPr>
                <w:rFonts w:eastAsia="Times New Roman" w:cs="Calibri"/>
                <w:color w:val="000000"/>
                <w:sz w:val="16"/>
                <w:szCs w:val="16"/>
                <w:lang w:val="fr-CA"/>
              </w:rPr>
              <w:t>print</w:t>
            </w:r>
            <w:proofErr w:type="spellEnd"/>
            <w:proofErr w:type="gramEnd"/>
            <w:r w:rsidRPr="00913CCF">
              <w:rPr>
                <w:rFonts w:eastAsia="Times New Roman" w:cs="Calibri"/>
                <w:color w:val="000000"/>
                <w:sz w:val="16"/>
                <w:szCs w:val="16"/>
                <w:lang w:val="fr-CA"/>
              </w:rPr>
              <w:t xml:space="preserve"> prod.</w:t>
            </w:r>
          </w:p>
        </w:tc>
        <w:tc>
          <w:tcPr>
            <w:tcW w:w="935" w:type="dxa"/>
            <w:tcBorders>
              <w:top w:val="nil"/>
              <w:left w:val="nil"/>
              <w:bottom w:val="single" w:sz="8" w:space="0" w:color="auto"/>
              <w:right w:val="single" w:sz="8" w:space="0" w:color="auto"/>
            </w:tcBorders>
            <w:shd w:val="clear" w:color="auto" w:fill="auto"/>
            <w:noWrap/>
            <w:vAlign w:val="center"/>
            <w:hideMark/>
          </w:tcPr>
          <w:p w14:paraId="498054ED"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1,000</w:t>
            </w:r>
          </w:p>
        </w:tc>
        <w:tc>
          <w:tcPr>
            <w:tcW w:w="996" w:type="dxa"/>
            <w:tcBorders>
              <w:top w:val="nil"/>
              <w:left w:val="nil"/>
              <w:bottom w:val="single" w:sz="8" w:space="0" w:color="auto"/>
              <w:right w:val="single" w:sz="8" w:space="0" w:color="auto"/>
            </w:tcBorders>
            <w:shd w:val="clear" w:color="auto" w:fill="auto"/>
            <w:noWrap/>
            <w:vAlign w:val="center"/>
            <w:hideMark/>
          </w:tcPr>
          <w:p w14:paraId="5B46E32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4,000</w:t>
            </w:r>
          </w:p>
        </w:tc>
        <w:tc>
          <w:tcPr>
            <w:tcW w:w="925" w:type="dxa"/>
            <w:tcBorders>
              <w:top w:val="nil"/>
              <w:left w:val="nil"/>
              <w:bottom w:val="single" w:sz="8" w:space="0" w:color="auto"/>
              <w:right w:val="single" w:sz="8" w:space="0" w:color="auto"/>
            </w:tcBorders>
            <w:shd w:val="clear" w:color="auto" w:fill="auto"/>
            <w:noWrap/>
            <w:vAlign w:val="center"/>
            <w:hideMark/>
          </w:tcPr>
          <w:p w14:paraId="498483CA"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noWrap/>
            <w:vAlign w:val="center"/>
            <w:hideMark/>
          </w:tcPr>
          <w:p w14:paraId="7BC0C08F"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noWrap/>
            <w:vAlign w:val="center"/>
            <w:hideMark/>
          </w:tcPr>
          <w:p w14:paraId="2CA82889"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4A27C98A"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1244" w:type="dxa"/>
            <w:tcBorders>
              <w:top w:val="nil"/>
              <w:left w:val="nil"/>
              <w:bottom w:val="single" w:sz="8" w:space="0" w:color="auto"/>
              <w:right w:val="single" w:sz="8" w:space="0" w:color="auto"/>
            </w:tcBorders>
            <w:shd w:val="clear" w:color="auto" w:fill="auto"/>
            <w:noWrap/>
            <w:vAlign w:val="center"/>
            <w:hideMark/>
          </w:tcPr>
          <w:p w14:paraId="736B8EB1"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5,000</w:t>
            </w:r>
          </w:p>
        </w:tc>
        <w:tc>
          <w:tcPr>
            <w:tcW w:w="844" w:type="dxa"/>
            <w:tcBorders>
              <w:top w:val="nil"/>
              <w:left w:val="nil"/>
              <w:bottom w:val="single" w:sz="8" w:space="0" w:color="auto"/>
              <w:right w:val="single" w:sz="8" w:space="0" w:color="auto"/>
            </w:tcBorders>
            <w:shd w:val="clear" w:color="auto" w:fill="auto"/>
            <w:vAlign w:val="center"/>
            <w:hideMark/>
          </w:tcPr>
          <w:p w14:paraId="004E1B29" w14:textId="28FA6077" w:rsidR="001F45CE" w:rsidRPr="00913CCF" w:rsidRDefault="00096659" w:rsidP="001F45CE">
            <w:pPr>
              <w:spacing w:after="0"/>
              <w:jc w:val="center"/>
              <w:rPr>
                <w:rFonts w:eastAsia="Times New Roman" w:cs="Calibri"/>
                <w:i/>
                <w:iCs/>
                <w:color w:val="000000"/>
                <w:sz w:val="16"/>
                <w:szCs w:val="16"/>
              </w:rPr>
            </w:pPr>
            <w:r>
              <w:rPr>
                <w:rFonts w:eastAsia="Times New Roman" w:cs="Calibri"/>
                <w:i/>
                <w:iCs/>
                <w:color w:val="000000"/>
                <w:sz w:val="16"/>
                <w:szCs w:val="16"/>
              </w:rPr>
              <w:t>7</w:t>
            </w:r>
          </w:p>
        </w:tc>
      </w:tr>
      <w:tr w:rsidR="001F45CE" w:rsidRPr="00913CCF" w14:paraId="1501E98A" w14:textId="77777777" w:rsidTr="00512288">
        <w:trPr>
          <w:trHeight w:val="153"/>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46829900"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double" w:sz="6" w:space="0" w:color="auto"/>
              <w:left w:val="single" w:sz="8" w:space="0" w:color="auto"/>
              <w:bottom w:val="double" w:sz="6" w:space="0" w:color="000000"/>
              <w:right w:val="single" w:sz="8" w:space="0" w:color="auto"/>
            </w:tcBorders>
            <w:shd w:val="clear" w:color="auto" w:fill="auto"/>
            <w:vAlign w:val="center"/>
            <w:hideMark/>
          </w:tcPr>
          <w:p w14:paraId="1B3466C0"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44568DBF"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4788A27E"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5FCE87E6"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74500</w:t>
            </w:r>
          </w:p>
        </w:tc>
        <w:tc>
          <w:tcPr>
            <w:tcW w:w="1597" w:type="dxa"/>
            <w:tcBorders>
              <w:top w:val="nil"/>
              <w:left w:val="nil"/>
              <w:bottom w:val="single" w:sz="8" w:space="0" w:color="auto"/>
              <w:right w:val="single" w:sz="8" w:space="0" w:color="auto"/>
            </w:tcBorders>
            <w:shd w:val="clear" w:color="auto" w:fill="auto"/>
            <w:vAlign w:val="center"/>
            <w:hideMark/>
          </w:tcPr>
          <w:p w14:paraId="11407160"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Miscellaneous</w:t>
            </w:r>
          </w:p>
        </w:tc>
        <w:tc>
          <w:tcPr>
            <w:tcW w:w="935" w:type="dxa"/>
            <w:tcBorders>
              <w:top w:val="nil"/>
              <w:left w:val="nil"/>
              <w:bottom w:val="single" w:sz="8" w:space="0" w:color="auto"/>
              <w:right w:val="single" w:sz="8" w:space="0" w:color="auto"/>
            </w:tcBorders>
            <w:shd w:val="clear" w:color="auto" w:fill="auto"/>
            <w:noWrap/>
            <w:vAlign w:val="center"/>
            <w:hideMark/>
          </w:tcPr>
          <w:p w14:paraId="704A3C26"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10,000</w:t>
            </w:r>
          </w:p>
        </w:tc>
        <w:tc>
          <w:tcPr>
            <w:tcW w:w="996" w:type="dxa"/>
            <w:tcBorders>
              <w:top w:val="nil"/>
              <w:left w:val="nil"/>
              <w:bottom w:val="single" w:sz="8" w:space="0" w:color="auto"/>
              <w:right w:val="single" w:sz="8" w:space="0" w:color="auto"/>
            </w:tcBorders>
            <w:shd w:val="clear" w:color="auto" w:fill="auto"/>
            <w:noWrap/>
            <w:vAlign w:val="center"/>
            <w:hideMark/>
          </w:tcPr>
          <w:p w14:paraId="6AF27A8F"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10,000</w:t>
            </w:r>
          </w:p>
        </w:tc>
        <w:tc>
          <w:tcPr>
            <w:tcW w:w="925" w:type="dxa"/>
            <w:tcBorders>
              <w:top w:val="nil"/>
              <w:left w:val="nil"/>
              <w:bottom w:val="single" w:sz="8" w:space="0" w:color="auto"/>
              <w:right w:val="single" w:sz="8" w:space="0" w:color="auto"/>
            </w:tcBorders>
            <w:shd w:val="clear" w:color="auto" w:fill="auto"/>
            <w:noWrap/>
            <w:vAlign w:val="center"/>
            <w:hideMark/>
          </w:tcPr>
          <w:p w14:paraId="7354AA6B"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10,000</w:t>
            </w:r>
          </w:p>
        </w:tc>
        <w:tc>
          <w:tcPr>
            <w:tcW w:w="925" w:type="dxa"/>
            <w:tcBorders>
              <w:top w:val="nil"/>
              <w:left w:val="nil"/>
              <w:bottom w:val="single" w:sz="8" w:space="0" w:color="auto"/>
              <w:right w:val="single" w:sz="8" w:space="0" w:color="auto"/>
            </w:tcBorders>
            <w:shd w:val="clear" w:color="auto" w:fill="auto"/>
            <w:noWrap/>
            <w:vAlign w:val="center"/>
            <w:hideMark/>
          </w:tcPr>
          <w:p w14:paraId="121ACF6C"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10,000</w:t>
            </w:r>
          </w:p>
        </w:tc>
        <w:tc>
          <w:tcPr>
            <w:tcW w:w="925" w:type="dxa"/>
            <w:tcBorders>
              <w:top w:val="nil"/>
              <w:left w:val="nil"/>
              <w:bottom w:val="single" w:sz="8" w:space="0" w:color="auto"/>
              <w:right w:val="single" w:sz="8" w:space="0" w:color="auto"/>
            </w:tcBorders>
            <w:shd w:val="clear" w:color="auto" w:fill="auto"/>
            <w:noWrap/>
            <w:vAlign w:val="center"/>
            <w:hideMark/>
          </w:tcPr>
          <w:p w14:paraId="29942226"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10,000</w:t>
            </w:r>
          </w:p>
        </w:tc>
        <w:tc>
          <w:tcPr>
            <w:tcW w:w="925" w:type="dxa"/>
            <w:tcBorders>
              <w:top w:val="nil"/>
              <w:left w:val="nil"/>
              <w:bottom w:val="single" w:sz="8" w:space="0" w:color="auto"/>
              <w:right w:val="single" w:sz="8" w:space="0" w:color="auto"/>
            </w:tcBorders>
            <w:shd w:val="clear" w:color="auto" w:fill="auto"/>
            <w:vAlign w:val="center"/>
            <w:hideMark/>
          </w:tcPr>
          <w:p w14:paraId="32EEE35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10,000</w:t>
            </w:r>
          </w:p>
        </w:tc>
        <w:tc>
          <w:tcPr>
            <w:tcW w:w="1244" w:type="dxa"/>
            <w:tcBorders>
              <w:top w:val="nil"/>
              <w:left w:val="nil"/>
              <w:bottom w:val="single" w:sz="8" w:space="0" w:color="auto"/>
              <w:right w:val="single" w:sz="8" w:space="0" w:color="auto"/>
            </w:tcBorders>
            <w:shd w:val="clear" w:color="auto" w:fill="auto"/>
            <w:noWrap/>
            <w:vAlign w:val="center"/>
            <w:hideMark/>
          </w:tcPr>
          <w:p w14:paraId="1193A0A0"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60,000</w:t>
            </w:r>
          </w:p>
        </w:tc>
        <w:tc>
          <w:tcPr>
            <w:tcW w:w="844" w:type="dxa"/>
            <w:tcBorders>
              <w:top w:val="nil"/>
              <w:left w:val="nil"/>
              <w:bottom w:val="single" w:sz="8" w:space="0" w:color="auto"/>
              <w:right w:val="single" w:sz="8" w:space="0" w:color="auto"/>
            </w:tcBorders>
            <w:shd w:val="clear" w:color="auto" w:fill="auto"/>
            <w:vAlign w:val="center"/>
            <w:hideMark/>
          </w:tcPr>
          <w:p w14:paraId="6785D9D0" w14:textId="24AAE4FF" w:rsidR="001F45CE" w:rsidRPr="00913CCF" w:rsidRDefault="00096659" w:rsidP="001F45CE">
            <w:pPr>
              <w:spacing w:after="0"/>
              <w:jc w:val="center"/>
              <w:rPr>
                <w:rFonts w:eastAsia="Times New Roman" w:cs="Calibri"/>
                <w:i/>
                <w:iCs/>
                <w:color w:val="000000"/>
                <w:sz w:val="16"/>
                <w:szCs w:val="16"/>
              </w:rPr>
            </w:pPr>
            <w:r>
              <w:rPr>
                <w:rFonts w:eastAsia="Times New Roman" w:cs="Calibri"/>
                <w:i/>
                <w:iCs/>
                <w:color w:val="000000"/>
                <w:sz w:val="16"/>
                <w:szCs w:val="16"/>
              </w:rPr>
              <w:t>8</w:t>
            </w:r>
          </w:p>
        </w:tc>
      </w:tr>
      <w:tr w:rsidR="001F45CE" w:rsidRPr="00913CCF" w14:paraId="7FBEFD1C" w14:textId="77777777" w:rsidTr="00512288">
        <w:trPr>
          <w:trHeight w:val="293"/>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056918F8"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double" w:sz="6" w:space="0" w:color="auto"/>
              <w:left w:val="single" w:sz="8" w:space="0" w:color="auto"/>
              <w:bottom w:val="double" w:sz="6" w:space="0" w:color="000000"/>
              <w:right w:val="single" w:sz="8" w:space="0" w:color="auto"/>
            </w:tcBorders>
            <w:shd w:val="clear" w:color="auto" w:fill="auto"/>
            <w:vAlign w:val="center"/>
            <w:hideMark/>
          </w:tcPr>
          <w:p w14:paraId="2BEFA0A9"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22F34093"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6900FE53"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double" w:sz="4" w:space="0" w:color="auto"/>
              <w:right w:val="single" w:sz="8" w:space="0" w:color="auto"/>
            </w:tcBorders>
            <w:shd w:val="clear" w:color="auto" w:fill="auto"/>
            <w:noWrap/>
            <w:vAlign w:val="center"/>
            <w:hideMark/>
          </w:tcPr>
          <w:p w14:paraId="66299576"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75700</w:t>
            </w:r>
          </w:p>
        </w:tc>
        <w:tc>
          <w:tcPr>
            <w:tcW w:w="1597" w:type="dxa"/>
            <w:tcBorders>
              <w:top w:val="nil"/>
              <w:left w:val="nil"/>
              <w:bottom w:val="double" w:sz="4" w:space="0" w:color="auto"/>
              <w:right w:val="single" w:sz="8" w:space="0" w:color="auto"/>
            </w:tcBorders>
            <w:shd w:val="clear" w:color="auto" w:fill="auto"/>
            <w:vAlign w:val="center"/>
            <w:hideMark/>
          </w:tcPr>
          <w:p w14:paraId="6457AB81"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 xml:space="preserve">Train </w:t>
            </w:r>
            <w:proofErr w:type="spellStart"/>
            <w:r w:rsidRPr="00913CCF">
              <w:rPr>
                <w:rFonts w:eastAsia="Times New Roman" w:cs="Calibri"/>
                <w:color w:val="000000"/>
                <w:sz w:val="16"/>
                <w:szCs w:val="16"/>
              </w:rPr>
              <w:t>worksh</w:t>
            </w:r>
            <w:proofErr w:type="spellEnd"/>
            <w:r w:rsidRPr="00913CCF">
              <w:rPr>
                <w:rFonts w:eastAsia="Times New Roman" w:cs="Calibri"/>
                <w:color w:val="000000"/>
                <w:sz w:val="16"/>
                <w:szCs w:val="16"/>
              </w:rPr>
              <w:t xml:space="preserve"> conf</w:t>
            </w:r>
          </w:p>
        </w:tc>
        <w:tc>
          <w:tcPr>
            <w:tcW w:w="935" w:type="dxa"/>
            <w:tcBorders>
              <w:top w:val="nil"/>
              <w:left w:val="nil"/>
              <w:bottom w:val="double" w:sz="4" w:space="0" w:color="auto"/>
              <w:right w:val="single" w:sz="8" w:space="0" w:color="auto"/>
            </w:tcBorders>
            <w:shd w:val="clear" w:color="auto" w:fill="auto"/>
            <w:noWrap/>
            <w:vAlign w:val="center"/>
            <w:hideMark/>
          </w:tcPr>
          <w:p w14:paraId="125B5353"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6,100</w:t>
            </w:r>
          </w:p>
        </w:tc>
        <w:tc>
          <w:tcPr>
            <w:tcW w:w="996" w:type="dxa"/>
            <w:tcBorders>
              <w:top w:val="nil"/>
              <w:left w:val="nil"/>
              <w:bottom w:val="double" w:sz="4" w:space="0" w:color="auto"/>
              <w:right w:val="single" w:sz="8" w:space="0" w:color="auto"/>
            </w:tcBorders>
            <w:shd w:val="clear" w:color="auto" w:fill="auto"/>
            <w:noWrap/>
            <w:vAlign w:val="center"/>
            <w:hideMark/>
          </w:tcPr>
          <w:p w14:paraId="54985A5D"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8,700</w:t>
            </w:r>
          </w:p>
        </w:tc>
        <w:tc>
          <w:tcPr>
            <w:tcW w:w="925" w:type="dxa"/>
            <w:tcBorders>
              <w:top w:val="nil"/>
              <w:left w:val="nil"/>
              <w:bottom w:val="double" w:sz="4" w:space="0" w:color="auto"/>
              <w:right w:val="single" w:sz="8" w:space="0" w:color="auto"/>
            </w:tcBorders>
            <w:shd w:val="clear" w:color="auto" w:fill="auto"/>
            <w:noWrap/>
            <w:vAlign w:val="center"/>
            <w:hideMark/>
          </w:tcPr>
          <w:p w14:paraId="73CF7900"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3,200</w:t>
            </w:r>
          </w:p>
        </w:tc>
        <w:tc>
          <w:tcPr>
            <w:tcW w:w="925" w:type="dxa"/>
            <w:tcBorders>
              <w:top w:val="nil"/>
              <w:left w:val="nil"/>
              <w:bottom w:val="double" w:sz="4" w:space="0" w:color="auto"/>
              <w:right w:val="single" w:sz="8" w:space="0" w:color="auto"/>
            </w:tcBorders>
            <w:shd w:val="clear" w:color="auto" w:fill="auto"/>
            <w:noWrap/>
            <w:vAlign w:val="center"/>
            <w:hideMark/>
          </w:tcPr>
          <w:p w14:paraId="7961DF5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2,200</w:t>
            </w:r>
          </w:p>
        </w:tc>
        <w:tc>
          <w:tcPr>
            <w:tcW w:w="925" w:type="dxa"/>
            <w:tcBorders>
              <w:top w:val="nil"/>
              <w:left w:val="nil"/>
              <w:bottom w:val="double" w:sz="4" w:space="0" w:color="auto"/>
              <w:right w:val="single" w:sz="8" w:space="0" w:color="auto"/>
            </w:tcBorders>
            <w:shd w:val="clear" w:color="auto" w:fill="auto"/>
            <w:noWrap/>
            <w:vAlign w:val="center"/>
            <w:hideMark/>
          </w:tcPr>
          <w:p w14:paraId="3AC14367"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2,200</w:t>
            </w:r>
          </w:p>
        </w:tc>
        <w:tc>
          <w:tcPr>
            <w:tcW w:w="925" w:type="dxa"/>
            <w:tcBorders>
              <w:top w:val="nil"/>
              <w:left w:val="nil"/>
              <w:bottom w:val="double" w:sz="4" w:space="0" w:color="auto"/>
              <w:right w:val="single" w:sz="8" w:space="0" w:color="auto"/>
            </w:tcBorders>
            <w:shd w:val="clear" w:color="auto" w:fill="auto"/>
            <w:vAlign w:val="center"/>
            <w:hideMark/>
          </w:tcPr>
          <w:p w14:paraId="23438E93"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2,200</w:t>
            </w:r>
          </w:p>
        </w:tc>
        <w:tc>
          <w:tcPr>
            <w:tcW w:w="1244" w:type="dxa"/>
            <w:tcBorders>
              <w:top w:val="nil"/>
              <w:left w:val="nil"/>
              <w:bottom w:val="double" w:sz="4" w:space="0" w:color="auto"/>
              <w:right w:val="single" w:sz="8" w:space="0" w:color="auto"/>
            </w:tcBorders>
            <w:shd w:val="clear" w:color="auto" w:fill="auto"/>
            <w:noWrap/>
            <w:vAlign w:val="center"/>
            <w:hideMark/>
          </w:tcPr>
          <w:p w14:paraId="71C1742B"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24,600</w:t>
            </w:r>
          </w:p>
        </w:tc>
        <w:tc>
          <w:tcPr>
            <w:tcW w:w="844" w:type="dxa"/>
            <w:tcBorders>
              <w:top w:val="nil"/>
              <w:left w:val="nil"/>
              <w:bottom w:val="double" w:sz="4" w:space="0" w:color="auto"/>
              <w:right w:val="single" w:sz="8" w:space="0" w:color="auto"/>
            </w:tcBorders>
            <w:shd w:val="clear" w:color="auto" w:fill="auto"/>
            <w:vAlign w:val="center"/>
            <w:hideMark/>
          </w:tcPr>
          <w:p w14:paraId="25927C80" w14:textId="1BE42F2D" w:rsidR="001F45CE" w:rsidRPr="00913CCF" w:rsidRDefault="00096659" w:rsidP="001F45CE">
            <w:pPr>
              <w:spacing w:after="0"/>
              <w:jc w:val="center"/>
              <w:rPr>
                <w:rFonts w:eastAsia="Times New Roman" w:cs="Calibri"/>
                <w:i/>
                <w:iCs/>
                <w:color w:val="000000"/>
                <w:sz w:val="16"/>
                <w:szCs w:val="16"/>
              </w:rPr>
            </w:pPr>
            <w:r>
              <w:rPr>
                <w:rFonts w:eastAsia="Times New Roman" w:cs="Calibri"/>
                <w:i/>
                <w:iCs/>
                <w:color w:val="000000"/>
                <w:sz w:val="16"/>
                <w:szCs w:val="16"/>
              </w:rPr>
              <w:t>9</w:t>
            </w:r>
          </w:p>
        </w:tc>
      </w:tr>
      <w:tr w:rsidR="00BE7FC4" w:rsidRPr="00913CCF" w14:paraId="69DA5836" w14:textId="77777777" w:rsidTr="00512288">
        <w:trPr>
          <w:trHeight w:val="20"/>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5D01075E" w14:textId="77777777" w:rsidR="00BE7FC4" w:rsidRPr="00913CCF" w:rsidRDefault="00BE7FC4" w:rsidP="001F45CE">
            <w:pPr>
              <w:spacing w:after="0"/>
              <w:jc w:val="left"/>
              <w:rPr>
                <w:rFonts w:eastAsia="Times New Roman" w:cs="Calibri"/>
                <w:b/>
                <w:bCs/>
                <w:color w:val="000000"/>
                <w:sz w:val="16"/>
                <w:szCs w:val="16"/>
              </w:rPr>
            </w:pPr>
          </w:p>
        </w:tc>
        <w:tc>
          <w:tcPr>
            <w:tcW w:w="1267" w:type="dxa"/>
            <w:vMerge/>
            <w:tcBorders>
              <w:top w:val="double" w:sz="6" w:space="0" w:color="auto"/>
              <w:left w:val="single" w:sz="8" w:space="0" w:color="auto"/>
              <w:bottom w:val="double" w:sz="6" w:space="0" w:color="000000"/>
              <w:right w:val="single" w:sz="8" w:space="0" w:color="auto"/>
            </w:tcBorders>
            <w:shd w:val="clear" w:color="auto" w:fill="auto"/>
            <w:vAlign w:val="center"/>
            <w:hideMark/>
          </w:tcPr>
          <w:p w14:paraId="0B848615" w14:textId="77777777" w:rsidR="00BE7FC4" w:rsidRPr="00913CCF" w:rsidRDefault="00BE7FC4"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76187A70" w14:textId="77777777" w:rsidR="00BE7FC4" w:rsidRPr="00913CCF" w:rsidRDefault="00BE7FC4"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241E1E57" w14:textId="77777777" w:rsidR="00BE7FC4" w:rsidRPr="00913CCF" w:rsidRDefault="00BE7FC4" w:rsidP="001F45CE">
            <w:pPr>
              <w:spacing w:after="0"/>
              <w:jc w:val="left"/>
              <w:rPr>
                <w:rFonts w:eastAsia="Times New Roman" w:cs="Calibri"/>
                <w:b/>
                <w:bCs/>
                <w:color w:val="000000"/>
                <w:sz w:val="16"/>
                <w:szCs w:val="16"/>
              </w:rPr>
            </w:pPr>
          </w:p>
        </w:tc>
        <w:tc>
          <w:tcPr>
            <w:tcW w:w="2498" w:type="dxa"/>
            <w:gridSpan w:val="2"/>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4017E4BB" w14:textId="79B7CE31" w:rsidR="00BE7FC4" w:rsidRPr="00913CCF" w:rsidRDefault="00BE7FC4" w:rsidP="00F8089A">
            <w:pPr>
              <w:spacing w:after="0"/>
              <w:jc w:val="right"/>
              <w:rPr>
                <w:rFonts w:eastAsia="Times New Roman" w:cs="Calibri"/>
                <w:b/>
                <w:bCs/>
                <w:color w:val="000000"/>
                <w:sz w:val="15"/>
                <w:szCs w:val="15"/>
              </w:rPr>
            </w:pPr>
            <w:r w:rsidRPr="00913CCF">
              <w:rPr>
                <w:rFonts w:eastAsia="Times New Roman" w:cs="Calibri"/>
                <w:b/>
                <w:bCs/>
                <w:color w:val="000000"/>
                <w:sz w:val="15"/>
                <w:szCs w:val="15"/>
              </w:rPr>
              <w:t xml:space="preserve">Sub-total </w:t>
            </w:r>
            <w:r>
              <w:rPr>
                <w:rFonts w:eastAsia="Times New Roman" w:cs="Calibri"/>
                <w:b/>
                <w:bCs/>
                <w:color w:val="000000"/>
                <w:sz w:val="15"/>
                <w:szCs w:val="15"/>
              </w:rPr>
              <w:t>GEF</w:t>
            </w:r>
          </w:p>
        </w:tc>
        <w:tc>
          <w:tcPr>
            <w:tcW w:w="93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6FAEB545" w14:textId="264C27A7" w:rsidR="00BE7FC4" w:rsidRPr="00EF6D8E" w:rsidRDefault="00BE7FC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101,775</w:t>
            </w:r>
          </w:p>
        </w:tc>
        <w:tc>
          <w:tcPr>
            <w:tcW w:w="996"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1C6D0204" w14:textId="77777777" w:rsidR="00BE7FC4" w:rsidRPr="00913CCF" w:rsidRDefault="00BE7FC4"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239,250</w:t>
            </w:r>
          </w:p>
        </w:tc>
        <w:tc>
          <w:tcPr>
            <w:tcW w:w="92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1CF3274D" w14:textId="77777777" w:rsidR="00BE7FC4" w:rsidRPr="00913CCF" w:rsidRDefault="00BE7FC4"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66,000</w:t>
            </w:r>
          </w:p>
        </w:tc>
        <w:tc>
          <w:tcPr>
            <w:tcW w:w="92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37377244" w14:textId="77777777" w:rsidR="00BE7FC4" w:rsidRPr="00913CCF" w:rsidRDefault="00BE7FC4"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39,900</w:t>
            </w:r>
          </w:p>
        </w:tc>
        <w:tc>
          <w:tcPr>
            <w:tcW w:w="92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65276481" w14:textId="77777777" w:rsidR="00BE7FC4" w:rsidRPr="00913CCF" w:rsidRDefault="00BE7FC4"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28,100</w:t>
            </w:r>
          </w:p>
        </w:tc>
        <w:tc>
          <w:tcPr>
            <w:tcW w:w="925" w:type="dxa"/>
            <w:tcBorders>
              <w:top w:val="double" w:sz="4" w:space="0" w:color="auto"/>
              <w:left w:val="nil"/>
              <w:bottom w:val="double" w:sz="6" w:space="0" w:color="auto"/>
              <w:right w:val="single" w:sz="8" w:space="0" w:color="auto"/>
            </w:tcBorders>
            <w:shd w:val="clear" w:color="auto" w:fill="B4C6E7" w:themeFill="accent1" w:themeFillTint="66"/>
            <w:vAlign w:val="center"/>
            <w:hideMark/>
          </w:tcPr>
          <w:p w14:paraId="3347A5D8" w14:textId="77777777" w:rsidR="00BE7FC4" w:rsidRPr="00913CCF" w:rsidRDefault="00BE7FC4"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46,700</w:t>
            </w:r>
          </w:p>
        </w:tc>
        <w:tc>
          <w:tcPr>
            <w:tcW w:w="1244"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5EB22868" w14:textId="529A0044" w:rsidR="00BE7FC4" w:rsidRPr="00EF6D8E" w:rsidRDefault="00BE7FC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521,725</w:t>
            </w:r>
          </w:p>
        </w:tc>
        <w:tc>
          <w:tcPr>
            <w:tcW w:w="844" w:type="dxa"/>
            <w:tcBorders>
              <w:top w:val="double" w:sz="4" w:space="0" w:color="auto"/>
              <w:left w:val="nil"/>
              <w:bottom w:val="double" w:sz="6" w:space="0" w:color="auto"/>
              <w:right w:val="single" w:sz="8" w:space="0" w:color="auto"/>
            </w:tcBorders>
            <w:shd w:val="clear" w:color="auto" w:fill="B4C6E7" w:themeFill="accent1" w:themeFillTint="66"/>
            <w:vAlign w:val="center"/>
            <w:hideMark/>
          </w:tcPr>
          <w:p w14:paraId="73C50EEC" w14:textId="77777777" w:rsidR="00BE7FC4" w:rsidRPr="00913CCF" w:rsidRDefault="00BE7FC4" w:rsidP="001F45CE">
            <w:pPr>
              <w:spacing w:after="0"/>
              <w:jc w:val="left"/>
              <w:rPr>
                <w:rFonts w:eastAsia="Times New Roman" w:cs="Calibri"/>
                <w:color w:val="000000"/>
                <w:sz w:val="22"/>
                <w:szCs w:val="22"/>
              </w:rPr>
            </w:pPr>
            <w:r w:rsidRPr="00913CCF">
              <w:rPr>
                <w:rFonts w:eastAsia="Times New Roman" w:cs="Calibri"/>
                <w:color w:val="000000"/>
                <w:sz w:val="22"/>
                <w:szCs w:val="22"/>
              </w:rPr>
              <w:t> </w:t>
            </w:r>
          </w:p>
        </w:tc>
      </w:tr>
      <w:tr w:rsidR="001F45CE" w:rsidRPr="00913CCF" w14:paraId="5326BB4F" w14:textId="77777777" w:rsidTr="00512288">
        <w:trPr>
          <w:trHeight w:val="207"/>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7876FFC8" w14:textId="77777777" w:rsidR="001F45CE" w:rsidRPr="00913CCF" w:rsidRDefault="001F45CE" w:rsidP="001F45CE">
            <w:pPr>
              <w:spacing w:after="0"/>
              <w:jc w:val="left"/>
              <w:rPr>
                <w:rFonts w:eastAsia="Times New Roman" w:cs="Calibri"/>
                <w:b/>
                <w:bCs/>
                <w:color w:val="000000"/>
                <w:sz w:val="16"/>
                <w:szCs w:val="16"/>
              </w:rPr>
            </w:pPr>
          </w:p>
        </w:tc>
        <w:tc>
          <w:tcPr>
            <w:tcW w:w="1267" w:type="dxa"/>
            <w:vMerge w:val="restart"/>
            <w:tcBorders>
              <w:top w:val="nil"/>
              <w:left w:val="single" w:sz="8" w:space="0" w:color="auto"/>
              <w:bottom w:val="double" w:sz="6" w:space="0" w:color="000000"/>
              <w:right w:val="single" w:sz="8" w:space="0" w:color="auto"/>
            </w:tcBorders>
            <w:shd w:val="clear" w:color="auto" w:fill="auto"/>
            <w:vAlign w:val="center"/>
            <w:hideMark/>
          </w:tcPr>
          <w:p w14:paraId="083F98A4"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UNDP</w:t>
            </w:r>
          </w:p>
        </w:tc>
        <w:tc>
          <w:tcPr>
            <w:tcW w:w="713" w:type="dxa"/>
            <w:vMerge w:val="restart"/>
            <w:tcBorders>
              <w:top w:val="nil"/>
              <w:left w:val="single" w:sz="8" w:space="0" w:color="auto"/>
              <w:bottom w:val="double" w:sz="6" w:space="0" w:color="000000"/>
              <w:right w:val="single" w:sz="8" w:space="0" w:color="auto"/>
            </w:tcBorders>
            <w:shd w:val="clear" w:color="auto" w:fill="auto"/>
            <w:vAlign w:val="center"/>
            <w:hideMark/>
          </w:tcPr>
          <w:p w14:paraId="0ACF7E29" w14:textId="67F32F94"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04000</w:t>
            </w:r>
          </w:p>
        </w:tc>
        <w:tc>
          <w:tcPr>
            <w:tcW w:w="632" w:type="dxa"/>
            <w:vMerge w:val="restart"/>
            <w:tcBorders>
              <w:top w:val="nil"/>
              <w:left w:val="single" w:sz="8" w:space="0" w:color="auto"/>
              <w:bottom w:val="double" w:sz="6" w:space="0" w:color="000000"/>
              <w:right w:val="single" w:sz="8" w:space="0" w:color="auto"/>
            </w:tcBorders>
            <w:shd w:val="clear" w:color="auto" w:fill="auto"/>
            <w:vAlign w:val="center"/>
            <w:hideMark/>
          </w:tcPr>
          <w:p w14:paraId="55278F4F"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TRAC</w:t>
            </w:r>
          </w:p>
        </w:tc>
        <w:tc>
          <w:tcPr>
            <w:tcW w:w="901" w:type="dxa"/>
            <w:tcBorders>
              <w:top w:val="nil"/>
              <w:left w:val="nil"/>
              <w:bottom w:val="single" w:sz="8" w:space="0" w:color="auto"/>
              <w:right w:val="single" w:sz="8" w:space="0" w:color="auto"/>
            </w:tcBorders>
            <w:shd w:val="clear" w:color="auto" w:fill="auto"/>
            <w:noWrap/>
            <w:vAlign w:val="center"/>
            <w:hideMark/>
          </w:tcPr>
          <w:p w14:paraId="69B1AE2D"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71600</w:t>
            </w:r>
          </w:p>
        </w:tc>
        <w:tc>
          <w:tcPr>
            <w:tcW w:w="1597" w:type="dxa"/>
            <w:tcBorders>
              <w:top w:val="nil"/>
              <w:left w:val="nil"/>
              <w:bottom w:val="single" w:sz="8" w:space="0" w:color="auto"/>
              <w:right w:val="single" w:sz="8" w:space="0" w:color="auto"/>
            </w:tcBorders>
            <w:shd w:val="clear" w:color="auto" w:fill="auto"/>
            <w:vAlign w:val="center"/>
            <w:hideMark/>
          </w:tcPr>
          <w:p w14:paraId="6073E470"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bCs/>
                <w:color w:val="000000"/>
                <w:sz w:val="16"/>
                <w:szCs w:val="16"/>
              </w:rPr>
              <w:t>Travel</w:t>
            </w:r>
          </w:p>
        </w:tc>
        <w:tc>
          <w:tcPr>
            <w:tcW w:w="935" w:type="dxa"/>
            <w:tcBorders>
              <w:top w:val="nil"/>
              <w:left w:val="nil"/>
              <w:bottom w:val="single" w:sz="8" w:space="0" w:color="auto"/>
              <w:right w:val="single" w:sz="8" w:space="0" w:color="auto"/>
            </w:tcBorders>
            <w:shd w:val="clear" w:color="auto" w:fill="auto"/>
            <w:noWrap/>
            <w:vAlign w:val="center"/>
            <w:hideMark/>
          </w:tcPr>
          <w:p w14:paraId="590F92B3"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96" w:type="dxa"/>
            <w:tcBorders>
              <w:top w:val="nil"/>
              <w:left w:val="nil"/>
              <w:bottom w:val="single" w:sz="8" w:space="0" w:color="auto"/>
              <w:right w:val="single" w:sz="8" w:space="0" w:color="auto"/>
            </w:tcBorders>
            <w:shd w:val="clear" w:color="auto" w:fill="auto"/>
            <w:noWrap/>
            <w:vAlign w:val="center"/>
            <w:hideMark/>
          </w:tcPr>
          <w:p w14:paraId="457BBA17"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nil"/>
              <w:left w:val="nil"/>
              <w:bottom w:val="single" w:sz="8" w:space="0" w:color="auto"/>
              <w:right w:val="single" w:sz="8" w:space="0" w:color="auto"/>
            </w:tcBorders>
            <w:shd w:val="clear" w:color="auto" w:fill="auto"/>
            <w:noWrap/>
            <w:vAlign w:val="center"/>
            <w:hideMark/>
          </w:tcPr>
          <w:p w14:paraId="369ECEC3"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nil"/>
              <w:left w:val="nil"/>
              <w:bottom w:val="single" w:sz="8" w:space="0" w:color="auto"/>
              <w:right w:val="single" w:sz="8" w:space="0" w:color="auto"/>
            </w:tcBorders>
            <w:shd w:val="clear" w:color="auto" w:fill="auto"/>
            <w:noWrap/>
            <w:vAlign w:val="center"/>
            <w:hideMark/>
          </w:tcPr>
          <w:p w14:paraId="056ED07B"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nil"/>
              <w:left w:val="nil"/>
              <w:bottom w:val="single" w:sz="8" w:space="0" w:color="auto"/>
              <w:right w:val="single" w:sz="8" w:space="0" w:color="auto"/>
            </w:tcBorders>
            <w:shd w:val="clear" w:color="auto" w:fill="auto"/>
            <w:noWrap/>
            <w:vAlign w:val="center"/>
            <w:hideMark/>
          </w:tcPr>
          <w:p w14:paraId="0740B6A9"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nil"/>
              <w:left w:val="nil"/>
              <w:bottom w:val="single" w:sz="8" w:space="0" w:color="auto"/>
              <w:right w:val="single" w:sz="8" w:space="0" w:color="auto"/>
            </w:tcBorders>
            <w:shd w:val="clear" w:color="auto" w:fill="auto"/>
            <w:vAlign w:val="center"/>
            <w:hideMark/>
          </w:tcPr>
          <w:p w14:paraId="58AC18CE"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1244" w:type="dxa"/>
            <w:tcBorders>
              <w:top w:val="nil"/>
              <w:left w:val="nil"/>
              <w:bottom w:val="single" w:sz="8" w:space="0" w:color="auto"/>
              <w:right w:val="single" w:sz="8" w:space="0" w:color="auto"/>
            </w:tcBorders>
            <w:shd w:val="clear" w:color="auto" w:fill="auto"/>
            <w:noWrap/>
            <w:vAlign w:val="center"/>
            <w:hideMark/>
          </w:tcPr>
          <w:p w14:paraId="5D408581"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12,000</w:t>
            </w:r>
          </w:p>
        </w:tc>
        <w:tc>
          <w:tcPr>
            <w:tcW w:w="844" w:type="dxa"/>
            <w:tcBorders>
              <w:top w:val="nil"/>
              <w:left w:val="nil"/>
              <w:bottom w:val="single" w:sz="8" w:space="0" w:color="auto"/>
              <w:right w:val="single" w:sz="8" w:space="0" w:color="auto"/>
            </w:tcBorders>
            <w:shd w:val="clear" w:color="auto" w:fill="auto"/>
            <w:vAlign w:val="center"/>
            <w:hideMark/>
          </w:tcPr>
          <w:p w14:paraId="0F4E8A92" w14:textId="524AAE81"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1</w:t>
            </w:r>
            <w:r w:rsidR="00096659">
              <w:rPr>
                <w:rFonts w:eastAsia="Times New Roman" w:cs="Calibri"/>
                <w:i/>
                <w:iCs/>
                <w:color w:val="000000"/>
                <w:sz w:val="16"/>
                <w:szCs w:val="16"/>
              </w:rPr>
              <w:t>0</w:t>
            </w:r>
          </w:p>
        </w:tc>
      </w:tr>
      <w:tr w:rsidR="001F45CE" w:rsidRPr="00913CCF" w14:paraId="176AA18A" w14:textId="77777777" w:rsidTr="00512288">
        <w:trPr>
          <w:trHeight w:val="135"/>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0FECAF5A"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060FC785"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2665F928"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31144415"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71849738"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71400</w:t>
            </w:r>
          </w:p>
        </w:tc>
        <w:tc>
          <w:tcPr>
            <w:tcW w:w="1597" w:type="dxa"/>
            <w:tcBorders>
              <w:top w:val="nil"/>
              <w:left w:val="nil"/>
              <w:bottom w:val="single" w:sz="8" w:space="0" w:color="auto"/>
              <w:right w:val="single" w:sz="8" w:space="0" w:color="auto"/>
            </w:tcBorders>
            <w:shd w:val="clear" w:color="auto" w:fill="auto"/>
            <w:vAlign w:val="center"/>
            <w:hideMark/>
          </w:tcPr>
          <w:p w14:paraId="06AA2506"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Contr. serv. Ind.</w:t>
            </w:r>
          </w:p>
        </w:tc>
        <w:tc>
          <w:tcPr>
            <w:tcW w:w="935" w:type="dxa"/>
            <w:tcBorders>
              <w:top w:val="nil"/>
              <w:left w:val="nil"/>
              <w:bottom w:val="single" w:sz="8" w:space="0" w:color="auto"/>
              <w:right w:val="single" w:sz="8" w:space="0" w:color="auto"/>
            </w:tcBorders>
            <w:shd w:val="clear" w:color="auto" w:fill="auto"/>
            <w:noWrap/>
            <w:vAlign w:val="center"/>
            <w:hideMark/>
          </w:tcPr>
          <w:p w14:paraId="485B1D63"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96" w:type="dxa"/>
            <w:tcBorders>
              <w:top w:val="nil"/>
              <w:left w:val="nil"/>
              <w:bottom w:val="single" w:sz="8" w:space="0" w:color="auto"/>
              <w:right w:val="single" w:sz="8" w:space="0" w:color="auto"/>
            </w:tcBorders>
            <w:shd w:val="clear" w:color="auto" w:fill="auto"/>
            <w:noWrap/>
            <w:vAlign w:val="center"/>
            <w:hideMark/>
          </w:tcPr>
          <w:p w14:paraId="6A83405F"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noWrap/>
            <w:vAlign w:val="center"/>
            <w:hideMark/>
          </w:tcPr>
          <w:p w14:paraId="48495B7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noWrap/>
            <w:vAlign w:val="center"/>
            <w:hideMark/>
          </w:tcPr>
          <w:p w14:paraId="41460393"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noWrap/>
            <w:vAlign w:val="center"/>
            <w:hideMark/>
          </w:tcPr>
          <w:p w14:paraId="3603EC1B"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vAlign w:val="center"/>
            <w:hideMark/>
          </w:tcPr>
          <w:p w14:paraId="4F858925"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1244" w:type="dxa"/>
            <w:tcBorders>
              <w:top w:val="nil"/>
              <w:left w:val="nil"/>
              <w:bottom w:val="single" w:sz="8" w:space="0" w:color="auto"/>
              <w:right w:val="single" w:sz="8" w:space="0" w:color="auto"/>
            </w:tcBorders>
            <w:shd w:val="clear" w:color="auto" w:fill="auto"/>
            <w:noWrap/>
            <w:vAlign w:val="center"/>
            <w:hideMark/>
          </w:tcPr>
          <w:p w14:paraId="50EB3944"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37,500</w:t>
            </w:r>
          </w:p>
        </w:tc>
        <w:tc>
          <w:tcPr>
            <w:tcW w:w="844" w:type="dxa"/>
            <w:tcBorders>
              <w:top w:val="nil"/>
              <w:left w:val="nil"/>
              <w:bottom w:val="single" w:sz="8" w:space="0" w:color="auto"/>
              <w:right w:val="single" w:sz="8" w:space="0" w:color="auto"/>
            </w:tcBorders>
            <w:shd w:val="clear" w:color="auto" w:fill="auto"/>
            <w:vAlign w:val="center"/>
            <w:hideMark/>
          </w:tcPr>
          <w:p w14:paraId="6B00C3F6" w14:textId="4D100736"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1</w:t>
            </w:r>
            <w:r w:rsidR="00096659">
              <w:rPr>
                <w:rFonts w:eastAsia="Times New Roman" w:cs="Calibri"/>
                <w:i/>
                <w:iCs/>
                <w:color w:val="000000"/>
                <w:sz w:val="16"/>
                <w:szCs w:val="16"/>
              </w:rPr>
              <w:t>1</w:t>
            </w:r>
          </w:p>
        </w:tc>
      </w:tr>
      <w:tr w:rsidR="001F45CE" w:rsidRPr="00913CCF" w14:paraId="6884DC99" w14:textId="77777777" w:rsidTr="00512288">
        <w:trPr>
          <w:trHeight w:val="162"/>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70C3F7A2"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28FFED27"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7D39A8D6"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280F185F"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double" w:sz="4" w:space="0" w:color="auto"/>
              <w:right w:val="single" w:sz="8" w:space="0" w:color="auto"/>
            </w:tcBorders>
            <w:shd w:val="clear" w:color="auto" w:fill="auto"/>
            <w:noWrap/>
            <w:vAlign w:val="center"/>
            <w:hideMark/>
          </w:tcPr>
          <w:p w14:paraId="6626CD73"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72200</w:t>
            </w:r>
          </w:p>
        </w:tc>
        <w:tc>
          <w:tcPr>
            <w:tcW w:w="1597" w:type="dxa"/>
            <w:tcBorders>
              <w:top w:val="nil"/>
              <w:left w:val="nil"/>
              <w:bottom w:val="double" w:sz="4" w:space="0" w:color="auto"/>
              <w:right w:val="single" w:sz="8" w:space="0" w:color="auto"/>
            </w:tcBorders>
            <w:shd w:val="clear" w:color="auto" w:fill="auto"/>
            <w:vAlign w:val="center"/>
            <w:hideMark/>
          </w:tcPr>
          <w:p w14:paraId="79A4A5EA"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Equip. Furniture</w:t>
            </w:r>
          </w:p>
        </w:tc>
        <w:tc>
          <w:tcPr>
            <w:tcW w:w="935" w:type="dxa"/>
            <w:tcBorders>
              <w:top w:val="nil"/>
              <w:left w:val="nil"/>
              <w:bottom w:val="double" w:sz="4" w:space="0" w:color="auto"/>
              <w:right w:val="single" w:sz="8" w:space="0" w:color="auto"/>
            </w:tcBorders>
            <w:shd w:val="clear" w:color="auto" w:fill="auto"/>
            <w:noWrap/>
            <w:vAlign w:val="center"/>
            <w:hideMark/>
          </w:tcPr>
          <w:p w14:paraId="3C7E0CDA" w14:textId="79091F4B" w:rsidR="001F45CE" w:rsidRPr="00EF6D8E"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16,000</w:t>
            </w:r>
          </w:p>
        </w:tc>
        <w:tc>
          <w:tcPr>
            <w:tcW w:w="996" w:type="dxa"/>
            <w:tcBorders>
              <w:top w:val="nil"/>
              <w:left w:val="nil"/>
              <w:bottom w:val="double" w:sz="4" w:space="0" w:color="auto"/>
              <w:right w:val="single" w:sz="8" w:space="0" w:color="auto"/>
            </w:tcBorders>
            <w:shd w:val="clear" w:color="auto" w:fill="auto"/>
            <w:noWrap/>
            <w:vAlign w:val="center"/>
            <w:hideMark/>
          </w:tcPr>
          <w:p w14:paraId="4ABFD100" w14:textId="6E028458" w:rsidR="001F45CE" w:rsidRPr="00EF6D8E"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2,000</w:t>
            </w:r>
          </w:p>
        </w:tc>
        <w:tc>
          <w:tcPr>
            <w:tcW w:w="925" w:type="dxa"/>
            <w:tcBorders>
              <w:top w:val="nil"/>
              <w:left w:val="nil"/>
              <w:bottom w:val="double" w:sz="4" w:space="0" w:color="auto"/>
              <w:right w:val="single" w:sz="8" w:space="0" w:color="auto"/>
            </w:tcBorders>
            <w:shd w:val="clear" w:color="auto" w:fill="auto"/>
            <w:noWrap/>
            <w:vAlign w:val="center"/>
            <w:hideMark/>
          </w:tcPr>
          <w:p w14:paraId="3BC1C39E" w14:textId="719C06CC" w:rsidR="001F45CE" w:rsidRPr="00EF6D8E"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925" w:type="dxa"/>
            <w:tcBorders>
              <w:top w:val="nil"/>
              <w:left w:val="nil"/>
              <w:bottom w:val="double" w:sz="4" w:space="0" w:color="auto"/>
              <w:right w:val="single" w:sz="8" w:space="0" w:color="auto"/>
            </w:tcBorders>
            <w:shd w:val="clear" w:color="auto" w:fill="auto"/>
            <w:noWrap/>
            <w:vAlign w:val="center"/>
            <w:hideMark/>
          </w:tcPr>
          <w:p w14:paraId="137A5D57" w14:textId="09BDB06E" w:rsidR="001F45CE" w:rsidRPr="00EF6D8E"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925" w:type="dxa"/>
            <w:tcBorders>
              <w:top w:val="nil"/>
              <w:left w:val="nil"/>
              <w:bottom w:val="double" w:sz="4" w:space="0" w:color="auto"/>
              <w:right w:val="single" w:sz="8" w:space="0" w:color="auto"/>
            </w:tcBorders>
            <w:shd w:val="clear" w:color="auto" w:fill="auto"/>
            <w:noWrap/>
            <w:vAlign w:val="center"/>
            <w:hideMark/>
          </w:tcPr>
          <w:p w14:paraId="585B9D62" w14:textId="4D262A3A" w:rsidR="001F45CE" w:rsidRPr="00EF6D8E"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925" w:type="dxa"/>
            <w:tcBorders>
              <w:top w:val="nil"/>
              <w:left w:val="nil"/>
              <w:bottom w:val="double" w:sz="4" w:space="0" w:color="auto"/>
              <w:right w:val="single" w:sz="8" w:space="0" w:color="auto"/>
            </w:tcBorders>
            <w:shd w:val="clear" w:color="auto" w:fill="auto"/>
            <w:vAlign w:val="center"/>
            <w:hideMark/>
          </w:tcPr>
          <w:p w14:paraId="4DB19D14" w14:textId="4C2ECABC" w:rsidR="001F45CE" w:rsidRPr="00EF6D8E"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1244" w:type="dxa"/>
            <w:tcBorders>
              <w:top w:val="nil"/>
              <w:left w:val="nil"/>
              <w:bottom w:val="double" w:sz="4" w:space="0" w:color="auto"/>
              <w:right w:val="single" w:sz="8" w:space="0" w:color="auto"/>
            </w:tcBorders>
            <w:shd w:val="clear" w:color="auto" w:fill="auto"/>
            <w:noWrap/>
            <w:vAlign w:val="center"/>
            <w:hideMark/>
          </w:tcPr>
          <w:p w14:paraId="31E3F85C"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18,000</w:t>
            </w:r>
          </w:p>
        </w:tc>
        <w:tc>
          <w:tcPr>
            <w:tcW w:w="844" w:type="dxa"/>
            <w:tcBorders>
              <w:top w:val="nil"/>
              <w:left w:val="nil"/>
              <w:bottom w:val="double" w:sz="4" w:space="0" w:color="auto"/>
              <w:right w:val="single" w:sz="8" w:space="0" w:color="auto"/>
            </w:tcBorders>
            <w:shd w:val="clear" w:color="auto" w:fill="auto"/>
            <w:vAlign w:val="center"/>
            <w:hideMark/>
          </w:tcPr>
          <w:p w14:paraId="11BBB113" w14:textId="1BD91658"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1</w:t>
            </w:r>
            <w:r w:rsidR="00096659">
              <w:rPr>
                <w:rFonts w:eastAsia="Times New Roman" w:cs="Calibri"/>
                <w:i/>
                <w:iCs/>
                <w:color w:val="000000"/>
                <w:sz w:val="16"/>
                <w:szCs w:val="16"/>
              </w:rPr>
              <w:t>2</w:t>
            </w:r>
          </w:p>
        </w:tc>
      </w:tr>
      <w:tr w:rsidR="00BE7FC4" w:rsidRPr="00913CCF" w14:paraId="450B0084" w14:textId="77777777" w:rsidTr="00512288">
        <w:trPr>
          <w:trHeight w:val="144"/>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4C0FCA59" w14:textId="77777777" w:rsidR="00BE7FC4" w:rsidRPr="00913CCF" w:rsidRDefault="00BE7FC4"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14D2A056" w14:textId="77777777" w:rsidR="00BE7FC4" w:rsidRPr="00913CCF" w:rsidRDefault="00BE7FC4"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6F5DBB36" w14:textId="77777777" w:rsidR="00BE7FC4" w:rsidRPr="00913CCF" w:rsidRDefault="00BE7FC4"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79E3FAC1" w14:textId="77777777" w:rsidR="00BE7FC4" w:rsidRPr="00913CCF" w:rsidRDefault="00BE7FC4" w:rsidP="001F45CE">
            <w:pPr>
              <w:spacing w:after="0"/>
              <w:jc w:val="left"/>
              <w:rPr>
                <w:rFonts w:eastAsia="Times New Roman" w:cs="Calibri"/>
                <w:b/>
                <w:bCs/>
                <w:color w:val="000000"/>
                <w:sz w:val="16"/>
                <w:szCs w:val="16"/>
              </w:rPr>
            </w:pPr>
          </w:p>
        </w:tc>
        <w:tc>
          <w:tcPr>
            <w:tcW w:w="2498" w:type="dxa"/>
            <w:gridSpan w:val="2"/>
            <w:tcBorders>
              <w:top w:val="double" w:sz="4" w:space="0" w:color="auto"/>
              <w:left w:val="nil"/>
              <w:bottom w:val="double" w:sz="6" w:space="0" w:color="auto"/>
              <w:right w:val="single" w:sz="8" w:space="0" w:color="auto"/>
            </w:tcBorders>
            <w:shd w:val="clear" w:color="auto" w:fill="FFE599" w:themeFill="accent4" w:themeFillTint="66"/>
            <w:noWrap/>
            <w:vAlign w:val="center"/>
            <w:hideMark/>
          </w:tcPr>
          <w:p w14:paraId="3952192D" w14:textId="45AB05DD" w:rsidR="00BE7FC4" w:rsidRPr="00913CCF" w:rsidRDefault="00BE7FC4" w:rsidP="00F8089A">
            <w:pPr>
              <w:spacing w:after="0"/>
              <w:jc w:val="right"/>
              <w:rPr>
                <w:rFonts w:eastAsia="Times New Roman" w:cs="Calibri"/>
                <w:b/>
                <w:bCs/>
                <w:color w:val="000000"/>
                <w:sz w:val="15"/>
                <w:szCs w:val="15"/>
              </w:rPr>
            </w:pPr>
            <w:r w:rsidRPr="00913CCF">
              <w:rPr>
                <w:rFonts w:eastAsia="Times New Roman" w:cs="Calibri"/>
                <w:b/>
                <w:bCs/>
                <w:color w:val="000000"/>
                <w:sz w:val="15"/>
                <w:szCs w:val="15"/>
              </w:rPr>
              <w:t xml:space="preserve">Sub-total </w:t>
            </w:r>
            <w:r>
              <w:rPr>
                <w:rFonts w:eastAsia="Times New Roman" w:cs="Calibri"/>
                <w:b/>
                <w:bCs/>
                <w:color w:val="000000"/>
                <w:sz w:val="15"/>
                <w:szCs w:val="15"/>
              </w:rPr>
              <w:t>UNDP</w:t>
            </w:r>
          </w:p>
        </w:tc>
        <w:tc>
          <w:tcPr>
            <w:tcW w:w="935" w:type="dxa"/>
            <w:tcBorders>
              <w:top w:val="double" w:sz="4" w:space="0" w:color="auto"/>
              <w:left w:val="nil"/>
              <w:bottom w:val="double" w:sz="6" w:space="0" w:color="auto"/>
              <w:right w:val="single" w:sz="8" w:space="0" w:color="auto"/>
            </w:tcBorders>
            <w:shd w:val="clear" w:color="auto" w:fill="FFE599" w:themeFill="accent4" w:themeFillTint="66"/>
            <w:noWrap/>
            <w:vAlign w:val="center"/>
            <w:hideMark/>
          </w:tcPr>
          <w:p w14:paraId="1D9CB0B6" w14:textId="3A247C11" w:rsidR="00BE7FC4" w:rsidRPr="00EF6D8E" w:rsidRDefault="00BE7FC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18,000</w:t>
            </w:r>
          </w:p>
        </w:tc>
        <w:tc>
          <w:tcPr>
            <w:tcW w:w="996" w:type="dxa"/>
            <w:tcBorders>
              <w:top w:val="double" w:sz="4" w:space="0" w:color="auto"/>
              <w:left w:val="nil"/>
              <w:bottom w:val="double" w:sz="6" w:space="0" w:color="auto"/>
              <w:right w:val="single" w:sz="8" w:space="0" w:color="auto"/>
            </w:tcBorders>
            <w:shd w:val="clear" w:color="auto" w:fill="FFE599" w:themeFill="accent4" w:themeFillTint="66"/>
            <w:noWrap/>
            <w:vAlign w:val="center"/>
            <w:hideMark/>
          </w:tcPr>
          <w:p w14:paraId="1F33F609" w14:textId="24B875FD" w:rsidR="00BE7FC4" w:rsidRPr="00EF6D8E" w:rsidRDefault="00BE7FC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11,500</w:t>
            </w:r>
          </w:p>
        </w:tc>
        <w:tc>
          <w:tcPr>
            <w:tcW w:w="925" w:type="dxa"/>
            <w:tcBorders>
              <w:top w:val="double" w:sz="4" w:space="0" w:color="auto"/>
              <w:left w:val="nil"/>
              <w:bottom w:val="double" w:sz="6" w:space="0" w:color="auto"/>
              <w:right w:val="single" w:sz="8" w:space="0" w:color="auto"/>
            </w:tcBorders>
            <w:shd w:val="clear" w:color="auto" w:fill="FFE599" w:themeFill="accent4" w:themeFillTint="66"/>
            <w:noWrap/>
            <w:vAlign w:val="center"/>
            <w:hideMark/>
          </w:tcPr>
          <w:p w14:paraId="2772686D" w14:textId="53932E45" w:rsidR="00BE7FC4" w:rsidRPr="00EF6D8E" w:rsidRDefault="00BE7FC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925" w:type="dxa"/>
            <w:tcBorders>
              <w:top w:val="double" w:sz="4" w:space="0" w:color="auto"/>
              <w:left w:val="nil"/>
              <w:bottom w:val="double" w:sz="6" w:space="0" w:color="auto"/>
              <w:right w:val="single" w:sz="8" w:space="0" w:color="auto"/>
            </w:tcBorders>
            <w:shd w:val="clear" w:color="auto" w:fill="FFE599" w:themeFill="accent4" w:themeFillTint="66"/>
            <w:noWrap/>
            <w:vAlign w:val="center"/>
            <w:hideMark/>
          </w:tcPr>
          <w:p w14:paraId="6B1CD711" w14:textId="5062F238" w:rsidR="00BE7FC4" w:rsidRPr="00EF6D8E" w:rsidRDefault="00BE7FC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925" w:type="dxa"/>
            <w:tcBorders>
              <w:top w:val="double" w:sz="4" w:space="0" w:color="auto"/>
              <w:left w:val="nil"/>
              <w:bottom w:val="double" w:sz="6" w:space="0" w:color="auto"/>
              <w:right w:val="single" w:sz="8" w:space="0" w:color="auto"/>
            </w:tcBorders>
            <w:shd w:val="clear" w:color="auto" w:fill="FFE599" w:themeFill="accent4" w:themeFillTint="66"/>
            <w:noWrap/>
            <w:vAlign w:val="center"/>
            <w:hideMark/>
          </w:tcPr>
          <w:p w14:paraId="4C738D3A" w14:textId="7EF3306C" w:rsidR="00BE7FC4" w:rsidRPr="00EF6D8E" w:rsidRDefault="00BE7FC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925" w:type="dxa"/>
            <w:tcBorders>
              <w:top w:val="double" w:sz="4" w:space="0" w:color="auto"/>
              <w:left w:val="nil"/>
              <w:bottom w:val="double" w:sz="6" w:space="0" w:color="auto"/>
              <w:right w:val="single" w:sz="8" w:space="0" w:color="auto"/>
            </w:tcBorders>
            <w:shd w:val="clear" w:color="auto" w:fill="FFE599" w:themeFill="accent4" w:themeFillTint="66"/>
            <w:vAlign w:val="center"/>
            <w:hideMark/>
          </w:tcPr>
          <w:p w14:paraId="07FDD333" w14:textId="52959685" w:rsidR="00BE7FC4" w:rsidRPr="00EF6D8E" w:rsidRDefault="00BE7FC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1244" w:type="dxa"/>
            <w:tcBorders>
              <w:top w:val="double" w:sz="4" w:space="0" w:color="auto"/>
              <w:left w:val="nil"/>
              <w:bottom w:val="double" w:sz="6" w:space="0" w:color="auto"/>
              <w:right w:val="single" w:sz="8" w:space="0" w:color="auto"/>
            </w:tcBorders>
            <w:shd w:val="clear" w:color="auto" w:fill="FFE599" w:themeFill="accent4" w:themeFillTint="66"/>
            <w:noWrap/>
            <w:vAlign w:val="center"/>
            <w:hideMark/>
          </w:tcPr>
          <w:p w14:paraId="2F9BF8EF" w14:textId="77777777" w:rsidR="00BE7FC4" w:rsidRPr="00913CCF" w:rsidRDefault="00BE7FC4"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67,500</w:t>
            </w:r>
          </w:p>
        </w:tc>
        <w:tc>
          <w:tcPr>
            <w:tcW w:w="844" w:type="dxa"/>
            <w:tcBorders>
              <w:top w:val="double" w:sz="4" w:space="0" w:color="auto"/>
              <w:left w:val="nil"/>
              <w:bottom w:val="double" w:sz="6" w:space="0" w:color="auto"/>
              <w:right w:val="single" w:sz="8" w:space="0" w:color="auto"/>
            </w:tcBorders>
            <w:shd w:val="clear" w:color="auto" w:fill="FFE599" w:themeFill="accent4" w:themeFillTint="66"/>
            <w:vAlign w:val="center"/>
            <w:hideMark/>
          </w:tcPr>
          <w:p w14:paraId="0DA9C584" w14:textId="77777777" w:rsidR="00BE7FC4" w:rsidRPr="00913CCF" w:rsidRDefault="00BE7FC4" w:rsidP="001F45CE">
            <w:pPr>
              <w:spacing w:after="0"/>
              <w:jc w:val="center"/>
              <w:rPr>
                <w:rFonts w:eastAsia="Times New Roman" w:cs="Calibri"/>
                <w:color w:val="000000"/>
                <w:sz w:val="14"/>
                <w:szCs w:val="14"/>
              </w:rPr>
            </w:pPr>
            <w:r w:rsidRPr="00913CCF">
              <w:rPr>
                <w:rFonts w:eastAsia="Times New Roman" w:cs="Calibri"/>
                <w:color w:val="000000"/>
                <w:sz w:val="14"/>
                <w:szCs w:val="14"/>
              </w:rPr>
              <w:t> </w:t>
            </w:r>
          </w:p>
        </w:tc>
      </w:tr>
      <w:tr w:rsidR="00765017" w:rsidRPr="00913CCF" w14:paraId="7CCF44ED" w14:textId="77777777" w:rsidTr="00512288">
        <w:trPr>
          <w:trHeight w:val="144"/>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521F9E32" w14:textId="77777777" w:rsidR="00765017" w:rsidRPr="00913CCF" w:rsidRDefault="00765017" w:rsidP="001F45CE">
            <w:pPr>
              <w:spacing w:after="0"/>
              <w:jc w:val="left"/>
              <w:rPr>
                <w:rFonts w:eastAsia="Times New Roman" w:cs="Calibri"/>
                <w:b/>
                <w:bCs/>
                <w:color w:val="000000"/>
                <w:sz w:val="16"/>
                <w:szCs w:val="16"/>
              </w:rPr>
            </w:pPr>
          </w:p>
        </w:tc>
        <w:tc>
          <w:tcPr>
            <w:tcW w:w="5110" w:type="dxa"/>
            <w:gridSpan w:val="5"/>
            <w:tcBorders>
              <w:top w:val="nil"/>
              <w:left w:val="nil"/>
              <w:bottom w:val="double" w:sz="6" w:space="0" w:color="000000"/>
              <w:right w:val="single" w:sz="8" w:space="0" w:color="auto"/>
            </w:tcBorders>
            <w:shd w:val="clear" w:color="auto" w:fill="C5E0B3" w:themeFill="accent6" w:themeFillTint="66"/>
            <w:vAlign w:val="center"/>
            <w:hideMark/>
          </w:tcPr>
          <w:p w14:paraId="0F43466F" w14:textId="6E0F141A" w:rsidR="00765017" w:rsidRPr="00913CCF" w:rsidRDefault="00765017"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 Total Outcome 1</w:t>
            </w:r>
          </w:p>
        </w:tc>
        <w:tc>
          <w:tcPr>
            <w:tcW w:w="935" w:type="dxa"/>
            <w:tcBorders>
              <w:top w:val="nil"/>
              <w:left w:val="nil"/>
              <w:bottom w:val="double" w:sz="6" w:space="0" w:color="auto"/>
              <w:right w:val="single" w:sz="8" w:space="0" w:color="auto"/>
            </w:tcBorders>
            <w:shd w:val="clear" w:color="auto" w:fill="C5E0B3" w:themeFill="accent6" w:themeFillTint="66"/>
            <w:noWrap/>
            <w:vAlign w:val="center"/>
            <w:hideMark/>
          </w:tcPr>
          <w:p w14:paraId="22F1BDA8" w14:textId="77777777" w:rsidR="00765017" w:rsidRPr="00913CCF" w:rsidRDefault="00765017"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119,775</w:t>
            </w:r>
          </w:p>
        </w:tc>
        <w:tc>
          <w:tcPr>
            <w:tcW w:w="996" w:type="dxa"/>
            <w:tcBorders>
              <w:top w:val="nil"/>
              <w:left w:val="nil"/>
              <w:bottom w:val="double" w:sz="6" w:space="0" w:color="auto"/>
              <w:right w:val="single" w:sz="8" w:space="0" w:color="auto"/>
            </w:tcBorders>
            <w:shd w:val="clear" w:color="auto" w:fill="C5E0B3" w:themeFill="accent6" w:themeFillTint="66"/>
            <w:noWrap/>
            <w:vAlign w:val="center"/>
            <w:hideMark/>
          </w:tcPr>
          <w:p w14:paraId="2F05ABC0" w14:textId="4FBC4CC0" w:rsidR="00765017" w:rsidRPr="00EF6D8E" w:rsidRDefault="00765017"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250,750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079AB6CD" w14:textId="05D932D4" w:rsidR="00765017" w:rsidRPr="00EF6D8E" w:rsidRDefault="00765017"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75,500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556385FA" w14:textId="787F90A8" w:rsidR="00765017" w:rsidRPr="00EF6D8E" w:rsidRDefault="00765017"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49,400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6617A7CD" w14:textId="50DD6C39" w:rsidR="00765017" w:rsidRPr="00EF6D8E" w:rsidRDefault="00765017"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37,600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348D5776" w14:textId="598DB5D3" w:rsidR="00765017" w:rsidRPr="00EF6D8E" w:rsidRDefault="00765017"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56,200</w:t>
            </w:r>
          </w:p>
        </w:tc>
        <w:tc>
          <w:tcPr>
            <w:tcW w:w="1244" w:type="dxa"/>
            <w:tcBorders>
              <w:top w:val="nil"/>
              <w:left w:val="nil"/>
              <w:bottom w:val="double" w:sz="6" w:space="0" w:color="auto"/>
              <w:right w:val="single" w:sz="8" w:space="0" w:color="auto"/>
            </w:tcBorders>
            <w:shd w:val="clear" w:color="auto" w:fill="C5E0B3" w:themeFill="accent6" w:themeFillTint="66"/>
            <w:noWrap/>
            <w:vAlign w:val="center"/>
            <w:hideMark/>
          </w:tcPr>
          <w:p w14:paraId="2D612A9A" w14:textId="2C8547CE" w:rsidR="00765017" w:rsidRPr="00EF6D8E" w:rsidRDefault="00765017"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589,225</w:t>
            </w:r>
          </w:p>
        </w:tc>
        <w:tc>
          <w:tcPr>
            <w:tcW w:w="844" w:type="dxa"/>
            <w:tcBorders>
              <w:top w:val="nil"/>
              <w:left w:val="nil"/>
              <w:bottom w:val="double" w:sz="6" w:space="0" w:color="auto"/>
              <w:right w:val="single" w:sz="8" w:space="0" w:color="auto"/>
            </w:tcBorders>
            <w:shd w:val="clear" w:color="auto" w:fill="C5E0B3" w:themeFill="accent6" w:themeFillTint="66"/>
            <w:vAlign w:val="center"/>
            <w:hideMark/>
          </w:tcPr>
          <w:p w14:paraId="03AC1C88" w14:textId="77777777" w:rsidR="00765017" w:rsidRPr="00913CCF" w:rsidRDefault="00765017" w:rsidP="001F45CE">
            <w:pPr>
              <w:spacing w:after="0"/>
              <w:jc w:val="center"/>
              <w:rPr>
                <w:rFonts w:eastAsia="Times New Roman" w:cs="Calibri"/>
                <w:color w:val="000000"/>
                <w:sz w:val="14"/>
                <w:szCs w:val="14"/>
              </w:rPr>
            </w:pPr>
            <w:r w:rsidRPr="00913CCF">
              <w:rPr>
                <w:rFonts w:eastAsia="Times New Roman" w:cs="Calibri"/>
                <w:color w:val="000000"/>
                <w:sz w:val="14"/>
                <w:szCs w:val="14"/>
              </w:rPr>
              <w:t> </w:t>
            </w:r>
          </w:p>
        </w:tc>
      </w:tr>
      <w:tr w:rsidR="001F45CE" w:rsidRPr="00913CCF" w14:paraId="57DF6D55" w14:textId="77777777" w:rsidTr="00512288">
        <w:trPr>
          <w:trHeight w:val="225"/>
        </w:trPr>
        <w:tc>
          <w:tcPr>
            <w:tcW w:w="1335" w:type="dxa"/>
            <w:vMerge w:val="restart"/>
            <w:tcBorders>
              <w:top w:val="nil"/>
              <w:left w:val="single" w:sz="8" w:space="0" w:color="auto"/>
              <w:bottom w:val="double" w:sz="6" w:space="0" w:color="000000"/>
              <w:right w:val="single" w:sz="8" w:space="0" w:color="auto"/>
            </w:tcBorders>
            <w:shd w:val="clear" w:color="auto" w:fill="auto"/>
            <w:noWrap/>
            <w:vAlign w:val="center"/>
            <w:hideMark/>
          </w:tcPr>
          <w:p w14:paraId="369428CA" w14:textId="3CA43477" w:rsidR="001F45CE" w:rsidRPr="00913CCF" w:rsidRDefault="001F45CE" w:rsidP="00B76DA2">
            <w:pPr>
              <w:spacing w:after="0"/>
              <w:jc w:val="center"/>
              <w:rPr>
                <w:rFonts w:eastAsia="Times New Roman" w:cs="Calibri"/>
                <w:b/>
                <w:bCs/>
                <w:color w:val="000000"/>
                <w:sz w:val="16"/>
                <w:szCs w:val="16"/>
              </w:rPr>
            </w:pPr>
            <w:r w:rsidRPr="00913CCF">
              <w:rPr>
                <w:rFonts w:eastAsia="Times New Roman" w:cs="Calibri"/>
                <w:b/>
                <w:bCs/>
                <w:color w:val="000000"/>
                <w:sz w:val="16"/>
                <w:szCs w:val="16"/>
              </w:rPr>
              <w:t xml:space="preserve">COMPONENT / OUTCOME 2: </w:t>
            </w:r>
          </w:p>
        </w:tc>
        <w:tc>
          <w:tcPr>
            <w:tcW w:w="1267" w:type="dxa"/>
            <w:vMerge w:val="restart"/>
            <w:tcBorders>
              <w:top w:val="nil"/>
              <w:left w:val="single" w:sz="8" w:space="0" w:color="auto"/>
              <w:bottom w:val="double" w:sz="6" w:space="0" w:color="000000"/>
              <w:right w:val="single" w:sz="8" w:space="0" w:color="auto"/>
            </w:tcBorders>
            <w:shd w:val="clear" w:color="auto" w:fill="auto"/>
            <w:vAlign w:val="center"/>
            <w:hideMark/>
          </w:tcPr>
          <w:p w14:paraId="6CEDAE6A" w14:textId="47377449" w:rsidR="001F45CE" w:rsidRPr="00AB47BD" w:rsidRDefault="001265F0" w:rsidP="00B76DA2">
            <w:pPr>
              <w:spacing w:after="0"/>
              <w:rPr>
                <w:rFonts w:eastAsia="Times New Roman" w:cs="Calibri"/>
                <w:b/>
                <w:bCs/>
                <w:color w:val="000000"/>
                <w:sz w:val="16"/>
                <w:szCs w:val="16"/>
                <w:lang w:val="fr-FR"/>
              </w:rPr>
            </w:pPr>
            <w:r w:rsidRPr="00AB47BD">
              <w:rPr>
                <w:rFonts w:cs="Arial"/>
                <w:b/>
                <w:bCs/>
                <w:sz w:val="16"/>
                <w:szCs w:val="16"/>
                <w:highlight w:val="green"/>
                <w:lang w:val="fr-FR"/>
              </w:rPr>
              <w:t>Ministère de l'environnement, de l'eau et de l’Assainissement</w:t>
            </w:r>
          </w:p>
        </w:tc>
        <w:tc>
          <w:tcPr>
            <w:tcW w:w="713" w:type="dxa"/>
            <w:vMerge w:val="restart"/>
            <w:tcBorders>
              <w:top w:val="nil"/>
              <w:left w:val="single" w:sz="8" w:space="0" w:color="auto"/>
              <w:bottom w:val="double" w:sz="6" w:space="0" w:color="000000"/>
              <w:right w:val="single" w:sz="8" w:space="0" w:color="auto"/>
            </w:tcBorders>
            <w:shd w:val="clear" w:color="auto" w:fill="auto"/>
            <w:vAlign w:val="center"/>
            <w:hideMark/>
          </w:tcPr>
          <w:p w14:paraId="7548FAF6"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62000</w:t>
            </w:r>
          </w:p>
        </w:tc>
        <w:tc>
          <w:tcPr>
            <w:tcW w:w="632" w:type="dxa"/>
            <w:vMerge w:val="restart"/>
            <w:tcBorders>
              <w:top w:val="nil"/>
              <w:left w:val="single" w:sz="8" w:space="0" w:color="auto"/>
              <w:bottom w:val="double" w:sz="6" w:space="0" w:color="000000"/>
              <w:right w:val="single" w:sz="8" w:space="0" w:color="auto"/>
            </w:tcBorders>
            <w:shd w:val="clear" w:color="auto" w:fill="auto"/>
            <w:vAlign w:val="center"/>
            <w:hideMark/>
          </w:tcPr>
          <w:p w14:paraId="0BD0A349"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GEF</w:t>
            </w:r>
          </w:p>
        </w:tc>
        <w:tc>
          <w:tcPr>
            <w:tcW w:w="901" w:type="dxa"/>
            <w:tcBorders>
              <w:top w:val="nil"/>
              <w:left w:val="nil"/>
              <w:bottom w:val="single" w:sz="8" w:space="0" w:color="auto"/>
              <w:right w:val="single" w:sz="8" w:space="0" w:color="auto"/>
            </w:tcBorders>
            <w:shd w:val="clear" w:color="auto" w:fill="auto"/>
            <w:noWrap/>
            <w:vAlign w:val="center"/>
            <w:hideMark/>
          </w:tcPr>
          <w:p w14:paraId="5E14DAFE"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71200</w:t>
            </w:r>
          </w:p>
        </w:tc>
        <w:tc>
          <w:tcPr>
            <w:tcW w:w="1597" w:type="dxa"/>
            <w:tcBorders>
              <w:top w:val="nil"/>
              <w:left w:val="nil"/>
              <w:bottom w:val="single" w:sz="8" w:space="0" w:color="auto"/>
              <w:right w:val="single" w:sz="8" w:space="0" w:color="auto"/>
            </w:tcBorders>
            <w:shd w:val="clear" w:color="auto" w:fill="auto"/>
            <w:vAlign w:val="center"/>
            <w:hideMark/>
          </w:tcPr>
          <w:p w14:paraId="61223A4F"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International Cons</w:t>
            </w:r>
          </w:p>
        </w:tc>
        <w:tc>
          <w:tcPr>
            <w:tcW w:w="935" w:type="dxa"/>
            <w:tcBorders>
              <w:top w:val="nil"/>
              <w:left w:val="nil"/>
              <w:bottom w:val="single" w:sz="8" w:space="0" w:color="auto"/>
              <w:right w:val="single" w:sz="8" w:space="0" w:color="auto"/>
            </w:tcBorders>
            <w:shd w:val="clear" w:color="auto" w:fill="auto"/>
            <w:noWrap/>
            <w:vAlign w:val="center"/>
            <w:hideMark/>
          </w:tcPr>
          <w:p w14:paraId="7923C216"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86,000</w:t>
            </w:r>
          </w:p>
        </w:tc>
        <w:tc>
          <w:tcPr>
            <w:tcW w:w="996" w:type="dxa"/>
            <w:tcBorders>
              <w:top w:val="nil"/>
              <w:left w:val="nil"/>
              <w:bottom w:val="single" w:sz="8" w:space="0" w:color="auto"/>
              <w:right w:val="single" w:sz="8" w:space="0" w:color="auto"/>
            </w:tcBorders>
            <w:shd w:val="clear" w:color="auto" w:fill="auto"/>
            <w:noWrap/>
            <w:vAlign w:val="center"/>
            <w:hideMark/>
          </w:tcPr>
          <w:p w14:paraId="6BD9BA94"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64,000</w:t>
            </w:r>
          </w:p>
        </w:tc>
        <w:tc>
          <w:tcPr>
            <w:tcW w:w="925" w:type="dxa"/>
            <w:tcBorders>
              <w:top w:val="nil"/>
              <w:left w:val="nil"/>
              <w:bottom w:val="single" w:sz="8" w:space="0" w:color="auto"/>
              <w:right w:val="single" w:sz="8" w:space="0" w:color="auto"/>
            </w:tcBorders>
            <w:shd w:val="clear" w:color="auto" w:fill="auto"/>
            <w:noWrap/>
            <w:vAlign w:val="center"/>
            <w:hideMark/>
          </w:tcPr>
          <w:p w14:paraId="1AD7B1E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72,000</w:t>
            </w:r>
          </w:p>
        </w:tc>
        <w:tc>
          <w:tcPr>
            <w:tcW w:w="925" w:type="dxa"/>
            <w:tcBorders>
              <w:top w:val="nil"/>
              <w:left w:val="nil"/>
              <w:bottom w:val="single" w:sz="8" w:space="0" w:color="auto"/>
              <w:right w:val="single" w:sz="8" w:space="0" w:color="auto"/>
            </w:tcBorders>
            <w:shd w:val="clear" w:color="auto" w:fill="auto"/>
            <w:noWrap/>
            <w:vAlign w:val="center"/>
            <w:hideMark/>
          </w:tcPr>
          <w:p w14:paraId="5FCFF727"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20,000</w:t>
            </w:r>
          </w:p>
        </w:tc>
        <w:tc>
          <w:tcPr>
            <w:tcW w:w="925" w:type="dxa"/>
            <w:tcBorders>
              <w:top w:val="nil"/>
              <w:left w:val="nil"/>
              <w:bottom w:val="single" w:sz="8" w:space="0" w:color="auto"/>
              <w:right w:val="single" w:sz="8" w:space="0" w:color="auto"/>
            </w:tcBorders>
            <w:shd w:val="clear" w:color="auto" w:fill="auto"/>
            <w:noWrap/>
            <w:vAlign w:val="center"/>
            <w:hideMark/>
          </w:tcPr>
          <w:p w14:paraId="48497B05"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46013F37"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bCs/>
                <w:color w:val="000000"/>
                <w:sz w:val="16"/>
                <w:szCs w:val="16"/>
              </w:rPr>
              <w:t>0</w:t>
            </w:r>
          </w:p>
        </w:tc>
        <w:tc>
          <w:tcPr>
            <w:tcW w:w="1244" w:type="dxa"/>
            <w:tcBorders>
              <w:top w:val="nil"/>
              <w:left w:val="nil"/>
              <w:bottom w:val="single" w:sz="8" w:space="0" w:color="auto"/>
              <w:right w:val="single" w:sz="8" w:space="0" w:color="auto"/>
            </w:tcBorders>
            <w:shd w:val="clear" w:color="auto" w:fill="auto"/>
            <w:noWrap/>
            <w:vAlign w:val="center"/>
            <w:hideMark/>
          </w:tcPr>
          <w:p w14:paraId="38E2F700"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242,000</w:t>
            </w:r>
          </w:p>
        </w:tc>
        <w:tc>
          <w:tcPr>
            <w:tcW w:w="844" w:type="dxa"/>
            <w:tcBorders>
              <w:top w:val="nil"/>
              <w:left w:val="nil"/>
              <w:bottom w:val="single" w:sz="8" w:space="0" w:color="auto"/>
              <w:right w:val="single" w:sz="8" w:space="0" w:color="auto"/>
            </w:tcBorders>
            <w:shd w:val="clear" w:color="auto" w:fill="auto"/>
            <w:vAlign w:val="center"/>
            <w:hideMark/>
          </w:tcPr>
          <w:p w14:paraId="762A828E" w14:textId="0E2E93FB" w:rsidR="001F45CE" w:rsidRPr="00913CCF" w:rsidRDefault="00096659" w:rsidP="001F45CE">
            <w:pPr>
              <w:spacing w:after="0"/>
              <w:jc w:val="center"/>
              <w:rPr>
                <w:rFonts w:eastAsia="Times New Roman" w:cs="Calibri"/>
                <w:i/>
                <w:iCs/>
                <w:color w:val="000000"/>
                <w:sz w:val="16"/>
                <w:szCs w:val="16"/>
              </w:rPr>
            </w:pPr>
            <w:r>
              <w:rPr>
                <w:rFonts w:eastAsia="Times New Roman" w:cs="Calibri"/>
                <w:i/>
                <w:iCs/>
                <w:color w:val="000000"/>
                <w:sz w:val="16"/>
                <w:szCs w:val="16"/>
              </w:rPr>
              <w:t>13</w:t>
            </w:r>
          </w:p>
        </w:tc>
      </w:tr>
      <w:tr w:rsidR="001F45CE" w:rsidRPr="00913CCF" w14:paraId="48822602" w14:textId="77777777" w:rsidTr="00512288">
        <w:trPr>
          <w:trHeight w:val="135"/>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31723783"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05C86A12"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7499E0F8"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4E587F48"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3417CA4B"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71300</w:t>
            </w:r>
          </w:p>
        </w:tc>
        <w:tc>
          <w:tcPr>
            <w:tcW w:w="1597" w:type="dxa"/>
            <w:tcBorders>
              <w:top w:val="nil"/>
              <w:left w:val="nil"/>
              <w:bottom w:val="single" w:sz="8" w:space="0" w:color="auto"/>
              <w:right w:val="single" w:sz="8" w:space="0" w:color="auto"/>
            </w:tcBorders>
            <w:shd w:val="clear" w:color="auto" w:fill="auto"/>
            <w:vAlign w:val="center"/>
            <w:hideMark/>
          </w:tcPr>
          <w:p w14:paraId="0FB8709F"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Local Consultants</w:t>
            </w:r>
          </w:p>
        </w:tc>
        <w:tc>
          <w:tcPr>
            <w:tcW w:w="935" w:type="dxa"/>
            <w:tcBorders>
              <w:top w:val="nil"/>
              <w:left w:val="nil"/>
              <w:bottom w:val="single" w:sz="8" w:space="0" w:color="auto"/>
              <w:right w:val="single" w:sz="8" w:space="0" w:color="auto"/>
            </w:tcBorders>
            <w:shd w:val="clear" w:color="auto" w:fill="auto"/>
            <w:noWrap/>
            <w:vAlign w:val="center"/>
            <w:hideMark/>
          </w:tcPr>
          <w:p w14:paraId="31C54147"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49,800</w:t>
            </w:r>
          </w:p>
        </w:tc>
        <w:tc>
          <w:tcPr>
            <w:tcW w:w="996" w:type="dxa"/>
            <w:tcBorders>
              <w:top w:val="nil"/>
              <w:left w:val="nil"/>
              <w:bottom w:val="single" w:sz="8" w:space="0" w:color="auto"/>
              <w:right w:val="single" w:sz="8" w:space="0" w:color="auto"/>
            </w:tcBorders>
            <w:shd w:val="clear" w:color="auto" w:fill="auto"/>
            <w:noWrap/>
            <w:vAlign w:val="center"/>
            <w:hideMark/>
          </w:tcPr>
          <w:p w14:paraId="77661F80"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57,800</w:t>
            </w:r>
          </w:p>
        </w:tc>
        <w:tc>
          <w:tcPr>
            <w:tcW w:w="925" w:type="dxa"/>
            <w:tcBorders>
              <w:top w:val="nil"/>
              <w:left w:val="nil"/>
              <w:bottom w:val="single" w:sz="8" w:space="0" w:color="auto"/>
              <w:right w:val="single" w:sz="8" w:space="0" w:color="auto"/>
            </w:tcBorders>
            <w:shd w:val="clear" w:color="auto" w:fill="auto"/>
            <w:noWrap/>
            <w:vAlign w:val="center"/>
            <w:hideMark/>
          </w:tcPr>
          <w:p w14:paraId="23D3621F"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51,050</w:t>
            </w:r>
          </w:p>
        </w:tc>
        <w:tc>
          <w:tcPr>
            <w:tcW w:w="925" w:type="dxa"/>
            <w:tcBorders>
              <w:top w:val="nil"/>
              <w:left w:val="nil"/>
              <w:bottom w:val="single" w:sz="8" w:space="0" w:color="auto"/>
              <w:right w:val="single" w:sz="8" w:space="0" w:color="auto"/>
            </w:tcBorders>
            <w:shd w:val="clear" w:color="auto" w:fill="auto"/>
            <w:noWrap/>
            <w:vAlign w:val="center"/>
            <w:hideMark/>
          </w:tcPr>
          <w:p w14:paraId="7F67F309"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30,800</w:t>
            </w:r>
          </w:p>
        </w:tc>
        <w:tc>
          <w:tcPr>
            <w:tcW w:w="925" w:type="dxa"/>
            <w:tcBorders>
              <w:top w:val="nil"/>
              <w:left w:val="nil"/>
              <w:bottom w:val="single" w:sz="8" w:space="0" w:color="auto"/>
              <w:right w:val="single" w:sz="8" w:space="0" w:color="auto"/>
            </w:tcBorders>
            <w:shd w:val="clear" w:color="auto" w:fill="auto"/>
            <w:noWrap/>
            <w:vAlign w:val="center"/>
            <w:hideMark/>
          </w:tcPr>
          <w:p w14:paraId="51E38DD0"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37,800</w:t>
            </w:r>
          </w:p>
        </w:tc>
        <w:tc>
          <w:tcPr>
            <w:tcW w:w="925" w:type="dxa"/>
            <w:tcBorders>
              <w:top w:val="nil"/>
              <w:left w:val="nil"/>
              <w:bottom w:val="single" w:sz="8" w:space="0" w:color="auto"/>
              <w:right w:val="single" w:sz="8" w:space="0" w:color="auto"/>
            </w:tcBorders>
            <w:shd w:val="clear" w:color="auto" w:fill="auto"/>
            <w:vAlign w:val="center"/>
            <w:hideMark/>
          </w:tcPr>
          <w:p w14:paraId="21C453FC"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1244" w:type="dxa"/>
            <w:tcBorders>
              <w:top w:val="nil"/>
              <w:left w:val="nil"/>
              <w:bottom w:val="single" w:sz="8" w:space="0" w:color="auto"/>
              <w:right w:val="single" w:sz="8" w:space="0" w:color="auto"/>
            </w:tcBorders>
            <w:shd w:val="clear" w:color="auto" w:fill="auto"/>
            <w:noWrap/>
            <w:vAlign w:val="center"/>
            <w:hideMark/>
          </w:tcPr>
          <w:p w14:paraId="03D6A1D9"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227,250</w:t>
            </w:r>
          </w:p>
        </w:tc>
        <w:tc>
          <w:tcPr>
            <w:tcW w:w="844" w:type="dxa"/>
            <w:tcBorders>
              <w:top w:val="nil"/>
              <w:left w:val="nil"/>
              <w:bottom w:val="single" w:sz="8" w:space="0" w:color="auto"/>
              <w:right w:val="single" w:sz="8" w:space="0" w:color="auto"/>
            </w:tcBorders>
            <w:shd w:val="clear" w:color="auto" w:fill="auto"/>
            <w:vAlign w:val="center"/>
            <w:hideMark/>
          </w:tcPr>
          <w:p w14:paraId="5C0BB741" w14:textId="7A308C57" w:rsidR="001F45CE" w:rsidRPr="00913CCF" w:rsidRDefault="00096659"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14</w:t>
            </w:r>
          </w:p>
        </w:tc>
      </w:tr>
      <w:tr w:rsidR="001F45CE" w:rsidRPr="00913CCF" w14:paraId="2C7E1E88" w14:textId="77777777" w:rsidTr="00512288">
        <w:trPr>
          <w:trHeight w:val="162"/>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43F8FC0F"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41EAA36A"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618BFCC9"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526D9EB5"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526E70FA"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71400</w:t>
            </w:r>
          </w:p>
        </w:tc>
        <w:tc>
          <w:tcPr>
            <w:tcW w:w="1597" w:type="dxa"/>
            <w:tcBorders>
              <w:top w:val="nil"/>
              <w:left w:val="nil"/>
              <w:bottom w:val="single" w:sz="8" w:space="0" w:color="auto"/>
              <w:right w:val="single" w:sz="8" w:space="0" w:color="auto"/>
            </w:tcBorders>
            <w:shd w:val="clear" w:color="auto" w:fill="auto"/>
            <w:vAlign w:val="center"/>
            <w:hideMark/>
          </w:tcPr>
          <w:p w14:paraId="71F0FDE2"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Contr. serv. Ind.</w:t>
            </w:r>
          </w:p>
        </w:tc>
        <w:tc>
          <w:tcPr>
            <w:tcW w:w="935" w:type="dxa"/>
            <w:tcBorders>
              <w:top w:val="nil"/>
              <w:left w:val="nil"/>
              <w:bottom w:val="single" w:sz="8" w:space="0" w:color="auto"/>
              <w:right w:val="single" w:sz="8" w:space="0" w:color="auto"/>
            </w:tcBorders>
            <w:shd w:val="clear" w:color="auto" w:fill="auto"/>
            <w:noWrap/>
            <w:vAlign w:val="center"/>
            <w:hideMark/>
          </w:tcPr>
          <w:p w14:paraId="4548C9DA"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34,025</w:t>
            </w:r>
          </w:p>
        </w:tc>
        <w:tc>
          <w:tcPr>
            <w:tcW w:w="996" w:type="dxa"/>
            <w:tcBorders>
              <w:top w:val="nil"/>
              <w:left w:val="nil"/>
              <w:bottom w:val="single" w:sz="8" w:space="0" w:color="auto"/>
              <w:right w:val="single" w:sz="8" w:space="0" w:color="auto"/>
            </w:tcBorders>
            <w:shd w:val="clear" w:color="auto" w:fill="auto"/>
            <w:noWrap/>
            <w:vAlign w:val="center"/>
            <w:hideMark/>
          </w:tcPr>
          <w:p w14:paraId="147488B0"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62,400</w:t>
            </w:r>
          </w:p>
        </w:tc>
        <w:tc>
          <w:tcPr>
            <w:tcW w:w="925" w:type="dxa"/>
            <w:tcBorders>
              <w:top w:val="nil"/>
              <w:left w:val="nil"/>
              <w:bottom w:val="single" w:sz="8" w:space="0" w:color="auto"/>
              <w:right w:val="single" w:sz="8" w:space="0" w:color="auto"/>
            </w:tcBorders>
            <w:shd w:val="clear" w:color="auto" w:fill="auto"/>
            <w:noWrap/>
            <w:vAlign w:val="center"/>
            <w:hideMark/>
          </w:tcPr>
          <w:p w14:paraId="55AC8F45"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70,400</w:t>
            </w:r>
          </w:p>
        </w:tc>
        <w:tc>
          <w:tcPr>
            <w:tcW w:w="925" w:type="dxa"/>
            <w:tcBorders>
              <w:top w:val="nil"/>
              <w:left w:val="nil"/>
              <w:bottom w:val="single" w:sz="8" w:space="0" w:color="auto"/>
              <w:right w:val="single" w:sz="8" w:space="0" w:color="auto"/>
            </w:tcBorders>
            <w:shd w:val="clear" w:color="auto" w:fill="auto"/>
            <w:noWrap/>
            <w:vAlign w:val="center"/>
            <w:hideMark/>
          </w:tcPr>
          <w:p w14:paraId="580120E8"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50,400</w:t>
            </w:r>
          </w:p>
        </w:tc>
        <w:tc>
          <w:tcPr>
            <w:tcW w:w="925" w:type="dxa"/>
            <w:tcBorders>
              <w:top w:val="nil"/>
              <w:left w:val="nil"/>
              <w:bottom w:val="single" w:sz="8" w:space="0" w:color="auto"/>
              <w:right w:val="single" w:sz="8" w:space="0" w:color="auto"/>
            </w:tcBorders>
            <w:shd w:val="clear" w:color="auto" w:fill="auto"/>
            <w:noWrap/>
            <w:vAlign w:val="center"/>
            <w:hideMark/>
          </w:tcPr>
          <w:p w14:paraId="3E585220"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14,400</w:t>
            </w:r>
          </w:p>
        </w:tc>
        <w:tc>
          <w:tcPr>
            <w:tcW w:w="925" w:type="dxa"/>
            <w:tcBorders>
              <w:top w:val="nil"/>
              <w:left w:val="nil"/>
              <w:bottom w:val="single" w:sz="8" w:space="0" w:color="auto"/>
              <w:right w:val="single" w:sz="8" w:space="0" w:color="auto"/>
            </w:tcBorders>
            <w:shd w:val="clear" w:color="auto" w:fill="auto"/>
            <w:vAlign w:val="center"/>
            <w:hideMark/>
          </w:tcPr>
          <w:p w14:paraId="5D537A67"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22,400</w:t>
            </w:r>
          </w:p>
        </w:tc>
        <w:tc>
          <w:tcPr>
            <w:tcW w:w="1244" w:type="dxa"/>
            <w:tcBorders>
              <w:top w:val="nil"/>
              <w:left w:val="nil"/>
              <w:bottom w:val="single" w:sz="8" w:space="0" w:color="auto"/>
              <w:right w:val="single" w:sz="8" w:space="0" w:color="auto"/>
            </w:tcBorders>
            <w:shd w:val="clear" w:color="auto" w:fill="auto"/>
            <w:noWrap/>
            <w:vAlign w:val="center"/>
            <w:hideMark/>
          </w:tcPr>
          <w:p w14:paraId="668BA705"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254,025</w:t>
            </w:r>
          </w:p>
        </w:tc>
        <w:tc>
          <w:tcPr>
            <w:tcW w:w="844" w:type="dxa"/>
            <w:tcBorders>
              <w:top w:val="nil"/>
              <w:left w:val="nil"/>
              <w:bottom w:val="single" w:sz="8" w:space="0" w:color="auto"/>
              <w:right w:val="single" w:sz="8" w:space="0" w:color="auto"/>
            </w:tcBorders>
            <w:shd w:val="clear" w:color="auto" w:fill="auto"/>
            <w:vAlign w:val="center"/>
            <w:hideMark/>
          </w:tcPr>
          <w:p w14:paraId="16935059" w14:textId="7ED9FE14" w:rsidR="001F45CE" w:rsidRPr="00913CCF" w:rsidRDefault="00096659"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15</w:t>
            </w:r>
          </w:p>
        </w:tc>
      </w:tr>
      <w:tr w:rsidR="001F45CE" w:rsidRPr="00913CCF" w14:paraId="0E986F1E" w14:textId="77777777" w:rsidTr="00512288">
        <w:trPr>
          <w:trHeight w:val="198"/>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7D6603B8"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4DA9B283"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0232316C"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5A9EA9F0"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13EA54C1"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71600</w:t>
            </w:r>
          </w:p>
        </w:tc>
        <w:tc>
          <w:tcPr>
            <w:tcW w:w="1597" w:type="dxa"/>
            <w:tcBorders>
              <w:top w:val="nil"/>
              <w:left w:val="nil"/>
              <w:bottom w:val="single" w:sz="8" w:space="0" w:color="auto"/>
              <w:right w:val="single" w:sz="8" w:space="0" w:color="auto"/>
            </w:tcBorders>
            <w:shd w:val="clear" w:color="auto" w:fill="auto"/>
            <w:vAlign w:val="center"/>
            <w:hideMark/>
          </w:tcPr>
          <w:p w14:paraId="1FC21E32"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Travel</w:t>
            </w:r>
          </w:p>
        </w:tc>
        <w:tc>
          <w:tcPr>
            <w:tcW w:w="935" w:type="dxa"/>
            <w:tcBorders>
              <w:top w:val="nil"/>
              <w:left w:val="nil"/>
              <w:bottom w:val="single" w:sz="8" w:space="0" w:color="auto"/>
              <w:right w:val="single" w:sz="8" w:space="0" w:color="auto"/>
            </w:tcBorders>
            <w:shd w:val="clear" w:color="auto" w:fill="auto"/>
            <w:noWrap/>
            <w:vAlign w:val="center"/>
            <w:hideMark/>
          </w:tcPr>
          <w:p w14:paraId="750D32D6"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20,360</w:t>
            </w:r>
          </w:p>
        </w:tc>
        <w:tc>
          <w:tcPr>
            <w:tcW w:w="996" w:type="dxa"/>
            <w:tcBorders>
              <w:top w:val="nil"/>
              <w:left w:val="nil"/>
              <w:bottom w:val="single" w:sz="8" w:space="0" w:color="auto"/>
              <w:right w:val="single" w:sz="8" w:space="0" w:color="auto"/>
            </w:tcBorders>
            <w:shd w:val="clear" w:color="auto" w:fill="auto"/>
            <w:noWrap/>
            <w:vAlign w:val="center"/>
            <w:hideMark/>
          </w:tcPr>
          <w:p w14:paraId="1664314F"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31,820</w:t>
            </w:r>
          </w:p>
        </w:tc>
        <w:tc>
          <w:tcPr>
            <w:tcW w:w="925" w:type="dxa"/>
            <w:tcBorders>
              <w:top w:val="nil"/>
              <w:left w:val="nil"/>
              <w:bottom w:val="single" w:sz="8" w:space="0" w:color="auto"/>
              <w:right w:val="single" w:sz="8" w:space="0" w:color="auto"/>
            </w:tcBorders>
            <w:shd w:val="clear" w:color="auto" w:fill="auto"/>
            <w:noWrap/>
            <w:vAlign w:val="center"/>
            <w:hideMark/>
          </w:tcPr>
          <w:p w14:paraId="1CC45707"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33,780</w:t>
            </w:r>
          </w:p>
        </w:tc>
        <w:tc>
          <w:tcPr>
            <w:tcW w:w="925" w:type="dxa"/>
            <w:tcBorders>
              <w:top w:val="nil"/>
              <w:left w:val="nil"/>
              <w:bottom w:val="single" w:sz="8" w:space="0" w:color="auto"/>
              <w:right w:val="single" w:sz="8" w:space="0" w:color="auto"/>
            </w:tcBorders>
            <w:shd w:val="clear" w:color="auto" w:fill="auto"/>
            <w:noWrap/>
            <w:vAlign w:val="center"/>
            <w:hideMark/>
          </w:tcPr>
          <w:p w14:paraId="334B6B47"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25,500</w:t>
            </w:r>
          </w:p>
        </w:tc>
        <w:tc>
          <w:tcPr>
            <w:tcW w:w="925" w:type="dxa"/>
            <w:tcBorders>
              <w:top w:val="nil"/>
              <w:left w:val="nil"/>
              <w:bottom w:val="single" w:sz="8" w:space="0" w:color="auto"/>
              <w:right w:val="single" w:sz="8" w:space="0" w:color="auto"/>
            </w:tcBorders>
            <w:shd w:val="clear" w:color="auto" w:fill="auto"/>
            <w:noWrap/>
            <w:vAlign w:val="center"/>
            <w:hideMark/>
          </w:tcPr>
          <w:p w14:paraId="6F5F646C"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11,500</w:t>
            </w:r>
          </w:p>
        </w:tc>
        <w:tc>
          <w:tcPr>
            <w:tcW w:w="925" w:type="dxa"/>
            <w:tcBorders>
              <w:top w:val="nil"/>
              <w:left w:val="nil"/>
              <w:bottom w:val="single" w:sz="8" w:space="0" w:color="auto"/>
              <w:right w:val="single" w:sz="8" w:space="0" w:color="auto"/>
            </w:tcBorders>
            <w:shd w:val="clear" w:color="auto" w:fill="auto"/>
            <w:vAlign w:val="center"/>
            <w:hideMark/>
          </w:tcPr>
          <w:p w14:paraId="399C7713"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1,500</w:t>
            </w:r>
          </w:p>
        </w:tc>
        <w:tc>
          <w:tcPr>
            <w:tcW w:w="1244" w:type="dxa"/>
            <w:tcBorders>
              <w:top w:val="nil"/>
              <w:left w:val="nil"/>
              <w:bottom w:val="single" w:sz="8" w:space="0" w:color="auto"/>
              <w:right w:val="single" w:sz="8" w:space="0" w:color="auto"/>
            </w:tcBorders>
            <w:shd w:val="clear" w:color="auto" w:fill="auto"/>
            <w:noWrap/>
            <w:vAlign w:val="center"/>
            <w:hideMark/>
          </w:tcPr>
          <w:p w14:paraId="4290E6D9"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124,460</w:t>
            </w:r>
          </w:p>
        </w:tc>
        <w:tc>
          <w:tcPr>
            <w:tcW w:w="844" w:type="dxa"/>
            <w:tcBorders>
              <w:top w:val="nil"/>
              <w:left w:val="nil"/>
              <w:bottom w:val="single" w:sz="8" w:space="0" w:color="auto"/>
              <w:right w:val="single" w:sz="8" w:space="0" w:color="auto"/>
            </w:tcBorders>
            <w:shd w:val="clear" w:color="auto" w:fill="auto"/>
            <w:vAlign w:val="center"/>
            <w:hideMark/>
          </w:tcPr>
          <w:p w14:paraId="4BF4EF98" w14:textId="080EBB61" w:rsidR="001F45CE" w:rsidRPr="00913CCF" w:rsidRDefault="00096659"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16</w:t>
            </w:r>
          </w:p>
        </w:tc>
      </w:tr>
      <w:tr w:rsidR="001F45CE" w:rsidRPr="00913CCF" w14:paraId="09CBAF8B" w14:textId="77777777" w:rsidTr="00512288">
        <w:trPr>
          <w:trHeight w:val="225"/>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08EB7DA9"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4D4072DE"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3C838A83"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1D659198"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5C8F2B11"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72100</w:t>
            </w:r>
          </w:p>
        </w:tc>
        <w:tc>
          <w:tcPr>
            <w:tcW w:w="1597" w:type="dxa"/>
            <w:tcBorders>
              <w:top w:val="nil"/>
              <w:left w:val="nil"/>
              <w:bottom w:val="single" w:sz="8" w:space="0" w:color="auto"/>
              <w:right w:val="single" w:sz="8" w:space="0" w:color="auto"/>
            </w:tcBorders>
            <w:shd w:val="clear" w:color="auto" w:fill="auto"/>
            <w:vAlign w:val="center"/>
            <w:hideMark/>
          </w:tcPr>
          <w:p w14:paraId="7B740383"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 xml:space="preserve">Contr. serv. </w:t>
            </w:r>
            <w:proofErr w:type="spellStart"/>
            <w:r w:rsidRPr="00913CCF">
              <w:rPr>
                <w:rFonts w:eastAsia="Times New Roman" w:cs="Calibri"/>
                <w:color w:val="000000"/>
                <w:sz w:val="16"/>
                <w:szCs w:val="16"/>
              </w:rPr>
              <w:t>cies</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2CB7BEB7"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40,000</w:t>
            </w:r>
          </w:p>
        </w:tc>
        <w:tc>
          <w:tcPr>
            <w:tcW w:w="996" w:type="dxa"/>
            <w:tcBorders>
              <w:top w:val="nil"/>
              <w:left w:val="nil"/>
              <w:bottom w:val="single" w:sz="8" w:space="0" w:color="auto"/>
              <w:right w:val="single" w:sz="8" w:space="0" w:color="auto"/>
            </w:tcBorders>
            <w:shd w:val="clear" w:color="auto" w:fill="auto"/>
            <w:noWrap/>
            <w:vAlign w:val="center"/>
            <w:hideMark/>
          </w:tcPr>
          <w:p w14:paraId="201C2B5A"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40,000</w:t>
            </w:r>
          </w:p>
        </w:tc>
        <w:tc>
          <w:tcPr>
            <w:tcW w:w="925" w:type="dxa"/>
            <w:tcBorders>
              <w:top w:val="nil"/>
              <w:left w:val="nil"/>
              <w:bottom w:val="single" w:sz="8" w:space="0" w:color="auto"/>
              <w:right w:val="single" w:sz="8" w:space="0" w:color="auto"/>
            </w:tcBorders>
            <w:shd w:val="clear" w:color="auto" w:fill="auto"/>
            <w:noWrap/>
            <w:vAlign w:val="center"/>
            <w:hideMark/>
          </w:tcPr>
          <w:p w14:paraId="73B7F05D"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260,000</w:t>
            </w:r>
          </w:p>
        </w:tc>
        <w:tc>
          <w:tcPr>
            <w:tcW w:w="925" w:type="dxa"/>
            <w:tcBorders>
              <w:top w:val="nil"/>
              <w:left w:val="nil"/>
              <w:bottom w:val="single" w:sz="8" w:space="0" w:color="auto"/>
              <w:right w:val="single" w:sz="8" w:space="0" w:color="auto"/>
            </w:tcBorders>
            <w:shd w:val="clear" w:color="auto" w:fill="auto"/>
            <w:noWrap/>
            <w:vAlign w:val="center"/>
            <w:hideMark/>
          </w:tcPr>
          <w:p w14:paraId="728D035D"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72,000</w:t>
            </w:r>
          </w:p>
        </w:tc>
        <w:tc>
          <w:tcPr>
            <w:tcW w:w="925" w:type="dxa"/>
            <w:tcBorders>
              <w:top w:val="nil"/>
              <w:left w:val="nil"/>
              <w:bottom w:val="single" w:sz="8" w:space="0" w:color="auto"/>
              <w:right w:val="single" w:sz="8" w:space="0" w:color="auto"/>
            </w:tcBorders>
            <w:shd w:val="clear" w:color="auto" w:fill="auto"/>
            <w:noWrap/>
            <w:vAlign w:val="center"/>
            <w:hideMark/>
          </w:tcPr>
          <w:p w14:paraId="26C6F010"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38F4513B"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10,000</w:t>
            </w:r>
          </w:p>
        </w:tc>
        <w:tc>
          <w:tcPr>
            <w:tcW w:w="1244" w:type="dxa"/>
            <w:tcBorders>
              <w:top w:val="nil"/>
              <w:left w:val="nil"/>
              <w:bottom w:val="single" w:sz="8" w:space="0" w:color="auto"/>
              <w:right w:val="single" w:sz="8" w:space="0" w:color="auto"/>
            </w:tcBorders>
            <w:shd w:val="clear" w:color="auto" w:fill="auto"/>
            <w:noWrap/>
            <w:vAlign w:val="center"/>
            <w:hideMark/>
          </w:tcPr>
          <w:p w14:paraId="0FDD1FD9"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422,000</w:t>
            </w:r>
          </w:p>
        </w:tc>
        <w:tc>
          <w:tcPr>
            <w:tcW w:w="844" w:type="dxa"/>
            <w:tcBorders>
              <w:top w:val="nil"/>
              <w:left w:val="nil"/>
              <w:bottom w:val="single" w:sz="8" w:space="0" w:color="auto"/>
              <w:right w:val="single" w:sz="8" w:space="0" w:color="auto"/>
            </w:tcBorders>
            <w:shd w:val="clear" w:color="auto" w:fill="auto"/>
            <w:vAlign w:val="center"/>
            <w:hideMark/>
          </w:tcPr>
          <w:p w14:paraId="311B9263" w14:textId="647C0D38" w:rsidR="001F45CE" w:rsidRPr="00913CCF" w:rsidRDefault="00096659"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17</w:t>
            </w:r>
          </w:p>
        </w:tc>
      </w:tr>
      <w:tr w:rsidR="001F45CE" w:rsidRPr="00913CCF" w14:paraId="1C35AA60" w14:textId="77777777" w:rsidTr="00512288">
        <w:trPr>
          <w:trHeight w:val="225"/>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661A1739"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11F9DA99"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3943E0D8"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7C15A052"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64B47288"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72200</w:t>
            </w:r>
          </w:p>
        </w:tc>
        <w:tc>
          <w:tcPr>
            <w:tcW w:w="1597" w:type="dxa"/>
            <w:tcBorders>
              <w:top w:val="nil"/>
              <w:left w:val="nil"/>
              <w:bottom w:val="single" w:sz="8" w:space="0" w:color="auto"/>
              <w:right w:val="single" w:sz="8" w:space="0" w:color="auto"/>
            </w:tcBorders>
            <w:shd w:val="clear" w:color="auto" w:fill="auto"/>
            <w:vAlign w:val="center"/>
            <w:hideMark/>
          </w:tcPr>
          <w:p w14:paraId="799AB846"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Equip. Furniture</w:t>
            </w:r>
          </w:p>
        </w:tc>
        <w:tc>
          <w:tcPr>
            <w:tcW w:w="935" w:type="dxa"/>
            <w:tcBorders>
              <w:top w:val="nil"/>
              <w:left w:val="nil"/>
              <w:bottom w:val="single" w:sz="8" w:space="0" w:color="auto"/>
              <w:right w:val="single" w:sz="8" w:space="0" w:color="auto"/>
            </w:tcBorders>
            <w:shd w:val="clear" w:color="auto" w:fill="auto"/>
            <w:noWrap/>
            <w:vAlign w:val="center"/>
            <w:hideMark/>
          </w:tcPr>
          <w:p w14:paraId="3F9C52B6" w14:textId="10206FBF" w:rsidR="001F45CE" w:rsidRPr="00EF6D8E"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161,200</w:t>
            </w:r>
          </w:p>
        </w:tc>
        <w:tc>
          <w:tcPr>
            <w:tcW w:w="996" w:type="dxa"/>
            <w:tcBorders>
              <w:top w:val="nil"/>
              <w:left w:val="nil"/>
              <w:bottom w:val="single" w:sz="8" w:space="0" w:color="auto"/>
              <w:right w:val="single" w:sz="8" w:space="0" w:color="auto"/>
            </w:tcBorders>
            <w:shd w:val="clear" w:color="auto" w:fill="auto"/>
            <w:noWrap/>
            <w:vAlign w:val="center"/>
            <w:hideMark/>
          </w:tcPr>
          <w:p w14:paraId="6B1DDE91"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4,000</w:t>
            </w:r>
          </w:p>
        </w:tc>
        <w:tc>
          <w:tcPr>
            <w:tcW w:w="925" w:type="dxa"/>
            <w:tcBorders>
              <w:top w:val="nil"/>
              <w:left w:val="nil"/>
              <w:bottom w:val="single" w:sz="8" w:space="0" w:color="auto"/>
              <w:right w:val="single" w:sz="8" w:space="0" w:color="auto"/>
            </w:tcBorders>
            <w:shd w:val="clear" w:color="auto" w:fill="auto"/>
            <w:noWrap/>
            <w:vAlign w:val="center"/>
            <w:hideMark/>
          </w:tcPr>
          <w:p w14:paraId="73F04155"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215,400</w:t>
            </w:r>
          </w:p>
        </w:tc>
        <w:tc>
          <w:tcPr>
            <w:tcW w:w="925" w:type="dxa"/>
            <w:tcBorders>
              <w:top w:val="nil"/>
              <w:left w:val="nil"/>
              <w:bottom w:val="single" w:sz="8" w:space="0" w:color="auto"/>
              <w:right w:val="single" w:sz="8" w:space="0" w:color="auto"/>
            </w:tcBorders>
            <w:shd w:val="clear" w:color="auto" w:fill="auto"/>
            <w:noWrap/>
            <w:vAlign w:val="center"/>
            <w:hideMark/>
          </w:tcPr>
          <w:p w14:paraId="63074001"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104,000</w:t>
            </w:r>
          </w:p>
        </w:tc>
        <w:tc>
          <w:tcPr>
            <w:tcW w:w="925" w:type="dxa"/>
            <w:tcBorders>
              <w:top w:val="nil"/>
              <w:left w:val="nil"/>
              <w:bottom w:val="single" w:sz="8" w:space="0" w:color="auto"/>
              <w:right w:val="single" w:sz="8" w:space="0" w:color="auto"/>
            </w:tcBorders>
            <w:shd w:val="clear" w:color="auto" w:fill="auto"/>
            <w:noWrap/>
            <w:vAlign w:val="center"/>
            <w:hideMark/>
          </w:tcPr>
          <w:p w14:paraId="282F566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4,000</w:t>
            </w:r>
          </w:p>
        </w:tc>
        <w:tc>
          <w:tcPr>
            <w:tcW w:w="925" w:type="dxa"/>
            <w:tcBorders>
              <w:top w:val="nil"/>
              <w:left w:val="nil"/>
              <w:bottom w:val="single" w:sz="8" w:space="0" w:color="auto"/>
              <w:right w:val="single" w:sz="8" w:space="0" w:color="auto"/>
            </w:tcBorders>
            <w:shd w:val="clear" w:color="auto" w:fill="auto"/>
            <w:vAlign w:val="center"/>
            <w:hideMark/>
          </w:tcPr>
          <w:p w14:paraId="3B11B648"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4,000</w:t>
            </w:r>
          </w:p>
        </w:tc>
        <w:tc>
          <w:tcPr>
            <w:tcW w:w="1244" w:type="dxa"/>
            <w:tcBorders>
              <w:top w:val="nil"/>
              <w:left w:val="nil"/>
              <w:bottom w:val="single" w:sz="8" w:space="0" w:color="auto"/>
              <w:right w:val="single" w:sz="8" w:space="0" w:color="auto"/>
            </w:tcBorders>
            <w:shd w:val="clear" w:color="auto" w:fill="auto"/>
            <w:noWrap/>
            <w:vAlign w:val="center"/>
            <w:hideMark/>
          </w:tcPr>
          <w:p w14:paraId="318AC957" w14:textId="476BB7EC" w:rsidR="001F45CE" w:rsidRPr="00EF6D8E" w:rsidRDefault="001F45CE"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492,600</w:t>
            </w:r>
          </w:p>
        </w:tc>
        <w:tc>
          <w:tcPr>
            <w:tcW w:w="844" w:type="dxa"/>
            <w:tcBorders>
              <w:top w:val="nil"/>
              <w:left w:val="nil"/>
              <w:bottom w:val="single" w:sz="8" w:space="0" w:color="auto"/>
              <w:right w:val="single" w:sz="8" w:space="0" w:color="auto"/>
            </w:tcBorders>
            <w:shd w:val="clear" w:color="auto" w:fill="auto"/>
            <w:vAlign w:val="center"/>
            <w:hideMark/>
          </w:tcPr>
          <w:p w14:paraId="345AD8A3" w14:textId="007FD731" w:rsidR="001F45CE" w:rsidRPr="00913CCF" w:rsidRDefault="00096659"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18</w:t>
            </w:r>
          </w:p>
        </w:tc>
      </w:tr>
      <w:tr w:rsidR="001F45CE" w:rsidRPr="00913CCF" w14:paraId="64D15F12" w14:textId="77777777" w:rsidTr="00512288">
        <w:trPr>
          <w:trHeight w:val="135"/>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51D5F173"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179CBB0C"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72C06EE8"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5B6BB949"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4EAFFADD"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72300</w:t>
            </w:r>
          </w:p>
        </w:tc>
        <w:tc>
          <w:tcPr>
            <w:tcW w:w="1597" w:type="dxa"/>
            <w:tcBorders>
              <w:top w:val="nil"/>
              <w:left w:val="nil"/>
              <w:bottom w:val="single" w:sz="8" w:space="0" w:color="auto"/>
              <w:right w:val="single" w:sz="8" w:space="0" w:color="auto"/>
            </w:tcBorders>
            <w:shd w:val="clear" w:color="auto" w:fill="auto"/>
            <w:vAlign w:val="center"/>
            <w:hideMark/>
          </w:tcPr>
          <w:p w14:paraId="5037C5DA"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Material &amp; Goods</w:t>
            </w:r>
          </w:p>
        </w:tc>
        <w:tc>
          <w:tcPr>
            <w:tcW w:w="935" w:type="dxa"/>
            <w:tcBorders>
              <w:top w:val="nil"/>
              <w:left w:val="nil"/>
              <w:bottom w:val="single" w:sz="8" w:space="0" w:color="auto"/>
              <w:right w:val="single" w:sz="8" w:space="0" w:color="auto"/>
            </w:tcBorders>
            <w:shd w:val="clear" w:color="auto" w:fill="auto"/>
            <w:noWrap/>
            <w:vAlign w:val="center"/>
            <w:hideMark/>
          </w:tcPr>
          <w:p w14:paraId="06AE26AC"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96" w:type="dxa"/>
            <w:tcBorders>
              <w:top w:val="nil"/>
              <w:left w:val="nil"/>
              <w:bottom w:val="single" w:sz="8" w:space="0" w:color="auto"/>
              <w:right w:val="single" w:sz="8" w:space="0" w:color="auto"/>
            </w:tcBorders>
            <w:shd w:val="clear" w:color="auto" w:fill="auto"/>
            <w:noWrap/>
            <w:vAlign w:val="center"/>
            <w:hideMark/>
          </w:tcPr>
          <w:p w14:paraId="620E4C3B"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35,000</w:t>
            </w:r>
          </w:p>
        </w:tc>
        <w:tc>
          <w:tcPr>
            <w:tcW w:w="925" w:type="dxa"/>
            <w:tcBorders>
              <w:top w:val="nil"/>
              <w:left w:val="nil"/>
              <w:bottom w:val="single" w:sz="8" w:space="0" w:color="auto"/>
              <w:right w:val="single" w:sz="8" w:space="0" w:color="auto"/>
            </w:tcBorders>
            <w:shd w:val="clear" w:color="auto" w:fill="auto"/>
            <w:noWrap/>
            <w:vAlign w:val="center"/>
            <w:hideMark/>
          </w:tcPr>
          <w:p w14:paraId="598F52AB"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155,000</w:t>
            </w:r>
          </w:p>
        </w:tc>
        <w:tc>
          <w:tcPr>
            <w:tcW w:w="925" w:type="dxa"/>
            <w:tcBorders>
              <w:top w:val="nil"/>
              <w:left w:val="nil"/>
              <w:bottom w:val="single" w:sz="8" w:space="0" w:color="auto"/>
              <w:right w:val="single" w:sz="8" w:space="0" w:color="auto"/>
            </w:tcBorders>
            <w:shd w:val="clear" w:color="auto" w:fill="auto"/>
            <w:noWrap/>
            <w:vAlign w:val="center"/>
            <w:hideMark/>
          </w:tcPr>
          <w:p w14:paraId="6A633ECA"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145,000</w:t>
            </w:r>
          </w:p>
        </w:tc>
        <w:tc>
          <w:tcPr>
            <w:tcW w:w="925" w:type="dxa"/>
            <w:tcBorders>
              <w:top w:val="nil"/>
              <w:left w:val="nil"/>
              <w:bottom w:val="single" w:sz="8" w:space="0" w:color="auto"/>
              <w:right w:val="single" w:sz="8" w:space="0" w:color="auto"/>
            </w:tcBorders>
            <w:shd w:val="clear" w:color="auto" w:fill="auto"/>
            <w:noWrap/>
            <w:vAlign w:val="center"/>
            <w:hideMark/>
          </w:tcPr>
          <w:p w14:paraId="7C6CAEF6"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145,000</w:t>
            </w:r>
          </w:p>
        </w:tc>
        <w:tc>
          <w:tcPr>
            <w:tcW w:w="925" w:type="dxa"/>
            <w:tcBorders>
              <w:top w:val="nil"/>
              <w:left w:val="nil"/>
              <w:bottom w:val="single" w:sz="8" w:space="0" w:color="auto"/>
              <w:right w:val="single" w:sz="8" w:space="0" w:color="auto"/>
            </w:tcBorders>
            <w:shd w:val="clear" w:color="auto" w:fill="auto"/>
            <w:vAlign w:val="center"/>
            <w:hideMark/>
          </w:tcPr>
          <w:p w14:paraId="7080FC90"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1244" w:type="dxa"/>
            <w:tcBorders>
              <w:top w:val="nil"/>
              <w:left w:val="nil"/>
              <w:bottom w:val="single" w:sz="8" w:space="0" w:color="auto"/>
              <w:right w:val="single" w:sz="8" w:space="0" w:color="auto"/>
            </w:tcBorders>
            <w:shd w:val="clear" w:color="auto" w:fill="auto"/>
            <w:noWrap/>
            <w:vAlign w:val="center"/>
            <w:hideMark/>
          </w:tcPr>
          <w:p w14:paraId="1F66216B"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480,000</w:t>
            </w:r>
          </w:p>
        </w:tc>
        <w:tc>
          <w:tcPr>
            <w:tcW w:w="844" w:type="dxa"/>
            <w:tcBorders>
              <w:top w:val="nil"/>
              <w:left w:val="nil"/>
              <w:bottom w:val="single" w:sz="8" w:space="0" w:color="auto"/>
              <w:right w:val="single" w:sz="8" w:space="0" w:color="auto"/>
            </w:tcBorders>
            <w:shd w:val="clear" w:color="auto" w:fill="auto"/>
            <w:vAlign w:val="center"/>
            <w:hideMark/>
          </w:tcPr>
          <w:p w14:paraId="2C1CB826" w14:textId="4FF8E34E" w:rsidR="001F45CE" w:rsidRPr="00913CCF" w:rsidRDefault="00096659"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19</w:t>
            </w:r>
          </w:p>
        </w:tc>
      </w:tr>
      <w:tr w:rsidR="001F45CE" w:rsidRPr="00913CCF" w14:paraId="79E64621" w14:textId="77777777" w:rsidTr="00512288">
        <w:trPr>
          <w:trHeight w:val="162"/>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4F392A80"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5F205F18"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77ECF973"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592AB9E5"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572A6F9D"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72800</w:t>
            </w:r>
          </w:p>
        </w:tc>
        <w:tc>
          <w:tcPr>
            <w:tcW w:w="1597" w:type="dxa"/>
            <w:tcBorders>
              <w:top w:val="nil"/>
              <w:left w:val="nil"/>
              <w:bottom w:val="single" w:sz="8" w:space="0" w:color="auto"/>
              <w:right w:val="single" w:sz="8" w:space="0" w:color="auto"/>
            </w:tcBorders>
            <w:shd w:val="clear" w:color="auto" w:fill="auto"/>
            <w:vAlign w:val="center"/>
            <w:hideMark/>
          </w:tcPr>
          <w:p w14:paraId="1208C9AE"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Info. Tech. Equip</w:t>
            </w:r>
          </w:p>
        </w:tc>
        <w:tc>
          <w:tcPr>
            <w:tcW w:w="935" w:type="dxa"/>
            <w:tcBorders>
              <w:top w:val="nil"/>
              <w:left w:val="nil"/>
              <w:bottom w:val="single" w:sz="8" w:space="0" w:color="auto"/>
              <w:right w:val="single" w:sz="8" w:space="0" w:color="auto"/>
            </w:tcBorders>
            <w:shd w:val="clear" w:color="auto" w:fill="auto"/>
            <w:noWrap/>
            <w:vAlign w:val="center"/>
            <w:hideMark/>
          </w:tcPr>
          <w:p w14:paraId="762DE469"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100,000</w:t>
            </w:r>
          </w:p>
        </w:tc>
        <w:tc>
          <w:tcPr>
            <w:tcW w:w="996" w:type="dxa"/>
            <w:tcBorders>
              <w:top w:val="nil"/>
              <w:left w:val="nil"/>
              <w:bottom w:val="single" w:sz="8" w:space="0" w:color="auto"/>
              <w:right w:val="single" w:sz="8" w:space="0" w:color="auto"/>
            </w:tcBorders>
            <w:shd w:val="clear" w:color="auto" w:fill="auto"/>
            <w:noWrap/>
            <w:vAlign w:val="center"/>
            <w:hideMark/>
          </w:tcPr>
          <w:p w14:paraId="59A085EE"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noWrap/>
            <w:vAlign w:val="center"/>
            <w:hideMark/>
          </w:tcPr>
          <w:p w14:paraId="7E3EE9FA"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noWrap/>
            <w:vAlign w:val="center"/>
            <w:hideMark/>
          </w:tcPr>
          <w:p w14:paraId="4EA318F3"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noWrap/>
            <w:vAlign w:val="center"/>
            <w:hideMark/>
          </w:tcPr>
          <w:p w14:paraId="6201094D"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5CCEC5CF"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1244" w:type="dxa"/>
            <w:tcBorders>
              <w:top w:val="nil"/>
              <w:left w:val="nil"/>
              <w:bottom w:val="single" w:sz="8" w:space="0" w:color="auto"/>
              <w:right w:val="single" w:sz="8" w:space="0" w:color="auto"/>
            </w:tcBorders>
            <w:shd w:val="clear" w:color="auto" w:fill="auto"/>
            <w:noWrap/>
            <w:vAlign w:val="center"/>
            <w:hideMark/>
          </w:tcPr>
          <w:p w14:paraId="03877330"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100,000</w:t>
            </w:r>
          </w:p>
        </w:tc>
        <w:tc>
          <w:tcPr>
            <w:tcW w:w="844" w:type="dxa"/>
            <w:tcBorders>
              <w:top w:val="nil"/>
              <w:left w:val="nil"/>
              <w:bottom w:val="single" w:sz="8" w:space="0" w:color="auto"/>
              <w:right w:val="single" w:sz="8" w:space="0" w:color="auto"/>
            </w:tcBorders>
            <w:shd w:val="clear" w:color="auto" w:fill="auto"/>
            <w:vAlign w:val="center"/>
            <w:hideMark/>
          </w:tcPr>
          <w:p w14:paraId="7E5ABBDF" w14:textId="2751E35B" w:rsidR="001F45CE" w:rsidRPr="00913CCF" w:rsidRDefault="00096659"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20</w:t>
            </w:r>
          </w:p>
        </w:tc>
      </w:tr>
      <w:tr w:rsidR="001F45CE" w:rsidRPr="00913CCF" w14:paraId="31ED753B" w14:textId="77777777" w:rsidTr="00512288">
        <w:trPr>
          <w:trHeight w:val="198"/>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121D6464"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0CA1024F"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17E24A19"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5F4159CD"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691EFA91"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74200</w:t>
            </w:r>
          </w:p>
        </w:tc>
        <w:tc>
          <w:tcPr>
            <w:tcW w:w="1597" w:type="dxa"/>
            <w:tcBorders>
              <w:top w:val="nil"/>
              <w:left w:val="nil"/>
              <w:bottom w:val="single" w:sz="8" w:space="0" w:color="auto"/>
              <w:right w:val="single" w:sz="8" w:space="0" w:color="auto"/>
            </w:tcBorders>
            <w:shd w:val="clear" w:color="auto" w:fill="auto"/>
            <w:vAlign w:val="center"/>
            <w:hideMark/>
          </w:tcPr>
          <w:p w14:paraId="647F787F" w14:textId="77777777" w:rsidR="001F45CE" w:rsidRPr="00913CCF" w:rsidRDefault="001F45CE" w:rsidP="001F45CE">
            <w:pPr>
              <w:spacing w:after="0"/>
              <w:jc w:val="left"/>
              <w:rPr>
                <w:rFonts w:eastAsia="Times New Roman" w:cs="Calibri"/>
                <w:color w:val="000000"/>
                <w:sz w:val="16"/>
                <w:szCs w:val="16"/>
              </w:rPr>
            </w:pPr>
            <w:proofErr w:type="spellStart"/>
            <w:r w:rsidRPr="00913CCF">
              <w:rPr>
                <w:rFonts w:eastAsia="Times New Roman" w:cs="Calibri"/>
                <w:color w:val="000000"/>
                <w:sz w:val="16"/>
                <w:szCs w:val="16"/>
                <w:lang w:val="fr-CA"/>
              </w:rPr>
              <w:t>Audiov</w:t>
            </w:r>
            <w:proofErr w:type="spellEnd"/>
            <w:r w:rsidRPr="00913CCF">
              <w:rPr>
                <w:rFonts w:eastAsia="Times New Roman" w:cs="Calibri"/>
                <w:color w:val="000000"/>
                <w:sz w:val="16"/>
                <w:szCs w:val="16"/>
                <w:lang w:val="fr-CA"/>
              </w:rPr>
              <w:t xml:space="preserve">. </w:t>
            </w:r>
            <w:proofErr w:type="spellStart"/>
            <w:proofErr w:type="gramStart"/>
            <w:r w:rsidRPr="00913CCF">
              <w:rPr>
                <w:rFonts w:eastAsia="Times New Roman" w:cs="Calibri"/>
                <w:color w:val="000000"/>
                <w:sz w:val="16"/>
                <w:szCs w:val="16"/>
                <w:lang w:val="fr-CA"/>
              </w:rPr>
              <w:t>print</w:t>
            </w:r>
            <w:proofErr w:type="spellEnd"/>
            <w:proofErr w:type="gramEnd"/>
            <w:r w:rsidRPr="00913CCF">
              <w:rPr>
                <w:rFonts w:eastAsia="Times New Roman" w:cs="Calibri"/>
                <w:color w:val="000000"/>
                <w:sz w:val="16"/>
                <w:szCs w:val="16"/>
                <w:lang w:val="fr-CA"/>
              </w:rPr>
              <w:t xml:space="preserve"> prod.</w:t>
            </w:r>
          </w:p>
        </w:tc>
        <w:tc>
          <w:tcPr>
            <w:tcW w:w="935" w:type="dxa"/>
            <w:tcBorders>
              <w:top w:val="nil"/>
              <w:left w:val="nil"/>
              <w:bottom w:val="single" w:sz="8" w:space="0" w:color="auto"/>
              <w:right w:val="single" w:sz="8" w:space="0" w:color="auto"/>
            </w:tcBorders>
            <w:shd w:val="clear" w:color="auto" w:fill="auto"/>
            <w:noWrap/>
            <w:vAlign w:val="center"/>
            <w:hideMark/>
          </w:tcPr>
          <w:p w14:paraId="093E8897"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lang w:val="fr-CA"/>
              </w:rPr>
              <w:t>0</w:t>
            </w:r>
          </w:p>
        </w:tc>
        <w:tc>
          <w:tcPr>
            <w:tcW w:w="996" w:type="dxa"/>
            <w:tcBorders>
              <w:top w:val="nil"/>
              <w:left w:val="nil"/>
              <w:bottom w:val="single" w:sz="8" w:space="0" w:color="auto"/>
              <w:right w:val="single" w:sz="8" w:space="0" w:color="auto"/>
            </w:tcBorders>
            <w:shd w:val="clear" w:color="auto" w:fill="auto"/>
            <w:noWrap/>
            <w:vAlign w:val="center"/>
            <w:hideMark/>
          </w:tcPr>
          <w:p w14:paraId="3F0AC446"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lang w:val="fr-CA"/>
              </w:rPr>
              <w:t>10,000</w:t>
            </w:r>
          </w:p>
        </w:tc>
        <w:tc>
          <w:tcPr>
            <w:tcW w:w="925" w:type="dxa"/>
            <w:tcBorders>
              <w:top w:val="nil"/>
              <w:left w:val="nil"/>
              <w:bottom w:val="single" w:sz="8" w:space="0" w:color="auto"/>
              <w:right w:val="single" w:sz="8" w:space="0" w:color="auto"/>
            </w:tcBorders>
            <w:shd w:val="clear" w:color="auto" w:fill="auto"/>
            <w:noWrap/>
            <w:vAlign w:val="center"/>
            <w:hideMark/>
          </w:tcPr>
          <w:p w14:paraId="1B188CD8"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lang w:val="fr-CA"/>
              </w:rPr>
              <w:t>0</w:t>
            </w:r>
          </w:p>
        </w:tc>
        <w:tc>
          <w:tcPr>
            <w:tcW w:w="925" w:type="dxa"/>
            <w:tcBorders>
              <w:top w:val="nil"/>
              <w:left w:val="nil"/>
              <w:bottom w:val="single" w:sz="8" w:space="0" w:color="auto"/>
              <w:right w:val="single" w:sz="8" w:space="0" w:color="auto"/>
            </w:tcBorders>
            <w:shd w:val="clear" w:color="auto" w:fill="auto"/>
            <w:noWrap/>
            <w:vAlign w:val="center"/>
            <w:hideMark/>
          </w:tcPr>
          <w:p w14:paraId="17E00506"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lang w:val="fr-CA"/>
              </w:rPr>
              <w:t>20,000</w:t>
            </w:r>
          </w:p>
        </w:tc>
        <w:tc>
          <w:tcPr>
            <w:tcW w:w="925" w:type="dxa"/>
            <w:tcBorders>
              <w:top w:val="nil"/>
              <w:left w:val="nil"/>
              <w:bottom w:val="single" w:sz="8" w:space="0" w:color="auto"/>
              <w:right w:val="single" w:sz="8" w:space="0" w:color="auto"/>
            </w:tcBorders>
            <w:shd w:val="clear" w:color="auto" w:fill="auto"/>
            <w:noWrap/>
            <w:vAlign w:val="center"/>
            <w:hideMark/>
          </w:tcPr>
          <w:p w14:paraId="082D86C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lang w:val="fr-CA"/>
              </w:rPr>
              <w:t>20,000</w:t>
            </w:r>
          </w:p>
        </w:tc>
        <w:tc>
          <w:tcPr>
            <w:tcW w:w="925" w:type="dxa"/>
            <w:tcBorders>
              <w:top w:val="nil"/>
              <w:left w:val="nil"/>
              <w:bottom w:val="single" w:sz="8" w:space="0" w:color="auto"/>
              <w:right w:val="single" w:sz="8" w:space="0" w:color="auto"/>
            </w:tcBorders>
            <w:shd w:val="clear" w:color="auto" w:fill="auto"/>
            <w:vAlign w:val="center"/>
            <w:hideMark/>
          </w:tcPr>
          <w:p w14:paraId="55977034"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lang w:val="fr-CA"/>
              </w:rPr>
              <w:t>0</w:t>
            </w:r>
          </w:p>
        </w:tc>
        <w:tc>
          <w:tcPr>
            <w:tcW w:w="1244" w:type="dxa"/>
            <w:tcBorders>
              <w:top w:val="nil"/>
              <w:left w:val="nil"/>
              <w:bottom w:val="single" w:sz="8" w:space="0" w:color="auto"/>
              <w:right w:val="single" w:sz="8" w:space="0" w:color="auto"/>
            </w:tcBorders>
            <w:shd w:val="clear" w:color="auto" w:fill="auto"/>
            <w:noWrap/>
            <w:vAlign w:val="center"/>
            <w:hideMark/>
          </w:tcPr>
          <w:p w14:paraId="2DB86FC8"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50,000</w:t>
            </w:r>
          </w:p>
        </w:tc>
        <w:tc>
          <w:tcPr>
            <w:tcW w:w="844" w:type="dxa"/>
            <w:tcBorders>
              <w:top w:val="nil"/>
              <w:left w:val="nil"/>
              <w:bottom w:val="single" w:sz="8" w:space="0" w:color="auto"/>
              <w:right w:val="single" w:sz="8" w:space="0" w:color="auto"/>
            </w:tcBorders>
            <w:shd w:val="clear" w:color="auto" w:fill="auto"/>
            <w:vAlign w:val="center"/>
            <w:hideMark/>
          </w:tcPr>
          <w:p w14:paraId="17A50CEC" w14:textId="55A35D44" w:rsidR="001F45CE" w:rsidRPr="00913CCF" w:rsidRDefault="00096659"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21</w:t>
            </w:r>
          </w:p>
        </w:tc>
      </w:tr>
      <w:tr w:rsidR="001F45CE" w:rsidRPr="00913CCF" w14:paraId="4CAEFED0" w14:textId="77777777" w:rsidTr="00512288">
        <w:trPr>
          <w:trHeight w:val="198"/>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7DB71473"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73986C92"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398A135A"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01153658"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25D28EDC"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74500</w:t>
            </w:r>
          </w:p>
        </w:tc>
        <w:tc>
          <w:tcPr>
            <w:tcW w:w="1597" w:type="dxa"/>
            <w:tcBorders>
              <w:top w:val="nil"/>
              <w:left w:val="nil"/>
              <w:bottom w:val="single" w:sz="8" w:space="0" w:color="auto"/>
              <w:right w:val="single" w:sz="8" w:space="0" w:color="auto"/>
            </w:tcBorders>
            <w:shd w:val="clear" w:color="auto" w:fill="auto"/>
            <w:vAlign w:val="center"/>
            <w:hideMark/>
          </w:tcPr>
          <w:p w14:paraId="19BF4CF1"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Miscellaneous</w:t>
            </w:r>
          </w:p>
        </w:tc>
        <w:tc>
          <w:tcPr>
            <w:tcW w:w="935" w:type="dxa"/>
            <w:tcBorders>
              <w:top w:val="nil"/>
              <w:left w:val="nil"/>
              <w:bottom w:val="single" w:sz="8" w:space="0" w:color="auto"/>
              <w:right w:val="single" w:sz="8" w:space="0" w:color="auto"/>
            </w:tcBorders>
            <w:shd w:val="clear" w:color="auto" w:fill="auto"/>
            <w:noWrap/>
            <w:vAlign w:val="center"/>
            <w:hideMark/>
          </w:tcPr>
          <w:p w14:paraId="5AF76F4F"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17,220</w:t>
            </w:r>
          </w:p>
        </w:tc>
        <w:tc>
          <w:tcPr>
            <w:tcW w:w="996" w:type="dxa"/>
            <w:tcBorders>
              <w:top w:val="nil"/>
              <w:left w:val="nil"/>
              <w:bottom w:val="single" w:sz="8" w:space="0" w:color="auto"/>
              <w:right w:val="single" w:sz="8" w:space="0" w:color="auto"/>
            </w:tcBorders>
            <w:shd w:val="clear" w:color="auto" w:fill="auto"/>
            <w:noWrap/>
            <w:vAlign w:val="center"/>
            <w:hideMark/>
          </w:tcPr>
          <w:p w14:paraId="61762345"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13,000</w:t>
            </w:r>
          </w:p>
        </w:tc>
        <w:tc>
          <w:tcPr>
            <w:tcW w:w="925" w:type="dxa"/>
            <w:tcBorders>
              <w:top w:val="nil"/>
              <w:left w:val="nil"/>
              <w:bottom w:val="single" w:sz="8" w:space="0" w:color="auto"/>
              <w:right w:val="single" w:sz="8" w:space="0" w:color="auto"/>
            </w:tcBorders>
            <w:shd w:val="clear" w:color="auto" w:fill="auto"/>
            <w:noWrap/>
            <w:vAlign w:val="center"/>
            <w:hideMark/>
          </w:tcPr>
          <w:p w14:paraId="0C33F013"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13,000</w:t>
            </w:r>
          </w:p>
        </w:tc>
        <w:tc>
          <w:tcPr>
            <w:tcW w:w="925" w:type="dxa"/>
            <w:tcBorders>
              <w:top w:val="nil"/>
              <w:left w:val="nil"/>
              <w:bottom w:val="single" w:sz="8" w:space="0" w:color="auto"/>
              <w:right w:val="single" w:sz="8" w:space="0" w:color="auto"/>
            </w:tcBorders>
            <w:shd w:val="clear" w:color="auto" w:fill="auto"/>
            <w:noWrap/>
            <w:vAlign w:val="center"/>
            <w:hideMark/>
          </w:tcPr>
          <w:p w14:paraId="3F8DD2DB"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13,000</w:t>
            </w:r>
          </w:p>
        </w:tc>
        <w:tc>
          <w:tcPr>
            <w:tcW w:w="925" w:type="dxa"/>
            <w:tcBorders>
              <w:top w:val="nil"/>
              <w:left w:val="nil"/>
              <w:bottom w:val="single" w:sz="8" w:space="0" w:color="auto"/>
              <w:right w:val="single" w:sz="8" w:space="0" w:color="auto"/>
            </w:tcBorders>
            <w:shd w:val="clear" w:color="auto" w:fill="auto"/>
            <w:noWrap/>
            <w:vAlign w:val="center"/>
            <w:hideMark/>
          </w:tcPr>
          <w:p w14:paraId="3EDF001D"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13,000</w:t>
            </w:r>
          </w:p>
        </w:tc>
        <w:tc>
          <w:tcPr>
            <w:tcW w:w="925" w:type="dxa"/>
            <w:tcBorders>
              <w:top w:val="nil"/>
              <w:left w:val="nil"/>
              <w:bottom w:val="single" w:sz="8" w:space="0" w:color="auto"/>
              <w:right w:val="single" w:sz="8" w:space="0" w:color="auto"/>
            </w:tcBorders>
            <w:shd w:val="clear" w:color="auto" w:fill="auto"/>
            <w:vAlign w:val="center"/>
            <w:hideMark/>
          </w:tcPr>
          <w:p w14:paraId="0C14293D"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13,000</w:t>
            </w:r>
          </w:p>
        </w:tc>
        <w:tc>
          <w:tcPr>
            <w:tcW w:w="1244" w:type="dxa"/>
            <w:tcBorders>
              <w:top w:val="nil"/>
              <w:left w:val="nil"/>
              <w:bottom w:val="single" w:sz="8" w:space="0" w:color="auto"/>
              <w:right w:val="single" w:sz="8" w:space="0" w:color="auto"/>
            </w:tcBorders>
            <w:shd w:val="clear" w:color="auto" w:fill="auto"/>
            <w:noWrap/>
            <w:vAlign w:val="center"/>
            <w:hideMark/>
          </w:tcPr>
          <w:p w14:paraId="7C7EAE52"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82,220</w:t>
            </w:r>
          </w:p>
        </w:tc>
        <w:tc>
          <w:tcPr>
            <w:tcW w:w="844" w:type="dxa"/>
            <w:tcBorders>
              <w:top w:val="nil"/>
              <w:left w:val="nil"/>
              <w:bottom w:val="single" w:sz="8" w:space="0" w:color="auto"/>
              <w:right w:val="single" w:sz="8" w:space="0" w:color="auto"/>
            </w:tcBorders>
            <w:shd w:val="clear" w:color="auto" w:fill="auto"/>
            <w:vAlign w:val="center"/>
            <w:hideMark/>
          </w:tcPr>
          <w:p w14:paraId="22F28397" w14:textId="639270F4" w:rsidR="001F45CE" w:rsidRPr="00913CCF" w:rsidRDefault="00096659"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22</w:t>
            </w:r>
          </w:p>
        </w:tc>
      </w:tr>
      <w:tr w:rsidR="001F45CE" w:rsidRPr="00913CCF" w14:paraId="6590B5C2" w14:textId="77777777" w:rsidTr="00512288">
        <w:trPr>
          <w:trHeight w:val="202"/>
        </w:trPr>
        <w:tc>
          <w:tcPr>
            <w:tcW w:w="1335" w:type="dxa"/>
            <w:vMerge/>
            <w:tcBorders>
              <w:top w:val="nil"/>
              <w:left w:val="single" w:sz="8" w:space="0" w:color="auto"/>
              <w:right w:val="single" w:sz="8" w:space="0" w:color="auto"/>
            </w:tcBorders>
            <w:shd w:val="clear" w:color="auto" w:fill="auto"/>
            <w:vAlign w:val="center"/>
            <w:hideMark/>
          </w:tcPr>
          <w:p w14:paraId="70724BEC"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6BD79F2F"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4A02B10E"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644F3DFA"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4F097C22"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75700</w:t>
            </w:r>
          </w:p>
        </w:tc>
        <w:tc>
          <w:tcPr>
            <w:tcW w:w="1597" w:type="dxa"/>
            <w:tcBorders>
              <w:top w:val="nil"/>
              <w:left w:val="nil"/>
              <w:bottom w:val="single" w:sz="8" w:space="0" w:color="auto"/>
              <w:right w:val="single" w:sz="8" w:space="0" w:color="auto"/>
            </w:tcBorders>
            <w:shd w:val="clear" w:color="auto" w:fill="auto"/>
            <w:vAlign w:val="center"/>
            <w:hideMark/>
          </w:tcPr>
          <w:p w14:paraId="39EBF5CD"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 xml:space="preserve">Train. </w:t>
            </w:r>
            <w:proofErr w:type="spellStart"/>
            <w:r w:rsidRPr="00913CCF">
              <w:rPr>
                <w:rFonts w:eastAsia="Times New Roman" w:cs="Calibri"/>
                <w:color w:val="000000"/>
                <w:sz w:val="16"/>
                <w:szCs w:val="16"/>
              </w:rPr>
              <w:t>worksh</w:t>
            </w:r>
            <w:proofErr w:type="spellEnd"/>
            <w:r w:rsidRPr="00913CCF">
              <w:rPr>
                <w:rFonts w:eastAsia="Times New Roman" w:cs="Calibri"/>
                <w:color w:val="000000"/>
                <w:sz w:val="16"/>
                <w:szCs w:val="16"/>
              </w:rPr>
              <w:t xml:space="preserve"> conf</w:t>
            </w:r>
          </w:p>
        </w:tc>
        <w:tc>
          <w:tcPr>
            <w:tcW w:w="935" w:type="dxa"/>
            <w:tcBorders>
              <w:top w:val="nil"/>
              <w:left w:val="nil"/>
              <w:bottom w:val="single" w:sz="8" w:space="0" w:color="auto"/>
              <w:right w:val="single" w:sz="8" w:space="0" w:color="auto"/>
            </w:tcBorders>
            <w:shd w:val="clear" w:color="auto" w:fill="auto"/>
            <w:noWrap/>
            <w:vAlign w:val="center"/>
            <w:hideMark/>
          </w:tcPr>
          <w:p w14:paraId="2C417DF5"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4,000</w:t>
            </w:r>
          </w:p>
        </w:tc>
        <w:tc>
          <w:tcPr>
            <w:tcW w:w="996" w:type="dxa"/>
            <w:tcBorders>
              <w:top w:val="nil"/>
              <w:left w:val="nil"/>
              <w:bottom w:val="single" w:sz="8" w:space="0" w:color="auto"/>
              <w:right w:val="single" w:sz="8" w:space="0" w:color="auto"/>
            </w:tcBorders>
            <w:shd w:val="clear" w:color="auto" w:fill="auto"/>
            <w:noWrap/>
            <w:vAlign w:val="center"/>
            <w:hideMark/>
          </w:tcPr>
          <w:p w14:paraId="6789FA97"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95,000</w:t>
            </w:r>
          </w:p>
        </w:tc>
        <w:tc>
          <w:tcPr>
            <w:tcW w:w="925" w:type="dxa"/>
            <w:tcBorders>
              <w:top w:val="nil"/>
              <w:left w:val="nil"/>
              <w:bottom w:val="single" w:sz="8" w:space="0" w:color="auto"/>
              <w:right w:val="single" w:sz="8" w:space="0" w:color="auto"/>
            </w:tcBorders>
            <w:shd w:val="clear" w:color="auto" w:fill="auto"/>
            <w:noWrap/>
            <w:vAlign w:val="center"/>
            <w:hideMark/>
          </w:tcPr>
          <w:p w14:paraId="335F63D9"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55,000</w:t>
            </w:r>
          </w:p>
        </w:tc>
        <w:tc>
          <w:tcPr>
            <w:tcW w:w="925" w:type="dxa"/>
            <w:tcBorders>
              <w:top w:val="nil"/>
              <w:left w:val="nil"/>
              <w:bottom w:val="single" w:sz="8" w:space="0" w:color="auto"/>
              <w:right w:val="single" w:sz="8" w:space="0" w:color="auto"/>
            </w:tcBorders>
            <w:shd w:val="clear" w:color="auto" w:fill="auto"/>
            <w:noWrap/>
            <w:vAlign w:val="center"/>
            <w:hideMark/>
          </w:tcPr>
          <w:p w14:paraId="6D86525F"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65,000</w:t>
            </w:r>
          </w:p>
        </w:tc>
        <w:tc>
          <w:tcPr>
            <w:tcW w:w="925" w:type="dxa"/>
            <w:tcBorders>
              <w:top w:val="nil"/>
              <w:left w:val="nil"/>
              <w:bottom w:val="single" w:sz="8" w:space="0" w:color="auto"/>
              <w:right w:val="single" w:sz="8" w:space="0" w:color="auto"/>
            </w:tcBorders>
            <w:shd w:val="clear" w:color="auto" w:fill="auto"/>
            <w:noWrap/>
            <w:vAlign w:val="center"/>
            <w:hideMark/>
          </w:tcPr>
          <w:p w14:paraId="5512FED8"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5,000</w:t>
            </w:r>
          </w:p>
        </w:tc>
        <w:tc>
          <w:tcPr>
            <w:tcW w:w="925" w:type="dxa"/>
            <w:tcBorders>
              <w:top w:val="nil"/>
              <w:left w:val="nil"/>
              <w:bottom w:val="double" w:sz="6" w:space="0" w:color="auto"/>
              <w:right w:val="single" w:sz="8" w:space="0" w:color="auto"/>
            </w:tcBorders>
            <w:shd w:val="clear" w:color="auto" w:fill="auto"/>
            <w:vAlign w:val="center"/>
            <w:hideMark/>
          </w:tcPr>
          <w:p w14:paraId="54C799E1"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5,000</w:t>
            </w:r>
          </w:p>
        </w:tc>
        <w:tc>
          <w:tcPr>
            <w:tcW w:w="1244" w:type="dxa"/>
            <w:tcBorders>
              <w:top w:val="nil"/>
              <w:left w:val="nil"/>
              <w:bottom w:val="double" w:sz="4" w:space="0" w:color="auto"/>
              <w:right w:val="single" w:sz="8" w:space="0" w:color="auto"/>
            </w:tcBorders>
            <w:shd w:val="clear" w:color="auto" w:fill="auto"/>
            <w:noWrap/>
            <w:vAlign w:val="center"/>
            <w:hideMark/>
          </w:tcPr>
          <w:p w14:paraId="08673EC8"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229,000</w:t>
            </w:r>
          </w:p>
        </w:tc>
        <w:tc>
          <w:tcPr>
            <w:tcW w:w="844" w:type="dxa"/>
            <w:tcBorders>
              <w:top w:val="nil"/>
              <w:left w:val="nil"/>
              <w:bottom w:val="double" w:sz="4" w:space="0" w:color="auto"/>
              <w:right w:val="single" w:sz="8" w:space="0" w:color="auto"/>
            </w:tcBorders>
            <w:shd w:val="clear" w:color="auto" w:fill="auto"/>
            <w:vAlign w:val="center"/>
          </w:tcPr>
          <w:p w14:paraId="7BE043A9" w14:textId="3A6E9A6D" w:rsidR="001F45CE" w:rsidRPr="00913CCF" w:rsidRDefault="00096659"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23</w:t>
            </w:r>
          </w:p>
        </w:tc>
      </w:tr>
      <w:tr w:rsidR="00497F4E" w:rsidRPr="00913CCF" w14:paraId="03DC3550" w14:textId="77777777" w:rsidTr="00512288">
        <w:trPr>
          <w:trHeight w:val="20"/>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7B99CDFB" w14:textId="77777777" w:rsidR="00497F4E" w:rsidRPr="00913CCF" w:rsidRDefault="00497F4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4" w:space="0" w:color="auto"/>
              <w:right w:val="single" w:sz="8" w:space="0" w:color="auto"/>
            </w:tcBorders>
            <w:shd w:val="clear" w:color="auto" w:fill="auto"/>
            <w:vAlign w:val="center"/>
            <w:hideMark/>
          </w:tcPr>
          <w:p w14:paraId="568015B6" w14:textId="77777777" w:rsidR="00497F4E" w:rsidRPr="00913CCF" w:rsidRDefault="00497F4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4" w:space="0" w:color="auto"/>
              <w:right w:val="single" w:sz="8" w:space="0" w:color="auto"/>
            </w:tcBorders>
            <w:shd w:val="clear" w:color="auto" w:fill="auto"/>
            <w:vAlign w:val="center"/>
            <w:hideMark/>
          </w:tcPr>
          <w:p w14:paraId="0ACDC6F4" w14:textId="77777777" w:rsidR="00497F4E" w:rsidRPr="00913CCF" w:rsidRDefault="00497F4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4" w:space="0" w:color="auto"/>
              <w:right w:val="single" w:sz="8" w:space="0" w:color="auto"/>
            </w:tcBorders>
            <w:shd w:val="clear" w:color="auto" w:fill="auto"/>
            <w:vAlign w:val="center"/>
            <w:hideMark/>
          </w:tcPr>
          <w:p w14:paraId="13563E55" w14:textId="77777777" w:rsidR="00497F4E" w:rsidRPr="00913CCF" w:rsidRDefault="00497F4E" w:rsidP="001F45CE">
            <w:pPr>
              <w:spacing w:after="0"/>
              <w:jc w:val="left"/>
              <w:rPr>
                <w:rFonts w:eastAsia="Times New Roman" w:cs="Calibri"/>
                <w:b/>
                <w:bCs/>
                <w:color w:val="000000"/>
                <w:sz w:val="16"/>
                <w:szCs w:val="16"/>
              </w:rPr>
            </w:pPr>
          </w:p>
        </w:tc>
        <w:tc>
          <w:tcPr>
            <w:tcW w:w="2498" w:type="dxa"/>
            <w:gridSpan w:val="2"/>
            <w:tcBorders>
              <w:top w:val="nil"/>
              <w:left w:val="nil"/>
              <w:bottom w:val="double" w:sz="4" w:space="0" w:color="auto"/>
              <w:right w:val="single" w:sz="8" w:space="0" w:color="auto"/>
            </w:tcBorders>
            <w:shd w:val="clear" w:color="auto" w:fill="B4C6E7" w:themeFill="accent1" w:themeFillTint="66"/>
            <w:noWrap/>
            <w:vAlign w:val="center"/>
            <w:hideMark/>
          </w:tcPr>
          <w:p w14:paraId="58B9789B" w14:textId="1FAEAB67" w:rsidR="00497F4E" w:rsidRPr="00913CCF" w:rsidRDefault="00497F4E" w:rsidP="00F8089A">
            <w:pPr>
              <w:spacing w:after="0"/>
              <w:jc w:val="right"/>
              <w:rPr>
                <w:rFonts w:eastAsia="Times New Roman" w:cs="Calibri"/>
                <w:b/>
                <w:bCs/>
                <w:color w:val="000000"/>
                <w:sz w:val="15"/>
                <w:szCs w:val="15"/>
              </w:rPr>
            </w:pPr>
            <w:r w:rsidRPr="00913CCF">
              <w:rPr>
                <w:rFonts w:eastAsia="Times New Roman" w:cs="Calibri"/>
                <w:b/>
                <w:bCs/>
                <w:color w:val="000000"/>
                <w:sz w:val="15"/>
                <w:szCs w:val="15"/>
              </w:rPr>
              <w:t xml:space="preserve">Sub-total </w:t>
            </w:r>
            <w:r w:rsidR="00465CF5">
              <w:rPr>
                <w:rFonts w:eastAsia="Times New Roman" w:cs="Calibri"/>
                <w:b/>
                <w:bCs/>
                <w:color w:val="000000"/>
                <w:sz w:val="15"/>
                <w:szCs w:val="15"/>
              </w:rPr>
              <w:t>GEF</w:t>
            </w:r>
          </w:p>
        </w:tc>
        <w:tc>
          <w:tcPr>
            <w:tcW w:w="935" w:type="dxa"/>
            <w:tcBorders>
              <w:top w:val="nil"/>
              <w:left w:val="nil"/>
              <w:bottom w:val="double" w:sz="4" w:space="0" w:color="auto"/>
              <w:right w:val="single" w:sz="8" w:space="0" w:color="auto"/>
            </w:tcBorders>
            <w:shd w:val="clear" w:color="auto" w:fill="B4C6E7" w:themeFill="accent1" w:themeFillTint="66"/>
            <w:noWrap/>
            <w:vAlign w:val="center"/>
            <w:hideMark/>
          </w:tcPr>
          <w:p w14:paraId="5E54B73C" w14:textId="0A7BA1CB" w:rsidR="00497F4E" w:rsidRPr="00EF6D8E" w:rsidRDefault="00497F4E"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512,605</w:t>
            </w:r>
          </w:p>
        </w:tc>
        <w:tc>
          <w:tcPr>
            <w:tcW w:w="996" w:type="dxa"/>
            <w:tcBorders>
              <w:top w:val="nil"/>
              <w:left w:val="nil"/>
              <w:bottom w:val="double" w:sz="4" w:space="0" w:color="auto"/>
              <w:right w:val="single" w:sz="8" w:space="0" w:color="auto"/>
            </w:tcBorders>
            <w:shd w:val="clear" w:color="auto" w:fill="B4C6E7" w:themeFill="accent1" w:themeFillTint="66"/>
            <w:noWrap/>
            <w:vAlign w:val="center"/>
            <w:hideMark/>
          </w:tcPr>
          <w:p w14:paraId="73066C55" w14:textId="77777777" w:rsidR="00497F4E" w:rsidRPr="00913CCF" w:rsidRDefault="00497F4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413,020</w:t>
            </w:r>
          </w:p>
        </w:tc>
        <w:tc>
          <w:tcPr>
            <w:tcW w:w="925" w:type="dxa"/>
            <w:tcBorders>
              <w:top w:val="nil"/>
              <w:left w:val="nil"/>
              <w:bottom w:val="double" w:sz="4" w:space="0" w:color="auto"/>
              <w:right w:val="single" w:sz="8" w:space="0" w:color="auto"/>
            </w:tcBorders>
            <w:shd w:val="clear" w:color="auto" w:fill="B4C6E7" w:themeFill="accent1" w:themeFillTint="66"/>
            <w:noWrap/>
            <w:vAlign w:val="center"/>
            <w:hideMark/>
          </w:tcPr>
          <w:p w14:paraId="5876FC87" w14:textId="77777777" w:rsidR="00497F4E" w:rsidRPr="00913CCF" w:rsidRDefault="00497F4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925,630</w:t>
            </w:r>
          </w:p>
        </w:tc>
        <w:tc>
          <w:tcPr>
            <w:tcW w:w="925" w:type="dxa"/>
            <w:tcBorders>
              <w:top w:val="nil"/>
              <w:left w:val="nil"/>
              <w:bottom w:val="double" w:sz="4" w:space="0" w:color="auto"/>
              <w:right w:val="single" w:sz="8" w:space="0" w:color="auto"/>
            </w:tcBorders>
            <w:shd w:val="clear" w:color="auto" w:fill="B4C6E7" w:themeFill="accent1" w:themeFillTint="66"/>
            <w:noWrap/>
            <w:vAlign w:val="center"/>
            <w:hideMark/>
          </w:tcPr>
          <w:p w14:paraId="67C2A66D" w14:textId="77777777" w:rsidR="00497F4E" w:rsidRPr="00913CCF" w:rsidRDefault="00497F4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545,700</w:t>
            </w:r>
          </w:p>
        </w:tc>
        <w:tc>
          <w:tcPr>
            <w:tcW w:w="925" w:type="dxa"/>
            <w:tcBorders>
              <w:top w:val="nil"/>
              <w:left w:val="nil"/>
              <w:bottom w:val="double" w:sz="4" w:space="0" w:color="auto"/>
              <w:right w:val="single" w:sz="8" w:space="0" w:color="auto"/>
            </w:tcBorders>
            <w:shd w:val="clear" w:color="auto" w:fill="B4C6E7" w:themeFill="accent1" w:themeFillTint="66"/>
            <w:noWrap/>
            <w:vAlign w:val="center"/>
            <w:hideMark/>
          </w:tcPr>
          <w:p w14:paraId="31778634" w14:textId="77777777" w:rsidR="00497F4E" w:rsidRPr="00913CCF" w:rsidRDefault="00497F4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250,700</w:t>
            </w:r>
          </w:p>
        </w:tc>
        <w:tc>
          <w:tcPr>
            <w:tcW w:w="925" w:type="dxa"/>
            <w:tcBorders>
              <w:top w:val="nil"/>
              <w:left w:val="nil"/>
              <w:bottom w:val="double" w:sz="4" w:space="0" w:color="auto"/>
              <w:right w:val="single" w:sz="8" w:space="0" w:color="auto"/>
            </w:tcBorders>
            <w:shd w:val="clear" w:color="auto" w:fill="B4C6E7" w:themeFill="accent1" w:themeFillTint="66"/>
            <w:vAlign w:val="center"/>
            <w:hideMark/>
          </w:tcPr>
          <w:p w14:paraId="5164543A" w14:textId="77777777" w:rsidR="00497F4E" w:rsidRPr="00913CCF" w:rsidRDefault="00497F4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55,900</w:t>
            </w:r>
          </w:p>
        </w:tc>
        <w:tc>
          <w:tcPr>
            <w:tcW w:w="1244" w:type="dxa"/>
            <w:tcBorders>
              <w:top w:val="double" w:sz="4" w:space="0" w:color="auto"/>
              <w:left w:val="nil"/>
              <w:bottom w:val="double" w:sz="4" w:space="0" w:color="auto"/>
              <w:right w:val="single" w:sz="8" w:space="0" w:color="auto"/>
            </w:tcBorders>
            <w:shd w:val="clear" w:color="auto" w:fill="B4C6E7" w:themeFill="accent1" w:themeFillTint="66"/>
            <w:noWrap/>
            <w:vAlign w:val="center"/>
            <w:hideMark/>
          </w:tcPr>
          <w:p w14:paraId="11001F06" w14:textId="43FAA00B" w:rsidR="00497F4E" w:rsidRPr="00EF6D8E" w:rsidRDefault="00497F4E"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2,703,555</w:t>
            </w:r>
          </w:p>
        </w:tc>
        <w:tc>
          <w:tcPr>
            <w:tcW w:w="844" w:type="dxa"/>
            <w:tcBorders>
              <w:top w:val="double" w:sz="4" w:space="0" w:color="auto"/>
              <w:left w:val="nil"/>
              <w:bottom w:val="double" w:sz="4" w:space="0" w:color="auto"/>
              <w:right w:val="single" w:sz="8" w:space="0" w:color="auto"/>
            </w:tcBorders>
            <w:shd w:val="clear" w:color="auto" w:fill="B4C6E7" w:themeFill="accent1" w:themeFillTint="66"/>
            <w:noWrap/>
            <w:vAlign w:val="center"/>
            <w:hideMark/>
          </w:tcPr>
          <w:p w14:paraId="4CB2D683" w14:textId="77777777" w:rsidR="00497F4E" w:rsidRPr="00913CCF" w:rsidRDefault="00497F4E" w:rsidP="001F45CE">
            <w:pPr>
              <w:spacing w:after="0"/>
              <w:jc w:val="left"/>
              <w:rPr>
                <w:rFonts w:eastAsia="Times New Roman" w:cs="Calibri"/>
                <w:color w:val="000000"/>
                <w:sz w:val="22"/>
                <w:szCs w:val="22"/>
              </w:rPr>
            </w:pPr>
            <w:r w:rsidRPr="00913CCF">
              <w:rPr>
                <w:rFonts w:eastAsia="Times New Roman" w:cs="Calibri"/>
                <w:color w:val="000000"/>
                <w:sz w:val="22"/>
                <w:szCs w:val="22"/>
              </w:rPr>
              <w:t> </w:t>
            </w:r>
          </w:p>
        </w:tc>
      </w:tr>
      <w:tr w:rsidR="001F45CE" w:rsidRPr="00913CCF" w14:paraId="6BD3023E" w14:textId="77777777" w:rsidTr="00512288">
        <w:trPr>
          <w:trHeight w:val="198"/>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31F5E9BF" w14:textId="77777777" w:rsidR="001F45CE" w:rsidRPr="00913CCF" w:rsidRDefault="001F45CE" w:rsidP="001F45CE">
            <w:pPr>
              <w:spacing w:after="0"/>
              <w:jc w:val="left"/>
              <w:rPr>
                <w:rFonts w:eastAsia="Times New Roman" w:cs="Calibri"/>
                <w:b/>
                <w:bCs/>
                <w:color w:val="000000"/>
                <w:sz w:val="16"/>
                <w:szCs w:val="16"/>
              </w:rPr>
            </w:pPr>
          </w:p>
        </w:tc>
        <w:tc>
          <w:tcPr>
            <w:tcW w:w="1267" w:type="dxa"/>
            <w:vMerge w:val="restart"/>
            <w:tcBorders>
              <w:top w:val="double" w:sz="4" w:space="0" w:color="auto"/>
              <w:left w:val="single" w:sz="8" w:space="0" w:color="auto"/>
              <w:bottom w:val="double" w:sz="6" w:space="0" w:color="000000"/>
              <w:right w:val="single" w:sz="8" w:space="0" w:color="auto"/>
            </w:tcBorders>
            <w:shd w:val="clear" w:color="auto" w:fill="auto"/>
            <w:vAlign w:val="center"/>
            <w:hideMark/>
          </w:tcPr>
          <w:p w14:paraId="42151A41"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UNDP</w:t>
            </w:r>
          </w:p>
        </w:tc>
        <w:tc>
          <w:tcPr>
            <w:tcW w:w="713" w:type="dxa"/>
            <w:vMerge w:val="restart"/>
            <w:tcBorders>
              <w:top w:val="double" w:sz="4" w:space="0" w:color="auto"/>
              <w:left w:val="single" w:sz="8" w:space="0" w:color="auto"/>
              <w:bottom w:val="double" w:sz="6" w:space="0" w:color="000000"/>
              <w:right w:val="single" w:sz="8" w:space="0" w:color="auto"/>
            </w:tcBorders>
            <w:shd w:val="clear" w:color="auto" w:fill="auto"/>
            <w:vAlign w:val="center"/>
            <w:hideMark/>
          </w:tcPr>
          <w:p w14:paraId="3E9D0F99" w14:textId="7045CEB6"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04000</w:t>
            </w:r>
          </w:p>
        </w:tc>
        <w:tc>
          <w:tcPr>
            <w:tcW w:w="632" w:type="dxa"/>
            <w:vMerge w:val="restart"/>
            <w:tcBorders>
              <w:top w:val="double" w:sz="4" w:space="0" w:color="auto"/>
              <w:left w:val="single" w:sz="8" w:space="0" w:color="auto"/>
              <w:bottom w:val="double" w:sz="6" w:space="0" w:color="000000"/>
              <w:right w:val="single" w:sz="8" w:space="0" w:color="auto"/>
            </w:tcBorders>
            <w:shd w:val="clear" w:color="auto" w:fill="auto"/>
            <w:vAlign w:val="center"/>
            <w:hideMark/>
          </w:tcPr>
          <w:p w14:paraId="2A6C2E36"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TRAC</w:t>
            </w:r>
          </w:p>
        </w:tc>
        <w:tc>
          <w:tcPr>
            <w:tcW w:w="901" w:type="dxa"/>
            <w:tcBorders>
              <w:top w:val="double" w:sz="4" w:space="0" w:color="auto"/>
              <w:left w:val="nil"/>
              <w:bottom w:val="single" w:sz="8" w:space="0" w:color="auto"/>
              <w:right w:val="single" w:sz="8" w:space="0" w:color="auto"/>
            </w:tcBorders>
            <w:shd w:val="clear" w:color="auto" w:fill="auto"/>
            <w:noWrap/>
            <w:vAlign w:val="center"/>
            <w:hideMark/>
          </w:tcPr>
          <w:p w14:paraId="133587FD"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bCs/>
                <w:color w:val="000000"/>
                <w:sz w:val="16"/>
                <w:szCs w:val="16"/>
              </w:rPr>
              <w:t>71600</w:t>
            </w:r>
          </w:p>
        </w:tc>
        <w:tc>
          <w:tcPr>
            <w:tcW w:w="1597" w:type="dxa"/>
            <w:tcBorders>
              <w:top w:val="double" w:sz="4" w:space="0" w:color="auto"/>
              <w:left w:val="nil"/>
              <w:bottom w:val="single" w:sz="8" w:space="0" w:color="auto"/>
              <w:right w:val="single" w:sz="8" w:space="0" w:color="auto"/>
            </w:tcBorders>
            <w:shd w:val="clear" w:color="auto" w:fill="auto"/>
            <w:vAlign w:val="center"/>
            <w:hideMark/>
          </w:tcPr>
          <w:p w14:paraId="07AEBB7F"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bCs/>
                <w:color w:val="000000"/>
                <w:sz w:val="16"/>
                <w:szCs w:val="16"/>
              </w:rPr>
              <w:t>Travel</w:t>
            </w:r>
          </w:p>
        </w:tc>
        <w:tc>
          <w:tcPr>
            <w:tcW w:w="935" w:type="dxa"/>
            <w:tcBorders>
              <w:top w:val="double" w:sz="4" w:space="0" w:color="auto"/>
              <w:left w:val="nil"/>
              <w:bottom w:val="single" w:sz="8" w:space="0" w:color="auto"/>
              <w:right w:val="single" w:sz="8" w:space="0" w:color="auto"/>
            </w:tcBorders>
            <w:shd w:val="clear" w:color="auto" w:fill="auto"/>
            <w:noWrap/>
            <w:vAlign w:val="center"/>
            <w:hideMark/>
          </w:tcPr>
          <w:p w14:paraId="555BAEA8"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96" w:type="dxa"/>
            <w:tcBorders>
              <w:top w:val="double" w:sz="4" w:space="0" w:color="auto"/>
              <w:left w:val="nil"/>
              <w:bottom w:val="single" w:sz="8" w:space="0" w:color="auto"/>
              <w:right w:val="single" w:sz="8" w:space="0" w:color="auto"/>
            </w:tcBorders>
            <w:shd w:val="clear" w:color="auto" w:fill="auto"/>
            <w:noWrap/>
            <w:vAlign w:val="center"/>
            <w:hideMark/>
          </w:tcPr>
          <w:p w14:paraId="394853B9"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double" w:sz="4" w:space="0" w:color="auto"/>
              <w:left w:val="nil"/>
              <w:bottom w:val="single" w:sz="8" w:space="0" w:color="auto"/>
              <w:right w:val="single" w:sz="8" w:space="0" w:color="auto"/>
            </w:tcBorders>
            <w:shd w:val="clear" w:color="auto" w:fill="auto"/>
            <w:noWrap/>
            <w:vAlign w:val="center"/>
            <w:hideMark/>
          </w:tcPr>
          <w:p w14:paraId="26C0C13E"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double" w:sz="4" w:space="0" w:color="auto"/>
              <w:left w:val="nil"/>
              <w:bottom w:val="single" w:sz="8" w:space="0" w:color="auto"/>
              <w:right w:val="single" w:sz="8" w:space="0" w:color="auto"/>
            </w:tcBorders>
            <w:shd w:val="clear" w:color="auto" w:fill="auto"/>
            <w:noWrap/>
            <w:vAlign w:val="center"/>
            <w:hideMark/>
          </w:tcPr>
          <w:p w14:paraId="4BC2239E"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double" w:sz="4" w:space="0" w:color="auto"/>
              <w:left w:val="nil"/>
              <w:bottom w:val="single" w:sz="8" w:space="0" w:color="auto"/>
              <w:right w:val="single" w:sz="8" w:space="0" w:color="auto"/>
            </w:tcBorders>
            <w:shd w:val="clear" w:color="auto" w:fill="auto"/>
            <w:noWrap/>
            <w:vAlign w:val="center"/>
            <w:hideMark/>
          </w:tcPr>
          <w:p w14:paraId="71DD31CC"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double" w:sz="4" w:space="0" w:color="auto"/>
              <w:left w:val="nil"/>
              <w:bottom w:val="single" w:sz="8" w:space="0" w:color="auto"/>
              <w:right w:val="single" w:sz="8" w:space="0" w:color="auto"/>
            </w:tcBorders>
            <w:shd w:val="clear" w:color="auto" w:fill="auto"/>
            <w:vAlign w:val="center"/>
            <w:hideMark/>
          </w:tcPr>
          <w:p w14:paraId="4DCC514D"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1244" w:type="dxa"/>
            <w:tcBorders>
              <w:top w:val="double" w:sz="4" w:space="0" w:color="auto"/>
              <w:left w:val="nil"/>
              <w:bottom w:val="single" w:sz="8" w:space="0" w:color="auto"/>
              <w:right w:val="single" w:sz="8" w:space="0" w:color="auto"/>
            </w:tcBorders>
            <w:shd w:val="clear" w:color="auto" w:fill="auto"/>
            <w:noWrap/>
            <w:vAlign w:val="center"/>
            <w:hideMark/>
          </w:tcPr>
          <w:p w14:paraId="3257C9EB"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12,000</w:t>
            </w:r>
          </w:p>
        </w:tc>
        <w:tc>
          <w:tcPr>
            <w:tcW w:w="844" w:type="dxa"/>
            <w:tcBorders>
              <w:top w:val="double" w:sz="4" w:space="0" w:color="auto"/>
              <w:left w:val="nil"/>
              <w:bottom w:val="single" w:sz="8" w:space="0" w:color="auto"/>
              <w:right w:val="single" w:sz="8" w:space="0" w:color="auto"/>
            </w:tcBorders>
            <w:shd w:val="clear" w:color="auto" w:fill="auto"/>
            <w:noWrap/>
            <w:vAlign w:val="center"/>
            <w:hideMark/>
          </w:tcPr>
          <w:p w14:paraId="6CEA1921" w14:textId="60EF7BC5"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2</w:t>
            </w:r>
            <w:r w:rsidR="00B76DA2">
              <w:rPr>
                <w:rFonts w:eastAsia="Times New Roman" w:cs="Calibri"/>
                <w:i/>
                <w:iCs/>
                <w:color w:val="000000"/>
                <w:sz w:val="16"/>
                <w:szCs w:val="16"/>
              </w:rPr>
              <w:t>4</w:t>
            </w:r>
          </w:p>
        </w:tc>
      </w:tr>
      <w:tr w:rsidR="001F45CE" w:rsidRPr="00913CCF" w14:paraId="02E80944" w14:textId="77777777" w:rsidTr="00512288">
        <w:trPr>
          <w:trHeight w:val="225"/>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1909FD16"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2F3EF282"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1CEA43F0"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623D1871"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5CDF811D"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bCs/>
                <w:color w:val="000000"/>
                <w:sz w:val="16"/>
                <w:szCs w:val="16"/>
              </w:rPr>
              <w:t>71400</w:t>
            </w:r>
          </w:p>
        </w:tc>
        <w:tc>
          <w:tcPr>
            <w:tcW w:w="1597" w:type="dxa"/>
            <w:tcBorders>
              <w:top w:val="nil"/>
              <w:left w:val="nil"/>
              <w:bottom w:val="single" w:sz="8" w:space="0" w:color="auto"/>
              <w:right w:val="single" w:sz="8" w:space="0" w:color="auto"/>
            </w:tcBorders>
            <w:shd w:val="clear" w:color="auto" w:fill="auto"/>
            <w:vAlign w:val="center"/>
            <w:hideMark/>
          </w:tcPr>
          <w:p w14:paraId="05691C1E"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Contr. serv. Ind.</w:t>
            </w:r>
          </w:p>
        </w:tc>
        <w:tc>
          <w:tcPr>
            <w:tcW w:w="935" w:type="dxa"/>
            <w:tcBorders>
              <w:top w:val="nil"/>
              <w:left w:val="nil"/>
              <w:bottom w:val="single" w:sz="8" w:space="0" w:color="auto"/>
              <w:right w:val="single" w:sz="8" w:space="0" w:color="auto"/>
            </w:tcBorders>
            <w:shd w:val="clear" w:color="auto" w:fill="auto"/>
            <w:noWrap/>
            <w:vAlign w:val="center"/>
            <w:hideMark/>
          </w:tcPr>
          <w:p w14:paraId="2C685190"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96" w:type="dxa"/>
            <w:tcBorders>
              <w:top w:val="nil"/>
              <w:left w:val="nil"/>
              <w:bottom w:val="single" w:sz="8" w:space="0" w:color="auto"/>
              <w:right w:val="single" w:sz="8" w:space="0" w:color="auto"/>
            </w:tcBorders>
            <w:shd w:val="clear" w:color="auto" w:fill="auto"/>
            <w:noWrap/>
            <w:vAlign w:val="center"/>
            <w:hideMark/>
          </w:tcPr>
          <w:p w14:paraId="390DD0AA"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noWrap/>
            <w:vAlign w:val="center"/>
            <w:hideMark/>
          </w:tcPr>
          <w:p w14:paraId="620ACAF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noWrap/>
            <w:vAlign w:val="center"/>
            <w:hideMark/>
          </w:tcPr>
          <w:p w14:paraId="531880CD"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noWrap/>
            <w:vAlign w:val="center"/>
            <w:hideMark/>
          </w:tcPr>
          <w:p w14:paraId="6E121EF9"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vAlign w:val="center"/>
            <w:hideMark/>
          </w:tcPr>
          <w:p w14:paraId="483B22E1"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1244" w:type="dxa"/>
            <w:tcBorders>
              <w:top w:val="nil"/>
              <w:left w:val="nil"/>
              <w:bottom w:val="single" w:sz="8" w:space="0" w:color="auto"/>
              <w:right w:val="single" w:sz="8" w:space="0" w:color="auto"/>
            </w:tcBorders>
            <w:shd w:val="clear" w:color="auto" w:fill="auto"/>
            <w:noWrap/>
            <w:vAlign w:val="center"/>
            <w:hideMark/>
          </w:tcPr>
          <w:p w14:paraId="1FB5E549"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37,500</w:t>
            </w:r>
          </w:p>
        </w:tc>
        <w:tc>
          <w:tcPr>
            <w:tcW w:w="844" w:type="dxa"/>
            <w:tcBorders>
              <w:top w:val="nil"/>
              <w:left w:val="nil"/>
              <w:bottom w:val="single" w:sz="8" w:space="0" w:color="auto"/>
              <w:right w:val="single" w:sz="8" w:space="0" w:color="auto"/>
            </w:tcBorders>
            <w:shd w:val="clear" w:color="auto" w:fill="auto"/>
            <w:noWrap/>
            <w:vAlign w:val="center"/>
            <w:hideMark/>
          </w:tcPr>
          <w:p w14:paraId="2029E94E" w14:textId="7265FDF8"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2</w:t>
            </w:r>
            <w:r w:rsidR="00B76DA2">
              <w:rPr>
                <w:rFonts w:eastAsia="Times New Roman" w:cs="Calibri"/>
                <w:i/>
                <w:iCs/>
                <w:color w:val="000000"/>
                <w:sz w:val="16"/>
                <w:szCs w:val="16"/>
              </w:rPr>
              <w:t>5</w:t>
            </w:r>
          </w:p>
        </w:tc>
      </w:tr>
      <w:tr w:rsidR="001F45CE" w:rsidRPr="00913CCF" w14:paraId="2856D31F" w14:textId="77777777" w:rsidTr="00512288">
        <w:trPr>
          <w:trHeight w:val="225"/>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1AB82476"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255B8389"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42D1DFE2"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0886B506"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double" w:sz="6" w:space="0" w:color="auto"/>
              <w:right w:val="single" w:sz="8" w:space="0" w:color="auto"/>
            </w:tcBorders>
            <w:shd w:val="clear" w:color="auto" w:fill="auto"/>
            <w:noWrap/>
            <w:vAlign w:val="center"/>
            <w:hideMark/>
          </w:tcPr>
          <w:p w14:paraId="32DB6B71"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bCs/>
                <w:color w:val="000000"/>
                <w:sz w:val="16"/>
                <w:szCs w:val="16"/>
              </w:rPr>
              <w:t>72200</w:t>
            </w:r>
          </w:p>
        </w:tc>
        <w:tc>
          <w:tcPr>
            <w:tcW w:w="1597" w:type="dxa"/>
            <w:tcBorders>
              <w:top w:val="nil"/>
              <w:left w:val="nil"/>
              <w:bottom w:val="double" w:sz="6" w:space="0" w:color="auto"/>
              <w:right w:val="single" w:sz="8" w:space="0" w:color="auto"/>
            </w:tcBorders>
            <w:shd w:val="clear" w:color="auto" w:fill="auto"/>
            <w:vAlign w:val="center"/>
            <w:hideMark/>
          </w:tcPr>
          <w:p w14:paraId="26B593BC"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Equip. Furniture</w:t>
            </w:r>
          </w:p>
        </w:tc>
        <w:tc>
          <w:tcPr>
            <w:tcW w:w="935" w:type="dxa"/>
            <w:tcBorders>
              <w:top w:val="nil"/>
              <w:left w:val="nil"/>
              <w:bottom w:val="double" w:sz="6" w:space="0" w:color="auto"/>
              <w:right w:val="single" w:sz="8" w:space="0" w:color="auto"/>
            </w:tcBorders>
            <w:shd w:val="clear" w:color="auto" w:fill="auto"/>
            <w:noWrap/>
            <w:vAlign w:val="center"/>
            <w:hideMark/>
          </w:tcPr>
          <w:p w14:paraId="1EF16A4A" w14:textId="00DAA1CA"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16,000</w:t>
            </w:r>
          </w:p>
        </w:tc>
        <w:tc>
          <w:tcPr>
            <w:tcW w:w="996" w:type="dxa"/>
            <w:tcBorders>
              <w:top w:val="nil"/>
              <w:left w:val="nil"/>
              <w:bottom w:val="double" w:sz="6" w:space="0" w:color="auto"/>
              <w:right w:val="single" w:sz="8" w:space="0" w:color="auto"/>
            </w:tcBorders>
            <w:shd w:val="clear" w:color="auto" w:fill="auto"/>
            <w:noWrap/>
            <w:vAlign w:val="center"/>
            <w:hideMark/>
          </w:tcPr>
          <w:p w14:paraId="2E876E4D" w14:textId="5E7D630D"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2,000</w:t>
            </w:r>
          </w:p>
        </w:tc>
        <w:tc>
          <w:tcPr>
            <w:tcW w:w="925" w:type="dxa"/>
            <w:tcBorders>
              <w:top w:val="nil"/>
              <w:left w:val="nil"/>
              <w:bottom w:val="double" w:sz="6" w:space="0" w:color="auto"/>
              <w:right w:val="single" w:sz="8" w:space="0" w:color="auto"/>
            </w:tcBorders>
            <w:shd w:val="clear" w:color="auto" w:fill="auto"/>
            <w:noWrap/>
            <w:vAlign w:val="center"/>
            <w:hideMark/>
          </w:tcPr>
          <w:p w14:paraId="1C9F5C83" w14:textId="0B4DCB0F"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925" w:type="dxa"/>
            <w:tcBorders>
              <w:top w:val="nil"/>
              <w:left w:val="nil"/>
              <w:bottom w:val="double" w:sz="6" w:space="0" w:color="auto"/>
              <w:right w:val="single" w:sz="8" w:space="0" w:color="auto"/>
            </w:tcBorders>
            <w:shd w:val="clear" w:color="auto" w:fill="auto"/>
            <w:noWrap/>
            <w:vAlign w:val="center"/>
            <w:hideMark/>
          </w:tcPr>
          <w:p w14:paraId="28ACCD95" w14:textId="4273BB84"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925" w:type="dxa"/>
            <w:tcBorders>
              <w:top w:val="nil"/>
              <w:left w:val="nil"/>
              <w:bottom w:val="double" w:sz="6" w:space="0" w:color="auto"/>
              <w:right w:val="single" w:sz="8" w:space="0" w:color="auto"/>
            </w:tcBorders>
            <w:shd w:val="clear" w:color="auto" w:fill="auto"/>
            <w:noWrap/>
            <w:vAlign w:val="center"/>
            <w:hideMark/>
          </w:tcPr>
          <w:p w14:paraId="08578541" w14:textId="6CED9237"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925" w:type="dxa"/>
            <w:tcBorders>
              <w:top w:val="nil"/>
              <w:left w:val="nil"/>
              <w:bottom w:val="double" w:sz="6" w:space="0" w:color="auto"/>
              <w:right w:val="single" w:sz="8" w:space="0" w:color="auto"/>
            </w:tcBorders>
            <w:shd w:val="clear" w:color="auto" w:fill="auto"/>
            <w:vAlign w:val="center"/>
            <w:hideMark/>
          </w:tcPr>
          <w:p w14:paraId="209FC3F7" w14:textId="710F2AF5"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1244" w:type="dxa"/>
            <w:tcBorders>
              <w:top w:val="nil"/>
              <w:left w:val="nil"/>
              <w:bottom w:val="double" w:sz="6" w:space="0" w:color="auto"/>
              <w:right w:val="single" w:sz="8" w:space="0" w:color="auto"/>
            </w:tcBorders>
            <w:shd w:val="clear" w:color="auto" w:fill="auto"/>
            <w:noWrap/>
            <w:vAlign w:val="center"/>
            <w:hideMark/>
          </w:tcPr>
          <w:p w14:paraId="2C2D9ACC"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18,000</w:t>
            </w:r>
          </w:p>
        </w:tc>
        <w:tc>
          <w:tcPr>
            <w:tcW w:w="844" w:type="dxa"/>
            <w:tcBorders>
              <w:top w:val="nil"/>
              <w:left w:val="nil"/>
              <w:bottom w:val="double" w:sz="6" w:space="0" w:color="auto"/>
              <w:right w:val="single" w:sz="8" w:space="0" w:color="auto"/>
            </w:tcBorders>
            <w:shd w:val="clear" w:color="auto" w:fill="auto"/>
            <w:noWrap/>
            <w:vAlign w:val="center"/>
            <w:hideMark/>
          </w:tcPr>
          <w:p w14:paraId="6C984332" w14:textId="4C1182E5"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2</w:t>
            </w:r>
            <w:r w:rsidR="00B76DA2">
              <w:rPr>
                <w:rFonts w:eastAsia="Times New Roman" w:cs="Calibri"/>
                <w:i/>
                <w:iCs/>
                <w:color w:val="000000"/>
                <w:sz w:val="16"/>
                <w:szCs w:val="16"/>
              </w:rPr>
              <w:t>6</w:t>
            </w:r>
          </w:p>
        </w:tc>
      </w:tr>
      <w:tr w:rsidR="00571952" w:rsidRPr="00913CCF" w14:paraId="2F478BFC" w14:textId="77777777" w:rsidTr="00512288">
        <w:trPr>
          <w:trHeight w:val="144"/>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25EE0CC7" w14:textId="77777777" w:rsidR="00571952" w:rsidRPr="00913CCF" w:rsidRDefault="00571952"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386CF0D5" w14:textId="77777777" w:rsidR="00571952" w:rsidRPr="00913CCF" w:rsidRDefault="00571952"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465FDA3E" w14:textId="77777777" w:rsidR="00571952" w:rsidRPr="00913CCF" w:rsidRDefault="00571952"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66446592" w14:textId="77777777" w:rsidR="00571952" w:rsidRPr="00913CCF" w:rsidRDefault="00571952" w:rsidP="001F45CE">
            <w:pPr>
              <w:spacing w:after="0"/>
              <w:jc w:val="left"/>
              <w:rPr>
                <w:rFonts w:eastAsia="Times New Roman" w:cs="Calibri"/>
                <w:b/>
                <w:bCs/>
                <w:color w:val="000000"/>
                <w:sz w:val="16"/>
                <w:szCs w:val="16"/>
              </w:rPr>
            </w:pPr>
          </w:p>
        </w:tc>
        <w:tc>
          <w:tcPr>
            <w:tcW w:w="2498" w:type="dxa"/>
            <w:gridSpan w:val="2"/>
            <w:tcBorders>
              <w:top w:val="nil"/>
              <w:left w:val="nil"/>
              <w:bottom w:val="double" w:sz="6" w:space="0" w:color="auto"/>
              <w:right w:val="single" w:sz="8" w:space="0" w:color="auto"/>
            </w:tcBorders>
            <w:shd w:val="clear" w:color="auto" w:fill="FFE599" w:themeFill="accent4" w:themeFillTint="66"/>
            <w:noWrap/>
            <w:vAlign w:val="center"/>
            <w:hideMark/>
          </w:tcPr>
          <w:p w14:paraId="4777FCB3" w14:textId="30E9A7DD" w:rsidR="00571952" w:rsidRPr="00913CCF" w:rsidRDefault="00571952" w:rsidP="00F8089A">
            <w:pPr>
              <w:spacing w:after="0"/>
              <w:jc w:val="right"/>
              <w:rPr>
                <w:rFonts w:eastAsia="Times New Roman" w:cs="Calibri"/>
                <w:b/>
                <w:bCs/>
                <w:color w:val="000000"/>
                <w:sz w:val="15"/>
                <w:szCs w:val="15"/>
              </w:rPr>
            </w:pPr>
            <w:r w:rsidRPr="00913CCF">
              <w:rPr>
                <w:rFonts w:eastAsia="Times New Roman" w:cs="Calibri"/>
                <w:b/>
                <w:bCs/>
                <w:color w:val="000000"/>
                <w:sz w:val="15"/>
                <w:szCs w:val="15"/>
              </w:rPr>
              <w:t xml:space="preserve">Sub-total </w:t>
            </w:r>
            <w:r>
              <w:rPr>
                <w:rFonts w:eastAsia="Times New Roman" w:cs="Calibri"/>
                <w:b/>
                <w:bCs/>
                <w:color w:val="000000"/>
                <w:sz w:val="15"/>
                <w:szCs w:val="15"/>
              </w:rPr>
              <w:t>UNDP</w:t>
            </w:r>
          </w:p>
        </w:tc>
        <w:tc>
          <w:tcPr>
            <w:tcW w:w="935" w:type="dxa"/>
            <w:tcBorders>
              <w:top w:val="nil"/>
              <w:left w:val="nil"/>
              <w:bottom w:val="double" w:sz="6" w:space="0" w:color="auto"/>
              <w:right w:val="single" w:sz="8" w:space="0" w:color="auto"/>
            </w:tcBorders>
            <w:shd w:val="clear" w:color="auto" w:fill="FFE599" w:themeFill="accent4" w:themeFillTint="66"/>
            <w:noWrap/>
            <w:vAlign w:val="center"/>
            <w:hideMark/>
          </w:tcPr>
          <w:p w14:paraId="61262C94" w14:textId="6DEFF741" w:rsidR="00571952" w:rsidRPr="00913CCF"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18,000</w:t>
            </w:r>
          </w:p>
        </w:tc>
        <w:tc>
          <w:tcPr>
            <w:tcW w:w="996" w:type="dxa"/>
            <w:tcBorders>
              <w:top w:val="nil"/>
              <w:left w:val="nil"/>
              <w:bottom w:val="double" w:sz="6" w:space="0" w:color="auto"/>
              <w:right w:val="single" w:sz="8" w:space="0" w:color="auto"/>
            </w:tcBorders>
            <w:shd w:val="clear" w:color="auto" w:fill="FFE599" w:themeFill="accent4" w:themeFillTint="66"/>
            <w:noWrap/>
            <w:vAlign w:val="center"/>
            <w:hideMark/>
          </w:tcPr>
          <w:p w14:paraId="10890388" w14:textId="29ED7B5D" w:rsidR="00571952" w:rsidRPr="00913CCF"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11,500</w:t>
            </w:r>
          </w:p>
        </w:tc>
        <w:tc>
          <w:tcPr>
            <w:tcW w:w="925" w:type="dxa"/>
            <w:tcBorders>
              <w:top w:val="nil"/>
              <w:left w:val="nil"/>
              <w:bottom w:val="double" w:sz="6" w:space="0" w:color="auto"/>
              <w:right w:val="single" w:sz="8" w:space="0" w:color="auto"/>
            </w:tcBorders>
            <w:shd w:val="clear" w:color="auto" w:fill="FFE599" w:themeFill="accent4" w:themeFillTint="66"/>
            <w:noWrap/>
            <w:vAlign w:val="center"/>
            <w:hideMark/>
          </w:tcPr>
          <w:p w14:paraId="7359431B" w14:textId="16A27747" w:rsidR="00571952" w:rsidRPr="00913CCF"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925" w:type="dxa"/>
            <w:tcBorders>
              <w:top w:val="nil"/>
              <w:left w:val="nil"/>
              <w:bottom w:val="double" w:sz="6" w:space="0" w:color="auto"/>
              <w:right w:val="single" w:sz="8" w:space="0" w:color="auto"/>
            </w:tcBorders>
            <w:shd w:val="clear" w:color="auto" w:fill="FFE599" w:themeFill="accent4" w:themeFillTint="66"/>
            <w:noWrap/>
            <w:vAlign w:val="center"/>
            <w:hideMark/>
          </w:tcPr>
          <w:p w14:paraId="427066AF" w14:textId="71C6A61F" w:rsidR="00571952" w:rsidRPr="00913CCF"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925" w:type="dxa"/>
            <w:tcBorders>
              <w:top w:val="nil"/>
              <w:left w:val="nil"/>
              <w:bottom w:val="double" w:sz="6" w:space="0" w:color="auto"/>
              <w:right w:val="single" w:sz="8" w:space="0" w:color="auto"/>
            </w:tcBorders>
            <w:shd w:val="clear" w:color="auto" w:fill="FFE599" w:themeFill="accent4" w:themeFillTint="66"/>
            <w:noWrap/>
            <w:vAlign w:val="center"/>
            <w:hideMark/>
          </w:tcPr>
          <w:p w14:paraId="6D20156C" w14:textId="6CDFF077" w:rsidR="00571952" w:rsidRPr="00913CCF"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925" w:type="dxa"/>
            <w:tcBorders>
              <w:top w:val="nil"/>
              <w:left w:val="nil"/>
              <w:bottom w:val="double" w:sz="6" w:space="0" w:color="auto"/>
              <w:right w:val="single" w:sz="8" w:space="0" w:color="auto"/>
            </w:tcBorders>
            <w:shd w:val="clear" w:color="auto" w:fill="FFE599" w:themeFill="accent4" w:themeFillTint="66"/>
            <w:vAlign w:val="center"/>
            <w:hideMark/>
          </w:tcPr>
          <w:p w14:paraId="02E2C5E0" w14:textId="6618F326" w:rsidR="00571952" w:rsidRPr="00913CCF"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1244" w:type="dxa"/>
            <w:tcBorders>
              <w:top w:val="nil"/>
              <w:left w:val="nil"/>
              <w:bottom w:val="double" w:sz="6" w:space="0" w:color="auto"/>
              <w:right w:val="single" w:sz="8" w:space="0" w:color="auto"/>
            </w:tcBorders>
            <w:shd w:val="clear" w:color="auto" w:fill="FFE599" w:themeFill="accent4" w:themeFillTint="66"/>
            <w:noWrap/>
            <w:vAlign w:val="center"/>
            <w:hideMark/>
          </w:tcPr>
          <w:p w14:paraId="50CDDCBE" w14:textId="77777777" w:rsidR="00571952" w:rsidRPr="00913CCF" w:rsidRDefault="00571952"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67,500</w:t>
            </w:r>
          </w:p>
        </w:tc>
        <w:tc>
          <w:tcPr>
            <w:tcW w:w="844" w:type="dxa"/>
            <w:tcBorders>
              <w:top w:val="nil"/>
              <w:left w:val="nil"/>
              <w:bottom w:val="double" w:sz="6" w:space="0" w:color="auto"/>
              <w:right w:val="single" w:sz="8" w:space="0" w:color="auto"/>
            </w:tcBorders>
            <w:shd w:val="clear" w:color="auto" w:fill="FFE599" w:themeFill="accent4" w:themeFillTint="66"/>
            <w:noWrap/>
            <w:vAlign w:val="center"/>
            <w:hideMark/>
          </w:tcPr>
          <w:p w14:paraId="049A51FA" w14:textId="77777777" w:rsidR="00571952" w:rsidRPr="00913CCF" w:rsidRDefault="00571952" w:rsidP="001F45CE">
            <w:pPr>
              <w:spacing w:after="0"/>
              <w:rPr>
                <w:rFonts w:eastAsia="Times New Roman" w:cs="Calibri"/>
                <w:color w:val="000000"/>
                <w:sz w:val="14"/>
                <w:szCs w:val="14"/>
              </w:rPr>
            </w:pPr>
            <w:r w:rsidRPr="00913CCF">
              <w:rPr>
                <w:rFonts w:eastAsia="Times New Roman" w:cs="Calibri"/>
                <w:color w:val="000000"/>
                <w:sz w:val="14"/>
                <w:szCs w:val="14"/>
              </w:rPr>
              <w:t> </w:t>
            </w:r>
          </w:p>
        </w:tc>
      </w:tr>
      <w:tr w:rsidR="00497F4E" w:rsidRPr="00913CCF" w14:paraId="0460B2B2" w14:textId="77777777" w:rsidTr="00512288">
        <w:trPr>
          <w:trHeight w:val="144"/>
        </w:trPr>
        <w:tc>
          <w:tcPr>
            <w:tcW w:w="1335" w:type="dxa"/>
            <w:vMerge/>
            <w:tcBorders>
              <w:top w:val="nil"/>
              <w:left w:val="single" w:sz="8" w:space="0" w:color="auto"/>
              <w:bottom w:val="double" w:sz="6" w:space="0" w:color="000000"/>
              <w:right w:val="single" w:sz="8" w:space="0" w:color="auto"/>
            </w:tcBorders>
            <w:shd w:val="clear" w:color="auto" w:fill="auto"/>
            <w:vAlign w:val="center"/>
            <w:hideMark/>
          </w:tcPr>
          <w:p w14:paraId="66D203CF" w14:textId="77777777" w:rsidR="00497F4E" w:rsidRPr="00913CCF" w:rsidRDefault="00497F4E" w:rsidP="001F45CE">
            <w:pPr>
              <w:spacing w:after="0"/>
              <w:jc w:val="left"/>
              <w:rPr>
                <w:rFonts w:eastAsia="Times New Roman" w:cs="Calibri"/>
                <w:b/>
                <w:bCs/>
                <w:color w:val="000000"/>
                <w:sz w:val="16"/>
                <w:szCs w:val="16"/>
              </w:rPr>
            </w:pPr>
          </w:p>
        </w:tc>
        <w:tc>
          <w:tcPr>
            <w:tcW w:w="5110" w:type="dxa"/>
            <w:gridSpan w:val="5"/>
            <w:tcBorders>
              <w:top w:val="nil"/>
              <w:left w:val="nil"/>
              <w:bottom w:val="double" w:sz="6" w:space="0" w:color="000000"/>
              <w:right w:val="single" w:sz="8" w:space="0" w:color="auto"/>
            </w:tcBorders>
            <w:shd w:val="clear" w:color="auto" w:fill="C5E0B3" w:themeFill="accent6" w:themeFillTint="66"/>
            <w:vAlign w:val="center"/>
            <w:hideMark/>
          </w:tcPr>
          <w:p w14:paraId="05FD4E5A" w14:textId="3CEC12C6" w:rsidR="00497F4E" w:rsidRPr="00913CCF" w:rsidRDefault="00497F4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Total Outcome 2</w:t>
            </w:r>
          </w:p>
        </w:tc>
        <w:tc>
          <w:tcPr>
            <w:tcW w:w="935" w:type="dxa"/>
            <w:tcBorders>
              <w:top w:val="nil"/>
              <w:left w:val="nil"/>
              <w:bottom w:val="double" w:sz="6" w:space="0" w:color="auto"/>
              <w:right w:val="single" w:sz="8" w:space="0" w:color="auto"/>
            </w:tcBorders>
            <w:shd w:val="clear" w:color="auto" w:fill="C5E0B3" w:themeFill="accent6" w:themeFillTint="66"/>
            <w:noWrap/>
            <w:vAlign w:val="center"/>
            <w:hideMark/>
          </w:tcPr>
          <w:p w14:paraId="61B3838C" w14:textId="77777777" w:rsidR="00497F4E" w:rsidRPr="00EF6D8E" w:rsidRDefault="00497F4E"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530,605</w:t>
            </w:r>
          </w:p>
        </w:tc>
        <w:tc>
          <w:tcPr>
            <w:tcW w:w="996" w:type="dxa"/>
            <w:tcBorders>
              <w:top w:val="nil"/>
              <w:left w:val="nil"/>
              <w:bottom w:val="double" w:sz="6" w:space="0" w:color="auto"/>
              <w:right w:val="single" w:sz="8" w:space="0" w:color="auto"/>
            </w:tcBorders>
            <w:shd w:val="clear" w:color="auto" w:fill="C5E0B3" w:themeFill="accent6" w:themeFillTint="66"/>
            <w:noWrap/>
            <w:vAlign w:val="center"/>
            <w:hideMark/>
          </w:tcPr>
          <w:p w14:paraId="3ECA7C2F" w14:textId="6634E4A0" w:rsidR="00497F4E" w:rsidRPr="00EF6D8E" w:rsidRDefault="00497F4E"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424,520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790AE73F" w14:textId="1633B694" w:rsidR="00497F4E" w:rsidRPr="00EF6D8E" w:rsidRDefault="00497F4E"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935,130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3256435D" w14:textId="58F0072F" w:rsidR="00497F4E" w:rsidRPr="00EF6D8E" w:rsidRDefault="00497F4E"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555,200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32631AC8" w14:textId="0B50717E" w:rsidR="00497F4E" w:rsidRPr="00EF6D8E" w:rsidRDefault="00497F4E"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260,200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1F0735E3" w14:textId="281E92F7" w:rsidR="00497F4E" w:rsidRPr="00EF6D8E" w:rsidRDefault="00497F4E"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65,400</w:t>
            </w:r>
          </w:p>
        </w:tc>
        <w:tc>
          <w:tcPr>
            <w:tcW w:w="1244" w:type="dxa"/>
            <w:tcBorders>
              <w:top w:val="nil"/>
              <w:left w:val="nil"/>
              <w:bottom w:val="double" w:sz="6" w:space="0" w:color="auto"/>
              <w:right w:val="single" w:sz="8" w:space="0" w:color="auto"/>
            </w:tcBorders>
            <w:shd w:val="clear" w:color="auto" w:fill="C5E0B3" w:themeFill="accent6" w:themeFillTint="66"/>
            <w:noWrap/>
            <w:vAlign w:val="center"/>
            <w:hideMark/>
          </w:tcPr>
          <w:p w14:paraId="72AB0706" w14:textId="37F8DD4E" w:rsidR="00497F4E" w:rsidRPr="00913CCF" w:rsidRDefault="00497F4E"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2,771,055</w:t>
            </w:r>
          </w:p>
        </w:tc>
        <w:tc>
          <w:tcPr>
            <w:tcW w:w="844" w:type="dxa"/>
            <w:tcBorders>
              <w:top w:val="nil"/>
              <w:left w:val="nil"/>
              <w:bottom w:val="double" w:sz="6" w:space="0" w:color="auto"/>
              <w:right w:val="single" w:sz="8" w:space="0" w:color="auto"/>
            </w:tcBorders>
            <w:shd w:val="clear" w:color="auto" w:fill="C5E0B3" w:themeFill="accent6" w:themeFillTint="66"/>
            <w:noWrap/>
            <w:vAlign w:val="center"/>
            <w:hideMark/>
          </w:tcPr>
          <w:p w14:paraId="26396EE9" w14:textId="77777777" w:rsidR="00497F4E" w:rsidRPr="00913CCF" w:rsidRDefault="00497F4E" w:rsidP="001F45CE">
            <w:pPr>
              <w:spacing w:after="0"/>
              <w:rPr>
                <w:rFonts w:eastAsia="Times New Roman" w:cs="Calibri"/>
                <w:color w:val="000000"/>
                <w:sz w:val="14"/>
                <w:szCs w:val="14"/>
              </w:rPr>
            </w:pPr>
            <w:r w:rsidRPr="00913CCF">
              <w:rPr>
                <w:rFonts w:eastAsia="Times New Roman" w:cs="Calibri"/>
                <w:color w:val="000000"/>
                <w:sz w:val="14"/>
                <w:szCs w:val="14"/>
              </w:rPr>
              <w:t> </w:t>
            </w:r>
          </w:p>
        </w:tc>
      </w:tr>
      <w:tr w:rsidR="00465CF5" w:rsidRPr="00913CCF" w14:paraId="74233F1B" w14:textId="77777777" w:rsidTr="00512288">
        <w:trPr>
          <w:trHeight w:val="252"/>
        </w:trPr>
        <w:tc>
          <w:tcPr>
            <w:tcW w:w="1335" w:type="dxa"/>
            <w:vMerge w:val="restart"/>
            <w:tcBorders>
              <w:top w:val="nil"/>
              <w:left w:val="single" w:sz="8" w:space="0" w:color="000000"/>
              <w:bottom w:val="double" w:sz="6" w:space="0" w:color="000000"/>
              <w:right w:val="single" w:sz="8" w:space="0" w:color="auto"/>
            </w:tcBorders>
            <w:shd w:val="clear" w:color="auto" w:fill="auto"/>
            <w:vAlign w:val="center"/>
            <w:hideMark/>
          </w:tcPr>
          <w:p w14:paraId="0CB4062C" w14:textId="77777777" w:rsidR="00465CF5" w:rsidRPr="00913CCF" w:rsidRDefault="00465CF5"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COMPONENT / OUTCOME 3:</w:t>
            </w:r>
          </w:p>
        </w:tc>
        <w:tc>
          <w:tcPr>
            <w:tcW w:w="1267" w:type="dxa"/>
            <w:vMerge w:val="restart"/>
            <w:tcBorders>
              <w:top w:val="nil"/>
              <w:left w:val="single" w:sz="8" w:space="0" w:color="auto"/>
              <w:bottom w:val="double" w:sz="6" w:space="0" w:color="000000"/>
              <w:right w:val="single" w:sz="8" w:space="0" w:color="auto"/>
            </w:tcBorders>
            <w:shd w:val="clear" w:color="auto" w:fill="auto"/>
            <w:vAlign w:val="center"/>
            <w:hideMark/>
          </w:tcPr>
          <w:p w14:paraId="715D7F9A" w14:textId="1401CCEE" w:rsidR="00465CF5" w:rsidRPr="00AB47BD" w:rsidRDefault="001265F0" w:rsidP="001F45CE">
            <w:pPr>
              <w:spacing w:after="0"/>
              <w:jc w:val="center"/>
              <w:rPr>
                <w:rFonts w:eastAsia="Times New Roman" w:cs="Calibri"/>
                <w:b/>
                <w:bCs/>
                <w:color w:val="000000"/>
                <w:sz w:val="16"/>
                <w:szCs w:val="16"/>
                <w:lang w:val="fr-FR"/>
              </w:rPr>
            </w:pPr>
            <w:r w:rsidRPr="00AB47BD">
              <w:rPr>
                <w:rFonts w:cs="Arial"/>
                <w:b/>
                <w:bCs/>
                <w:sz w:val="16"/>
                <w:szCs w:val="16"/>
                <w:highlight w:val="green"/>
                <w:lang w:val="fr-FR"/>
              </w:rPr>
              <w:t>Ministère de l'environnement, de l'eau et de l’Assainissement</w:t>
            </w:r>
          </w:p>
        </w:tc>
        <w:tc>
          <w:tcPr>
            <w:tcW w:w="713" w:type="dxa"/>
            <w:vMerge w:val="restart"/>
            <w:tcBorders>
              <w:top w:val="nil"/>
              <w:left w:val="single" w:sz="8" w:space="0" w:color="auto"/>
              <w:right w:val="single" w:sz="8" w:space="0" w:color="auto"/>
            </w:tcBorders>
            <w:shd w:val="clear" w:color="auto" w:fill="auto"/>
            <w:vAlign w:val="center"/>
            <w:hideMark/>
          </w:tcPr>
          <w:p w14:paraId="643BDEBC" w14:textId="77777777" w:rsidR="00465CF5" w:rsidRPr="00913CCF" w:rsidRDefault="00465CF5"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62000</w:t>
            </w:r>
          </w:p>
          <w:p w14:paraId="2AF52AF0" w14:textId="67DCBE31" w:rsidR="00465CF5" w:rsidRPr="00913CCF" w:rsidRDefault="00465CF5"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 </w:t>
            </w:r>
          </w:p>
        </w:tc>
        <w:tc>
          <w:tcPr>
            <w:tcW w:w="632" w:type="dxa"/>
            <w:vMerge w:val="restart"/>
            <w:tcBorders>
              <w:top w:val="nil"/>
              <w:left w:val="single" w:sz="8" w:space="0" w:color="auto"/>
              <w:right w:val="single" w:sz="8" w:space="0" w:color="auto"/>
            </w:tcBorders>
            <w:shd w:val="clear" w:color="auto" w:fill="auto"/>
            <w:vAlign w:val="center"/>
            <w:hideMark/>
          </w:tcPr>
          <w:p w14:paraId="24518836" w14:textId="77777777" w:rsidR="00465CF5" w:rsidRPr="00913CCF" w:rsidRDefault="00465CF5"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GEF</w:t>
            </w:r>
          </w:p>
          <w:p w14:paraId="1A7CF38F" w14:textId="66E348D2" w:rsidR="00465CF5" w:rsidRPr="00913CCF" w:rsidRDefault="00465CF5"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 </w:t>
            </w:r>
          </w:p>
        </w:tc>
        <w:tc>
          <w:tcPr>
            <w:tcW w:w="901" w:type="dxa"/>
            <w:tcBorders>
              <w:top w:val="nil"/>
              <w:left w:val="nil"/>
              <w:bottom w:val="single" w:sz="8" w:space="0" w:color="auto"/>
              <w:right w:val="single" w:sz="8" w:space="0" w:color="auto"/>
            </w:tcBorders>
            <w:shd w:val="clear" w:color="auto" w:fill="auto"/>
            <w:noWrap/>
            <w:vAlign w:val="center"/>
            <w:hideMark/>
          </w:tcPr>
          <w:p w14:paraId="46987B88" w14:textId="77777777" w:rsidR="00465CF5" w:rsidRPr="00913CCF" w:rsidRDefault="00465CF5" w:rsidP="001F45CE">
            <w:pPr>
              <w:spacing w:after="0"/>
              <w:jc w:val="center"/>
              <w:rPr>
                <w:rFonts w:eastAsia="Times New Roman" w:cs="Calibri"/>
                <w:color w:val="000000"/>
                <w:sz w:val="16"/>
                <w:szCs w:val="16"/>
              </w:rPr>
            </w:pPr>
            <w:r w:rsidRPr="00913CCF">
              <w:rPr>
                <w:rFonts w:eastAsia="Times New Roman" w:cs="Calibri"/>
                <w:color w:val="000000"/>
                <w:sz w:val="16"/>
                <w:szCs w:val="16"/>
              </w:rPr>
              <w:t>71200</w:t>
            </w:r>
          </w:p>
        </w:tc>
        <w:tc>
          <w:tcPr>
            <w:tcW w:w="1597" w:type="dxa"/>
            <w:tcBorders>
              <w:top w:val="nil"/>
              <w:left w:val="nil"/>
              <w:bottom w:val="single" w:sz="8" w:space="0" w:color="auto"/>
              <w:right w:val="single" w:sz="8" w:space="0" w:color="auto"/>
            </w:tcBorders>
            <w:shd w:val="clear" w:color="auto" w:fill="auto"/>
            <w:vAlign w:val="center"/>
            <w:hideMark/>
          </w:tcPr>
          <w:p w14:paraId="62C7EE4A" w14:textId="77777777" w:rsidR="00465CF5" w:rsidRPr="00913CCF" w:rsidRDefault="00465CF5" w:rsidP="001F45CE">
            <w:pPr>
              <w:spacing w:after="0"/>
              <w:jc w:val="left"/>
              <w:rPr>
                <w:rFonts w:eastAsia="Times New Roman" w:cs="Calibri"/>
                <w:color w:val="000000"/>
                <w:sz w:val="16"/>
                <w:szCs w:val="16"/>
              </w:rPr>
            </w:pPr>
            <w:r w:rsidRPr="00913CCF">
              <w:rPr>
                <w:rFonts w:eastAsia="Times New Roman" w:cs="Calibri"/>
                <w:color w:val="000000"/>
                <w:sz w:val="16"/>
                <w:szCs w:val="16"/>
              </w:rPr>
              <w:t>International Cons</w:t>
            </w:r>
          </w:p>
        </w:tc>
        <w:tc>
          <w:tcPr>
            <w:tcW w:w="935" w:type="dxa"/>
            <w:tcBorders>
              <w:top w:val="nil"/>
              <w:left w:val="nil"/>
              <w:bottom w:val="single" w:sz="8" w:space="0" w:color="auto"/>
              <w:right w:val="single" w:sz="8" w:space="0" w:color="auto"/>
            </w:tcBorders>
            <w:shd w:val="clear" w:color="auto" w:fill="auto"/>
            <w:noWrap/>
            <w:vAlign w:val="center"/>
            <w:hideMark/>
          </w:tcPr>
          <w:p w14:paraId="2B0D7D94"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96" w:type="dxa"/>
            <w:tcBorders>
              <w:top w:val="nil"/>
              <w:left w:val="nil"/>
              <w:bottom w:val="single" w:sz="8" w:space="0" w:color="auto"/>
              <w:right w:val="single" w:sz="8" w:space="0" w:color="auto"/>
            </w:tcBorders>
            <w:shd w:val="clear" w:color="auto" w:fill="auto"/>
            <w:noWrap/>
            <w:vAlign w:val="center"/>
            <w:hideMark/>
          </w:tcPr>
          <w:p w14:paraId="3F97516F"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14,000</w:t>
            </w:r>
          </w:p>
        </w:tc>
        <w:tc>
          <w:tcPr>
            <w:tcW w:w="925" w:type="dxa"/>
            <w:tcBorders>
              <w:top w:val="nil"/>
              <w:left w:val="nil"/>
              <w:bottom w:val="single" w:sz="8" w:space="0" w:color="auto"/>
              <w:right w:val="single" w:sz="8" w:space="0" w:color="auto"/>
            </w:tcBorders>
            <w:shd w:val="clear" w:color="auto" w:fill="auto"/>
            <w:noWrap/>
            <w:vAlign w:val="center"/>
            <w:hideMark/>
          </w:tcPr>
          <w:p w14:paraId="2B1BF1C8"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14,000</w:t>
            </w:r>
          </w:p>
        </w:tc>
        <w:tc>
          <w:tcPr>
            <w:tcW w:w="925" w:type="dxa"/>
            <w:tcBorders>
              <w:top w:val="nil"/>
              <w:left w:val="nil"/>
              <w:bottom w:val="single" w:sz="8" w:space="0" w:color="auto"/>
              <w:right w:val="single" w:sz="8" w:space="0" w:color="auto"/>
            </w:tcBorders>
            <w:shd w:val="clear" w:color="auto" w:fill="auto"/>
            <w:noWrap/>
            <w:vAlign w:val="center"/>
            <w:hideMark/>
          </w:tcPr>
          <w:p w14:paraId="6A17530E"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24,500</w:t>
            </w:r>
          </w:p>
        </w:tc>
        <w:tc>
          <w:tcPr>
            <w:tcW w:w="925" w:type="dxa"/>
            <w:tcBorders>
              <w:top w:val="nil"/>
              <w:left w:val="nil"/>
              <w:bottom w:val="single" w:sz="8" w:space="0" w:color="auto"/>
              <w:right w:val="single" w:sz="8" w:space="0" w:color="auto"/>
            </w:tcBorders>
            <w:shd w:val="clear" w:color="auto" w:fill="auto"/>
            <w:noWrap/>
            <w:vAlign w:val="center"/>
            <w:hideMark/>
          </w:tcPr>
          <w:p w14:paraId="1BDA3247"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1CC7A0BE"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1244" w:type="dxa"/>
            <w:tcBorders>
              <w:top w:val="nil"/>
              <w:left w:val="nil"/>
              <w:bottom w:val="single" w:sz="8" w:space="0" w:color="auto"/>
              <w:right w:val="single" w:sz="8" w:space="0" w:color="auto"/>
            </w:tcBorders>
            <w:shd w:val="clear" w:color="auto" w:fill="auto"/>
            <w:noWrap/>
            <w:vAlign w:val="center"/>
            <w:hideMark/>
          </w:tcPr>
          <w:p w14:paraId="316E4F6C" w14:textId="77777777" w:rsidR="00465CF5" w:rsidRPr="00913CCF" w:rsidRDefault="00465CF5"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52,500</w:t>
            </w:r>
          </w:p>
        </w:tc>
        <w:tc>
          <w:tcPr>
            <w:tcW w:w="844" w:type="dxa"/>
            <w:tcBorders>
              <w:top w:val="nil"/>
              <w:left w:val="nil"/>
              <w:bottom w:val="single" w:sz="8" w:space="0" w:color="auto"/>
              <w:right w:val="single" w:sz="8" w:space="0" w:color="auto"/>
            </w:tcBorders>
            <w:shd w:val="clear" w:color="auto" w:fill="auto"/>
            <w:vAlign w:val="center"/>
            <w:hideMark/>
          </w:tcPr>
          <w:p w14:paraId="6FE9B720" w14:textId="6EB1499C" w:rsidR="00465CF5" w:rsidRPr="00913CCF" w:rsidRDefault="00465CF5"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2</w:t>
            </w:r>
            <w:r w:rsidR="00B76DA2">
              <w:rPr>
                <w:rFonts w:eastAsia="Times New Roman" w:cs="Calibri"/>
                <w:i/>
                <w:iCs/>
                <w:color w:val="000000"/>
                <w:sz w:val="16"/>
                <w:szCs w:val="16"/>
              </w:rPr>
              <w:t>7</w:t>
            </w:r>
          </w:p>
        </w:tc>
      </w:tr>
      <w:tr w:rsidR="00465CF5" w:rsidRPr="00913CCF" w14:paraId="2BE0855B" w14:textId="77777777" w:rsidTr="00512288">
        <w:trPr>
          <w:trHeight w:val="22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0738F203" w14:textId="77777777" w:rsidR="00465CF5" w:rsidRPr="00913CCF" w:rsidRDefault="00465CF5"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2EA912AA" w14:textId="77777777" w:rsidR="00465CF5" w:rsidRPr="00913CCF" w:rsidRDefault="00465CF5" w:rsidP="001F45CE">
            <w:pPr>
              <w:spacing w:after="0"/>
              <w:jc w:val="left"/>
              <w:rPr>
                <w:rFonts w:eastAsia="Times New Roman" w:cs="Calibri"/>
                <w:b/>
                <w:bCs/>
                <w:color w:val="000000"/>
                <w:sz w:val="16"/>
                <w:szCs w:val="16"/>
              </w:rPr>
            </w:pPr>
          </w:p>
        </w:tc>
        <w:tc>
          <w:tcPr>
            <w:tcW w:w="713" w:type="dxa"/>
            <w:vMerge/>
            <w:tcBorders>
              <w:left w:val="single" w:sz="8" w:space="0" w:color="auto"/>
              <w:right w:val="single" w:sz="8" w:space="0" w:color="auto"/>
            </w:tcBorders>
            <w:shd w:val="clear" w:color="auto" w:fill="auto"/>
            <w:vAlign w:val="center"/>
            <w:hideMark/>
          </w:tcPr>
          <w:p w14:paraId="273DD8BA" w14:textId="09EA382A" w:rsidR="00465CF5" w:rsidRPr="00913CCF" w:rsidRDefault="00465CF5" w:rsidP="001F45CE">
            <w:pPr>
              <w:spacing w:after="0"/>
              <w:jc w:val="center"/>
              <w:rPr>
                <w:rFonts w:eastAsia="Times New Roman" w:cs="Calibri"/>
                <w:b/>
                <w:bCs/>
                <w:color w:val="000000"/>
                <w:sz w:val="16"/>
                <w:szCs w:val="16"/>
              </w:rPr>
            </w:pPr>
          </w:p>
        </w:tc>
        <w:tc>
          <w:tcPr>
            <w:tcW w:w="632" w:type="dxa"/>
            <w:vMerge/>
            <w:tcBorders>
              <w:left w:val="single" w:sz="8" w:space="0" w:color="auto"/>
              <w:right w:val="single" w:sz="8" w:space="0" w:color="auto"/>
            </w:tcBorders>
            <w:shd w:val="clear" w:color="auto" w:fill="auto"/>
            <w:vAlign w:val="center"/>
            <w:hideMark/>
          </w:tcPr>
          <w:p w14:paraId="0AB030AA" w14:textId="27B46ADB" w:rsidR="00465CF5" w:rsidRPr="00913CCF" w:rsidRDefault="00465CF5" w:rsidP="001F45CE">
            <w:pPr>
              <w:spacing w:after="0"/>
              <w:jc w:val="center"/>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24479C1D" w14:textId="77777777" w:rsidR="00465CF5" w:rsidRPr="00913CCF" w:rsidRDefault="00465CF5" w:rsidP="001F45CE">
            <w:pPr>
              <w:spacing w:after="0"/>
              <w:jc w:val="center"/>
              <w:rPr>
                <w:rFonts w:eastAsia="Times New Roman" w:cs="Calibri"/>
                <w:color w:val="000000"/>
                <w:sz w:val="16"/>
                <w:szCs w:val="16"/>
              </w:rPr>
            </w:pPr>
            <w:r w:rsidRPr="00913CCF">
              <w:rPr>
                <w:rFonts w:eastAsia="Times New Roman" w:cs="Calibri"/>
                <w:color w:val="000000"/>
                <w:sz w:val="16"/>
                <w:szCs w:val="16"/>
              </w:rPr>
              <w:t>71300</w:t>
            </w:r>
          </w:p>
        </w:tc>
        <w:tc>
          <w:tcPr>
            <w:tcW w:w="1597" w:type="dxa"/>
            <w:tcBorders>
              <w:top w:val="nil"/>
              <w:left w:val="nil"/>
              <w:bottom w:val="single" w:sz="8" w:space="0" w:color="auto"/>
              <w:right w:val="single" w:sz="8" w:space="0" w:color="auto"/>
            </w:tcBorders>
            <w:shd w:val="clear" w:color="auto" w:fill="auto"/>
            <w:vAlign w:val="center"/>
            <w:hideMark/>
          </w:tcPr>
          <w:p w14:paraId="6A3CBA68" w14:textId="77777777" w:rsidR="00465CF5" w:rsidRPr="00913CCF" w:rsidRDefault="00465CF5" w:rsidP="001F45CE">
            <w:pPr>
              <w:spacing w:after="0"/>
              <w:jc w:val="left"/>
              <w:rPr>
                <w:rFonts w:eastAsia="Times New Roman" w:cs="Calibri"/>
                <w:color w:val="000000"/>
                <w:sz w:val="16"/>
                <w:szCs w:val="16"/>
              </w:rPr>
            </w:pPr>
            <w:r w:rsidRPr="00913CCF">
              <w:rPr>
                <w:rFonts w:eastAsia="Times New Roman" w:cs="Calibri"/>
                <w:color w:val="000000"/>
                <w:sz w:val="16"/>
                <w:szCs w:val="16"/>
              </w:rPr>
              <w:t>Local Consultants</w:t>
            </w:r>
          </w:p>
        </w:tc>
        <w:tc>
          <w:tcPr>
            <w:tcW w:w="935" w:type="dxa"/>
            <w:tcBorders>
              <w:top w:val="nil"/>
              <w:left w:val="nil"/>
              <w:bottom w:val="single" w:sz="8" w:space="0" w:color="auto"/>
              <w:right w:val="single" w:sz="8" w:space="0" w:color="auto"/>
            </w:tcBorders>
            <w:shd w:val="clear" w:color="auto" w:fill="auto"/>
            <w:noWrap/>
            <w:vAlign w:val="center"/>
            <w:hideMark/>
          </w:tcPr>
          <w:p w14:paraId="36C818A0"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96" w:type="dxa"/>
            <w:tcBorders>
              <w:top w:val="nil"/>
              <w:left w:val="nil"/>
              <w:bottom w:val="single" w:sz="8" w:space="0" w:color="auto"/>
              <w:right w:val="single" w:sz="8" w:space="0" w:color="auto"/>
            </w:tcBorders>
            <w:shd w:val="clear" w:color="auto" w:fill="auto"/>
            <w:noWrap/>
            <w:vAlign w:val="center"/>
            <w:hideMark/>
          </w:tcPr>
          <w:p w14:paraId="35657ABB"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54,000</w:t>
            </w:r>
          </w:p>
        </w:tc>
        <w:tc>
          <w:tcPr>
            <w:tcW w:w="925" w:type="dxa"/>
            <w:tcBorders>
              <w:top w:val="nil"/>
              <w:left w:val="nil"/>
              <w:bottom w:val="single" w:sz="8" w:space="0" w:color="auto"/>
              <w:right w:val="single" w:sz="8" w:space="0" w:color="auto"/>
            </w:tcBorders>
            <w:shd w:val="clear" w:color="auto" w:fill="auto"/>
            <w:noWrap/>
            <w:vAlign w:val="center"/>
            <w:hideMark/>
          </w:tcPr>
          <w:p w14:paraId="11223227"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32,000</w:t>
            </w:r>
          </w:p>
        </w:tc>
        <w:tc>
          <w:tcPr>
            <w:tcW w:w="925" w:type="dxa"/>
            <w:tcBorders>
              <w:top w:val="nil"/>
              <w:left w:val="nil"/>
              <w:bottom w:val="single" w:sz="8" w:space="0" w:color="auto"/>
              <w:right w:val="single" w:sz="8" w:space="0" w:color="auto"/>
            </w:tcBorders>
            <w:shd w:val="clear" w:color="auto" w:fill="auto"/>
            <w:noWrap/>
            <w:vAlign w:val="center"/>
            <w:hideMark/>
          </w:tcPr>
          <w:p w14:paraId="67EAA9F4"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20,000</w:t>
            </w:r>
          </w:p>
        </w:tc>
        <w:tc>
          <w:tcPr>
            <w:tcW w:w="925" w:type="dxa"/>
            <w:tcBorders>
              <w:top w:val="nil"/>
              <w:left w:val="nil"/>
              <w:bottom w:val="single" w:sz="8" w:space="0" w:color="auto"/>
              <w:right w:val="single" w:sz="8" w:space="0" w:color="auto"/>
            </w:tcBorders>
            <w:shd w:val="clear" w:color="auto" w:fill="auto"/>
            <w:noWrap/>
            <w:vAlign w:val="center"/>
            <w:hideMark/>
          </w:tcPr>
          <w:p w14:paraId="3086E0CA"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20,000</w:t>
            </w:r>
          </w:p>
        </w:tc>
        <w:tc>
          <w:tcPr>
            <w:tcW w:w="925" w:type="dxa"/>
            <w:tcBorders>
              <w:top w:val="nil"/>
              <w:left w:val="nil"/>
              <w:bottom w:val="single" w:sz="8" w:space="0" w:color="auto"/>
              <w:right w:val="single" w:sz="8" w:space="0" w:color="auto"/>
            </w:tcBorders>
            <w:shd w:val="clear" w:color="auto" w:fill="auto"/>
            <w:vAlign w:val="center"/>
            <w:hideMark/>
          </w:tcPr>
          <w:p w14:paraId="416A757B"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1244" w:type="dxa"/>
            <w:tcBorders>
              <w:top w:val="nil"/>
              <w:left w:val="nil"/>
              <w:bottom w:val="single" w:sz="8" w:space="0" w:color="auto"/>
              <w:right w:val="single" w:sz="8" w:space="0" w:color="auto"/>
            </w:tcBorders>
            <w:shd w:val="clear" w:color="auto" w:fill="auto"/>
            <w:noWrap/>
            <w:vAlign w:val="center"/>
            <w:hideMark/>
          </w:tcPr>
          <w:p w14:paraId="2C29D031" w14:textId="77777777" w:rsidR="00465CF5" w:rsidRPr="00913CCF" w:rsidRDefault="00465CF5"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126,000</w:t>
            </w:r>
          </w:p>
        </w:tc>
        <w:tc>
          <w:tcPr>
            <w:tcW w:w="844" w:type="dxa"/>
            <w:tcBorders>
              <w:top w:val="nil"/>
              <w:left w:val="nil"/>
              <w:bottom w:val="single" w:sz="8" w:space="0" w:color="auto"/>
              <w:right w:val="single" w:sz="8" w:space="0" w:color="auto"/>
            </w:tcBorders>
            <w:shd w:val="clear" w:color="auto" w:fill="auto"/>
            <w:vAlign w:val="center"/>
            <w:hideMark/>
          </w:tcPr>
          <w:p w14:paraId="5B24BFD7" w14:textId="1C83C4C0" w:rsidR="00465CF5" w:rsidRPr="00913CCF" w:rsidRDefault="00465CF5"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2</w:t>
            </w:r>
            <w:r w:rsidR="00B76DA2">
              <w:rPr>
                <w:rFonts w:eastAsia="Times New Roman" w:cs="Calibri"/>
                <w:i/>
                <w:iCs/>
                <w:color w:val="000000"/>
                <w:sz w:val="16"/>
                <w:szCs w:val="16"/>
              </w:rPr>
              <w:t>8</w:t>
            </w:r>
          </w:p>
        </w:tc>
      </w:tr>
      <w:tr w:rsidR="00465CF5" w:rsidRPr="00913CCF" w14:paraId="2B2B81F3" w14:textId="77777777" w:rsidTr="00512288">
        <w:trPr>
          <w:trHeight w:val="22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5F68BD43" w14:textId="77777777" w:rsidR="00465CF5" w:rsidRPr="00913CCF" w:rsidRDefault="00465CF5"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50319EF0" w14:textId="77777777" w:rsidR="00465CF5" w:rsidRPr="00913CCF" w:rsidRDefault="00465CF5" w:rsidP="001F45CE">
            <w:pPr>
              <w:spacing w:after="0"/>
              <w:jc w:val="left"/>
              <w:rPr>
                <w:rFonts w:eastAsia="Times New Roman" w:cs="Calibri"/>
                <w:b/>
                <w:bCs/>
                <w:color w:val="000000"/>
                <w:sz w:val="16"/>
                <w:szCs w:val="16"/>
              </w:rPr>
            </w:pPr>
          </w:p>
        </w:tc>
        <w:tc>
          <w:tcPr>
            <w:tcW w:w="713" w:type="dxa"/>
            <w:vMerge/>
            <w:tcBorders>
              <w:left w:val="single" w:sz="8" w:space="0" w:color="auto"/>
              <w:right w:val="single" w:sz="8" w:space="0" w:color="auto"/>
            </w:tcBorders>
            <w:shd w:val="clear" w:color="auto" w:fill="auto"/>
            <w:vAlign w:val="center"/>
            <w:hideMark/>
          </w:tcPr>
          <w:p w14:paraId="1AAB30BC" w14:textId="326B9889" w:rsidR="00465CF5" w:rsidRPr="00913CCF" w:rsidRDefault="00465CF5" w:rsidP="001F45CE">
            <w:pPr>
              <w:spacing w:after="0"/>
              <w:jc w:val="center"/>
              <w:rPr>
                <w:rFonts w:eastAsia="Times New Roman" w:cs="Calibri"/>
                <w:b/>
                <w:bCs/>
                <w:color w:val="000000"/>
                <w:sz w:val="16"/>
                <w:szCs w:val="16"/>
              </w:rPr>
            </w:pPr>
          </w:p>
        </w:tc>
        <w:tc>
          <w:tcPr>
            <w:tcW w:w="632" w:type="dxa"/>
            <w:vMerge/>
            <w:tcBorders>
              <w:left w:val="single" w:sz="8" w:space="0" w:color="auto"/>
              <w:right w:val="single" w:sz="8" w:space="0" w:color="auto"/>
            </w:tcBorders>
            <w:shd w:val="clear" w:color="auto" w:fill="auto"/>
            <w:vAlign w:val="center"/>
            <w:hideMark/>
          </w:tcPr>
          <w:p w14:paraId="34796414" w14:textId="5860FA9F" w:rsidR="00465CF5" w:rsidRPr="00913CCF" w:rsidRDefault="00465CF5" w:rsidP="001F45CE">
            <w:pPr>
              <w:spacing w:after="0"/>
              <w:jc w:val="center"/>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30012D8E" w14:textId="77777777" w:rsidR="00465CF5" w:rsidRPr="00913CCF" w:rsidRDefault="00465CF5" w:rsidP="001F45CE">
            <w:pPr>
              <w:spacing w:after="0"/>
              <w:jc w:val="center"/>
              <w:rPr>
                <w:rFonts w:eastAsia="Times New Roman" w:cs="Calibri"/>
                <w:color w:val="000000"/>
                <w:sz w:val="16"/>
                <w:szCs w:val="16"/>
              </w:rPr>
            </w:pPr>
            <w:r w:rsidRPr="00913CCF">
              <w:rPr>
                <w:rFonts w:eastAsia="Times New Roman" w:cs="Calibri"/>
                <w:color w:val="000000"/>
                <w:sz w:val="16"/>
                <w:szCs w:val="16"/>
              </w:rPr>
              <w:t>71400</w:t>
            </w:r>
          </w:p>
        </w:tc>
        <w:tc>
          <w:tcPr>
            <w:tcW w:w="1597" w:type="dxa"/>
            <w:tcBorders>
              <w:top w:val="nil"/>
              <w:left w:val="nil"/>
              <w:bottom w:val="single" w:sz="8" w:space="0" w:color="auto"/>
              <w:right w:val="single" w:sz="8" w:space="0" w:color="auto"/>
            </w:tcBorders>
            <w:shd w:val="clear" w:color="auto" w:fill="auto"/>
            <w:vAlign w:val="center"/>
            <w:hideMark/>
          </w:tcPr>
          <w:p w14:paraId="383D75B5" w14:textId="77777777" w:rsidR="00465CF5" w:rsidRPr="00913CCF" w:rsidRDefault="00465CF5" w:rsidP="001F45CE">
            <w:pPr>
              <w:spacing w:after="0"/>
              <w:jc w:val="left"/>
              <w:rPr>
                <w:rFonts w:eastAsia="Times New Roman" w:cs="Calibri"/>
                <w:color w:val="000000"/>
                <w:sz w:val="16"/>
                <w:szCs w:val="16"/>
              </w:rPr>
            </w:pPr>
            <w:r w:rsidRPr="00913CCF">
              <w:rPr>
                <w:rFonts w:eastAsia="Times New Roman" w:cs="Calibri"/>
                <w:color w:val="000000"/>
                <w:sz w:val="16"/>
                <w:szCs w:val="16"/>
              </w:rPr>
              <w:t>Serv. Contract. Ind.</w:t>
            </w:r>
          </w:p>
        </w:tc>
        <w:tc>
          <w:tcPr>
            <w:tcW w:w="935" w:type="dxa"/>
            <w:tcBorders>
              <w:top w:val="nil"/>
              <w:left w:val="nil"/>
              <w:bottom w:val="single" w:sz="8" w:space="0" w:color="auto"/>
              <w:right w:val="single" w:sz="8" w:space="0" w:color="auto"/>
            </w:tcBorders>
            <w:shd w:val="clear" w:color="auto" w:fill="auto"/>
            <w:noWrap/>
            <w:vAlign w:val="center"/>
            <w:hideMark/>
          </w:tcPr>
          <w:p w14:paraId="28D9616B"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8,775</w:t>
            </w:r>
          </w:p>
        </w:tc>
        <w:tc>
          <w:tcPr>
            <w:tcW w:w="996" w:type="dxa"/>
            <w:tcBorders>
              <w:top w:val="nil"/>
              <w:left w:val="nil"/>
              <w:bottom w:val="single" w:sz="8" w:space="0" w:color="auto"/>
              <w:right w:val="single" w:sz="8" w:space="0" w:color="auto"/>
            </w:tcBorders>
            <w:shd w:val="clear" w:color="auto" w:fill="auto"/>
            <w:noWrap/>
            <w:vAlign w:val="center"/>
            <w:hideMark/>
          </w:tcPr>
          <w:p w14:paraId="367B1658"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39,150</w:t>
            </w:r>
          </w:p>
        </w:tc>
        <w:tc>
          <w:tcPr>
            <w:tcW w:w="925" w:type="dxa"/>
            <w:tcBorders>
              <w:top w:val="nil"/>
              <w:left w:val="nil"/>
              <w:bottom w:val="single" w:sz="8" w:space="0" w:color="auto"/>
              <w:right w:val="single" w:sz="8" w:space="0" w:color="auto"/>
            </w:tcBorders>
            <w:shd w:val="clear" w:color="auto" w:fill="auto"/>
            <w:noWrap/>
            <w:vAlign w:val="center"/>
            <w:hideMark/>
          </w:tcPr>
          <w:p w14:paraId="2B150AF5"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39,150</w:t>
            </w:r>
          </w:p>
        </w:tc>
        <w:tc>
          <w:tcPr>
            <w:tcW w:w="925" w:type="dxa"/>
            <w:tcBorders>
              <w:top w:val="nil"/>
              <w:left w:val="nil"/>
              <w:bottom w:val="single" w:sz="8" w:space="0" w:color="auto"/>
              <w:right w:val="single" w:sz="8" w:space="0" w:color="auto"/>
            </w:tcBorders>
            <w:shd w:val="clear" w:color="auto" w:fill="auto"/>
            <w:noWrap/>
            <w:vAlign w:val="center"/>
            <w:hideMark/>
          </w:tcPr>
          <w:p w14:paraId="61521C70"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46,650</w:t>
            </w:r>
          </w:p>
        </w:tc>
        <w:tc>
          <w:tcPr>
            <w:tcW w:w="925" w:type="dxa"/>
            <w:tcBorders>
              <w:top w:val="nil"/>
              <w:left w:val="nil"/>
              <w:bottom w:val="single" w:sz="8" w:space="0" w:color="auto"/>
              <w:right w:val="single" w:sz="8" w:space="0" w:color="auto"/>
            </w:tcBorders>
            <w:shd w:val="clear" w:color="auto" w:fill="auto"/>
            <w:noWrap/>
            <w:vAlign w:val="center"/>
            <w:hideMark/>
          </w:tcPr>
          <w:p w14:paraId="2619E0D0"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27,150</w:t>
            </w:r>
          </w:p>
        </w:tc>
        <w:tc>
          <w:tcPr>
            <w:tcW w:w="925" w:type="dxa"/>
            <w:tcBorders>
              <w:top w:val="nil"/>
              <w:left w:val="nil"/>
              <w:bottom w:val="single" w:sz="8" w:space="0" w:color="auto"/>
              <w:right w:val="single" w:sz="8" w:space="0" w:color="auto"/>
            </w:tcBorders>
            <w:shd w:val="clear" w:color="auto" w:fill="auto"/>
            <w:vAlign w:val="center"/>
            <w:hideMark/>
          </w:tcPr>
          <w:p w14:paraId="49D24329"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9,150</w:t>
            </w:r>
          </w:p>
        </w:tc>
        <w:tc>
          <w:tcPr>
            <w:tcW w:w="1244" w:type="dxa"/>
            <w:tcBorders>
              <w:top w:val="nil"/>
              <w:left w:val="nil"/>
              <w:bottom w:val="single" w:sz="8" w:space="0" w:color="auto"/>
              <w:right w:val="single" w:sz="8" w:space="0" w:color="auto"/>
            </w:tcBorders>
            <w:shd w:val="clear" w:color="auto" w:fill="auto"/>
            <w:noWrap/>
            <w:vAlign w:val="center"/>
            <w:hideMark/>
          </w:tcPr>
          <w:p w14:paraId="22674D32" w14:textId="77777777" w:rsidR="00465CF5" w:rsidRPr="00913CCF" w:rsidRDefault="00465CF5"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170,025</w:t>
            </w:r>
          </w:p>
        </w:tc>
        <w:tc>
          <w:tcPr>
            <w:tcW w:w="844" w:type="dxa"/>
            <w:tcBorders>
              <w:top w:val="nil"/>
              <w:left w:val="nil"/>
              <w:bottom w:val="single" w:sz="8" w:space="0" w:color="auto"/>
              <w:right w:val="single" w:sz="8" w:space="0" w:color="auto"/>
            </w:tcBorders>
            <w:shd w:val="clear" w:color="auto" w:fill="auto"/>
            <w:vAlign w:val="center"/>
            <w:hideMark/>
          </w:tcPr>
          <w:p w14:paraId="70092DB6" w14:textId="08CE1809" w:rsidR="00465CF5" w:rsidRPr="00913CCF" w:rsidRDefault="00B76DA2" w:rsidP="001F45CE">
            <w:pPr>
              <w:spacing w:after="0"/>
              <w:jc w:val="center"/>
              <w:rPr>
                <w:rFonts w:eastAsia="Times New Roman" w:cs="Calibri"/>
                <w:i/>
                <w:iCs/>
                <w:color w:val="000000"/>
                <w:sz w:val="16"/>
                <w:szCs w:val="16"/>
              </w:rPr>
            </w:pPr>
            <w:r>
              <w:rPr>
                <w:rFonts w:eastAsia="Times New Roman" w:cs="Calibri"/>
                <w:i/>
                <w:iCs/>
                <w:color w:val="000000"/>
                <w:sz w:val="16"/>
                <w:szCs w:val="16"/>
              </w:rPr>
              <w:t>29</w:t>
            </w:r>
          </w:p>
        </w:tc>
      </w:tr>
      <w:tr w:rsidR="00465CF5" w:rsidRPr="00913CCF" w14:paraId="29A4F66D" w14:textId="77777777" w:rsidTr="00512288">
        <w:trPr>
          <w:trHeight w:val="22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3F25113B" w14:textId="77777777" w:rsidR="00465CF5" w:rsidRPr="00913CCF" w:rsidRDefault="00465CF5"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0C12E8FE" w14:textId="77777777" w:rsidR="00465CF5" w:rsidRPr="00913CCF" w:rsidRDefault="00465CF5" w:rsidP="001F45CE">
            <w:pPr>
              <w:spacing w:after="0"/>
              <w:jc w:val="left"/>
              <w:rPr>
                <w:rFonts w:eastAsia="Times New Roman" w:cs="Calibri"/>
                <w:b/>
                <w:bCs/>
                <w:color w:val="000000"/>
                <w:sz w:val="16"/>
                <w:szCs w:val="16"/>
              </w:rPr>
            </w:pPr>
          </w:p>
        </w:tc>
        <w:tc>
          <w:tcPr>
            <w:tcW w:w="713" w:type="dxa"/>
            <w:vMerge/>
            <w:tcBorders>
              <w:left w:val="single" w:sz="8" w:space="0" w:color="auto"/>
              <w:right w:val="single" w:sz="8" w:space="0" w:color="auto"/>
            </w:tcBorders>
            <w:shd w:val="clear" w:color="auto" w:fill="auto"/>
            <w:vAlign w:val="center"/>
            <w:hideMark/>
          </w:tcPr>
          <w:p w14:paraId="4C81029C" w14:textId="4333CCC4" w:rsidR="00465CF5" w:rsidRPr="00913CCF" w:rsidRDefault="00465CF5" w:rsidP="001F45CE">
            <w:pPr>
              <w:spacing w:after="0"/>
              <w:jc w:val="center"/>
              <w:rPr>
                <w:rFonts w:eastAsia="Times New Roman" w:cs="Calibri"/>
                <w:b/>
                <w:bCs/>
                <w:color w:val="000000"/>
                <w:sz w:val="16"/>
                <w:szCs w:val="16"/>
              </w:rPr>
            </w:pPr>
          </w:p>
        </w:tc>
        <w:tc>
          <w:tcPr>
            <w:tcW w:w="632" w:type="dxa"/>
            <w:vMerge/>
            <w:tcBorders>
              <w:left w:val="single" w:sz="8" w:space="0" w:color="auto"/>
              <w:right w:val="single" w:sz="8" w:space="0" w:color="auto"/>
            </w:tcBorders>
            <w:shd w:val="clear" w:color="auto" w:fill="auto"/>
            <w:vAlign w:val="center"/>
            <w:hideMark/>
          </w:tcPr>
          <w:p w14:paraId="0C4DE634" w14:textId="0CB58CDB" w:rsidR="00465CF5" w:rsidRPr="00913CCF" w:rsidRDefault="00465CF5" w:rsidP="001F45CE">
            <w:pPr>
              <w:spacing w:after="0"/>
              <w:jc w:val="center"/>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23850FF7" w14:textId="77777777" w:rsidR="00465CF5" w:rsidRPr="00913CCF" w:rsidRDefault="00465CF5" w:rsidP="001F45CE">
            <w:pPr>
              <w:spacing w:after="0"/>
              <w:jc w:val="center"/>
              <w:rPr>
                <w:rFonts w:eastAsia="Times New Roman" w:cs="Calibri"/>
                <w:color w:val="000000"/>
                <w:sz w:val="16"/>
                <w:szCs w:val="16"/>
              </w:rPr>
            </w:pPr>
            <w:r w:rsidRPr="00913CCF">
              <w:rPr>
                <w:rFonts w:eastAsia="Times New Roman" w:cs="Calibri"/>
                <w:color w:val="000000"/>
                <w:sz w:val="16"/>
                <w:szCs w:val="16"/>
              </w:rPr>
              <w:t>71600</w:t>
            </w:r>
          </w:p>
        </w:tc>
        <w:tc>
          <w:tcPr>
            <w:tcW w:w="1597" w:type="dxa"/>
            <w:tcBorders>
              <w:top w:val="nil"/>
              <w:left w:val="nil"/>
              <w:bottom w:val="single" w:sz="8" w:space="0" w:color="auto"/>
              <w:right w:val="single" w:sz="8" w:space="0" w:color="auto"/>
            </w:tcBorders>
            <w:shd w:val="clear" w:color="auto" w:fill="auto"/>
            <w:vAlign w:val="center"/>
            <w:hideMark/>
          </w:tcPr>
          <w:p w14:paraId="42C23D9D" w14:textId="77777777" w:rsidR="00465CF5" w:rsidRPr="00913CCF" w:rsidRDefault="00465CF5" w:rsidP="001F45CE">
            <w:pPr>
              <w:spacing w:after="0"/>
              <w:jc w:val="left"/>
              <w:rPr>
                <w:rFonts w:eastAsia="Times New Roman" w:cs="Calibri"/>
                <w:color w:val="000000"/>
                <w:sz w:val="16"/>
                <w:szCs w:val="16"/>
              </w:rPr>
            </w:pPr>
            <w:r w:rsidRPr="00913CCF">
              <w:rPr>
                <w:rFonts w:eastAsia="Times New Roman" w:cs="Calibri"/>
                <w:color w:val="000000"/>
                <w:sz w:val="16"/>
                <w:szCs w:val="16"/>
              </w:rPr>
              <w:t>Travel</w:t>
            </w:r>
          </w:p>
        </w:tc>
        <w:tc>
          <w:tcPr>
            <w:tcW w:w="935" w:type="dxa"/>
            <w:tcBorders>
              <w:top w:val="nil"/>
              <w:left w:val="nil"/>
              <w:bottom w:val="single" w:sz="8" w:space="0" w:color="auto"/>
              <w:right w:val="single" w:sz="8" w:space="0" w:color="auto"/>
            </w:tcBorders>
            <w:shd w:val="clear" w:color="auto" w:fill="auto"/>
            <w:noWrap/>
            <w:vAlign w:val="center"/>
            <w:hideMark/>
          </w:tcPr>
          <w:p w14:paraId="30C2836E"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3,700</w:t>
            </w:r>
          </w:p>
        </w:tc>
        <w:tc>
          <w:tcPr>
            <w:tcW w:w="996" w:type="dxa"/>
            <w:tcBorders>
              <w:top w:val="nil"/>
              <w:left w:val="nil"/>
              <w:bottom w:val="single" w:sz="8" w:space="0" w:color="auto"/>
              <w:right w:val="single" w:sz="8" w:space="0" w:color="auto"/>
            </w:tcBorders>
            <w:shd w:val="clear" w:color="auto" w:fill="auto"/>
            <w:noWrap/>
            <w:vAlign w:val="center"/>
            <w:hideMark/>
          </w:tcPr>
          <w:p w14:paraId="3138F32C"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25,320</w:t>
            </w:r>
          </w:p>
        </w:tc>
        <w:tc>
          <w:tcPr>
            <w:tcW w:w="925" w:type="dxa"/>
            <w:tcBorders>
              <w:top w:val="nil"/>
              <w:left w:val="nil"/>
              <w:bottom w:val="single" w:sz="8" w:space="0" w:color="auto"/>
              <w:right w:val="single" w:sz="8" w:space="0" w:color="auto"/>
            </w:tcBorders>
            <w:shd w:val="clear" w:color="auto" w:fill="auto"/>
            <w:noWrap/>
            <w:vAlign w:val="center"/>
            <w:hideMark/>
          </w:tcPr>
          <w:p w14:paraId="70D59B26"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1,500</w:t>
            </w:r>
          </w:p>
        </w:tc>
        <w:tc>
          <w:tcPr>
            <w:tcW w:w="925" w:type="dxa"/>
            <w:tcBorders>
              <w:top w:val="nil"/>
              <w:left w:val="nil"/>
              <w:bottom w:val="single" w:sz="8" w:space="0" w:color="auto"/>
              <w:right w:val="single" w:sz="8" w:space="0" w:color="auto"/>
            </w:tcBorders>
            <w:shd w:val="clear" w:color="auto" w:fill="auto"/>
            <w:noWrap/>
            <w:vAlign w:val="center"/>
            <w:hideMark/>
          </w:tcPr>
          <w:p w14:paraId="4DADFB89"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7,880</w:t>
            </w:r>
          </w:p>
        </w:tc>
        <w:tc>
          <w:tcPr>
            <w:tcW w:w="925" w:type="dxa"/>
            <w:tcBorders>
              <w:top w:val="nil"/>
              <w:left w:val="nil"/>
              <w:bottom w:val="single" w:sz="8" w:space="0" w:color="auto"/>
              <w:right w:val="single" w:sz="8" w:space="0" w:color="auto"/>
            </w:tcBorders>
            <w:shd w:val="clear" w:color="auto" w:fill="auto"/>
            <w:noWrap/>
            <w:vAlign w:val="center"/>
            <w:hideMark/>
          </w:tcPr>
          <w:p w14:paraId="2697A4FE"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3,740</w:t>
            </w:r>
          </w:p>
        </w:tc>
        <w:tc>
          <w:tcPr>
            <w:tcW w:w="925" w:type="dxa"/>
            <w:tcBorders>
              <w:top w:val="nil"/>
              <w:left w:val="nil"/>
              <w:bottom w:val="single" w:sz="8" w:space="0" w:color="auto"/>
              <w:right w:val="single" w:sz="8" w:space="0" w:color="auto"/>
            </w:tcBorders>
            <w:shd w:val="clear" w:color="auto" w:fill="auto"/>
            <w:vAlign w:val="center"/>
            <w:hideMark/>
          </w:tcPr>
          <w:p w14:paraId="22A15F2B"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1,500</w:t>
            </w:r>
          </w:p>
        </w:tc>
        <w:tc>
          <w:tcPr>
            <w:tcW w:w="1244" w:type="dxa"/>
            <w:tcBorders>
              <w:top w:val="nil"/>
              <w:left w:val="nil"/>
              <w:bottom w:val="single" w:sz="8" w:space="0" w:color="auto"/>
              <w:right w:val="single" w:sz="8" w:space="0" w:color="auto"/>
            </w:tcBorders>
            <w:shd w:val="clear" w:color="auto" w:fill="auto"/>
            <w:noWrap/>
            <w:vAlign w:val="center"/>
            <w:hideMark/>
          </w:tcPr>
          <w:p w14:paraId="23CCC59F" w14:textId="77777777" w:rsidR="00465CF5" w:rsidRPr="00913CCF" w:rsidRDefault="00465CF5"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43,640</w:t>
            </w:r>
          </w:p>
        </w:tc>
        <w:tc>
          <w:tcPr>
            <w:tcW w:w="844" w:type="dxa"/>
            <w:tcBorders>
              <w:top w:val="nil"/>
              <w:left w:val="nil"/>
              <w:bottom w:val="single" w:sz="8" w:space="0" w:color="auto"/>
              <w:right w:val="single" w:sz="8" w:space="0" w:color="auto"/>
            </w:tcBorders>
            <w:shd w:val="clear" w:color="auto" w:fill="auto"/>
            <w:vAlign w:val="center"/>
            <w:hideMark/>
          </w:tcPr>
          <w:p w14:paraId="01C625CE" w14:textId="017483F5" w:rsidR="00465CF5" w:rsidRPr="00913CCF" w:rsidRDefault="00465CF5"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3</w:t>
            </w:r>
            <w:r w:rsidR="00B76DA2">
              <w:rPr>
                <w:rFonts w:eastAsia="Times New Roman" w:cs="Calibri"/>
                <w:i/>
                <w:iCs/>
                <w:color w:val="000000"/>
                <w:sz w:val="16"/>
                <w:szCs w:val="16"/>
              </w:rPr>
              <w:t>0</w:t>
            </w:r>
          </w:p>
        </w:tc>
      </w:tr>
      <w:tr w:rsidR="00465CF5" w:rsidRPr="00913CCF" w14:paraId="10FE4F20" w14:textId="77777777" w:rsidTr="00512288">
        <w:trPr>
          <w:trHeight w:val="22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388E7BFB" w14:textId="77777777" w:rsidR="00465CF5" w:rsidRPr="00913CCF" w:rsidRDefault="00465CF5"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4D37287F" w14:textId="77777777" w:rsidR="00465CF5" w:rsidRPr="00913CCF" w:rsidRDefault="00465CF5" w:rsidP="001F45CE">
            <w:pPr>
              <w:spacing w:after="0"/>
              <w:jc w:val="left"/>
              <w:rPr>
                <w:rFonts w:eastAsia="Times New Roman" w:cs="Calibri"/>
                <w:b/>
                <w:bCs/>
                <w:color w:val="000000"/>
                <w:sz w:val="16"/>
                <w:szCs w:val="16"/>
              </w:rPr>
            </w:pPr>
          </w:p>
        </w:tc>
        <w:tc>
          <w:tcPr>
            <w:tcW w:w="713" w:type="dxa"/>
            <w:vMerge/>
            <w:tcBorders>
              <w:left w:val="single" w:sz="8" w:space="0" w:color="auto"/>
              <w:right w:val="single" w:sz="8" w:space="0" w:color="auto"/>
            </w:tcBorders>
            <w:shd w:val="clear" w:color="auto" w:fill="auto"/>
            <w:vAlign w:val="center"/>
            <w:hideMark/>
          </w:tcPr>
          <w:p w14:paraId="58196195" w14:textId="79A0A4C8" w:rsidR="00465CF5" w:rsidRPr="00913CCF" w:rsidRDefault="00465CF5" w:rsidP="001F45CE">
            <w:pPr>
              <w:spacing w:after="0"/>
              <w:jc w:val="center"/>
              <w:rPr>
                <w:rFonts w:eastAsia="Times New Roman" w:cs="Calibri"/>
                <w:b/>
                <w:bCs/>
                <w:color w:val="000000"/>
                <w:sz w:val="16"/>
                <w:szCs w:val="16"/>
              </w:rPr>
            </w:pPr>
          </w:p>
        </w:tc>
        <w:tc>
          <w:tcPr>
            <w:tcW w:w="632" w:type="dxa"/>
            <w:vMerge/>
            <w:tcBorders>
              <w:left w:val="single" w:sz="8" w:space="0" w:color="auto"/>
              <w:right w:val="single" w:sz="8" w:space="0" w:color="auto"/>
            </w:tcBorders>
            <w:shd w:val="clear" w:color="auto" w:fill="auto"/>
            <w:vAlign w:val="center"/>
            <w:hideMark/>
          </w:tcPr>
          <w:p w14:paraId="60C17BFA" w14:textId="3A0B8351" w:rsidR="00465CF5" w:rsidRPr="00913CCF" w:rsidRDefault="00465CF5" w:rsidP="001F45CE">
            <w:pPr>
              <w:spacing w:after="0"/>
              <w:jc w:val="center"/>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79BE0068" w14:textId="77777777" w:rsidR="00465CF5" w:rsidRPr="00913CCF" w:rsidRDefault="00465CF5" w:rsidP="001F45CE">
            <w:pPr>
              <w:spacing w:after="0"/>
              <w:jc w:val="center"/>
              <w:rPr>
                <w:rFonts w:eastAsia="Times New Roman" w:cs="Calibri"/>
                <w:color w:val="000000"/>
                <w:sz w:val="16"/>
                <w:szCs w:val="16"/>
              </w:rPr>
            </w:pPr>
            <w:r w:rsidRPr="00913CCF">
              <w:rPr>
                <w:rFonts w:eastAsia="Times New Roman" w:cs="Calibri"/>
                <w:color w:val="000000"/>
                <w:sz w:val="16"/>
                <w:szCs w:val="16"/>
              </w:rPr>
              <w:t>72100</w:t>
            </w:r>
          </w:p>
        </w:tc>
        <w:tc>
          <w:tcPr>
            <w:tcW w:w="1597" w:type="dxa"/>
            <w:tcBorders>
              <w:top w:val="nil"/>
              <w:left w:val="nil"/>
              <w:bottom w:val="single" w:sz="8" w:space="0" w:color="auto"/>
              <w:right w:val="single" w:sz="8" w:space="0" w:color="auto"/>
            </w:tcBorders>
            <w:shd w:val="clear" w:color="auto" w:fill="auto"/>
            <w:vAlign w:val="center"/>
            <w:hideMark/>
          </w:tcPr>
          <w:p w14:paraId="092286C7" w14:textId="77777777" w:rsidR="00465CF5" w:rsidRPr="00913CCF" w:rsidRDefault="00465CF5" w:rsidP="001F45CE">
            <w:pPr>
              <w:spacing w:after="0"/>
              <w:jc w:val="left"/>
              <w:rPr>
                <w:rFonts w:eastAsia="Times New Roman" w:cs="Calibri"/>
                <w:color w:val="000000"/>
                <w:sz w:val="16"/>
                <w:szCs w:val="16"/>
              </w:rPr>
            </w:pPr>
            <w:proofErr w:type="spellStart"/>
            <w:r w:rsidRPr="00913CCF">
              <w:rPr>
                <w:rFonts w:eastAsia="Times New Roman" w:cs="Calibri"/>
                <w:color w:val="000000"/>
                <w:sz w:val="16"/>
                <w:szCs w:val="16"/>
              </w:rPr>
              <w:t>Contr</w:t>
            </w:r>
            <w:proofErr w:type="spellEnd"/>
            <w:r w:rsidRPr="00913CCF">
              <w:rPr>
                <w:rFonts w:eastAsia="Times New Roman" w:cs="Calibri"/>
                <w:color w:val="000000"/>
                <w:sz w:val="16"/>
                <w:szCs w:val="16"/>
              </w:rPr>
              <w:t xml:space="preserve"> services </w:t>
            </w:r>
            <w:proofErr w:type="spellStart"/>
            <w:r w:rsidRPr="00913CCF">
              <w:rPr>
                <w:rFonts w:eastAsia="Times New Roman" w:cs="Calibri"/>
                <w:color w:val="000000"/>
                <w:sz w:val="16"/>
                <w:szCs w:val="16"/>
              </w:rPr>
              <w:t>cies</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0C99307A"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96" w:type="dxa"/>
            <w:tcBorders>
              <w:top w:val="nil"/>
              <w:left w:val="nil"/>
              <w:bottom w:val="single" w:sz="8" w:space="0" w:color="auto"/>
              <w:right w:val="single" w:sz="8" w:space="0" w:color="auto"/>
            </w:tcBorders>
            <w:shd w:val="clear" w:color="auto" w:fill="auto"/>
            <w:noWrap/>
            <w:vAlign w:val="center"/>
            <w:hideMark/>
          </w:tcPr>
          <w:p w14:paraId="6BE563ED"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noWrap/>
            <w:vAlign w:val="center"/>
            <w:hideMark/>
          </w:tcPr>
          <w:p w14:paraId="5A37705C"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162,000</w:t>
            </w:r>
          </w:p>
        </w:tc>
        <w:tc>
          <w:tcPr>
            <w:tcW w:w="925" w:type="dxa"/>
            <w:tcBorders>
              <w:top w:val="nil"/>
              <w:left w:val="nil"/>
              <w:bottom w:val="single" w:sz="8" w:space="0" w:color="auto"/>
              <w:right w:val="single" w:sz="8" w:space="0" w:color="auto"/>
            </w:tcBorders>
            <w:shd w:val="clear" w:color="auto" w:fill="auto"/>
            <w:noWrap/>
            <w:vAlign w:val="center"/>
            <w:hideMark/>
          </w:tcPr>
          <w:p w14:paraId="1BDE5D9B"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25,000</w:t>
            </w:r>
          </w:p>
        </w:tc>
        <w:tc>
          <w:tcPr>
            <w:tcW w:w="925" w:type="dxa"/>
            <w:tcBorders>
              <w:top w:val="nil"/>
              <w:left w:val="nil"/>
              <w:bottom w:val="single" w:sz="8" w:space="0" w:color="auto"/>
              <w:right w:val="single" w:sz="8" w:space="0" w:color="auto"/>
            </w:tcBorders>
            <w:shd w:val="clear" w:color="auto" w:fill="auto"/>
            <w:noWrap/>
            <w:vAlign w:val="center"/>
            <w:hideMark/>
          </w:tcPr>
          <w:p w14:paraId="3CB9B12A"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3ACE7864"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1244" w:type="dxa"/>
            <w:tcBorders>
              <w:top w:val="nil"/>
              <w:left w:val="nil"/>
              <w:bottom w:val="single" w:sz="8" w:space="0" w:color="auto"/>
              <w:right w:val="single" w:sz="8" w:space="0" w:color="auto"/>
            </w:tcBorders>
            <w:shd w:val="clear" w:color="auto" w:fill="auto"/>
            <w:noWrap/>
            <w:vAlign w:val="center"/>
            <w:hideMark/>
          </w:tcPr>
          <w:p w14:paraId="1DED6FE5" w14:textId="77777777" w:rsidR="00465CF5" w:rsidRPr="00913CCF" w:rsidRDefault="00465CF5"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187,000</w:t>
            </w:r>
          </w:p>
        </w:tc>
        <w:tc>
          <w:tcPr>
            <w:tcW w:w="844" w:type="dxa"/>
            <w:tcBorders>
              <w:top w:val="nil"/>
              <w:left w:val="nil"/>
              <w:bottom w:val="single" w:sz="8" w:space="0" w:color="auto"/>
              <w:right w:val="single" w:sz="8" w:space="0" w:color="auto"/>
            </w:tcBorders>
            <w:shd w:val="clear" w:color="auto" w:fill="auto"/>
            <w:vAlign w:val="center"/>
            <w:hideMark/>
          </w:tcPr>
          <w:p w14:paraId="38EA5652" w14:textId="350F7F3E" w:rsidR="00465CF5" w:rsidRPr="00913CCF" w:rsidRDefault="00465CF5"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3</w:t>
            </w:r>
            <w:r w:rsidR="00B76DA2">
              <w:rPr>
                <w:rFonts w:eastAsia="Times New Roman" w:cs="Calibri"/>
                <w:i/>
                <w:iCs/>
                <w:color w:val="000000"/>
                <w:sz w:val="16"/>
                <w:szCs w:val="16"/>
              </w:rPr>
              <w:t>1</w:t>
            </w:r>
          </w:p>
        </w:tc>
      </w:tr>
      <w:tr w:rsidR="00465CF5" w:rsidRPr="00913CCF" w14:paraId="61CBA8D5" w14:textId="77777777" w:rsidTr="00512288">
        <w:trPr>
          <w:trHeight w:val="22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072E2F1B" w14:textId="77777777" w:rsidR="00465CF5" w:rsidRPr="00913CCF" w:rsidRDefault="00465CF5"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11D1E64B" w14:textId="77777777" w:rsidR="00465CF5" w:rsidRPr="00913CCF" w:rsidRDefault="00465CF5" w:rsidP="001F45CE">
            <w:pPr>
              <w:spacing w:after="0"/>
              <w:jc w:val="left"/>
              <w:rPr>
                <w:rFonts w:eastAsia="Times New Roman" w:cs="Calibri"/>
                <w:b/>
                <w:bCs/>
                <w:color w:val="000000"/>
                <w:sz w:val="16"/>
                <w:szCs w:val="16"/>
              </w:rPr>
            </w:pPr>
          </w:p>
        </w:tc>
        <w:tc>
          <w:tcPr>
            <w:tcW w:w="713" w:type="dxa"/>
            <w:vMerge/>
            <w:tcBorders>
              <w:left w:val="single" w:sz="8" w:space="0" w:color="auto"/>
              <w:right w:val="single" w:sz="8" w:space="0" w:color="auto"/>
            </w:tcBorders>
            <w:shd w:val="clear" w:color="auto" w:fill="auto"/>
            <w:vAlign w:val="center"/>
            <w:hideMark/>
          </w:tcPr>
          <w:p w14:paraId="3C7C89A9" w14:textId="1C945268" w:rsidR="00465CF5" w:rsidRPr="00913CCF" w:rsidRDefault="00465CF5" w:rsidP="001F45CE">
            <w:pPr>
              <w:spacing w:after="0"/>
              <w:jc w:val="center"/>
              <w:rPr>
                <w:rFonts w:eastAsia="Times New Roman" w:cs="Calibri"/>
                <w:b/>
                <w:bCs/>
                <w:color w:val="000000"/>
                <w:sz w:val="16"/>
                <w:szCs w:val="16"/>
              </w:rPr>
            </w:pPr>
          </w:p>
        </w:tc>
        <w:tc>
          <w:tcPr>
            <w:tcW w:w="632" w:type="dxa"/>
            <w:vMerge/>
            <w:tcBorders>
              <w:left w:val="single" w:sz="8" w:space="0" w:color="auto"/>
              <w:right w:val="single" w:sz="8" w:space="0" w:color="auto"/>
            </w:tcBorders>
            <w:shd w:val="clear" w:color="auto" w:fill="auto"/>
            <w:vAlign w:val="center"/>
            <w:hideMark/>
          </w:tcPr>
          <w:p w14:paraId="10B9FE00" w14:textId="2C9A1E75" w:rsidR="00465CF5" w:rsidRPr="00913CCF" w:rsidRDefault="00465CF5" w:rsidP="001F45CE">
            <w:pPr>
              <w:spacing w:after="0"/>
              <w:jc w:val="center"/>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4A52052A" w14:textId="77777777" w:rsidR="00465CF5" w:rsidRPr="00913CCF" w:rsidRDefault="00465CF5" w:rsidP="001F45CE">
            <w:pPr>
              <w:spacing w:after="0"/>
              <w:jc w:val="center"/>
              <w:rPr>
                <w:rFonts w:eastAsia="Times New Roman" w:cs="Calibri"/>
                <w:color w:val="000000"/>
                <w:sz w:val="16"/>
                <w:szCs w:val="16"/>
              </w:rPr>
            </w:pPr>
            <w:r w:rsidRPr="00913CCF">
              <w:rPr>
                <w:rFonts w:eastAsia="Times New Roman" w:cs="Calibri"/>
                <w:color w:val="000000"/>
                <w:sz w:val="16"/>
                <w:szCs w:val="16"/>
              </w:rPr>
              <w:t>72200</w:t>
            </w:r>
          </w:p>
        </w:tc>
        <w:tc>
          <w:tcPr>
            <w:tcW w:w="1597" w:type="dxa"/>
            <w:tcBorders>
              <w:top w:val="nil"/>
              <w:left w:val="nil"/>
              <w:bottom w:val="single" w:sz="8" w:space="0" w:color="auto"/>
              <w:right w:val="single" w:sz="8" w:space="0" w:color="auto"/>
            </w:tcBorders>
            <w:shd w:val="clear" w:color="auto" w:fill="auto"/>
            <w:vAlign w:val="center"/>
            <w:hideMark/>
          </w:tcPr>
          <w:p w14:paraId="479CFAD1" w14:textId="77777777" w:rsidR="00465CF5" w:rsidRPr="00913CCF" w:rsidRDefault="00465CF5" w:rsidP="001F45CE">
            <w:pPr>
              <w:spacing w:after="0"/>
              <w:jc w:val="left"/>
              <w:rPr>
                <w:rFonts w:eastAsia="Times New Roman" w:cs="Calibri"/>
                <w:color w:val="000000"/>
                <w:sz w:val="16"/>
                <w:szCs w:val="16"/>
              </w:rPr>
            </w:pPr>
            <w:r w:rsidRPr="00913CCF">
              <w:rPr>
                <w:rFonts w:eastAsia="Times New Roman" w:cs="Calibri"/>
                <w:color w:val="000000"/>
                <w:sz w:val="16"/>
                <w:szCs w:val="16"/>
              </w:rPr>
              <w:t>Equip. Furniture</w:t>
            </w:r>
          </w:p>
        </w:tc>
        <w:tc>
          <w:tcPr>
            <w:tcW w:w="935" w:type="dxa"/>
            <w:tcBorders>
              <w:top w:val="nil"/>
              <w:left w:val="nil"/>
              <w:bottom w:val="single" w:sz="8" w:space="0" w:color="auto"/>
              <w:right w:val="single" w:sz="8" w:space="0" w:color="auto"/>
            </w:tcBorders>
            <w:shd w:val="clear" w:color="auto" w:fill="auto"/>
            <w:noWrap/>
            <w:vAlign w:val="center"/>
            <w:hideMark/>
          </w:tcPr>
          <w:p w14:paraId="6C4F069B" w14:textId="614ECF6D" w:rsidR="00465CF5" w:rsidRPr="00EF6D8E" w:rsidRDefault="00465CF5" w:rsidP="00F8089A">
            <w:pPr>
              <w:spacing w:after="0"/>
              <w:jc w:val="right"/>
              <w:rPr>
                <w:rFonts w:eastAsia="Times New Roman" w:cs="Calibri"/>
                <w:color w:val="000000"/>
                <w:sz w:val="16"/>
                <w:szCs w:val="16"/>
              </w:rPr>
            </w:pPr>
            <w:r w:rsidRPr="00EF6D8E">
              <w:rPr>
                <w:rFonts w:eastAsia="Times New Roman" w:cs="Calibri"/>
                <w:color w:val="000000"/>
                <w:sz w:val="16"/>
                <w:szCs w:val="16"/>
              </w:rPr>
              <w:t>9,200</w:t>
            </w:r>
          </w:p>
        </w:tc>
        <w:tc>
          <w:tcPr>
            <w:tcW w:w="996" w:type="dxa"/>
            <w:tcBorders>
              <w:top w:val="nil"/>
              <w:left w:val="nil"/>
              <w:bottom w:val="single" w:sz="8" w:space="0" w:color="auto"/>
              <w:right w:val="single" w:sz="8" w:space="0" w:color="auto"/>
            </w:tcBorders>
            <w:shd w:val="clear" w:color="auto" w:fill="auto"/>
            <w:noWrap/>
            <w:vAlign w:val="center"/>
            <w:hideMark/>
          </w:tcPr>
          <w:p w14:paraId="2EBD4A9E"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15,000</w:t>
            </w:r>
          </w:p>
        </w:tc>
        <w:tc>
          <w:tcPr>
            <w:tcW w:w="925" w:type="dxa"/>
            <w:tcBorders>
              <w:top w:val="nil"/>
              <w:left w:val="nil"/>
              <w:bottom w:val="single" w:sz="8" w:space="0" w:color="auto"/>
              <w:right w:val="single" w:sz="8" w:space="0" w:color="auto"/>
            </w:tcBorders>
            <w:shd w:val="clear" w:color="auto" w:fill="auto"/>
            <w:noWrap/>
            <w:vAlign w:val="center"/>
            <w:hideMark/>
          </w:tcPr>
          <w:p w14:paraId="2EE44EDD"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129,800</w:t>
            </w:r>
          </w:p>
        </w:tc>
        <w:tc>
          <w:tcPr>
            <w:tcW w:w="925" w:type="dxa"/>
            <w:tcBorders>
              <w:top w:val="nil"/>
              <w:left w:val="nil"/>
              <w:bottom w:val="single" w:sz="8" w:space="0" w:color="auto"/>
              <w:right w:val="single" w:sz="8" w:space="0" w:color="auto"/>
            </w:tcBorders>
            <w:shd w:val="clear" w:color="auto" w:fill="auto"/>
            <w:noWrap/>
            <w:vAlign w:val="center"/>
            <w:hideMark/>
          </w:tcPr>
          <w:p w14:paraId="07B2485C"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noWrap/>
            <w:vAlign w:val="center"/>
            <w:hideMark/>
          </w:tcPr>
          <w:p w14:paraId="5D8E9D41"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4333AA6B"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1244" w:type="dxa"/>
            <w:tcBorders>
              <w:top w:val="nil"/>
              <w:left w:val="nil"/>
              <w:bottom w:val="single" w:sz="8" w:space="0" w:color="auto"/>
              <w:right w:val="single" w:sz="8" w:space="0" w:color="auto"/>
            </w:tcBorders>
            <w:shd w:val="clear" w:color="auto" w:fill="auto"/>
            <w:noWrap/>
            <w:vAlign w:val="center"/>
            <w:hideMark/>
          </w:tcPr>
          <w:p w14:paraId="301DA29D" w14:textId="27787D7D" w:rsidR="00465CF5" w:rsidRPr="00EF6D8E" w:rsidRDefault="00465CF5"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154,000</w:t>
            </w:r>
          </w:p>
        </w:tc>
        <w:tc>
          <w:tcPr>
            <w:tcW w:w="844" w:type="dxa"/>
            <w:tcBorders>
              <w:top w:val="nil"/>
              <w:left w:val="nil"/>
              <w:bottom w:val="single" w:sz="8" w:space="0" w:color="auto"/>
              <w:right w:val="single" w:sz="8" w:space="0" w:color="auto"/>
            </w:tcBorders>
            <w:shd w:val="clear" w:color="auto" w:fill="auto"/>
            <w:vAlign w:val="center"/>
            <w:hideMark/>
          </w:tcPr>
          <w:p w14:paraId="7BF42F68" w14:textId="1329F1F7" w:rsidR="00465CF5" w:rsidRPr="00913CCF" w:rsidRDefault="00465CF5"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3</w:t>
            </w:r>
            <w:r w:rsidR="00B76DA2">
              <w:rPr>
                <w:rFonts w:eastAsia="Times New Roman" w:cs="Calibri"/>
                <w:i/>
                <w:iCs/>
                <w:color w:val="000000"/>
                <w:sz w:val="16"/>
                <w:szCs w:val="16"/>
              </w:rPr>
              <w:t>2</w:t>
            </w:r>
          </w:p>
        </w:tc>
      </w:tr>
      <w:tr w:rsidR="00465CF5" w:rsidRPr="00913CCF" w14:paraId="6C312687" w14:textId="77777777" w:rsidTr="00512288">
        <w:trPr>
          <w:trHeight w:val="22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5D18DD8D" w14:textId="77777777" w:rsidR="00465CF5" w:rsidRPr="00913CCF" w:rsidRDefault="00465CF5"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1DF852D3" w14:textId="77777777" w:rsidR="00465CF5" w:rsidRPr="00913CCF" w:rsidRDefault="00465CF5" w:rsidP="001F45CE">
            <w:pPr>
              <w:spacing w:after="0"/>
              <w:jc w:val="left"/>
              <w:rPr>
                <w:rFonts w:eastAsia="Times New Roman" w:cs="Calibri"/>
                <w:b/>
                <w:bCs/>
                <w:color w:val="000000"/>
                <w:sz w:val="16"/>
                <w:szCs w:val="16"/>
              </w:rPr>
            </w:pPr>
          </w:p>
        </w:tc>
        <w:tc>
          <w:tcPr>
            <w:tcW w:w="713" w:type="dxa"/>
            <w:vMerge/>
            <w:tcBorders>
              <w:left w:val="single" w:sz="8" w:space="0" w:color="auto"/>
              <w:right w:val="single" w:sz="8" w:space="0" w:color="auto"/>
            </w:tcBorders>
            <w:shd w:val="clear" w:color="auto" w:fill="auto"/>
            <w:vAlign w:val="center"/>
            <w:hideMark/>
          </w:tcPr>
          <w:p w14:paraId="5A8E3201" w14:textId="5D50C846" w:rsidR="00465CF5" w:rsidRPr="00913CCF" w:rsidRDefault="00465CF5" w:rsidP="001F45CE">
            <w:pPr>
              <w:spacing w:after="0"/>
              <w:jc w:val="center"/>
              <w:rPr>
                <w:rFonts w:eastAsia="Times New Roman" w:cs="Calibri"/>
                <w:b/>
                <w:bCs/>
                <w:color w:val="000000"/>
                <w:sz w:val="16"/>
                <w:szCs w:val="16"/>
              </w:rPr>
            </w:pPr>
          </w:p>
        </w:tc>
        <w:tc>
          <w:tcPr>
            <w:tcW w:w="632" w:type="dxa"/>
            <w:vMerge/>
            <w:tcBorders>
              <w:left w:val="single" w:sz="8" w:space="0" w:color="auto"/>
              <w:right w:val="single" w:sz="8" w:space="0" w:color="auto"/>
            </w:tcBorders>
            <w:shd w:val="clear" w:color="auto" w:fill="auto"/>
            <w:vAlign w:val="center"/>
            <w:hideMark/>
          </w:tcPr>
          <w:p w14:paraId="1C2149E6" w14:textId="14112ED0" w:rsidR="00465CF5" w:rsidRPr="00913CCF" w:rsidRDefault="00465CF5" w:rsidP="001F45CE">
            <w:pPr>
              <w:spacing w:after="0"/>
              <w:jc w:val="center"/>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441CC7DC" w14:textId="77777777" w:rsidR="00465CF5" w:rsidRPr="00913CCF" w:rsidRDefault="00465CF5" w:rsidP="001F45CE">
            <w:pPr>
              <w:spacing w:after="0"/>
              <w:jc w:val="center"/>
              <w:rPr>
                <w:rFonts w:eastAsia="Times New Roman" w:cs="Calibri"/>
                <w:color w:val="000000"/>
                <w:sz w:val="16"/>
                <w:szCs w:val="16"/>
              </w:rPr>
            </w:pPr>
            <w:r w:rsidRPr="00913CCF">
              <w:rPr>
                <w:rFonts w:eastAsia="Times New Roman" w:cs="Calibri"/>
                <w:color w:val="000000"/>
                <w:sz w:val="16"/>
                <w:szCs w:val="16"/>
              </w:rPr>
              <w:t>72600</w:t>
            </w:r>
          </w:p>
        </w:tc>
        <w:tc>
          <w:tcPr>
            <w:tcW w:w="1597" w:type="dxa"/>
            <w:tcBorders>
              <w:top w:val="nil"/>
              <w:left w:val="nil"/>
              <w:bottom w:val="single" w:sz="8" w:space="0" w:color="auto"/>
              <w:right w:val="single" w:sz="8" w:space="0" w:color="auto"/>
            </w:tcBorders>
            <w:shd w:val="clear" w:color="auto" w:fill="auto"/>
            <w:vAlign w:val="center"/>
            <w:hideMark/>
          </w:tcPr>
          <w:p w14:paraId="1F2C0B74" w14:textId="77777777" w:rsidR="00465CF5" w:rsidRPr="00913CCF" w:rsidRDefault="00465CF5" w:rsidP="001F45CE">
            <w:pPr>
              <w:spacing w:after="0"/>
              <w:jc w:val="left"/>
              <w:rPr>
                <w:rFonts w:eastAsia="Times New Roman" w:cs="Calibri"/>
                <w:color w:val="000000"/>
                <w:sz w:val="16"/>
                <w:szCs w:val="16"/>
              </w:rPr>
            </w:pPr>
            <w:r w:rsidRPr="00913CCF">
              <w:rPr>
                <w:rFonts w:eastAsia="Times New Roman" w:cs="Calibri"/>
                <w:color w:val="000000"/>
                <w:sz w:val="16"/>
                <w:szCs w:val="16"/>
              </w:rPr>
              <w:t>Grants</w:t>
            </w:r>
          </w:p>
        </w:tc>
        <w:tc>
          <w:tcPr>
            <w:tcW w:w="935" w:type="dxa"/>
            <w:tcBorders>
              <w:top w:val="nil"/>
              <w:left w:val="nil"/>
              <w:bottom w:val="single" w:sz="8" w:space="0" w:color="auto"/>
              <w:right w:val="single" w:sz="8" w:space="0" w:color="auto"/>
            </w:tcBorders>
            <w:shd w:val="clear" w:color="auto" w:fill="auto"/>
            <w:noWrap/>
            <w:vAlign w:val="center"/>
            <w:hideMark/>
          </w:tcPr>
          <w:p w14:paraId="77C03462"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96" w:type="dxa"/>
            <w:tcBorders>
              <w:top w:val="nil"/>
              <w:left w:val="nil"/>
              <w:bottom w:val="single" w:sz="8" w:space="0" w:color="auto"/>
              <w:right w:val="single" w:sz="8" w:space="0" w:color="auto"/>
            </w:tcBorders>
            <w:shd w:val="clear" w:color="auto" w:fill="auto"/>
            <w:noWrap/>
            <w:vAlign w:val="center"/>
            <w:hideMark/>
          </w:tcPr>
          <w:p w14:paraId="23A68C3D"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noWrap/>
            <w:vAlign w:val="center"/>
            <w:hideMark/>
          </w:tcPr>
          <w:p w14:paraId="475EC4B8"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100,000</w:t>
            </w:r>
          </w:p>
        </w:tc>
        <w:tc>
          <w:tcPr>
            <w:tcW w:w="925" w:type="dxa"/>
            <w:tcBorders>
              <w:top w:val="nil"/>
              <w:left w:val="nil"/>
              <w:bottom w:val="single" w:sz="8" w:space="0" w:color="auto"/>
              <w:right w:val="single" w:sz="8" w:space="0" w:color="auto"/>
            </w:tcBorders>
            <w:shd w:val="clear" w:color="auto" w:fill="auto"/>
            <w:noWrap/>
            <w:vAlign w:val="center"/>
            <w:hideMark/>
          </w:tcPr>
          <w:p w14:paraId="19ADA867"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200,000</w:t>
            </w:r>
          </w:p>
        </w:tc>
        <w:tc>
          <w:tcPr>
            <w:tcW w:w="925" w:type="dxa"/>
            <w:tcBorders>
              <w:top w:val="nil"/>
              <w:left w:val="nil"/>
              <w:bottom w:val="single" w:sz="8" w:space="0" w:color="auto"/>
              <w:right w:val="single" w:sz="8" w:space="0" w:color="auto"/>
            </w:tcBorders>
            <w:shd w:val="clear" w:color="auto" w:fill="auto"/>
            <w:noWrap/>
            <w:vAlign w:val="center"/>
            <w:hideMark/>
          </w:tcPr>
          <w:p w14:paraId="36223DED"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100,000</w:t>
            </w:r>
          </w:p>
        </w:tc>
        <w:tc>
          <w:tcPr>
            <w:tcW w:w="925" w:type="dxa"/>
            <w:tcBorders>
              <w:top w:val="nil"/>
              <w:left w:val="nil"/>
              <w:bottom w:val="single" w:sz="8" w:space="0" w:color="auto"/>
              <w:right w:val="single" w:sz="8" w:space="0" w:color="auto"/>
            </w:tcBorders>
            <w:shd w:val="clear" w:color="auto" w:fill="auto"/>
            <w:vAlign w:val="center"/>
            <w:hideMark/>
          </w:tcPr>
          <w:p w14:paraId="5AAE8403"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1244" w:type="dxa"/>
            <w:tcBorders>
              <w:top w:val="nil"/>
              <w:left w:val="nil"/>
              <w:bottom w:val="single" w:sz="8" w:space="0" w:color="auto"/>
              <w:right w:val="single" w:sz="8" w:space="0" w:color="auto"/>
            </w:tcBorders>
            <w:shd w:val="clear" w:color="auto" w:fill="auto"/>
            <w:noWrap/>
            <w:vAlign w:val="center"/>
            <w:hideMark/>
          </w:tcPr>
          <w:p w14:paraId="740B5BE6" w14:textId="77777777" w:rsidR="00465CF5" w:rsidRPr="00913CCF" w:rsidRDefault="00465CF5"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400,000</w:t>
            </w:r>
          </w:p>
        </w:tc>
        <w:tc>
          <w:tcPr>
            <w:tcW w:w="844" w:type="dxa"/>
            <w:tcBorders>
              <w:top w:val="nil"/>
              <w:left w:val="nil"/>
              <w:bottom w:val="single" w:sz="8" w:space="0" w:color="auto"/>
              <w:right w:val="single" w:sz="8" w:space="0" w:color="auto"/>
            </w:tcBorders>
            <w:shd w:val="clear" w:color="auto" w:fill="auto"/>
            <w:vAlign w:val="center"/>
            <w:hideMark/>
          </w:tcPr>
          <w:p w14:paraId="72D18D93" w14:textId="2FF86D9E" w:rsidR="00465CF5" w:rsidRPr="00913CCF" w:rsidRDefault="00465CF5"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3</w:t>
            </w:r>
            <w:r w:rsidR="00B76DA2">
              <w:rPr>
                <w:rFonts w:eastAsia="Times New Roman" w:cs="Calibri"/>
                <w:i/>
                <w:iCs/>
                <w:color w:val="000000"/>
                <w:sz w:val="16"/>
                <w:szCs w:val="16"/>
              </w:rPr>
              <w:t>3</w:t>
            </w:r>
          </w:p>
        </w:tc>
      </w:tr>
      <w:tr w:rsidR="00465CF5" w:rsidRPr="00913CCF" w14:paraId="5CE9CD0E" w14:textId="77777777" w:rsidTr="00512288">
        <w:trPr>
          <w:trHeight w:val="22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349FF910" w14:textId="77777777" w:rsidR="00465CF5" w:rsidRPr="00913CCF" w:rsidRDefault="00465CF5"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7822A391" w14:textId="77777777" w:rsidR="00465CF5" w:rsidRPr="00913CCF" w:rsidRDefault="00465CF5" w:rsidP="001F45CE">
            <w:pPr>
              <w:spacing w:after="0"/>
              <w:jc w:val="left"/>
              <w:rPr>
                <w:rFonts w:eastAsia="Times New Roman" w:cs="Calibri"/>
                <w:b/>
                <w:bCs/>
                <w:color w:val="000000"/>
                <w:sz w:val="16"/>
                <w:szCs w:val="16"/>
              </w:rPr>
            </w:pPr>
          </w:p>
        </w:tc>
        <w:tc>
          <w:tcPr>
            <w:tcW w:w="713" w:type="dxa"/>
            <w:vMerge/>
            <w:tcBorders>
              <w:left w:val="single" w:sz="8" w:space="0" w:color="auto"/>
              <w:right w:val="single" w:sz="8" w:space="0" w:color="auto"/>
            </w:tcBorders>
            <w:shd w:val="clear" w:color="auto" w:fill="auto"/>
            <w:vAlign w:val="center"/>
            <w:hideMark/>
          </w:tcPr>
          <w:p w14:paraId="63E9D9D3" w14:textId="3D80F189" w:rsidR="00465CF5" w:rsidRPr="00913CCF" w:rsidRDefault="00465CF5" w:rsidP="001F45CE">
            <w:pPr>
              <w:spacing w:after="0"/>
              <w:jc w:val="center"/>
              <w:rPr>
                <w:rFonts w:eastAsia="Times New Roman" w:cs="Calibri"/>
                <w:b/>
                <w:bCs/>
                <w:color w:val="000000"/>
                <w:sz w:val="16"/>
                <w:szCs w:val="16"/>
              </w:rPr>
            </w:pPr>
          </w:p>
        </w:tc>
        <w:tc>
          <w:tcPr>
            <w:tcW w:w="632" w:type="dxa"/>
            <w:vMerge/>
            <w:tcBorders>
              <w:left w:val="single" w:sz="8" w:space="0" w:color="auto"/>
              <w:right w:val="single" w:sz="8" w:space="0" w:color="auto"/>
            </w:tcBorders>
            <w:shd w:val="clear" w:color="auto" w:fill="auto"/>
            <w:vAlign w:val="center"/>
            <w:hideMark/>
          </w:tcPr>
          <w:p w14:paraId="1D566013" w14:textId="565BC10D" w:rsidR="00465CF5" w:rsidRPr="00913CCF" w:rsidRDefault="00465CF5" w:rsidP="001F45CE">
            <w:pPr>
              <w:spacing w:after="0"/>
              <w:jc w:val="center"/>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15B08C60" w14:textId="77777777" w:rsidR="00465CF5" w:rsidRPr="00913CCF" w:rsidRDefault="00465CF5" w:rsidP="001F45CE">
            <w:pPr>
              <w:spacing w:after="0"/>
              <w:jc w:val="center"/>
              <w:rPr>
                <w:rFonts w:eastAsia="Times New Roman" w:cs="Calibri"/>
                <w:color w:val="000000"/>
                <w:sz w:val="16"/>
                <w:szCs w:val="16"/>
              </w:rPr>
            </w:pPr>
            <w:r w:rsidRPr="00913CCF">
              <w:rPr>
                <w:rFonts w:eastAsia="Times New Roman" w:cs="Calibri"/>
                <w:color w:val="000000"/>
                <w:sz w:val="16"/>
                <w:szCs w:val="16"/>
              </w:rPr>
              <w:t>74200</w:t>
            </w:r>
          </w:p>
        </w:tc>
        <w:tc>
          <w:tcPr>
            <w:tcW w:w="1597" w:type="dxa"/>
            <w:tcBorders>
              <w:top w:val="nil"/>
              <w:left w:val="nil"/>
              <w:bottom w:val="single" w:sz="8" w:space="0" w:color="auto"/>
              <w:right w:val="single" w:sz="8" w:space="0" w:color="auto"/>
            </w:tcBorders>
            <w:shd w:val="clear" w:color="auto" w:fill="auto"/>
            <w:vAlign w:val="center"/>
            <w:hideMark/>
          </w:tcPr>
          <w:p w14:paraId="3105FFB0" w14:textId="6F8E03CD" w:rsidR="00465CF5" w:rsidRPr="00913CCF" w:rsidRDefault="00465CF5" w:rsidP="001F45CE">
            <w:pPr>
              <w:spacing w:after="0"/>
              <w:jc w:val="left"/>
              <w:rPr>
                <w:rFonts w:eastAsia="Times New Roman" w:cs="Calibri"/>
                <w:color w:val="000000"/>
                <w:sz w:val="16"/>
                <w:szCs w:val="16"/>
              </w:rPr>
            </w:pPr>
            <w:r w:rsidRPr="00913CCF">
              <w:rPr>
                <w:rFonts w:eastAsia="Times New Roman" w:cs="Calibri"/>
                <w:color w:val="000000"/>
                <w:sz w:val="16"/>
                <w:szCs w:val="16"/>
                <w:lang w:val="fr-CA"/>
              </w:rPr>
              <w:t xml:space="preserve">Audio. </w:t>
            </w:r>
            <w:proofErr w:type="spellStart"/>
            <w:proofErr w:type="gramStart"/>
            <w:r w:rsidRPr="00913CCF">
              <w:rPr>
                <w:rFonts w:eastAsia="Times New Roman" w:cs="Calibri"/>
                <w:color w:val="000000"/>
                <w:sz w:val="16"/>
                <w:szCs w:val="16"/>
                <w:lang w:val="fr-CA"/>
              </w:rPr>
              <w:t>print</w:t>
            </w:r>
            <w:proofErr w:type="spellEnd"/>
            <w:proofErr w:type="gramEnd"/>
            <w:r w:rsidRPr="00913CCF">
              <w:rPr>
                <w:rFonts w:eastAsia="Times New Roman" w:cs="Calibri"/>
                <w:color w:val="000000"/>
                <w:sz w:val="16"/>
                <w:szCs w:val="16"/>
                <w:lang w:val="fr-CA"/>
              </w:rPr>
              <w:t xml:space="preserve"> prod.</w:t>
            </w:r>
          </w:p>
        </w:tc>
        <w:tc>
          <w:tcPr>
            <w:tcW w:w="935" w:type="dxa"/>
            <w:tcBorders>
              <w:top w:val="nil"/>
              <w:left w:val="nil"/>
              <w:bottom w:val="single" w:sz="8" w:space="0" w:color="auto"/>
              <w:right w:val="single" w:sz="8" w:space="0" w:color="auto"/>
            </w:tcBorders>
            <w:shd w:val="clear" w:color="auto" w:fill="auto"/>
            <w:noWrap/>
            <w:vAlign w:val="center"/>
            <w:hideMark/>
          </w:tcPr>
          <w:p w14:paraId="4E2EE159"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lang w:val="fr-CA"/>
              </w:rPr>
              <w:t>0</w:t>
            </w:r>
          </w:p>
        </w:tc>
        <w:tc>
          <w:tcPr>
            <w:tcW w:w="996" w:type="dxa"/>
            <w:tcBorders>
              <w:top w:val="nil"/>
              <w:left w:val="nil"/>
              <w:bottom w:val="single" w:sz="8" w:space="0" w:color="auto"/>
              <w:right w:val="single" w:sz="8" w:space="0" w:color="auto"/>
            </w:tcBorders>
            <w:shd w:val="clear" w:color="auto" w:fill="auto"/>
            <w:noWrap/>
            <w:vAlign w:val="center"/>
            <w:hideMark/>
          </w:tcPr>
          <w:p w14:paraId="7787E813"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lang w:val="fr-CA"/>
              </w:rPr>
              <w:t>0</w:t>
            </w:r>
          </w:p>
        </w:tc>
        <w:tc>
          <w:tcPr>
            <w:tcW w:w="925" w:type="dxa"/>
            <w:tcBorders>
              <w:top w:val="nil"/>
              <w:left w:val="nil"/>
              <w:bottom w:val="single" w:sz="8" w:space="0" w:color="auto"/>
              <w:right w:val="single" w:sz="8" w:space="0" w:color="auto"/>
            </w:tcBorders>
            <w:shd w:val="clear" w:color="auto" w:fill="auto"/>
            <w:noWrap/>
            <w:vAlign w:val="center"/>
            <w:hideMark/>
          </w:tcPr>
          <w:p w14:paraId="33DF0B74"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lang w:val="fr-CA"/>
              </w:rPr>
              <w:t>15,000</w:t>
            </w:r>
          </w:p>
        </w:tc>
        <w:tc>
          <w:tcPr>
            <w:tcW w:w="925" w:type="dxa"/>
            <w:tcBorders>
              <w:top w:val="nil"/>
              <w:left w:val="nil"/>
              <w:bottom w:val="single" w:sz="8" w:space="0" w:color="auto"/>
              <w:right w:val="single" w:sz="8" w:space="0" w:color="auto"/>
            </w:tcBorders>
            <w:shd w:val="clear" w:color="auto" w:fill="auto"/>
            <w:noWrap/>
            <w:vAlign w:val="center"/>
            <w:hideMark/>
          </w:tcPr>
          <w:p w14:paraId="0EC72002"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lang w:val="fr-CA"/>
              </w:rPr>
              <w:t>15,000</w:t>
            </w:r>
          </w:p>
        </w:tc>
        <w:tc>
          <w:tcPr>
            <w:tcW w:w="925" w:type="dxa"/>
            <w:tcBorders>
              <w:top w:val="nil"/>
              <w:left w:val="nil"/>
              <w:bottom w:val="single" w:sz="8" w:space="0" w:color="auto"/>
              <w:right w:val="single" w:sz="8" w:space="0" w:color="auto"/>
            </w:tcBorders>
            <w:shd w:val="clear" w:color="auto" w:fill="auto"/>
            <w:noWrap/>
            <w:vAlign w:val="center"/>
            <w:hideMark/>
          </w:tcPr>
          <w:p w14:paraId="0823AF6B"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lang w:val="fr-CA"/>
              </w:rPr>
              <w:t>10,000</w:t>
            </w:r>
          </w:p>
        </w:tc>
        <w:tc>
          <w:tcPr>
            <w:tcW w:w="925" w:type="dxa"/>
            <w:tcBorders>
              <w:top w:val="nil"/>
              <w:left w:val="nil"/>
              <w:bottom w:val="single" w:sz="8" w:space="0" w:color="auto"/>
              <w:right w:val="single" w:sz="8" w:space="0" w:color="auto"/>
            </w:tcBorders>
            <w:shd w:val="clear" w:color="auto" w:fill="auto"/>
            <w:vAlign w:val="center"/>
            <w:hideMark/>
          </w:tcPr>
          <w:p w14:paraId="5C0D424F"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lang w:val="fr-CA"/>
              </w:rPr>
              <w:t>0</w:t>
            </w:r>
          </w:p>
        </w:tc>
        <w:tc>
          <w:tcPr>
            <w:tcW w:w="1244" w:type="dxa"/>
            <w:tcBorders>
              <w:top w:val="nil"/>
              <w:left w:val="nil"/>
              <w:bottom w:val="single" w:sz="8" w:space="0" w:color="auto"/>
              <w:right w:val="single" w:sz="8" w:space="0" w:color="auto"/>
            </w:tcBorders>
            <w:shd w:val="clear" w:color="auto" w:fill="auto"/>
            <w:noWrap/>
            <w:vAlign w:val="center"/>
            <w:hideMark/>
          </w:tcPr>
          <w:p w14:paraId="03B5B183" w14:textId="77777777" w:rsidR="00465CF5" w:rsidRPr="00913CCF" w:rsidRDefault="00465CF5"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40,000</w:t>
            </w:r>
          </w:p>
        </w:tc>
        <w:tc>
          <w:tcPr>
            <w:tcW w:w="844" w:type="dxa"/>
            <w:tcBorders>
              <w:top w:val="nil"/>
              <w:left w:val="nil"/>
              <w:bottom w:val="single" w:sz="8" w:space="0" w:color="auto"/>
              <w:right w:val="single" w:sz="8" w:space="0" w:color="auto"/>
            </w:tcBorders>
            <w:shd w:val="clear" w:color="auto" w:fill="auto"/>
            <w:vAlign w:val="center"/>
            <w:hideMark/>
          </w:tcPr>
          <w:p w14:paraId="6C6795C6" w14:textId="44A1873C" w:rsidR="00465CF5" w:rsidRPr="00913CCF" w:rsidRDefault="00465CF5"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3</w:t>
            </w:r>
            <w:r w:rsidR="00B76DA2">
              <w:rPr>
                <w:rFonts w:eastAsia="Times New Roman" w:cs="Calibri"/>
                <w:i/>
                <w:iCs/>
                <w:color w:val="000000"/>
                <w:sz w:val="16"/>
                <w:szCs w:val="16"/>
              </w:rPr>
              <w:t>4</w:t>
            </w:r>
          </w:p>
        </w:tc>
      </w:tr>
      <w:tr w:rsidR="00465CF5" w:rsidRPr="00913CCF" w14:paraId="5E1B836A" w14:textId="77777777" w:rsidTr="00512288">
        <w:trPr>
          <w:trHeight w:val="22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106C834E" w14:textId="77777777" w:rsidR="00465CF5" w:rsidRPr="00913CCF" w:rsidRDefault="00465CF5"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2DF60C6C" w14:textId="77777777" w:rsidR="00465CF5" w:rsidRPr="00913CCF" w:rsidRDefault="00465CF5" w:rsidP="001F45CE">
            <w:pPr>
              <w:spacing w:after="0"/>
              <w:jc w:val="left"/>
              <w:rPr>
                <w:rFonts w:eastAsia="Times New Roman" w:cs="Calibri"/>
                <w:b/>
                <w:bCs/>
                <w:color w:val="000000"/>
                <w:sz w:val="16"/>
                <w:szCs w:val="16"/>
              </w:rPr>
            </w:pPr>
          </w:p>
        </w:tc>
        <w:tc>
          <w:tcPr>
            <w:tcW w:w="713" w:type="dxa"/>
            <w:vMerge/>
            <w:tcBorders>
              <w:left w:val="single" w:sz="8" w:space="0" w:color="auto"/>
              <w:right w:val="single" w:sz="8" w:space="0" w:color="auto"/>
            </w:tcBorders>
            <w:shd w:val="clear" w:color="auto" w:fill="auto"/>
            <w:vAlign w:val="center"/>
            <w:hideMark/>
          </w:tcPr>
          <w:p w14:paraId="534750D8" w14:textId="3F8F78D6" w:rsidR="00465CF5" w:rsidRPr="00913CCF" w:rsidRDefault="00465CF5" w:rsidP="001F45CE">
            <w:pPr>
              <w:spacing w:after="0"/>
              <w:jc w:val="center"/>
              <w:rPr>
                <w:rFonts w:eastAsia="Times New Roman" w:cs="Calibri"/>
                <w:b/>
                <w:bCs/>
                <w:color w:val="000000"/>
                <w:sz w:val="16"/>
                <w:szCs w:val="16"/>
              </w:rPr>
            </w:pPr>
          </w:p>
        </w:tc>
        <w:tc>
          <w:tcPr>
            <w:tcW w:w="632" w:type="dxa"/>
            <w:vMerge/>
            <w:tcBorders>
              <w:left w:val="single" w:sz="8" w:space="0" w:color="auto"/>
              <w:right w:val="single" w:sz="8" w:space="0" w:color="auto"/>
            </w:tcBorders>
            <w:shd w:val="clear" w:color="auto" w:fill="auto"/>
            <w:vAlign w:val="center"/>
            <w:hideMark/>
          </w:tcPr>
          <w:p w14:paraId="71F53E7D" w14:textId="6F7965B4" w:rsidR="00465CF5" w:rsidRPr="00913CCF" w:rsidRDefault="00465CF5" w:rsidP="001F45CE">
            <w:pPr>
              <w:spacing w:after="0"/>
              <w:jc w:val="center"/>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686B4150" w14:textId="77777777" w:rsidR="00465CF5" w:rsidRPr="00913CCF" w:rsidRDefault="00465CF5" w:rsidP="001F45CE">
            <w:pPr>
              <w:spacing w:after="0"/>
              <w:jc w:val="center"/>
              <w:rPr>
                <w:rFonts w:eastAsia="Times New Roman" w:cs="Calibri"/>
                <w:color w:val="000000"/>
                <w:sz w:val="16"/>
                <w:szCs w:val="16"/>
              </w:rPr>
            </w:pPr>
            <w:r w:rsidRPr="00913CCF">
              <w:rPr>
                <w:rFonts w:eastAsia="Times New Roman" w:cs="Calibri"/>
                <w:color w:val="000000"/>
                <w:sz w:val="16"/>
                <w:szCs w:val="16"/>
              </w:rPr>
              <w:t>74500</w:t>
            </w:r>
          </w:p>
        </w:tc>
        <w:tc>
          <w:tcPr>
            <w:tcW w:w="1597" w:type="dxa"/>
            <w:tcBorders>
              <w:top w:val="nil"/>
              <w:left w:val="nil"/>
              <w:bottom w:val="single" w:sz="8" w:space="0" w:color="auto"/>
              <w:right w:val="single" w:sz="8" w:space="0" w:color="auto"/>
            </w:tcBorders>
            <w:shd w:val="clear" w:color="auto" w:fill="auto"/>
            <w:vAlign w:val="center"/>
            <w:hideMark/>
          </w:tcPr>
          <w:p w14:paraId="75B5764C" w14:textId="77777777" w:rsidR="00465CF5" w:rsidRPr="00913CCF" w:rsidRDefault="00465CF5" w:rsidP="001F45CE">
            <w:pPr>
              <w:spacing w:after="0"/>
              <w:jc w:val="left"/>
              <w:rPr>
                <w:rFonts w:eastAsia="Times New Roman" w:cs="Calibri"/>
                <w:color w:val="000000"/>
                <w:sz w:val="16"/>
                <w:szCs w:val="16"/>
              </w:rPr>
            </w:pPr>
            <w:r w:rsidRPr="00913CCF">
              <w:rPr>
                <w:rFonts w:eastAsia="Times New Roman" w:cs="Calibri"/>
                <w:color w:val="000000"/>
                <w:sz w:val="16"/>
                <w:szCs w:val="16"/>
              </w:rPr>
              <w:t>Miscellaneous</w:t>
            </w:r>
          </w:p>
        </w:tc>
        <w:tc>
          <w:tcPr>
            <w:tcW w:w="935" w:type="dxa"/>
            <w:tcBorders>
              <w:top w:val="nil"/>
              <w:left w:val="nil"/>
              <w:bottom w:val="single" w:sz="8" w:space="0" w:color="auto"/>
              <w:right w:val="single" w:sz="8" w:space="0" w:color="auto"/>
            </w:tcBorders>
            <w:shd w:val="clear" w:color="auto" w:fill="auto"/>
            <w:noWrap/>
            <w:vAlign w:val="center"/>
            <w:hideMark/>
          </w:tcPr>
          <w:p w14:paraId="4D883273"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20,000</w:t>
            </w:r>
          </w:p>
        </w:tc>
        <w:tc>
          <w:tcPr>
            <w:tcW w:w="996" w:type="dxa"/>
            <w:tcBorders>
              <w:top w:val="nil"/>
              <w:left w:val="nil"/>
              <w:bottom w:val="single" w:sz="8" w:space="0" w:color="auto"/>
              <w:right w:val="single" w:sz="8" w:space="0" w:color="auto"/>
            </w:tcBorders>
            <w:shd w:val="clear" w:color="auto" w:fill="auto"/>
            <w:noWrap/>
            <w:vAlign w:val="center"/>
            <w:hideMark/>
          </w:tcPr>
          <w:p w14:paraId="7D0454E5"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16,000</w:t>
            </w:r>
          </w:p>
        </w:tc>
        <w:tc>
          <w:tcPr>
            <w:tcW w:w="925" w:type="dxa"/>
            <w:tcBorders>
              <w:top w:val="nil"/>
              <w:left w:val="nil"/>
              <w:bottom w:val="single" w:sz="8" w:space="0" w:color="auto"/>
              <w:right w:val="single" w:sz="8" w:space="0" w:color="auto"/>
            </w:tcBorders>
            <w:shd w:val="clear" w:color="auto" w:fill="auto"/>
            <w:noWrap/>
            <w:vAlign w:val="center"/>
            <w:hideMark/>
          </w:tcPr>
          <w:p w14:paraId="2A39BD58"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16,000</w:t>
            </w:r>
          </w:p>
        </w:tc>
        <w:tc>
          <w:tcPr>
            <w:tcW w:w="925" w:type="dxa"/>
            <w:tcBorders>
              <w:top w:val="nil"/>
              <w:left w:val="nil"/>
              <w:bottom w:val="single" w:sz="8" w:space="0" w:color="auto"/>
              <w:right w:val="single" w:sz="8" w:space="0" w:color="auto"/>
            </w:tcBorders>
            <w:shd w:val="clear" w:color="auto" w:fill="auto"/>
            <w:noWrap/>
            <w:vAlign w:val="center"/>
            <w:hideMark/>
          </w:tcPr>
          <w:p w14:paraId="04219F08"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16,000</w:t>
            </w:r>
          </w:p>
        </w:tc>
        <w:tc>
          <w:tcPr>
            <w:tcW w:w="925" w:type="dxa"/>
            <w:tcBorders>
              <w:top w:val="nil"/>
              <w:left w:val="nil"/>
              <w:bottom w:val="single" w:sz="8" w:space="0" w:color="auto"/>
              <w:right w:val="single" w:sz="8" w:space="0" w:color="auto"/>
            </w:tcBorders>
            <w:shd w:val="clear" w:color="auto" w:fill="auto"/>
            <w:noWrap/>
            <w:vAlign w:val="center"/>
            <w:hideMark/>
          </w:tcPr>
          <w:p w14:paraId="18DEA304"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16,000</w:t>
            </w:r>
          </w:p>
        </w:tc>
        <w:tc>
          <w:tcPr>
            <w:tcW w:w="925" w:type="dxa"/>
            <w:tcBorders>
              <w:top w:val="nil"/>
              <w:left w:val="nil"/>
              <w:bottom w:val="single" w:sz="8" w:space="0" w:color="auto"/>
              <w:right w:val="single" w:sz="8" w:space="0" w:color="auto"/>
            </w:tcBorders>
            <w:shd w:val="clear" w:color="auto" w:fill="auto"/>
            <w:vAlign w:val="center"/>
            <w:hideMark/>
          </w:tcPr>
          <w:p w14:paraId="30209144"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14,582</w:t>
            </w:r>
          </w:p>
        </w:tc>
        <w:tc>
          <w:tcPr>
            <w:tcW w:w="1244" w:type="dxa"/>
            <w:tcBorders>
              <w:top w:val="nil"/>
              <w:left w:val="nil"/>
              <w:bottom w:val="single" w:sz="8" w:space="0" w:color="auto"/>
              <w:right w:val="single" w:sz="8" w:space="0" w:color="auto"/>
            </w:tcBorders>
            <w:shd w:val="clear" w:color="auto" w:fill="auto"/>
            <w:noWrap/>
            <w:vAlign w:val="center"/>
            <w:hideMark/>
          </w:tcPr>
          <w:p w14:paraId="6C71BC1C" w14:textId="77777777" w:rsidR="00465CF5" w:rsidRPr="00913CCF" w:rsidRDefault="00465CF5"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98,582</w:t>
            </w:r>
          </w:p>
        </w:tc>
        <w:tc>
          <w:tcPr>
            <w:tcW w:w="844" w:type="dxa"/>
            <w:tcBorders>
              <w:top w:val="nil"/>
              <w:left w:val="nil"/>
              <w:bottom w:val="single" w:sz="8" w:space="0" w:color="auto"/>
              <w:right w:val="single" w:sz="8" w:space="0" w:color="auto"/>
            </w:tcBorders>
            <w:shd w:val="clear" w:color="auto" w:fill="auto"/>
            <w:vAlign w:val="center"/>
            <w:hideMark/>
          </w:tcPr>
          <w:p w14:paraId="624A7947" w14:textId="0C9ED757" w:rsidR="00465CF5" w:rsidRPr="00913CCF" w:rsidRDefault="00465CF5"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3</w:t>
            </w:r>
            <w:r w:rsidR="00B76DA2">
              <w:rPr>
                <w:rFonts w:eastAsia="Times New Roman" w:cs="Calibri"/>
                <w:i/>
                <w:iCs/>
                <w:color w:val="000000"/>
                <w:sz w:val="16"/>
                <w:szCs w:val="16"/>
              </w:rPr>
              <w:t>5</w:t>
            </w:r>
          </w:p>
        </w:tc>
      </w:tr>
      <w:tr w:rsidR="00465CF5" w:rsidRPr="00913CCF" w14:paraId="590D5C03" w14:textId="77777777" w:rsidTr="00512288">
        <w:trPr>
          <w:trHeight w:val="171"/>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608D658E" w14:textId="77777777" w:rsidR="00465CF5" w:rsidRPr="00913CCF" w:rsidRDefault="00465CF5"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2B7DCF94" w14:textId="77777777" w:rsidR="00465CF5" w:rsidRPr="00913CCF" w:rsidRDefault="00465CF5" w:rsidP="001F45CE">
            <w:pPr>
              <w:spacing w:after="0"/>
              <w:jc w:val="left"/>
              <w:rPr>
                <w:rFonts w:eastAsia="Times New Roman" w:cs="Calibri"/>
                <w:b/>
                <w:bCs/>
                <w:color w:val="000000"/>
                <w:sz w:val="16"/>
                <w:szCs w:val="16"/>
              </w:rPr>
            </w:pPr>
          </w:p>
        </w:tc>
        <w:tc>
          <w:tcPr>
            <w:tcW w:w="713" w:type="dxa"/>
            <w:vMerge/>
            <w:tcBorders>
              <w:left w:val="single" w:sz="8" w:space="0" w:color="auto"/>
              <w:right w:val="single" w:sz="8" w:space="0" w:color="auto"/>
            </w:tcBorders>
            <w:shd w:val="clear" w:color="auto" w:fill="auto"/>
            <w:vAlign w:val="center"/>
            <w:hideMark/>
          </w:tcPr>
          <w:p w14:paraId="14913630" w14:textId="61DEF280" w:rsidR="00465CF5" w:rsidRPr="00913CCF" w:rsidRDefault="00465CF5" w:rsidP="001F45CE">
            <w:pPr>
              <w:spacing w:after="0"/>
              <w:jc w:val="center"/>
              <w:rPr>
                <w:rFonts w:eastAsia="Times New Roman" w:cs="Calibri"/>
                <w:b/>
                <w:bCs/>
                <w:color w:val="000000"/>
                <w:sz w:val="16"/>
                <w:szCs w:val="16"/>
              </w:rPr>
            </w:pPr>
          </w:p>
        </w:tc>
        <w:tc>
          <w:tcPr>
            <w:tcW w:w="632" w:type="dxa"/>
            <w:vMerge/>
            <w:tcBorders>
              <w:left w:val="single" w:sz="8" w:space="0" w:color="auto"/>
              <w:right w:val="single" w:sz="8" w:space="0" w:color="auto"/>
            </w:tcBorders>
            <w:shd w:val="clear" w:color="auto" w:fill="auto"/>
            <w:vAlign w:val="center"/>
            <w:hideMark/>
          </w:tcPr>
          <w:p w14:paraId="21D8859D" w14:textId="65691AAE" w:rsidR="00465CF5" w:rsidRPr="00913CCF" w:rsidRDefault="00465CF5" w:rsidP="001F45CE">
            <w:pPr>
              <w:spacing w:after="0"/>
              <w:jc w:val="center"/>
              <w:rPr>
                <w:rFonts w:eastAsia="Times New Roman" w:cs="Calibri"/>
                <w:b/>
                <w:bCs/>
                <w:color w:val="000000"/>
                <w:sz w:val="16"/>
                <w:szCs w:val="16"/>
              </w:rPr>
            </w:pPr>
          </w:p>
        </w:tc>
        <w:tc>
          <w:tcPr>
            <w:tcW w:w="901" w:type="dxa"/>
            <w:tcBorders>
              <w:top w:val="nil"/>
              <w:left w:val="nil"/>
              <w:bottom w:val="double" w:sz="4" w:space="0" w:color="auto"/>
              <w:right w:val="single" w:sz="8" w:space="0" w:color="auto"/>
            </w:tcBorders>
            <w:shd w:val="clear" w:color="auto" w:fill="auto"/>
            <w:noWrap/>
            <w:vAlign w:val="center"/>
            <w:hideMark/>
          </w:tcPr>
          <w:p w14:paraId="0A8A9807" w14:textId="77777777" w:rsidR="00465CF5" w:rsidRPr="00913CCF" w:rsidRDefault="00465CF5" w:rsidP="001F45CE">
            <w:pPr>
              <w:spacing w:after="0"/>
              <w:jc w:val="center"/>
              <w:rPr>
                <w:rFonts w:eastAsia="Times New Roman" w:cs="Calibri"/>
                <w:color w:val="000000"/>
                <w:sz w:val="16"/>
                <w:szCs w:val="16"/>
              </w:rPr>
            </w:pPr>
            <w:r w:rsidRPr="00913CCF">
              <w:rPr>
                <w:rFonts w:eastAsia="Times New Roman" w:cs="Calibri"/>
                <w:color w:val="000000"/>
                <w:sz w:val="16"/>
                <w:szCs w:val="16"/>
              </w:rPr>
              <w:t>75700</w:t>
            </w:r>
          </w:p>
        </w:tc>
        <w:tc>
          <w:tcPr>
            <w:tcW w:w="1597" w:type="dxa"/>
            <w:tcBorders>
              <w:top w:val="nil"/>
              <w:left w:val="nil"/>
              <w:bottom w:val="double" w:sz="4" w:space="0" w:color="auto"/>
              <w:right w:val="single" w:sz="8" w:space="0" w:color="auto"/>
            </w:tcBorders>
            <w:shd w:val="clear" w:color="auto" w:fill="auto"/>
            <w:vAlign w:val="center"/>
            <w:hideMark/>
          </w:tcPr>
          <w:p w14:paraId="01F6FCAB" w14:textId="77777777" w:rsidR="00465CF5" w:rsidRPr="00913CCF" w:rsidRDefault="00465CF5" w:rsidP="001F45CE">
            <w:pPr>
              <w:spacing w:after="0"/>
              <w:jc w:val="left"/>
              <w:rPr>
                <w:rFonts w:eastAsia="Times New Roman" w:cs="Calibri"/>
                <w:color w:val="000000"/>
                <w:sz w:val="16"/>
                <w:szCs w:val="16"/>
              </w:rPr>
            </w:pPr>
            <w:r w:rsidRPr="00913CCF">
              <w:rPr>
                <w:rFonts w:eastAsia="Times New Roman" w:cs="Calibri"/>
                <w:color w:val="000000"/>
                <w:sz w:val="16"/>
                <w:szCs w:val="16"/>
              </w:rPr>
              <w:t xml:space="preserve">Train. </w:t>
            </w:r>
            <w:proofErr w:type="spellStart"/>
            <w:r w:rsidRPr="00913CCF">
              <w:rPr>
                <w:rFonts w:eastAsia="Times New Roman" w:cs="Calibri"/>
                <w:color w:val="000000"/>
                <w:sz w:val="16"/>
                <w:szCs w:val="16"/>
              </w:rPr>
              <w:t>worksh</w:t>
            </w:r>
            <w:proofErr w:type="spellEnd"/>
            <w:r w:rsidRPr="00913CCF">
              <w:rPr>
                <w:rFonts w:eastAsia="Times New Roman" w:cs="Calibri"/>
                <w:color w:val="000000"/>
                <w:sz w:val="16"/>
                <w:szCs w:val="16"/>
              </w:rPr>
              <w:t xml:space="preserve"> conf</w:t>
            </w:r>
          </w:p>
        </w:tc>
        <w:tc>
          <w:tcPr>
            <w:tcW w:w="935" w:type="dxa"/>
            <w:tcBorders>
              <w:top w:val="nil"/>
              <w:left w:val="nil"/>
              <w:bottom w:val="double" w:sz="4" w:space="0" w:color="auto"/>
              <w:right w:val="single" w:sz="8" w:space="0" w:color="auto"/>
            </w:tcBorders>
            <w:shd w:val="clear" w:color="auto" w:fill="auto"/>
            <w:noWrap/>
            <w:vAlign w:val="center"/>
            <w:hideMark/>
          </w:tcPr>
          <w:p w14:paraId="7B47E177"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96" w:type="dxa"/>
            <w:tcBorders>
              <w:top w:val="nil"/>
              <w:left w:val="nil"/>
              <w:bottom w:val="double" w:sz="4" w:space="0" w:color="auto"/>
              <w:right w:val="single" w:sz="8" w:space="0" w:color="auto"/>
            </w:tcBorders>
            <w:shd w:val="clear" w:color="auto" w:fill="auto"/>
            <w:noWrap/>
            <w:vAlign w:val="center"/>
            <w:hideMark/>
          </w:tcPr>
          <w:p w14:paraId="0FA19F07"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1,200</w:t>
            </w:r>
          </w:p>
        </w:tc>
        <w:tc>
          <w:tcPr>
            <w:tcW w:w="925" w:type="dxa"/>
            <w:tcBorders>
              <w:top w:val="nil"/>
              <w:left w:val="nil"/>
              <w:bottom w:val="double" w:sz="4" w:space="0" w:color="auto"/>
              <w:right w:val="single" w:sz="8" w:space="0" w:color="auto"/>
            </w:tcBorders>
            <w:shd w:val="clear" w:color="auto" w:fill="auto"/>
            <w:noWrap/>
            <w:vAlign w:val="center"/>
            <w:hideMark/>
          </w:tcPr>
          <w:p w14:paraId="465E7F46"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double" w:sz="4" w:space="0" w:color="auto"/>
              <w:right w:val="single" w:sz="8" w:space="0" w:color="auto"/>
            </w:tcBorders>
            <w:shd w:val="clear" w:color="auto" w:fill="auto"/>
            <w:noWrap/>
            <w:vAlign w:val="center"/>
            <w:hideMark/>
          </w:tcPr>
          <w:p w14:paraId="32456EF5"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double" w:sz="4" w:space="0" w:color="auto"/>
              <w:right w:val="single" w:sz="8" w:space="0" w:color="auto"/>
            </w:tcBorders>
            <w:shd w:val="clear" w:color="auto" w:fill="auto"/>
            <w:noWrap/>
            <w:vAlign w:val="center"/>
            <w:hideMark/>
          </w:tcPr>
          <w:p w14:paraId="2CBE6E45"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double" w:sz="4" w:space="0" w:color="auto"/>
              <w:right w:val="single" w:sz="8" w:space="0" w:color="auto"/>
            </w:tcBorders>
            <w:shd w:val="clear" w:color="auto" w:fill="auto"/>
            <w:vAlign w:val="center"/>
            <w:hideMark/>
          </w:tcPr>
          <w:p w14:paraId="20990890" w14:textId="77777777" w:rsidR="00465CF5" w:rsidRPr="00913CCF" w:rsidRDefault="00465CF5"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1244" w:type="dxa"/>
            <w:tcBorders>
              <w:top w:val="nil"/>
              <w:left w:val="nil"/>
              <w:bottom w:val="double" w:sz="4" w:space="0" w:color="auto"/>
              <w:right w:val="single" w:sz="8" w:space="0" w:color="auto"/>
            </w:tcBorders>
            <w:shd w:val="clear" w:color="auto" w:fill="auto"/>
            <w:noWrap/>
            <w:vAlign w:val="center"/>
            <w:hideMark/>
          </w:tcPr>
          <w:p w14:paraId="29EA3855" w14:textId="77777777" w:rsidR="00465CF5" w:rsidRPr="00913CCF" w:rsidRDefault="00465CF5"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1,200</w:t>
            </w:r>
          </w:p>
        </w:tc>
        <w:tc>
          <w:tcPr>
            <w:tcW w:w="844" w:type="dxa"/>
            <w:tcBorders>
              <w:top w:val="nil"/>
              <w:left w:val="nil"/>
              <w:bottom w:val="double" w:sz="4" w:space="0" w:color="auto"/>
              <w:right w:val="single" w:sz="8" w:space="0" w:color="auto"/>
            </w:tcBorders>
            <w:shd w:val="clear" w:color="auto" w:fill="auto"/>
            <w:vAlign w:val="center"/>
            <w:hideMark/>
          </w:tcPr>
          <w:p w14:paraId="197FDB50" w14:textId="5A2EC337" w:rsidR="00465CF5" w:rsidRPr="00913CCF" w:rsidRDefault="00465CF5"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3</w:t>
            </w:r>
            <w:r w:rsidR="00B76DA2">
              <w:rPr>
                <w:rFonts w:eastAsia="Times New Roman" w:cs="Calibri"/>
                <w:i/>
                <w:iCs/>
                <w:color w:val="000000"/>
                <w:sz w:val="16"/>
                <w:szCs w:val="16"/>
              </w:rPr>
              <w:t>6</w:t>
            </w:r>
          </w:p>
        </w:tc>
      </w:tr>
      <w:tr w:rsidR="00465CF5" w:rsidRPr="00913CCF" w14:paraId="66DD73FE" w14:textId="77777777" w:rsidTr="00512288">
        <w:trPr>
          <w:trHeight w:val="20"/>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708FB1A8" w14:textId="77777777" w:rsidR="00465CF5" w:rsidRPr="00913CCF" w:rsidRDefault="00465CF5"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539F80AD" w14:textId="77777777" w:rsidR="00465CF5" w:rsidRPr="00913CCF" w:rsidRDefault="00465CF5" w:rsidP="001F45CE">
            <w:pPr>
              <w:spacing w:after="0"/>
              <w:jc w:val="left"/>
              <w:rPr>
                <w:rFonts w:eastAsia="Times New Roman" w:cs="Calibri"/>
                <w:b/>
                <w:bCs/>
                <w:color w:val="000000"/>
                <w:sz w:val="16"/>
                <w:szCs w:val="16"/>
              </w:rPr>
            </w:pPr>
          </w:p>
        </w:tc>
        <w:tc>
          <w:tcPr>
            <w:tcW w:w="713" w:type="dxa"/>
            <w:vMerge/>
            <w:tcBorders>
              <w:left w:val="single" w:sz="8" w:space="0" w:color="auto"/>
              <w:bottom w:val="double" w:sz="6" w:space="0" w:color="auto"/>
              <w:right w:val="single" w:sz="8" w:space="0" w:color="auto"/>
            </w:tcBorders>
            <w:shd w:val="clear" w:color="auto" w:fill="auto"/>
            <w:vAlign w:val="center"/>
            <w:hideMark/>
          </w:tcPr>
          <w:p w14:paraId="2918566C" w14:textId="0621C153" w:rsidR="00465CF5" w:rsidRPr="00913CCF" w:rsidRDefault="00465CF5" w:rsidP="001F45CE">
            <w:pPr>
              <w:spacing w:after="0"/>
              <w:jc w:val="center"/>
              <w:rPr>
                <w:rFonts w:eastAsia="Times New Roman" w:cs="Calibri"/>
                <w:b/>
                <w:bCs/>
                <w:color w:val="000000"/>
                <w:sz w:val="16"/>
                <w:szCs w:val="16"/>
              </w:rPr>
            </w:pPr>
          </w:p>
        </w:tc>
        <w:tc>
          <w:tcPr>
            <w:tcW w:w="632" w:type="dxa"/>
            <w:vMerge/>
            <w:tcBorders>
              <w:left w:val="single" w:sz="8" w:space="0" w:color="auto"/>
              <w:bottom w:val="double" w:sz="6" w:space="0" w:color="auto"/>
              <w:right w:val="single" w:sz="8" w:space="0" w:color="auto"/>
            </w:tcBorders>
            <w:shd w:val="clear" w:color="auto" w:fill="auto"/>
            <w:vAlign w:val="center"/>
            <w:hideMark/>
          </w:tcPr>
          <w:p w14:paraId="25B84474" w14:textId="2752CAD2" w:rsidR="00465CF5" w:rsidRPr="00913CCF" w:rsidRDefault="00465CF5" w:rsidP="001F45CE">
            <w:pPr>
              <w:spacing w:after="0"/>
              <w:jc w:val="center"/>
              <w:rPr>
                <w:rFonts w:eastAsia="Times New Roman" w:cs="Calibri"/>
                <w:b/>
                <w:bCs/>
                <w:color w:val="000000"/>
                <w:sz w:val="16"/>
                <w:szCs w:val="16"/>
              </w:rPr>
            </w:pPr>
          </w:p>
        </w:tc>
        <w:tc>
          <w:tcPr>
            <w:tcW w:w="2498" w:type="dxa"/>
            <w:gridSpan w:val="2"/>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5289E79E" w14:textId="59D37AA4" w:rsidR="00465CF5" w:rsidRPr="00913CCF" w:rsidRDefault="00465CF5" w:rsidP="00F8089A">
            <w:pPr>
              <w:spacing w:after="0"/>
              <w:jc w:val="right"/>
              <w:rPr>
                <w:rFonts w:eastAsia="Times New Roman" w:cs="Calibri"/>
                <w:b/>
                <w:bCs/>
                <w:color w:val="000000"/>
                <w:sz w:val="15"/>
                <w:szCs w:val="15"/>
              </w:rPr>
            </w:pPr>
            <w:r w:rsidRPr="00913CCF">
              <w:rPr>
                <w:rFonts w:eastAsia="Times New Roman" w:cs="Calibri"/>
                <w:b/>
                <w:bCs/>
                <w:color w:val="000000"/>
                <w:sz w:val="15"/>
                <w:szCs w:val="15"/>
              </w:rPr>
              <w:t xml:space="preserve">Sub-total </w:t>
            </w:r>
            <w:r>
              <w:rPr>
                <w:rFonts w:eastAsia="Times New Roman" w:cs="Calibri"/>
                <w:b/>
                <w:bCs/>
                <w:color w:val="000000"/>
                <w:sz w:val="15"/>
                <w:szCs w:val="15"/>
              </w:rPr>
              <w:t>GEF</w:t>
            </w:r>
          </w:p>
        </w:tc>
        <w:tc>
          <w:tcPr>
            <w:tcW w:w="93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0F877FE1" w14:textId="5472E5AC" w:rsidR="00465CF5" w:rsidRPr="00EF6D8E" w:rsidRDefault="00465CF5"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41,675</w:t>
            </w:r>
          </w:p>
        </w:tc>
        <w:tc>
          <w:tcPr>
            <w:tcW w:w="996"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5C41884B" w14:textId="77777777" w:rsidR="00465CF5" w:rsidRPr="00913CCF" w:rsidRDefault="00465CF5"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164,670</w:t>
            </w:r>
          </w:p>
        </w:tc>
        <w:tc>
          <w:tcPr>
            <w:tcW w:w="92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59168FDE" w14:textId="77777777" w:rsidR="00465CF5" w:rsidRPr="00913CCF" w:rsidRDefault="00465CF5"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509,450</w:t>
            </w:r>
          </w:p>
        </w:tc>
        <w:tc>
          <w:tcPr>
            <w:tcW w:w="92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519A23B2" w14:textId="77777777" w:rsidR="00465CF5" w:rsidRPr="00913CCF" w:rsidRDefault="00465CF5"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355,030</w:t>
            </w:r>
          </w:p>
        </w:tc>
        <w:tc>
          <w:tcPr>
            <w:tcW w:w="92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21583AA8" w14:textId="77777777" w:rsidR="00465CF5" w:rsidRPr="00913CCF" w:rsidRDefault="00465CF5"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176,890</w:t>
            </w:r>
          </w:p>
        </w:tc>
        <w:tc>
          <w:tcPr>
            <w:tcW w:w="925" w:type="dxa"/>
            <w:tcBorders>
              <w:top w:val="double" w:sz="4" w:space="0" w:color="auto"/>
              <w:left w:val="nil"/>
              <w:bottom w:val="double" w:sz="6" w:space="0" w:color="auto"/>
              <w:right w:val="single" w:sz="8" w:space="0" w:color="auto"/>
            </w:tcBorders>
            <w:shd w:val="clear" w:color="auto" w:fill="B4C6E7" w:themeFill="accent1" w:themeFillTint="66"/>
            <w:vAlign w:val="center"/>
            <w:hideMark/>
          </w:tcPr>
          <w:p w14:paraId="50CF1473" w14:textId="77777777" w:rsidR="00465CF5" w:rsidRPr="00913CCF" w:rsidRDefault="00465CF5"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25,232</w:t>
            </w:r>
          </w:p>
        </w:tc>
        <w:tc>
          <w:tcPr>
            <w:tcW w:w="1244"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33505C51" w14:textId="56E1D957" w:rsidR="00465CF5" w:rsidRPr="00EF6D8E" w:rsidRDefault="00465CF5"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1,272,947</w:t>
            </w:r>
          </w:p>
        </w:tc>
        <w:tc>
          <w:tcPr>
            <w:tcW w:w="844" w:type="dxa"/>
            <w:tcBorders>
              <w:top w:val="double" w:sz="4" w:space="0" w:color="auto"/>
              <w:left w:val="nil"/>
              <w:bottom w:val="double" w:sz="6" w:space="0" w:color="auto"/>
              <w:right w:val="single" w:sz="8" w:space="0" w:color="auto"/>
            </w:tcBorders>
            <w:shd w:val="clear" w:color="auto" w:fill="B4C6E7" w:themeFill="accent1" w:themeFillTint="66"/>
            <w:vAlign w:val="center"/>
            <w:hideMark/>
          </w:tcPr>
          <w:p w14:paraId="2CF24F6B" w14:textId="77777777" w:rsidR="00465CF5" w:rsidRPr="00913CCF" w:rsidRDefault="00465CF5" w:rsidP="001F45CE">
            <w:pPr>
              <w:spacing w:after="0"/>
              <w:jc w:val="left"/>
              <w:rPr>
                <w:rFonts w:eastAsia="Times New Roman" w:cs="Calibri"/>
                <w:color w:val="000000"/>
                <w:sz w:val="22"/>
                <w:szCs w:val="22"/>
              </w:rPr>
            </w:pPr>
            <w:r w:rsidRPr="00913CCF">
              <w:rPr>
                <w:rFonts w:eastAsia="Times New Roman" w:cs="Calibri"/>
                <w:color w:val="000000"/>
                <w:sz w:val="22"/>
                <w:szCs w:val="22"/>
              </w:rPr>
              <w:t> </w:t>
            </w:r>
          </w:p>
        </w:tc>
      </w:tr>
      <w:tr w:rsidR="001F45CE" w:rsidRPr="00913CCF" w14:paraId="1CFDE22A" w14:textId="77777777" w:rsidTr="00512288">
        <w:trPr>
          <w:trHeight w:val="243"/>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58B7B2FC" w14:textId="77777777" w:rsidR="001F45CE" w:rsidRPr="00913CCF" w:rsidRDefault="001F45CE" w:rsidP="001F45CE">
            <w:pPr>
              <w:spacing w:after="0"/>
              <w:jc w:val="left"/>
              <w:rPr>
                <w:rFonts w:eastAsia="Times New Roman" w:cs="Calibri"/>
                <w:b/>
                <w:bCs/>
                <w:color w:val="000000"/>
                <w:sz w:val="16"/>
                <w:szCs w:val="16"/>
              </w:rPr>
            </w:pPr>
          </w:p>
        </w:tc>
        <w:tc>
          <w:tcPr>
            <w:tcW w:w="1267" w:type="dxa"/>
            <w:vMerge w:val="restart"/>
            <w:tcBorders>
              <w:top w:val="nil"/>
              <w:left w:val="single" w:sz="8" w:space="0" w:color="auto"/>
              <w:bottom w:val="double" w:sz="6" w:space="0" w:color="000000"/>
              <w:right w:val="single" w:sz="8" w:space="0" w:color="auto"/>
            </w:tcBorders>
            <w:shd w:val="clear" w:color="auto" w:fill="auto"/>
            <w:vAlign w:val="center"/>
            <w:hideMark/>
          </w:tcPr>
          <w:p w14:paraId="1A5A53FA"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UNDP</w:t>
            </w:r>
          </w:p>
        </w:tc>
        <w:tc>
          <w:tcPr>
            <w:tcW w:w="713" w:type="dxa"/>
            <w:vMerge w:val="restart"/>
            <w:tcBorders>
              <w:top w:val="nil"/>
              <w:left w:val="single" w:sz="8" w:space="0" w:color="auto"/>
              <w:bottom w:val="double" w:sz="6" w:space="0" w:color="000000"/>
              <w:right w:val="single" w:sz="8" w:space="0" w:color="auto"/>
            </w:tcBorders>
            <w:shd w:val="clear" w:color="auto" w:fill="auto"/>
            <w:vAlign w:val="center"/>
            <w:hideMark/>
          </w:tcPr>
          <w:p w14:paraId="16545CEA" w14:textId="6AC66D76"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04000</w:t>
            </w:r>
          </w:p>
        </w:tc>
        <w:tc>
          <w:tcPr>
            <w:tcW w:w="632" w:type="dxa"/>
            <w:vMerge w:val="restart"/>
            <w:tcBorders>
              <w:top w:val="nil"/>
              <w:left w:val="single" w:sz="8" w:space="0" w:color="auto"/>
              <w:bottom w:val="double" w:sz="6" w:space="0" w:color="000000"/>
              <w:right w:val="single" w:sz="8" w:space="0" w:color="auto"/>
            </w:tcBorders>
            <w:shd w:val="clear" w:color="auto" w:fill="auto"/>
            <w:vAlign w:val="center"/>
            <w:hideMark/>
          </w:tcPr>
          <w:p w14:paraId="3D7D2E3C"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TRAC</w:t>
            </w:r>
          </w:p>
        </w:tc>
        <w:tc>
          <w:tcPr>
            <w:tcW w:w="901" w:type="dxa"/>
            <w:tcBorders>
              <w:top w:val="nil"/>
              <w:left w:val="nil"/>
              <w:bottom w:val="single" w:sz="8" w:space="0" w:color="auto"/>
              <w:right w:val="single" w:sz="8" w:space="0" w:color="auto"/>
            </w:tcBorders>
            <w:shd w:val="clear" w:color="auto" w:fill="auto"/>
            <w:noWrap/>
            <w:vAlign w:val="center"/>
            <w:hideMark/>
          </w:tcPr>
          <w:p w14:paraId="06639A9A"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bCs/>
                <w:color w:val="000000"/>
                <w:sz w:val="16"/>
                <w:szCs w:val="16"/>
              </w:rPr>
              <w:t>71600</w:t>
            </w:r>
          </w:p>
        </w:tc>
        <w:tc>
          <w:tcPr>
            <w:tcW w:w="1597" w:type="dxa"/>
            <w:tcBorders>
              <w:top w:val="nil"/>
              <w:left w:val="nil"/>
              <w:bottom w:val="single" w:sz="8" w:space="0" w:color="auto"/>
              <w:right w:val="single" w:sz="8" w:space="0" w:color="auto"/>
            </w:tcBorders>
            <w:shd w:val="clear" w:color="auto" w:fill="auto"/>
            <w:vAlign w:val="center"/>
            <w:hideMark/>
          </w:tcPr>
          <w:p w14:paraId="362EC184"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bCs/>
                <w:color w:val="000000"/>
                <w:sz w:val="16"/>
                <w:szCs w:val="16"/>
              </w:rPr>
              <w:t>Travel</w:t>
            </w:r>
          </w:p>
        </w:tc>
        <w:tc>
          <w:tcPr>
            <w:tcW w:w="935" w:type="dxa"/>
            <w:tcBorders>
              <w:top w:val="nil"/>
              <w:left w:val="nil"/>
              <w:bottom w:val="single" w:sz="8" w:space="0" w:color="auto"/>
              <w:right w:val="single" w:sz="8" w:space="0" w:color="auto"/>
            </w:tcBorders>
            <w:shd w:val="clear" w:color="auto" w:fill="auto"/>
            <w:noWrap/>
            <w:vAlign w:val="center"/>
            <w:hideMark/>
          </w:tcPr>
          <w:p w14:paraId="3AC2A7F1"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96" w:type="dxa"/>
            <w:tcBorders>
              <w:top w:val="nil"/>
              <w:left w:val="nil"/>
              <w:bottom w:val="single" w:sz="8" w:space="0" w:color="auto"/>
              <w:right w:val="single" w:sz="8" w:space="0" w:color="auto"/>
            </w:tcBorders>
            <w:shd w:val="clear" w:color="auto" w:fill="auto"/>
            <w:noWrap/>
            <w:vAlign w:val="center"/>
            <w:hideMark/>
          </w:tcPr>
          <w:p w14:paraId="58B18ADC"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nil"/>
              <w:left w:val="nil"/>
              <w:bottom w:val="single" w:sz="8" w:space="0" w:color="auto"/>
              <w:right w:val="single" w:sz="8" w:space="0" w:color="auto"/>
            </w:tcBorders>
            <w:shd w:val="clear" w:color="auto" w:fill="auto"/>
            <w:noWrap/>
            <w:vAlign w:val="center"/>
            <w:hideMark/>
          </w:tcPr>
          <w:p w14:paraId="2E29109C"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nil"/>
              <w:left w:val="nil"/>
              <w:bottom w:val="single" w:sz="8" w:space="0" w:color="auto"/>
              <w:right w:val="single" w:sz="8" w:space="0" w:color="auto"/>
            </w:tcBorders>
            <w:shd w:val="clear" w:color="auto" w:fill="auto"/>
            <w:noWrap/>
            <w:vAlign w:val="center"/>
            <w:hideMark/>
          </w:tcPr>
          <w:p w14:paraId="786EFFB8"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nil"/>
              <w:left w:val="nil"/>
              <w:bottom w:val="single" w:sz="8" w:space="0" w:color="auto"/>
              <w:right w:val="single" w:sz="8" w:space="0" w:color="auto"/>
            </w:tcBorders>
            <w:shd w:val="clear" w:color="auto" w:fill="auto"/>
            <w:noWrap/>
            <w:vAlign w:val="center"/>
            <w:hideMark/>
          </w:tcPr>
          <w:p w14:paraId="555527E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nil"/>
              <w:left w:val="nil"/>
              <w:bottom w:val="single" w:sz="8" w:space="0" w:color="auto"/>
              <w:right w:val="single" w:sz="8" w:space="0" w:color="auto"/>
            </w:tcBorders>
            <w:shd w:val="clear" w:color="auto" w:fill="auto"/>
            <w:vAlign w:val="center"/>
            <w:hideMark/>
          </w:tcPr>
          <w:p w14:paraId="3EE7F4A0"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1244" w:type="dxa"/>
            <w:tcBorders>
              <w:top w:val="nil"/>
              <w:left w:val="nil"/>
              <w:bottom w:val="single" w:sz="8" w:space="0" w:color="auto"/>
              <w:right w:val="single" w:sz="8" w:space="0" w:color="auto"/>
            </w:tcBorders>
            <w:shd w:val="clear" w:color="auto" w:fill="auto"/>
            <w:noWrap/>
            <w:vAlign w:val="center"/>
            <w:hideMark/>
          </w:tcPr>
          <w:p w14:paraId="63A06AB3"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12,000</w:t>
            </w:r>
          </w:p>
        </w:tc>
        <w:tc>
          <w:tcPr>
            <w:tcW w:w="844" w:type="dxa"/>
            <w:tcBorders>
              <w:top w:val="nil"/>
              <w:left w:val="nil"/>
              <w:bottom w:val="single" w:sz="8" w:space="0" w:color="auto"/>
              <w:right w:val="single" w:sz="8" w:space="0" w:color="auto"/>
            </w:tcBorders>
            <w:shd w:val="clear" w:color="auto" w:fill="auto"/>
            <w:vAlign w:val="center"/>
            <w:hideMark/>
          </w:tcPr>
          <w:p w14:paraId="1C2A474C" w14:textId="67FB9CC8"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3</w:t>
            </w:r>
            <w:r w:rsidR="00B76DA2">
              <w:rPr>
                <w:rFonts w:eastAsia="Times New Roman" w:cs="Calibri"/>
                <w:i/>
                <w:iCs/>
                <w:color w:val="000000"/>
                <w:sz w:val="16"/>
                <w:szCs w:val="16"/>
              </w:rPr>
              <w:t>7</w:t>
            </w:r>
          </w:p>
        </w:tc>
      </w:tr>
      <w:tr w:rsidR="001F45CE" w:rsidRPr="00913CCF" w14:paraId="1E4A475B" w14:textId="77777777" w:rsidTr="00512288">
        <w:trPr>
          <w:trHeight w:val="22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52DA1789"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13C5B80A"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2332263C"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55F19407"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2FC8AE48"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bCs/>
                <w:color w:val="000000"/>
                <w:sz w:val="16"/>
                <w:szCs w:val="16"/>
              </w:rPr>
              <w:t>71400</w:t>
            </w:r>
          </w:p>
        </w:tc>
        <w:tc>
          <w:tcPr>
            <w:tcW w:w="1597" w:type="dxa"/>
            <w:tcBorders>
              <w:top w:val="nil"/>
              <w:left w:val="nil"/>
              <w:bottom w:val="single" w:sz="8" w:space="0" w:color="auto"/>
              <w:right w:val="single" w:sz="8" w:space="0" w:color="auto"/>
            </w:tcBorders>
            <w:shd w:val="clear" w:color="auto" w:fill="auto"/>
            <w:vAlign w:val="center"/>
            <w:hideMark/>
          </w:tcPr>
          <w:p w14:paraId="40D2BC8C"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Contr. serv. Ind.</w:t>
            </w:r>
          </w:p>
        </w:tc>
        <w:tc>
          <w:tcPr>
            <w:tcW w:w="935" w:type="dxa"/>
            <w:tcBorders>
              <w:top w:val="nil"/>
              <w:left w:val="nil"/>
              <w:bottom w:val="single" w:sz="8" w:space="0" w:color="auto"/>
              <w:right w:val="single" w:sz="8" w:space="0" w:color="auto"/>
            </w:tcBorders>
            <w:shd w:val="clear" w:color="auto" w:fill="auto"/>
            <w:noWrap/>
            <w:vAlign w:val="center"/>
            <w:hideMark/>
          </w:tcPr>
          <w:p w14:paraId="6F98302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96" w:type="dxa"/>
            <w:tcBorders>
              <w:top w:val="nil"/>
              <w:left w:val="nil"/>
              <w:bottom w:val="single" w:sz="8" w:space="0" w:color="auto"/>
              <w:right w:val="single" w:sz="8" w:space="0" w:color="auto"/>
            </w:tcBorders>
            <w:shd w:val="clear" w:color="auto" w:fill="auto"/>
            <w:noWrap/>
            <w:vAlign w:val="center"/>
            <w:hideMark/>
          </w:tcPr>
          <w:p w14:paraId="3C7B6A0F"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noWrap/>
            <w:vAlign w:val="center"/>
            <w:hideMark/>
          </w:tcPr>
          <w:p w14:paraId="65A095E4"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noWrap/>
            <w:vAlign w:val="center"/>
            <w:hideMark/>
          </w:tcPr>
          <w:p w14:paraId="5CA340DD"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noWrap/>
            <w:vAlign w:val="center"/>
            <w:hideMark/>
          </w:tcPr>
          <w:p w14:paraId="7DFC53D8"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vAlign w:val="center"/>
            <w:hideMark/>
          </w:tcPr>
          <w:p w14:paraId="5429857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1244" w:type="dxa"/>
            <w:tcBorders>
              <w:top w:val="nil"/>
              <w:left w:val="nil"/>
              <w:bottom w:val="single" w:sz="8" w:space="0" w:color="auto"/>
              <w:right w:val="single" w:sz="8" w:space="0" w:color="auto"/>
            </w:tcBorders>
            <w:shd w:val="clear" w:color="auto" w:fill="auto"/>
            <w:noWrap/>
            <w:vAlign w:val="center"/>
            <w:hideMark/>
          </w:tcPr>
          <w:p w14:paraId="57F1498B"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37,500</w:t>
            </w:r>
          </w:p>
        </w:tc>
        <w:tc>
          <w:tcPr>
            <w:tcW w:w="844" w:type="dxa"/>
            <w:tcBorders>
              <w:top w:val="nil"/>
              <w:left w:val="nil"/>
              <w:bottom w:val="single" w:sz="8" w:space="0" w:color="auto"/>
              <w:right w:val="single" w:sz="8" w:space="0" w:color="auto"/>
            </w:tcBorders>
            <w:shd w:val="clear" w:color="auto" w:fill="auto"/>
            <w:vAlign w:val="center"/>
            <w:hideMark/>
          </w:tcPr>
          <w:p w14:paraId="5E9F3F3F" w14:textId="24002CDB"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3</w:t>
            </w:r>
            <w:r w:rsidR="00B76DA2">
              <w:rPr>
                <w:rFonts w:eastAsia="Times New Roman" w:cs="Calibri"/>
                <w:i/>
                <w:iCs/>
                <w:color w:val="000000"/>
                <w:sz w:val="16"/>
                <w:szCs w:val="16"/>
              </w:rPr>
              <w:t>8</w:t>
            </w:r>
          </w:p>
        </w:tc>
      </w:tr>
      <w:tr w:rsidR="001F45CE" w:rsidRPr="00913CCF" w14:paraId="5D45A5D6" w14:textId="77777777" w:rsidTr="00512288">
        <w:trPr>
          <w:trHeight w:val="293"/>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22A01E04"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73AC3C84"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319A9595"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126931E6"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double" w:sz="6" w:space="0" w:color="auto"/>
              <w:right w:val="single" w:sz="8" w:space="0" w:color="auto"/>
            </w:tcBorders>
            <w:shd w:val="clear" w:color="auto" w:fill="auto"/>
            <w:noWrap/>
            <w:vAlign w:val="center"/>
            <w:hideMark/>
          </w:tcPr>
          <w:p w14:paraId="68AC03F1"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bCs/>
                <w:color w:val="000000"/>
                <w:sz w:val="16"/>
                <w:szCs w:val="16"/>
              </w:rPr>
              <w:t>72200</w:t>
            </w:r>
          </w:p>
        </w:tc>
        <w:tc>
          <w:tcPr>
            <w:tcW w:w="1597" w:type="dxa"/>
            <w:tcBorders>
              <w:top w:val="nil"/>
              <w:left w:val="nil"/>
              <w:bottom w:val="double" w:sz="6" w:space="0" w:color="auto"/>
              <w:right w:val="single" w:sz="8" w:space="0" w:color="auto"/>
            </w:tcBorders>
            <w:shd w:val="clear" w:color="auto" w:fill="auto"/>
            <w:vAlign w:val="center"/>
            <w:hideMark/>
          </w:tcPr>
          <w:p w14:paraId="2A202804"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Equip. Furniture</w:t>
            </w:r>
          </w:p>
        </w:tc>
        <w:tc>
          <w:tcPr>
            <w:tcW w:w="935" w:type="dxa"/>
            <w:tcBorders>
              <w:top w:val="nil"/>
              <w:left w:val="nil"/>
              <w:bottom w:val="double" w:sz="6" w:space="0" w:color="auto"/>
              <w:right w:val="single" w:sz="8" w:space="0" w:color="auto"/>
            </w:tcBorders>
            <w:shd w:val="clear" w:color="auto" w:fill="auto"/>
            <w:noWrap/>
            <w:vAlign w:val="center"/>
            <w:hideMark/>
          </w:tcPr>
          <w:p w14:paraId="2EABF7C6" w14:textId="315BC0FD"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16,000</w:t>
            </w:r>
          </w:p>
        </w:tc>
        <w:tc>
          <w:tcPr>
            <w:tcW w:w="996" w:type="dxa"/>
            <w:tcBorders>
              <w:top w:val="nil"/>
              <w:left w:val="nil"/>
              <w:bottom w:val="double" w:sz="6" w:space="0" w:color="auto"/>
              <w:right w:val="single" w:sz="8" w:space="0" w:color="auto"/>
            </w:tcBorders>
            <w:shd w:val="clear" w:color="auto" w:fill="auto"/>
            <w:noWrap/>
            <w:vAlign w:val="center"/>
            <w:hideMark/>
          </w:tcPr>
          <w:p w14:paraId="164D2400" w14:textId="28077058"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2,000</w:t>
            </w:r>
          </w:p>
        </w:tc>
        <w:tc>
          <w:tcPr>
            <w:tcW w:w="925" w:type="dxa"/>
            <w:tcBorders>
              <w:top w:val="nil"/>
              <w:left w:val="nil"/>
              <w:bottom w:val="double" w:sz="6" w:space="0" w:color="auto"/>
              <w:right w:val="single" w:sz="8" w:space="0" w:color="auto"/>
            </w:tcBorders>
            <w:shd w:val="clear" w:color="auto" w:fill="auto"/>
            <w:noWrap/>
            <w:vAlign w:val="center"/>
            <w:hideMark/>
          </w:tcPr>
          <w:p w14:paraId="286AC8E7" w14:textId="406DAFEB"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925" w:type="dxa"/>
            <w:tcBorders>
              <w:top w:val="nil"/>
              <w:left w:val="nil"/>
              <w:bottom w:val="double" w:sz="6" w:space="0" w:color="auto"/>
              <w:right w:val="single" w:sz="8" w:space="0" w:color="auto"/>
            </w:tcBorders>
            <w:shd w:val="clear" w:color="auto" w:fill="auto"/>
            <w:noWrap/>
            <w:vAlign w:val="center"/>
            <w:hideMark/>
          </w:tcPr>
          <w:p w14:paraId="23AA0289" w14:textId="4B029CF1"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925" w:type="dxa"/>
            <w:tcBorders>
              <w:top w:val="nil"/>
              <w:left w:val="nil"/>
              <w:bottom w:val="double" w:sz="6" w:space="0" w:color="auto"/>
              <w:right w:val="single" w:sz="8" w:space="0" w:color="auto"/>
            </w:tcBorders>
            <w:shd w:val="clear" w:color="auto" w:fill="auto"/>
            <w:noWrap/>
            <w:vAlign w:val="center"/>
            <w:hideMark/>
          </w:tcPr>
          <w:p w14:paraId="4C301996" w14:textId="3E4BA9D6"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925" w:type="dxa"/>
            <w:tcBorders>
              <w:top w:val="nil"/>
              <w:left w:val="nil"/>
              <w:bottom w:val="double" w:sz="6" w:space="0" w:color="auto"/>
              <w:right w:val="single" w:sz="8" w:space="0" w:color="auto"/>
            </w:tcBorders>
            <w:shd w:val="clear" w:color="auto" w:fill="auto"/>
            <w:vAlign w:val="center"/>
            <w:hideMark/>
          </w:tcPr>
          <w:p w14:paraId="6C5264D5" w14:textId="77BF39E0"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1244" w:type="dxa"/>
            <w:tcBorders>
              <w:top w:val="nil"/>
              <w:left w:val="nil"/>
              <w:bottom w:val="double" w:sz="4" w:space="0" w:color="auto"/>
              <w:right w:val="single" w:sz="8" w:space="0" w:color="auto"/>
            </w:tcBorders>
            <w:shd w:val="clear" w:color="auto" w:fill="auto"/>
            <w:noWrap/>
            <w:vAlign w:val="center"/>
            <w:hideMark/>
          </w:tcPr>
          <w:p w14:paraId="2FF33B50"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18,000</w:t>
            </w:r>
          </w:p>
        </w:tc>
        <w:tc>
          <w:tcPr>
            <w:tcW w:w="844" w:type="dxa"/>
            <w:tcBorders>
              <w:top w:val="nil"/>
              <w:left w:val="nil"/>
              <w:bottom w:val="double" w:sz="4" w:space="0" w:color="auto"/>
              <w:right w:val="single" w:sz="8" w:space="0" w:color="auto"/>
            </w:tcBorders>
            <w:shd w:val="clear" w:color="auto" w:fill="auto"/>
            <w:vAlign w:val="center"/>
            <w:hideMark/>
          </w:tcPr>
          <w:p w14:paraId="21373053" w14:textId="466624C4" w:rsidR="001F45CE" w:rsidRPr="00913CCF" w:rsidRDefault="00B76DA2" w:rsidP="001F45CE">
            <w:pPr>
              <w:spacing w:after="0"/>
              <w:jc w:val="center"/>
              <w:rPr>
                <w:rFonts w:eastAsia="Times New Roman" w:cs="Calibri"/>
                <w:i/>
                <w:iCs/>
                <w:color w:val="000000"/>
                <w:sz w:val="16"/>
                <w:szCs w:val="16"/>
              </w:rPr>
            </w:pPr>
            <w:r>
              <w:rPr>
                <w:rFonts w:eastAsia="Times New Roman" w:cs="Calibri"/>
                <w:i/>
                <w:iCs/>
                <w:color w:val="000000"/>
                <w:sz w:val="16"/>
                <w:szCs w:val="16"/>
              </w:rPr>
              <w:t>39</w:t>
            </w:r>
          </w:p>
        </w:tc>
      </w:tr>
      <w:tr w:rsidR="00622C44" w:rsidRPr="00913CCF" w14:paraId="0248C4E5" w14:textId="77777777" w:rsidTr="00512288">
        <w:trPr>
          <w:trHeight w:val="20"/>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53F7D9BC" w14:textId="77777777" w:rsidR="00622C44" w:rsidRPr="00913CCF" w:rsidRDefault="00622C44"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6668D6B7" w14:textId="77777777" w:rsidR="00622C44" w:rsidRPr="00913CCF" w:rsidRDefault="00622C44"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5F020704" w14:textId="77777777" w:rsidR="00622C44" w:rsidRPr="00913CCF" w:rsidRDefault="00622C44"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6BD40ACE" w14:textId="77777777" w:rsidR="00622C44" w:rsidRPr="00913CCF" w:rsidRDefault="00622C44" w:rsidP="001F45CE">
            <w:pPr>
              <w:spacing w:after="0"/>
              <w:jc w:val="left"/>
              <w:rPr>
                <w:rFonts w:eastAsia="Times New Roman" w:cs="Calibri"/>
                <w:b/>
                <w:bCs/>
                <w:color w:val="000000"/>
                <w:sz w:val="16"/>
                <w:szCs w:val="16"/>
              </w:rPr>
            </w:pPr>
          </w:p>
        </w:tc>
        <w:tc>
          <w:tcPr>
            <w:tcW w:w="2498" w:type="dxa"/>
            <w:gridSpan w:val="2"/>
            <w:tcBorders>
              <w:top w:val="nil"/>
              <w:left w:val="nil"/>
              <w:bottom w:val="double" w:sz="6" w:space="0" w:color="auto"/>
              <w:right w:val="single" w:sz="8" w:space="0" w:color="auto"/>
            </w:tcBorders>
            <w:shd w:val="clear" w:color="auto" w:fill="FFE599" w:themeFill="accent4" w:themeFillTint="66"/>
            <w:noWrap/>
            <w:vAlign w:val="center"/>
            <w:hideMark/>
          </w:tcPr>
          <w:p w14:paraId="22E8A894" w14:textId="46945243" w:rsidR="00622C44" w:rsidRPr="00913CCF" w:rsidRDefault="00622C44" w:rsidP="00F8089A">
            <w:pPr>
              <w:spacing w:after="0"/>
              <w:jc w:val="right"/>
              <w:rPr>
                <w:rFonts w:eastAsia="Times New Roman" w:cs="Calibri"/>
                <w:b/>
                <w:bCs/>
                <w:color w:val="000000"/>
                <w:sz w:val="15"/>
                <w:szCs w:val="15"/>
              </w:rPr>
            </w:pPr>
            <w:r w:rsidRPr="00913CCF">
              <w:rPr>
                <w:rFonts w:eastAsia="Times New Roman" w:cs="Calibri"/>
                <w:b/>
                <w:bCs/>
                <w:color w:val="000000"/>
                <w:sz w:val="15"/>
                <w:szCs w:val="15"/>
              </w:rPr>
              <w:t xml:space="preserve">Sub-total </w:t>
            </w:r>
            <w:r>
              <w:rPr>
                <w:rFonts w:eastAsia="Times New Roman" w:cs="Calibri"/>
                <w:b/>
                <w:bCs/>
                <w:color w:val="000000"/>
                <w:sz w:val="15"/>
                <w:szCs w:val="15"/>
              </w:rPr>
              <w:t>UNDP</w:t>
            </w:r>
          </w:p>
        </w:tc>
        <w:tc>
          <w:tcPr>
            <w:tcW w:w="935" w:type="dxa"/>
            <w:tcBorders>
              <w:top w:val="nil"/>
              <w:left w:val="nil"/>
              <w:bottom w:val="double" w:sz="6" w:space="0" w:color="auto"/>
              <w:right w:val="single" w:sz="8" w:space="0" w:color="auto"/>
            </w:tcBorders>
            <w:shd w:val="clear" w:color="auto" w:fill="FFE599" w:themeFill="accent4" w:themeFillTint="66"/>
            <w:noWrap/>
            <w:vAlign w:val="center"/>
            <w:hideMark/>
          </w:tcPr>
          <w:p w14:paraId="5297FCCC" w14:textId="7E1C3CFC" w:rsidR="00622C44" w:rsidRPr="00913CCF" w:rsidRDefault="00622C4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18,000</w:t>
            </w:r>
          </w:p>
        </w:tc>
        <w:tc>
          <w:tcPr>
            <w:tcW w:w="996" w:type="dxa"/>
            <w:tcBorders>
              <w:top w:val="nil"/>
              <w:left w:val="nil"/>
              <w:bottom w:val="double" w:sz="6" w:space="0" w:color="auto"/>
              <w:right w:val="single" w:sz="8" w:space="0" w:color="auto"/>
            </w:tcBorders>
            <w:shd w:val="clear" w:color="auto" w:fill="FFE599" w:themeFill="accent4" w:themeFillTint="66"/>
            <w:noWrap/>
            <w:vAlign w:val="center"/>
            <w:hideMark/>
          </w:tcPr>
          <w:p w14:paraId="2BC9FF71" w14:textId="1C5C7E12" w:rsidR="00622C44" w:rsidRPr="00913CCF" w:rsidRDefault="00622C4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11,500</w:t>
            </w:r>
          </w:p>
        </w:tc>
        <w:tc>
          <w:tcPr>
            <w:tcW w:w="925" w:type="dxa"/>
            <w:tcBorders>
              <w:top w:val="nil"/>
              <w:left w:val="nil"/>
              <w:bottom w:val="double" w:sz="6" w:space="0" w:color="auto"/>
              <w:right w:val="single" w:sz="8" w:space="0" w:color="auto"/>
            </w:tcBorders>
            <w:shd w:val="clear" w:color="auto" w:fill="FFE599" w:themeFill="accent4" w:themeFillTint="66"/>
            <w:noWrap/>
            <w:vAlign w:val="center"/>
            <w:hideMark/>
          </w:tcPr>
          <w:p w14:paraId="7F596A03" w14:textId="235D2905" w:rsidR="00622C44" w:rsidRPr="00913CCF" w:rsidRDefault="00622C4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925" w:type="dxa"/>
            <w:tcBorders>
              <w:top w:val="nil"/>
              <w:left w:val="nil"/>
              <w:bottom w:val="double" w:sz="6" w:space="0" w:color="auto"/>
              <w:right w:val="single" w:sz="8" w:space="0" w:color="auto"/>
            </w:tcBorders>
            <w:shd w:val="clear" w:color="auto" w:fill="FFE599" w:themeFill="accent4" w:themeFillTint="66"/>
            <w:noWrap/>
            <w:vAlign w:val="center"/>
            <w:hideMark/>
          </w:tcPr>
          <w:p w14:paraId="2444FEBC" w14:textId="47FB6C4C" w:rsidR="00622C44" w:rsidRPr="00913CCF" w:rsidRDefault="00622C4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925" w:type="dxa"/>
            <w:tcBorders>
              <w:top w:val="nil"/>
              <w:left w:val="nil"/>
              <w:bottom w:val="double" w:sz="6" w:space="0" w:color="auto"/>
              <w:right w:val="single" w:sz="8" w:space="0" w:color="auto"/>
            </w:tcBorders>
            <w:shd w:val="clear" w:color="auto" w:fill="FFE599" w:themeFill="accent4" w:themeFillTint="66"/>
            <w:noWrap/>
            <w:vAlign w:val="center"/>
            <w:hideMark/>
          </w:tcPr>
          <w:p w14:paraId="05ED3FB4" w14:textId="13768464" w:rsidR="00622C44" w:rsidRPr="00913CCF" w:rsidRDefault="00622C4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925" w:type="dxa"/>
            <w:tcBorders>
              <w:top w:val="nil"/>
              <w:left w:val="nil"/>
              <w:bottom w:val="double" w:sz="6" w:space="0" w:color="auto"/>
              <w:right w:val="single" w:sz="8" w:space="0" w:color="auto"/>
            </w:tcBorders>
            <w:shd w:val="clear" w:color="auto" w:fill="FFE599" w:themeFill="accent4" w:themeFillTint="66"/>
            <w:vAlign w:val="center"/>
            <w:hideMark/>
          </w:tcPr>
          <w:p w14:paraId="79B181DA" w14:textId="44C1AF91" w:rsidR="00622C44" w:rsidRPr="00913CCF" w:rsidRDefault="00622C4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1244" w:type="dxa"/>
            <w:tcBorders>
              <w:top w:val="double" w:sz="4" w:space="0" w:color="auto"/>
              <w:left w:val="nil"/>
              <w:bottom w:val="double" w:sz="6" w:space="0" w:color="auto"/>
              <w:right w:val="single" w:sz="8" w:space="0" w:color="auto"/>
            </w:tcBorders>
            <w:shd w:val="clear" w:color="auto" w:fill="FFE599" w:themeFill="accent4" w:themeFillTint="66"/>
            <w:noWrap/>
            <w:vAlign w:val="center"/>
            <w:hideMark/>
          </w:tcPr>
          <w:p w14:paraId="29CF8182" w14:textId="77777777" w:rsidR="00622C44" w:rsidRPr="00913CCF" w:rsidRDefault="00622C44"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67,500</w:t>
            </w:r>
          </w:p>
        </w:tc>
        <w:tc>
          <w:tcPr>
            <w:tcW w:w="844" w:type="dxa"/>
            <w:tcBorders>
              <w:top w:val="double" w:sz="4" w:space="0" w:color="auto"/>
              <w:left w:val="nil"/>
              <w:bottom w:val="double" w:sz="6" w:space="0" w:color="auto"/>
              <w:right w:val="single" w:sz="8" w:space="0" w:color="auto"/>
            </w:tcBorders>
            <w:shd w:val="clear" w:color="auto" w:fill="FFE599" w:themeFill="accent4" w:themeFillTint="66"/>
            <w:vAlign w:val="center"/>
            <w:hideMark/>
          </w:tcPr>
          <w:p w14:paraId="18A80EB4" w14:textId="77777777" w:rsidR="00622C44" w:rsidRPr="00913CCF" w:rsidRDefault="00622C44" w:rsidP="001F45CE">
            <w:pPr>
              <w:spacing w:after="0"/>
              <w:jc w:val="center"/>
              <w:rPr>
                <w:rFonts w:eastAsia="Times New Roman" w:cs="Calibri"/>
                <w:color w:val="000000"/>
                <w:sz w:val="14"/>
                <w:szCs w:val="14"/>
              </w:rPr>
            </w:pPr>
            <w:r w:rsidRPr="00913CCF">
              <w:rPr>
                <w:rFonts w:eastAsia="Times New Roman" w:cs="Calibri"/>
                <w:color w:val="000000"/>
                <w:sz w:val="14"/>
                <w:szCs w:val="14"/>
              </w:rPr>
              <w:t> </w:t>
            </w:r>
          </w:p>
        </w:tc>
      </w:tr>
      <w:tr w:rsidR="00622C44" w:rsidRPr="00913CCF" w14:paraId="22BAE5F7" w14:textId="77777777" w:rsidTr="00512288">
        <w:trPr>
          <w:trHeight w:val="20"/>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3CB62CD4" w14:textId="77777777" w:rsidR="00622C44" w:rsidRPr="00913CCF" w:rsidRDefault="00622C44" w:rsidP="001F45CE">
            <w:pPr>
              <w:spacing w:after="0"/>
              <w:jc w:val="left"/>
              <w:rPr>
                <w:rFonts w:eastAsia="Times New Roman" w:cs="Calibri"/>
                <w:b/>
                <w:bCs/>
                <w:color w:val="000000"/>
                <w:sz w:val="16"/>
                <w:szCs w:val="16"/>
              </w:rPr>
            </w:pPr>
          </w:p>
        </w:tc>
        <w:tc>
          <w:tcPr>
            <w:tcW w:w="5110" w:type="dxa"/>
            <w:gridSpan w:val="5"/>
            <w:tcBorders>
              <w:top w:val="nil"/>
              <w:left w:val="nil"/>
              <w:bottom w:val="double" w:sz="6" w:space="0" w:color="000000"/>
              <w:right w:val="single" w:sz="8" w:space="0" w:color="auto"/>
            </w:tcBorders>
            <w:shd w:val="clear" w:color="auto" w:fill="C5E0B3" w:themeFill="accent6" w:themeFillTint="66"/>
            <w:vAlign w:val="center"/>
            <w:hideMark/>
          </w:tcPr>
          <w:p w14:paraId="184CE259" w14:textId="74691DE7" w:rsidR="00622C44" w:rsidRPr="00913CCF" w:rsidRDefault="00622C44"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Total Outcome 3</w:t>
            </w:r>
          </w:p>
        </w:tc>
        <w:tc>
          <w:tcPr>
            <w:tcW w:w="935" w:type="dxa"/>
            <w:tcBorders>
              <w:top w:val="nil"/>
              <w:left w:val="nil"/>
              <w:bottom w:val="double" w:sz="6" w:space="0" w:color="auto"/>
              <w:right w:val="single" w:sz="8" w:space="0" w:color="auto"/>
            </w:tcBorders>
            <w:shd w:val="clear" w:color="auto" w:fill="C5E0B3" w:themeFill="accent6" w:themeFillTint="66"/>
            <w:noWrap/>
            <w:vAlign w:val="center"/>
            <w:hideMark/>
          </w:tcPr>
          <w:p w14:paraId="58942ED2" w14:textId="77777777" w:rsidR="00622C44" w:rsidRPr="00913CCF" w:rsidRDefault="00622C44"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59,675</w:t>
            </w:r>
          </w:p>
        </w:tc>
        <w:tc>
          <w:tcPr>
            <w:tcW w:w="996" w:type="dxa"/>
            <w:tcBorders>
              <w:top w:val="nil"/>
              <w:left w:val="nil"/>
              <w:bottom w:val="double" w:sz="6" w:space="0" w:color="auto"/>
              <w:right w:val="single" w:sz="8" w:space="0" w:color="auto"/>
            </w:tcBorders>
            <w:shd w:val="clear" w:color="auto" w:fill="C5E0B3" w:themeFill="accent6" w:themeFillTint="66"/>
            <w:noWrap/>
            <w:vAlign w:val="center"/>
            <w:hideMark/>
          </w:tcPr>
          <w:p w14:paraId="47D51ADC" w14:textId="55793334" w:rsidR="00622C44" w:rsidRPr="00EF6D8E" w:rsidRDefault="00622C4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176,170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55744B54" w14:textId="25AE3074" w:rsidR="00622C44" w:rsidRPr="00EF6D8E" w:rsidRDefault="00622C4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518,950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697AB473" w14:textId="26858E76" w:rsidR="00622C44" w:rsidRPr="00EF6D8E" w:rsidRDefault="00622C4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364,530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23697EF0" w14:textId="6CB700CF" w:rsidR="00622C44" w:rsidRPr="00EF6D8E" w:rsidRDefault="00622C4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186,390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21378AE4" w14:textId="43A6EB07" w:rsidR="00622C44" w:rsidRPr="00EF6D8E" w:rsidRDefault="00622C4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34,732</w:t>
            </w:r>
          </w:p>
        </w:tc>
        <w:tc>
          <w:tcPr>
            <w:tcW w:w="1244" w:type="dxa"/>
            <w:tcBorders>
              <w:top w:val="nil"/>
              <w:left w:val="nil"/>
              <w:bottom w:val="double" w:sz="6" w:space="0" w:color="auto"/>
              <w:right w:val="single" w:sz="8" w:space="0" w:color="auto"/>
            </w:tcBorders>
            <w:shd w:val="clear" w:color="auto" w:fill="C5E0B3" w:themeFill="accent6" w:themeFillTint="66"/>
            <w:noWrap/>
            <w:vAlign w:val="center"/>
            <w:hideMark/>
          </w:tcPr>
          <w:p w14:paraId="6AD80E2A" w14:textId="75933FAF" w:rsidR="00622C44" w:rsidRPr="00EF6D8E" w:rsidRDefault="00622C44"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1,340,447</w:t>
            </w:r>
          </w:p>
        </w:tc>
        <w:tc>
          <w:tcPr>
            <w:tcW w:w="844" w:type="dxa"/>
            <w:tcBorders>
              <w:top w:val="nil"/>
              <w:left w:val="nil"/>
              <w:bottom w:val="double" w:sz="6" w:space="0" w:color="auto"/>
              <w:right w:val="single" w:sz="8" w:space="0" w:color="auto"/>
            </w:tcBorders>
            <w:shd w:val="clear" w:color="auto" w:fill="C5E0B3" w:themeFill="accent6" w:themeFillTint="66"/>
            <w:vAlign w:val="center"/>
            <w:hideMark/>
          </w:tcPr>
          <w:p w14:paraId="7DA44A14" w14:textId="77777777" w:rsidR="00622C44" w:rsidRPr="00913CCF" w:rsidRDefault="00622C44" w:rsidP="001F45CE">
            <w:pPr>
              <w:spacing w:after="0"/>
              <w:jc w:val="center"/>
              <w:rPr>
                <w:rFonts w:eastAsia="Times New Roman" w:cs="Calibri"/>
                <w:color w:val="000000"/>
                <w:sz w:val="14"/>
                <w:szCs w:val="14"/>
              </w:rPr>
            </w:pPr>
            <w:r w:rsidRPr="00913CCF">
              <w:rPr>
                <w:rFonts w:eastAsia="Times New Roman" w:cs="Calibri"/>
                <w:color w:val="000000"/>
                <w:sz w:val="14"/>
                <w:szCs w:val="14"/>
              </w:rPr>
              <w:t> </w:t>
            </w:r>
          </w:p>
        </w:tc>
      </w:tr>
      <w:tr w:rsidR="001F45CE" w:rsidRPr="00913CCF" w14:paraId="7211CE7A" w14:textId="77777777" w:rsidTr="00512288">
        <w:trPr>
          <w:trHeight w:val="300"/>
        </w:trPr>
        <w:tc>
          <w:tcPr>
            <w:tcW w:w="1335" w:type="dxa"/>
            <w:vMerge w:val="restart"/>
            <w:tcBorders>
              <w:top w:val="nil"/>
              <w:left w:val="single" w:sz="8" w:space="0" w:color="000000"/>
              <w:bottom w:val="double" w:sz="6" w:space="0" w:color="000000"/>
              <w:right w:val="single" w:sz="8" w:space="0" w:color="auto"/>
            </w:tcBorders>
            <w:shd w:val="clear" w:color="auto" w:fill="auto"/>
            <w:noWrap/>
            <w:vAlign w:val="center"/>
            <w:hideMark/>
          </w:tcPr>
          <w:p w14:paraId="77150294"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 xml:space="preserve">COMPONENT / OUTCOME 4: </w:t>
            </w:r>
          </w:p>
        </w:tc>
        <w:tc>
          <w:tcPr>
            <w:tcW w:w="1267" w:type="dxa"/>
            <w:vMerge w:val="restart"/>
            <w:tcBorders>
              <w:top w:val="nil"/>
              <w:left w:val="single" w:sz="8" w:space="0" w:color="auto"/>
              <w:bottom w:val="double" w:sz="6" w:space="0" w:color="000000"/>
              <w:right w:val="single" w:sz="8" w:space="0" w:color="auto"/>
            </w:tcBorders>
            <w:shd w:val="clear" w:color="auto" w:fill="auto"/>
            <w:vAlign w:val="center"/>
            <w:hideMark/>
          </w:tcPr>
          <w:p w14:paraId="7C10DD66" w14:textId="79AD3649" w:rsidR="001F45CE" w:rsidRPr="00AB47BD" w:rsidRDefault="001265F0" w:rsidP="001F45CE">
            <w:pPr>
              <w:spacing w:after="0"/>
              <w:jc w:val="center"/>
              <w:rPr>
                <w:rFonts w:eastAsia="Times New Roman" w:cs="Calibri"/>
                <w:b/>
                <w:bCs/>
                <w:color w:val="000000"/>
                <w:sz w:val="16"/>
                <w:szCs w:val="16"/>
                <w:lang w:val="fr-FR"/>
              </w:rPr>
            </w:pPr>
            <w:r w:rsidRPr="00AB47BD">
              <w:rPr>
                <w:rFonts w:cs="Arial"/>
                <w:b/>
                <w:bCs/>
                <w:sz w:val="16"/>
                <w:szCs w:val="16"/>
                <w:highlight w:val="green"/>
                <w:lang w:val="fr-FR"/>
              </w:rPr>
              <w:t>Ministère de l'environnement, de l'eau et de l’Assainissement</w:t>
            </w:r>
          </w:p>
        </w:tc>
        <w:tc>
          <w:tcPr>
            <w:tcW w:w="713" w:type="dxa"/>
            <w:vMerge w:val="restart"/>
            <w:tcBorders>
              <w:top w:val="nil"/>
              <w:left w:val="single" w:sz="8" w:space="0" w:color="auto"/>
              <w:bottom w:val="double" w:sz="6" w:space="0" w:color="000000"/>
              <w:right w:val="single" w:sz="8" w:space="0" w:color="auto"/>
            </w:tcBorders>
            <w:shd w:val="clear" w:color="auto" w:fill="auto"/>
            <w:vAlign w:val="center"/>
            <w:hideMark/>
          </w:tcPr>
          <w:p w14:paraId="2E0A9927"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62000</w:t>
            </w:r>
          </w:p>
        </w:tc>
        <w:tc>
          <w:tcPr>
            <w:tcW w:w="632" w:type="dxa"/>
            <w:vMerge w:val="restart"/>
            <w:tcBorders>
              <w:top w:val="nil"/>
              <w:left w:val="single" w:sz="8" w:space="0" w:color="auto"/>
              <w:bottom w:val="double" w:sz="6" w:space="0" w:color="000000"/>
              <w:right w:val="single" w:sz="8" w:space="0" w:color="auto"/>
            </w:tcBorders>
            <w:shd w:val="clear" w:color="auto" w:fill="auto"/>
            <w:vAlign w:val="center"/>
            <w:hideMark/>
          </w:tcPr>
          <w:p w14:paraId="67A233D3"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GEF</w:t>
            </w:r>
          </w:p>
        </w:tc>
        <w:tc>
          <w:tcPr>
            <w:tcW w:w="901" w:type="dxa"/>
            <w:tcBorders>
              <w:top w:val="nil"/>
              <w:left w:val="nil"/>
              <w:bottom w:val="single" w:sz="8" w:space="0" w:color="auto"/>
              <w:right w:val="single" w:sz="8" w:space="0" w:color="auto"/>
            </w:tcBorders>
            <w:shd w:val="clear" w:color="auto" w:fill="auto"/>
            <w:noWrap/>
            <w:vAlign w:val="center"/>
            <w:hideMark/>
          </w:tcPr>
          <w:p w14:paraId="54AB0A81"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71200</w:t>
            </w:r>
          </w:p>
        </w:tc>
        <w:tc>
          <w:tcPr>
            <w:tcW w:w="1597" w:type="dxa"/>
            <w:tcBorders>
              <w:top w:val="nil"/>
              <w:left w:val="nil"/>
              <w:bottom w:val="single" w:sz="8" w:space="0" w:color="auto"/>
              <w:right w:val="single" w:sz="8" w:space="0" w:color="auto"/>
            </w:tcBorders>
            <w:shd w:val="clear" w:color="auto" w:fill="auto"/>
            <w:vAlign w:val="center"/>
            <w:hideMark/>
          </w:tcPr>
          <w:p w14:paraId="40BEE36F"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International Cons</w:t>
            </w:r>
          </w:p>
        </w:tc>
        <w:tc>
          <w:tcPr>
            <w:tcW w:w="935" w:type="dxa"/>
            <w:tcBorders>
              <w:top w:val="nil"/>
              <w:left w:val="nil"/>
              <w:bottom w:val="single" w:sz="8" w:space="0" w:color="auto"/>
              <w:right w:val="single" w:sz="8" w:space="0" w:color="auto"/>
            </w:tcBorders>
            <w:shd w:val="clear" w:color="auto" w:fill="auto"/>
            <w:vAlign w:val="center"/>
            <w:hideMark/>
          </w:tcPr>
          <w:p w14:paraId="7627FABA"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96" w:type="dxa"/>
            <w:tcBorders>
              <w:top w:val="nil"/>
              <w:left w:val="nil"/>
              <w:bottom w:val="single" w:sz="8" w:space="0" w:color="auto"/>
              <w:right w:val="single" w:sz="8" w:space="0" w:color="auto"/>
            </w:tcBorders>
            <w:shd w:val="clear" w:color="auto" w:fill="auto"/>
            <w:vAlign w:val="center"/>
            <w:hideMark/>
          </w:tcPr>
          <w:p w14:paraId="76CAB6DD"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59D641E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16,250</w:t>
            </w:r>
          </w:p>
        </w:tc>
        <w:tc>
          <w:tcPr>
            <w:tcW w:w="925" w:type="dxa"/>
            <w:tcBorders>
              <w:top w:val="nil"/>
              <w:left w:val="nil"/>
              <w:bottom w:val="single" w:sz="8" w:space="0" w:color="auto"/>
              <w:right w:val="single" w:sz="8" w:space="0" w:color="auto"/>
            </w:tcBorders>
            <w:shd w:val="clear" w:color="auto" w:fill="auto"/>
            <w:vAlign w:val="center"/>
            <w:hideMark/>
          </w:tcPr>
          <w:p w14:paraId="0BAA4FD9"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1FC5FC05"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09620A89"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19,600</w:t>
            </w:r>
          </w:p>
        </w:tc>
        <w:tc>
          <w:tcPr>
            <w:tcW w:w="1244" w:type="dxa"/>
            <w:tcBorders>
              <w:top w:val="nil"/>
              <w:left w:val="nil"/>
              <w:bottom w:val="single" w:sz="8" w:space="0" w:color="auto"/>
              <w:right w:val="single" w:sz="8" w:space="0" w:color="auto"/>
            </w:tcBorders>
            <w:shd w:val="clear" w:color="auto" w:fill="auto"/>
            <w:noWrap/>
            <w:vAlign w:val="center"/>
            <w:hideMark/>
          </w:tcPr>
          <w:p w14:paraId="113ADE86"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35,850</w:t>
            </w:r>
          </w:p>
        </w:tc>
        <w:tc>
          <w:tcPr>
            <w:tcW w:w="844" w:type="dxa"/>
            <w:tcBorders>
              <w:top w:val="nil"/>
              <w:left w:val="nil"/>
              <w:bottom w:val="single" w:sz="8" w:space="0" w:color="auto"/>
              <w:right w:val="single" w:sz="8" w:space="0" w:color="auto"/>
            </w:tcBorders>
            <w:shd w:val="clear" w:color="auto" w:fill="auto"/>
            <w:vAlign w:val="center"/>
            <w:hideMark/>
          </w:tcPr>
          <w:p w14:paraId="1A77695D" w14:textId="68F047D8"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4</w:t>
            </w:r>
            <w:r w:rsidR="00B76DA2">
              <w:rPr>
                <w:rFonts w:eastAsia="Times New Roman" w:cs="Calibri"/>
                <w:i/>
                <w:iCs/>
                <w:color w:val="000000"/>
                <w:sz w:val="16"/>
                <w:szCs w:val="16"/>
              </w:rPr>
              <w:t>0</w:t>
            </w:r>
          </w:p>
        </w:tc>
      </w:tr>
      <w:tr w:rsidR="001F45CE" w:rsidRPr="00913CCF" w14:paraId="79CD3DDF" w14:textId="77777777" w:rsidTr="00512288">
        <w:trPr>
          <w:trHeight w:val="198"/>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302B1947"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0075957C"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39F45D9C"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6EB7FFEA"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23E19BEF"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71300</w:t>
            </w:r>
          </w:p>
        </w:tc>
        <w:tc>
          <w:tcPr>
            <w:tcW w:w="1597" w:type="dxa"/>
            <w:tcBorders>
              <w:top w:val="nil"/>
              <w:left w:val="nil"/>
              <w:bottom w:val="single" w:sz="8" w:space="0" w:color="auto"/>
              <w:right w:val="single" w:sz="8" w:space="0" w:color="auto"/>
            </w:tcBorders>
            <w:shd w:val="clear" w:color="auto" w:fill="auto"/>
            <w:vAlign w:val="center"/>
            <w:hideMark/>
          </w:tcPr>
          <w:p w14:paraId="2127F745"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Local Consultants</w:t>
            </w:r>
          </w:p>
        </w:tc>
        <w:tc>
          <w:tcPr>
            <w:tcW w:w="935" w:type="dxa"/>
            <w:tcBorders>
              <w:top w:val="nil"/>
              <w:left w:val="nil"/>
              <w:bottom w:val="single" w:sz="8" w:space="0" w:color="auto"/>
              <w:right w:val="single" w:sz="8" w:space="0" w:color="auto"/>
            </w:tcBorders>
            <w:shd w:val="clear" w:color="auto" w:fill="auto"/>
            <w:vAlign w:val="center"/>
            <w:hideMark/>
          </w:tcPr>
          <w:p w14:paraId="1545C49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96" w:type="dxa"/>
            <w:tcBorders>
              <w:top w:val="nil"/>
              <w:left w:val="nil"/>
              <w:bottom w:val="single" w:sz="8" w:space="0" w:color="auto"/>
              <w:right w:val="single" w:sz="8" w:space="0" w:color="auto"/>
            </w:tcBorders>
            <w:shd w:val="clear" w:color="auto" w:fill="auto"/>
            <w:vAlign w:val="center"/>
            <w:hideMark/>
          </w:tcPr>
          <w:p w14:paraId="3092D8DA"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0C95E56F"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5,000</w:t>
            </w:r>
          </w:p>
        </w:tc>
        <w:tc>
          <w:tcPr>
            <w:tcW w:w="925" w:type="dxa"/>
            <w:tcBorders>
              <w:top w:val="nil"/>
              <w:left w:val="nil"/>
              <w:bottom w:val="single" w:sz="8" w:space="0" w:color="auto"/>
              <w:right w:val="single" w:sz="8" w:space="0" w:color="auto"/>
            </w:tcBorders>
            <w:shd w:val="clear" w:color="auto" w:fill="auto"/>
            <w:vAlign w:val="center"/>
            <w:hideMark/>
          </w:tcPr>
          <w:p w14:paraId="6D8F9CAD"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397A9262"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25" w:type="dxa"/>
            <w:tcBorders>
              <w:top w:val="nil"/>
              <w:left w:val="nil"/>
              <w:bottom w:val="single" w:sz="8" w:space="0" w:color="auto"/>
              <w:right w:val="single" w:sz="8" w:space="0" w:color="auto"/>
            </w:tcBorders>
            <w:shd w:val="clear" w:color="auto" w:fill="auto"/>
            <w:vAlign w:val="center"/>
            <w:hideMark/>
          </w:tcPr>
          <w:p w14:paraId="2E4E850E"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5,600</w:t>
            </w:r>
          </w:p>
        </w:tc>
        <w:tc>
          <w:tcPr>
            <w:tcW w:w="1244" w:type="dxa"/>
            <w:tcBorders>
              <w:top w:val="nil"/>
              <w:left w:val="nil"/>
              <w:bottom w:val="single" w:sz="8" w:space="0" w:color="auto"/>
              <w:right w:val="single" w:sz="8" w:space="0" w:color="auto"/>
            </w:tcBorders>
            <w:shd w:val="clear" w:color="auto" w:fill="auto"/>
            <w:noWrap/>
            <w:vAlign w:val="center"/>
            <w:hideMark/>
          </w:tcPr>
          <w:p w14:paraId="1553408E"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10,600</w:t>
            </w:r>
          </w:p>
        </w:tc>
        <w:tc>
          <w:tcPr>
            <w:tcW w:w="844" w:type="dxa"/>
            <w:tcBorders>
              <w:top w:val="nil"/>
              <w:left w:val="nil"/>
              <w:bottom w:val="single" w:sz="8" w:space="0" w:color="auto"/>
              <w:right w:val="single" w:sz="8" w:space="0" w:color="auto"/>
            </w:tcBorders>
            <w:shd w:val="clear" w:color="auto" w:fill="auto"/>
            <w:vAlign w:val="center"/>
            <w:hideMark/>
          </w:tcPr>
          <w:p w14:paraId="35E05297" w14:textId="7849A16C"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4</w:t>
            </w:r>
            <w:r w:rsidR="00B76DA2">
              <w:rPr>
                <w:rFonts w:eastAsia="Times New Roman" w:cs="Calibri"/>
                <w:i/>
                <w:iCs/>
                <w:color w:val="000000"/>
                <w:sz w:val="16"/>
                <w:szCs w:val="16"/>
              </w:rPr>
              <w:t>1</w:t>
            </w:r>
          </w:p>
        </w:tc>
      </w:tr>
      <w:tr w:rsidR="001F45CE" w:rsidRPr="00913CCF" w14:paraId="70AA38CF" w14:textId="77777777" w:rsidTr="00512288">
        <w:trPr>
          <w:trHeight w:val="22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51CB9E1B"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0B7D42A9"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5F73007E"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59E6DD54"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08C5CD84"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71400</w:t>
            </w:r>
          </w:p>
        </w:tc>
        <w:tc>
          <w:tcPr>
            <w:tcW w:w="1597" w:type="dxa"/>
            <w:tcBorders>
              <w:top w:val="nil"/>
              <w:left w:val="nil"/>
              <w:bottom w:val="single" w:sz="8" w:space="0" w:color="auto"/>
              <w:right w:val="single" w:sz="8" w:space="0" w:color="auto"/>
            </w:tcBorders>
            <w:shd w:val="clear" w:color="auto" w:fill="auto"/>
            <w:vAlign w:val="center"/>
            <w:hideMark/>
          </w:tcPr>
          <w:p w14:paraId="2769E6F2"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Contract. Serv. Ind.</w:t>
            </w:r>
          </w:p>
        </w:tc>
        <w:tc>
          <w:tcPr>
            <w:tcW w:w="935" w:type="dxa"/>
            <w:tcBorders>
              <w:top w:val="nil"/>
              <w:left w:val="nil"/>
              <w:bottom w:val="single" w:sz="8" w:space="0" w:color="auto"/>
              <w:right w:val="single" w:sz="8" w:space="0" w:color="auto"/>
            </w:tcBorders>
            <w:shd w:val="clear" w:color="auto" w:fill="auto"/>
            <w:noWrap/>
            <w:vAlign w:val="center"/>
            <w:hideMark/>
          </w:tcPr>
          <w:p w14:paraId="24CD88EA" w14:textId="3D54ACB9"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91,875</w:t>
            </w:r>
          </w:p>
        </w:tc>
        <w:tc>
          <w:tcPr>
            <w:tcW w:w="996" w:type="dxa"/>
            <w:tcBorders>
              <w:top w:val="nil"/>
              <w:left w:val="nil"/>
              <w:bottom w:val="single" w:sz="8" w:space="0" w:color="auto"/>
              <w:right w:val="single" w:sz="8" w:space="0" w:color="auto"/>
            </w:tcBorders>
            <w:shd w:val="clear" w:color="auto" w:fill="auto"/>
            <w:noWrap/>
            <w:vAlign w:val="center"/>
            <w:hideMark/>
          </w:tcPr>
          <w:p w14:paraId="7C0A38EB"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32,250</w:t>
            </w:r>
          </w:p>
        </w:tc>
        <w:tc>
          <w:tcPr>
            <w:tcW w:w="925" w:type="dxa"/>
            <w:tcBorders>
              <w:top w:val="nil"/>
              <w:left w:val="nil"/>
              <w:bottom w:val="single" w:sz="8" w:space="0" w:color="auto"/>
              <w:right w:val="single" w:sz="8" w:space="0" w:color="auto"/>
            </w:tcBorders>
            <w:shd w:val="clear" w:color="auto" w:fill="auto"/>
            <w:noWrap/>
            <w:vAlign w:val="center"/>
            <w:hideMark/>
          </w:tcPr>
          <w:p w14:paraId="2F368D41"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32,250</w:t>
            </w:r>
          </w:p>
        </w:tc>
        <w:tc>
          <w:tcPr>
            <w:tcW w:w="925" w:type="dxa"/>
            <w:tcBorders>
              <w:top w:val="nil"/>
              <w:left w:val="nil"/>
              <w:bottom w:val="single" w:sz="8" w:space="0" w:color="auto"/>
              <w:right w:val="single" w:sz="8" w:space="0" w:color="auto"/>
            </w:tcBorders>
            <w:shd w:val="clear" w:color="auto" w:fill="auto"/>
            <w:noWrap/>
            <w:vAlign w:val="center"/>
            <w:hideMark/>
          </w:tcPr>
          <w:p w14:paraId="5AD5B015"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32,250</w:t>
            </w:r>
          </w:p>
        </w:tc>
        <w:tc>
          <w:tcPr>
            <w:tcW w:w="925" w:type="dxa"/>
            <w:tcBorders>
              <w:top w:val="nil"/>
              <w:left w:val="nil"/>
              <w:bottom w:val="single" w:sz="8" w:space="0" w:color="auto"/>
              <w:right w:val="single" w:sz="8" w:space="0" w:color="auto"/>
            </w:tcBorders>
            <w:shd w:val="clear" w:color="auto" w:fill="auto"/>
            <w:noWrap/>
            <w:vAlign w:val="center"/>
            <w:hideMark/>
          </w:tcPr>
          <w:p w14:paraId="52D0FBAE"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32,250</w:t>
            </w:r>
          </w:p>
        </w:tc>
        <w:tc>
          <w:tcPr>
            <w:tcW w:w="925" w:type="dxa"/>
            <w:tcBorders>
              <w:top w:val="nil"/>
              <w:left w:val="nil"/>
              <w:bottom w:val="single" w:sz="8" w:space="0" w:color="auto"/>
              <w:right w:val="single" w:sz="8" w:space="0" w:color="auto"/>
            </w:tcBorders>
            <w:shd w:val="clear" w:color="auto" w:fill="auto"/>
            <w:vAlign w:val="center"/>
            <w:hideMark/>
          </w:tcPr>
          <w:p w14:paraId="36542B30"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32,250</w:t>
            </w:r>
          </w:p>
        </w:tc>
        <w:tc>
          <w:tcPr>
            <w:tcW w:w="1244" w:type="dxa"/>
            <w:tcBorders>
              <w:top w:val="nil"/>
              <w:left w:val="nil"/>
              <w:bottom w:val="single" w:sz="8" w:space="0" w:color="auto"/>
              <w:right w:val="single" w:sz="8" w:space="0" w:color="auto"/>
            </w:tcBorders>
            <w:shd w:val="clear" w:color="auto" w:fill="auto"/>
            <w:noWrap/>
            <w:vAlign w:val="center"/>
            <w:hideMark/>
          </w:tcPr>
          <w:p w14:paraId="56099645" w14:textId="386D5D88" w:rsidR="001F45CE" w:rsidRPr="00B76DA2" w:rsidRDefault="001F45CE" w:rsidP="00F8089A">
            <w:pPr>
              <w:spacing w:after="0"/>
              <w:jc w:val="right"/>
              <w:rPr>
                <w:rFonts w:eastAsia="Times New Roman" w:cs="Calibri"/>
                <w:b/>
                <w:bCs/>
                <w:color w:val="000000"/>
                <w:sz w:val="16"/>
                <w:szCs w:val="16"/>
              </w:rPr>
            </w:pPr>
            <w:r w:rsidRPr="00B76DA2">
              <w:rPr>
                <w:rFonts w:eastAsia="Times New Roman" w:cs="Calibri"/>
                <w:b/>
                <w:bCs/>
                <w:color w:val="000000"/>
                <w:sz w:val="16"/>
                <w:szCs w:val="16"/>
              </w:rPr>
              <w:t>253,125</w:t>
            </w:r>
          </w:p>
        </w:tc>
        <w:tc>
          <w:tcPr>
            <w:tcW w:w="844" w:type="dxa"/>
            <w:tcBorders>
              <w:top w:val="nil"/>
              <w:left w:val="nil"/>
              <w:bottom w:val="single" w:sz="8" w:space="0" w:color="auto"/>
              <w:right w:val="single" w:sz="8" w:space="0" w:color="auto"/>
            </w:tcBorders>
            <w:shd w:val="clear" w:color="auto" w:fill="auto"/>
            <w:vAlign w:val="center"/>
            <w:hideMark/>
          </w:tcPr>
          <w:p w14:paraId="48D6B9FF" w14:textId="33AF1545"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4</w:t>
            </w:r>
            <w:r w:rsidR="00B76DA2">
              <w:rPr>
                <w:rFonts w:eastAsia="Times New Roman" w:cs="Calibri"/>
                <w:i/>
                <w:iCs/>
                <w:color w:val="000000"/>
                <w:sz w:val="16"/>
                <w:szCs w:val="16"/>
              </w:rPr>
              <w:t>2</w:t>
            </w:r>
          </w:p>
        </w:tc>
      </w:tr>
      <w:tr w:rsidR="001F45CE" w:rsidRPr="00913CCF" w14:paraId="0E8EB0BA" w14:textId="77777777" w:rsidTr="00512288">
        <w:trPr>
          <w:trHeight w:val="13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4D5260D9"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6C5A4437"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5DF7D496"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07A359D5"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20BA03F7"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71600</w:t>
            </w:r>
          </w:p>
        </w:tc>
        <w:tc>
          <w:tcPr>
            <w:tcW w:w="1597" w:type="dxa"/>
            <w:tcBorders>
              <w:top w:val="nil"/>
              <w:left w:val="nil"/>
              <w:bottom w:val="single" w:sz="8" w:space="0" w:color="auto"/>
              <w:right w:val="single" w:sz="8" w:space="0" w:color="auto"/>
            </w:tcBorders>
            <w:shd w:val="clear" w:color="auto" w:fill="auto"/>
            <w:vAlign w:val="center"/>
            <w:hideMark/>
          </w:tcPr>
          <w:p w14:paraId="1B36EE6E"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Travel</w:t>
            </w:r>
          </w:p>
        </w:tc>
        <w:tc>
          <w:tcPr>
            <w:tcW w:w="935" w:type="dxa"/>
            <w:tcBorders>
              <w:top w:val="nil"/>
              <w:left w:val="nil"/>
              <w:bottom w:val="single" w:sz="8" w:space="0" w:color="auto"/>
              <w:right w:val="single" w:sz="8" w:space="0" w:color="auto"/>
            </w:tcBorders>
            <w:shd w:val="clear" w:color="auto" w:fill="auto"/>
            <w:noWrap/>
            <w:vAlign w:val="center"/>
            <w:hideMark/>
          </w:tcPr>
          <w:p w14:paraId="2565A151"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4,500</w:t>
            </w:r>
          </w:p>
        </w:tc>
        <w:tc>
          <w:tcPr>
            <w:tcW w:w="996" w:type="dxa"/>
            <w:tcBorders>
              <w:top w:val="nil"/>
              <w:left w:val="nil"/>
              <w:bottom w:val="single" w:sz="8" w:space="0" w:color="auto"/>
              <w:right w:val="single" w:sz="8" w:space="0" w:color="auto"/>
            </w:tcBorders>
            <w:shd w:val="clear" w:color="auto" w:fill="auto"/>
            <w:noWrap/>
            <w:vAlign w:val="center"/>
            <w:hideMark/>
          </w:tcPr>
          <w:p w14:paraId="46EA7279"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4,500</w:t>
            </w:r>
          </w:p>
        </w:tc>
        <w:tc>
          <w:tcPr>
            <w:tcW w:w="925" w:type="dxa"/>
            <w:tcBorders>
              <w:top w:val="nil"/>
              <w:left w:val="nil"/>
              <w:bottom w:val="single" w:sz="8" w:space="0" w:color="auto"/>
              <w:right w:val="single" w:sz="8" w:space="0" w:color="auto"/>
            </w:tcBorders>
            <w:shd w:val="clear" w:color="auto" w:fill="auto"/>
            <w:noWrap/>
            <w:vAlign w:val="center"/>
            <w:hideMark/>
          </w:tcPr>
          <w:p w14:paraId="2B3661D4"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16,100</w:t>
            </w:r>
          </w:p>
        </w:tc>
        <w:tc>
          <w:tcPr>
            <w:tcW w:w="925" w:type="dxa"/>
            <w:tcBorders>
              <w:top w:val="nil"/>
              <w:left w:val="nil"/>
              <w:bottom w:val="single" w:sz="8" w:space="0" w:color="auto"/>
              <w:right w:val="single" w:sz="8" w:space="0" w:color="auto"/>
            </w:tcBorders>
            <w:shd w:val="clear" w:color="auto" w:fill="auto"/>
            <w:noWrap/>
            <w:vAlign w:val="center"/>
            <w:hideMark/>
          </w:tcPr>
          <w:p w14:paraId="6053BBA2"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9,500</w:t>
            </w:r>
          </w:p>
        </w:tc>
        <w:tc>
          <w:tcPr>
            <w:tcW w:w="925" w:type="dxa"/>
            <w:tcBorders>
              <w:top w:val="nil"/>
              <w:left w:val="nil"/>
              <w:bottom w:val="single" w:sz="8" w:space="0" w:color="auto"/>
              <w:right w:val="single" w:sz="8" w:space="0" w:color="auto"/>
            </w:tcBorders>
            <w:shd w:val="clear" w:color="auto" w:fill="auto"/>
            <w:noWrap/>
            <w:vAlign w:val="center"/>
            <w:hideMark/>
          </w:tcPr>
          <w:p w14:paraId="075229D8"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9,500</w:t>
            </w:r>
          </w:p>
        </w:tc>
        <w:tc>
          <w:tcPr>
            <w:tcW w:w="925" w:type="dxa"/>
            <w:tcBorders>
              <w:top w:val="nil"/>
              <w:left w:val="nil"/>
              <w:bottom w:val="single" w:sz="8" w:space="0" w:color="auto"/>
              <w:right w:val="single" w:sz="8" w:space="0" w:color="auto"/>
            </w:tcBorders>
            <w:shd w:val="clear" w:color="auto" w:fill="auto"/>
            <w:vAlign w:val="center"/>
            <w:hideMark/>
          </w:tcPr>
          <w:p w14:paraId="761BFDD6"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4,500</w:t>
            </w:r>
          </w:p>
        </w:tc>
        <w:tc>
          <w:tcPr>
            <w:tcW w:w="1244" w:type="dxa"/>
            <w:tcBorders>
              <w:top w:val="nil"/>
              <w:left w:val="nil"/>
              <w:bottom w:val="single" w:sz="8" w:space="0" w:color="auto"/>
              <w:right w:val="single" w:sz="8" w:space="0" w:color="auto"/>
            </w:tcBorders>
            <w:shd w:val="clear" w:color="auto" w:fill="auto"/>
            <w:noWrap/>
            <w:vAlign w:val="center"/>
            <w:hideMark/>
          </w:tcPr>
          <w:p w14:paraId="2AE5E7B1" w14:textId="77777777" w:rsidR="001F45CE" w:rsidRPr="00B76DA2" w:rsidRDefault="001F45CE" w:rsidP="00F8089A">
            <w:pPr>
              <w:spacing w:after="0"/>
              <w:jc w:val="right"/>
              <w:rPr>
                <w:rFonts w:eastAsia="Times New Roman" w:cs="Calibri"/>
                <w:b/>
                <w:bCs/>
                <w:color w:val="000000"/>
                <w:sz w:val="16"/>
                <w:szCs w:val="16"/>
              </w:rPr>
            </w:pPr>
            <w:r w:rsidRPr="00B76DA2">
              <w:rPr>
                <w:rFonts w:eastAsia="Times New Roman" w:cs="Calibri"/>
                <w:b/>
                <w:bCs/>
                <w:color w:val="000000"/>
                <w:sz w:val="16"/>
                <w:szCs w:val="16"/>
              </w:rPr>
              <w:t>48,600</w:t>
            </w:r>
          </w:p>
        </w:tc>
        <w:tc>
          <w:tcPr>
            <w:tcW w:w="844" w:type="dxa"/>
            <w:tcBorders>
              <w:top w:val="nil"/>
              <w:left w:val="nil"/>
              <w:bottom w:val="single" w:sz="8" w:space="0" w:color="auto"/>
              <w:right w:val="single" w:sz="8" w:space="0" w:color="auto"/>
            </w:tcBorders>
            <w:shd w:val="clear" w:color="auto" w:fill="auto"/>
            <w:vAlign w:val="center"/>
            <w:hideMark/>
          </w:tcPr>
          <w:p w14:paraId="50F628F9" w14:textId="63C33953"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4</w:t>
            </w:r>
            <w:r w:rsidR="00B76DA2">
              <w:rPr>
                <w:rFonts w:eastAsia="Times New Roman" w:cs="Calibri"/>
                <w:i/>
                <w:iCs/>
                <w:color w:val="000000"/>
                <w:sz w:val="16"/>
                <w:szCs w:val="16"/>
              </w:rPr>
              <w:t>3</w:t>
            </w:r>
          </w:p>
        </w:tc>
      </w:tr>
      <w:tr w:rsidR="001F45CE" w:rsidRPr="00913CCF" w14:paraId="7BA58FD5" w14:textId="77777777" w:rsidTr="00512288">
        <w:trPr>
          <w:trHeight w:val="22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131E8200"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146DF6D8"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59A382D3"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70DEC7FE"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2DAB5855"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72100</w:t>
            </w:r>
          </w:p>
        </w:tc>
        <w:tc>
          <w:tcPr>
            <w:tcW w:w="1597" w:type="dxa"/>
            <w:tcBorders>
              <w:top w:val="nil"/>
              <w:left w:val="nil"/>
              <w:bottom w:val="single" w:sz="8" w:space="0" w:color="auto"/>
              <w:right w:val="single" w:sz="8" w:space="0" w:color="auto"/>
            </w:tcBorders>
            <w:shd w:val="clear" w:color="auto" w:fill="auto"/>
            <w:vAlign w:val="center"/>
            <w:hideMark/>
          </w:tcPr>
          <w:p w14:paraId="21686E80" w14:textId="77777777" w:rsidR="001F45CE" w:rsidRPr="00913CCF" w:rsidRDefault="001F45CE" w:rsidP="001F45CE">
            <w:pPr>
              <w:spacing w:after="0"/>
              <w:jc w:val="left"/>
              <w:rPr>
                <w:rFonts w:eastAsia="Times New Roman" w:cs="Calibri"/>
                <w:color w:val="000000"/>
                <w:sz w:val="16"/>
                <w:szCs w:val="16"/>
              </w:rPr>
            </w:pPr>
            <w:proofErr w:type="spellStart"/>
            <w:r w:rsidRPr="00913CCF">
              <w:rPr>
                <w:rFonts w:eastAsia="Times New Roman" w:cs="Calibri"/>
                <w:color w:val="000000"/>
                <w:sz w:val="16"/>
                <w:szCs w:val="16"/>
              </w:rPr>
              <w:t>Contr</w:t>
            </w:r>
            <w:proofErr w:type="spellEnd"/>
            <w:r w:rsidRPr="00913CCF">
              <w:rPr>
                <w:rFonts w:eastAsia="Times New Roman" w:cs="Calibri"/>
                <w:color w:val="000000"/>
                <w:sz w:val="16"/>
                <w:szCs w:val="16"/>
              </w:rPr>
              <w:t xml:space="preserve"> serv. </w:t>
            </w:r>
            <w:proofErr w:type="spellStart"/>
            <w:r w:rsidRPr="00913CCF">
              <w:rPr>
                <w:rFonts w:eastAsia="Times New Roman" w:cs="Calibri"/>
                <w:color w:val="000000"/>
                <w:sz w:val="16"/>
                <w:szCs w:val="16"/>
              </w:rPr>
              <w:t>cies</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3E63F220"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10,000</w:t>
            </w:r>
          </w:p>
        </w:tc>
        <w:tc>
          <w:tcPr>
            <w:tcW w:w="996" w:type="dxa"/>
            <w:tcBorders>
              <w:top w:val="nil"/>
              <w:left w:val="nil"/>
              <w:bottom w:val="single" w:sz="8" w:space="0" w:color="auto"/>
              <w:right w:val="single" w:sz="8" w:space="0" w:color="auto"/>
            </w:tcBorders>
            <w:shd w:val="clear" w:color="auto" w:fill="auto"/>
            <w:noWrap/>
            <w:vAlign w:val="center"/>
            <w:hideMark/>
          </w:tcPr>
          <w:p w14:paraId="1B4C965C"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5,000</w:t>
            </w:r>
          </w:p>
        </w:tc>
        <w:tc>
          <w:tcPr>
            <w:tcW w:w="925" w:type="dxa"/>
            <w:tcBorders>
              <w:top w:val="nil"/>
              <w:left w:val="nil"/>
              <w:bottom w:val="single" w:sz="8" w:space="0" w:color="auto"/>
              <w:right w:val="single" w:sz="8" w:space="0" w:color="auto"/>
            </w:tcBorders>
            <w:shd w:val="clear" w:color="auto" w:fill="auto"/>
            <w:noWrap/>
            <w:vAlign w:val="center"/>
            <w:hideMark/>
          </w:tcPr>
          <w:p w14:paraId="64310E01"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5,000</w:t>
            </w:r>
          </w:p>
        </w:tc>
        <w:tc>
          <w:tcPr>
            <w:tcW w:w="925" w:type="dxa"/>
            <w:tcBorders>
              <w:top w:val="nil"/>
              <w:left w:val="nil"/>
              <w:bottom w:val="single" w:sz="8" w:space="0" w:color="auto"/>
              <w:right w:val="single" w:sz="8" w:space="0" w:color="auto"/>
            </w:tcBorders>
            <w:shd w:val="clear" w:color="auto" w:fill="auto"/>
            <w:noWrap/>
            <w:vAlign w:val="center"/>
            <w:hideMark/>
          </w:tcPr>
          <w:p w14:paraId="48F31A40"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10,000</w:t>
            </w:r>
          </w:p>
        </w:tc>
        <w:tc>
          <w:tcPr>
            <w:tcW w:w="925" w:type="dxa"/>
            <w:tcBorders>
              <w:top w:val="nil"/>
              <w:left w:val="nil"/>
              <w:bottom w:val="single" w:sz="8" w:space="0" w:color="auto"/>
              <w:right w:val="single" w:sz="8" w:space="0" w:color="auto"/>
            </w:tcBorders>
            <w:shd w:val="clear" w:color="auto" w:fill="auto"/>
            <w:noWrap/>
            <w:vAlign w:val="center"/>
            <w:hideMark/>
          </w:tcPr>
          <w:p w14:paraId="3142D395"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15,000</w:t>
            </w:r>
          </w:p>
        </w:tc>
        <w:tc>
          <w:tcPr>
            <w:tcW w:w="925" w:type="dxa"/>
            <w:tcBorders>
              <w:top w:val="nil"/>
              <w:left w:val="nil"/>
              <w:bottom w:val="single" w:sz="8" w:space="0" w:color="auto"/>
              <w:right w:val="single" w:sz="8" w:space="0" w:color="auto"/>
            </w:tcBorders>
            <w:shd w:val="clear" w:color="auto" w:fill="auto"/>
            <w:vAlign w:val="center"/>
            <w:hideMark/>
          </w:tcPr>
          <w:p w14:paraId="6BBBB5CC"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5,000</w:t>
            </w:r>
          </w:p>
        </w:tc>
        <w:tc>
          <w:tcPr>
            <w:tcW w:w="1244" w:type="dxa"/>
            <w:tcBorders>
              <w:top w:val="nil"/>
              <w:left w:val="nil"/>
              <w:bottom w:val="single" w:sz="8" w:space="0" w:color="auto"/>
              <w:right w:val="single" w:sz="8" w:space="0" w:color="auto"/>
            </w:tcBorders>
            <w:shd w:val="clear" w:color="auto" w:fill="auto"/>
            <w:noWrap/>
            <w:vAlign w:val="center"/>
            <w:hideMark/>
          </w:tcPr>
          <w:p w14:paraId="1B3A3591" w14:textId="77777777" w:rsidR="001F45CE" w:rsidRPr="00B76DA2" w:rsidRDefault="001F45CE" w:rsidP="00F8089A">
            <w:pPr>
              <w:spacing w:after="0"/>
              <w:jc w:val="right"/>
              <w:rPr>
                <w:rFonts w:eastAsia="Times New Roman" w:cs="Calibri"/>
                <w:b/>
                <w:bCs/>
                <w:color w:val="000000"/>
                <w:sz w:val="16"/>
                <w:szCs w:val="16"/>
              </w:rPr>
            </w:pPr>
            <w:r w:rsidRPr="00B76DA2">
              <w:rPr>
                <w:rFonts w:eastAsia="Times New Roman" w:cs="Calibri"/>
                <w:b/>
                <w:bCs/>
                <w:color w:val="000000"/>
                <w:sz w:val="16"/>
                <w:szCs w:val="16"/>
              </w:rPr>
              <w:t>50,000</w:t>
            </w:r>
          </w:p>
        </w:tc>
        <w:tc>
          <w:tcPr>
            <w:tcW w:w="844" w:type="dxa"/>
            <w:tcBorders>
              <w:top w:val="nil"/>
              <w:left w:val="nil"/>
              <w:bottom w:val="single" w:sz="8" w:space="0" w:color="auto"/>
              <w:right w:val="single" w:sz="8" w:space="0" w:color="auto"/>
            </w:tcBorders>
            <w:shd w:val="clear" w:color="auto" w:fill="auto"/>
            <w:vAlign w:val="center"/>
            <w:hideMark/>
          </w:tcPr>
          <w:p w14:paraId="2325C93B" w14:textId="1BC17A45" w:rsidR="001F45CE" w:rsidRPr="00913CCF" w:rsidRDefault="00B76DA2" w:rsidP="001F45CE">
            <w:pPr>
              <w:spacing w:after="0"/>
              <w:jc w:val="center"/>
              <w:rPr>
                <w:rFonts w:eastAsia="Times New Roman" w:cs="Calibri"/>
                <w:i/>
                <w:iCs/>
                <w:color w:val="000000"/>
                <w:sz w:val="16"/>
                <w:szCs w:val="16"/>
              </w:rPr>
            </w:pPr>
            <w:r>
              <w:rPr>
                <w:rFonts w:eastAsia="Times New Roman" w:cs="Calibri"/>
                <w:i/>
                <w:iCs/>
                <w:color w:val="000000"/>
                <w:sz w:val="16"/>
                <w:szCs w:val="16"/>
              </w:rPr>
              <w:t>44</w:t>
            </w:r>
          </w:p>
        </w:tc>
      </w:tr>
      <w:tr w:rsidR="001F45CE" w:rsidRPr="00913CCF" w14:paraId="11964FFA" w14:textId="77777777" w:rsidTr="00512288">
        <w:trPr>
          <w:trHeight w:val="22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4D29DDE4"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5A32407A"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54E0818E"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43D6FA61"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29503441"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74100</w:t>
            </w:r>
          </w:p>
        </w:tc>
        <w:tc>
          <w:tcPr>
            <w:tcW w:w="1597" w:type="dxa"/>
            <w:tcBorders>
              <w:top w:val="nil"/>
              <w:left w:val="nil"/>
              <w:bottom w:val="single" w:sz="8" w:space="0" w:color="auto"/>
              <w:right w:val="single" w:sz="8" w:space="0" w:color="auto"/>
            </w:tcBorders>
            <w:shd w:val="clear" w:color="auto" w:fill="auto"/>
            <w:vAlign w:val="center"/>
            <w:hideMark/>
          </w:tcPr>
          <w:p w14:paraId="04F1735D"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 xml:space="preserve">Profession. Serv. </w:t>
            </w:r>
          </w:p>
        </w:tc>
        <w:tc>
          <w:tcPr>
            <w:tcW w:w="935" w:type="dxa"/>
            <w:tcBorders>
              <w:top w:val="nil"/>
              <w:left w:val="nil"/>
              <w:bottom w:val="single" w:sz="8" w:space="0" w:color="auto"/>
              <w:right w:val="single" w:sz="8" w:space="0" w:color="auto"/>
            </w:tcBorders>
            <w:shd w:val="clear" w:color="auto" w:fill="auto"/>
            <w:noWrap/>
            <w:vAlign w:val="center"/>
            <w:hideMark/>
          </w:tcPr>
          <w:p w14:paraId="3DE370C8"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0</w:t>
            </w:r>
          </w:p>
        </w:tc>
        <w:tc>
          <w:tcPr>
            <w:tcW w:w="996" w:type="dxa"/>
            <w:tcBorders>
              <w:top w:val="nil"/>
              <w:left w:val="nil"/>
              <w:bottom w:val="single" w:sz="8" w:space="0" w:color="auto"/>
              <w:right w:val="single" w:sz="8" w:space="0" w:color="auto"/>
            </w:tcBorders>
            <w:shd w:val="clear" w:color="auto" w:fill="auto"/>
            <w:noWrap/>
            <w:vAlign w:val="center"/>
            <w:hideMark/>
          </w:tcPr>
          <w:p w14:paraId="596A72C2"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4,000</w:t>
            </w:r>
          </w:p>
        </w:tc>
        <w:tc>
          <w:tcPr>
            <w:tcW w:w="925" w:type="dxa"/>
            <w:tcBorders>
              <w:top w:val="nil"/>
              <w:left w:val="nil"/>
              <w:bottom w:val="single" w:sz="8" w:space="0" w:color="auto"/>
              <w:right w:val="single" w:sz="8" w:space="0" w:color="auto"/>
            </w:tcBorders>
            <w:shd w:val="clear" w:color="auto" w:fill="auto"/>
            <w:noWrap/>
            <w:vAlign w:val="center"/>
            <w:hideMark/>
          </w:tcPr>
          <w:p w14:paraId="63C16EF7"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9,000</w:t>
            </w:r>
          </w:p>
        </w:tc>
        <w:tc>
          <w:tcPr>
            <w:tcW w:w="925" w:type="dxa"/>
            <w:tcBorders>
              <w:top w:val="nil"/>
              <w:left w:val="nil"/>
              <w:bottom w:val="single" w:sz="8" w:space="0" w:color="auto"/>
              <w:right w:val="single" w:sz="8" w:space="0" w:color="auto"/>
            </w:tcBorders>
            <w:shd w:val="clear" w:color="auto" w:fill="auto"/>
            <w:noWrap/>
            <w:vAlign w:val="center"/>
            <w:hideMark/>
          </w:tcPr>
          <w:p w14:paraId="0ECAE88E"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4,000</w:t>
            </w:r>
          </w:p>
        </w:tc>
        <w:tc>
          <w:tcPr>
            <w:tcW w:w="925" w:type="dxa"/>
            <w:tcBorders>
              <w:top w:val="nil"/>
              <w:left w:val="nil"/>
              <w:bottom w:val="single" w:sz="8" w:space="0" w:color="auto"/>
              <w:right w:val="single" w:sz="8" w:space="0" w:color="auto"/>
            </w:tcBorders>
            <w:shd w:val="clear" w:color="auto" w:fill="auto"/>
            <w:noWrap/>
            <w:vAlign w:val="center"/>
            <w:hideMark/>
          </w:tcPr>
          <w:p w14:paraId="19483581"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4,000</w:t>
            </w:r>
          </w:p>
        </w:tc>
        <w:tc>
          <w:tcPr>
            <w:tcW w:w="925" w:type="dxa"/>
            <w:tcBorders>
              <w:top w:val="nil"/>
              <w:left w:val="nil"/>
              <w:bottom w:val="single" w:sz="8" w:space="0" w:color="auto"/>
              <w:right w:val="single" w:sz="8" w:space="0" w:color="auto"/>
            </w:tcBorders>
            <w:shd w:val="clear" w:color="auto" w:fill="auto"/>
            <w:vAlign w:val="center"/>
            <w:hideMark/>
          </w:tcPr>
          <w:p w14:paraId="023945E5"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9,000</w:t>
            </w:r>
          </w:p>
        </w:tc>
        <w:tc>
          <w:tcPr>
            <w:tcW w:w="1244" w:type="dxa"/>
            <w:tcBorders>
              <w:top w:val="nil"/>
              <w:left w:val="nil"/>
              <w:bottom w:val="single" w:sz="8" w:space="0" w:color="auto"/>
              <w:right w:val="single" w:sz="8" w:space="0" w:color="auto"/>
            </w:tcBorders>
            <w:shd w:val="clear" w:color="auto" w:fill="auto"/>
            <w:noWrap/>
            <w:vAlign w:val="center"/>
            <w:hideMark/>
          </w:tcPr>
          <w:p w14:paraId="6A3B2639" w14:textId="77777777" w:rsidR="001F45CE" w:rsidRPr="00B76DA2" w:rsidRDefault="001F45CE" w:rsidP="00F8089A">
            <w:pPr>
              <w:spacing w:after="0"/>
              <w:jc w:val="right"/>
              <w:rPr>
                <w:rFonts w:eastAsia="Times New Roman" w:cs="Calibri"/>
                <w:b/>
                <w:bCs/>
                <w:color w:val="000000"/>
                <w:sz w:val="16"/>
                <w:szCs w:val="16"/>
              </w:rPr>
            </w:pPr>
            <w:r w:rsidRPr="00B76DA2">
              <w:rPr>
                <w:rFonts w:eastAsia="Times New Roman" w:cs="Calibri"/>
                <w:b/>
                <w:bCs/>
                <w:color w:val="000000"/>
                <w:sz w:val="16"/>
                <w:szCs w:val="16"/>
              </w:rPr>
              <w:t>30,000</w:t>
            </w:r>
          </w:p>
        </w:tc>
        <w:tc>
          <w:tcPr>
            <w:tcW w:w="844" w:type="dxa"/>
            <w:tcBorders>
              <w:top w:val="nil"/>
              <w:left w:val="nil"/>
              <w:bottom w:val="single" w:sz="8" w:space="0" w:color="auto"/>
              <w:right w:val="single" w:sz="8" w:space="0" w:color="auto"/>
            </w:tcBorders>
            <w:shd w:val="clear" w:color="auto" w:fill="auto"/>
            <w:vAlign w:val="center"/>
            <w:hideMark/>
          </w:tcPr>
          <w:p w14:paraId="7A365636" w14:textId="252B21BE" w:rsidR="001F45CE" w:rsidRPr="00913CCF" w:rsidRDefault="00B76DA2" w:rsidP="001F45CE">
            <w:pPr>
              <w:spacing w:after="0"/>
              <w:jc w:val="center"/>
              <w:rPr>
                <w:rFonts w:eastAsia="Times New Roman" w:cs="Calibri"/>
                <w:i/>
                <w:iCs/>
                <w:color w:val="000000"/>
                <w:sz w:val="16"/>
                <w:szCs w:val="16"/>
              </w:rPr>
            </w:pPr>
            <w:r>
              <w:rPr>
                <w:rFonts w:eastAsia="Times New Roman" w:cs="Calibri"/>
                <w:i/>
                <w:iCs/>
                <w:color w:val="000000"/>
                <w:sz w:val="16"/>
                <w:szCs w:val="16"/>
              </w:rPr>
              <w:t>45</w:t>
            </w:r>
          </w:p>
        </w:tc>
      </w:tr>
      <w:tr w:rsidR="001F45CE" w:rsidRPr="00913CCF" w14:paraId="58AFA68C" w14:textId="77777777" w:rsidTr="00512288">
        <w:trPr>
          <w:trHeight w:val="22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4E86F51F"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2A769528"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2244F2C7"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4A228E90"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2AC41516"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74200</w:t>
            </w:r>
          </w:p>
        </w:tc>
        <w:tc>
          <w:tcPr>
            <w:tcW w:w="1597" w:type="dxa"/>
            <w:tcBorders>
              <w:top w:val="nil"/>
              <w:left w:val="nil"/>
              <w:bottom w:val="single" w:sz="8" w:space="0" w:color="auto"/>
              <w:right w:val="single" w:sz="8" w:space="0" w:color="auto"/>
            </w:tcBorders>
            <w:shd w:val="clear" w:color="auto" w:fill="auto"/>
            <w:vAlign w:val="center"/>
            <w:hideMark/>
          </w:tcPr>
          <w:p w14:paraId="3F69C09D" w14:textId="6AB3A7F9"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lang w:val="fr-CA"/>
              </w:rPr>
              <w:t xml:space="preserve">Audio. </w:t>
            </w:r>
            <w:proofErr w:type="spellStart"/>
            <w:proofErr w:type="gramStart"/>
            <w:r w:rsidRPr="00913CCF">
              <w:rPr>
                <w:rFonts w:eastAsia="Times New Roman" w:cs="Calibri"/>
                <w:color w:val="000000"/>
                <w:sz w:val="16"/>
                <w:szCs w:val="16"/>
                <w:lang w:val="fr-CA"/>
              </w:rPr>
              <w:t>print</w:t>
            </w:r>
            <w:proofErr w:type="spellEnd"/>
            <w:proofErr w:type="gramEnd"/>
            <w:r w:rsidRPr="00913CCF">
              <w:rPr>
                <w:rFonts w:eastAsia="Times New Roman" w:cs="Calibri"/>
                <w:color w:val="000000"/>
                <w:sz w:val="16"/>
                <w:szCs w:val="16"/>
                <w:lang w:val="fr-CA"/>
              </w:rPr>
              <w:t xml:space="preserve"> prod.</w:t>
            </w:r>
          </w:p>
        </w:tc>
        <w:tc>
          <w:tcPr>
            <w:tcW w:w="935" w:type="dxa"/>
            <w:tcBorders>
              <w:top w:val="nil"/>
              <w:left w:val="nil"/>
              <w:bottom w:val="single" w:sz="8" w:space="0" w:color="auto"/>
              <w:right w:val="single" w:sz="8" w:space="0" w:color="auto"/>
            </w:tcBorders>
            <w:shd w:val="clear" w:color="auto" w:fill="auto"/>
            <w:noWrap/>
            <w:vAlign w:val="center"/>
            <w:hideMark/>
          </w:tcPr>
          <w:p w14:paraId="570F15C9"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lang w:val="fr-CA"/>
              </w:rPr>
              <w:t>8,000</w:t>
            </w:r>
          </w:p>
        </w:tc>
        <w:tc>
          <w:tcPr>
            <w:tcW w:w="996" w:type="dxa"/>
            <w:tcBorders>
              <w:top w:val="nil"/>
              <w:left w:val="nil"/>
              <w:bottom w:val="single" w:sz="8" w:space="0" w:color="auto"/>
              <w:right w:val="single" w:sz="8" w:space="0" w:color="auto"/>
            </w:tcBorders>
            <w:shd w:val="clear" w:color="auto" w:fill="auto"/>
            <w:noWrap/>
            <w:vAlign w:val="center"/>
            <w:hideMark/>
          </w:tcPr>
          <w:p w14:paraId="78C3962F"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lang w:val="fr-CA"/>
              </w:rPr>
              <w:t>4,000</w:t>
            </w:r>
          </w:p>
        </w:tc>
        <w:tc>
          <w:tcPr>
            <w:tcW w:w="925" w:type="dxa"/>
            <w:tcBorders>
              <w:top w:val="nil"/>
              <w:left w:val="nil"/>
              <w:bottom w:val="single" w:sz="8" w:space="0" w:color="auto"/>
              <w:right w:val="single" w:sz="8" w:space="0" w:color="auto"/>
            </w:tcBorders>
            <w:shd w:val="clear" w:color="auto" w:fill="auto"/>
            <w:noWrap/>
            <w:vAlign w:val="center"/>
            <w:hideMark/>
          </w:tcPr>
          <w:p w14:paraId="026584EF"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lang w:val="fr-CA"/>
              </w:rPr>
              <w:t>4,000</w:t>
            </w:r>
          </w:p>
        </w:tc>
        <w:tc>
          <w:tcPr>
            <w:tcW w:w="925" w:type="dxa"/>
            <w:tcBorders>
              <w:top w:val="nil"/>
              <w:left w:val="nil"/>
              <w:bottom w:val="single" w:sz="8" w:space="0" w:color="auto"/>
              <w:right w:val="single" w:sz="8" w:space="0" w:color="auto"/>
            </w:tcBorders>
            <w:shd w:val="clear" w:color="auto" w:fill="auto"/>
            <w:noWrap/>
            <w:vAlign w:val="center"/>
            <w:hideMark/>
          </w:tcPr>
          <w:p w14:paraId="0BA9820B"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lang w:val="fr-CA"/>
              </w:rPr>
              <w:t>14,000</w:t>
            </w:r>
          </w:p>
        </w:tc>
        <w:tc>
          <w:tcPr>
            <w:tcW w:w="925" w:type="dxa"/>
            <w:tcBorders>
              <w:top w:val="nil"/>
              <w:left w:val="nil"/>
              <w:bottom w:val="single" w:sz="8" w:space="0" w:color="auto"/>
              <w:right w:val="single" w:sz="8" w:space="0" w:color="auto"/>
            </w:tcBorders>
            <w:shd w:val="clear" w:color="auto" w:fill="auto"/>
            <w:noWrap/>
            <w:vAlign w:val="center"/>
            <w:hideMark/>
          </w:tcPr>
          <w:p w14:paraId="00EEA2D7"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lang w:val="fr-CA"/>
              </w:rPr>
              <w:t>14,000</w:t>
            </w:r>
          </w:p>
        </w:tc>
        <w:tc>
          <w:tcPr>
            <w:tcW w:w="925" w:type="dxa"/>
            <w:tcBorders>
              <w:top w:val="nil"/>
              <w:left w:val="nil"/>
              <w:bottom w:val="single" w:sz="8" w:space="0" w:color="auto"/>
              <w:right w:val="single" w:sz="8" w:space="0" w:color="auto"/>
            </w:tcBorders>
            <w:shd w:val="clear" w:color="auto" w:fill="auto"/>
            <w:vAlign w:val="center"/>
            <w:hideMark/>
          </w:tcPr>
          <w:p w14:paraId="5DE9B71C"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lang w:val="fr-CA"/>
              </w:rPr>
              <w:t>14,000</w:t>
            </w:r>
          </w:p>
        </w:tc>
        <w:tc>
          <w:tcPr>
            <w:tcW w:w="1244" w:type="dxa"/>
            <w:tcBorders>
              <w:top w:val="nil"/>
              <w:left w:val="nil"/>
              <w:bottom w:val="single" w:sz="8" w:space="0" w:color="auto"/>
              <w:right w:val="single" w:sz="8" w:space="0" w:color="auto"/>
            </w:tcBorders>
            <w:shd w:val="clear" w:color="auto" w:fill="auto"/>
            <w:noWrap/>
            <w:vAlign w:val="center"/>
            <w:hideMark/>
          </w:tcPr>
          <w:p w14:paraId="6A2293C7" w14:textId="77777777" w:rsidR="001F45CE" w:rsidRPr="00B76DA2" w:rsidRDefault="001F45CE" w:rsidP="00F8089A">
            <w:pPr>
              <w:spacing w:after="0"/>
              <w:jc w:val="right"/>
              <w:rPr>
                <w:rFonts w:eastAsia="Times New Roman" w:cs="Calibri"/>
                <w:b/>
                <w:bCs/>
                <w:color w:val="000000"/>
                <w:sz w:val="16"/>
                <w:szCs w:val="16"/>
              </w:rPr>
            </w:pPr>
            <w:r w:rsidRPr="00B76DA2">
              <w:rPr>
                <w:rFonts w:eastAsia="Times New Roman" w:cs="Calibri"/>
                <w:b/>
                <w:bCs/>
                <w:color w:val="000000"/>
                <w:sz w:val="16"/>
                <w:szCs w:val="16"/>
              </w:rPr>
              <w:t>58,000</w:t>
            </w:r>
          </w:p>
        </w:tc>
        <w:tc>
          <w:tcPr>
            <w:tcW w:w="844" w:type="dxa"/>
            <w:tcBorders>
              <w:top w:val="nil"/>
              <w:left w:val="nil"/>
              <w:bottom w:val="single" w:sz="8" w:space="0" w:color="auto"/>
              <w:right w:val="single" w:sz="8" w:space="0" w:color="auto"/>
            </w:tcBorders>
            <w:shd w:val="clear" w:color="auto" w:fill="auto"/>
            <w:vAlign w:val="center"/>
            <w:hideMark/>
          </w:tcPr>
          <w:p w14:paraId="4B8C1933" w14:textId="3DA864B6"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4</w:t>
            </w:r>
            <w:r w:rsidR="00B76DA2">
              <w:rPr>
                <w:rFonts w:eastAsia="Times New Roman" w:cs="Calibri"/>
                <w:i/>
                <w:iCs/>
                <w:color w:val="000000"/>
                <w:sz w:val="16"/>
                <w:szCs w:val="16"/>
              </w:rPr>
              <w:t>6</w:t>
            </w:r>
          </w:p>
        </w:tc>
      </w:tr>
      <w:tr w:rsidR="001F45CE" w:rsidRPr="00913CCF" w14:paraId="271F04D8" w14:textId="77777777" w:rsidTr="00512288">
        <w:trPr>
          <w:trHeight w:val="22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65952DB6"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27078BB1"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6786C058"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378DCEE7"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56475313"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74500</w:t>
            </w:r>
          </w:p>
        </w:tc>
        <w:tc>
          <w:tcPr>
            <w:tcW w:w="1597" w:type="dxa"/>
            <w:tcBorders>
              <w:top w:val="nil"/>
              <w:left w:val="nil"/>
              <w:bottom w:val="single" w:sz="8" w:space="0" w:color="auto"/>
              <w:right w:val="single" w:sz="8" w:space="0" w:color="auto"/>
            </w:tcBorders>
            <w:shd w:val="clear" w:color="auto" w:fill="auto"/>
            <w:vAlign w:val="center"/>
            <w:hideMark/>
          </w:tcPr>
          <w:p w14:paraId="094AF3F8"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Miscellaneous</w:t>
            </w:r>
          </w:p>
        </w:tc>
        <w:tc>
          <w:tcPr>
            <w:tcW w:w="935" w:type="dxa"/>
            <w:tcBorders>
              <w:top w:val="nil"/>
              <w:left w:val="nil"/>
              <w:bottom w:val="single" w:sz="8" w:space="0" w:color="auto"/>
              <w:right w:val="single" w:sz="8" w:space="0" w:color="auto"/>
            </w:tcBorders>
            <w:shd w:val="clear" w:color="auto" w:fill="auto"/>
            <w:noWrap/>
            <w:vAlign w:val="center"/>
            <w:hideMark/>
          </w:tcPr>
          <w:p w14:paraId="1B7E326F" w14:textId="7D6616D8"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lang w:val="fr-CA"/>
              </w:rPr>
              <w:t>10,498</w:t>
            </w:r>
          </w:p>
        </w:tc>
        <w:tc>
          <w:tcPr>
            <w:tcW w:w="996" w:type="dxa"/>
            <w:tcBorders>
              <w:top w:val="nil"/>
              <w:left w:val="nil"/>
              <w:bottom w:val="single" w:sz="8" w:space="0" w:color="auto"/>
              <w:right w:val="single" w:sz="8" w:space="0" w:color="auto"/>
            </w:tcBorders>
            <w:shd w:val="clear" w:color="auto" w:fill="auto"/>
            <w:noWrap/>
            <w:vAlign w:val="center"/>
            <w:hideMark/>
          </w:tcPr>
          <w:p w14:paraId="53618EC9" w14:textId="6775D796"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lang w:val="fr-CA"/>
              </w:rPr>
              <w:t>3,000</w:t>
            </w:r>
          </w:p>
        </w:tc>
        <w:tc>
          <w:tcPr>
            <w:tcW w:w="925" w:type="dxa"/>
            <w:tcBorders>
              <w:top w:val="nil"/>
              <w:left w:val="nil"/>
              <w:bottom w:val="single" w:sz="8" w:space="0" w:color="auto"/>
              <w:right w:val="single" w:sz="8" w:space="0" w:color="auto"/>
            </w:tcBorders>
            <w:shd w:val="clear" w:color="auto" w:fill="auto"/>
            <w:noWrap/>
            <w:vAlign w:val="center"/>
            <w:hideMark/>
          </w:tcPr>
          <w:p w14:paraId="60AF9347" w14:textId="2EDC9180"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lang w:val="fr-CA"/>
              </w:rPr>
              <w:t>3,000</w:t>
            </w:r>
          </w:p>
        </w:tc>
        <w:tc>
          <w:tcPr>
            <w:tcW w:w="925" w:type="dxa"/>
            <w:tcBorders>
              <w:top w:val="nil"/>
              <w:left w:val="nil"/>
              <w:bottom w:val="single" w:sz="8" w:space="0" w:color="auto"/>
              <w:right w:val="single" w:sz="8" w:space="0" w:color="auto"/>
            </w:tcBorders>
            <w:shd w:val="clear" w:color="auto" w:fill="auto"/>
            <w:noWrap/>
            <w:vAlign w:val="center"/>
            <w:hideMark/>
          </w:tcPr>
          <w:p w14:paraId="4AB1F7F7" w14:textId="5EC6A694"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lang w:val="fr-CA"/>
              </w:rPr>
              <w:t>3,000</w:t>
            </w:r>
          </w:p>
        </w:tc>
        <w:tc>
          <w:tcPr>
            <w:tcW w:w="925" w:type="dxa"/>
            <w:tcBorders>
              <w:top w:val="nil"/>
              <w:left w:val="nil"/>
              <w:bottom w:val="single" w:sz="8" w:space="0" w:color="auto"/>
              <w:right w:val="single" w:sz="8" w:space="0" w:color="auto"/>
            </w:tcBorders>
            <w:shd w:val="clear" w:color="auto" w:fill="auto"/>
            <w:noWrap/>
            <w:vAlign w:val="center"/>
            <w:hideMark/>
          </w:tcPr>
          <w:p w14:paraId="28828B29" w14:textId="05F155C2"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lang w:val="fr-CA"/>
              </w:rPr>
              <w:t>3,000</w:t>
            </w:r>
          </w:p>
        </w:tc>
        <w:tc>
          <w:tcPr>
            <w:tcW w:w="925" w:type="dxa"/>
            <w:tcBorders>
              <w:top w:val="nil"/>
              <w:left w:val="nil"/>
              <w:bottom w:val="single" w:sz="8" w:space="0" w:color="auto"/>
              <w:right w:val="single" w:sz="8" w:space="0" w:color="auto"/>
            </w:tcBorders>
            <w:shd w:val="clear" w:color="auto" w:fill="auto"/>
            <w:vAlign w:val="center"/>
            <w:hideMark/>
          </w:tcPr>
          <w:p w14:paraId="332161DD" w14:textId="5D27AF02"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lang w:val="fr-CA"/>
              </w:rPr>
              <w:t>13,000</w:t>
            </w:r>
          </w:p>
        </w:tc>
        <w:tc>
          <w:tcPr>
            <w:tcW w:w="1244" w:type="dxa"/>
            <w:tcBorders>
              <w:top w:val="nil"/>
              <w:left w:val="nil"/>
              <w:bottom w:val="single" w:sz="8" w:space="0" w:color="auto"/>
              <w:right w:val="single" w:sz="8" w:space="0" w:color="auto"/>
            </w:tcBorders>
            <w:shd w:val="clear" w:color="auto" w:fill="auto"/>
            <w:noWrap/>
            <w:vAlign w:val="center"/>
            <w:hideMark/>
          </w:tcPr>
          <w:p w14:paraId="22B41714" w14:textId="6EB6065A" w:rsidR="001F45CE" w:rsidRPr="00B76DA2" w:rsidRDefault="001F45CE" w:rsidP="00F8089A">
            <w:pPr>
              <w:spacing w:after="0"/>
              <w:jc w:val="right"/>
              <w:rPr>
                <w:rFonts w:eastAsia="Times New Roman" w:cs="Calibri"/>
                <w:b/>
                <w:bCs/>
                <w:color w:val="000000"/>
                <w:sz w:val="16"/>
                <w:szCs w:val="16"/>
              </w:rPr>
            </w:pPr>
            <w:r w:rsidRPr="00B76DA2">
              <w:rPr>
                <w:rFonts w:eastAsia="Times New Roman" w:cs="Calibri"/>
                <w:b/>
                <w:bCs/>
                <w:color w:val="000000"/>
                <w:sz w:val="16"/>
                <w:szCs w:val="16"/>
              </w:rPr>
              <w:t>35,498</w:t>
            </w:r>
          </w:p>
        </w:tc>
        <w:tc>
          <w:tcPr>
            <w:tcW w:w="844" w:type="dxa"/>
            <w:tcBorders>
              <w:top w:val="nil"/>
              <w:left w:val="nil"/>
              <w:bottom w:val="single" w:sz="8" w:space="0" w:color="auto"/>
              <w:right w:val="single" w:sz="8" w:space="0" w:color="auto"/>
            </w:tcBorders>
            <w:shd w:val="clear" w:color="auto" w:fill="auto"/>
            <w:vAlign w:val="center"/>
            <w:hideMark/>
          </w:tcPr>
          <w:p w14:paraId="71E63227" w14:textId="448EC4FF"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4</w:t>
            </w:r>
            <w:r w:rsidR="00B76DA2">
              <w:rPr>
                <w:rFonts w:eastAsia="Times New Roman" w:cs="Calibri"/>
                <w:i/>
                <w:iCs/>
                <w:color w:val="000000"/>
                <w:sz w:val="16"/>
                <w:szCs w:val="16"/>
              </w:rPr>
              <w:t>7</w:t>
            </w:r>
          </w:p>
        </w:tc>
      </w:tr>
      <w:tr w:rsidR="001F45CE" w:rsidRPr="00913CCF" w14:paraId="30B2DD94" w14:textId="77777777" w:rsidTr="00512288">
        <w:trPr>
          <w:trHeight w:val="198"/>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6C09A3EA"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48E232DB"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28C5D64C"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48BAFA2D"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double" w:sz="4" w:space="0" w:color="auto"/>
              <w:right w:val="single" w:sz="8" w:space="0" w:color="auto"/>
            </w:tcBorders>
            <w:shd w:val="clear" w:color="auto" w:fill="auto"/>
            <w:noWrap/>
            <w:vAlign w:val="center"/>
            <w:hideMark/>
          </w:tcPr>
          <w:p w14:paraId="481C5EA6"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color w:val="000000"/>
                <w:sz w:val="16"/>
                <w:szCs w:val="16"/>
              </w:rPr>
              <w:t>75700</w:t>
            </w:r>
          </w:p>
        </w:tc>
        <w:tc>
          <w:tcPr>
            <w:tcW w:w="1597" w:type="dxa"/>
            <w:tcBorders>
              <w:top w:val="nil"/>
              <w:left w:val="nil"/>
              <w:bottom w:val="double" w:sz="4" w:space="0" w:color="auto"/>
              <w:right w:val="single" w:sz="8" w:space="0" w:color="auto"/>
            </w:tcBorders>
            <w:shd w:val="clear" w:color="auto" w:fill="auto"/>
            <w:vAlign w:val="center"/>
            <w:hideMark/>
          </w:tcPr>
          <w:p w14:paraId="0367D908"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 xml:space="preserve">Train. </w:t>
            </w:r>
            <w:proofErr w:type="spellStart"/>
            <w:r w:rsidRPr="00913CCF">
              <w:rPr>
                <w:rFonts w:eastAsia="Times New Roman" w:cs="Calibri"/>
                <w:color w:val="000000"/>
                <w:sz w:val="16"/>
                <w:szCs w:val="16"/>
              </w:rPr>
              <w:t>worksh</w:t>
            </w:r>
            <w:proofErr w:type="spellEnd"/>
            <w:r w:rsidRPr="00913CCF">
              <w:rPr>
                <w:rFonts w:eastAsia="Times New Roman" w:cs="Calibri"/>
                <w:color w:val="000000"/>
                <w:sz w:val="16"/>
                <w:szCs w:val="16"/>
              </w:rPr>
              <w:t xml:space="preserve"> conf</w:t>
            </w:r>
          </w:p>
        </w:tc>
        <w:tc>
          <w:tcPr>
            <w:tcW w:w="935" w:type="dxa"/>
            <w:tcBorders>
              <w:top w:val="nil"/>
              <w:left w:val="nil"/>
              <w:bottom w:val="double" w:sz="4" w:space="0" w:color="auto"/>
              <w:right w:val="single" w:sz="8" w:space="0" w:color="auto"/>
            </w:tcBorders>
            <w:shd w:val="clear" w:color="auto" w:fill="auto"/>
            <w:noWrap/>
            <w:vAlign w:val="center"/>
            <w:hideMark/>
          </w:tcPr>
          <w:p w14:paraId="41FDA966"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5,500</w:t>
            </w:r>
          </w:p>
        </w:tc>
        <w:tc>
          <w:tcPr>
            <w:tcW w:w="996" w:type="dxa"/>
            <w:tcBorders>
              <w:top w:val="nil"/>
              <w:left w:val="nil"/>
              <w:bottom w:val="double" w:sz="4" w:space="0" w:color="auto"/>
              <w:right w:val="single" w:sz="8" w:space="0" w:color="auto"/>
            </w:tcBorders>
            <w:shd w:val="clear" w:color="auto" w:fill="auto"/>
            <w:noWrap/>
            <w:vAlign w:val="center"/>
            <w:hideMark/>
          </w:tcPr>
          <w:p w14:paraId="3B588F50"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1,500</w:t>
            </w:r>
          </w:p>
        </w:tc>
        <w:tc>
          <w:tcPr>
            <w:tcW w:w="925" w:type="dxa"/>
            <w:tcBorders>
              <w:top w:val="nil"/>
              <w:left w:val="nil"/>
              <w:bottom w:val="double" w:sz="4" w:space="0" w:color="auto"/>
              <w:right w:val="single" w:sz="8" w:space="0" w:color="auto"/>
            </w:tcBorders>
            <w:shd w:val="clear" w:color="auto" w:fill="auto"/>
            <w:noWrap/>
            <w:vAlign w:val="center"/>
            <w:hideMark/>
          </w:tcPr>
          <w:p w14:paraId="4F7EC10F"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1,500</w:t>
            </w:r>
          </w:p>
        </w:tc>
        <w:tc>
          <w:tcPr>
            <w:tcW w:w="925" w:type="dxa"/>
            <w:tcBorders>
              <w:top w:val="nil"/>
              <w:left w:val="nil"/>
              <w:bottom w:val="double" w:sz="4" w:space="0" w:color="auto"/>
              <w:right w:val="single" w:sz="8" w:space="0" w:color="auto"/>
            </w:tcBorders>
            <w:shd w:val="clear" w:color="auto" w:fill="auto"/>
            <w:noWrap/>
            <w:vAlign w:val="center"/>
            <w:hideMark/>
          </w:tcPr>
          <w:p w14:paraId="4CC143DA"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1,500</w:t>
            </w:r>
          </w:p>
        </w:tc>
        <w:tc>
          <w:tcPr>
            <w:tcW w:w="925" w:type="dxa"/>
            <w:tcBorders>
              <w:top w:val="nil"/>
              <w:left w:val="nil"/>
              <w:bottom w:val="double" w:sz="4" w:space="0" w:color="auto"/>
              <w:right w:val="single" w:sz="8" w:space="0" w:color="auto"/>
            </w:tcBorders>
            <w:shd w:val="clear" w:color="auto" w:fill="auto"/>
            <w:noWrap/>
            <w:vAlign w:val="center"/>
            <w:hideMark/>
          </w:tcPr>
          <w:p w14:paraId="2D54CF26"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1,500</w:t>
            </w:r>
          </w:p>
        </w:tc>
        <w:tc>
          <w:tcPr>
            <w:tcW w:w="925" w:type="dxa"/>
            <w:tcBorders>
              <w:top w:val="nil"/>
              <w:left w:val="nil"/>
              <w:bottom w:val="double" w:sz="4" w:space="0" w:color="auto"/>
              <w:right w:val="single" w:sz="8" w:space="0" w:color="auto"/>
            </w:tcBorders>
            <w:shd w:val="clear" w:color="auto" w:fill="auto"/>
            <w:vAlign w:val="center"/>
            <w:hideMark/>
          </w:tcPr>
          <w:p w14:paraId="299BAD30" w14:textId="77777777" w:rsidR="001F45CE" w:rsidRPr="00B76DA2" w:rsidRDefault="001F45CE" w:rsidP="00F8089A">
            <w:pPr>
              <w:spacing w:after="0"/>
              <w:jc w:val="right"/>
              <w:rPr>
                <w:rFonts w:eastAsia="Times New Roman" w:cs="Calibri"/>
                <w:color w:val="000000"/>
                <w:sz w:val="16"/>
                <w:szCs w:val="16"/>
              </w:rPr>
            </w:pPr>
            <w:r w:rsidRPr="00B76DA2">
              <w:rPr>
                <w:rFonts w:eastAsia="Times New Roman" w:cs="Calibri"/>
                <w:color w:val="000000"/>
                <w:sz w:val="16"/>
                <w:szCs w:val="16"/>
              </w:rPr>
              <w:t>1,500</w:t>
            </w:r>
          </w:p>
        </w:tc>
        <w:tc>
          <w:tcPr>
            <w:tcW w:w="1244" w:type="dxa"/>
            <w:tcBorders>
              <w:top w:val="nil"/>
              <w:left w:val="nil"/>
              <w:bottom w:val="double" w:sz="4" w:space="0" w:color="auto"/>
              <w:right w:val="single" w:sz="8" w:space="0" w:color="auto"/>
            </w:tcBorders>
            <w:shd w:val="clear" w:color="auto" w:fill="auto"/>
            <w:noWrap/>
            <w:vAlign w:val="center"/>
            <w:hideMark/>
          </w:tcPr>
          <w:p w14:paraId="544FCFBF" w14:textId="77777777" w:rsidR="001F45CE" w:rsidRPr="00B76DA2" w:rsidRDefault="001F45CE" w:rsidP="00F8089A">
            <w:pPr>
              <w:spacing w:after="0"/>
              <w:jc w:val="right"/>
              <w:rPr>
                <w:rFonts w:eastAsia="Times New Roman" w:cs="Calibri"/>
                <w:b/>
                <w:bCs/>
                <w:color w:val="000000"/>
                <w:sz w:val="16"/>
                <w:szCs w:val="16"/>
              </w:rPr>
            </w:pPr>
            <w:r w:rsidRPr="00B76DA2">
              <w:rPr>
                <w:rFonts w:eastAsia="Times New Roman" w:cs="Calibri"/>
                <w:b/>
                <w:bCs/>
                <w:color w:val="000000"/>
                <w:sz w:val="16"/>
                <w:szCs w:val="16"/>
              </w:rPr>
              <w:t>13,000</w:t>
            </w:r>
          </w:p>
        </w:tc>
        <w:tc>
          <w:tcPr>
            <w:tcW w:w="844" w:type="dxa"/>
            <w:tcBorders>
              <w:top w:val="nil"/>
              <w:left w:val="nil"/>
              <w:bottom w:val="double" w:sz="4" w:space="0" w:color="auto"/>
              <w:right w:val="single" w:sz="8" w:space="0" w:color="auto"/>
            </w:tcBorders>
            <w:shd w:val="clear" w:color="auto" w:fill="auto"/>
            <w:vAlign w:val="center"/>
            <w:hideMark/>
          </w:tcPr>
          <w:p w14:paraId="14E1ACE7" w14:textId="653D91EE" w:rsidR="001F45CE" w:rsidRPr="00913CCF" w:rsidRDefault="00B76DA2" w:rsidP="001F45CE">
            <w:pPr>
              <w:spacing w:after="0"/>
              <w:jc w:val="center"/>
              <w:rPr>
                <w:rFonts w:eastAsia="Times New Roman" w:cs="Calibri"/>
                <w:i/>
                <w:iCs/>
                <w:color w:val="000000"/>
                <w:sz w:val="16"/>
                <w:szCs w:val="16"/>
              </w:rPr>
            </w:pPr>
            <w:r>
              <w:rPr>
                <w:rFonts w:eastAsia="Times New Roman" w:cs="Calibri"/>
                <w:i/>
                <w:iCs/>
                <w:color w:val="000000"/>
                <w:sz w:val="16"/>
                <w:szCs w:val="16"/>
              </w:rPr>
              <w:t>48</w:t>
            </w:r>
          </w:p>
        </w:tc>
      </w:tr>
      <w:tr w:rsidR="006B3F97" w:rsidRPr="00913CCF" w14:paraId="6B740AA1" w14:textId="77777777" w:rsidTr="00512288">
        <w:trPr>
          <w:trHeight w:val="198"/>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58EB516D" w14:textId="77777777" w:rsidR="006B3F97" w:rsidRPr="00913CCF" w:rsidRDefault="006B3F97"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569FBA8F" w14:textId="77777777" w:rsidR="006B3F97" w:rsidRPr="00913CCF" w:rsidRDefault="006B3F97"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48C4D25F" w14:textId="77777777" w:rsidR="006B3F97" w:rsidRPr="00913CCF" w:rsidRDefault="006B3F97"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41C758DC" w14:textId="77777777" w:rsidR="006B3F97" w:rsidRPr="00913CCF" w:rsidRDefault="006B3F97" w:rsidP="001F45CE">
            <w:pPr>
              <w:spacing w:after="0"/>
              <w:jc w:val="left"/>
              <w:rPr>
                <w:rFonts w:eastAsia="Times New Roman" w:cs="Calibri"/>
                <w:b/>
                <w:bCs/>
                <w:color w:val="000000"/>
                <w:sz w:val="16"/>
                <w:szCs w:val="16"/>
              </w:rPr>
            </w:pPr>
          </w:p>
        </w:tc>
        <w:tc>
          <w:tcPr>
            <w:tcW w:w="2498" w:type="dxa"/>
            <w:gridSpan w:val="2"/>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3F264879" w14:textId="06CA0D94" w:rsidR="006B3F97" w:rsidRPr="00913CCF" w:rsidRDefault="006B3F97" w:rsidP="00F8089A">
            <w:pPr>
              <w:spacing w:after="0"/>
              <w:jc w:val="right"/>
              <w:rPr>
                <w:rFonts w:eastAsia="Times New Roman" w:cs="Calibri"/>
                <w:b/>
                <w:bCs/>
                <w:color w:val="000000"/>
                <w:sz w:val="15"/>
                <w:szCs w:val="15"/>
              </w:rPr>
            </w:pPr>
            <w:r w:rsidRPr="00913CCF">
              <w:rPr>
                <w:rFonts w:eastAsia="Times New Roman" w:cs="Calibri"/>
                <w:b/>
                <w:bCs/>
                <w:color w:val="000000"/>
                <w:sz w:val="15"/>
                <w:szCs w:val="15"/>
              </w:rPr>
              <w:t xml:space="preserve">Sub-total </w:t>
            </w:r>
            <w:r w:rsidR="00DB7E3F">
              <w:rPr>
                <w:rFonts w:eastAsia="Times New Roman" w:cs="Calibri"/>
                <w:b/>
                <w:bCs/>
                <w:color w:val="000000"/>
                <w:sz w:val="15"/>
                <w:szCs w:val="15"/>
              </w:rPr>
              <w:t>GEF</w:t>
            </w:r>
          </w:p>
        </w:tc>
        <w:tc>
          <w:tcPr>
            <w:tcW w:w="93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3AB71915" w14:textId="5B74F181" w:rsidR="006B3F97" w:rsidRPr="00B76DA2" w:rsidRDefault="006B3F97" w:rsidP="00F8089A">
            <w:pPr>
              <w:spacing w:after="0"/>
              <w:jc w:val="right"/>
              <w:rPr>
                <w:rFonts w:eastAsia="Times New Roman" w:cs="Calibri"/>
                <w:b/>
                <w:bCs/>
                <w:color w:val="000000"/>
                <w:sz w:val="16"/>
                <w:szCs w:val="16"/>
              </w:rPr>
            </w:pPr>
            <w:r w:rsidRPr="00B76DA2">
              <w:rPr>
                <w:rFonts w:eastAsia="Times New Roman" w:cs="Calibri"/>
                <w:b/>
                <w:bCs/>
                <w:color w:val="000000"/>
                <w:sz w:val="16"/>
                <w:szCs w:val="16"/>
              </w:rPr>
              <w:t>130,373</w:t>
            </w:r>
          </w:p>
        </w:tc>
        <w:tc>
          <w:tcPr>
            <w:tcW w:w="996"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1D4A0D47" w14:textId="353BE295" w:rsidR="006B3F97" w:rsidRPr="00B76DA2" w:rsidRDefault="006B3F97" w:rsidP="00F8089A">
            <w:pPr>
              <w:spacing w:after="0"/>
              <w:jc w:val="right"/>
              <w:rPr>
                <w:rFonts w:eastAsia="Times New Roman" w:cs="Calibri"/>
                <w:b/>
                <w:bCs/>
                <w:color w:val="000000"/>
                <w:sz w:val="16"/>
                <w:szCs w:val="16"/>
              </w:rPr>
            </w:pPr>
            <w:r w:rsidRPr="00B76DA2">
              <w:rPr>
                <w:rFonts w:eastAsia="Times New Roman" w:cs="Calibri"/>
                <w:b/>
                <w:bCs/>
                <w:color w:val="000000"/>
                <w:sz w:val="16"/>
                <w:szCs w:val="16"/>
              </w:rPr>
              <w:t>54,250</w:t>
            </w:r>
          </w:p>
        </w:tc>
        <w:tc>
          <w:tcPr>
            <w:tcW w:w="92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3CEC1DAE" w14:textId="3EACE1F3" w:rsidR="006B3F97" w:rsidRPr="00B76DA2" w:rsidRDefault="006B3F97" w:rsidP="00F8089A">
            <w:pPr>
              <w:spacing w:after="0"/>
              <w:jc w:val="right"/>
              <w:rPr>
                <w:rFonts w:eastAsia="Times New Roman" w:cs="Calibri"/>
                <w:b/>
                <w:bCs/>
                <w:color w:val="000000"/>
                <w:sz w:val="16"/>
                <w:szCs w:val="16"/>
              </w:rPr>
            </w:pPr>
            <w:r w:rsidRPr="00B76DA2">
              <w:rPr>
                <w:rFonts w:eastAsia="Times New Roman" w:cs="Calibri"/>
                <w:b/>
                <w:bCs/>
                <w:color w:val="000000"/>
                <w:sz w:val="16"/>
                <w:szCs w:val="16"/>
              </w:rPr>
              <w:t>92,100</w:t>
            </w:r>
          </w:p>
        </w:tc>
        <w:tc>
          <w:tcPr>
            <w:tcW w:w="92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493B8197" w14:textId="042A9F17" w:rsidR="006B3F97" w:rsidRPr="00B76DA2" w:rsidRDefault="006B3F97" w:rsidP="00F8089A">
            <w:pPr>
              <w:spacing w:after="0"/>
              <w:jc w:val="right"/>
              <w:rPr>
                <w:rFonts w:eastAsia="Times New Roman" w:cs="Calibri"/>
                <w:b/>
                <w:bCs/>
                <w:color w:val="000000"/>
                <w:sz w:val="16"/>
                <w:szCs w:val="16"/>
              </w:rPr>
            </w:pPr>
            <w:r w:rsidRPr="00B76DA2">
              <w:rPr>
                <w:rFonts w:eastAsia="Times New Roman" w:cs="Calibri"/>
                <w:b/>
                <w:bCs/>
                <w:color w:val="000000"/>
                <w:sz w:val="16"/>
                <w:szCs w:val="16"/>
              </w:rPr>
              <w:t>74,250</w:t>
            </w:r>
          </w:p>
        </w:tc>
        <w:tc>
          <w:tcPr>
            <w:tcW w:w="92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0AE74E7B" w14:textId="3322C7E6" w:rsidR="006B3F97" w:rsidRPr="00B76DA2" w:rsidRDefault="006B3F97" w:rsidP="00F8089A">
            <w:pPr>
              <w:spacing w:after="0"/>
              <w:jc w:val="right"/>
              <w:rPr>
                <w:rFonts w:eastAsia="Times New Roman" w:cs="Calibri"/>
                <w:b/>
                <w:bCs/>
                <w:color w:val="000000"/>
                <w:sz w:val="16"/>
                <w:szCs w:val="16"/>
              </w:rPr>
            </w:pPr>
            <w:r w:rsidRPr="00B76DA2">
              <w:rPr>
                <w:rFonts w:eastAsia="Times New Roman" w:cs="Calibri"/>
                <w:b/>
                <w:bCs/>
                <w:color w:val="000000"/>
                <w:sz w:val="16"/>
                <w:szCs w:val="16"/>
              </w:rPr>
              <w:t>79,250</w:t>
            </w:r>
          </w:p>
        </w:tc>
        <w:tc>
          <w:tcPr>
            <w:tcW w:w="925" w:type="dxa"/>
            <w:tcBorders>
              <w:top w:val="double" w:sz="4" w:space="0" w:color="auto"/>
              <w:left w:val="nil"/>
              <w:bottom w:val="double" w:sz="6" w:space="0" w:color="auto"/>
              <w:right w:val="single" w:sz="8" w:space="0" w:color="auto"/>
            </w:tcBorders>
            <w:shd w:val="clear" w:color="auto" w:fill="B4C6E7" w:themeFill="accent1" w:themeFillTint="66"/>
            <w:vAlign w:val="center"/>
            <w:hideMark/>
          </w:tcPr>
          <w:p w14:paraId="66BA893E" w14:textId="2EAE49CA" w:rsidR="006B3F97" w:rsidRPr="00B76DA2" w:rsidRDefault="006B3F97" w:rsidP="00F8089A">
            <w:pPr>
              <w:spacing w:after="0"/>
              <w:jc w:val="right"/>
              <w:rPr>
                <w:rFonts w:eastAsia="Times New Roman" w:cs="Calibri"/>
                <w:b/>
                <w:bCs/>
                <w:color w:val="000000"/>
                <w:sz w:val="16"/>
                <w:szCs w:val="16"/>
              </w:rPr>
            </w:pPr>
            <w:r w:rsidRPr="00B76DA2">
              <w:rPr>
                <w:rFonts w:eastAsia="Times New Roman" w:cs="Calibri"/>
                <w:b/>
                <w:bCs/>
                <w:color w:val="000000"/>
                <w:sz w:val="16"/>
                <w:szCs w:val="16"/>
              </w:rPr>
              <w:t>104,450</w:t>
            </w:r>
          </w:p>
        </w:tc>
        <w:tc>
          <w:tcPr>
            <w:tcW w:w="1244"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1D2FF115" w14:textId="1DA36680" w:rsidR="006B3F97" w:rsidRPr="00B76DA2" w:rsidRDefault="006B3F97" w:rsidP="00F8089A">
            <w:pPr>
              <w:spacing w:after="0"/>
              <w:jc w:val="right"/>
              <w:rPr>
                <w:rFonts w:eastAsia="Times New Roman" w:cs="Calibri"/>
                <w:b/>
                <w:bCs/>
                <w:color w:val="000000"/>
                <w:sz w:val="16"/>
                <w:szCs w:val="16"/>
              </w:rPr>
            </w:pPr>
            <w:r w:rsidRPr="00B76DA2">
              <w:rPr>
                <w:rFonts w:eastAsia="Times New Roman" w:cs="Calibri"/>
                <w:b/>
                <w:bCs/>
                <w:color w:val="000000"/>
                <w:sz w:val="16"/>
                <w:szCs w:val="16"/>
              </w:rPr>
              <w:t>534,673</w:t>
            </w:r>
          </w:p>
        </w:tc>
        <w:tc>
          <w:tcPr>
            <w:tcW w:w="844" w:type="dxa"/>
            <w:tcBorders>
              <w:top w:val="double" w:sz="4" w:space="0" w:color="auto"/>
              <w:left w:val="nil"/>
              <w:bottom w:val="double" w:sz="6" w:space="0" w:color="auto"/>
              <w:right w:val="single" w:sz="8" w:space="0" w:color="auto"/>
            </w:tcBorders>
            <w:shd w:val="clear" w:color="auto" w:fill="B4C6E7" w:themeFill="accent1" w:themeFillTint="66"/>
            <w:vAlign w:val="center"/>
            <w:hideMark/>
          </w:tcPr>
          <w:p w14:paraId="53407923" w14:textId="77777777" w:rsidR="006B3F97" w:rsidRPr="00913CCF" w:rsidRDefault="006B3F97" w:rsidP="001F45CE">
            <w:pPr>
              <w:spacing w:after="0"/>
              <w:jc w:val="center"/>
              <w:rPr>
                <w:rFonts w:eastAsia="Times New Roman" w:cs="Calibri"/>
                <w:color w:val="000000"/>
                <w:sz w:val="14"/>
                <w:szCs w:val="14"/>
              </w:rPr>
            </w:pPr>
            <w:r w:rsidRPr="00913CCF">
              <w:rPr>
                <w:rFonts w:eastAsia="Times New Roman" w:cs="Calibri"/>
                <w:color w:val="000000"/>
                <w:sz w:val="14"/>
                <w:szCs w:val="14"/>
              </w:rPr>
              <w:t> </w:t>
            </w:r>
          </w:p>
        </w:tc>
      </w:tr>
      <w:tr w:rsidR="001F45CE" w:rsidRPr="00913CCF" w14:paraId="7CECB04E" w14:textId="77777777" w:rsidTr="00512288">
        <w:trPr>
          <w:trHeight w:val="180"/>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5DC8B74D" w14:textId="77777777" w:rsidR="001F45CE" w:rsidRPr="00913CCF" w:rsidRDefault="001F45CE" w:rsidP="001F45CE">
            <w:pPr>
              <w:spacing w:after="0"/>
              <w:jc w:val="left"/>
              <w:rPr>
                <w:rFonts w:eastAsia="Times New Roman" w:cs="Calibri"/>
                <w:b/>
                <w:bCs/>
                <w:color w:val="000000"/>
                <w:sz w:val="16"/>
                <w:szCs w:val="16"/>
              </w:rPr>
            </w:pPr>
          </w:p>
        </w:tc>
        <w:tc>
          <w:tcPr>
            <w:tcW w:w="1267" w:type="dxa"/>
            <w:vMerge w:val="restart"/>
            <w:tcBorders>
              <w:top w:val="nil"/>
              <w:left w:val="single" w:sz="8" w:space="0" w:color="auto"/>
              <w:bottom w:val="double" w:sz="6" w:space="0" w:color="000000"/>
              <w:right w:val="single" w:sz="8" w:space="0" w:color="auto"/>
            </w:tcBorders>
            <w:shd w:val="clear" w:color="auto" w:fill="auto"/>
            <w:vAlign w:val="center"/>
            <w:hideMark/>
          </w:tcPr>
          <w:p w14:paraId="782CE5B4"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UNDP</w:t>
            </w:r>
          </w:p>
        </w:tc>
        <w:tc>
          <w:tcPr>
            <w:tcW w:w="713" w:type="dxa"/>
            <w:vMerge w:val="restart"/>
            <w:tcBorders>
              <w:top w:val="nil"/>
              <w:left w:val="single" w:sz="8" w:space="0" w:color="auto"/>
              <w:bottom w:val="double" w:sz="6" w:space="0" w:color="000000"/>
              <w:right w:val="single" w:sz="8" w:space="0" w:color="auto"/>
            </w:tcBorders>
            <w:shd w:val="clear" w:color="auto" w:fill="auto"/>
            <w:vAlign w:val="center"/>
            <w:hideMark/>
          </w:tcPr>
          <w:p w14:paraId="6D751755" w14:textId="34CA6989"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04000</w:t>
            </w:r>
          </w:p>
        </w:tc>
        <w:tc>
          <w:tcPr>
            <w:tcW w:w="632" w:type="dxa"/>
            <w:vMerge w:val="restart"/>
            <w:tcBorders>
              <w:top w:val="nil"/>
              <w:left w:val="single" w:sz="8" w:space="0" w:color="auto"/>
              <w:bottom w:val="double" w:sz="6" w:space="0" w:color="000000"/>
              <w:right w:val="single" w:sz="8" w:space="0" w:color="auto"/>
            </w:tcBorders>
            <w:shd w:val="clear" w:color="auto" w:fill="auto"/>
            <w:vAlign w:val="center"/>
            <w:hideMark/>
          </w:tcPr>
          <w:p w14:paraId="400D1C47" w14:textId="77777777" w:rsidR="001F45CE" w:rsidRPr="00913CCF" w:rsidRDefault="001F45CE" w:rsidP="001F45CE">
            <w:pPr>
              <w:spacing w:after="0"/>
              <w:jc w:val="center"/>
              <w:rPr>
                <w:rFonts w:eastAsia="Times New Roman" w:cs="Calibri"/>
                <w:b/>
                <w:bCs/>
                <w:color w:val="000000"/>
                <w:sz w:val="16"/>
                <w:szCs w:val="16"/>
              </w:rPr>
            </w:pPr>
            <w:r w:rsidRPr="00913CCF">
              <w:rPr>
                <w:rFonts w:eastAsia="Times New Roman" w:cs="Calibri"/>
                <w:b/>
                <w:bCs/>
                <w:color w:val="000000"/>
                <w:sz w:val="16"/>
                <w:szCs w:val="16"/>
              </w:rPr>
              <w:t>TRAC</w:t>
            </w:r>
          </w:p>
        </w:tc>
        <w:tc>
          <w:tcPr>
            <w:tcW w:w="901" w:type="dxa"/>
            <w:tcBorders>
              <w:top w:val="nil"/>
              <w:left w:val="nil"/>
              <w:bottom w:val="single" w:sz="8" w:space="0" w:color="auto"/>
              <w:right w:val="single" w:sz="8" w:space="0" w:color="auto"/>
            </w:tcBorders>
            <w:shd w:val="clear" w:color="auto" w:fill="auto"/>
            <w:noWrap/>
            <w:vAlign w:val="center"/>
            <w:hideMark/>
          </w:tcPr>
          <w:p w14:paraId="5202A822"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bCs/>
                <w:color w:val="000000"/>
                <w:sz w:val="16"/>
                <w:szCs w:val="16"/>
              </w:rPr>
              <w:t>71600</w:t>
            </w:r>
          </w:p>
        </w:tc>
        <w:tc>
          <w:tcPr>
            <w:tcW w:w="1597" w:type="dxa"/>
            <w:tcBorders>
              <w:top w:val="nil"/>
              <w:left w:val="nil"/>
              <w:bottom w:val="single" w:sz="8" w:space="0" w:color="auto"/>
              <w:right w:val="single" w:sz="8" w:space="0" w:color="auto"/>
            </w:tcBorders>
            <w:shd w:val="clear" w:color="auto" w:fill="auto"/>
            <w:vAlign w:val="center"/>
            <w:hideMark/>
          </w:tcPr>
          <w:p w14:paraId="4AF9001C"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bCs/>
                <w:color w:val="000000"/>
                <w:sz w:val="16"/>
                <w:szCs w:val="16"/>
              </w:rPr>
              <w:t>Travel</w:t>
            </w:r>
          </w:p>
        </w:tc>
        <w:tc>
          <w:tcPr>
            <w:tcW w:w="935" w:type="dxa"/>
            <w:tcBorders>
              <w:top w:val="nil"/>
              <w:left w:val="nil"/>
              <w:bottom w:val="single" w:sz="8" w:space="0" w:color="auto"/>
              <w:right w:val="single" w:sz="8" w:space="0" w:color="auto"/>
            </w:tcBorders>
            <w:shd w:val="clear" w:color="auto" w:fill="auto"/>
            <w:noWrap/>
            <w:vAlign w:val="center"/>
            <w:hideMark/>
          </w:tcPr>
          <w:p w14:paraId="4D861141" w14:textId="77777777" w:rsidR="001F45CE" w:rsidRPr="00913CCF" w:rsidRDefault="001F45CE" w:rsidP="00700BB6">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96" w:type="dxa"/>
            <w:tcBorders>
              <w:top w:val="nil"/>
              <w:left w:val="nil"/>
              <w:bottom w:val="single" w:sz="8" w:space="0" w:color="auto"/>
              <w:right w:val="single" w:sz="8" w:space="0" w:color="auto"/>
            </w:tcBorders>
            <w:shd w:val="clear" w:color="auto" w:fill="auto"/>
            <w:noWrap/>
            <w:vAlign w:val="center"/>
            <w:hideMark/>
          </w:tcPr>
          <w:p w14:paraId="2B50D7B6" w14:textId="77777777" w:rsidR="001F45CE" w:rsidRPr="00913CCF" w:rsidRDefault="001F45CE" w:rsidP="00700BB6">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nil"/>
              <w:left w:val="nil"/>
              <w:bottom w:val="single" w:sz="8" w:space="0" w:color="auto"/>
              <w:right w:val="single" w:sz="8" w:space="0" w:color="auto"/>
            </w:tcBorders>
            <w:shd w:val="clear" w:color="auto" w:fill="auto"/>
            <w:noWrap/>
            <w:vAlign w:val="center"/>
            <w:hideMark/>
          </w:tcPr>
          <w:p w14:paraId="57702693" w14:textId="77777777" w:rsidR="001F45CE" w:rsidRPr="00913CCF" w:rsidRDefault="001F45CE" w:rsidP="00700BB6">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nil"/>
              <w:left w:val="nil"/>
              <w:bottom w:val="single" w:sz="8" w:space="0" w:color="auto"/>
              <w:right w:val="single" w:sz="8" w:space="0" w:color="auto"/>
            </w:tcBorders>
            <w:shd w:val="clear" w:color="auto" w:fill="auto"/>
            <w:noWrap/>
            <w:vAlign w:val="center"/>
            <w:hideMark/>
          </w:tcPr>
          <w:p w14:paraId="0484BDDB" w14:textId="77777777" w:rsidR="001F45CE" w:rsidRPr="00913CCF" w:rsidRDefault="001F45CE" w:rsidP="00700BB6">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nil"/>
              <w:left w:val="nil"/>
              <w:bottom w:val="single" w:sz="8" w:space="0" w:color="auto"/>
              <w:right w:val="single" w:sz="8" w:space="0" w:color="auto"/>
            </w:tcBorders>
            <w:shd w:val="clear" w:color="auto" w:fill="auto"/>
            <w:noWrap/>
            <w:vAlign w:val="center"/>
            <w:hideMark/>
          </w:tcPr>
          <w:p w14:paraId="737435F9" w14:textId="77777777" w:rsidR="001F45CE" w:rsidRPr="00913CCF" w:rsidRDefault="001F45CE" w:rsidP="00700BB6">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925" w:type="dxa"/>
            <w:tcBorders>
              <w:top w:val="nil"/>
              <w:left w:val="nil"/>
              <w:bottom w:val="single" w:sz="8" w:space="0" w:color="auto"/>
              <w:right w:val="single" w:sz="8" w:space="0" w:color="auto"/>
            </w:tcBorders>
            <w:shd w:val="clear" w:color="auto" w:fill="auto"/>
            <w:vAlign w:val="center"/>
            <w:hideMark/>
          </w:tcPr>
          <w:p w14:paraId="4C47933B" w14:textId="77777777" w:rsidR="001F45CE" w:rsidRPr="00913CCF" w:rsidRDefault="001F45CE" w:rsidP="00700BB6">
            <w:pPr>
              <w:spacing w:after="0"/>
              <w:jc w:val="right"/>
              <w:rPr>
                <w:rFonts w:eastAsia="Times New Roman" w:cs="Calibri"/>
                <w:color w:val="000000"/>
                <w:sz w:val="16"/>
                <w:szCs w:val="16"/>
              </w:rPr>
            </w:pPr>
            <w:r w:rsidRPr="00913CCF">
              <w:rPr>
                <w:rFonts w:eastAsia="Times New Roman" w:cs="Calibri"/>
                <w:color w:val="000000"/>
                <w:sz w:val="16"/>
                <w:szCs w:val="16"/>
              </w:rPr>
              <w:t>2,000</w:t>
            </w:r>
          </w:p>
        </w:tc>
        <w:tc>
          <w:tcPr>
            <w:tcW w:w="1244" w:type="dxa"/>
            <w:tcBorders>
              <w:top w:val="nil"/>
              <w:left w:val="nil"/>
              <w:bottom w:val="single" w:sz="8" w:space="0" w:color="auto"/>
              <w:right w:val="single" w:sz="8" w:space="0" w:color="auto"/>
            </w:tcBorders>
            <w:shd w:val="clear" w:color="auto" w:fill="auto"/>
            <w:noWrap/>
            <w:vAlign w:val="center"/>
            <w:hideMark/>
          </w:tcPr>
          <w:p w14:paraId="70E82F59" w14:textId="77777777" w:rsidR="001F45CE" w:rsidRPr="00913CCF" w:rsidRDefault="001F45CE" w:rsidP="00700BB6">
            <w:pPr>
              <w:spacing w:after="0"/>
              <w:jc w:val="right"/>
              <w:rPr>
                <w:rFonts w:eastAsia="Times New Roman" w:cs="Calibri"/>
                <w:b/>
                <w:bCs/>
                <w:color w:val="000000"/>
                <w:sz w:val="16"/>
                <w:szCs w:val="16"/>
              </w:rPr>
            </w:pPr>
            <w:r w:rsidRPr="00913CCF">
              <w:rPr>
                <w:rFonts w:eastAsia="Times New Roman" w:cs="Calibri"/>
                <w:b/>
                <w:bCs/>
                <w:color w:val="000000"/>
                <w:sz w:val="16"/>
                <w:szCs w:val="16"/>
              </w:rPr>
              <w:t>12,000</w:t>
            </w:r>
          </w:p>
        </w:tc>
        <w:tc>
          <w:tcPr>
            <w:tcW w:w="844" w:type="dxa"/>
            <w:tcBorders>
              <w:top w:val="nil"/>
              <w:left w:val="nil"/>
              <w:bottom w:val="single" w:sz="8" w:space="0" w:color="auto"/>
              <w:right w:val="single" w:sz="8" w:space="0" w:color="auto"/>
            </w:tcBorders>
            <w:shd w:val="clear" w:color="auto" w:fill="auto"/>
            <w:vAlign w:val="center"/>
            <w:hideMark/>
          </w:tcPr>
          <w:p w14:paraId="166D5F46" w14:textId="605E7C98" w:rsidR="001F45CE" w:rsidRPr="00913CCF" w:rsidRDefault="00512288" w:rsidP="001F45CE">
            <w:pPr>
              <w:spacing w:after="0"/>
              <w:jc w:val="center"/>
              <w:rPr>
                <w:rFonts w:eastAsia="Times New Roman" w:cs="Calibri"/>
                <w:i/>
                <w:iCs/>
                <w:color w:val="000000"/>
                <w:sz w:val="16"/>
                <w:szCs w:val="16"/>
              </w:rPr>
            </w:pPr>
            <w:r>
              <w:rPr>
                <w:rFonts w:eastAsia="Times New Roman" w:cs="Calibri"/>
                <w:i/>
                <w:iCs/>
                <w:color w:val="000000"/>
                <w:sz w:val="16"/>
                <w:szCs w:val="16"/>
              </w:rPr>
              <w:t>49</w:t>
            </w:r>
          </w:p>
        </w:tc>
      </w:tr>
      <w:tr w:rsidR="001F45CE" w:rsidRPr="00913CCF" w14:paraId="158619BE" w14:textId="77777777" w:rsidTr="00512288">
        <w:trPr>
          <w:trHeight w:val="198"/>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1F34A32A"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41643B6E"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3D48B524"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2959F92D"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7BB8F7AE"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bCs/>
                <w:color w:val="000000"/>
                <w:sz w:val="16"/>
                <w:szCs w:val="16"/>
              </w:rPr>
              <w:t>71400</w:t>
            </w:r>
          </w:p>
        </w:tc>
        <w:tc>
          <w:tcPr>
            <w:tcW w:w="1597" w:type="dxa"/>
            <w:tcBorders>
              <w:top w:val="nil"/>
              <w:left w:val="nil"/>
              <w:bottom w:val="single" w:sz="8" w:space="0" w:color="auto"/>
              <w:right w:val="single" w:sz="8" w:space="0" w:color="auto"/>
            </w:tcBorders>
            <w:shd w:val="clear" w:color="auto" w:fill="auto"/>
            <w:vAlign w:val="center"/>
            <w:hideMark/>
          </w:tcPr>
          <w:p w14:paraId="0202C13B"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Contr. serv. Ind.</w:t>
            </w:r>
          </w:p>
        </w:tc>
        <w:tc>
          <w:tcPr>
            <w:tcW w:w="935" w:type="dxa"/>
            <w:tcBorders>
              <w:top w:val="nil"/>
              <w:left w:val="nil"/>
              <w:bottom w:val="single" w:sz="8" w:space="0" w:color="auto"/>
              <w:right w:val="single" w:sz="8" w:space="0" w:color="auto"/>
            </w:tcBorders>
            <w:shd w:val="clear" w:color="auto" w:fill="auto"/>
            <w:noWrap/>
            <w:vAlign w:val="center"/>
            <w:hideMark/>
          </w:tcPr>
          <w:p w14:paraId="3EBBA104"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0</w:t>
            </w:r>
          </w:p>
        </w:tc>
        <w:tc>
          <w:tcPr>
            <w:tcW w:w="996" w:type="dxa"/>
            <w:tcBorders>
              <w:top w:val="nil"/>
              <w:left w:val="nil"/>
              <w:bottom w:val="single" w:sz="8" w:space="0" w:color="auto"/>
              <w:right w:val="single" w:sz="8" w:space="0" w:color="auto"/>
            </w:tcBorders>
            <w:shd w:val="clear" w:color="auto" w:fill="auto"/>
            <w:noWrap/>
            <w:vAlign w:val="center"/>
            <w:hideMark/>
          </w:tcPr>
          <w:p w14:paraId="3F1CF338"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noWrap/>
            <w:vAlign w:val="center"/>
            <w:hideMark/>
          </w:tcPr>
          <w:p w14:paraId="54AB70E0"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noWrap/>
            <w:vAlign w:val="center"/>
            <w:hideMark/>
          </w:tcPr>
          <w:p w14:paraId="501630CB"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noWrap/>
            <w:vAlign w:val="center"/>
            <w:hideMark/>
          </w:tcPr>
          <w:p w14:paraId="7E5AB967"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925" w:type="dxa"/>
            <w:tcBorders>
              <w:top w:val="nil"/>
              <w:left w:val="nil"/>
              <w:bottom w:val="single" w:sz="8" w:space="0" w:color="auto"/>
              <w:right w:val="single" w:sz="8" w:space="0" w:color="auto"/>
            </w:tcBorders>
            <w:shd w:val="clear" w:color="auto" w:fill="auto"/>
            <w:vAlign w:val="center"/>
            <w:hideMark/>
          </w:tcPr>
          <w:p w14:paraId="7987A691" w14:textId="77777777" w:rsidR="001F45CE" w:rsidRPr="00913CCF" w:rsidRDefault="001F45CE" w:rsidP="00F8089A">
            <w:pPr>
              <w:spacing w:after="0"/>
              <w:jc w:val="right"/>
              <w:rPr>
                <w:rFonts w:eastAsia="Times New Roman" w:cs="Calibri"/>
                <w:color w:val="000000"/>
                <w:sz w:val="16"/>
                <w:szCs w:val="16"/>
              </w:rPr>
            </w:pPr>
            <w:r w:rsidRPr="00913CCF">
              <w:rPr>
                <w:rFonts w:eastAsia="Times New Roman" w:cs="Calibri"/>
                <w:color w:val="000000"/>
                <w:sz w:val="16"/>
                <w:szCs w:val="16"/>
              </w:rPr>
              <w:t>7,500</w:t>
            </w:r>
          </w:p>
        </w:tc>
        <w:tc>
          <w:tcPr>
            <w:tcW w:w="1244" w:type="dxa"/>
            <w:tcBorders>
              <w:top w:val="nil"/>
              <w:left w:val="nil"/>
              <w:bottom w:val="single" w:sz="8" w:space="0" w:color="auto"/>
              <w:right w:val="single" w:sz="8" w:space="0" w:color="auto"/>
            </w:tcBorders>
            <w:shd w:val="clear" w:color="auto" w:fill="auto"/>
            <w:noWrap/>
            <w:vAlign w:val="center"/>
            <w:hideMark/>
          </w:tcPr>
          <w:p w14:paraId="640DF625"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37,500</w:t>
            </w:r>
          </w:p>
        </w:tc>
        <w:tc>
          <w:tcPr>
            <w:tcW w:w="844" w:type="dxa"/>
            <w:tcBorders>
              <w:top w:val="nil"/>
              <w:left w:val="nil"/>
              <w:bottom w:val="single" w:sz="8" w:space="0" w:color="auto"/>
              <w:right w:val="single" w:sz="8" w:space="0" w:color="auto"/>
            </w:tcBorders>
            <w:shd w:val="clear" w:color="auto" w:fill="auto"/>
            <w:vAlign w:val="center"/>
            <w:hideMark/>
          </w:tcPr>
          <w:p w14:paraId="06A8D1D2" w14:textId="465A403E" w:rsidR="001F45CE" w:rsidRPr="00913CCF" w:rsidRDefault="00512288" w:rsidP="001F45CE">
            <w:pPr>
              <w:spacing w:after="0"/>
              <w:jc w:val="center"/>
              <w:rPr>
                <w:rFonts w:eastAsia="Times New Roman" w:cs="Calibri"/>
                <w:i/>
                <w:iCs/>
                <w:color w:val="000000"/>
                <w:sz w:val="16"/>
                <w:szCs w:val="16"/>
              </w:rPr>
            </w:pPr>
            <w:r>
              <w:rPr>
                <w:rFonts w:eastAsia="Times New Roman" w:cs="Calibri"/>
                <w:i/>
                <w:iCs/>
                <w:color w:val="000000"/>
                <w:sz w:val="16"/>
                <w:szCs w:val="16"/>
              </w:rPr>
              <w:t>50</w:t>
            </w:r>
          </w:p>
        </w:tc>
      </w:tr>
      <w:tr w:rsidR="001F45CE" w:rsidRPr="00913CCF" w14:paraId="4253FDDF" w14:textId="77777777" w:rsidTr="00512288">
        <w:trPr>
          <w:trHeight w:val="207"/>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54964731" w14:textId="77777777" w:rsidR="001F45CE" w:rsidRPr="00913CCF" w:rsidRDefault="001F45CE"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24361358" w14:textId="77777777" w:rsidR="001F45CE" w:rsidRPr="00913CCF" w:rsidRDefault="001F45CE"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4990EA10" w14:textId="77777777" w:rsidR="001F45CE" w:rsidRPr="00913CCF" w:rsidRDefault="001F45CE"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57705282" w14:textId="77777777" w:rsidR="001F45CE" w:rsidRPr="00913CCF" w:rsidRDefault="001F45CE" w:rsidP="001F45CE">
            <w:pPr>
              <w:spacing w:after="0"/>
              <w:jc w:val="left"/>
              <w:rPr>
                <w:rFonts w:eastAsia="Times New Roman" w:cs="Calibri"/>
                <w:b/>
                <w:bCs/>
                <w:color w:val="000000"/>
                <w:sz w:val="16"/>
                <w:szCs w:val="16"/>
              </w:rPr>
            </w:pPr>
          </w:p>
        </w:tc>
        <w:tc>
          <w:tcPr>
            <w:tcW w:w="901" w:type="dxa"/>
            <w:tcBorders>
              <w:top w:val="nil"/>
              <w:left w:val="nil"/>
              <w:bottom w:val="double" w:sz="4" w:space="0" w:color="auto"/>
              <w:right w:val="single" w:sz="8" w:space="0" w:color="auto"/>
            </w:tcBorders>
            <w:shd w:val="clear" w:color="auto" w:fill="auto"/>
            <w:noWrap/>
            <w:vAlign w:val="center"/>
            <w:hideMark/>
          </w:tcPr>
          <w:p w14:paraId="0B1A383F" w14:textId="77777777" w:rsidR="001F45CE" w:rsidRPr="00913CCF" w:rsidRDefault="001F45CE" w:rsidP="001F45CE">
            <w:pPr>
              <w:spacing w:after="0"/>
              <w:jc w:val="center"/>
              <w:rPr>
                <w:rFonts w:eastAsia="Times New Roman" w:cs="Calibri"/>
                <w:color w:val="000000"/>
                <w:sz w:val="16"/>
                <w:szCs w:val="16"/>
              </w:rPr>
            </w:pPr>
            <w:r w:rsidRPr="00913CCF">
              <w:rPr>
                <w:rFonts w:eastAsia="Times New Roman" w:cs="Calibri"/>
                <w:bCs/>
                <w:color w:val="000000"/>
                <w:sz w:val="16"/>
                <w:szCs w:val="16"/>
              </w:rPr>
              <w:t>72200</w:t>
            </w:r>
          </w:p>
        </w:tc>
        <w:tc>
          <w:tcPr>
            <w:tcW w:w="1597" w:type="dxa"/>
            <w:tcBorders>
              <w:top w:val="nil"/>
              <w:left w:val="nil"/>
              <w:bottom w:val="double" w:sz="4" w:space="0" w:color="auto"/>
              <w:right w:val="single" w:sz="8" w:space="0" w:color="auto"/>
            </w:tcBorders>
            <w:shd w:val="clear" w:color="auto" w:fill="auto"/>
            <w:vAlign w:val="center"/>
            <w:hideMark/>
          </w:tcPr>
          <w:p w14:paraId="07EC7566" w14:textId="77777777" w:rsidR="001F45CE" w:rsidRPr="00913CCF" w:rsidRDefault="001F45CE" w:rsidP="001F45CE">
            <w:pPr>
              <w:spacing w:after="0"/>
              <w:jc w:val="left"/>
              <w:rPr>
                <w:rFonts w:eastAsia="Times New Roman" w:cs="Calibri"/>
                <w:color w:val="000000"/>
                <w:sz w:val="16"/>
                <w:szCs w:val="16"/>
              </w:rPr>
            </w:pPr>
            <w:r w:rsidRPr="00913CCF">
              <w:rPr>
                <w:rFonts w:eastAsia="Times New Roman" w:cs="Calibri"/>
                <w:color w:val="000000"/>
                <w:sz w:val="16"/>
                <w:szCs w:val="16"/>
              </w:rPr>
              <w:t>Equip. Furniture</w:t>
            </w:r>
          </w:p>
        </w:tc>
        <w:tc>
          <w:tcPr>
            <w:tcW w:w="935" w:type="dxa"/>
            <w:tcBorders>
              <w:top w:val="nil"/>
              <w:left w:val="nil"/>
              <w:bottom w:val="double" w:sz="4" w:space="0" w:color="auto"/>
              <w:right w:val="single" w:sz="8" w:space="0" w:color="auto"/>
            </w:tcBorders>
            <w:shd w:val="clear" w:color="auto" w:fill="auto"/>
            <w:noWrap/>
            <w:vAlign w:val="center"/>
            <w:hideMark/>
          </w:tcPr>
          <w:p w14:paraId="1560797D" w14:textId="25BAB990"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16,000</w:t>
            </w:r>
          </w:p>
        </w:tc>
        <w:tc>
          <w:tcPr>
            <w:tcW w:w="996" w:type="dxa"/>
            <w:tcBorders>
              <w:top w:val="nil"/>
              <w:left w:val="nil"/>
              <w:bottom w:val="double" w:sz="4" w:space="0" w:color="auto"/>
              <w:right w:val="single" w:sz="8" w:space="0" w:color="auto"/>
            </w:tcBorders>
            <w:shd w:val="clear" w:color="auto" w:fill="auto"/>
            <w:noWrap/>
            <w:vAlign w:val="center"/>
            <w:hideMark/>
          </w:tcPr>
          <w:p w14:paraId="31216310" w14:textId="076D8D6D"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2,000</w:t>
            </w:r>
          </w:p>
        </w:tc>
        <w:tc>
          <w:tcPr>
            <w:tcW w:w="925" w:type="dxa"/>
            <w:tcBorders>
              <w:top w:val="nil"/>
              <w:left w:val="nil"/>
              <w:bottom w:val="double" w:sz="4" w:space="0" w:color="auto"/>
              <w:right w:val="single" w:sz="8" w:space="0" w:color="auto"/>
            </w:tcBorders>
            <w:shd w:val="clear" w:color="auto" w:fill="auto"/>
            <w:noWrap/>
            <w:vAlign w:val="center"/>
            <w:hideMark/>
          </w:tcPr>
          <w:p w14:paraId="68E22E8F" w14:textId="10D74659"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925" w:type="dxa"/>
            <w:tcBorders>
              <w:top w:val="nil"/>
              <w:left w:val="nil"/>
              <w:bottom w:val="double" w:sz="4" w:space="0" w:color="auto"/>
              <w:right w:val="single" w:sz="8" w:space="0" w:color="auto"/>
            </w:tcBorders>
            <w:shd w:val="clear" w:color="auto" w:fill="auto"/>
            <w:noWrap/>
            <w:vAlign w:val="center"/>
            <w:hideMark/>
          </w:tcPr>
          <w:p w14:paraId="4821044F" w14:textId="2DB27D34"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925" w:type="dxa"/>
            <w:tcBorders>
              <w:top w:val="nil"/>
              <w:left w:val="nil"/>
              <w:bottom w:val="double" w:sz="4" w:space="0" w:color="auto"/>
              <w:right w:val="single" w:sz="8" w:space="0" w:color="auto"/>
            </w:tcBorders>
            <w:shd w:val="clear" w:color="auto" w:fill="auto"/>
            <w:noWrap/>
            <w:vAlign w:val="center"/>
            <w:hideMark/>
          </w:tcPr>
          <w:p w14:paraId="35AF14CE" w14:textId="337A0890"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925" w:type="dxa"/>
            <w:tcBorders>
              <w:top w:val="nil"/>
              <w:left w:val="nil"/>
              <w:bottom w:val="double" w:sz="4" w:space="0" w:color="auto"/>
              <w:right w:val="single" w:sz="8" w:space="0" w:color="auto"/>
            </w:tcBorders>
            <w:shd w:val="clear" w:color="auto" w:fill="auto"/>
            <w:vAlign w:val="center"/>
            <w:hideMark/>
          </w:tcPr>
          <w:p w14:paraId="18BDEEF7" w14:textId="6BA73987" w:rsidR="001F45CE" w:rsidRPr="00913CCF" w:rsidRDefault="001F45CE"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1244" w:type="dxa"/>
            <w:tcBorders>
              <w:top w:val="nil"/>
              <w:left w:val="nil"/>
              <w:bottom w:val="double" w:sz="4" w:space="0" w:color="auto"/>
              <w:right w:val="single" w:sz="8" w:space="0" w:color="auto"/>
            </w:tcBorders>
            <w:shd w:val="clear" w:color="auto" w:fill="auto"/>
            <w:noWrap/>
            <w:vAlign w:val="center"/>
            <w:hideMark/>
          </w:tcPr>
          <w:p w14:paraId="49854230" w14:textId="77777777" w:rsidR="001F45CE" w:rsidRPr="00913CCF" w:rsidRDefault="001F45CE"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18,000</w:t>
            </w:r>
          </w:p>
        </w:tc>
        <w:tc>
          <w:tcPr>
            <w:tcW w:w="844" w:type="dxa"/>
            <w:tcBorders>
              <w:top w:val="nil"/>
              <w:left w:val="nil"/>
              <w:bottom w:val="double" w:sz="4" w:space="0" w:color="auto"/>
              <w:right w:val="single" w:sz="8" w:space="0" w:color="auto"/>
            </w:tcBorders>
            <w:shd w:val="clear" w:color="auto" w:fill="auto"/>
            <w:vAlign w:val="center"/>
            <w:hideMark/>
          </w:tcPr>
          <w:p w14:paraId="1848F7B8" w14:textId="5AEA6653" w:rsidR="001F45CE" w:rsidRPr="00913CCF" w:rsidRDefault="001F45CE" w:rsidP="001F45CE">
            <w:pPr>
              <w:spacing w:after="0"/>
              <w:jc w:val="center"/>
              <w:rPr>
                <w:rFonts w:eastAsia="Times New Roman" w:cs="Calibri"/>
                <w:i/>
                <w:iCs/>
                <w:color w:val="000000"/>
                <w:sz w:val="16"/>
                <w:szCs w:val="16"/>
              </w:rPr>
            </w:pPr>
            <w:r w:rsidRPr="00913CCF">
              <w:rPr>
                <w:rFonts w:eastAsia="Times New Roman" w:cs="Calibri"/>
                <w:i/>
                <w:iCs/>
                <w:color w:val="000000"/>
                <w:sz w:val="16"/>
                <w:szCs w:val="16"/>
              </w:rPr>
              <w:t>5</w:t>
            </w:r>
            <w:r w:rsidR="00512288">
              <w:rPr>
                <w:rFonts w:eastAsia="Times New Roman" w:cs="Calibri"/>
                <w:i/>
                <w:iCs/>
                <w:color w:val="000000"/>
                <w:sz w:val="16"/>
                <w:szCs w:val="16"/>
              </w:rPr>
              <w:t>1</w:t>
            </w:r>
          </w:p>
        </w:tc>
      </w:tr>
      <w:tr w:rsidR="00571952" w:rsidRPr="00913CCF" w14:paraId="3258C7B7" w14:textId="77777777" w:rsidTr="00512288">
        <w:trPr>
          <w:trHeight w:val="225"/>
        </w:trPr>
        <w:tc>
          <w:tcPr>
            <w:tcW w:w="1335" w:type="dxa"/>
            <w:vMerge/>
            <w:tcBorders>
              <w:top w:val="nil"/>
              <w:left w:val="single" w:sz="8" w:space="0" w:color="000000"/>
              <w:bottom w:val="double" w:sz="6" w:space="0" w:color="000000"/>
              <w:right w:val="single" w:sz="8" w:space="0" w:color="auto"/>
            </w:tcBorders>
            <w:shd w:val="clear" w:color="auto" w:fill="auto"/>
            <w:vAlign w:val="center"/>
            <w:hideMark/>
          </w:tcPr>
          <w:p w14:paraId="2B3F3E69" w14:textId="77777777" w:rsidR="00571952" w:rsidRPr="00913CCF" w:rsidRDefault="00571952" w:rsidP="001F45CE">
            <w:pPr>
              <w:spacing w:after="0"/>
              <w:jc w:val="left"/>
              <w:rPr>
                <w:rFonts w:eastAsia="Times New Roman" w:cs="Calibri"/>
                <w:b/>
                <w:bCs/>
                <w:color w:val="000000"/>
                <w:sz w:val="16"/>
                <w:szCs w:val="16"/>
              </w:rPr>
            </w:pPr>
          </w:p>
        </w:tc>
        <w:tc>
          <w:tcPr>
            <w:tcW w:w="1267" w:type="dxa"/>
            <w:vMerge/>
            <w:tcBorders>
              <w:top w:val="nil"/>
              <w:left w:val="single" w:sz="8" w:space="0" w:color="auto"/>
              <w:bottom w:val="double" w:sz="6" w:space="0" w:color="000000"/>
              <w:right w:val="single" w:sz="8" w:space="0" w:color="auto"/>
            </w:tcBorders>
            <w:shd w:val="clear" w:color="auto" w:fill="auto"/>
            <w:vAlign w:val="center"/>
            <w:hideMark/>
          </w:tcPr>
          <w:p w14:paraId="344A194A" w14:textId="77777777" w:rsidR="00571952" w:rsidRPr="00913CCF" w:rsidRDefault="00571952" w:rsidP="001F45CE">
            <w:pPr>
              <w:spacing w:after="0"/>
              <w:jc w:val="left"/>
              <w:rPr>
                <w:rFonts w:eastAsia="Times New Roman" w:cs="Calibri"/>
                <w:b/>
                <w:bCs/>
                <w:color w:val="000000"/>
                <w:sz w:val="16"/>
                <w:szCs w:val="16"/>
              </w:rPr>
            </w:pPr>
          </w:p>
        </w:tc>
        <w:tc>
          <w:tcPr>
            <w:tcW w:w="713" w:type="dxa"/>
            <w:vMerge/>
            <w:tcBorders>
              <w:top w:val="nil"/>
              <w:left w:val="single" w:sz="8" w:space="0" w:color="auto"/>
              <w:bottom w:val="double" w:sz="6" w:space="0" w:color="000000"/>
              <w:right w:val="single" w:sz="8" w:space="0" w:color="auto"/>
            </w:tcBorders>
            <w:shd w:val="clear" w:color="auto" w:fill="auto"/>
            <w:vAlign w:val="center"/>
            <w:hideMark/>
          </w:tcPr>
          <w:p w14:paraId="19B8E8E1" w14:textId="77777777" w:rsidR="00571952" w:rsidRPr="00913CCF" w:rsidRDefault="00571952" w:rsidP="001F45CE">
            <w:pPr>
              <w:spacing w:after="0"/>
              <w:jc w:val="left"/>
              <w:rPr>
                <w:rFonts w:eastAsia="Times New Roman" w:cs="Calibri"/>
                <w:b/>
                <w:bCs/>
                <w:color w:val="000000"/>
                <w:sz w:val="16"/>
                <w:szCs w:val="16"/>
              </w:rPr>
            </w:pPr>
          </w:p>
        </w:tc>
        <w:tc>
          <w:tcPr>
            <w:tcW w:w="632" w:type="dxa"/>
            <w:vMerge/>
            <w:tcBorders>
              <w:top w:val="nil"/>
              <w:left w:val="single" w:sz="8" w:space="0" w:color="auto"/>
              <w:bottom w:val="double" w:sz="6" w:space="0" w:color="000000"/>
              <w:right w:val="single" w:sz="8" w:space="0" w:color="auto"/>
            </w:tcBorders>
            <w:shd w:val="clear" w:color="auto" w:fill="auto"/>
            <w:vAlign w:val="center"/>
            <w:hideMark/>
          </w:tcPr>
          <w:p w14:paraId="65CAADAB" w14:textId="77777777" w:rsidR="00571952" w:rsidRPr="00913CCF" w:rsidRDefault="00571952" w:rsidP="001F45CE">
            <w:pPr>
              <w:spacing w:after="0"/>
              <w:jc w:val="left"/>
              <w:rPr>
                <w:rFonts w:eastAsia="Times New Roman" w:cs="Calibri"/>
                <w:b/>
                <w:bCs/>
                <w:color w:val="000000"/>
                <w:sz w:val="16"/>
                <w:szCs w:val="16"/>
              </w:rPr>
            </w:pPr>
          </w:p>
        </w:tc>
        <w:tc>
          <w:tcPr>
            <w:tcW w:w="2498" w:type="dxa"/>
            <w:gridSpan w:val="2"/>
            <w:tcBorders>
              <w:top w:val="double" w:sz="4" w:space="0" w:color="auto"/>
              <w:left w:val="nil"/>
              <w:bottom w:val="double" w:sz="6" w:space="0" w:color="auto"/>
              <w:right w:val="single" w:sz="8" w:space="0" w:color="auto"/>
            </w:tcBorders>
            <w:shd w:val="clear" w:color="auto" w:fill="FFE599" w:themeFill="accent4" w:themeFillTint="66"/>
            <w:noWrap/>
            <w:vAlign w:val="center"/>
            <w:hideMark/>
          </w:tcPr>
          <w:p w14:paraId="50F94226" w14:textId="3EC4AE43" w:rsidR="00571952" w:rsidRPr="00913CCF" w:rsidRDefault="00571952" w:rsidP="00F8089A">
            <w:pPr>
              <w:spacing w:after="0"/>
              <w:jc w:val="right"/>
              <w:rPr>
                <w:rFonts w:eastAsia="Times New Roman" w:cs="Calibri"/>
                <w:b/>
                <w:bCs/>
                <w:color w:val="000000"/>
                <w:sz w:val="15"/>
                <w:szCs w:val="15"/>
              </w:rPr>
            </w:pPr>
            <w:r w:rsidRPr="00913CCF">
              <w:rPr>
                <w:rFonts w:eastAsia="Times New Roman" w:cs="Calibri"/>
                <w:b/>
                <w:bCs/>
                <w:color w:val="000000"/>
                <w:sz w:val="16"/>
                <w:szCs w:val="16"/>
              </w:rPr>
              <w:t> </w:t>
            </w:r>
            <w:r w:rsidRPr="00913CCF">
              <w:rPr>
                <w:rFonts w:eastAsia="Times New Roman" w:cs="Calibri"/>
                <w:b/>
                <w:bCs/>
                <w:color w:val="000000"/>
                <w:sz w:val="15"/>
                <w:szCs w:val="15"/>
              </w:rPr>
              <w:t xml:space="preserve">Sub-total </w:t>
            </w:r>
            <w:r w:rsidR="00DB7E3F">
              <w:rPr>
                <w:rFonts w:eastAsia="Times New Roman" w:cs="Calibri"/>
                <w:b/>
                <w:bCs/>
                <w:color w:val="000000"/>
                <w:sz w:val="15"/>
                <w:szCs w:val="15"/>
              </w:rPr>
              <w:t>UNDP</w:t>
            </w:r>
          </w:p>
        </w:tc>
        <w:tc>
          <w:tcPr>
            <w:tcW w:w="935" w:type="dxa"/>
            <w:tcBorders>
              <w:top w:val="double" w:sz="4" w:space="0" w:color="auto"/>
              <w:left w:val="nil"/>
              <w:bottom w:val="double" w:sz="6" w:space="0" w:color="auto"/>
              <w:right w:val="single" w:sz="8" w:space="0" w:color="auto"/>
            </w:tcBorders>
            <w:shd w:val="clear" w:color="auto" w:fill="FFE599" w:themeFill="accent4" w:themeFillTint="66"/>
            <w:noWrap/>
            <w:vAlign w:val="center"/>
            <w:hideMark/>
          </w:tcPr>
          <w:p w14:paraId="056B84AC" w14:textId="0956D93F" w:rsidR="00571952" w:rsidRPr="00EF6D8E"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18,000</w:t>
            </w:r>
          </w:p>
        </w:tc>
        <w:tc>
          <w:tcPr>
            <w:tcW w:w="996" w:type="dxa"/>
            <w:tcBorders>
              <w:top w:val="double" w:sz="4" w:space="0" w:color="auto"/>
              <w:left w:val="nil"/>
              <w:bottom w:val="double" w:sz="6" w:space="0" w:color="auto"/>
              <w:right w:val="single" w:sz="8" w:space="0" w:color="auto"/>
            </w:tcBorders>
            <w:shd w:val="clear" w:color="auto" w:fill="FFE599" w:themeFill="accent4" w:themeFillTint="66"/>
            <w:noWrap/>
            <w:vAlign w:val="center"/>
            <w:hideMark/>
          </w:tcPr>
          <w:p w14:paraId="08CD7E4C" w14:textId="63D8FA42" w:rsidR="00571952" w:rsidRPr="00EF6D8E"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11,500</w:t>
            </w:r>
          </w:p>
        </w:tc>
        <w:tc>
          <w:tcPr>
            <w:tcW w:w="925" w:type="dxa"/>
            <w:tcBorders>
              <w:top w:val="double" w:sz="4" w:space="0" w:color="auto"/>
              <w:left w:val="nil"/>
              <w:bottom w:val="double" w:sz="6" w:space="0" w:color="auto"/>
              <w:right w:val="single" w:sz="8" w:space="0" w:color="auto"/>
            </w:tcBorders>
            <w:shd w:val="clear" w:color="auto" w:fill="FFE599" w:themeFill="accent4" w:themeFillTint="66"/>
            <w:noWrap/>
            <w:vAlign w:val="center"/>
            <w:hideMark/>
          </w:tcPr>
          <w:p w14:paraId="4E72EBD8" w14:textId="1605B4E8" w:rsidR="00571952" w:rsidRPr="00EF6D8E"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925" w:type="dxa"/>
            <w:tcBorders>
              <w:top w:val="double" w:sz="4" w:space="0" w:color="auto"/>
              <w:left w:val="nil"/>
              <w:bottom w:val="double" w:sz="6" w:space="0" w:color="auto"/>
              <w:right w:val="single" w:sz="8" w:space="0" w:color="auto"/>
            </w:tcBorders>
            <w:shd w:val="clear" w:color="auto" w:fill="FFE599" w:themeFill="accent4" w:themeFillTint="66"/>
            <w:noWrap/>
            <w:vAlign w:val="center"/>
            <w:hideMark/>
          </w:tcPr>
          <w:p w14:paraId="29CEAD30" w14:textId="73F9F694" w:rsidR="00571952" w:rsidRPr="00EF6D8E"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925" w:type="dxa"/>
            <w:tcBorders>
              <w:top w:val="double" w:sz="4" w:space="0" w:color="auto"/>
              <w:left w:val="nil"/>
              <w:bottom w:val="double" w:sz="6" w:space="0" w:color="auto"/>
              <w:right w:val="single" w:sz="8" w:space="0" w:color="auto"/>
            </w:tcBorders>
            <w:shd w:val="clear" w:color="auto" w:fill="FFE599" w:themeFill="accent4" w:themeFillTint="66"/>
            <w:noWrap/>
            <w:vAlign w:val="center"/>
            <w:hideMark/>
          </w:tcPr>
          <w:p w14:paraId="78D6DD9B" w14:textId="577584D9" w:rsidR="00571952" w:rsidRPr="00EF6D8E"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925" w:type="dxa"/>
            <w:tcBorders>
              <w:top w:val="double" w:sz="4" w:space="0" w:color="auto"/>
              <w:left w:val="nil"/>
              <w:bottom w:val="double" w:sz="6" w:space="0" w:color="auto"/>
              <w:right w:val="single" w:sz="8" w:space="0" w:color="auto"/>
            </w:tcBorders>
            <w:shd w:val="clear" w:color="auto" w:fill="FFE599" w:themeFill="accent4" w:themeFillTint="66"/>
            <w:vAlign w:val="center"/>
            <w:hideMark/>
          </w:tcPr>
          <w:p w14:paraId="660074F9" w14:textId="5276670D" w:rsidR="00571952" w:rsidRPr="00EF6D8E"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9,500</w:t>
            </w:r>
          </w:p>
        </w:tc>
        <w:tc>
          <w:tcPr>
            <w:tcW w:w="1244" w:type="dxa"/>
            <w:tcBorders>
              <w:top w:val="double" w:sz="4" w:space="0" w:color="auto"/>
              <w:left w:val="nil"/>
              <w:bottom w:val="double" w:sz="6" w:space="0" w:color="auto"/>
              <w:right w:val="single" w:sz="8" w:space="0" w:color="auto"/>
            </w:tcBorders>
            <w:shd w:val="clear" w:color="auto" w:fill="FFE599" w:themeFill="accent4" w:themeFillTint="66"/>
            <w:noWrap/>
            <w:vAlign w:val="center"/>
            <w:hideMark/>
          </w:tcPr>
          <w:p w14:paraId="3A94636D" w14:textId="77777777" w:rsidR="00571952" w:rsidRPr="00913CCF" w:rsidRDefault="00571952"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67,500</w:t>
            </w:r>
          </w:p>
        </w:tc>
        <w:tc>
          <w:tcPr>
            <w:tcW w:w="844" w:type="dxa"/>
            <w:tcBorders>
              <w:top w:val="double" w:sz="4" w:space="0" w:color="auto"/>
              <w:left w:val="nil"/>
              <w:bottom w:val="double" w:sz="6" w:space="0" w:color="auto"/>
              <w:right w:val="single" w:sz="8" w:space="0" w:color="auto"/>
            </w:tcBorders>
            <w:shd w:val="clear" w:color="auto" w:fill="FFE599" w:themeFill="accent4" w:themeFillTint="66"/>
            <w:vAlign w:val="center"/>
            <w:hideMark/>
          </w:tcPr>
          <w:p w14:paraId="69B726CF" w14:textId="77777777" w:rsidR="00571952" w:rsidRPr="00913CCF" w:rsidRDefault="00571952" w:rsidP="001F45CE">
            <w:pPr>
              <w:spacing w:after="0"/>
              <w:jc w:val="center"/>
              <w:rPr>
                <w:rFonts w:eastAsia="Times New Roman" w:cs="Calibri"/>
                <w:color w:val="000000"/>
                <w:sz w:val="14"/>
                <w:szCs w:val="14"/>
              </w:rPr>
            </w:pPr>
            <w:r w:rsidRPr="00913CCF">
              <w:rPr>
                <w:rFonts w:eastAsia="Times New Roman" w:cs="Calibri"/>
                <w:color w:val="000000"/>
                <w:sz w:val="14"/>
                <w:szCs w:val="14"/>
              </w:rPr>
              <w:t> </w:t>
            </w:r>
          </w:p>
        </w:tc>
      </w:tr>
      <w:tr w:rsidR="00571952" w:rsidRPr="00913CCF" w14:paraId="3567138D" w14:textId="77777777" w:rsidTr="00512288">
        <w:trPr>
          <w:trHeight w:val="225"/>
        </w:trPr>
        <w:tc>
          <w:tcPr>
            <w:tcW w:w="1335" w:type="dxa"/>
            <w:vMerge/>
            <w:tcBorders>
              <w:top w:val="nil"/>
              <w:left w:val="single" w:sz="8" w:space="0" w:color="000000"/>
              <w:bottom w:val="double" w:sz="6" w:space="0" w:color="auto"/>
              <w:right w:val="single" w:sz="8" w:space="0" w:color="auto"/>
            </w:tcBorders>
            <w:shd w:val="clear" w:color="auto" w:fill="auto"/>
            <w:vAlign w:val="center"/>
            <w:hideMark/>
          </w:tcPr>
          <w:p w14:paraId="12F27C45" w14:textId="77777777" w:rsidR="00571952" w:rsidRPr="00913CCF" w:rsidRDefault="00571952" w:rsidP="001F45CE">
            <w:pPr>
              <w:spacing w:after="0"/>
              <w:jc w:val="left"/>
              <w:rPr>
                <w:rFonts w:eastAsia="Times New Roman" w:cs="Calibri"/>
                <w:b/>
                <w:bCs/>
                <w:color w:val="000000"/>
                <w:sz w:val="16"/>
                <w:szCs w:val="16"/>
              </w:rPr>
            </w:pPr>
          </w:p>
        </w:tc>
        <w:tc>
          <w:tcPr>
            <w:tcW w:w="5110" w:type="dxa"/>
            <w:gridSpan w:val="5"/>
            <w:tcBorders>
              <w:top w:val="nil"/>
              <w:left w:val="nil"/>
              <w:bottom w:val="double" w:sz="6" w:space="0" w:color="auto"/>
              <w:right w:val="single" w:sz="8" w:space="0" w:color="auto"/>
            </w:tcBorders>
            <w:shd w:val="clear" w:color="auto" w:fill="C5E0B3" w:themeFill="accent6" w:themeFillTint="66"/>
            <w:vAlign w:val="center"/>
            <w:hideMark/>
          </w:tcPr>
          <w:p w14:paraId="2A214536" w14:textId="1D70FD1B" w:rsidR="00571952" w:rsidRPr="00913CCF" w:rsidRDefault="00571952"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Total Outcome 4</w:t>
            </w:r>
          </w:p>
        </w:tc>
        <w:tc>
          <w:tcPr>
            <w:tcW w:w="935" w:type="dxa"/>
            <w:tcBorders>
              <w:top w:val="nil"/>
              <w:left w:val="nil"/>
              <w:bottom w:val="double" w:sz="6" w:space="0" w:color="auto"/>
              <w:right w:val="single" w:sz="8" w:space="0" w:color="auto"/>
            </w:tcBorders>
            <w:shd w:val="clear" w:color="auto" w:fill="C5E0B3" w:themeFill="accent6" w:themeFillTint="66"/>
            <w:noWrap/>
            <w:vAlign w:val="center"/>
            <w:hideMark/>
          </w:tcPr>
          <w:p w14:paraId="5968EDED" w14:textId="7D75B103" w:rsidR="00571952" w:rsidRPr="00582BDC" w:rsidRDefault="00571952" w:rsidP="00F8089A">
            <w:pPr>
              <w:spacing w:after="0"/>
              <w:jc w:val="right"/>
              <w:rPr>
                <w:rFonts w:eastAsia="Times New Roman" w:cs="Calibri"/>
                <w:b/>
                <w:bCs/>
                <w:color w:val="000000"/>
                <w:sz w:val="16"/>
                <w:szCs w:val="16"/>
                <w:highlight w:val="green"/>
              </w:rPr>
            </w:pPr>
            <w:r w:rsidRPr="00582BDC">
              <w:rPr>
                <w:rFonts w:eastAsia="Times New Roman" w:cs="Calibri"/>
                <w:b/>
                <w:bCs/>
                <w:color w:val="000000"/>
                <w:sz w:val="16"/>
                <w:szCs w:val="16"/>
                <w:highlight w:val="green"/>
              </w:rPr>
              <w:t>148,373</w:t>
            </w:r>
          </w:p>
        </w:tc>
        <w:tc>
          <w:tcPr>
            <w:tcW w:w="996" w:type="dxa"/>
            <w:tcBorders>
              <w:top w:val="nil"/>
              <w:left w:val="nil"/>
              <w:bottom w:val="double" w:sz="6" w:space="0" w:color="auto"/>
              <w:right w:val="single" w:sz="8" w:space="0" w:color="auto"/>
            </w:tcBorders>
            <w:shd w:val="clear" w:color="auto" w:fill="C5E0B3" w:themeFill="accent6" w:themeFillTint="66"/>
            <w:noWrap/>
            <w:vAlign w:val="center"/>
            <w:hideMark/>
          </w:tcPr>
          <w:p w14:paraId="297C779D" w14:textId="5EA6B715" w:rsidR="00571952" w:rsidRPr="00582BDC" w:rsidRDefault="00571952" w:rsidP="00F8089A">
            <w:pPr>
              <w:spacing w:after="0"/>
              <w:jc w:val="right"/>
              <w:rPr>
                <w:rFonts w:eastAsia="Times New Roman" w:cs="Calibri"/>
                <w:b/>
                <w:bCs/>
                <w:color w:val="000000"/>
                <w:sz w:val="16"/>
                <w:szCs w:val="16"/>
                <w:highlight w:val="green"/>
              </w:rPr>
            </w:pPr>
            <w:r w:rsidRPr="00582BDC">
              <w:rPr>
                <w:rFonts w:eastAsia="Times New Roman" w:cs="Calibri"/>
                <w:b/>
                <w:bCs/>
                <w:color w:val="000000"/>
                <w:sz w:val="16"/>
                <w:szCs w:val="16"/>
                <w:highlight w:val="green"/>
              </w:rPr>
              <w:t>65,750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270585B2" w14:textId="417DE019" w:rsidR="00571952" w:rsidRPr="00582BDC" w:rsidRDefault="00571952" w:rsidP="00F8089A">
            <w:pPr>
              <w:spacing w:after="0"/>
              <w:jc w:val="right"/>
              <w:rPr>
                <w:rFonts w:eastAsia="Times New Roman" w:cs="Calibri"/>
                <w:b/>
                <w:bCs/>
                <w:color w:val="000000"/>
                <w:sz w:val="16"/>
                <w:szCs w:val="16"/>
                <w:highlight w:val="green"/>
              </w:rPr>
            </w:pPr>
            <w:r w:rsidRPr="00582BDC">
              <w:rPr>
                <w:rFonts w:eastAsia="Times New Roman" w:cs="Calibri"/>
                <w:b/>
                <w:bCs/>
                <w:color w:val="000000"/>
                <w:sz w:val="16"/>
                <w:szCs w:val="16"/>
                <w:highlight w:val="green"/>
              </w:rPr>
              <w:t>101,600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19E6D854" w14:textId="618EE0CF" w:rsidR="00571952" w:rsidRPr="00582BDC" w:rsidRDefault="00571952" w:rsidP="00F8089A">
            <w:pPr>
              <w:spacing w:after="0"/>
              <w:jc w:val="right"/>
              <w:rPr>
                <w:rFonts w:eastAsia="Times New Roman" w:cs="Calibri"/>
                <w:b/>
                <w:bCs/>
                <w:color w:val="000000"/>
                <w:sz w:val="16"/>
                <w:szCs w:val="16"/>
                <w:highlight w:val="green"/>
              </w:rPr>
            </w:pPr>
            <w:r w:rsidRPr="00582BDC">
              <w:rPr>
                <w:rFonts w:eastAsia="Times New Roman" w:cs="Calibri"/>
                <w:b/>
                <w:bCs/>
                <w:color w:val="000000"/>
                <w:sz w:val="16"/>
                <w:szCs w:val="16"/>
                <w:highlight w:val="green"/>
              </w:rPr>
              <w:t>83,750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4805E01D" w14:textId="3494728D" w:rsidR="00571952" w:rsidRPr="00582BDC" w:rsidRDefault="00571952" w:rsidP="00F8089A">
            <w:pPr>
              <w:spacing w:after="0"/>
              <w:jc w:val="right"/>
              <w:rPr>
                <w:rFonts w:eastAsia="Times New Roman" w:cs="Calibri"/>
                <w:b/>
                <w:bCs/>
                <w:color w:val="000000"/>
                <w:sz w:val="16"/>
                <w:szCs w:val="16"/>
                <w:highlight w:val="green"/>
              </w:rPr>
            </w:pPr>
            <w:r w:rsidRPr="00582BDC">
              <w:rPr>
                <w:rFonts w:eastAsia="Times New Roman" w:cs="Calibri"/>
                <w:b/>
                <w:bCs/>
                <w:color w:val="000000"/>
                <w:sz w:val="16"/>
                <w:szCs w:val="16"/>
                <w:highlight w:val="green"/>
              </w:rPr>
              <w:t>78,750</w:t>
            </w:r>
          </w:p>
        </w:tc>
        <w:tc>
          <w:tcPr>
            <w:tcW w:w="925" w:type="dxa"/>
            <w:tcBorders>
              <w:top w:val="nil"/>
              <w:left w:val="nil"/>
              <w:bottom w:val="double" w:sz="6" w:space="0" w:color="auto"/>
              <w:right w:val="single" w:sz="8" w:space="0" w:color="auto"/>
            </w:tcBorders>
            <w:shd w:val="clear" w:color="auto" w:fill="C5E0B3" w:themeFill="accent6" w:themeFillTint="66"/>
            <w:noWrap/>
            <w:vAlign w:val="center"/>
            <w:hideMark/>
          </w:tcPr>
          <w:p w14:paraId="24738AF5" w14:textId="25F5050F" w:rsidR="00571952" w:rsidRPr="00EF6D8E"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113,950</w:t>
            </w:r>
          </w:p>
        </w:tc>
        <w:tc>
          <w:tcPr>
            <w:tcW w:w="1244" w:type="dxa"/>
            <w:tcBorders>
              <w:top w:val="nil"/>
              <w:left w:val="nil"/>
              <w:bottom w:val="double" w:sz="6" w:space="0" w:color="auto"/>
              <w:right w:val="single" w:sz="8" w:space="0" w:color="auto"/>
            </w:tcBorders>
            <w:shd w:val="clear" w:color="auto" w:fill="C5E0B3" w:themeFill="accent6" w:themeFillTint="66"/>
            <w:noWrap/>
            <w:vAlign w:val="center"/>
            <w:hideMark/>
          </w:tcPr>
          <w:p w14:paraId="7FA6AB59" w14:textId="43CFC499" w:rsidR="00571952" w:rsidRPr="00EF6D8E"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602,173</w:t>
            </w:r>
          </w:p>
        </w:tc>
        <w:tc>
          <w:tcPr>
            <w:tcW w:w="844" w:type="dxa"/>
            <w:tcBorders>
              <w:top w:val="nil"/>
              <w:left w:val="nil"/>
              <w:bottom w:val="double" w:sz="6" w:space="0" w:color="auto"/>
              <w:right w:val="single" w:sz="8" w:space="0" w:color="auto"/>
            </w:tcBorders>
            <w:shd w:val="clear" w:color="auto" w:fill="C5E0B3" w:themeFill="accent6" w:themeFillTint="66"/>
            <w:vAlign w:val="center"/>
            <w:hideMark/>
          </w:tcPr>
          <w:p w14:paraId="38086713" w14:textId="77777777" w:rsidR="00571952" w:rsidRPr="00913CCF" w:rsidRDefault="00571952" w:rsidP="001F45CE">
            <w:pPr>
              <w:spacing w:after="0"/>
              <w:jc w:val="center"/>
              <w:rPr>
                <w:rFonts w:eastAsia="Times New Roman" w:cs="Calibri"/>
                <w:color w:val="000000"/>
                <w:sz w:val="14"/>
                <w:szCs w:val="14"/>
              </w:rPr>
            </w:pPr>
            <w:r w:rsidRPr="00913CCF">
              <w:rPr>
                <w:rFonts w:eastAsia="Times New Roman" w:cs="Calibri"/>
                <w:color w:val="000000"/>
                <w:sz w:val="14"/>
                <w:szCs w:val="14"/>
              </w:rPr>
              <w:t> </w:t>
            </w:r>
          </w:p>
        </w:tc>
      </w:tr>
      <w:tr w:rsidR="00D14F0F" w:rsidRPr="00913CCF" w14:paraId="6F069581" w14:textId="77777777" w:rsidTr="00512288">
        <w:trPr>
          <w:trHeight w:val="202"/>
        </w:trPr>
        <w:tc>
          <w:tcPr>
            <w:tcW w:w="1335" w:type="dxa"/>
            <w:vMerge w:val="restart"/>
            <w:tcBorders>
              <w:top w:val="double" w:sz="6" w:space="0" w:color="auto"/>
              <w:left w:val="double" w:sz="6" w:space="0" w:color="auto"/>
              <w:bottom w:val="double" w:sz="6" w:space="0" w:color="auto"/>
              <w:right w:val="single" w:sz="8" w:space="0" w:color="auto"/>
            </w:tcBorders>
            <w:shd w:val="clear" w:color="auto" w:fill="auto"/>
            <w:vAlign w:val="center"/>
            <w:hideMark/>
          </w:tcPr>
          <w:p w14:paraId="4E65E548" w14:textId="77777777" w:rsidR="00D14F0F" w:rsidRPr="00913CCF" w:rsidRDefault="00D14F0F" w:rsidP="004205FD">
            <w:pPr>
              <w:spacing w:after="0"/>
              <w:jc w:val="center"/>
              <w:rPr>
                <w:rFonts w:eastAsia="Times New Roman" w:cs="Calibri"/>
                <w:b/>
                <w:bCs/>
                <w:color w:val="000000"/>
                <w:sz w:val="16"/>
                <w:szCs w:val="16"/>
              </w:rPr>
            </w:pPr>
            <w:r w:rsidRPr="00913CCF">
              <w:rPr>
                <w:rFonts w:eastAsia="Times New Roman" w:cs="Calibri"/>
                <w:b/>
                <w:bCs/>
                <w:color w:val="000000"/>
                <w:sz w:val="16"/>
                <w:szCs w:val="16"/>
                <w:lang w:val="fr-CA"/>
              </w:rPr>
              <w:lastRenderedPageBreak/>
              <w:t>PROJECT MANAGEMENT UNIT</w:t>
            </w:r>
          </w:p>
        </w:tc>
        <w:tc>
          <w:tcPr>
            <w:tcW w:w="1267" w:type="dxa"/>
            <w:vMerge w:val="restart"/>
            <w:tcBorders>
              <w:top w:val="double" w:sz="6" w:space="0" w:color="auto"/>
              <w:left w:val="single" w:sz="8" w:space="0" w:color="auto"/>
              <w:bottom w:val="double" w:sz="6" w:space="0" w:color="auto"/>
              <w:right w:val="single" w:sz="8" w:space="0" w:color="auto"/>
            </w:tcBorders>
            <w:shd w:val="clear" w:color="auto" w:fill="auto"/>
            <w:vAlign w:val="center"/>
            <w:hideMark/>
          </w:tcPr>
          <w:p w14:paraId="3619EBED" w14:textId="69DD933E" w:rsidR="00D14F0F" w:rsidRPr="00AB47BD" w:rsidRDefault="001265F0" w:rsidP="004205FD">
            <w:pPr>
              <w:spacing w:after="0"/>
              <w:rPr>
                <w:rFonts w:eastAsia="Times New Roman" w:cs="Calibri"/>
                <w:b/>
                <w:bCs/>
                <w:color w:val="000000"/>
                <w:sz w:val="16"/>
                <w:szCs w:val="16"/>
                <w:lang w:val="fr-FR"/>
              </w:rPr>
            </w:pPr>
            <w:r w:rsidRPr="00AB47BD">
              <w:rPr>
                <w:rFonts w:cs="Arial"/>
                <w:b/>
                <w:bCs/>
                <w:sz w:val="16"/>
                <w:szCs w:val="16"/>
                <w:highlight w:val="green"/>
                <w:lang w:val="fr-FR"/>
              </w:rPr>
              <w:t>Ministère de l'environnement, de l'eau et de l’Assainissement</w:t>
            </w:r>
          </w:p>
        </w:tc>
        <w:tc>
          <w:tcPr>
            <w:tcW w:w="713" w:type="dxa"/>
            <w:vMerge w:val="restart"/>
            <w:tcBorders>
              <w:top w:val="double" w:sz="6" w:space="0" w:color="auto"/>
              <w:left w:val="single" w:sz="8" w:space="0" w:color="auto"/>
              <w:bottom w:val="double" w:sz="6" w:space="0" w:color="auto"/>
              <w:right w:val="single" w:sz="8" w:space="0" w:color="auto"/>
            </w:tcBorders>
            <w:shd w:val="clear" w:color="auto" w:fill="auto"/>
            <w:vAlign w:val="center"/>
            <w:hideMark/>
          </w:tcPr>
          <w:p w14:paraId="1B7CA4BD" w14:textId="77777777" w:rsidR="00D14F0F" w:rsidRPr="00913CCF" w:rsidRDefault="00D14F0F" w:rsidP="004205FD">
            <w:pPr>
              <w:spacing w:after="0"/>
              <w:jc w:val="center"/>
              <w:rPr>
                <w:rFonts w:eastAsia="Times New Roman" w:cs="Calibri"/>
                <w:b/>
                <w:bCs/>
                <w:color w:val="000000"/>
                <w:sz w:val="16"/>
                <w:szCs w:val="16"/>
              </w:rPr>
            </w:pPr>
            <w:r w:rsidRPr="00913CCF">
              <w:rPr>
                <w:rFonts w:eastAsia="Times New Roman" w:cs="Calibri"/>
                <w:b/>
                <w:bCs/>
                <w:color w:val="000000"/>
                <w:sz w:val="16"/>
                <w:szCs w:val="16"/>
              </w:rPr>
              <w:t>62000</w:t>
            </w:r>
          </w:p>
        </w:tc>
        <w:tc>
          <w:tcPr>
            <w:tcW w:w="632" w:type="dxa"/>
            <w:vMerge w:val="restart"/>
            <w:tcBorders>
              <w:top w:val="double" w:sz="6" w:space="0" w:color="auto"/>
              <w:left w:val="single" w:sz="8" w:space="0" w:color="auto"/>
              <w:bottom w:val="double" w:sz="6" w:space="0" w:color="auto"/>
              <w:right w:val="single" w:sz="8" w:space="0" w:color="auto"/>
            </w:tcBorders>
            <w:shd w:val="clear" w:color="auto" w:fill="auto"/>
            <w:vAlign w:val="center"/>
            <w:hideMark/>
          </w:tcPr>
          <w:p w14:paraId="17C89EA2" w14:textId="77777777" w:rsidR="00D14F0F" w:rsidRPr="00913CCF" w:rsidRDefault="00D14F0F" w:rsidP="004205FD">
            <w:pPr>
              <w:spacing w:after="0"/>
              <w:jc w:val="center"/>
              <w:rPr>
                <w:rFonts w:eastAsia="Times New Roman" w:cs="Calibri"/>
                <w:b/>
                <w:bCs/>
                <w:color w:val="000000"/>
                <w:sz w:val="16"/>
                <w:szCs w:val="16"/>
              </w:rPr>
            </w:pPr>
            <w:r w:rsidRPr="00913CCF">
              <w:rPr>
                <w:rFonts w:eastAsia="Times New Roman" w:cs="Calibri"/>
                <w:b/>
                <w:bCs/>
                <w:color w:val="000000"/>
                <w:sz w:val="16"/>
                <w:szCs w:val="16"/>
              </w:rPr>
              <w:t>GEF</w:t>
            </w:r>
          </w:p>
        </w:tc>
        <w:tc>
          <w:tcPr>
            <w:tcW w:w="901" w:type="dxa"/>
            <w:tcBorders>
              <w:top w:val="double" w:sz="6" w:space="0" w:color="auto"/>
              <w:left w:val="nil"/>
              <w:bottom w:val="single" w:sz="4" w:space="0" w:color="auto"/>
              <w:right w:val="single" w:sz="8" w:space="0" w:color="auto"/>
            </w:tcBorders>
            <w:shd w:val="clear" w:color="auto" w:fill="auto"/>
            <w:noWrap/>
            <w:vAlign w:val="center"/>
            <w:hideMark/>
          </w:tcPr>
          <w:p w14:paraId="067A7AA2" w14:textId="77777777" w:rsidR="00D14F0F" w:rsidRPr="00913CCF" w:rsidRDefault="00D14F0F" w:rsidP="004205FD">
            <w:pPr>
              <w:spacing w:after="0"/>
              <w:jc w:val="center"/>
              <w:rPr>
                <w:rFonts w:eastAsia="Times New Roman" w:cs="Calibri"/>
                <w:color w:val="000000"/>
                <w:sz w:val="16"/>
                <w:szCs w:val="16"/>
              </w:rPr>
            </w:pPr>
            <w:r w:rsidRPr="00913CCF">
              <w:rPr>
                <w:rFonts w:eastAsia="Times New Roman" w:cs="Calibri"/>
                <w:color w:val="000000"/>
                <w:sz w:val="16"/>
                <w:szCs w:val="16"/>
              </w:rPr>
              <w:t>71400</w:t>
            </w:r>
          </w:p>
        </w:tc>
        <w:tc>
          <w:tcPr>
            <w:tcW w:w="1597" w:type="dxa"/>
            <w:tcBorders>
              <w:top w:val="double" w:sz="6" w:space="0" w:color="auto"/>
              <w:left w:val="nil"/>
              <w:bottom w:val="single" w:sz="4" w:space="0" w:color="auto"/>
              <w:right w:val="single" w:sz="8" w:space="0" w:color="auto"/>
            </w:tcBorders>
            <w:shd w:val="clear" w:color="auto" w:fill="auto"/>
            <w:vAlign w:val="center"/>
            <w:hideMark/>
          </w:tcPr>
          <w:p w14:paraId="23BF3ACC" w14:textId="77777777" w:rsidR="00D14F0F" w:rsidRPr="00913CCF" w:rsidRDefault="00D14F0F" w:rsidP="004205FD">
            <w:pPr>
              <w:spacing w:after="0"/>
              <w:jc w:val="left"/>
              <w:rPr>
                <w:rFonts w:eastAsia="Times New Roman" w:cs="Calibri"/>
                <w:color w:val="000000"/>
                <w:sz w:val="16"/>
                <w:szCs w:val="16"/>
              </w:rPr>
            </w:pPr>
            <w:r w:rsidRPr="00913CCF">
              <w:rPr>
                <w:rFonts w:eastAsia="Times New Roman" w:cs="Calibri"/>
                <w:color w:val="000000"/>
                <w:sz w:val="16"/>
                <w:szCs w:val="16"/>
              </w:rPr>
              <w:t>Serv. Contract. Ind.</w:t>
            </w:r>
          </w:p>
        </w:tc>
        <w:tc>
          <w:tcPr>
            <w:tcW w:w="935" w:type="dxa"/>
            <w:tcBorders>
              <w:top w:val="double" w:sz="6" w:space="0" w:color="auto"/>
              <w:left w:val="nil"/>
              <w:bottom w:val="single" w:sz="4" w:space="0" w:color="auto"/>
              <w:right w:val="single" w:sz="8" w:space="0" w:color="auto"/>
            </w:tcBorders>
            <w:shd w:val="clear" w:color="auto" w:fill="auto"/>
            <w:noWrap/>
            <w:vAlign w:val="center"/>
            <w:hideMark/>
          </w:tcPr>
          <w:p w14:paraId="7A3F6272"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40,800</w:t>
            </w:r>
          </w:p>
        </w:tc>
        <w:tc>
          <w:tcPr>
            <w:tcW w:w="996" w:type="dxa"/>
            <w:tcBorders>
              <w:top w:val="double" w:sz="6" w:space="0" w:color="auto"/>
              <w:left w:val="nil"/>
              <w:bottom w:val="single" w:sz="4" w:space="0" w:color="auto"/>
              <w:right w:val="single" w:sz="8" w:space="0" w:color="auto"/>
            </w:tcBorders>
            <w:shd w:val="clear" w:color="auto" w:fill="auto"/>
            <w:noWrap/>
            <w:vAlign w:val="center"/>
            <w:hideMark/>
          </w:tcPr>
          <w:p w14:paraId="6CB0B469"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40,800</w:t>
            </w:r>
          </w:p>
        </w:tc>
        <w:tc>
          <w:tcPr>
            <w:tcW w:w="925" w:type="dxa"/>
            <w:tcBorders>
              <w:top w:val="double" w:sz="6" w:space="0" w:color="auto"/>
              <w:left w:val="nil"/>
              <w:bottom w:val="single" w:sz="4" w:space="0" w:color="auto"/>
              <w:right w:val="single" w:sz="8" w:space="0" w:color="auto"/>
            </w:tcBorders>
            <w:shd w:val="clear" w:color="auto" w:fill="auto"/>
            <w:noWrap/>
            <w:vAlign w:val="center"/>
            <w:hideMark/>
          </w:tcPr>
          <w:p w14:paraId="520609DE"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40,800</w:t>
            </w:r>
          </w:p>
        </w:tc>
        <w:tc>
          <w:tcPr>
            <w:tcW w:w="925" w:type="dxa"/>
            <w:tcBorders>
              <w:top w:val="double" w:sz="6" w:space="0" w:color="auto"/>
              <w:left w:val="nil"/>
              <w:bottom w:val="single" w:sz="4" w:space="0" w:color="auto"/>
              <w:right w:val="single" w:sz="8" w:space="0" w:color="auto"/>
            </w:tcBorders>
            <w:shd w:val="clear" w:color="auto" w:fill="auto"/>
            <w:noWrap/>
            <w:vAlign w:val="center"/>
            <w:hideMark/>
          </w:tcPr>
          <w:p w14:paraId="4CB56EE0"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22,800</w:t>
            </w:r>
          </w:p>
        </w:tc>
        <w:tc>
          <w:tcPr>
            <w:tcW w:w="925" w:type="dxa"/>
            <w:tcBorders>
              <w:top w:val="double" w:sz="6" w:space="0" w:color="auto"/>
              <w:left w:val="nil"/>
              <w:bottom w:val="single" w:sz="4" w:space="0" w:color="auto"/>
              <w:right w:val="single" w:sz="8" w:space="0" w:color="auto"/>
            </w:tcBorders>
            <w:shd w:val="clear" w:color="auto" w:fill="auto"/>
            <w:noWrap/>
            <w:vAlign w:val="center"/>
            <w:hideMark/>
          </w:tcPr>
          <w:p w14:paraId="676B706C"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22,800</w:t>
            </w:r>
          </w:p>
        </w:tc>
        <w:tc>
          <w:tcPr>
            <w:tcW w:w="925" w:type="dxa"/>
            <w:tcBorders>
              <w:top w:val="double" w:sz="6" w:space="0" w:color="auto"/>
              <w:left w:val="nil"/>
              <w:bottom w:val="single" w:sz="4" w:space="0" w:color="auto"/>
              <w:right w:val="single" w:sz="8" w:space="0" w:color="auto"/>
            </w:tcBorders>
            <w:shd w:val="clear" w:color="auto" w:fill="auto"/>
            <w:vAlign w:val="center"/>
            <w:hideMark/>
          </w:tcPr>
          <w:p w14:paraId="1FC4D267" w14:textId="2D64F6BD" w:rsidR="00D14F0F" w:rsidRPr="00913CCF" w:rsidRDefault="00D14F0F" w:rsidP="00F8089A">
            <w:pPr>
              <w:spacing w:after="0"/>
              <w:jc w:val="right"/>
              <w:rPr>
                <w:rFonts w:eastAsia="Times New Roman" w:cs="Calibri"/>
                <w:color w:val="000000"/>
                <w:sz w:val="16"/>
                <w:szCs w:val="16"/>
              </w:rPr>
            </w:pPr>
            <w:r w:rsidRPr="00EF6D8E">
              <w:rPr>
                <w:rFonts w:eastAsia="Times New Roman" w:cs="Calibri"/>
                <w:color w:val="000000"/>
                <w:sz w:val="16"/>
                <w:szCs w:val="16"/>
              </w:rPr>
              <w:t>2,800</w:t>
            </w:r>
          </w:p>
        </w:tc>
        <w:tc>
          <w:tcPr>
            <w:tcW w:w="1244" w:type="dxa"/>
            <w:tcBorders>
              <w:top w:val="double" w:sz="6" w:space="0" w:color="auto"/>
              <w:left w:val="nil"/>
              <w:bottom w:val="single" w:sz="4" w:space="0" w:color="auto"/>
              <w:right w:val="single" w:sz="8" w:space="0" w:color="auto"/>
            </w:tcBorders>
            <w:shd w:val="clear" w:color="auto" w:fill="auto"/>
            <w:noWrap/>
            <w:vAlign w:val="center"/>
            <w:hideMark/>
          </w:tcPr>
          <w:p w14:paraId="5CC873DC" w14:textId="4C32B12C" w:rsidR="00D14F0F" w:rsidRPr="00EF6D8E" w:rsidRDefault="00D14F0F"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170,800</w:t>
            </w:r>
          </w:p>
        </w:tc>
        <w:tc>
          <w:tcPr>
            <w:tcW w:w="844" w:type="dxa"/>
            <w:tcBorders>
              <w:top w:val="double" w:sz="6" w:space="0" w:color="auto"/>
              <w:left w:val="nil"/>
              <w:bottom w:val="single" w:sz="4" w:space="0" w:color="auto"/>
              <w:right w:val="single" w:sz="8" w:space="0" w:color="auto"/>
            </w:tcBorders>
            <w:shd w:val="clear" w:color="auto" w:fill="auto"/>
            <w:vAlign w:val="center"/>
            <w:hideMark/>
          </w:tcPr>
          <w:p w14:paraId="1111B2D7" w14:textId="3FFA8124" w:rsidR="00D14F0F" w:rsidRPr="00913CCF" w:rsidRDefault="00D14F0F" w:rsidP="004205FD">
            <w:pPr>
              <w:spacing w:after="0"/>
              <w:jc w:val="center"/>
              <w:rPr>
                <w:rFonts w:eastAsia="Times New Roman" w:cs="Calibri"/>
                <w:i/>
                <w:iCs/>
                <w:color w:val="000000"/>
                <w:sz w:val="16"/>
                <w:szCs w:val="16"/>
              </w:rPr>
            </w:pPr>
            <w:r w:rsidRPr="00913CCF">
              <w:rPr>
                <w:rFonts w:eastAsia="Times New Roman" w:cs="Calibri"/>
                <w:i/>
                <w:iCs/>
                <w:color w:val="000000"/>
                <w:sz w:val="16"/>
                <w:szCs w:val="16"/>
              </w:rPr>
              <w:t>5</w:t>
            </w:r>
            <w:r w:rsidR="00512288">
              <w:rPr>
                <w:rFonts w:eastAsia="Times New Roman" w:cs="Calibri"/>
                <w:i/>
                <w:iCs/>
                <w:color w:val="000000"/>
                <w:sz w:val="16"/>
                <w:szCs w:val="16"/>
              </w:rPr>
              <w:t>2</w:t>
            </w:r>
          </w:p>
        </w:tc>
      </w:tr>
      <w:tr w:rsidR="00D14F0F" w:rsidRPr="00913CCF" w14:paraId="7E53718B" w14:textId="77777777" w:rsidTr="00512288">
        <w:trPr>
          <w:trHeight w:val="202"/>
        </w:trPr>
        <w:tc>
          <w:tcPr>
            <w:tcW w:w="1335" w:type="dxa"/>
            <w:vMerge/>
            <w:tcBorders>
              <w:top w:val="double" w:sz="6" w:space="0" w:color="auto"/>
              <w:left w:val="double" w:sz="6" w:space="0" w:color="auto"/>
              <w:bottom w:val="double" w:sz="6" w:space="0" w:color="000000"/>
              <w:right w:val="single" w:sz="8" w:space="0" w:color="auto"/>
            </w:tcBorders>
            <w:shd w:val="clear" w:color="auto" w:fill="auto"/>
            <w:vAlign w:val="center"/>
            <w:hideMark/>
          </w:tcPr>
          <w:p w14:paraId="6AA266EE" w14:textId="77777777" w:rsidR="00D14F0F" w:rsidRPr="00913CCF" w:rsidRDefault="00D14F0F" w:rsidP="004205FD">
            <w:pPr>
              <w:spacing w:after="0"/>
              <w:jc w:val="left"/>
              <w:rPr>
                <w:rFonts w:eastAsia="Times New Roman" w:cs="Calibri"/>
                <w:b/>
                <w:bCs/>
                <w:color w:val="000000"/>
                <w:sz w:val="16"/>
                <w:szCs w:val="16"/>
              </w:rPr>
            </w:pPr>
          </w:p>
        </w:tc>
        <w:tc>
          <w:tcPr>
            <w:tcW w:w="1267" w:type="dxa"/>
            <w:vMerge/>
            <w:tcBorders>
              <w:top w:val="double" w:sz="6" w:space="0" w:color="auto"/>
              <w:left w:val="single" w:sz="8" w:space="0" w:color="auto"/>
              <w:right w:val="single" w:sz="8" w:space="0" w:color="auto"/>
            </w:tcBorders>
            <w:shd w:val="clear" w:color="auto" w:fill="auto"/>
            <w:vAlign w:val="center"/>
            <w:hideMark/>
          </w:tcPr>
          <w:p w14:paraId="7353960B" w14:textId="77777777" w:rsidR="00D14F0F" w:rsidRPr="00913CCF" w:rsidRDefault="00D14F0F" w:rsidP="004205FD">
            <w:pPr>
              <w:spacing w:after="0"/>
              <w:jc w:val="left"/>
              <w:rPr>
                <w:rFonts w:eastAsia="Times New Roman" w:cs="Calibri"/>
                <w:b/>
                <w:bCs/>
                <w:color w:val="000000"/>
                <w:sz w:val="16"/>
                <w:szCs w:val="16"/>
              </w:rPr>
            </w:pPr>
          </w:p>
        </w:tc>
        <w:tc>
          <w:tcPr>
            <w:tcW w:w="713" w:type="dxa"/>
            <w:vMerge/>
            <w:tcBorders>
              <w:top w:val="double" w:sz="6" w:space="0" w:color="auto"/>
              <w:left w:val="single" w:sz="8" w:space="0" w:color="auto"/>
              <w:right w:val="single" w:sz="8" w:space="0" w:color="auto"/>
            </w:tcBorders>
            <w:shd w:val="clear" w:color="auto" w:fill="auto"/>
            <w:vAlign w:val="center"/>
            <w:hideMark/>
          </w:tcPr>
          <w:p w14:paraId="68B01F2D" w14:textId="77777777" w:rsidR="00D14F0F" w:rsidRPr="00913CCF" w:rsidRDefault="00D14F0F" w:rsidP="004205FD">
            <w:pPr>
              <w:spacing w:after="0"/>
              <w:jc w:val="left"/>
              <w:rPr>
                <w:rFonts w:eastAsia="Times New Roman" w:cs="Calibri"/>
                <w:b/>
                <w:bCs/>
                <w:color w:val="000000"/>
                <w:sz w:val="16"/>
                <w:szCs w:val="16"/>
              </w:rPr>
            </w:pPr>
          </w:p>
        </w:tc>
        <w:tc>
          <w:tcPr>
            <w:tcW w:w="632" w:type="dxa"/>
            <w:vMerge/>
            <w:tcBorders>
              <w:top w:val="double" w:sz="6" w:space="0" w:color="auto"/>
              <w:left w:val="single" w:sz="8" w:space="0" w:color="auto"/>
              <w:right w:val="single" w:sz="8" w:space="0" w:color="auto"/>
            </w:tcBorders>
            <w:shd w:val="clear" w:color="auto" w:fill="auto"/>
            <w:vAlign w:val="center"/>
            <w:hideMark/>
          </w:tcPr>
          <w:p w14:paraId="47A8F2DD" w14:textId="77777777" w:rsidR="00D14F0F" w:rsidRPr="00913CCF" w:rsidRDefault="00D14F0F" w:rsidP="004205FD">
            <w:pPr>
              <w:spacing w:after="0"/>
              <w:jc w:val="left"/>
              <w:rPr>
                <w:rFonts w:eastAsia="Times New Roman" w:cs="Calibri"/>
                <w:b/>
                <w:bCs/>
                <w:color w:val="000000"/>
                <w:sz w:val="16"/>
                <w:szCs w:val="16"/>
              </w:rPr>
            </w:pPr>
          </w:p>
        </w:tc>
        <w:tc>
          <w:tcPr>
            <w:tcW w:w="901" w:type="dxa"/>
            <w:tcBorders>
              <w:top w:val="single" w:sz="4" w:space="0" w:color="auto"/>
              <w:left w:val="nil"/>
              <w:bottom w:val="single" w:sz="8" w:space="0" w:color="auto"/>
              <w:right w:val="single" w:sz="8" w:space="0" w:color="auto"/>
            </w:tcBorders>
            <w:shd w:val="clear" w:color="auto" w:fill="auto"/>
            <w:noWrap/>
            <w:vAlign w:val="center"/>
            <w:hideMark/>
          </w:tcPr>
          <w:p w14:paraId="3779E93E" w14:textId="77777777" w:rsidR="00D14F0F" w:rsidRPr="00913CCF" w:rsidRDefault="00D14F0F" w:rsidP="004205FD">
            <w:pPr>
              <w:spacing w:after="0"/>
              <w:jc w:val="center"/>
              <w:rPr>
                <w:rFonts w:eastAsia="Times New Roman" w:cs="Calibri"/>
                <w:color w:val="000000"/>
                <w:sz w:val="16"/>
                <w:szCs w:val="16"/>
              </w:rPr>
            </w:pPr>
            <w:r w:rsidRPr="00913CCF">
              <w:rPr>
                <w:rFonts w:eastAsia="Times New Roman" w:cs="Calibri"/>
                <w:color w:val="000000"/>
                <w:sz w:val="16"/>
                <w:szCs w:val="16"/>
              </w:rPr>
              <w:t>71600</w:t>
            </w:r>
          </w:p>
        </w:tc>
        <w:tc>
          <w:tcPr>
            <w:tcW w:w="1597" w:type="dxa"/>
            <w:tcBorders>
              <w:top w:val="single" w:sz="4" w:space="0" w:color="auto"/>
              <w:left w:val="nil"/>
              <w:bottom w:val="single" w:sz="8" w:space="0" w:color="auto"/>
              <w:right w:val="single" w:sz="8" w:space="0" w:color="auto"/>
            </w:tcBorders>
            <w:shd w:val="clear" w:color="auto" w:fill="auto"/>
            <w:vAlign w:val="center"/>
            <w:hideMark/>
          </w:tcPr>
          <w:p w14:paraId="5AF5CB02" w14:textId="77777777" w:rsidR="00D14F0F" w:rsidRPr="00913CCF" w:rsidRDefault="00D14F0F" w:rsidP="004205FD">
            <w:pPr>
              <w:spacing w:after="0"/>
              <w:jc w:val="left"/>
              <w:rPr>
                <w:rFonts w:eastAsia="Times New Roman" w:cs="Calibri"/>
                <w:color w:val="000000"/>
                <w:sz w:val="16"/>
                <w:szCs w:val="16"/>
              </w:rPr>
            </w:pPr>
            <w:r w:rsidRPr="00913CCF">
              <w:rPr>
                <w:rFonts w:eastAsia="Times New Roman" w:cs="Calibri"/>
                <w:color w:val="000000"/>
                <w:sz w:val="16"/>
                <w:szCs w:val="16"/>
              </w:rPr>
              <w:t>Travel</w:t>
            </w:r>
          </w:p>
        </w:tc>
        <w:tc>
          <w:tcPr>
            <w:tcW w:w="935" w:type="dxa"/>
            <w:tcBorders>
              <w:top w:val="single" w:sz="4" w:space="0" w:color="auto"/>
              <w:left w:val="nil"/>
              <w:bottom w:val="single" w:sz="8" w:space="0" w:color="auto"/>
              <w:right w:val="single" w:sz="8" w:space="0" w:color="auto"/>
            </w:tcBorders>
            <w:shd w:val="clear" w:color="auto" w:fill="auto"/>
            <w:noWrap/>
            <w:vAlign w:val="center"/>
            <w:hideMark/>
          </w:tcPr>
          <w:p w14:paraId="227A039D"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1,500</w:t>
            </w:r>
          </w:p>
        </w:tc>
        <w:tc>
          <w:tcPr>
            <w:tcW w:w="996" w:type="dxa"/>
            <w:tcBorders>
              <w:top w:val="single" w:sz="4" w:space="0" w:color="auto"/>
              <w:left w:val="nil"/>
              <w:bottom w:val="single" w:sz="8" w:space="0" w:color="auto"/>
              <w:right w:val="single" w:sz="8" w:space="0" w:color="auto"/>
            </w:tcBorders>
            <w:shd w:val="clear" w:color="auto" w:fill="auto"/>
            <w:noWrap/>
            <w:vAlign w:val="center"/>
            <w:hideMark/>
          </w:tcPr>
          <w:p w14:paraId="3DE9697D"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1,500</w:t>
            </w:r>
          </w:p>
        </w:tc>
        <w:tc>
          <w:tcPr>
            <w:tcW w:w="925" w:type="dxa"/>
            <w:tcBorders>
              <w:top w:val="single" w:sz="4" w:space="0" w:color="auto"/>
              <w:left w:val="nil"/>
              <w:bottom w:val="single" w:sz="8" w:space="0" w:color="auto"/>
              <w:right w:val="single" w:sz="8" w:space="0" w:color="auto"/>
            </w:tcBorders>
            <w:shd w:val="clear" w:color="auto" w:fill="auto"/>
            <w:noWrap/>
            <w:vAlign w:val="center"/>
            <w:hideMark/>
          </w:tcPr>
          <w:p w14:paraId="3E80B6E1"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1,500</w:t>
            </w:r>
          </w:p>
        </w:tc>
        <w:tc>
          <w:tcPr>
            <w:tcW w:w="925" w:type="dxa"/>
            <w:tcBorders>
              <w:top w:val="single" w:sz="4" w:space="0" w:color="auto"/>
              <w:left w:val="nil"/>
              <w:bottom w:val="single" w:sz="8" w:space="0" w:color="auto"/>
              <w:right w:val="single" w:sz="8" w:space="0" w:color="auto"/>
            </w:tcBorders>
            <w:shd w:val="clear" w:color="auto" w:fill="auto"/>
            <w:noWrap/>
            <w:vAlign w:val="center"/>
            <w:hideMark/>
          </w:tcPr>
          <w:p w14:paraId="6AF4A0BD"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1,500</w:t>
            </w:r>
          </w:p>
        </w:tc>
        <w:tc>
          <w:tcPr>
            <w:tcW w:w="925" w:type="dxa"/>
            <w:tcBorders>
              <w:top w:val="single" w:sz="4" w:space="0" w:color="auto"/>
              <w:left w:val="nil"/>
              <w:bottom w:val="single" w:sz="8" w:space="0" w:color="auto"/>
              <w:right w:val="single" w:sz="8" w:space="0" w:color="auto"/>
            </w:tcBorders>
            <w:shd w:val="clear" w:color="auto" w:fill="auto"/>
            <w:noWrap/>
            <w:vAlign w:val="center"/>
            <w:hideMark/>
          </w:tcPr>
          <w:p w14:paraId="45C76C0B"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1,500</w:t>
            </w:r>
          </w:p>
        </w:tc>
        <w:tc>
          <w:tcPr>
            <w:tcW w:w="925" w:type="dxa"/>
            <w:tcBorders>
              <w:top w:val="single" w:sz="4" w:space="0" w:color="auto"/>
              <w:left w:val="nil"/>
              <w:bottom w:val="single" w:sz="8" w:space="0" w:color="auto"/>
              <w:right w:val="single" w:sz="8" w:space="0" w:color="auto"/>
            </w:tcBorders>
            <w:shd w:val="clear" w:color="auto" w:fill="auto"/>
            <w:vAlign w:val="center"/>
            <w:hideMark/>
          </w:tcPr>
          <w:p w14:paraId="0E88C5BB"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1,500</w:t>
            </w:r>
          </w:p>
        </w:tc>
        <w:tc>
          <w:tcPr>
            <w:tcW w:w="1244" w:type="dxa"/>
            <w:tcBorders>
              <w:top w:val="single" w:sz="4" w:space="0" w:color="auto"/>
              <w:left w:val="nil"/>
              <w:bottom w:val="single" w:sz="8" w:space="0" w:color="auto"/>
              <w:right w:val="single" w:sz="8" w:space="0" w:color="auto"/>
            </w:tcBorders>
            <w:shd w:val="clear" w:color="auto" w:fill="auto"/>
            <w:noWrap/>
            <w:vAlign w:val="center"/>
            <w:hideMark/>
          </w:tcPr>
          <w:p w14:paraId="30164158" w14:textId="77777777" w:rsidR="00D14F0F" w:rsidRPr="00913CCF" w:rsidRDefault="00D14F0F"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9,000</w:t>
            </w:r>
          </w:p>
        </w:tc>
        <w:tc>
          <w:tcPr>
            <w:tcW w:w="844" w:type="dxa"/>
            <w:tcBorders>
              <w:top w:val="single" w:sz="4" w:space="0" w:color="auto"/>
              <w:left w:val="nil"/>
              <w:bottom w:val="single" w:sz="8" w:space="0" w:color="auto"/>
              <w:right w:val="single" w:sz="8" w:space="0" w:color="auto"/>
            </w:tcBorders>
            <w:shd w:val="clear" w:color="auto" w:fill="auto"/>
            <w:vAlign w:val="center"/>
            <w:hideMark/>
          </w:tcPr>
          <w:p w14:paraId="60D59F77" w14:textId="11559F08" w:rsidR="00D14F0F" w:rsidRPr="00913CCF" w:rsidRDefault="00D14F0F" w:rsidP="004205FD">
            <w:pPr>
              <w:spacing w:after="0"/>
              <w:jc w:val="center"/>
              <w:rPr>
                <w:rFonts w:eastAsia="Times New Roman" w:cs="Calibri"/>
                <w:i/>
                <w:iCs/>
                <w:color w:val="000000"/>
                <w:sz w:val="16"/>
                <w:szCs w:val="16"/>
              </w:rPr>
            </w:pPr>
            <w:r w:rsidRPr="00913CCF">
              <w:rPr>
                <w:rFonts w:eastAsia="Times New Roman" w:cs="Calibri"/>
                <w:i/>
                <w:iCs/>
                <w:color w:val="000000"/>
                <w:sz w:val="16"/>
                <w:szCs w:val="16"/>
              </w:rPr>
              <w:t>5</w:t>
            </w:r>
            <w:r w:rsidR="00512288">
              <w:rPr>
                <w:rFonts w:eastAsia="Times New Roman" w:cs="Calibri"/>
                <w:i/>
                <w:iCs/>
                <w:color w:val="000000"/>
                <w:sz w:val="16"/>
                <w:szCs w:val="16"/>
              </w:rPr>
              <w:t>3</w:t>
            </w:r>
          </w:p>
        </w:tc>
      </w:tr>
      <w:tr w:rsidR="00D14F0F" w:rsidRPr="00913CCF" w14:paraId="2E133E73" w14:textId="77777777" w:rsidTr="00512288">
        <w:trPr>
          <w:trHeight w:val="202"/>
        </w:trPr>
        <w:tc>
          <w:tcPr>
            <w:tcW w:w="1335" w:type="dxa"/>
            <w:vMerge/>
            <w:tcBorders>
              <w:top w:val="nil"/>
              <w:left w:val="double" w:sz="6" w:space="0" w:color="auto"/>
              <w:bottom w:val="double" w:sz="6" w:space="0" w:color="000000"/>
              <w:right w:val="single" w:sz="8" w:space="0" w:color="auto"/>
            </w:tcBorders>
            <w:shd w:val="clear" w:color="auto" w:fill="auto"/>
            <w:vAlign w:val="center"/>
            <w:hideMark/>
          </w:tcPr>
          <w:p w14:paraId="6237CF1D" w14:textId="77777777" w:rsidR="00D14F0F" w:rsidRPr="00913CCF" w:rsidRDefault="00D14F0F" w:rsidP="004205FD">
            <w:pPr>
              <w:spacing w:after="0"/>
              <w:jc w:val="left"/>
              <w:rPr>
                <w:rFonts w:eastAsia="Times New Roman" w:cs="Calibri"/>
                <w:b/>
                <w:bCs/>
                <w:color w:val="000000"/>
                <w:sz w:val="16"/>
                <w:szCs w:val="16"/>
              </w:rPr>
            </w:pPr>
          </w:p>
        </w:tc>
        <w:tc>
          <w:tcPr>
            <w:tcW w:w="1267" w:type="dxa"/>
            <w:vMerge/>
            <w:tcBorders>
              <w:left w:val="single" w:sz="8" w:space="0" w:color="auto"/>
              <w:right w:val="single" w:sz="8" w:space="0" w:color="auto"/>
            </w:tcBorders>
            <w:shd w:val="clear" w:color="auto" w:fill="auto"/>
            <w:vAlign w:val="center"/>
            <w:hideMark/>
          </w:tcPr>
          <w:p w14:paraId="121181DA" w14:textId="77777777" w:rsidR="00D14F0F" w:rsidRPr="00913CCF" w:rsidRDefault="00D14F0F" w:rsidP="004205FD">
            <w:pPr>
              <w:spacing w:after="0"/>
              <w:jc w:val="left"/>
              <w:rPr>
                <w:rFonts w:eastAsia="Times New Roman" w:cs="Calibri"/>
                <w:b/>
                <w:bCs/>
                <w:color w:val="000000"/>
                <w:sz w:val="16"/>
                <w:szCs w:val="16"/>
              </w:rPr>
            </w:pPr>
          </w:p>
        </w:tc>
        <w:tc>
          <w:tcPr>
            <w:tcW w:w="713" w:type="dxa"/>
            <w:vMerge/>
            <w:tcBorders>
              <w:left w:val="single" w:sz="8" w:space="0" w:color="auto"/>
              <w:right w:val="single" w:sz="8" w:space="0" w:color="auto"/>
            </w:tcBorders>
            <w:shd w:val="clear" w:color="auto" w:fill="auto"/>
            <w:vAlign w:val="center"/>
            <w:hideMark/>
          </w:tcPr>
          <w:p w14:paraId="44AF3467" w14:textId="77777777" w:rsidR="00D14F0F" w:rsidRPr="00913CCF" w:rsidRDefault="00D14F0F" w:rsidP="004205FD">
            <w:pPr>
              <w:spacing w:after="0"/>
              <w:jc w:val="left"/>
              <w:rPr>
                <w:rFonts w:eastAsia="Times New Roman" w:cs="Calibri"/>
                <w:b/>
                <w:bCs/>
                <w:color w:val="000000"/>
                <w:sz w:val="16"/>
                <w:szCs w:val="16"/>
              </w:rPr>
            </w:pPr>
          </w:p>
        </w:tc>
        <w:tc>
          <w:tcPr>
            <w:tcW w:w="632" w:type="dxa"/>
            <w:vMerge/>
            <w:tcBorders>
              <w:left w:val="single" w:sz="8" w:space="0" w:color="auto"/>
              <w:right w:val="single" w:sz="8" w:space="0" w:color="auto"/>
            </w:tcBorders>
            <w:shd w:val="clear" w:color="auto" w:fill="auto"/>
            <w:vAlign w:val="center"/>
            <w:hideMark/>
          </w:tcPr>
          <w:p w14:paraId="107A33B4" w14:textId="77777777" w:rsidR="00D14F0F" w:rsidRPr="00913CCF" w:rsidRDefault="00D14F0F" w:rsidP="004205FD">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3B1E4387" w14:textId="77777777" w:rsidR="00D14F0F" w:rsidRPr="00913CCF" w:rsidRDefault="00D14F0F" w:rsidP="004205FD">
            <w:pPr>
              <w:spacing w:after="0"/>
              <w:jc w:val="center"/>
              <w:rPr>
                <w:rFonts w:eastAsia="Times New Roman" w:cs="Calibri"/>
                <w:color w:val="000000"/>
                <w:sz w:val="16"/>
                <w:szCs w:val="16"/>
              </w:rPr>
            </w:pPr>
            <w:r w:rsidRPr="00913CCF">
              <w:rPr>
                <w:rFonts w:eastAsia="Times New Roman" w:cs="Calibri"/>
                <w:color w:val="000000"/>
                <w:sz w:val="16"/>
                <w:szCs w:val="16"/>
              </w:rPr>
              <w:t>72200</w:t>
            </w:r>
          </w:p>
        </w:tc>
        <w:tc>
          <w:tcPr>
            <w:tcW w:w="1597" w:type="dxa"/>
            <w:tcBorders>
              <w:top w:val="nil"/>
              <w:left w:val="nil"/>
              <w:bottom w:val="single" w:sz="8" w:space="0" w:color="auto"/>
              <w:right w:val="single" w:sz="8" w:space="0" w:color="auto"/>
            </w:tcBorders>
            <w:shd w:val="clear" w:color="auto" w:fill="auto"/>
            <w:vAlign w:val="center"/>
            <w:hideMark/>
          </w:tcPr>
          <w:p w14:paraId="1311624B" w14:textId="77777777" w:rsidR="00D14F0F" w:rsidRPr="00913CCF" w:rsidRDefault="00D14F0F" w:rsidP="004205FD">
            <w:pPr>
              <w:spacing w:after="0"/>
              <w:jc w:val="left"/>
              <w:rPr>
                <w:rFonts w:eastAsia="Times New Roman" w:cs="Calibri"/>
                <w:color w:val="000000"/>
                <w:sz w:val="16"/>
                <w:szCs w:val="16"/>
              </w:rPr>
            </w:pPr>
            <w:r w:rsidRPr="00913CCF">
              <w:rPr>
                <w:rFonts w:eastAsia="Times New Roman" w:cs="Calibri"/>
                <w:color w:val="000000"/>
                <w:sz w:val="16"/>
                <w:szCs w:val="16"/>
              </w:rPr>
              <w:t>Equip. Furniture</w:t>
            </w:r>
          </w:p>
        </w:tc>
        <w:tc>
          <w:tcPr>
            <w:tcW w:w="935" w:type="dxa"/>
            <w:tcBorders>
              <w:top w:val="nil"/>
              <w:left w:val="nil"/>
              <w:bottom w:val="single" w:sz="8" w:space="0" w:color="auto"/>
              <w:right w:val="single" w:sz="8" w:space="0" w:color="auto"/>
            </w:tcBorders>
            <w:shd w:val="clear" w:color="auto" w:fill="auto"/>
            <w:noWrap/>
            <w:vAlign w:val="center"/>
            <w:hideMark/>
          </w:tcPr>
          <w:p w14:paraId="1CF49F54"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8,000</w:t>
            </w:r>
          </w:p>
        </w:tc>
        <w:tc>
          <w:tcPr>
            <w:tcW w:w="996" w:type="dxa"/>
            <w:tcBorders>
              <w:top w:val="nil"/>
              <w:left w:val="nil"/>
              <w:bottom w:val="single" w:sz="8" w:space="0" w:color="auto"/>
              <w:right w:val="single" w:sz="8" w:space="0" w:color="auto"/>
            </w:tcBorders>
            <w:shd w:val="clear" w:color="auto" w:fill="auto"/>
            <w:noWrap/>
            <w:vAlign w:val="center"/>
            <w:hideMark/>
          </w:tcPr>
          <w:p w14:paraId="6F912950"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3000</w:t>
            </w:r>
          </w:p>
        </w:tc>
        <w:tc>
          <w:tcPr>
            <w:tcW w:w="925" w:type="dxa"/>
            <w:tcBorders>
              <w:top w:val="nil"/>
              <w:left w:val="nil"/>
              <w:bottom w:val="single" w:sz="8" w:space="0" w:color="auto"/>
              <w:right w:val="single" w:sz="8" w:space="0" w:color="auto"/>
            </w:tcBorders>
            <w:shd w:val="clear" w:color="auto" w:fill="auto"/>
            <w:noWrap/>
            <w:vAlign w:val="center"/>
            <w:hideMark/>
          </w:tcPr>
          <w:p w14:paraId="2EEACD10"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3000</w:t>
            </w:r>
          </w:p>
        </w:tc>
        <w:tc>
          <w:tcPr>
            <w:tcW w:w="925" w:type="dxa"/>
            <w:tcBorders>
              <w:top w:val="nil"/>
              <w:left w:val="nil"/>
              <w:bottom w:val="single" w:sz="8" w:space="0" w:color="auto"/>
              <w:right w:val="single" w:sz="8" w:space="0" w:color="auto"/>
            </w:tcBorders>
            <w:shd w:val="clear" w:color="auto" w:fill="auto"/>
            <w:noWrap/>
            <w:vAlign w:val="center"/>
            <w:hideMark/>
          </w:tcPr>
          <w:p w14:paraId="00C9A0FA"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3000</w:t>
            </w:r>
          </w:p>
        </w:tc>
        <w:tc>
          <w:tcPr>
            <w:tcW w:w="925" w:type="dxa"/>
            <w:tcBorders>
              <w:top w:val="nil"/>
              <w:left w:val="nil"/>
              <w:bottom w:val="single" w:sz="8" w:space="0" w:color="auto"/>
              <w:right w:val="single" w:sz="8" w:space="0" w:color="auto"/>
            </w:tcBorders>
            <w:shd w:val="clear" w:color="auto" w:fill="auto"/>
            <w:noWrap/>
            <w:vAlign w:val="center"/>
            <w:hideMark/>
          </w:tcPr>
          <w:p w14:paraId="52315935"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3000</w:t>
            </w:r>
          </w:p>
        </w:tc>
        <w:tc>
          <w:tcPr>
            <w:tcW w:w="925" w:type="dxa"/>
            <w:tcBorders>
              <w:top w:val="nil"/>
              <w:left w:val="nil"/>
              <w:bottom w:val="single" w:sz="8" w:space="0" w:color="auto"/>
              <w:right w:val="single" w:sz="8" w:space="0" w:color="auto"/>
            </w:tcBorders>
            <w:shd w:val="clear" w:color="auto" w:fill="auto"/>
            <w:vAlign w:val="center"/>
            <w:hideMark/>
          </w:tcPr>
          <w:p w14:paraId="4A381D8C"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3,000</w:t>
            </w:r>
          </w:p>
        </w:tc>
        <w:tc>
          <w:tcPr>
            <w:tcW w:w="1244" w:type="dxa"/>
            <w:tcBorders>
              <w:top w:val="nil"/>
              <w:left w:val="nil"/>
              <w:bottom w:val="single" w:sz="8" w:space="0" w:color="auto"/>
              <w:right w:val="single" w:sz="8" w:space="0" w:color="auto"/>
            </w:tcBorders>
            <w:shd w:val="clear" w:color="auto" w:fill="auto"/>
            <w:noWrap/>
            <w:vAlign w:val="center"/>
            <w:hideMark/>
          </w:tcPr>
          <w:p w14:paraId="65D25A40" w14:textId="77777777" w:rsidR="00D14F0F" w:rsidRPr="00913CCF" w:rsidRDefault="00D14F0F"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23,000</w:t>
            </w:r>
          </w:p>
        </w:tc>
        <w:tc>
          <w:tcPr>
            <w:tcW w:w="844" w:type="dxa"/>
            <w:tcBorders>
              <w:top w:val="nil"/>
              <w:left w:val="nil"/>
              <w:bottom w:val="single" w:sz="8" w:space="0" w:color="auto"/>
              <w:right w:val="single" w:sz="8" w:space="0" w:color="auto"/>
            </w:tcBorders>
            <w:shd w:val="clear" w:color="auto" w:fill="auto"/>
            <w:vAlign w:val="center"/>
            <w:hideMark/>
          </w:tcPr>
          <w:p w14:paraId="51DD33A6" w14:textId="71B2743D" w:rsidR="00D14F0F" w:rsidRPr="00913CCF" w:rsidRDefault="00D14F0F" w:rsidP="004205FD">
            <w:pPr>
              <w:spacing w:after="0"/>
              <w:jc w:val="center"/>
              <w:rPr>
                <w:rFonts w:eastAsia="Times New Roman" w:cs="Calibri"/>
                <w:i/>
                <w:iCs/>
                <w:color w:val="000000"/>
                <w:sz w:val="16"/>
                <w:szCs w:val="16"/>
              </w:rPr>
            </w:pPr>
            <w:r w:rsidRPr="00913CCF">
              <w:rPr>
                <w:rFonts w:eastAsia="Times New Roman" w:cs="Calibri"/>
                <w:i/>
                <w:iCs/>
                <w:color w:val="000000"/>
                <w:sz w:val="16"/>
                <w:szCs w:val="16"/>
              </w:rPr>
              <w:t>5</w:t>
            </w:r>
            <w:r w:rsidR="00512288">
              <w:rPr>
                <w:rFonts w:eastAsia="Times New Roman" w:cs="Calibri"/>
                <w:i/>
                <w:iCs/>
                <w:color w:val="000000"/>
                <w:sz w:val="16"/>
                <w:szCs w:val="16"/>
              </w:rPr>
              <w:t>4</w:t>
            </w:r>
          </w:p>
        </w:tc>
      </w:tr>
      <w:tr w:rsidR="00D14F0F" w:rsidRPr="00913CCF" w14:paraId="39895271" w14:textId="77777777" w:rsidTr="00512288">
        <w:trPr>
          <w:trHeight w:val="202"/>
        </w:trPr>
        <w:tc>
          <w:tcPr>
            <w:tcW w:w="1335" w:type="dxa"/>
            <w:vMerge/>
            <w:tcBorders>
              <w:top w:val="nil"/>
              <w:left w:val="double" w:sz="6" w:space="0" w:color="auto"/>
              <w:bottom w:val="double" w:sz="6" w:space="0" w:color="000000"/>
              <w:right w:val="single" w:sz="8" w:space="0" w:color="auto"/>
            </w:tcBorders>
            <w:shd w:val="clear" w:color="auto" w:fill="auto"/>
            <w:vAlign w:val="center"/>
            <w:hideMark/>
          </w:tcPr>
          <w:p w14:paraId="334F7EC5" w14:textId="77777777" w:rsidR="00D14F0F" w:rsidRPr="00913CCF" w:rsidRDefault="00D14F0F" w:rsidP="004205FD">
            <w:pPr>
              <w:spacing w:after="0"/>
              <w:jc w:val="left"/>
              <w:rPr>
                <w:rFonts w:eastAsia="Times New Roman" w:cs="Calibri"/>
                <w:b/>
                <w:bCs/>
                <w:color w:val="000000"/>
                <w:sz w:val="16"/>
                <w:szCs w:val="16"/>
              </w:rPr>
            </w:pPr>
          </w:p>
        </w:tc>
        <w:tc>
          <w:tcPr>
            <w:tcW w:w="1267" w:type="dxa"/>
            <w:vMerge/>
            <w:tcBorders>
              <w:left w:val="single" w:sz="8" w:space="0" w:color="auto"/>
              <w:right w:val="single" w:sz="8" w:space="0" w:color="auto"/>
            </w:tcBorders>
            <w:shd w:val="clear" w:color="auto" w:fill="auto"/>
            <w:vAlign w:val="center"/>
            <w:hideMark/>
          </w:tcPr>
          <w:p w14:paraId="0BBF1FDD" w14:textId="77777777" w:rsidR="00D14F0F" w:rsidRPr="00913CCF" w:rsidRDefault="00D14F0F" w:rsidP="004205FD">
            <w:pPr>
              <w:spacing w:after="0"/>
              <w:jc w:val="left"/>
              <w:rPr>
                <w:rFonts w:eastAsia="Times New Roman" w:cs="Calibri"/>
                <w:b/>
                <w:bCs/>
                <w:color w:val="000000"/>
                <w:sz w:val="16"/>
                <w:szCs w:val="16"/>
              </w:rPr>
            </w:pPr>
          </w:p>
        </w:tc>
        <w:tc>
          <w:tcPr>
            <w:tcW w:w="713" w:type="dxa"/>
            <w:vMerge/>
            <w:tcBorders>
              <w:left w:val="single" w:sz="8" w:space="0" w:color="auto"/>
              <w:right w:val="single" w:sz="8" w:space="0" w:color="auto"/>
            </w:tcBorders>
            <w:shd w:val="clear" w:color="auto" w:fill="auto"/>
            <w:vAlign w:val="center"/>
            <w:hideMark/>
          </w:tcPr>
          <w:p w14:paraId="3E362206" w14:textId="77777777" w:rsidR="00D14F0F" w:rsidRPr="00913CCF" w:rsidRDefault="00D14F0F" w:rsidP="004205FD">
            <w:pPr>
              <w:spacing w:after="0"/>
              <w:jc w:val="left"/>
              <w:rPr>
                <w:rFonts w:eastAsia="Times New Roman" w:cs="Calibri"/>
                <w:b/>
                <w:bCs/>
                <w:color w:val="000000"/>
                <w:sz w:val="16"/>
                <w:szCs w:val="16"/>
              </w:rPr>
            </w:pPr>
          </w:p>
        </w:tc>
        <w:tc>
          <w:tcPr>
            <w:tcW w:w="632" w:type="dxa"/>
            <w:vMerge/>
            <w:tcBorders>
              <w:left w:val="single" w:sz="8" w:space="0" w:color="auto"/>
              <w:right w:val="single" w:sz="8" w:space="0" w:color="auto"/>
            </w:tcBorders>
            <w:shd w:val="clear" w:color="auto" w:fill="auto"/>
            <w:vAlign w:val="center"/>
            <w:hideMark/>
          </w:tcPr>
          <w:p w14:paraId="3DC4179F" w14:textId="77777777" w:rsidR="00D14F0F" w:rsidRPr="00913CCF" w:rsidRDefault="00D14F0F" w:rsidP="004205FD">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26CB07A1" w14:textId="77777777" w:rsidR="00D14F0F" w:rsidRPr="00913CCF" w:rsidRDefault="00D14F0F" w:rsidP="004205FD">
            <w:pPr>
              <w:spacing w:after="0"/>
              <w:jc w:val="center"/>
              <w:rPr>
                <w:rFonts w:eastAsia="Times New Roman" w:cs="Calibri"/>
                <w:color w:val="000000"/>
                <w:sz w:val="16"/>
                <w:szCs w:val="16"/>
              </w:rPr>
            </w:pPr>
            <w:r w:rsidRPr="00913CCF">
              <w:rPr>
                <w:rFonts w:eastAsia="Times New Roman" w:cs="Calibri"/>
                <w:color w:val="000000"/>
                <w:sz w:val="16"/>
                <w:szCs w:val="16"/>
              </w:rPr>
              <w:t>72500</w:t>
            </w:r>
          </w:p>
        </w:tc>
        <w:tc>
          <w:tcPr>
            <w:tcW w:w="1597" w:type="dxa"/>
            <w:tcBorders>
              <w:top w:val="nil"/>
              <w:left w:val="nil"/>
              <w:bottom w:val="single" w:sz="8" w:space="0" w:color="auto"/>
              <w:right w:val="single" w:sz="8" w:space="0" w:color="auto"/>
            </w:tcBorders>
            <w:shd w:val="clear" w:color="auto" w:fill="auto"/>
            <w:vAlign w:val="center"/>
            <w:hideMark/>
          </w:tcPr>
          <w:p w14:paraId="55F06F4C" w14:textId="77777777" w:rsidR="00D14F0F" w:rsidRPr="00913CCF" w:rsidRDefault="00D14F0F" w:rsidP="004205FD">
            <w:pPr>
              <w:spacing w:after="0"/>
              <w:jc w:val="left"/>
              <w:rPr>
                <w:rFonts w:eastAsia="Times New Roman" w:cs="Calibri"/>
                <w:color w:val="000000"/>
                <w:sz w:val="16"/>
                <w:szCs w:val="16"/>
              </w:rPr>
            </w:pPr>
            <w:r w:rsidRPr="00913CCF">
              <w:rPr>
                <w:rFonts w:eastAsia="Times New Roman" w:cs="Calibri"/>
                <w:color w:val="000000"/>
                <w:sz w:val="16"/>
                <w:szCs w:val="16"/>
              </w:rPr>
              <w:t>Office Supplies</w:t>
            </w:r>
          </w:p>
        </w:tc>
        <w:tc>
          <w:tcPr>
            <w:tcW w:w="935" w:type="dxa"/>
            <w:tcBorders>
              <w:top w:val="nil"/>
              <w:left w:val="nil"/>
              <w:bottom w:val="single" w:sz="8" w:space="0" w:color="auto"/>
              <w:right w:val="single" w:sz="8" w:space="0" w:color="auto"/>
            </w:tcBorders>
            <w:shd w:val="clear" w:color="auto" w:fill="auto"/>
            <w:noWrap/>
            <w:vAlign w:val="center"/>
            <w:hideMark/>
          </w:tcPr>
          <w:p w14:paraId="03EA9F37"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3,250</w:t>
            </w:r>
          </w:p>
        </w:tc>
        <w:tc>
          <w:tcPr>
            <w:tcW w:w="996" w:type="dxa"/>
            <w:tcBorders>
              <w:top w:val="nil"/>
              <w:left w:val="nil"/>
              <w:bottom w:val="single" w:sz="8" w:space="0" w:color="auto"/>
              <w:right w:val="single" w:sz="8" w:space="0" w:color="auto"/>
            </w:tcBorders>
            <w:shd w:val="clear" w:color="auto" w:fill="auto"/>
            <w:noWrap/>
            <w:vAlign w:val="center"/>
            <w:hideMark/>
          </w:tcPr>
          <w:p w14:paraId="5AEAA3F8"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1,500</w:t>
            </w:r>
          </w:p>
        </w:tc>
        <w:tc>
          <w:tcPr>
            <w:tcW w:w="925" w:type="dxa"/>
            <w:tcBorders>
              <w:top w:val="nil"/>
              <w:left w:val="nil"/>
              <w:bottom w:val="single" w:sz="8" w:space="0" w:color="auto"/>
              <w:right w:val="single" w:sz="8" w:space="0" w:color="auto"/>
            </w:tcBorders>
            <w:shd w:val="clear" w:color="auto" w:fill="auto"/>
            <w:noWrap/>
            <w:vAlign w:val="center"/>
            <w:hideMark/>
          </w:tcPr>
          <w:p w14:paraId="76A15AA0"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1,500</w:t>
            </w:r>
          </w:p>
        </w:tc>
        <w:tc>
          <w:tcPr>
            <w:tcW w:w="925" w:type="dxa"/>
            <w:tcBorders>
              <w:top w:val="nil"/>
              <w:left w:val="nil"/>
              <w:bottom w:val="single" w:sz="8" w:space="0" w:color="auto"/>
              <w:right w:val="single" w:sz="8" w:space="0" w:color="auto"/>
            </w:tcBorders>
            <w:shd w:val="clear" w:color="auto" w:fill="auto"/>
            <w:noWrap/>
            <w:vAlign w:val="center"/>
            <w:hideMark/>
          </w:tcPr>
          <w:p w14:paraId="271E9DCB"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1,500</w:t>
            </w:r>
          </w:p>
        </w:tc>
        <w:tc>
          <w:tcPr>
            <w:tcW w:w="925" w:type="dxa"/>
            <w:tcBorders>
              <w:top w:val="nil"/>
              <w:left w:val="nil"/>
              <w:bottom w:val="single" w:sz="8" w:space="0" w:color="auto"/>
              <w:right w:val="single" w:sz="8" w:space="0" w:color="auto"/>
            </w:tcBorders>
            <w:shd w:val="clear" w:color="auto" w:fill="auto"/>
            <w:noWrap/>
            <w:vAlign w:val="center"/>
            <w:hideMark/>
          </w:tcPr>
          <w:p w14:paraId="5C983D5A"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1,500</w:t>
            </w:r>
          </w:p>
        </w:tc>
        <w:tc>
          <w:tcPr>
            <w:tcW w:w="925" w:type="dxa"/>
            <w:tcBorders>
              <w:top w:val="nil"/>
              <w:left w:val="nil"/>
              <w:bottom w:val="single" w:sz="8" w:space="0" w:color="auto"/>
              <w:right w:val="single" w:sz="8" w:space="0" w:color="auto"/>
            </w:tcBorders>
            <w:shd w:val="clear" w:color="auto" w:fill="auto"/>
            <w:vAlign w:val="center"/>
            <w:hideMark/>
          </w:tcPr>
          <w:p w14:paraId="57767FE8"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1,500</w:t>
            </w:r>
          </w:p>
        </w:tc>
        <w:tc>
          <w:tcPr>
            <w:tcW w:w="1244" w:type="dxa"/>
            <w:tcBorders>
              <w:top w:val="nil"/>
              <w:left w:val="nil"/>
              <w:bottom w:val="single" w:sz="8" w:space="0" w:color="auto"/>
              <w:right w:val="single" w:sz="8" w:space="0" w:color="auto"/>
            </w:tcBorders>
            <w:shd w:val="clear" w:color="auto" w:fill="auto"/>
            <w:noWrap/>
            <w:vAlign w:val="center"/>
            <w:hideMark/>
          </w:tcPr>
          <w:p w14:paraId="7815DBCB" w14:textId="77777777" w:rsidR="00D14F0F" w:rsidRPr="00913CCF" w:rsidRDefault="00D14F0F"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10,750</w:t>
            </w:r>
          </w:p>
        </w:tc>
        <w:tc>
          <w:tcPr>
            <w:tcW w:w="844" w:type="dxa"/>
            <w:tcBorders>
              <w:top w:val="nil"/>
              <w:left w:val="nil"/>
              <w:bottom w:val="single" w:sz="8" w:space="0" w:color="auto"/>
              <w:right w:val="single" w:sz="8" w:space="0" w:color="auto"/>
            </w:tcBorders>
            <w:shd w:val="clear" w:color="auto" w:fill="auto"/>
            <w:vAlign w:val="center"/>
            <w:hideMark/>
          </w:tcPr>
          <w:p w14:paraId="799DE5E4" w14:textId="49E344B1" w:rsidR="00D14F0F" w:rsidRPr="00913CCF" w:rsidRDefault="00D14F0F" w:rsidP="004205FD">
            <w:pPr>
              <w:spacing w:after="0"/>
              <w:jc w:val="center"/>
              <w:rPr>
                <w:rFonts w:eastAsia="Times New Roman" w:cs="Calibri"/>
                <w:i/>
                <w:iCs/>
                <w:color w:val="000000"/>
                <w:sz w:val="16"/>
                <w:szCs w:val="16"/>
              </w:rPr>
            </w:pPr>
            <w:r w:rsidRPr="00913CCF">
              <w:rPr>
                <w:rFonts w:eastAsia="Times New Roman" w:cs="Calibri"/>
                <w:i/>
                <w:iCs/>
                <w:color w:val="000000"/>
                <w:sz w:val="16"/>
                <w:szCs w:val="16"/>
              </w:rPr>
              <w:t>5</w:t>
            </w:r>
            <w:r w:rsidR="00512288">
              <w:rPr>
                <w:rFonts w:eastAsia="Times New Roman" w:cs="Calibri"/>
                <w:i/>
                <w:iCs/>
                <w:color w:val="000000"/>
                <w:sz w:val="16"/>
                <w:szCs w:val="16"/>
              </w:rPr>
              <w:t>5</w:t>
            </w:r>
          </w:p>
        </w:tc>
      </w:tr>
      <w:tr w:rsidR="00D14F0F" w:rsidRPr="00913CCF" w14:paraId="5813E453" w14:textId="77777777" w:rsidTr="00512288">
        <w:trPr>
          <w:trHeight w:val="202"/>
        </w:trPr>
        <w:tc>
          <w:tcPr>
            <w:tcW w:w="1335" w:type="dxa"/>
            <w:vMerge/>
            <w:tcBorders>
              <w:top w:val="nil"/>
              <w:left w:val="double" w:sz="6" w:space="0" w:color="auto"/>
              <w:bottom w:val="double" w:sz="6" w:space="0" w:color="000000"/>
              <w:right w:val="single" w:sz="8" w:space="0" w:color="auto"/>
            </w:tcBorders>
            <w:shd w:val="clear" w:color="auto" w:fill="auto"/>
            <w:vAlign w:val="center"/>
            <w:hideMark/>
          </w:tcPr>
          <w:p w14:paraId="642C8134" w14:textId="77777777" w:rsidR="00D14F0F" w:rsidRPr="00913CCF" w:rsidRDefault="00D14F0F" w:rsidP="004205FD">
            <w:pPr>
              <w:spacing w:after="0"/>
              <w:jc w:val="left"/>
              <w:rPr>
                <w:rFonts w:eastAsia="Times New Roman" w:cs="Calibri"/>
                <w:b/>
                <w:bCs/>
                <w:color w:val="000000"/>
                <w:sz w:val="16"/>
                <w:szCs w:val="16"/>
              </w:rPr>
            </w:pPr>
          </w:p>
        </w:tc>
        <w:tc>
          <w:tcPr>
            <w:tcW w:w="1267" w:type="dxa"/>
            <w:vMerge/>
            <w:tcBorders>
              <w:left w:val="single" w:sz="8" w:space="0" w:color="auto"/>
              <w:right w:val="single" w:sz="8" w:space="0" w:color="auto"/>
            </w:tcBorders>
            <w:shd w:val="clear" w:color="auto" w:fill="auto"/>
            <w:vAlign w:val="center"/>
            <w:hideMark/>
          </w:tcPr>
          <w:p w14:paraId="1A65A506" w14:textId="77777777" w:rsidR="00D14F0F" w:rsidRPr="00913CCF" w:rsidRDefault="00D14F0F" w:rsidP="004205FD">
            <w:pPr>
              <w:spacing w:after="0"/>
              <w:jc w:val="left"/>
              <w:rPr>
                <w:rFonts w:eastAsia="Times New Roman" w:cs="Calibri"/>
                <w:b/>
                <w:bCs/>
                <w:color w:val="000000"/>
                <w:sz w:val="16"/>
                <w:szCs w:val="16"/>
              </w:rPr>
            </w:pPr>
          </w:p>
        </w:tc>
        <w:tc>
          <w:tcPr>
            <w:tcW w:w="713" w:type="dxa"/>
            <w:vMerge/>
            <w:tcBorders>
              <w:left w:val="single" w:sz="8" w:space="0" w:color="auto"/>
              <w:right w:val="single" w:sz="8" w:space="0" w:color="auto"/>
            </w:tcBorders>
            <w:shd w:val="clear" w:color="auto" w:fill="auto"/>
            <w:vAlign w:val="center"/>
            <w:hideMark/>
          </w:tcPr>
          <w:p w14:paraId="487897B1" w14:textId="77777777" w:rsidR="00D14F0F" w:rsidRPr="00913CCF" w:rsidRDefault="00D14F0F" w:rsidP="004205FD">
            <w:pPr>
              <w:spacing w:after="0"/>
              <w:jc w:val="left"/>
              <w:rPr>
                <w:rFonts w:eastAsia="Times New Roman" w:cs="Calibri"/>
                <w:b/>
                <w:bCs/>
                <w:color w:val="000000"/>
                <w:sz w:val="16"/>
                <w:szCs w:val="16"/>
              </w:rPr>
            </w:pPr>
          </w:p>
        </w:tc>
        <w:tc>
          <w:tcPr>
            <w:tcW w:w="632" w:type="dxa"/>
            <w:vMerge/>
            <w:tcBorders>
              <w:left w:val="single" w:sz="8" w:space="0" w:color="auto"/>
              <w:right w:val="single" w:sz="8" w:space="0" w:color="auto"/>
            </w:tcBorders>
            <w:shd w:val="clear" w:color="auto" w:fill="auto"/>
            <w:vAlign w:val="center"/>
            <w:hideMark/>
          </w:tcPr>
          <w:p w14:paraId="55604A33" w14:textId="77777777" w:rsidR="00D14F0F" w:rsidRPr="00913CCF" w:rsidRDefault="00D14F0F" w:rsidP="004205FD">
            <w:pPr>
              <w:spacing w:after="0"/>
              <w:jc w:val="left"/>
              <w:rPr>
                <w:rFonts w:eastAsia="Times New Roman" w:cs="Calibri"/>
                <w:b/>
                <w:bCs/>
                <w:color w:val="000000"/>
                <w:sz w:val="16"/>
                <w:szCs w:val="16"/>
              </w:rPr>
            </w:pPr>
          </w:p>
        </w:tc>
        <w:tc>
          <w:tcPr>
            <w:tcW w:w="901" w:type="dxa"/>
            <w:tcBorders>
              <w:top w:val="nil"/>
              <w:left w:val="nil"/>
              <w:bottom w:val="single" w:sz="8" w:space="0" w:color="auto"/>
              <w:right w:val="single" w:sz="8" w:space="0" w:color="auto"/>
            </w:tcBorders>
            <w:shd w:val="clear" w:color="auto" w:fill="auto"/>
            <w:noWrap/>
            <w:vAlign w:val="center"/>
            <w:hideMark/>
          </w:tcPr>
          <w:p w14:paraId="6A0B6BC1" w14:textId="77777777" w:rsidR="00D14F0F" w:rsidRPr="00913CCF" w:rsidRDefault="00D14F0F" w:rsidP="004205FD">
            <w:pPr>
              <w:spacing w:after="0"/>
              <w:jc w:val="center"/>
              <w:rPr>
                <w:rFonts w:eastAsia="Times New Roman" w:cs="Calibri"/>
                <w:color w:val="000000"/>
                <w:sz w:val="16"/>
                <w:szCs w:val="16"/>
              </w:rPr>
            </w:pPr>
            <w:r w:rsidRPr="00913CCF">
              <w:rPr>
                <w:rFonts w:eastAsia="Times New Roman" w:cs="Calibri"/>
                <w:color w:val="000000"/>
                <w:sz w:val="16"/>
                <w:szCs w:val="16"/>
              </w:rPr>
              <w:t>72800</w:t>
            </w:r>
          </w:p>
        </w:tc>
        <w:tc>
          <w:tcPr>
            <w:tcW w:w="1597" w:type="dxa"/>
            <w:tcBorders>
              <w:top w:val="nil"/>
              <w:left w:val="nil"/>
              <w:bottom w:val="single" w:sz="8" w:space="0" w:color="auto"/>
              <w:right w:val="single" w:sz="8" w:space="0" w:color="auto"/>
            </w:tcBorders>
            <w:shd w:val="clear" w:color="auto" w:fill="auto"/>
            <w:vAlign w:val="center"/>
            <w:hideMark/>
          </w:tcPr>
          <w:p w14:paraId="5331B429" w14:textId="77777777" w:rsidR="00D14F0F" w:rsidRPr="00913CCF" w:rsidRDefault="00D14F0F" w:rsidP="004205FD">
            <w:pPr>
              <w:spacing w:after="0"/>
              <w:jc w:val="left"/>
              <w:rPr>
                <w:rFonts w:eastAsia="Times New Roman" w:cs="Calibri"/>
                <w:color w:val="000000"/>
                <w:sz w:val="16"/>
                <w:szCs w:val="16"/>
              </w:rPr>
            </w:pPr>
            <w:r w:rsidRPr="00913CCF">
              <w:rPr>
                <w:rFonts w:eastAsia="Times New Roman" w:cs="Calibri"/>
                <w:color w:val="000000"/>
                <w:sz w:val="16"/>
                <w:szCs w:val="16"/>
              </w:rPr>
              <w:t>Info. Tech. Equip</w:t>
            </w:r>
          </w:p>
        </w:tc>
        <w:tc>
          <w:tcPr>
            <w:tcW w:w="935" w:type="dxa"/>
            <w:tcBorders>
              <w:top w:val="nil"/>
              <w:left w:val="nil"/>
              <w:bottom w:val="single" w:sz="8" w:space="0" w:color="auto"/>
              <w:right w:val="single" w:sz="8" w:space="0" w:color="auto"/>
            </w:tcBorders>
            <w:shd w:val="clear" w:color="auto" w:fill="auto"/>
            <w:noWrap/>
            <w:vAlign w:val="center"/>
            <w:hideMark/>
          </w:tcPr>
          <w:p w14:paraId="34D97C0F"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6,000</w:t>
            </w:r>
          </w:p>
        </w:tc>
        <w:tc>
          <w:tcPr>
            <w:tcW w:w="996" w:type="dxa"/>
            <w:tcBorders>
              <w:top w:val="nil"/>
              <w:left w:val="nil"/>
              <w:bottom w:val="single" w:sz="8" w:space="0" w:color="auto"/>
              <w:right w:val="single" w:sz="8" w:space="0" w:color="auto"/>
            </w:tcBorders>
            <w:shd w:val="clear" w:color="auto" w:fill="auto"/>
            <w:noWrap/>
            <w:vAlign w:val="center"/>
            <w:hideMark/>
          </w:tcPr>
          <w:p w14:paraId="16792C42"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300</w:t>
            </w:r>
          </w:p>
        </w:tc>
        <w:tc>
          <w:tcPr>
            <w:tcW w:w="925" w:type="dxa"/>
            <w:tcBorders>
              <w:top w:val="nil"/>
              <w:left w:val="nil"/>
              <w:bottom w:val="single" w:sz="8" w:space="0" w:color="auto"/>
              <w:right w:val="single" w:sz="8" w:space="0" w:color="auto"/>
            </w:tcBorders>
            <w:shd w:val="clear" w:color="auto" w:fill="auto"/>
            <w:noWrap/>
            <w:vAlign w:val="center"/>
            <w:hideMark/>
          </w:tcPr>
          <w:p w14:paraId="41A3AD87"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300</w:t>
            </w:r>
          </w:p>
        </w:tc>
        <w:tc>
          <w:tcPr>
            <w:tcW w:w="925" w:type="dxa"/>
            <w:tcBorders>
              <w:top w:val="nil"/>
              <w:left w:val="nil"/>
              <w:bottom w:val="single" w:sz="8" w:space="0" w:color="auto"/>
              <w:right w:val="single" w:sz="8" w:space="0" w:color="auto"/>
            </w:tcBorders>
            <w:shd w:val="clear" w:color="auto" w:fill="auto"/>
            <w:noWrap/>
            <w:vAlign w:val="center"/>
            <w:hideMark/>
          </w:tcPr>
          <w:p w14:paraId="3F44EDCF"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300</w:t>
            </w:r>
          </w:p>
        </w:tc>
        <w:tc>
          <w:tcPr>
            <w:tcW w:w="925" w:type="dxa"/>
            <w:tcBorders>
              <w:top w:val="nil"/>
              <w:left w:val="nil"/>
              <w:bottom w:val="single" w:sz="8" w:space="0" w:color="auto"/>
              <w:right w:val="single" w:sz="8" w:space="0" w:color="auto"/>
            </w:tcBorders>
            <w:shd w:val="clear" w:color="auto" w:fill="auto"/>
            <w:noWrap/>
            <w:vAlign w:val="center"/>
            <w:hideMark/>
          </w:tcPr>
          <w:p w14:paraId="5263E8E7"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300</w:t>
            </w:r>
          </w:p>
        </w:tc>
        <w:tc>
          <w:tcPr>
            <w:tcW w:w="925" w:type="dxa"/>
            <w:tcBorders>
              <w:top w:val="nil"/>
              <w:left w:val="nil"/>
              <w:bottom w:val="single" w:sz="8" w:space="0" w:color="auto"/>
              <w:right w:val="single" w:sz="8" w:space="0" w:color="auto"/>
            </w:tcBorders>
            <w:shd w:val="clear" w:color="auto" w:fill="auto"/>
            <w:vAlign w:val="center"/>
            <w:hideMark/>
          </w:tcPr>
          <w:p w14:paraId="5DEAC36D" w14:textId="7777777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300</w:t>
            </w:r>
          </w:p>
        </w:tc>
        <w:tc>
          <w:tcPr>
            <w:tcW w:w="1244" w:type="dxa"/>
            <w:tcBorders>
              <w:top w:val="nil"/>
              <w:left w:val="nil"/>
              <w:bottom w:val="single" w:sz="8" w:space="0" w:color="auto"/>
              <w:right w:val="single" w:sz="8" w:space="0" w:color="auto"/>
            </w:tcBorders>
            <w:shd w:val="clear" w:color="auto" w:fill="auto"/>
            <w:noWrap/>
            <w:vAlign w:val="center"/>
            <w:hideMark/>
          </w:tcPr>
          <w:p w14:paraId="125820D1" w14:textId="77777777" w:rsidR="00D14F0F" w:rsidRPr="00913CCF" w:rsidRDefault="00D14F0F"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7,500</w:t>
            </w:r>
          </w:p>
        </w:tc>
        <w:tc>
          <w:tcPr>
            <w:tcW w:w="844" w:type="dxa"/>
            <w:tcBorders>
              <w:top w:val="nil"/>
              <w:left w:val="nil"/>
              <w:bottom w:val="single" w:sz="8" w:space="0" w:color="auto"/>
              <w:right w:val="single" w:sz="8" w:space="0" w:color="auto"/>
            </w:tcBorders>
            <w:shd w:val="clear" w:color="auto" w:fill="auto"/>
            <w:vAlign w:val="center"/>
            <w:hideMark/>
          </w:tcPr>
          <w:p w14:paraId="59EF9AD6" w14:textId="57B4ECBA" w:rsidR="00D14F0F" w:rsidRPr="00913CCF" w:rsidRDefault="00D14F0F" w:rsidP="004205FD">
            <w:pPr>
              <w:spacing w:after="0"/>
              <w:jc w:val="center"/>
              <w:rPr>
                <w:rFonts w:eastAsia="Times New Roman" w:cs="Calibri"/>
                <w:i/>
                <w:iCs/>
                <w:color w:val="000000"/>
                <w:sz w:val="16"/>
                <w:szCs w:val="16"/>
              </w:rPr>
            </w:pPr>
            <w:r w:rsidRPr="00913CCF">
              <w:rPr>
                <w:rFonts w:eastAsia="Times New Roman" w:cs="Calibri"/>
                <w:i/>
                <w:iCs/>
                <w:color w:val="000000"/>
                <w:sz w:val="16"/>
                <w:szCs w:val="16"/>
              </w:rPr>
              <w:t>5</w:t>
            </w:r>
            <w:r w:rsidR="00512288">
              <w:rPr>
                <w:rFonts w:eastAsia="Times New Roman" w:cs="Calibri"/>
                <w:i/>
                <w:iCs/>
                <w:color w:val="000000"/>
                <w:sz w:val="16"/>
                <w:szCs w:val="16"/>
              </w:rPr>
              <w:t>6</w:t>
            </w:r>
          </w:p>
        </w:tc>
      </w:tr>
      <w:tr w:rsidR="00D14F0F" w:rsidRPr="00913CCF" w14:paraId="7D07B8B4" w14:textId="77777777" w:rsidTr="00512288">
        <w:trPr>
          <w:trHeight w:val="144"/>
        </w:trPr>
        <w:tc>
          <w:tcPr>
            <w:tcW w:w="1335" w:type="dxa"/>
            <w:vMerge/>
            <w:tcBorders>
              <w:top w:val="nil"/>
              <w:left w:val="double" w:sz="6" w:space="0" w:color="auto"/>
              <w:bottom w:val="single" w:sz="4" w:space="0" w:color="auto"/>
              <w:right w:val="single" w:sz="8" w:space="0" w:color="auto"/>
            </w:tcBorders>
            <w:shd w:val="clear" w:color="auto" w:fill="auto"/>
            <w:vAlign w:val="center"/>
            <w:hideMark/>
          </w:tcPr>
          <w:p w14:paraId="0E2B232A" w14:textId="77777777" w:rsidR="00D14F0F" w:rsidRPr="00913CCF" w:rsidRDefault="00D14F0F" w:rsidP="004205FD">
            <w:pPr>
              <w:spacing w:after="0"/>
              <w:jc w:val="left"/>
              <w:rPr>
                <w:rFonts w:eastAsia="Times New Roman" w:cs="Calibri"/>
                <w:b/>
                <w:bCs/>
                <w:color w:val="000000"/>
                <w:sz w:val="16"/>
                <w:szCs w:val="16"/>
              </w:rPr>
            </w:pPr>
          </w:p>
        </w:tc>
        <w:tc>
          <w:tcPr>
            <w:tcW w:w="1267" w:type="dxa"/>
            <w:vMerge/>
            <w:tcBorders>
              <w:left w:val="single" w:sz="8" w:space="0" w:color="auto"/>
              <w:right w:val="single" w:sz="8" w:space="0" w:color="auto"/>
            </w:tcBorders>
            <w:shd w:val="clear" w:color="auto" w:fill="auto"/>
            <w:vAlign w:val="center"/>
            <w:hideMark/>
          </w:tcPr>
          <w:p w14:paraId="27F0C206" w14:textId="77777777" w:rsidR="00D14F0F" w:rsidRPr="00913CCF" w:rsidRDefault="00D14F0F" w:rsidP="004205FD">
            <w:pPr>
              <w:spacing w:after="0"/>
              <w:jc w:val="left"/>
              <w:rPr>
                <w:rFonts w:eastAsia="Times New Roman" w:cs="Calibri"/>
                <w:b/>
                <w:bCs/>
                <w:color w:val="000000"/>
                <w:sz w:val="16"/>
                <w:szCs w:val="16"/>
              </w:rPr>
            </w:pPr>
          </w:p>
        </w:tc>
        <w:tc>
          <w:tcPr>
            <w:tcW w:w="713" w:type="dxa"/>
            <w:vMerge/>
            <w:tcBorders>
              <w:left w:val="single" w:sz="8" w:space="0" w:color="auto"/>
              <w:bottom w:val="single" w:sz="4" w:space="0" w:color="auto"/>
              <w:right w:val="single" w:sz="8" w:space="0" w:color="auto"/>
            </w:tcBorders>
            <w:shd w:val="clear" w:color="auto" w:fill="auto"/>
            <w:vAlign w:val="center"/>
            <w:hideMark/>
          </w:tcPr>
          <w:p w14:paraId="5A5029C2" w14:textId="77777777" w:rsidR="00D14F0F" w:rsidRPr="00913CCF" w:rsidRDefault="00D14F0F" w:rsidP="004205FD">
            <w:pPr>
              <w:spacing w:after="0"/>
              <w:jc w:val="left"/>
              <w:rPr>
                <w:rFonts w:eastAsia="Times New Roman" w:cs="Calibri"/>
                <w:b/>
                <w:bCs/>
                <w:color w:val="000000"/>
                <w:sz w:val="16"/>
                <w:szCs w:val="16"/>
              </w:rPr>
            </w:pPr>
          </w:p>
        </w:tc>
        <w:tc>
          <w:tcPr>
            <w:tcW w:w="632" w:type="dxa"/>
            <w:vMerge/>
            <w:tcBorders>
              <w:left w:val="single" w:sz="8" w:space="0" w:color="auto"/>
              <w:bottom w:val="single" w:sz="4" w:space="0" w:color="auto"/>
              <w:right w:val="single" w:sz="8" w:space="0" w:color="auto"/>
            </w:tcBorders>
            <w:shd w:val="clear" w:color="auto" w:fill="auto"/>
            <w:vAlign w:val="center"/>
            <w:hideMark/>
          </w:tcPr>
          <w:p w14:paraId="505EDF8D" w14:textId="77777777" w:rsidR="00D14F0F" w:rsidRPr="00913CCF" w:rsidRDefault="00D14F0F" w:rsidP="004205FD">
            <w:pPr>
              <w:spacing w:after="0"/>
              <w:jc w:val="left"/>
              <w:rPr>
                <w:rFonts w:eastAsia="Times New Roman" w:cs="Calibri"/>
                <w:b/>
                <w:bCs/>
                <w:color w:val="000000"/>
                <w:sz w:val="16"/>
                <w:szCs w:val="16"/>
              </w:rPr>
            </w:pPr>
          </w:p>
        </w:tc>
        <w:tc>
          <w:tcPr>
            <w:tcW w:w="901" w:type="dxa"/>
            <w:tcBorders>
              <w:top w:val="nil"/>
              <w:left w:val="nil"/>
              <w:bottom w:val="single" w:sz="4" w:space="0" w:color="auto"/>
              <w:right w:val="single" w:sz="8" w:space="0" w:color="auto"/>
            </w:tcBorders>
            <w:shd w:val="clear" w:color="auto" w:fill="auto"/>
            <w:noWrap/>
            <w:vAlign w:val="center"/>
            <w:hideMark/>
          </w:tcPr>
          <w:p w14:paraId="62B30986" w14:textId="3767B0DE" w:rsidR="00D14F0F" w:rsidRPr="00913CCF" w:rsidRDefault="00D14F0F" w:rsidP="004205FD">
            <w:pPr>
              <w:spacing w:after="0"/>
              <w:jc w:val="center"/>
              <w:rPr>
                <w:rFonts w:eastAsia="Times New Roman" w:cs="Calibri"/>
                <w:color w:val="000000"/>
                <w:sz w:val="16"/>
                <w:szCs w:val="16"/>
              </w:rPr>
            </w:pPr>
            <w:r w:rsidRPr="00913CCF">
              <w:rPr>
                <w:rFonts w:eastAsia="Times New Roman" w:cs="Calibri"/>
                <w:color w:val="000000"/>
                <w:sz w:val="16"/>
                <w:szCs w:val="16"/>
              </w:rPr>
              <w:t>74500</w:t>
            </w:r>
          </w:p>
        </w:tc>
        <w:tc>
          <w:tcPr>
            <w:tcW w:w="1597" w:type="dxa"/>
            <w:tcBorders>
              <w:top w:val="nil"/>
              <w:left w:val="nil"/>
              <w:bottom w:val="single" w:sz="4" w:space="0" w:color="auto"/>
              <w:right w:val="single" w:sz="8" w:space="0" w:color="auto"/>
            </w:tcBorders>
            <w:shd w:val="clear" w:color="auto" w:fill="auto"/>
            <w:vAlign w:val="center"/>
            <w:hideMark/>
          </w:tcPr>
          <w:p w14:paraId="098149B3" w14:textId="2CC82FF6" w:rsidR="00D14F0F" w:rsidRPr="00913CCF" w:rsidRDefault="00D14F0F" w:rsidP="004205FD">
            <w:pPr>
              <w:spacing w:after="0"/>
              <w:jc w:val="left"/>
              <w:rPr>
                <w:rFonts w:eastAsia="Times New Roman" w:cs="Calibri"/>
                <w:color w:val="000000"/>
                <w:sz w:val="16"/>
                <w:szCs w:val="16"/>
              </w:rPr>
            </w:pPr>
            <w:r w:rsidRPr="00913CCF">
              <w:rPr>
                <w:rFonts w:eastAsia="Times New Roman" w:cs="Calibri"/>
                <w:color w:val="000000"/>
                <w:sz w:val="16"/>
                <w:szCs w:val="16"/>
              </w:rPr>
              <w:t>Miscellaneous</w:t>
            </w:r>
          </w:p>
        </w:tc>
        <w:tc>
          <w:tcPr>
            <w:tcW w:w="935" w:type="dxa"/>
            <w:tcBorders>
              <w:top w:val="nil"/>
              <w:left w:val="nil"/>
              <w:bottom w:val="single" w:sz="4" w:space="0" w:color="auto"/>
              <w:right w:val="single" w:sz="8" w:space="0" w:color="auto"/>
            </w:tcBorders>
            <w:shd w:val="clear" w:color="auto" w:fill="auto"/>
            <w:noWrap/>
            <w:vAlign w:val="center"/>
            <w:hideMark/>
          </w:tcPr>
          <w:p w14:paraId="3FF520B5" w14:textId="5DF275AE"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3,000</w:t>
            </w:r>
          </w:p>
        </w:tc>
        <w:tc>
          <w:tcPr>
            <w:tcW w:w="996" w:type="dxa"/>
            <w:tcBorders>
              <w:top w:val="nil"/>
              <w:left w:val="nil"/>
              <w:bottom w:val="single" w:sz="4" w:space="0" w:color="auto"/>
              <w:right w:val="single" w:sz="8" w:space="0" w:color="auto"/>
            </w:tcBorders>
            <w:shd w:val="clear" w:color="auto" w:fill="auto"/>
            <w:noWrap/>
            <w:vAlign w:val="center"/>
            <w:hideMark/>
          </w:tcPr>
          <w:p w14:paraId="39F4A0F0" w14:textId="50EB7A31"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500</w:t>
            </w:r>
          </w:p>
        </w:tc>
        <w:tc>
          <w:tcPr>
            <w:tcW w:w="925" w:type="dxa"/>
            <w:tcBorders>
              <w:top w:val="nil"/>
              <w:left w:val="nil"/>
              <w:bottom w:val="single" w:sz="4" w:space="0" w:color="auto"/>
              <w:right w:val="single" w:sz="8" w:space="0" w:color="auto"/>
            </w:tcBorders>
            <w:shd w:val="clear" w:color="auto" w:fill="auto"/>
            <w:noWrap/>
            <w:vAlign w:val="center"/>
            <w:hideMark/>
          </w:tcPr>
          <w:p w14:paraId="78CEE137" w14:textId="5A178C57"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500</w:t>
            </w:r>
          </w:p>
        </w:tc>
        <w:tc>
          <w:tcPr>
            <w:tcW w:w="925" w:type="dxa"/>
            <w:tcBorders>
              <w:top w:val="nil"/>
              <w:left w:val="nil"/>
              <w:bottom w:val="single" w:sz="4" w:space="0" w:color="auto"/>
              <w:right w:val="single" w:sz="8" w:space="0" w:color="auto"/>
            </w:tcBorders>
            <w:shd w:val="clear" w:color="auto" w:fill="auto"/>
            <w:noWrap/>
            <w:vAlign w:val="center"/>
            <w:hideMark/>
          </w:tcPr>
          <w:p w14:paraId="33A2E681" w14:textId="6288569D"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500</w:t>
            </w:r>
          </w:p>
        </w:tc>
        <w:tc>
          <w:tcPr>
            <w:tcW w:w="925" w:type="dxa"/>
            <w:tcBorders>
              <w:top w:val="nil"/>
              <w:left w:val="nil"/>
              <w:bottom w:val="single" w:sz="4" w:space="0" w:color="auto"/>
              <w:right w:val="single" w:sz="8" w:space="0" w:color="auto"/>
            </w:tcBorders>
            <w:shd w:val="clear" w:color="auto" w:fill="auto"/>
            <w:noWrap/>
            <w:vAlign w:val="center"/>
            <w:hideMark/>
          </w:tcPr>
          <w:p w14:paraId="0B71AF85" w14:textId="0D87B988"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500</w:t>
            </w:r>
          </w:p>
        </w:tc>
        <w:tc>
          <w:tcPr>
            <w:tcW w:w="925" w:type="dxa"/>
            <w:tcBorders>
              <w:top w:val="nil"/>
              <w:left w:val="nil"/>
              <w:bottom w:val="single" w:sz="4" w:space="0" w:color="auto"/>
              <w:right w:val="single" w:sz="8" w:space="0" w:color="auto"/>
            </w:tcBorders>
            <w:shd w:val="clear" w:color="auto" w:fill="auto"/>
            <w:vAlign w:val="center"/>
            <w:hideMark/>
          </w:tcPr>
          <w:p w14:paraId="23672DD3" w14:textId="39DFEE4F" w:rsidR="00D14F0F" w:rsidRPr="00913CCF" w:rsidRDefault="00D14F0F" w:rsidP="00F8089A">
            <w:pPr>
              <w:spacing w:after="0"/>
              <w:jc w:val="right"/>
              <w:rPr>
                <w:rFonts w:eastAsia="Times New Roman" w:cs="Calibri"/>
                <w:color w:val="000000"/>
                <w:sz w:val="16"/>
                <w:szCs w:val="16"/>
              </w:rPr>
            </w:pPr>
            <w:r w:rsidRPr="00913CCF">
              <w:rPr>
                <w:rFonts w:eastAsia="Times New Roman" w:cs="Calibri"/>
                <w:color w:val="000000"/>
                <w:sz w:val="16"/>
                <w:szCs w:val="16"/>
              </w:rPr>
              <w:t>502</w:t>
            </w:r>
          </w:p>
        </w:tc>
        <w:tc>
          <w:tcPr>
            <w:tcW w:w="1244" w:type="dxa"/>
            <w:tcBorders>
              <w:top w:val="nil"/>
              <w:left w:val="nil"/>
              <w:bottom w:val="single" w:sz="4" w:space="0" w:color="auto"/>
              <w:right w:val="single" w:sz="8" w:space="0" w:color="auto"/>
            </w:tcBorders>
            <w:shd w:val="clear" w:color="auto" w:fill="auto"/>
            <w:noWrap/>
            <w:vAlign w:val="center"/>
            <w:hideMark/>
          </w:tcPr>
          <w:p w14:paraId="4855CD72" w14:textId="708DE726" w:rsidR="00D14F0F" w:rsidRPr="00512288" w:rsidRDefault="00D14F0F" w:rsidP="00F8089A">
            <w:pPr>
              <w:spacing w:after="0"/>
              <w:jc w:val="right"/>
              <w:rPr>
                <w:rFonts w:eastAsia="Times New Roman" w:cs="Calibri"/>
                <w:b/>
                <w:bCs/>
                <w:color w:val="000000"/>
                <w:sz w:val="16"/>
                <w:szCs w:val="16"/>
              </w:rPr>
            </w:pPr>
            <w:r w:rsidRPr="00512288">
              <w:rPr>
                <w:rFonts w:eastAsia="Times New Roman" w:cs="Calibri"/>
                <w:b/>
                <w:bCs/>
                <w:color w:val="000000"/>
                <w:sz w:val="16"/>
                <w:szCs w:val="16"/>
              </w:rPr>
              <w:t>5,502</w:t>
            </w:r>
          </w:p>
        </w:tc>
        <w:tc>
          <w:tcPr>
            <w:tcW w:w="844" w:type="dxa"/>
            <w:tcBorders>
              <w:top w:val="nil"/>
              <w:left w:val="nil"/>
              <w:bottom w:val="single" w:sz="4" w:space="0" w:color="auto"/>
              <w:right w:val="single" w:sz="8" w:space="0" w:color="auto"/>
            </w:tcBorders>
            <w:shd w:val="clear" w:color="auto" w:fill="auto"/>
            <w:vAlign w:val="center"/>
            <w:hideMark/>
          </w:tcPr>
          <w:p w14:paraId="1EB7676E" w14:textId="0731341F" w:rsidR="00D14F0F" w:rsidRPr="00913CCF" w:rsidRDefault="00D14F0F" w:rsidP="004205FD">
            <w:pPr>
              <w:spacing w:after="0"/>
              <w:jc w:val="center"/>
              <w:rPr>
                <w:rFonts w:eastAsia="Times New Roman" w:cs="Calibri"/>
                <w:i/>
                <w:iCs/>
                <w:color w:val="000000"/>
                <w:sz w:val="16"/>
                <w:szCs w:val="16"/>
              </w:rPr>
            </w:pPr>
            <w:r w:rsidRPr="00913CCF">
              <w:rPr>
                <w:rFonts w:eastAsia="Times New Roman" w:cs="Calibri"/>
                <w:i/>
                <w:iCs/>
                <w:color w:val="000000"/>
                <w:sz w:val="16"/>
                <w:szCs w:val="16"/>
              </w:rPr>
              <w:t>5</w:t>
            </w:r>
            <w:r w:rsidR="00512288">
              <w:rPr>
                <w:rFonts w:eastAsia="Times New Roman" w:cs="Calibri"/>
                <w:i/>
                <w:iCs/>
                <w:color w:val="000000"/>
                <w:sz w:val="16"/>
                <w:szCs w:val="16"/>
              </w:rPr>
              <w:t>7</w:t>
            </w:r>
          </w:p>
        </w:tc>
      </w:tr>
      <w:tr w:rsidR="00D14F0F" w:rsidRPr="00913CCF" w14:paraId="5849BE1F" w14:textId="77777777" w:rsidTr="00512288">
        <w:trPr>
          <w:trHeight w:val="144"/>
        </w:trPr>
        <w:tc>
          <w:tcPr>
            <w:tcW w:w="1335" w:type="dxa"/>
            <w:vMerge/>
            <w:tcBorders>
              <w:top w:val="single" w:sz="4" w:space="0" w:color="auto"/>
              <w:left w:val="double" w:sz="6" w:space="0" w:color="auto"/>
              <w:bottom w:val="double" w:sz="6" w:space="0" w:color="000000"/>
              <w:right w:val="single" w:sz="8" w:space="0" w:color="auto"/>
            </w:tcBorders>
            <w:shd w:val="clear" w:color="auto" w:fill="auto"/>
            <w:vAlign w:val="center"/>
          </w:tcPr>
          <w:p w14:paraId="187A95D2" w14:textId="77777777" w:rsidR="00D14F0F" w:rsidRPr="00913CCF" w:rsidRDefault="00D14F0F" w:rsidP="004205FD">
            <w:pPr>
              <w:spacing w:after="0"/>
              <w:jc w:val="left"/>
              <w:rPr>
                <w:rFonts w:eastAsia="Times New Roman" w:cs="Calibri"/>
                <w:b/>
                <w:bCs/>
                <w:color w:val="000000"/>
                <w:sz w:val="16"/>
                <w:szCs w:val="16"/>
              </w:rPr>
            </w:pPr>
          </w:p>
        </w:tc>
        <w:tc>
          <w:tcPr>
            <w:tcW w:w="1267" w:type="dxa"/>
            <w:vMerge/>
            <w:tcBorders>
              <w:left w:val="single" w:sz="8" w:space="0" w:color="auto"/>
              <w:bottom w:val="double" w:sz="4" w:space="0" w:color="auto"/>
              <w:right w:val="single" w:sz="8" w:space="0" w:color="auto"/>
            </w:tcBorders>
            <w:shd w:val="clear" w:color="auto" w:fill="auto"/>
            <w:vAlign w:val="center"/>
          </w:tcPr>
          <w:p w14:paraId="31D2663E" w14:textId="77777777" w:rsidR="00D14F0F" w:rsidRPr="00913CCF" w:rsidRDefault="00D14F0F" w:rsidP="004205FD">
            <w:pPr>
              <w:spacing w:after="0"/>
              <w:jc w:val="left"/>
              <w:rPr>
                <w:rFonts w:eastAsia="Times New Roman" w:cs="Calibri"/>
                <w:b/>
                <w:bCs/>
                <w:color w:val="000000"/>
                <w:sz w:val="16"/>
                <w:szCs w:val="16"/>
              </w:rPr>
            </w:pPr>
          </w:p>
        </w:tc>
        <w:tc>
          <w:tcPr>
            <w:tcW w:w="713" w:type="dxa"/>
            <w:vMerge/>
            <w:tcBorders>
              <w:top w:val="single" w:sz="4" w:space="0" w:color="auto"/>
              <w:left w:val="single" w:sz="8" w:space="0" w:color="auto"/>
              <w:bottom w:val="double" w:sz="4" w:space="0" w:color="auto"/>
              <w:right w:val="single" w:sz="8" w:space="0" w:color="auto"/>
            </w:tcBorders>
            <w:shd w:val="clear" w:color="auto" w:fill="auto"/>
            <w:vAlign w:val="center"/>
          </w:tcPr>
          <w:p w14:paraId="6FA920E7" w14:textId="77777777" w:rsidR="00D14F0F" w:rsidRPr="00913CCF" w:rsidRDefault="00D14F0F" w:rsidP="004205FD">
            <w:pPr>
              <w:spacing w:after="0"/>
              <w:jc w:val="left"/>
              <w:rPr>
                <w:rFonts w:eastAsia="Times New Roman" w:cs="Calibri"/>
                <w:b/>
                <w:bCs/>
                <w:color w:val="000000"/>
                <w:sz w:val="16"/>
                <w:szCs w:val="16"/>
              </w:rPr>
            </w:pPr>
          </w:p>
        </w:tc>
        <w:tc>
          <w:tcPr>
            <w:tcW w:w="632" w:type="dxa"/>
            <w:vMerge/>
            <w:tcBorders>
              <w:top w:val="single" w:sz="4" w:space="0" w:color="auto"/>
              <w:left w:val="single" w:sz="8" w:space="0" w:color="auto"/>
              <w:bottom w:val="double" w:sz="4" w:space="0" w:color="auto"/>
              <w:right w:val="single" w:sz="8" w:space="0" w:color="auto"/>
            </w:tcBorders>
            <w:shd w:val="clear" w:color="auto" w:fill="auto"/>
            <w:vAlign w:val="center"/>
          </w:tcPr>
          <w:p w14:paraId="46602997" w14:textId="77777777" w:rsidR="00D14F0F" w:rsidRPr="00913CCF" w:rsidRDefault="00D14F0F" w:rsidP="004205FD">
            <w:pPr>
              <w:spacing w:after="0"/>
              <w:jc w:val="left"/>
              <w:rPr>
                <w:rFonts w:eastAsia="Times New Roman" w:cs="Calibri"/>
                <w:b/>
                <w:bCs/>
                <w:color w:val="000000"/>
                <w:sz w:val="16"/>
                <w:szCs w:val="16"/>
              </w:rPr>
            </w:pPr>
          </w:p>
        </w:tc>
        <w:tc>
          <w:tcPr>
            <w:tcW w:w="901" w:type="dxa"/>
            <w:tcBorders>
              <w:top w:val="single" w:sz="4" w:space="0" w:color="auto"/>
              <w:left w:val="nil"/>
              <w:bottom w:val="double" w:sz="4" w:space="0" w:color="auto"/>
              <w:right w:val="single" w:sz="8" w:space="0" w:color="auto"/>
            </w:tcBorders>
            <w:shd w:val="clear" w:color="auto" w:fill="auto"/>
            <w:noWrap/>
            <w:vAlign w:val="center"/>
          </w:tcPr>
          <w:p w14:paraId="72286071" w14:textId="7F0F419A" w:rsidR="00D14F0F" w:rsidRPr="00EF6D8E" w:rsidRDefault="00D14F0F" w:rsidP="004205FD">
            <w:pPr>
              <w:spacing w:after="0"/>
              <w:jc w:val="center"/>
              <w:rPr>
                <w:rFonts w:eastAsia="Times New Roman" w:cs="Calibri"/>
                <w:color w:val="000000"/>
                <w:sz w:val="16"/>
                <w:szCs w:val="16"/>
              </w:rPr>
            </w:pPr>
            <w:r w:rsidRPr="00EF6D8E">
              <w:rPr>
                <w:rFonts w:eastAsia="Times New Roman" w:cs="Calibri"/>
                <w:color w:val="000000"/>
                <w:sz w:val="16"/>
                <w:szCs w:val="16"/>
              </w:rPr>
              <w:t>74100</w:t>
            </w:r>
          </w:p>
        </w:tc>
        <w:tc>
          <w:tcPr>
            <w:tcW w:w="1597" w:type="dxa"/>
            <w:tcBorders>
              <w:top w:val="single" w:sz="4" w:space="0" w:color="auto"/>
              <w:left w:val="nil"/>
              <w:bottom w:val="double" w:sz="4" w:space="0" w:color="auto"/>
              <w:right w:val="single" w:sz="8" w:space="0" w:color="auto"/>
            </w:tcBorders>
            <w:shd w:val="clear" w:color="auto" w:fill="auto"/>
            <w:vAlign w:val="center"/>
          </w:tcPr>
          <w:p w14:paraId="1208C00C" w14:textId="22574587" w:rsidR="00D14F0F" w:rsidRPr="00EF6D8E" w:rsidRDefault="00D14F0F" w:rsidP="004205FD">
            <w:pPr>
              <w:spacing w:after="0"/>
              <w:jc w:val="left"/>
              <w:rPr>
                <w:rFonts w:eastAsia="Times New Roman" w:cs="Calibri"/>
                <w:color w:val="000000"/>
                <w:sz w:val="16"/>
                <w:szCs w:val="16"/>
              </w:rPr>
            </w:pPr>
            <w:r w:rsidRPr="00EF6D8E">
              <w:rPr>
                <w:rFonts w:eastAsia="Times New Roman" w:cs="Calibri"/>
                <w:color w:val="000000"/>
                <w:sz w:val="16"/>
                <w:szCs w:val="16"/>
              </w:rPr>
              <w:t>Prof. Services</w:t>
            </w:r>
          </w:p>
        </w:tc>
        <w:tc>
          <w:tcPr>
            <w:tcW w:w="935" w:type="dxa"/>
            <w:tcBorders>
              <w:top w:val="single" w:sz="4" w:space="0" w:color="auto"/>
              <w:left w:val="nil"/>
              <w:bottom w:val="double" w:sz="4" w:space="0" w:color="auto"/>
              <w:right w:val="single" w:sz="8" w:space="0" w:color="auto"/>
            </w:tcBorders>
            <w:shd w:val="clear" w:color="auto" w:fill="auto"/>
            <w:noWrap/>
            <w:vAlign w:val="center"/>
          </w:tcPr>
          <w:p w14:paraId="74BC3C89" w14:textId="2421CD2A" w:rsidR="00D14F0F" w:rsidRPr="00EF6D8E" w:rsidRDefault="00D14F0F" w:rsidP="00F8089A">
            <w:pPr>
              <w:spacing w:after="0"/>
              <w:jc w:val="right"/>
              <w:rPr>
                <w:rFonts w:eastAsia="Times New Roman" w:cs="Calibri"/>
                <w:color w:val="000000"/>
                <w:sz w:val="16"/>
                <w:szCs w:val="16"/>
              </w:rPr>
            </w:pPr>
            <w:r w:rsidRPr="00EF6D8E">
              <w:rPr>
                <w:rFonts w:eastAsia="Times New Roman" w:cs="Calibri"/>
                <w:color w:val="000000"/>
                <w:sz w:val="16"/>
                <w:szCs w:val="16"/>
              </w:rPr>
              <w:t>0</w:t>
            </w:r>
          </w:p>
        </w:tc>
        <w:tc>
          <w:tcPr>
            <w:tcW w:w="996" w:type="dxa"/>
            <w:tcBorders>
              <w:top w:val="single" w:sz="4" w:space="0" w:color="auto"/>
              <w:left w:val="nil"/>
              <w:bottom w:val="double" w:sz="4" w:space="0" w:color="auto"/>
              <w:right w:val="single" w:sz="8" w:space="0" w:color="auto"/>
            </w:tcBorders>
            <w:shd w:val="clear" w:color="auto" w:fill="auto"/>
            <w:noWrap/>
            <w:vAlign w:val="center"/>
          </w:tcPr>
          <w:p w14:paraId="746B4C1A" w14:textId="619B9122" w:rsidR="00D14F0F" w:rsidRPr="00EF6D8E" w:rsidRDefault="00D14F0F" w:rsidP="00F8089A">
            <w:pPr>
              <w:spacing w:after="0"/>
              <w:jc w:val="right"/>
              <w:rPr>
                <w:rFonts w:eastAsia="Times New Roman" w:cs="Calibri"/>
                <w:color w:val="000000"/>
                <w:sz w:val="16"/>
                <w:szCs w:val="16"/>
              </w:rPr>
            </w:pPr>
            <w:r w:rsidRPr="00EF6D8E">
              <w:rPr>
                <w:rFonts w:eastAsia="Times New Roman" w:cs="Calibri"/>
                <w:color w:val="000000"/>
                <w:sz w:val="16"/>
                <w:szCs w:val="16"/>
              </w:rPr>
              <w:t>4,000</w:t>
            </w:r>
          </w:p>
        </w:tc>
        <w:tc>
          <w:tcPr>
            <w:tcW w:w="925" w:type="dxa"/>
            <w:tcBorders>
              <w:top w:val="single" w:sz="4" w:space="0" w:color="auto"/>
              <w:left w:val="nil"/>
              <w:bottom w:val="double" w:sz="4" w:space="0" w:color="auto"/>
              <w:right w:val="single" w:sz="8" w:space="0" w:color="auto"/>
            </w:tcBorders>
            <w:shd w:val="clear" w:color="auto" w:fill="auto"/>
            <w:noWrap/>
            <w:vAlign w:val="center"/>
          </w:tcPr>
          <w:p w14:paraId="535376DB" w14:textId="468A3F7D" w:rsidR="00D14F0F" w:rsidRPr="00EF6D8E" w:rsidRDefault="00D14F0F" w:rsidP="00F8089A">
            <w:pPr>
              <w:spacing w:after="0"/>
              <w:jc w:val="right"/>
              <w:rPr>
                <w:rFonts w:eastAsia="Times New Roman" w:cs="Calibri"/>
                <w:color w:val="000000"/>
                <w:sz w:val="16"/>
                <w:szCs w:val="16"/>
              </w:rPr>
            </w:pPr>
            <w:r w:rsidRPr="00EF6D8E">
              <w:rPr>
                <w:rFonts w:eastAsia="Times New Roman" w:cs="Calibri"/>
                <w:color w:val="000000"/>
                <w:sz w:val="16"/>
                <w:szCs w:val="16"/>
              </w:rPr>
              <w:t>4,000</w:t>
            </w:r>
          </w:p>
        </w:tc>
        <w:tc>
          <w:tcPr>
            <w:tcW w:w="925" w:type="dxa"/>
            <w:tcBorders>
              <w:top w:val="single" w:sz="4" w:space="0" w:color="auto"/>
              <w:left w:val="nil"/>
              <w:bottom w:val="double" w:sz="4" w:space="0" w:color="auto"/>
              <w:right w:val="single" w:sz="8" w:space="0" w:color="auto"/>
            </w:tcBorders>
            <w:shd w:val="clear" w:color="auto" w:fill="auto"/>
            <w:noWrap/>
            <w:vAlign w:val="center"/>
          </w:tcPr>
          <w:p w14:paraId="4403A1AD" w14:textId="1F102E7D" w:rsidR="00D14F0F" w:rsidRPr="00EF6D8E" w:rsidRDefault="00D14F0F" w:rsidP="00F8089A">
            <w:pPr>
              <w:spacing w:after="0"/>
              <w:jc w:val="right"/>
              <w:rPr>
                <w:rFonts w:eastAsia="Times New Roman" w:cs="Calibri"/>
                <w:color w:val="000000"/>
                <w:sz w:val="16"/>
                <w:szCs w:val="16"/>
              </w:rPr>
            </w:pPr>
            <w:r w:rsidRPr="00EF6D8E">
              <w:rPr>
                <w:rFonts w:eastAsia="Times New Roman" w:cs="Calibri"/>
                <w:color w:val="000000"/>
                <w:sz w:val="16"/>
                <w:szCs w:val="16"/>
              </w:rPr>
              <w:t>4,000</w:t>
            </w:r>
          </w:p>
        </w:tc>
        <w:tc>
          <w:tcPr>
            <w:tcW w:w="925" w:type="dxa"/>
            <w:tcBorders>
              <w:top w:val="single" w:sz="4" w:space="0" w:color="auto"/>
              <w:left w:val="nil"/>
              <w:bottom w:val="double" w:sz="4" w:space="0" w:color="auto"/>
              <w:right w:val="single" w:sz="8" w:space="0" w:color="auto"/>
            </w:tcBorders>
            <w:shd w:val="clear" w:color="auto" w:fill="auto"/>
            <w:noWrap/>
            <w:vAlign w:val="center"/>
          </w:tcPr>
          <w:p w14:paraId="5A5E35D3" w14:textId="2D2AEF20" w:rsidR="00D14F0F" w:rsidRPr="00EF6D8E" w:rsidRDefault="00D14F0F" w:rsidP="00F8089A">
            <w:pPr>
              <w:spacing w:after="0"/>
              <w:jc w:val="right"/>
              <w:rPr>
                <w:rFonts w:eastAsia="Times New Roman" w:cs="Calibri"/>
                <w:color w:val="000000"/>
                <w:sz w:val="16"/>
                <w:szCs w:val="16"/>
              </w:rPr>
            </w:pPr>
            <w:r w:rsidRPr="00EF6D8E">
              <w:rPr>
                <w:rFonts w:eastAsia="Times New Roman" w:cs="Calibri"/>
                <w:color w:val="000000"/>
                <w:sz w:val="16"/>
                <w:szCs w:val="16"/>
              </w:rPr>
              <w:t>4,000</w:t>
            </w:r>
          </w:p>
        </w:tc>
        <w:tc>
          <w:tcPr>
            <w:tcW w:w="925" w:type="dxa"/>
            <w:tcBorders>
              <w:top w:val="single" w:sz="4" w:space="0" w:color="auto"/>
              <w:left w:val="nil"/>
              <w:bottom w:val="double" w:sz="4" w:space="0" w:color="auto"/>
              <w:right w:val="single" w:sz="8" w:space="0" w:color="auto"/>
            </w:tcBorders>
            <w:shd w:val="clear" w:color="auto" w:fill="auto"/>
            <w:vAlign w:val="center"/>
          </w:tcPr>
          <w:p w14:paraId="6B43C088" w14:textId="27BAD86E" w:rsidR="00D14F0F" w:rsidRPr="00EF6D8E" w:rsidRDefault="00D14F0F" w:rsidP="00F8089A">
            <w:pPr>
              <w:spacing w:after="0"/>
              <w:jc w:val="right"/>
              <w:rPr>
                <w:rFonts w:eastAsia="Times New Roman" w:cs="Calibri"/>
                <w:color w:val="000000"/>
                <w:sz w:val="16"/>
                <w:szCs w:val="16"/>
              </w:rPr>
            </w:pPr>
            <w:r w:rsidRPr="00EF6D8E">
              <w:rPr>
                <w:rFonts w:eastAsia="Times New Roman" w:cs="Calibri"/>
                <w:color w:val="000000"/>
                <w:sz w:val="16"/>
                <w:szCs w:val="16"/>
              </w:rPr>
              <w:t>4,000</w:t>
            </w:r>
          </w:p>
        </w:tc>
        <w:tc>
          <w:tcPr>
            <w:tcW w:w="1244" w:type="dxa"/>
            <w:tcBorders>
              <w:top w:val="single" w:sz="4" w:space="0" w:color="auto"/>
              <w:left w:val="nil"/>
              <w:bottom w:val="double" w:sz="4" w:space="0" w:color="auto"/>
              <w:right w:val="single" w:sz="8" w:space="0" w:color="auto"/>
            </w:tcBorders>
            <w:shd w:val="clear" w:color="auto" w:fill="auto"/>
            <w:noWrap/>
            <w:vAlign w:val="center"/>
          </w:tcPr>
          <w:p w14:paraId="213E1C4A" w14:textId="0D35939E" w:rsidR="00D14F0F" w:rsidRPr="00512288" w:rsidRDefault="00D14F0F" w:rsidP="00F8089A">
            <w:pPr>
              <w:spacing w:after="0"/>
              <w:jc w:val="right"/>
              <w:rPr>
                <w:rFonts w:eastAsia="Times New Roman" w:cs="Calibri"/>
                <w:b/>
                <w:bCs/>
                <w:color w:val="000000"/>
                <w:sz w:val="16"/>
                <w:szCs w:val="16"/>
              </w:rPr>
            </w:pPr>
            <w:r w:rsidRPr="00512288">
              <w:rPr>
                <w:rFonts w:eastAsia="Times New Roman" w:cs="Calibri"/>
                <w:b/>
                <w:bCs/>
                <w:color w:val="000000"/>
                <w:sz w:val="16"/>
                <w:szCs w:val="16"/>
              </w:rPr>
              <w:t>20,000</w:t>
            </w:r>
          </w:p>
        </w:tc>
        <w:tc>
          <w:tcPr>
            <w:tcW w:w="844" w:type="dxa"/>
            <w:tcBorders>
              <w:top w:val="single" w:sz="4" w:space="0" w:color="auto"/>
              <w:left w:val="nil"/>
              <w:bottom w:val="single" w:sz="8" w:space="0" w:color="auto"/>
              <w:right w:val="single" w:sz="8" w:space="0" w:color="auto"/>
            </w:tcBorders>
            <w:shd w:val="clear" w:color="auto" w:fill="auto"/>
            <w:vAlign w:val="center"/>
          </w:tcPr>
          <w:p w14:paraId="66D01886" w14:textId="4ACDB656" w:rsidR="00D14F0F" w:rsidRPr="00EF6D8E" w:rsidRDefault="00B76DA2" w:rsidP="004205FD">
            <w:pPr>
              <w:spacing w:after="0"/>
              <w:jc w:val="center"/>
              <w:rPr>
                <w:rFonts w:eastAsia="Times New Roman" w:cs="Calibri"/>
                <w:color w:val="000000"/>
                <w:sz w:val="16"/>
                <w:szCs w:val="16"/>
              </w:rPr>
            </w:pPr>
            <w:r>
              <w:rPr>
                <w:rFonts w:eastAsia="Times New Roman" w:cs="Calibri"/>
                <w:color w:val="000000"/>
                <w:sz w:val="16"/>
                <w:szCs w:val="16"/>
              </w:rPr>
              <w:t>5</w:t>
            </w:r>
            <w:r w:rsidR="00512288">
              <w:rPr>
                <w:rFonts w:eastAsia="Times New Roman" w:cs="Calibri"/>
                <w:color w:val="000000"/>
                <w:sz w:val="16"/>
                <w:szCs w:val="16"/>
              </w:rPr>
              <w:t>8</w:t>
            </w:r>
          </w:p>
        </w:tc>
      </w:tr>
      <w:tr w:rsidR="00571952" w:rsidRPr="00913CCF" w14:paraId="5ECF3EEE" w14:textId="77777777" w:rsidTr="00512288">
        <w:trPr>
          <w:trHeight w:val="144"/>
        </w:trPr>
        <w:tc>
          <w:tcPr>
            <w:tcW w:w="1335" w:type="dxa"/>
            <w:vMerge/>
            <w:tcBorders>
              <w:top w:val="nil"/>
              <w:left w:val="double" w:sz="6" w:space="0" w:color="auto"/>
              <w:bottom w:val="double" w:sz="6" w:space="0" w:color="000000"/>
              <w:right w:val="single" w:sz="8" w:space="0" w:color="auto"/>
            </w:tcBorders>
            <w:shd w:val="clear" w:color="auto" w:fill="auto"/>
            <w:vAlign w:val="center"/>
            <w:hideMark/>
          </w:tcPr>
          <w:p w14:paraId="2C45D81D" w14:textId="77777777" w:rsidR="00571952" w:rsidRPr="00913CCF" w:rsidRDefault="00571952" w:rsidP="004205FD">
            <w:pPr>
              <w:spacing w:after="0"/>
              <w:jc w:val="left"/>
              <w:rPr>
                <w:rFonts w:eastAsia="Times New Roman" w:cs="Calibri"/>
                <w:b/>
                <w:bCs/>
                <w:color w:val="000000"/>
                <w:sz w:val="16"/>
                <w:szCs w:val="16"/>
              </w:rPr>
            </w:pPr>
          </w:p>
        </w:tc>
        <w:tc>
          <w:tcPr>
            <w:tcW w:w="5110" w:type="dxa"/>
            <w:gridSpan w:val="5"/>
            <w:tcBorders>
              <w:top w:val="double" w:sz="4" w:space="0" w:color="auto"/>
              <w:left w:val="single" w:sz="8" w:space="0" w:color="auto"/>
              <w:bottom w:val="double" w:sz="6" w:space="0" w:color="000000"/>
              <w:right w:val="single" w:sz="8" w:space="0" w:color="auto"/>
            </w:tcBorders>
            <w:shd w:val="clear" w:color="auto" w:fill="B4C6E7" w:themeFill="accent1" w:themeFillTint="66"/>
            <w:vAlign w:val="center"/>
            <w:hideMark/>
          </w:tcPr>
          <w:p w14:paraId="553FEA31" w14:textId="5DE9AEB2" w:rsidR="00571952" w:rsidRPr="00913CCF" w:rsidRDefault="00571952"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Total Management</w:t>
            </w:r>
          </w:p>
        </w:tc>
        <w:tc>
          <w:tcPr>
            <w:tcW w:w="93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10083D3C" w14:textId="19E50B6D" w:rsidR="00571952" w:rsidRPr="00EF6D8E"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62,550</w:t>
            </w:r>
          </w:p>
        </w:tc>
        <w:tc>
          <w:tcPr>
            <w:tcW w:w="996"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2721DBB3" w14:textId="3D8DFBEE" w:rsidR="00571952" w:rsidRPr="00EF6D8E"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51,600</w:t>
            </w:r>
          </w:p>
        </w:tc>
        <w:tc>
          <w:tcPr>
            <w:tcW w:w="92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58F61EA5" w14:textId="2281EC34" w:rsidR="00571952" w:rsidRPr="00EF6D8E"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51,600</w:t>
            </w:r>
          </w:p>
        </w:tc>
        <w:tc>
          <w:tcPr>
            <w:tcW w:w="92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750277C1" w14:textId="733EF416" w:rsidR="00571952" w:rsidRPr="00EF6D8E"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33,600</w:t>
            </w:r>
          </w:p>
        </w:tc>
        <w:tc>
          <w:tcPr>
            <w:tcW w:w="925"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7AB922D1" w14:textId="3F477B4A" w:rsidR="00571952" w:rsidRPr="00EF6D8E"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33,600</w:t>
            </w:r>
          </w:p>
        </w:tc>
        <w:tc>
          <w:tcPr>
            <w:tcW w:w="925" w:type="dxa"/>
            <w:tcBorders>
              <w:top w:val="double" w:sz="4" w:space="0" w:color="auto"/>
              <w:left w:val="nil"/>
              <w:bottom w:val="double" w:sz="6" w:space="0" w:color="auto"/>
              <w:right w:val="single" w:sz="8" w:space="0" w:color="auto"/>
            </w:tcBorders>
            <w:shd w:val="clear" w:color="auto" w:fill="B4C6E7" w:themeFill="accent1" w:themeFillTint="66"/>
            <w:vAlign w:val="center"/>
            <w:hideMark/>
          </w:tcPr>
          <w:p w14:paraId="2B79A7EF" w14:textId="0F50F673" w:rsidR="00571952" w:rsidRPr="00EF6D8E"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13,602</w:t>
            </w:r>
          </w:p>
        </w:tc>
        <w:tc>
          <w:tcPr>
            <w:tcW w:w="1244" w:type="dxa"/>
            <w:tcBorders>
              <w:top w:val="double" w:sz="4" w:space="0" w:color="auto"/>
              <w:left w:val="nil"/>
              <w:bottom w:val="double" w:sz="6" w:space="0" w:color="auto"/>
              <w:right w:val="single" w:sz="8" w:space="0" w:color="auto"/>
            </w:tcBorders>
            <w:shd w:val="clear" w:color="auto" w:fill="B4C6E7" w:themeFill="accent1" w:themeFillTint="66"/>
            <w:noWrap/>
            <w:vAlign w:val="center"/>
            <w:hideMark/>
          </w:tcPr>
          <w:p w14:paraId="752C46F9" w14:textId="77777777" w:rsidR="00571952" w:rsidRPr="00913CCF" w:rsidRDefault="00571952"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246,552</w:t>
            </w:r>
          </w:p>
        </w:tc>
        <w:tc>
          <w:tcPr>
            <w:tcW w:w="844" w:type="dxa"/>
            <w:tcBorders>
              <w:top w:val="double" w:sz="4" w:space="0" w:color="auto"/>
              <w:left w:val="nil"/>
              <w:bottom w:val="double" w:sz="6" w:space="0" w:color="auto"/>
              <w:right w:val="single" w:sz="8" w:space="0" w:color="auto"/>
            </w:tcBorders>
            <w:shd w:val="clear" w:color="auto" w:fill="B4C6E7" w:themeFill="accent1" w:themeFillTint="66"/>
            <w:vAlign w:val="center"/>
            <w:hideMark/>
          </w:tcPr>
          <w:p w14:paraId="3EABC5C7" w14:textId="77777777" w:rsidR="00571952" w:rsidRPr="00913CCF" w:rsidRDefault="00571952" w:rsidP="004205FD">
            <w:pPr>
              <w:spacing w:after="0"/>
              <w:jc w:val="center"/>
              <w:rPr>
                <w:rFonts w:eastAsia="Times New Roman" w:cs="Calibri"/>
                <w:color w:val="000000"/>
                <w:sz w:val="16"/>
                <w:szCs w:val="16"/>
              </w:rPr>
            </w:pPr>
            <w:r w:rsidRPr="00913CCF">
              <w:rPr>
                <w:rFonts w:eastAsia="Times New Roman" w:cs="Calibri"/>
                <w:color w:val="000000"/>
                <w:sz w:val="16"/>
                <w:szCs w:val="16"/>
              </w:rPr>
              <w:t> </w:t>
            </w:r>
          </w:p>
        </w:tc>
      </w:tr>
      <w:tr w:rsidR="006B1C88" w:rsidRPr="004320B0" w14:paraId="458DA1CB" w14:textId="77777777" w:rsidTr="00512288">
        <w:trPr>
          <w:trHeight w:val="144"/>
        </w:trPr>
        <w:tc>
          <w:tcPr>
            <w:tcW w:w="6445" w:type="dxa"/>
            <w:gridSpan w:val="6"/>
            <w:tcBorders>
              <w:top w:val="nil"/>
              <w:left w:val="double" w:sz="6" w:space="0" w:color="auto"/>
              <w:bottom w:val="double" w:sz="6" w:space="0" w:color="auto"/>
              <w:right w:val="single" w:sz="8" w:space="0" w:color="000000"/>
            </w:tcBorders>
            <w:shd w:val="clear" w:color="auto" w:fill="B4C6E7" w:themeFill="accent1" w:themeFillTint="66"/>
            <w:noWrap/>
            <w:vAlign w:val="center"/>
          </w:tcPr>
          <w:p w14:paraId="2856308C" w14:textId="5C8F1443" w:rsidR="00DB7E3F" w:rsidRPr="00913CCF" w:rsidRDefault="00DB7E3F" w:rsidP="004205FD">
            <w:pPr>
              <w:spacing w:after="0"/>
              <w:jc w:val="right"/>
              <w:rPr>
                <w:rFonts w:eastAsia="Times New Roman" w:cs="Calibri"/>
                <w:b/>
                <w:bCs/>
                <w:color w:val="000000"/>
                <w:sz w:val="16"/>
                <w:szCs w:val="16"/>
              </w:rPr>
            </w:pPr>
            <w:r>
              <w:rPr>
                <w:rFonts w:eastAsia="Times New Roman" w:cs="Calibri"/>
                <w:b/>
                <w:bCs/>
                <w:color w:val="000000"/>
                <w:sz w:val="16"/>
                <w:szCs w:val="16"/>
              </w:rPr>
              <w:t>SUB-TOTAL GEF</w:t>
            </w:r>
          </w:p>
        </w:tc>
        <w:tc>
          <w:tcPr>
            <w:tcW w:w="935" w:type="dxa"/>
            <w:tcBorders>
              <w:top w:val="nil"/>
              <w:left w:val="nil"/>
              <w:bottom w:val="double" w:sz="6" w:space="0" w:color="auto"/>
              <w:right w:val="single" w:sz="8" w:space="0" w:color="auto"/>
            </w:tcBorders>
            <w:shd w:val="clear" w:color="auto" w:fill="B4C6E7" w:themeFill="accent1" w:themeFillTint="66"/>
            <w:noWrap/>
            <w:vAlign w:val="center"/>
          </w:tcPr>
          <w:p w14:paraId="0D913711" w14:textId="688558A3" w:rsidR="00DB7E3F" w:rsidRPr="00F8089A" w:rsidRDefault="007F2762" w:rsidP="00F8089A">
            <w:pPr>
              <w:spacing w:after="0"/>
              <w:jc w:val="right"/>
              <w:rPr>
                <w:rFonts w:eastAsia="Times New Roman" w:cs="Calibri"/>
                <w:b/>
                <w:bCs/>
                <w:color w:val="000000"/>
                <w:sz w:val="16"/>
                <w:szCs w:val="16"/>
              </w:rPr>
            </w:pPr>
            <w:r w:rsidRPr="00F8089A">
              <w:rPr>
                <w:rFonts w:eastAsia="Times New Roman" w:cs="Calibri"/>
                <w:b/>
                <w:bCs/>
                <w:color w:val="000000"/>
                <w:sz w:val="16"/>
                <w:szCs w:val="16"/>
              </w:rPr>
              <w:t>848,978</w:t>
            </w:r>
          </w:p>
        </w:tc>
        <w:tc>
          <w:tcPr>
            <w:tcW w:w="996" w:type="dxa"/>
            <w:tcBorders>
              <w:top w:val="nil"/>
              <w:left w:val="nil"/>
              <w:bottom w:val="double" w:sz="6" w:space="0" w:color="auto"/>
              <w:right w:val="single" w:sz="8" w:space="0" w:color="auto"/>
            </w:tcBorders>
            <w:shd w:val="clear" w:color="auto" w:fill="B4C6E7" w:themeFill="accent1" w:themeFillTint="66"/>
            <w:noWrap/>
            <w:vAlign w:val="center"/>
          </w:tcPr>
          <w:p w14:paraId="16FA303D" w14:textId="66FCA3E1" w:rsidR="00DB7E3F" w:rsidRPr="00F8089A" w:rsidRDefault="007F2762" w:rsidP="00F8089A">
            <w:pPr>
              <w:spacing w:after="0"/>
              <w:jc w:val="right"/>
              <w:rPr>
                <w:rFonts w:eastAsia="Times New Roman" w:cs="Calibri"/>
                <w:b/>
                <w:bCs/>
                <w:color w:val="000000"/>
                <w:sz w:val="16"/>
                <w:szCs w:val="16"/>
              </w:rPr>
            </w:pPr>
            <w:r w:rsidRPr="00F8089A">
              <w:rPr>
                <w:rFonts w:eastAsia="Times New Roman" w:cs="Calibri"/>
                <w:b/>
                <w:bCs/>
                <w:color w:val="000000"/>
                <w:sz w:val="16"/>
                <w:szCs w:val="16"/>
              </w:rPr>
              <w:t>922,790</w:t>
            </w:r>
          </w:p>
        </w:tc>
        <w:tc>
          <w:tcPr>
            <w:tcW w:w="925" w:type="dxa"/>
            <w:tcBorders>
              <w:top w:val="nil"/>
              <w:left w:val="nil"/>
              <w:bottom w:val="double" w:sz="6" w:space="0" w:color="auto"/>
              <w:right w:val="single" w:sz="8" w:space="0" w:color="auto"/>
            </w:tcBorders>
            <w:shd w:val="clear" w:color="auto" w:fill="B4C6E7" w:themeFill="accent1" w:themeFillTint="66"/>
            <w:noWrap/>
            <w:vAlign w:val="center"/>
          </w:tcPr>
          <w:p w14:paraId="17195C52" w14:textId="6F4B14E2" w:rsidR="00DB7E3F" w:rsidRPr="00F8089A" w:rsidRDefault="0088596A" w:rsidP="00F8089A">
            <w:pPr>
              <w:spacing w:after="0"/>
              <w:jc w:val="right"/>
              <w:rPr>
                <w:rFonts w:eastAsia="Times New Roman" w:cs="Calibri"/>
                <w:b/>
                <w:bCs/>
                <w:color w:val="000000"/>
                <w:sz w:val="16"/>
                <w:szCs w:val="16"/>
              </w:rPr>
            </w:pPr>
            <w:r w:rsidRPr="00F8089A">
              <w:rPr>
                <w:rFonts w:eastAsia="Times New Roman" w:cs="Calibri"/>
                <w:b/>
                <w:bCs/>
                <w:color w:val="000000"/>
                <w:sz w:val="16"/>
                <w:szCs w:val="16"/>
              </w:rPr>
              <w:t>1,644,780</w:t>
            </w:r>
          </w:p>
        </w:tc>
        <w:tc>
          <w:tcPr>
            <w:tcW w:w="925" w:type="dxa"/>
            <w:tcBorders>
              <w:top w:val="nil"/>
              <w:left w:val="nil"/>
              <w:bottom w:val="double" w:sz="6" w:space="0" w:color="auto"/>
              <w:right w:val="single" w:sz="8" w:space="0" w:color="auto"/>
            </w:tcBorders>
            <w:shd w:val="clear" w:color="auto" w:fill="B4C6E7" w:themeFill="accent1" w:themeFillTint="66"/>
            <w:noWrap/>
            <w:vAlign w:val="center"/>
          </w:tcPr>
          <w:p w14:paraId="42F76631" w14:textId="75890D18" w:rsidR="00DB7E3F" w:rsidRPr="00F8089A" w:rsidRDefault="0088596A" w:rsidP="00F8089A">
            <w:pPr>
              <w:spacing w:after="0"/>
              <w:jc w:val="right"/>
              <w:rPr>
                <w:rFonts w:eastAsia="Times New Roman" w:cs="Calibri"/>
                <w:b/>
                <w:bCs/>
                <w:color w:val="000000"/>
                <w:sz w:val="16"/>
                <w:szCs w:val="16"/>
              </w:rPr>
            </w:pPr>
            <w:r w:rsidRPr="00F8089A">
              <w:rPr>
                <w:rFonts w:eastAsia="Times New Roman" w:cs="Calibri"/>
                <w:b/>
                <w:bCs/>
                <w:color w:val="000000"/>
                <w:sz w:val="16"/>
                <w:szCs w:val="16"/>
              </w:rPr>
              <w:t>1,048,480</w:t>
            </w:r>
          </w:p>
        </w:tc>
        <w:tc>
          <w:tcPr>
            <w:tcW w:w="925" w:type="dxa"/>
            <w:tcBorders>
              <w:top w:val="nil"/>
              <w:left w:val="nil"/>
              <w:bottom w:val="double" w:sz="6" w:space="0" w:color="auto"/>
              <w:right w:val="single" w:sz="8" w:space="0" w:color="auto"/>
            </w:tcBorders>
            <w:shd w:val="clear" w:color="auto" w:fill="B4C6E7" w:themeFill="accent1" w:themeFillTint="66"/>
            <w:noWrap/>
            <w:vAlign w:val="center"/>
          </w:tcPr>
          <w:p w14:paraId="28184CAE" w14:textId="21DC4DC9" w:rsidR="00DB7E3F" w:rsidRPr="00F8089A" w:rsidRDefault="0088596A" w:rsidP="00F8089A">
            <w:pPr>
              <w:spacing w:after="0"/>
              <w:jc w:val="right"/>
              <w:rPr>
                <w:rFonts w:eastAsia="Times New Roman" w:cs="Calibri"/>
                <w:b/>
                <w:bCs/>
                <w:color w:val="000000"/>
                <w:sz w:val="16"/>
                <w:szCs w:val="16"/>
              </w:rPr>
            </w:pPr>
            <w:r w:rsidRPr="00F8089A">
              <w:rPr>
                <w:rFonts w:eastAsia="Times New Roman" w:cs="Calibri"/>
                <w:b/>
                <w:bCs/>
                <w:color w:val="000000"/>
                <w:sz w:val="16"/>
                <w:szCs w:val="16"/>
              </w:rPr>
              <w:t>568,540</w:t>
            </w:r>
          </w:p>
        </w:tc>
        <w:tc>
          <w:tcPr>
            <w:tcW w:w="925" w:type="dxa"/>
            <w:tcBorders>
              <w:top w:val="nil"/>
              <w:left w:val="nil"/>
              <w:bottom w:val="double" w:sz="6" w:space="0" w:color="auto"/>
              <w:right w:val="single" w:sz="8" w:space="0" w:color="auto"/>
            </w:tcBorders>
            <w:shd w:val="clear" w:color="auto" w:fill="B4C6E7" w:themeFill="accent1" w:themeFillTint="66"/>
            <w:noWrap/>
            <w:vAlign w:val="center"/>
          </w:tcPr>
          <w:p w14:paraId="474271BF" w14:textId="2E87679C" w:rsidR="00DB7E3F" w:rsidRPr="00EF6D8E" w:rsidRDefault="0088596A" w:rsidP="00F8089A">
            <w:pPr>
              <w:spacing w:after="0"/>
              <w:jc w:val="right"/>
              <w:rPr>
                <w:rFonts w:eastAsia="Times New Roman" w:cs="Calibri"/>
                <w:b/>
                <w:bCs/>
                <w:color w:val="000000"/>
                <w:sz w:val="16"/>
                <w:szCs w:val="16"/>
              </w:rPr>
            </w:pPr>
            <w:r>
              <w:rPr>
                <w:rFonts w:eastAsia="Times New Roman" w:cs="Calibri"/>
                <w:b/>
                <w:bCs/>
                <w:color w:val="000000"/>
                <w:sz w:val="16"/>
                <w:szCs w:val="16"/>
              </w:rPr>
              <w:t>245,884</w:t>
            </w:r>
          </w:p>
        </w:tc>
        <w:tc>
          <w:tcPr>
            <w:tcW w:w="1244" w:type="dxa"/>
            <w:tcBorders>
              <w:top w:val="nil"/>
              <w:left w:val="nil"/>
              <w:bottom w:val="double" w:sz="6" w:space="0" w:color="auto"/>
              <w:right w:val="single" w:sz="8" w:space="0" w:color="auto"/>
            </w:tcBorders>
            <w:shd w:val="clear" w:color="auto" w:fill="B4C6E7" w:themeFill="accent1" w:themeFillTint="66"/>
            <w:noWrap/>
            <w:vAlign w:val="center"/>
          </w:tcPr>
          <w:p w14:paraId="5B12919D" w14:textId="7A6A9FA5" w:rsidR="00DB7E3F" w:rsidRPr="00913CCF" w:rsidRDefault="00700BB6" w:rsidP="00F8089A">
            <w:pPr>
              <w:spacing w:after="0"/>
              <w:jc w:val="right"/>
              <w:rPr>
                <w:rFonts w:eastAsia="Times New Roman" w:cs="Calibri"/>
                <w:b/>
                <w:bCs/>
                <w:color w:val="000000"/>
                <w:sz w:val="16"/>
                <w:szCs w:val="16"/>
              </w:rPr>
            </w:pPr>
            <w:r>
              <w:rPr>
                <w:rFonts w:eastAsia="Times New Roman" w:cs="Calibri"/>
                <w:b/>
                <w:bCs/>
                <w:color w:val="000000"/>
                <w:sz w:val="16"/>
                <w:szCs w:val="16"/>
              </w:rPr>
              <w:t>5,279,452</w:t>
            </w:r>
          </w:p>
        </w:tc>
        <w:tc>
          <w:tcPr>
            <w:tcW w:w="844" w:type="dxa"/>
            <w:tcBorders>
              <w:top w:val="nil"/>
              <w:left w:val="nil"/>
              <w:bottom w:val="double" w:sz="6" w:space="0" w:color="auto"/>
              <w:right w:val="single" w:sz="8" w:space="0" w:color="auto"/>
            </w:tcBorders>
            <w:shd w:val="clear" w:color="auto" w:fill="B4C6E7" w:themeFill="accent1" w:themeFillTint="66"/>
            <w:vAlign w:val="center"/>
          </w:tcPr>
          <w:p w14:paraId="72691D15" w14:textId="77777777" w:rsidR="00DB7E3F" w:rsidRPr="004320B0" w:rsidRDefault="00DB7E3F" w:rsidP="004205FD">
            <w:pPr>
              <w:spacing w:after="0"/>
              <w:jc w:val="left"/>
              <w:rPr>
                <w:rFonts w:eastAsia="Times New Roman" w:cs="Calibri"/>
                <w:color w:val="000000"/>
                <w:sz w:val="22"/>
                <w:szCs w:val="22"/>
              </w:rPr>
            </w:pPr>
          </w:p>
        </w:tc>
      </w:tr>
      <w:tr w:rsidR="006B1C88" w:rsidRPr="004320B0" w14:paraId="1C2FABF0" w14:textId="77777777" w:rsidTr="00512288">
        <w:trPr>
          <w:trHeight w:val="144"/>
        </w:trPr>
        <w:tc>
          <w:tcPr>
            <w:tcW w:w="6445" w:type="dxa"/>
            <w:gridSpan w:val="6"/>
            <w:tcBorders>
              <w:top w:val="nil"/>
              <w:left w:val="double" w:sz="6" w:space="0" w:color="auto"/>
              <w:bottom w:val="double" w:sz="6" w:space="0" w:color="auto"/>
              <w:right w:val="single" w:sz="8" w:space="0" w:color="000000"/>
            </w:tcBorders>
            <w:shd w:val="clear" w:color="auto" w:fill="FFE599" w:themeFill="accent4" w:themeFillTint="66"/>
            <w:noWrap/>
            <w:vAlign w:val="center"/>
          </w:tcPr>
          <w:p w14:paraId="0A5A7C94" w14:textId="3555AC3C" w:rsidR="00DB7E3F" w:rsidRPr="00913CCF" w:rsidRDefault="00DB7E3F" w:rsidP="004205FD">
            <w:pPr>
              <w:spacing w:after="0"/>
              <w:jc w:val="right"/>
              <w:rPr>
                <w:rFonts w:eastAsia="Times New Roman" w:cs="Calibri"/>
                <w:b/>
                <w:bCs/>
                <w:color w:val="000000"/>
                <w:sz w:val="16"/>
                <w:szCs w:val="16"/>
              </w:rPr>
            </w:pPr>
            <w:r>
              <w:rPr>
                <w:rFonts w:eastAsia="Times New Roman" w:cs="Calibri"/>
                <w:b/>
                <w:bCs/>
                <w:color w:val="000000"/>
                <w:sz w:val="16"/>
                <w:szCs w:val="16"/>
              </w:rPr>
              <w:t>SUB-TOTAL UNDP</w:t>
            </w:r>
          </w:p>
        </w:tc>
        <w:tc>
          <w:tcPr>
            <w:tcW w:w="935" w:type="dxa"/>
            <w:tcBorders>
              <w:top w:val="nil"/>
              <w:left w:val="nil"/>
              <w:bottom w:val="double" w:sz="6" w:space="0" w:color="auto"/>
              <w:right w:val="single" w:sz="8" w:space="0" w:color="auto"/>
            </w:tcBorders>
            <w:shd w:val="clear" w:color="auto" w:fill="FFE599" w:themeFill="accent4" w:themeFillTint="66"/>
            <w:noWrap/>
            <w:vAlign w:val="center"/>
          </w:tcPr>
          <w:p w14:paraId="4C69E719" w14:textId="6F5898C1" w:rsidR="00DB7E3F" w:rsidRPr="00F8089A" w:rsidRDefault="00B20F5C" w:rsidP="00F8089A">
            <w:pPr>
              <w:spacing w:after="0"/>
              <w:jc w:val="right"/>
              <w:rPr>
                <w:rFonts w:eastAsia="Times New Roman" w:cs="Calibri"/>
                <w:b/>
                <w:bCs/>
                <w:color w:val="000000"/>
                <w:sz w:val="16"/>
                <w:szCs w:val="16"/>
              </w:rPr>
            </w:pPr>
            <w:r w:rsidRPr="00F8089A">
              <w:rPr>
                <w:rFonts w:eastAsia="Times New Roman" w:cs="Calibri"/>
                <w:b/>
                <w:bCs/>
                <w:color w:val="000000"/>
                <w:sz w:val="16"/>
                <w:szCs w:val="16"/>
              </w:rPr>
              <w:t>72,000</w:t>
            </w:r>
          </w:p>
        </w:tc>
        <w:tc>
          <w:tcPr>
            <w:tcW w:w="996" w:type="dxa"/>
            <w:tcBorders>
              <w:top w:val="nil"/>
              <w:left w:val="nil"/>
              <w:bottom w:val="double" w:sz="6" w:space="0" w:color="auto"/>
              <w:right w:val="single" w:sz="8" w:space="0" w:color="auto"/>
            </w:tcBorders>
            <w:shd w:val="clear" w:color="auto" w:fill="FFE599" w:themeFill="accent4" w:themeFillTint="66"/>
            <w:noWrap/>
            <w:vAlign w:val="center"/>
          </w:tcPr>
          <w:p w14:paraId="15D37FCE" w14:textId="71929E2D" w:rsidR="00DB7E3F" w:rsidRPr="00F8089A" w:rsidRDefault="00B20F5C" w:rsidP="00F8089A">
            <w:pPr>
              <w:spacing w:after="0"/>
              <w:jc w:val="right"/>
              <w:rPr>
                <w:rFonts w:eastAsia="Times New Roman" w:cs="Calibri"/>
                <w:b/>
                <w:bCs/>
                <w:color w:val="000000"/>
                <w:sz w:val="16"/>
                <w:szCs w:val="16"/>
              </w:rPr>
            </w:pPr>
            <w:r w:rsidRPr="00F8089A">
              <w:rPr>
                <w:rFonts w:eastAsia="Times New Roman" w:cs="Calibri"/>
                <w:b/>
                <w:bCs/>
                <w:color w:val="000000"/>
                <w:sz w:val="16"/>
                <w:szCs w:val="16"/>
              </w:rPr>
              <w:t>46,000</w:t>
            </w:r>
          </w:p>
        </w:tc>
        <w:tc>
          <w:tcPr>
            <w:tcW w:w="925" w:type="dxa"/>
            <w:tcBorders>
              <w:top w:val="nil"/>
              <w:left w:val="nil"/>
              <w:bottom w:val="double" w:sz="6" w:space="0" w:color="auto"/>
              <w:right w:val="single" w:sz="8" w:space="0" w:color="auto"/>
            </w:tcBorders>
            <w:shd w:val="clear" w:color="auto" w:fill="FFE599" w:themeFill="accent4" w:themeFillTint="66"/>
            <w:noWrap/>
            <w:vAlign w:val="center"/>
          </w:tcPr>
          <w:p w14:paraId="6DDAAD84" w14:textId="4E5DAC1C" w:rsidR="00DB7E3F" w:rsidRPr="00F8089A" w:rsidRDefault="00B20F5C" w:rsidP="00F8089A">
            <w:pPr>
              <w:spacing w:after="0"/>
              <w:jc w:val="right"/>
              <w:rPr>
                <w:rFonts w:eastAsia="Times New Roman" w:cs="Calibri"/>
                <w:b/>
                <w:bCs/>
                <w:color w:val="000000"/>
                <w:sz w:val="16"/>
                <w:szCs w:val="16"/>
              </w:rPr>
            </w:pPr>
            <w:r w:rsidRPr="00F8089A">
              <w:rPr>
                <w:rFonts w:eastAsia="Times New Roman" w:cs="Calibri"/>
                <w:b/>
                <w:bCs/>
                <w:color w:val="000000"/>
                <w:sz w:val="16"/>
                <w:szCs w:val="16"/>
              </w:rPr>
              <w:t>38,000</w:t>
            </w:r>
          </w:p>
        </w:tc>
        <w:tc>
          <w:tcPr>
            <w:tcW w:w="925" w:type="dxa"/>
            <w:tcBorders>
              <w:top w:val="nil"/>
              <w:left w:val="nil"/>
              <w:bottom w:val="double" w:sz="6" w:space="0" w:color="auto"/>
              <w:right w:val="single" w:sz="8" w:space="0" w:color="auto"/>
            </w:tcBorders>
            <w:shd w:val="clear" w:color="auto" w:fill="FFE599" w:themeFill="accent4" w:themeFillTint="66"/>
            <w:noWrap/>
            <w:vAlign w:val="center"/>
          </w:tcPr>
          <w:p w14:paraId="793F9D2E" w14:textId="58C8948A" w:rsidR="00DB7E3F" w:rsidRPr="00F8089A" w:rsidRDefault="00B20F5C" w:rsidP="00F8089A">
            <w:pPr>
              <w:spacing w:after="0"/>
              <w:jc w:val="right"/>
              <w:rPr>
                <w:rFonts w:eastAsia="Times New Roman" w:cs="Calibri"/>
                <w:b/>
                <w:bCs/>
                <w:color w:val="000000"/>
                <w:sz w:val="16"/>
                <w:szCs w:val="16"/>
              </w:rPr>
            </w:pPr>
            <w:r w:rsidRPr="00F8089A">
              <w:rPr>
                <w:rFonts w:eastAsia="Times New Roman" w:cs="Calibri"/>
                <w:b/>
                <w:bCs/>
                <w:color w:val="000000"/>
                <w:sz w:val="16"/>
                <w:szCs w:val="16"/>
              </w:rPr>
              <w:t>38,000</w:t>
            </w:r>
          </w:p>
        </w:tc>
        <w:tc>
          <w:tcPr>
            <w:tcW w:w="925" w:type="dxa"/>
            <w:tcBorders>
              <w:top w:val="nil"/>
              <w:left w:val="nil"/>
              <w:bottom w:val="double" w:sz="6" w:space="0" w:color="auto"/>
              <w:right w:val="single" w:sz="8" w:space="0" w:color="auto"/>
            </w:tcBorders>
            <w:shd w:val="clear" w:color="auto" w:fill="FFE599" w:themeFill="accent4" w:themeFillTint="66"/>
            <w:noWrap/>
            <w:vAlign w:val="center"/>
          </w:tcPr>
          <w:p w14:paraId="187DF436" w14:textId="6D9D94D9" w:rsidR="00DB7E3F" w:rsidRPr="00F8089A" w:rsidRDefault="00B20F5C" w:rsidP="00F8089A">
            <w:pPr>
              <w:spacing w:after="0"/>
              <w:jc w:val="right"/>
              <w:rPr>
                <w:rFonts w:eastAsia="Times New Roman" w:cs="Calibri"/>
                <w:b/>
                <w:bCs/>
                <w:color w:val="000000"/>
                <w:sz w:val="16"/>
                <w:szCs w:val="16"/>
              </w:rPr>
            </w:pPr>
            <w:r w:rsidRPr="00F8089A">
              <w:rPr>
                <w:rFonts w:eastAsia="Times New Roman" w:cs="Calibri"/>
                <w:b/>
                <w:bCs/>
                <w:color w:val="000000"/>
                <w:sz w:val="16"/>
                <w:szCs w:val="16"/>
              </w:rPr>
              <w:t>38,000</w:t>
            </w:r>
          </w:p>
        </w:tc>
        <w:tc>
          <w:tcPr>
            <w:tcW w:w="925" w:type="dxa"/>
            <w:tcBorders>
              <w:top w:val="nil"/>
              <w:left w:val="nil"/>
              <w:bottom w:val="double" w:sz="6" w:space="0" w:color="auto"/>
              <w:right w:val="single" w:sz="8" w:space="0" w:color="auto"/>
            </w:tcBorders>
            <w:shd w:val="clear" w:color="auto" w:fill="FFE599" w:themeFill="accent4" w:themeFillTint="66"/>
            <w:noWrap/>
            <w:vAlign w:val="center"/>
          </w:tcPr>
          <w:p w14:paraId="330E70E4" w14:textId="6E3F0B4B" w:rsidR="00DB7E3F" w:rsidRPr="00EF6D8E" w:rsidRDefault="00B20F5C" w:rsidP="00F8089A">
            <w:pPr>
              <w:spacing w:after="0"/>
              <w:jc w:val="right"/>
              <w:rPr>
                <w:rFonts w:eastAsia="Times New Roman" w:cs="Calibri"/>
                <w:b/>
                <w:bCs/>
                <w:color w:val="000000"/>
                <w:sz w:val="16"/>
                <w:szCs w:val="16"/>
              </w:rPr>
            </w:pPr>
            <w:r>
              <w:rPr>
                <w:rFonts w:eastAsia="Times New Roman" w:cs="Calibri"/>
                <w:b/>
                <w:bCs/>
                <w:color w:val="000000"/>
                <w:sz w:val="16"/>
                <w:szCs w:val="16"/>
              </w:rPr>
              <w:t>38,000</w:t>
            </w:r>
          </w:p>
        </w:tc>
        <w:tc>
          <w:tcPr>
            <w:tcW w:w="1244" w:type="dxa"/>
            <w:tcBorders>
              <w:top w:val="nil"/>
              <w:left w:val="nil"/>
              <w:bottom w:val="double" w:sz="6" w:space="0" w:color="auto"/>
              <w:right w:val="single" w:sz="8" w:space="0" w:color="auto"/>
            </w:tcBorders>
            <w:shd w:val="clear" w:color="auto" w:fill="FFE599" w:themeFill="accent4" w:themeFillTint="66"/>
            <w:noWrap/>
            <w:vAlign w:val="center"/>
          </w:tcPr>
          <w:p w14:paraId="4C0DBA49" w14:textId="78E455B9" w:rsidR="00DB7E3F" w:rsidRPr="00913CCF" w:rsidRDefault="00700BB6" w:rsidP="00F8089A">
            <w:pPr>
              <w:spacing w:after="0"/>
              <w:jc w:val="right"/>
              <w:rPr>
                <w:rFonts w:eastAsia="Times New Roman" w:cs="Calibri"/>
                <w:b/>
                <w:bCs/>
                <w:color w:val="000000"/>
                <w:sz w:val="16"/>
                <w:szCs w:val="16"/>
              </w:rPr>
            </w:pPr>
            <w:r>
              <w:rPr>
                <w:rFonts w:eastAsia="Times New Roman" w:cs="Calibri"/>
                <w:b/>
                <w:bCs/>
                <w:color w:val="000000"/>
                <w:sz w:val="16"/>
                <w:szCs w:val="16"/>
              </w:rPr>
              <w:t>270,000</w:t>
            </w:r>
          </w:p>
        </w:tc>
        <w:tc>
          <w:tcPr>
            <w:tcW w:w="844" w:type="dxa"/>
            <w:tcBorders>
              <w:top w:val="nil"/>
              <w:left w:val="nil"/>
              <w:bottom w:val="double" w:sz="6" w:space="0" w:color="auto"/>
              <w:right w:val="single" w:sz="8" w:space="0" w:color="auto"/>
            </w:tcBorders>
            <w:shd w:val="clear" w:color="auto" w:fill="FFE599" w:themeFill="accent4" w:themeFillTint="66"/>
            <w:vAlign w:val="center"/>
          </w:tcPr>
          <w:p w14:paraId="45B06C18" w14:textId="77777777" w:rsidR="00DB7E3F" w:rsidRPr="004320B0" w:rsidRDefault="00DB7E3F" w:rsidP="004205FD">
            <w:pPr>
              <w:spacing w:after="0"/>
              <w:jc w:val="left"/>
              <w:rPr>
                <w:rFonts w:eastAsia="Times New Roman" w:cs="Calibri"/>
                <w:color w:val="000000"/>
                <w:sz w:val="22"/>
                <w:szCs w:val="22"/>
              </w:rPr>
            </w:pPr>
          </w:p>
        </w:tc>
      </w:tr>
      <w:tr w:rsidR="00571952" w:rsidRPr="004320B0" w14:paraId="61FC43AE" w14:textId="77777777" w:rsidTr="00512288">
        <w:trPr>
          <w:trHeight w:val="144"/>
        </w:trPr>
        <w:tc>
          <w:tcPr>
            <w:tcW w:w="6445" w:type="dxa"/>
            <w:gridSpan w:val="6"/>
            <w:tcBorders>
              <w:top w:val="nil"/>
              <w:left w:val="double" w:sz="6" w:space="0" w:color="auto"/>
              <w:bottom w:val="double" w:sz="4" w:space="0" w:color="auto"/>
              <w:right w:val="single" w:sz="8" w:space="0" w:color="000000"/>
            </w:tcBorders>
            <w:shd w:val="clear" w:color="auto" w:fill="C5E0B3" w:themeFill="accent6" w:themeFillTint="66"/>
            <w:noWrap/>
            <w:vAlign w:val="center"/>
            <w:hideMark/>
          </w:tcPr>
          <w:p w14:paraId="4CCECB3C" w14:textId="3374D1A3" w:rsidR="00571952" w:rsidRPr="00913CCF" w:rsidRDefault="00571952" w:rsidP="004205FD">
            <w:pPr>
              <w:spacing w:after="0"/>
              <w:jc w:val="right"/>
              <w:rPr>
                <w:rFonts w:eastAsia="Times New Roman" w:cs="Calibri"/>
                <w:b/>
                <w:bCs/>
                <w:color w:val="000000"/>
                <w:sz w:val="16"/>
                <w:szCs w:val="16"/>
              </w:rPr>
            </w:pPr>
            <w:r w:rsidRPr="00913CCF">
              <w:rPr>
                <w:rFonts w:eastAsia="Times New Roman" w:cs="Calibri"/>
                <w:color w:val="000000"/>
                <w:sz w:val="16"/>
                <w:szCs w:val="16"/>
              </w:rPr>
              <w:t> </w:t>
            </w:r>
            <w:r w:rsidRPr="00913CCF">
              <w:rPr>
                <w:rFonts w:eastAsia="Times New Roman" w:cs="Calibri"/>
                <w:b/>
                <w:bCs/>
                <w:color w:val="000000"/>
                <w:sz w:val="16"/>
                <w:szCs w:val="16"/>
              </w:rPr>
              <w:t xml:space="preserve">TOTAL PROJECT </w:t>
            </w:r>
          </w:p>
        </w:tc>
        <w:tc>
          <w:tcPr>
            <w:tcW w:w="935" w:type="dxa"/>
            <w:tcBorders>
              <w:top w:val="nil"/>
              <w:left w:val="nil"/>
              <w:bottom w:val="double" w:sz="4" w:space="0" w:color="auto"/>
              <w:right w:val="single" w:sz="8" w:space="0" w:color="auto"/>
            </w:tcBorders>
            <w:shd w:val="clear" w:color="auto" w:fill="C5E0B3" w:themeFill="accent6" w:themeFillTint="66"/>
            <w:noWrap/>
            <w:vAlign w:val="center"/>
            <w:hideMark/>
          </w:tcPr>
          <w:p w14:paraId="3457A46C" w14:textId="3F56C454" w:rsidR="00571952" w:rsidRPr="006B1C88" w:rsidRDefault="00571952" w:rsidP="00F8089A">
            <w:pPr>
              <w:spacing w:after="0"/>
              <w:jc w:val="right"/>
              <w:rPr>
                <w:rFonts w:eastAsia="Times New Roman" w:cs="Calibri"/>
                <w:b/>
                <w:bCs/>
                <w:color w:val="000000"/>
                <w:sz w:val="16"/>
                <w:szCs w:val="16"/>
              </w:rPr>
            </w:pPr>
            <w:r w:rsidRPr="006B1C88">
              <w:rPr>
                <w:rFonts w:eastAsia="Times New Roman" w:cs="Calibri"/>
                <w:b/>
                <w:bCs/>
                <w:color w:val="000000"/>
                <w:sz w:val="16"/>
                <w:szCs w:val="16"/>
              </w:rPr>
              <w:t>920,978</w:t>
            </w:r>
          </w:p>
        </w:tc>
        <w:tc>
          <w:tcPr>
            <w:tcW w:w="996" w:type="dxa"/>
            <w:tcBorders>
              <w:top w:val="nil"/>
              <w:left w:val="nil"/>
              <w:bottom w:val="double" w:sz="4" w:space="0" w:color="auto"/>
              <w:right w:val="single" w:sz="8" w:space="0" w:color="auto"/>
            </w:tcBorders>
            <w:shd w:val="clear" w:color="auto" w:fill="C5E0B3" w:themeFill="accent6" w:themeFillTint="66"/>
            <w:noWrap/>
            <w:vAlign w:val="center"/>
            <w:hideMark/>
          </w:tcPr>
          <w:p w14:paraId="214BA518" w14:textId="07F3C57C" w:rsidR="00571952" w:rsidRPr="006B1C88" w:rsidRDefault="00571952" w:rsidP="00F8089A">
            <w:pPr>
              <w:spacing w:after="0"/>
              <w:jc w:val="right"/>
              <w:rPr>
                <w:rFonts w:eastAsia="Times New Roman" w:cs="Calibri"/>
                <w:b/>
                <w:bCs/>
                <w:color w:val="000000"/>
                <w:sz w:val="16"/>
                <w:szCs w:val="16"/>
              </w:rPr>
            </w:pPr>
            <w:r w:rsidRPr="006B1C88">
              <w:rPr>
                <w:rFonts w:eastAsia="Times New Roman" w:cs="Calibri"/>
                <w:b/>
                <w:bCs/>
                <w:color w:val="000000"/>
                <w:sz w:val="16"/>
                <w:szCs w:val="16"/>
              </w:rPr>
              <w:t>96</w:t>
            </w:r>
            <w:r w:rsidR="002D3ADE" w:rsidRPr="006B1C88">
              <w:rPr>
                <w:rFonts w:eastAsia="Times New Roman" w:cs="Calibri"/>
                <w:b/>
                <w:bCs/>
                <w:color w:val="000000"/>
                <w:sz w:val="16"/>
                <w:szCs w:val="16"/>
              </w:rPr>
              <w:t>8</w:t>
            </w:r>
            <w:r w:rsidRPr="006B1C88">
              <w:rPr>
                <w:rFonts w:eastAsia="Times New Roman" w:cs="Calibri"/>
                <w:b/>
                <w:bCs/>
                <w:color w:val="000000"/>
                <w:sz w:val="16"/>
                <w:szCs w:val="16"/>
              </w:rPr>
              <w:t>,790</w:t>
            </w:r>
          </w:p>
        </w:tc>
        <w:tc>
          <w:tcPr>
            <w:tcW w:w="925" w:type="dxa"/>
            <w:tcBorders>
              <w:top w:val="nil"/>
              <w:left w:val="nil"/>
              <w:bottom w:val="double" w:sz="4" w:space="0" w:color="auto"/>
              <w:right w:val="single" w:sz="8" w:space="0" w:color="auto"/>
            </w:tcBorders>
            <w:shd w:val="clear" w:color="auto" w:fill="C5E0B3" w:themeFill="accent6" w:themeFillTint="66"/>
            <w:noWrap/>
            <w:vAlign w:val="center"/>
            <w:hideMark/>
          </w:tcPr>
          <w:p w14:paraId="6E0945BC" w14:textId="4DDB3371" w:rsidR="00571952" w:rsidRPr="006B1C88" w:rsidRDefault="00571952" w:rsidP="00F8089A">
            <w:pPr>
              <w:spacing w:after="0"/>
              <w:jc w:val="right"/>
              <w:rPr>
                <w:rFonts w:eastAsia="Times New Roman" w:cs="Calibri"/>
                <w:b/>
                <w:bCs/>
                <w:color w:val="000000"/>
                <w:sz w:val="16"/>
                <w:szCs w:val="16"/>
              </w:rPr>
            </w:pPr>
            <w:r w:rsidRPr="006B1C88">
              <w:rPr>
                <w:rFonts w:eastAsia="Times New Roman" w:cs="Calibri"/>
                <w:b/>
                <w:bCs/>
                <w:color w:val="000000"/>
                <w:sz w:val="16"/>
                <w:szCs w:val="16"/>
              </w:rPr>
              <w:t>1,678,780</w:t>
            </w:r>
          </w:p>
        </w:tc>
        <w:tc>
          <w:tcPr>
            <w:tcW w:w="925" w:type="dxa"/>
            <w:tcBorders>
              <w:top w:val="nil"/>
              <w:left w:val="nil"/>
              <w:bottom w:val="double" w:sz="4" w:space="0" w:color="auto"/>
              <w:right w:val="single" w:sz="8" w:space="0" w:color="auto"/>
            </w:tcBorders>
            <w:shd w:val="clear" w:color="auto" w:fill="C5E0B3" w:themeFill="accent6" w:themeFillTint="66"/>
            <w:noWrap/>
            <w:vAlign w:val="center"/>
            <w:hideMark/>
          </w:tcPr>
          <w:p w14:paraId="74C52A17" w14:textId="63C32BE1" w:rsidR="00571952" w:rsidRPr="006B1C88" w:rsidRDefault="00571952" w:rsidP="00F8089A">
            <w:pPr>
              <w:spacing w:after="0"/>
              <w:jc w:val="right"/>
              <w:rPr>
                <w:rFonts w:eastAsia="Times New Roman" w:cs="Calibri"/>
                <w:b/>
                <w:bCs/>
                <w:color w:val="000000"/>
                <w:sz w:val="16"/>
                <w:szCs w:val="16"/>
              </w:rPr>
            </w:pPr>
            <w:r w:rsidRPr="006B1C88">
              <w:rPr>
                <w:rFonts w:eastAsia="Times New Roman" w:cs="Calibri"/>
                <w:b/>
                <w:bCs/>
                <w:color w:val="000000"/>
                <w:sz w:val="16"/>
                <w:szCs w:val="16"/>
              </w:rPr>
              <w:t>1,082,480</w:t>
            </w:r>
          </w:p>
        </w:tc>
        <w:tc>
          <w:tcPr>
            <w:tcW w:w="925" w:type="dxa"/>
            <w:tcBorders>
              <w:top w:val="nil"/>
              <w:left w:val="nil"/>
              <w:bottom w:val="double" w:sz="4" w:space="0" w:color="auto"/>
              <w:right w:val="single" w:sz="8" w:space="0" w:color="auto"/>
            </w:tcBorders>
            <w:shd w:val="clear" w:color="auto" w:fill="C5E0B3" w:themeFill="accent6" w:themeFillTint="66"/>
            <w:noWrap/>
            <w:vAlign w:val="center"/>
            <w:hideMark/>
          </w:tcPr>
          <w:p w14:paraId="4AECAAAB" w14:textId="64787078" w:rsidR="00571952" w:rsidRPr="006B1C88" w:rsidRDefault="00571952" w:rsidP="00F8089A">
            <w:pPr>
              <w:spacing w:after="0"/>
              <w:jc w:val="right"/>
              <w:rPr>
                <w:rFonts w:eastAsia="Times New Roman" w:cs="Calibri"/>
                <w:b/>
                <w:bCs/>
                <w:color w:val="000000"/>
                <w:sz w:val="16"/>
                <w:szCs w:val="16"/>
              </w:rPr>
            </w:pPr>
            <w:r w:rsidRPr="006B1C88">
              <w:rPr>
                <w:rFonts w:eastAsia="Times New Roman" w:cs="Calibri"/>
                <w:b/>
                <w:bCs/>
                <w:color w:val="000000"/>
                <w:sz w:val="16"/>
                <w:szCs w:val="16"/>
              </w:rPr>
              <w:t>602,540</w:t>
            </w:r>
          </w:p>
        </w:tc>
        <w:tc>
          <w:tcPr>
            <w:tcW w:w="925" w:type="dxa"/>
            <w:tcBorders>
              <w:top w:val="nil"/>
              <w:left w:val="nil"/>
              <w:bottom w:val="double" w:sz="4" w:space="0" w:color="auto"/>
              <w:right w:val="single" w:sz="8" w:space="0" w:color="auto"/>
            </w:tcBorders>
            <w:shd w:val="clear" w:color="auto" w:fill="C5E0B3" w:themeFill="accent6" w:themeFillTint="66"/>
            <w:noWrap/>
            <w:vAlign w:val="center"/>
            <w:hideMark/>
          </w:tcPr>
          <w:p w14:paraId="745C34C4" w14:textId="14297BDC" w:rsidR="00571952" w:rsidRPr="00EF6D8E" w:rsidRDefault="00571952" w:rsidP="00F8089A">
            <w:pPr>
              <w:spacing w:after="0"/>
              <w:jc w:val="right"/>
              <w:rPr>
                <w:rFonts w:eastAsia="Times New Roman" w:cs="Calibri"/>
                <w:b/>
                <w:bCs/>
                <w:color w:val="000000"/>
                <w:sz w:val="16"/>
                <w:szCs w:val="16"/>
              </w:rPr>
            </w:pPr>
            <w:r w:rsidRPr="00EF6D8E">
              <w:rPr>
                <w:rFonts w:eastAsia="Times New Roman" w:cs="Calibri"/>
                <w:b/>
                <w:bCs/>
                <w:color w:val="000000"/>
                <w:sz w:val="16"/>
                <w:szCs w:val="16"/>
              </w:rPr>
              <w:t>299,884</w:t>
            </w:r>
          </w:p>
        </w:tc>
        <w:tc>
          <w:tcPr>
            <w:tcW w:w="1244" w:type="dxa"/>
            <w:tcBorders>
              <w:top w:val="nil"/>
              <w:left w:val="nil"/>
              <w:bottom w:val="double" w:sz="4" w:space="0" w:color="auto"/>
              <w:right w:val="single" w:sz="8" w:space="0" w:color="auto"/>
            </w:tcBorders>
            <w:shd w:val="clear" w:color="auto" w:fill="C5E0B3" w:themeFill="accent6" w:themeFillTint="66"/>
            <w:noWrap/>
            <w:vAlign w:val="center"/>
            <w:hideMark/>
          </w:tcPr>
          <w:p w14:paraId="10612A75" w14:textId="77777777" w:rsidR="00571952" w:rsidRPr="004320B0" w:rsidRDefault="00571952" w:rsidP="00F8089A">
            <w:pPr>
              <w:spacing w:after="0"/>
              <w:jc w:val="right"/>
              <w:rPr>
                <w:rFonts w:eastAsia="Times New Roman" w:cs="Calibri"/>
                <w:b/>
                <w:bCs/>
                <w:color w:val="000000"/>
                <w:sz w:val="16"/>
                <w:szCs w:val="16"/>
              </w:rPr>
            </w:pPr>
            <w:r w:rsidRPr="00913CCF">
              <w:rPr>
                <w:rFonts w:eastAsia="Times New Roman" w:cs="Calibri"/>
                <w:b/>
                <w:bCs/>
                <w:color w:val="000000"/>
                <w:sz w:val="16"/>
                <w:szCs w:val="16"/>
              </w:rPr>
              <w:t>5,549,452</w:t>
            </w:r>
          </w:p>
        </w:tc>
        <w:tc>
          <w:tcPr>
            <w:tcW w:w="844" w:type="dxa"/>
            <w:tcBorders>
              <w:top w:val="nil"/>
              <w:left w:val="nil"/>
              <w:bottom w:val="double" w:sz="4" w:space="0" w:color="auto"/>
              <w:right w:val="single" w:sz="8" w:space="0" w:color="auto"/>
            </w:tcBorders>
            <w:shd w:val="clear" w:color="auto" w:fill="C5E0B3" w:themeFill="accent6" w:themeFillTint="66"/>
            <w:vAlign w:val="center"/>
            <w:hideMark/>
          </w:tcPr>
          <w:p w14:paraId="7AA689AA" w14:textId="77777777" w:rsidR="00571952" w:rsidRPr="004320B0" w:rsidRDefault="00571952" w:rsidP="004205FD">
            <w:pPr>
              <w:spacing w:after="0"/>
              <w:jc w:val="left"/>
              <w:rPr>
                <w:rFonts w:eastAsia="Times New Roman" w:cs="Calibri"/>
                <w:color w:val="000000"/>
                <w:sz w:val="22"/>
                <w:szCs w:val="22"/>
              </w:rPr>
            </w:pPr>
            <w:r w:rsidRPr="004320B0">
              <w:rPr>
                <w:rFonts w:eastAsia="Times New Roman" w:cs="Calibri"/>
                <w:color w:val="000000"/>
                <w:sz w:val="22"/>
                <w:szCs w:val="22"/>
              </w:rPr>
              <w:t> </w:t>
            </w:r>
          </w:p>
        </w:tc>
      </w:tr>
    </w:tbl>
    <w:p w14:paraId="7E2B92F9" w14:textId="162D0E4F" w:rsidR="00302BFE" w:rsidRDefault="00302BFE" w:rsidP="00302BFE">
      <w:pPr>
        <w:rPr>
          <w:rFonts w:ascii="Times New Roman" w:hAnsi="Times New Roman"/>
          <w:sz w:val="18"/>
          <w:szCs w:val="18"/>
        </w:rPr>
      </w:pPr>
    </w:p>
    <w:p w14:paraId="55EDCCEA" w14:textId="77777777" w:rsidR="004320B0" w:rsidRDefault="004320B0" w:rsidP="00302BFE">
      <w:pPr>
        <w:rPr>
          <w:rFonts w:ascii="Times New Roman" w:hAnsi="Times New Roman"/>
          <w:sz w:val="18"/>
          <w:szCs w:val="18"/>
        </w:rPr>
      </w:pPr>
    </w:p>
    <w:tbl>
      <w:tblPr>
        <w:tblW w:w="14034" w:type="dxa"/>
        <w:tblInd w:w="-34" w:type="dxa"/>
        <w:tblLayout w:type="fixed"/>
        <w:tblLook w:val="04A0" w:firstRow="1" w:lastRow="0" w:firstColumn="1" w:lastColumn="0" w:noHBand="0" w:noVBand="1"/>
      </w:tblPr>
      <w:tblGrid>
        <w:gridCol w:w="1135"/>
        <w:gridCol w:w="283"/>
        <w:gridCol w:w="4134"/>
        <w:gridCol w:w="1251"/>
        <w:gridCol w:w="1134"/>
        <w:gridCol w:w="1134"/>
        <w:gridCol w:w="1275"/>
        <w:gridCol w:w="1134"/>
        <w:gridCol w:w="1134"/>
        <w:gridCol w:w="1420"/>
      </w:tblGrid>
      <w:tr w:rsidR="00302BFE" w:rsidRPr="00B50655" w14:paraId="5D6603CA" w14:textId="77777777" w:rsidTr="00243B15">
        <w:trPr>
          <w:cantSplit/>
        </w:trPr>
        <w:tc>
          <w:tcPr>
            <w:tcW w:w="1135" w:type="dxa"/>
            <w:noWrap/>
            <w:vAlign w:val="bottom"/>
            <w:hideMark/>
          </w:tcPr>
          <w:p w14:paraId="68B25616" w14:textId="77777777" w:rsidR="00302BFE" w:rsidRPr="00B50655" w:rsidRDefault="00302BFE" w:rsidP="00243B15">
            <w:pPr>
              <w:rPr>
                <w:b/>
                <w:bCs/>
                <w:sz w:val="18"/>
                <w:szCs w:val="18"/>
              </w:rPr>
            </w:pPr>
            <w:bookmarkStart w:id="37" w:name="_Hlk45056117"/>
            <w:r w:rsidRPr="00B50655">
              <w:rPr>
                <w:b/>
                <w:sz w:val="18"/>
                <w:szCs w:val="18"/>
              </w:rPr>
              <w:t>Summary of funds:</w:t>
            </w:r>
            <w:r w:rsidRPr="00B50655">
              <w:rPr>
                <w:rStyle w:val="Appelnotedebasdep"/>
                <w:b/>
                <w:bCs/>
                <w:szCs w:val="18"/>
              </w:rPr>
              <w:t xml:space="preserve"> </w:t>
            </w:r>
            <w:r w:rsidRPr="00B50655">
              <w:rPr>
                <w:rStyle w:val="Appelnotedebasdep"/>
                <w:b/>
                <w:bCs/>
                <w:szCs w:val="18"/>
              </w:rPr>
              <w:footnoteReference w:id="80"/>
            </w:r>
          </w:p>
        </w:tc>
        <w:tc>
          <w:tcPr>
            <w:tcW w:w="4417" w:type="dxa"/>
            <w:gridSpan w:val="2"/>
            <w:vAlign w:val="bottom"/>
          </w:tcPr>
          <w:p w14:paraId="1C9D7F1C" w14:textId="77777777" w:rsidR="00302BFE" w:rsidRPr="00B50655" w:rsidRDefault="00302BFE" w:rsidP="00243B15">
            <w:pPr>
              <w:rPr>
                <w:b/>
                <w:bCs/>
                <w:sz w:val="18"/>
                <w:szCs w:val="18"/>
              </w:rPr>
            </w:pPr>
          </w:p>
        </w:tc>
        <w:tc>
          <w:tcPr>
            <w:tcW w:w="1251" w:type="dxa"/>
            <w:vAlign w:val="bottom"/>
          </w:tcPr>
          <w:p w14:paraId="612204F9" w14:textId="77777777" w:rsidR="00302BFE" w:rsidRPr="00B50655" w:rsidRDefault="00302BFE" w:rsidP="00243B15">
            <w:pPr>
              <w:rPr>
                <w:b/>
                <w:bCs/>
                <w:sz w:val="18"/>
                <w:szCs w:val="18"/>
              </w:rPr>
            </w:pPr>
          </w:p>
        </w:tc>
        <w:tc>
          <w:tcPr>
            <w:tcW w:w="1134" w:type="dxa"/>
            <w:vAlign w:val="bottom"/>
          </w:tcPr>
          <w:p w14:paraId="7125C050" w14:textId="77777777" w:rsidR="00302BFE" w:rsidRPr="00B50655" w:rsidRDefault="00302BFE" w:rsidP="00243B15">
            <w:pPr>
              <w:rPr>
                <w:b/>
                <w:bCs/>
                <w:sz w:val="18"/>
                <w:szCs w:val="18"/>
              </w:rPr>
            </w:pPr>
          </w:p>
        </w:tc>
        <w:tc>
          <w:tcPr>
            <w:tcW w:w="1134" w:type="dxa"/>
            <w:vAlign w:val="bottom"/>
          </w:tcPr>
          <w:p w14:paraId="504FA091" w14:textId="77777777" w:rsidR="00302BFE" w:rsidRPr="00B50655" w:rsidRDefault="00302BFE" w:rsidP="00243B15">
            <w:pPr>
              <w:rPr>
                <w:b/>
                <w:bCs/>
                <w:sz w:val="18"/>
                <w:szCs w:val="18"/>
              </w:rPr>
            </w:pPr>
          </w:p>
        </w:tc>
        <w:tc>
          <w:tcPr>
            <w:tcW w:w="1275" w:type="dxa"/>
          </w:tcPr>
          <w:p w14:paraId="19CFBCE9" w14:textId="77777777" w:rsidR="00302BFE" w:rsidRPr="00B50655" w:rsidRDefault="00302BFE" w:rsidP="00243B15">
            <w:pPr>
              <w:rPr>
                <w:b/>
                <w:bCs/>
                <w:sz w:val="18"/>
                <w:szCs w:val="18"/>
              </w:rPr>
            </w:pPr>
          </w:p>
        </w:tc>
        <w:tc>
          <w:tcPr>
            <w:tcW w:w="1134" w:type="dxa"/>
          </w:tcPr>
          <w:p w14:paraId="518EEF24" w14:textId="77777777" w:rsidR="00302BFE" w:rsidRPr="00B50655" w:rsidRDefault="00302BFE" w:rsidP="00243B15">
            <w:pPr>
              <w:rPr>
                <w:b/>
                <w:bCs/>
                <w:sz w:val="18"/>
                <w:szCs w:val="18"/>
              </w:rPr>
            </w:pPr>
          </w:p>
        </w:tc>
        <w:tc>
          <w:tcPr>
            <w:tcW w:w="1134" w:type="dxa"/>
            <w:vAlign w:val="bottom"/>
          </w:tcPr>
          <w:p w14:paraId="73791044" w14:textId="77777777" w:rsidR="00302BFE" w:rsidRPr="00B50655" w:rsidRDefault="00302BFE" w:rsidP="00243B15">
            <w:pPr>
              <w:rPr>
                <w:b/>
                <w:bCs/>
                <w:sz w:val="18"/>
                <w:szCs w:val="18"/>
              </w:rPr>
            </w:pPr>
          </w:p>
        </w:tc>
        <w:tc>
          <w:tcPr>
            <w:tcW w:w="1420" w:type="dxa"/>
            <w:vAlign w:val="bottom"/>
          </w:tcPr>
          <w:p w14:paraId="0671F8E4" w14:textId="77777777" w:rsidR="00302BFE" w:rsidRPr="00B50655" w:rsidRDefault="00302BFE" w:rsidP="00243B15">
            <w:pPr>
              <w:rPr>
                <w:b/>
                <w:bCs/>
                <w:sz w:val="18"/>
                <w:szCs w:val="18"/>
              </w:rPr>
            </w:pPr>
          </w:p>
        </w:tc>
      </w:tr>
      <w:tr w:rsidR="00302BFE" w:rsidRPr="00B50655" w14:paraId="62FC3A5B" w14:textId="77777777" w:rsidTr="006B1C88">
        <w:trPr>
          <w:cantSplit/>
        </w:trPr>
        <w:tc>
          <w:tcPr>
            <w:tcW w:w="1135" w:type="dxa"/>
            <w:noWrap/>
            <w:vAlign w:val="bottom"/>
          </w:tcPr>
          <w:p w14:paraId="2DAC48BB" w14:textId="77777777" w:rsidR="00302BFE" w:rsidRPr="00B50655" w:rsidRDefault="00302BFE" w:rsidP="00243B15">
            <w:pPr>
              <w:rPr>
                <w:sz w:val="18"/>
                <w:szCs w:val="18"/>
              </w:rPr>
            </w:pPr>
          </w:p>
        </w:tc>
        <w:tc>
          <w:tcPr>
            <w:tcW w:w="283" w:type="dxa"/>
            <w:tcBorders>
              <w:top w:val="nil"/>
              <w:left w:val="nil"/>
              <w:bottom w:val="nil"/>
              <w:right w:val="single" w:sz="4" w:space="0" w:color="auto"/>
            </w:tcBorders>
            <w:noWrap/>
            <w:vAlign w:val="bottom"/>
          </w:tcPr>
          <w:p w14:paraId="456EFA6F" w14:textId="77777777" w:rsidR="00302BFE" w:rsidRPr="00B50655" w:rsidRDefault="00302BFE" w:rsidP="00243B15">
            <w:pPr>
              <w:rPr>
                <w:sz w:val="18"/>
                <w:szCs w:val="18"/>
              </w:rPr>
            </w:pPr>
          </w:p>
        </w:tc>
        <w:tc>
          <w:tcPr>
            <w:tcW w:w="4134" w:type="dxa"/>
            <w:tcBorders>
              <w:top w:val="single" w:sz="4" w:space="0" w:color="auto"/>
              <w:left w:val="single" w:sz="4" w:space="0" w:color="auto"/>
              <w:bottom w:val="single" w:sz="4" w:space="0" w:color="auto"/>
              <w:right w:val="single" w:sz="4" w:space="0" w:color="auto"/>
            </w:tcBorders>
            <w:noWrap/>
            <w:vAlign w:val="bottom"/>
          </w:tcPr>
          <w:p w14:paraId="4D8A5F9F" w14:textId="77777777" w:rsidR="00302BFE" w:rsidRPr="00B50655" w:rsidRDefault="00302BFE" w:rsidP="00243B15">
            <w:pPr>
              <w:jc w:val="center"/>
              <w:rPr>
                <w:sz w:val="18"/>
                <w:szCs w:val="18"/>
              </w:rPr>
            </w:pPr>
          </w:p>
        </w:tc>
        <w:tc>
          <w:tcPr>
            <w:tcW w:w="1251" w:type="dxa"/>
            <w:tcBorders>
              <w:top w:val="single" w:sz="4" w:space="0" w:color="auto"/>
              <w:left w:val="single" w:sz="4" w:space="0" w:color="auto"/>
              <w:bottom w:val="single" w:sz="4" w:space="0" w:color="auto"/>
              <w:right w:val="single" w:sz="4" w:space="0" w:color="auto"/>
            </w:tcBorders>
            <w:noWrap/>
            <w:vAlign w:val="bottom"/>
            <w:hideMark/>
          </w:tcPr>
          <w:p w14:paraId="508334CC" w14:textId="77777777" w:rsidR="00302BFE" w:rsidRPr="00B50655" w:rsidRDefault="00302BFE" w:rsidP="00243B15">
            <w:pPr>
              <w:spacing w:after="0"/>
              <w:jc w:val="center"/>
              <w:rPr>
                <w:b/>
                <w:sz w:val="18"/>
                <w:szCs w:val="18"/>
              </w:rPr>
            </w:pPr>
            <w:r w:rsidRPr="00B50655">
              <w:rPr>
                <w:b/>
                <w:sz w:val="18"/>
                <w:szCs w:val="18"/>
              </w:rPr>
              <w:t>Amount</w:t>
            </w:r>
          </w:p>
          <w:p w14:paraId="548D4E60" w14:textId="77777777" w:rsidR="00302BFE" w:rsidRPr="00B50655" w:rsidRDefault="00302BFE" w:rsidP="00243B15">
            <w:pPr>
              <w:spacing w:after="0"/>
              <w:jc w:val="center"/>
              <w:rPr>
                <w:b/>
                <w:sz w:val="18"/>
                <w:szCs w:val="18"/>
              </w:rPr>
            </w:pPr>
            <w:r w:rsidRPr="00B50655">
              <w:rPr>
                <w:b/>
                <w:sz w:val="18"/>
                <w:szCs w:val="18"/>
              </w:rPr>
              <w:t>Year 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C0491AA" w14:textId="77777777" w:rsidR="00302BFE" w:rsidRPr="00B50655" w:rsidRDefault="00302BFE" w:rsidP="00243B15">
            <w:pPr>
              <w:spacing w:after="0"/>
              <w:jc w:val="center"/>
              <w:rPr>
                <w:b/>
                <w:sz w:val="18"/>
                <w:szCs w:val="18"/>
              </w:rPr>
            </w:pPr>
            <w:r w:rsidRPr="00B50655">
              <w:rPr>
                <w:b/>
                <w:sz w:val="18"/>
                <w:szCs w:val="18"/>
              </w:rPr>
              <w:t>Amount</w:t>
            </w:r>
          </w:p>
          <w:p w14:paraId="665509F6" w14:textId="77777777" w:rsidR="00302BFE" w:rsidRPr="00B50655" w:rsidRDefault="00302BFE" w:rsidP="00243B15">
            <w:pPr>
              <w:spacing w:after="0"/>
              <w:jc w:val="center"/>
              <w:rPr>
                <w:b/>
                <w:sz w:val="18"/>
                <w:szCs w:val="18"/>
              </w:rPr>
            </w:pPr>
            <w:r w:rsidRPr="00B50655">
              <w:rPr>
                <w:b/>
                <w:sz w:val="18"/>
                <w:szCs w:val="18"/>
              </w:rPr>
              <w:t>Year 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76C0F16" w14:textId="77777777" w:rsidR="00302BFE" w:rsidRPr="00B50655" w:rsidRDefault="00302BFE" w:rsidP="00243B15">
            <w:pPr>
              <w:spacing w:after="0"/>
              <w:jc w:val="center"/>
              <w:rPr>
                <w:b/>
                <w:sz w:val="18"/>
                <w:szCs w:val="18"/>
              </w:rPr>
            </w:pPr>
            <w:r w:rsidRPr="00B50655">
              <w:rPr>
                <w:b/>
                <w:sz w:val="18"/>
                <w:szCs w:val="18"/>
              </w:rPr>
              <w:t>Amount</w:t>
            </w:r>
          </w:p>
          <w:p w14:paraId="378BAE56" w14:textId="77777777" w:rsidR="00302BFE" w:rsidRPr="00B50655" w:rsidRDefault="00302BFE" w:rsidP="00243B15">
            <w:pPr>
              <w:spacing w:after="0"/>
              <w:jc w:val="center"/>
              <w:rPr>
                <w:b/>
                <w:sz w:val="18"/>
                <w:szCs w:val="18"/>
              </w:rPr>
            </w:pPr>
            <w:r w:rsidRPr="00B50655">
              <w:rPr>
                <w:b/>
                <w:sz w:val="18"/>
                <w:szCs w:val="18"/>
              </w:rPr>
              <w:t>Year 3</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04ABEFF0" w14:textId="77777777" w:rsidR="00302BFE" w:rsidRPr="00B50655" w:rsidRDefault="00302BFE" w:rsidP="00243B15">
            <w:pPr>
              <w:spacing w:after="0"/>
              <w:jc w:val="center"/>
              <w:rPr>
                <w:b/>
                <w:sz w:val="18"/>
                <w:szCs w:val="18"/>
              </w:rPr>
            </w:pPr>
            <w:r w:rsidRPr="00B50655">
              <w:rPr>
                <w:b/>
                <w:sz w:val="18"/>
                <w:szCs w:val="18"/>
              </w:rPr>
              <w:t>Amount</w:t>
            </w:r>
          </w:p>
          <w:p w14:paraId="532083BB" w14:textId="77777777" w:rsidR="00302BFE" w:rsidRPr="00B50655" w:rsidRDefault="00302BFE" w:rsidP="00243B15">
            <w:pPr>
              <w:spacing w:after="0"/>
              <w:jc w:val="center"/>
              <w:rPr>
                <w:b/>
                <w:sz w:val="18"/>
                <w:szCs w:val="18"/>
              </w:rPr>
            </w:pPr>
            <w:r w:rsidRPr="00B50655">
              <w:rPr>
                <w:b/>
                <w:sz w:val="18"/>
                <w:szCs w:val="18"/>
              </w:rPr>
              <w:t>Year 4</w:t>
            </w:r>
          </w:p>
        </w:tc>
        <w:tc>
          <w:tcPr>
            <w:tcW w:w="1134" w:type="dxa"/>
            <w:tcBorders>
              <w:top w:val="single" w:sz="4" w:space="0" w:color="auto"/>
              <w:left w:val="single" w:sz="4" w:space="0" w:color="auto"/>
              <w:bottom w:val="single" w:sz="4" w:space="0" w:color="auto"/>
              <w:right w:val="single" w:sz="4" w:space="0" w:color="auto"/>
            </w:tcBorders>
            <w:hideMark/>
          </w:tcPr>
          <w:p w14:paraId="216A89F5" w14:textId="77777777" w:rsidR="00302BFE" w:rsidRPr="00B50655" w:rsidRDefault="00302BFE" w:rsidP="00243B15">
            <w:pPr>
              <w:spacing w:after="0"/>
              <w:jc w:val="center"/>
              <w:rPr>
                <w:b/>
                <w:sz w:val="18"/>
                <w:szCs w:val="18"/>
              </w:rPr>
            </w:pPr>
            <w:r w:rsidRPr="00B50655">
              <w:rPr>
                <w:b/>
                <w:sz w:val="18"/>
                <w:szCs w:val="18"/>
              </w:rPr>
              <w:t>Amount</w:t>
            </w:r>
          </w:p>
          <w:p w14:paraId="0F3B3A7F" w14:textId="77777777" w:rsidR="00302BFE" w:rsidRPr="00B50655" w:rsidRDefault="00302BFE" w:rsidP="00243B15">
            <w:pPr>
              <w:spacing w:after="0"/>
              <w:jc w:val="center"/>
              <w:rPr>
                <w:b/>
                <w:sz w:val="18"/>
                <w:szCs w:val="18"/>
              </w:rPr>
            </w:pPr>
            <w:r w:rsidRPr="00B50655">
              <w:rPr>
                <w:b/>
                <w:sz w:val="18"/>
                <w:szCs w:val="18"/>
              </w:rPr>
              <w:t>Year 5</w:t>
            </w:r>
          </w:p>
        </w:tc>
        <w:tc>
          <w:tcPr>
            <w:tcW w:w="1134" w:type="dxa"/>
            <w:tcBorders>
              <w:top w:val="single" w:sz="4" w:space="0" w:color="auto"/>
              <w:left w:val="single" w:sz="4" w:space="0" w:color="auto"/>
              <w:bottom w:val="single" w:sz="4" w:space="0" w:color="auto"/>
              <w:right w:val="single" w:sz="4" w:space="0" w:color="auto"/>
            </w:tcBorders>
            <w:hideMark/>
          </w:tcPr>
          <w:p w14:paraId="6E3FE058" w14:textId="77777777" w:rsidR="00302BFE" w:rsidRPr="00B50655" w:rsidRDefault="00302BFE" w:rsidP="00243B15">
            <w:pPr>
              <w:spacing w:after="0"/>
              <w:jc w:val="center"/>
              <w:rPr>
                <w:b/>
                <w:sz w:val="18"/>
                <w:szCs w:val="18"/>
              </w:rPr>
            </w:pPr>
            <w:r w:rsidRPr="00B50655">
              <w:rPr>
                <w:b/>
                <w:sz w:val="18"/>
                <w:szCs w:val="18"/>
              </w:rPr>
              <w:t>Amount</w:t>
            </w:r>
          </w:p>
          <w:p w14:paraId="238E7161" w14:textId="77777777" w:rsidR="00302BFE" w:rsidRPr="00B50655" w:rsidRDefault="00302BFE" w:rsidP="00243B15">
            <w:pPr>
              <w:spacing w:after="0"/>
              <w:jc w:val="center"/>
              <w:rPr>
                <w:b/>
                <w:sz w:val="18"/>
                <w:szCs w:val="18"/>
              </w:rPr>
            </w:pPr>
            <w:r w:rsidRPr="00B50655">
              <w:rPr>
                <w:b/>
                <w:sz w:val="18"/>
                <w:szCs w:val="18"/>
              </w:rPr>
              <w:t>Year 6</w:t>
            </w:r>
          </w:p>
        </w:tc>
        <w:tc>
          <w:tcPr>
            <w:tcW w:w="1420" w:type="dxa"/>
            <w:tcBorders>
              <w:top w:val="single" w:sz="4" w:space="0" w:color="auto"/>
              <w:left w:val="single" w:sz="4" w:space="0" w:color="auto"/>
              <w:bottom w:val="single" w:sz="4" w:space="0" w:color="auto"/>
              <w:right w:val="single" w:sz="4" w:space="0" w:color="auto"/>
            </w:tcBorders>
            <w:noWrap/>
            <w:vAlign w:val="center"/>
            <w:hideMark/>
          </w:tcPr>
          <w:p w14:paraId="2AA04ED0" w14:textId="77777777" w:rsidR="00302BFE" w:rsidRPr="00B50655" w:rsidRDefault="00302BFE" w:rsidP="006B1C88">
            <w:pPr>
              <w:spacing w:after="0"/>
              <w:jc w:val="center"/>
              <w:rPr>
                <w:b/>
                <w:sz w:val="18"/>
                <w:szCs w:val="18"/>
              </w:rPr>
            </w:pPr>
            <w:r w:rsidRPr="00B50655">
              <w:rPr>
                <w:b/>
                <w:sz w:val="18"/>
                <w:szCs w:val="18"/>
              </w:rPr>
              <w:t>Total</w:t>
            </w:r>
          </w:p>
        </w:tc>
      </w:tr>
      <w:tr w:rsidR="00302BFE" w:rsidRPr="00B50655" w14:paraId="6550B8F0" w14:textId="77777777" w:rsidTr="00F8089A">
        <w:trPr>
          <w:cantSplit/>
        </w:trPr>
        <w:tc>
          <w:tcPr>
            <w:tcW w:w="1135" w:type="dxa"/>
            <w:noWrap/>
            <w:vAlign w:val="bottom"/>
          </w:tcPr>
          <w:p w14:paraId="0157A920" w14:textId="77777777" w:rsidR="00302BFE" w:rsidRPr="00B50655" w:rsidRDefault="00302BFE" w:rsidP="00243B15">
            <w:pPr>
              <w:rPr>
                <w:sz w:val="18"/>
                <w:szCs w:val="18"/>
              </w:rPr>
            </w:pPr>
          </w:p>
        </w:tc>
        <w:tc>
          <w:tcPr>
            <w:tcW w:w="283" w:type="dxa"/>
            <w:tcBorders>
              <w:top w:val="nil"/>
              <w:left w:val="nil"/>
              <w:bottom w:val="nil"/>
              <w:right w:val="single" w:sz="4" w:space="0" w:color="auto"/>
            </w:tcBorders>
            <w:noWrap/>
            <w:vAlign w:val="bottom"/>
          </w:tcPr>
          <w:p w14:paraId="1AFFF1F7" w14:textId="77777777" w:rsidR="00302BFE" w:rsidRPr="00B50655" w:rsidRDefault="00302BFE" w:rsidP="00243B15">
            <w:pPr>
              <w:rPr>
                <w:sz w:val="18"/>
                <w:szCs w:val="18"/>
              </w:rPr>
            </w:pPr>
          </w:p>
        </w:tc>
        <w:tc>
          <w:tcPr>
            <w:tcW w:w="4134" w:type="dxa"/>
            <w:tcBorders>
              <w:top w:val="single" w:sz="4" w:space="0" w:color="auto"/>
              <w:left w:val="single" w:sz="4" w:space="0" w:color="auto"/>
              <w:bottom w:val="single" w:sz="4" w:space="0" w:color="auto"/>
              <w:right w:val="single" w:sz="4" w:space="0" w:color="auto"/>
            </w:tcBorders>
            <w:noWrap/>
            <w:vAlign w:val="bottom"/>
            <w:hideMark/>
          </w:tcPr>
          <w:p w14:paraId="67F25331" w14:textId="77777777" w:rsidR="00302BFE" w:rsidRPr="00B50655" w:rsidRDefault="00302BFE" w:rsidP="00243B15">
            <w:pPr>
              <w:jc w:val="right"/>
              <w:rPr>
                <w:sz w:val="18"/>
                <w:szCs w:val="18"/>
              </w:rPr>
            </w:pPr>
            <w:r w:rsidRPr="00B50655">
              <w:rPr>
                <w:b/>
                <w:bCs/>
                <w:sz w:val="18"/>
                <w:szCs w:val="18"/>
              </w:rPr>
              <w:t>GEF</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566E6890" w14:textId="5A321102" w:rsidR="00F83122" w:rsidRPr="00F8089A" w:rsidRDefault="007F2762" w:rsidP="00F8089A">
            <w:pPr>
              <w:jc w:val="right"/>
              <w:rPr>
                <w:rFonts w:asciiTheme="minorHAnsi" w:hAnsiTheme="minorHAnsi" w:cstheme="minorHAnsi"/>
                <w:sz w:val="18"/>
                <w:szCs w:val="18"/>
              </w:rPr>
            </w:pPr>
            <w:r w:rsidRPr="00F8089A">
              <w:rPr>
                <w:rFonts w:asciiTheme="minorHAnsi" w:hAnsiTheme="minorHAnsi" w:cstheme="minorHAnsi"/>
                <w:sz w:val="18"/>
                <w:szCs w:val="18"/>
              </w:rPr>
              <w:t>848</w:t>
            </w:r>
            <w:r w:rsidR="00F83122" w:rsidRPr="00F8089A">
              <w:rPr>
                <w:rFonts w:asciiTheme="minorHAnsi" w:hAnsiTheme="minorHAnsi" w:cstheme="minorHAnsi"/>
                <w:sz w:val="18"/>
                <w:szCs w:val="18"/>
              </w:rPr>
              <w:t>,978</w:t>
            </w:r>
            <w:r w:rsidR="0032232A" w:rsidRPr="00F8089A">
              <w:rPr>
                <w:rFonts w:asciiTheme="minorHAnsi" w:hAnsiTheme="minorHAnsi" w:cstheme="minorHAnsi"/>
                <w:sz w:val="18"/>
                <w:szCs w:val="18"/>
              </w:rPr>
              <w:t> $</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4AE31BB" w14:textId="0C499894" w:rsidR="00F83122" w:rsidRPr="00F8089A" w:rsidRDefault="0088596A" w:rsidP="00F8089A">
            <w:pPr>
              <w:jc w:val="right"/>
              <w:rPr>
                <w:rFonts w:asciiTheme="minorHAnsi" w:hAnsiTheme="minorHAnsi" w:cstheme="minorHAnsi"/>
                <w:sz w:val="18"/>
                <w:szCs w:val="18"/>
              </w:rPr>
            </w:pPr>
            <w:r w:rsidRPr="00F8089A">
              <w:rPr>
                <w:rFonts w:asciiTheme="minorHAnsi" w:hAnsiTheme="minorHAnsi" w:cstheme="minorHAnsi"/>
                <w:sz w:val="18"/>
                <w:szCs w:val="18"/>
              </w:rPr>
              <w:t>922</w:t>
            </w:r>
            <w:r w:rsidR="00F83122" w:rsidRPr="00F8089A">
              <w:rPr>
                <w:rFonts w:asciiTheme="minorHAnsi" w:hAnsiTheme="minorHAnsi" w:cstheme="minorHAnsi"/>
                <w:sz w:val="18"/>
                <w:szCs w:val="18"/>
              </w:rPr>
              <w:t>,790</w:t>
            </w:r>
            <w:r w:rsidR="0032232A" w:rsidRPr="00F8089A">
              <w:rPr>
                <w:rFonts w:asciiTheme="minorHAnsi" w:hAnsiTheme="minorHAnsi" w:cstheme="minorHAnsi"/>
                <w:sz w:val="18"/>
                <w:szCs w:val="18"/>
              </w:rPr>
              <w:t> $</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9B6AF79" w14:textId="3296F7C0" w:rsidR="00F83122" w:rsidRPr="00F8089A" w:rsidRDefault="00F83122" w:rsidP="00F8089A">
            <w:pPr>
              <w:jc w:val="right"/>
              <w:rPr>
                <w:rFonts w:asciiTheme="minorHAnsi" w:hAnsiTheme="minorHAnsi" w:cstheme="minorHAnsi"/>
                <w:sz w:val="18"/>
                <w:szCs w:val="18"/>
              </w:rPr>
            </w:pPr>
            <w:r w:rsidRPr="00F8089A">
              <w:rPr>
                <w:rFonts w:asciiTheme="minorHAnsi" w:hAnsiTheme="minorHAnsi" w:cstheme="minorHAnsi"/>
                <w:sz w:val="18"/>
                <w:szCs w:val="18"/>
              </w:rPr>
              <w:t>1,</w:t>
            </w:r>
            <w:r w:rsidR="002D3ADE" w:rsidRPr="00F8089A">
              <w:rPr>
                <w:rFonts w:asciiTheme="minorHAnsi" w:hAnsiTheme="minorHAnsi" w:cstheme="minorHAnsi"/>
                <w:sz w:val="18"/>
                <w:szCs w:val="18"/>
              </w:rPr>
              <w:t>644</w:t>
            </w:r>
            <w:r w:rsidRPr="00F8089A">
              <w:rPr>
                <w:rFonts w:asciiTheme="minorHAnsi" w:hAnsiTheme="minorHAnsi" w:cstheme="minorHAnsi"/>
                <w:sz w:val="18"/>
                <w:szCs w:val="18"/>
              </w:rPr>
              <w:t>,780</w:t>
            </w:r>
            <w:r w:rsidR="0032232A" w:rsidRPr="00F8089A">
              <w:rPr>
                <w:rFonts w:asciiTheme="minorHAnsi" w:hAnsiTheme="minorHAnsi" w:cstheme="minorHAnsi"/>
                <w:sz w:val="18"/>
                <w:szCs w:val="18"/>
              </w:rPr>
              <w:t> $</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07674F2" w14:textId="7481C3B0" w:rsidR="00F83122" w:rsidRPr="00F8089A" w:rsidRDefault="00F83122" w:rsidP="00F8089A">
            <w:pPr>
              <w:jc w:val="right"/>
              <w:rPr>
                <w:rFonts w:asciiTheme="minorHAnsi" w:hAnsiTheme="minorHAnsi" w:cstheme="minorHAnsi"/>
                <w:sz w:val="18"/>
                <w:szCs w:val="18"/>
              </w:rPr>
            </w:pPr>
            <w:r w:rsidRPr="00F8089A">
              <w:rPr>
                <w:rFonts w:asciiTheme="minorHAnsi" w:hAnsiTheme="minorHAnsi" w:cstheme="minorHAnsi"/>
                <w:sz w:val="18"/>
                <w:szCs w:val="18"/>
              </w:rPr>
              <w:t>1,</w:t>
            </w:r>
            <w:r w:rsidR="002D3ADE" w:rsidRPr="00F8089A">
              <w:rPr>
                <w:rFonts w:asciiTheme="minorHAnsi" w:hAnsiTheme="minorHAnsi" w:cstheme="minorHAnsi"/>
                <w:sz w:val="18"/>
                <w:szCs w:val="18"/>
              </w:rPr>
              <w:t>048</w:t>
            </w:r>
            <w:r w:rsidRPr="00F8089A">
              <w:rPr>
                <w:rFonts w:asciiTheme="minorHAnsi" w:hAnsiTheme="minorHAnsi" w:cstheme="minorHAnsi"/>
                <w:sz w:val="18"/>
                <w:szCs w:val="18"/>
              </w:rPr>
              <w:t>,480</w:t>
            </w:r>
            <w:r w:rsidR="0032232A" w:rsidRPr="00F8089A">
              <w:rPr>
                <w:rFonts w:asciiTheme="minorHAnsi" w:hAnsiTheme="minorHAnsi" w:cstheme="minorHAnsi"/>
                <w:sz w:val="18"/>
                <w:szCs w:val="18"/>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714667" w14:textId="230336FE" w:rsidR="00533530" w:rsidRPr="00F8089A" w:rsidRDefault="002D3ADE" w:rsidP="00F8089A">
            <w:pPr>
              <w:jc w:val="right"/>
              <w:rPr>
                <w:rFonts w:asciiTheme="minorHAnsi" w:hAnsiTheme="minorHAnsi" w:cstheme="minorHAnsi"/>
                <w:sz w:val="18"/>
                <w:szCs w:val="18"/>
              </w:rPr>
            </w:pPr>
            <w:r w:rsidRPr="00F8089A">
              <w:rPr>
                <w:rFonts w:asciiTheme="minorHAnsi" w:hAnsiTheme="minorHAnsi" w:cstheme="minorHAnsi"/>
                <w:sz w:val="18"/>
                <w:szCs w:val="18"/>
              </w:rPr>
              <w:t>568</w:t>
            </w:r>
            <w:r w:rsidR="00AA3181" w:rsidRPr="00F8089A">
              <w:rPr>
                <w:rFonts w:asciiTheme="minorHAnsi" w:hAnsiTheme="minorHAnsi" w:cstheme="minorHAnsi"/>
                <w:sz w:val="18"/>
                <w:szCs w:val="18"/>
              </w:rPr>
              <w:t>,540</w:t>
            </w:r>
            <w:r w:rsidR="003B2480" w:rsidRPr="00F8089A">
              <w:rPr>
                <w:rFonts w:asciiTheme="minorHAnsi" w:hAnsiTheme="minorHAnsi" w:cstheme="minorHAnsi"/>
                <w:sz w:val="18"/>
                <w:szCs w:val="18"/>
              </w:rPr>
              <w:t> </w:t>
            </w:r>
            <w:r w:rsidR="00AA3181" w:rsidRPr="00F8089A">
              <w:rPr>
                <w:rFonts w:asciiTheme="minorHAnsi" w:hAnsiTheme="minorHAnsi" w:cstheme="minorHAnsi"/>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A692C4" w14:textId="4AB7B2E3" w:rsidR="00533530" w:rsidRPr="00F8089A" w:rsidRDefault="002D3ADE" w:rsidP="00F8089A">
            <w:pPr>
              <w:jc w:val="right"/>
              <w:rPr>
                <w:rFonts w:asciiTheme="minorHAnsi" w:hAnsiTheme="minorHAnsi" w:cstheme="minorHAnsi"/>
                <w:sz w:val="18"/>
                <w:szCs w:val="18"/>
              </w:rPr>
            </w:pPr>
            <w:r w:rsidRPr="00F8089A">
              <w:rPr>
                <w:rFonts w:asciiTheme="minorHAnsi" w:hAnsiTheme="minorHAnsi" w:cstheme="minorHAnsi"/>
                <w:sz w:val="18"/>
                <w:szCs w:val="18"/>
              </w:rPr>
              <w:t>245</w:t>
            </w:r>
            <w:r w:rsidR="00AA3181" w:rsidRPr="00F8089A">
              <w:rPr>
                <w:rFonts w:asciiTheme="minorHAnsi" w:hAnsiTheme="minorHAnsi" w:cstheme="minorHAnsi"/>
                <w:sz w:val="18"/>
                <w:szCs w:val="18"/>
              </w:rPr>
              <w:t>,</w:t>
            </w:r>
            <w:r w:rsidR="009C3FD8" w:rsidRPr="00F8089A">
              <w:rPr>
                <w:rFonts w:asciiTheme="minorHAnsi" w:hAnsiTheme="minorHAnsi" w:cstheme="minorHAnsi"/>
                <w:sz w:val="18"/>
                <w:szCs w:val="18"/>
              </w:rPr>
              <w:t>884</w:t>
            </w:r>
            <w:r w:rsidR="003B2480" w:rsidRPr="00F8089A">
              <w:rPr>
                <w:rFonts w:asciiTheme="minorHAnsi" w:hAnsiTheme="minorHAnsi" w:cstheme="minorHAnsi"/>
                <w:sz w:val="18"/>
                <w:szCs w:val="18"/>
              </w:rPr>
              <w:t> </w:t>
            </w:r>
            <w:r w:rsidR="00AA3181" w:rsidRPr="00F8089A">
              <w:rPr>
                <w:rFonts w:asciiTheme="minorHAnsi" w:hAnsiTheme="minorHAnsi" w:cstheme="minorHAnsi"/>
                <w:sz w:val="18"/>
                <w:szCs w:val="18"/>
              </w:rPr>
              <w:t>$</w:t>
            </w:r>
          </w:p>
        </w:tc>
        <w:tc>
          <w:tcPr>
            <w:tcW w:w="1420" w:type="dxa"/>
            <w:tcBorders>
              <w:top w:val="single" w:sz="4" w:space="0" w:color="auto"/>
              <w:left w:val="single" w:sz="4" w:space="0" w:color="auto"/>
              <w:bottom w:val="single" w:sz="4" w:space="0" w:color="auto"/>
              <w:right w:val="single" w:sz="4" w:space="0" w:color="auto"/>
            </w:tcBorders>
            <w:noWrap/>
            <w:vAlign w:val="center"/>
            <w:hideMark/>
          </w:tcPr>
          <w:p w14:paraId="08594FA2" w14:textId="76FCF3A4" w:rsidR="00F83122" w:rsidRPr="00F8089A" w:rsidRDefault="00302BFE" w:rsidP="00F8089A">
            <w:pPr>
              <w:jc w:val="right"/>
              <w:rPr>
                <w:rFonts w:asciiTheme="minorHAnsi" w:hAnsiTheme="minorHAnsi" w:cstheme="minorHAnsi"/>
                <w:sz w:val="18"/>
                <w:szCs w:val="18"/>
              </w:rPr>
            </w:pPr>
            <w:r w:rsidRPr="00F8089A">
              <w:rPr>
                <w:rFonts w:asciiTheme="minorHAnsi" w:eastAsia="Times New Roman" w:hAnsiTheme="minorHAnsi" w:cstheme="minorHAnsi"/>
                <w:b/>
                <w:bCs/>
                <w:color w:val="000000"/>
                <w:sz w:val="18"/>
                <w:szCs w:val="18"/>
                <w:lang w:val="fr-CA"/>
              </w:rPr>
              <w:t>5,279,452 </w:t>
            </w:r>
            <w:r w:rsidRPr="00F8089A">
              <w:rPr>
                <w:rFonts w:asciiTheme="minorHAnsi" w:hAnsiTheme="minorHAnsi" w:cstheme="minorHAnsi"/>
                <w:sz w:val="18"/>
                <w:szCs w:val="18"/>
              </w:rPr>
              <w:t>$</w:t>
            </w:r>
          </w:p>
        </w:tc>
      </w:tr>
      <w:tr w:rsidR="00302BFE" w:rsidRPr="00B50655" w14:paraId="4CBAD8AB" w14:textId="77777777" w:rsidTr="00F8089A">
        <w:trPr>
          <w:cantSplit/>
        </w:trPr>
        <w:tc>
          <w:tcPr>
            <w:tcW w:w="1135" w:type="dxa"/>
            <w:noWrap/>
            <w:vAlign w:val="bottom"/>
          </w:tcPr>
          <w:p w14:paraId="64D3CD24" w14:textId="77777777" w:rsidR="00302BFE" w:rsidRPr="00B50655" w:rsidRDefault="00302BFE" w:rsidP="00243B15">
            <w:pPr>
              <w:rPr>
                <w:sz w:val="18"/>
                <w:szCs w:val="18"/>
              </w:rPr>
            </w:pPr>
          </w:p>
        </w:tc>
        <w:tc>
          <w:tcPr>
            <w:tcW w:w="283" w:type="dxa"/>
            <w:tcBorders>
              <w:top w:val="nil"/>
              <w:left w:val="nil"/>
              <w:bottom w:val="nil"/>
              <w:right w:val="single" w:sz="4" w:space="0" w:color="auto"/>
            </w:tcBorders>
            <w:noWrap/>
            <w:vAlign w:val="bottom"/>
          </w:tcPr>
          <w:p w14:paraId="2C71C4E2" w14:textId="77777777" w:rsidR="00302BFE" w:rsidRPr="00B50655" w:rsidRDefault="00302BFE" w:rsidP="00243B15">
            <w:pPr>
              <w:rPr>
                <w:sz w:val="18"/>
                <w:szCs w:val="18"/>
              </w:rPr>
            </w:pPr>
          </w:p>
        </w:tc>
        <w:tc>
          <w:tcPr>
            <w:tcW w:w="4134" w:type="dxa"/>
            <w:tcBorders>
              <w:top w:val="single" w:sz="4" w:space="0" w:color="auto"/>
              <w:left w:val="single" w:sz="4" w:space="0" w:color="auto"/>
              <w:bottom w:val="single" w:sz="4" w:space="0" w:color="auto"/>
              <w:right w:val="single" w:sz="4" w:space="0" w:color="auto"/>
            </w:tcBorders>
            <w:noWrap/>
            <w:vAlign w:val="bottom"/>
            <w:hideMark/>
          </w:tcPr>
          <w:p w14:paraId="239ACDAC" w14:textId="77777777" w:rsidR="00302BFE" w:rsidRPr="00B50655" w:rsidRDefault="00302BFE" w:rsidP="00243B15">
            <w:pPr>
              <w:jc w:val="right"/>
              <w:rPr>
                <w:sz w:val="18"/>
                <w:szCs w:val="18"/>
              </w:rPr>
            </w:pPr>
            <w:r w:rsidRPr="00B50655">
              <w:rPr>
                <w:b/>
                <w:bCs/>
                <w:sz w:val="18"/>
                <w:szCs w:val="18"/>
              </w:rPr>
              <w:t>UNDP</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04D10279" w14:textId="2712B390" w:rsidR="00302BFE" w:rsidRPr="00F8089A" w:rsidRDefault="00686A8D" w:rsidP="00F8089A">
            <w:pPr>
              <w:jc w:val="right"/>
              <w:rPr>
                <w:rFonts w:asciiTheme="minorHAnsi" w:hAnsiTheme="minorHAnsi" w:cstheme="minorHAnsi"/>
                <w:sz w:val="18"/>
                <w:szCs w:val="18"/>
              </w:rPr>
            </w:pPr>
            <w:r w:rsidRPr="00F8089A">
              <w:rPr>
                <w:rFonts w:asciiTheme="minorHAnsi" w:hAnsiTheme="minorHAnsi" w:cstheme="minorHAnsi"/>
                <w:sz w:val="18"/>
                <w:szCs w:val="18"/>
              </w:rPr>
              <w:t>72</w:t>
            </w:r>
            <w:r w:rsidR="00302BFE" w:rsidRPr="00F8089A">
              <w:rPr>
                <w:rFonts w:asciiTheme="minorHAnsi" w:hAnsiTheme="minorHAnsi" w:cstheme="minorHAnsi"/>
                <w:sz w:val="18"/>
                <w:szCs w:val="18"/>
              </w:rPr>
              <w:t>,000 $</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1589E44" w14:textId="137F675E" w:rsidR="00302BFE" w:rsidRPr="00F8089A" w:rsidRDefault="00686A8D" w:rsidP="00F8089A">
            <w:pPr>
              <w:jc w:val="right"/>
              <w:rPr>
                <w:rFonts w:asciiTheme="minorHAnsi" w:hAnsiTheme="minorHAnsi" w:cstheme="minorHAnsi"/>
                <w:sz w:val="18"/>
                <w:szCs w:val="18"/>
              </w:rPr>
            </w:pPr>
            <w:r w:rsidRPr="00F8089A">
              <w:rPr>
                <w:rFonts w:asciiTheme="minorHAnsi" w:hAnsiTheme="minorHAnsi" w:cstheme="minorHAnsi"/>
                <w:sz w:val="18"/>
                <w:szCs w:val="18"/>
              </w:rPr>
              <w:t>46</w:t>
            </w:r>
            <w:r w:rsidR="00302BFE" w:rsidRPr="00F8089A">
              <w:rPr>
                <w:rFonts w:asciiTheme="minorHAnsi" w:hAnsiTheme="minorHAnsi" w:cstheme="minorHAnsi"/>
                <w:sz w:val="18"/>
                <w:szCs w:val="18"/>
              </w:rPr>
              <w:t>,000 $</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FBC8D64" w14:textId="19AD42A3" w:rsidR="00302BFE" w:rsidRPr="00F8089A" w:rsidRDefault="00686A8D" w:rsidP="00F8089A">
            <w:pPr>
              <w:jc w:val="right"/>
              <w:rPr>
                <w:rFonts w:asciiTheme="minorHAnsi" w:hAnsiTheme="minorHAnsi" w:cstheme="minorHAnsi"/>
                <w:sz w:val="18"/>
                <w:szCs w:val="18"/>
              </w:rPr>
            </w:pPr>
            <w:r w:rsidRPr="00F8089A">
              <w:rPr>
                <w:rFonts w:asciiTheme="minorHAnsi" w:hAnsiTheme="minorHAnsi" w:cstheme="minorHAnsi"/>
                <w:sz w:val="18"/>
                <w:szCs w:val="18"/>
              </w:rPr>
              <w:t>38</w:t>
            </w:r>
            <w:r w:rsidR="00302BFE" w:rsidRPr="00F8089A">
              <w:rPr>
                <w:rFonts w:asciiTheme="minorHAnsi" w:hAnsiTheme="minorHAnsi" w:cstheme="minorHAnsi"/>
                <w:sz w:val="18"/>
                <w:szCs w:val="18"/>
              </w:rPr>
              <w:t>,000 $</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F890461" w14:textId="26E2379D" w:rsidR="00302BFE" w:rsidRPr="00F8089A" w:rsidRDefault="00686A8D" w:rsidP="00F8089A">
            <w:pPr>
              <w:jc w:val="right"/>
              <w:rPr>
                <w:rFonts w:asciiTheme="minorHAnsi" w:hAnsiTheme="minorHAnsi" w:cstheme="minorHAnsi"/>
                <w:sz w:val="18"/>
                <w:szCs w:val="18"/>
              </w:rPr>
            </w:pPr>
            <w:r w:rsidRPr="00F8089A">
              <w:rPr>
                <w:rFonts w:asciiTheme="minorHAnsi" w:hAnsiTheme="minorHAnsi" w:cstheme="minorHAnsi"/>
                <w:sz w:val="18"/>
                <w:szCs w:val="18"/>
              </w:rPr>
              <w:t>38</w:t>
            </w:r>
            <w:r w:rsidR="00302BFE" w:rsidRPr="00F8089A">
              <w:rPr>
                <w:rFonts w:asciiTheme="minorHAnsi" w:hAnsiTheme="minorHAnsi" w:cstheme="minorHAnsi"/>
                <w:sz w:val="18"/>
                <w:szCs w:val="18"/>
              </w:rPr>
              <w:t>,000 $</w:t>
            </w:r>
          </w:p>
        </w:tc>
        <w:tc>
          <w:tcPr>
            <w:tcW w:w="1134" w:type="dxa"/>
            <w:tcBorders>
              <w:top w:val="single" w:sz="4" w:space="0" w:color="auto"/>
              <w:left w:val="single" w:sz="4" w:space="0" w:color="auto"/>
              <w:bottom w:val="single" w:sz="4" w:space="0" w:color="auto"/>
              <w:right w:val="single" w:sz="4" w:space="0" w:color="auto"/>
            </w:tcBorders>
            <w:vAlign w:val="center"/>
          </w:tcPr>
          <w:p w14:paraId="6679C8EA" w14:textId="4F7C580D" w:rsidR="00302BFE" w:rsidRPr="00F8089A" w:rsidRDefault="00686A8D" w:rsidP="00F8089A">
            <w:pPr>
              <w:jc w:val="right"/>
              <w:rPr>
                <w:rFonts w:asciiTheme="minorHAnsi" w:hAnsiTheme="minorHAnsi" w:cstheme="minorHAnsi"/>
                <w:sz w:val="18"/>
                <w:szCs w:val="18"/>
              </w:rPr>
            </w:pPr>
            <w:r w:rsidRPr="00F8089A">
              <w:rPr>
                <w:rFonts w:asciiTheme="minorHAnsi" w:hAnsiTheme="minorHAnsi" w:cstheme="minorHAnsi"/>
                <w:sz w:val="18"/>
                <w:szCs w:val="18"/>
              </w:rPr>
              <w:t>38</w:t>
            </w:r>
            <w:r w:rsidR="00302BFE" w:rsidRPr="00F8089A">
              <w:rPr>
                <w:rFonts w:asciiTheme="minorHAnsi" w:hAnsiTheme="minorHAnsi" w:cstheme="minorHAnsi"/>
                <w:sz w:val="18"/>
                <w:szCs w:val="18"/>
              </w:rPr>
              <w:t>,000 </w:t>
            </w:r>
          </w:p>
        </w:tc>
        <w:tc>
          <w:tcPr>
            <w:tcW w:w="1134" w:type="dxa"/>
            <w:tcBorders>
              <w:top w:val="single" w:sz="4" w:space="0" w:color="auto"/>
              <w:left w:val="single" w:sz="4" w:space="0" w:color="auto"/>
              <w:bottom w:val="single" w:sz="4" w:space="0" w:color="auto"/>
              <w:right w:val="single" w:sz="4" w:space="0" w:color="auto"/>
            </w:tcBorders>
            <w:vAlign w:val="center"/>
          </w:tcPr>
          <w:p w14:paraId="691DA461" w14:textId="704AD8A4" w:rsidR="00302BFE" w:rsidRPr="00F8089A" w:rsidRDefault="00686A8D" w:rsidP="00F8089A">
            <w:pPr>
              <w:jc w:val="right"/>
              <w:rPr>
                <w:rFonts w:asciiTheme="minorHAnsi" w:hAnsiTheme="minorHAnsi" w:cstheme="minorHAnsi"/>
                <w:sz w:val="18"/>
                <w:szCs w:val="18"/>
              </w:rPr>
            </w:pPr>
            <w:r w:rsidRPr="00F8089A">
              <w:rPr>
                <w:rFonts w:asciiTheme="minorHAnsi" w:hAnsiTheme="minorHAnsi" w:cstheme="minorHAnsi"/>
                <w:sz w:val="18"/>
                <w:szCs w:val="18"/>
              </w:rPr>
              <w:t>38</w:t>
            </w:r>
            <w:r w:rsidR="00302BFE" w:rsidRPr="00F8089A">
              <w:rPr>
                <w:rFonts w:asciiTheme="minorHAnsi" w:hAnsiTheme="minorHAnsi" w:cstheme="minorHAnsi"/>
                <w:sz w:val="18"/>
                <w:szCs w:val="18"/>
              </w:rPr>
              <w:t>,000 </w:t>
            </w:r>
          </w:p>
        </w:tc>
        <w:tc>
          <w:tcPr>
            <w:tcW w:w="1420" w:type="dxa"/>
            <w:tcBorders>
              <w:top w:val="single" w:sz="4" w:space="0" w:color="auto"/>
              <w:left w:val="single" w:sz="4" w:space="0" w:color="auto"/>
              <w:bottom w:val="single" w:sz="4" w:space="0" w:color="auto"/>
              <w:right w:val="single" w:sz="4" w:space="0" w:color="auto"/>
            </w:tcBorders>
            <w:noWrap/>
            <w:vAlign w:val="center"/>
            <w:hideMark/>
          </w:tcPr>
          <w:p w14:paraId="3138023E" w14:textId="77777777" w:rsidR="00302BFE" w:rsidRPr="00F8089A" w:rsidRDefault="00302BFE" w:rsidP="00F8089A">
            <w:pPr>
              <w:jc w:val="right"/>
              <w:rPr>
                <w:rFonts w:asciiTheme="minorHAnsi" w:hAnsiTheme="minorHAnsi" w:cstheme="minorHAnsi"/>
                <w:sz w:val="18"/>
                <w:szCs w:val="18"/>
              </w:rPr>
            </w:pPr>
            <w:r w:rsidRPr="00F8089A">
              <w:rPr>
                <w:rFonts w:asciiTheme="minorHAnsi" w:hAnsiTheme="minorHAnsi" w:cstheme="minorHAnsi"/>
                <w:sz w:val="18"/>
                <w:szCs w:val="18"/>
              </w:rPr>
              <w:t>270,000 $</w:t>
            </w:r>
          </w:p>
        </w:tc>
      </w:tr>
      <w:tr w:rsidR="00302BFE" w:rsidRPr="00B50655" w14:paraId="5B0FA9D5" w14:textId="77777777" w:rsidTr="00F8089A">
        <w:trPr>
          <w:cantSplit/>
        </w:trPr>
        <w:tc>
          <w:tcPr>
            <w:tcW w:w="1135" w:type="dxa"/>
            <w:noWrap/>
            <w:vAlign w:val="bottom"/>
          </w:tcPr>
          <w:p w14:paraId="3716F149" w14:textId="77777777" w:rsidR="00302BFE" w:rsidRPr="00B50655" w:rsidRDefault="00302BFE" w:rsidP="00243B15">
            <w:pPr>
              <w:rPr>
                <w:sz w:val="18"/>
                <w:szCs w:val="18"/>
              </w:rPr>
            </w:pPr>
          </w:p>
        </w:tc>
        <w:tc>
          <w:tcPr>
            <w:tcW w:w="283" w:type="dxa"/>
            <w:tcBorders>
              <w:top w:val="nil"/>
              <w:left w:val="nil"/>
              <w:bottom w:val="nil"/>
              <w:right w:val="single" w:sz="4" w:space="0" w:color="auto"/>
            </w:tcBorders>
            <w:noWrap/>
            <w:vAlign w:val="bottom"/>
          </w:tcPr>
          <w:p w14:paraId="06335D35" w14:textId="77777777" w:rsidR="00302BFE" w:rsidRPr="00B50655" w:rsidRDefault="00302BFE" w:rsidP="00243B15">
            <w:pPr>
              <w:rPr>
                <w:sz w:val="18"/>
                <w:szCs w:val="18"/>
              </w:rPr>
            </w:pPr>
          </w:p>
        </w:tc>
        <w:tc>
          <w:tcPr>
            <w:tcW w:w="4134" w:type="dxa"/>
            <w:tcBorders>
              <w:top w:val="single" w:sz="4" w:space="0" w:color="auto"/>
              <w:left w:val="single" w:sz="4" w:space="0" w:color="auto"/>
              <w:bottom w:val="single" w:sz="4" w:space="0" w:color="auto"/>
              <w:right w:val="single" w:sz="4" w:space="0" w:color="auto"/>
            </w:tcBorders>
            <w:noWrap/>
            <w:vAlign w:val="bottom"/>
            <w:hideMark/>
          </w:tcPr>
          <w:p w14:paraId="7B8B6C01" w14:textId="7FC08616" w:rsidR="00302BFE" w:rsidRPr="00AB47BD" w:rsidRDefault="00302BFE" w:rsidP="00243B15">
            <w:pPr>
              <w:jc w:val="right"/>
              <w:rPr>
                <w:sz w:val="18"/>
                <w:szCs w:val="18"/>
                <w:lang w:val="fr-FR"/>
              </w:rPr>
            </w:pPr>
            <w:proofErr w:type="spellStart"/>
            <w:r w:rsidRPr="00AB47BD">
              <w:rPr>
                <w:b/>
                <w:bCs/>
                <w:sz w:val="18"/>
                <w:szCs w:val="18"/>
                <w:lang w:val="fr-FR"/>
              </w:rPr>
              <w:t>Recipient</w:t>
            </w:r>
            <w:proofErr w:type="spellEnd"/>
            <w:r w:rsidRPr="00AB47BD">
              <w:rPr>
                <w:b/>
                <w:bCs/>
                <w:sz w:val="18"/>
                <w:szCs w:val="18"/>
                <w:lang w:val="fr-FR"/>
              </w:rPr>
              <w:t xml:space="preserve"> </w:t>
            </w:r>
            <w:proofErr w:type="spellStart"/>
            <w:r w:rsidRPr="00AB47BD">
              <w:rPr>
                <w:b/>
                <w:bCs/>
                <w:sz w:val="18"/>
                <w:szCs w:val="18"/>
                <w:lang w:val="fr-FR"/>
              </w:rPr>
              <w:t>Government</w:t>
            </w:r>
            <w:proofErr w:type="spellEnd"/>
            <w:r w:rsidRPr="00AB47BD">
              <w:rPr>
                <w:b/>
                <w:bCs/>
                <w:sz w:val="18"/>
                <w:szCs w:val="18"/>
                <w:lang w:val="fr-FR"/>
              </w:rPr>
              <w:t xml:space="preserve"> (</w:t>
            </w:r>
            <w:proofErr w:type="spellStart"/>
            <w:r w:rsidR="00806DBD" w:rsidRPr="00AB47BD">
              <w:rPr>
                <w:sz w:val="18"/>
                <w:szCs w:val="18"/>
                <w:highlight w:val="green"/>
                <w:lang w:val="fr-FR"/>
              </w:rPr>
              <w:t>Ministere</w:t>
            </w:r>
            <w:proofErr w:type="spellEnd"/>
            <w:r w:rsidR="00806DBD" w:rsidRPr="00AB47BD">
              <w:rPr>
                <w:sz w:val="18"/>
                <w:szCs w:val="18"/>
                <w:highlight w:val="green"/>
                <w:lang w:val="fr-FR"/>
              </w:rPr>
              <w:t xml:space="preserve"> de l’environnement, de l’eau et de </w:t>
            </w:r>
            <w:proofErr w:type="spellStart"/>
            <w:r w:rsidR="00806DBD" w:rsidRPr="00AB47BD">
              <w:rPr>
                <w:sz w:val="18"/>
                <w:szCs w:val="18"/>
                <w:highlight w:val="green"/>
                <w:lang w:val="fr-FR"/>
              </w:rPr>
              <w:t>l”Assainissement</w:t>
            </w:r>
            <w:proofErr w:type="spellEnd"/>
            <w:r w:rsidRPr="00AB47BD">
              <w:rPr>
                <w:sz w:val="18"/>
                <w:szCs w:val="18"/>
                <w:lang w:val="fr-FR"/>
              </w:rPr>
              <w:t>)</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2EBB5395" w14:textId="77777777" w:rsidR="00302BFE" w:rsidRPr="00F8089A" w:rsidRDefault="00302BFE" w:rsidP="00F8089A">
            <w:pPr>
              <w:jc w:val="right"/>
              <w:rPr>
                <w:rFonts w:asciiTheme="minorHAnsi" w:hAnsiTheme="minorHAnsi" w:cstheme="minorHAnsi"/>
                <w:sz w:val="18"/>
                <w:szCs w:val="18"/>
              </w:rPr>
            </w:pPr>
            <w:r w:rsidRPr="00F8089A">
              <w:rPr>
                <w:rFonts w:asciiTheme="minorHAnsi" w:hAnsiTheme="minorHAnsi" w:cstheme="minorHAnsi"/>
                <w:sz w:val="18"/>
                <w:szCs w:val="18"/>
              </w:rPr>
              <w:t>1,176,265 $</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3824049" w14:textId="77777777" w:rsidR="00302BFE" w:rsidRPr="00F8089A" w:rsidRDefault="00302BFE" w:rsidP="00F8089A">
            <w:pPr>
              <w:jc w:val="right"/>
              <w:rPr>
                <w:rFonts w:asciiTheme="minorHAnsi" w:hAnsiTheme="minorHAnsi" w:cstheme="minorHAnsi"/>
                <w:sz w:val="18"/>
                <w:szCs w:val="18"/>
              </w:rPr>
            </w:pPr>
            <w:r w:rsidRPr="00F8089A">
              <w:rPr>
                <w:rFonts w:asciiTheme="minorHAnsi" w:hAnsiTheme="minorHAnsi" w:cstheme="minorHAnsi"/>
                <w:sz w:val="18"/>
                <w:szCs w:val="18"/>
              </w:rPr>
              <w:t>1,805,669 $</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6E92376" w14:textId="77777777" w:rsidR="00302BFE" w:rsidRPr="00F8089A" w:rsidRDefault="00302BFE" w:rsidP="00F8089A">
            <w:pPr>
              <w:jc w:val="right"/>
              <w:rPr>
                <w:rFonts w:asciiTheme="minorHAnsi" w:hAnsiTheme="minorHAnsi" w:cstheme="minorHAnsi"/>
                <w:sz w:val="18"/>
                <w:szCs w:val="18"/>
              </w:rPr>
            </w:pPr>
            <w:r w:rsidRPr="00F8089A">
              <w:rPr>
                <w:rFonts w:asciiTheme="minorHAnsi" w:hAnsiTheme="minorHAnsi" w:cstheme="minorHAnsi"/>
                <w:sz w:val="18"/>
                <w:szCs w:val="18"/>
              </w:rPr>
              <w:t>3,281,159 $</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90231C6" w14:textId="77777777" w:rsidR="00302BFE" w:rsidRPr="00F8089A" w:rsidRDefault="00302BFE" w:rsidP="00F8089A">
            <w:pPr>
              <w:jc w:val="right"/>
              <w:rPr>
                <w:rFonts w:asciiTheme="minorHAnsi" w:hAnsiTheme="minorHAnsi" w:cstheme="minorHAnsi"/>
                <w:sz w:val="18"/>
                <w:szCs w:val="18"/>
              </w:rPr>
            </w:pPr>
            <w:r w:rsidRPr="00F8089A">
              <w:rPr>
                <w:rFonts w:asciiTheme="minorHAnsi" w:hAnsiTheme="minorHAnsi" w:cstheme="minorHAnsi"/>
                <w:sz w:val="18"/>
                <w:szCs w:val="18"/>
              </w:rPr>
              <w:t>2,125,531 $</w:t>
            </w:r>
          </w:p>
        </w:tc>
        <w:tc>
          <w:tcPr>
            <w:tcW w:w="1134" w:type="dxa"/>
            <w:tcBorders>
              <w:top w:val="single" w:sz="4" w:space="0" w:color="auto"/>
              <w:left w:val="single" w:sz="4" w:space="0" w:color="auto"/>
              <w:bottom w:val="single" w:sz="4" w:space="0" w:color="auto"/>
              <w:right w:val="single" w:sz="4" w:space="0" w:color="auto"/>
            </w:tcBorders>
            <w:vAlign w:val="center"/>
          </w:tcPr>
          <w:p w14:paraId="343C2C7B" w14:textId="77777777" w:rsidR="00302BFE" w:rsidRPr="00F8089A" w:rsidRDefault="00302BFE" w:rsidP="00F8089A">
            <w:pPr>
              <w:jc w:val="right"/>
              <w:rPr>
                <w:rFonts w:asciiTheme="minorHAnsi" w:hAnsiTheme="minorHAnsi" w:cstheme="minorHAnsi"/>
                <w:sz w:val="18"/>
                <w:szCs w:val="18"/>
              </w:rPr>
            </w:pPr>
            <w:r w:rsidRPr="00F8089A">
              <w:rPr>
                <w:rFonts w:asciiTheme="minorHAnsi" w:hAnsiTheme="minorHAnsi" w:cstheme="minorHAnsi"/>
                <w:sz w:val="18"/>
                <w:szCs w:val="18"/>
              </w:rPr>
              <w:t xml:space="preserve">1,382,627 </w:t>
            </w:r>
            <w:r w:rsidRPr="00F8089A">
              <w:rPr>
                <w:rFonts w:asciiTheme="minorHAnsi" w:hAnsiTheme="minorHAnsi" w:cstheme="minorHAnsi"/>
                <w:sz w:val="18"/>
                <w:szCs w:val="18"/>
                <w:lang w:val="fr-CA"/>
              </w:rPr>
              <w:t>$</w:t>
            </w:r>
          </w:p>
        </w:tc>
        <w:tc>
          <w:tcPr>
            <w:tcW w:w="1134" w:type="dxa"/>
            <w:tcBorders>
              <w:top w:val="single" w:sz="4" w:space="0" w:color="auto"/>
              <w:left w:val="single" w:sz="4" w:space="0" w:color="auto"/>
              <w:bottom w:val="single" w:sz="4" w:space="0" w:color="auto"/>
              <w:right w:val="single" w:sz="4" w:space="0" w:color="auto"/>
            </w:tcBorders>
            <w:vAlign w:val="center"/>
          </w:tcPr>
          <w:p w14:paraId="03834354" w14:textId="77777777" w:rsidR="00302BFE" w:rsidRPr="00F8089A" w:rsidRDefault="00302BFE" w:rsidP="00F8089A">
            <w:pPr>
              <w:jc w:val="right"/>
              <w:rPr>
                <w:rFonts w:asciiTheme="minorHAnsi" w:hAnsiTheme="minorHAnsi" w:cstheme="minorHAnsi"/>
                <w:sz w:val="18"/>
                <w:szCs w:val="18"/>
              </w:rPr>
            </w:pPr>
            <w:r w:rsidRPr="00F8089A">
              <w:rPr>
                <w:rFonts w:asciiTheme="minorHAnsi" w:hAnsiTheme="minorHAnsi" w:cstheme="minorHAnsi"/>
                <w:sz w:val="18"/>
                <w:szCs w:val="18"/>
              </w:rPr>
              <w:t>546,860 $</w:t>
            </w:r>
          </w:p>
        </w:tc>
        <w:tc>
          <w:tcPr>
            <w:tcW w:w="1420" w:type="dxa"/>
            <w:tcBorders>
              <w:top w:val="single" w:sz="4" w:space="0" w:color="auto"/>
              <w:left w:val="single" w:sz="4" w:space="0" w:color="auto"/>
              <w:bottom w:val="single" w:sz="4" w:space="0" w:color="auto"/>
              <w:right w:val="single" w:sz="4" w:space="0" w:color="auto"/>
            </w:tcBorders>
            <w:noWrap/>
            <w:vAlign w:val="center"/>
            <w:hideMark/>
          </w:tcPr>
          <w:p w14:paraId="5DBA9C6B" w14:textId="77777777" w:rsidR="00302BFE" w:rsidRPr="00F8089A" w:rsidRDefault="00302BFE" w:rsidP="00F8089A">
            <w:pPr>
              <w:jc w:val="right"/>
              <w:rPr>
                <w:rFonts w:asciiTheme="minorHAnsi" w:hAnsiTheme="minorHAnsi" w:cstheme="minorHAnsi"/>
                <w:sz w:val="18"/>
                <w:szCs w:val="18"/>
              </w:rPr>
            </w:pPr>
            <w:r w:rsidRPr="00F8089A">
              <w:rPr>
                <w:rFonts w:asciiTheme="minorHAnsi" w:hAnsiTheme="minorHAnsi" w:cstheme="minorHAnsi"/>
                <w:color w:val="000000"/>
                <w:sz w:val="18"/>
                <w:szCs w:val="18"/>
                <w:lang w:val="fr-CA"/>
              </w:rPr>
              <w:t>10,318,111</w:t>
            </w:r>
            <w:r w:rsidRPr="00F8089A">
              <w:rPr>
                <w:rFonts w:asciiTheme="minorHAnsi" w:hAnsiTheme="minorHAnsi" w:cstheme="minorHAnsi"/>
                <w:sz w:val="18"/>
                <w:szCs w:val="18"/>
                <w:lang w:val="fr-CA"/>
              </w:rPr>
              <w:t> $</w:t>
            </w:r>
          </w:p>
        </w:tc>
      </w:tr>
      <w:tr w:rsidR="00302BFE" w:rsidRPr="00B50655" w14:paraId="6B0E71E6" w14:textId="77777777" w:rsidTr="00F8089A">
        <w:trPr>
          <w:cantSplit/>
        </w:trPr>
        <w:tc>
          <w:tcPr>
            <w:tcW w:w="1135" w:type="dxa"/>
            <w:noWrap/>
            <w:vAlign w:val="bottom"/>
          </w:tcPr>
          <w:p w14:paraId="02F33EFA" w14:textId="77777777" w:rsidR="00302BFE" w:rsidRPr="00B50655" w:rsidRDefault="00302BFE" w:rsidP="00243B15">
            <w:pPr>
              <w:rPr>
                <w:sz w:val="18"/>
                <w:szCs w:val="18"/>
              </w:rPr>
            </w:pPr>
          </w:p>
        </w:tc>
        <w:tc>
          <w:tcPr>
            <w:tcW w:w="283" w:type="dxa"/>
            <w:tcBorders>
              <w:top w:val="nil"/>
              <w:left w:val="nil"/>
              <w:bottom w:val="nil"/>
              <w:right w:val="single" w:sz="4" w:space="0" w:color="auto"/>
            </w:tcBorders>
            <w:noWrap/>
            <w:vAlign w:val="bottom"/>
          </w:tcPr>
          <w:p w14:paraId="48C3B431" w14:textId="77777777" w:rsidR="00302BFE" w:rsidRPr="00B50655" w:rsidRDefault="00302BFE" w:rsidP="00243B15">
            <w:pPr>
              <w:rPr>
                <w:sz w:val="18"/>
                <w:szCs w:val="18"/>
              </w:rPr>
            </w:pPr>
          </w:p>
        </w:tc>
        <w:tc>
          <w:tcPr>
            <w:tcW w:w="4134" w:type="dxa"/>
            <w:tcBorders>
              <w:top w:val="single" w:sz="4" w:space="0" w:color="auto"/>
              <w:left w:val="single" w:sz="4" w:space="0" w:color="auto"/>
              <w:bottom w:val="single" w:sz="4" w:space="0" w:color="auto"/>
              <w:right w:val="single" w:sz="4" w:space="0" w:color="auto"/>
            </w:tcBorders>
            <w:noWrap/>
            <w:vAlign w:val="bottom"/>
          </w:tcPr>
          <w:p w14:paraId="16E49E90" w14:textId="77777777" w:rsidR="00302BFE" w:rsidRPr="00B50655" w:rsidRDefault="00302BFE" w:rsidP="00243B15">
            <w:pPr>
              <w:jc w:val="right"/>
              <w:rPr>
                <w:b/>
                <w:bCs/>
                <w:sz w:val="18"/>
                <w:szCs w:val="18"/>
                <w:lang w:val="en-CA"/>
              </w:rPr>
            </w:pPr>
            <w:r w:rsidRPr="00B50655">
              <w:rPr>
                <w:b/>
                <w:bCs/>
                <w:sz w:val="18"/>
                <w:szCs w:val="18"/>
                <w:lang w:val="en-CA"/>
              </w:rPr>
              <w:t>Recipient Government (</w:t>
            </w:r>
            <w:r w:rsidRPr="00B50655">
              <w:rPr>
                <w:sz w:val="18"/>
                <w:szCs w:val="18"/>
                <w:lang w:val="en-CA"/>
              </w:rPr>
              <w:t>Ministry of Agriculture and Hydro-agricultural Infrastructure)</w:t>
            </w:r>
          </w:p>
        </w:tc>
        <w:tc>
          <w:tcPr>
            <w:tcW w:w="1251" w:type="dxa"/>
            <w:tcBorders>
              <w:top w:val="single" w:sz="4" w:space="0" w:color="auto"/>
              <w:left w:val="single" w:sz="4" w:space="0" w:color="auto"/>
              <w:bottom w:val="single" w:sz="4" w:space="0" w:color="auto"/>
              <w:right w:val="single" w:sz="4" w:space="0" w:color="auto"/>
            </w:tcBorders>
            <w:noWrap/>
            <w:vAlign w:val="center"/>
          </w:tcPr>
          <w:p w14:paraId="5BA3ADDD"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773,028 $</w:t>
            </w:r>
          </w:p>
        </w:tc>
        <w:tc>
          <w:tcPr>
            <w:tcW w:w="1134" w:type="dxa"/>
            <w:tcBorders>
              <w:top w:val="single" w:sz="4" w:space="0" w:color="auto"/>
              <w:left w:val="single" w:sz="4" w:space="0" w:color="auto"/>
              <w:bottom w:val="single" w:sz="4" w:space="0" w:color="auto"/>
              <w:right w:val="single" w:sz="4" w:space="0" w:color="auto"/>
            </w:tcBorders>
            <w:noWrap/>
            <w:vAlign w:val="center"/>
          </w:tcPr>
          <w:p w14:paraId="3151CFED"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1,186,665 $</w:t>
            </w:r>
          </w:p>
        </w:tc>
        <w:tc>
          <w:tcPr>
            <w:tcW w:w="1134" w:type="dxa"/>
            <w:tcBorders>
              <w:top w:val="single" w:sz="4" w:space="0" w:color="auto"/>
              <w:left w:val="single" w:sz="4" w:space="0" w:color="auto"/>
              <w:bottom w:val="single" w:sz="4" w:space="0" w:color="auto"/>
              <w:right w:val="single" w:sz="4" w:space="0" w:color="auto"/>
            </w:tcBorders>
            <w:noWrap/>
            <w:vAlign w:val="center"/>
          </w:tcPr>
          <w:p w14:paraId="2AA28C5E"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2,156,340</w:t>
            </w:r>
          </w:p>
        </w:tc>
        <w:tc>
          <w:tcPr>
            <w:tcW w:w="1275" w:type="dxa"/>
            <w:tcBorders>
              <w:top w:val="single" w:sz="4" w:space="0" w:color="auto"/>
              <w:left w:val="single" w:sz="4" w:space="0" w:color="auto"/>
              <w:bottom w:val="single" w:sz="4" w:space="0" w:color="auto"/>
              <w:right w:val="single" w:sz="4" w:space="0" w:color="auto"/>
            </w:tcBorders>
            <w:noWrap/>
            <w:vAlign w:val="center"/>
          </w:tcPr>
          <w:p w14:paraId="38EFC0C0"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1,396,875 $</w:t>
            </w:r>
          </w:p>
        </w:tc>
        <w:tc>
          <w:tcPr>
            <w:tcW w:w="1134" w:type="dxa"/>
            <w:tcBorders>
              <w:top w:val="single" w:sz="4" w:space="0" w:color="auto"/>
              <w:left w:val="single" w:sz="4" w:space="0" w:color="auto"/>
              <w:bottom w:val="single" w:sz="4" w:space="0" w:color="auto"/>
              <w:right w:val="single" w:sz="4" w:space="0" w:color="auto"/>
            </w:tcBorders>
            <w:vAlign w:val="center"/>
          </w:tcPr>
          <w:p w14:paraId="60C24DFB"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908,647 $</w:t>
            </w:r>
          </w:p>
        </w:tc>
        <w:tc>
          <w:tcPr>
            <w:tcW w:w="1134" w:type="dxa"/>
            <w:tcBorders>
              <w:top w:val="single" w:sz="4" w:space="0" w:color="auto"/>
              <w:left w:val="single" w:sz="4" w:space="0" w:color="auto"/>
              <w:bottom w:val="single" w:sz="4" w:space="0" w:color="auto"/>
              <w:right w:val="single" w:sz="4" w:space="0" w:color="auto"/>
            </w:tcBorders>
            <w:vAlign w:val="center"/>
          </w:tcPr>
          <w:p w14:paraId="193673EC"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359,390 $</w:t>
            </w:r>
          </w:p>
        </w:tc>
        <w:tc>
          <w:tcPr>
            <w:tcW w:w="1420" w:type="dxa"/>
            <w:tcBorders>
              <w:top w:val="single" w:sz="4" w:space="0" w:color="auto"/>
              <w:left w:val="single" w:sz="4" w:space="0" w:color="auto"/>
              <w:bottom w:val="single" w:sz="4" w:space="0" w:color="auto"/>
              <w:right w:val="single" w:sz="4" w:space="0" w:color="auto"/>
            </w:tcBorders>
            <w:noWrap/>
            <w:vAlign w:val="center"/>
          </w:tcPr>
          <w:p w14:paraId="5909E120"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color w:val="000000"/>
                <w:sz w:val="18"/>
                <w:szCs w:val="18"/>
                <w:lang w:val="fr-CA"/>
              </w:rPr>
              <w:t>6,780,945 </w:t>
            </w:r>
            <w:r w:rsidRPr="00F8089A">
              <w:rPr>
                <w:rFonts w:asciiTheme="minorHAnsi" w:hAnsiTheme="minorHAnsi" w:cstheme="minorHAnsi"/>
                <w:sz w:val="18"/>
                <w:szCs w:val="18"/>
                <w:lang w:val="fr-CA"/>
              </w:rPr>
              <w:t>$</w:t>
            </w:r>
          </w:p>
        </w:tc>
      </w:tr>
      <w:tr w:rsidR="00302BFE" w:rsidRPr="00B50655" w14:paraId="45603A47" w14:textId="77777777" w:rsidTr="00F8089A">
        <w:trPr>
          <w:cantSplit/>
        </w:trPr>
        <w:tc>
          <w:tcPr>
            <w:tcW w:w="1135" w:type="dxa"/>
            <w:noWrap/>
            <w:vAlign w:val="bottom"/>
          </w:tcPr>
          <w:p w14:paraId="24346643" w14:textId="77777777" w:rsidR="00302BFE" w:rsidRPr="00B50655" w:rsidRDefault="00302BFE" w:rsidP="00243B15">
            <w:pPr>
              <w:rPr>
                <w:sz w:val="18"/>
                <w:szCs w:val="18"/>
                <w:lang w:val="fr-CA"/>
              </w:rPr>
            </w:pPr>
          </w:p>
        </w:tc>
        <w:tc>
          <w:tcPr>
            <w:tcW w:w="283" w:type="dxa"/>
            <w:tcBorders>
              <w:top w:val="nil"/>
              <w:left w:val="nil"/>
              <w:bottom w:val="nil"/>
              <w:right w:val="single" w:sz="4" w:space="0" w:color="auto"/>
            </w:tcBorders>
            <w:noWrap/>
            <w:vAlign w:val="bottom"/>
          </w:tcPr>
          <w:p w14:paraId="0943ECCA" w14:textId="77777777" w:rsidR="00302BFE" w:rsidRPr="00B50655" w:rsidRDefault="00302BFE" w:rsidP="00243B15">
            <w:pPr>
              <w:rPr>
                <w:sz w:val="18"/>
                <w:szCs w:val="18"/>
                <w:lang w:val="fr-CA"/>
              </w:rPr>
            </w:pPr>
          </w:p>
        </w:tc>
        <w:tc>
          <w:tcPr>
            <w:tcW w:w="4134" w:type="dxa"/>
            <w:tcBorders>
              <w:top w:val="single" w:sz="4" w:space="0" w:color="auto"/>
              <w:left w:val="single" w:sz="4" w:space="0" w:color="auto"/>
              <w:bottom w:val="single" w:sz="4" w:space="0" w:color="auto"/>
              <w:right w:val="single" w:sz="4" w:space="0" w:color="auto"/>
            </w:tcBorders>
            <w:noWrap/>
            <w:vAlign w:val="bottom"/>
          </w:tcPr>
          <w:p w14:paraId="0DDFA9B3" w14:textId="77777777" w:rsidR="00302BFE" w:rsidRPr="00B50655" w:rsidRDefault="00302BFE" w:rsidP="00243B15">
            <w:pPr>
              <w:jc w:val="right"/>
              <w:rPr>
                <w:b/>
                <w:bCs/>
                <w:sz w:val="18"/>
                <w:szCs w:val="18"/>
                <w:lang w:val="en-CA"/>
              </w:rPr>
            </w:pPr>
            <w:r w:rsidRPr="00B50655">
              <w:rPr>
                <w:b/>
                <w:bCs/>
                <w:sz w:val="18"/>
                <w:szCs w:val="18"/>
                <w:lang w:val="en-CA"/>
              </w:rPr>
              <w:t>Recipient Government (</w:t>
            </w:r>
            <w:r w:rsidRPr="00B50655">
              <w:rPr>
                <w:sz w:val="18"/>
                <w:szCs w:val="18"/>
                <w:lang w:val="en-CA"/>
              </w:rPr>
              <w:t>Ministry of Animal and Fisheries Resources</w:t>
            </w:r>
            <w:r w:rsidRPr="00B50655">
              <w:rPr>
                <w:rFonts w:cs="Calibri"/>
                <w:sz w:val="18"/>
                <w:szCs w:val="18"/>
                <w:lang w:val="en-CA"/>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587DE0DD"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171,000 $</w:t>
            </w:r>
          </w:p>
        </w:tc>
        <w:tc>
          <w:tcPr>
            <w:tcW w:w="1134" w:type="dxa"/>
            <w:tcBorders>
              <w:top w:val="single" w:sz="4" w:space="0" w:color="auto"/>
              <w:left w:val="single" w:sz="4" w:space="0" w:color="auto"/>
              <w:bottom w:val="single" w:sz="4" w:space="0" w:color="auto"/>
              <w:right w:val="single" w:sz="4" w:space="0" w:color="auto"/>
            </w:tcBorders>
            <w:noWrap/>
            <w:vAlign w:val="center"/>
          </w:tcPr>
          <w:p w14:paraId="702857E6"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262,500 $</w:t>
            </w:r>
          </w:p>
        </w:tc>
        <w:tc>
          <w:tcPr>
            <w:tcW w:w="1134" w:type="dxa"/>
            <w:tcBorders>
              <w:top w:val="single" w:sz="4" w:space="0" w:color="auto"/>
              <w:left w:val="single" w:sz="4" w:space="0" w:color="auto"/>
              <w:bottom w:val="single" w:sz="4" w:space="0" w:color="auto"/>
              <w:right w:val="single" w:sz="4" w:space="0" w:color="auto"/>
            </w:tcBorders>
            <w:noWrap/>
            <w:vAlign w:val="center"/>
          </w:tcPr>
          <w:p w14:paraId="56C0F5AF"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477,000 $</w:t>
            </w:r>
          </w:p>
        </w:tc>
        <w:tc>
          <w:tcPr>
            <w:tcW w:w="1275" w:type="dxa"/>
            <w:tcBorders>
              <w:top w:val="single" w:sz="4" w:space="0" w:color="auto"/>
              <w:left w:val="single" w:sz="4" w:space="0" w:color="auto"/>
              <w:bottom w:val="single" w:sz="4" w:space="0" w:color="auto"/>
              <w:right w:val="single" w:sz="4" w:space="0" w:color="auto"/>
            </w:tcBorders>
            <w:noWrap/>
            <w:vAlign w:val="center"/>
          </w:tcPr>
          <w:p w14:paraId="439E2067"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309,000 $</w:t>
            </w:r>
          </w:p>
        </w:tc>
        <w:tc>
          <w:tcPr>
            <w:tcW w:w="1134" w:type="dxa"/>
            <w:tcBorders>
              <w:top w:val="single" w:sz="4" w:space="0" w:color="auto"/>
              <w:left w:val="single" w:sz="4" w:space="0" w:color="auto"/>
              <w:bottom w:val="single" w:sz="4" w:space="0" w:color="auto"/>
              <w:right w:val="single" w:sz="4" w:space="0" w:color="auto"/>
            </w:tcBorders>
            <w:vAlign w:val="center"/>
          </w:tcPr>
          <w:p w14:paraId="244DE37D"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201,000 $</w:t>
            </w:r>
          </w:p>
        </w:tc>
        <w:tc>
          <w:tcPr>
            <w:tcW w:w="1134" w:type="dxa"/>
            <w:tcBorders>
              <w:top w:val="single" w:sz="4" w:space="0" w:color="auto"/>
              <w:left w:val="single" w:sz="4" w:space="0" w:color="auto"/>
              <w:bottom w:val="single" w:sz="4" w:space="0" w:color="auto"/>
              <w:right w:val="single" w:sz="4" w:space="0" w:color="auto"/>
            </w:tcBorders>
            <w:vAlign w:val="center"/>
          </w:tcPr>
          <w:p w14:paraId="5B1D049B"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79,500 $</w:t>
            </w:r>
          </w:p>
        </w:tc>
        <w:tc>
          <w:tcPr>
            <w:tcW w:w="1420" w:type="dxa"/>
            <w:tcBorders>
              <w:top w:val="single" w:sz="4" w:space="0" w:color="auto"/>
              <w:left w:val="single" w:sz="4" w:space="0" w:color="auto"/>
              <w:bottom w:val="single" w:sz="4" w:space="0" w:color="auto"/>
              <w:right w:val="single" w:sz="4" w:space="0" w:color="auto"/>
            </w:tcBorders>
            <w:noWrap/>
            <w:vAlign w:val="center"/>
          </w:tcPr>
          <w:p w14:paraId="0346921E"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color w:val="000000"/>
                <w:sz w:val="18"/>
                <w:szCs w:val="18"/>
                <w:lang w:val="fr-CA"/>
              </w:rPr>
              <w:t>1,500,000 </w:t>
            </w:r>
            <w:r w:rsidRPr="00F8089A">
              <w:rPr>
                <w:rFonts w:asciiTheme="minorHAnsi" w:hAnsiTheme="minorHAnsi" w:cstheme="minorHAnsi"/>
                <w:sz w:val="18"/>
                <w:szCs w:val="18"/>
                <w:lang w:val="fr-CA"/>
              </w:rPr>
              <w:t>$</w:t>
            </w:r>
          </w:p>
        </w:tc>
      </w:tr>
      <w:tr w:rsidR="00302BFE" w:rsidRPr="00B50655" w14:paraId="3D7F4E7F" w14:textId="77777777" w:rsidTr="00F8089A">
        <w:trPr>
          <w:cantSplit/>
        </w:trPr>
        <w:tc>
          <w:tcPr>
            <w:tcW w:w="1135" w:type="dxa"/>
            <w:noWrap/>
            <w:vAlign w:val="bottom"/>
          </w:tcPr>
          <w:p w14:paraId="17A8842C" w14:textId="77777777" w:rsidR="00302BFE" w:rsidRPr="00B50655" w:rsidRDefault="00302BFE" w:rsidP="00243B15">
            <w:pPr>
              <w:rPr>
                <w:sz w:val="18"/>
                <w:szCs w:val="18"/>
                <w:lang w:val="fr-CA"/>
              </w:rPr>
            </w:pPr>
          </w:p>
        </w:tc>
        <w:tc>
          <w:tcPr>
            <w:tcW w:w="283" w:type="dxa"/>
            <w:tcBorders>
              <w:top w:val="nil"/>
              <w:left w:val="nil"/>
              <w:bottom w:val="nil"/>
              <w:right w:val="single" w:sz="4" w:space="0" w:color="auto"/>
            </w:tcBorders>
            <w:noWrap/>
            <w:vAlign w:val="bottom"/>
          </w:tcPr>
          <w:p w14:paraId="36E35650" w14:textId="77777777" w:rsidR="00302BFE" w:rsidRPr="00B50655" w:rsidRDefault="00302BFE" w:rsidP="00243B15">
            <w:pPr>
              <w:rPr>
                <w:sz w:val="18"/>
                <w:szCs w:val="18"/>
                <w:lang w:val="fr-CA"/>
              </w:rPr>
            </w:pPr>
          </w:p>
        </w:tc>
        <w:tc>
          <w:tcPr>
            <w:tcW w:w="4134" w:type="dxa"/>
            <w:tcBorders>
              <w:top w:val="single" w:sz="4" w:space="0" w:color="auto"/>
              <w:left w:val="single" w:sz="4" w:space="0" w:color="auto"/>
              <w:bottom w:val="single" w:sz="4" w:space="0" w:color="auto"/>
              <w:right w:val="single" w:sz="4" w:space="0" w:color="auto"/>
            </w:tcBorders>
            <w:noWrap/>
            <w:vAlign w:val="bottom"/>
          </w:tcPr>
          <w:p w14:paraId="4A731C18" w14:textId="77777777" w:rsidR="00302BFE" w:rsidRPr="00B50655" w:rsidRDefault="00302BFE" w:rsidP="00243B15">
            <w:pPr>
              <w:jc w:val="right"/>
              <w:rPr>
                <w:b/>
                <w:bCs/>
                <w:sz w:val="18"/>
                <w:szCs w:val="18"/>
                <w:lang w:val="fr-CA"/>
              </w:rPr>
            </w:pPr>
            <w:r w:rsidRPr="00B50655">
              <w:rPr>
                <w:sz w:val="18"/>
                <w:szCs w:val="18"/>
              </w:rPr>
              <w:t>Tree Aid</w:t>
            </w:r>
          </w:p>
        </w:tc>
        <w:tc>
          <w:tcPr>
            <w:tcW w:w="1251" w:type="dxa"/>
            <w:tcBorders>
              <w:top w:val="single" w:sz="4" w:space="0" w:color="auto"/>
              <w:left w:val="single" w:sz="4" w:space="0" w:color="auto"/>
              <w:bottom w:val="single" w:sz="4" w:space="0" w:color="auto"/>
              <w:right w:val="single" w:sz="4" w:space="0" w:color="auto"/>
            </w:tcBorders>
            <w:noWrap/>
            <w:vAlign w:val="center"/>
          </w:tcPr>
          <w:p w14:paraId="3D09A72D"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136,668 $</w:t>
            </w:r>
          </w:p>
        </w:tc>
        <w:tc>
          <w:tcPr>
            <w:tcW w:w="1134" w:type="dxa"/>
            <w:tcBorders>
              <w:top w:val="single" w:sz="4" w:space="0" w:color="auto"/>
              <w:left w:val="single" w:sz="4" w:space="0" w:color="auto"/>
              <w:bottom w:val="single" w:sz="4" w:space="0" w:color="auto"/>
              <w:right w:val="single" w:sz="4" w:space="0" w:color="auto"/>
            </w:tcBorders>
            <w:noWrap/>
            <w:vAlign w:val="center"/>
          </w:tcPr>
          <w:p w14:paraId="365F36C0"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209,797 $</w:t>
            </w:r>
          </w:p>
        </w:tc>
        <w:tc>
          <w:tcPr>
            <w:tcW w:w="1134" w:type="dxa"/>
            <w:tcBorders>
              <w:top w:val="single" w:sz="4" w:space="0" w:color="auto"/>
              <w:left w:val="single" w:sz="4" w:space="0" w:color="auto"/>
              <w:bottom w:val="single" w:sz="4" w:space="0" w:color="auto"/>
              <w:right w:val="single" w:sz="4" w:space="0" w:color="auto"/>
            </w:tcBorders>
            <w:noWrap/>
            <w:vAlign w:val="center"/>
          </w:tcPr>
          <w:p w14:paraId="7DC42F93"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381,231 $</w:t>
            </w:r>
          </w:p>
        </w:tc>
        <w:tc>
          <w:tcPr>
            <w:tcW w:w="1275" w:type="dxa"/>
            <w:tcBorders>
              <w:top w:val="single" w:sz="4" w:space="0" w:color="auto"/>
              <w:left w:val="single" w:sz="4" w:space="0" w:color="auto"/>
              <w:bottom w:val="single" w:sz="4" w:space="0" w:color="auto"/>
              <w:right w:val="single" w:sz="4" w:space="0" w:color="auto"/>
            </w:tcBorders>
            <w:noWrap/>
            <w:vAlign w:val="center"/>
          </w:tcPr>
          <w:p w14:paraId="6A6213B6"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246,961 $</w:t>
            </w:r>
          </w:p>
        </w:tc>
        <w:tc>
          <w:tcPr>
            <w:tcW w:w="1134" w:type="dxa"/>
            <w:tcBorders>
              <w:top w:val="single" w:sz="4" w:space="0" w:color="auto"/>
              <w:left w:val="single" w:sz="4" w:space="0" w:color="auto"/>
              <w:bottom w:val="single" w:sz="4" w:space="0" w:color="auto"/>
              <w:right w:val="single" w:sz="4" w:space="0" w:color="auto"/>
            </w:tcBorders>
            <w:vAlign w:val="center"/>
          </w:tcPr>
          <w:p w14:paraId="4F9B09F4"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160,645 $</w:t>
            </w:r>
          </w:p>
        </w:tc>
        <w:tc>
          <w:tcPr>
            <w:tcW w:w="1134" w:type="dxa"/>
            <w:tcBorders>
              <w:top w:val="single" w:sz="4" w:space="0" w:color="auto"/>
              <w:left w:val="single" w:sz="4" w:space="0" w:color="auto"/>
              <w:bottom w:val="single" w:sz="4" w:space="0" w:color="auto"/>
              <w:right w:val="single" w:sz="4" w:space="0" w:color="auto"/>
            </w:tcBorders>
            <w:vAlign w:val="center"/>
          </w:tcPr>
          <w:p w14:paraId="09D9B182"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63,538 $</w:t>
            </w:r>
          </w:p>
        </w:tc>
        <w:tc>
          <w:tcPr>
            <w:tcW w:w="1420" w:type="dxa"/>
            <w:tcBorders>
              <w:top w:val="single" w:sz="4" w:space="0" w:color="auto"/>
              <w:left w:val="single" w:sz="4" w:space="0" w:color="auto"/>
              <w:bottom w:val="single" w:sz="4" w:space="0" w:color="auto"/>
              <w:right w:val="single" w:sz="4" w:space="0" w:color="auto"/>
            </w:tcBorders>
            <w:noWrap/>
            <w:vAlign w:val="center"/>
          </w:tcPr>
          <w:p w14:paraId="7F7B6FDC"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rPr>
              <w:t>1,198,840 </w:t>
            </w:r>
            <w:r w:rsidRPr="00F8089A">
              <w:rPr>
                <w:rFonts w:asciiTheme="minorHAnsi" w:hAnsiTheme="minorHAnsi" w:cstheme="minorHAnsi"/>
                <w:sz w:val="18"/>
                <w:szCs w:val="18"/>
                <w:lang w:val="fr-CA"/>
              </w:rPr>
              <w:t>$</w:t>
            </w:r>
          </w:p>
        </w:tc>
      </w:tr>
      <w:tr w:rsidR="00302BFE" w:rsidRPr="00B50655" w14:paraId="2FF49A41" w14:textId="77777777" w:rsidTr="00F8089A">
        <w:trPr>
          <w:cantSplit/>
        </w:trPr>
        <w:tc>
          <w:tcPr>
            <w:tcW w:w="1135" w:type="dxa"/>
            <w:noWrap/>
            <w:vAlign w:val="bottom"/>
          </w:tcPr>
          <w:p w14:paraId="57F3367A" w14:textId="77777777" w:rsidR="00302BFE" w:rsidRPr="00B50655" w:rsidRDefault="00302BFE" w:rsidP="00243B15">
            <w:pPr>
              <w:rPr>
                <w:sz w:val="18"/>
                <w:szCs w:val="18"/>
                <w:lang w:val="fr-CA"/>
              </w:rPr>
            </w:pPr>
          </w:p>
        </w:tc>
        <w:tc>
          <w:tcPr>
            <w:tcW w:w="283" w:type="dxa"/>
            <w:tcBorders>
              <w:top w:val="nil"/>
              <w:left w:val="nil"/>
              <w:bottom w:val="nil"/>
              <w:right w:val="single" w:sz="4" w:space="0" w:color="auto"/>
            </w:tcBorders>
            <w:noWrap/>
            <w:vAlign w:val="bottom"/>
          </w:tcPr>
          <w:p w14:paraId="287DC615" w14:textId="77777777" w:rsidR="00302BFE" w:rsidRPr="00B50655" w:rsidRDefault="00302BFE" w:rsidP="00243B15">
            <w:pPr>
              <w:rPr>
                <w:sz w:val="18"/>
                <w:szCs w:val="18"/>
                <w:lang w:val="fr-CA"/>
              </w:rPr>
            </w:pPr>
          </w:p>
        </w:tc>
        <w:tc>
          <w:tcPr>
            <w:tcW w:w="4134" w:type="dxa"/>
            <w:tcBorders>
              <w:top w:val="single" w:sz="4" w:space="0" w:color="auto"/>
              <w:left w:val="single" w:sz="4" w:space="0" w:color="auto"/>
              <w:bottom w:val="single" w:sz="4" w:space="0" w:color="auto"/>
              <w:right w:val="single" w:sz="4" w:space="0" w:color="auto"/>
            </w:tcBorders>
            <w:noWrap/>
            <w:vAlign w:val="bottom"/>
          </w:tcPr>
          <w:p w14:paraId="7C24CC59" w14:textId="77777777" w:rsidR="00302BFE" w:rsidRPr="00B50655" w:rsidRDefault="00302BFE" w:rsidP="00243B15">
            <w:pPr>
              <w:jc w:val="right"/>
              <w:rPr>
                <w:b/>
                <w:bCs/>
                <w:sz w:val="18"/>
                <w:szCs w:val="18"/>
                <w:lang w:val="fr-CA"/>
              </w:rPr>
            </w:pPr>
            <w:r w:rsidRPr="00B50655">
              <w:rPr>
                <w:sz w:val="18"/>
                <w:szCs w:val="18"/>
                <w:lang w:val="en-CA"/>
              </w:rPr>
              <w:t>IUCN Burkina Faso</w:t>
            </w:r>
          </w:p>
        </w:tc>
        <w:tc>
          <w:tcPr>
            <w:tcW w:w="1251" w:type="dxa"/>
            <w:tcBorders>
              <w:top w:val="single" w:sz="4" w:space="0" w:color="auto"/>
              <w:left w:val="single" w:sz="4" w:space="0" w:color="auto"/>
              <w:bottom w:val="single" w:sz="4" w:space="0" w:color="auto"/>
              <w:right w:val="single" w:sz="4" w:space="0" w:color="auto"/>
            </w:tcBorders>
            <w:noWrap/>
            <w:vAlign w:val="center"/>
          </w:tcPr>
          <w:p w14:paraId="2AC05F6E"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82,080 $</w:t>
            </w:r>
          </w:p>
        </w:tc>
        <w:tc>
          <w:tcPr>
            <w:tcW w:w="1134" w:type="dxa"/>
            <w:tcBorders>
              <w:top w:val="single" w:sz="4" w:space="0" w:color="auto"/>
              <w:left w:val="single" w:sz="4" w:space="0" w:color="auto"/>
              <w:bottom w:val="single" w:sz="4" w:space="0" w:color="auto"/>
              <w:right w:val="single" w:sz="4" w:space="0" w:color="auto"/>
            </w:tcBorders>
            <w:noWrap/>
            <w:vAlign w:val="center"/>
          </w:tcPr>
          <w:p w14:paraId="3119C46C"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126,000 $</w:t>
            </w:r>
          </w:p>
        </w:tc>
        <w:tc>
          <w:tcPr>
            <w:tcW w:w="1134" w:type="dxa"/>
            <w:tcBorders>
              <w:top w:val="single" w:sz="4" w:space="0" w:color="auto"/>
              <w:left w:val="single" w:sz="4" w:space="0" w:color="auto"/>
              <w:bottom w:val="single" w:sz="4" w:space="0" w:color="auto"/>
              <w:right w:val="single" w:sz="4" w:space="0" w:color="auto"/>
            </w:tcBorders>
            <w:noWrap/>
            <w:vAlign w:val="center"/>
          </w:tcPr>
          <w:p w14:paraId="44912552"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228,960 $</w:t>
            </w:r>
          </w:p>
        </w:tc>
        <w:tc>
          <w:tcPr>
            <w:tcW w:w="1275" w:type="dxa"/>
            <w:tcBorders>
              <w:top w:val="single" w:sz="4" w:space="0" w:color="auto"/>
              <w:left w:val="single" w:sz="4" w:space="0" w:color="auto"/>
              <w:bottom w:val="single" w:sz="4" w:space="0" w:color="auto"/>
              <w:right w:val="single" w:sz="4" w:space="0" w:color="auto"/>
            </w:tcBorders>
            <w:noWrap/>
            <w:vAlign w:val="center"/>
          </w:tcPr>
          <w:p w14:paraId="0F519C93"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148,320 $</w:t>
            </w:r>
          </w:p>
        </w:tc>
        <w:tc>
          <w:tcPr>
            <w:tcW w:w="1134" w:type="dxa"/>
            <w:tcBorders>
              <w:top w:val="single" w:sz="4" w:space="0" w:color="auto"/>
              <w:left w:val="single" w:sz="4" w:space="0" w:color="auto"/>
              <w:bottom w:val="single" w:sz="4" w:space="0" w:color="auto"/>
              <w:right w:val="single" w:sz="4" w:space="0" w:color="auto"/>
            </w:tcBorders>
            <w:vAlign w:val="center"/>
          </w:tcPr>
          <w:p w14:paraId="48F06874"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96,480 $</w:t>
            </w:r>
          </w:p>
        </w:tc>
        <w:tc>
          <w:tcPr>
            <w:tcW w:w="1134" w:type="dxa"/>
            <w:tcBorders>
              <w:top w:val="single" w:sz="4" w:space="0" w:color="auto"/>
              <w:left w:val="single" w:sz="4" w:space="0" w:color="auto"/>
              <w:bottom w:val="single" w:sz="4" w:space="0" w:color="auto"/>
              <w:right w:val="single" w:sz="4" w:space="0" w:color="auto"/>
            </w:tcBorders>
            <w:vAlign w:val="center"/>
          </w:tcPr>
          <w:p w14:paraId="49E3F4B2"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38,160 $</w:t>
            </w:r>
          </w:p>
        </w:tc>
        <w:tc>
          <w:tcPr>
            <w:tcW w:w="1420" w:type="dxa"/>
            <w:tcBorders>
              <w:top w:val="single" w:sz="4" w:space="0" w:color="auto"/>
              <w:left w:val="single" w:sz="4" w:space="0" w:color="auto"/>
              <w:bottom w:val="single" w:sz="4" w:space="0" w:color="auto"/>
              <w:right w:val="single" w:sz="4" w:space="0" w:color="auto"/>
            </w:tcBorders>
            <w:noWrap/>
            <w:vAlign w:val="center"/>
          </w:tcPr>
          <w:p w14:paraId="492F203D"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en-CA"/>
              </w:rPr>
              <w:t>720,000 </w:t>
            </w:r>
            <w:r w:rsidRPr="00F8089A">
              <w:rPr>
                <w:rFonts w:asciiTheme="minorHAnsi" w:hAnsiTheme="minorHAnsi" w:cstheme="minorHAnsi"/>
                <w:sz w:val="18"/>
                <w:szCs w:val="18"/>
                <w:lang w:val="fr-CA"/>
              </w:rPr>
              <w:t>$</w:t>
            </w:r>
          </w:p>
        </w:tc>
      </w:tr>
      <w:tr w:rsidR="00302BFE" w:rsidRPr="00B50655" w14:paraId="159D617E" w14:textId="77777777" w:rsidTr="00F8089A">
        <w:trPr>
          <w:cantSplit/>
        </w:trPr>
        <w:tc>
          <w:tcPr>
            <w:tcW w:w="1135" w:type="dxa"/>
            <w:noWrap/>
            <w:vAlign w:val="bottom"/>
          </w:tcPr>
          <w:p w14:paraId="55CE7E23" w14:textId="77777777" w:rsidR="00302BFE" w:rsidRPr="00B50655" w:rsidRDefault="00302BFE" w:rsidP="00243B15">
            <w:pPr>
              <w:rPr>
                <w:sz w:val="18"/>
                <w:szCs w:val="18"/>
                <w:lang w:val="fr-CA"/>
              </w:rPr>
            </w:pPr>
          </w:p>
        </w:tc>
        <w:tc>
          <w:tcPr>
            <w:tcW w:w="283" w:type="dxa"/>
            <w:tcBorders>
              <w:top w:val="nil"/>
              <w:left w:val="nil"/>
              <w:bottom w:val="nil"/>
              <w:right w:val="single" w:sz="4" w:space="0" w:color="auto"/>
            </w:tcBorders>
            <w:noWrap/>
            <w:vAlign w:val="bottom"/>
          </w:tcPr>
          <w:p w14:paraId="6DC9EC57" w14:textId="77777777" w:rsidR="00302BFE" w:rsidRPr="00B50655" w:rsidRDefault="00302BFE" w:rsidP="00243B15">
            <w:pPr>
              <w:rPr>
                <w:sz w:val="18"/>
                <w:szCs w:val="18"/>
                <w:lang w:val="fr-CA"/>
              </w:rPr>
            </w:pPr>
          </w:p>
        </w:tc>
        <w:tc>
          <w:tcPr>
            <w:tcW w:w="4134" w:type="dxa"/>
            <w:tcBorders>
              <w:top w:val="single" w:sz="4" w:space="0" w:color="auto"/>
              <w:left w:val="single" w:sz="4" w:space="0" w:color="auto"/>
              <w:bottom w:val="single" w:sz="4" w:space="0" w:color="auto"/>
              <w:right w:val="single" w:sz="4" w:space="0" w:color="auto"/>
            </w:tcBorders>
            <w:noWrap/>
            <w:vAlign w:val="bottom"/>
          </w:tcPr>
          <w:p w14:paraId="767CA775" w14:textId="77777777" w:rsidR="00302BFE" w:rsidRPr="00B50655" w:rsidRDefault="00302BFE" w:rsidP="00243B15">
            <w:pPr>
              <w:jc w:val="right"/>
              <w:rPr>
                <w:sz w:val="18"/>
                <w:szCs w:val="18"/>
                <w:lang w:val="fr-CA"/>
              </w:rPr>
            </w:pPr>
            <w:r w:rsidRPr="00B50655">
              <w:rPr>
                <w:sz w:val="18"/>
                <w:szCs w:val="18"/>
                <w:lang w:val="fr-CA"/>
              </w:rPr>
              <w:t>Agence Pour la Promotion de la Petite et Moyenne Entreprise/Agriculture et Artisanat (APME.2A)</w:t>
            </w:r>
          </w:p>
        </w:tc>
        <w:tc>
          <w:tcPr>
            <w:tcW w:w="1251" w:type="dxa"/>
            <w:tcBorders>
              <w:top w:val="single" w:sz="4" w:space="0" w:color="auto"/>
              <w:left w:val="single" w:sz="4" w:space="0" w:color="auto"/>
              <w:bottom w:val="single" w:sz="4" w:space="0" w:color="auto"/>
              <w:right w:val="single" w:sz="4" w:space="0" w:color="auto"/>
            </w:tcBorders>
            <w:noWrap/>
            <w:vAlign w:val="center"/>
          </w:tcPr>
          <w:p w14:paraId="27313C66"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82,023 $</w:t>
            </w:r>
          </w:p>
        </w:tc>
        <w:tc>
          <w:tcPr>
            <w:tcW w:w="1134" w:type="dxa"/>
            <w:tcBorders>
              <w:top w:val="single" w:sz="4" w:space="0" w:color="auto"/>
              <w:left w:val="single" w:sz="4" w:space="0" w:color="auto"/>
              <w:bottom w:val="single" w:sz="4" w:space="0" w:color="auto"/>
              <w:right w:val="single" w:sz="4" w:space="0" w:color="auto"/>
            </w:tcBorders>
            <w:noWrap/>
            <w:vAlign w:val="center"/>
          </w:tcPr>
          <w:p w14:paraId="26E6E980"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125,913 $</w:t>
            </w:r>
          </w:p>
        </w:tc>
        <w:tc>
          <w:tcPr>
            <w:tcW w:w="1134" w:type="dxa"/>
            <w:tcBorders>
              <w:top w:val="single" w:sz="4" w:space="0" w:color="auto"/>
              <w:left w:val="single" w:sz="4" w:space="0" w:color="auto"/>
              <w:bottom w:val="single" w:sz="4" w:space="0" w:color="auto"/>
              <w:right w:val="single" w:sz="4" w:space="0" w:color="auto"/>
            </w:tcBorders>
            <w:noWrap/>
            <w:vAlign w:val="center"/>
          </w:tcPr>
          <w:p w14:paraId="0398A22E"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228,803 $</w:t>
            </w:r>
          </w:p>
        </w:tc>
        <w:tc>
          <w:tcPr>
            <w:tcW w:w="1275" w:type="dxa"/>
            <w:tcBorders>
              <w:top w:val="single" w:sz="4" w:space="0" w:color="auto"/>
              <w:left w:val="single" w:sz="4" w:space="0" w:color="auto"/>
              <w:bottom w:val="single" w:sz="4" w:space="0" w:color="auto"/>
              <w:right w:val="single" w:sz="4" w:space="0" w:color="auto"/>
            </w:tcBorders>
            <w:noWrap/>
            <w:vAlign w:val="center"/>
          </w:tcPr>
          <w:p w14:paraId="1192678D"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148,218 $</w:t>
            </w:r>
          </w:p>
        </w:tc>
        <w:tc>
          <w:tcPr>
            <w:tcW w:w="1134" w:type="dxa"/>
            <w:tcBorders>
              <w:top w:val="single" w:sz="4" w:space="0" w:color="auto"/>
              <w:left w:val="single" w:sz="4" w:space="0" w:color="auto"/>
              <w:bottom w:val="single" w:sz="4" w:space="0" w:color="auto"/>
              <w:right w:val="single" w:sz="4" w:space="0" w:color="auto"/>
            </w:tcBorders>
            <w:vAlign w:val="center"/>
          </w:tcPr>
          <w:p w14:paraId="389B3F79"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96,414 $</w:t>
            </w:r>
          </w:p>
        </w:tc>
        <w:tc>
          <w:tcPr>
            <w:tcW w:w="1134" w:type="dxa"/>
            <w:tcBorders>
              <w:top w:val="single" w:sz="4" w:space="0" w:color="auto"/>
              <w:left w:val="single" w:sz="4" w:space="0" w:color="auto"/>
              <w:bottom w:val="single" w:sz="4" w:space="0" w:color="auto"/>
              <w:right w:val="single" w:sz="4" w:space="0" w:color="auto"/>
            </w:tcBorders>
            <w:vAlign w:val="center"/>
          </w:tcPr>
          <w:p w14:paraId="36DEE817"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38,134 $</w:t>
            </w:r>
          </w:p>
        </w:tc>
        <w:tc>
          <w:tcPr>
            <w:tcW w:w="1420" w:type="dxa"/>
            <w:tcBorders>
              <w:top w:val="single" w:sz="4" w:space="0" w:color="auto"/>
              <w:left w:val="single" w:sz="4" w:space="0" w:color="auto"/>
              <w:bottom w:val="single" w:sz="4" w:space="0" w:color="auto"/>
              <w:right w:val="single" w:sz="4" w:space="0" w:color="auto"/>
            </w:tcBorders>
            <w:noWrap/>
            <w:vAlign w:val="center"/>
          </w:tcPr>
          <w:p w14:paraId="207A79BF"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719,505 $</w:t>
            </w:r>
          </w:p>
        </w:tc>
      </w:tr>
      <w:tr w:rsidR="00302BFE" w:rsidRPr="00B50655" w14:paraId="13509035" w14:textId="77777777" w:rsidTr="00F8089A">
        <w:trPr>
          <w:cantSplit/>
        </w:trPr>
        <w:tc>
          <w:tcPr>
            <w:tcW w:w="1135" w:type="dxa"/>
            <w:noWrap/>
            <w:vAlign w:val="bottom"/>
          </w:tcPr>
          <w:p w14:paraId="51B1CEBA" w14:textId="77777777" w:rsidR="00302BFE" w:rsidRPr="00B50655" w:rsidRDefault="00302BFE" w:rsidP="00243B15">
            <w:pPr>
              <w:rPr>
                <w:sz w:val="18"/>
                <w:szCs w:val="18"/>
                <w:lang w:val="en-CA"/>
              </w:rPr>
            </w:pPr>
          </w:p>
        </w:tc>
        <w:tc>
          <w:tcPr>
            <w:tcW w:w="283" w:type="dxa"/>
            <w:tcBorders>
              <w:top w:val="nil"/>
              <w:left w:val="nil"/>
              <w:bottom w:val="nil"/>
              <w:right w:val="single" w:sz="4" w:space="0" w:color="auto"/>
            </w:tcBorders>
            <w:noWrap/>
            <w:vAlign w:val="bottom"/>
          </w:tcPr>
          <w:p w14:paraId="2D549900" w14:textId="77777777" w:rsidR="00302BFE" w:rsidRPr="00B50655" w:rsidRDefault="00302BFE" w:rsidP="00243B15">
            <w:pPr>
              <w:rPr>
                <w:sz w:val="18"/>
                <w:szCs w:val="18"/>
                <w:lang w:val="en-CA"/>
              </w:rPr>
            </w:pPr>
          </w:p>
        </w:tc>
        <w:tc>
          <w:tcPr>
            <w:tcW w:w="4134" w:type="dxa"/>
            <w:tcBorders>
              <w:top w:val="single" w:sz="4" w:space="0" w:color="auto"/>
              <w:left w:val="single" w:sz="4" w:space="0" w:color="auto"/>
              <w:bottom w:val="single" w:sz="4" w:space="0" w:color="auto"/>
              <w:right w:val="single" w:sz="4" w:space="0" w:color="auto"/>
            </w:tcBorders>
            <w:noWrap/>
            <w:vAlign w:val="bottom"/>
          </w:tcPr>
          <w:p w14:paraId="217E7044" w14:textId="77777777" w:rsidR="00302BFE" w:rsidRPr="00B50655" w:rsidRDefault="00302BFE" w:rsidP="00243B15">
            <w:pPr>
              <w:jc w:val="right"/>
              <w:rPr>
                <w:sz w:val="18"/>
                <w:szCs w:val="18"/>
                <w:lang w:val="fr-CA"/>
              </w:rPr>
            </w:pPr>
            <w:r w:rsidRPr="00B50655">
              <w:rPr>
                <w:sz w:val="18"/>
                <w:szCs w:val="18"/>
                <w:lang w:val="fr-CA"/>
              </w:rPr>
              <w:t>Nahouri Safari</w:t>
            </w:r>
          </w:p>
        </w:tc>
        <w:tc>
          <w:tcPr>
            <w:tcW w:w="1251" w:type="dxa"/>
            <w:tcBorders>
              <w:top w:val="single" w:sz="4" w:space="0" w:color="auto"/>
              <w:left w:val="single" w:sz="4" w:space="0" w:color="auto"/>
              <w:bottom w:val="single" w:sz="4" w:space="0" w:color="auto"/>
              <w:right w:val="single" w:sz="4" w:space="0" w:color="auto"/>
            </w:tcBorders>
            <w:noWrap/>
            <w:vAlign w:val="center"/>
          </w:tcPr>
          <w:p w14:paraId="0AA59D53"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48,980 $</w:t>
            </w:r>
          </w:p>
        </w:tc>
        <w:tc>
          <w:tcPr>
            <w:tcW w:w="1134" w:type="dxa"/>
            <w:tcBorders>
              <w:top w:val="single" w:sz="4" w:space="0" w:color="auto"/>
              <w:left w:val="single" w:sz="4" w:space="0" w:color="auto"/>
              <w:bottom w:val="single" w:sz="4" w:space="0" w:color="auto"/>
              <w:right w:val="single" w:sz="4" w:space="0" w:color="auto"/>
            </w:tcBorders>
            <w:noWrap/>
            <w:vAlign w:val="center"/>
          </w:tcPr>
          <w:p w14:paraId="0E912A9C"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75,189 $</w:t>
            </w:r>
          </w:p>
        </w:tc>
        <w:tc>
          <w:tcPr>
            <w:tcW w:w="1134" w:type="dxa"/>
            <w:tcBorders>
              <w:top w:val="single" w:sz="4" w:space="0" w:color="auto"/>
              <w:left w:val="single" w:sz="4" w:space="0" w:color="auto"/>
              <w:bottom w:val="single" w:sz="4" w:space="0" w:color="auto"/>
              <w:right w:val="single" w:sz="4" w:space="0" w:color="auto"/>
            </w:tcBorders>
            <w:noWrap/>
            <w:vAlign w:val="center"/>
          </w:tcPr>
          <w:p w14:paraId="721C51A6"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136,628 $</w:t>
            </w:r>
          </w:p>
        </w:tc>
        <w:tc>
          <w:tcPr>
            <w:tcW w:w="1275" w:type="dxa"/>
            <w:tcBorders>
              <w:top w:val="single" w:sz="4" w:space="0" w:color="auto"/>
              <w:left w:val="single" w:sz="4" w:space="0" w:color="auto"/>
              <w:bottom w:val="single" w:sz="4" w:space="0" w:color="auto"/>
              <w:right w:val="single" w:sz="4" w:space="0" w:color="auto"/>
            </w:tcBorders>
            <w:noWrap/>
            <w:vAlign w:val="center"/>
          </w:tcPr>
          <w:p w14:paraId="4375493C"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88,508 $</w:t>
            </w:r>
          </w:p>
        </w:tc>
        <w:tc>
          <w:tcPr>
            <w:tcW w:w="1134" w:type="dxa"/>
            <w:tcBorders>
              <w:top w:val="single" w:sz="4" w:space="0" w:color="auto"/>
              <w:left w:val="single" w:sz="4" w:space="0" w:color="auto"/>
              <w:bottom w:val="single" w:sz="4" w:space="0" w:color="auto"/>
              <w:right w:val="single" w:sz="4" w:space="0" w:color="auto"/>
            </w:tcBorders>
            <w:vAlign w:val="center"/>
          </w:tcPr>
          <w:p w14:paraId="05876D6C"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57,573 $</w:t>
            </w:r>
          </w:p>
        </w:tc>
        <w:tc>
          <w:tcPr>
            <w:tcW w:w="1134" w:type="dxa"/>
            <w:tcBorders>
              <w:top w:val="single" w:sz="4" w:space="0" w:color="auto"/>
              <w:left w:val="single" w:sz="4" w:space="0" w:color="auto"/>
              <w:bottom w:val="single" w:sz="4" w:space="0" w:color="auto"/>
              <w:right w:val="single" w:sz="4" w:space="0" w:color="auto"/>
            </w:tcBorders>
            <w:vAlign w:val="center"/>
          </w:tcPr>
          <w:p w14:paraId="377D8DEB"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22,771 $</w:t>
            </w:r>
          </w:p>
        </w:tc>
        <w:tc>
          <w:tcPr>
            <w:tcW w:w="1420" w:type="dxa"/>
            <w:tcBorders>
              <w:top w:val="single" w:sz="4" w:space="0" w:color="auto"/>
              <w:left w:val="single" w:sz="4" w:space="0" w:color="auto"/>
              <w:bottom w:val="single" w:sz="4" w:space="0" w:color="auto"/>
              <w:right w:val="single" w:sz="4" w:space="0" w:color="auto"/>
            </w:tcBorders>
            <w:noWrap/>
            <w:vAlign w:val="center"/>
          </w:tcPr>
          <w:p w14:paraId="66BA475C"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429,649 $</w:t>
            </w:r>
          </w:p>
        </w:tc>
      </w:tr>
      <w:tr w:rsidR="00302BFE" w:rsidRPr="00B50655" w14:paraId="6C1090A0" w14:textId="77777777" w:rsidTr="00F8089A">
        <w:trPr>
          <w:cantSplit/>
        </w:trPr>
        <w:tc>
          <w:tcPr>
            <w:tcW w:w="1135" w:type="dxa"/>
            <w:noWrap/>
            <w:vAlign w:val="bottom"/>
          </w:tcPr>
          <w:p w14:paraId="14B8F76E" w14:textId="77777777" w:rsidR="00302BFE" w:rsidRPr="00B50655" w:rsidRDefault="00302BFE" w:rsidP="00243B15">
            <w:pPr>
              <w:rPr>
                <w:sz w:val="18"/>
                <w:szCs w:val="18"/>
                <w:lang w:val="fr-CA"/>
              </w:rPr>
            </w:pPr>
          </w:p>
        </w:tc>
        <w:tc>
          <w:tcPr>
            <w:tcW w:w="283" w:type="dxa"/>
            <w:tcBorders>
              <w:top w:val="nil"/>
              <w:left w:val="nil"/>
              <w:bottom w:val="nil"/>
              <w:right w:val="single" w:sz="4" w:space="0" w:color="auto"/>
            </w:tcBorders>
            <w:noWrap/>
            <w:vAlign w:val="bottom"/>
          </w:tcPr>
          <w:p w14:paraId="16F8F6F4" w14:textId="77777777" w:rsidR="00302BFE" w:rsidRPr="00B50655" w:rsidRDefault="00302BFE" w:rsidP="00243B15">
            <w:pPr>
              <w:rPr>
                <w:sz w:val="18"/>
                <w:szCs w:val="18"/>
                <w:lang w:val="fr-CA"/>
              </w:rPr>
            </w:pPr>
          </w:p>
        </w:tc>
        <w:tc>
          <w:tcPr>
            <w:tcW w:w="4134" w:type="dxa"/>
            <w:tcBorders>
              <w:top w:val="single" w:sz="4" w:space="0" w:color="auto"/>
              <w:left w:val="single" w:sz="4" w:space="0" w:color="auto"/>
              <w:bottom w:val="single" w:sz="4" w:space="0" w:color="auto"/>
              <w:right w:val="single" w:sz="4" w:space="0" w:color="auto"/>
            </w:tcBorders>
            <w:noWrap/>
            <w:vAlign w:val="bottom"/>
          </w:tcPr>
          <w:p w14:paraId="6826A6C3" w14:textId="77777777" w:rsidR="00302BFE" w:rsidRPr="00B50655" w:rsidRDefault="00302BFE" w:rsidP="00243B15">
            <w:pPr>
              <w:jc w:val="right"/>
              <w:rPr>
                <w:b/>
                <w:bCs/>
                <w:sz w:val="18"/>
                <w:szCs w:val="18"/>
                <w:lang w:val="fr-CA"/>
              </w:rPr>
            </w:pPr>
            <w:r w:rsidRPr="00B50655">
              <w:rPr>
                <w:sz w:val="18"/>
                <w:szCs w:val="18"/>
                <w:lang w:val="fr-CA"/>
              </w:rPr>
              <w:t xml:space="preserve">NATURAMA </w:t>
            </w:r>
            <w:proofErr w:type="spellStart"/>
            <w:r w:rsidRPr="00B50655">
              <w:rPr>
                <w:sz w:val="18"/>
                <w:szCs w:val="18"/>
                <w:lang w:val="fr-CA"/>
              </w:rPr>
              <w:t>Foundation</w:t>
            </w:r>
            <w:proofErr w:type="spellEnd"/>
          </w:p>
        </w:tc>
        <w:tc>
          <w:tcPr>
            <w:tcW w:w="1251" w:type="dxa"/>
            <w:tcBorders>
              <w:top w:val="single" w:sz="4" w:space="0" w:color="auto"/>
              <w:left w:val="single" w:sz="4" w:space="0" w:color="auto"/>
              <w:bottom w:val="single" w:sz="4" w:space="0" w:color="auto"/>
              <w:right w:val="single" w:sz="4" w:space="0" w:color="auto"/>
            </w:tcBorders>
            <w:noWrap/>
            <w:vAlign w:val="center"/>
          </w:tcPr>
          <w:p w14:paraId="2DD8628E"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18,700 $</w:t>
            </w:r>
          </w:p>
        </w:tc>
        <w:tc>
          <w:tcPr>
            <w:tcW w:w="1134" w:type="dxa"/>
            <w:tcBorders>
              <w:top w:val="single" w:sz="4" w:space="0" w:color="auto"/>
              <w:left w:val="single" w:sz="4" w:space="0" w:color="auto"/>
              <w:bottom w:val="single" w:sz="4" w:space="0" w:color="auto"/>
              <w:right w:val="single" w:sz="4" w:space="0" w:color="auto"/>
            </w:tcBorders>
            <w:noWrap/>
            <w:vAlign w:val="center"/>
          </w:tcPr>
          <w:p w14:paraId="6149A1A6"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28,706 $</w:t>
            </w:r>
          </w:p>
        </w:tc>
        <w:tc>
          <w:tcPr>
            <w:tcW w:w="1134" w:type="dxa"/>
            <w:tcBorders>
              <w:top w:val="single" w:sz="4" w:space="0" w:color="auto"/>
              <w:left w:val="single" w:sz="4" w:space="0" w:color="auto"/>
              <w:bottom w:val="single" w:sz="4" w:space="0" w:color="auto"/>
              <w:right w:val="single" w:sz="4" w:space="0" w:color="auto"/>
            </w:tcBorders>
            <w:noWrap/>
            <w:vAlign w:val="center"/>
          </w:tcPr>
          <w:p w14:paraId="60CB42C2"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52,164 $</w:t>
            </w:r>
          </w:p>
        </w:tc>
        <w:tc>
          <w:tcPr>
            <w:tcW w:w="1275" w:type="dxa"/>
            <w:tcBorders>
              <w:top w:val="single" w:sz="4" w:space="0" w:color="auto"/>
              <w:left w:val="single" w:sz="4" w:space="0" w:color="auto"/>
              <w:bottom w:val="single" w:sz="4" w:space="0" w:color="auto"/>
              <w:right w:val="single" w:sz="4" w:space="0" w:color="auto"/>
            </w:tcBorders>
            <w:noWrap/>
            <w:vAlign w:val="center"/>
          </w:tcPr>
          <w:p w14:paraId="70CCE411"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33,791 $</w:t>
            </w:r>
          </w:p>
        </w:tc>
        <w:tc>
          <w:tcPr>
            <w:tcW w:w="1134" w:type="dxa"/>
            <w:tcBorders>
              <w:top w:val="single" w:sz="4" w:space="0" w:color="auto"/>
              <w:left w:val="single" w:sz="4" w:space="0" w:color="auto"/>
              <w:bottom w:val="single" w:sz="4" w:space="0" w:color="auto"/>
              <w:right w:val="single" w:sz="4" w:space="0" w:color="auto"/>
            </w:tcBorders>
            <w:vAlign w:val="center"/>
          </w:tcPr>
          <w:p w14:paraId="7F5646F9"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21,981 $</w:t>
            </w:r>
          </w:p>
        </w:tc>
        <w:tc>
          <w:tcPr>
            <w:tcW w:w="1134" w:type="dxa"/>
            <w:tcBorders>
              <w:top w:val="single" w:sz="4" w:space="0" w:color="auto"/>
              <w:left w:val="single" w:sz="4" w:space="0" w:color="auto"/>
              <w:bottom w:val="single" w:sz="4" w:space="0" w:color="auto"/>
              <w:right w:val="single" w:sz="4" w:space="0" w:color="auto"/>
            </w:tcBorders>
            <w:vAlign w:val="center"/>
          </w:tcPr>
          <w:p w14:paraId="2BEDC6C1"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8,694 $</w:t>
            </w:r>
          </w:p>
        </w:tc>
        <w:tc>
          <w:tcPr>
            <w:tcW w:w="1420" w:type="dxa"/>
            <w:tcBorders>
              <w:top w:val="single" w:sz="4" w:space="0" w:color="auto"/>
              <w:left w:val="single" w:sz="4" w:space="0" w:color="auto"/>
              <w:bottom w:val="single" w:sz="4" w:space="0" w:color="auto"/>
              <w:right w:val="single" w:sz="4" w:space="0" w:color="auto"/>
            </w:tcBorders>
            <w:noWrap/>
            <w:vAlign w:val="center"/>
          </w:tcPr>
          <w:p w14:paraId="5BEE9D2C"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color w:val="000000"/>
                <w:sz w:val="18"/>
                <w:szCs w:val="18"/>
                <w:lang w:val="fr-CA"/>
              </w:rPr>
              <w:t>164,036 </w:t>
            </w:r>
            <w:r w:rsidRPr="00F8089A">
              <w:rPr>
                <w:rFonts w:asciiTheme="minorHAnsi" w:hAnsiTheme="minorHAnsi" w:cstheme="minorHAnsi"/>
                <w:sz w:val="18"/>
                <w:szCs w:val="18"/>
                <w:lang w:val="fr-CA"/>
              </w:rPr>
              <w:t>$</w:t>
            </w:r>
          </w:p>
        </w:tc>
      </w:tr>
      <w:tr w:rsidR="00302BFE" w:rsidRPr="00B50655" w14:paraId="7296D68F" w14:textId="77777777" w:rsidTr="00F8089A">
        <w:trPr>
          <w:cantSplit/>
        </w:trPr>
        <w:tc>
          <w:tcPr>
            <w:tcW w:w="1135" w:type="dxa"/>
            <w:noWrap/>
            <w:vAlign w:val="bottom"/>
          </w:tcPr>
          <w:p w14:paraId="52893CB1" w14:textId="77777777" w:rsidR="00302BFE" w:rsidRPr="00B50655" w:rsidRDefault="00302BFE" w:rsidP="00243B15">
            <w:pPr>
              <w:rPr>
                <w:sz w:val="18"/>
                <w:szCs w:val="18"/>
                <w:lang w:val="fr-CA"/>
              </w:rPr>
            </w:pPr>
          </w:p>
        </w:tc>
        <w:tc>
          <w:tcPr>
            <w:tcW w:w="283" w:type="dxa"/>
            <w:tcBorders>
              <w:top w:val="nil"/>
              <w:left w:val="nil"/>
              <w:bottom w:val="nil"/>
              <w:right w:val="single" w:sz="4" w:space="0" w:color="auto"/>
            </w:tcBorders>
            <w:noWrap/>
            <w:vAlign w:val="bottom"/>
          </w:tcPr>
          <w:p w14:paraId="75EA21CC" w14:textId="77777777" w:rsidR="00302BFE" w:rsidRPr="00B50655" w:rsidRDefault="00302BFE" w:rsidP="00243B15">
            <w:pPr>
              <w:rPr>
                <w:sz w:val="18"/>
                <w:szCs w:val="18"/>
                <w:lang w:val="fr-CA"/>
              </w:rPr>
            </w:pPr>
          </w:p>
        </w:tc>
        <w:tc>
          <w:tcPr>
            <w:tcW w:w="4134" w:type="dxa"/>
            <w:tcBorders>
              <w:top w:val="single" w:sz="4" w:space="0" w:color="auto"/>
              <w:left w:val="single" w:sz="4" w:space="0" w:color="auto"/>
              <w:bottom w:val="single" w:sz="4" w:space="0" w:color="auto"/>
              <w:right w:val="single" w:sz="4" w:space="0" w:color="auto"/>
            </w:tcBorders>
            <w:noWrap/>
            <w:vAlign w:val="bottom"/>
          </w:tcPr>
          <w:p w14:paraId="321F8499" w14:textId="77777777" w:rsidR="00302BFE" w:rsidRPr="00B50655" w:rsidRDefault="00302BFE" w:rsidP="00243B15">
            <w:pPr>
              <w:jc w:val="right"/>
              <w:rPr>
                <w:sz w:val="18"/>
                <w:szCs w:val="18"/>
                <w:lang w:val="fr-CA"/>
              </w:rPr>
            </w:pPr>
            <w:r w:rsidRPr="00B50655">
              <w:rPr>
                <w:sz w:val="18"/>
                <w:szCs w:val="18"/>
                <w:lang w:val="en-CA"/>
              </w:rPr>
              <w:t xml:space="preserve">Ga Mo </w:t>
            </w:r>
            <w:proofErr w:type="spellStart"/>
            <w:r w:rsidRPr="00B50655">
              <w:rPr>
                <w:sz w:val="18"/>
                <w:szCs w:val="18"/>
                <w:lang w:val="en-CA"/>
              </w:rPr>
              <w:t>Wiya</w:t>
            </w:r>
            <w:proofErr w:type="spellEnd"/>
            <w:r w:rsidRPr="00B50655">
              <w:rPr>
                <w:sz w:val="18"/>
                <w:szCs w:val="18"/>
                <w:lang w:val="en-CA"/>
              </w:rPr>
              <w:t xml:space="preserve"> Association</w:t>
            </w:r>
          </w:p>
        </w:tc>
        <w:tc>
          <w:tcPr>
            <w:tcW w:w="1251" w:type="dxa"/>
            <w:tcBorders>
              <w:top w:val="single" w:sz="4" w:space="0" w:color="auto"/>
              <w:left w:val="single" w:sz="4" w:space="0" w:color="auto"/>
              <w:bottom w:val="single" w:sz="4" w:space="0" w:color="auto"/>
              <w:right w:val="single" w:sz="4" w:space="0" w:color="auto"/>
            </w:tcBorders>
            <w:noWrap/>
            <w:vAlign w:val="center"/>
          </w:tcPr>
          <w:p w14:paraId="7E2EB439"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15,507 $</w:t>
            </w:r>
          </w:p>
        </w:tc>
        <w:tc>
          <w:tcPr>
            <w:tcW w:w="1134" w:type="dxa"/>
            <w:tcBorders>
              <w:top w:val="single" w:sz="4" w:space="0" w:color="auto"/>
              <w:left w:val="single" w:sz="4" w:space="0" w:color="auto"/>
              <w:bottom w:val="single" w:sz="4" w:space="0" w:color="auto"/>
              <w:right w:val="single" w:sz="4" w:space="0" w:color="auto"/>
            </w:tcBorders>
            <w:noWrap/>
            <w:vAlign w:val="center"/>
          </w:tcPr>
          <w:p w14:paraId="60C4FC52"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23,805 $</w:t>
            </w:r>
          </w:p>
        </w:tc>
        <w:tc>
          <w:tcPr>
            <w:tcW w:w="1134" w:type="dxa"/>
            <w:tcBorders>
              <w:top w:val="single" w:sz="4" w:space="0" w:color="auto"/>
              <w:left w:val="single" w:sz="4" w:space="0" w:color="auto"/>
              <w:bottom w:val="single" w:sz="4" w:space="0" w:color="auto"/>
              <w:right w:val="single" w:sz="4" w:space="0" w:color="auto"/>
            </w:tcBorders>
            <w:noWrap/>
            <w:vAlign w:val="center"/>
          </w:tcPr>
          <w:p w14:paraId="0010BB52"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43,257 $</w:t>
            </w:r>
          </w:p>
        </w:tc>
        <w:tc>
          <w:tcPr>
            <w:tcW w:w="1275" w:type="dxa"/>
            <w:tcBorders>
              <w:top w:val="single" w:sz="4" w:space="0" w:color="auto"/>
              <w:left w:val="single" w:sz="4" w:space="0" w:color="auto"/>
              <w:bottom w:val="single" w:sz="4" w:space="0" w:color="auto"/>
              <w:right w:val="single" w:sz="4" w:space="0" w:color="auto"/>
            </w:tcBorders>
            <w:noWrap/>
            <w:vAlign w:val="center"/>
          </w:tcPr>
          <w:p w14:paraId="1CEEF0FD"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28,021 $</w:t>
            </w:r>
          </w:p>
        </w:tc>
        <w:tc>
          <w:tcPr>
            <w:tcW w:w="1134" w:type="dxa"/>
            <w:tcBorders>
              <w:top w:val="single" w:sz="4" w:space="0" w:color="auto"/>
              <w:left w:val="single" w:sz="4" w:space="0" w:color="auto"/>
              <w:bottom w:val="single" w:sz="4" w:space="0" w:color="auto"/>
              <w:right w:val="single" w:sz="4" w:space="0" w:color="auto"/>
            </w:tcBorders>
            <w:vAlign w:val="center"/>
          </w:tcPr>
          <w:p w14:paraId="159FD63B"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18,227 $</w:t>
            </w:r>
          </w:p>
        </w:tc>
        <w:tc>
          <w:tcPr>
            <w:tcW w:w="1134" w:type="dxa"/>
            <w:tcBorders>
              <w:top w:val="single" w:sz="4" w:space="0" w:color="auto"/>
              <w:left w:val="single" w:sz="4" w:space="0" w:color="auto"/>
              <w:bottom w:val="single" w:sz="4" w:space="0" w:color="auto"/>
              <w:right w:val="single" w:sz="4" w:space="0" w:color="auto"/>
            </w:tcBorders>
            <w:vAlign w:val="center"/>
          </w:tcPr>
          <w:p w14:paraId="2FEA5F04" w14:textId="77777777" w:rsidR="00302BFE" w:rsidRPr="00F8089A" w:rsidRDefault="00302BFE" w:rsidP="00F8089A">
            <w:pPr>
              <w:jc w:val="right"/>
              <w:rPr>
                <w:rFonts w:asciiTheme="minorHAnsi" w:hAnsiTheme="minorHAnsi" w:cstheme="minorHAnsi"/>
                <w:sz w:val="18"/>
                <w:szCs w:val="18"/>
                <w:lang w:val="fr-CA"/>
              </w:rPr>
            </w:pPr>
            <w:r w:rsidRPr="00F8089A">
              <w:rPr>
                <w:rFonts w:asciiTheme="minorHAnsi" w:hAnsiTheme="minorHAnsi" w:cstheme="minorHAnsi"/>
                <w:sz w:val="18"/>
                <w:szCs w:val="18"/>
                <w:lang w:val="fr-CA"/>
              </w:rPr>
              <w:t>7,209 $</w:t>
            </w:r>
          </w:p>
        </w:tc>
        <w:tc>
          <w:tcPr>
            <w:tcW w:w="1420" w:type="dxa"/>
            <w:tcBorders>
              <w:top w:val="single" w:sz="4" w:space="0" w:color="auto"/>
              <w:left w:val="single" w:sz="4" w:space="0" w:color="auto"/>
              <w:bottom w:val="single" w:sz="4" w:space="0" w:color="auto"/>
              <w:right w:val="single" w:sz="4" w:space="0" w:color="auto"/>
            </w:tcBorders>
            <w:noWrap/>
            <w:vAlign w:val="center"/>
          </w:tcPr>
          <w:p w14:paraId="4D4BDE2A" w14:textId="77777777" w:rsidR="00302BFE" w:rsidRPr="00F8089A" w:rsidRDefault="00302BFE" w:rsidP="00F8089A">
            <w:pPr>
              <w:jc w:val="right"/>
              <w:rPr>
                <w:rFonts w:asciiTheme="minorHAnsi" w:hAnsiTheme="minorHAnsi" w:cstheme="minorHAnsi"/>
                <w:color w:val="000000"/>
                <w:sz w:val="18"/>
                <w:szCs w:val="18"/>
                <w:lang w:val="fr-CA"/>
              </w:rPr>
            </w:pPr>
            <w:r w:rsidRPr="00F8089A">
              <w:rPr>
                <w:rFonts w:asciiTheme="minorHAnsi" w:hAnsiTheme="minorHAnsi" w:cstheme="minorHAnsi"/>
                <w:color w:val="000000"/>
                <w:sz w:val="18"/>
                <w:szCs w:val="18"/>
                <w:lang w:val="en-CA"/>
              </w:rPr>
              <w:t>136,026 </w:t>
            </w:r>
            <w:r w:rsidRPr="00F8089A">
              <w:rPr>
                <w:rFonts w:asciiTheme="minorHAnsi" w:hAnsiTheme="minorHAnsi" w:cstheme="minorHAnsi"/>
                <w:sz w:val="18"/>
                <w:szCs w:val="18"/>
                <w:lang w:val="fr-CA"/>
              </w:rPr>
              <w:t>$</w:t>
            </w:r>
          </w:p>
        </w:tc>
      </w:tr>
      <w:tr w:rsidR="00302BFE" w:rsidRPr="00B50655" w14:paraId="2068BF02" w14:textId="77777777" w:rsidTr="00F8089A">
        <w:trPr>
          <w:cantSplit/>
        </w:trPr>
        <w:tc>
          <w:tcPr>
            <w:tcW w:w="1135" w:type="dxa"/>
            <w:noWrap/>
            <w:vAlign w:val="bottom"/>
          </w:tcPr>
          <w:p w14:paraId="1FB21BF8" w14:textId="77777777" w:rsidR="00302BFE" w:rsidRPr="00B50655" w:rsidRDefault="00302BFE" w:rsidP="00243B15">
            <w:pPr>
              <w:rPr>
                <w:sz w:val="18"/>
                <w:szCs w:val="18"/>
                <w:lang w:val="fr-CA"/>
              </w:rPr>
            </w:pPr>
          </w:p>
        </w:tc>
        <w:tc>
          <w:tcPr>
            <w:tcW w:w="283" w:type="dxa"/>
            <w:tcBorders>
              <w:top w:val="nil"/>
              <w:left w:val="nil"/>
              <w:bottom w:val="nil"/>
              <w:right w:val="single" w:sz="4" w:space="0" w:color="auto"/>
            </w:tcBorders>
            <w:noWrap/>
            <w:vAlign w:val="bottom"/>
          </w:tcPr>
          <w:p w14:paraId="0EE7C1DA" w14:textId="77777777" w:rsidR="00302BFE" w:rsidRPr="00B50655" w:rsidRDefault="00302BFE" w:rsidP="00243B15">
            <w:pPr>
              <w:rPr>
                <w:sz w:val="18"/>
                <w:szCs w:val="18"/>
                <w:lang w:val="fr-CA"/>
              </w:rPr>
            </w:pPr>
          </w:p>
        </w:tc>
        <w:tc>
          <w:tcPr>
            <w:tcW w:w="4134" w:type="dxa"/>
            <w:tcBorders>
              <w:top w:val="single" w:sz="4" w:space="0" w:color="auto"/>
              <w:left w:val="single" w:sz="4" w:space="0" w:color="auto"/>
              <w:bottom w:val="single" w:sz="4" w:space="0" w:color="auto"/>
              <w:right w:val="single" w:sz="4" w:space="0" w:color="auto"/>
            </w:tcBorders>
            <w:noWrap/>
            <w:vAlign w:val="bottom"/>
          </w:tcPr>
          <w:p w14:paraId="6C0489FB" w14:textId="77777777" w:rsidR="00302BFE" w:rsidRPr="00B50655" w:rsidRDefault="00302BFE" w:rsidP="00243B15">
            <w:pPr>
              <w:jc w:val="right"/>
              <w:rPr>
                <w:sz w:val="18"/>
                <w:szCs w:val="18"/>
                <w:lang w:val="en-CA"/>
              </w:rPr>
            </w:pPr>
            <w:r w:rsidRPr="00B50655">
              <w:rPr>
                <w:sz w:val="18"/>
                <w:szCs w:val="18"/>
                <w:lang w:val="en-CA"/>
              </w:rPr>
              <w:t>Ministry of Mines and Quarries</w:t>
            </w:r>
          </w:p>
        </w:tc>
        <w:tc>
          <w:tcPr>
            <w:tcW w:w="1251" w:type="dxa"/>
            <w:tcBorders>
              <w:top w:val="single" w:sz="4" w:space="0" w:color="auto"/>
              <w:left w:val="single" w:sz="4" w:space="0" w:color="auto"/>
              <w:bottom w:val="single" w:sz="4" w:space="0" w:color="auto"/>
              <w:right w:val="single" w:sz="4" w:space="0" w:color="auto"/>
            </w:tcBorders>
            <w:noWrap/>
            <w:vAlign w:val="center"/>
          </w:tcPr>
          <w:p w14:paraId="052E4E75" w14:textId="0527EB86" w:rsidR="00302BFE" w:rsidRPr="00F8089A" w:rsidRDefault="00302BFE" w:rsidP="00F8089A">
            <w:pPr>
              <w:jc w:val="right"/>
              <w:rPr>
                <w:rFonts w:asciiTheme="minorHAnsi" w:hAnsiTheme="minorHAnsi" w:cstheme="minorHAnsi"/>
                <w:sz w:val="18"/>
                <w:szCs w:val="18"/>
                <w:lang w:val="en-CA"/>
              </w:rPr>
            </w:pPr>
            <w:r w:rsidRPr="00F8089A">
              <w:rPr>
                <w:rFonts w:asciiTheme="minorHAnsi" w:hAnsiTheme="minorHAnsi" w:cstheme="minorHAnsi"/>
                <w:sz w:val="18"/>
                <w:szCs w:val="18"/>
                <w:lang w:val="en-CA"/>
              </w:rPr>
              <w:t>11,712</w:t>
            </w:r>
            <w:r w:rsidR="00D45B3D">
              <w:rPr>
                <w:rFonts w:asciiTheme="minorHAnsi" w:hAnsiTheme="minorHAnsi" w:cstheme="minorHAnsi"/>
                <w:sz w:val="18"/>
                <w:szCs w:val="18"/>
                <w:lang w:val="en-CA"/>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14:paraId="5C84A41C" w14:textId="2D3FDE2E" w:rsidR="00302BFE" w:rsidRPr="00F8089A" w:rsidRDefault="00302BFE" w:rsidP="00F8089A">
            <w:pPr>
              <w:jc w:val="right"/>
              <w:rPr>
                <w:rFonts w:asciiTheme="minorHAnsi" w:hAnsiTheme="minorHAnsi" w:cstheme="minorHAnsi"/>
                <w:sz w:val="18"/>
                <w:szCs w:val="18"/>
                <w:lang w:val="en-CA"/>
              </w:rPr>
            </w:pPr>
            <w:r w:rsidRPr="00F8089A">
              <w:rPr>
                <w:rFonts w:asciiTheme="minorHAnsi" w:hAnsiTheme="minorHAnsi" w:cstheme="minorHAnsi"/>
                <w:sz w:val="18"/>
                <w:szCs w:val="18"/>
                <w:lang w:val="en-CA"/>
              </w:rPr>
              <w:t>17,979</w:t>
            </w:r>
            <w:r w:rsidR="00D45B3D">
              <w:rPr>
                <w:rFonts w:asciiTheme="minorHAnsi" w:hAnsiTheme="minorHAnsi" w:cstheme="minorHAnsi"/>
                <w:sz w:val="18"/>
                <w:szCs w:val="18"/>
                <w:lang w:val="en-CA"/>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14:paraId="6798BC8E" w14:textId="2C710AB8" w:rsidR="00302BFE" w:rsidRPr="00F8089A" w:rsidRDefault="00302BFE" w:rsidP="00F8089A">
            <w:pPr>
              <w:jc w:val="right"/>
              <w:rPr>
                <w:rFonts w:asciiTheme="minorHAnsi" w:hAnsiTheme="minorHAnsi" w:cstheme="minorHAnsi"/>
                <w:sz w:val="18"/>
                <w:szCs w:val="18"/>
                <w:lang w:val="en-CA"/>
              </w:rPr>
            </w:pPr>
            <w:r w:rsidRPr="00F8089A">
              <w:rPr>
                <w:rFonts w:asciiTheme="minorHAnsi" w:hAnsiTheme="minorHAnsi" w:cstheme="minorHAnsi"/>
                <w:sz w:val="18"/>
                <w:szCs w:val="18"/>
                <w:lang w:val="en-CA"/>
              </w:rPr>
              <w:t>32,671</w:t>
            </w:r>
            <w:r w:rsidR="00D45B3D">
              <w:rPr>
                <w:rFonts w:asciiTheme="minorHAnsi" w:hAnsiTheme="minorHAnsi" w:cstheme="minorHAnsi"/>
                <w:sz w:val="18"/>
                <w:szCs w:val="18"/>
                <w:lang w:val="en-CA"/>
              </w:rPr>
              <w:t xml:space="preserve"> $</w:t>
            </w:r>
          </w:p>
        </w:tc>
        <w:tc>
          <w:tcPr>
            <w:tcW w:w="1275" w:type="dxa"/>
            <w:tcBorders>
              <w:top w:val="single" w:sz="4" w:space="0" w:color="auto"/>
              <w:left w:val="single" w:sz="4" w:space="0" w:color="auto"/>
              <w:bottom w:val="single" w:sz="4" w:space="0" w:color="auto"/>
              <w:right w:val="single" w:sz="4" w:space="0" w:color="auto"/>
            </w:tcBorders>
            <w:noWrap/>
            <w:vAlign w:val="center"/>
          </w:tcPr>
          <w:p w14:paraId="6986937C" w14:textId="46889230" w:rsidR="00302BFE" w:rsidRPr="00F8089A" w:rsidRDefault="00302BFE" w:rsidP="00F8089A">
            <w:pPr>
              <w:jc w:val="right"/>
              <w:rPr>
                <w:rFonts w:asciiTheme="minorHAnsi" w:hAnsiTheme="minorHAnsi" w:cstheme="minorHAnsi"/>
                <w:sz w:val="18"/>
                <w:szCs w:val="18"/>
                <w:lang w:val="en-CA"/>
              </w:rPr>
            </w:pPr>
            <w:r w:rsidRPr="00F8089A">
              <w:rPr>
                <w:rFonts w:asciiTheme="minorHAnsi" w:hAnsiTheme="minorHAnsi" w:cstheme="minorHAnsi"/>
                <w:sz w:val="18"/>
                <w:szCs w:val="18"/>
                <w:lang w:val="en-CA"/>
              </w:rPr>
              <w:t>21,164</w:t>
            </w:r>
            <w:r w:rsidR="00D45B3D">
              <w:rPr>
                <w:rFonts w:asciiTheme="minorHAnsi" w:hAnsiTheme="minorHAnsi" w:cstheme="minorHAnsi"/>
                <w:sz w:val="18"/>
                <w:szCs w:val="18"/>
                <w:lang w:val="en-CA"/>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AD4FE92" w14:textId="0E5F3276" w:rsidR="00302BFE" w:rsidRPr="00F8089A" w:rsidRDefault="00302BFE" w:rsidP="00F8089A">
            <w:pPr>
              <w:jc w:val="right"/>
              <w:rPr>
                <w:rFonts w:asciiTheme="minorHAnsi" w:hAnsiTheme="minorHAnsi" w:cstheme="minorHAnsi"/>
                <w:sz w:val="18"/>
                <w:szCs w:val="18"/>
                <w:lang w:val="en-CA"/>
              </w:rPr>
            </w:pPr>
            <w:r w:rsidRPr="00F8089A">
              <w:rPr>
                <w:rFonts w:asciiTheme="minorHAnsi" w:hAnsiTheme="minorHAnsi" w:cstheme="minorHAnsi"/>
                <w:sz w:val="18"/>
                <w:szCs w:val="18"/>
                <w:lang w:val="en-CA"/>
              </w:rPr>
              <w:t>13,767</w:t>
            </w:r>
            <w:r w:rsidR="00D45B3D">
              <w:rPr>
                <w:rFonts w:asciiTheme="minorHAnsi" w:hAnsiTheme="minorHAnsi" w:cstheme="minorHAnsi"/>
                <w:sz w:val="18"/>
                <w:szCs w:val="18"/>
                <w:lang w:val="en-CA"/>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83710EB" w14:textId="5460E2A4" w:rsidR="00302BFE" w:rsidRPr="00F8089A" w:rsidRDefault="00302BFE" w:rsidP="00F8089A">
            <w:pPr>
              <w:jc w:val="right"/>
              <w:rPr>
                <w:rFonts w:asciiTheme="minorHAnsi" w:hAnsiTheme="minorHAnsi" w:cstheme="minorHAnsi"/>
                <w:sz w:val="18"/>
                <w:szCs w:val="18"/>
                <w:lang w:val="en-CA"/>
              </w:rPr>
            </w:pPr>
            <w:r w:rsidRPr="00F8089A">
              <w:rPr>
                <w:rFonts w:asciiTheme="minorHAnsi" w:hAnsiTheme="minorHAnsi" w:cstheme="minorHAnsi"/>
                <w:sz w:val="18"/>
                <w:szCs w:val="18"/>
                <w:lang w:val="en-CA"/>
              </w:rPr>
              <w:t>5,446</w:t>
            </w:r>
            <w:r w:rsidR="00D45B3D">
              <w:rPr>
                <w:rFonts w:asciiTheme="minorHAnsi" w:hAnsiTheme="minorHAnsi" w:cstheme="minorHAnsi"/>
                <w:sz w:val="18"/>
                <w:szCs w:val="18"/>
                <w:lang w:val="en-CA"/>
              </w:rPr>
              <w:t xml:space="preserve"> $</w:t>
            </w:r>
          </w:p>
        </w:tc>
        <w:tc>
          <w:tcPr>
            <w:tcW w:w="1420" w:type="dxa"/>
            <w:tcBorders>
              <w:top w:val="single" w:sz="4" w:space="0" w:color="auto"/>
              <w:left w:val="single" w:sz="4" w:space="0" w:color="auto"/>
              <w:bottom w:val="single" w:sz="4" w:space="0" w:color="auto"/>
              <w:right w:val="single" w:sz="4" w:space="0" w:color="auto"/>
            </w:tcBorders>
            <w:noWrap/>
            <w:vAlign w:val="center"/>
          </w:tcPr>
          <w:p w14:paraId="4390ADCF" w14:textId="0C562AE8" w:rsidR="00302BFE" w:rsidRPr="00F8089A" w:rsidRDefault="00302BFE" w:rsidP="00F8089A">
            <w:pPr>
              <w:jc w:val="right"/>
              <w:rPr>
                <w:rFonts w:asciiTheme="minorHAnsi" w:hAnsiTheme="minorHAnsi" w:cstheme="minorHAnsi"/>
                <w:color w:val="000000"/>
                <w:sz w:val="18"/>
                <w:szCs w:val="18"/>
                <w:lang w:val="en-CA"/>
              </w:rPr>
            </w:pPr>
            <w:r w:rsidRPr="00F8089A">
              <w:rPr>
                <w:rFonts w:asciiTheme="minorHAnsi" w:hAnsiTheme="minorHAnsi" w:cstheme="minorHAnsi"/>
                <w:color w:val="000000"/>
                <w:sz w:val="18"/>
                <w:szCs w:val="18"/>
                <w:lang w:val="en-CA"/>
              </w:rPr>
              <w:t>102,739</w:t>
            </w:r>
            <w:r w:rsidR="00D45B3D">
              <w:rPr>
                <w:rFonts w:asciiTheme="minorHAnsi" w:hAnsiTheme="minorHAnsi" w:cstheme="minorHAnsi"/>
                <w:color w:val="000000"/>
                <w:sz w:val="18"/>
                <w:szCs w:val="18"/>
                <w:lang w:val="en-CA"/>
              </w:rPr>
              <w:t xml:space="preserve"> $</w:t>
            </w:r>
          </w:p>
        </w:tc>
      </w:tr>
      <w:tr w:rsidR="00302BFE" w:rsidRPr="009300F4" w14:paraId="48F120E6" w14:textId="77777777" w:rsidTr="00F8089A">
        <w:trPr>
          <w:cantSplit/>
        </w:trPr>
        <w:tc>
          <w:tcPr>
            <w:tcW w:w="1135" w:type="dxa"/>
            <w:noWrap/>
            <w:vAlign w:val="bottom"/>
          </w:tcPr>
          <w:p w14:paraId="6D747D46" w14:textId="77777777" w:rsidR="00302BFE" w:rsidRPr="00B50655" w:rsidRDefault="00302BFE" w:rsidP="00243B15">
            <w:pPr>
              <w:rPr>
                <w:sz w:val="18"/>
                <w:szCs w:val="18"/>
                <w:lang w:val="en-CA"/>
              </w:rPr>
            </w:pPr>
          </w:p>
        </w:tc>
        <w:tc>
          <w:tcPr>
            <w:tcW w:w="283" w:type="dxa"/>
            <w:tcBorders>
              <w:top w:val="nil"/>
              <w:left w:val="nil"/>
              <w:bottom w:val="nil"/>
              <w:right w:val="single" w:sz="4" w:space="0" w:color="auto"/>
            </w:tcBorders>
            <w:noWrap/>
            <w:vAlign w:val="bottom"/>
          </w:tcPr>
          <w:p w14:paraId="28F6E68F" w14:textId="77777777" w:rsidR="00302BFE" w:rsidRPr="00B50655" w:rsidRDefault="00302BFE" w:rsidP="00243B15">
            <w:pPr>
              <w:rPr>
                <w:sz w:val="18"/>
                <w:szCs w:val="18"/>
                <w:lang w:val="en-CA"/>
              </w:rPr>
            </w:pPr>
          </w:p>
        </w:tc>
        <w:tc>
          <w:tcPr>
            <w:tcW w:w="4134" w:type="dxa"/>
            <w:tcBorders>
              <w:top w:val="double" w:sz="4" w:space="0" w:color="auto"/>
              <w:left w:val="single" w:sz="4" w:space="0" w:color="auto"/>
              <w:bottom w:val="single" w:sz="4" w:space="0" w:color="auto"/>
              <w:right w:val="single" w:sz="4" w:space="0" w:color="auto"/>
            </w:tcBorders>
            <w:noWrap/>
            <w:vAlign w:val="bottom"/>
            <w:hideMark/>
          </w:tcPr>
          <w:p w14:paraId="22F7C6CE" w14:textId="77777777" w:rsidR="00302BFE" w:rsidRPr="00B50655" w:rsidRDefault="00302BFE" w:rsidP="00243B15">
            <w:pPr>
              <w:jc w:val="right"/>
              <w:rPr>
                <w:sz w:val="18"/>
                <w:szCs w:val="18"/>
              </w:rPr>
            </w:pPr>
            <w:r w:rsidRPr="00B50655">
              <w:rPr>
                <w:b/>
                <w:bCs/>
                <w:sz w:val="18"/>
                <w:szCs w:val="18"/>
              </w:rPr>
              <w:t>TOTAL</w:t>
            </w:r>
          </w:p>
        </w:tc>
        <w:tc>
          <w:tcPr>
            <w:tcW w:w="1251" w:type="dxa"/>
            <w:tcBorders>
              <w:top w:val="double" w:sz="4" w:space="0" w:color="auto"/>
              <w:left w:val="single" w:sz="4" w:space="0" w:color="auto"/>
              <w:bottom w:val="single" w:sz="4" w:space="0" w:color="auto"/>
              <w:right w:val="single" w:sz="4" w:space="0" w:color="auto"/>
            </w:tcBorders>
            <w:noWrap/>
            <w:vAlign w:val="center"/>
            <w:hideMark/>
          </w:tcPr>
          <w:p w14:paraId="169291EC" w14:textId="1060B138" w:rsidR="00F83122" w:rsidRPr="00F8089A" w:rsidRDefault="0032232A" w:rsidP="00F8089A">
            <w:pPr>
              <w:jc w:val="right"/>
              <w:rPr>
                <w:rFonts w:asciiTheme="minorHAnsi" w:hAnsiTheme="minorHAnsi" w:cstheme="minorHAnsi"/>
                <w:b/>
                <w:sz w:val="18"/>
                <w:szCs w:val="18"/>
              </w:rPr>
            </w:pPr>
            <w:r w:rsidRPr="00F8089A">
              <w:rPr>
                <w:rFonts w:asciiTheme="minorHAnsi" w:hAnsiTheme="minorHAnsi" w:cstheme="minorHAnsi"/>
                <w:b/>
                <w:sz w:val="18"/>
                <w:szCs w:val="18"/>
              </w:rPr>
              <w:t>3</w:t>
            </w:r>
            <w:r w:rsidR="006211CC" w:rsidRPr="00F8089A">
              <w:rPr>
                <w:rFonts w:asciiTheme="minorHAnsi" w:hAnsiTheme="minorHAnsi" w:cstheme="minorHAnsi"/>
                <w:b/>
                <w:sz w:val="18"/>
                <w:szCs w:val="18"/>
              </w:rPr>
              <w:t>,</w:t>
            </w:r>
            <w:r w:rsidR="0049063A" w:rsidRPr="00F8089A">
              <w:rPr>
                <w:rFonts w:asciiTheme="minorHAnsi" w:hAnsiTheme="minorHAnsi" w:cstheme="minorHAnsi"/>
                <w:b/>
                <w:sz w:val="18"/>
                <w:szCs w:val="18"/>
              </w:rPr>
              <w:t>396</w:t>
            </w:r>
            <w:r w:rsidR="006211CC" w:rsidRPr="00F8089A">
              <w:rPr>
                <w:rFonts w:asciiTheme="minorHAnsi" w:hAnsiTheme="minorHAnsi" w:cstheme="minorHAnsi"/>
                <w:b/>
                <w:sz w:val="18"/>
                <w:szCs w:val="18"/>
              </w:rPr>
              <w:t>,</w:t>
            </w:r>
            <w:r w:rsidRPr="00F8089A">
              <w:rPr>
                <w:rFonts w:asciiTheme="minorHAnsi" w:hAnsiTheme="minorHAnsi" w:cstheme="minorHAnsi"/>
                <w:b/>
                <w:sz w:val="18"/>
                <w:szCs w:val="18"/>
              </w:rPr>
              <w:t>941</w:t>
            </w:r>
            <w:r w:rsidR="00D45B3D">
              <w:rPr>
                <w:rFonts w:asciiTheme="minorHAnsi" w:hAnsiTheme="minorHAnsi" w:cstheme="minorHAnsi"/>
                <w:b/>
                <w:sz w:val="18"/>
                <w:szCs w:val="18"/>
              </w:rPr>
              <w:t xml:space="preserve"> $</w:t>
            </w:r>
          </w:p>
        </w:tc>
        <w:tc>
          <w:tcPr>
            <w:tcW w:w="1134" w:type="dxa"/>
            <w:tcBorders>
              <w:top w:val="double" w:sz="4" w:space="0" w:color="auto"/>
              <w:left w:val="single" w:sz="4" w:space="0" w:color="auto"/>
              <w:bottom w:val="single" w:sz="4" w:space="0" w:color="auto"/>
              <w:right w:val="single" w:sz="4" w:space="0" w:color="auto"/>
            </w:tcBorders>
            <w:noWrap/>
            <w:vAlign w:val="center"/>
            <w:hideMark/>
          </w:tcPr>
          <w:p w14:paraId="0FF4D059" w14:textId="1A2EB43F" w:rsidR="00F83122" w:rsidRPr="00F8089A" w:rsidRDefault="0032232A" w:rsidP="00F8089A">
            <w:pPr>
              <w:jc w:val="right"/>
              <w:rPr>
                <w:rFonts w:asciiTheme="minorHAnsi" w:hAnsiTheme="minorHAnsi" w:cstheme="minorHAnsi"/>
                <w:b/>
                <w:sz w:val="18"/>
                <w:szCs w:val="18"/>
              </w:rPr>
            </w:pPr>
            <w:r w:rsidRPr="00F8089A">
              <w:rPr>
                <w:rFonts w:asciiTheme="minorHAnsi" w:hAnsiTheme="minorHAnsi" w:cstheme="minorHAnsi"/>
                <w:b/>
                <w:sz w:val="18"/>
                <w:szCs w:val="18"/>
              </w:rPr>
              <w:t>4,</w:t>
            </w:r>
            <w:r w:rsidR="0049063A" w:rsidRPr="00F8089A">
              <w:rPr>
                <w:rFonts w:asciiTheme="minorHAnsi" w:hAnsiTheme="minorHAnsi" w:cstheme="minorHAnsi"/>
                <w:b/>
                <w:sz w:val="18"/>
                <w:szCs w:val="18"/>
              </w:rPr>
              <w:t>787</w:t>
            </w:r>
            <w:r w:rsidRPr="00F8089A">
              <w:rPr>
                <w:rFonts w:asciiTheme="minorHAnsi" w:hAnsiTheme="minorHAnsi" w:cstheme="minorHAnsi"/>
                <w:b/>
                <w:sz w:val="18"/>
                <w:szCs w:val="18"/>
              </w:rPr>
              <w:t>,013</w:t>
            </w:r>
            <w:r w:rsidR="00D45B3D">
              <w:rPr>
                <w:rFonts w:asciiTheme="minorHAnsi" w:hAnsiTheme="minorHAnsi" w:cstheme="minorHAnsi"/>
                <w:b/>
                <w:sz w:val="18"/>
                <w:szCs w:val="18"/>
              </w:rPr>
              <w:t xml:space="preserve"> $</w:t>
            </w:r>
          </w:p>
        </w:tc>
        <w:tc>
          <w:tcPr>
            <w:tcW w:w="1134" w:type="dxa"/>
            <w:tcBorders>
              <w:top w:val="double" w:sz="4" w:space="0" w:color="auto"/>
              <w:left w:val="single" w:sz="4" w:space="0" w:color="auto"/>
              <w:bottom w:val="single" w:sz="4" w:space="0" w:color="auto"/>
              <w:right w:val="single" w:sz="4" w:space="0" w:color="auto"/>
            </w:tcBorders>
            <w:noWrap/>
            <w:vAlign w:val="center"/>
            <w:hideMark/>
          </w:tcPr>
          <w:p w14:paraId="3DE98FFE" w14:textId="0964C24F" w:rsidR="00F83122" w:rsidRPr="00F8089A" w:rsidRDefault="0032232A" w:rsidP="00F8089A">
            <w:pPr>
              <w:jc w:val="right"/>
              <w:rPr>
                <w:rFonts w:asciiTheme="minorHAnsi" w:hAnsiTheme="minorHAnsi" w:cstheme="minorHAnsi"/>
                <w:b/>
                <w:sz w:val="18"/>
                <w:szCs w:val="18"/>
              </w:rPr>
            </w:pPr>
            <w:r w:rsidRPr="00F8089A">
              <w:rPr>
                <w:rFonts w:asciiTheme="minorHAnsi" w:hAnsiTheme="minorHAnsi" w:cstheme="minorHAnsi"/>
                <w:b/>
                <w:sz w:val="18"/>
                <w:szCs w:val="18"/>
              </w:rPr>
              <w:t>8,</w:t>
            </w:r>
            <w:r w:rsidR="0049063A" w:rsidRPr="00F8089A">
              <w:rPr>
                <w:rFonts w:asciiTheme="minorHAnsi" w:hAnsiTheme="minorHAnsi" w:cstheme="minorHAnsi"/>
                <w:b/>
                <w:sz w:val="18"/>
                <w:szCs w:val="18"/>
              </w:rPr>
              <w:t>706</w:t>
            </w:r>
            <w:r w:rsidRPr="00F8089A">
              <w:rPr>
                <w:rFonts w:asciiTheme="minorHAnsi" w:hAnsiTheme="minorHAnsi" w:cstheme="minorHAnsi"/>
                <w:b/>
                <w:sz w:val="18"/>
                <w:szCs w:val="18"/>
              </w:rPr>
              <w:t>,993</w:t>
            </w:r>
            <w:r w:rsidR="00D45B3D">
              <w:rPr>
                <w:rFonts w:asciiTheme="minorHAnsi" w:hAnsiTheme="minorHAnsi" w:cstheme="minorHAnsi"/>
                <w:b/>
                <w:sz w:val="18"/>
                <w:szCs w:val="18"/>
              </w:rPr>
              <w:t xml:space="preserve"> $</w:t>
            </w:r>
          </w:p>
        </w:tc>
        <w:tc>
          <w:tcPr>
            <w:tcW w:w="1275" w:type="dxa"/>
            <w:tcBorders>
              <w:top w:val="double" w:sz="4" w:space="0" w:color="auto"/>
              <w:left w:val="single" w:sz="4" w:space="0" w:color="auto"/>
              <w:bottom w:val="single" w:sz="4" w:space="0" w:color="auto"/>
              <w:right w:val="single" w:sz="4" w:space="0" w:color="auto"/>
            </w:tcBorders>
            <w:noWrap/>
            <w:vAlign w:val="center"/>
            <w:hideMark/>
          </w:tcPr>
          <w:p w14:paraId="4445DCD0" w14:textId="0AEB2C78" w:rsidR="00F83122" w:rsidRPr="00F8089A" w:rsidRDefault="0032232A" w:rsidP="00F8089A">
            <w:pPr>
              <w:jc w:val="right"/>
              <w:rPr>
                <w:rFonts w:asciiTheme="minorHAnsi" w:hAnsiTheme="minorHAnsi" w:cstheme="minorHAnsi"/>
                <w:b/>
                <w:sz w:val="18"/>
                <w:szCs w:val="18"/>
              </w:rPr>
            </w:pPr>
            <w:r w:rsidRPr="00F8089A">
              <w:rPr>
                <w:rFonts w:asciiTheme="minorHAnsi" w:hAnsiTheme="minorHAnsi" w:cstheme="minorHAnsi"/>
                <w:b/>
                <w:sz w:val="18"/>
                <w:szCs w:val="18"/>
              </w:rPr>
              <w:t>5,</w:t>
            </w:r>
            <w:r w:rsidR="0049063A" w:rsidRPr="00F8089A">
              <w:rPr>
                <w:rFonts w:asciiTheme="minorHAnsi" w:hAnsiTheme="minorHAnsi" w:cstheme="minorHAnsi"/>
                <w:b/>
                <w:sz w:val="18"/>
                <w:szCs w:val="18"/>
              </w:rPr>
              <w:t>638</w:t>
            </w:r>
            <w:r w:rsidRPr="00F8089A">
              <w:rPr>
                <w:rFonts w:asciiTheme="minorHAnsi" w:hAnsiTheme="minorHAnsi" w:cstheme="minorHAnsi"/>
                <w:b/>
                <w:sz w:val="18"/>
                <w:szCs w:val="18"/>
              </w:rPr>
              <w:t>,869</w:t>
            </w:r>
            <w:r w:rsidR="00D45B3D">
              <w:rPr>
                <w:rFonts w:asciiTheme="minorHAnsi" w:hAnsiTheme="minorHAnsi" w:cstheme="minorHAnsi"/>
                <w:b/>
                <w:sz w:val="18"/>
                <w:szCs w:val="18"/>
              </w:rPr>
              <w:t xml:space="preserve"> $</w:t>
            </w:r>
          </w:p>
        </w:tc>
        <w:tc>
          <w:tcPr>
            <w:tcW w:w="1134" w:type="dxa"/>
            <w:tcBorders>
              <w:top w:val="double" w:sz="4" w:space="0" w:color="auto"/>
              <w:left w:val="single" w:sz="4" w:space="0" w:color="auto"/>
              <w:bottom w:val="single" w:sz="4" w:space="0" w:color="auto"/>
              <w:right w:val="single" w:sz="4" w:space="0" w:color="auto"/>
            </w:tcBorders>
            <w:vAlign w:val="center"/>
          </w:tcPr>
          <w:p w14:paraId="4734F3B9" w14:textId="78262730" w:rsidR="009C3FD8" w:rsidRPr="00F8089A" w:rsidRDefault="00302BFE" w:rsidP="00F8089A">
            <w:pPr>
              <w:jc w:val="right"/>
              <w:rPr>
                <w:rFonts w:asciiTheme="minorHAnsi" w:hAnsiTheme="minorHAnsi" w:cstheme="minorHAnsi"/>
                <w:b/>
                <w:sz w:val="18"/>
                <w:szCs w:val="18"/>
              </w:rPr>
            </w:pPr>
            <w:r w:rsidRPr="00F8089A">
              <w:rPr>
                <w:rFonts w:asciiTheme="minorHAnsi" w:hAnsiTheme="minorHAnsi" w:cstheme="minorHAnsi"/>
                <w:b/>
                <w:sz w:val="18"/>
                <w:szCs w:val="18"/>
              </w:rPr>
              <w:t>3,</w:t>
            </w:r>
            <w:r w:rsidR="0049063A" w:rsidRPr="00F8089A">
              <w:rPr>
                <w:rFonts w:asciiTheme="minorHAnsi" w:hAnsiTheme="minorHAnsi" w:cstheme="minorHAnsi"/>
                <w:b/>
                <w:sz w:val="18"/>
                <w:szCs w:val="18"/>
              </w:rPr>
              <w:t>619</w:t>
            </w:r>
            <w:r w:rsidRPr="00F8089A">
              <w:rPr>
                <w:rFonts w:asciiTheme="minorHAnsi" w:hAnsiTheme="minorHAnsi" w:cstheme="minorHAnsi"/>
                <w:b/>
                <w:sz w:val="18"/>
                <w:szCs w:val="18"/>
              </w:rPr>
              <w:t>,</w:t>
            </w:r>
            <w:r w:rsidR="009C3FD8" w:rsidRPr="00F8089A">
              <w:rPr>
                <w:rFonts w:asciiTheme="minorHAnsi" w:hAnsiTheme="minorHAnsi" w:cstheme="minorHAnsi"/>
                <w:b/>
                <w:sz w:val="18"/>
                <w:szCs w:val="18"/>
              </w:rPr>
              <w:t>90</w:t>
            </w:r>
            <w:r w:rsidRPr="00F8089A">
              <w:rPr>
                <w:rFonts w:asciiTheme="minorHAnsi" w:hAnsiTheme="minorHAnsi" w:cstheme="minorHAnsi"/>
                <w:b/>
                <w:sz w:val="18"/>
                <w:szCs w:val="18"/>
              </w:rPr>
              <w:t>1</w:t>
            </w:r>
            <w:r w:rsidR="00D45B3D">
              <w:rPr>
                <w:rFonts w:asciiTheme="minorHAnsi" w:hAnsiTheme="minorHAnsi" w:cstheme="minorHAnsi"/>
                <w:b/>
                <w:sz w:val="18"/>
                <w:szCs w:val="18"/>
              </w:rPr>
              <w:t xml:space="preserve"> </w:t>
            </w:r>
            <w:r w:rsidRPr="00F8089A">
              <w:rPr>
                <w:rFonts w:asciiTheme="minorHAnsi" w:hAnsiTheme="minorHAnsi" w:cstheme="minorHAnsi"/>
                <w:b/>
                <w:sz w:val="18"/>
                <w:szCs w:val="18"/>
              </w:rPr>
              <w:t>$</w:t>
            </w:r>
          </w:p>
        </w:tc>
        <w:tc>
          <w:tcPr>
            <w:tcW w:w="1134" w:type="dxa"/>
            <w:tcBorders>
              <w:top w:val="double" w:sz="4" w:space="0" w:color="auto"/>
              <w:left w:val="single" w:sz="4" w:space="0" w:color="auto"/>
              <w:bottom w:val="single" w:sz="4" w:space="0" w:color="auto"/>
              <w:right w:val="single" w:sz="4" w:space="0" w:color="auto"/>
            </w:tcBorders>
            <w:vAlign w:val="center"/>
          </w:tcPr>
          <w:p w14:paraId="5576EA14" w14:textId="2903216D" w:rsidR="009C3FD8" w:rsidRPr="00F8089A" w:rsidRDefault="00302BFE" w:rsidP="00F8089A">
            <w:pPr>
              <w:jc w:val="right"/>
              <w:rPr>
                <w:rFonts w:asciiTheme="minorHAnsi" w:hAnsiTheme="minorHAnsi" w:cstheme="minorHAnsi"/>
                <w:b/>
                <w:sz w:val="18"/>
                <w:szCs w:val="18"/>
              </w:rPr>
            </w:pPr>
            <w:r w:rsidRPr="00F8089A">
              <w:rPr>
                <w:rFonts w:asciiTheme="minorHAnsi" w:hAnsiTheme="minorHAnsi" w:cstheme="minorHAnsi"/>
                <w:b/>
                <w:sz w:val="18"/>
                <w:szCs w:val="18"/>
              </w:rPr>
              <w:t>1,</w:t>
            </w:r>
            <w:r w:rsidR="0049063A" w:rsidRPr="00F8089A">
              <w:rPr>
                <w:rFonts w:asciiTheme="minorHAnsi" w:hAnsiTheme="minorHAnsi" w:cstheme="minorHAnsi"/>
                <w:b/>
                <w:sz w:val="18"/>
                <w:szCs w:val="18"/>
              </w:rPr>
              <w:t>469</w:t>
            </w:r>
            <w:r w:rsidRPr="00F8089A">
              <w:rPr>
                <w:rFonts w:asciiTheme="minorHAnsi" w:hAnsiTheme="minorHAnsi" w:cstheme="minorHAnsi"/>
                <w:b/>
                <w:sz w:val="18"/>
                <w:szCs w:val="18"/>
              </w:rPr>
              <w:t>,</w:t>
            </w:r>
            <w:r w:rsidR="009C3FD8" w:rsidRPr="00F8089A">
              <w:rPr>
                <w:rFonts w:asciiTheme="minorHAnsi" w:hAnsiTheme="minorHAnsi" w:cstheme="minorHAnsi"/>
                <w:b/>
                <w:sz w:val="18"/>
                <w:szCs w:val="18"/>
              </w:rPr>
              <w:t>58</w:t>
            </w:r>
            <w:r w:rsidRPr="00F8089A">
              <w:rPr>
                <w:rFonts w:asciiTheme="minorHAnsi" w:hAnsiTheme="minorHAnsi" w:cstheme="minorHAnsi"/>
                <w:b/>
                <w:sz w:val="18"/>
                <w:szCs w:val="18"/>
              </w:rPr>
              <w:t>6</w:t>
            </w:r>
            <w:r w:rsidR="00D45B3D">
              <w:rPr>
                <w:rFonts w:asciiTheme="minorHAnsi" w:hAnsiTheme="minorHAnsi" w:cstheme="minorHAnsi"/>
                <w:b/>
                <w:sz w:val="18"/>
                <w:szCs w:val="18"/>
              </w:rPr>
              <w:t xml:space="preserve"> </w:t>
            </w:r>
            <w:r w:rsidRPr="00F8089A">
              <w:rPr>
                <w:rFonts w:asciiTheme="minorHAnsi" w:hAnsiTheme="minorHAnsi" w:cstheme="minorHAnsi"/>
                <w:b/>
                <w:sz w:val="18"/>
                <w:szCs w:val="18"/>
              </w:rPr>
              <w:t>$</w:t>
            </w:r>
          </w:p>
        </w:tc>
        <w:tc>
          <w:tcPr>
            <w:tcW w:w="1420" w:type="dxa"/>
            <w:tcBorders>
              <w:top w:val="double" w:sz="4" w:space="0" w:color="auto"/>
              <w:left w:val="single" w:sz="4" w:space="0" w:color="auto"/>
              <w:bottom w:val="single" w:sz="4" w:space="0" w:color="auto"/>
              <w:right w:val="single" w:sz="4" w:space="0" w:color="auto"/>
            </w:tcBorders>
            <w:noWrap/>
            <w:vAlign w:val="center"/>
            <w:hideMark/>
          </w:tcPr>
          <w:p w14:paraId="4DFEF45B" w14:textId="60B8B4F6" w:rsidR="009C3FD8" w:rsidRPr="00F8089A" w:rsidRDefault="00302BFE" w:rsidP="00F8089A">
            <w:pPr>
              <w:jc w:val="right"/>
              <w:rPr>
                <w:rFonts w:asciiTheme="minorHAnsi" w:hAnsiTheme="minorHAnsi" w:cstheme="minorHAnsi"/>
                <w:b/>
                <w:sz w:val="18"/>
                <w:szCs w:val="18"/>
              </w:rPr>
            </w:pPr>
            <w:r w:rsidRPr="00F8089A">
              <w:rPr>
                <w:rFonts w:asciiTheme="minorHAnsi" w:hAnsiTheme="minorHAnsi" w:cstheme="minorHAnsi"/>
                <w:b/>
                <w:sz w:val="18"/>
                <w:szCs w:val="18"/>
              </w:rPr>
              <w:t>27,619,303</w:t>
            </w:r>
            <w:r w:rsidR="00D45B3D">
              <w:rPr>
                <w:rFonts w:asciiTheme="minorHAnsi" w:hAnsiTheme="minorHAnsi" w:cstheme="minorHAnsi"/>
                <w:b/>
                <w:sz w:val="18"/>
                <w:szCs w:val="18"/>
              </w:rPr>
              <w:t xml:space="preserve"> </w:t>
            </w:r>
            <w:r w:rsidRPr="00F8089A">
              <w:rPr>
                <w:rFonts w:asciiTheme="minorHAnsi" w:hAnsiTheme="minorHAnsi" w:cstheme="minorHAnsi"/>
                <w:b/>
                <w:sz w:val="18"/>
                <w:szCs w:val="18"/>
              </w:rPr>
              <w:t>$</w:t>
            </w:r>
          </w:p>
        </w:tc>
      </w:tr>
      <w:bookmarkEnd w:id="37"/>
    </w:tbl>
    <w:p w14:paraId="6587E939" w14:textId="77777777" w:rsidR="00302BFE" w:rsidRDefault="00302BFE" w:rsidP="00302BFE">
      <w:pPr>
        <w:rPr>
          <w:b/>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703"/>
        <w:gridCol w:w="13687"/>
      </w:tblGrid>
      <w:tr w:rsidR="00302BFE" w:rsidRPr="006E490C" w14:paraId="512CB478"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2A0B2F76" w14:textId="77777777" w:rsidR="00302BFE" w:rsidRPr="006E490C" w:rsidRDefault="00302BFE" w:rsidP="00243B15">
            <w:pPr>
              <w:spacing w:before="40" w:after="40"/>
              <w:rPr>
                <w:rFonts w:cs="Calibri"/>
                <w:b/>
                <w:sz w:val="18"/>
                <w:szCs w:val="18"/>
                <w:lang w:val="en-GB"/>
              </w:rPr>
            </w:pPr>
            <w:r>
              <w:rPr>
                <w:lang w:val="en-GB"/>
              </w:rPr>
              <w:lastRenderedPageBreak/>
              <w:br w:type="page"/>
            </w:r>
            <w:r w:rsidRPr="006E490C">
              <w:rPr>
                <w:rFonts w:cs="Calibri"/>
                <w:b/>
                <w:sz w:val="18"/>
                <w:szCs w:val="18"/>
                <w:lang w:val="en-GB"/>
              </w:rPr>
              <w:t>Budget Note</w:t>
            </w:r>
          </w:p>
        </w:tc>
        <w:tc>
          <w:tcPr>
            <w:tcW w:w="13687" w:type="dxa"/>
            <w:tcBorders>
              <w:top w:val="single" w:sz="4" w:space="0" w:color="auto"/>
              <w:left w:val="single" w:sz="4" w:space="0" w:color="auto"/>
              <w:bottom w:val="single" w:sz="4" w:space="0" w:color="auto"/>
              <w:right w:val="single" w:sz="4" w:space="0" w:color="auto"/>
            </w:tcBorders>
            <w:hideMark/>
          </w:tcPr>
          <w:p w14:paraId="0A289019" w14:textId="77777777" w:rsidR="00302BFE" w:rsidRPr="006E490C" w:rsidRDefault="00302BFE" w:rsidP="00243B15">
            <w:pPr>
              <w:spacing w:before="40" w:after="40"/>
              <w:rPr>
                <w:rFonts w:cs="Calibri"/>
                <w:b/>
                <w:sz w:val="18"/>
                <w:szCs w:val="18"/>
                <w:lang w:val="en-GB"/>
              </w:rPr>
            </w:pPr>
            <w:r w:rsidRPr="006E490C">
              <w:rPr>
                <w:rFonts w:cs="Calibri"/>
                <w:b/>
                <w:sz w:val="18"/>
                <w:szCs w:val="18"/>
                <w:lang w:val="en-GB"/>
              </w:rPr>
              <w:t>Comments</w:t>
            </w:r>
          </w:p>
        </w:tc>
      </w:tr>
      <w:tr w:rsidR="00302BFE" w:rsidRPr="006E490C" w14:paraId="15981EB6" w14:textId="77777777" w:rsidTr="004F4EA2">
        <w:trPr>
          <w:trHeight w:val="197"/>
          <w:jc w:val="center"/>
        </w:trPr>
        <w:tc>
          <w:tcPr>
            <w:tcW w:w="14390" w:type="dxa"/>
            <w:gridSpan w:val="2"/>
            <w:tcBorders>
              <w:top w:val="single" w:sz="4" w:space="0" w:color="auto"/>
              <w:left w:val="single" w:sz="4" w:space="0" w:color="auto"/>
              <w:bottom w:val="single" w:sz="4" w:space="0" w:color="auto"/>
              <w:right w:val="single" w:sz="4" w:space="0" w:color="auto"/>
            </w:tcBorders>
            <w:shd w:val="clear" w:color="auto" w:fill="DEEAF6"/>
            <w:hideMark/>
          </w:tcPr>
          <w:p w14:paraId="3B1451EF" w14:textId="77777777" w:rsidR="00302BFE" w:rsidRPr="006E490C" w:rsidRDefault="00302BFE" w:rsidP="00243B15">
            <w:pPr>
              <w:spacing w:before="40" w:after="40"/>
              <w:rPr>
                <w:rFonts w:cs="Calibri"/>
                <w:b/>
                <w:sz w:val="18"/>
                <w:szCs w:val="18"/>
                <w:lang w:val="en-GB"/>
              </w:rPr>
            </w:pPr>
            <w:r w:rsidRPr="006E490C">
              <w:rPr>
                <w:b/>
                <w:sz w:val="18"/>
                <w:szCs w:val="18"/>
                <w:lang w:val="en-GB"/>
              </w:rPr>
              <w:t>Component 1. Framework for the Integrated Management of the Landscape of PONASI</w:t>
            </w:r>
          </w:p>
        </w:tc>
      </w:tr>
      <w:tr w:rsidR="00302BFE" w:rsidRPr="006E490C" w14:paraId="1C541B2D"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07DEDA47" w14:textId="77777777"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1</w:t>
            </w:r>
          </w:p>
        </w:tc>
        <w:tc>
          <w:tcPr>
            <w:tcW w:w="13687" w:type="dxa"/>
            <w:tcBorders>
              <w:top w:val="single" w:sz="4" w:space="0" w:color="auto"/>
              <w:left w:val="single" w:sz="4" w:space="0" w:color="auto"/>
              <w:bottom w:val="single" w:sz="4" w:space="0" w:color="auto"/>
              <w:right w:val="single" w:sz="4" w:space="0" w:color="auto"/>
            </w:tcBorders>
            <w:hideMark/>
          </w:tcPr>
          <w:p w14:paraId="0B688514" w14:textId="77777777" w:rsidR="00302BFE" w:rsidRPr="006E490C" w:rsidRDefault="00302BFE" w:rsidP="00243B15">
            <w:pPr>
              <w:spacing w:before="40" w:after="40"/>
              <w:rPr>
                <w:rFonts w:cs="Calibri"/>
                <w:sz w:val="18"/>
                <w:szCs w:val="18"/>
                <w:lang w:val="en-GB"/>
              </w:rPr>
            </w:pPr>
            <w:r w:rsidRPr="006E490C">
              <w:rPr>
                <w:rFonts w:cs="Calibri"/>
                <w:sz w:val="18"/>
                <w:szCs w:val="18"/>
                <w:lang w:val="en-GB"/>
              </w:rPr>
              <w:t xml:space="preserve">(a) Expert in environmental land-use planning for the provision of technical support and management support for component 1 of the project, including the evaluation of the co-governance mechanism established by NATURAMA in the  framework of a previous project (PONASI); the formulation of recommendations to strengthen it, proposals for composition, missions and operational rules of the co-governance mechanism and its permanent technical core; assessing the capacity building needs of all stakeholders involved in the co-governance mechanism; development of the training program and contribution to the development of guidance and implementation documents; responsible for leading the land use planning process in collaboration with the PCU and members of the permanent technical core; train stakeholders to use the TESSA tool; provide guidance for the identification and adoption of criteria for SLM and the conservation of BD and SE in order to define different scenarios limiting the use of land and resources; for the integration of standards and criteria for SLM, the conservation of BD and ES and PAs in sectoral EIA guidelines and in sectoral programming (including agriculture, forestry, pastoralism and mining); the drafting of the Master Plan and its submission to the permanent technical core for validation; proposing a set of incentives and disincentives to promote compliance and a mechanism for conflict prevention and management; and support the integration of collaborative PA management plans, elephant protection and human-wildlife conflict mitigation plan and sustainable </w:t>
            </w:r>
            <w:proofErr w:type="spellStart"/>
            <w:r w:rsidRPr="006E490C">
              <w:rPr>
                <w:rFonts w:cs="Calibri"/>
                <w:sz w:val="18"/>
                <w:szCs w:val="18"/>
                <w:lang w:val="en-GB"/>
              </w:rPr>
              <w:t>agro</w:t>
            </w:r>
            <w:proofErr w:type="spellEnd"/>
            <w:r w:rsidRPr="006E490C">
              <w:rPr>
                <w:rFonts w:cs="Calibri"/>
                <w:sz w:val="18"/>
                <w:szCs w:val="18"/>
                <w:lang w:val="en-GB"/>
              </w:rPr>
              <w:t>-</w:t>
            </w:r>
            <w:proofErr w:type="spellStart"/>
            <w:r w:rsidRPr="006E490C">
              <w:rPr>
                <w:rFonts w:cs="Calibri"/>
                <w:sz w:val="18"/>
                <w:szCs w:val="18"/>
                <w:lang w:val="en-GB"/>
              </w:rPr>
              <w:t>silvo</w:t>
            </w:r>
            <w:proofErr w:type="spellEnd"/>
            <w:r w:rsidRPr="006E490C">
              <w:rPr>
                <w:rFonts w:cs="Calibri"/>
                <w:sz w:val="18"/>
                <w:szCs w:val="18"/>
                <w:lang w:val="en-GB"/>
              </w:rPr>
              <w:t>-pastoral management requirements in the Master Plan. Rate: $ 3,500 / week for 20 weeks in years 1, 2, 3 and 4 - Total cost: $ 70,000</w:t>
            </w:r>
          </w:p>
          <w:p w14:paraId="43C5F4FB" w14:textId="77777777" w:rsidR="00302BFE" w:rsidRPr="006E490C" w:rsidRDefault="00302BFE" w:rsidP="00243B15">
            <w:pPr>
              <w:spacing w:before="40" w:after="40"/>
              <w:rPr>
                <w:sz w:val="18"/>
                <w:szCs w:val="18"/>
                <w:lang w:val="en-GB" w:eastAsia="ja-JP"/>
              </w:rPr>
            </w:pPr>
            <w:r w:rsidRPr="006E490C">
              <w:rPr>
                <w:rFonts w:cs="Calibri"/>
                <w:sz w:val="18"/>
                <w:szCs w:val="18"/>
                <w:lang w:val="en-GB"/>
              </w:rPr>
              <w:t>(b) Expert in design and management of data systems to design and develop an information system (Output 1.2), identifying existing databases and information sources, including mapping documents, on biodiversity, forestry, agriculture and pastoralism, as well as other sectors that may have an impact on ecosystem services such as mining in the PONASI landscape; assessment of the reliability and quality of data, and the development of a biodiversity and land use database to support decision-making on environmental land use planning and follow-up on the implementation of the resulting landscaping master plan; design and supervise the implementation of land-use monitoring systems in order to estimate GHG emissions and captures, for the monitoring of biodiversity and human-wildlife conflicts in the PONASI landscape; make recommendations on the institutional anchoring of the information system, the responsibility for management and the financing of operations and their updating to ensure sustainability. The expert is also responsible for training all stakeholders to enable them to consult the information system and contribute to its updating. Lump sum amount based on the deliverables. Total cost: $ 30,000</w:t>
            </w:r>
          </w:p>
        </w:tc>
      </w:tr>
      <w:tr w:rsidR="00302BFE" w:rsidRPr="006E490C" w14:paraId="304C98BF"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61A34697" w14:textId="77777777"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2</w:t>
            </w:r>
          </w:p>
        </w:tc>
        <w:tc>
          <w:tcPr>
            <w:tcW w:w="13687" w:type="dxa"/>
            <w:tcBorders>
              <w:top w:val="single" w:sz="4" w:space="0" w:color="auto"/>
              <w:left w:val="single" w:sz="4" w:space="0" w:color="auto"/>
              <w:bottom w:val="single" w:sz="4" w:space="0" w:color="auto"/>
              <w:right w:val="single" w:sz="4" w:space="0" w:color="auto"/>
            </w:tcBorders>
            <w:hideMark/>
          </w:tcPr>
          <w:p w14:paraId="4FD8065E"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 xml:space="preserve">(a) Land-use planning specialist to support the international land-use planning expert and the expert in data system design and management in the collection of information and data in all activities related to component 1, including support for consultations at regional and local levels. </w:t>
            </w:r>
            <w:r w:rsidRPr="00683440">
              <w:rPr>
                <w:rFonts w:eastAsia="Times New Roman" w:cs="Calibri"/>
                <w:sz w:val="18"/>
                <w:szCs w:val="18"/>
                <w:lang w:val="en-GB"/>
              </w:rPr>
              <w:t>Rate: $ 1,750 / month for 18 months in years 1, 2 and 3, total cost: $</w:t>
            </w:r>
            <w:r w:rsidRPr="006E490C">
              <w:rPr>
                <w:rFonts w:eastAsia="Times New Roman" w:cs="Calibri"/>
                <w:sz w:val="18"/>
                <w:szCs w:val="18"/>
                <w:lang w:val="en-GB"/>
              </w:rPr>
              <w:t>31,500. (All activities in Outcome 1).</w:t>
            </w:r>
          </w:p>
          <w:p w14:paraId="2D791320"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 xml:space="preserve">b) Legal consultant for the validation of the composition and missions of the co-governance mechanism and the permanent technical core; the development of the decree of the minister in charge of local authorities establishing these entities and the verification of the conformity of the master plan with the political and legislative framework in force. </w:t>
            </w:r>
            <w:r w:rsidRPr="00683440">
              <w:rPr>
                <w:rFonts w:eastAsia="Times New Roman" w:cs="Calibri"/>
                <w:sz w:val="18"/>
                <w:szCs w:val="18"/>
                <w:lang w:val="en-GB"/>
              </w:rPr>
              <w:t xml:space="preserve">Rate: $ </w:t>
            </w:r>
            <w:r>
              <w:rPr>
                <w:rFonts w:eastAsia="Times New Roman" w:cs="Calibri"/>
                <w:sz w:val="18"/>
                <w:szCs w:val="18"/>
                <w:lang w:val="en-GB"/>
              </w:rPr>
              <w:t>2</w:t>
            </w:r>
            <w:r w:rsidRPr="00683440">
              <w:rPr>
                <w:rFonts w:eastAsia="Times New Roman" w:cs="Calibri"/>
                <w:sz w:val="18"/>
                <w:szCs w:val="18"/>
                <w:lang w:val="en-GB"/>
              </w:rPr>
              <w:t>,</w:t>
            </w:r>
            <w:r>
              <w:rPr>
                <w:rFonts w:eastAsia="Times New Roman" w:cs="Calibri"/>
                <w:sz w:val="18"/>
                <w:szCs w:val="18"/>
                <w:lang w:val="en-GB"/>
              </w:rPr>
              <w:t>00</w:t>
            </w:r>
            <w:r w:rsidRPr="00683440">
              <w:rPr>
                <w:rFonts w:eastAsia="Times New Roman" w:cs="Calibri"/>
                <w:sz w:val="18"/>
                <w:szCs w:val="18"/>
                <w:lang w:val="en-GB"/>
              </w:rPr>
              <w:t xml:space="preserve">0 / month </w:t>
            </w:r>
            <w:r w:rsidRPr="006E490C">
              <w:rPr>
                <w:rFonts w:eastAsia="Times New Roman" w:cs="Calibri"/>
                <w:sz w:val="18"/>
                <w:szCs w:val="18"/>
                <w:lang w:val="en-GB"/>
              </w:rPr>
              <w:t xml:space="preserve">for 2 months, </w:t>
            </w:r>
            <w:r>
              <w:rPr>
                <w:rFonts w:eastAsia="Times New Roman" w:cs="Calibri"/>
                <w:sz w:val="18"/>
                <w:szCs w:val="18"/>
                <w:lang w:val="en-GB"/>
              </w:rPr>
              <w:t xml:space="preserve">in </w:t>
            </w:r>
            <w:r w:rsidRPr="006E490C">
              <w:rPr>
                <w:rFonts w:eastAsia="Times New Roman" w:cs="Calibri"/>
                <w:sz w:val="18"/>
                <w:szCs w:val="18"/>
                <w:lang w:val="en-GB"/>
              </w:rPr>
              <w:t>year 2</w:t>
            </w:r>
            <w:r>
              <w:rPr>
                <w:rFonts w:eastAsia="Times New Roman" w:cs="Calibri"/>
                <w:sz w:val="18"/>
                <w:szCs w:val="18"/>
                <w:lang w:val="en-GB"/>
              </w:rPr>
              <w:t xml:space="preserve">. </w:t>
            </w:r>
            <w:r w:rsidRPr="006E490C">
              <w:rPr>
                <w:rFonts w:eastAsia="Times New Roman" w:cs="Calibri"/>
                <w:sz w:val="18"/>
                <w:szCs w:val="18"/>
                <w:lang w:val="en-GB"/>
              </w:rPr>
              <w:t xml:space="preserve">Total cost: $ 4,000 </w:t>
            </w:r>
          </w:p>
          <w:p w14:paraId="18DF7756"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c) Forest engineer / REDD+ specialist to carry out an on-the-ground assessment of carbon stocks in the forest areas of the PONASI landscape; oversee the establishment of baseline situation based on forest inventory data and field verification of land use; develop the sampling plan to track carbon stocks; evaluate carbon emissions and capture based on monitoring system data; supervise the mid-term and end-of-project monitoring of land and forest use changes, in collaboration with the regional and communal forest services, and oversee the documentation of changes in land use and forest use at mid-term and end-of-project (output 1.3) Rates $ 1,750 / month for 12 months in years 1, 2, 3 and 6, total cost: $ 21,000</w:t>
            </w:r>
          </w:p>
          <w:p w14:paraId="4FF1E75F"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d) GIS specialist to support geo-referencing from satellite images or aerial photographs to plan forest on-the-ground verification surveys (Output 1.3) Rate: $ 1,750 / month for 4 months in Years 1 and 6. Total cost: $ 7,000.</w:t>
            </w:r>
          </w:p>
          <w:p w14:paraId="0E460C25" w14:textId="77777777" w:rsidR="00302BFE" w:rsidRPr="006E490C" w:rsidRDefault="00302BFE" w:rsidP="00243B15">
            <w:pPr>
              <w:spacing w:before="40" w:after="40"/>
              <w:rPr>
                <w:rFonts w:eastAsia="MS Mincho"/>
                <w:noProof/>
                <w:sz w:val="18"/>
                <w:szCs w:val="18"/>
                <w:lang w:val="en-GB" w:eastAsia="ja-JP"/>
              </w:rPr>
            </w:pPr>
            <w:r w:rsidRPr="006E490C">
              <w:rPr>
                <w:rFonts w:eastAsia="Times New Roman" w:cs="Calibri"/>
                <w:sz w:val="18"/>
                <w:szCs w:val="18"/>
                <w:lang w:val="en-GB"/>
              </w:rPr>
              <w:t xml:space="preserve">e) Field Assistant / Plant Biologist to provide support to the forest engineer in the field assessment of carbon stocks in the forest areas of the PONASI landscape, support the establishment of baseline situation </w:t>
            </w:r>
            <w:proofErr w:type="gramStart"/>
            <w:r w:rsidRPr="006E490C">
              <w:rPr>
                <w:rFonts w:eastAsia="Times New Roman" w:cs="Calibri"/>
                <w:sz w:val="18"/>
                <w:szCs w:val="18"/>
                <w:lang w:val="en-GB"/>
              </w:rPr>
              <w:t>on the basis of</w:t>
            </w:r>
            <w:proofErr w:type="gramEnd"/>
            <w:r w:rsidRPr="006E490C">
              <w:rPr>
                <w:rFonts w:eastAsia="Times New Roman" w:cs="Calibri"/>
                <w:sz w:val="18"/>
                <w:szCs w:val="18"/>
                <w:lang w:val="en-GB"/>
              </w:rPr>
              <w:t xml:space="preserve"> forest inventory data and field verification of land use; support monitoring and document changes in land and forest use at the mid-term and end of project (output 1.3). Rate: $ 1,250 / month for 12 months in years 1, 2, 3 and 6, total cost: $ 15,000</w:t>
            </w:r>
          </w:p>
        </w:tc>
      </w:tr>
      <w:tr w:rsidR="00302BFE" w:rsidRPr="006E490C" w14:paraId="7D566AE0"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058C9ECC" w14:textId="77777777"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3</w:t>
            </w:r>
          </w:p>
        </w:tc>
        <w:tc>
          <w:tcPr>
            <w:tcW w:w="13687" w:type="dxa"/>
            <w:tcBorders>
              <w:top w:val="single" w:sz="4" w:space="0" w:color="auto"/>
              <w:left w:val="single" w:sz="4" w:space="0" w:color="auto"/>
              <w:bottom w:val="single" w:sz="4" w:space="0" w:color="auto"/>
              <w:right w:val="single" w:sz="4" w:space="0" w:color="auto"/>
            </w:tcBorders>
            <w:hideMark/>
          </w:tcPr>
          <w:p w14:paraId="7EB4AF8E"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 xml:space="preserve">a) </w:t>
            </w:r>
            <w:bookmarkStart w:id="38" w:name="_Hlk9509897"/>
            <w:r w:rsidRPr="006E490C">
              <w:rPr>
                <w:rFonts w:eastAsia="Times New Roman" w:cs="Calibri"/>
                <w:sz w:val="18"/>
                <w:szCs w:val="18"/>
                <w:lang w:val="en-GB"/>
              </w:rPr>
              <w:t xml:space="preserve">Project coordinator (20% of time for the component) responsible for providing technical inputs to various outputs under the component 1, especially the outputs 1.1 for the establishment of the PONASI Landscape Co-Governance Mechanism and 1.4 for the development of the PONASI Landscape Management Master Plan. </w:t>
            </w:r>
            <w:r>
              <w:rPr>
                <w:rFonts w:eastAsia="Times New Roman" w:cs="Calibri"/>
                <w:sz w:val="18"/>
                <w:szCs w:val="18"/>
                <w:lang w:val="en-GB"/>
              </w:rPr>
              <w:t xml:space="preserve">Rate: </w:t>
            </w:r>
            <w:r w:rsidRPr="006E490C">
              <w:rPr>
                <w:rFonts w:eastAsia="Times New Roman" w:cs="Calibri"/>
                <w:sz w:val="18"/>
                <w:szCs w:val="18"/>
                <w:lang w:val="en-GB"/>
              </w:rPr>
              <w:t>$400 / month over 6 years. Total cost: $ 28,800.</w:t>
            </w:r>
            <w:bookmarkEnd w:id="38"/>
          </w:p>
          <w:p w14:paraId="74BFC44F"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b) Project driver / logistician (25% for the component) to support all components of the project @ $ 150 / month for 70 months - Total cost: $ 13,125</w:t>
            </w:r>
          </w:p>
          <w:p w14:paraId="7BDAEFED" w14:textId="77777777" w:rsidR="00302BFE" w:rsidRPr="00E03056" w:rsidRDefault="00302BFE" w:rsidP="00243B15">
            <w:pPr>
              <w:spacing w:before="40" w:after="40"/>
              <w:rPr>
                <w:rFonts w:eastAsia="Times New Roman" w:cs="Calibri"/>
                <w:sz w:val="18"/>
                <w:szCs w:val="18"/>
                <w:lang w:val="en-GB"/>
              </w:rPr>
            </w:pPr>
            <w:r w:rsidRPr="00E03056">
              <w:rPr>
                <w:rFonts w:eastAsia="Times New Roman" w:cs="Calibri"/>
                <w:sz w:val="18"/>
                <w:szCs w:val="18"/>
                <w:lang w:val="en-GB"/>
              </w:rPr>
              <w:t>c) Expert in Monitoring-Evaluation / Safeguards (25% for the component) to oversee the development of databases for monitoring carbon stocks (Output 1.3) and to monitor the implementation of the Master Plan (output 1.5. 2). $ 437.50 / month for 12 months. Annual cost: $ 5,250 in years 1 to 6 total cost: $ 31,500.</w:t>
            </w:r>
          </w:p>
          <w:p w14:paraId="1933403A" w14:textId="77777777" w:rsidR="00302BFE" w:rsidRPr="006E490C" w:rsidRDefault="00302BFE" w:rsidP="00243B15">
            <w:pPr>
              <w:spacing w:before="40" w:after="40"/>
              <w:rPr>
                <w:rFonts w:eastAsia="Times New Roman" w:cs="Calibri"/>
                <w:sz w:val="18"/>
                <w:szCs w:val="18"/>
                <w:lang w:val="en-GB"/>
              </w:rPr>
            </w:pPr>
            <w:r w:rsidRPr="00E03056">
              <w:rPr>
                <w:rFonts w:eastAsia="Times New Roman" w:cs="Calibri"/>
                <w:sz w:val="18"/>
                <w:szCs w:val="18"/>
                <w:lang w:val="en-GB"/>
              </w:rPr>
              <w:lastRenderedPageBreak/>
              <w:t>d) Gender specialist (10% for the component) responsible for overseeing gender mainstreaming in all project components and monitoring the implementation of the gender action plan. Annual cost: $ 1,050 in years 1 to 6 Total cost: $ 6,300</w:t>
            </w:r>
          </w:p>
          <w:p w14:paraId="5E339E8D"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e) Communication / knowledge management expert (10% for the component) responsible for the development and implementation of the project communication strategy in support of all project components. Annual cost: $ 1,050 in years 1 to 6 Total cost: $ 6,300</w:t>
            </w:r>
          </w:p>
        </w:tc>
      </w:tr>
      <w:tr w:rsidR="00302BFE" w:rsidRPr="006E490C" w14:paraId="3ED41980" w14:textId="77777777" w:rsidTr="002444C5">
        <w:trPr>
          <w:jc w:val="center"/>
        </w:trPr>
        <w:tc>
          <w:tcPr>
            <w:tcW w:w="703" w:type="dxa"/>
            <w:tcBorders>
              <w:top w:val="single" w:sz="4" w:space="0" w:color="auto"/>
              <w:left w:val="single" w:sz="4" w:space="0" w:color="auto"/>
              <w:bottom w:val="single" w:sz="4" w:space="0" w:color="auto"/>
              <w:right w:val="single" w:sz="4" w:space="0" w:color="auto"/>
            </w:tcBorders>
            <w:shd w:val="clear" w:color="auto" w:fill="auto"/>
            <w:hideMark/>
          </w:tcPr>
          <w:p w14:paraId="774F038A" w14:textId="77777777" w:rsidR="00302BFE" w:rsidRPr="002444C5" w:rsidRDefault="00302BFE" w:rsidP="00243B15">
            <w:pPr>
              <w:spacing w:before="40" w:after="40"/>
              <w:jc w:val="center"/>
              <w:rPr>
                <w:rFonts w:eastAsia="Times New Roman" w:cs="Calibri"/>
                <w:i/>
                <w:iCs/>
                <w:sz w:val="18"/>
                <w:szCs w:val="18"/>
                <w:lang w:val="en-GB"/>
              </w:rPr>
            </w:pPr>
            <w:r w:rsidRPr="002444C5">
              <w:rPr>
                <w:rFonts w:eastAsia="Times New Roman" w:cs="Calibri"/>
                <w:i/>
                <w:iCs/>
                <w:sz w:val="18"/>
                <w:szCs w:val="18"/>
                <w:lang w:val="en-GB"/>
              </w:rPr>
              <w:lastRenderedPageBreak/>
              <w:t>4</w:t>
            </w:r>
          </w:p>
        </w:tc>
        <w:tc>
          <w:tcPr>
            <w:tcW w:w="13687" w:type="dxa"/>
            <w:tcBorders>
              <w:top w:val="single" w:sz="4" w:space="0" w:color="auto"/>
              <w:left w:val="single" w:sz="4" w:space="0" w:color="auto"/>
              <w:bottom w:val="single" w:sz="4" w:space="0" w:color="auto"/>
              <w:right w:val="single" w:sz="4" w:space="0" w:color="auto"/>
            </w:tcBorders>
            <w:shd w:val="clear" w:color="auto" w:fill="auto"/>
            <w:hideMark/>
          </w:tcPr>
          <w:p w14:paraId="34F18B6C" w14:textId="1A337AE1" w:rsidR="00302BFE" w:rsidRPr="002444C5" w:rsidRDefault="00A642FE" w:rsidP="00243B15">
            <w:pPr>
              <w:spacing w:before="40" w:after="40"/>
              <w:rPr>
                <w:rFonts w:eastAsia="Times New Roman" w:cs="Calibri"/>
                <w:sz w:val="18"/>
                <w:szCs w:val="18"/>
                <w:lang w:val="en-GB"/>
              </w:rPr>
            </w:pPr>
            <w:r w:rsidRPr="002444C5">
              <w:rPr>
                <w:rFonts w:eastAsia="Times New Roman" w:cs="Calibri"/>
                <w:sz w:val="18"/>
                <w:szCs w:val="18"/>
                <w:lang w:val="en-GB"/>
              </w:rPr>
              <w:t>a</w:t>
            </w:r>
            <w:r w:rsidR="00302BFE" w:rsidRPr="002444C5">
              <w:rPr>
                <w:rFonts w:eastAsia="Times New Roman" w:cs="Calibri"/>
                <w:sz w:val="18"/>
                <w:szCs w:val="18"/>
                <w:lang w:val="en-GB"/>
              </w:rPr>
              <w:t>) Lump sum (shared between all components) for fuel purchase and vehicle maintenance of the Project Coordination Unit to be used for most field missions (consultants and PCU staff) as well as for motorcycles for the travel of technical assistants and community mobilization assistants @ $ 1,500 / year for years 1 to 6. Total cost: $ 9,000</w:t>
            </w:r>
          </w:p>
          <w:p w14:paraId="317E7BDC" w14:textId="788A3610" w:rsidR="00302BFE" w:rsidRPr="002444C5" w:rsidRDefault="00A642FE" w:rsidP="00243B15">
            <w:pPr>
              <w:spacing w:before="40" w:after="40"/>
              <w:rPr>
                <w:rFonts w:eastAsia="Times New Roman" w:cs="Calibri"/>
                <w:sz w:val="18"/>
                <w:szCs w:val="18"/>
                <w:lang w:val="en-GB"/>
              </w:rPr>
            </w:pPr>
            <w:r w:rsidRPr="002444C5">
              <w:rPr>
                <w:rFonts w:eastAsia="Times New Roman" w:cs="Calibri"/>
                <w:sz w:val="18"/>
                <w:szCs w:val="18"/>
                <w:lang w:val="en-GB"/>
              </w:rPr>
              <w:t>b</w:t>
            </w:r>
            <w:r w:rsidR="00302BFE" w:rsidRPr="002444C5">
              <w:rPr>
                <w:rFonts w:eastAsia="Times New Roman" w:cs="Calibri"/>
                <w:sz w:val="18"/>
                <w:szCs w:val="18"/>
                <w:lang w:val="en-GB"/>
              </w:rPr>
              <w:t>) Travel costs for the participatory validation workshop of the composition and missions of the co-governance mechanism and the permanent technical core, as well as criteria for the selection of members, ensuring the participation of women in decisions (Output 1.1). Estimated costs assuming the participation of 75 people from the PONASI region and 10 people from Ouagadougou. Total cost: $ 2,200 in the first year</w:t>
            </w:r>
          </w:p>
          <w:p w14:paraId="5C6287A7" w14:textId="304029CE" w:rsidR="00302BFE" w:rsidRPr="002444C5" w:rsidRDefault="00A642FE" w:rsidP="00243B15">
            <w:pPr>
              <w:spacing w:before="40" w:after="40"/>
              <w:rPr>
                <w:rFonts w:eastAsia="Times New Roman" w:cs="Calibri"/>
                <w:sz w:val="18"/>
                <w:szCs w:val="18"/>
                <w:lang w:val="en-GB"/>
              </w:rPr>
            </w:pPr>
            <w:r w:rsidRPr="002444C5">
              <w:rPr>
                <w:rFonts w:eastAsia="Times New Roman" w:cs="Calibri"/>
                <w:sz w:val="18"/>
                <w:szCs w:val="18"/>
                <w:lang w:val="en-GB"/>
              </w:rPr>
              <w:t>c</w:t>
            </w:r>
            <w:r w:rsidR="00302BFE" w:rsidRPr="002444C5">
              <w:rPr>
                <w:rFonts w:eastAsia="Times New Roman" w:cs="Calibri"/>
                <w:sz w:val="18"/>
                <w:szCs w:val="18"/>
                <w:lang w:val="en-GB"/>
              </w:rPr>
              <w:t>) Travel costs for 10 local workshops / roundtable negotiations to discuss the land use decision process, and criteria / standards for the conservation of biodiversity and SEs, PAs and SLM as a basis for planning, assuming 50 mainly local participants. (Output 1.2). Estimated costs assuming the participation of 50 people from the region @ $1,200 for each workshop. Total cost $ 3,600 in first year</w:t>
            </w:r>
          </w:p>
          <w:p w14:paraId="4AFAFE9D" w14:textId="3BD585E9" w:rsidR="00302BFE" w:rsidRPr="002444C5" w:rsidRDefault="00A642FE" w:rsidP="00243B15">
            <w:pPr>
              <w:spacing w:before="40" w:after="40"/>
              <w:rPr>
                <w:rFonts w:eastAsia="Times New Roman" w:cs="Calibri"/>
                <w:sz w:val="18"/>
                <w:szCs w:val="18"/>
                <w:lang w:val="en-GB"/>
              </w:rPr>
            </w:pPr>
            <w:r w:rsidRPr="002444C5">
              <w:rPr>
                <w:rFonts w:eastAsia="Times New Roman" w:cs="Calibri"/>
                <w:sz w:val="18"/>
                <w:szCs w:val="18"/>
                <w:lang w:val="en-GB"/>
              </w:rPr>
              <w:t>d</w:t>
            </w:r>
            <w:r w:rsidR="00302BFE" w:rsidRPr="002444C5">
              <w:rPr>
                <w:rFonts w:eastAsia="Times New Roman" w:cs="Calibri"/>
                <w:sz w:val="18"/>
                <w:szCs w:val="18"/>
                <w:lang w:val="en-GB"/>
              </w:rPr>
              <w:t>) Reserve for travel costs to ensure the participation of local community members in training provided by the international consultant as part of the environmental land use planning process. (Output 1.1) Total cost $ 3,000</w:t>
            </w:r>
          </w:p>
          <w:p w14:paraId="1A06AAEC" w14:textId="77777777" w:rsidR="00302BFE" w:rsidRPr="002444C5" w:rsidRDefault="00302BFE" w:rsidP="00243B15">
            <w:pPr>
              <w:spacing w:before="40" w:after="40"/>
              <w:rPr>
                <w:rFonts w:eastAsia="Times New Roman" w:cs="Calibri"/>
                <w:sz w:val="18"/>
                <w:szCs w:val="18"/>
                <w:lang w:val="en-GB"/>
              </w:rPr>
            </w:pPr>
            <w:r w:rsidRPr="002444C5">
              <w:rPr>
                <w:rFonts w:eastAsia="Times New Roman" w:cs="Calibri"/>
                <w:sz w:val="18"/>
                <w:szCs w:val="18"/>
                <w:lang w:val="en-GB"/>
              </w:rPr>
              <w:t>f) Travel costs for the participatory validation workshop of the PONASI Landscape Land Use Master Plan (Output 1.4). Estimated costs assuming the participation of 75 people from the PONASI region and 10 people from Ouagadougou. Total cost: $ 2,200 in the first year</w:t>
            </w:r>
          </w:p>
          <w:p w14:paraId="0CD7EA11" w14:textId="1B3A1A32" w:rsidR="00302BFE" w:rsidRPr="002444C5" w:rsidRDefault="00A642FE" w:rsidP="00243B15">
            <w:pPr>
              <w:spacing w:before="40" w:after="40"/>
              <w:rPr>
                <w:rFonts w:eastAsia="Times New Roman" w:cs="Calibri"/>
                <w:sz w:val="18"/>
                <w:szCs w:val="18"/>
                <w:lang w:val="en-GB"/>
              </w:rPr>
            </w:pPr>
            <w:r w:rsidRPr="002444C5">
              <w:rPr>
                <w:rFonts w:eastAsia="Times New Roman" w:cs="Calibri"/>
                <w:sz w:val="18"/>
                <w:szCs w:val="18"/>
                <w:lang w:val="en-GB"/>
              </w:rPr>
              <w:t>e</w:t>
            </w:r>
            <w:r w:rsidR="00302BFE" w:rsidRPr="002444C5">
              <w:rPr>
                <w:rFonts w:eastAsia="Times New Roman" w:cs="Calibri"/>
                <w:sz w:val="18"/>
                <w:szCs w:val="18"/>
                <w:lang w:val="en-GB"/>
              </w:rPr>
              <w:t>) Travel costs for the tasks related to the assessment (years 1 and 2) and monitoring (years 3 and 6) of carbon stocks in the field under output 1.3. Rent a vehicle / driver for 30 days @ $ 200 / day assuming some of the needs will be covered by the project car. Subsistence expenses for the forest engineer for 30 days @ $ 120 / day. Total cost: $ 9,600</w:t>
            </w:r>
          </w:p>
          <w:p w14:paraId="523B48D8" w14:textId="20491172" w:rsidR="00302BFE" w:rsidRPr="002444C5" w:rsidRDefault="00A642FE" w:rsidP="00243B15">
            <w:pPr>
              <w:spacing w:before="40" w:after="40"/>
              <w:rPr>
                <w:rFonts w:eastAsia="Times New Roman" w:cs="Calibri"/>
                <w:sz w:val="18"/>
                <w:szCs w:val="18"/>
                <w:lang w:val="en-GB"/>
              </w:rPr>
            </w:pPr>
            <w:r w:rsidRPr="002444C5">
              <w:rPr>
                <w:rFonts w:eastAsia="Times New Roman" w:cs="Calibri"/>
                <w:sz w:val="18"/>
                <w:szCs w:val="18"/>
                <w:lang w:val="en-GB"/>
              </w:rPr>
              <w:t>f</w:t>
            </w:r>
            <w:r w:rsidR="00302BFE" w:rsidRPr="002444C5">
              <w:rPr>
                <w:rFonts w:eastAsia="Times New Roman" w:cs="Calibri"/>
                <w:sz w:val="18"/>
                <w:szCs w:val="18"/>
                <w:lang w:val="en-GB"/>
              </w:rPr>
              <w:t>) Travel expenses of the international consultant, expert in environmental land use planning, including 4 missions (years 1 to 4) of 10 days on average in Burkina Faso (4 days Ouagadougou, 6 days in the field) and rental of a vehicle / driver ($ 1500 / airline ticket, 3 per diem Ouagadougou @ $ 260, 7 per diem region @ 120, 7 days vehicle @ $ 200 / day). Total cost: $ 19,200</w:t>
            </w:r>
          </w:p>
          <w:p w14:paraId="476668ED" w14:textId="5D1740EB" w:rsidR="00302BFE" w:rsidRPr="002444C5" w:rsidRDefault="00A642FE" w:rsidP="00243B15">
            <w:pPr>
              <w:spacing w:before="40" w:after="40"/>
              <w:rPr>
                <w:rFonts w:cs="Calibri"/>
                <w:sz w:val="18"/>
                <w:szCs w:val="18"/>
                <w:lang w:val="en-GB"/>
              </w:rPr>
            </w:pPr>
            <w:r w:rsidRPr="002444C5">
              <w:rPr>
                <w:rFonts w:eastAsia="Times New Roman" w:cs="Calibri"/>
                <w:sz w:val="18"/>
                <w:szCs w:val="18"/>
                <w:lang w:val="en-GB"/>
              </w:rPr>
              <w:t>g</w:t>
            </w:r>
            <w:r w:rsidR="00302BFE" w:rsidRPr="002444C5">
              <w:rPr>
                <w:rFonts w:eastAsia="Times New Roman" w:cs="Calibri"/>
                <w:sz w:val="18"/>
                <w:szCs w:val="18"/>
                <w:lang w:val="en-GB"/>
              </w:rPr>
              <w:t>) Travel expenses of the international consultant, expert in design and management of data systems (Output 1.5), for 1 mission of 10 days in Burkina Faso (4 days Ouagadougou, 6 days field) and the rental of a vehicle / driver ($ 1500 / airline ticket, 3 per diem Ouagadougou @ $ 260, 7 per diem region @ 120, 7 days vehicle @ $ 200 / day). Total cost: $ 4,800 during the 2</w:t>
            </w:r>
            <w:r w:rsidR="00302BFE" w:rsidRPr="002444C5">
              <w:rPr>
                <w:rFonts w:eastAsia="Times New Roman" w:cs="Calibri"/>
                <w:sz w:val="18"/>
                <w:szCs w:val="18"/>
                <w:vertAlign w:val="superscript"/>
                <w:lang w:val="en-GB"/>
              </w:rPr>
              <w:t>nd</w:t>
            </w:r>
            <w:r w:rsidR="00302BFE" w:rsidRPr="002444C5">
              <w:rPr>
                <w:rFonts w:eastAsia="Times New Roman" w:cs="Calibri"/>
                <w:sz w:val="18"/>
                <w:szCs w:val="18"/>
                <w:lang w:val="en-GB"/>
              </w:rPr>
              <w:t xml:space="preserve"> year</w:t>
            </w:r>
            <w:r w:rsidR="00302BFE" w:rsidRPr="002444C5">
              <w:rPr>
                <w:rFonts w:cs="Calibri"/>
                <w:sz w:val="18"/>
                <w:szCs w:val="18"/>
                <w:lang w:val="en-GB"/>
              </w:rPr>
              <w:t>.</w:t>
            </w:r>
          </w:p>
        </w:tc>
      </w:tr>
      <w:tr w:rsidR="00302BFE" w:rsidRPr="007C230C" w14:paraId="307F3062" w14:textId="77777777" w:rsidTr="004F4EA2">
        <w:trPr>
          <w:trHeight w:val="485"/>
          <w:jc w:val="center"/>
        </w:trPr>
        <w:tc>
          <w:tcPr>
            <w:tcW w:w="703" w:type="dxa"/>
            <w:tcBorders>
              <w:top w:val="single" w:sz="4" w:space="0" w:color="auto"/>
              <w:left w:val="single" w:sz="4" w:space="0" w:color="auto"/>
              <w:bottom w:val="single" w:sz="4" w:space="0" w:color="auto"/>
              <w:right w:val="single" w:sz="4" w:space="0" w:color="auto"/>
            </w:tcBorders>
            <w:hideMark/>
          </w:tcPr>
          <w:p w14:paraId="69E30F53" w14:textId="6355C140" w:rsidR="00302BFE" w:rsidRPr="006E490C" w:rsidRDefault="00D45B3D" w:rsidP="00243B15">
            <w:pPr>
              <w:spacing w:before="40" w:after="40"/>
              <w:jc w:val="center"/>
              <w:rPr>
                <w:rFonts w:eastAsia="Times New Roman" w:cs="Calibri"/>
                <w:i/>
                <w:iCs/>
                <w:sz w:val="18"/>
                <w:szCs w:val="18"/>
                <w:lang w:val="en-GB"/>
              </w:rPr>
            </w:pPr>
            <w:r>
              <w:rPr>
                <w:rFonts w:eastAsia="Times New Roman" w:cs="Calibri"/>
                <w:i/>
                <w:iCs/>
                <w:sz w:val="18"/>
                <w:szCs w:val="18"/>
                <w:lang w:val="en-GB"/>
              </w:rPr>
              <w:t>5</w:t>
            </w:r>
          </w:p>
        </w:tc>
        <w:tc>
          <w:tcPr>
            <w:tcW w:w="13687" w:type="dxa"/>
            <w:tcBorders>
              <w:top w:val="single" w:sz="4" w:space="0" w:color="auto"/>
              <w:left w:val="single" w:sz="4" w:space="0" w:color="auto"/>
              <w:bottom w:val="single" w:sz="4" w:space="0" w:color="auto"/>
              <w:right w:val="single" w:sz="4" w:space="0" w:color="auto"/>
            </w:tcBorders>
            <w:hideMark/>
          </w:tcPr>
          <w:p w14:paraId="46CFDC76" w14:textId="77777777" w:rsidR="00302BFE" w:rsidRDefault="00302BFE" w:rsidP="00243B15">
            <w:pPr>
              <w:spacing w:before="40" w:after="40"/>
              <w:rPr>
                <w:sz w:val="18"/>
                <w:szCs w:val="18"/>
                <w:lang w:val="en-GB" w:eastAsia="ja-JP"/>
              </w:rPr>
            </w:pPr>
            <w:r>
              <w:rPr>
                <w:sz w:val="18"/>
                <w:szCs w:val="18"/>
                <w:lang w:val="en-GB" w:eastAsia="ja-JP"/>
              </w:rPr>
              <w:t xml:space="preserve">a) </w:t>
            </w:r>
            <w:r w:rsidRPr="006E490C">
              <w:rPr>
                <w:sz w:val="18"/>
                <w:szCs w:val="18"/>
                <w:lang w:val="en-GB" w:eastAsia="ja-JP"/>
              </w:rPr>
              <w:t xml:space="preserve">Local environmental NGOs to train local communities, both men and women, to enable them to participate effectively in the collaborative land use planning process in the PONASI landscape. </w:t>
            </w:r>
            <w:r w:rsidRPr="00683440">
              <w:rPr>
                <w:rFonts w:eastAsia="Times New Roman" w:cs="Calibri"/>
                <w:sz w:val="18"/>
                <w:szCs w:val="18"/>
                <w:lang w:val="en-GB"/>
              </w:rPr>
              <w:t xml:space="preserve">Rate: $ </w:t>
            </w:r>
            <w:r>
              <w:rPr>
                <w:rFonts w:eastAsia="Times New Roman" w:cs="Calibri"/>
                <w:sz w:val="18"/>
                <w:szCs w:val="18"/>
                <w:lang w:val="en-GB"/>
              </w:rPr>
              <w:t>6</w:t>
            </w:r>
            <w:r w:rsidRPr="00683440">
              <w:rPr>
                <w:rFonts w:eastAsia="Times New Roman" w:cs="Calibri"/>
                <w:sz w:val="18"/>
                <w:szCs w:val="18"/>
                <w:lang w:val="en-GB"/>
              </w:rPr>
              <w:t>,</w:t>
            </w:r>
            <w:r>
              <w:rPr>
                <w:rFonts w:eastAsia="Times New Roman" w:cs="Calibri"/>
                <w:sz w:val="18"/>
                <w:szCs w:val="18"/>
                <w:lang w:val="en-GB"/>
              </w:rPr>
              <w:t>00</w:t>
            </w:r>
            <w:r w:rsidRPr="00683440">
              <w:rPr>
                <w:rFonts w:eastAsia="Times New Roman" w:cs="Calibri"/>
                <w:sz w:val="18"/>
                <w:szCs w:val="18"/>
                <w:lang w:val="en-GB"/>
              </w:rPr>
              <w:t xml:space="preserve">0 / month </w:t>
            </w:r>
            <w:r>
              <w:rPr>
                <w:rFonts w:eastAsia="Times New Roman" w:cs="Calibri"/>
                <w:sz w:val="18"/>
                <w:szCs w:val="18"/>
                <w:lang w:val="en-GB"/>
              </w:rPr>
              <w:t xml:space="preserve">for </w:t>
            </w:r>
            <w:r w:rsidRPr="006E490C">
              <w:rPr>
                <w:sz w:val="18"/>
                <w:szCs w:val="18"/>
                <w:lang w:val="en-GB" w:eastAsia="ja-JP"/>
              </w:rPr>
              <w:t>3 months in year 2. Total cost: $ 18,000.</w:t>
            </w:r>
          </w:p>
          <w:p w14:paraId="2F4977A1" w14:textId="77777777" w:rsidR="00302BFE" w:rsidRPr="007C230C" w:rsidRDefault="00302BFE" w:rsidP="00243B15">
            <w:pPr>
              <w:spacing w:before="40" w:after="40"/>
              <w:rPr>
                <w:rFonts w:cs="Calibri"/>
                <w:sz w:val="18"/>
                <w:szCs w:val="18"/>
                <w:lang w:val="en-GB"/>
              </w:rPr>
            </w:pPr>
            <w:r w:rsidRPr="004708C8">
              <w:rPr>
                <w:rFonts w:cs="Calibri"/>
                <w:sz w:val="18"/>
                <w:szCs w:val="18"/>
                <w:lang w:val="en-GB"/>
              </w:rPr>
              <w:t>b</w:t>
            </w:r>
            <w:r w:rsidRPr="00363257">
              <w:rPr>
                <w:rFonts w:cs="Calibri"/>
                <w:sz w:val="18"/>
                <w:szCs w:val="18"/>
                <w:lang w:val="en-GB"/>
              </w:rPr>
              <w:t>) Environmental consulting firm to conduct an interdisciplinary assessment / valuation study of key ecosystem services in the PONASI landscape. Rate: $ 80,000 over 12 months in year 2 and paid as a lump sum based on deliverables (Output 1.2.1). Total cost: $ 80,000.</w:t>
            </w:r>
          </w:p>
        </w:tc>
      </w:tr>
      <w:tr w:rsidR="00302BFE" w:rsidRPr="006E490C" w14:paraId="65AC1DEC" w14:textId="77777777" w:rsidTr="004F4EA2">
        <w:trPr>
          <w:trHeight w:val="485"/>
          <w:jc w:val="center"/>
        </w:trPr>
        <w:tc>
          <w:tcPr>
            <w:tcW w:w="703" w:type="dxa"/>
            <w:tcBorders>
              <w:top w:val="single" w:sz="4" w:space="0" w:color="auto"/>
              <w:left w:val="single" w:sz="4" w:space="0" w:color="auto"/>
              <w:bottom w:val="single" w:sz="4" w:space="0" w:color="auto"/>
              <w:right w:val="single" w:sz="4" w:space="0" w:color="auto"/>
            </w:tcBorders>
            <w:hideMark/>
          </w:tcPr>
          <w:p w14:paraId="1A6FF1BA" w14:textId="149DD0B8" w:rsidR="00302BFE" w:rsidRPr="006E490C" w:rsidRDefault="00D45B3D" w:rsidP="00243B15">
            <w:pPr>
              <w:spacing w:before="40" w:after="40"/>
              <w:jc w:val="center"/>
              <w:rPr>
                <w:rFonts w:eastAsia="Times New Roman" w:cs="Calibri"/>
                <w:i/>
                <w:iCs/>
                <w:sz w:val="18"/>
                <w:szCs w:val="18"/>
                <w:lang w:val="en-GB"/>
              </w:rPr>
            </w:pPr>
            <w:r>
              <w:rPr>
                <w:rFonts w:eastAsia="Times New Roman" w:cs="Calibri"/>
                <w:i/>
                <w:iCs/>
                <w:sz w:val="18"/>
                <w:szCs w:val="18"/>
                <w:lang w:val="en-GB"/>
              </w:rPr>
              <w:t>6</w:t>
            </w:r>
          </w:p>
        </w:tc>
        <w:tc>
          <w:tcPr>
            <w:tcW w:w="13687" w:type="dxa"/>
            <w:tcBorders>
              <w:top w:val="single" w:sz="4" w:space="0" w:color="auto"/>
              <w:left w:val="single" w:sz="4" w:space="0" w:color="auto"/>
              <w:bottom w:val="single" w:sz="4" w:space="0" w:color="auto"/>
              <w:right w:val="single" w:sz="4" w:space="0" w:color="auto"/>
            </w:tcBorders>
            <w:hideMark/>
          </w:tcPr>
          <w:p w14:paraId="5399230B" w14:textId="77777777" w:rsidR="00302BFE" w:rsidRPr="006E490C" w:rsidRDefault="00302BFE" w:rsidP="00243B15">
            <w:pPr>
              <w:spacing w:before="40" w:after="40"/>
              <w:rPr>
                <w:rFonts w:cs="Calibri"/>
                <w:sz w:val="18"/>
                <w:szCs w:val="18"/>
                <w:lang w:val="en-GB"/>
              </w:rPr>
            </w:pPr>
            <w:r w:rsidRPr="006E490C">
              <w:rPr>
                <w:rFonts w:cs="Calibri"/>
                <w:sz w:val="18"/>
                <w:szCs w:val="18"/>
                <w:lang w:val="en-GB"/>
              </w:rPr>
              <w:t xml:space="preserve">a) Forest equipment for carbon stock assessment under Output 1.3 (including a </w:t>
            </w:r>
            <w:proofErr w:type="spellStart"/>
            <w:r w:rsidRPr="006E490C">
              <w:rPr>
                <w:rFonts w:cs="Calibri"/>
                <w:sz w:val="18"/>
                <w:szCs w:val="18"/>
                <w:lang w:val="en-GB"/>
              </w:rPr>
              <w:t>ProLaser</w:t>
            </w:r>
            <w:proofErr w:type="spellEnd"/>
            <w:r w:rsidRPr="006E490C">
              <w:rPr>
                <w:rFonts w:cs="Calibri"/>
                <w:sz w:val="18"/>
                <w:szCs w:val="18"/>
                <w:lang w:val="en-GB"/>
              </w:rPr>
              <w:t xml:space="preserve"> Rangefinder / Hypsometer, Garmin GPS, vernier </w:t>
            </w:r>
            <w:proofErr w:type="spellStart"/>
            <w:r w:rsidRPr="006E490C">
              <w:rPr>
                <w:rFonts w:cs="Calibri"/>
                <w:sz w:val="18"/>
                <w:szCs w:val="18"/>
                <w:lang w:val="en-GB"/>
              </w:rPr>
              <w:t>caliper</w:t>
            </w:r>
            <w:proofErr w:type="spellEnd"/>
            <w:r w:rsidRPr="006E490C">
              <w:rPr>
                <w:rFonts w:cs="Calibri"/>
                <w:sz w:val="18"/>
                <w:szCs w:val="18"/>
                <w:lang w:val="en-GB"/>
              </w:rPr>
              <w:t>, compass, tape measure) Total cost: $ 1,000 in the first year</w:t>
            </w:r>
          </w:p>
          <w:p w14:paraId="34E238DC" w14:textId="77777777" w:rsidR="00302BFE" w:rsidRPr="006E490C" w:rsidRDefault="00302BFE" w:rsidP="00243B15">
            <w:pPr>
              <w:spacing w:before="40" w:after="40"/>
              <w:rPr>
                <w:rFonts w:cs="Calibri"/>
                <w:sz w:val="18"/>
                <w:szCs w:val="18"/>
                <w:lang w:val="en-GB"/>
              </w:rPr>
            </w:pPr>
            <w:r w:rsidRPr="006E490C">
              <w:rPr>
                <w:rFonts w:cs="Calibri"/>
                <w:sz w:val="18"/>
                <w:szCs w:val="18"/>
                <w:lang w:val="en-GB"/>
              </w:rPr>
              <w:t xml:space="preserve">b) Satellite images / aerial photographs to assess changes in land use and vegetation cover in the priority forest areas of the PONASI landscape and to plan field inventories. Total cost: $ 20,000 in years 1 and 6. (Output 1.3) </w:t>
            </w:r>
          </w:p>
        </w:tc>
      </w:tr>
      <w:tr w:rsidR="00302BFE" w:rsidRPr="006E490C" w14:paraId="59C9E45F"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1704C3F3" w14:textId="57124864" w:rsidR="00302BFE" w:rsidRPr="006E490C" w:rsidRDefault="00D45B3D" w:rsidP="00243B15">
            <w:pPr>
              <w:spacing w:before="40" w:after="40"/>
              <w:jc w:val="center"/>
              <w:rPr>
                <w:rFonts w:eastAsia="Times New Roman" w:cs="Calibri"/>
                <w:i/>
                <w:iCs/>
                <w:sz w:val="18"/>
                <w:szCs w:val="18"/>
                <w:lang w:val="en-GB"/>
              </w:rPr>
            </w:pPr>
            <w:r>
              <w:rPr>
                <w:rFonts w:eastAsia="Times New Roman" w:cs="Calibri"/>
                <w:i/>
                <w:iCs/>
                <w:sz w:val="18"/>
                <w:szCs w:val="18"/>
                <w:lang w:val="en-GB"/>
              </w:rPr>
              <w:t>7</w:t>
            </w:r>
          </w:p>
        </w:tc>
        <w:tc>
          <w:tcPr>
            <w:tcW w:w="13687" w:type="dxa"/>
            <w:tcBorders>
              <w:top w:val="single" w:sz="4" w:space="0" w:color="auto"/>
              <w:left w:val="single" w:sz="4" w:space="0" w:color="auto"/>
              <w:bottom w:val="single" w:sz="4" w:space="0" w:color="auto"/>
              <w:right w:val="single" w:sz="4" w:space="0" w:color="auto"/>
            </w:tcBorders>
            <w:hideMark/>
          </w:tcPr>
          <w:p w14:paraId="2CDDF342" w14:textId="77777777" w:rsidR="00302BFE" w:rsidRPr="006E490C" w:rsidRDefault="00302BFE" w:rsidP="00243B15">
            <w:pPr>
              <w:spacing w:before="40" w:after="40"/>
              <w:rPr>
                <w:rFonts w:cs="Calibri"/>
                <w:sz w:val="18"/>
                <w:szCs w:val="18"/>
                <w:lang w:val="en-GB"/>
              </w:rPr>
            </w:pPr>
            <w:r w:rsidRPr="006E490C">
              <w:rPr>
                <w:rFonts w:cs="Calibri"/>
                <w:sz w:val="18"/>
                <w:szCs w:val="18"/>
                <w:lang w:val="en-GB"/>
              </w:rPr>
              <w:t>Printing material for the training offered to the stakeholders of the co-governance mechanism and the permanent technical core Total cost: $ 5,000 during the 1</w:t>
            </w:r>
            <w:r w:rsidRPr="006E490C">
              <w:rPr>
                <w:rFonts w:cs="Calibri"/>
                <w:sz w:val="18"/>
                <w:szCs w:val="18"/>
                <w:vertAlign w:val="superscript"/>
                <w:lang w:val="en-GB"/>
              </w:rPr>
              <w:t>st</w:t>
            </w:r>
            <w:r w:rsidRPr="006E490C">
              <w:rPr>
                <w:rFonts w:cs="Calibri"/>
                <w:sz w:val="18"/>
                <w:szCs w:val="18"/>
                <w:lang w:val="en-GB"/>
              </w:rPr>
              <w:t xml:space="preserve"> and 2</w:t>
            </w:r>
            <w:r w:rsidRPr="006E490C">
              <w:rPr>
                <w:rFonts w:cs="Calibri"/>
                <w:sz w:val="18"/>
                <w:szCs w:val="18"/>
                <w:vertAlign w:val="superscript"/>
                <w:lang w:val="en-GB"/>
              </w:rPr>
              <w:t>nd</w:t>
            </w:r>
            <w:r w:rsidRPr="006E490C">
              <w:rPr>
                <w:rFonts w:cs="Calibri"/>
                <w:sz w:val="18"/>
                <w:szCs w:val="18"/>
                <w:lang w:val="en-GB"/>
              </w:rPr>
              <w:t xml:space="preserve"> year</w:t>
            </w:r>
            <w:r w:rsidRPr="006E490C">
              <w:rPr>
                <w:sz w:val="18"/>
                <w:szCs w:val="18"/>
                <w:lang w:val="en-GB" w:eastAsia="ja-JP"/>
              </w:rPr>
              <w:t>.</w:t>
            </w:r>
          </w:p>
        </w:tc>
      </w:tr>
      <w:tr w:rsidR="00302BFE" w:rsidRPr="006E490C" w14:paraId="1B11F3E3"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314AEF99" w14:textId="295CD5F8" w:rsidR="00302BFE" w:rsidRPr="006E490C" w:rsidRDefault="00D45B3D" w:rsidP="00243B15">
            <w:pPr>
              <w:spacing w:before="40" w:after="40"/>
              <w:jc w:val="center"/>
              <w:rPr>
                <w:rFonts w:eastAsia="Times New Roman" w:cs="Calibri"/>
                <w:i/>
                <w:iCs/>
                <w:sz w:val="18"/>
                <w:szCs w:val="18"/>
                <w:lang w:val="en-GB"/>
              </w:rPr>
            </w:pPr>
            <w:r>
              <w:rPr>
                <w:rFonts w:eastAsia="Times New Roman" w:cs="Calibri"/>
                <w:i/>
                <w:iCs/>
                <w:sz w:val="18"/>
                <w:szCs w:val="18"/>
                <w:lang w:val="en-GB"/>
              </w:rPr>
              <w:t>8</w:t>
            </w:r>
          </w:p>
        </w:tc>
        <w:tc>
          <w:tcPr>
            <w:tcW w:w="13687" w:type="dxa"/>
            <w:tcBorders>
              <w:top w:val="single" w:sz="4" w:space="0" w:color="auto"/>
              <w:left w:val="single" w:sz="4" w:space="0" w:color="auto"/>
              <w:bottom w:val="single" w:sz="4" w:space="0" w:color="auto"/>
              <w:right w:val="single" w:sz="4" w:space="0" w:color="auto"/>
            </w:tcBorders>
            <w:hideMark/>
          </w:tcPr>
          <w:p w14:paraId="22D68751" w14:textId="77777777" w:rsidR="00302BFE" w:rsidRPr="006E490C" w:rsidRDefault="00302BFE" w:rsidP="00243B15">
            <w:pPr>
              <w:spacing w:before="40" w:after="40"/>
              <w:rPr>
                <w:rFonts w:cs="Calibri"/>
                <w:color w:val="000000"/>
                <w:sz w:val="18"/>
                <w:szCs w:val="18"/>
                <w:lang w:val="en-GB"/>
              </w:rPr>
            </w:pPr>
            <w:r w:rsidRPr="006E490C">
              <w:rPr>
                <w:rFonts w:cs="Calibri"/>
                <w:color w:val="000000"/>
                <w:sz w:val="18"/>
                <w:szCs w:val="18"/>
                <w:lang w:val="en-GB"/>
              </w:rPr>
              <w:t>Incidental costs related to the establishment of a PONASI Integrated Landscape Management Framework. Total cost: $ 60,000 in Years 1-6 (for all outputs in the component).</w:t>
            </w:r>
          </w:p>
        </w:tc>
      </w:tr>
      <w:tr w:rsidR="00302BFE" w:rsidRPr="006E490C" w14:paraId="55DDE846"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1AC60D8E" w14:textId="54291691" w:rsidR="00302BFE" w:rsidRPr="006E490C" w:rsidRDefault="00D45B3D" w:rsidP="00243B15">
            <w:pPr>
              <w:spacing w:before="40" w:after="40"/>
              <w:jc w:val="center"/>
              <w:rPr>
                <w:rFonts w:eastAsia="Times New Roman" w:cs="Calibri"/>
                <w:i/>
                <w:iCs/>
                <w:sz w:val="18"/>
                <w:szCs w:val="18"/>
                <w:lang w:val="en-GB"/>
              </w:rPr>
            </w:pPr>
            <w:r>
              <w:rPr>
                <w:rFonts w:eastAsia="Times New Roman" w:cs="Calibri"/>
                <w:i/>
                <w:iCs/>
                <w:sz w:val="18"/>
                <w:szCs w:val="18"/>
                <w:lang w:val="en-GB"/>
              </w:rPr>
              <w:t>9</w:t>
            </w:r>
          </w:p>
        </w:tc>
        <w:tc>
          <w:tcPr>
            <w:tcW w:w="13687" w:type="dxa"/>
            <w:tcBorders>
              <w:top w:val="single" w:sz="4" w:space="0" w:color="auto"/>
              <w:left w:val="single" w:sz="4" w:space="0" w:color="auto"/>
              <w:bottom w:val="single" w:sz="4" w:space="0" w:color="auto"/>
              <w:right w:val="single" w:sz="4" w:space="0" w:color="auto"/>
            </w:tcBorders>
            <w:hideMark/>
          </w:tcPr>
          <w:p w14:paraId="3B02BC01" w14:textId="77777777" w:rsidR="00302BFE" w:rsidRPr="006E490C" w:rsidRDefault="00302BFE" w:rsidP="00243B15">
            <w:pPr>
              <w:spacing w:before="40" w:after="40"/>
              <w:rPr>
                <w:rFonts w:cs="Calibri"/>
                <w:sz w:val="18"/>
                <w:szCs w:val="18"/>
                <w:lang w:val="en-GB"/>
              </w:rPr>
            </w:pPr>
            <w:r w:rsidRPr="006E490C">
              <w:rPr>
                <w:rFonts w:cs="Calibri"/>
                <w:sz w:val="18"/>
                <w:szCs w:val="18"/>
                <w:lang w:val="en-GB"/>
              </w:rPr>
              <w:t>a) Participatory review and validation workshop on the composition, mission and operational rules of the co-governance mechanism and the permanent technical core, as well as criteria for the selection of members, ensuring women's participation in decisions, assuming 85 participants including 10 from Ouagadougou (Output 1.1). Cost $ 1,000 in first year</w:t>
            </w:r>
          </w:p>
          <w:p w14:paraId="72F34DC6" w14:textId="77777777" w:rsidR="00302BFE" w:rsidRPr="006E490C" w:rsidRDefault="00302BFE" w:rsidP="00243B15">
            <w:pPr>
              <w:spacing w:before="40" w:after="40"/>
              <w:rPr>
                <w:rFonts w:cs="Calibri"/>
                <w:sz w:val="18"/>
                <w:szCs w:val="18"/>
                <w:lang w:val="en-GB"/>
              </w:rPr>
            </w:pPr>
            <w:r w:rsidRPr="006E490C">
              <w:rPr>
                <w:rFonts w:cs="Calibri"/>
                <w:sz w:val="18"/>
                <w:szCs w:val="18"/>
                <w:lang w:val="en-GB"/>
              </w:rPr>
              <w:t>b) Training program on the environmental land use planning process for relevant stakeholders, ensuring meaningful participation of women. Total cost $ 5,000 in 1</w:t>
            </w:r>
            <w:r w:rsidRPr="006E490C">
              <w:rPr>
                <w:rFonts w:cs="Calibri"/>
                <w:sz w:val="18"/>
                <w:szCs w:val="18"/>
                <w:vertAlign w:val="superscript"/>
                <w:lang w:val="en-GB"/>
              </w:rPr>
              <w:t>st</w:t>
            </w:r>
            <w:r w:rsidRPr="006E490C">
              <w:rPr>
                <w:rFonts w:cs="Calibri"/>
                <w:sz w:val="18"/>
                <w:szCs w:val="18"/>
                <w:lang w:val="en-GB"/>
              </w:rPr>
              <w:t xml:space="preserve"> and 2</w:t>
            </w:r>
            <w:r w:rsidRPr="006E490C">
              <w:rPr>
                <w:rFonts w:cs="Calibri"/>
                <w:sz w:val="18"/>
                <w:szCs w:val="18"/>
                <w:vertAlign w:val="superscript"/>
                <w:lang w:val="en-GB"/>
              </w:rPr>
              <w:t>nd</w:t>
            </w:r>
            <w:r w:rsidRPr="006E490C">
              <w:rPr>
                <w:rFonts w:cs="Calibri"/>
                <w:sz w:val="18"/>
                <w:szCs w:val="18"/>
                <w:lang w:val="en-GB"/>
              </w:rPr>
              <w:t xml:space="preserve"> year</w:t>
            </w:r>
          </w:p>
          <w:p w14:paraId="7AFB95D8" w14:textId="77777777" w:rsidR="00302BFE" w:rsidRPr="006E490C" w:rsidRDefault="00302BFE" w:rsidP="00243B15">
            <w:pPr>
              <w:spacing w:before="40" w:after="40"/>
              <w:rPr>
                <w:rFonts w:cs="Calibri"/>
                <w:sz w:val="18"/>
                <w:szCs w:val="18"/>
                <w:lang w:val="en-GB"/>
              </w:rPr>
            </w:pPr>
            <w:r w:rsidRPr="006E490C">
              <w:rPr>
                <w:rFonts w:cs="Calibri"/>
                <w:sz w:val="18"/>
                <w:szCs w:val="18"/>
                <w:lang w:val="en-GB"/>
              </w:rPr>
              <w:t>c) Ten (10) local workshops / roundtable negotiations to discuss the land use decision process, and criteria / standards for the conservation of biodiversity and SEs, PAs and SLM as a basis for planning, assuming 50 mainly local participants. (Output 1.2) Total Cost: $ 5,000 in 1</w:t>
            </w:r>
            <w:r w:rsidRPr="006E490C">
              <w:rPr>
                <w:rFonts w:cs="Calibri"/>
                <w:sz w:val="18"/>
                <w:szCs w:val="18"/>
                <w:vertAlign w:val="superscript"/>
                <w:lang w:val="en-GB"/>
              </w:rPr>
              <w:t>st</w:t>
            </w:r>
            <w:r w:rsidRPr="006E490C">
              <w:rPr>
                <w:rFonts w:cs="Calibri"/>
                <w:sz w:val="18"/>
                <w:szCs w:val="18"/>
                <w:lang w:val="en-GB"/>
              </w:rPr>
              <w:t xml:space="preserve"> and 2</w:t>
            </w:r>
            <w:r w:rsidRPr="006E490C">
              <w:rPr>
                <w:rFonts w:cs="Calibri"/>
                <w:sz w:val="18"/>
                <w:szCs w:val="18"/>
                <w:vertAlign w:val="superscript"/>
                <w:lang w:val="en-GB"/>
              </w:rPr>
              <w:t>nd</w:t>
            </w:r>
            <w:r w:rsidRPr="006E490C">
              <w:rPr>
                <w:rFonts w:cs="Calibri"/>
                <w:sz w:val="18"/>
                <w:szCs w:val="18"/>
                <w:lang w:val="en-GB"/>
              </w:rPr>
              <w:t xml:space="preserve"> year</w:t>
            </w:r>
          </w:p>
          <w:p w14:paraId="20B0757C" w14:textId="77777777" w:rsidR="00302BFE" w:rsidRPr="006E490C" w:rsidRDefault="00302BFE" w:rsidP="00243B15">
            <w:pPr>
              <w:spacing w:before="40" w:after="40"/>
              <w:rPr>
                <w:rFonts w:cs="Calibri"/>
                <w:sz w:val="18"/>
                <w:szCs w:val="18"/>
                <w:lang w:val="en-GB"/>
              </w:rPr>
            </w:pPr>
            <w:r w:rsidRPr="006E490C">
              <w:rPr>
                <w:rFonts w:cs="Calibri"/>
                <w:sz w:val="18"/>
                <w:szCs w:val="18"/>
                <w:lang w:val="en-GB"/>
              </w:rPr>
              <w:t>d) Annual meetings of the co-governance mechanism as part of the planning process @ $ 1000 / meeting. Total cost $ 6,000 (years 1 to 6)</w:t>
            </w:r>
          </w:p>
          <w:p w14:paraId="2C97CCD2" w14:textId="77777777" w:rsidR="00302BFE" w:rsidRPr="006E490C" w:rsidRDefault="00302BFE" w:rsidP="00243B15">
            <w:pPr>
              <w:spacing w:before="40" w:after="40"/>
              <w:rPr>
                <w:rFonts w:cs="Calibri"/>
                <w:sz w:val="18"/>
                <w:szCs w:val="18"/>
                <w:lang w:val="en-GB"/>
              </w:rPr>
            </w:pPr>
            <w:r w:rsidRPr="006E490C">
              <w:rPr>
                <w:rFonts w:cs="Calibri"/>
                <w:sz w:val="18"/>
                <w:szCs w:val="18"/>
                <w:lang w:val="en-GB"/>
              </w:rPr>
              <w:lastRenderedPageBreak/>
              <w:t>e) Quarterly workshops of the permanent technical core to monitor the planning process @ $ 300 / workshop. Total cost: $ 6,600 (years 1 to 6)</w:t>
            </w:r>
          </w:p>
          <w:p w14:paraId="569965A9" w14:textId="77777777" w:rsidR="00302BFE" w:rsidRPr="006E490C" w:rsidRDefault="00302BFE" w:rsidP="00243B15">
            <w:pPr>
              <w:spacing w:before="40" w:after="40"/>
              <w:rPr>
                <w:rFonts w:cs="Calibri"/>
                <w:sz w:val="18"/>
                <w:szCs w:val="18"/>
                <w:lang w:val="en-GB"/>
              </w:rPr>
            </w:pPr>
            <w:r w:rsidRPr="006E490C">
              <w:rPr>
                <w:rFonts w:cs="Calibri"/>
                <w:sz w:val="18"/>
                <w:szCs w:val="18"/>
                <w:lang w:val="en-GB"/>
              </w:rPr>
              <w:t>f) Master Plan Review and Validation Workshop (Output 1.4) Cost $ 1,000 in 3</w:t>
            </w:r>
            <w:r w:rsidRPr="006E490C">
              <w:rPr>
                <w:rFonts w:cs="Calibri"/>
                <w:sz w:val="18"/>
                <w:szCs w:val="18"/>
                <w:vertAlign w:val="superscript"/>
                <w:lang w:val="en-GB"/>
              </w:rPr>
              <w:t>rd</w:t>
            </w:r>
            <w:r w:rsidRPr="006E490C">
              <w:rPr>
                <w:rFonts w:cs="Calibri"/>
                <w:sz w:val="18"/>
                <w:szCs w:val="18"/>
                <w:lang w:val="en-GB"/>
              </w:rPr>
              <w:t xml:space="preserve"> year</w:t>
            </w:r>
          </w:p>
        </w:tc>
      </w:tr>
      <w:tr w:rsidR="00302BFE" w:rsidRPr="006E490C" w14:paraId="0E876DF2"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tcPr>
          <w:p w14:paraId="3D24A424" w14:textId="22AB3B4F" w:rsidR="00302BFE" w:rsidRPr="006E490C" w:rsidRDefault="00D45B3D" w:rsidP="00243B15">
            <w:pPr>
              <w:spacing w:before="40" w:after="40"/>
              <w:jc w:val="center"/>
              <w:rPr>
                <w:rFonts w:eastAsia="Times New Roman" w:cs="Calibri"/>
                <w:i/>
                <w:iCs/>
                <w:sz w:val="18"/>
                <w:szCs w:val="18"/>
                <w:lang w:val="en-GB"/>
              </w:rPr>
            </w:pPr>
            <w:r>
              <w:rPr>
                <w:rFonts w:eastAsia="Times New Roman" w:cs="Calibri"/>
                <w:i/>
                <w:iCs/>
                <w:sz w:val="18"/>
                <w:szCs w:val="18"/>
                <w:lang w:val="en-GB"/>
              </w:rPr>
              <w:lastRenderedPageBreak/>
              <w:t>10</w:t>
            </w:r>
          </w:p>
        </w:tc>
        <w:tc>
          <w:tcPr>
            <w:tcW w:w="13687" w:type="dxa"/>
            <w:tcBorders>
              <w:top w:val="single" w:sz="4" w:space="0" w:color="auto"/>
              <w:left w:val="single" w:sz="4" w:space="0" w:color="auto"/>
              <w:bottom w:val="single" w:sz="4" w:space="0" w:color="auto"/>
              <w:right w:val="single" w:sz="4" w:space="0" w:color="auto"/>
            </w:tcBorders>
          </w:tcPr>
          <w:p w14:paraId="41B9C355" w14:textId="77777777" w:rsidR="00302BFE" w:rsidRPr="006E490C" w:rsidRDefault="00302BFE" w:rsidP="00243B15">
            <w:pPr>
              <w:spacing w:before="40" w:after="40"/>
              <w:rPr>
                <w:rFonts w:cs="Calibri"/>
                <w:sz w:val="18"/>
                <w:szCs w:val="18"/>
                <w:lang w:val="en-CA"/>
              </w:rPr>
            </w:pPr>
            <w:r w:rsidRPr="006E490C">
              <w:rPr>
                <w:rFonts w:cs="Calibri"/>
                <w:sz w:val="18"/>
                <w:szCs w:val="18"/>
                <w:lang w:val="en-CA"/>
              </w:rPr>
              <w:t>Mission expenses / periodic monitoring and technical support for component 1 activities by UNDP staff @ $2,000 / year. Total cost $12,000.</w:t>
            </w:r>
          </w:p>
        </w:tc>
      </w:tr>
      <w:tr w:rsidR="00302BFE" w:rsidRPr="006E490C" w14:paraId="051710CE"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tcPr>
          <w:p w14:paraId="7C919D20" w14:textId="4453CD27"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1</w:t>
            </w:r>
            <w:r w:rsidR="00D45B3D">
              <w:rPr>
                <w:rFonts w:eastAsia="Times New Roman" w:cs="Calibri"/>
                <w:i/>
                <w:iCs/>
                <w:sz w:val="18"/>
                <w:szCs w:val="18"/>
                <w:lang w:val="en-GB"/>
              </w:rPr>
              <w:t>1</w:t>
            </w:r>
          </w:p>
        </w:tc>
        <w:tc>
          <w:tcPr>
            <w:tcW w:w="13687" w:type="dxa"/>
            <w:tcBorders>
              <w:top w:val="single" w:sz="4" w:space="0" w:color="auto"/>
              <w:left w:val="single" w:sz="4" w:space="0" w:color="auto"/>
              <w:bottom w:val="single" w:sz="4" w:space="0" w:color="auto"/>
              <w:right w:val="single" w:sz="4" w:space="0" w:color="auto"/>
            </w:tcBorders>
          </w:tcPr>
          <w:p w14:paraId="7945C803" w14:textId="77777777" w:rsidR="00302BFE" w:rsidRPr="00E03056" w:rsidRDefault="00302BFE" w:rsidP="00243B15">
            <w:pPr>
              <w:spacing w:before="40" w:after="40"/>
              <w:rPr>
                <w:rFonts w:cs="Calibri"/>
                <w:sz w:val="18"/>
                <w:szCs w:val="18"/>
                <w:lang w:val="en-GB"/>
              </w:rPr>
            </w:pPr>
            <w:r w:rsidRPr="00E03056">
              <w:rPr>
                <w:rFonts w:eastAsia="Times New Roman" w:cs="Calibri"/>
                <w:sz w:val="18"/>
                <w:szCs w:val="18"/>
                <w:lang w:val="en-GB"/>
              </w:rPr>
              <w:t>Budget reserve for possible fee adjustments based on the recruitment method for contracts under component 1 @ $ $7,500/year for years 2 to 6. Total amount $ 37,500</w:t>
            </w:r>
          </w:p>
        </w:tc>
      </w:tr>
      <w:tr w:rsidR="00302BFE" w:rsidRPr="006E490C" w14:paraId="204EE992"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tcPr>
          <w:p w14:paraId="60EC7019" w14:textId="2C019913"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1</w:t>
            </w:r>
            <w:r w:rsidR="00D45B3D">
              <w:rPr>
                <w:rFonts w:eastAsia="Times New Roman" w:cs="Calibri"/>
                <w:i/>
                <w:iCs/>
                <w:sz w:val="18"/>
                <w:szCs w:val="18"/>
                <w:lang w:val="en-GB"/>
              </w:rPr>
              <w:t>2</w:t>
            </w:r>
          </w:p>
        </w:tc>
        <w:tc>
          <w:tcPr>
            <w:tcW w:w="13687" w:type="dxa"/>
            <w:tcBorders>
              <w:top w:val="single" w:sz="4" w:space="0" w:color="auto"/>
              <w:left w:val="single" w:sz="4" w:space="0" w:color="auto"/>
              <w:bottom w:val="single" w:sz="4" w:space="0" w:color="auto"/>
              <w:right w:val="single" w:sz="4" w:space="0" w:color="auto"/>
            </w:tcBorders>
          </w:tcPr>
          <w:p w14:paraId="699550F0" w14:textId="23B74A88" w:rsidR="0091264A" w:rsidRPr="00E03056" w:rsidRDefault="00302BFE" w:rsidP="00243B15">
            <w:pPr>
              <w:spacing w:before="40" w:after="40"/>
              <w:rPr>
                <w:rFonts w:cs="Calibri"/>
                <w:sz w:val="18"/>
                <w:szCs w:val="18"/>
              </w:rPr>
            </w:pPr>
            <w:r w:rsidRPr="00E03056">
              <w:rPr>
                <w:rFonts w:cs="Calibri"/>
                <w:sz w:val="18"/>
                <w:szCs w:val="18"/>
                <w:lang w:val="en-CA"/>
              </w:rPr>
              <w:t xml:space="preserve">Budgetary reserve for possible contribution to the rental of the office of the PCU and to the acquisition of equipment and furniture, necessary for the conduct of the interventions under component 1 @ 3,000 / year for the years 1 to 6. </w:t>
            </w:r>
            <w:r w:rsidRPr="00E03056">
              <w:rPr>
                <w:rFonts w:cs="Calibri"/>
                <w:sz w:val="18"/>
                <w:szCs w:val="18"/>
              </w:rPr>
              <w:t>Total cost: $ 18,000.</w:t>
            </w:r>
          </w:p>
        </w:tc>
      </w:tr>
      <w:tr w:rsidR="00302BFE" w:rsidRPr="006E490C" w14:paraId="12798DE9" w14:textId="77777777" w:rsidTr="004F4EA2">
        <w:trPr>
          <w:jc w:val="center"/>
        </w:trPr>
        <w:tc>
          <w:tcPr>
            <w:tcW w:w="14390" w:type="dxa"/>
            <w:gridSpan w:val="2"/>
            <w:tcBorders>
              <w:top w:val="single" w:sz="4" w:space="0" w:color="auto"/>
              <w:left w:val="single" w:sz="4" w:space="0" w:color="auto"/>
              <w:bottom w:val="single" w:sz="4" w:space="0" w:color="auto"/>
              <w:right w:val="single" w:sz="4" w:space="0" w:color="auto"/>
            </w:tcBorders>
            <w:shd w:val="clear" w:color="auto" w:fill="DEEAF6"/>
            <w:hideMark/>
          </w:tcPr>
          <w:p w14:paraId="0E634C7A" w14:textId="77777777" w:rsidR="00302BFE" w:rsidRPr="006E490C" w:rsidRDefault="00302BFE" w:rsidP="00243B15">
            <w:pPr>
              <w:spacing w:before="40" w:after="40"/>
              <w:ind w:left="-23" w:right="-119"/>
              <w:rPr>
                <w:rFonts w:cs="Calibri"/>
                <w:b/>
                <w:sz w:val="18"/>
                <w:szCs w:val="18"/>
                <w:lang w:val="en-GB"/>
              </w:rPr>
            </w:pPr>
            <w:r w:rsidRPr="006E490C">
              <w:rPr>
                <w:b/>
                <w:sz w:val="18"/>
                <w:szCs w:val="18"/>
                <w:lang w:val="en-GB"/>
              </w:rPr>
              <w:t>Component 2: Strengthening the PONASI Protected Area System</w:t>
            </w:r>
          </w:p>
        </w:tc>
      </w:tr>
      <w:tr w:rsidR="00302BFE" w:rsidRPr="00A504FA" w14:paraId="41AC6B4A"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5C45CFDA" w14:textId="265C9740"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1</w:t>
            </w:r>
            <w:r w:rsidR="00D45B3D">
              <w:rPr>
                <w:rFonts w:eastAsia="Times New Roman" w:cs="Calibri"/>
                <w:i/>
                <w:iCs/>
                <w:sz w:val="18"/>
                <w:szCs w:val="18"/>
                <w:lang w:val="en-GB"/>
              </w:rPr>
              <w:t>3</w:t>
            </w:r>
          </w:p>
        </w:tc>
        <w:tc>
          <w:tcPr>
            <w:tcW w:w="13687" w:type="dxa"/>
            <w:tcBorders>
              <w:top w:val="single" w:sz="4" w:space="0" w:color="auto"/>
              <w:left w:val="single" w:sz="4" w:space="0" w:color="auto"/>
              <w:bottom w:val="single" w:sz="4" w:space="0" w:color="auto"/>
              <w:right w:val="single" w:sz="4" w:space="0" w:color="auto"/>
            </w:tcBorders>
            <w:hideMark/>
          </w:tcPr>
          <w:p w14:paraId="7D43BE7A" w14:textId="77777777" w:rsidR="00302BFE" w:rsidRPr="00363257" w:rsidRDefault="00302BFE" w:rsidP="00243B15">
            <w:pPr>
              <w:spacing w:before="40" w:after="40"/>
              <w:rPr>
                <w:rFonts w:cs="Calibri"/>
                <w:sz w:val="18"/>
                <w:szCs w:val="18"/>
                <w:lang w:val="en-GB"/>
              </w:rPr>
            </w:pPr>
            <w:r w:rsidRPr="00363257">
              <w:rPr>
                <w:rFonts w:cs="Calibri"/>
                <w:sz w:val="18"/>
                <w:szCs w:val="18"/>
                <w:lang w:val="en-GB"/>
              </w:rPr>
              <w:t>a) Sustainable financing consultant to develop a business plan for the PA PONASI system in close collaboration with the PA management expert and the institutions in charge of PAs (OFINAP, DGEF, DREEVCC), including the review of existing funding sources to support PAs, the assessment of financial needs under the baseline and optimal scenarios, and the identification and assessment of the feasibility of potential innovative financing, particularly in relation to the assessment of ecosystem services provided by PAs to the surrounding PONASI landscape (Output 2.2.2) and include these funding mechanisms in the PONASI Landscape Master Plan. Contribution to strengthening the capacity of institutions in charge of PAs on financial planning, the development of a business plan for a PA system and the mobilization of innovative financing. Rate: $ 42,000 paid on a lump sum basis based on deliverables in Year 3. Total cost: $ 42,000.</w:t>
            </w:r>
          </w:p>
          <w:p w14:paraId="2AEF37D2" w14:textId="7BB64406" w:rsidR="00302BFE" w:rsidRPr="00741FCF" w:rsidRDefault="00302BFE" w:rsidP="00243B15">
            <w:pPr>
              <w:spacing w:before="40" w:after="40"/>
              <w:rPr>
                <w:rFonts w:cs="Calibri"/>
                <w:sz w:val="18"/>
                <w:szCs w:val="18"/>
                <w:lang w:val="en-GB"/>
              </w:rPr>
            </w:pPr>
            <w:r w:rsidRPr="00363257">
              <w:rPr>
                <w:rFonts w:cs="Calibri"/>
                <w:sz w:val="18"/>
                <w:szCs w:val="18"/>
                <w:lang w:val="en-GB"/>
              </w:rPr>
              <w:t>(</w:t>
            </w:r>
            <w:r w:rsidRPr="00741FCF">
              <w:rPr>
                <w:rFonts w:cs="Calibri"/>
                <w:sz w:val="18"/>
                <w:szCs w:val="18"/>
                <w:lang w:val="en-GB"/>
              </w:rPr>
              <w:t xml:space="preserve">b) Anti-poaching and enforcement </w:t>
            </w:r>
            <w:r w:rsidR="00AA278E" w:rsidRPr="00741FCF">
              <w:rPr>
                <w:rFonts w:cs="Calibri"/>
                <w:sz w:val="18"/>
                <w:szCs w:val="18"/>
                <w:lang w:val="en-GB"/>
              </w:rPr>
              <w:t xml:space="preserve">expert </w:t>
            </w:r>
            <w:r w:rsidRPr="00741FCF">
              <w:rPr>
                <w:rFonts w:cs="Calibri"/>
                <w:sz w:val="18"/>
                <w:szCs w:val="18"/>
                <w:lang w:val="en-GB"/>
              </w:rPr>
              <w:t xml:space="preserve">to develop a surveillance and anti-poaching strategy and action plan for the PONASI landscape and in collaboration with Ghana, and prepare, </w:t>
            </w:r>
            <w:proofErr w:type="gramStart"/>
            <w:r w:rsidRPr="00741FCF">
              <w:rPr>
                <w:rFonts w:cs="Calibri"/>
                <w:sz w:val="18"/>
                <w:szCs w:val="18"/>
                <w:lang w:val="en-GB"/>
              </w:rPr>
              <w:t>organize</w:t>
            </w:r>
            <w:proofErr w:type="gramEnd"/>
            <w:r w:rsidRPr="00741FCF">
              <w:rPr>
                <w:rFonts w:cs="Calibri"/>
                <w:sz w:val="18"/>
                <w:szCs w:val="18"/>
                <w:lang w:val="en-GB"/>
              </w:rPr>
              <w:t xml:space="preserve"> and deliver training for the institutions in charge of the PAs on the planning anti-poaching strategies at national and regional scales, and for rangers and eco-guards intervening in the PAs of the PONASI complex including the ZOVICs (output 2.2.5). Total cost: $ </w:t>
            </w:r>
            <w:r w:rsidR="006211CC" w:rsidRPr="00741FCF">
              <w:rPr>
                <w:rFonts w:cs="Calibri"/>
                <w:sz w:val="18"/>
                <w:szCs w:val="18"/>
                <w:lang w:val="en-GB"/>
              </w:rPr>
              <w:t>6</w:t>
            </w:r>
            <w:r w:rsidRPr="00741FCF">
              <w:rPr>
                <w:rFonts w:cs="Calibri"/>
                <w:sz w:val="18"/>
                <w:szCs w:val="18"/>
                <w:lang w:val="en-GB"/>
              </w:rPr>
              <w:t>0,000</w:t>
            </w:r>
            <w:r w:rsidR="00B501C4" w:rsidRPr="00741FCF">
              <w:rPr>
                <w:rFonts w:cs="Calibri"/>
                <w:sz w:val="18"/>
                <w:szCs w:val="18"/>
                <w:lang w:val="en-GB"/>
              </w:rPr>
              <w:t xml:space="preserve"> </w:t>
            </w:r>
            <w:r w:rsidRPr="00741FCF">
              <w:rPr>
                <w:rFonts w:cs="Calibri"/>
                <w:sz w:val="18"/>
                <w:szCs w:val="18"/>
                <w:lang w:val="en-GB"/>
              </w:rPr>
              <w:t xml:space="preserve">paid </w:t>
            </w:r>
            <w:proofErr w:type="gramStart"/>
            <w:r w:rsidRPr="00741FCF">
              <w:rPr>
                <w:rFonts w:cs="Calibri"/>
                <w:sz w:val="18"/>
                <w:szCs w:val="18"/>
                <w:lang w:val="en-GB"/>
              </w:rPr>
              <w:t>on the basis of</w:t>
            </w:r>
            <w:proofErr w:type="gramEnd"/>
            <w:r w:rsidRPr="00741FCF">
              <w:rPr>
                <w:rFonts w:cs="Calibri"/>
                <w:sz w:val="18"/>
                <w:szCs w:val="18"/>
                <w:lang w:val="en-GB"/>
              </w:rPr>
              <w:t xml:space="preserve"> deliverables in years </w:t>
            </w:r>
            <w:r w:rsidR="006211CC" w:rsidRPr="00741FCF">
              <w:rPr>
                <w:rFonts w:cs="Calibri"/>
                <w:sz w:val="18"/>
                <w:szCs w:val="18"/>
                <w:lang w:val="en-GB"/>
              </w:rPr>
              <w:t>1</w:t>
            </w:r>
            <w:r w:rsidRPr="00741FCF">
              <w:rPr>
                <w:rFonts w:cs="Calibri"/>
                <w:sz w:val="18"/>
                <w:szCs w:val="18"/>
                <w:lang w:val="en-GB"/>
              </w:rPr>
              <w:t xml:space="preserve"> and </w:t>
            </w:r>
            <w:r w:rsidR="006211CC" w:rsidRPr="00741FCF">
              <w:rPr>
                <w:rFonts w:cs="Calibri"/>
                <w:sz w:val="18"/>
                <w:szCs w:val="18"/>
                <w:lang w:val="en-GB"/>
              </w:rPr>
              <w:t>2</w:t>
            </w:r>
            <w:r w:rsidRPr="00741FCF">
              <w:rPr>
                <w:rFonts w:cs="Calibri"/>
                <w:sz w:val="18"/>
                <w:szCs w:val="18"/>
                <w:lang w:val="en-GB"/>
              </w:rPr>
              <w:t>. Total cost: $</w:t>
            </w:r>
            <w:r w:rsidR="006211CC" w:rsidRPr="00741FCF">
              <w:rPr>
                <w:rFonts w:cs="Calibri"/>
                <w:sz w:val="18"/>
                <w:szCs w:val="18"/>
                <w:lang w:val="en-GB"/>
              </w:rPr>
              <w:t>6</w:t>
            </w:r>
            <w:r w:rsidRPr="00741FCF">
              <w:rPr>
                <w:rFonts w:cs="Calibri"/>
                <w:sz w:val="18"/>
                <w:szCs w:val="18"/>
                <w:lang w:val="en-GB"/>
              </w:rPr>
              <w:t>0,000</w:t>
            </w:r>
          </w:p>
          <w:p w14:paraId="363D438A" w14:textId="755BB5D2" w:rsidR="00302BFE" w:rsidRPr="00741FCF" w:rsidRDefault="00302BFE" w:rsidP="00243B15">
            <w:pPr>
              <w:spacing w:before="40" w:after="40"/>
              <w:rPr>
                <w:rFonts w:cs="Calibri"/>
                <w:sz w:val="18"/>
                <w:szCs w:val="18"/>
                <w:lang w:val="en-GB"/>
              </w:rPr>
            </w:pPr>
            <w:r w:rsidRPr="00741FCF">
              <w:rPr>
                <w:rFonts w:cs="Calibri"/>
                <w:sz w:val="18"/>
                <w:szCs w:val="18"/>
                <w:lang w:val="en-GB"/>
              </w:rPr>
              <w:t xml:space="preserve">c) Ecological monitoring expert for the design of ecological monitoring plans for all PAs (output 2.2.4), identification of appropriate sites for transects and permanent monitoring routes and collaboration with the GIS expert to produce detailed maps identifying these routes; prepare, organize and deliver theoretical and practical training on ecological monitoring planning and techniques and data collection and inputs for institutions in charge of PAs, especially forest rangers and eco-guards; develop training materials; Support the surveys needed to establish baseline values for outcome indicators in the CSR, in collaboration with the project monitoring and evaluation expert. Rate: $ </w:t>
            </w:r>
            <w:r w:rsidR="00BB3BA7" w:rsidRPr="00741FCF">
              <w:rPr>
                <w:rFonts w:cs="Calibri"/>
                <w:sz w:val="18"/>
                <w:szCs w:val="18"/>
                <w:lang w:val="en-GB"/>
              </w:rPr>
              <w:t>4</w:t>
            </w:r>
            <w:r w:rsidRPr="00741FCF">
              <w:rPr>
                <w:rFonts w:cs="Calibri"/>
                <w:sz w:val="18"/>
                <w:szCs w:val="18"/>
                <w:lang w:val="en-GB"/>
              </w:rPr>
              <w:t xml:space="preserve">0,000 paid on a lump sum basis based of deliverables in years </w:t>
            </w:r>
            <w:r w:rsidR="006211CC" w:rsidRPr="00741FCF">
              <w:rPr>
                <w:rFonts w:cs="Calibri"/>
                <w:sz w:val="18"/>
                <w:szCs w:val="18"/>
                <w:lang w:val="en-GB"/>
              </w:rPr>
              <w:t>1</w:t>
            </w:r>
            <w:r w:rsidRPr="00741FCF">
              <w:rPr>
                <w:rFonts w:cs="Calibri"/>
                <w:sz w:val="18"/>
                <w:szCs w:val="18"/>
                <w:lang w:val="en-GB"/>
              </w:rPr>
              <w:t xml:space="preserve"> and </w:t>
            </w:r>
            <w:r w:rsidR="006211CC" w:rsidRPr="00741FCF">
              <w:rPr>
                <w:rFonts w:cs="Calibri"/>
                <w:sz w:val="18"/>
                <w:szCs w:val="18"/>
                <w:lang w:val="en-GB"/>
              </w:rPr>
              <w:t>2</w:t>
            </w:r>
            <w:r w:rsidRPr="00741FCF">
              <w:rPr>
                <w:rFonts w:cs="Calibri"/>
                <w:sz w:val="18"/>
                <w:szCs w:val="18"/>
                <w:lang w:val="en-GB"/>
              </w:rPr>
              <w:t xml:space="preserve">. Total cost: $ </w:t>
            </w:r>
            <w:r w:rsidR="00BB3BA7" w:rsidRPr="00741FCF">
              <w:rPr>
                <w:rFonts w:cs="Calibri"/>
                <w:sz w:val="18"/>
                <w:szCs w:val="18"/>
                <w:lang w:val="en-GB"/>
              </w:rPr>
              <w:t>4</w:t>
            </w:r>
            <w:r w:rsidRPr="00741FCF">
              <w:rPr>
                <w:rFonts w:cs="Calibri"/>
                <w:sz w:val="18"/>
                <w:szCs w:val="18"/>
                <w:lang w:val="en-GB"/>
              </w:rPr>
              <w:t>0,000</w:t>
            </w:r>
          </w:p>
          <w:p w14:paraId="6754CD36" w14:textId="7B56307B" w:rsidR="00302BFE" w:rsidRPr="00741FCF" w:rsidRDefault="00302BFE" w:rsidP="00243B15">
            <w:pPr>
              <w:spacing w:before="40" w:after="40"/>
              <w:rPr>
                <w:rFonts w:cs="Calibri"/>
                <w:sz w:val="18"/>
                <w:szCs w:val="18"/>
                <w:lang w:val="en-GB"/>
              </w:rPr>
            </w:pPr>
            <w:r w:rsidRPr="00741FCF">
              <w:rPr>
                <w:rFonts w:cs="Calibri"/>
                <w:sz w:val="18"/>
                <w:szCs w:val="18"/>
                <w:lang w:val="en-GB"/>
              </w:rPr>
              <w:t>d) Expert in human-wildlife conflict (</w:t>
            </w:r>
            <w:bookmarkStart w:id="39" w:name="OLE_LINK3"/>
            <w:bookmarkStart w:id="40" w:name="OLE_LINK4"/>
            <w:r w:rsidRPr="00741FCF">
              <w:rPr>
                <w:rFonts w:cs="Calibri"/>
                <w:sz w:val="18"/>
                <w:szCs w:val="18"/>
                <w:lang w:val="en-GB"/>
              </w:rPr>
              <w:t>HWC</w:t>
            </w:r>
            <w:bookmarkEnd w:id="39"/>
            <w:bookmarkEnd w:id="40"/>
            <w:r w:rsidRPr="00741FCF">
              <w:rPr>
                <w:rFonts w:cs="Calibri"/>
                <w:sz w:val="18"/>
                <w:szCs w:val="18"/>
                <w:lang w:val="en-GB"/>
              </w:rPr>
              <w:t xml:space="preserve">) to supervise the collection of data on HWC, plan rapid assessments in </w:t>
            </w:r>
            <w:r w:rsidR="009363D6" w:rsidRPr="00741FCF">
              <w:rPr>
                <w:rFonts w:cs="Calibri"/>
                <w:sz w:val="18"/>
                <w:szCs w:val="18"/>
                <w:lang w:val="en-GB"/>
              </w:rPr>
              <w:t>communes</w:t>
            </w:r>
            <w:r w:rsidRPr="00741FCF">
              <w:rPr>
                <w:rFonts w:cs="Calibri"/>
                <w:sz w:val="18"/>
                <w:szCs w:val="18"/>
                <w:lang w:val="en-GB"/>
              </w:rPr>
              <w:t xml:space="preserve"> affected by HWC, contribute to the analysis of results, develop the strategy to mitigate HWC in collaboration with the technical team, ensure the presentation for validation and contribute to strengthening the capacity of institutions in charge of protected areas in the prevention and management of human-wildlife conflicts, and integrate the HWC strategy into the PONASI landscape master plan (output 2.4.1). Lump sum: $</w:t>
            </w:r>
            <w:r w:rsidR="00BB3BA7" w:rsidRPr="00741FCF">
              <w:rPr>
                <w:rFonts w:cs="Calibri"/>
                <w:sz w:val="18"/>
                <w:szCs w:val="18"/>
                <w:lang w:val="en-GB"/>
              </w:rPr>
              <w:t>4</w:t>
            </w:r>
            <w:r w:rsidRPr="00741FCF">
              <w:rPr>
                <w:rFonts w:cs="Calibri"/>
                <w:sz w:val="18"/>
                <w:szCs w:val="18"/>
                <w:lang w:val="en-GB"/>
              </w:rPr>
              <w:t xml:space="preserve">0,000 paid </w:t>
            </w:r>
            <w:proofErr w:type="gramStart"/>
            <w:r w:rsidRPr="00741FCF">
              <w:rPr>
                <w:rFonts w:cs="Calibri"/>
                <w:sz w:val="18"/>
                <w:szCs w:val="18"/>
                <w:lang w:val="en-GB"/>
              </w:rPr>
              <w:t>on the basis of</w:t>
            </w:r>
            <w:proofErr w:type="gramEnd"/>
            <w:r w:rsidRPr="00741FCF">
              <w:rPr>
                <w:rFonts w:cs="Calibri"/>
                <w:sz w:val="18"/>
                <w:szCs w:val="18"/>
                <w:lang w:val="en-GB"/>
              </w:rPr>
              <w:t xml:space="preserve"> deliverables in years 1</w:t>
            </w:r>
            <w:r w:rsidR="00BB3BA7" w:rsidRPr="00741FCF">
              <w:rPr>
                <w:rFonts w:cs="Calibri"/>
                <w:sz w:val="18"/>
                <w:szCs w:val="18"/>
                <w:lang w:val="en-GB"/>
              </w:rPr>
              <w:t xml:space="preserve"> </w:t>
            </w:r>
            <w:r w:rsidRPr="00741FCF">
              <w:rPr>
                <w:rFonts w:cs="Calibri"/>
                <w:sz w:val="18"/>
                <w:szCs w:val="18"/>
                <w:lang w:val="en-GB"/>
              </w:rPr>
              <w:t xml:space="preserve">and </w:t>
            </w:r>
            <w:r w:rsidR="00BB3BA7" w:rsidRPr="00741FCF">
              <w:rPr>
                <w:rFonts w:cs="Calibri"/>
                <w:sz w:val="18"/>
                <w:szCs w:val="18"/>
                <w:lang w:val="en-GB"/>
              </w:rPr>
              <w:t>2</w:t>
            </w:r>
            <w:r w:rsidRPr="00741FCF">
              <w:rPr>
                <w:rFonts w:cs="Calibri"/>
                <w:sz w:val="18"/>
                <w:szCs w:val="18"/>
                <w:lang w:val="en-GB"/>
              </w:rPr>
              <w:t xml:space="preserve">. Total cost: $ </w:t>
            </w:r>
            <w:r w:rsidR="00BB3BA7" w:rsidRPr="00741FCF">
              <w:rPr>
                <w:rFonts w:cs="Calibri"/>
                <w:sz w:val="18"/>
                <w:szCs w:val="18"/>
                <w:lang w:val="en-GB"/>
              </w:rPr>
              <w:t>4</w:t>
            </w:r>
            <w:r w:rsidRPr="00741FCF">
              <w:rPr>
                <w:rFonts w:cs="Calibri"/>
                <w:sz w:val="18"/>
                <w:szCs w:val="18"/>
                <w:lang w:val="en-GB"/>
              </w:rPr>
              <w:t xml:space="preserve">0,000 </w:t>
            </w:r>
          </w:p>
          <w:p w14:paraId="136F9712" w14:textId="30211836" w:rsidR="00B501C4" w:rsidRPr="00741FCF" w:rsidRDefault="00302BFE" w:rsidP="00243B15">
            <w:pPr>
              <w:spacing w:before="40" w:after="40"/>
              <w:rPr>
                <w:rFonts w:cs="Calibri"/>
                <w:sz w:val="18"/>
                <w:szCs w:val="18"/>
                <w:lang w:val="en-GB"/>
              </w:rPr>
            </w:pPr>
            <w:r w:rsidRPr="00741FCF">
              <w:rPr>
                <w:rFonts w:cs="Calibri"/>
                <w:sz w:val="18"/>
                <w:szCs w:val="18"/>
                <w:lang w:val="en-GB"/>
              </w:rPr>
              <w:t>e) Wildlife expert</w:t>
            </w:r>
            <w:r w:rsidR="0084106F" w:rsidRPr="00741FCF">
              <w:rPr>
                <w:rFonts w:cs="Calibri"/>
                <w:sz w:val="18"/>
                <w:szCs w:val="18"/>
                <w:lang w:val="en-GB"/>
              </w:rPr>
              <w:t xml:space="preserve"> in the 1st year of the project</w:t>
            </w:r>
            <w:r w:rsidRPr="00741FCF">
              <w:rPr>
                <w:rFonts w:cs="Calibri"/>
                <w:sz w:val="18"/>
                <w:szCs w:val="18"/>
                <w:lang w:val="en-GB"/>
              </w:rPr>
              <w:t xml:space="preserve"> </w:t>
            </w:r>
            <w:r w:rsidR="0026329B" w:rsidRPr="00741FCF">
              <w:rPr>
                <w:rFonts w:cs="Calibri"/>
                <w:sz w:val="18"/>
                <w:szCs w:val="18"/>
                <w:lang w:val="en-GB"/>
              </w:rPr>
              <w:t>to compile</w:t>
            </w:r>
            <w:r w:rsidR="0026329B" w:rsidRPr="00741FCF">
              <w:rPr>
                <w:sz w:val="18"/>
                <w:szCs w:val="18"/>
                <w:lang w:val="en-GB"/>
              </w:rPr>
              <w:t xml:space="preserve"> and analyse </w:t>
            </w:r>
            <w:r w:rsidR="0026329B" w:rsidRPr="00741FCF">
              <w:rPr>
                <w:rFonts w:asciiTheme="minorHAnsi" w:hAnsiTheme="minorHAnsi"/>
                <w:sz w:val="18"/>
                <w:szCs w:val="18"/>
                <w:lang w:val="en-CA"/>
              </w:rPr>
              <w:t xml:space="preserve">existing data, publications, conduct interviews, and review impacts of hunting management in the RGN, the </w:t>
            </w:r>
            <w:proofErr w:type="spellStart"/>
            <w:r w:rsidR="0026329B" w:rsidRPr="00741FCF">
              <w:rPr>
                <w:rFonts w:asciiTheme="minorHAnsi" w:hAnsiTheme="minorHAnsi"/>
                <w:sz w:val="18"/>
                <w:szCs w:val="18"/>
                <w:lang w:val="en-CA"/>
              </w:rPr>
              <w:t>Sissili</w:t>
            </w:r>
            <w:proofErr w:type="spellEnd"/>
            <w:r w:rsidR="0026329B" w:rsidRPr="00741FCF">
              <w:rPr>
                <w:rFonts w:asciiTheme="minorHAnsi" w:hAnsiTheme="minorHAnsi"/>
                <w:sz w:val="18"/>
                <w:szCs w:val="18"/>
                <w:lang w:val="en-CA"/>
              </w:rPr>
              <w:t xml:space="preserve"> CF and the ZOVICs since their creation against stated objectives in terms of biodiversity conservation and socioeconomic costs and benefits, and </w:t>
            </w:r>
            <w:r w:rsidR="00DD27B3" w:rsidRPr="00741FCF">
              <w:rPr>
                <w:rFonts w:asciiTheme="minorHAnsi" w:hAnsiTheme="minorHAnsi"/>
                <w:sz w:val="18"/>
                <w:szCs w:val="18"/>
                <w:lang w:val="en-CA"/>
              </w:rPr>
              <w:t xml:space="preserve">to </w:t>
            </w:r>
            <w:r w:rsidR="0026329B" w:rsidRPr="00741FCF">
              <w:rPr>
                <w:rFonts w:asciiTheme="minorHAnsi" w:hAnsiTheme="minorHAnsi"/>
                <w:sz w:val="18"/>
                <w:szCs w:val="18"/>
                <w:lang w:val="en-CA"/>
              </w:rPr>
              <w:t xml:space="preserve">facilitate a workshop discuss the report findings with </w:t>
            </w:r>
            <w:r w:rsidR="0026329B" w:rsidRPr="00741FCF">
              <w:rPr>
                <w:sz w:val="18"/>
                <w:szCs w:val="18"/>
                <w:lang w:val="en-GB"/>
              </w:rPr>
              <w:t xml:space="preserve">participants </w:t>
            </w:r>
            <w:r w:rsidR="00DD27B3" w:rsidRPr="00741FCF">
              <w:rPr>
                <w:sz w:val="18"/>
                <w:szCs w:val="18"/>
                <w:lang w:val="en-GB"/>
              </w:rPr>
              <w:t>t</w:t>
            </w:r>
            <w:r w:rsidR="0018302A" w:rsidRPr="00741FCF">
              <w:rPr>
                <w:sz w:val="18"/>
                <w:szCs w:val="18"/>
                <w:lang w:val="en-GB"/>
              </w:rPr>
              <w:t xml:space="preserve">o </w:t>
            </w:r>
            <w:r w:rsidR="00DD27B3" w:rsidRPr="00741FCF">
              <w:rPr>
                <w:sz w:val="18"/>
                <w:szCs w:val="18"/>
                <w:lang w:val="en-GB"/>
              </w:rPr>
              <w:t>ensure they</w:t>
            </w:r>
            <w:r w:rsidR="0026329B" w:rsidRPr="00741FCF">
              <w:rPr>
                <w:sz w:val="18"/>
                <w:szCs w:val="18"/>
                <w:lang w:val="en-GB"/>
              </w:rPr>
              <w:t xml:space="preserve"> </w:t>
            </w:r>
            <w:r w:rsidR="00DD27B3" w:rsidRPr="00741FCF">
              <w:rPr>
                <w:sz w:val="18"/>
                <w:szCs w:val="18"/>
                <w:lang w:val="en-GB"/>
              </w:rPr>
              <w:t xml:space="preserve">clearly </w:t>
            </w:r>
            <w:r w:rsidR="0026329B" w:rsidRPr="00741FCF">
              <w:rPr>
                <w:sz w:val="18"/>
                <w:szCs w:val="18"/>
                <w:lang w:val="en-GB"/>
              </w:rPr>
              <w:t xml:space="preserve">understand the recent population trends </w:t>
            </w:r>
            <w:r w:rsidR="0018302A" w:rsidRPr="00741FCF">
              <w:rPr>
                <w:sz w:val="18"/>
                <w:szCs w:val="18"/>
                <w:lang w:val="en-GB"/>
              </w:rPr>
              <w:t>of</w:t>
            </w:r>
            <w:r w:rsidR="0026329B" w:rsidRPr="00741FCF">
              <w:rPr>
                <w:sz w:val="18"/>
                <w:szCs w:val="18"/>
                <w:lang w:val="en-GB"/>
              </w:rPr>
              <w:t xml:space="preserve"> exploited species</w:t>
            </w:r>
            <w:r w:rsidR="0018302A" w:rsidRPr="00741FCF">
              <w:rPr>
                <w:sz w:val="18"/>
                <w:szCs w:val="18"/>
                <w:lang w:val="en-GB"/>
              </w:rPr>
              <w:t xml:space="preserve"> and </w:t>
            </w:r>
            <w:r w:rsidR="00DD27B3" w:rsidRPr="00741FCF">
              <w:rPr>
                <w:rFonts w:asciiTheme="minorHAnsi" w:hAnsiTheme="minorHAnsi"/>
                <w:sz w:val="18"/>
                <w:szCs w:val="18"/>
                <w:lang w:val="en-CA"/>
              </w:rPr>
              <w:t>the need to</w:t>
            </w:r>
            <w:r w:rsidR="0018302A" w:rsidRPr="00741FCF">
              <w:rPr>
                <w:rFonts w:asciiTheme="minorHAnsi" w:hAnsiTheme="minorHAnsi"/>
                <w:sz w:val="18"/>
                <w:szCs w:val="18"/>
                <w:lang w:val="en-CA"/>
              </w:rPr>
              <w:t xml:space="preserve"> suspen</w:t>
            </w:r>
            <w:r w:rsidR="00DD27B3" w:rsidRPr="00741FCF">
              <w:rPr>
                <w:rFonts w:asciiTheme="minorHAnsi" w:hAnsiTheme="minorHAnsi"/>
                <w:sz w:val="18"/>
                <w:szCs w:val="18"/>
                <w:lang w:val="en-CA"/>
              </w:rPr>
              <w:t>d</w:t>
            </w:r>
            <w:r w:rsidR="0018302A" w:rsidRPr="00741FCF">
              <w:rPr>
                <w:rFonts w:asciiTheme="minorHAnsi" w:hAnsiTheme="minorHAnsi"/>
                <w:sz w:val="18"/>
                <w:szCs w:val="18"/>
                <w:lang w:val="en-CA"/>
              </w:rPr>
              <w:t xml:space="preserve"> hunting activities</w:t>
            </w:r>
            <w:r w:rsidRPr="00741FCF">
              <w:rPr>
                <w:rFonts w:cs="Calibri"/>
                <w:sz w:val="18"/>
                <w:szCs w:val="18"/>
                <w:lang w:val="en-GB"/>
              </w:rPr>
              <w:t xml:space="preserve"> (outputs 2.2.2 and 2.3.2); </w:t>
            </w:r>
            <w:r w:rsidR="0018302A" w:rsidRPr="00741FCF">
              <w:rPr>
                <w:rFonts w:cs="Calibri"/>
                <w:sz w:val="18"/>
                <w:szCs w:val="18"/>
                <w:lang w:val="en-GB"/>
              </w:rPr>
              <w:t xml:space="preserve">If the </w:t>
            </w:r>
            <w:r w:rsidR="0084106F" w:rsidRPr="00741FCF">
              <w:rPr>
                <w:rFonts w:cs="Calibri"/>
                <w:sz w:val="18"/>
                <w:szCs w:val="18"/>
                <w:lang w:val="en-GB"/>
              </w:rPr>
              <w:t xml:space="preserve">third-party </w:t>
            </w:r>
            <w:r w:rsidR="0018302A" w:rsidRPr="00741FCF">
              <w:rPr>
                <w:rFonts w:cs="Calibri"/>
                <w:sz w:val="18"/>
                <w:szCs w:val="18"/>
                <w:lang w:val="en-GB"/>
              </w:rPr>
              <w:t xml:space="preserve">assessment conducted at mid-term concludes that hunting activities can be resumed in a foreseeable future, the consultant will support strengthening </w:t>
            </w:r>
            <w:r w:rsidR="0084106F" w:rsidRPr="00741FCF">
              <w:rPr>
                <w:rFonts w:cs="Calibri"/>
                <w:sz w:val="18"/>
                <w:szCs w:val="18"/>
                <w:lang w:val="en-GB"/>
              </w:rPr>
              <w:t>capacities for</w:t>
            </w:r>
            <w:r w:rsidR="0018302A" w:rsidRPr="00741FCF">
              <w:rPr>
                <w:rFonts w:cs="Calibri"/>
                <w:sz w:val="18"/>
                <w:szCs w:val="18"/>
                <w:lang w:val="en-GB"/>
              </w:rPr>
              <w:t xml:space="preserve"> hunting management, </w:t>
            </w:r>
            <w:r w:rsidRPr="00741FCF">
              <w:rPr>
                <w:rFonts w:cs="Calibri"/>
                <w:sz w:val="18"/>
                <w:szCs w:val="18"/>
                <w:lang w:val="en-GB"/>
              </w:rPr>
              <w:t xml:space="preserve">make recommendations on the conservation objectives for exploited species, sustainable harvest thresholds (quotas), and </w:t>
            </w:r>
            <w:r w:rsidR="0084106F" w:rsidRPr="00741FCF">
              <w:rPr>
                <w:rFonts w:cs="Calibri"/>
                <w:sz w:val="18"/>
                <w:szCs w:val="18"/>
                <w:lang w:val="en-GB"/>
              </w:rPr>
              <w:t>other measures to</w:t>
            </w:r>
            <w:r w:rsidRPr="00741FCF">
              <w:rPr>
                <w:rFonts w:cs="Calibri"/>
                <w:sz w:val="18"/>
                <w:szCs w:val="18"/>
                <w:lang w:val="en-GB"/>
              </w:rPr>
              <w:t xml:space="preserve"> </w:t>
            </w:r>
            <w:r w:rsidR="0084106F" w:rsidRPr="00741FCF">
              <w:rPr>
                <w:rFonts w:cs="Calibri"/>
                <w:sz w:val="18"/>
                <w:szCs w:val="18"/>
                <w:lang w:val="en-GB"/>
              </w:rPr>
              <w:t>ensure</w:t>
            </w:r>
            <w:r w:rsidRPr="00741FCF">
              <w:rPr>
                <w:rFonts w:cs="Calibri"/>
                <w:sz w:val="18"/>
                <w:szCs w:val="18"/>
                <w:lang w:val="en-GB"/>
              </w:rPr>
              <w:t xml:space="preserve"> hunting pressure on </w:t>
            </w:r>
            <w:r w:rsidR="0084106F" w:rsidRPr="00741FCF">
              <w:rPr>
                <w:rFonts w:cs="Calibri"/>
                <w:sz w:val="18"/>
                <w:szCs w:val="18"/>
                <w:lang w:val="en-GB"/>
              </w:rPr>
              <w:t>target</w:t>
            </w:r>
            <w:r w:rsidRPr="00741FCF">
              <w:rPr>
                <w:rFonts w:cs="Calibri"/>
                <w:sz w:val="18"/>
                <w:szCs w:val="18"/>
                <w:lang w:val="en-GB"/>
              </w:rPr>
              <w:t xml:space="preserve"> species </w:t>
            </w:r>
            <w:r w:rsidR="0084106F" w:rsidRPr="00741FCF">
              <w:rPr>
                <w:rFonts w:cs="Calibri"/>
                <w:sz w:val="18"/>
                <w:szCs w:val="18"/>
                <w:lang w:val="en-GB"/>
              </w:rPr>
              <w:t>is sustainable</w:t>
            </w:r>
            <w:r w:rsidRPr="00741FCF">
              <w:rPr>
                <w:rFonts w:cs="Calibri"/>
                <w:sz w:val="18"/>
                <w:szCs w:val="18"/>
                <w:lang w:val="en-GB"/>
              </w:rPr>
              <w:t>; develop guidance documents for the annual updating of management measures. Rate: $</w:t>
            </w:r>
            <w:r w:rsidR="00BB3BA7" w:rsidRPr="00741FCF">
              <w:rPr>
                <w:rFonts w:cs="Calibri"/>
                <w:sz w:val="18"/>
                <w:szCs w:val="18"/>
                <w:lang w:val="en-GB"/>
              </w:rPr>
              <w:t>1</w:t>
            </w:r>
            <w:r w:rsidRPr="00741FCF">
              <w:rPr>
                <w:rFonts w:cs="Calibri"/>
                <w:sz w:val="18"/>
                <w:szCs w:val="18"/>
                <w:lang w:val="en-GB"/>
              </w:rPr>
              <w:t xml:space="preserve">0,000 </w:t>
            </w:r>
            <w:r w:rsidR="00BB3BA7" w:rsidRPr="00741FCF">
              <w:rPr>
                <w:rFonts w:cs="Calibri"/>
                <w:sz w:val="18"/>
                <w:szCs w:val="18"/>
                <w:lang w:val="en-GB"/>
              </w:rPr>
              <w:t xml:space="preserve">and $20,000 </w:t>
            </w:r>
            <w:r w:rsidRPr="00741FCF">
              <w:rPr>
                <w:rFonts w:cs="Calibri"/>
                <w:sz w:val="18"/>
                <w:szCs w:val="18"/>
                <w:lang w:val="en-GB"/>
              </w:rPr>
              <w:t>paid as lump sum</w:t>
            </w:r>
            <w:r w:rsidR="00BB3BA7" w:rsidRPr="00741FCF">
              <w:rPr>
                <w:rFonts w:cs="Calibri"/>
                <w:sz w:val="18"/>
                <w:szCs w:val="18"/>
                <w:lang w:val="en-GB"/>
              </w:rPr>
              <w:t>s</w:t>
            </w:r>
            <w:r w:rsidRPr="00741FCF">
              <w:rPr>
                <w:rFonts w:cs="Calibri"/>
                <w:sz w:val="18"/>
                <w:szCs w:val="18"/>
                <w:lang w:val="en-GB"/>
              </w:rPr>
              <w:t xml:space="preserve"> </w:t>
            </w:r>
            <w:proofErr w:type="gramStart"/>
            <w:r w:rsidRPr="00741FCF">
              <w:rPr>
                <w:rFonts w:cs="Calibri"/>
                <w:sz w:val="18"/>
                <w:szCs w:val="18"/>
                <w:lang w:val="en-GB"/>
              </w:rPr>
              <w:t>on the basis of</w:t>
            </w:r>
            <w:proofErr w:type="gramEnd"/>
            <w:r w:rsidRPr="00741FCF">
              <w:rPr>
                <w:rFonts w:cs="Calibri"/>
                <w:sz w:val="18"/>
                <w:szCs w:val="18"/>
                <w:lang w:val="en-GB"/>
              </w:rPr>
              <w:t xml:space="preserve"> deliverables in the </w:t>
            </w:r>
            <w:r w:rsidR="00BB3BA7" w:rsidRPr="00741FCF">
              <w:rPr>
                <w:rFonts w:cs="Calibri"/>
                <w:sz w:val="18"/>
                <w:szCs w:val="18"/>
                <w:lang w:val="en-GB"/>
              </w:rPr>
              <w:t>1</w:t>
            </w:r>
            <w:r w:rsidR="00BB3BA7" w:rsidRPr="00741FCF">
              <w:rPr>
                <w:rFonts w:cs="Calibri"/>
                <w:sz w:val="18"/>
                <w:szCs w:val="18"/>
                <w:vertAlign w:val="superscript"/>
                <w:lang w:val="en-GB"/>
              </w:rPr>
              <w:t>st</w:t>
            </w:r>
            <w:r w:rsidR="00BB3BA7" w:rsidRPr="00741FCF">
              <w:rPr>
                <w:rFonts w:cs="Calibri"/>
                <w:sz w:val="18"/>
                <w:szCs w:val="18"/>
                <w:lang w:val="en-GB"/>
              </w:rPr>
              <w:t xml:space="preserve"> and 4</w:t>
            </w:r>
            <w:r w:rsidR="00BB3BA7" w:rsidRPr="00741FCF">
              <w:rPr>
                <w:rFonts w:cs="Calibri"/>
                <w:sz w:val="18"/>
                <w:szCs w:val="18"/>
                <w:vertAlign w:val="superscript"/>
                <w:lang w:val="en-GB"/>
              </w:rPr>
              <w:t>th</w:t>
            </w:r>
            <w:r w:rsidR="00BB3BA7" w:rsidRPr="00741FCF">
              <w:rPr>
                <w:rFonts w:cs="Calibri"/>
                <w:sz w:val="18"/>
                <w:szCs w:val="18"/>
                <w:lang w:val="en-GB"/>
              </w:rPr>
              <w:t xml:space="preserve"> </w:t>
            </w:r>
            <w:r w:rsidRPr="00741FCF">
              <w:rPr>
                <w:rFonts w:cs="Calibri"/>
                <w:sz w:val="18"/>
                <w:szCs w:val="18"/>
                <w:lang w:val="en-GB"/>
              </w:rPr>
              <w:t xml:space="preserve">year. Total cost: $ </w:t>
            </w:r>
            <w:r w:rsidR="00BB3BA7" w:rsidRPr="00741FCF">
              <w:rPr>
                <w:rFonts w:cs="Calibri"/>
                <w:sz w:val="18"/>
                <w:szCs w:val="18"/>
                <w:lang w:val="en-GB"/>
              </w:rPr>
              <w:t>3</w:t>
            </w:r>
            <w:r w:rsidRPr="00741FCF">
              <w:rPr>
                <w:rFonts w:cs="Calibri"/>
                <w:sz w:val="18"/>
                <w:szCs w:val="18"/>
                <w:lang w:val="en-GB"/>
              </w:rPr>
              <w:t>0,000.</w:t>
            </w:r>
          </w:p>
          <w:p w14:paraId="3B5186C8" w14:textId="21BCEE51" w:rsidR="00302BFE" w:rsidRPr="00363257" w:rsidRDefault="00B501C4" w:rsidP="00DF2CE4">
            <w:pPr>
              <w:spacing w:before="40" w:after="40"/>
              <w:rPr>
                <w:rFonts w:cs="Calibri"/>
                <w:sz w:val="18"/>
                <w:szCs w:val="18"/>
                <w:lang w:val="en-GB"/>
              </w:rPr>
            </w:pPr>
            <w:r w:rsidRPr="00741FCF">
              <w:rPr>
                <w:rFonts w:cs="Calibri"/>
                <w:sz w:val="18"/>
                <w:szCs w:val="18"/>
                <w:lang w:val="en-GB"/>
              </w:rPr>
              <w:t xml:space="preserve">f) </w:t>
            </w:r>
            <w:r w:rsidR="0084106F" w:rsidRPr="00741FCF">
              <w:rPr>
                <w:rFonts w:asciiTheme="minorHAnsi" w:hAnsiTheme="minorHAnsi"/>
                <w:sz w:val="18"/>
                <w:szCs w:val="18"/>
                <w:lang w:val="en-CA"/>
              </w:rPr>
              <w:t xml:space="preserve">Wildlife and hunting independent or third-party expert, </w:t>
            </w:r>
            <w:proofErr w:type="gramStart"/>
            <w:r w:rsidR="0084106F" w:rsidRPr="00741FCF">
              <w:rPr>
                <w:rFonts w:asciiTheme="minorHAnsi" w:hAnsiTheme="minorHAnsi"/>
                <w:sz w:val="18"/>
                <w:szCs w:val="18"/>
                <w:lang w:val="en-CA"/>
              </w:rPr>
              <w:t>i.e.</w:t>
            </w:r>
            <w:proofErr w:type="gramEnd"/>
            <w:r w:rsidR="0084106F" w:rsidRPr="00741FCF">
              <w:rPr>
                <w:rFonts w:asciiTheme="minorHAnsi" w:hAnsiTheme="minorHAnsi"/>
                <w:sz w:val="18"/>
                <w:szCs w:val="18"/>
                <w:lang w:val="en-CA"/>
              </w:rPr>
              <w:t xml:space="preserve"> not engaged in any other activity of the project, and with experience in the country, to assess population’s </w:t>
            </w:r>
            <w:r w:rsidR="00DF2CE4" w:rsidRPr="00741FCF">
              <w:rPr>
                <w:rFonts w:asciiTheme="minorHAnsi" w:hAnsiTheme="minorHAnsi"/>
                <w:sz w:val="18"/>
                <w:szCs w:val="18"/>
                <w:lang w:val="en-CA"/>
              </w:rPr>
              <w:t>status</w:t>
            </w:r>
            <w:r w:rsidR="0084106F" w:rsidRPr="00741FCF">
              <w:rPr>
                <w:rFonts w:asciiTheme="minorHAnsi" w:hAnsiTheme="minorHAnsi"/>
                <w:sz w:val="18"/>
                <w:szCs w:val="18"/>
                <w:lang w:val="en-CA"/>
              </w:rPr>
              <w:t xml:space="preserve"> of game species and </w:t>
            </w:r>
            <w:r w:rsidR="0084106F" w:rsidRPr="00741FCF">
              <w:rPr>
                <w:rFonts w:asciiTheme="minorHAnsi" w:eastAsia="Times New Roman" w:hAnsiTheme="minorHAnsi" w:cs="Arial"/>
                <w:color w:val="212529"/>
                <w:sz w:val="18"/>
                <w:szCs w:val="18"/>
                <w:lang w:val="en-CA" w:eastAsia="en-GB"/>
              </w:rPr>
              <w:t xml:space="preserve">provide a professional opinion on the viability of </w:t>
            </w:r>
            <w:r w:rsidR="00DF2CE4" w:rsidRPr="00741FCF">
              <w:rPr>
                <w:rFonts w:asciiTheme="minorHAnsi" w:eastAsia="Times New Roman" w:hAnsiTheme="minorHAnsi" w:cs="Arial"/>
                <w:color w:val="212529"/>
                <w:sz w:val="18"/>
                <w:szCs w:val="18"/>
                <w:lang w:val="en-CA" w:eastAsia="en-GB"/>
              </w:rPr>
              <w:t>hunting management</w:t>
            </w:r>
            <w:r w:rsidR="0084106F" w:rsidRPr="00741FCF">
              <w:rPr>
                <w:rFonts w:asciiTheme="minorHAnsi" w:eastAsia="Times New Roman" w:hAnsiTheme="minorHAnsi" w:cs="Arial"/>
                <w:color w:val="212529"/>
                <w:sz w:val="18"/>
                <w:szCs w:val="18"/>
                <w:lang w:val="en-CA" w:eastAsia="en-GB"/>
              </w:rPr>
              <w:t xml:space="preserve"> including the proficiency of the concessionaires to manage the areas.</w:t>
            </w:r>
            <w:r w:rsidR="00DF2CE4" w:rsidRPr="00741FCF">
              <w:rPr>
                <w:rFonts w:asciiTheme="minorHAnsi" w:eastAsia="Times New Roman" w:hAnsiTheme="minorHAnsi" w:cs="Arial"/>
                <w:color w:val="212529"/>
                <w:sz w:val="18"/>
                <w:szCs w:val="18"/>
                <w:lang w:val="en-CA" w:eastAsia="en-GB"/>
              </w:rPr>
              <w:t xml:space="preserve"> </w:t>
            </w:r>
            <w:r w:rsidR="00DF2CE4" w:rsidRPr="00741FCF">
              <w:rPr>
                <w:rFonts w:asciiTheme="minorHAnsi" w:hAnsiTheme="minorHAnsi"/>
                <w:sz w:val="18"/>
                <w:szCs w:val="18"/>
                <w:lang w:val="en-CA"/>
              </w:rPr>
              <w:t>The</w:t>
            </w:r>
            <w:r w:rsidR="0084106F" w:rsidRPr="00741FCF">
              <w:rPr>
                <w:rFonts w:asciiTheme="minorHAnsi" w:hAnsiTheme="minorHAnsi"/>
                <w:sz w:val="18"/>
                <w:szCs w:val="18"/>
                <w:lang w:val="en-CA"/>
              </w:rPr>
              <w:t xml:space="preserve"> assessment will analyse population trends for big and small game species, and for other key species that are not targeted by hunting activities</w:t>
            </w:r>
            <w:r w:rsidR="00DF2CE4" w:rsidRPr="00741FCF">
              <w:rPr>
                <w:rFonts w:asciiTheme="minorHAnsi" w:hAnsiTheme="minorHAnsi"/>
                <w:sz w:val="18"/>
                <w:szCs w:val="18"/>
                <w:lang w:val="en-CA"/>
              </w:rPr>
              <w:t>, taking</w:t>
            </w:r>
            <w:r w:rsidR="0084106F" w:rsidRPr="00741FCF">
              <w:rPr>
                <w:rFonts w:asciiTheme="minorHAnsi" w:hAnsiTheme="minorHAnsi"/>
                <w:sz w:val="18"/>
                <w:szCs w:val="18"/>
                <w:lang w:val="en-CA"/>
              </w:rPr>
              <w:t xml:space="preserve"> advantage of the recent data collected during the first 3 years monitoring strengthened with the project support</w:t>
            </w:r>
            <w:r w:rsidR="00DF2CE4" w:rsidRPr="00741FCF">
              <w:rPr>
                <w:rFonts w:asciiTheme="minorHAnsi" w:hAnsiTheme="minorHAnsi"/>
                <w:sz w:val="18"/>
                <w:szCs w:val="18"/>
                <w:lang w:val="en-CA"/>
              </w:rPr>
              <w:t>,</w:t>
            </w:r>
            <w:r w:rsidR="0084106F" w:rsidRPr="00741FCF">
              <w:rPr>
                <w:rFonts w:asciiTheme="minorHAnsi" w:hAnsiTheme="minorHAnsi"/>
                <w:sz w:val="18"/>
                <w:szCs w:val="18"/>
                <w:lang w:val="en-CA"/>
              </w:rPr>
              <w:t xml:space="preserve"> will cover all PAs</w:t>
            </w:r>
            <w:r w:rsidR="00DF2CE4" w:rsidRPr="00741FCF">
              <w:rPr>
                <w:rFonts w:asciiTheme="minorHAnsi" w:hAnsiTheme="minorHAnsi"/>
                <w:sz w:val="18"/>
                <w:szCs w:val="18"/>
                <w:lang w:val="en-CA"/>
              </w:rPr>
              <w:t>. R</w:t>
            </w:r>
            <w:r w:rsidR="0084106F" w:rsidRPr="00741FCF">
              <w:rPr>
                <w:sz w:val="18"/>
                <w:szCs w:val="18"/>
                <w:lang w:val="en-CA"/>
              </w:rPr>
              <w:t xml:space="preserve">ecommendations </w:t>
            </w:r>
            <w:r w:rsidR="0084106F" w:rsidRPr="00741FCF">
              <w:rPr>
                <w:rFonts w:asciiTheme="minorHAnsi" w:hAnsiTheme="minorHAnsi"/>
                <w:sz w:val="18"/>
                <w:szCs w:val="18"/>
                <w:lang w:val="en-CA"/>
              </w:rPr>
              <w:t xml:space="preserve">regarding the capacity of game species populations to withstand hunting pressures will be accompanied by an assessment of the management capacities of the structures responsible for hunting management within the Government, the concessionaires and the village hunting management committees. </w:t>
            </w:r>
            <w:r w:rsidR="00DF2CE4" w:rsidRPr="00741FCF">
              <w:rPr>
                <w:rFonts w:asciiTheme="minorHAnsi" w:hAnsiTheme="minorHAnsi"/>
                <w:sz w:val="18"/>
                <w:szCs w:val="18"/>
                <w:lang w:val="en-CA"/>
              </w:rPr>
              <w:t>T</w:t>
            </w:r>
            <w:r w:rsidR="0084106F" w:rsidRPr="00741FCF">
              <w:rPr>
                <w:rFonts w:asciiTheme="minorHAnsi" w:hAnsiTheme="minorHAnsi"/>
                <w:sz w:val="18"/>
                <w:szCs w:val="18"/>
                <w:lang w:val="en-CA"/>
              </w:rPr>
              <w:t xml:space="preserve">his assessment </w:t>
            </w:r>
            <w:r w:rsidR="00DF2CE4" w:rsidRPr="00741FCF">
              <w:rPr>
                <w:rFonts w:asciiTheme="minorHAnsi" w:hAnsiTheme="minorHAnsi"/>
                <w:sz w:val="18"/>
                <w:szCs w:val="18"/>
                <w:lang w:val="en-CA"/>
              </w:rPr>
              <w:t>will</w:t>
            </w:r>
            <w:r w:rsidR="0084106F" w:rsidRPr="00741FCF">
              <w:rPr>
                <w:rFonts w:asciiTheme="minorHAnsi" w:hAnsiTheme="minorHAnsi"/>
                <w:sz w:val="18"/>
                <w:szCs w:val="18"/>
                <w:lang w:val="en-CA"/>
              </w:rPr>
              <w:t xml:space="preserve"> take place in the </w:t>
            </w:r>
            <w:r w:rsidR="00DF2CE4" w:rsidRPr="00741FCF">
              <w:rPr>
                <w:rFonts w:asciiTheme="minorHAnsi" w:hAnsiTheme="minorHAnsi"/>
                <w:sz w:val="18"/>
                <w:szCs w:val="18"/>
                <w:lang w:val="en-CA"/>
              </w:rPr>
              <w:t>3</w:t>
            </w:r>
            <w:r w:rsidR="00DF2CE4" w:rsidRPr="00741FCF">
              <w:rPr>
                <w:rFonts w:asciiTheme="minorHAnsi" w:hAnsiTheme="minorHAnsi"/>
                <w:sz w:val="18"/>
                <w:szCs w:val="18"/>
                <w:vertAlign w:val="superscript"/>
                <w:lang w:val="en-CA"/>
              </w:rPr>
              <w:t>rd</w:t>
            </w:r>
            <w:r w:rsidR="00DF2CE4" w:rsidRPr="00741FCF">
              <w:rPr>
                <w:rFonts w:asciiTheme="minorHAnsi" w:hAnsiTheme="minorHAnsi"/>
                <w:sz w:val="18"/>
                <w:szCs w:val="18"/>
                <w:lang w:val="en-CA"/>
              </w:rPr>
              <w:t xml:space="preserve"> </w:t>
            </w:r>
            <w:r w:rsidR="0084106F" w:rsidRPr="00741FCF">
              <w:rPr>
                <w:rFonts w:asciiTheme="minorHAnsi" w:hAnsiTheme="minorHAnsi"/>
                <w:sz w:val="18"/>
                <w:szCs w:val="18"/>
                <w:lang w:val="en-CA"/>
              </w:rPr>
              <w:t xml:space="preserve">year of the project </w:t>
            </w:r>
            <w:r w:rsidR="00DF2CE4" w:rsidRPr="00741FCF">
              <w:rPr>
                <w:rFonts w:asciiTheme="minorHAnsi" w:hAnsiTheme="minorHAnsi"/>
                <w:sz w:val="18"/>
                <w:szCs w:val="18"/>
                <w:lang w:val="en-CA"/>
              </w:rPr>
              <w:t xml:space="preserve">before </w:t>
            </w:r>
            <w:r w:rsidR="0084106F" w:rsidRPr="00741FCF">
              <w:rPr>
                <w:rFonts w:asciiTheme="minorHAnsi" w:hAnsiTheme="minorHAnsi"/>
                <w:sz w:val="18"/>
                <w:szCs w:val="18"/>
                <w:lang w:val="en-CA"/>
              </w:rPr>
              <w:t>the project mid-term review.</w:t>
            </w:r>
            <w:r w:rsidR="00DF2CE4" w:rsidRPr="00741FCF">
              <w:rPr>
                <w:rFonts w:asciiTheme="minorHAnsi" w:hAnsiTheme="minorHAnsi"/>
                <w:i/>
                <w:iCs/>
                <w:sz w:val="18"/>
                <w:szCs w:val="18"/>
                <w:lang w:val="en-CA"/>
              </w:rPr>
              <w:t xml:space="preserve"> </w:t>
            </w:r>
            <w:r w:rsidR="0084106F" w:rsidRPr="00741FCF">
              <w:rPr>
                <w:rFonts w:cs="Calibri"/>
                <w:sz w:val="18"/>
                <w:szCs w:val="18"/>
                <w:lang w:val="en-GB"/>
              </w:rPr>
              <w:t xml:space="preserve">Rate: $30,000 paid as lump sums </w:t>
            </w:r>
            <w:proofErr w:type="gramStart"/>
            <w:r w:rsidR="0084106F" w:rsidRPr="00741FCF">
              <w:rPr>
                <w:rFonts w:cs="Calibri"/>
                <w:sz w:val="18"/>
                <w:szCs w:val="18"/>
                <w:lang w:val="en-GB"/>
              </w:rPr>
              <w:t>on the basis of</w:t>
            </w:r>
            <w:proofErr w:type="gramEnd"/>
            <w:r w:rsidR="0084106F" w:rsidRPr="00741FCF">
              <w:rPr>
                <w:rFonts w:cs="Calibri"/>
                <w:sz w:val="18"/>
                <w:szCs w:val="18"/>
                <w:lang w:val="en-GB"/>
              </w:rPr>
              <w:t xml:space="preserve"> deliverables in the 3</w:t>
            </w:r>
            <w:r w:rsidR="0084106F" w:rsidRPr="00741FCF">
              <w:rPr>
                <w:rFonts w:cs="Calibri"/>
                <w:sz w:val="18"/>
                <w:szCs w:val="18"/>
                <w:vertAlign w:val="superscript"/>
                <w:lang w:val="en-GB"/>
              </w:rPr>
              <w:t>rd</w:t>
            </w:r>
            <w:r w:rsidR="0084106F" w:rsidRPr="00741FCF">
              <w:rPr>
                <w:rFonts w:cs="Calibri"/>
                <w:sz w:val="18"/>
                <w:szCs w:val="18"/>
                <w:lang w:val="en-GB"/>
              </w:rPr>
              <w:t xml:space="preserve"> year. Total cost: $ 30,000.</w:t>
            </w:r>
          </w:p>
        </w:tc>
      </w:tr>
      <w:tr w:rsidR="00302BFE" w:rsidRPr="006E490C" w14:paraId="6667B382"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0E9CDE69" w14:textId="281C3A64" w:rsidR="00302BFE" w:rsidRPr="006E490C" w:rsidRDefault="00D45B3D" w:rsidP="00243B15">
            <w:pPr>
              <w:spacing w:before="40" w:after="40"/>
              <w:jc w:val="center"/>
              <w:rPr>
                <w:rFonts w:eastAsia="Times New Roman" w:cs="Calibri"/>
                <w:i/>
                <w:iCs/>
                <w:sz w:val="18"/>
                <w:szCs w:val="18"/>
                <w:lang w:val="en-GB"/>
              </w:rPr>
            </w:pPr>
            <w:r>
              <w:rPr>
                <w:rFonts w:eastAsia="Times New Roman" w:cs="Calibri"/>
                <w:i/>
                <w:iCs/>
                <w:sz w:val="18"/>
                <w:szCs w:val="18"/>
                <w:lang w:val="en-GB"/>
              </w:rPr>
              <w:t>14</w:t>
            </w:r>
          </w:p>
        </w:tc>
        <w:tc>
          <w:tcPr>
            <w:tcW w:w="13687" w:type="dxa"/>
            <w:tcBorders>
              <w:top w:val="single" w:sz="4" w:space="0" w:color="auto"/>
              <w:left w:val="single" w:sz="4" w:space="0" w:color="auto"/>
              <w:bottom w:val="single" w:sz="4" w:space="0" w:color="auto"/>
              <w:right w:val="single" w:sz="4" w:space="0" w:color="auto"/>
            </w:tcBorders>
            <w:hideMark/>
          </w:tcPr>
          <w:p w14:paraId="330D2488" w14:textId="003D713D" w:rsidR="00302BFE" w:rsidRPr="00E03056" w:rsidRDefault="00302BFE" w:rsidP="00243B15">
            <w:pPr>
              <w:spacing w:before="40" w:after="40"/>
              <w:rPr>
                <w:rFonts w:cs="Calibri"/>
                <w:sz w:val="18"/>
                <w:szCs w:val="18"/>
                <w:lang w:val="en-GB"/>
              </w:rPr>
            </w:pPr>
            <w:r w:rsidRPr="00E03056">
              <w:rPr>
                <w:rFonts w:cs="Calibri"/>
                <w:sz w:val="18"/>
                <w:szCs w:val="18"/>
                <w:lang w:val="en-GB"/>
              </w:rPr>
              <w:t>a) Community mobilization specialist to oversee and support consultations with local communities, to raise awareness and inform before signing voluntary agreements (Output 2.2.3) with the support of the project gender specialist and community mobilization assistants, to support local communities throughout the process of negotiating PA and corridor co-</w:t>
            </w:r>
            <w:r w:rsidRPr="00E03056">
              <w:rPr>
                <w:rFonts w:cs="Calibri"/>
                <w:sz w:val="18"/>
                <w:szCs w:val="18"/>
                <w:lang w:val="en-GB"/>
              </w:rPr>
              <w:lastRenderedPageBreak/>
              <w:t>management agreements, to engage with women representatives of women's organizations to encourage women's participation and ensure that their interests and priorities are taken into account and to support the involvement of local communities in the implementation of management plans in accordance with their co-management agreements. Rate: $ 2,000/month for 37 months in years 1 to 5. Total cost: $ 74,000.</w:t>
            </w:r>
          </w:p>
          <w:p w14:paraId="1A3F4CB3" w14:textId="5B3F3AAD" w:rsidR="00302BFE" w:rsidRPr="00363257" w:rsidRDefault="00302BFE" w:rsidP="00243B15">
            <w:pPr>
              <w:spacing w:before="40" w:after="40"/>
              <w:rPr>
                <w:rFonts w:cs="Calibri"/>
                <w:sz w:val="18"/>
                <w:szCs w:val="18"/>
                <w:lang w:val="en-GB"/>
              </w:rPr>
            </w:pPr>
            <w:r w:rsidRPr="00E03056">
              <w:rPr>
                <w:rFonts w:cs="Calibri"/>
                <w:sz w:val="18"/>
                <w:szCs w:val="18"/>
                <w:lang w:val="en-GB"/>
              </w:rPr>
              <w:t>b) PA management expert responsible for evaluating and making recommendations on the institutional structure of the PAs of the PONASI complex (output 2.1.1); develop a model for a concerted management plan for protected areas and guidance material; develop a collaborative management agreement template (2.2.3) and participatory management plan templates for ZOVICs (output 2.3.2); oversee the participatory development of protected area management plans for all protected areas and their implementation, the formalization of corridors (publication in the Official Gazette), and the delineation of the southern boundary</w:t>
            </w:r>
            <w:r w:rsidRPr="00363257">
              <w:rPr>
                <w:rFonts w:cs="Calibri"/>
                <w:sz w:val="18"/>
                <w:szCs w:val="18"/>
                <w:lang w:val="en-GB"/>
              </w:rPr>
              <w:t xml:space="preserve"> of the </w:t>
            </w:r>
            <w:proofErr w:type="spellStart"/>
            <w:r w:rsidRPr="00363257">
              <w:rPr>
                <w:rFonts w:cs="Calibri"/>
                <w:sz w:val="18"/>
                <w:szCs w:val="18"/>
                <w:lang w:val="en-GB"/>
              </w:rPr>
              <w:t>Nazinga</w:t>
            </w:r>
            <w:proofErr w:type="spellEnd"/>
            <w:r w:rsidRPr="00363257">
              <w:rPr>
                <w:rFonts w:cs="Calibri"/>
                <w:sz w:val="18"/>
                <w:szCs w:val="18"/>
                <w:lang w:val="en-GB"/>
              </w:rPr>
              <w:t xml:space="preserve"> Game Ranch; evaluate the management, effectiveness and benefits of ZOVICs (output 2.3.2); and oversee negotiations with Ghanaian counterparts to develop transboundary agreements on shared resources, namely elephants (Output 2.4.3). Rate: $ 2,000 /month for 40 months in years 1, 2, 3, 4 and 5. Total cost: $ 80,000.</w:t>
            </w:r>
          </w:p>
          <w:p w14:paraId="096E39F6" w14:textId="77777777" w:rsidR="00302BFE" w:rsidRPr="00363257" w:rsidRDefault="00302BFE" w:rsidP="00243B15">
            <w:pPr>
              <w:spacing w:before="40" w:after="40"/>
              <w:rPr>
                <w:rFonts w:cs="Calibri"/>
                <w:sz w:val="18"/>
                <w:szCs w:val="18"/>
                <w:lang w:val="en-GB"/>
              </w:rPr>
            </w:pPr>
            <w:r w:rsidRPr="00363257">
              <w:rPr>
                <w:rFonts w:cs="Calibri"/>
                <w:sz w:val="18"/>
                <w:szCs w:val="18"/>
                <w:lang w:val="en-GB"/>
              </w:rPr>
              <w:t>c) Assistant Biologist to carry out desk research and gather existing information and printed material on flora and fauna in the PONASI landscape to develop illustrated and user-friendly field guides to assist in the identification and monitoring of biodiversity by PA staff and visitors (output 2.2.4). Rate: $ 1,750 / month over 3 months in the third year. Total cost: $5,250.</w:t>
            </w:r>
          </w:p>
          <w:p w14:paraId="64B2380E" w14:textId="77777777" w:rsidR="00302BFE" w:rsidRPr="00363257" w:rsidRDefault="00302BFE" w:rsidP="00243B15">
            <w:pPr>
              <w:spacing w:before="40" w:after="40"/>
              <w:rPr>
                <w:rFonts w:cs="Calibri"/>
                <w:sz w:val="18"/>
                <w:szCs w:val="18"/>
                <w:lang w:val="en-GB"/>
              </w:rPr>
            </w:pPr>
            <w:r w:rsidRPr="00363257">
              <w:rPr>
                <w:rFonts w:cs="Calibri"/>
                <w:sz w:val="18"/>
                <w:szCs w:val="18"/>
                <w:lang w:val="en-GB"/>
              </w:rPr>
              <w:t xml:space="preserve">d) Legal consultant to review the statutes of the institutions in charge of the PAs in order to verify the possibility of entrusting the management of all PAs of the PONASI landscape to the same entity, OFINAP (output 2.1.1), and to put in place a legal framework allowing collaborative management of PAs involving neighbouring local communities (output 2.1.1); the drafting and presentation of legal texts to formally create corridors # 1 and # 2 (output 2.2.1); write and submit an amendment to the </w:t>
            </w:r>
            <w:proofErr w:type="spellStart"/>
            <w:r w:rsidRPr="00363257">
              <w:rPr>
                <w:rFonts w:cs="Calibri"/>
                <w:sz w:val="18"/>
                <w:szCs w:val="18"/>
                <w:lang w:val="en-GB"/>
              </w:rPr>
              <w:t>Nazinga</w:t>
            </w:r>
            <w:proofErr w:type="spellEnd"/>
            <w:r w:rsidRPr="00363257">
              <w:rPr>
                <w:rFonts w:cs="Calibri"/>
                <w:sz w:val="18"/>
                <w:szCs w:val="18"/>
                <w:lang w:val="en-GB"/>
              </w:rPr>
              <w:t xml:space="preserve"> Game Ranch Decree to review its boundaries (output 2.2.1); review the co-management model in close collaboration with the community mobilization specialist to ensure consistency with the legal framework (Output 2.2.3); drafting of transboundary collaboration agreements with Ghanaian counterparts for the protection of shared resources, i.e. elephant populations (output 2.4.3). Rate: $ 28,000 lump sum based on deliverables in years 1, 2, 3, 5. Total cost: $ 28,000.</w:t>
            </w:r>
          </w:p>
          <w:p w14:paraId="241D58F0" w14:textId="77777777" w:rsidR="00302BFE" w:rsidRPr="00363257" w:rsidRDefault="00302BFE" w:rsidP="00243B15">
            <w:pPr>
              <w:spacing w:before="40" w:after="40"/>
              <w:rPr>
                <w:rFonts w:cs="Calibri"/>
                <w:sz w:val="18"/>
                <w:szCs w:val="18"/>
                <w:lang w:val="en-GB"/>
              </w:rPr>
            </w:pPr>
            <w:r w:rsidRPr="00363257">
              <w:rPr>
                <w:rFonts w:cs="Calibri"/>
                <w:sz w:val="18"/>
                <w:szCs w:val="18"/>
                <w:lang w:val="en-GB"/>
              </w:rPr>
              <w:t>e) Human-Wildlife Conflict Specialist for collecting conflict information through desk reviews, meetings with stakeholders and local communities and visits to relevant institutions for planning and conducting rapid assessments in 7 communes where human-wildlife conflicts occur; contribute to the development of the Human-Wildlife Conflict Strategy / Action Plan and oversee the implementation of the Action Plan (Output 2.4.1). Rate: $ 2,000 / month over 12 months, years 1 and 2. Total cost: $ 24,000.</w:t>
            </w:r>
          </w:p>
          <w:p w14:paraId="14E9BF97" w14:textId="77777777" w:rsidR="00302BFE" w:rsidRPr="00363257" w:rsidRDefault="00302BFE" w:rsidP="00243B15">
            <w:pPr>
              <w:spacing w:before="40" w:after="40"/>
              <w:rPr>
                <w:rFonts w:cs="Calibri"/>
                <w:sz w:val="18"/>
                <w:szCs w:val="18"/>
                <w:lang w:val="en-GB"/>
              </w:rPr>
            </w:pPr>
            <w:r w:rsidRPr="00363257">
              <w:rPr>
                <w:rFonts w:cs="Calibri"/>
                <w:sz w:val="18"/>
                <w:szCs w:val="18"/>
                <w:lang w:val="en-GB"/>
              </w:rPr>
              <w:t xml:space="preserve">f) GIS specialist to support the delineation of protected areas, ZOVICs and corridors and the demarcation process (Output 2.2.1 and 2.3.1). Rate: $ 2,000/month over 8 months in years 2 and 3. Total cost: $ 16,000. </w:t>
            </w:r>
          </w:p>
        </w:tc>
      </w:tr>
      <w:tr w:rsidR="00302BFE" w:rsidRPr="006E490C" w14:paraId="1E707064"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335E7026" w14:textId="2BAB67F3"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lastRenderedPageBreak/>
              <w:t>1</w:t>
            </w:r>
            <w:r w:rsidR="00D45B3D">
              <w:rPr>
                <w:rFonts w:eastAsia="Times New Roman" w:cs="Calibri"/>
                <w:i/>
                <w:iCs/>
                <w:sz w:val="18"/>
                <w:szCs w:val="18"/>
                <w:lang w:val="en-GB"/>
              </w:rPr>
              <w:t>5</w:t>
            </w:r>
          </w:p>
        </w:tc>
        <w:tc>
          <w:tcPr>
            <w:tcW w:w="13687" w:type="dxa"/>
            <w:tcBorders>
              <w:top w:val="single" w:sz="4" w:space="0" w:color="auto"/>
              <w:left w:val="single" w:sz="4" w:space="0" w:color="auto"/>
              <w:bottom w:val="single" w:sz="4" w:space="0" w:color="auto"/>
              <w:right w:val="single" w:sz="4" w:space="0" w:color="auto"/>
            </w:tcBorders>
            <w:hideMark/>
          </w:tcPr>
          <w:p w14:paraId="49012730" w14:textId="77777777" w:rsidR="00302BFE" w:rsidRPr="00363257" w:rsidRDefault="00302BFE" w:rsidP="00243B15">
            <w:pPr>
              <w:spacing w:before="40" w:after="40"/>
              <w:rPr>
                <w:rFonts w:eastAsia="Times New Roman" w:cs="Calibri"/>
                <w:sz w:val="18"/>
                <w:szCs w:val="18"/>
                <w:lang w:val="en-GB"/>
              </w:rPr>
            </w:pPr>
            <w:r w:rsidRPr="00363257">
              <w:rPr>
                <w:rFonts w:eastAsia="Times New Roman" w:cs="Calibri"/>
                <w:sz w:val="18"/>
                <w:szCs w:val="18"/>
                <w:lang w:val="en-GB"/>
              </w:rPr>
              <w:t>a) Project coordinator (20% of time for the component) responsible for providing technical inputs to various outputs under the component 2, especially the output 2.1 for the strengthening of individual and institutional capacities, output 2.2 for reinforcing the management effectiveness of the various categories of PAs in the PONASI Landscape and for contributions to the output 2.4 on the development of an elephant protection plan. $400 / month over 6 years. Total cost: $ 28,800.</w:t>
            </w:r>
          </w:p>
          <w:p w14:paraId="4C493DEB" w14:textId="77777777" w:rsidR="00302BFE" w:rsidRPr="00363257" w:rsidRDefault="00302BFE" w:rsidP="00243B15">
            <w:pPr>
              <w:spacing w:before="40" w:after="40"/>
              <w:rPr>
                <w:rFonts w:eastAsia="Times New Roman" w:cs="Calibri"/>
                <w:sz w:val="18"/>
                <w:szCs w:val="18"/>
                <w:lang w:val="en-GB"/>
              </w:rPr>
            </w:pPr>
            <w:r w:rsidRPr="00363257">
              <w:rPr>
                <w:rFonts w:eastAsia="Times New Roman" w:cs="Calibri"/>
                <w:sz w:val="18"/>
                <w:szCs w:val="18"/>
                <w:lang w:val="en-GB"/>
              </w:rPr>
              <w:t>b) Project driver / logistician (25% for the component) to support components of the project @ $ 150 / month for 70 months - Total cost: $ 13,125</w:t>
            </w:r>
          </w:p>
          <w:p w14:paraId="30D94646" w14:textId="77777777" w:rsidR="00302BFE" w:rsidRPr="00E03056" w:rsidRDefault="00302BFE" w:rsidP="00243B15">
            <w:pPr>
              <w:spacing w:before="40" w:after="40"/>
              <w:rPr>
                <w:rFonts w:eastAsia="Times New Roman" w:cs="Calibri"/>
                <w:sz w:val="18"/>
                <w:szCs w:val="18"/>
                <w:lang w:val="en-GB"/>
              </w:rPr>
            </w:pPr>
            <w:r w:rsidRPr="00363257">
              <w:rPr>
                <w:rFonts w:eastAsia="Times New Roman" w:cs="Calibri"/>
                <w:sz w:val="18"/>
                <w:szCs w:val="18"/>
                <w:lang w:val="en-GB"/>
              </w:rPr>
              <w:t xml:space="preserve">c) Expert in Monitoring-Evaluation / Safeguards (25% for the component) responsible for overseeing the identification of indicators for long-term ecological monitoring (Output 2.2.4) and </w:t>
            </w:r>
            <w:r w:rsidRPr="00E03056">
              <w:rPr>
                <w:rFonts w:eastAsia="Times New Roman" w:cs="Calibri"/>
                <w:sz w:val="18"/>
                <w:szCs w:val="18"/>
                <w:lang w:val="en-GB"/>
              </w:rPr>
              <w:t>monitoring of PAs (Output 2.1.2). $ 437.50 / month for 12 months. Annual cost: $ 5,250 in years 1 to 6 total cost: $ 31,500.</w:t>
            </w:r>
          </w:p>
          <w:p w14:paraId="1A69C678" w14:textId="77777777" w:rsidR="00302BFE" w:rsidRPr="00E03056" w:rsidRDefault="00302BFE" w:rsidP="00243B15">
            <w:pPr>
              <w:spacing w:before="40" w:after="40"/>
              <w:rPr>
                <w:rFonts w:eastAsia="Times New Roman" w:cs="Calibri"/>
                <w:sz w:val="18"/>
                <w:szCs w:val="18"/>
                <w:lang w:val="en-GB"/>
              </w:rPr>
            </w:pPr>
            <w:r w:rsidRPr="00E03056">
              <w:rPr>
                <w:rFonts w:eastAsia="Times New Roman" w:cs="Calibri"/>
                <w:sz w:val="18"/>
                <w:szCs w:val="18"/>
                <w:lang w:val="en-GB"/>
              </w:rPr>
              <w:t>d) Gender specialist responsible for overseeing gender mainstreaming in all project components and monitoring the implementation of the gender action plan (10% for the component). Annual cost: $ 1,050 in years 1 to 6 total cost: $ 6,300</w:t>
            </w:r>
          </w:p>
          <w:p w14:paraId="66EFB7AB" w14:textId="77777777" w:rsidR="00302BFE" w:rsidRPr="00E03056" w:rsidRDefault="00302BFE" w:rsidP="00243B15">
            <w:pPr>
              <w:spacing w:before="40" w:after="40"/>
              <w:rPr>
                <w:rFonts w:eastAsia="Times New Roman" w:cs="Calibri"/>
                <w:sz w:val="18"/>
                <w:szCs w:val="18"/>
                <w:lang w:val="en-GB"/>
              </w:rPr>
            </w:pPr>
            <w:r w:rsidRPr="00E03056">
              <w:rPr>
                <w:rFonts w:eastAsia="Times New Roman" w:cs="Calibri"/>
                <w:sz w:val="18"/>
                <w:szCs w:val="18"/>
                <w:lang w:val="en-GB"/>
              </w:rPr>
              <w:t>e) Communication / knowledge management expert (10% for the component) responsible for the development and implementation of the project communication strategy in support of all project components. Annual cost: $ 1,050 in years 1 to 6 total cost: $ 6,300</w:t>
            </w:r>
          </w:p>
          <w:p w14:paraId="1565FF4E" w14:textId="77777777" w:rsidR="00302BFE" w:rsidRPr="00E03056" w:rsidRDefault="00302BFE" w:rsidP="007A6608">
            <w:pPr>
              <w:spacing w:before="40" w:after="40"/>
              <w:rPr>
                <w:rFonts w:eastAsia="Times New Roman" w:cs="Calibri"/>
                <w:sz w:val="18"/>
                <w:szCs w:val="18"/>
                <w:lang w:val="en-GB"/>
              </w:rPr>
            </w:pPr>
            <w:r w:rsidRPr="00E03056">
              <w:rPr>
                <w:rFonts w:eastAsia="Times New Roman" w:cs="Calibri"/>
                <w:sz w:val="18"/>
                <w:szCs w:val="18"/>
                <w:lang w:val="en-GB"/>
              </w:rPr>
              <w:t>f) Community Mobilization Assistants (2) to provide field support to project experts and specialists and participate in activities implemented with local communities under Component 2, particularly to support the process of establishment of a collaborative management of the protected areas (Output 2.2.3), support village-level negotiations to develop collaborative management agreements; and inform and empower local communities to set up anti-poaching pilot teams and encourage them to participate in surveillance activities and the information network. Rate: $ 1,000 / month / person for 36 months over 4 years for 2 assistants. Total cost: $ 72,000</w:t>
            </w:r>
          </w:p>
          <w:p w14:paraId="05000132" w14:textId="77777777" w:rsidR="00302BFE" w:rsidRPr="00363257" w:rsidRDefault="00302BFE" w:rsidP="00243B15">
            <w:pPr>
              <w:spacing w:before="40" w:after="40"/>
              <w:rPr>
                <w:rFonts w:eastAsia="Times New Roman" w:cs="Calibri"/>
                <w:sz w:val="18"/>
                <w:szCs w:val="18"/>
                <w:lang w:val="en-GB"/>
              </w:rPr>
            </w:pPr>
            <w:r w:rsidRPr="00E03056">
              <w:rPr>
                <w:rFonts w:eastAsia="Times New Roman" w:cs="Calibri"/>
                <w:sz w:val="18"/>
                <w:szCs w:val="18"/>
                <w:lang w:val="en-GB"/>
              </w:rPr>
              <w:t xml:space="preserve">g) Field assistants (2) to provide field support for delineation and demarcation (construction of boundary markers with local community support) of PA boundaries, including ZOVICs, the southern boundary of the game ranch </w:t>
            </w:r>
            <w:proofErr w:type="spellStart"/>
            <w:r w:rsidRPr="00E03056">
              <w:rPr>
                <w:rFonts w:eastAsia="Times New Roman" w:cs="Calibri"/>
                <w:sz w:val="18"/>
                <w:szCs w:val="18"/>
                <w:lang w:val="en-GB"/>
              </w:rPr>
              <w:t>Nazinga</w:t>
            </w:r>
            <w:proofErr w:type="spellEnd"/>
            <w:r w:rsidRPr="00E03056">
              <w:rPr>
                <w:rFonts w:eastAsia="Times New Roman" w:cs="Calibri"/>
                <w:sz w:val="18"/>
                <w:szCs w:val="18"/>
                <w:lang w:val="en-GB"/>
              </w:rPr>
              <w:t xml:space="preserve"> and the corridors; assist the ecological monitoring expert to install</w:t>
            </w:r>
            <w:r w:rsidRPr="00363257">
              <w:rPr>
                <w:rFonts w:eastAsia="Times New Roman" w:cs="Calibri"/>
                <w:sz w:val="18"/>
                <w:szCs w:val="18"/>
                <w:lang w:val="en-GB"/>
              </w:rPr>
              <w:t xml:space="preserve"> signage indicating transects and permanent routes (output 2.2.4). Rate: $1000 / month / person for 2 assistants over 36 months in years 2, 3 and 4. Total cost: $ 72,000.</w:t>
            </w:r>
          </w:p>
          <w:p w14:paraId="6C3A94EE" w14:textId="77777777" w:rsidR="00302BFE" w:rsidRPr="00363257" w:rsidRDefault="00302BFE" w:rsidP="00243B15">
            <w:pPr>
              <w:spacing w:before="40" w:after="40"/>
              <w:rPr>
                <w:rFonts w:eastAsia="Times New Roman" w:cs="Calibri"/>
                <w:sz w:val="18"/>
                <w:szCs w:val="18"/>
                <w:lang w:val="en-GB"/>
              </w:rPr>
            </w:pPr>
            <w:r w:rsidRPr="00363257">
              <w:rPr>
                <w:rFonts w:eastAsia="Times New Roman" w:cs="Calibri"/>
                <w:sz w:val="18"/>
                <w:szCs w:val="18"/>
                <w:lang w:val="en-GB"/>
              </w:rPr>
              <w:lastRenderedPageBreak/>
              <w:t>h) Field Assistants (2) to provide support with surveys for the estimation of the elephant population in the PONASI landscape based on the number of excreta of years 1, 3 (medium term) and 6 (end of project) and participate in other surveys and fieldwork as part of the research project (Output 2.4.2). Rate: $ 1,000 / month / person for 12 months years 1, 3, 6. Total cost: $ 24,000.</w:t>
            </w:r>
          </w:p>
        </w:tc>
      </w:tr>
      <w:tr w:rsidR="00302BFE" w:rsidRPr="00A4468A" w14:paraId="20B17C07"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5A945E9B" w14:textId="760D6D57" w:rsidR="00302BFE" w:rsidRPr="006E490C" w:rsidRDefault="00302BFE" w:rsidP="00243B15">
            <w:pPr>
              <w:spacing w:before="40" w:after="40"/>
              <w:jc w:val="center"/>
              <w:rPr>
                <w:rFonts w:eastAsia="Times New Roman" w:cs="Calibri"/>
                <w:i/>
                <w:iCs/>
                <w:sz w:val="18"/>
                <w:szCs w:val="18"/>
                <w:lang w:val="en-GB"/>
              </w:rPr>
            </w:pPr>
            <w:r w:rsidRPr="002444C5">
              <w:rPr>
                <w:rFonts w:eastAsia="Times New Roman" w:cs="Calibri"/>
                <w:i/>
                <w:iCs/>
                <w:sz w:val="18"/>
                <w:szCs w:val="18"/>
                <w:lang w:val="en-GB"/>
              </w:rPr>
              <w:lastRenderedPageBreak/>
              <w:t>1</w:t>
            </w:r>
            <w:r w:rsidR="00D45B3D">
              <w:rPr>
                <w:rFonts w:eastAsia="Times New Roman" w:cs="Calibri"/>
                <w:i/>
                <w:iCs/>
                <w:sz w:val="18"/>
                <w:szCs w:val="18"/>
                <w:lang w:val="en-GB"/>
              </w:rPr>
              <w:t>6</w:t>
            </w:r>
          </w:p>
        </w:tc>
        <w:tc>
          <w:tcPr>
            <w:tcW w:w="13687" w:type="dxa"/>
            <w:tcBorders>
              <w:top w:val="single" w:sz="4" w:space="0" w:color="auto"/>
              <w:left w:val="single" w:sz="4" w:space="0" w:color="auto"/>
              <w:bottom w:val="single" w:sz="4" w:space="0" w:color="auto"/>
              <w:right w:val="single" w:sz="4" w:space="0" w:color="auto"/>
            </w:tcBorders>
            <w:hideMark/>
          </w:tcPr>
          <w:p w14:paraId="1B5A3D5E" w14:textId="183DF943" w:rsidR="00302BFE" w:rsidRPr="006E490C" w:rsidRDefault="00A642FE" w:rsidP="00243B15">
            <w:pPr>
              <w:spacing w:before="40" w:after="40"/>
              <w:rPr>
                <w:rFonts w:eastAsia="Times New Roman" w:cs="Calibri"/>
                <w:sz w:val="18"/>
                <w:szCs w:val="18"/>
                <w:lang w:val="en-GB"/>
              </w:rPr>
            </w:pPr>
            <w:r>
              <w:rPr>
                <w:rFonts w:eastAsia="Times New Roman" w:cs="Calibri"/>
                <w:sz w:val="18"/>
                <w:szCs w:val="18"/>
                <w:lang w:val="en-GB"/>
              </w:rPr>
              <w:t>a</w:t>
            </w:r>
            <w:r w:rsidR="00302BFE" w:rsidRPr="006E490C">
              <w:rPr>
                <w:rFonts w:eastAsia="Times New Roman" w:cs="Calibri"/>
                <w:sz w:val="18"/>
                <w:szCs w:val="18"/>
                <w:lang w:val="en-GB"/>
              </w:rPr>
              <w:t>) Lump sum (shared between all components) for fuel purchase and vehicle maintenance of the Project Coordination Unit to be used for most field missions (consultants and PCU staff) as well as for motorcycles for the travel of technical assistants and community mobilization assistants @ $ 1,500 / year. Total cost: $ 9,000</w:t>
            </w:r>
          </w:p>
          <w:p w14:paraId="0CB4F1FA" w14:textId="00970BE4" w:rsidR="00302BFE" w:rsidRPr="00E03056" w:rsidRDefault="0063211A" w:rsidP="00243B15">
            <w:pPr>
              <w:spacing w:before="40" w:after="40"/>
              <w:rPr>
                <w:rFonts w:eastAsia="Times New Roman" w:cs="Calibri"/>
                <w:sz w:val="18"/>
                <w:szCs w:val="18"/>
                <w:lang w:val="en-GB"/>
              </w:rPr>
            </w:pPr>
            <w:r>
              <w:rPr>
                <w:rFonts w:eastAsia="Times New Roman" w:cs="Calibri"/>
                <w:sz w:val="18"/>
                <w:szCs w:val="18"/>
                <w:lang w:val="en-GB"/>
              </w:rPr>
              <w:t>b</w:t>
            </w:r>
            <w:r w:rsidR="00A642FE">
              <w:rPr>
                <w:rFonts w:eastAsia="Times New Roman" w:cs="Calibri"/>
                <w:sz w:val="18"/>
                <w:szCs w:val="18"/>
                <w:lang w:val="en-GB"/>
              </w:rPr>
              <w:t>)</w:t>
            </w:r>
            <w:r w:rsidR="00302BFE" w:rsidRPr="006E490C">
              <w:rPr>
                <w:rFonts w:eastAsia="Times New Roman" w:cs="Calibri"/>
                <w:sz w:val="18"/>
                <w:szCs w:val="18"/>
                <w:lang w:val="en-GB"/>
              </w:rPr>
              <w:t xml:space="preserve"> Travel expenses for the National PA specialist consultant: i) for the establishment of PA collaborative management committees during year 2 (output 2.1.1) (10-day car / driver rental @ $200/day - 50% of the trips made with the project car - per diem 20 days @ 120 $ / day), ii) for the establishment of the forum of consultation of the stakeholders in the PAs during </w:t>
            </w:r>
            <w:r w:rsidR="00302BFE" w:rsidRPr="00E03056">
              <w:rPr>
                <w:rFonts w:eastAsia="Times New Roman" w:cs="Calibri"/>
                <w:sz w:val="18"/>
                <w:szCs w:val="18"/>
                <w:lang w:val="en-GB"/>
              </w:rPr>
              <w:t>year 3 ( output 2.1.1) (rental of vehicle / driver for 4 days @ $ 200 / day - per diem 4 days @ $ 120 / day) Total cost $ 5,680.</w:t>
            </w:r>
          </w:p>
          <w:p w14:paraId="14B3C04A" w14:textId="1FFD5D2C" w:rsidR="00302BFE" w:rsidRPr="00E03056" w:rsidRDefault="0063211A" w:rsidP="00243B15">
            <w:pPr>
              <w:spacing w:before="40" w:after="40"/>
              <w:rPr>
                <w:rFonts w:eastAsia="Times New Roman" w:cs="Calibri"/>
                <w:sz w:val="18"/>
                <w:szCs w:val="18"/>
                <w:lang w:val="en-GB"/>
              </w:rPr>
            </w:pPr>
            <w:r w:rsidRPr="00E03056">
              <w:rPr>
                <w:rFonts w:eastAsia="Times New Roman" w:cs="Calibri"/>
                <w:sz w:val="18"/>
                <w:szCs w:val="18"/>
                <w:lang w:val="en-GB"/>
              </w:rPr>
              <w:t>c</w:t>
            </w:r>
            <w:r w:rsidR="00302BFE" w:rsidRPr="00E03056">
              <w:rPr>
                <w:rFonts w:eastAsia="Times New Roman" w:cs="Calibri"/>
                <w:sz w:val="18"/>
                <w:szCs w:val="18"/>
                <w:lang w:val="en-GB"/>
              </w:rPr>
              <w:t>) Budget reserve for travel expenses of local communities, especially women, to ensure their participation in negotiation and decision-making processes for the preparation of participatory management and planning plans and zoning plans for protected areas, including ZOVICs, and corridors of the PONASI complex (output 2.2.2) in years 1, 2, 3. Total cost: $ 30,000.</w:t>
            </w:r>
          </w:p>
          <w:p w14:paraId="4EE4A0C3" w14:textId="6168D008" w:rsidR="00302BFE" w:rsidRPr="006E490C" w:rsidRDefault="0063211A" w:rsidP="007A6608">
            <w:pPr>
              <w:spacing w:before="40" w:after="40"/>
              <w:rPr>
                <w:rFonts w:eastAsia="Times New Roman" w:cs="Calibri"/>
                <w:sz w:val="18"/>
                <w:szCs w:val="18"/>
                <w:lang w:val="en-GB"/>
              </w:rPr>
            </w:pPr>
            <w:r w:rsidRPr="00E03056">
              <w:rPr>
                <w:rFonts w:eastAsia="Times New Roman" w:cs="Calibri"/>
                <w:sz w:val="18"/>
                <w:szCs w:val="18"/>
                <w:lang w:val="en-GB"/>
              </w:rPr>
              <w:t>d</w:t>
            </w:r>
            <w:r w:rsidR="00302BFE" w:rsidRPr="00E03056">
              <w:rPr>
                <w:rFonts w:eastAsia="Times New Roman" w:cs="Calibri"/>
                <w:sz w:val="18"/>
                <w:szCs w:val="18"/>
                <w:lang w:val="en-GB"/>
              </w:rPr>
              <w:t>) Travel expenses for the international</w:t>
            </w:r>
            <w:r w:rsidR="00302BFE" w:rsidRPr="006E490C">
              <w:rPr>
                <w:rFonts w:eastAsia="Times New Roman" w:cs="Calibri"/>
                <w:sz w:val="18"/>
                <w:szCs w:val="18"/>
                <w:lang w:val="en-GB"/>
              </w:rPr>
              <w:t xml:space="preserve"> consultant expert in sustainable financing of PAs (output 2.2.2) for 2 missions of 10 days in Burkina Faso (6 days Ouagadougou, 4 days field) and the rental of a vehicle / driver ($ 1,500 / airfare, 6 per diem Ouagadougou @ $ 260, 4 per diem region @ $ 120, 4 days vehicle @ $ 200 / day). Total cost: $ 16,000 during the 3</w:t>
            </w:r>
            <w:r w:rsidR="00302BFE" w:rsidRPr="006E490C">
              <w:rPr>
                <w:rFonts w:eastAsia="Times New Roman" w:cs="Calibri"/>
                <w:sz w:val="18"/>
                <w:szCs w:val="18"/>
                <w:vertAlign w:val="superscript"/>
                <w:lang w:val="en-GB"/>
              </w:rPr>
              <w:t>rd</w:t>
            </w:r>
            <w:r w:rsidR="00302BFE" w:rsidRPr="006E490C">
              <w:rPr>
                <w:rFonts w:eastAsia="Times New Roman" w:cs="Calibri"/>
                <w:sz w:val="18"/>
                <w:szCs w:val="18"/>
                <w:lang w:val="en-GB"/>
              </w:rPr>
              <w:t xml:space="preserve"> and 4</w:t>
            </w:r>
            <w:r w:rsidR="00302BFE" w:rsidRPr="006E490C">
              <w:rPr>
                <w:rFonts w:eastAsia="Times New Roman" w:cs="Calibri"/>
                <w:sz w:val="18"/>
                <w:szCs w:val="18"/>
                <w:vertAlign w:val="superscript"/>
                <w:lang w:val="en-GB"/>
              </w:rPr>
              <w:t>th</w:t>
            </w:r>
            <w:r w:rsidR="00302BFE" w:rsidRPr="006E490C">
              <w:rPr>
                <w:rFonts w:eastAsia="Times New Roman" w:cs="Calibri"/>
                <w:sz w:val="18"/>
                <w:szCs w:val="18"/>
                <w:lang w:val="en-GB"/>
              </w:rPr>
              <w:t xml:space="preserve"> years.</w:t>
            </w:r>
          </w:p>
          <w:p w14:paraId="33F8366D" w14:textId="140F043B" w:rsidR="00302BFE" w:rsidRPr="006E490C" w:rsidRDefault="0063211A" w:rsidP="00243B15">
            <w:pPr>
              <w:spacing w:before="40" w:after="40"/>
              <w:rPr>
                <w:rFonts w:eastAsia="Times New Roman" w:cs="Calibri"/>
                <w:sz w:val="18"/>
                <w:szCs w:val="18"/>
                <w:lang w:val="en-GB"/>
              </w:rPr>
            </w:pPr>
            <w:r>
              <w:rPr>
                <w:rFonts w:eastAsia="Times New Roman" w:cs="Calibri"/>
                <w:sz w:val="18"/>
                <w:szCs w:val="18"/>
                <w:lang w:val="en-GB"/>
              </w:rPr>
              <w:t>e</w:t>
            </w:r>
            <w:r w:rsidR="00302BFE" w:rsidRPr="006E490C">
              <w:rPr>
                <w:rFonts w:eastAsia="Times New Roman" w:cs="Calibri"/>
                <w:sz w:val="18"/>
                <w:szCs w:val="18"/>
                <w:lang w:val="en-GB"/>
              </w:rPr>
              <w:t>) Travel expenses for the national consultant specializing in human-wildlife conflicts, accompanied by a field assistant (output 2.4.1) for 2 missions of 10 days and the rental of a vehicle / driver (10 per diem region @ 120 for 2 people, 10 days vehicle @ $ 200 / day). Total cost: $ 14,000 during the 2</w:t>
            </w:r>
            <w:r w:rsidR="00302BFE" w:rsidRPr="006E490C">
              <w:rPr>
                <w:rFonts w:eastAsia="Times New Roman" w:cs="Calibri"/>
                <w:sz w:val="18"/>
                <w:szCs w:val="18"/>
                <w:vertAlign w:val="superscript"/>
                <w:lang w:val="en-GB"/>
              </w:rPr>
              <w:t>nd</w:t>
            </w:r>
            <w:r w:rsidR="00302BFE" w:rsidRPr="006E490C">
              <w:rPr>
                <w:rFonts w:eastAsia="Times New Roman" w:cs="Calibri"/>
                <w:sz w:val="18"/>
                <w:szCs w:val="18"/>
                <w:lang w:val="en-GB"/>
              </w:rPr>
              <w:t xml:space="preserve"> and 3</w:t>
            </w:r>
            <w:r w:rsidR="00302BFE" w:rsidRPr="006E490C">
              <w:rPr>
                <w:rFonts w:eastAsia="Times New Roman" w:cs="Calibri"/>
                <w:sz w:val="18"/>
                <w:szCs w:val="18"/>
                <w:vertAlign w:val="superscript"/>
                <w:lang w:val="en-GB"/>
              </w:rPr>
              <w:t>rd</w:t>
            </w:r>
            <w:r w:rsidR="00302BFE" w:rsidRPr="006E490C">
              <w:rPr>
                <w:rFonts w:eastAsia="Times New Roman" w:cs="Calibri"/>
                <w:sz w:val="18"/>
                <w:szCs w:val="18"/>
                <w:lang w:val="en-GB"/>
              </w:rPr>
              <w:t xml:space="preserve"> years.</w:t>
            </w:r>
          </w:p>
          <w:p w14:paraId="59EDE4EC" w14:textId="7853AA42" w:rsidR="00302BFE" w:rsidRPr="00741FCF" w:rsidRDefault="0063211A" w:rsidP="00243B15">
            <w:pPr>
              <w:spacing w:before="40" w:after="40"/>
              <w:rPr>
                <w:rFonts w:eastAsia="Times New Roman" w:cs="Calibri"/>
                <w:sz w:val="18"/>
                <w:szCs w:val="18"/>
                <w:lang w:val="en-GB"/>
              </w:rPr>
            </w:pPr>
            <w:r>
              <w:rPr>
                <w:rFonts w:eastAsia="Times New Roman" w:cs="Calibri"/>
                <w:sz w:val="18"/>
                <w:szCs w:val="18"/>
                <w:lang w:val="en-GB"/>
              </w:rPr>
              <w:t>f</w:t>
            </w:r>
            <w:r w:rsidR="00302BFE" w:rsidRPr="006E490C">
              <w:rPr>
                <w:rFonts w:eastAsia="Times New Roman" w:cs="Calibri"/>
                <w:sz w:val="18"/>
                <w:szCs w:val="18"/>
                <w:lang w:val="en-GB"/>
              </w:rPr>
              <w:t xml:space="preserve">) Travel costs to Ghana for </w:t>
            </w:r>
            <w:r w:rsidR="00302BFE">
              <w:rPr>
                <w:rFonts w:eastAsia="Times New Roman" w:cs="Calibri"/>
                <w:sz w:val="18"/>
                <w:szCs w:val="18"/>
                <w:lang w:val="en-GB"/>
              </w:rPr>
              <w:t>three (</w:t>
            </w:r>
            <w:r w:rsidR="00302BFE" w:rsidRPr="006E490C">
              <w:rPr>
                <w:rFonts w:eastAsia="Times New Roman" w:cs="Calibri"/>
                <w:sz w:val="18"/>
                <w:szCs w:val="18"/>
                <w:lang w:val="en-GB"/>
              </w:rPr>
              <w:t>3</w:t>
            </w:r>
            <w:r w:rsidR="00302BFE">
              <w:rPr>
                <w:rFonts w:eastAsia="Times New Roman" w:cs="Calibri"/>
                <w:sz w:val="18"/>
                <w:szCs w:val="18"/>
                <w:lang w:val="en-GB"/>
              </w:rPr>
              <w:t>)</w:t>
            </w:r>
            <w:r w:rsidR="00302BFE" w:rsidRPr="006E490C">
              <w:rPr>
                <w:rFonts w:eastAsia="Times New Roman" w:cs="Calibri"/>
                <w:sz w:val="18"/>
                <w:szCs w:val="18"/>
                <w:lang w:val="en-GB"/>
              </w:rPr>
              <w:t xml:space="preserve"> 5-day missions for 4 </w:t>
            </w:r>
            <w:r w:rsidR="00302BFE">
              <w:rPr>
                <w:rFonts w:eastAsia="Times New Roman" w:cs="Calibri"/>
                <w:sz w:val="18"/>
                <w:szCs w:val="18"/>
                <w:lang w:val="en-GB"/>
              </w:rPr>
              <w:t>people</w:t>
            </w:r>
            <w:r w:rsidR="00302BFE" w:rsidRPr="006E490C">
              <w:rPr>
                <w:rFonts w:eastAsia="Times New Roman" w:cs="Calibri"/>
                <w:sz w:val="18"/>
                <w:szCs w:val="18"/>
                <w:lang w:val="en-GB"/>
              </w:rPr>
              <w:t xml:space="preserve"> to negotiate the terms of a transboundary agreement for the protection of shared resources, including elephants, and to design joint surveillance and anti-poaching programs (</w:t>
            </w:r>
            <w:r w:rsidR="00302BFE">
              <w:rPr>
                <w:rFonts w:eastAsia="Times New Roman" w:cs="Calibri"/>
                <w:sz w:val="18"/>
                <w:szCs w:val="18"/>
                <w:lang w:val="en-GB"/>
              </w:rPr>
              <w:t xml:space="preserve">including </w:t>
            </w:r>
            <w:r w:rsidR="00302BFE" w:rsidRPr="006E490C">
              <w:rPr>
                <w:rFonts w:eastAsia="Times New Roman" w:cs="Calibri"/>
                <w:sz w:val="18"/>
                <w:szCs w:val="18"/>
                <w:lang w:val="en-GB"/>
              </w:rPr>
              <w:t xml:space="preserve">per diem </w:t>
            </w:r>
            <w:r w:rsidR="00302BFE">
              <w:rPr>
                <w:rFonts w:eastAsia="Times New Roman" w:cs="Calibri"/>
                <w:sz w:val="18"/>
                <w:szCs w:val="18"/>
                <w:lang w:val="en-GB"/>
              </w:rPr>
              <w:t xml:space="preserve">for </w:t>
            </w:r>
            <w:r w:rsidR="00302BFE" w:rsidRPr="006E490C">
              <w:rPr>
                <w:rFonts w:eastAsia="Times New Roman" w:cs="Calibri"/>
                <w:sz w:val="18"/>
                <w:szCs w:val="18"/>
                <w:lang w:val="en-GB"/>
              </w:rPr>
              <w:t xml:space="preserve">4 people </w:t>
            </w:r>
            <w:r w:rsidR="00302BFE">
              <w:rPr>
                <w:rFonts w:eastAsia="Times New Roman" w:cs="Calibri"/>
                <w:sz w:val="18"/>
                <w:szCs w:val="18"/>
                <w:lang w:val="en-GB"/>
              </w:rPr>
              <w:t xml:space="preserve">in </w:t>
            </w:r>
            <w:r w:rsidR="00302BFE" w:rsidRPr="006E490C">
              <w:rPr>
                <w:rFonts w:eastAsia="Times New Roman" w:cs="Calibri"/>
                <w:sz w:val="18"/>
                <w:szCs w:val="18"/>
                <w:lang w:val="en-GB"/>
              </w:rPr>
              <w:t xml:space="preserve">Ghana region @ $206/day for 5 days, car/driver rent @ $200/day for 5 days </w:t>
            </w:r>
            <w:r w:rsidR="00302BFE">
              <w:rPr>
                <w:rFonts w:eastAsia="Times New Roman" w:cs="Calibri"/>
                <w:sz w:val="18"/>
                <w:szCs w:val="18"/>
                <w:lang w:val="en-GB"/>
              </w:rPr>
              <w:t xml:space="preserve">and extra provision </w:t>
            </w:r>
            <w:r w:rsidR="00302BFE" w:rsidRPr="00741FCF">
              <w:rPr>
                <w:rFonts w:eastAsia="Times New Roman" w:cs="Calibri"/>
                <w:sz w:val="18"/>
                <w:szCs w:val="18"/>
                <w:lang w:val="en-GB"/>
              </w:rPr>
              <w:t>for unforeseen expenses related to these 3 missions to Ghana) (Output 2.4.3). Total cost: $20,000 in years 4 and 5</w:t>
            </w:r>
          </w:p>
          <w:p w14:paraId="6B6ABA47" w14:textId="6C7A83F0" w:rsidR="00AD384B" w:rsidRPr="00741FCF" w:rsidRDefault="0063211A" w:rsidP="00AD384B">
            <w:pPr>
              <w:spacing w:before="40" w:after="40"/>
              <w:rPr>
                <w:rFonts w:eastAsia="Times New Roman" w:cs="Calibri"/>
                <w:sz w:val="18"/>
                <w:szCs w:val="18"/>
                <w:lang w:val="en-GB"/>
              </w:rPr>
            </w:pPr>
            <w:r w:rsidRPr="00741FCF">
              <w:rPr>
                <w:rFonts w:eastAsia="Times New Roman" w:cs="Calibri"/>
                <w:sz w:val="18"/>
                <w:szCs w:val="18"/>
                <w:lang w:val="en-GB"/>
              </w:rPr>
              <w:t>g</w:t>
            </w:r>
            <w:r w:rsidR="00395329" w:rsidRPr="00741FCF">
              <w:rPr>
                <w:rFonts w:eastAsia="Times New Roman" w:cs="Calibri"/>
                <w:sz w:val="18"/>
                <w:szCs w:val="18"/>
                <w:lang w:val="en-GB"/>
              </w:rPr>
              <w:t>)</w:t>
            </w:r>
            <w:r w:rsidR="00AD384B" w:rsidRPr="00741FCF">
              <w:rPr>
                <w:rFonts w:eastAsia="Times New Roman" w:cs="Calibri"/>
                <w:sz w:val="18"/>
                <w:szCs w:val="18"/>
                <w:lang w:val="en-GB"/>
              </w:rPr>
              <w:t xml:space="preserve"> Travel expenses for the international consultant expert in anti-poaching (output 2.2.5) for 1 mission of 10 days in Burkina Faso (4 days Ouagadougou, 6 days field) and the rental of a vehicle / driver ($ 1,500 / airfare, 4 per diem Ouagadougou @ $ 260, 6 per diem region @ $ 120, 6 days vehicle @ $ 200 / day). Total cost: $ 4,460 during the 2</w:t>
            </w:r>
            <w:r w:rsidR="00AD384B" w:rsidRPr="00741FCF">
              <w:rPr>
                <w:rFonts w:eastAsia="Times New Roman" w:cs="Calibri"/>
                <w:sz w:val="18"/>
                <w:szCs w:val="18"/>
                <w:vertAlign w:val="superscript"/>
                <w:lang w:val="en-GB"/>
              </w:rPr>
              <w:t>nd</w:t>
            </w:r>
            <w:r w:rsidR="00AD384B" w:rsidRPr="00741FCF">
              <w:rPr>
                <w:rFonts w:eastAsia="Times New Roman" w:cs="Calibri"/>
                <w:sz w:val="18"/>
                <w:szCs w:val="18"/>
                <w:lang w:val="en-GB"/>
              </w:rPr>
              <w:t xml:space="preserve"> year.</w:t>
            </w:r>
          </w:p>
          <w:p w14:paraId="2523E6A7" w14:textId="17754C5F" w:rsidR="00AD384B" w:rsidRPr="00741FCF" w:rsidRDefault="0063211A" w:rsidP="00AD384B">
            <w:pPr>
              <w:spacing w:before="40" w:after="40"/>
              <w:rPr>
                <w:rFonts w:eastAsia="Times New Roman" w:cs="Calibri"/>
                <w:sz w:val="18"/>
                <w:szCs w:val="18"/>
                <w:lang w:val="en-GB"/>
              </w:rPr>
            </w:pPr>
            <w:r w:rsidRPr="00741FCF">
              <w:rPr>
                <w:rFonts w:eastAsia="Times New Roman" w:cs="Calibri"/>
                <w:sz w:val="18"/>
                <w:szCs w:val="18"/>
                <w:lang w:val="en-GB"/>
              </w:rPr>
              <w:t>k</w:t>
            </w:r>
            <w:r w:rsidR="00AD384B" w:rsidRPr="00741FCF">
              <w:rPr>
                <w:rFonts w:eastAsia="Times New Roman" w:cs="Calibri"/>
                <w:sz w:val="18"/>
                <w:szCs w:val="18"/>
                <w:lang w:val="en-GB"/>
              </w:rPr>
              <w:t xml:space="preserve">) Travel expenses for the international consultant expert in </w:t>
            </w:r>
            <w:r w:rsidR="00E7400E" w:rsidRPr="00741FCF">
              <w:rPr>
                <w:rFonts w:eastAsia="Times New Roman" w:cs="Calibri"/>
                <w:sz w:val="18"/>
                <w:szCs w:val="18"/>
                <w:lang w:val="en-GB"/>
              </w:rPr>
              <w:t>ecological monitoring</w:t>
            </w:r>
            <w:r w:rsidR="00AD384B" w:rsidRPr="00741FCF">
              <w:rPr>
                <w:rFonts w:eastAsia="Times New Roman" w:cs="Calibri"/>
                <w:sz w:val="18"/>
                <w:szCs w:val="18"/>
                <w:lang w:val="en-GB"/>
              </w:rPr>
              <w:t xml:space="preserve"> (output 2.</w:t>
            </w:r>
            <w:r w:rsidR="00E7400E" w:rsidRPr="00741FCF">
              <w:rPr>
                <w:rFonts w:eastAsia="Times New Roman" w:cs="Calibri"/>
                <w:sz w:val="18"/>
                <w:szCs w:val="18"/>
                <w:lang w:val="en-GB"/>
              </w:rPr>
              <w:t>2.4</w:t>
            </w:r>
            <w:r w:rsidR="00AD384B" w:rsidRPr="00741FCF">
              <w:rPr>
                <w:rFonts w:eastAsia="Times New Roman" w:cs="Calibri"/>
                <w:sz w:val="18"/>
                <w:szCs w:val="18"/>
                <w:lang w:val="en-GB"/>
              </w:rPr>
              <w:t xml:space="preserve">) for </w:t>
            </w:r>
            <w:r w:rsidR="00E7400E" w:rsidRPr="00741FCF">
              <w:rPr>
                <w:rFonts w:eastAsia="Times New Roman" w:cs="Calibri"/>
                <w:sz w:val="18"/>
                <w:szCs w:val="18"/>
                <w:lang w:val="en-GB"/>
              </w:rPr>
              <w:t>1</w:t>
            </w:r>
            <w:r w:rsidR="00AD384B" w:rsidRPr="00741FCF">
              <w:rPr>
                <w:rFonts w:eastAsia="Times New Roman" w:cs="Calibri"/>
                <w:sz w:val="18"/>
                <w:szCs w:val="18"/>
                <w:lang w:val="en-GB"/>
              </w:rPr>
              <w:t xml:space="preserve"> mission of </w:t>
            </w:r>
            <w:r w:rsidR="00E7400E" w:rsidRPr="00741FCF">
              <w:rPr>
                <w:rFonts w:eastAsia="Times New Roman" w:cs="Calibri"/>
                <w:sz w:val="18"/>
                <w:szCs w:val="18"/>
                <w:lang w:val="en-GB"/>
              </w:rPr>
              <w:t>20</w:t>
            </w:r>
            <w:r w:rsidR="00AD384B" w:rsidRPr="00741FCF">
              <w:rPr>
                <w:rFonts w:eastAsia="Times New Roman" w:cs="Calibri"/>
                <w:sz w:val="18"/>
                <w:szCs w:val="18"/>
                <w:lang w:val="en-GB"/>
              </w:rPr>
              <w:t xml:space="preserve"> days in Burkina Faso (</w:t>
            </w:r>
            <w:r w:rsidR="00E7400E" w:rsidRPr="00741FCF">
              <w:rPr>
                <w:rFonts w:eastAsia="Times New Roman" w:cs="Calibri"/>
                <w:sz w:val="18"/>
                <w:szCs w:val="18"/>
                <w:lang w:val="en-GB"/>
              </w:rPr>
              <w:t>4</w:t>
            </w:r>
            <w:r w:rsidR="00AD384B" w:rsidRPr="00741FCF">
              <w:rPr>
                <w:rFonts w:eastAsia="Times New Roman" w:cs="Calibri"/>
                <w:sz w:val="18"/>
                <w:szCs w:val="18"/>
                <w:lang w:val="en-GB"/>
              </w:rPr>
              <w:t xml:space="preserve"> days Ouagadougou, </w:t>
            </w:r>
            <w:r w:rsidR="00E7400E" w:rsidRPr="00741FCF">
              <w:rPr>
                <w:rFonts w:eastAsia="Times New Roman" w:cs="Calibri"/>
                <w:sz w:val="18"/>
                <w:szCs w:val="18"/>
                <w:lang w:val="en-GB"/>
              </w:rPr>
              <w:t>16</w:t>
            </w:r>
            <w:r w:rsidR="00AD384B" w:rsidRPr="00741FCF">
              <w:rPr>
                <w:rFonts w:eastAsia="Times New Roman" w:cs="Calibri"/>
                <w:sz w:val="18"/>
                <w:szCs w:val="18"/>
                <w:lang w:val="en-GB"/>
              </w:rPr>
              <w:t xml:space="preserve"> days field) and the rental of a vehicle / driver ($ 1,500 / airfare, </w:t>
            </w:r>
            <w:r w:rsidR="00E7400E" w:rsidRPr="00741FCF">
              <w:rPr>
                <w:rFonts w:eastAsia="Times New Roman" w:cs="Calibri"/>
                <w:sz w:val="18"/>
                <w:szCs w:val="18"/>
                <w:lang w:val="en-GB"/>
              </w:rPr>
              <w:t>4</w:t>
            </w:r>
            <w:r w:rsidR="00AD384B" w:rsidRPr="00741FCF">
              <w:rPr>
                <w:rFonts w:eastAsia="Times New Roman" w:cs="Calibri"/>
                <w:sz w:val="18"/>
                <w:szCs w:val="18"/>
                <w:lang w:val="en-GB"/>
              </w:rPr>
              <w:t xml:space="preserve"> per diem Ouagadougou @ $ 260, </w:t>
            </w:r>
            <w:r w:rsidR="00E7400E" w:rsidRPr="00741FCF">
              <w:rPr>
                <w:rFonts w:eastAsia="Times New Roman" w:cs="Calibri"/>
                <w:sz w:val="18"/>
                <w:szCs w:val="18"/>
                <w:lang w:val="en-GB"/>
              </w:rPr>
              <w:t>16</w:t>
            </w:r>
            <w:r w:rsidR="00AD384B" w:rsidRPr="00741FCF">
              <w:rPr>
                <w:rFonts w:eastAsia="Times New Roman" w:cs="Calibri"/>
                <w:sz w:val="18"/>
                <w:szCs w:val="18"/>
                <w:lang w:val="en-GB"/>
              </w:rPr>
              <w:t xml:space="preserve"> per diem region @ $ 120, </w:t>
            </w:r>
            <w:r w:rsidR="00E7400E" w:rsidRPr="00741FCF">
              <w:rPr>
                <w:rFonts w:eastAsia="Times New Roman" w:cs="Calibri"/>
                <w:sz w:val="18"/>
                <w:szCs w:val="18"/>
                <w:lang w:val="en-GB"/>
              </w:rPr>
              <w:t>8</w:t>
            </w:r>
            <w:r w:rsidR="00AD384B" w:rsidRPr="00741FCF">
              <w:rPr>
                <w:rFonts w:eastAsia="Times New Roman" w:cs="Calibri"/>
                <w:sz w:val="18"/>
                <w:szCs w:val="18"/>
                <w:lang w:val="en-GB"/>
              </w:rPr>
              <w:t xml:space="preserve"> days vehicle @ $ 200 / day). Total cost: $ </w:t>
            </w:r>
            <w:r w:rsidR="00E7400E" w:rsidRPr="00741FCF">
              <w:rPr>
                <w:rFonts w:eastAsia="Times New Roman" w:cs="Calibri"/>
                <w:sz w:val="18"/>
                <w:szCs w:val="18"/>
                <w:lang w:val="en-GB"/>
              </w:rPr>
              <w:t>6</w:t>
            </w:r>
            <w:r w:rsidR="00AD384B" w:rsidRPr="00741FCF">
              <w:rPr>
                <w:rFonts w:eastAsia="Times New Roman" w:cs="Calibri"/>
                <w:sz w:val="18"/>
                <w:szCs w:val="18"/>
                <w:lang w:val="en-GB"/>
              </w:rPr>
              <w:t>,0</w:t>
            </w:r>
            <w:r w:rsidR="00E7400E" w:rsidRPr="00741FCF">
              <w:rPr>
                <w:rFonts w:eastAsia="Times New Roman" w:cs="Calibri"/>
                <w:sz w:val="18"/>
                <w:szCs w:val="18"/>
                <w:lang w:val="en-GB"/>
              </w:rPr>
              <w:t>6</w:t>
            </w:r>
            <w:r w:rsidR="00AD384B" w:rsidRPr="00741FCF">
              <w:rPr>
                <w:rFonts w:eastAsia="Times New Roman" w:cs="Calibri"/>
                <w:sz w:val="18"/>
                <w:szCs w:val="18"/>
                <w:lang w:val="en-GB"/>
              </w:rPr>
              <w:t xml:space="preserve">0 during the </w:t>
            </w:r>
            <w:r w:rsidR="00E7400E" w:rsidRPr="00741FCF">
              <w:rPr>
                <w:rFonts w:eastAsia="Times New Roman" w:cs="Calibri"/>
                <w:sz w:val="18"/>
                <w:szCs w:val="18"/>
                <w:lang w:val="en-GB"/>
              </w:rPr>
              <w:t>1</w:t>
            </w:r>
            <w:r w:rsidR="00E7400E" w:rsidRPr="00741FCF">
              <w:rPr>
                <w:rFonts w:eastAsia="Times New Roman" w:cs="Calibri"/>
                <w:sz w:val="18"/>
                <w:szCs w:val="18"/>
                <w:vertAlign w:val="superscript"/>
                <w:lang w:val="en-GB"/>
              </w:rPr>
              <w:t>st</w:t>
            </w:r>
            <w:r w:rsidR="00E7400E" w:rsidRPr="00741FCF">
              <w:rPr>
                <w:rFonts w:eastAsia="Times New Roman" w:cs="Calibri"/>
                <w:sz w:val="18"/>
                <w:szCs w:val="18"/>
                <w:lang w:val="en-GB"/>
              </w:rPr>
              <w:t xml:space="preserve"> </w:t>
            </w:r>
            <w:r w:rsidR="00AD384B" w:rsidRPr="00741FCF">
              <w:rPr>
                <w:rFonts w:eastAsia="Times New Roman" w:cs="Calibri"/>
                <w:sz w:val="18"/>
                <w:szCs w:val="18"/>
                <w:lang w:val="en-GB"/>
              </w:rPr>
              <w:t>year.</w:t>
            </w:r>
          </w:p>
          <w:p w14:paraId="40EBF829" w14:textId="2ADE23C4" w:rsidR="00395329" w:rsidRPr="00741FCF" w:rsidRDefault="0063211A" w:rsidP="00243B15">
            <w:pPr>
              <w:spacing w:before="40" w:after="40"/>
              <w:rPr>
                <w:rFonts w:eastAsia="Times New Roman" w:cs="Calibri"/>
                <w:sz w:val="18"/>
                <w:szCs w:val="18"/>
                <w:lang w:val="en-GB"/>
              </w:rPr>
            </w:pPr>
            <w:r w:rsidRPr="00741FCF">
              <w:rPr>
                <w:rFonts w:eastAsia="Times New Roman" w:cs="Calibri"/>
                <w:sz w:val="18"/>
                <w:szCs w:val="18"/>
                <w:lang w:val="en-GB"/>
              </w:rPr>
              <w:t>l</w:t>
            </w:r>
            <w:r w:rsidR="00AD384B" w:rsidRPr="00741FCF">
              <w:rPr>
                <w:rFonts w:eastAsia="Times New Roman" w:cs="Calibri"/>
                <w:sz w:val="18"/>
                <w:szCs w:val="18"/>
                <w:lang w:val="en-GB"/>
              </w:rPr>
              <w:t xml:space="preserve">) Travel expenses for the international consultant expert in </w:t>
            </w:r>
            <w:r w:rsidR="00E7400E" w:rsidRPr="00741FCF">
              <w:rPr>
                <w:rFonts w:eastAsia="Times New Roman" w:cs="Calibri"/>
                <w:sz w:val="18"/>
                <w:szCs w:val="18"/>
                <w:lang w:val="en-GB"/>
              </w:rPr>
              <w:t>HWC</w:t>
            </w:r>
            <w:r w:rsidR="00AD384B" w:rsidRPr="00741FCF">
              <w:rPr>
                <w:rFonts w:eastAsia="Times New Roman" w:cs="Calibri"/>
                <w:sz w:val="18"/>
                <w:szCs w:val="18"/>
                <w:lang w:val="en-GB"/>
              </w:rPr>
              <w:t xml:space="preserve"> (output 2.</w:t>
            </w:r>
            <w:r w:rsidR="00E7400E" w:rsidRPr="00741FCF">
              <w:rPr>
                <w:rFonts w:eastAsia="Times New Roman" w:cs="Calibri"/>
                <w:sz w:val="18"/>
                <w:szCs w:val="18"/>
                <w:lang w:val="en-GB"/>
              </w:rPr>
              <w:t>4.1</w:t>
            </w:r>
            <w:r w:rsidR="00AD384B" w:rsidRPr="00741FCF">
              <w:rPr>
                <w:rFonts w:eastAsia="Times New Roman" w:cs="Calibri"/>
                <w:sz w:val="18"/>
                <w:szCs w:val="18"/>
                <w:lang w:val="en-GB"/>
              </w:rPr>
              <w:t xml:space="preserve">) for </w:t>
            </w:r>
            <w:r w:rsidR="00E7400E" w:rsidRPr="00741FCF">
              <w:rPr>
                <w:rFonts w:eastAsia="Times New Roman" w:cs="Calibri"/>
                <w:sz w:val="18"/>
                <w:szCs w:val="18"/>
                <w:lang w:val="en-GB"/>
              </w:rPr>
              <w:t>1</w:t>
            </w:r>
            <w:r w:rsidR="00AD384B" w:rsidRPr="00741FCF">
              <w:rPr>
                <w:rFonts w:eastAsia="Times New Roman" w:cs="Calibri"/>
                <w:sz w:val="18"/>
                <w:szCs w:val="18"/>
                <w:lang w:val="en-GB"/>
              </w:rPr>
              <w:t xml:space="preserve"> mission of </w:t>
            </w:r>
            <w:r w:rsidR="00E7400E" w:rsidRPr="00741FCF">
              <w:rPr>
                <w:rFonts w:eastAsia="Times New Roman" w:cs="Calibri"/>
                <w:sz w:val="18"/>
                <w:szCs w:val="18"/>
                <w:lang w:val="en-GB"/>
              </w:rPr>
              <w:t>10</w:t>
            </w:r>
            <w:r w:rsidR="00AD384B" w:rsidRPr="00741FCF">
              <w:rPr>
                <w:rFonts w:eastAsia="Times New Roman" w:cs="Calibri"/>
                <w:sz w:val="18"/>
                <w:szCs w:val="18"/>
                <w:lang w:val="en-GB"/>
              </w:rPr>
              <w:t xml:space="preserve"> days in Burkina Faso (</w:t>
            </w:r>
            <w:r w:rsidR="00E7400E" w:rsidRPr="00741FCF">
              <w:rPr>
                <w:rFonts w:eastAsia="Times New Roman" w:cs="Calibri"/>
                <w:sz w:val="18"/>
                <w:szCs w:val="18"/>
                <w:lang w:val="en-GB"/>
              </w:rPr>
              <w:t>4</w:t>
            </w:r>
            <w:r w:rsidR="00AD384B" w:rsidRPr="00741FCF">
              <w:rPr>
                <w:rFonts w:eastAsia="Times New Roman" w:cs="Calibri"/>
                <w:sz w:val="18"/>
                <w:szCs w:val="18"/>
                <w:lang w:val="en-GB"/>
              </w:rPr>
              <w:t xml:space="preserve"> days Ouagadougou, </w:t>
            </w:r>
            <w:r w:rsidR="00E7400E" w:rsidRPr="00741FCF">
              <w:rPr>
                <w:rFonts w:eastAsia="Times New Roman" w:cs="Calibri"/>
                <w:sz w:val="18"/>
                <w:szCs w:val="18"/>
                <w:lang w:val="en-GB"/>
              </w:rPr>
              <w:t>6</w:t>
            </w:r>
            <w:r w:rsidR="00AD384B" w:rsidRPr="00741FCF">
              <w:rPr>
                <w:rFonts w:eastAsia="Times New Roman" w:cs="Calibri"/>
                <w:sz w:val="18"/>
                <w:szCs w:val="18"/>
                <w:lang w:val="en-GB"/>
              </w:rPr>
              <w:t xml:space="preserve"> days field) and the rental of a vehicle / driver ($ 1,500 / airfare, </w:t>
            </w:r>
            <w:r w:rsidR="00E7400E" w:rsidRPr="00741FCF">
              <w:rPr>
                <w:rFonts w:eastAsia="Times New Roman" w:cs="Calibri"/>
                <w:sz w:val="18"/>
                <w:szCs w:val="18"/>
                <w:lang w:val="en-GB"/>
              </w:rPr>
              <w:t>4</w:t>
            </w:r>
            <w:r w:rsidR="00AD384B" w:rsidRPr="00741FCF">
              <w:rPr>
                <w:rFonts w:eastAsia="Times New Roman" w:cs="Calibri"/>
                <w:sz w:val="18"/>
                <w:szCs w:val="18"/>
                <w:lang w:val="en-GB"/>
              </w:rPr>
              <w:t xml:space="preserve"> per diem Ouagadougou @ $ 260, </w:t>
            </w:r>
            <w:r w:rsidR="00E7400E" w:rsidRPr="00741FCF">
              <w:rPr>
                <w:rFonts w:eastAsia="Times New Roman" w:cs="Calibri"/>
                <w:sz w:val="18"/>
                <w:szCs w:val="18"/>
                <w:lang w:val="en-GB"/>
              </w:rPr>
              <w:t>6</w:t>
            </w:r>
            <w:r w:rsidR="00AD384B" w:rsidRPr="00741FCF">
              <w:rPr>
                <w:rFonts w:eastAsia="Times New Roman" w:cs="Calibri"/>
                <w:sz w:val="18"/>
                <w:szCs w:val="18"/>
                <w:lang w:val="en-GB"/>
              </w:rPr>
              <w:t xml:space="preserve"> per diem region @ $ 120,</w:t>
            </w:r>
            <w:r w:rsidR="00E7400E" w:rsidRPr="00741FCF">
              <w:rPr>
                <w:rFonts w:eastAsia="Times New Roman" w:cs="Calibri"/>
                <w:sz w:val="18"/>
                <w:szCs w:val="18"/>
                <w:lang w:val="en-GB"/>
              </w:rPr>
              <w:t xml:space="preserve"> </w:t>
            </w:r>
            <w:r w:rsidR="001C3883" w:rsidRPr="00741FCF">
              <w:rPr>
                <w:rFonts w:eastAsia="Times New Roman" w:cs="Calibri"/>
                <w:sz w:val="18"/>
                <w:szCs w:val="18"/>
                <w:lang w:val="en-GB"/>
              </w:rPr>
              <w:t>6 days vehicle @ $ 200 / day</w:t>
            </w:r>
            <w:r w:rsidR="00AD384B" w:rsidRPr="00741FCF">
              <w:rPr>
                <w:rFonts w:eastAsia="Times New Roman" w:cs="Calibri"/>
                <w:sz w:val="18"/>
                <w:szCs w:val="18"/>
                <w:lang w:val="en-GB"/>
              </w:rPr>
              <w:t xml:space="preserve">. Total cost: $ </w:t>
            </w:r>
            <w:r w:rsidR="001C3883" w:rsidRPr="00741FCF">
              <w:rPr>
                <w:rFonts w:eastAsia="Times New Roman" w:cs="Calibri"/>
                <w:sz w:val="18"/>
                <w:szCs w:val="18"/>
                <w:lang w:val="en-GB"/>
              </w:rPr>
              <w:t>4</w:t>
            </w:r>
            <w:r w:rsidR="00E7400E" w:rsidRPr="00741FCF">
              <w:rPr>
                <w:rFonts w:eastAsia="Times New Roman" w:cs="Calibri"/>
                <w:sz w:val="18"/>
                <w:szCs w:val="18"/>
                <w:lang w:val="en-GB"/>
              </w:rPr>
              <w:t>,</w:t>
            </w:r>
            <w:r w:rsidR="001C3883" w:rsidRPr="00741FCF">
              <w:rPr>
                <w:rFonts w:eastAsia="Times New Roman" w:cs="Calibri"/>
                <w:sz w:val="18"/>
                <w:szCs w:val="18"/>
                <w:lang w:val="en-GB"/>
              </w:rPr>
              <w:t>4</w:t>
            </w:r>
            <w:r w:rsidR="00E7400E" w:rsidRPr="00741FCF">
              <w:rPr>
                <w:rFonts w:eastAsia="Times New Roman" w:cs="Calibri"/>
                <w:sz w:val="18"/>
                <w:szCs w:val="18"/>
                <w:lang w:val="en-GB"/>
              </w:rPr>
              <w:t>60 during the 2</w:t>
            </w:r>
            <w:r w:rsidR="00E7400E" w:rsidRPr="00741FCF">
              <w:rPr>
                <w:rFonts w:eastAsia="Times New Roman" w:cs="Calibri"/>
                <w:sz w:val="18"/>
                <w:szCs w:val="18"/>
                <w:vertAlign w:val="superscript"/>
                <w:lang w:val="en-GB"/>
              </w:rPr>
              <w:t>nd</w:t>
            </w:r>
            <w:r w:rsidR="00E7400E" w:rsidRPr="00741FCF">
              <w:rPr>
                <w:rFonts w:eastAsia="Times New Roman" w:cs="Calibri"/>
                <w:sz w:val="18"/>
                <w:szCs w:val="18"/>
                <w:lang w:val="en-GB"/>
              </w:rPr>
              <w:t xml:space="preserve"> year</w:t>
            </w:r>
            <w:r w:rsidR="00AD384B" w:rsidRPr="00741FCF">
              <w:rPr>
                <w:rFonts w:eastAsia="Times New Roman" w:cs="Calibri"/>
                <w:sz w:val="18"/>
                <w:szCs w:val="18"/>
                <w:lang w:val="en-GB"/>
              </w:rPr>
              <w:t>.</w:t>
            </w:r>
          </w:p>
          <w:p w14:paraId="465C3B32" w14:textId="00E56126" w:rsidR="00AD384B" w:rsidRPr="00741FCF" w:rsidRDefault="0063211A" w:rsidP="00243B15">
            <w:pPr>
              <w:spacing w:before="40" w:after="40"/>
              <w:rPr>
                <w:rFonts w:eastAsia="Times New Roman" w:cs="Calibri"/>
                <w:sz w:val="18"/>
                <w:szCs w:val="18"/>
                <w:lang w:val="en-GB"/>
              </w:rPr>
            </w:pPr>
            <w:r w:rsidRPr="00741FCF">
              <w:rPr>
                <w:rFonts w:eastAsia="Times New Roman" w:cs="Calibri"/>
                <w:sz w:val="18"/>
                <w:szCs w:val="18"/>
                <w:lang w:val="en-GB"/>
              </w:rPr>
              <w:t>m</w:t>
            </w:r>
            <w:r w:rsidR="00AD384B" w:rsidRPr="00741FCF">
              <w:rPr>
                <w:rFonts w:eastAsia="Times New Roman" w:cs="Calibri"/>
                <w:sz w:val="18"/>
                <w:szCs w:val="18"/>
                <w:lang w:val="en-GB"/>
              </w:rPr>
              <w:t xml:space="preserve">) Travel expenses for the international consultant expert in </w:t>
            </w:r>
            <w:r w:rsidR="00E7400E" w:rsidRPr="00741FCF">
              <w:rPr>
                <w:rFonts w:eastAsia="Times New Roman" w:cs="Calibri"/>
                <w:sz w:val="18"/>
                <w:szCs w:val="18"/>
                <w:lang w:val="en-GB"/>
              </w:rPr>
              <w:t>wildlife</w:t>
            </w:r>
            <w:r w:rsidR="00AD384B" w:rsidRPr="00741FCF">
              <w:rPr>
                <w:rFonts w:eastAsia="Times New Roman" w:cs="Calibri"/>
                <w:sz w:val="18"/>
                <w:szCs w:val="18"/>
                <w:lang w:val="en-GB"/>
              </w:rPr>
              <w:t xml:space="preserve"> (output 2.</w:t>
            </w:r>
            <w:r w:rsidR="00E7400E" w:rsidRPr="00741FCF">
              <w:rPr>
                <w:rFonts w:eastAsia="Times New Roman" w:cs="Calibri"/>
                <w:sz w:val="18"/>
                <w:szCs w:val="18"/>
                <w:lang w:val="en-GB"/>
              </w:rPr>
              <w:t>2.2 and 2.3.2</w:t>
            </w:r>
            <w:r w:rsidR="00AD384B" w:rsidRPr="00741FCF">
              <w:rPr>
                <w:rFonts w:eastAsia="Times New Roman" w:cs="Calibri"/>
                <w:sz w:val="18"/>
                <w:szCs w:val="18"/>
                <w:lang w:val="en-GB"/>
              </w:rPr>
              <w:t xml:space="preserve">) for </w:t>
            </w:r>
            <w:r w:rsidR="00E7400E" w:rsidRPr="00741FCF">
              <w:rPr>
                <w:rFonts w:eastAsia="Times New Roman" w:cs="Calibri"/>
                <w:sz w:val="18"/>
                <w:szCs w:val="18"/>
                <w:lang w:val="en-GB"/>
              </w:rPr>
              <w:t>2</w:t>
            </w:r>
            <w:r w:rsidR="00AD384B" w:rsidRPr="00741FCF">
              <w:rPr>
                <w:rFonts w:eastAsia="Times New Roman" w:cs="Calibri"/>
                <w:sz w:val="18"/>
                <w:szCs w:val="18"/>
                <w:lang w:val="en-GB"/>
              </w:rPr>
              <w:t xml:space="preserve"> </w:t>
            </w:r>
            <w:proofErr w:type="gramStart"/>
            <w:r w:rsidR="00AD384B" w:rsidRPr="00741FCF">
              <w:rPr>
                <w:rFonts w:eastAsia="Times New Roman" w:cs="Calibri"/>
                <w:sz w:val="18"/>
                <w:szCs w:val="18"/>
                <w:lang w:val="en-GB"/>
              </w:rPr>
              <w:t>mission</w:t>
            </w:r>
            <w:proofErr w:type="gramEnd"/>
            <w:r w:rsidR="00AD384B" w:rsidRPr="00741FCF">
              <w:rPr>
                <w:rFonts w:eastAsia="Times New Roman" w:cs="Calibri"/>
                <w:sz w:val="18"/>
                <w:szCs w:val="18"/>
                <w:lang w:val="en-GB"/>
              </w:rPr>
              <w:t xml:space="preserve"> of </w:t>
            </w:r>
            <w:r w:rsidR="00E7400E" w:rsidRPr="00741FCF">
              <w:rPr>
                <w:rFonts w:eastAsia="Times New Roman" w:cs="Calibri"/>
                <w:sz w:val="18"/>
                <w:szCs w:val="18"/>
                <w:lang w:val="en-GB"/>
              </w:rPr>
              <w:t>5 and 15</w:t>
            </w:r>
            <w:r w:rsidR="00AD384B" w:rsidRPr="00741FCF">
              <w:rPr>
                <w:rFonts w:eastAsia="Times New Roman" w:cs="Calibri"/>
                <w:sz w:val="18"/>
                <w:szCs w:val="18"/>
                <w:lang w:val="en-GB"/>
              </w:rPr>
              <w:t xml:space="preserve"> days in Burkina Faso (</w:t>
            </w:r>
            <w:r w:rsidR="00E7400E" w:rsidRPr="00741FCF">
              <w:rPr>
                <w:rFonts w:eastAsia="Times New Roman" w:cs="Calibri"/>
                <w:sz w:val="18"/>
                <w:szCs w:val="18"/>
                <w:lang w:val="en-GB"/>
              </w:rPr>
              <w:t>1</w:t>
            </w:r>
            <w:r w:rsidR="00E7400E" w:rsidRPr="00741FCF">
              <w:rPr>
                <w:rFonts w:eastAsia="Times New Roman" w:cs="Calibri"/>
                <w:sz w:val="18"/>
                <w:szCs w:val="18"/>
                <w:vertAlign w:val="superscript"/>
                <w:lang w:val="en-GB"/>
              </w:rPr>
              <w:t>st</w:t>
            </w:r>
            <w:r w:rsidR="00E7400E" w:rsidRPr="00741FCF">
              <w:rPr>
                <w:rFonts w:eastAsia="Times New Roman" w:cs="Calibri"/>
                <w:sz w:val="18"/>
                <w:szCs w:val="18"/>
                <w:lang w:val="en-GB"/>
              </w:rPr>
              <w:t xml:space="preserve"> mission: 5 days Ouagadougou – 2</w:t>
            </w:r>
            <w:r w:rsidR="00E7400E" w:rsidRPr="00741FCF">
              <w:rPr>
                <w:rFonts w:eastAsia="Times New Roman" w:cs="Calibri"/>
                <w:sz w:val="18"/>
                <w:szCs w:val="18"/>
                <w:vertAlign w:val="superscript"/>
                <w:lang w:val="en-GB"/>
              </w:rPr>
              <w:t>nd</w:t>
            </w:r>
            <w:r w:rsidR="00E7400E" w:rsidRPr="00741FCF">
              <w:rPr>
                <w:rFonts w:eastAsia="Times New Roman" w:cs="Calibri"/>
                <w:sz w:val="18"/>
                <w:szCs w:val="18"/>
                <w:lang w:val="en-GB"/>
              </w:rPr>
              <w:t xml:space="preserve"> mission: 5</w:t>
            </w:r>
            <w:r w:rsidR="00AD384B" w:rsidRPr="00741FCF">
              <w:rPr>
                <w:rFonts w:eastAsia="Times New Roman" w:cs="Calibri"/>
                <w:sz w:val="18"/>
                <w:szCs w:val="18"/>
                <w:lang w:val="en-GB"/>
              </w:rPr>
              <w:t xml:space="preserve"> days Ouagadougou, </w:t>
            </w:r>
            <w:r w:rsidR="00E7400E" w:rsidRPr="00741FCF">
              <w:rPr>
                <w:rFonts w:eastAsia="Times New Roman" w:cs="Calibri"/>
                <w:sz w:val="18"/>
                <w:szCs w:val="18"/>
                <w:lang w:val="en-GB"/>
              </w:rPr>
              <w:t>10</w:t>
            </w:r>
            <w:r w:rsidR="00AD384B" w:rsidRPr="00741FCF">
              <w:rPr>
                <w:rFonts w:eastAsia="Times New Roman" w:cs="Calibri"/>
                <w:sz w:val="18"/>
                <w:szCs w:val="18"/>
                <w:lang w:val="en-GB"/>
              </w:rPr>
              <w:t xml:space="preserve"> days field) and the rental of a vehicle / driver ($ 1,500 / airfare</w:t>
            </w:r>
            <w:r w:rsidR="001C3883" w:rsidRPr="00741FCF">
              <w:rPr>
                <w:rFonts w:eastAsia="Times New Roman" w:cs="Calibri"/>
                <w:sz w:val="18"/>
                <w:szCs w:val="18"/>
                <w:lang w:val="en-GB"/>
              </w:rPr>
              <w:t xml:space="preserve"> @ 2 missions</w:t>
            </w:r>
            <w:r w:rsidR="00AD384B" w:rsidRPr="00741FCF">
              <w:rPr>
                <w:rFonts w:eastAsia="Times New Roman" w:cs="Calibri"/>
                <w:sz w:val="18"/>
                <w:szCs w:val="18"/>
                <w:lang w:val="en-GB"/>
              </w:rPr>
              <w:t xml:space="preserve">, </w:t>
            </w:r>
            <w:r w:rsidR="00E7400E" w:rsidRPr="00741FCF">
              <w:rPr>
                <w:rFonts w:eastAsia="Times New Roman" w:cs="Calibri"/>
                <w:sz w:val="18"/>
                <w:szCs w:val="18"/>
                <w:lang w:val="en-GB"/>
              </w:rPr>
              <w:t>10</w:t>
            </w:r>
            <w:r w:rsidR="00AD384B" w:rsidRPr="00741FCF">
              <w:rPr>
                <w:rFonts w:eastAsia="Times New Roman" w:cs="Calibri"/>
                <w:sz w:val="18"/>
                <w:szCs w:val="18"/>
                <w:lang w:val="en-GB"/>
              </w:rPr>
              <w:t xml:space="preserve"> per diem Ouagadougou @ $ 260, </w:t>
            </w:r>
            <w:r w:rsidR="00E7400E" w:rsidRPr="00741FCF">
              <w:rPr>
                <w:rFonts w:eastAsia="Times New Roman" w:cs="Calibri"/>
                <w:sz w:val="18"/>
                <w:szCs w:val="18"/>
                <w:lang w:val="en-GB"/>
              </w:rPr>
              <w:t>10</w:t>
            </w:r>
            <w:r w:rsidR="00AD384B" w:rsidRPr="00741FCF">
              <w:rPr>
                <w:rFonts w:eastAsia="Times New Roman" w:cs="Calibri"/>
                <w:sz w:val="18"/>
                <w:szCs w:val="18"/>
                <w:lang w:val="en-GB"/>
              </w:rPr>
              <w:t xml:space="preserve"> per diem region @ $ 120,</w:t>
            </w:r>
            <w:r w:rsidR="00E7400E" w:rsidRPr="00741FCF">
              <w:rPr>
                <w:rFonts w:eastAsia="Times New Roman" w:cs="Calibri"/>
                <w:sz w:val="18"/>
                <w:szCs w:val="18"/>
                <w:lang w:val="en-GB"/>
              </w:rPr>
              <w:t xml:space="preserve"> </w:t>
            </w:r>
            <w:r w:rsidR="001C3883" w:rsidRPr="00741FCF">
              <w:rPr>
                <w:rFonts w:eastAsia="Times New Roman" w:cs="Calibri"/>
                <w:sz w:val="18"/>
                <w:szCs w:val="18"/>
                <w:lang w:val="en-GB"/>
              </w:rPr>
              <w:t>10 days vehicle @ $ 200 / day</w:t>
            </w:r>
            <w:r w:rsidR="00AD384B" w:rsidRPr="00741FCF">
              <w:rPr>
                <w:rFonts w:eastAsia="Times New Roman" w:cs="Calibri"/>
                <w:sz w:val="18"/>
                <w:szCs w:val="18"/>
                <w:lang w:val="en-GB"/>
              </w:rPr>
              <w:t xml:space="preserve">). Total cost: $ </w:t>
            </w:r>
            <w:r w:rsidR="00752434" w:rsidRPr="00741FCF">
              <w:rPr>
                <w:rFonts w:eastAsia="Times New Roman" w:cs="Calibri"/>
                <w:sz w:val="18"/>
                <w:szCs w:val="18"/>
                <w:lang w:val="en-GB"/>
              </w:rPr>
              <w:t>8</w:t>
            </w:r>
            <w:r w:rsidR="00AD384B" w:rsidRPr="00741FCF">
              <w:rPr>
                <w:rFonts w:eastAsia="Times New Roman" w:cs="Calibri"/>
                <w:sz w:val="18"/>
                <w:szCs w:val="18"/>
                <w:lang w:val="en-GB"/>
              </w:rPr>
              <w:t>,</w:t>
            </w:r>
            <w:r w:rsidR="00752434" w:rsidRPr="00741FCF">
              <w:rPr>
                <w:rFonts w:eastAsia="Times New Roman" w:cs="Calibri"/>
                <w:sz w:val="18"/>
                <w:szCs w:val="18"/>
                <w:lang w:val="en-GB"/>
              </w:rPr>
              <w:t>8</w:t>
            </w:r>
            <w:r w:rsidR="00AD384B" w:rsidRPr="00741FCF">
              <w:rPr>
                <w:rFonts w:eastAsia="Times New Roman" w:cs="Calibri"/>
                <w:sz w:val="18"/>
                <w:szCs w:val="18"/>
                <w:lang w:val="en-GB"/>
              </w:rPr>
              <w:t xml:space="preserve">00 during the </w:t>
            </w:r>
            <w:r w:rsidR="001C3883" w:rsidRPr="00741FCF">
              <w:rPr>
                <w:rFonts w:eastAsia="Times New Roman" w:cs="Calibri"/>
                <w:sz w:val="18"/>
                <w:szCs w:val="18"/>
                <w:lang w:val="en-GB"/>
              </w:rPr>
              <w:t>1</w:t>
            </w:r>
            <w:r w:rsidR="001C3883" w:rsidRPr="00741FCF">
              <w:rPr>
                <w:rFonts w:eastAsia="Times New Roman" w:cs="Calibri"/>
                <w:sz w:val="18"/>
                <w:szCs w:val="18"/>
                <w:vertAlign w:val="superscript"/>
                <w:lang w:val="en-GB"/>
              </w:rPr>
              <w:t>st</w:t>
            </w:r>
            <w:r w:rsidR="001C3883" w:rsidRPr="00741FCF">
              <w:rPr>
                <w:rFonts w:eastAsia="Times New Roman" w:cs="Calibri"/>
                <w:sz w:val="18"/>
                <w:szCs w:val="18"/>
                <w:lang w:val="en-GB"/>
              </w:rPr>
              <w:t xml:space="preserve"> and the 4</w:t>
            </w:r>
            <w:r w:rsidR="001C3883" w:rsidRPr="00741FCF">
              <w:rPr>
                <w:rFonts w:eastAsia="Times New Roman" w:cs="Calibri"/>
                <w:sz w:val="18"/>
                <w:szCs w:val="18"/>
                <w:vertAlign w:val="superscript"/>
                <w:lang w:val="en-GB"/>
              </w:rPr>
              <w:t>th</w:t>
            </w:r>
            <w:r w:rsidR="001C3883" w:rsidRPr="00741FCF">
              <w:rPr>
                <w:rFonts w:eastAsia="Times New Roman" w:cs="Calibri"/>
                <w:sz w:val="18"/>
                <w:szCs w:val="18"/>
                <w:lang w:val="en-GB"/>
              </w:rPr>
              <w:t xml:space="preserve"> </w:t>
            </w:r>
            <w:r w:rsidR="00AD384B" w:rsidRPr="00741FCF">
              <w:rPr>
                <w:rFonts w:eastAsia="Times New Roman" w:cs="Calibri"/>
                <w:sz w:val="18"/>
                <w:szCs w:val="18"/>
                <w:lang w:val="en-GB"/>
              </w:rPr>
              <w:t>year.</w:t>
            </w:r>
          </w:p>
          <w:p w14:paraId="544CC86A" w14:textId="1857CBE0" w:rsidR="007A6608" w:rsidRPr="00752434" w:rsidRDefault="0063211A" w:rsidP="00243B15">
            <w:pPr>
              <w:spacing w:before="40" w:after="40"/>
              <w:rPr>
                <w:rFonts w:eastAsia="Times New Roman" w:cs="Calibri"/>
                <w:sz w:val="18"/>
                <w:szCs w:val="18"/>
                <w:lang w:val="en-GB"/>
              </w:rPr>
            </w:pPr>
            <w:r w:rsidRPr="00741FCF">
              <w:rPr>
                <w:rFonts w:eastAsia="Times New Roman" w:cs="Calibri"/>
                <w:sz w:val="18"/>
                <w:szCs w:val="18"/>
                <w:lang w:val="en-GB"/>
              </w:rPr>
              <w:t>n</w:t>
            </w:r>
            <w:r w:rsidR="00AD384B" w:rsidRPr="00741FCF">
              <w:rPr>
                <w:rFonts w:eastAsia="Times New Roman" w:cs="Calibri"/>
                <w:sz w:val="18"/>
                <w:szCs w:val="18"/>
                <w:lang w:val="en-GB"/>
              </w:rPr>
              <w:t>) Travel expenses for the</w:t>
            </w:r>
            <w:r w:rsidR="001C3883" w:rsidRPr="00741FCF">
              <w:rPr>
                <w:rFonts w:eastAsia="Times New Roman" w:cs="Calibri"/>
                <w:sz w:val="18"/>
                <w:szCs w:val="18"/>
                <w:lang w:val="en-GB"/>
              </w:rPr>
              <w:t xml:space="preserve"> 3</w:t>
            </w:r>
            <w:r w:rsidR="001C3883" w:rsidRPr="00741FCF">
              <w:rPr>
                <w:rFonts w:eastAsia="Times New Roman" w:cs="Calibri"/>
                <w:sz w:val="18"/>
                <w:szCs w:val="18"/>
                <w:vertAlign w:val="superscript"/>
                <w:lang w:val="en-GB"/>
              </w:rPr>
              <w:t>rd</w:t>
            </w:r>
            <w:r w:rsidR="001C3883" w:rsidRPr="00741FCF">
              <w:rPr>
                <w:rFonts w:eastAsia="Times New Roman" w:cs="Calibri"/>
                <w:sz w:val="18"/>
                <w:szCs w:val="18"/>
                <w:lang w:val="en-GB"/>
              </w:rPr>
              <w:t>-party</w:t>
            </w:r>
            <w:r w:rsidR="00AD384B" w:rsidRPr="00741FCF">
              <w:rPr>
                <w:rFonts w:eastAsia="Times New Roman" w:cs="Calibri"/>
                <w:sz w:val="18"/>
                <w:szCs w:val="18"/>
                <w:lang w:val="en-GB"/>
              </w:rPr>
              <w:t xml:space="preserve"> international consultant expert in </w:t>
            </w:r>
            <w:r w:rsidR="001C3883" w:rsidRPr="00741FCF">
              <w:rPr>
                <w:rFonts w:eastAsia="Times New Roman" w:cs="Calibri"/>
                <w:sz w:val="18"/>
                <w:szCs w:val="18"/>
                <w:lang w:val="en-GB"/>
              </w:rPr>
              <w:t>wildlife and hunting</w:t>
            </w:r>
            <w:r w:rsidR="00AD384B" w:rsidRPr="00741FCF">
              <w:rPr>
                <w:rFonts w:eastAsia="Times New Roman" w:cs="Calibri"/>
                <w:sz w:val="18"/>
                <w:szCs w:val="18"/>
                <w:lang w:val="en-GB"/>
              </w:rPr>
              <w:t xml:space="preserve"> (output 2.</w:t>
            </w:r>
            <w:r w:rsidR="001C3883" w:rsidRPr="00741FCF">
              <w:rPr>
                <w:rFonts w:eastAsia="Times New Roman" w:cs="Calibri"/>
                <w:sz w:val="18"/>
                <w:szCs w:val="18"/>
                <w:lang w:val="en-GB"/>
              </w:rPr>
              <w:t>2.2</w:t>
            </w:r>
            <w:r w:rsidR="00AD384B" w:rsidRPr="00741FCF">
              <w:rPr>
                <w:rFonts w:eastAsia="Times New Roman" w:cs="Calibri"/>
                <w:sz w:val="18"/>
                <w:szCs w:val="18"/>
                <w:lang w:val="en-GB"/>
              </w:rPr>
              <w:t xml:space="preserve">) for </w:t>
            </w:r>
            <w:r w:rsidR="001C3883" w:rsidRPr="00741FCF">
              <w:rPr>
                <w:rFonts w:eastAsia="Times New Roman" w:cs="Calibri"/>
                <w:sz w:val="18"/>
                <w:szCs w:val="18"/>
                <w:lang w:val="en-GB"/>
              </w:rPr>
              <w:t>1</w:t>
            </w:r>
            <w:r w:rsidR="00AD384B" w:rsidRPr="00741FCF">
              <w:rPr>
                <w:rFonts w:eastAsia="Times New Roman" w:cs="Calibri"/>
                <w:sz w:val="18"/>
                <w:szCs w:val="18"/>
                <w:lang w:val="en-GB"/>
              </w:rPr>
              <w:t xml:space="preserve"> mission of </w:t>
            </w:r>
            <w:r w:rsidR="001C3883" w:rsidRPr="00741FCF">
              <w:rPr>
                <w:rFonts w:eastAsia="Times New Roman" w:cs="Calibri"/>
                <w:sz w:val="18"/>
                <w:szCs w:val="18"/>
                <w:lang w:val="en-GB"/>
              </w:rPr>
              <w:t>15</w:t>
            </w:r>
            <w:r w:rsidR="00AD384B" w:rsidRPr="00741FCF">
              <w:rPr>
                <w:rFonts w:eastAsia="Times New Roman" w:cs="Calibri"/>
                <w:sz w:val="18"/>
                <w:szCs w:val="18"/>
                <w:lang w:val="en-GB"/>
              </w:rPr>
              <w:t xml:space="preserve"> days in Burkina Faso (</w:t>
            </w:r>
            <w:r w:rsidR="001C3883" w:rsidRPr="00741FCF">
              <w:rPr>
                <w:rFonts w:eastAsia="Times New Roman" w:cs="Calibri"/>
                <w:sz w:val="18"/>
                <w:szCs w:val="18"/>
                <w:lang w:val="en-GB"/>
              </w:rPr>
              <w:t>5</w:t>
            </w:r>
            <w:r w:rsidR="00AD384B" w:rsidRPr="00741FCF">
              <w:rPr>
                <w:rFonts w:eastAsia="Times New Roman" w:cs="Calibri"/>
                <w:sz w:val="18"/>
                <w:szCs w:val="18"/>
                <w:lang w:val="en-GB"/>
              </w:rPr>
              <w:t xml:space="preserve"> days Ouagadougou, </w:t>
            </w:r>
            <w:r w:rsidR="001C3883" w:rsidRPr="00741FCF">
              <w:rPr>
                <w:rFonts w:eastAsia="Times New Roman" w:cs="Calibri"/>
                <w:sz w:val="18"/>
                <w:szCs w:val="18"/>
                <w:lang w:val="en-GB"/>
              </w:rPr>
              <w:t>10</w:t>
            </w:r>
            <w:r w:rsidR="00AD384B" w:rsidRPr="00741FCF">
              <w:rPr>
                <w:rFonts w:eastAsia="Times New Roman" w:cs="Calibri"/>
                <w:sz w:val="18"/>
                <w:szCs w:val="18"/>
                <w:lang w:val="en-GB"/>
              </w:rPr>
              <w:t xml:space="preserve"> days field) and the rental of a vehicle / driver ($ 1,500 / airfare, </w:t>
            </w:r>
            <w:r w:rsidR="001C3883" w:rsidRPr="00741FCF">
              <w:rPr>
                <w:rFonts w:eastAsia="Times New Roman" w:cs="Calibri"/>
                <w:sz w:val="18"/>
                <w:szCs w:val="18"/>
                <w:lang w:val="en-GB"/>
              </w:rPr>
              <w:t>5</w:t>
            </w:r>
            <w:r w:rsidR="00AD384B" w:rsidRPr="00741FCF">
              <w:rPr>
                <w:rFonts w:eastAsia="Times New Roman" w:cs="Calibri"/>
                <w:sz w:val="18"/>
                <w:szCs w:val="18"/>
                <w:lang w:val="en-GB"/>
              </w:rPr>
              <w:t xml:space="preserve"> per diem Ouagadougou @ $ 260, </w:t>
            </w:r>
            <w:r w:rsidR="001C3883" w:rsidRPr="00741FCF">
              <w:rPr>
                <w:rFonts w:eastAsia="Times New Roman" w:cs="Calibri"/>
                <w:sz w:val="18"/>
                <w:szCs w:val="18"/>
                <w:lang w:val="en-GB"/>
              </w:rPr>
              <w:t>10</w:t>
            </w:r>
            <w:r w:rsidR="00AD384B" w:rsidRPr="00741FCF">
              <w:rPr>
                <w:rFonts w:eastAsia="Times New Roman" w:cs="Calibri"/>
                <w:sz w:val="18"/>
                <w:szCs w:val="18"/>
                <w:lang w:val="en-GB"/>
              </w:rPr>
              <w:t xml:space="preserve"> per diem region @ $ 120, </w:t>
            </w:r>
            <w:r w:rsidR="00752434" w:rsidRPr="00741FCF">
              <w:rPr>
                <w:rFonts w:eastAsia="Times New Roman" w:cs="Calibri"/>
                <w:sz w:val="18"/>
                <w:szCs w:val="18"/>
                <w:lang w:val="en-GB"/>
              </w:rPr>
              <w:t>10</w:t>
            </w:r>
            <w:r w:rsidR="00AD384B" w:rsidRPr="00741FCF">
              <w:rPr>
                <w:rFonts w:eastAsia="Times New Roman" w:cs="Calibri"/>
                <w:sz w:val="18"/>
                <w:szCs w:val="18"/>
                <w:lang w:val="en-GB"/>
              </w:rPr>
              <w:t xml:space="preserve"> days vehicle @ $ 200 / day). Total cost: $ 6,000 during the </w:t>
            </w:r>
            <w:r w:rsidR="00752434" w:rsidRPr="00741FCF">
              <w:rPr>
                <w:rFonts w:eastAsia="Times New Roman" w:cs="Calibri"/>
                <w:sz w:val="18"/>
                <w:szCs w:val="18"/>
                <w:lang w:val="en-GB"/>
              </w:rPr>
              <w:t>3</w:t>
            </w:r>
            <w:r w:rsidR="00752434" w:rsidRPr="00741FCF">
              <w:rPr>
                <w:rFonts w:eastAsia="Times New Roman" w:cs="Calibri"/>
                <w:sz w:val="18"/>
                <w:szCs w:val="18"/>
                <w:vertAlign w:val="superscript"/>
                <w:lang w:val="en-GB"/>
              </w:rPr>
              <w:t>rd</w:t>
            </w:r>
            <w:r w:rsidR="00752434" w:rsidRPr="00741FCF">
              <w:rPr>
                <w:rFonts w:eastAsia="Times New Roman" w:cs="Calibri"/>
                <w:sz w:val="18"/>
                <w:szCs w:val="18"/>
                <w:lang w:val="en-GB"/>
              </w:rPr>
              <w:t xml:space="preserve"> </w:t>
            </w:r>
            <w:r w:rsidR="00AD384B" w:rsidRPr="00741FCF">
              <w:rPr>
                <w:rFonts w:eastAsia="Times New Roman" w:cs="Calibri"/>
                <w:sz w:val="18"/>
                <w:szCs w:val="18"/>
                <w:lang w:val="en-GB"/>
              </w:rPr>
              <w:t>year.</w:t>
            </w:r>
          </w:p>
        </w:tc>
      </w:tr>
      <w:tr w:rsidR="00302BFE" w:rsidRPr="006E490C" w14:paraId="12FFCDD6"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53EFD323" w14:textId="3C2BE5D8" w:rsidR="00302BFE" w:rsidRPr="00683440" w:rsidRDefault="00302BFE" w:rsidP="00243B15">
            <w:pPr>
              <w:spacing w:before="40" w:after="40"/>
              <w:jc w:val="center"/>
              <w:rPr>
                <w:rFonts w:eastAsia="Times New Roman" w:cs="Calibri"/>
                <w:i/>
                <w:iCs/>
                <w:sz w:val="18"/>
                <w:szCs w:val="18"/>
                <w:lang w:val="en-GB"/>
              </w:rPr>
            </w:pPr>
            <w:r w:rsidRPr="00683440">
              <w:rPr>
                <w:rFonts w:eastAsia="Times New Roman" w:cs="Calibri"/>
                <w:i/>
                <w:iCs/>
                <w:sz w:val="18"/>
                <w:szCs w:val="18"/>
                <w:lang w:val="en-GB"/>
              </w:rPr>
              <w:t>1</w:t>
            </w:r>
            <w:r w:rsidR="00D45B3D">
              <w:rPr>
                <w:rFonts w:eastAsia="Times New Roman" w:cs="Calibri"/>
                <w:i/>
                <w:iCs/>
                <w:sz w:val="18"/>
                <w:szCs w:val="18"/>
                <w:lang w:val="en-GB"/>
              </w:rPr>
              <w:t>7</w:t>
            </w:r>
          </w:p>
        </w:tc>
        <w:tc>
          <w:tcPr>
            <w:tcW w:w="13687" w:type="dxa"/>
            <w:tcBorders>
              <w:top w:val="single" w:sz="4" w:space="0" w:color="auto"/>
              <w:left w:val="single" w:sz="4" w:space="0" w:color="auto"/>
              <w:bottom w:val="single" w:sz="4" w:space="0" w:color="auto"/>
              <w:right w:val="single" w:sz="4" w:space="0" w:color="auto"/>
            </w:tcBorders>
            <w:hideMark/>
          </w:tcPr>
          <w:p w14:paraId="3283C134" w14:textId="210BCB0B" w:rsidR="00302BFE" w:rsidRPr="006E490C" w:rsidRDefault="00302BFE" w:rsidP="00243B15">
            <w:pPr>
              <w:spacing w:before="40" w:after="40"/>
              <w:rPr>
                <w:rFonts w:cs="Calibri"/>
                <w:sz w:val="18"/>
                <w:szCs w:val="18"/>
                <w:lang w:val="en-GB"/>
              </w:rPr>
            </w:pPr>
            <w:r w:rsidRPr="00363257">
              <w:rPr>
                <w:rFonts w:cs="Calibri"/>
                <w:sz w:val="18"/>
                <w:szCs w:val="18"/>
                <w:lang w:val="en-GB"/>
              </w:rPr>
              <w:t>a) Expert scientist on elephants in the PONASI complex for the planning and implementation of a research project, including reporting, to document and understand the movements of the elephant population present in the PONASI landscape, inside and outside the landscape (output 2.4.2), in collaboration with the ecological monitoring expert, the anti-poaching expert and the human-wildlife conflict expert; to supervise and train field assistants to conduct elephant population surveys in years 1, 3 (mid-term) and 6 (end of project); and to contribute to working sessions with Ghanaian counterparts for the development of concerted monitoring and surveillance plans (Output 2.2.5) and the drafting of cross-border cooperation agreements (Output 2.4.3). Rate: $ 100,000 (including all travel and other expenses) for years 1, 2, 3, 6. Total cost: $ 100,000.</w:t>
            </w:r>
          </w:p>
          <w:p w14:paraId="0397B96B" w14:textId="4A3DD2BD" w:rsidR="00302BFE" w:rsidRPr="006E490C" w:rsidRDefault="00302BFE" w:rsidP="00243B15">
            <w:pPr>
              <w:spacing w:before="40" w:after="40"/>
              <w:rPr>
                <w:rFonts w:cs="Calibri"/>
                <w:sz w:val="18"/>
                <w:szCs w:val="18"/>
                <w:lang w:val="en-GB"/>
              </w:rPr>
            </w:pPr>
            <w:r>
              <w:rPr>
                <w:rFonts w:cs="Calibri"/>
                <w:sz w:val="18"/>
                <w:szCs w:val="18"/>
                <w:lang w:val="en-GB"/>
              </w:rPr>
              <w:t>b</w:t>
            </w:r>
            <w:r w:rsidRPr="006E490C">
              <w:rPr>
                <w:rFonts w:cs="Calibri"/>
                <w:sz w:val="18"/>
                <w:szCs w:val="18"/>
                <w:lang w:val="en-GB"/>
              </w:rPr>
              <w:t xml:space="preserve">) A local construction company to build a complex to serve as the protected area / biodiversity interpretation </w:t>
            </w:r>
            <w:proofErr w:type="spellStart"/>
            <w:r w:rsidRPr="006E490C">
              <w:rPr>
                <w:rFonts w:cs="Calibri"/>
                <w:sz w:val="18"/>
                <w:szCs w:val="18"/>
                <w:lang w:val="en-GB"/>
              </w:rPr>
              <w:t>center</w:t>
            </w:r>
            <w:proofErr w:type="spellEnd"/>
            <w:r w:rsidRPr="006E490C">
              <w:rPr>
                <w:rFonts w:cs="Calibri"/>
                <w:sz w:val="18"/>
                <w:szCs w:val="18"/>
                <w:lang w:val="en-GB"/>
              </w:rPr>
              <w:t xml:space="preserve"> / visitors reception </w:t>
            </w:r>
            <w:proofErr w:type="spellStart"/>
            <w:r w:rsidRPr="006E490C">
              <w:rPr>
                <w:rFonts w:cs="Calibri"/>
                <w:sz w:val="18"/>
                <w:szCs w:val="18"/>
                <w:lang w:val="en-GB"/>
              </w:rPr>
              <w:t>center</w:t>
            </w:r>
            <w:proofErr w:type="spellEnd"/>
            <w:r w:rsidRPr="006E490C">
              <w:rPr>
                <w:rFonts w:cs="Calibri"/>
                <w:sz w:val="18"/>
                <w:szCs w:val="18"/>
                <w:lang w:val="en-GB"/>
              </w:rPr>
              <w:t xml:space="preserve"> for the PNKT, with facilities for visitors and offices, including eco-architectural design (output 2.1.3). Rate: $ 250,000 paid as a lump sum based on deliverables in Year 3.</w:t>
            </w:r>
          </w:p>
          <w:p w14:paraId="6EB0E2F5" w14:textId="696CD58C" w:rsidR="00A642FE" w:rsidRPr="00CF30FD" w:rsidRDefault="00302BFE" w:rsidP="00CF30FD">
            <w:pPr>
              <w:spacing w:before="40" w:after="40"/>
              <w:rPr>
                <w:sz w:val="18"/>
                <w:szCs w:val="18"/>
                <w:lang w:val="en-GB"/>
              </w:rPr>
            </w:pPr>
            <w:r>
              <w:rPr>
                <w:rFonts w:cs="Calibri"/>
                <w:sz w:val="18"/>
                <w:szCs w:val="18"/>
                <w:lang w:val="en-GB"/>
              </w:rPr>
              <w:t>c</w:t>
            </w:r>
            <w:r w:rsidRPr="006E490C">
              <w:rPr>
                <w:rFonts w:cs="Calibri"/>
                <w:sz w:val="18"/>
                <w:szCs w:val="18"/>
                <w:lang w:val="en-GB"/>
              </w:rPr>
              <w:t xml:space="preserve">) Local construction company for the design and construction of 6 wildlife observation towers / platforms (approximately 6 m high and 3x3m platform), including a design and durable and robust materials for the safety of visitors - locations to be determined within PNKT, </w:t>
            </w:r>
            <w:r w:rsidR="00F03A01">
              <w:rPr>
                <w:rFonts w:cs="Calibri"/>
                <w:sz w:val="18"/>
                <w:szCs w:val="18"/>
                <w:lang w:val="en-GB"/>
              </w:rPr>
              <w:t>RGN</w:t>
            </w:r>
            <w:r w:rsidRPr="006E490C">
              <w:rPr>
                <w:rFonts w:cs="Calibri"/>
                <w:sz w:val="18"/>
                <w:szCs w:val="18"/>
                <w:lang w:val="en-GB"/>
              </w:rPr>
              <w:t xml:space="preserve"> and Classified Forest of </w:t>
            </w:r>
            <w:proofErr w:type="spellStart"/>
            <w:r w:rsidRPr="006E490C">
              <w:rPr>
                <w:rFonts w:cs="Calibri"/>
                <w:sz w:val="18"/>
                <w:szCs w:val="18"/>
                <w:lang w:val="en-GB"/>
              </w:rPr>
              <w:t>Sissili</w:t>
            </w:r>
            <w:proofErr w:type="spellEnd"/>
            <w:r w:rsidRPr="006E490C">
              <w:rPr>
                <w:rFonts w:cs="Calibri"/>
                <w:sz w:val="18"/>
                <w:szCs w:val="18"/>
                <w:lang w:val="en-GB"/>
              </w:rPr>
              <w:t>. Rate: $ 12,000 / unit, 4</w:t>
            </w:r>
            <w:r w:rsidRPr="006E490C">
              <w:rPr>
                <w:rFonts w:cs="Calibri"/>
                <w:sz w:val="18"/>
                <w:szCs w:val="18"/>
                <w:vertAlign w:val="superscript"/>
                <w:lang w:val="en-GB"/>
              </w:rPr>
              <w:t>th</w:t>
            </w:r>
            <w:r w:rsidRPr="006E490C">
              <w:rPr>
                <w:rFonts w:cs="Calibri"/>
                <w:sz w:val="18"/>
                <w:szCs w:val="18"/>
                <w:lang w:val="en-GB"/>
              </w:rPr>
              <w:t xml:space="preserve"> year, paid as a lump sum based on the deliverables. Total cost: $ 72,000</w:t>
            </w:r>
            <w:r w:rsidRPr="006E490C">
              <w:rPr>
                <w:sz w:val="18"/>
                <w:szCs w:val="18"/>
                <w:lang w:val="en-GB"/>
              </w:rPr>
              <w:t>.</w:t>
            </w:r>
          </w:p>
        </w:tc>
      </w:tr>
      <w:tr w:rsidR="00302BFE" w:rsidRPr="006E490C" w14:paraId="0F6DB619"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7A8855E4" w14:textId="305864A7"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lastRenderedPageBreak/>
              <w:t>1</w:t>
            </w:r>
            <w:r w:rsidR="00D45B3D">
              <w:rPr>
                <w:rFonts w:eastAsia="Times New Roman" w:cs="Calibri"/>
                <w:i/>
                <w:iCs/>
                <w:sz w:val="18"/>
                <w:szCs w:val="18"/>
                <w:lang w:val="en-GB"/>
              </w:rPr>
              <w:t>8</w:t>
            </w:r>
          </w:p>
        </w:tc>
        <w:tc>
          <w:tcPr>
            <w:tcW w:w="13687" w:type="dxa"/>
            <w:tcBorders>
              <w:top w:val="single" w:sz="4" w:space="0" w:color="auto"/>
              <w:left w:val="single" w:sz="4" w:space="0" w:color="auto"/>
              <w:bottom w:val="single" w:sz="4" w:space="0" w:color="auto"/>
              <w:right w:val="single" w:sz="4" w:space="0" w:color="auto"/>
            </w:tcBorders>
            <w:hideMark/>
          </w:tcPr>
          <w:p w14:paraId="5B541326" w14:textId="7AE0EAE4" w:rsidR="00302BFE" w:rsidRDefault="00302BFE" w:rsidP="00243B15">
            <w:pPr>
              <w:spacing w:before="40" w:after="40"/>
              <w:rPr>
                <w:rFonts w:cs="Calibri"/>
                <w:sz w:val="18"/>
                <w:szCs w:val="18"/>
                <w:lang w:val="en-GB"/>
              </w:rPr>
            </w:pPr>
            <w:r w:rsidRPr="00363257">
              <w:rPr>
                <w:rFonts w:cs="Calibri"/>
                <w:sz w:val="18"/>
                <w:szCs w:val="18"/>
                <w:lang w:val="en-GB"/>
              </w:rPr>
              <w:t>a) A 4x4 vehicle for the Kaboré-</w:t>
            </w:r>
            <w:proofErr w:type="spellStart"/>
            <w:r w:rsidRPr="00363257">
              <w:rPr>
                <w:rFonts w:cs="Calibri"/>
                <w:sz w:val="18"/>
                <w:szCs w:val="18"/>
                <w:lang w:val="en-GB"/>
              </w:rPr>
              <w:t>Tambi</w:t>
            </w:r>
            <w:proofErr w:type="spellEnd"/>
            <w:r w:rsidRPr="00363257">
              <w:rPr>
                <w:rFonts w:cs="Calibri"/>
                <w:sz w:val="18"/>
                <w:szCs w:val="18"/>
                <w:lang w:val="en-GB"/>
              </w:rPr>
              <w:t xml:space="preserve"> National Park @ $ 52,000 in year 1 and annual maintenance and spare parts reserve for the duration of the project @ 4,000 / year (output 2.1.3). Total cost: 72,000</w:t>
            </w:r>
          </w:p>
          <w:p w14:paraId="2404921C" w14:textId="2E3E6109" w:rsidR="00D517E0" w:rsidRPr="00D517E0" w:rsidRDefault="00D517E0" w:rsidP="00D517E0">
            <w:pPr>
              <w:spacing w:after="40"/>
              <w:rPr>
                <w:rFonts w:cs="Calibri"/>
                <w:sz w:val="18"/>
                <w:szCs w:val="18"/>
                <w:lang w:val="en-GB"/>
              </w:rPr>
            </w:pPr>
            <w:r w:rsidRPr="00D517E0">
              <w:rPr>
                <w:rFonts w:cs="Calibri"/>
                <w:sz w:val="18"/>
                <w:szCs w:val="18"/>
                <w:lang w:val="en-GB"/>
              </w:rPr>
              <w:t>b) Equipment for monitoring and surveillance activities for 3 PAs (</w:t>
            </w:r>
            <w:proofErr w:type="spellStart"/>
            <w:r w:rsidRPr="00D517E0">
              <w:rPr>
                <w:rFonts w:cs="Calibri"/>
                <w:sz w:val="18"/>
                <w:szCs w:val="18"/>
                <w:lang w:val="en-GB"/>
              </w:rPr>
              <w:t>Nazinga</w:t>
            </w:r>
            <w:proofErr w:type="spellEnd"/>
            <w:r w:rsidRPr="00D517E0">
              <w:rPr>
                <w:rFonts w:cs="Calibri"/>
                <w:sz w:val="18"/>
                <w:szCs w:val="18"/>
                <w:lang w:val="en-GB"/>
              </w:rPr>
              <w:t xml:space="preserve"> Game Ranch, </w:t>
            </w:r>
            <w:proofErr w:type="spellStart"/>
            <w:r w:rsidRPr="00D517E0">
              <w:rPr>
                <w:rFonts w:cs="Calibri"/>
                <w:sz w:val="18"/>
                <w:szCs w:val="18"/>
                <w:lang w:val="en-GB"/>
              </w:rPr>
              <w:t>Sissili</w:t>
            </w:r>
            <w:proofErr w:type="spellEnd"/>
            <w:r w:rsidRPr="00D517E0">
              <w:rPr>
                <w:rFonts w:cs="Calibri"/>
                <w:sz w:val="18"/>
                <w:szCs w:val="18"/>
                <w:lang w:val="en-GB"/>
              </w:rPr>
              <w:t xml:space="preserve"> Classified Forest, Kaboré-</w:t>
            </w:r>
            <w:proofErr w:type="spellStart"/>
            <w:r w:rsidRPr="00D517E0">
              <w:rPr>
                <w:rFonts w:cs="Calibri"/>
                <w:sz w:val="18"/>
                <w:szCs w:val="18"/>
                <w:lang w:val="en-GB"/>
              </w:rPr>
              <w:t>Tambi</w:t>
            </w:r>
            <w:proofErr w:type="spellEnd"/>
            <w:r w:rsidRPr="00D517E0">
              <w:rPr>
                <w:rFonts w:cs="Calibri"/>
                <w:sz w:val="18"/>
                <w:szCs w:val="18"/>
                <w:lang w:val="en-GB"/>
              </w:rPr>
              <w:t xml:space="preserve"> NP; output 2.1.3), including 12 cameras with integrated GPS @ $ 600, 12 Garmin GPS @ $ 250, 24 binoculars @ $125, 24 compasses @ $ 40, 24 aluminium clipboards @ $30, 24 motorcycles @ $ 2,300 = 55,200 12 tents @ $ 300, 48 personal equipment (uniform, sleeping bag, sleeping pad, backpack, torch, water bottle, mess tin, first aid kit) @ $ 365, 24 long-range VHF-UHF dual band walkie-talkie radios @ $ 200, 6 first-aid kits for office @ $50, etc. in year 1 Total cost: $ 100,000</w:t>
            </w:r>
          </w:p>
          <w:p w14:paraId="25D2F283" w14:textId="77777777" w:rsidR="00302BFE" w:rsidRPr="00363257" w:rsidRDefault="00302BFE" w:rsidP="00243B15">
            <w:pPr>
              <w:spacing w:before="40" w:after="40"/>
              <w:rPr>
                <w:rFonts w:cs="Calibri"/>
                <w:sz w:val="18"/>
                <w:szCs w:val="18"/>
                <w:lang w:val="en-GB"/>
              </w:rPr>
            </w:pPr>
            <w:r w:rsidRPr="00363257">
              <w:rPr>
                <w:rFonts w:cs="Calibri"/>
                <w:sz w:val="18"/>
                <w:szCs w:val="18"/>
                <w:lang w:val="en-GB"/>
              </w:rPr>
              <w:t xml:space="preserve">c) Furniture for the Visitors reception </w:t>
            </w:r>
            <w:proofErr w:type="spellStart"/>
            <w:r w:rsidRPr="00363257">
              <w:rPr>
                <w:rFonts w:cs="Calibri"/>
                <w:sz w:val="18"/>
                <w:szCs w:val="18"/>
                <w:lang w:val="en-GB"/>
              </w:rPr>
              <w:t>Center</w:t>
            </w:r>
            <w:proofErr w:type="spellEnd"/>
            <w:r w:rsidRPr="00363257">
              <w:rPr>
                <w:rFonts w:cs="Calibri"/>
                <w:sz w:val="18"/>
                <w:szCs w:val="18"/>
                <w:lang w:val="en-GB"/>
              </w:rPr>
              <w:t xml:space="preserve"> / PNKT office (Output 2.1.3) including conference room tables @ $ 1,000, 20 chairs @ $ 100, 1 video projector @ $ 1,000, screen, filing cabinets, shelves, showcases, 3 workstations, etc. in year 3. Total cost: $ 10,000</w:t>
            </w:r>
          </w:p>
          <w:p w14:paraId="28AE4ECD" w14:textId="77777777" w:rsidR="00302BFE" w:rsidRPr="00363257" w:rsidRDefault="00302BFE" w:rsidP="00243B15">
            <w:pPr>
              <w:spacing w:before="40" w:after="40"/>
              <w:rPr>
                <w:rFonts w:cs="Calibri"/>
                <w:sz w:val="18"/>
                <w:szCs w:val="18"/>
                <w:lang w:val="en-GB"/>
              </w:rPr>
            </w:pPr>
            <w:r w:rsidRPr="00363257">
              <w:rPr>
                <w:rFonts w:cs="Calibri"/>
                <w:sz w:val="18"/>
                <w:szCs w:val="18"/>
                <w:lang w:val="en-GB"/>
              </w:rPr>
              <w:t>d) Construction of boundary markers for PAs including ZOVICs and corridors in years 2 and 3 (Outputs 2.2.1 and 2.3.1) Total cost $ 100,000</w:t>
            </w:r>
          </w:p>
          <w:p w14:paraId="4211E5B0" w14:textId="77777777" w:rsidR="00302BFE" w:rsidRPr="00363257" w:rsidRDefault="00302BFE" w:rsidP="00243B15">
            <w:pPr>
              <w:spacing w:before="40" w:after="40"/>
              <w:rPr>
                <w:rFonts w:cs="Calibri"/>
                <w:sz w:val="18"/>
                <w:szCs w:val="18"/>
                <w:lang w:val="en-GB"/>
              </w:rPr>
            </w:pPr>
            <w:r w:rsidRPr="00363257">
              <w:rPr>
                <w:rFonts w:cs="Calibri"/>
                <w:sz w:val="18"/>
                <w:szCs w:val="18"/>
                <w:lang w:val="en-GB"/>
              </w:rPr>
              <w:t>e) Signposts for PAs, ZOVICs and Corridors in Year 3 (Outputs 2.2.1 and 2.3.1) Total Cost: $ 80,000 in Year 3</w:t>
            </w:r>
          </w:p>
          <w:p w14:paraId="43A57B43" w14:textId="4D039139" w:rsidR="00302BFE" w:rsidRPr="00363257" w:rsidRDefault="00302BFE" w:rsidP="00243B15">
            <w:pPr>
              <w:spacing w:before="40" w:after="40"/>
              <w:rPr>
                <w:rFonts w:cs="Calibri"/>
                <w:sz w:val="18"/>
                <w:szCs w:val="18"/>
                <w:lang w:val="en-GB"/>
              </w:rPr>
            </w:pPr>
            <w:r w:rsidRPr="00363257">
              <w:rPr>
                <w:rFonts w:cs="Calibri"/>
                <w:sz w:val="18"/>
                <w:szCs w:val="18"/>
                <w:lang w:val="en-GB"/>
              </w:rPr>
              <w:t xml:space="preserve">f) Trails interpretative signs for self-guided tours, accompanying documentation material (brochures, field guides, printed documents) on flora, fauna, natural and cultural heritage in the PONASI landscape for the PNKT reception </w:t>
            </w:r>
            <w:proofErr w:type="spellStart"/>
            <w:r w:rsidRPr="00363257">
              <w:rPr>
                <w:rFonts w:cs="Calibri"/>
                <w:sz w:val="18"/>
                <w:szCs w:val="18"/>
                <w:lang w:val="en-GB"/>
              </w:rPr>
              <w:t>center</w:t>
            </w:r>
            <w:proofErr w:type="spellEnd"/>
            <w:r w:rsidRPr="00363257">
              <w:rPr>
                <w:rFonts w:cs="Calibri"/>
                <w:sz w:val="18"/>
                <w:szCs w:val="18"/>
                <w:lang w:val="en-GB"/>
              </w:rPr>
              <w:t xml:space="preserve">, the </w:t>
            </w:r>
            <w:proofErr w:type="spellStart"/>
            <w:r w:rsidRPr="00363257">
              <w:rPr>
                <w:rFonts w:cs="Calibri"/>
                <w:sz w:val="18"/>
                <w:szCs w:val="18"/>
                <w:lang w:val="en-GB"/>
              </w:rPr>
              <w:t>Sissili</w:t>
            </w:r>
            <w:proofErr w:type="spellEnd"/>
            <w:r w:rsidRPr="00363257">
              <w:rPr>
                <w:rFonts w:cs="Calibri"/>
                <w:sz w:val="18"/>
                <w:szCs w:val="18"/>
                <w:lang w:val="en-GB"/>
              </w:rPr>
              <w:t xml:space="preserve"> Classified Forest and the </w:t>
            </w:r>
            <w:r w:rsidR="00F03A01">
              <w:rPr>
                <w:rFonts w:cs="Calibri"/>
                <w:sz w:val="18"/>
                <w:szCs w:val="18"/>
                <w:lang w:val="en-GB"/>
              </w:rPr>
              <w:t>RGN</w:t>
            </w:r>
            <w:r w:rsidRPr="00363257">
              <w:rPr>
                <w:rFonts w:cs="Calibri"/>
                <w:sz w:val="18"/>
                <w:szCs w:val="18"/>
                <w:lang w:val="en-GB"/>
              </w:rPr>
              <w:t xml:space="preserve"> (Output 3.4.6). Total cost: $ 100,000 during the 4</w:t>
            </w:r>
            <w:r w:rsidRPr="00D517E0">
              <w:rPr>
                <w:rFonts w:cs="Calibri"/>
                <w:sz w:val="18"/>
                <w:szCs w:val="18"/>
                <w:lang w:val="en-GB"/>
              </w:rPr>
              <w:t>th</w:t>
            </w:r>
            <w:r w:rsidRPr="00363257">
              <w:rPr>
                <w:rFonts w:cs="Calibri"/>
                <w:sz w:val="18"/>
                <w:szCs w:val="18"/>
                <w:lang w:val="en-GB"/>
              </w:rPr>
              <w:t xml:space="preserve"> year</w:t>
            </w:r>
          </w:p>
          <w:p w14:paraId="3E768983" w14:textId="77777777" w:rsidR="00302BFE" w:rsidRPr="00363257" w:rsidRDefault="00302BFE" w:rsidP="00243B15">
            <w:pPr>
              <w:spacing w:before="40" w:after="40"/>
              <w:rPr>
                <w:rFonts w:cs="Calibri"/>
                <w:sz w:val="18"/>
                <w:szCs w:val="18"/>
                <w:lang w:val="en-GB"/>
              </w:rPr>
            </w:pPr>
            <w:r w:rsidRPr="00363257">
              <w:rPr>
                <w:rFonts w:cs="Calibri"/>
                <w:sz w:val="18"/>
                <w:szCs w:val="18"/>
                <w:lang w:val="en-GB"/>
              </w:rPr>
              <w:t xml:space="preserve">g) Solar equipment for the Protected Area Office / Biodiversity Interpretation </w:t>
            </w:r>
            <w:proofErr w:type="spellStart"/>
            <w:r w:rsidRPr="00363257">
              <w:rPr>
                <w:rFonts w:cs="Calibri"/>
                <w:sz w:val="18"/>
                <w:szCs w:val="18"/>
                <w:lang w:val="en-GB"/>
              </w:rPr>
              <w:t>Center</w:t>
            </w:r>
            <w:proofErr w:type="spellEnd"/>
            <w:r w:rsidRPr="00363257">
              <w:rPr>
                <w:rFonts w:cs="Calibri"/>
                <w:sz w:val="18"/>
                <w:szCs w:val="18"/>
                <w:lang w:val="en-GB"/>
              </w:rPr>
              <w:t xml:space="preserve"> / Visitors reception </w:t>
            </w:r>
            <w:proofErr w:type="spellStart"/>
            <w:r w:rsidRPr="00363257">
              <w:rPr>
                <w:rFonts w:cs="Calibri"/>
                <w:sz w:val="18"/>
                <w:szCs w:val="18"/>
                <w:lang w:val="en-GB"/>
              </w:rPr>
              <w:t>center</w:t>
            </w:r>
            <w:proofErr w:type="spellEnd"/>
            <w:r w:rsidRPr="00363257">
              <w:rPr>
                <w:rFonts w:cs="Calibri"/>
                <w:sz w:val="18"/>
                <w:szCs w:val="18"/>
                <w:lang w:val="en-GB"/>
              </w:rPr>
              <w:t xml:space="preserve"> for PNKT (Output 2.1.3). Total cost: $ 15,000 during the 3</w:t>
            </w:r>
            <w:r w:rsidRPr="00D517E0">
              <w:rPr>
                <w:rFonts w:cs="Calibri"/>
                <w:sz w:val="18"/>
                <w:szCs w:val="18"/>
                <w:lang w:val="en-GB"/>
              </w:rPr>
              <w:t>rd</w:t>
            </w:r>
            <w:r w:rsidRPr="00363257">
              <w:rPr>
                <w:rFonts w:cs="Calibri"/>
                <w:sz w:val="18"/>
                <w:szCs w:val="18"/>
                <w:lang w:val="en-GB"/>
              </w:rPr>
              <w:t xml:space="preserve"> year</w:t>
            </w:r>
          </w:p>
          <w:p w14:paraId="0A133DDF" w14:textId="4467823B" w:rsidR="00302BFE" w:rsidRDefault="00302BFE" w:rsidP="00243B15">
            <w:pPr>
              <w:spacing w:before="40" w:after="40"/>
              <w:rPr>
                <w:rFonts w:cs="Calibri"/>
                <w:sz w:val="18"/>
                <w:szCs w:val="18"/>
                <w:lang w:val="en-GB"/>
              </w:rPr>
            </w:pPr>
            <w:r w:rsidRPr="00363257">
              <w:rPr>
                <w:rFonts w:cs="Calibri"/>
                <w:sz w:val="18"/>
                <w:szCs w:val="18"/>
                <w:lang w:val="en-GB"/>
              </w:rPr>
              <w:t xml:space="preserve">h) Construction of 8 ECOSAN-type public toilets @ $ 800 for visitors to PNKT and </w:t>
            </w:r>
            <w:proofErr w:type="spellStart"/>
            <w:r w:rsidRPr="00363257">
              <w:rPr>
                <w:rFonts w:cs="Calibri"/>
                <w:sz w:val="18"/>
                <w:szCs w:val="18"/>
                <w:lang w:val="en-GB"/>
              </w:rPr>
              <w:t>Sissili</w:t>
            </w:r>
            <w:proofErr w:type="spellEnd"/>
            <w:r w:rsidRPr="00363257">
              <w:rPr>
                <w:rFonts w:cs="Calibri"/>
                <w:sz w:val="18"/>
                <w:szCs w:val="18"/>
                <w:lang w:val="en-GB"/>
              </w:rPr>
              <w:t xml:space="preserve"> CF, including 2 for the interpretation </w:t>
            </w:r>
            <w:proofErr w:type="spellStart"/>
            <w:r w:rsidRPr="00363257">
              <w:rPr>
                <w:rFonts w:cs="Calibri"/>
                <w:sz w:val="18"/>
                <w:szCs w:val="18"/>
                <w:lang w:val="en-GB"/>
              </w:rPr>
              <w:t>center</w:t>
            </w:r>
            <w:proofErr w:type="spellEnd"/>
            <w:r w:rsidRPr="00363257">
              <w:rPr>
                <w:rFonts w:cs="Calibri"/>
                <w:sz w:val="18"/>
                <w:szCs w:val="18"/>
                <w:lang w:val="en-GB"/>
              </w:rPr>
              <w:t xml:space="preserve"> / visitors reception </w:t>
            </w:r>
            <w:proofErr w:type="spellStart"/>
            <w:r w:rsidRPr="00363257">
              <w:rPr>
                <w:rFonts w:cs="Calibri"/>
                <w:sz w:val="18"/>
                <w:szCs w:val="18"/>
                <w:lang w:val="en-GB"/>
              </w:rPr>
              <w:t>center</w:t>
            </w:r>
            <w:proofErr w:type="spellEnd"/>
            <w:r w:rsidRPr="00363257">
              <w:rPr>
                <w:rFonts w:cs="Calibri"/>
                <w:sz w:val="18"/>
                <w:szCs w:val="18"/>
                <w:lang w:val="en-GB"/>
              </w:rPr>
              <w:t xml:space="preserve"> (Output 2.1.3). Total cost: $ 6,</w:t>
            </w:r>
            <w:r w:rsidRPr="0063211A">
              <w:rPr>
                <w:rFonts w:cs="Calibri"/>
                <w:sz w:val="18"/>
                <w:szCs w:val="18"/>
                <w:lang w:val="en-GB"/>
              </w:rPr>
              <w:t>400 during the 3</w:t>
            </w:r>
            <w:r w:rsidRPr="00D517E0">
              <w:rPr>
                <w:rFonts w:cs="Calibri"/>
                <w:sz w:val="18"/>
                <w:szCs w:val="18"/>
                <w:lang w:val="en-GB"/>
              </w:rPr>
              <w:t>rd</w:t>
            </w:r>
            <w:r w:rsidRPr="0063211A">
              <w:rPr>
                <w:rFonts w:cs="Calibri"/>
                <w:sz w:val="18"/>
                <w:szCs w:val="18"/>
                <w:lang w:val="en-GB"/>
              </w:rPr>
              <w:t xml:space="preserve"> year</w:t>
            </w:r>
          </w:p>
          <w:p w14:paraId="371D6F09" w14:textId="736BDACD" w:rsidR="00D517E0" w:rsidRPr="0063211A" w:rsidRDefault="00D517E0" w:rsidP="00D517E0">
            <w:pPr>
              <w:spacing w:before="40" w:after="40"/>
              <w:rPr>
                <w:rFonts w:cs="Calibri"/>
                <w:sz w:val="18"/>
                <w:szCs w:val="18"/>
                <w:lang w:val="en-GB"/>
              </w:rPr>
            </w:pPr>
            <w:r w:rsidRPr="0063211A">
              <w:rPr>
                <w:rFonts w:cs="Calibri"/>
                <w:sz w:val="18"/>
                <w:szCs w:val="18"/>
                <w:lang w:val="en-GB"/>
              </w:rPr>
              <w:t xml:space="preserve">i) Purchase of a 4x4 vehicle to support all project activities (25% for the component) @ $ 13,000 for year </w:t>
            </w:r>
            <w:r w:rsidRPr="002C4038">
              <w:rPr>
                <w:rFonts w:cs="Calibri"/>
                <w:sz w:val="18"/>
                <w:szCs w:val="18"/>
                <w:lang w:val="en-GB"/>
              </w:rPr>
              <w:t>1</w:t>
            </w:r>
            <w:r w:rsidR="00AD796F" w:rsidRPr="002C4038">
              <w:rPr>
                <w:rFonts w:cs="Calibri"/>
                <w:sz w:val="18"/>
                <w:szCs w:val="18"/>
                <w:lang w:val="en-GB"/>
              </w:rPr>
              <w:t xml:space="preserve"> </w:t>
            </w:r>
            <w:r w:rsidR="00AD796F" w:rsidRPr="00EF6D8E">
              <w:rPr>
                <w:rFonts w:cs="Calibri"/>
                <w:sz w:val="18"/>
                <w:szCs w:val="18"/>
                <w:lang w:val="en-GB"/>
              </w:rPr>
              <w:t xml:space="preserve">fully </w:t>
            </w:r>
            <w:proofErr w:type="spellStart"/>
            <w:r w:rsidR="00AD796F" w:rsidRPr="00EF6D8E">
              <w:rPr>
                <w:rFonts w:cs="Calibri"/>
                <w:sz w:val="18"/>
                <w:szCs w:val="18"/>
                <w:lang w:val="en-GB"/>
              </w:rPr>
              <w:t>cofunded</w:t>
            </w:r>
            <w:proofErr w:type="spellEnd"/>
            <w:r w:rsidR="00AD796F" w:rsidRPr="00EF6D8E">
              <w:rPr>
                <w:rFonts w:cs="Calibri"/>
                <w:sz w:val="18"/>
                <w:szCs w:val="18"/>
                <w:lang w:val="en-GB"/>
              </w:rPr>
              <w:t xml:space="preserve"> by UNDP</w:t>
            </w:r>
          </w:p>
          <w:p w14:paraId="64864E10" w14:textId="3435936D" w:rsidR="006E4995" w:rsidRPr="00363257" w:rsidRDefault="0063211A" w:rsidP="00243B15">
            <w:pPr>
              <w:spacing w:before="40" w:after="40"/>
              <w:rPr>
                <w:rFonts w:cs="Calibri"/>
                <w:sz w:val="18"/>
                <w:szCs w:val="18"/>
                <w:lang w:val="en-GB"/>
              </w:rPr>
            </w:pPr>
            <w:r w:rsidRPr="0063211A">
              <w:rPr>
                <w:rFonts w:cs="Calibri"/>
                <w:sz w:val="18"/>
                <w:szCs w:val="18"/>
                <w:lang w:val="en-GB"/>
              </w:rPr>
              <w:t>j</w:t>
            </w:r>
            <w:r w:rsidR="006E4995" w:rsidRPr="0063211A">
              <w:rPr>
                <w:rFonts w:cs="Calibri"/>
                <w:sz w:val="18"/>
                <w:szCs w:val="18"/>
                <w:lang w:val="en-GB"/>
              </w:rPr>
              <w:t>) Purchase of 8 motorcycles for travel related to the field activities of components 2 and 3, especially technical assistants and community mobilization assistants (50%) @ $ 2,300 / motorcycle - Total cost for component 2: $ 9,200 year 1</w:t>
            </w:r>
          </w:p>
        </w:tc>
      </w:tr>
      <w:tr w:rsidR="00302BFE" w:rsidRPr="009363D6" w14:paraId="3F93044E"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7EEFA157" w14:textId="32500C64" w:rsidR="00302BFE" w:rsidRPr="006E490C" w:rsidRDefault="00D45B3D" w:rsidP="00243B15">
            <w:pPr>
              <w:spacing w:before="40" w:after="40"/>
              <w:jc w:val="center"/>
              <w:rPr>
                <w:rFonts w:eastAsia="Times New Roman" w:cs="Calibri"/>
                <w:i/>
                <w:iCs/>
                <w:sz w:val="18"/>
                <w:szCs w:val="18"/>
                <w:lang w:val="en-GB"/>
              </w:rPr>
            </w:pPr>
            <w:r>
              <w:rPr>
                <w:rFonts w:eastAsia="Times New Roman" w:cs="Calibri"/>
                <w:i/>
                <w:iCs/>
                <w:sz w:val="18"/>
                <w:szCs w:val="18"/>
                <w:lang w:val="en-GB"/>
              </w:rPr>
              <w:t>19</w:t>
            </w:r>
          </w:p>
        </w:tc>
        <w:tc>
          <w:tcPr>
            <w:tcW w:w="13687" w:type="dxa"/>
            <w:tcBorders>
              <w:top w:val="single" w:sz="4" w:space="0" w:color="auto"/>
              <w:left w:val="single" w:sz="4" w:space="0" w:color="auto"/>
              <w:bottom w:val="single" w:sz="4" w:space="0" w:color="auto"/>
              <w:right w:val="single" w:sz="4" w:space="0" w:color="auto"/>
            </w:tcBorders>
            <w:hideMark/>
          </w:tcPr>
          <w:p w14:paraId="4A0D72A7" w14:textId="77777777" w:rsidR="00302BFE" w:rsidRPr="006E490C" w:rsidRDefault="00302BFE" w:rsidP="00243B15">
            <w:pPr>
              <w:spacing w:before="40" w:after="40"/>
              <w:rPr>
                <w:rFonts w:cs="Calibri"/>
                <w:sz w:val="18"/>
                <w:szCs w:val="18"/>
                <w:lang w:val="en-GB"/>
              </w:rPr>
            </w:pPr>
            <w:r w:rsidRPr="006E490C">
              <w:rPr>
                <w:rFonts w:cs="Calibri"/>
                <w:sz w:val="18"/>
                <w:szCs w:val="18"/>
                <w:lang w:val="en-GB"/>
              </w:rPr>
              <w:t>a) Reserve for the rental of machinery and the purchase of fuel to allow the opening and regular maintenance of firebreaks and perimeter tracks for protected areas, including ZOVICs and corridors, in years 2, 3, 4 and 5 @ $ 25,000 / year. Total cost: $ 100,000</w:t>
            </w:r>
          </w:p>
          <w:p w14:paraId="00F447D0" w14:textId="77777777" w:rsidR="00302BFE" w:rsidRPr="006E490C" w:rsidRDefault="00302BFE" w:rsidP="00243B15">
            <w:pPr>
              <w:spacing w:before="40" w:after="40"/>
              <w:rPr>
                <w:rFonts w:cs="Calibri"/>
                <w:sz w:val="18"/>
                <w:szCs w:val="18"/>
                <w:lang w:val="en-GB"/>
              </w:rPr>
            </w:pPr>
            <w:r w:rsidRPr="006E490C">
              <w:rPr>
                <w:rFonts w:cs="Calibri"/>
                <w:sz w:val="18"/>
                <w:szCs w:val="18"/>
                <w:lang w:val="en-GB"/>
              </w:rPr>
              <w:t>b) Support to the implementation of management and development plans of PAs, including ZOVICs and corridors including the activities of rehabilitation by ANR in years 3, 4 and 5 (Outputs 2.2.2 and 2.3.2). Total cost $ 300,000</w:t>
            </w:r>
          </w:p>
          <w:p w14:paraId="3673B38E" w14:textId="77777777" w:rsidR="00302BFE" w:rsidRPr="006E490C" w:rsidRDefault="00302BFE" w:rsidP="00243B15">
            <w:pPr>
              <w:spacing w:before="40" w:after="40"/>
              <w:rPr>
                <w:rFonts w:cs="Calibri"/>
                <w:sz w:val="18"/>
                <w:szCs w:val="18"/>
                <w:lang w:val="en-GB"/>
              </w:rPr>
            </w:pPr>
            <w:r w:rsidRPr="006E490C">
              <w:rPr>
                <w:rFonts w:cs="Calibri"/>
                <w:sz w:val="18"/>
                <w:szCs w:val="18"/>
                <w:lang w:val="en-GB"/>
              </w:rPr>
              <w:t>c) Stationery, maps, schematics for rapid assessment workshops, in year 2 (output 2.4.1) Total cost: $ 10,000</w:t>
            </w:r>
          </w:p>
          <w:p w14:paraId="0FBC22E2" w14:textId="77777777" w:rsidR="00302BFE" w:rsidRPr="006E490C" w:rsidRDefault="00302BFE" w:rsidP="00243B15">
            <w:pPr>
              <w:spacing w:before="40" w:after="40"/>
              <w:rPr>
                <w:rFonts w:cs="Calibri"/>
                <w:sz w:val="18"/>
                <w:szCs w:val="18"/>
                <w:lang w:val="en-GB"/>
              </w:rPr>
            </w:pPr>
            <w:r w:rsidRPr="006E490C">
              <w:rPr>
                <w:rFonts w:cs="Calibri"/>
                <w:sz w:val="18"/>
                <w:szCs w:val="18"/>
                <w:lang w:val="en-GB"/>
              </w:rPr>
              <w:t xml:space="preserve">d) Reserve for the implementation of action plans for human-wildlife conflict mitigation (output 2.4.1) @ $ 10,000 per </w:t>
            </w:r>
            <w:r w:rsidR="009363D6">
              <w:rPr>
                <w:rFonts w:cs="Calibri"/>
                <w:sz w:val="18"/>
                <w:szCs w:val="18"/>
                <w:lang w:val="en-GB"/>
              </w:rPr>
              <w:t>commune</w:t>
            </w:r>
            <w:r w:rsidRPr="006E490C">
              <w:rPr>
                <w:rFonts w:cs="Calibri"/>
                <w:sz w:val="18"/>
                <w:szCs w:val="18"/>
                <w:lang w:val="en-GB"/>
              </w:rPr>
              <w:t xml:space="preserve"> in the 7 communes affected. Total cost: $ 70,000 in years 3, 4, 5.</w:t>
            </w:r>
          </w:p>
        </w:tc>
      </w:tr>
      <w:tr w:rsidR="00302BFE" w:rsidRPr="006E490C" w14:paraId="3772D868"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0618F3C4" w14:textId="1F20218B"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2</w:t>
            </w:r>
            <w:r w:rsidR="00D45B3D">
              <w:rPr>
                <w:rFonts w:eastAsia="Times New Roman" w:cs="Calibri"/>
                <w:i/>
                <w:iCs/>
                <w:sz w:val="18"/>
                <w:szCs w:val="18"/>
                <w:lang w:val="en-GB"/>
              </w:rPr>
              <w:t>0</w:t>
            </w:r>
          </w:p>
        </w:tc>
        <w:tc>
          <w:tcPr>
            <w:tcW w:w="13687" w:type="dxa"/>
            <w:tcBorders>
              <w:top w:val="single" w:sz="4" w:space="0" w:color="auto"/>
              <w:left w:val="single" w:sz="4" w:space="0" w:color="auto"/>
              <w:bottom w:val="single" w:sz="4" w:space="0" w:color="auto"/>
              <w:right w:val="single" w:sz="4" w:space="0" w:color="auto"/>
            </w:tcBorders>
            <w:hideMark/>
          </w:tcPr>
          <w:p w14:paraId="064C4800" w14:textId="77777777" w:rsidR="00302BFE" w:rsidRPr="00363257" w:rsidRDefault="00302BFE" w:rsidP="00243B15">
            <w:pPr>
              <w:spacing w:before="40" w:after="40"/>
              <w:rPr>
                <w:rFonts w:cs="Calibri"/>
                <w:sz w:val="18"/>
                <w:szCs w:val="18"/>
                <w:lang w:val="en-GB"/>
              </w:rPr>
            </w:pPr>
            <w:r w:rsidRPr="00363257">
              <w:rPr>
                <w:rFonts w:cs="Calibri"/>
                <w:sz w:val="18"/>
                <w:szCs w:val="18"/>
                <w:lang w:val="en-GB"/>
              </w:rPr>
              <w:t>Office computer equipment for protected areas offices and for the institution in charge of the PONASI PAs (to cover the needs for the 3 core PAs, corridors #1 and #2 and ZOVICs) for GIS data capture and processing, and reporting (output 2.1.2), including 6 laptops @ $2,500, 12 desktops @ $1,500, 2 large screens @ $800, 18 inverters @ $300, 6 printers @ $500, 9 large capacity hard drives @ $300, 18 Microsoft software licenses @ $800, 1 ArcGIS Pro license @ $ 10,000, 2 large format printers + ink reserve @ $ 5,000, in year 1, ink reserve for all printers for 6 years, etc. (Output 2.1.2) Total budget: $ 100,000</w:t>
            </w:r>
          </w:p>
        </w:tc>
      </w:tr>
      <w:tr w:rsidR="00302BFE" w:rsidRPr="006E490C" w14:paraId="27E5152C"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4BE4CE4B" w14:textId="3A3A3C86"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2</w:t>
            </w:r>
            <w:r w:rsidR="00D45B3D">
              <w:rPr>
                <w:rFonts w:eastAsia="Times New Roman" w:cs="Calibri"/>
                <w:i/>
                <w:iCs/>
                <w:sz w:val="18"/>
                <w:szCs w:val="18"/>
                <w:lang w:val="en-GB"/>
              </w:rPr>
              <w:t>1</w:t>
            </w:r>
          </w:p>
        </w:tc>
        <w:tc>
          <w:tcPr>
            <w:tcW w:w="13687" w:type="dxa"/>
            <w:tcBorders>
              <w:top w:val="single" w:sz="4" w:space="0" w:color="auto"/>
              <w:left w:val="single" w:sz="4" w:space="0" w:color="auto"/>
              <w:bottom w:val="single" w:sz="4" w:space="0" w:color="auto"/>
              <w:right w:val="single" w:sz="4" w:space="0" w:color="auto"/>
            </w:tcBorders>
            <w:hideMark/>
          </w:tcPr>
          <w:p w14:paraId="23CAFC26" w14:textId="77777777" w:rsidR="00302BFE" w:rsidRPr="006E490C" w:rsidRDefault="00302BFE" w:rsidP="00243B15">
            <w:pPr>
              <w:spacing w:before="40" w:after="40"/>
              <w:rPr>
                <w:rFonts w:cs="Calibri"/>
                <w:sz w:val="18"/>
                <w:szCs w:val="18"/>
                <w:lang w:val="en-GB"/>
              </w:rPr>
            </w:pPr>
            <w:r w:rsidRPr="006E490C">
              <w:rPr>
                <w:rFonts w:cs="Calibri"/>
                <w:sz w:val="18"/>
                <w:szCs w:val="18"/>
                <w:lang w:val="en-GB"/>
              </w:rPr>
              <w:t>a) Reproduction of templates and guidelines for the development of participatory management and development plans of protected areas and village co-management agreements (output 2.2.2). Total cost: $ 10,000</w:t>
            </w:r>
          </w:p>
          <w:p w14:paraId="3D37FCAC" w14:textId="77777777" w:rsidR="00302BFE" w:rsidRPr="006E490C" w:rsidRDefault="00302BFE" w:rsidP="00243B15">
            <w:pPr>
              <w:spacing w:before="40" w:after="40"/>
              <w:rPr>
                <w:rFonts w:eastAsia="Times New Roman" w:cs="Calibri"/>
                <w:sz w:val="18"/>
                <w:szCs w:val="18"/>
                <w:lang w:val="en-GB"/>
              </w:rPr>
            </w:pPr>
            <w:r w:rsidRPr="006E490C">
              <w:rPr>
                <w:rFonts w:cs="Calibri"/>
                <w:sz w:val="18"/>
                <w:szCs w:val="18"/>
                <w:lang w:val="en-GB"/>
              </w:rPr>
              <w:t xml:space="preserve">(b) Publishing office to design / edit / illustrate / print an illustrated field guide on the flora, </w:t>
            </w:r>
            <w:proofErr w:type="gramStart"/>
            <w:r w:rsidRPr="006E490C">
              <w:rPr>
                <w:rFonts w:cs="Calibri"/>
                <w:sz w:val="18"/>
                <w:szCs w:val="18"/>
                <w:lang w:val="en-GB"/>
              </w:rPr>
              <w:t>fauna</w:t>
            </w:r>
            <w:proofErr w:type="gramEnd"/>
            <w:r w:rsidRPr="006E490C">
              <w:rPr>
                <w:rFonts w:cs="Calibri"/>
                <w:sz w:val="18"/>
                <w:szCs w:val="18"/>
                <w:lang w:val="en-GB"/>
              </w:rPr>
              <w:t xml:space="preserve"> and natural and cultural heritage of PONASI, as well as leaflets, posters and other printed products (output 2.2.4). Cost $ 40,000 (years 3 and 4</w:t>
            </w:r>
            <w:r w:rsidRPr="006E490C">
              <w:rPr>
                <w:rFonts w:eastAsia="Times New Roman" w:cs="Calibri"/>
                <w:sz w:val="18"/>
                <w:szCs w:val="18"/>
                <w:lang w:val="en-GB"/>
              </w:rPr>
              <w:t>).</w:t>
            </w:r>
          </w:p>
        </w:tc>
      </w:tr>
      <w:tr w:rsidR="00302BFE" w:rsidRPr="006E490C" w14:paraId="19942292"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1A6A05CA" w14:textId="51D2649C"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2</w:t>
            </w:r>
            <w:r w:rsidR="00D45B3D">
              <w:rPr>
                <w:rFonts w:eastAsia="Times New Roman" w:cs="Calibri"/>
                <w:i/>
                <w:iCs/>
                <w:sz w:val="18"/>
                <w:szCs w:val="18"/>
                <w:lang w:val="en-GB"/>
              </w:rPr>
              <w:t>2</w:t>
            </w:r>
          </w:p>
        </w:tc>
        <w:tc>
          <w:tcPr>
            <w:tcW w:w="13687" w:type="dxa"/>
            <w:tcBorders>
              <w:top w:val="single" w:sz="4" w:space="0" w:color="auto"/>
              <w:left w:val="single" w:sz="4" w:space="0" w:color="auto"/>
              <w:bottom w:val="single" w:sz="4" w:space="0" w:color="auto"/>
              <w:right w:val="single" w:sz="4" w:space="0" w:color="auto"/>
            </w:tcBorders>
            <w:hideMark/>
          </w:tcPr>
          <w:p w14:paraId="706CD0D3" w14:textId="77777777" w:rsidR="00302BFE" w:rsidRPr="006E490C" w:rsidRDefault="00302BFE" w:rsidP="00243B15">
            <w:pPr>
              <w:spacing w:before="40" w:after="40"/>
              <w:rPr>
                <w:rFonts w:cs="Calibri"/>
                <w:sz w:val="18"/>
                <w:szCs w:val="18"/>
                <w:lang w:val="en-GB"/>
              </w:rPr>
            </w:pPr>
            <w:r w:rsidRPr="006E490C">
              <w:rPr>
                <w:rFonts w:cs="Calibri"/>
                <w:color w:val="000000"/>
                <w:sz w:val="18"/>
                <w:szCs w:val="18"/>
                <w:lang w:val="en-GB"/>
              </w:rPr>
              <w:t>Incidental costs related to strengthening the PONASI protected area system, including a $4,000 provision in year 1 for costs related to the establishment of baseline values for the outcome indicators under component 2. Total cost: $ 127,000 in Years 1-6 (for all outputs in the component).</w:t>
            </w:r>
          </w:p>
        </w:tc>
      </w:tr>
      <w:tr w:rsidR="00302BFE" w:rsidRPr="006E490C" w14:paraId="0A7A39FB"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62FEEE83" w14:textId="088AAB01"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2</w:t>
            </w:r>
            <w:r w:rsidR="00D45B3D">
              <w:rPr>
                <w:rFonts w:eastAsia="Times New Roman" w:cs="Calibri"/>
                <w:i/>
                <w:iCs/>
                <w:sz w:val="18"/>
                <w:szCs w:val="18"/>
                <w:lang w:val="en-GB"/>
              </w:rPr>
              <w:t>3</w:t>
            </w:r>
          </w:p>
        </w:tc>
        <w:tc>
          <w:tcPr>
            <w:tcW w:w="13687" w:type="dxa"/>
            <w:tcBorders>
              <w:top w:val="single" w:sz="4" w:space="0" w:color="auto"/>
              <w:left w:val="single" w:sz="4" w:space="0" w:color="auto"/>
              <w:bottom w:val="single" w:sz="4" w:space="0" w:color="auto"/>
              <w:right w:val="single" w:sz="4" w:space="0" w:color="auto"/>
            </w:tcBorders>
            <w:hideMark/>
          </w:tcPr>
          <w:p w14:paraId="69110F9F"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a) Workshop fees for the review of the appropriate institutional structure for the management of PAs of the PONASI complex (output 2.1.1) during the first year (with approximately 30 participants in Ouagadougou). Total cost: $ 4,000</w:t>
            </w:r>
          </w:p>
          <w:p w14:paraId="4E914684" w14:textId="2B6D0321" w:rsidR="00302BFE" w:rsidRPr="00741FCF" w:rsidRDefault="00302BFE" w:rsidP="00243B15">
            <w:pPr>
              <w:spacing w:before="40" w:after="40"/>
              <w:rPr>
                <w:rFonts w:eastAsia="Times New Roman" w:cs="Calibri"/>
                <w:sz w:val="18"/>
                <w:szCs w:val="18"/>
                <w:lang w:val="en-GB"/>
              </w:rPr>
            </w:pPr>
            <w:r w:rsidRPr="00741FCF">
              <w:rPr>
                <w:rFonts w:eastAsia="Times New Roman" w:cs="Calibri"/>
                <w:sz w:val="18"/>
                <w:szCs w:val="18"/>
                <w:lang w:val="en-GB"/>
              </w:rPr>
              <w:lastRenderedPageBreak/>
              <w:t xml:space="preserve">b) Workshop costs for the validation of the participatory management and development template plan for protected areas and the village co-management agreement template (1 workshop year 2 - output 2.2.2) and to </w:t>
            </w:r>
            <w:r w:rsidR="00395329" w:rsidRPr="00741FCF">
              <w:rPr>
                <w:rFonts w:eastAsia="Times New Roman" w:cs="Calibri"/>
                <w:sz w:val="18"/>
                <w:szCs w:val="18"/>
                <w:lang w:val="en-GB"/>
              </w:rPr>
              <w:t>review</w:t>
            </w:r>
            <w:r w:rsidRPr="00741FCF">
              <w:rPr>
                <w:rFonts w:eastAsia="Times New Roman" w:cs="Calibri"/>
                <w:sz w:val="18"/>
                <w:szCs w:val="18"/>
                <w:lang w:val="en-GB"/>
              </w:rPr>
              <w:t xml:space="preserve"> </w:t>
            </w:r>
            <w:r w:rsidR="00395329" w:rsidRPr="00741FCF">
              <w:rPr>
                <w:rFonts w:eastAsia="Times New Roman" w:cs="Calibri"/>
                <w:sz w:val="18"/>
                <w:szCs w:val="18"/>
                <w:lang w:val="en-GB"/>
              </w:rPr>
              <w:t xml:space="preserve">the impacts of </w:t>
            </w:r>
            <w:r w:rsidRPr="00741FCF">
              <w:rPr>
                <w:rFonts w:eastAsia="Times New Roman" w:cs="Calibri"/>
                <w:sz w:val="18"/>
                <w:szCs w:val="18"/>
                <w:lang w:val="en-GB"/>
              </w:rPr>
              <w:t xml:space="preserve">hunting </w:t>
            </w:r>
            <w:r w:rsidR="00395329" w:rsidRPr="00741FCF">
              <w:rPr>
                <w:rFonts w:eastAsia="Times New Roman" w:cs="Calibri"/>
                <w:sz w:val="18"/>
                <w:szCs w:val="18"/>
                <w:lang w:val="en-GB"/>
              </w:rPr>
              <w:t>in</w:t>
            </w:r>
            <w:r w:rsidRPr="00741FCF">
              <w:rPr>
                <w:rFonts w:eastAsia="Times New Roman" w:cs="Calibri"/>
                <w:sz w:val="18"/>
                <w:szCs w:val="18"/>
                <w:lang w:val="en-GB"/>
              </w:rPr>
              <w:t xml:space="preserve"> the </w:t>
            </w:r>
            <w:r w:rsidR="00395329" w:rsidRPr="00741FCF">
              <w:rPr>
                <w:rFonts w:eastAsia="Times New Roman" w:cs="Calibri"/>
                <w:sz w:val="18"/>
                <w:szCs w:val="18"/>
                <w:lang w:val="en-GB"/>
              </w:rPr>
              <w:t>NGR</w:t>
            </w:r>
            <w:r w:rsidRPr="00741FCF">
              <w:rPr>
                <w:rFonts w:eastAsia="Times New Roman" w:cs="Calibri"/>
                <w:sz w:val="18"/>
                <w:szCs w:val="18"/>
                <w:lang w:val="en-GB"/>
              </w:rPr>
              <w:t xml:space="preserve"> and the </w:t>
            </w:r>
            <w:proofErr w:type="spellStart"/>
            <w:r w:rsidRPr="00741FCF">
              <w:rPr>
                <w:rFonts w:eastAsia="Times New Roman" w:cs="Calibri"/>
                <w:sz w:val="18"/>
                <w:szCs w:val="18"/>
                <w:lang w:val="en-GB"/>
              </w:rPr>
              <w:t>Sissili</w:t>
            </w:r>
            <w:proofErr w:type="spellEnd"/>
            <w:r w:rsidRPr="00741FCF">
              <w:rPr>
                <w:rFonts w:eastAsia="Times New Roman" w:cs="Calibri"/>
                <w:sz w:val="18"/>
                <w:szCs w:val="18"/>
                <w:lang w:val="en-GB"/>
              </w:rPr>
              <w:t xml:space="preserve"> </w:t>
            </w:r>
            <w:r w:rsidR="00395329" w:rsidRPr="00741FCF">
              <w:rPr>
                <w:rFonts w:eastAsia="Times New Roman" w:cs="Calibri"/>
                <w:sz w:val="18"/>
                <w:szCs w:val="18"/>
                <w:lang w:val="en-GB"/>
              </w:rPr>
              <w:t>CF</w:t>
            </w:r>
            <w:r w:rsidRPr="00741FCF">
              <w:rPr>
                <w:rFonts w:eastAsia="Times New Roman" w:cs="Calibri"/>
                <w:sz w:val="18"/>
                <w:szCs w:val="18"/>
                <w:lang w:val="en-GB"/>
              </w:rPr>
              <w:t xml:space="preserve"> </w:t>
            </w:r>
            <w:r w:rsidR="00395329" w:rsidRPr="00741FCF">
              <w:rPr>
                <w:rFonts w:eastAsia="Times New Roman" w:cs="Calibri"/>
                <w:sz w:val="18"/>
                <w:szCs w:val="18"/>
                <w:lang w:val="en-GB"/>
              </w:rPr>
              <w:t xml:space="preserve">and in the ZOVICs in terms of biodiversity and socio-economic costs and benefits for all stakeholders </w:t>
            </w:r>
            <w:r w:rsidRPr="00741FCF">
              <w:rPr>
                <w:rFonts w:eastAsia="Times New Roman" w:cs="Calibri"/>
                <w:sz w:val="18"/>
                <w:szCs w:val="18"/>
                <w:lang w:val="en-GB"/>
              </w:rPr>
              <w:t>(</w:t>
            </w:r>
            <w:r w:rsidR="00582E80" w:rsidRPr="00741FCF">
              <w:rPr>
                <w:rFonts w:eastAsia="Times New Roman" w:cs="Calibri"/>
                <w:sz w:val="18"/>
                <w:szCs w:val="18"/>
                <w:lang w:val="en-GB"/>
              </w:rPr>
              <w:t>2</w:t>
            </w:r>
            <w:r w:rsidRPr="00741FCF">
              <w:rPr>
                <w:rFonts w:eastAsia="Times New Roman" w:cs="Calibri"/>
                <w:sz w:val="18"/>
                <w:szCs w:val="18"/>
                <w:lang w:val="en-GB"/>
              </w:rPr>
              <w:t xml:space="preserve"> workshop</w:t>
            </w:r>
            <w:r w:rsidR="00582E80" w:rsidRPr="00741FCF">
              <w:rPr>
                <w:rFonts w:eastAsia="Times New Roman" w:cs="Calibri"/>
                <w:sz w:val="18"/>
                <w:szCs w:val="18"/>
                <w:lang w:val="en-GB"/>
              </w:rPr>
              <w:t>s in</w:t>
            </w:r>
            <w:r w:rsidRPr="00741FCF">
              <w:rPr>
                <w:rFonts w:eastAsia="Times New Roman" w:cs="Calibri"/>
                <w:sz w:val="18"/>
                <w:szCs w:val="18"/>
                <w:lang w:val="en-GB"/>
              </w:rPr>
              <w:t xml:space="preserve"> year</w:t>
            </w:r>
            <w:r w:rsidR="00582E80" w:rsidRPr="00741FCF">
              <w:rPr>
                <w:rFonts w:eastAsia="Times New Roman" w:cs="Calibri"/>
                <w:sz w:val="18"/>
                <w:szCs w:val="18"/>
                <w:lang w:val="en-GB"/>
              </w:rPr>
              <w:t>s</w:t>
            </w:r>
            <w:r w:rsidRPr="00741FCF">
              <w:rPr>
                <w:rFonts w:eastAsia="Times New Roman" w:cs="Calibri"/>
                <w:sz w:val="18"/>
                <w:szCs w:val="18"/>
                <w:lang w:val="en-GB"/>
              </w:rPr>
              <w:t xml:space="preserve"> </w:t>
            </w:r>
            <w:r w:rsidR="00395329" w:rsidRPr="00741FCF">
              <w:rPr>
                <w:rFonts w:eastAsia="Times New Roman" w:cs="Calibri"/>
                <w:sz w:val="18"/>
                <w:szCs w:val="18"/>
                <w:lang w:val="en-GB"/>
              </w:rPr>
              <w:t>1</w:t>
            </w:r>
            <w:r w:rsidR="00582E80" w:rsidRPr="00741FCF">
              <w:rPr>
                <w:rFonts w:eastAsia="Times New Roman" w:cs="Calibri"/>
                <w:sz w:val="18"/>
                <w:szCs w:val="18"/>
                <w:lang w:val="en-GB"/>
              </w:rPr>
              <w:t xml:space="preserve"> and 2</w:t>
            </w:r>
            <w:r w:rsidRPr="00741FCF">
              <w:rPr>
                <w:rFonts w:eastAsia="Times New Roman" w:cs="Calibri"/>
                <w:sz w:val="18"/>
                <w:szCs w:val="18"/>
                <w:lang w:val="en-GB"/>
              </w:rPr>
              <w:t xml:space="preserve"> - output 2.2.2). Total cost: $ </w:t>
            </w:r>
            <w:r w:rsidR="00582E80" w:rsidRPr="00741FCF">
              <w:rPr>
                <w:rFonts w:eastAsia="Times New Roman" w:cs="Calibri"/>
                <w:sz w:val="18"/>
                <w:szCs w:val="18"/>
                <w:lang w:val="en-GB"/>
              </w:rPr>
              <w:t>20</w:t>
            </w:r>
            <w:r w:rsidRPr="00741FCF">
              <w:rPr>
                <w:rFonts w:eastAsia="Times New Roman" w:cs="Calibri"/>
                <w:sz w:val="18"/>
                <w:szCs w:val="18"/>
                <w:lang w:val="en-GB"/>
              </w:rPr>
              <w:t>,000</w:t>
            </w:r>
          </w:p>
          <w:p w14:paraId="364B042E" w14:textId="5FF5524B" w:rsidR="00302BFE" w:rsidRPr="00741FCF" w:rsidRDefault="00302BFE" w:rsidP="00243B15">
            <w:pPr>
              <w:spacing w:before="40" w:after="40"/>
              <w:rPr>
                <w:rFonts w:eastAsia="Times New Roman" w:cs="Calibri"/>
                <w:sz w:val="18"/>
                <w:szCs w:val="18"/>
                <w:lang w:val="en-GB"/>
              </w:rPr>
            </w:pPr>
            <w:r w:rsidRPr="00741FCF">
              <w:rPr>
                <w:rFonts w:eastAsia="Times New Roman" w:cs="Calibri"/>
                <w:sz w:val="18"/>
                <w:szCs w:val="18"/>
                <w:lang w:val="en-GB"/>
              </w:rPr>
              <w:t xml:space="preserve">c) Annual workshop fees for the review and validation of hunting quotas in protected areas, including ZOVICs @ $ 5,000 / workshop, starting in year </w:t>
            </w:r>
            <w:r w:rsidR="00582E80" w:rsidRPr="00741FCF">
              <w:rPr>
                <w:rFonts w:eastAsia="Times New Roman" w:cs="Calibri"/>
                <w:sz w:val="18"/>
                <w:szCs w:val="18"/>
                <w:lang w:val="en-GB"/>
              </w:rPr>
              <w:t>4</w:t>
            </w:r>
            <w:r w:rsidRPr="00741FCF">
              <w:rPr>
                <w:rFonts w:eastAsia="Times New Roman" w:cs="Calibri"/>
                <w:sz w:val="18"/>
                <w:szCs w:val="18"/>
                <w:lang w:val="en-GB"/>
              </w:rPr>
              <w:t xml:space="preserve"> (output 2.2.2), including travels and accommodation of participants. Total cost: $ </w:t>
            </w:r>
            <w:r w:rsidR="00582E80" w:rsidRPr="00741FCF">
              <w:rPr>
                <w:rFonts w:eastAsia="Times New Roman" w:cs="Calibri"/>
                <w:sz w:val="18"/>
                <w:szCs w:val="18"/>
                <w:lang w:val="en-GB"/>
              </w:rPr>
              <w:t>15</w:t>
            </w:r>
            <w:r w:rsidRPr="00741FCF">
              <w:rPr>
                <w:rFonts w:eastAsia="Times New Roman" w:cs="Calibri"/>
                <w:sz w:val="18"/>
                <w:szCs w:val="18"/>
                <w:lang w:val="en-GB"/>
              </w:rPr>
              <w:t>,000</w:t>
            </w:r>
          </w:p>
          <w:p w14:paraId="76EC2476" w14:textId="1122C7D4" w:rsidR="00302BFE" w:rsidRPr="00741FCF" w:rsidRDefault="00302BFE" w:rsidP="00243B15">
            <w:pPr>
              <w:spacing w:before="40" w:after="40"/>
              <w:rPr>
                <w:rFonts w:eastAsia="Times New Roman" w:cs="Calibri"/>
                <w:sz w:val="18"/>
                <w:szCs w:val="18"/>
                <w:lang w:val="en-GB"/>
              </w:rPr>
            </w:pPr>
            <w:r w:rsidRPr="00741FCF">
              <w:rPr>
                <w:rFonts w:eastAsia="Times New Roman" w:cs="Calibri"/>
                <w:sz w:val="18"/>
                <w:szCs w:val="18"/>
                <w:lang w:val="en-GB"/>
              </w:rPr>
              <w:t xml:space="preserve">d) Reserve for a series of theoretical and practical training workshops for the institutions in charge of PAs, and particularly the forest guards and eco-guards for the tasks carried out in the field, including the trainings offered by international experts on: i) sustainable financing of PAs on financial planning, business plan development and mobilization of innovative funding for a PA system; (ii) anti-poaching and enforcement of PA regulations, national and regional LAB planning, and all practical aspects of the LAB; iii) ecological monitoring for the planning and implementation of ecological monitoring plans including the theoretical and technical aspects of field surveys for major components of flora and fauna, the collection and input of georeferenced data; iv) in human-wildlife conflicts on the prevention and management of human-wildlife conflicts following the SAFE Systems approach. These trainings will be offered to as wide an audience as possible, in </w:t>
            </w:r>
            <w:proofErr w:type="spellStart"/>
            <w:r w:rsidRPr="00741FCF">
              <w:rPr>
                <w:rFonts w:eastAsia="Times New Roman" w:cs="Calibri"/>
                <w:sz w:val="18"/>
                <w:szCs w:val="18"/>
                <w:lang w:val="en-GB"/>
              </w:rPr>
              <w:t>Pô</w:t>
            </w:r>
            <w:proofErr w:type="spellEnd"/>
            <w:r w:rsidRPr="00741FCF">
              <w:rPr>
                <w:rFonts w:eastAsia="Times New Roman" w:cs="Calibri"/>
                <w:sz w:val="18"/>
                <w:szCs w:val="18"/>
                <w:lang w:val="en-GB"/>
              </w:rPr>
              <w:t xml:space="preserve"> or Ouagadougou, with the involvement of national and possibly international environmental NGOs (output 2.2.4), including travel and accommodation for participants as needed for several days of training. Total cost: $ 150,000 in years</w:t>
            </w:r>
            <w:r w:rsidR="00395329" w:rsidRPr="00741FCF">
              <w:rPr>
                <w:rFonts w:eastAsia="Times New Roman" w:cs="Calibri"/>
                <w:sz w:val="18"/>
                <w:szCs w:val="18"/>
                <w:lang w:val="en-GB"/>
              </w:rPr>
              <w:t xml:space="preserve"> 2,</w:t>
            </w:r>
            <w:r w:rsidRPr="00741FCF">
              <w:rPr>
                <w:rFonts w:eastAsia="Times New Roman" w:cs="Calibri"/>
                <w:sz w:val="18"/>
                <w:szCs w:val="18"/>
                <w:lang w:val="en-GB"/>
              </w:rPr>
              <w:t xml:space="preserve"> 3, </w:t>
            </w:r>
            <w:r w:rsidR="00395329" w:rsidRPr="00741FCF">
              <w:rPr>
                <w:rFonts w:eastAsia="Times New Roman" w:cs="Calibri"/>
                <w:sz w:val="18"/>
                <w:szCs w:val="18"/>
                <w:lang w:val="en-GB"/>
              </w:rPr>
              <w:t xml:space="preserve">and </w:t>
            </w:r>
            <w:r w:rsidRPr="00741FCF">
              <w:rPr>
                <w:rFonts w:eastAsia="Times New Roman" w:cs="Calibri"/>
                <w:sz w:val="18"/>
                <w:szCs w:val="18"/>
                <w:lang w:val="en-GB"/>
              </w:rPr>
              <w:t>4.</w:t>
            </w:r>
          </w:p>
          <w:p w14:paraId="5C3FB535" w14:textId="77777777" w:rsidR="00302BFE" w:rsidRPr="00741FCF" w:rsidRDefault="00302BFE" w:rsidP="00243B15">
            <w:pPr>
              <w:spacing w:before="40" w:after="40"/>
              <w:rPr>
                <w:rFonts w:eastAsia="Times New Roman" w:cs="Calibri"/>
                <w:sz w:val="18"/>
                <w:szCs w:val="18"/>
                <w:lang w:val="en-GB"/>
              </w:rPr>
            </w:pPr>
            <w:r w:rsidRPr="00741FCF">
              <w:rPr>
                <w:rFonts w:eastAsia="Times New Roman" w:cs="Calibri"/>
                <w:sz w:val="18"/>
                <w:szCs w:val="18"/>
                <w:lang w:val="en-GB"/>
              </w:rPr>
              <w:t>(e) Technical workshop for the drafting of a human-wildlife conflict mitigation strategy and action plan (limited number of participants) for 5 days in year 4 (Output 2.4). Total cost: $10,000</w:t>
            </w:r>
          </w:p>
          <w:p w14:paraId="1317934A" w14:textId="3EA260E2" w:rsidR="00302BFE" w:rsidRPr="006E490C" w:rsidRDefault="00302BFE" w:rsidP="00243B15">
            <w:pPr>
              <w:spacing w:before="40" w:after="40"/>
              <w:rPr>
                <w:rFonts w:eastAsia="Times New Roman" w:cs="Calibri"/>
                <w:sz w:val="18"/>
                <w:szCs w:val="18"/>
                <w:lang w:val="en-GB"/>
              </w:rPr>
            </w:pPr>
            <w:r w:rsidRPr="00741FCF">
              <w:rPr>
                <w:rFonts w:eastAsia="Times New Roman" w:cs="Calibri"/>
                <w:sz w:val="18"/>
                <w:szCs w:val="18"/>
                <w:lang w:val="en-GB"/>
              </w:rPr>
              <w:t>f) Costs for the holding of 7 rapid assessment workshops (2 days) grouping villages of a same commune affected by Human wildlife conflicts, including traveling expenses of the participants to encourage participation, during the 2</w:t>
            </w:r>
            <w:r w:rsidRPr="00741FCF">
              <w:rPr>
                <w:rFonts w:eastAsia="Times New Roman" w:cs="Calibri"/>
                <w:sz w:val="18"/>
                <w:szCs w:val="18"/>
                <w:vertAlign w:val="superscript"/>
                <w:lang w:val="en-GB"/>
              </w:rPr>
              <w:t>nd</w:t>
            </w:r>
            <w:r w:rsidRPr="00741FCF">
              <w:rPr>
                <w:rFonts w:eastAsia="Times New Roman" w:cs="Calibri"/>
                <w:sz w:val="18"/>
                <w:szCs w:val="18"/>
                <w:lang w:val="en-GB"/>
              </w:rPr>
              <w:t xml:space="preserve"> year (output 2.4.1). Total cost: $ 35,000</w:t>
            </w:r>
            <w:r w:rsidR="00741FCF">
              <w:rPr>
                <w:rFonts w:eastAsia="Times New Roman" w:cs="Calibri"/>
                <w:sz w:val="18"/>
                <w:szCs w:val="18"/>
                <w:lang w:val="en-GB"/>
              </w:rPr>
              <w:t>.</w:t>
            </w:r>
          </w:p>
        </w:tc>
      </w:tr>
      <w:tr w:rsidR="00302BFE" w:rsidRPr="006E490C" w14:paraId="7B3C19B6"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tcPr>
          <w:p w14:paraId="0E0EF93A" w14:textId="0052AB9C"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lastRenderedPageBreak/>
              <w:t>2</w:t>
            </w:r>
            <w:r w:rsidR="00D45B3D">
              <w:rPr>
                <w:rFonts w:eastAsia="Times New Roman" w:cs="Calibri"/>
                <w:i/>
                <w:iCs/>
                <w:sz w:val="18"/>
                <w:szCs w:val="18"/>
                <w:lang w:val="en-GB"/>
              </w:rPr>
              <w:t>4</w:t>
            </w:r>
          </w:p>
        </w:tc>
        <w:tc>
          <w:tcPr>
            <w:tcW w:w="13687" w:type="dxa"/>
            <w:tcBorders>
              <w:top w:val="single" w:sz="4" w:space="0" w:color="auto"/>
              <w:left w:val="single" w:sz="4" w:space="0" w:color="auto"/>
              <w:bottom w:val="single" w:sz="4" w:space="0" w:color="auto"/>
              <w:right w:val="single" w:sz="4" w:space="0" w:color="auto"/>
            </w:tcBorders>
          </w:tcPr>
          <w:p w14:paraId="6F7BCB88" w14:textId="77777777" w:rsidR="00302BFE" w:rsidRPr="006E490C" w:rsidRDefault="00302BFE" w:rsidP="00243B15">
            <w:pPr>
              <w:spacing w:before="40" w:after="40"/>
              <w:rPr>
                <w:rFonts w:eastAsia="Times New Roman" w:cs="Calibri"/>
                <w:sz w:val="18"/>
                <w:szCs w:val="18"/>
                <w:lang w:val="en-GB"/>
              </w:rPr>
            </w:pPr>
            <w:r w:rsidRPr="006E490C">
              <w:rPr>
                <w:rFonts w:cs="Calibri"/>
                <w:sz w:val="18"/>
                <w:szCs w:val="18"/>
                <w:lang w:val="en-CA"/>
              </w:rPr>
              <w:t>Mission expenses / periodic monitoring and technical support for component 2 activities by UNDP staff @ $2,000 / year. Total cost $12,000.</w:t>
            </w:r>
          </w:p>
        </w:tc>
      </w:tr>
      <w:tr w:rsidR="00302BFE" w:rsidRPr="006E490C" w14:paraId="274435C1"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tcPr>
          <w:p w14:paraId="4BB35E51" w14:textId="312D4064"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2</w:t>
            </w:r>
            <w:r w:rsidR="00D45B3D">
              <w:rPr>
                <w:rFonts w:eastAsia="Times New Roman" w:cs="Calibri"/>
                <w:i/>
                <w:iCs/>
                <w:sz w:val="18"/>
                <w:szCs w:val="18"/>
                <w:lang w:val="en-GB"/>
              </w:rPr>
              <w:t>5</w:t>
            </w:r>
          </w:p>
        </w:tc>
        <w:tc>
          <w:tcPr>
            <w:tcW w:w="13687" w:type="dxa"/>
            <w:tcBorders>
              <w:top w:val="single" w:sz="4" w:space="0" w:color="auto"/>
              <w:left w:val="single" w:sz="4" w:space="0" w:color="auto"/>
              <w:bottom w:val="single" w:sz="4" w:space="0" w:color="auto"/>
              <w:right w:val="single" w:sz="4" w:space="0" w:color="auto"/>
            </w:tcBorders>
          </w:tcPr>
          <w:p w14:paraId="3B36255D"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Budget reserve for possible fee adjustments based on the recruitment method for contracts under component 2 @ $ $7,500/year for years 2 to 6. Total amount $ 37,500</w:t>
            </w:r>
          </w:p>
        </w:tc>
      </w:tr>
      <w:tr w:rsidR="00302BFE" w:rsidRPr="006E490C" w14:paraId="63CF038B"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tcPr>
          <w:p w14:paraId="7ECF0633" w14:textId="5AA44254"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2</w:t>
            </w:r>
            <w:r w:rsidR="00D45B3D">
              <w:rPr>
                <w:rFonts w:eastAsia="Times New Roman" w:cs="Calibri"/>
                <w:i/>
                <w:iCs/>
                <w:sz w:val="18"/>
                <w:szCs w:val="18"/>
                <w:lang w:val="en-GB"/>
              </w:rPr>
              <w:t>6</w:t>
            </w:r>
          </w:p>
        </w:tc>
        <w:tc>
          <w:tcPr>
            <w:tcW w:w="13687" w:type="dxa"/>
            <w:tcBorders>
              <w:top w:val="single" w:sz="4" w:space="0" w:color="auto"/>
              <w:left w:val="single" w:sz="4" w:space="0" w:color="auto"/>
              <w:bottom w:val="single" w:sz="4" w:space="0" w:color="auto"/>
              <w:right w:val="single" w:sz="4" w:space="0" w:color="auto"/>
            </w:tcBorders>
          </w:tcPr>
          <w:p w14:paraId="672DD19B" w14:textId="77777777" w:rsidR="00302BFE" w:rsidRPr="006E490C" w:rsidRDefault="00302BFE" w:rsidP="00243B15">
            <w:pPr>
              <w:spacing w:before="40" w:after="40"/>
              <w:rPr>
                <w:rFonts w:eastAsia="Times New Roman" w:cs="Calibri"/>
                <w:sz w:val="18"/>
                <w:szCs w:val="18"/>
                <w:lang w:val="en-GB"/>
              </w:rPr>
            </w:pPr>
            <w:r w:rsidRPr="006E490C">
              <w:rPr>
                <w:rFonts w:cs="Calibri"/>
                <w:sz w:val="18"/>
                <w:szCs w:val="18"/>
                <w:lang w:val="en-CA"/>
              </w:rPr>
              <w:t>Budgetary reserve for possible contribution to the rental of the office of the PCU and to the acquisition of equipment and furniture, necessary for the conduct of the interventions under component 2 @ 3,000 / year for the years 1 to 6. Total cost: $ 18,000.</w:t>
            </w:r>
          </w:p>
        </w:tc>
      </w:tr>
      <w:tr w:rsidR="00302BFE" w:rsidRPr="006E490C" w14:paraId="695CBE35" w14:textId="77777777" w:rsidTr="004F4EA2">
        <w:trPr>
          <w:jc w:val="center"/>
        </w:trPr>
        <w:tc>
          <w:tcPr>
            <w:tcW w:w="14390" w:type="dxa"/>
            <w:gridSpan w:val="2"/>
            <w:tcBorders>
              <w:top w:val="single" w:sz="4" w:space="0" w:color="auto"/>
              <w:left w:val="single" w:sz="4" w:space="0" w:color="auto"/>
              <w:bottom w:val="single" w:sz="4" w:space="0" w:color="auto"/>
              <w:right w:val="single" w:sz="4" w:space="0" w:color="auto"/>
            </w:tcBorders>
            <w:shd w:val="clear" w:color="auto" w:fill="DEEAF6"/>
            <w:hideMark/>
          </w:tcPr>
          <w:p w14:paraId="17C7DC57" w14:textId="77777777" w:rsidR="00302BFE" w:rsidRPr="006E490C" w:rsidRDefault="00302BFE" w:rsidP="00243B15">
            <w:pPr>
              <w:spacing w:before="40" w:after="40"/>
              <w:rPr>
                <w:rFonts w:eastAsia="Times New Roman" w:cs="Calibri"/>
                <w:b/>
                <w:sz w:val="18"/>
                <w:szCs w:val="18"/>
                <w:lang w:val="en-GB"/>
              </w:rPr>
            </w:pPr>
            <w:r w:rsidRPr="006E490C">
              <w:rPr>
                <w:b/>
                <w:sz w:val="18"/>
                <w:szCs w:val="18"/>
                <w:lang w:val="en-GB"/>
              </w:rPr>
              <w:t>Component 3. Sustainable land management and livelihood diversification</w:t>
            </w:r>
          </w:p>
        </w:tc>
      </w:tr>
      <w:tr w:rsidR="00302BFE" w:rsidRPr="006E490C" w14:paraId="5F4F09E6"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25F9F7D5" w14:textId="66C9C0D1"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2</w:t>
            </w:r>
            <w:r w:rsidR="00D45B3D">
              <w:rPr>
                <w:rFonts w:eastAsia="Times New Roman" w:cs="Calibri"/>
                <w:i/>
                <w:iCs/>
                <w:sz w:val="18"/>
                <w:szCs w:val="18"/>
                <w:lang w:val="en-GB"/>
              </w:rPr>
              <w:t>7</w:t>
            </w:r>
          </w:p>
        </w:tc>
        <w:tc>
          <w:tcPr>
            <w:tcW w:w="13687" w:type="dxa"/>
            <w:tcBorders>
              <w:top w:val="single" w:sz="4" w:space="0" w:color="auto"/>
              <w:left w:val="single" w:sz="4" w:space="0" w:color="auto"/>
              <w:bottom w:val="single" w:sz="4" w:space="0" w:color="auto"/>
              <w:right w:val="single" w:sz="4" w:space="0" w:color="auto"/>
            </w:tcBorders>
            <w:hideMark/>
          </w:tcPr>
          <w:p w14:paraId="01A57489"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t>a) Expert in marketing local products to develop a marketing strategy for cooperatives and products developed within the PONASI landscape, including the design of a distinctive label (output 3.3.7). Rate: $ 3,500 / week for 3 weeks in year 4. Total cost: $ 10,500.</w:t>
            </w:r>
          </w:p>
          <w:p w14:paraId="43744A31"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t>(b) PA-related tourism expert to review the national legislative and policy framework for tourism development in PAs and the PONASI landscape, as well as to develop the tourism strategy for the PONASI landscape (Output 3.4.1), including tourism licenses and registration; to make recommendations to improve business practices and framework; perform financial analyses, markets and offers, as well as enabling context analysis (especially in terms of visitor safety); oversee the development of the capacity building program (Output 3.4.3); and overseeing the development of tourism products (Output 3.4.5). Rate: $ 3,500 / week for 12 weeks in years 2, 3, 4. Total cost: $ 42,000.</w:t>
            </w:r>
          </w:p>
        </w:tc>
      </w:tr>
      <w:tr w:rsidR="00302BFE" w:rsidRPr="006E490C" w14:paraId="5AC8C973"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763BA886" w14:textId="71DBF78F"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2</w:t>
            </w:r>
            <w:r w:rsidR="00D45B3D">
              <w:rPr>
                <w:rFonts w:eastAsia="Times New Roman" w:cs="Calibri"/>
                <w:i/>
                <w:iCs/>
                <w:sz w:val="18"/>
                <w:szCs w:val="18"/>
                <w:lang w:val="en-GB"/>
              </w:rPr>
              <w:t>8</w:t>
            </w:r>
          </w:p>
        </w:tc>
        <w:tc>
          <w:tcPr>
            <w:tcW w:w="13687" w:type="dxa"/>
            <w:tcBorders>
              <w:top w:val="single" w:sz="4" w:space="0" w:color="auto"/>
              <w:left w:val="single" w:sz="4" w:space="0" w:color="auto"/>
              <w:bottom w:val="single" w:sz="4" w:space="0" w:color="auto"/>
              <w:right w:val="single" w:sz="4" w:space="0" w:color="auto"/>
            </w:tcBorders>
            <w:hideMark/>
          </w:tcPr>
          <w:p w14:paraId="69BD1310"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t>a) Forest ecologist to assess CAFs in collaboration with a socio-economist and to update CAF management plans (Output 3.2.3); to support the development of simplified zoning plans for community forests (Output 3.2.1) in close collaboration with technical services; to make recommendations for sustainable financing of forest management operations; identify good practices for community forest management, restoration of degraded areas using ANR, sustainable collection of NTFPs and the drafting of thematic learning materials (6 months during the 2</w:t>
            </w:r>
            <w:r w:rsidRPr="006E490C">
              <w:rPr>
                <w:rFonts w:eastAsia="Times New Roman" w:cs="Calibri"/>
                <w:sz w:val="18"/>
                <w:szCs w:val="18"/>
                <w:vertAlign w:val="superscript"/>
                <w:lang w:val="en-GB"/>
              </w:rPr>
              <w:t>nd</w:t>
            </w:r>
            <w:r w:rsidRPr="006E490C">
              <w:rPr>
                <w:rFonts w:eastAsia="Times New Roman" w:cs="Calibri"/>
                <w:sz w:val="18"/>
                <w:szCs w:val="18"/>
                <w:lang w:val="en-GB"/>
              </w:rPr>
              <w:t xml:space="preserve"> year); responsible for participatory rapid assessment of the state of land resources (biodiversity, soil, water) in the 15 pilot sites (output 3.1.1) and for the development of action plans (output 3.1.2) (4 months in the 2</w:t>
            </w:r>
            <w:r w:rsidRPr="006E490C">
              <w:rPr>
                <w:rFonts w:eastAsia="Times New Roman" w:cs="Calibri"/>
                <w:sz w:val="18"/>
                <w:szCs w:val="18"/>
                <w:vertAlign w:val="superscript"/>
                <w:lang w:val="en-GB"/>
              </w:rPr>
              <w:t>nd</w:t>
            </w:r>
            <w:r w:rsidRPr="006E490C">
              <w:rPr>
                <w:rFonts w:eastAsia="Times New Roman" w:cs="Calibri"/>
                <w:sz w:val="18"/>
                <w:szCs w:val="18"/>
                <w:lang w:val="en-GB"/>
              </w:rPr>
              <w:t xml:space="preserve"> year), and responsible for the identification and delineation of shea production zones in corridors 1 and 2 (forest inventories); training members of cooperatives in the maintenance of certified areas, sustainable collection of natural resources, ANR techniques and the planting and maintenance of seedlings in identified areas; the development of management tools for NTFP production areas (management rules, development plan, specifications); and proposal of a strategy for the valorisation of NTFPs under the REDD+ mechanism and other "green" financing mechanisms (Output 3.3.5) (6 months in year 3). Rate: $ </w:t>
            </w:r>
            <w:r>
              <w:rPr>
                <w:rFonts w:eastAsia="Times New Roman" w:cs="Calibri"/>
                <w:sz w:val="18"/>
                <w:szCs w:val="18"/>
                <w:lang w:val="en-GB"/>
              </w:rPr>
              <w:t>2</w:t>
            </w:r>
            <w:r w:rsidRPr="006E490C">
              <w:rPr>
                <w:rFonts w:eastAsia="Times New Roman" w:cs="Calibri"/>
                <w:sz w:val="18"/>
                <w:szCs w:val="18"/>
                <w:lang w:val="en-GB"/>
              </w:rPr>
              <w:t>,</w:t>
            </w:r>
            <w:r>
              <w:rPr>
                <w:rFonts w:eastAsia="Times New Roman" w:cs="Calibri"/>
                <w:sz w:val="18"/>
                <w:szCs w:val="18"/>
                <w:lang w:val="en-GB"/>
              </w:rPr>
              <w:t>00</w:t>
            </w:r>
            <w:r w:rsidRPr="006E490C">
              <w:rPr>
                <w:rFonts w:eastAsia="Times New Roman" w:cs="Calibri"/>
                <w:sz w:val="18"/>
                <w:szCs w:val="18"/>
                <w:lang w:val="en-GB"/>
              </w:rPr>
              <w:t xml:space="preserve">0 /month for 16 months in years 2 and 3. Total cost: $ </w:t>
            </w:r>
            <w:r>
              <w:rPr>
                <w:rFonts w:eastAsia="Times New Roman" w:cs="Calibri"/>
                <w:sz w:val="18"/>
                <w:szCs w:val="18"/>
                <w:lang w:val="en-GB"/>
              </w:rPr>
              <w:t>32</w:t>
            </w:r>
            <w:r w:rsidRPr="006E490C">
              <w:rPr>
                <w:rFonts w:eastAsia="Times New Roman" w:cs="Calibri"/>
                <w:sz w:val="18"/>
                <w:szCs w:val="18"/>
                <w:lang w:val="en-GB"/>
              </w:rPr>
              <w:t>,000.</w:t>
            </w:r>
          </w:p>
          <w:p w14:paraId="15914CB8"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t xml:space="preserve">b) Socio-economist to evaluate CAF in collaboration with the forest management specialist (output 3.2.3). </w:t>
            </w:r>
            <w:r>
              <w:rPr>
                <w:rFonts w:eastAsia="Times New Roman" w:cs="Calibri"/>
                <w:sz w:val="18"/>
                <w:szCs w:val="18"/>
                <w:lang w:val="en-GB"/>
              </w:rPr>
              <w:t>Rate</w:t>
            </w:r>
            <w:r w:rsidRPr="006E490C">
              <w:rPr>
                <w:rFonts w:eastAsia="Times New Roman" w:cs="Calibri"/>
                <w:sz w:val="18"/>
                <w:szCs w:val="18"/>
                <w:lang w:val="en-GB"/>
              </w:rPr>
              <w:t xml:space="preserve">: $ </w:t>
            </w:r>
            <w:r>
              <w:rPr>
                <w:rFonts w:eastAsia="Times New Roman" w:cs="Calibri"/>
                <w:sz w:val="18"/>
                <w:szCs w:val="18"/>
                <w:lang w:val="en-GB"/>
              </w:rPr>
              <w:t>2</w:t>
            </w:r>
            <w:r w:rsidRPr="006E490C">
              <w:rPr>
                <w:rFonts w:eastAsia="Times New Roman" w:cs="Calibri"/>
                <w:sz w:val="18"/>
                <w:szCs w:val="18"/>
                <w:lang w:val="en-GB"/>
              </w:rPr>
              <w:t>,</w:t>
            </w:r>
            <w:r>
              <w:rPr>
                <w:rFonts w:eastAsia="Times New Roman" w:cs="Calibri"/>
                <w:sz w:val="18"/>
                <w:szCs w:val="18"/>
                <w:lang w:val="en-GB"/>
              </w:rPr>
              <w:t>00</w:t>
            </w:r>
            <w:r w:rsidRPr="006E490C">
              <w:rPr>
                <w:rFonts w:eastAsia="Times New Roman" w:cs="Calibri"/>
                <w:sz w:val="18"/>
                <w:szCs w:val="18"/>
                <w:lang w:val="en-GB"/>
              </w:rPr>
              <w:t>0/month for 2 months in the 2</w:t>
            </w:r>
            <w:r w:rsidRPr="006E490C">
              <w:rPr>
                <w:rFonts w:eastAsia="Times New Roman" w:cs="Calibri"/>
                <w:sz w:val="18"/>
                <w:szCs w:val="18"/>
                <w:vertAlign w:val="superscript"/>
                <w:lang w:val="en-GB"/>
              </w:rPr>
              <w:t>nd</w:t>
            </w:r>
            <w:r w:rsidRPr="006E490C">
              <w:rPr>
                <w:rFonts w:eastAsia="Times New Roman" w:cs="Calibri"/>
                <w:sz w:val="18"/>
                <w:szCs w:val="18"/>
                <w:lang w:val="en-GB"/>
              </w:rPr>
              <w:t xml:space="preserve"> year. Total cost: $ </w:t>
            </w:r>
            <w:r>
              <w:rPr>
                <w:rFonts w:eastAsia="Times New Roman" w:cs="Calibri"/>
                <w:sz w:val="18"/>
                <w:szCs w:val="18"/>
                <w:lang w:val="en-GB"/>
              </w:rPr>
              <w:t>4</w:t>
            </w:r>
            <w:r w:rsidRPr="006E490C">
              <w:rPr>
                <w:rFonts w:eastAsia="Times New Roman" w:cs="Calibri"/>
                <w:sz w:val="18"/>
                <w:szCs w:val="18"/>
                <w:lang w:val="en-GB"/>
              </w:rPr>
              <w:t>,</w:t>
            </w:r>
            <w:r>
              <w:rPr>
                <w:rFonts w:eastAsia="Times New Roman" w:cs="Calibri"/>
                <w:sz w:val="18"/>
                <w:szCs w:val="18"/>
                <w:lang w:val="en-GB"/>
              </w:rPr>
              <w:t>0</w:t>
            </w:r>
            <w:r w:rsidRPr="006E490C">
              <w:rPr>
                <w:rFonts w:eastAsia="Times New Roman" w:cs="Calibri"/>
                <w:sz w:val="18"/>
                <w:szCs w:val="18"/>
                <w:lang w:val="en-GB"/>
              </w:rPr>
              <w:t>00.</w:t>
            </w:r>
          </w:p>
          <w:p w14:paraId="0238E4A5"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t>c) CSA and pasture management specialist to assess pasture management practices in pastoral areas and make recommendations to improve pasture quality and to stop encroachment of PAs by livestock (output 3.2.2), assess pasture capacity of pastoral areas; identify good practices for the sustainable management of pastoral areas and draft thematic learning documents. (6 months during the 2</w:t>
            </w:r>
            <w:r w:rsidRPr="006E490C">
              <w:rPr>
                <w:rFonts w:eastAsia="Times New Roman" w:cs="Calibri"/>
                <w:sz w:val="18"/>
                <w:szCs w:val="18"/>
                <w:vertAlign w:val="superscript"/>
                <w:lang w:val="en-GB"/>
              </w:rPr>
              <w:t>nd</w:t>
            </w:r>
            <w:r w:rsidRPr="006E490C">
              <w:rPr>
                <w:rFonts w:eastAsia="Times New Roman" w:cs="Calibri"/>
                <w:sz w:val="18"/>
                <w:szCs w:val="18"/>
                <w:lang w:val="en-GB"/>
              </w:rPr>
              <w:t xml:space="preserve"> year), responsible for the planning and implementation of demonstration sites and farm-schools in 15 pilot sites in collaboration with local communities and </w:t>
            </w:r>
            <w:r w:rsidR="009363D6">
              <w:rPr>
                <w:rFonts w:eastAsia="Times New Roman" w:cs="Calibri"/>
                <w:sz w:val="18"/>
                <w:szCs w:val="18"/>
                <w:lang w:val="en-GB"/>
              </w:rPr>
              <w:t>commun</w:t>
            </w:r>
            <w:r w:rsidRPr="006E490C">
              <w:rPr>
                <w:rFonts w:eastAsia="Times New Roman" w:cs="Calibri"/>
                <w:sz w:val="18"/>
                <w:szCs w:val="18"/>
                <w:lang w:val="en-GB"/>
              </w:rPr>
              <w:t xml:space="preserve">al technical services (Output 3.1.3), as well as for providing guidance for the training of members of local communities. Rate: $ </w:t>
            </w:r>
            <w:r>
              <w:rPr>
                <w:rFonts w:eastAsia="Times New Roman" w:cs="Calibri"/>
                <w:sz w:val="18"/>
                <w:szCs w:val="18"/>
                <w:lang w:val="en-GB"/>
              </w:rPr>
              <w:t>2</w:t>
            </w:r>
            <w:r w:rsidRPr="006E490C">
              <w:rPr>
                <w:rFonts w:eastAsia="Times New Roman" w:cs="Calibri"/>
                <w:sz w:val="18"/>
                <w:szCs w:val="18"/>
                <w:lang w:val="en-GB"/>
              </w:rPr>
              <w:t>,</w:t>
            </w:r>
            <w:r>
              <w:rPr>
                <w:rFonts w:eastAsia="Times New Roman" w:cs="Calibri"/>
                <w:sz w:val="18"/>
                <w:szCs w:val="18"/>
                <w:lang w:val="en-GB"/>
              </w:rPr>
              <w:t>00</w:t>
            </w:r>
            <w:r w:rsidRPr="006E490C">
              <w:rPr>
                <w:rFonts w:eastAsia="Times New Roman" w:cs="Calibri"/>
                <w:sz w:val="18"/>
                <w:szCs w:val="18"/>
                <w:lang w:val="en-GB"/>
              </w:rPr>
              <w:t xml:space="preserve">0/month for 12 months </w:t>
            </w:r>
            <w:r>
              <w:rPr>
                <w:rFonts w:eastAsia="Times New Roman" w:cs="Calibri"/>
                <w:sz w:val="18"/>
                <w:szCs w:val="18"/>
                <w:lang w:val="en-GB"/>
              </w:rPr>
              <w:t>in</w:t>
            </w:r>
            <w:r w:rsidRPr="006E490C">
              <w:rPr>
                <w:rFonts w:eastAsia="Times New Roman" w:cs="Calibri"/>
                <w:sz w:val="18"/>
                <w:szCs w:val="18"/>
                <w:lang w:val="en-GB"/>
              </w:rPr>
              <w:t xml:space="preserve"> the 2</w:t>
            </w:r>
            <w:r w:rsidRPr="006E490C">
              <w:rPr>
                <w:rFonts w:eastAsia="Times New Roman" w:cs="Calibri"/>
                <w:sz w:val="18"/>
                <w:szCs w:val="18"/>
                <w:vertAlign w:val="superscript"/>
                <w:lang w:val="en-GB"/>
              </w:rPr>
              <w:t>nd</w:t>
            </w:r>
            <w:r w:rsidRPr="006E490C">
              <w:rPr>
                <w:rFonts w:eastAsia="Times New Roman" w:cs="Calibri"/>
                <w:sz w:val="18"/>
                <w:szCs w:val="18"/>
                <w:lang w:val="en-GB"/>
              </w:rPr>
              <w:t xml:space="preserve"> year. Total cost: $ 2</w:t>
            </w:r>
            <w:r>
              <w:rPr>
                <w:rFonts w:eastAsia="Times New Roman" w:cs="Calibri"/>
                <w:sz w:val="18"/>
                <w:szCs w:val="18"/>
                <w:lang w:val="en-GB"/>
              </w:rPr>
              <w:t>4</w:t>
            </w:r>
            <w:r w:rsidRPr="006E490C">
              <w:rPr>
                <w:rFonts w:eastAsia="Times New Roman" w:cs="Calibri"/>
                <w:sz w:val="18"/>
                <w:szCs w:val="18"/>
                <w:lang w:val="en-GB"/>
              </w:rPr>
              <w:t>,000.</w:t>
            </w:r>
          </w:p>
          <w:p w14:paraId="5BA85173"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lastRenderedPageBreak/>
              <w:t xml:space="preserve">d) Specialist in community development to help local producers, </w:t>
            </w:r>
            <w:proofErr w:type="gramStart"/>
            <w:r w:rsidRPr="006E490C">
              <w:rPr>
                <w:rFonts w:eastAsia="Times New Roman" w:cs="Calibri"/>
                <w:sz w:val="18"/>
                <w:szCs w:val="18"/>
                <w:lang w:val="en-GB"/>
              </w:rPr>
              <w:t>men</w:t>
            </w:r>
            <w:proofErr w:type="gramEnd"/>
            <w:r w:rsidRPr="006E490C">
              <w:rPr>
                <w:rFonts w:eastAsia="Times New Roman" w:cs="Calibri"/>
                <w:sz w:val="18"/>
                <w:szCs w:val="18"/>
                <w:lang w:val="en-GB"/>
              </w:rPr>
              <w:t xml:space="preserve"> and women, to set up 4 cooperatives and to train them in the management of a cooperative (output 3.3.3). Rate: </w:t>
            </w:r>
            <w:r>
              <w:rPr>
                <w:rFonts w:eastAsia="Times New Roman" w:cs="Calibri"/>
                <w:sz w:val="18"/>
                <w:szCs w:val="18"/>
                <w:lang w:val="en-GB"/>
              </w:rPr>
              <w:t>$2</w:t>
            </w:r>
            <w:r w:rsidRPr="006E490C">
              <w:rPr>
                <w:rFonts w:eastAsia="Times New Roman" w:cs="Calibri"/>
                <w:sz w:val="18"/>
                <w:szCs w:val="18"/>
                <w:lang w:val="en-GB"/>
              </w:rPr>
              <w:t>,</w:t>
            </w:r>
            <w:r>
              <w:rPr>
                <w:rFonts w:eastAsia="Times New Roman" w:cs="Calibri"/>
                <w:sz w:val="18"/>
                <w:szCs w:val="18"/>
                <w:lang w:val="en-GB"/>
              </w:rPr>
              <w:t>00</w:t>
            </w:r>
            <w:r w:rsidRPr="006E490C">
              <w:rPr>
                <w:rFonts w:eastAsia="Times New Roman" w:cs="Calibri"/>
                <w:sz w:val="18"/>
                <w:szCs w:val="18"/>
                <w:lang w:val="en-GB"/>
              </w:rPr>
              <w:t xml:space="preserve">0 /month for 3 months in year 3. Total cost: $ </w:t>
            </w:r>
            <w:r>
              <w:rPr>
                <w:rFonts w:eastAsia="Times New Roman" w:cs="Calibri"/>
                <w:sz w:val="18"/>
                <w:szCs w:val="18"/>
                <w:lang w:val="en-GB"/>
              </w:rPr>
              <w:t>6</w:t>
            </w:r>
            <w:r w:rsidRPr="006E490C">
              <w:rPr>
                <w:rFonts w:eastAsia="Times New Roman" w:cs="Calibri"/>
                <w:sz w:val="18"/>
                <w:szCs w:val="18"/>
                <w:lang w:val="en-GB"/>
              </w:rPr>
              <w:t>,</w:t>
            </w:r>
            <w:r>
              <w:rPr>
                <w:rFonts w:eastAsia="Times New Roman" w:cs="Calibri"/>
                <w:sz w:val="18"/>
                <w:szCs w:val="18"/>
                <w:lang w:val="en-GB"/>
              </w:rPr>
              <w:t>00</w:t>
            </w:r>
            <w:r w:rsidRPr="006E490C">
              <w:rPr>
                <w:rFonts w:eastAsia="Times New Roman" w:cs="Calibri"/>
                <w:sz w:val="18"/>
                <w:szCs w:val="18"/>
                <w:lang w:val="en-GB"/>
              </w:rPr>
              <w:t>0</w:t>
            </w:r>
          </w:p>
          <w:p w14:paraId="63499BDE"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t xml:space="preserve">e) Specialist in the processing of NTFPs (honey, juice, shea butter) for the training and mentoring of members of NTFP processing cooperatives to promote good production, processing and conservation practices based on hygiene, </w:t>
            </w:r>
            <w:proofErr w:type="gramStart"/>
            <w:r w:rsidRPr="006E490C">
              <w:rPr>
                <w:rFonts w:eastAsia="Times New Roman" w:cs="Calibri"/>
                <w:sz w:val="18"/>
                <w:szCs w:val="18"/>
                <w:lang w:val="en-GB"/>
              </w:rPr>
              <w:t>safety</w:t>
            </w:r>
            <w:proofErr w:type="gramEnd"/>
            <w:r w:rsidRPr="006E490C">
              <w:rPr>
                <w:rFonts w:eastAsia="Times New Roman" w:cs="Calibri"/>
                <w:sz w:val="18"/>
                <w:szCs w:val="18"/>
                <w:lang w:val="en-GB"/>
              </w:rPr>
              <w:t xml:space="preserve"> and quality of products (output 3.3.4). Rate: $ 2,000 / month for 6 months in year 3. Total cost: $ 12,000.</w:t>
            </w:r>
          </w:p>
          <w:p w14:paraId="19ED847E"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t>f) PA-related tourism specialist to assist the international tourism expert in overseeing all of the tasks under Output 3.4, including the gathering of information to support the development of the tourism strategy, to undertake financial, market and procurement analyses to support the development and implementation of the capacity building program (output 3.4.3); supervise and manage the business concept competition (output 3.4.4) and gather information for the development of tourism products (output 3.4.5). Rate: $2,000/month for 12 months over years 3, 4, 5. Total cost: $ 24,000.</w:t>
            </w:r>
          </w:p>
          <w:p w14:paraId="48009E61"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t xml:space="preserve">g) Expert in microenterprise and microfinance development to support a gender-sensitive market analysis of NTFP tourism enterprises and value chains (Outcome 3.3.1); identify microfinance opportunities for microenterprise development in tourism value chains and NTFPs; provide guidance and provide training in microenterprise development and management for market access (Outcome 3.3.4); assist micro-enterprises in developing business development plans (outcome 3.3.4) and provide advice during the early stages of microenterprise development; and support the participatory development of a label for PONASI products (Outcome 3.3.7). </w:t>
            </w:r>
            <w:r>
              <w:rPr>
                <w:rFonts w:eastAsia="Times New Roman" w:cs="Calibri"/>
                <w:sz w:val="18"/>
                <w:szCs w:val="18"/>
                <w:lang w:val="en-GB"/>
              </w:rPr>
              <w:t>Rate</w:t>
            </w:r>
            <w:r w:rsidRPr="006E490C">
              <w:rPr>
                <w:rFonts w:eastAsia="Times New Roman" w:cs="Calibri"/>
                <w:sz w:val="18"/>
                <w:szCs w:val="18"/>
                <w:lang w:val="en-GB"/>
              </w:rPr>
              <w:t>: $ 2,000/month over 12 months in years 4 and 5. Total cost: $ 24,000.</w:t>
            </w:r>
          </w:p>
        </w:tc>
      </w:tr>
      <w:tr w:rsidR="00302BFE" w:rsidRPr="000F3E75" w14:paraId="1C19A4CD"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63E5354A" w14:textId="47AFB5C2" w:rsidR="00302BFE" w:rsidRPr="006E490C" w:rsidRDefault="00D45B3D" w:rsidP="00243B15">
            <w:pPr>
              <w:spacing w:before="40" w:after="40"/>
              <w:jc w:val="center"/>
              <w:rPr>
                <w:rFonts w:eastAsia="Times New Roman" w:cs="Calibri"/>
                <w:i/>
                <w:iCs/>
                <w:sz w:val="18"/>
                <w:szCs w:val="18"/>
                <w:lang w:val="en-GB"/>
              </w:rPr>
            </w:pPr>
            <w:r>
              <w:rPr>
                <w:rFonts w:eastAsia="Times New Roman" w:cs="Calibri"/>
                <w:i/>
                <w:iCs/>
                <w:sz w:val="18"/>
                <w:szCs w:val="18"/>
                <w:lang w:val="en-GB"/>
              </w:rPr>
              <w:lastRenderedPageBreak/>
              <w:t>29</w:t>
            </w:r>
          </w:p>
        </w:tc>
        <w:tc>
          <w:tcPr>
            <w:tcW w:w="13687" w:type="dxa"/>
            <w:tcBorders>
              <w:top w:val="single" w:sz="4" w:space="0" w:color="auto"/>
              <w:left w:val="single" w:sz="4" w:space="0" w:color="auto"/>
              <w:bottom w:val="single" w:sz="4" w:space="0" w:color="auto"/>
              <w:right w:val="single" w:sz="4" w:space="0" w:color="auto"/>
            </w:tcBorders>
            <w:hideMark/>
          </w:tcPr>
          <w:p w14:paraId="6B3A4307"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t>a) Project coordinator (20% of time for the component) responsible for providing technical inputs to various outputs under the component 3, especially the outputs 3.1 related to the communities’ implementation of SLM practices and 3.2 for the improvement of natural resources in forests and pastoral areas. $400 / month over 6 years. Total cost: $ 28,800.</w:t>
            </w:r>
          </w:p>
          <w:p w14:paraId="352A5A01"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t>b) Project driver / logistician (25% for the component) to support component 3 of the project @ $ 150 / month for 70 months - Total cost: $ 13,125</w:t>
            </w:r>
          </w:p>
          <w:p w14:paraId="34CBB8F2" w14:textId="77777777" w:rsidR="00302BFE" w:rsidRPr="00E03056" w:rsidRDefault="00302BFE" w:rsidP="00243B15">
            <w:pPr>
              <w:tabs>
                <w:tab w:val="left" w:pos="226"/>
              </w:tabs>
              <w:spacing w:before="40" w:after="40"/>
              <w:rPr>
                <w:rFonts w:eastAsia="Times New Roman" w:cs="Calibri"/>
                <w:sz w:val="18"/>
                <w:szCs w:val="18"/>
                <w:lang w:val="en-GB"/>
              </w:rPr>
            </w:pPr>
            <w:r w:rsidRPr="00E03056">
              <w:rPr>
                <w:rFonts w:eastAsia="Times New Roman" w:cs="Calibri"/>
                <w:sz w:val="18"/>
                <w:szCs w:val="18"/>
                <w:lang w:val="en-GB"/>
              </w:rPr>
              <w:t>c) Gender specialist for overseeing gender mainstreaming under component 3 and monitoring the implementation of the gender action plan (10% for the component). Annual cost: $ 1,050 in years 1 to 6. Total cost: $ 6,300</w:t>
            </w:r>
          </w:p>
          <w:p w14:paraId="0682FAED" w14:textId="77777777" w:rsidR="00302BFE" w:rsidRPr="006E490C" w:rsidRDefault="00302BFE" w:rsidP="00243B15">
            <w:pPr>
              <w:tabs>
                <w:tab w:val="left" w:pos="226"/>
              </w:tabs>
              <w:spacing w:before="40" w:after="40"/>
              <w:rPr>
                <w:rFonts w:eastAsia="Times New Roman" w:cs="Calibri"/>
                <w:sz w:val="18"/>
                <w:szCs w:val="18"/>
                <w:lang w:val="en-GB"/>
              </w:rPr>
            </w:pPr>
            <w:r w:rsidRPr="00E03056">
              <w:rPr>
                <w:rFonts w:eastAsia="Times New Roman" w:cs="Calibri"/>
                <w:sz w:val="18"/>
                <w:szCs w:val="18"/>
                <w:lang w:val="en-GB"/>
              </w:rPr>
              <w:t>d) Communication /knowledge management expert (10% for the component) for the development and implementation of the project communication strategy in support of project component 3. Annual cost: $ 1,050 in years 1 to 6. Total cost: $ 6,300</w:t>
            </w:r>
          </w:p>
          <w:p w14:paraId="69E115DC"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t xml:space="preserve">e) Community mobilization assistants (2) to provide local support to project experts and specialists and to the activities implemented with local communities under component 3, </w:t>
            </w:r>
            <w:proofErr w:type="gramStart"/>
            <w:r w:rsidRPr="006E490C">
              <w:rPr>
                <w:rFonts w:eastAsia="Times New Roman" w:cs="Calibri"/>
                <w:sz w:val="18"/>
                <w:szCs w:val="18"/>
                <w:lang w:val="en-GB"/>
              </w:rPr>
              <w:t>in particular to</w:t>
            </w:r>
            <w:proofErr w:type="gramEnd"/>
            <w:r w:rsidRPr="006E490C">
              <w:rPr>
                <w:rFonts w:eastAsia="Times New Roman" w:cs="Calibri"/>
                <w:sz w:val="18"/>
                <w:szCs w:val="18"/>
                <w:lang w:val="en-GB"/>
              </w:rPr>
              <w:t xml:space="preserve"> raise local communities’ awareness and promote their engagement for sustainable </w:t>
            </w:r>
            <w:proofErr w:type="spellStart"/>
            <w:r w:rsidRPr="006E490C">
              <w:rPr>
                <w:rFonts w:eastAsia="Times New Roman" w:cs="Calibri"/>
                <w:sz w:val="18"/>
                <w:szCs w:val="18"/>
                <w:lang w:val="en-GB"/>
              </w:rPr>
              <w:t>agro</w:t>
            </w:r>
            <w:proofErr w:type="spellEnd"/>
            <w:r w:rsidRPr="006E490C">
              <w:rPr>
                <w:rFonts w:eastAsia="Times New Roman" w:cs="Calibri"/>
                <w:sz w:val="18"/>
                <w:szCs w:val="18"/>
                <w:lang w:val="en-GB"/>
              </w:rPr>
              <w:t>-pastoral practices in close collaboration with the gender specialist of the project to ensure the active participation of women. Rate: $ 1,000 / month for 36 months each in years 2, 3, 4, 5. Total cost: $ 72,000</w:t>
            </w:r>
          </w:p>
          <w:p w14:paraId="7B1088DD"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t xml:space="preserve">f) Field Assistants (2) to assist in the development and maintenance of demonstration sites and farm schools under the direction of the climate-smart agriculture expert, and to assist in the on-site training of members of the local community. </w:t>
            </w:r>
            <w:r>
              <w:rPr>
                <w:rFonts w:eastAsia="Times New Roman" w:cs="Calibri"/>
                <w:sz w:val="18"/>
                <w:szCs w:val="18"/>
                <w:lang w:val="en-GB"/>
              </w:rPr>
              <w:t>Rate</w:t>
            </w:r>
            <w:r w:rsidRPr="006E490C">
              <w:rPr>
                <w:rFonts w:eastAsia="Times New Roman" w:cs="Calibri"/>
                <w:sz w:val="18"/>
                <w:szCs w:val="18"/>
                <w:lang w:val="en-GB"/>
              </w:rPr>
              <w:t>: $ 1000 / month for 18 months (each) over 3 years. Total cost: $ 36,000</w:t>
            </w:r>
          </w:p>
          <w:p w14:paraId="445F6E5C"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t xml:space="preserve">g) Website designer to design a website to promote the PONASI landscape as a tourism destination, related to protected areas, </w:t>
            </w:r>
            <w:proofErr w:type="gramStart"/>
            <w:r w:rsidRPr="006E490C">
              <w:rPr>
                <w:rFonts w:eastAsia="Times New Roman" w:cs="Calibri"/>
                <w:sz w:val="18"/>
                <w:szCs w:val="18"/>
                <w:lang w:val="en-GB"/>
              </w:rPr>
              <w:t>biodiversity</w:t>
            </w:r>
            <w:proofErr w:type="gramEnd"/>
            <w:r w:rsidRPr="006E490C">
              <w:rPr>
                <w:rFonts w:eastAsia="Times New Roman" w:cs="Calibri"/>
                <w:sz w:val="18"/>
                <w:szCs w:val="18"/>
                <w:lang w:val="en-GB"/>
              </w:rPr>
              <w:t xml:space="preserve"> and cultural assets (output 3.4.5). Rate: $7,500 in the 4</w:t>
            </w:r>
            <w:r w:rsidRPr="006E490C">
              <w:rPr>
                <w:rFonts w:eastAsia="Times New Roman" w:cs="Calibri"/>
                <w:sz w:val="18"/>
                <w:szCs w:val="18"/>
                <w:vertAlign w:val="superscript"/>
                <w:lang w:val="en-GB"/>
              </w:rPr>
              <w:t>th</w:t>
            </w:r>
            <w:r w:rsidRPr="006E490C">
              <w:rPr>
                <w:rFonts w:eastAsia="Times New Roman" w:cs="Calibri"/>
                <w:sz w:val="18"/>
                <w:szCs w:val="18"/>
                <w:lang w:val="en-GB"/>
              </w:rPr>
              <w:t xml:space="preserve"> year, paid as a lump sum based on the deliverables. Total cost: $ 7,500</w:t>
            </w:r>
          </w:p>
        </w:tc>
      </w:tr>
      <w:tr w:rsidR="00302BFE" w:rsidRPr="006E490C" w14:paraId="6374885D"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1ED41D19" w14:textId="4119B544" w:rsidR="00302BFE" w:rsidRPr="006E490C" w:rsidRDefault="002444C5" w:rsidP="00243B15">
            <w:pPr>
              <w:spacing w:before="40" w:after="40"/>
              <w:jc w:val="center"/>
              <w:rPr>
                <w:rFonts w:eastAsia="Times New Roman" w:cs="Calibri"/>
                <w:i/>
                <w:iCs/>
                <w:sz w:val="18"/>
                <w:szCs w:val="18"/>
                <w:lang w:val="en-GB"/>
              </w:rPr>
            </w:pPr>
            <w:r>
              <w:rPr>
                <w:rFonts w:eastAsia="Times New Roman" w:cs="Calibri"/>
                <w:i/>
                <w:iCs/>
                <w:sz w:val="18"/>
                <w:szCs w:val="18"/>
                <w:lang w:val="en-GB"/>
              </w:rPr>
              <w:t>3</w:t>
            </w:r>
            <w:r w:rsidR="00D45B3D">
              <w:rPr>
                <w:rFonts w:eastAsia="Times New Roman" w:cs="Calibri"/>
                <w:i/>
                <w:iCs/>
                <w:sz w:val="18"/>
                <w:szCs w:val="18"/>
                <w:lang w:val="en-GB"/>
              </w:rPr>
              <w:t>0</w:t>
            </w:r>
          </w:p>
        </w:tc>
        <w:tc>
          <w:tcPr>
            <w:tcW w:w="13687" w:type="dxa"/>
            <w:tcBorders>
              <w:top w:val="single" w:sz="4" w:space="0" w:color="auto"/>
              <w:left w:val="single" w:sz="4" w:space="0" w:color="auto"/>
              <w:bottom w:val="single" w:sz="4" w:space="0" w:color="auto"/>
              <w:right w:val="single" w:sz="4" w:space="0" w:color="auto"/>
            </w:tcBorders>
            <w:hideMark/>
          </w:tcPr>
          <w:p w14:paraId="6C85F238" w14:textId="7F814BFC" w:rsidR="00302BFE" w:rsidRPr="006E490C" w:rsidRDefault="00CF30FD" w:rsidP="00243B15">
            <w:pPr>
              <w:spacing w:before="40" w:after="40"/>
              <w:rPr>
                <w:rFonts w:eastAsia="Times New Roman" w:cs="Calibri"/>
                <w:sz w:val="18"/>
                <w:szCs w:val="18"/>
                <w:lang w:val="en-GB"/>
              </w:rPr>
            </w:pPr>
            <w:r>
              <w:rPr>
                <w:rFonts w:eastAsia="Times New Roman" w:cs="Calibri"/>
                <w:sz w:val="18"/>
                <w:szCs w:val="18"/>
                <w:lang w:val="en-GB"/>
              </w:rPr>
              <w:t>a</w:t>
            </w:r>
            <w:r w:rsidR="00302BFE" w:rsidRPr="006E490C">
              <w:rPr>
                <w:rFonts w:eastAsia="Times New Roman" w:cs="Calibri"/>
                <w:sz w:val="18"/>
                <w:szCs w:val="18"/>
                <w:lang w:val="en-GB"/>
              </w:rPr>
              <w:t>) Lump sum (shared between all components) for fuel purchase and vehicle maintenance of the Project Coordination Unit to be used for most field missions (consultants and PCU staff) as well as for motorcycles for the travel of technical assistants and community mobilization assistants @ $ 1,500 / year. Total cost: $ 9,000</w:t>
            </w:r>
          </w:p>
          <w:p w14:paraId="69AA4B9F" w14:textId="0C07AA92" w:rsidR="00302BFE" w:rsidRPr="006E490C" w:rsidRDefault="009E19E1" w:rsidP="00243B15">
            <w:pPr>
              <w:spacing w:before="40" w:after="40"/>
              <w:rPr>
                <w:rFonts w:eastAsia="Times New Roman" w:cs="Calibri"/>
                <w:sz w:val="18"/>
                <w:szCs w:val="18"/>
                <w:lang w:val="en-GB"/>
              </w:rPr>
            </w:pPr>
            <w:r>
              <w:rPr>
                <w:rFonts w:eastAsia="Times New Roman" w:cs="Calibri"/>
                <w:sz w:val="18"/>
                <w:szCs w:val="18"/>
                <w:lang w:val="en-GB"/>
              </w:rPr>
              <w:t>b</w:t>
            </w:r>
            <w:r w:rsidR="00302BFE" w:rsidRPr="006E490C">
              <w:rPr>
                <w:rFonts w:eastAsia="Times New Roman" w:cs="Calibri"/>
                <w:sz w:val="18"/>
                <w:szCs w:val="18"/>
                <w:lang w:val="en-GB"/>
              </w:rPr>
              <w:t>) Travel expenses for field missions to make the diagnostic of the state of the resources in the 15 pilot sites (total of 30 days) (output 3.1.1) (50% of trips made using the vehicle and UCP motorbikes and car / driver rental @ $ 200 / day for 15 days and per diem @ $ 120 / day for 30 days) during the 2</w:t>
            </w:r>
            <w:r w:rsidR="00302BFE" w:rsidRPr="006E490C">
              <w:rPr>
                <w:rFonts w:eastAsia="Times New Roman" w:cs="Calibri"/>
                <w:sz w:val="18"/>
                <w:szCs w:val="18"/>
                <w:vertAlign w:val="superscript"/>
                <w:lang w:val="en-GB"/>
              </w:rPr>
              <w:t>nd</w:t>
            </w:r>
            <w:r w:rsidR="00302BFE" w:rsidRPr="006E490C">
              <w:rPr>
                <w:rFonts w:eastAsia="Times New Roman" w:cs="Calibri"/>
                <w:sz w:val="18"/>
                <w:szCs w:val="18"/>
                <w:lang w:val="en-GB"/>
              </w:rPr>
              <w:t xml:space="preserve"> year. Total cost: $ 6,600</w:t>
            </w:r>
          </w:p>
          <w:p w14:paraId="45240793" w14:textId="0AE0E41A" w:rsidR="00302BFE" w:rsidRPr="006E490C" w:rsidRDefault="009E19E1" w:rsidP="00243B15">
            <w:pPr>
              <w:spacing w:before="40" w:after="40"/>
              <w:rPr>
                <w:rFonts w:eastAsia="Times New Roman" w:cs="Calibri"/>
                <w:sz w:val="18"/>
                <w:szCs w:val="18"/>
                <w:lang w:val="en-GB"/>
              </w:rPr>
            </w:pPr>
            <w:r>
              <w:rPr>
                <w:rFonts w:eastAsia="Times New Roman" w:cs="Calibri"/>
                <w:sz w:val="18"/>
                <w:szCs w:val="18"/>
                <w:lang w:val="en-GB"/>
              </w:rPr>
              <w:t>c</w:t>
            </w:r>
            <w:r w:rsidR="00302BFE" w:rsidRPr="006E490C">
              <w:rPr>
                <w:rFonts w:eastAsia="Times New Roman" w:cs="Calibri"/>
                <w:sz w:val="18"/>
                <w:szCs w:val="18"/>
                <w:lang w:val="en-GB"/>
              </w:rPr>
              <w:t>) Travel costs for field missions to develop intervention and investment plans based on diagnostics at the 15 pilot sites (total of 10 days) (Output 3.1.2) (50% of trips using the vehicle and motorcycles of the UCP and car rental / driver @ $ 200 / day for 5 days and per diem @ $ 120 / day for 10 days) during the 2</w:t>
            </w:r>
            <w:r w:rsidR="00302BFE" w:rsidRPr="006E490C">
              <w:rPr>
                <w:rFonts w:eastAsia="Times New Roman" w:cs="Calibri"/>
                <w:sz w:val="18"/>
                <w:szCs w:val="18"/>
                <w:vertAlign w:val="superscript"/>
                <w:lang w:val="en-GB"/>
              </w:rPr>
              <w:t>nd</w:t>
            </w:r>
            <w:r w:rsidR="00302BFE" w:rsidRPr="006E490C">
              <w:rPr>
                <w:rFonts w:eastAsia="Times New Roman" w:cs="Calibri"/>
                <w:sz w:val="18"/>
                <w:szCs w:val="18"/>
                <w:lang w:val="en-GB"/>
              </w:rPr>
              <w:t xml:space="preserve"> year. Total cost: $ 2,200</w:t>
            </w:r>
          </w:p>
          <w:p w14:paraId="12437310" w14:textId="7C67DF05" w:rsidR="00302BFE" w:rsidRPr="006E490C" w:rsidRDefault="00CF30FD" w:rsidP="00243B15">
            <w:pPr>
              <w:spacing w:before="40" w:after="40"/>
              <w:rPr>
                <w:rFonts w:eastAsia="Times New Roman" w:cs="Calibri"/>
                <w:sz w:val="18"/>
                <w:szCs w:val="18"/>
                <w:lang w:val="en-GB"/>
              </w:rPr>
            </w:pPr>
            <w:r>
              <w:rPr>
                <w:rFonts w:eastAsia="Times New Roman" w:cs="Calibri"/>
                <w:sz w:val="18"/>
                <w:szCs w:val="18"/>
                <w:lang w:val="en-GB"/>
              </w:rPr>
              <w:t>e</w:t>
            </w:r>
            <w:r w:rsidR="00302BFE" w:rsidRPr="006E490C">
              <w:rPr>
                <w:rFonts w:eastAsia="Times New Roman" w:cs="Calibri"/>
                <w:sz w:val="18"/>
                <w:szCs w:val="18"/>
                <w:lang w:val="en-GB"/>
              </w:rPr>
              <w:t>) Travel expenses for 20 days of field by the forest management specialist for the development of participatory zoning plans of village and communal forests and forest massifs (50% of trips made using the vehicle and motorcycles of UCP and car rental / driver @ $ 200 / day for 10 days and per diem @ $ 120 / day for 20 days) during the 2</w:t>
            </w:r>
            <w:r w:rsidR="00302BFE" w:rsidRPr="006E490C">
              <w:rPr>
                <w:rFonts w:eastAsia="Times New Roman" w:cs="Calibri"/>
                <w:sz w:val="18"/>
                <w:szCs w:val="18"/>
                <w:vertAlign w:val="superscript"/>
                <w:lang w:val="en-GB"/>
              </w:rPr>
              <w:t>nd</w:t>
            </w:r>
            <w:r w:rsidR="00302BFE" w:rsidRPr="006E490C">
              <w:rPr>
                <w:rFonts w:eastAsia="Times New Roman" w:cs="Calibri"/>
                <w:sz w:val="18"/>
                <w:szCs w:val="18"/>
                <w:lang w:val="en-GB"/>
              </w:rPr>
              <w:t xml:space="preserve"> year. Total cost: $ 4,400</w:t>
            </w:r>
          </w:p>
          <w:p w14:paraId="40A1EC6D" w14:textId="14585ACD" w:rsidR="00302BFE" w:rsidRPr="006E490C" w:rsidRDefault="009E19E1" w:rsidP="00243B15">
            <w:pPr>
              <w:spacing w:before="40" w:after="40"/>
              <w:rPr>
                <w:rFonts w:eastAsia="Times New Roman" w:cs="Calibri"/>
                <w:sz w:val="18"/>
                <w:szCs w:val="18"/>
                <w:lang w:val="en-GB"/>
              </w:rPr>
            </w:pPr>
            <w:r>
              <w:rPr>
                <w:rFonts w:eastAsia="Times New Roman" w:cs="Calibri"/>
                <w:sz w:val="18"/>
                <w:szCs w:val="18"/>
                <w:lang w:val="en-GB"/>
              </w:rPr>
              <w:t>d</w:t>
            </w:r>
            <w:r w:rsidR="00302BFE" w:rsidRPr="006E490C">
              <w:rPr>
                <w:rFonts w:eastAsia="Times New Roman" w:cs="Calibri"/>
                <w:sz w:val="18"/>
                <w:szCs w:val="18"/>
                <w:lang w:val="en-GB"/>
              </w:rPr>
              <w:t>) Travel expenses for 10 days of field by the pasture management specialist for the assessment of the state of the 3 pastoral areas (50% of trips made using the vehicle and motorcycles of the PCU and rental of vehicle / driver @ 200 $ / day for 5 days and per diem @ 120 $ / day for 10 days) during the 1</w:t>
            </w:r>
            <w:r w:rsidR="00302BFE" w:rsidRPr="006E490C">
              <w:rPr>
                <w:rFonts w:eastAsia="Times New Roman" w:cs="Calibri"/>
                <w:sz w:val="18"/>
                <w:szCs w:val="18"/>
                <w:vertAlign w:val="superscript"/>
                <w:lang w:val="en-GB"/>
              </w:rPr>
              <w:t>st</w:t>
            </w:r>
            <w:r w:rsidR="00302BFE" w:rsidRPr="006E490C">
              <w:rPr>
                <w:rFonts w:eastAsia="Times New Roman" w:cs="Calibri"/>
                <w:sz w:val="18"/>
                <w:szCs w:val="18"/>
                <w:lang w:val="en-GB"/>
              </w:rPr>
              <w:t xml:space="preserve"> year, and 10 days of field for the identification of pastoral rangelands (rental of car / driver @ 200 $ / day for 5 days and per diem @ $ 120 / day for 10 days) during the 1</w:t>
            </w:r>
            <w:r w:rsidR="00302BFE" w:rsidRPr="006E490C">
              <w:rPr>
                <w:rFonts w:eastAsia="Times New Roman" w:cs="Calibri"/>
                <w:sz w:val="18"/>
                <w:szCs w:val="18"/>
                <w:vertAlign w:val="superscript"/>
                <w:lang w:val="en-GB"/>
              </w:rPr>
              <w:t>st</w:t>
            </w:r>
            <w:r w:rsidR="00302BFE" w:rsidRPr="006E490C">
              <w:rPr>
                <w:rFonts w:eastAsia="Times New Roman" w:cs="Calibri"/>
                <w:sz w:val="18"/>
                <w:szCs w:val="18"/>
                <w:lang w:val="en-GB"/>
              </w:rPr>
              <w:t xml:space="preserve"> and 2</w:t>
            </w:r>
            <w:r w:rsidR="00302BFE" w:rsidRPr="006E490C">
              <w:rPr>
                <w:rFonts w:eastAsia="Times New Roman" w:cs="Calibri"/>
                <w:sz w:val="18"/>
                <w:szCs w:val="18"/>
                <w:vertAlign w:val="superscript"/>
                <w:lang w:val="en-GB"/>
              </w:rPr>
              <w:t>nd</w:t>
            </w:r>
            <w:r w:rsidR="00302BFE" w:rsidRPr="006E490C">
              <w:rPr>
                <w:rFonts w:eastAsia="Times New Roman" w:cs="Calibri"/>
                <w:sz w:val="18"/>
                <w:szCs w:val="18"/>
                <w:lang w:val="en-GB"/>
              </w:rPr>
              <w:t xml:space="preserve"> year. Total cost: $ 4,400</w:t>
            </w:r>
          </w:p>
          <w:p w14:paraId="1EF7F39B" w14:textId="445C53F3" w:rsidR="00302BFE" w:rsidRPr="006E490C" w:rsidRDefault="009E19E1" w:rsidP="00243B15">
            <w:pPr>
              <w:spacing w:before="40" w:after="40"/>
              <w:rPr>
                <w:rFonts w:eastAsia="Times New Roman" w:cs="Calibri"/>
                <w:sz w:val="18"/>
                <w:szCs w:val="18"/>
                <w:lang w:val="en-GB"/>
              </w:rPr>
            </w:pPr>
            <w:r>
              <w:rPr>
                <w:rFonts w:eastAsia="Times New Roman" w:cs="Calibri"/>
                <w:sz w:val="18"/>
                <w:szCs w:val="18"/>
                <w:lang w:val="en-GB"/>
              </w:rPr>
              <w:t>e</w:t>
            </w:r>
            <w:r w:rsidR="00302BFE" w:rsidRPr="006E490C">
              <w:rPr>
                <w:rFonts w:eastAsia="Times New Roman" w:cs="Calibri"/>
                <w:sz w:val="18"/>
                <w:szCs w:val="18"/>
                <w:lang w:val="en-GB"/>
              </w:rPr>
              <w:t xml:space="preserve">) 6-day field trip by the forest management specialist and field assistant to update participatory management plans and zoning plans for </w:t>
            </w:r>
            <w:r w:rsidR="00302BFE">
              <w:rPr>
                <w:rFonts w:eastAsia="Times New Roman" w:cs="Calibri"/>
                <w:sz w:val="18"/>
                <w:szCs w:val="18"/>
                <w:lang w:val="en-GB"/>
              </w:rPr>
              <w:t>forest management worksites</w:t>
            </w:r>
            <w:r w:rsidR="00302BFE" w:rsidRPr="006E490C">
              <w:rPr>
                <w:rFonts w:eastAsia="Times New Roman" w:cs="Calibri"/>
                <w:sz w:val="18"/>
                <w:szCs w:val="18"/>
                <w:lang w:val="en-GB"/>
              </w:rPr>
              <w:t xml:space="preserve"> and travel expenses for participants for 75 participants (50% of trips made using the vehicle and motorcycles of the PCU and rental of vehicle / driver @ $ 200 / day for 3 days and per diem @ $ 120 / day for 6 days, 2 people + $ 350 travel fee @ $ 0.20 / km for participant travel) in year 2 (output 3.2.3). Total cost: $ 2,040</w:t>
            </w:r>
          </w:p>
          <w:p w14:paraId="29494B44" w14:textId="116851D4" w:rsidR="00302BFE" w:rsidRPr="006E490C" w:rsidRDefault="009E19E1" w:rsidP="00243B15">
            <w:pPr>
              <w:spacing w:before="40" w:after="40"/>
              <w:rPr>
                <w:rFonts w:eastAsia="Times New Roman" w:cs="Calibri"/>
                <w:sz w:val="18"/>
                <w:szCs w:val="18"/>
                <w:lang w:val="en-GB"/>
              </w:rPr>
            </w:pPr>
            <w:r>
              <w:rPr>
                <w:rFonts w:eastAsia="Times New Roman" w:cs="Calibri"/>
                <w:sz w:val="18"/>
                <w:szCs w:val="18"/>
                <w:lang w:val="en-GB"/>
              </w:rPr>
              <w:lastRenderedPageBreak/>
              <w:t>f</w:t>
            </w:r>
            <w:r w:rsidR="00302BFE" w:rsidRPr="006E490C">
              <w:rPr>
                <w:rFonts w:eastAsia="Times New Roman" w:cs="Calibri"/>
                <w:sz w:val="18"/>
                <w:szCs w:val="18"/>
                <w:lang w:val="en-GB"/>
              </w:rPr>
              <w:t>) Travel expenses of the international consultant specializing in the marketing of local products for the development of a marketing strategy for PONASI landscape products (output 3.3.7) for a 10-day mission in Burkina Faso (4 days Ouagadougou, 6 days field) and rental of a vehicle / driver ($ 1500 / airline ticket, 4 per diem Ouagadougou @ $ 260, 6 per diem region @ 120, 6 days vehicle @ $ 200 / day). Total cost: $ 4,460 during the 4</w:t>
            </w:r>
            <w:r w:rsidR="00302BFE" w:rsidRPr="006E490C">
              <w:rPr>
                <w:rFonts w:eastAsia="Times New Roman" w:cs="Calibri"/>
                <w:sz w:val="18"/>
                <w:szCs w:val="18"/>
                <w:vertAlign w:val="superscript"/>
                <w:lang w:val="en-GB"/>
              </w:rPr>
              <w:t>th</w:t>
            </w:r>
            <w:r w:rsidR="00302BFE" w:rsidRPr="006E490C">
              <w:rPr>
                <w:rFonts w:eastAsia="Times New Roman" w:cs="Calibri"/>
                <w:sz w:val="18"/>
                <w:szCs w:val="18"/>
                <w:lang w:val="en-GB"/>
              </w:rPr>
              <w:t xml:space="preserve"> year.</w:t>
            </w:r>
          </w:p>
          <w:p w14:paraId="7BD92DE4" w14:textId="3369D1D3" w:rsidR="00302BFE" w:rsidRPr="006E490C" w:rsidRDefault="009E19E1" w:rsidP="00243B15">
            <w:pPr>
              <w:spacing w:before="40" w:after="40"/>
              <w:rPr>
                <w:rFonts w:eastAsia="Times New Roman" w:cs="Calibri"/>
                <w:sz w:val="18"/>
                <w:szCs w:val="18"/>
                <w:lang w:val="en-GB"/>
              </w:rPr>
            </w:pPr>
            <w:r>
              <w:rPr>
                <w:rFonts w:eastAsia="Times New Roman" w:cs="Calibri"/>
                <w:sz w:val="18"/>
                <w:szCs w:val="18"/>
                <w:lang w:val="en-GB"/>
              </w:rPr>
              <w:t>g</w:t>
            </w:r>
            <w:r w:rsidR="00302BFE" w:rsidRPr="006E490C">
              <w:rPr>
                <w:rFonts w:eastAsia="Times New Roman" w:cs="Calibri"/>
                <w:sz w:val="18"/>
                <w:szCs w:val="18"/>
                <w:lang w:val="en-GB"/>
              </w:rPr>
              <w:t>) Travel costs of the international tourism consultant for a 10-day mission to Burkina Faso (4 days Ouagadougou, 6 days field), to meet tourism-related institutions in Ouagadougou, including the National Tourism Office, and officials of tourism in regional and local authorities, with a view to finalizing the development of the sustainable tourism strategy for the PONASI landscape and facilitating the validation workshop (Output 3.4.1) ($ 1500 / air ticket, 4 per diem Ouagadougou @ $ 260, 6 per diem region @ 120, 6 days vehicle / driver @ $ 200 / day). Total cost: $ 4,460 during the 2</w:t>
            </w:r>
            <w:r w:rsidR="00302BFE" w:rsidRPr="006E490C">
              <w:rPr>
                <w:rFonts w:eastAsia="Times New Roman" w:cs="Calibri"/>
                <w:sz w:val="18"/>
                <w:szCs w:val="18"/>
                <w:vertAlign w:val="superscript"/>
                <w:lang w:val="en-GB"/>
              </w:rPr>
              <w:t>nd</w:t>
            </w:r>
            <w:r w:rsidR="00302BFE" w:rsidRPr="006E490C">
              <w:rPr>
                <w:rFonts w:eastAsia="Times New Roman" w:cs="Calibri"/>
                <w:sz w:val="18"/>
                <w:szCs w:val="18"/>
                <w:lang w:val="en-GB"/>
              </w:rPr>
              <w:t xml:space="preserve"> year.</w:t>
            </w:r>
          </w:p>
          <w:p w14:paraId="55C27AE3" w14:textId="7DB64442" w:rsidR="00302BFE" w:rsidRPr="006E490C" w:rsidRDefault="009E19E1" w:rsidP="00243B15">
            <w:pPr>
              <w:spacing w:before="40" w:after="40"/>
              <w:rPr>
                <w:rFonts w:eastAsia="Times New Roman" w:cs="Calibri"/>
                <w:sz w:val="18"/>
                <w:szCs w:val="18"/>
                <w:lang w:val="en-GB"/>
              </w:rPr>
            </w:pPr>
            <w:r>
              <w:rPr>
                <w:rFonts w:eastAsia="Times New Roman" w:cs="Calibri"/>
                <w:sz w:val="18"/>
                <w:szCs w:val="18"/>
                <w:lang w:val="en-GB"/>
              </w:rPr>
              <w:t>h</w:t>
            </w:r>
            <w:r w:rsidR="00302BFE" w:rsidRPr="006E490C">
              <w:rPr>
                <w:rFonts w:eastAsia="Times New Roman" w:cs="Calibri"/>
                <w:sz w:val="18"/>
                <w:szCs w:val="18"/>
                <w:lang w:val="en-GB"/>
              </w:rPr>
              <w:t xml:space="preserve">) Travel costs of the National Tourism Consultant for a 6-day tour of the PNKT communes and villages at the beginning of the 2nd year to inform them about tourism training opportunities related to protected areas and to identify priority beneficiaries with the support of local authorities, and to know their interests and aspirations in order to organize the thematic trainings (Output 3.4.3) and for another round (6 days) of meetings with local  authorities at the regional and </w:t>
            </w:r>
            <w:r w:rsidR="009363D6">
              <w:rPr>
                <w:rFonts w:eastAsia="Times New Roman" w:cs="Calibri"/>
                <w:sz w:val="18"/>
                <w:szCs w:val="18"/>
                <w:lang w:val="en-GB"/>
              </w:rPr>
              <w:t>commune</w:t>
            </w:r>
            <w:r w:rsidR="00302BFE" w:rsidRPr="006E490C">
              <w:rPr>
                <w:rFonts w:eastAsia="Times New Roman" w:cs="Calibri"/>
                <w:sz w:val="18"/>
                <w:szCs w:val="18"/>
                <w:lang w:val="en-GB"/>
              </w:rPr>
              <w:t xml:space="preserve"> levels with a view to establishing an organization of the </w:t>
            </w:r>
            <w:r w:rsidR="00302BFE" w:rsidRPr="006E490C">
              <w:rPr>
                <w:rFonts w:cs="Calibri"/>
                <w:sz w:val="18"/>
                <w:szCs w:val="18"/>
                <w:lang w:val="en-GB"/>
              </w:rPr>
              <w:t>management of the PONASI destination (Output 3.4.2) and for the participatory identification of criteria for identifying what can be financed with grants (Output 3.4.4) (vehicle / driver rental @ 200 $ / day for 6 days and per diem @ $ 120 / day for 6 days) during the 4</w:t>
            </w:r>
            <w:r w:rsidR="00302BFE" w:rsidRPr="006E490C">
              <w:rPr>
                <w:rFonts w:cs="Calibri"/>
                <w:sz w:val="18"/>
                <w:szCs w:val="18"/>
                <w:vertAlign w:val="superscript"/>
                <w:lang w:val="en-GB"/>
              </w:rPr>
              <w:t>th</w:t>
            </w:r>
            <w:r w:rsidR="00302BFE" w:rsidRPr="006E490C">
              <w:rPr>
                <w:rFonts w:cs="Calibri"/>
                <w:sz w:val="18"/>
                <w:szCs w:val="18"/>
                <w:lang w:val="en-GB"/>
              </w:rPr>
              <w:t xml:space="preserve">  year. Total cost: $ 3,840</w:t>
            </w:r>
          </w:p>
          <w:p w14:paraId="20F1486F" w14:textId="552D9541" w:rsidR="00302BFE" w:rsidRPr="006E490C" w:rsidRDefault="009E19E1" w:rsidP="00243B15">
            <w:pPr>
              <w:spacing w:before="40" w:after="40"/>
              <w:rPr>
                <w:rFonts w:eastAsia="Times New Roman" w:cs="Calibri"/>
                <w:sz w:val="18"/>
                <w:szCs w:val="18"/>
                <w:lang w:val="en-GB"/>
              </w:rPr>
            </w:pPr>
            <w:r>
              <w:rPr>
                <w:rFonts w:cs="Calibri"/>
                <w:sz w:val="18"/>
                <w:szCs w:val="18"/>
                <w:lang w:val="en-GB"/>
              </w:rPr>
              <w:t>i</w:t>
            </w:r>
            <w:r w:rsidR="00302BFE" w:rsidRPr="006E490C">
              <w:rPr>
                <w:rFonts w:cs="Calibri"/>
                <w:sz w:val="18"/>
                <w:szCs w:val="18"/>
                <w:lang w:val="en-GB"/>
              </w:rPr>
              <w:t>) Travel expenses for 3 tour operators offering 'nature' tourism products for a tour of familiarization with key tourist attractions focusing on nature and culture in the PONASI landscape (Output 3.4.5) (car/driver rental @ $ 200 / day for 4 days and per diem @ 120 $ / day for 4 days, 3 people) during the 5</w:t>
            </w:r>
            <w:r w:rsidR="00302BFE" w:rsidRPr="006E490C">
              <w:rPr>
                <w:rFonts w:cs="Calibri"/>
                <w:sz w:val="18"/>
                <w:szCs w:val="18"/>
                <w:vertAlign w:val="superscript"/>
                <w:lang w:val="en-GB"/>
              </w:rPr>
              <w:t>th</w:t>
            </w:r>
            <w:r w:rsidR="00302BFE" w:rsidRPr="006E490C">
              <w:rPr>
                <w:rFonts w:cs="Calibri"/>
                <w:sz w:val="18"/>
                <w:szCs w:val="18"/>
                <w:lang w:val="en-GB"/>
              </w:rPr>
              <w:t xml:space="preserve"> year. Total cost: $ 2,240</w:t>
            </w:r>
          </w:p>
        </w:tc>
      </w:tr>
      <w:tr w:rsidR="00302BFE" w:rsidRPr="006E490C" w14:paraId="6B3FD198"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08A040EA" w14:textId="02E30D1E"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lastRenderedPageBreak/>
              <w:t>3</w:t>
            </w:r>
            <w:r w:rsidR="00D45B3D">
              <w:rPr>
                <w:rFonts w:eastAsia="Times New Roman" w:cs="Calibri"/>
                <w:i/>
                <w:iCs/>
                <w:sz w:val="18"/>
                <w:szCs w:val="18"/>
                <w:lang w:val="en-GB"/>
              </w:rPr>
              <w:t>1</w:t>
            </w:r>
          </w:p>
        </w:tc>
        <w:tc>
          <w:tcPr>
            <w:tcW w:w="13687" w:type="dxa"/>
            <w:tcBorders>
              <w:top w:val="single" w:sz="4" w:space="0" w:color="auto"/>
              <w:left w:val="single" w:sz="4" w:space="0" w:color="auto"/>
              <w:bottom w:val="single" w:sz="4" w:space="0" w:color="auto"/>
              <w:right w:val="single" w:sz="4" w:space="0" w:color="auto"/>
            </w:tcBorders>
            <w:hideMark/>
          </w:tcPr>
          <w:p w14:paraId="06E6FE6B"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t>a) Expert in organic certification and fair trade (</w:t>
            </w:r>
            <w:proofErr w:type="spellStart"/>
            <w:r w:rsidRPr="006E490C">
              <w:rPr>
                <w:rFonts w:eastAsia="Times New Roman" w:cs="Calibri"/>
                <w:sz w:val="18"/>
                <w:szCs w:val="18"/>
                <w:lang w:val="en-GB"/>
              </w:rPr>
              <w:t>Ecocert</w:t>
            </w:r>
            <w:proofErr w:type="spellEnd"/>
            <w:r w:rsidRPr="006E490C">
              <w:rPr>
                <w:rFonts w:eastAsia="Times New Roman" w:cs="Calibri"/>
                <w:sz w:val="18"/>
                <w:szCs w:val="18"/>
                <w:lang w:val="en-GB"/>
              </w:rPr>
              <w:t>) to provide guidance and training on production requirements and standards for certification of shea butter production by two of the cooperatives supported by the project, and to support the certification process (output 3.3.5) Rate: $ 25,000 paid on a lump sum basis based on deliverables in year 4. Total cost: $ 25,000.</w:t>
            </w:r>
          </w:p>
          <w:p w14:paraId="66BB0531" w14:textId="77777777" w:rsidR="00302BFE" w:rsidRPr="006E490C" w:rsidRDefault="00302BFE" w:rsidP="00243B15">
            <w:pPr>
              <w:tabs>
                <w:tab w:val="left" w:pos="226"/>
              </w:tabs>
              <w:spacing w:before="40" w:after="40"/>
              <w:rPr>
                <w:rFonts w:eastAsia="Times New Roman" w:cs="Calibri"/>
                <w:sz w:val="18"/>
                <w:szCs w:val="18"/>
                <w:lang w:val="en-GB"/>
              </w:rPr>
            </w:pPr>
            <w:r w:rsidRPr="006E490C">
              <w:rPr>
                <w:rFonts w:eastAsia="Times New Roman" w:cs="Calibri"/>
                <w:sz w:val="18"/>
                <w:szCs w:val="18"/>
                <w:lang w:val="en-GB"/>
              </w:rPr>
              <w:t xml:space="preserve">(b) National Tourism Training Institute to train beneficiaries in local communities (Output 3.4.3). </w:t>
            </w:r>
            <w:r>
              <w:rPr>
                <w:rFonts w:eastAsia="Times New Roman" w:cs="Calibri"/>
                <w:sz w:val="18"/>
                <w:szCs w:val="18"/>
                <w:lang w:val="en-GB"/>
              </w:rPr>
              <w:t>Lump sum based</w:t>
            </w:r>
            <w:r w:rsidRPr="006E490C">
              <w:rPr>
                <w:rFonts w:eastAsia="Times New Roman" w:cs="Calibri"/>
                <w:sz w:val="18"/>
                <w:szCs w:val="18"/>
                <w:lang w:val="en-GB"/>
              </w:rPr>
              <w:t>: $ 60,000 in the 3</w:t>
            </w:r>
            <w:r w:rsidRPr="006E490C">
              <w:rPr>
                <w:rFonts w:eastAsia="Times New Roman" w:cs="Calibri"/>
                <w:sz w:val="18"/>
                <w:szCs w:val="18"/>
                <w:vertAlign w:val="superscript"/>
                <w:lang w:val="en-GB"/>
              </w:rPr>
              <w:t>rd</w:t>
            </w:r>
            <w:r w:rsidRPr="006E490C">
              <w:rPr>
                <w:rFonts w:eastAsia="Times New Roman" w:cs="Calibri"/>
                <w:sz w:val="18"/>
                <w:szCs w:val="18"/>
                <w:lang w:val="en-GB"/>
              </w:rPr>
              <w:t xml:space="preserve"> year. Total cost: $ 60,000</w:t>
            </w:r>
          </w:p>
          <w:p w14:paraId="2FC31D17" w14:textId="77777777" w:rsidR="00302BFE" w:rsidRPr="006E490C" w:rsidRDefault="00302BFE" w:rsidP="00243B15">
            <w:pPr>
              <w:tabs>
                <w:tab w:val="left" w:pos="226"/>
              </w:tabs>
              <w:spacing w:before="40" w:after="40"/>
              <w:rPr>
                <w:color w:val="000000"/>
                <w:sz w:val="18"/>
                <w:szCs w:val="18"/>
                <w:lang w:val="en-GB"/>
              </w:rPr>
            </w:pPr>
            <w:r w:rsidRPr="006E490C">
              <w:rPr>
                <w:rFonts w:eastAsia="Times New Roman" w:cs="Calibri"/>
                <w:sz w:val="18"/>
                <w:szCs w:val="18"/>
                <w:lang w:val="en-GB"/>
              </w:rPr>
              <w:t>c) A local company for the construction of 4 complexes including a processing room - drying room - finished products storage room - shop for the NTFP processing cooperatives supported by the project @ $25,500 per unit (Output 3.3.6). Total cost $102,000 in year 3</w:t>
            </w:r>
            <w:r w:rsidRPr="006E490C">
              <w:rPr>
                <w:color w:val="000000"/>
                <w:sz w:val="18"/>
                <w:szCs w:val="18"/>
                <w:lang w:val="en-GB"/>
              </w:rPr>
              <w:t xml:space="preserve">. </w:t>
            </w:r>
          </w:p>
        </w:tc>
      </w:tr>
      <w:tr w:rsidR="00302BFE" w:rsidRPr="006E490C" w14:paraId="156D2131"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0A58B70C" w14:textId="15B01309"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3</w:t>
            </w:r>
            <w:r w:rsidR="00D45B3D">
              <w:rPr>
                <w:rFonts w:eastAsia="Times New Roman" w:cs="Calibri"/>
                <w:i/>
                <w:iCs/>
                <w:sz w:val="18"/>
                <w:szCs w:val="18"/>
                <w:lang w:val="en-GB"/>
              </w:rPr>
              <w:t>2</w:t>
            </w:r>
          </w:p>
        </w:tc>
        <w:tc>
          <w:tcPr>
            <w:tcW w:w="13687" w:type="dxa"/>
            <w:tcBorders>
              <w:top w:val="single" w:sz="4" w:space="0" w:color="auto"/>
              <w:left w:val="single" w:sz="4" w:space="0" w:color="auto"/>
              <w:bottom w:val="single" w:sz="4" w:space="0" w:color="auto"/>
              <w:right w:val="single" w:sz="4" w:space="0" w:color="auto"/>
            </w:tcBorders>
            <w:hideMark/>
          </w:tcPr>
          <w:p w14:paraId="08730089" w14:textId="77777777" w:rsidR="00302BFE" w:rsidRPr="0063211A" w:rsidRDefault="00302BFE" w:rsidP="00243B15">
            <w:pPr>
              <w:tabs>
                <w:tab w:val="left" w:pos="226"/>
                <w:tab w:val="left" w:pos="310"/>
              </w:tabs>
              <w:spacing w:before="40" w:after="40"/>
              <w:rPr>
                <w:rFonts w:eastAsia="Times New Roman" w:cs="Calibri"/>
                <w:sz w:val="18"/>
                <w:szCs w:val="18"/>
                <w:lang w:val="en-GB"/>
              </w:rPr>
            </w:pPr>
            <w:r w:rsidRPr="0063211A">
              <w:rPr>
                <w:rFonts w:eastAsia="Times New Roman" w:cs="Calibri"/>
                <w:sz w:val="18"/>
                <w:szCs w:val="18"/>
                <w:lang w:val="en-GB"/>
              </w:rPr>
              <w:t>a) Costs for the establishment of demonstration sites and farm-schools in collaboration with communities and farmers, using materials available to farmers and innovative and improved techniques at low cost, in year 2 (Output 3.1 .3). Total cost: $ 15,000</w:t>
            </w:r>
          </w:p>
          <w:p w14:paraId="3EE82B96" w14:textId="77777777" w:rsidR="00302BFE" w:rsidRPr="0063211A" w:rsidRDefault="00302BFE" w:rsidP="00243B15">
            <w:pPr>
              <w:tabs>
                <w:tab w:val="left" w:pos="226"/>
                <w:tab w:val="left" w:pos="310"/>
              </w:tabs>
              <w:spacing w:before="40" w:after="40"/>
              <w:rPr>
                <w:rFonts w:eastAsia="Times New Roman" w:cs="Calibri"/>
                <w:sz w:val="18"/>
                <w:szCs w:val="18"/>
                <w:lang w:val="en-GB"/>
              </w:rPr>
            </w:pPr>
            <w:r w:rsidRPr="0063211A">
              <w:rPr>
                <w:rFonts w:eastAsia="Times New Roman" w:cs="Calibri"/>
                <w:sz w:val="18"/>
                <w:szCs w:val="18"/>
                <w:lang w:val="en-GB"/>
              </w:rPr>
              <w:t xml:space="preserve">b) Equipment for a honey production unit ($ 75,000 for the purchase of 40 Kenyan hives, 40 honey presses, 40 </w:t>
            </w:r>
            <w:proofErr w:type="spellStart"/>
            <w:r w:rsidRPr="0063211A">
              <w:rPr>
                <w:rFonts w:eastAsia="Times New Roman" w:cs="Calibri"/>
                <w:sz w:val="18"/>
                <w:szCs w:val="18"/>
                <w:lang w:val="en-GB"/>
              </w:rPr>
              <w:t>ripeners</w:t>
            </w:r>
            <w:proofErr w:type="spellEnd"/>
            <w:r w:rsidRPr="0063211A">
              <w:rPr>
                <w:rFonts w:eastAsia="Times New Roman" w:cs="Calibri"/>
                <w:sz w:val="18"/>
                <w:szCs w:val="18"/>
                <w:lang w:val="en-GB"/>
              </w:rPr>
              <w:t xml:space="preserve">, 40 extractors, 40 stainless steel drums, 80 bee brushes, 80 smokers, 80 hive tools, 400 coveralls, 400 boots, 400 pairs of gloves), for two shea butter production units ($ 40,000 for the purchase of 2 gas </w:t>
            </w:r>
            <w:proofErr w:type="spellStart"/>
            <w:r w:rsidRPr="0063211A">
              <w:rPr>
                <w:rFonts w:eastAsia="Times New Roman" w:cs="Calibri"/>
                <w:sz w:val="18"/>
                <w:szCs w:val="18"/>
                <w:lang w:val="en-GB"/>
              </w:rPr>
              <w:t>firestoves</w:t>
            </w:r>
            <w:proofErr w:type="spellEnd"/>
            <w:r w:rsidRPr="0063211A">
              <w:rPr>
                <w:rFonts w:eastAsia="Times New Roman" w:cs="Calibri"/>
                <w:sz w:val="18"/>
                <w:szCs w:val="18"/>
                <w:lang w:val="en-GB"/>
              </w:rPr>
              <w:t xml:space="preserve"> and gas cylinder, 2 churns, 2 shea butter roasters , 2 stainless steel crushers, 2 stainless steel mills, 2 motors, 2 stainless steel manual packaging filters, 2 boilers, 2 briquetting machines, 2 pyrolysis furnaces, 2 cooling systems, 2 mounting brackets, 2 tricycles, small production equipment (barrels, pots, overalls, basins ...), and a production unit of liana juice </w:t>
            </w:r>
            <w:proofErr w:type="spellStart"/>
            <w:r w:rsidRPr="0063211A">
              <w:rPr>
                <w:rFonts w:eastAsia="Times New Roman" w:cs="Calibri"/>
                <w:sz w:val="18"/>
                <w:szCs w:val="18"/>
                <w:lang w:val="en-GB"/>
              </w:rPr>
              <w:t>goïne</w:t>
            </w:r>
            <w:proofErr w:type="spellEnd"/>
            <w:r w:rsidRPr="0063211A">
              <w:rPr>
                <w:rFonts w:eastAsia="Times New Roman" w:cs="Calibri"/>
                <w:sz w:val="18"/>
                <w:szCs w:val="18"/>
                <w:lang w:val="en-GB"/>
              </w:rPr>
              <w:t xml:space="preserve"> ($ 10,000 for the purchase of 1 motorized fruit grinder in stainless steel, 1 stainless steel juice mixer, 1 pasteurizer, 1 stainless steel mould, 1 filter packer, 1 stainless steel table) during the 3</w:t>
            </w:r>
            <w:r w:rsidRPr="0063211A">
              <w:rPr>
                <w:rFonts w:eastAsia="Times New Roman" w:cs="Calibri"/>
                <w:sz w:val="18"/>
                <w:szCs w:val="18"/>
                <w:vertAlign w:val="superscript"/>
                <w:lang w:val="en-GB"/>
              </w:rPr>
              <w:t>rd</w:t>
            </w:r>
            <w:r w:rsidRPr="0063211A">
              <w:rPr>
                <w:rFonts w:eastAsia="Times New Roman" w:cs="Calibri"/>
                <w:sz w:val="18"/>
                <w:szCs w:val="18"/>
                <w:lang w:val="en-GB"/>
              </w:rPr>
              <w:t xml:space="preserve">  year. Total cost $ 125,000</w:t>
            </w:r>
          </w:p>
          <w:p w14:paraId="7D9E3CAE" w14:textId="77777777" w:rsidR="00302BFE" w:rsidRPr="0063211A" w:rsidRDefault="00302BFE" w:rsidP="00243B15">
            <w:pPr>
              <w:tabs>
                <w:tab w:val="left" w:pos="226"/>
              </w:tabs>
              <w:spacing w:before="40" w:after="40"/>
              <w:rPr>
                <w:rFonts w:eastAsia="Times New Roman" w:cs="Calibri"/>
                <w:sz w:val="18"/>
                <w:szCs w:val="18"/>
                <w:lang w:val="en-GB"/>
              </w:rPr>
            </w:pPr>
            <w:r w:rsidRPr="0063211A">
              <w:rPr>
                <w:rFonts w:eastAsia="Times New Roman" w:cs="Calibri"/>
                <w:sz w:val="18"/>
                <w:szCs w:val="18"/>
                <w:lang w:val="en-GB"/>
              </w:rPr>
              <w:t>c) Construction of 6 ECOSAN-type public toilets @ $ 800 for tourists in strategic places for tourist activities (Output 3.4.4). Total cost: $ 4,800</w:t>
            </w:r>
          </w:p>
          <w:p w14:paraId="35F15E3C" w14:textId="2E778C77" w:rsidR="00CF30FD" w:rsidRDefault="00CF30FD" w:rsidP="00243B15">
            <w:pPr>
              <w:tabs>
                <w:tab w:val="left" w:pos="226"/>
              </w:tabs>
              <w:spacing w:before="40" w:after="40"/>
              <w:rPr>
                <w:rFonts w:eastAsia="Times New Roman" w:cs="Calibri"/>
                <w:sz w:val="18"/>
                <w:szCs w:val="18"/>
                <w:lang w:val="en-GB"/>
              </w:rPr>
            </w:pPr>
            <w:r w:rsidRPr="0063211A">
              <w:rPr>
                <w:rFonts w:eastAsia="Times New Roman" w:cs="Calibri"/>
                <w:sz w:val="18"/>
                <w:szCs w:val="18"/>
                <w:lang w:val="en-GB"/>
              </w:rPr>
              <w:t xml:space="preserve">d) Purchase of a 4x4 vehicle to support all project activities (25% for the component) @ $ 13,000 </w:t>
            </w:r>
            <w:r w:rsidRPr="005E7018">
              <w:rPr>
                <w:rFonts w:eastAsia="Times New Roman" w:cs="Calibri"/>
                <w:sz w:val="18"/>
                <w:szCs w:val="18"/>
                <w:lang w:val="en-GB"/>
              </w:rPr>
              <w:t>for year 1</w:t>
            </w:r>
            <w:r w:rsidR="00AD796F" w:rsidRPr="005E7018">
              <w:rPr>
                <w:rFonts w:eastAsia="Times New Roman" w:cs="Calibri"/>
                <w:sz w:val="18"/>
                <w:szCs w:val="18"/>
                <w:lang w:val="en-GB"/>
              </w:rPr>
              <w:t xml:space="preserve"> fully </w:t>
            </w:r>
            <w:proofErr w:type="spellStart"/>
            <w:r w:rsidR="00AD796F" w:rsidRPr="005E7018">
              <w:rPr>
                <w:rFonts w:eastAsia="Times New Roman" w:cs="Calibri"/>
                <w:sz w:val="18"/>
                <w:szCs w:val="18"/>
                <w:lang w:val="en-GB"/>
              </w:rPr>
              <w:t>cofunded</w:t>
            </w:r>
            <w:proofErr w:type="spellEnd"/>
            <w:r w:rsidR="00AD796F" w:rsidRPr="005E7018">
              <w:rPr>
                <w:rFonts w:eastAsia="Times New Roman" w:cs="Calibri"/>
                <w:sz w:val="18"/>
                <w:szCs w:val="18"/>
                <w:lang w:val="en-GB"/>
              </w:rPr>
              <w:t xml:space="preserve"> by UNDP</w:t>
            </w:r>
          </w:p>
          <w:p w14:paraId="6BDCEC96" w14:textId="34C64A7E" w:rsidR="006E4995" w:rsidRPr="006E490C" w:rsidRDefault="0063211A" w:rsidP="00243B15">
            <w:pPr>
              <w:tabs>
                <w:tab w:val="left" w:pos="226"/>
              </w:tabs>
              <w:spacing w:before="40" w:after="40"/>
              <w:rPr>
                <w:rFonts w:eastAsia="Times New Roman" w:cs="Calibri"/>
                <w:sz w:val="18"/>
                <w:szCs w:val="18"/>
                <w:lang w:val="en-GB"/>
              </w:rPr>
            </w:pPr>
            <w:r w:rsidRPr="0063211A">
              <w:rPr>
                <w:rFonts w:eastAsia="Times New Roman" w:cs="Calibri"/>
                <w:sz w:val="18"/>
                <w:szCs w:val="18"/>
                <w:lang w:val="en-GB"/>
              </w:rPr>
              <w:t>e</w:t>
            </w:r>
            <w:r w:rsidR="006E4995" w:rsidRPr="0063211A">
              <w:rPr>
                <w:rFonts w:eastAsia="Times New Roman" w:cs="Calibri"/>
                <w:sz w:val="18"/>
                <w:szCs w:val="18"/>
                <w:lang w:val="en-GB"/>
              </w:rPr>
              <w:t>) Purchase of 8 motorcycles for field trips related to the field activities of components 2 and 3, especially technical assistants and community mobilization assistants (50%) @ $ 2,300 / motorcycle - Total cost per component: $ 9,200 year 1</w:t>
            </w:r>
          </w:p>
        </w:tc>
      </w:tr>
      <w:tr w:rsidR="00302BFE" w:rsidRPr="006E490C" w14:paraId="006E2132"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169F2175" w14:textId="383A8D95"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3</w:t>
            </w:r>
            <w:r w:rsidR="00D45B3D">
              <w:rPr>
                <w:rFonts w:eastAsia="Times New Roman" w:cs="Calibri"/>
                <w:i/>
                <w:iCs/>
                <w:sz w:val="18"/>
                <w:szCs w:val="18"/>
                <w:lang w:val="en-GB"/>
              </w:rPr>
              <w:t>3</w:t>
            </w:r>
          </w:p>
        </w:tc>
        <w:tc>
          <w:tcPr>
            <w:tcW w:w="13687" w:type="dxa"/>
            <w:tcBorders>
              <w:top w:val="single" w:sz="4" w:space="0" w:color="auto"/>
              <w:left w:val="single" w:sz="4" w:space="0" w:color="auto"/>
              <w:bottom w:val="single" w:sz="4" w:space="0" w:color="auto"/>
              <w:right w:val="single" w:sz="4" w:space="0" w:color="auto"/>
            </w:tcBorders>
            <w:hideMark/>
          </w:tcPr>
          <w:p w14:paraId="71D33202" w14:textId="77777777" w:rsidR="00302BFE" w:rsidRPr="00363257" w:rsidRDefault="00302BFE" w:rsidP="00243B15">
            <w:pPr>
              <w:spacing w:before="40" w:after="40"/>
              <w:rPr>
                <w:rFonts w:eastAsia="Times New Roman" w:cs="Calibri"/>
                <w:sz w:val="18"/>
                <w:szCs w:val="18"/>
                <w:lang w:val="en-GB"/>
              </w:rPr>
            </w:pPr>
            <w:r w:rsidRPr="00363257">
              <w:rPr>
                <w:rFonts w:eastAsia="Times New Roman" w:cs="Calibri"/>
                <w:sz w:val="18"/>
                <w:szCs w:val="18"/>
                <w:lang w:val="en-GB"/>
              </w:rPr>
              <w:t xml:space="preserve">a) </w:t>
            </w:r>
            <w:proofErr w:type="gramStart"/>
            <w:r w:rsidRPr="00363257">
              <w:rPr>
                <w:rFonts w:eastAsia="Times New Roman" w:cs="Calibri"/>
                <w:sz w:val="18"/>
                <w:szCs w:val="18"/>
                <w:lang w:val="en-GB"/>
              </w:rPr>
              <w:t>Small</w:t>
            </w:r>
            <w:proofErr w:type="gramEnd"/>
            <w:r w:rsidRPr="00363257">
              <w:rPr>
                <w:rFonts w:eastAsia="Times New Roman" w:cs="Calibri"/>
                <w:sz w:val="18"/>
                <w:szCs w:val="18"/>
                <w:lang w:val="en-GB"/>
              </w:rPr>
              <w:t xml:space="preserve"> grants to help farmers / producers / herders at 15 pilot sites to integrate climate-smart agriculture, SLM and sustainable agricultural / forestry / pastoral practices to provide improved and more sustainable livelihoods. Subsidies may be used for the purchase of agricultural and fodder seeds, small </w:t>
            </w:r>
            <w:proofErr w:type="gramStart"/>
            <w:r w:rsidRPr="00363257">
              <w:rPr>
                <w:rFonts w:eastAsia="Times New Roman" w:cs="Calibri"/>
                <w:sz w:val="18"/>
                <w:szCs w:val="18"/>
                <w:lang w:val="en-GB"/>
              </w:rPr>
              <w:t>equipment</w:t>
            </w:r>
            <w:proofErr w:type="gramEnd"/>
            <w:r w:rsidRPr="00363257">
              <w:rPr>
                <w:rFonts w:eastAsia="Times New Roman" w:cs="Calibri"/>
                <w:sz w:val="18"/>
                <w:szCs w:val="18"/>
                <w:lang w:val="en-GB"/>
              </w:rPr>
              <w:t xml:space="preserve"> and other inputs (Output 3.1.3). These grants will be implemented in accordance with UNDP guidelines for low-value grants. Total cost: $300,000 in years 3, 4, 5.</w:t>
            </w:r>
          </w:p>
          <w:p w14:paraId="4E3272E2" w14:textId="77777777" w:rsidR="00302BFE" w:rsidRPr="00363257" w:rsidRDefault="00302BFE" w:rsidP="00243B15">
            <w:pPr>
              <w:spacing w:before="40" w:after="40"/>
              <w:rPr>
                <w:rFonts w:eastAsia="Times New Roman" w:cs="Calibri"/>
                <w:sz w:val="18"/>
                <w:szCs w:val="18"/>
                <w:lang w:val="en-GB"/>
              </w:rPr>
            </w:pPr>
            <w:r w:rsidRPr="00363257">
              <w:rPr>
                <w:rFonts w:eastAsia="Times New Roman" w:cs="Calibri"/>
                <w:sz w:val="18"/>
                <w:szCs w:val="18"/>
                <w:lang w:val="en-GB"/>
              </w:rPr>
              <w:t xml:space="preserve">b) </w:t>
            </w:r>
            <w:proofErr w:type="gramStart"/>
            <w:r w:rsidRPr="00363257">
              <w:rPr>
                <w:rFonts w:eastAsia="Times New Roman" w:cs="Calibri"/>
                <w:sz w:val="18"/>
                <w:szCs w:val="18"/>
                <w:lang w:val="en-GB"/>
              </w:rPr>
              <w:t>Small</w:t>
            </w:r>
            <w:proofErr w:type="gramEnd"/>
            <w:r w:rsidRPr="00363257">
              <w:rPr>
                <w:rFonts w:eastAsia="Times New Roman" w:cs="Calibri"/>
                <w:sz w:val="18"/>
                <w:szCs w:val="18"/>
                <w:lang w:val="en-GB"/>
              </w:rPr>
              <w:t xml:space="preserve"> grants of $2,500 for 40 trainees/small entrepreneurs who have successfully completed training on tourism to fund needs that meet criteria previously defined with the participation of local authorities (Output 3.4.4). These grants will be implemented in accordance with UNDP guidelines for low-value grants. Total cost: $100,000 in year 4.</w:t>
            </w:r>
          </w:p>
        </w:tc>
      </w:tr>
      <w:tr w:rsidR="00302BFE" w:rsidRPr="009363D6" w14:paraId="078016C9"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1BFC2D85" w14:textId="445F96C1"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3</w:t>
            </w:r>
            <w:r w:rsidR="00D45B3D">
              <w:rPr>
                <w:rFonts w:eastAsia="Times New Roman" w:cs="Calibri"/>
                <w:i/>
                <w:iCs/>
                <w:sz w:val="18"/>
                <w:szCs w:val="18"/>
                <w:lang w:val="en-GB"/>
              </w:rPr>
              <w:t>4</w:t>
            </w:r>
          </w:p>
        </w:tc>
        <w:tc>
          <w:tcPr>
            <w:tcW w:w="13687" w:type="dxa"/>
            <w:tcBorders>
              <w:top w:val="single" w:sz="4" w:space="0" w:color="auto"/>
              <w:left w:val="single" w:sz="4" w:space="0" w:color="auto"/>
              <w:bottom w:val="single" w:sz="4" w:space="0" w:color="auto"/>
              <w:right w:val="single" w:sz="4" w:space="0" w:color="auto"/>
            </w:tcBorders>
            <w:hideMark/>
          </w:tcPr>
          <w:p w14:paraId="346AFD31"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 xml:space="preserve">Printed documents (brochures, posters, technical files, guides, etc.) to support the education and sensitization of local communities in the 15 pilot sites and in the 9 </w:t>
            </w:r>
            <w:r w:rsidR="009363D6">
              <w:rPr>
                <w:rFonts w:eastAsia="Times New Roman" w:cs="Calibri"/>
                <w:sz w:val="18"/>
                <w:szCs w:val="18"/>
                <w:lang w:val="en-GB"/>
              </w:rPr>
              <w:t>communes</w:t>
            </w:r>
            <w:r w:rsidRPr="006E490C">
              <w:rPr>
                <w:rFonts w:eastAsia="Times New Roman" w:cs="Calibri"/>
                <w:sz w:val="18"/>
                <w:szCs w:val="18"/>
                <w:lang w:val="en-GB"/>
              </w:rPr>
              <w:t xml:space="preserve"> of the PONASI landscape regarding SLM, CSA and sustainable practices in  agriculture, forestry, and pastoralism (such as fact sheets illustrating technical itineraries, illustrated brochures and toolkits), ensuring gender mainstreaming (with the support of the project gender expert), as well as materials (billboards, printed training materials) to support the widespread dissemination and adoption of improved practices. Total cost: $ 40,000 in years 3 to 5. (Output 3.1, 3.2, 3.3) </w:t>
            </w:r>
          </w:p>
        </w:tc>
      </w:tr>
      <w:tr w:rsidR="00302BFE" w:rsidRPr="006E490C" w14:paraId="4BCFBE53"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57F6CDE9" w14:textId="58890C40"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lastRenderedPageBreak/>
              <w:t>3</w:t>
            </w:r>
            <w:r w:rsidR="00D45B3D">
              <w:rPr>
                <w:rFonts w:eastAsia="Times New Roman" w:cs="Calibri"/>
                <w:i/>
                <w:iCs/>
                <w:sz w:val="18"/>
                <w:szCs w:val="18"/>
                <w:lang w:val="en-GB"/>
              </w:rPr>
              <w:t>5</w:t>
            </w:r>
          </w:p>
        </w:tc>
        <w:tc>
          <w:tcPr>
            <w:tcW w:w="13687" w:type="dxa"/>
            <w:tcBorders>
              <w:top w:val="single" w:sz="4" w:space="0" w:color="auto"/>
              <w:left w:val="single" w:sz="4" w:space="0" w:color="auto"/>
              <w:bottom w:val="single" w:sz="4" w:space="0" w:color="auto"/>
              <w:right w:val="single" w:sz="4" w:space="0" w:color="auto"/>
            </w:tcBorders>
            <w:hideMark/>
          </w:tcPr>
          <w:p w14:paraId="32463E45" w14:textId="77777777" w:rsidR="00302BFE" w:rsidRPr="006E490C" w:rsidRDefault="00302BFE" w:rsidP="00243B15">
            <w:pPr>
              <w:spacing w:before="40" w:after="40"/>
              <w:rPr>
                <w:rFonts w:eastAsia="Times New Roman" w:cs="Calibri"/>
                <w:sz w:val="18"/>
                <w:szCs w:val="18"/>
                <w:lang w:val="en-GB"/>
              </w:rPr>
            </w:pPr>
            <w:r w:rsidRPr="006E490C">
              <w:rPr>
                <w:rFonts w:cs="Calibri"/>
                <w:color w:val="000000"/>
                <w:sz w:val="18"/>
                <w:szCs w:val="18"/>
                <w:lang w:val="en-GB"/>
              </w:rPr>
              <w:t>Incidental costs related to sustainable land management and livelihood diversification, including a $4,000 provision in year 1 for costs related to the establishment of baseline values for the outcome indicators under component 3. Total cost: $</w:t>
            </w:r>
            <w:r>
              <w:rPr>
                <w:rFonts w:cs="Calibri"/>
                <w:color w:val="000000"/>
                <w:sz w:val="18"/>
                <w:szCs w:val="18"/>
                <w:lang w:val="en-GB"/>
              </w:rPr>
              <w:t>98</w:t>
            </w:r>
            <w:r w:rsidRPr="006E490C">
              <w:rPr>
                <w:rFonts w:cs="Calibri"/>
                <w:color w:val="000000"/>
                <w:sz w:val="18"/>
                <w:szCs w:val="18"/>
                <w:lang w:val="en-GB"/>
              </w:rPr>
              <w:t>,332 in years 1-6.</w:t>
            </w:r>
          </w:p>
        </w:tc>
      </w:tr>
      <w:tr w:rsidR="00302BFE" w:rsidRPr="006E490C" w14:paraId="38B343A3"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7BC54726" w14:textId="6D3FD3D8"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3</w:t>
            </w:r>
            <w:r w:rsidR="00D45B3D">
              <w:rPr>
                <w:rFonts w:eastAsia="Times New Roman" w:cs="Calibri"/>
                <w:i/>
                <w:iCs/>
                <w:sz w:val="18"/>
                <w:szCs w:val="18"/>
                <w:lang w:val="en-GB"/>
              </w:rPr>
              <w:t>6</w:t>
            </w:r>
          </w:p>
        </w:tc>
        <w:tc>
          <w:tcPr>
            <w:tcW w:w="13687" w:type="dxa"/>
            <w:tcBorders>
              <w:top w:val="single" w:sz="4" w:space="0" w:color="auto"/>
              <w:left w:val="single" w:sz="4" w:space="0" w:color="auto"/>
              <w:bottom w:val="single" w:sz="4" w:space="0" w:color="auto"/>
              <w:right w:val="single" w:sz="4" w:space="0" w:color="auto"/>
            </w:tcBorders>
            <w:hideMark/>
          </w:tcPr>
          <w:p w14:paraId="5A476434"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 xml:space="preserve">a) Costs of a workshop (1/2 day) for the restitution of the results of the </w:t>
            </w:r>
            <w:r>
              <w:rPr>
                <w:rFonts w:eastAsia="Times New Roman" w:cs="Calibri"/>
                <w:sz w:val="18"/>
                <w:szCs w:val="18"/>
                <w:lang w:val="en-GB"/>
              </w:rPr>
              <w:t>Forest management worksites</w:t>
            </w:r>
            <w:r w:rsidRPr="006E490C">
              <w:rPr>
                <w:rFonts w:eastAsia="Times New Roman" w:cs="Calibri"/>
                <w:sz w:val="18"/>
                <w:szCs w:val="18"/>
                <w:lang w:val="en-GB"/>
              </w:rPr>
              <w:t xml:space="preserve"> (CAF) Assessment for 75 participants in Year 2 (Output 3.2.3). Total cost: $ 700.</w:t>
            </w:r>
          </w:p>
          <w:p w14:paraId="7FDC1234"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b) Costs of a workshop (1/2 day) for the validation of the sustainable tourism strategy for the PONASI landscape and the identification of the preferred form of legal instrument for tourism management in relation to the protected areas of the PONASI landscape (Output 3.4.1) for 50 people in year 2. Total cost: $ 500</w:t>
            </w:r>
          </w:p>
        </w:tc>
      </w:tr>
      <w:tr w:rsidR="00302BFE" w:rsidRPr="006E490C" w14:paraId="2B08799B"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tcPr>
          <w:p w14:paraId="503689AC" w14:textId="05CD7373"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3</w:t>
            </w:r>
            <w:r w:rsidR="00D45B3D">
              <w:rPr>
                <w:rFonts w:eastAsia="Times New Roman" w:cs="Calibri"/>
                <w:i/>
                <w:iCs/>
                <w:sz w:val="18"/>
                <w:szCs w:val="18"/>
                <w:lang w:val="en-GB"/>
              </w:rPr>
              <w:t>7</w:t>
            </w:r>
          </w:p>
        </w:tc>
        <w:tc>
          <w:tcPr>
            <w:tcW w:w="13687" w:type="dxa"/>
            <w:tcBorders>
              <w:top w:val="single" w:sz="4" w:space="0" w:color="auto"/>
              <w:left w:val="single" w:sz="4" w:space="0" w:color="auto"/>
              <w:bottom w:val="single" w:sz="4" w:space="0" w:color="auto"/>
              <w:right w:val="single" w:sz="4" w:space="0" w:color="auto"/>
            </w:tcBorders>
          </w:tcPr>
          <w:p w14:paraId="574C73EF" w14:textId="77777777" w:rsidR="00302BFE" w:rsidRPr="006E490C" w:rsidRDefault="00302BFE" w:rsidP="00243B15">
            <w:pPr>
              <w:spacing w:before="40" w:after="40"/>
              <w:rPr>
                <w:rFonts w:eastAsia="Times New Roman" w:cs="Calibri"/>
                <w:sz w:val="18"/>
                <w:szCs w:val="18"/>
                <w:lang w:val="en-GB"/>
              </w:rPr>
            </w:pPr>
            <w:r w:rsidRPr="006E490C">
              <w:rPr>
                <w:rFonts w:cs="Calibri"/>
                <w:sz w:val="18"/>
                <w:szCs w:val="18"/>
                <w:lang w:val="en-CA"/>
              </w:rPr>
              <w:t>Mission expenses / periodic monitoring and technical support for component 3 activities by UNDP staff @ $2,000 / year. Total cost $12,000.</w:t>
            </w:r>
          </w:p>
        </w:tc>
      </w:tr>
      <w:tr w:rsidR="00302BFE" w:rsidRPr="006E490C" w14:paraId="4ADB797D"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tcPr>
          <w:p w14:paraId="7F2E0AB8" w14:textId="705045A7"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3</w:t>
            </w:r>
            <w:r w:rsidR="00D45B3D">
              <w:rPr>
                <w:rFonts w:eastAsia="Times New Roman" w:cs="Calibri"/>
                <w:i/>
                <w:iCs/>
                <w:sz w:val="18"/>
                <w:szCs w:val="18"/>
                <w:lang w:val="en-GB"/>
              </w:rPr>
              <w:t>8</w:t>
            </w:r>
          </w:p>
        </w:tc>
        <w:tc>
          <w:tcPr>
            <w:tcW w:w="13687" w:type="dxa"/>
            <w:tcBorders>
              <w:top w:val="single" w:sz="4" w:space="0" w:color="auto"/>
              <w:left w:val="single" w:sz="4" w:space="0" w:color="auto"/>
              <w:bottom w:val="single" w:sz="4" w:space="0" w:color="auto"/>
              <w:right w:val="single" w:sz="4" w:space="0" w:color="auto"/>
            </w:tcBorders>
          </w:tcPr>
          <w:p w14:paraId="245E25C3" w14:textId="77777777" w:rsidR="00302BFE" w:rsidRPr="00E03056" w:rsidRDefault="00302BFE" w:rsidP="00243B15">
            <w:pPr>
              <w:spacing w:before="40" w:after="40"/>
              <w:rPr>
                <w:rFonts w:eastAsia="Times New Roman" w:cs="Calibri"/>
                <w:sz w:val="18"/>
                <w:szCs w:val="18"/>
                <w:lang w:val="en-GB"/>
              </w:rPr>
            </w:pPr>
            <w:r w:rsidRPr="00E03056">
              <w:rPr>
                <w:rFonts w:eastAsia="Times New Roman" w:cs="Calibri"/>
                <w:sz w:val="18"/>
                <w:szCs w:val="18"/>
                <w:lang w:val="en-GB"/>
              </w:rPr>
              <w:t>Budget reserve for possible fee adjustments based on the recruitment method for contracts under component 3 @ $7,500/year for years 2 to 6. Total amount $37,500</w:t>
            </w:r>
          </w:p>
        </w:tc>
      </w:tr>
      <w:tr w:rsidR="00302BFE" w:rsidRPr="006E490C" w14:paraId="3B36226C"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tcPr>
          <w:p w14:paraId="60D08D78" w14:textId="6060E389" w:rsidR="00302BFE" w:rsidRPr="006E490C" w:rsidRDefault="00D45B3D" w:rsidP="00243B15">
            <w:pPr>
              <w:spacing w:before="40" w:after="40"/>
              <w:jc w:val="center"/>
              <w:rPr>
                <w:rFonts w:eastAsia="Times New Roman" w:cs="Calibri"/>
                <w:i/>
                <w:iCs/>
                <w:sz w:val="18"/>
                <w:szCs w:val="18"/>
                <w:lang w:val="en-GB"/>
              </w:rPr>
            </w:pPr>
            <w:r>
              <w:rPr>
                <w:rFonts w:eastAsia="Times New Roman" w:cs="Calibri"/>
                <w:i/>
                <w:iCs/>
                <w:sz w:val="18"/>
                <w:szCs w:val="18"/>
                <w:lang w:val="en-GB"/>
              </w:rPr>
              <w:t>39</w:t>
            </w:r>
          </w:p>
        </w:tc>
        <w:tc>
          <w:tcPr>
            <w:tcW w:w="13687" w:type="dxa"/>
            <w:tcBorders>
              <w:top w:val="single" w:sz="4" w:space="0" w:color="auto"/>
              <w:left w:val="single" w:sz="4" w:space="0" w:color="auto"/>
              <w:bottom w:val="single" w:sz="4" w:space="0" w:color="auto"/>
              <w:right w:val="single" w:sz="4" w:space="0" w:color="auto"/>
            </w:tcBorders>
          </w:tcPr>
          <w:p w14:paraId="3BD0255D" w14:textId="77777777" w:rsidR="00302BFE" w:rsidRPr="00E03056" w:rsidRDefault="00302BFE" w:rsidP="00243B15">
            <w:pPr>
              <w:spacing w:before="40" w:after="40"/>
              <w:rPr>
                <w:rFonts w:eastAsia="Times New Roman" w:cs="Calibri"/>
                <w:sz w:val="18"/>
                <w:szCs w:val="18"/>
                <w:lang w:val="en-GB"/>
              </w:rPr>
            </w:pPr>
            <w:r w:rsidRPr="00E03056">
              <w:rPr>
                <w:rFonts w:cs="Calibri"/>
                <w:sz w:val="18"/>
                <w:szCs w:val="18"/>
                <w:lang w:val="en-CA"/>
              </w:rPr>
              <w:t>Budgetary reserve for possible contribution to the rental of the office of the PCU and to the acquisition of equipment and furniture, necessary for the conduct of the interventions under component 3 @ $3,000 / year for the years 1 to 6. Total cost: $ 18,000.</w:t>
            </w:r>
          </w:p>
        </w:tc>
      </w:tr>
      <w:tr w:rsidR="00302BFE" w:rsidRPr="006E490C" w14:paraId="173919D1" w14:textId="77777777" w:rsidTr="004F4EA2">
        <w:trPr>
          <w:jc w:val="center"/>
        </w:trPr>
        <w:tc>
          <w:tcPr>
            <w:tcW w:w="14390" w:type="dxa"/>
            <w:gridSpan w:val="2"/>
            <w:tcBorders>
              <w:top w:val="single" w:sz="4" w:space="0" w:color="auto"/>
              <w:left w:val="single" w:sz="4" w:space="0" w:color="auto"/>
              <w:bottom w:val="single" w:sz="4" w:space="0" w:color="auto"/>
              <w:right w:val="single" w:sz="4" w:space="0" w:color="auto"/>
            </w:tcBorders>
            <w:shd w:val="clear" w:color="auto" w:fill="DEEAF6"/>
            <w:hideMark/>
          </w:tcPr>
          <w:p w14:paraId="26D36792" w14:textId="77777777" w:rsidR="00302BFE" w:rsidRPr="006E490C" w:rsidRDefault="00302BFE" w:rsidP="00243B15">
            <w:pPr>
              <w:spacing w:before="40" w:after="40"/>
              <w:rPr>
                <w:rFonts w:cs="Calibri"/>
                <w:b/>
                <w:bCs/>
                <w:sz w:val="18"/>
                <w:szCs w:val="18"/>
                <w:lang w:val="en-GB"/>
              </w:rPr>
            </w:pPr>
            <w:r w:rsidRPr="006E490C">
              <w:rPr>
                <w:b/>
                <w:sz w:val="18"/>
                <w:szCs w:val="18"/>
                <w:lang w:val="en-GB"/>
              </w:rPr>
              <w:t>Component 4. Gender mainstreaming and knowledge management and learning</w:t>
            </w:r>
          </w:p>
        </w:tc>
      </w:tr>
      <w:tr w:rsidR="00302BFE" w:rsidRPr="006E490C" w14:paraId="2DB24FFB"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04A02F3C" w14:textId="20940A34" w:rsidR="00302BFE" w:rsidRPr="006E490C" w:rsidRDefault="00D45B3D" w:rsidP="00243B15">
            <w:pPr>
              <w:spacing w:before="40" w:after="40"/>
              <w:jc w:val="center"/>
              <w:rPr>
                <w:rFonts w:eastAsia="Times New Roman" w:cs="Calibri"/>
                <w:i/>
                <w:iCs/>
                <w:sz w:val="18"/>
                <w:szCs w:val="18"/>
                <w:lang w:val="en-GB"/>
              </w:rPr>
            </w:pPr>
            <w:r>
              <w:rPr>
                <w:rFonts w:eastAsia="Times New Roman" w:cs="Calibri"/>
                <w:i/>
                <w:iCs/>
                <w:sz w:val="18"/>
                <w:szCs w:val="18"/>
                <w:lang w:val="en-GB"/>
              </w:rPr>
              <w:t>40</w:t>
            </w:r>
          </w:p>
        </w:tc>
        <w:tc>
          <w:tcPr>
            <w:tcW w:w="13687" w:type="dxa"/>
            <w:tcBorders>
              <w:top w:val="single" w:sz="4" w:space="0" w:color="auto"/>
              <w:left w:val="single" w:sz="4" w:space="0" w:color="auto"/>
              <w:bottom w:val="single" w:sz="4" w:space="0" w:color="auto"/>
              <w:right w:val="single" w:sz="4" w:space="0" w:color="auto"/>
            </w:tcBorders>
            <w:hideMark/>
          </w:tcPr>
          <w:p w14:paraId="1040CF24"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a) Fees of the international consultant for the mid-term review of the project. Total cost: $ 16,250 in year 3 (Output 4.2).</w:t>
            </w:r>
          </w:p>
          <w:p w14:paraId="2157505A"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(b) Fees of the international consultant for the final evaluation of the project. Total cost: $ 19,600 in year 6 (Output 4.2).</w:t>
            </w:r>
          </w:p>
        </w:tc>
      </w:tr>
      <w:tr w:rsidR="00302BFE" w:rsidRPr="006E490C" w14:paraId="58BDE98D"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2CB32E5F" w14:textId="567ED289"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4</w:t>
            </w:r>
            <w:r w:rsidR="00D45B3D">
              <w:rPr>
                <w:rFonts w:eastAsia="Times New Roman" w:cs="Calibri"/>
                <w:i/>
                <w:iCs/>
                <w:sz w:val="18"/>
                <w:szCs w:val="18"/>
                <w:lang w:val="en-GB"/>
              </w:rPr>
              <w:t>1</w:t>
            </w:r>
          </w:p>
        </w:tc>
        <w:tc>
          <w:tcPr>
            <w:tcW w:w="13687" w:type="dxa"/>
            <w:tcBorders>
              <w:top w:val="single" w:sz="4" w:space="0" w:color="auto"/>
              <w:left w:val="single" w:sz="4" w:space="0" w:color="auto"/>
              <w:bottom w:val="single" w:sz="4" w:space="0" w:color="auto"/>
              <w:right w:val="single" w:sz="4" w:space="0" w:color="auto"/>
            </w:tcBorders>
            <w:hideMark/>
          </w:tcPr>
          <w:p w14:paraId="7106B259"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a) Fees for the national consultant for the mid-term review of the project. Total cost: $ 5,000 in year 3 (Output 4.2).</w:t>
            </w:r>
          </w:p>
          <w:p w14:paraId="28F4F73F"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(b) National consultant fees for the final evaluation of the project. Total cost: $ 5,600 in year 6 (Output 4.2).</w:t>
            </w:r>
          </w:p>
        </w:tc>
      </w:tr>
      <w:tr w:rsidR="00302BFE" w:rsidRPr="006E490C" w14:paraId="4D99CA6B"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08B5B2DF" w14:textId="277A60FA"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4</w:t>
            </w:r>
            <w:r w:rsidR="00D45B3D">
              <w:rPr>
                <w:rFonts w:eastAsia="Times New Roman" w:cs="Calibri"/>
                <w:i/>
                <w:iCs/>
                <w:sz w:val="18"/>
                <w:szCs w:val="18"/>
                <w:lang w:val="en-GB"/>
              </w:rPr>
              <w:t>2</w:t>
            </w:r>
          </w:p>
        </w:tc>
        <w:tc>
          <w:tcPr>
            <w:tcW w:w="13687" w:type="dxa"/>
            <w:tcBorders>
              <w:top w:val="single" w:sz="4" w:space="0" w:color="auto"/>
              <w:left w:val="single" w:sz="4" w:space="0" w:color="auto"/>
              <w:bottom w:val="single" w:sz="4" w:space="0" w:color="auto"/>
              <w:right w:val="single" w:sz="4" w:space="0" w:color="auto"/>
            </w:tcBorders>
            <w:hideMark/>
          </w:tcPr>
          <w:p w14:paraId="3D9BD706"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a) Project coordinator (20% of time for the component) responsible for providing technical inputs to all outputs under the component 4, including the output 4.1 for the development, implementation, monitoring and assessment of the Gender Action Plan, output 4.2 for knowledge management and output 4.3 for the dissemination of learnings made through the project. $400 / month over 6 years. Total cost: $ 28,800.</w:t>
            </w:r>
          </w:p>
          <w:p w14:paraId="1E94DBFF" w14:textId="77777777" w:rsidR="00302BFE" w:rsidRPr="006E490C"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b) Project driver / logistician (25% for the component) to support component 4 of the project @ $ 150 / month for 70 months - Total cost: $ 13,125</w:t>
            </w:r>
          </w:p>
          <w:p w14:paraId="4FC87ECE" w14:textId="77777777" w:rsidR="00302BFE" w:rsidRPr="00E03056" w:rsidRDefault="00302BFE" w:rsidP="00243B15">
            <w:pPr>
              <w:spacing w:before="40" w:after="40"/>
              <w:rPr>
                <w:rFonts w:eastAsia="Times New Roman" w:cs="Calibri"/>
                <w:sz w:val="18"/>
                <w:szCs w:val="18"/>
                <w:lang w:val="en-GB"/>
              </w:rPr>
            </w:pPr>
            <w:r w:rsidRPr="006E490C">
              <w:rPr>
                <w:rFonts w:eastAsia="Times New Roman" w:cs="Calibri"/>
                <w:sz w:val="18"/>
                <w:szCs w:val="18"/>
                <w:lang w:val="en-GB"/>
              </w:rPr>
              <w:t>c</w:t>
            </w:r>
            <w:r w:rsidRPr="00E03056">
              <w:rPr>
                <w:rFonts w:eastAsia="Times New Roman" w:cs="Calibri"/>
                <w:sz w:val="18"/>
                <w:szCs w:val="18"/>
                <w:lang w:val="en-GB"/>
              </w:rPr>
              <w:t>) Expert in Monitoring-Evaluation / Safeguards (50% for the component): Project monitoring, including undertaking and coordinating the establishment of baseline values for PRF indicators in the first year of the project, updating of the indicators of outcome 4 in cooperation with other project specialized staff for specific indicators, ongoing monitoring of environmental and social risks, and reporting as part of the annual review processes, for the PIR and the end of the year review. $850/ month for 12 months. Annual cost: $10,500 in years 1 to 6 total cost: $ 63,000 (Output 4.2).</w:t>
            </w:r>
          </w:p>
          <w:p w14:paraId="59B59561" w14:textId="77777777" w:rsidR="00302BFE" w:rsidRPr="00E03056" w:rsidRDefault="00302BFE" w:rsidP="00243B15">
            <w:pPr>
              <w:spacing w:before="40" w:after="40"/>
              <w:rPr>
                <w:rFonts w:eastAsia="Times New Roman" w:cs="Calibri"/>
                <w:sz w:val="18"/>
                <w:szCs w:val="18"/>
                <w:lang w:val="en-GB"/>
              </w:rPr>
            </w:pPr>
            <w:r w:rsidRPr="00E03056">
              <w:rPr>
                <w:rFonts w:eastAsia="Times New Roman" w:cs="Calibri"/>
                <w:sz w:val="18"/>
                <w:szCs w:val="18"/>
                <w:lang w:val="en-GB"/>
              </w:rPr>
              <w:t>d) Gender specialist (70% for the component) responsible for overseeing gender mainstreaming in the project and monitoring the implementation of the gender action plan, and especially under the component 4, planning and implementation of gender-sensitive socio-economic surveys to monitor women's participation and project impacts on women, and planning the evaluation of the project's contribution to removing barriers that prevent women from benefiting equitably from ecosystem services in the PONASI landscape (output 4.1). Annual rate: $7,350 in years 1 to 6. Total cost: $44,100</w:t>
            </w:r>
          </w:p>
          <w:p w14:paraId="26307D56" w14:textId="77777777" w:rsidR="00302BFE" w:rsidRDefault="00302BFE" w:rsidP="00243B15">
            <w:pPr>
              <w:spacing w:before="40" w:after="40"/>
              <w:rPr>
                <w:rFonts w:eastAsia="Times New Roman" w:cs="Calibri"/>
                <w:sz w:val="18"/>
                <w:szCs w:val="18"/>
                <w:lang w:val="en-GB"/>
              </w:rPr>
            </w:pPr>
            <w:r w:rsidRPr="00E03056">
              <w:rPr>
                <w:rFonts w:eastAsia="Times New Roman" w:cs="Calibri"/>
                <w:sz w:val="18"/>
                <w:szCs w:val="18"/>
                <w:lang w:val="en-GB"/>
              </w:rPr>
              <w:t xml:space="preserve">e) Communication / knowledge management expert (70% for the component) responsible for the development and implementation of the project communication strategy in support of all project components, </w:t>
            </w:r>
            <w:proofErr w:type="gramStart"/>
            <w:r w:rsidRPr="00E03056">
              <w:rPr>
                <w:rFonts w:eastAsia="Times New Roman" w:cs="Calibri"/>
                <w:sz w:val="18"/>
                <w:szCs w:val="18"/>
                <w:lang w:val="en-GB"/>
              </w:rPr>
              <w:t>communication</w:t>
            </w:r>
            <w:proofErr w:type="gramEnd"/>
            <w:r w:rsidRPr="00E03056">
              <w:rPr>
                <w:rFonts w:eastAsia="Times New Roman" w:cs="Calibri"/>
                <w:sz w:val="18"/>
                <w:szCs w:val="18"/>
                <w:lang w:val="en-GB"/>
              </w:rPr>
              <w:t xml:space="preserve"> and outreach activities (output 4.2), as well</w:t>
            </w:r>
            <w:r w:rsidRPr="006E490C">
              <w:rPr>
                <w:rFonts w:eastAsia="Times New Roman" w:cs="Calibri"/>
                <w:sz w:val="18"/>
                <w:szCs w:val="18"/>
                <w:lang w:val="en-GB"/>
              </w:rPr>
              <w:t xml:space="preserve"> as documentation and dissemination of lessons learned from best practices (output 4.3). Annual rate: $7,350 in years 1 to 6 total cost: $44,100</w:t>
            </w:r>
          </w:p>
          <w:p w14:paraId="2D451094" w14:textId="04568AC8" w:rsidR="00302BFE" w:rsidRPr="006E490C" w:rsidRDefault="00302BFE" w:rsidP="00243B15">
            <w:pPr>
              <w:spacing w:before="40" w:after="40"/>
              <w:rPr>
                <w:rFonts w:eastAsia="Times New Roman" w:cs="Calibri"/>
                <w:sz w:val="18"/>
                <w:szCs w:val="18"/>
                <w:lang w:val="en-GB"/>
              </w:rPr>
            </w:pPr>
            <w:r w:rsidRPr="006B1C88">
              <w:rPr>
                <w:rFonts w:eastAsia="Times New Roman" w:cs="Calibri"/>
                <w:sz w:val="18"/>
                <w:szCs w:val="18"/>
                <w:lang w:val="en-GB"/>
              </w:rPr>
              <w:t xml:space="preserve">f) Specialist in Environmental and Social Impact Assessment to prepare an Environmental and Social Management Plan for the project </w:t>
            </w:r>
            <w:r w:rsidR="00F47002" w:rsidRPr="006B1C88">
              <w:rPr>
                <w:rFonts w:eastAsia="Times New Roman" w:cs="Calibri"/>
                <w:sz w:val="18"/>
                <w:szCs w:val="18"/>
                <w:lang w:val="en-GB"/>
              </w:rPr>
              <w:t xml:space="preserve">(Outputs indicated in the ESMF, in attachment the </w:t>
            </w:r>
            <w:proofErr w:type="spellStart"/>
            <w:r w:rsidR="00F47002" w:rsidRPr="006B1C88">
              <w:rPr>
                <w:rFonts w:eastAsia="Times New Roman" w:cs="Calibri"/>
                <w:sz w:val="18"/>
                <w:szCs w:val="18"/>
                <w:lang w:val="en-GB"/>
              </w:rPr>
              <w:t>the</w:t>
            </w:r>
            <w:proofErr w:type="spellEnd"/>
            <w:r w:rsidR="00F47002" w:rsidRPr="006B1C88">
              <w:rPr>
                <w:rFonts w:eastAsia="Times New Roman" w:cs="Calibri"/>
                <w:sz w:val="18"/>
                <w:szCs w:val="18"/>
                <w:lang w:val="en-GB"/>
              </w:rPr>
              <w:t xml:space="preserve"> </w:t>
            </w:r>
            <w:proofErr w:type="spellStart"/>
            <w:r w:rsidR="00F47002" w:rsidRPr="006B1C88">
              <w:rPr>
                <w:rFonts w:eastAsia="Times New Roman" w:cs="Calibri"/>
                <w:sz w:val="18"/>
                <w:szCs w:val="18"/>
                <w:lang w:val="en-GB"/>
              </w:rPr>
              <w:t>ProDoc</w:t>
            </w:r>
            <w:proofErr w:type="spellEnd"/>
            <w:r w:rsidR="00F47002" w:rsidRPr="006B1C88">
              <w:rPr>
                <w:rFonts w:eastAsia="Times New Roman" w:cs="Calibri"/>
                <w:sz w:val="18"/>
                <w:szCs w:val="18"/>
                <w:lang w:val="en-GB"/>
              </w:rPr>
              <w:t>)</w:t>
            </w:r>
            <w:r w:rsidR="006B1C88">
              <w:rPr>
                <w:rFonts w:eastAsia="Times New Roman" w:cs="Calibri"/>
                <w:sz w:val="18"/>
                <w:szCs w:val="18"/>
                <w:lang w:val="en-GB"/>
              </w:rPr>
              <w:t xml:space="preserve"> </w:t>
            </w:r>
            <w:r w:rsidRPr="006B1C88">
              <w:rPr>
                <w:rFonts w:eastAsia="Times New Roman" w:cs="Calibri"/>
                <w:sz w:val="18"/>
                <w:szCs w:val="18"/>
                <w:lang w:val="en-GB"/>
              </w:rPr>
              <w:t>Rate: $20,000 in the 1</w:t>
            </w:r>
            <w:r w:rsidRPr="006B1C88">
              <w:rPr>
                <w:rFonts w:eastAsia="Times New Roman" w:cs="Calibri"/>
                <w:sz w:val="18"/>
                <w:szCs w:val="18"/>
                <w:vertAlign w:val="superscript"/>
                <w:lang w:val="en-GB"/>
              </w:rPr>
              <w:t>st</w:t>
            </w:r>
            <w:r w:rsidRPr="006B1C88">
              <w:rPr>
                <w:rFonts w:eastAsia="Times New Roman" w:cs="Calibri"/>
                <w:sz w:val="18"/>
                <w:szCs w:val="18"/>
                <w:lang w:val="en-GB"/>
              </w:rPr>
              <w:t xml:space="preserve"> year, paid as a lump sum based on the deliverables. The total amount shall be all-inclusive and include all costs components required to perform the deliverables identified in the TORs, including professional fee, travel costs, living allowance (for work to be done outside the consultant’s duty station) and any other applicable cost to be incurred by the consultant in completing the assignment. Total cost: $ </w:t>
            </w:r>
            <w:r w:rsidR="00E76957" w:rsidRPr="006B1C88">
              <w:rPr>
                <w:rFonts w:eastAsia="Times New Roman" w:cs="Calibri"/>
                <w:sz w:val="18"/>
                <w:szCs w:val="18"/>
                <w:lang w:val="en-GB"/>
              </w:rPr>
              <w:t>6</w:t>
            </w:r>
            <w:r w:rsidRPr="006B1C88">
              <w:rPr>
                <w:rFonts w:eastAsia="Times New Roman" w:cs="Calibri"/>
                <w:sz w:val="18"/>
                <w:szCs w:val="18"/>
                <w:lang w:val="en-GB"/>
              </w:rPr>
              <w:t>0,000.</w:t>
            </w:r>
          </w:p>
        </w:tc>
      </w:tr>
      <w:tr w:rsidR="00302BFE" w:rsidRPr="006E490C" w14:paraId="161FA955"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1FF73DBE" w14:textId="6B2EA17B"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4</w:t>
            </w:r>
            <w:r w:rsidR="00D45B3D">
              <w:rPr>
                <w:rFonts w:eastAsia="Times New Roman" w:cs="Calibri"/>
                <w:i/>
                <w:iCs/>
                <w:sz w:val="18"/>
                <w:szCs w:val="18"/>
                <w:lang w:val="en-GB"/>
              </w:rPr>
              <w:t>3</w:t>
            </w:r>
          </w:p>
        </w:tc>
        <w:tc>
          <w:tcPr>
            <w:tcW w:w="13687" w:type="dxa"/>
            <w:tcBorders>
              <w:top w:val="single" w:sz="4" w:space="0" w:color="auto"/>
              <w:left w:val="single" w:sz="4" w:space="0" w:color="auto"/>
              <w:bottom w:val="single" w:sz="4" w:space="0" w:color="auto"/>
              <w:right w:val="single" w:sz="4" w:space="0" w:color="auto"/>
            </w:tcBorders>
            <w:hideMark/>
          </w:tcPr>
          <w:p w14:paraId="3EE965F1" w14:textId="74F25F7E" w:rsidR="00302BFE" w:rsidRPr="006B1C88" w:rsidRDefault="00CF30FD" w:rsidP="00243B15">
            <w:pPr>
              <w:spacing w:before="40" w:after="40"/>
              <w:rPr>
                <w:rFonts w:eastAsia="Times New Roman" w:cs="Calibri"/>
                <w:sz w:val="18"/>
                <w:szCs w:val="18"/>
                <w:lang w:val="en-GB"/>
              </w:rPr>
            </w:pPr>
            <w:r w:rsidRPr="006B1C88">
              <w:rPr>
                <w:rFonts w:eastAsia="Times New Roman" w:cs="Calibri"/>
                <w:sz w:val="18"/>
                <w:szCs w:val="18"/>
                <w:lang w:val="en-GB"/>
              </w:rPr>
              <w:t>a</w:t>
            </w:r>
            <w:r w:rsidR="00302BFE" w:rsidRPr="006B1C88">
              <w:rPr>
                <w:rFonts w:eastAsia="Times New Roman" w:cs="Calibri"/>
                <w:sz w:val="18"/>
                <w:szCs w:val="18"/>
                <w:lang w:val="en-GB"/>
              </w:rPr>
              <w:t>) Lump sum (shared between all components) for fuel purchase and vehicle maintenance of the Project Coordination Unit to be used for most field missions (consultants and PCU staff) as well as for motorcycles for the travel of technical assistants and community mobilization assistants @ $ 1,500 / year. Total cost: $ 9,000</w:t>
            </w:r>
          </w:p>
          <w:p w14:paraId="1AF8A04D" w14:textId="521E7947" w:rsidR="00302BFE" w:rsidRPr="006B1C88" w:rsidRDefault="00CF30FD" w:rsidP="00243B15">
            <w:pPr>
              <w:spacing w:before="40" w:after="40"/>
              <w:rPr>
                <w:rFonts w:eastAsia="Times New Roman" w:cs="Calibri"/>
                <w:sz w:val="18"/>
                <w:szCs w:val="18"/>
                <w:lang w:val="en-GB"/>
              </w:rPr>
            </w:pPr>
            <w:r w:rsidRPr="006B1C88">
              <w:rPr>
                <w:rFonts w:eastAsia="Times New Roman" w:cs="Calibri"/>
                <w:sz w:val="18"/>
                <w:szCs w:val="18"/>
                <w:lang w:val="en-GB"/>
              </w:rPr>
              <w:t>b</w:t>
            </w:r>
            <w:r w:rsidR="00302BFE" w:rsidRPr="006B1C88">
              <w:rPr>
                <w:rFonts w:eastAsia="Times New Roman" w:cs="Calibri"/>
                <w:sz w:val="18"/>
                <w:szCs w:val="18"/>
                <w:lang w:val="en-GB"/>
              </w:rPr>
              <w:t>) Travel costs to oversee and monitor gender mainstreaming (Output 4.1): Total cost: $ 6,000 for years 1 to 6.</w:t>
            </w:r>
          </w:p>
          <w:p w14:paraId="4F2A63F7" w14:textId="2F97615C" w:rsidR="00302BFE" w:rsidRPr="006B1C88" w:rsidRDefault="00CF30FD" w:rsidP="00243B15">
            <w:pPr>
              <w:spacing w:before="40" w:after="40"/>
              <w:rPr>
                <w:rFonts w:eastAsia="Times New Roman" w:cs="Calibri"/>
                <w:sz w:val="18"/>
                <w:szCs w:val="18"/>
                <w:lang w:val="en-GB"/>
              </w:rPr>
            </w:pPr>
            <w:r w:rsidRPr="006B1C88">
              <w:rPr>
                <w:rFonts w:eastAsia="Times New Roman" w:cs="Calibri"/>
                <w:sz w:val="18"/>
                <w:szCs w:val="18"/>
                <w:lang w:val="en-GB"/>
              </w:rPr>
              <w:t>c</w:t>
            </w:r>
            <w:r w:rsidR="00302BFE" w:rsidRPr="006B1C88">
              <w:rPr>
                <w:rFonts w:eastAsia="Times New Roman" w:cs="Calibri"/>
                <w:sz w:val="18"/>
                <w:szCs w:val="18"/>
                <w:lang w:val="en-GB"/>
              </w:rPr>
              <w:t>) Travel expenses for the monitoring and evaluation of project activities by the monitoring and evaluation project expert: Total cost: $ 6,000 in years 1 to 6 (Output 4.2).</w:t>
            </w:r>
          </w:p>
          <w:p w14:paraId="2849EB33" w14:textId="364E0F2B" w:rsidR="00302BFE" w:rsidRPr="006B1C88" w:rsidRDefault="00CF30FD" w:rsidP="00243B15">
            <w:pPr>
              <w:spacing w:before="40" w:after="40"/>
              <w:rPr>
                <w:rFonts w:eastAsia="Times New Roman" w:cs="Calibri"/>
                <w:sz w:val="18"/>
                <w:szCs w:val="18"/>
                <w:lang w:val="en-GB"/>
              </w:rPr>
            </w:pPr>
            <w:r w:rsidRPr="006B1C88">
              <w:rPr>
                <w:rFonts w:eastAsia="Times New Roman" w:cs="Calibri"/>
                <w:sz w:val="18"/>
                <w:szCs w:val="18"/>
                <w:lang w:val="en-GB"/>
              </w:rPr>
              <w:lastRenderedPageBreak/>
              <w:t>d</w:t>
            </w:r>
            <w:r w:rsidR="00302BFE" w:rsidRPr="006B1C88">
              <w:rPr>
                <w:rFonts w:eastAsia="Times New Roman" w:cs="Calibri"/>
                <w:sz w:val="18"/>
                <w:szCs w:val="18"/>
                <w:lang w:val="en-GB"/>
              </w:rPr>
              <w:t>) Travel costs for the mid-term review of the project (including 1 international travel @ $ 1,500, $ 2,000 for daily subsistence allowance for the international consultant and $ 600 for the national consultant and the rental of a vehicle / driver for the field mission @ $ 200 / day for 6 days) Total cost: $ 5,300 in year 3 (Output 4.2).</w:t>
            </w:r>
          </w:p>
          <w:p w14:paraId="36D0CFA8" w14:textId="428E72D3" w:rsidR="00302BFE" w:rsidRPr="006B1C88" w:rsidRDefault="00CF30FD" w:rsidP="00243B15">
            <w:pPr>
              <w:spacing w:before="40" w:after="40"/>
              <w:rPr>
                <w:rFonts w:eastAsia="Times New Roman" w:cs="Calibri"/>
                <w:sz w:val="18"/>
                <w:szCs w:val="18"/>
                <w:lang w:val="en-GB"/>
              </w:rPr>
            </w:pPr>
            <w:r w:rsidRPr="006B1C88">
              <w:rPr>
                <w:rFonts w:eastAsia="Times New Roman" w:cs="Calibri"/>
                <w:sz w:val="18"/>
                <w:szCs w:val="18"/>
                <w:lang w:val="en-GB"/>
              </w:rPr>
              <w:t>e</w:t>
            </w:r>
            <w:r w:rsidR="00302BFE" w:rsidRPr="006B1C88">
              <w:rPr>
                <w:rFonts w:eastAsia="Times New Roman" w:cs="Calibri"/>
                <w:sz w:val="18"/>
                <w:szCs w:val="18"/>
                <w:lang w:val="en-GB"/>
              </w:rPr>
              <w:t>) Travel costs for the final evaluation of the project (including 1 international travel @ $ 1,500, $ 2,400 for daily living allowances for the international consultant and $ 800 for the national consultant and leasing a vehicle / driver for the field mission @ $ 200 / day for 8 days) Total cost: $ 6,300 in year 3 (Output 4.2).</w:t>
            </w:r>
          </w:p>
          <w:p w14:paraId="03BB287E" w14:textId="0F384084" w:rsidR="00302BFE" w:rsidRPr="006B1C88" w:rsidRDefault="00CF30FD" w:rsidP="00243B15">
            <w:pPr>
              <w:spacing w:before="40" w:after="40"/>
              <w:rPr>
                <w:rFonts w:eastAsia="Times New Roman" w:cs="Calibri"/>
                <w:sz w:val="18"/>
                <w:szCs w:val="18"/>
                <w:lang w:val="en-GB"/>
              </w:rPr>
            </w:pPr>
            <w:r w:rsidRPr="006B1C88">
              <w:rPr>
                <w:rFonts w:eastAsia="Times New Roman" w:cs="Calibri"/>
                <w:sz w:val="18"/>
                <w:szCs w:val="18"/>
                <w:lang w:val="en-GB"/>
              </w:rPr>
              <w:t>f</w:t>
            </w:r>
            <w:r w:rsidR="00302BFE" w:rsidRPr="006B1C88">
              <w:rPr>
                <w:rFonts w:eastAsia="Times New Roman" w:cs="Calibri"/>
                <w:sz w:val="18"/>
                <w:szCs w:val="18"/>
                <w:lang w:val="en-GB"/>
              </w:rPr>
              <w:t>) Travel Expenses for Communication and Knowledge Management Activities: Total Cost: $ 6,000 in years 1 to 6 (outputs 4.2 and 4.3).</w:t>
            </w:r>
          </w:p>
          <w:p w14:paraId="3E0D0FB0" w14:textId="1AB9416D" w:rsidR="00302BFE" w:rsidRPr="006B1C88" w:rsidRDefault="00CF30FD" w:rsidP="00243B15">
            <w:pPr>
              <w:spacing w:before="40" w:after="40"/>
              <w:rPr>
                <w:rFonts w:eastAsia="Times New Roman" w:cs="Calibri"/>
                <w:sz w:val="18"/>
                <w:szCs w:val="18"/>
                <w:lang w:val="en-GB"/>
              </w:rPr>
            </w:pPr>
            <w:r w:rsidRPr="006B1C88">
              <w:rPr>
                <w:rFonts w:eastAsia="Times New Roman" w:cs="Calibri"/>
                <w:sz w:val="18"/>
                <w:szCs w:val="18"/>
                <w:lang w:val="en-GB"/>
              </w:rPr>
              <w:t>g</w:t>
            </w:r>
            <w:r w:rsidR="00302BFE" w:rsidRPr="006B1C88">
              <w:rPr>
                <w:rFonts w:eastAsia="Times New Roman" w:cs="Calibri"/>
                <w:sz w:val="18"/>
                <w:szCs w:val="18"/>
                <w:lang w:val="en-GB"/>
              </w:rPr>
              <w:t xml:space="preserve">) Travel expenses </w:t>
            </w:r>
            <w:r w:rsidR="00C074CB" w:rsidRPr="006B1C88">
              <w:rPr>
                <w:rFonts w:eastAsia="Times New Roman" w:cs="Calibri"/>
                <w:sz w:val="18"/>
                <w:szCs w:val="18"/>
                <w:lang w:val="en-GB"/>
              </w:rPr>
              <w:t xml:space="preserve">related to </w:t>
            </w:r>
            <w:r w:rsidR="00E46DAC" w:rsidRPr="006B1C88">
              <w:rPr>
                <w:rFonts w:eastAsia="Times New Roman" w:cs="Calibri"/>
                <w:sz w:val="18"/>
                <w:szCs w:val="18"/>
                <w:lang w:val="en-GB"/>
              </w:rPr>
              <w:t xml:space="preserve">development of safeguards plans </w:t>
            </w:r>
            <w:r w:rsidR="00302BFE" w:rsidRPr="006B1C88">
              <w:rPr>
                <w:rFonts w:eastAsia="Times New Roman" w:cs="Calibri"/>
                <w:sz w:val="18"/>
                <w:szCs w:val="18"/>
                <w:lang w:val="en-GB"/>
              </w:rPr>
              <w:t>(output 4.</w:t>
            </w:r>
            <w:r w:rsidR="00E46DAC" w:rsidRPr="006B1C88">
              <w:rPr>
                <w:rFonts w:eastAsia="Times New Roman" w:cs="Calibri"/>
                <w:sz w:val="18"/>
                <w:szCs w:val="18"/>
                <w:lang w:val="en-GB"/>
              </w:rPr>
              <w:t>2</w:t>
            </w:r>
            <w:r w:rsidR="00302BFE" w:rsidRPr="006B1C88">
              <w:rPr>
                <w:rFonts w:eastAsia="Times New Roman" w:cs="Calibri"/>
                <w:sz w:val="18"/>
                <w:szCs w:val="18"/>
                <w:lang w:val="en-GB"/>
              </w:rPr>
              <w:t>). Total cost: $ 10,000</w:t>
            </w:r>
          </w:p>
        </w:tc>
      </w:tr>
      <w:tr w:rsidR="00302BFE" w:rsidRPr="006E490C" w14:paraId="622DBB30" w14:textId="77777777" w:rsidTr="0063211A">
        <w:trPr>
          <w:jc w:val="center"/>
        </w:trPr>
        <w:tc>
          <w:tcPr>
            <w:tcW w:w="703" w:type="dxa"/>
            <w:tcBorders>
              <w:top w:val="single" w:sz="4" w:space="0" w:color="auto"/>
              <w:left w:val="single" w:sz="4" w:space="0" w:color="auto"/>
              <w:bottom w:val="single" w:sz="4" w:space="0" w:color="auto"/>
              <w:right w:val="single" w:sz="4" w:space="0" w:color="auto"/>
            </w:tcBorders>
            <w:hideMark/>
          </w:tcPr>
          <w:p w14:paraId="57AFE5EA" w14:textId="4F622382"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lastRenderedPageBreak/>
              <w:t>4</w:t>
            </w:r>
            <w:r w:rsidR="00D45B3D">
              <w:rPr>
                <w:rFonts w:eastAsia="Times New Roman" w:cs="Calibri"/>
                <w:i/>
                <w:iCs/>
                <w:sz w:val="18"/>
                <w:szCs w:val="18"/>
                <w:lang w:val="en-GB"/>
              </w:rPr>
              <w:t>4</w:t>
            </w:r>
          </w:p>
        </w:tc>
        <w:tc>
          <w:tcPr>
            <w:tcW w:w="13687" w:type="dxa"/>
            <w:tcBorders>
              <w:top w:val="single" w:sz="4" w:space="0" w:color="auto"/>
              <w:left w:val="single" w:sz="4" w:space="0" w:color="auto"/>
              <w:bottom w:val="single" w:sz="4" w:space="0" w:color="auto"/>
              <w:right w:val="single" w:sz="4" w:space="0" w:color="auto"/>
            </w:tcBorders>
            <w:shd w:val="clear" w:color="auto" w:fill="auto"/>
            <w:hideMark/>
          </w:tcPr>
          <w:p w14:paraId="12141927" w14:textId="77777777" w:rsidR="00302BFE" w:rsidRPr="006B1C88" w:rsidRDefault="00302BFE" w:rsidP="00243B15">
            <w:pPr>
              <w:spacing w:before="40" w:after="40"/>
              <w:rPr>
                <w:rFonts w:eastAsia="Times New Roman" w:cs="Calibri"/>
                <w:sz w:val="18"/>
                <w:szCs w:val="18"/>
                <w:lang w:val="en-GB"/>
              </w:rPr>
            </w:pPr>
            <w:r w:rsidRPr="006B1C88">
              <w:rPr>
                <w:rFonts w:eastAsia="Times New Roman" w:cs="Calibri"/>
                <w:sz w:val="18"/>
                <w:szCs w:val="18"/>
                <w:lang w:val="en-GB"/>
              </w:rPr>
              <w:t xml:space="preserve">a) Editor / Graphic Design Specialist for the design of outreach materials to educate local communities and the general public about the environmental status of the PONASI landscape, the ecosystem services and benefits of PAs, and the urgent need to put an end to environmental degradation, following the instructions of the project's knowledge management / communication specialist (year 1); for the design of a series of printed materials (brochures, posters, thematic learning sheets and various awareness-raising materials) to support the education and sensitization of local communities in the PONASI landscape and the general public, regarding lessons learned and best practices on SLM, climate smart agriculture, sustainable forestry and pastoralism, and gender issues, taking care to use local illustrations and languages ​​for materials for local communities. Rate: $ </w:t>
            </w:r>
            <w:r w:rsidR="00406F2F" w:rsidRPr="006B1C88">
              <w:rPr>
                <w:rFonts w:eastAsia="Times New Roman" w:cs="Calibri"/>
                <w:sz w:val="18"/>
                <w:szCs w:val="18"/>
                <w:lang w:val="en-GB"/>
              </w:rPr>
              <w:t>2</w:t>
            </w:r>
            <w:r w:rsidRPr="006B1C88">
              <w:rPr>
                <w:rFonts w:eastAsia="Times New Roman" w:cs="Calibri"/>
                <w:sz w:val="18"/>
                <w:szCs w:val="18"/>
                <w:lang w:val="en-GB"/>
              </w:rPr>
              <w:t>0,000 lump sum based on year 1, 4 and 5 deliverables. Total cost: $ 20,000</w:t>
            </w:r>
          </w:p>
          <w:p w14:paraId="2815AA29" w14:textId="77777777" w:rsidR="00302BFE" w:rsidRPr="006B1C88" w:rsidRDefault="00302BFE" w:rsidP="00243B15">
            <w:pPr>
              <w:spacing w:before="40" w:after="40"/>
              <w:rPr>
                <w:rFonts w:eastAsia="Times New Roman" w:cs="Calibri"/>
                <w:sz w:val="18"/>
                <w:szCs w:val="18"/>
                <w:lang w:val="en-GB"/>
              </w:rPr>
            </w:pPr>
            <w:r w:rsidRPr="006B1C88">
              <w:rPr>
                <w:rFonts w:eastAsia="Times New Roman" w:cs="Calibri"/>
                <w:sz w:val="18"/>
                <w:szCs w:val="18"/>
                <w:lang w:val="en-GB"/>
              </w:rPr>
              <w:t xml:space="preserve">(b) </w:t>
            </w:r>
            <w:r w:rsidRPr="006B1C88">
              <w:rPr>
                <w:rFonts w:eastAsia="Times New Roman" w:cs="Calibri"/>
                <w:color w:val="000000"/>
                <w:sz w:val="18"/>
                <w:szCs w:val="18"/>
                <w:lang w:val="en-GB"/>
              </w:rPr>
              <w:t xml:space="preserve">NGOs and </w:t>
            </w:r>
            <w:r w:rsidRPr="006B1C88">
              <w:rPr>
                <w:rFonts w:eastAsia="Times New Roman" w:cs="Calibri"/>
                <w:sz w:val="18"/>
                <w:szCs w:val="18"/>
                <w:lang w:val="en-GB"/>
              </w:rPr>
              <w:t xml:space="preserve">environmental associations to design and organize various awareness-raising campaigns to strengthen the ownership of project proposals in terms of biodiversity conservation, sustainable </w:t>
            </w:r>
            <w:proofErr w:type="gramStart"/>
            <w:r w:rsidRPr="006B1C88">
              <w:rPr>
                <w:rFonts w:eastAsia="Times New Roman" w:cs="Calibri"/>
                <w:sz w:val="18"/>
                <w:szCs w:val="18"/>
                <w:lang w:val="en-GB"/>
              </w:rPr>
              <w:t>management</w:t>
            </w:r>
            <w:proofErr w:type="gramEnd"/>
            <w:r w:rsidRPr="006B1C88">
              <w:rPr>
                <w:rFonts w:eastAsia="Times New Roman" w:cs="Calibri"/>
                <w:sz w:val="18"/>
                <w:szCs w:val="18"/>
                <w:lang w:val="en-GB"/>
              </w:rPr>
              <w:t xml:space="preserve"> and sustainable use of natural resources, in accordance with project communication plan developed by the project's communication / knowledge management expert (output 4.3). Rate: $ 30,000 paid on a lump sum basis based on deliverables from years 1 to 6. Total cost: $ 30,000</w:t>
            </w:r>
          </w:p>
        </w:tc>
      </w:tr>
      <w:tr w:rsidR="00302BFE" w:rsidRPr="006E490C" w14:paraId="5B3C0AE0" w14:textId="77777777" w:rsidTr="0063211A">
        <w:trPr>
          <w:jc w:val="center"/>
        </w:trPr>
        <w:tc>
          <w:tcPr>
            <w:tcW w:w="703" w:type="dxa"/>
            <w:tcBorders>
              <w:top w:val="single" w:sz="4" w:space="0" w:color="auto"/>
              <w:left w:val="single" w:sz="4" w:space="0" w:color="auto"/>
              <w:bottom w:val="single" w:sz="4" w:space="0" w:color="auto"/>
              <w:right w:val="single" w:sz="4" w:space="0" w:color="auto"/>
            </w:tcBorders>
            <w:hideMark/>
          </w:tcPr>
          <w:p w14:paraId="0F73078B" w14:textId="2AEE5035" w:rsidR="00302BFE" w:rsidRPr="00EF6D8E" w:rsidRDefault="00302BFE" w:rsidP="00243B15">
            <w:pPr>
              <w:spacing w:before="40" w:after="40"/>
              <w:jc w:val="center"/>
              <w:rPr>
                <w:rFonts w:eastAsia="Times New Roman" w:cs="Calibri"/>
                <w:i/>
                <w:iCs/>
                <w:sz w:val="18"/>
                <w:szCs w:val="18"/>
                <w:lang w:val="en-GB"/>
              </w:rPr>
            </w:pPr>
            <w:r w:rsidRPr="00EF6D8E">
              <w:rPr>
                <w:rFonts w:eastAsia="Times New Roman" w:cs="Calibri"/>
                <w:i/>
                <w:iCs/>
                <w:sz w:val="18"/>
                <w:szCs w:val="18"/>
                <w:lang w:val="en-GB"/>
              </w:rPr>
              <w:t>4</w:t>
            </w:r>
            <w:r w:rsidR="00D45B3D">
              <w:rPr>
                <w:rFonts w:eastAsia="Times New Roman" w:cs="Calibri"/>
                <w:i/>
                <w:iCs/>
                <w:sz w:val="18"/>
                <w:szCs w:val="18"/>
                <w:lang w:val="en-GB"/>
              </w:rPr>
              <w:t>5</w:t>
            </w:r>
          </w:p>
        </w:tc>
        <w:tc>
          <w:tcPr>
            <w:tcW w:w="13687" w:type="dxa"/>
            <w:tcBorders>
              <w:top w:val="single" w:sz="4" w:space="0" w:color="auto"/>
              <w:left w:val="single" w:sz="4" w:space="0" w:color="auto"/>
              <w:bottom w:val="single" w:sz="4" w:space="0" w:color="auto"/>
              <w:right w:val="single" w:sz="4" w:space="0" w:color="auto"/>
            </w:tcBorders>
            <w:shd w:val="clear" w:color="auto" w:fill="auto"/>
            <w:hideMark/>
          </w:tcPr>
          <w:p w14:paraId="72D93A18" w14:textId="1D27D9B4" w:rsidR="00784057" w:rsidRPr="006B1C88" w:rsidRDefault="00784057" w:rsidP="00243B15">
            <w:pPr>
              <w:spacing w:before="40" w:after="40"/>
              <w:rPr>
                <w:rFonts w:cs="Calibri"/>
                <w:color w:val="000000"/>
                <w:sz w:val="18"/>
                <w:szCs w:val="18"/>
                <w:lang w:val="en-GB"/>
              </w:rPr>
            </w:pPr>
            <w:r w:rsidRPr="006B1C88">
              <w:rPr>
                <w:rFonts w:cs="Calibri"/>
                <w:color w:val="000000"/>
                <w:sz w:val="18"/>
                <w:szCs w:val="18"/>
                <w:lang w:val="en-GB"/>
              </w:rPr>
              <w:t>a) Professional Services for the monitoring of the implementation of the Stakeholder Engagement Plan and the Gender Action Plan ($4,000 per year in years 2-5, $20,000 total)</w:t>
            </w:r>
          </w:p>
          <w:p w14:paraId="3689B045" w14:textId="60277352" w:rsidR="00302BFE" w:rsidRPr="006B1C88" w:rsidRDefault="00784057" w:rsidP="00243B15">
            <w:pPr>
              <w:spacing w:before="40" w:after="40"/>
              <w:rPr>
                <w:rFonts w:eastAsia="Times New Roman" w:cs="Calibri"/>
                <w:sz w:val="18"/>
                <w:szCs w:val="18"/>
                <w:lang w:val="en-GB"/>
              </w:rPr>
            </w:pPr>
            <w:r w:rsidRPr="006B1C88">
              <w:rPr>
                <w:rFonts w:cs="Calibri"/>
                <w:color w:val="000000"/>
                <w:sz w:val="18"/>
                <w:szCs w:val="18"/>
                <w:lang w:val="en-GB"/>
              </w:rPr>
              <w:t xml:space="preserve">b) </w:t>
            </w:r>
            <w:r w:rsidR="001B1641" w:rsidRPr="006B1C88">
              <w:rPr>
                <w:rFonts w:cs="Calibri"/>
                <w:color w:val="000000"/>
                <w:sz w:val="18"/>
                <w:szCs w:val="18"/>
                <w:lang w:val="en-GB"/>
              </w:rPr>
              <w:t>P</w:t>
            </w:r>
            <w:r w:rsidR="00302BFE" w:rsidRPr="006B1C88">
              <w:rPr>
                <w:rFonts w:cs="Calibri"/>
                <w:color w:val="000000"/>
                <w:sz w:val="18"/>
                <w:szCs w:val="18"/>
                <w:lang w:val="en-GB"/>
              </w:rPr>
              <w:t>rofessional Services for the English translation of the Mid-Term Evaluation (Year 3) and Final Evaluation (Year 6) reports @ $ 5,000 / report. Total cost: $ 10,000</w:t>
            </w:r>
          </w:p>
        </w:tc>
      </w:tr>
      <w:tr w:rsidR="00302BFE" w:rsidRPr="006E490C" w14:paraId="1C6FF54B" w14:textId="77777777" w:rsidTr="0063211A">
        <w:trPr>
          <w:jc w:val="center"/>
        </w:trPr>
        <w:tc>
          <w:tcPr>
            <w:tcW w:w="703" w:type="dxa"/>
            <w:tcBorders>
              <w:top w:val="single" w:sz="4" w:space="0" w:color="auto"/>
              <w:left w:val="single" w:sz="4" w:space="0" w:color="auto"/>
              <w:bottom w:val="single" w:sz="4" w:space="0" w:color="auto"/>
              <w:right w:val="single" w:sz="4" w:space="0" w:color="auto"/>
            </w:tcBorders>
            <w:hideMark/>
          </w:tcPr>
          <w:p w14:paraId="297A1BFA" w14:textId="5A77B83A"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4</w:t>
            </w:r>
            <w:r w:rsidR="00D45B3D">
              <w:rPr>
                <w:rFonts w:eastAsia="Times New Roman" w:cs="Calibri"/>
                <w:i/>
                <w:iCs/>
                <w:sz w:val="18"/>
                <w:szCs w:val="18"/>
                <w:lang w:val="en-GB"/>
              </w:rPr>
              <w:t>6</w:t>
            </w:r>
          </w:p>
        </w:tc>
        <w:tc>
          <w:tcPr>
            <w:tcW w:w="13687" w:type="dxa"/>
            <w:tcBorders>
              <w:top w:val="single" w:sz="4" w:space="0" w:color="auto"/>
              <w:left w:val="single" w:sz="4" w:space="0" w:color="auto"/>
              <w:bottom w:val="single" w:sz="4" w:space="0" w:color="auto"/>
              <w:right w:val="single" w:sz="4" w:space="0" w:color="auto"/>
            </w:tcBorders>
            <w:shd w:val="clear" w:color="auto" w:fill="auto"/>
            <w:hideMark/>
          </w:tcPr>
          <w:p w14:paraId="4C900F2D" w14:textId="77777777" w:rsidR="00302BFE" w:rsidRPr="006B1C88" w:rsidRDefault="00302BFE" w:rsidP="00243B15">
            <w:pPr>
              <w:spacing w:before="40" w:after="40"/>
              <w:rPr>
                <w:rFonts w:eastAsia="Times New Roman" w:cs="Calibri"/>
                <w:sz w:val="18"/>
                <w:szCs w:val="18"/>
                <w:lang w:val="en-GB"/>
              </w:rPr>
            </w:pPr>
            <w:r w:rsidRPr="006B1C88">
              <w:rPr>
                <w:rFonts w:eastAsia="Times New Roman" w:cs="Calibri"/>
                <w:sz w:val="18"/>
                <w:szCs w:val="18"/>
                <w:lang w:val="en-GB"/>
              </w:rPr>
              <w:t>a) Publications and media products related to knowledge management and communication. Total cost: $ 20,000 in years 2 to 6 (outputs 4.2 and 4.3).</w:t>
            </w:r>
          </w:p>
          <w:p w14:paraId="4DA30484" w14:textId="77777777" w:rsidR="00302BFE" w:rsidRPr="006B1C88" w:rsidRDefault="00302BFE" w:rsidP="00243B15">
            <w:pPr>
              <w:spacing w:before="40" w:after="40"/>
              <w:rPr>
                <w:rFonts w:eastAsia="Times New Roman" w:cs="Calibri"/>
                <w:sz w:val="18"/>
                <w:szCs w:val="18"/>
                <w:lang w:val="en-GB"/>
              </w:rPr>
            </w:pPr>
            <w:r w:rsidRPr="006B1C88">
              <w:rPr>
                <w:rFonts w:eastAsia="Times New Roman" w:cs="Calibri"/>
                <w:sz w:val="18"/>
                <w:szCs w:val="18"/>
                <w:lang w:val="en-GB"/>
              </w:rPr>
              <w:t>b) Development of the project website. Total cost: $ 8,000 Year 1 (Outputs 4.2 and 4.3)</w:t>
            </w:r>
          </w:p>
          <w:p w14:paraId="01F12DA0" w14:textId="77777777" w:rsidR="00302BFE" w:rsidRPr="006B1C88" w:rsidRDefault="00302BFE" w:rsidP="00243B15">
            <w:pPr>
              <w:spacing w:before="40" w:after="40"/>
              <w:rPr>
                <w:rFonts w:eastAsia="Times New Roman" w:cs="Calibri"/>
                <w:sz w:val="18"/>
                <w:szCs w:val="18"/>
                <w:lang w:val="en-GB"/>
              </w:rPr>
            </w:pPr>
            <w:r w:rsidRPr="006B1C88">
              <w:rPr>
                <w:rFonts w:eastAsia="Times New Roman" w:cs="Calibri"/>
                <w:sz w:val="18"/>
                <w:szCs w:val="18"/>
                <w:lang w:val="en-GB"/>
              </w:rPr>
              <w:t xml:space="preserve">c) Printing costs of the project impact analysis report on the issue of women in versions for the </w:t>
            </w:r>
            <w:proofErr w:type="gramStart"/>
            <w:r w:rsidRPr="006B1C88">
              <w:rPr>
                <w:rFonts w:eastAsia="Times New Roman" w:cs="Calibri"/>
                <w:sz w:val="18"/>
                <w:szCs w:val="18"/>
                <w:lang w:val="en-GB"/>
              </w:rPr>
              <w:t>general public</w:t>
            </w:r>
            <w:proofErr w:type="gramEnd"/>
            <w:r w:rsidRPr="006B1C88">
              <w:rPr>
                <w:rFonts w:eastAsia="Times New Roman" w:cs="Calibri"/>
                <w:sz w:val="18"/>
                <w:szCs w:val="18"/>
                <w:lang w:val="en-GB"/>
              </w:rPr>
              <w:t xml:space="preserve">, academic and government sectors version as well as a version for local communities (output 4.1), for 20 thematic learning sheets (4-page colour leaflets of with photos and diagrams) (output 4.2), for 5 training documents (approximately 20 pages) in 100 copies, and for 20 datasheets for local communities (output 4.2). Total cost: $ 30,000 in years 4, 5, 6. </w:t>
            </w:r>
          </w:p>
        </w:tc>
      </w:tr>
      <w:tr w:rsidR="00302BFE" w:rsidRPr="006E490C" w14:paraId="1C09C612"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0E22117F" w14:textId="5667C10D"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4</w:t>
            </w:r>
            <w:r w:rsidR="00D45B3D">
              <w:rPr>
                <w:rFonts w:eastAsia="Times New Roman" w:cs="Calibri"/>
                <w:i/>
                <w:iCs/>
                <w:sz w:val="18"/>
                <w:szCs w:val="18"/>
                <w:lang w:val="en-GB"/>
              </w:rPr>
              <w:t>7</w:t>
            </w:r>
          </w:p>
        </w:tc>
        <w:tc>
          <w:tcPr>
            <w:tcW w:w="13687" w:type="dxa"/>
            <w:tcBorders>
              <w:top w:val="single" w:sz="4" w:space="0" w:color="auto"/>
              <w:left w:val="single" w:sz="4" w:space="0" w:color="auto"/>
              <w:bottom w:val="single" w:sz="4" w:space="0" w:color="auto"/>
              <w:right w:val="single" w:sz="4" w:space="0" w:color="auto"/>
            </w:tcBorders>
            <w:hideMark/>
          </w:tcPr>
          <w:p w14:paraId="4C05F80C" w14:textId="61F827FE" w:rsidR="00302BFE" w:rsidRPr="006B1C88" w:rsidRDefault="00302BFE" w:rsidP="00243B15">
            <w:pPr>
              <w:spacing w:before="40" w:after="40"/>
              <w:rPr>
                <w:rFonts w:eastAsia="Times New Roman" w:cs="Calibri"/>
                <w:sz w:val="18"/>
                <w:szCs w:val="18"/>
                <w:lang w:val="en-GB"/>
              </w:rPr>
            </w:pPr>
            <w:r w:rsidRPr="006B1C88">
              <w:rPr>
                <w:rFonts w:cs="Calibri"/>
                <w:color w:val="000000"/>
                <w:sz w:val="18"/>
                <w:szCs w:val="18"/>
                <w:lang w:val="en-GB"/>
              </w:rPr>
              <w:t>Incidental costs related to gender mainstreaming and knowledge management and learning</w:t>
            </w:r>
            <w:r w:rsidR="00886171" w:rsidRPr="006B1C88">
              <w:rPr>
                <w:rFonts w:cs="Calibri"/>
                <w:color w:val="000000"/>
                <w:sz w:val="18"/>
                <w:szCs w:val="18"/>
                <w:lang w:val="en-GB"/>
              </w:rPr>
              <w:t xml:space="preserve">, including ESIA public </w:t>
            </w:r>
            <w:r w:rsidR="00C65B85" w:rsidRPr="006B1C88">
              <w:rPr>
                <w:rFonts w:cs="Calibri"/>
                <w:color w:val="000000"/>
                <w:sz w:val="18"/>
                <w:szCs w:val="18"/>
                <w:lang w:val="en-GB"/>
              </w:rPr>
              <w:t>consultations</w:t>
            </w:r>
            <w:r w:rsidRPr="006B1C88">
              <w:rPr>
                <w:rFonts w:cs="Calibri"/>
                <w:color w:val="000000"/>
                <w:sz w:val="18"/>
                <w:szCs w:val="18"/>
                <w:lang w:val="en-GB"/>
              </w:rPr>
              <w:t xml:space="preserve">. Total cost: $ </w:t>
            </w:r>
            <w:r w:rsidR="002C6F35" w:rsidRPr="006B1C88">
              <w:rPr>
                <w:rFonts w:cs="Calibri"/>
                <w:color w:val="000000"/>
                <w:sz w:val="18"/>
                <w:szCs w:val="18"/>
                <w:lang w:val="en-GB"/>
              </w:rPr>
              <w:t>3</w:t>
            </w:r>
            <w:r w:rsidR="00AD796F" w:rsidRPr="006B1C88">
              <w:rPr>
                <w:rFonts w:cs="Calibri"/>
                <w:color w:val="000000"/>
                <w:sz w:val="18"/>
                <w:szCs w:val="18"/>
                <w:lang w:val="en-GB"/>
              </w:rPr>
              <w:t>5</w:t>
            </w:r>
            <w:r w:rsidRPr="006B1C88">
              <w:rPr>
                <w:rFonts w:cs="Calibri"/>
                <w:color w:val="000000"/>
                <w:sz w:val="18"/>
                <w:szCs w:val="18"/>
                <w:lang w:val="en-GB"/>
              </w:rPr>
              <w:t>,498 in Years 1-6 (for all outputs in the component).</w:t>
            </w:r>
          </w:p>
        </w:tc>
      </w:tr>
      <w:tr w:rsidR="00302BFE" w:rsidRPr="006E490C" w14:paraId="65A9EF65"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3E004E9F" w14:textId="11313153" w:rsidR="00302BFE" w:rsidRPr="006E490C" w:rsidRDefault="006B1C88" w:rsidP="00243B15">
            <w:pPr>
              <w:spacing w:before="40" w:after="40"/>
              <w:jc w:val="center"/>
              <w:rPr>
                <w:rFonts w:eastAsia="Times New Roman" w:cs="Calibri"/>
                <w:i/>
                <w:iCs/>
                <w:sz w:val="18"/>
                <w:szCs w:val="18"/>
                <w:lang w:val="en-GB"/>
              </w:rPr>
            </w:pPr>
            <w:r>
              <w:rPr>
                <w:rFonts w:eastAsia="Times New Roman" w:cs="Calibri"/>
                <w:i/>
                <w:iCs/>
                <w:sz w:val="18"/>
                <w:szCs w:val="18"/>
                <w:lang w:val="en-GB"/>
              </w:rPr>
              <w:t>4</w:t>
            </w:r>
            <w:r w:rsidR="00D45B3D">
              <w:rPr>
                <w:rFonts w:eastAsia="Times New Roman" w:cs="Calibri"/>
                <w:i/>
                <w:iCs/>
                <w:sz w:val="18"/>
                <w:szCs w:val="18"/>
                <w:lang w:val="en-GB"/>
              </w:rPr>
              <w:t>8</w:t>
            </w:r>
          </w:p>
        </w:tc>
        <w:tc>
          <w:tcPr>
            <w:tcW w:w="13687" w:type="dxa"/>
            <w:tcBorders>
              <w:top w:val="single" w:sz="4" w:space="0" w:color="auto"/>
              <w:left w:val="single" w:sz="4" w:space="0" w:color="auto"/>
              <w:bottom w:val="single" w:sz="4" w:space="0" w:color="auto"/>
              <w:right w:val="single" w:sz="4" w:space="0" w:color="auto"/>
            </w:tcBorders>
            <w:hideMark/>
          </w:tcPr>
          <w:p w14:paraId="2CD4F870" w14:textId="77777777" w:rsidR="00302BFE" w:rsidRPr="006E490C" w:rsidRDefault="00302BFE" w:rsidP="00243B15">
            <w:pPr>
              <w:spacing w:before="40" w:after="40"/>
              <w:rPr>
                <w:sz w:val="18"/>
                <w:szCs w:val="18"/>
                <w:lang w:val="en-GB"/>
              </w:rPr>
            </w:pPr>
            <w:r w:rsidRPr="006E490C">
              <w:rPr>
                <w:sz w:val="18"/>
                <w:szCs w:val="18"/>
                <w:lang w:val="en-GB"/>
              </w:rPr>
              <w:t xml:space="preserve">a) Project </w:t>
            </w:r>
            <w:r w:rsidR="00EC6FC2">
              <w:rPr>
                <w:sz w:val="18"/>
                <w:szCs w:val="18"/>
                <w:lang w:val="en-GB"/>
              </w:rPr>
              <w:t>inception</w:t>
            </w:r>
            <w:r w:rsidRPr="006E490C">
              <w:rPr>
                <w:sz w:val="18"/>
                <w:szCs w:val="18"/>
                <w:lang w:val="en-GB"/>
              </w:rPr>
              <w:t xml:space="preserve"> workshop. Total cost $ 5,000 during Year 1.</w:t>
            </w:r>
          </w:p>
          <w:p w14:paraId="014BAFE4" w14:textId="77777777" w:rsidR="00302BFE" w:rsidRPr="006E490C" w:rsidRDefault="00302BFE" w:rsidP="00243B15">
            <w:pPr>
              <w:spacing w:before="40" w:after="40"/>
              <w:rPr>
                <w:sz w:val="18"/>
                <w:szCs w:val="18"/>
                <w:lang w:val="en-GB"/>
              </w:rPr>
            </w:pPr>
            <w:r w:rsidRPr="006E490C">
              <w:rPr>
                <w:sz w:val="18"/>
                <w:szCs w:val="18"/>
                <w:lang w:val="en-GB"/>
              </w:rPr>
              <w:t>b) Participatory assessments of project progress related to annual planning and Knowledge Forums to share lessons learned and good practices with project stakeholders (Output 4.2). Average Cost in Years 2 to 6 - Total Cost: $ 5,000</w:t>
            </w:r>
          </w:p>
          <w:p w14:paraId="4FA77114" w14:textId="77777777" w:rsidR="00302BFE" w:rsidRPr="006E490C" w:rsidRDefault="00302BFE" w:rsidP="00243B15">
            <w:pPr>
              <w:spacing w:before="40" w:after="40"/>
              <w:rPr>
                <w:rFonts w:eastAsia="Times New Roman" w:cs="Calibri"/>
                <w:sz w:val="18"/>
                <w:szCs w:val="18"/>
                <w:lang w:val="en-GB"/>
              </w:rPr>
            </w:pPr>
            <w:r w:rsidRPr="006E490C">
              <w:rPr>
                <w:sz w:val="18"/>
                <w:szCs w:val="18"/>
                <w:lang w:val="en-GB"/>
              </w:rPr>
              <w:t>c) Project Council meetings. Total cost: $ 3,000 in years 1 to 6 (Output 4.2).</w:t>
            </w:r>
          </w:p>
        </w:tc>
      </w:tr>
      <w:tr w:rsidR="00302BFE" w:rsidRPr="006E490C" w14:paraId="7B90F48A"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tcPr>
          <w:p w14:paraId="4351E6E8" w14:textId="1EB7B42F" w:rsidR="00302BFE" w:rsidRPr="006E490C" w:rsidRDefault="00D45B3D" w:rsidP="00243B15">
            <w:pPr>
              <w:spacing w:before="40" w:after="40"/>
              <w:jc w:val="center"/>
              <w:rPr>
                <w:rFonts w:eastAsia="Times New Roman" w:cs="Calibri"/>
                <w:i/>
                <w:iCs/>
                <w:sz w:val="18"/>
                <w:szCs w:val="18"/>
                <w:lang w:val="en-GB"/>
              </w:rPr>
            </w:pPr>
            <w:r>
              <w:rPr>
                <w:rFonts w:eastAsia="Times New Roman" w:cs="Calibri"/>
                <w:i/>
                <w:iCs/>
                <w:sz w:val="18"/>
                <w:szCs w:val="18"/>
                <w:lang w:val="en-GB"/>
              </w:rPr>
              <w:t>49</w:t>
            </w:r>
          </w:p>
        </w:tc>
        <w:tc>
          <w:tcPr>
            <w:tcW w:w="13687" w:type="dxa"/>
            <w:tcBorders>
              <w:top w:val="single" w:sz="4" w:space="0" w:color="auto"/>
              <w:left w:val="single" w:sz="4" w:space="0" w:color="auto"/>
              <w:bottom w:val="single" w:sz="4" w:space="0" w:color="auto"/>
              <w:right w:val="single" w:sz="4" w:space="0" w:color="auto"/>
            </w:tcBorders>
          </w:tcPr>
          <w:p w14:paraId="38143DBB" w14:textId="77777777" w:rsidR="00302BFE" w:rsidRPr="006E490C" w:rsidRDefault="00302BFE" w:rsidP="00243B15">
            <w:pPr>
              <w:spacing w:before="40" w:after="40"/>
              <w:rPr>
                <w:sz w:val="18"/>
                <w:szCs w:val="18"/>
                <w:lang w:val="en-GB"/>
              </w:rPr>
            </w:pPr>
            <w:r w:rsidRPr="006E490C">
              <w:rPr>
                <w:rFonts w:cs="Calibri"/>
                <w:sz w:val="18"/>
                <w:szCs w:val="18"/>
                <w:lang w:val="en-CA"/>
              </w:rPr>
              <w:t>Mission expenses / periodic monitoring and technical support for component 4 activities by UNDP staff @ $2,000 / year. Total cost $12,000.</w:t>
            </w:r>
          </w:p>
        </w:tc>
      </w:tr>
      <w:tr w:rsidR="00302BFE" w:rsidRPr="006E490C" w14:paraId="179280BA"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tcPr>
          <w:p w14:paraId="03024886" w14:textId="69630FBD"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5</w:t>
            </w:r>
            <w:r w:rsidR="00D45B3D">
              <w:rPr>
                <w:rFonts w:eastAsia="Times New Roman" w:cs="Calibri"/>
                <w:i/>
                <w:iCs/>
                <w:sz w:val="18"/>
                <w:szCs w:val="18"/>
                <w:lang w:val="en-GB"/>
              </w:rPr>
              <w:t>0</w:t>
            </w:r>
          </w:p>
        </w:tc>
        <w:tc>
          <w:tcPr>
            <w:tcW w:w="13687" w:type="dxa"/>
            <w:tcBorders>
              <w:top w:val="single" w:sz="4" w:space="0" w:color="auto"/>
              <w:left w:val="single" w:sz="4" w:space="0" w:color="auto"/>
              <w:bottom w:val="single" w:sz="4" w:space="0" w:color="auto"/>
              <w:right w:val="single" w:sz="4" w:space="0" w:color="auto"/>
            </w:tcBorders>
          </w:tcPr>
          <w:p w14:paraId="09A4EFDC" w14:textId="77777777" w:rsidR="00302BFE" w:rsidRPr="00E03056" w:rsidRDefault="00302BFE" w:rsidP="00243B15">
            <w:pPr>
              <w:spacing w:before="40" w:after="40"/>
              <w:rPr>
                <w:sz w:val="18"/>
                <w:szCs w:val="18"/>
                <w:lang w:val="en-GB"/>
              </w:rPr>
            </w:pPr>
            <w:r w:rsidRPr="00E03056">
              <w:rPr>
                <w:rFonts w:eastAsia="Times New Roman" w:cs="Calibri"/>
                <w:sz w:val="18"/>
                <w:szCs w:val="18"/>
                <w:lang w:val="en-GB"/>
              </w:rPr>
              <w:t>Budget reserve for possible fee adjustments based on the recruitment method for contracts under component 4 @ $ $7,500/year for years 2 to 6. Total amount $ 37,500</w:t>
            </w:r>
          </w:p>
        </w:tc>
      </w:tr>
      <w:tr w:rsidR="00302BFE" w:rsidRPr="006E490C" w14:paraId="4BC1A505"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tcPr>
          <w:p w14:paraId="6A6113B5" w14:textId="297C2BE5" w:rsidR="00302BFE" w:rsidRPr="006E490C" w:rsidRDefault="006B1C88" w:rsidP="00243B15">
            <w:pPr>
              <w:spacing w:before="40" w:after="40"/>
              <w:jc w:val="center"/>
              <w:rPr>
                <w:rFonts w:eastAsia="Times New Roman" w:cs="Calibri"/>
                <w:i/>
                <w:iCs/>
                <w:sz w:val="18"/>
                <w:szCs w:val="18"/>
                <w:lang w:val="en-GB"/>
              </w:rPr>
            </w:pPr>
            <w:r>
              <w:rPr>
                <w:rFonts w:eastAsia="Times New Roman" w:cs="Calibri"/>
                <w:i/>
                <w:iCs/>
                <w:sz w:val="18"/>
                <w:szCs w:val="18"/>
                <w:lang w:val="en-GB"/>
              </w:rPr>
              <w:t>5</w:t>
            </w:r>
            <w:r w:rsidR="00D45B3D">
              <w:rPr>
                <w:rFonts w:eastAsia="Times New Roman" w:cs="Calibri"/>
                <w:i/>
                <w:iCs/>
                <w:sz w:val="18"/>
                <w:szCs w:val="18"/>
                <w:lang w:val="en-GB"/>
              </w:rPr>
              <w:t>1</w:t>
            </w:r>
          </w:p>
        </w:tc>
        <w:tc>
          <w:tcPr>
            <w:tcW w:w="13687" w:type="dxa"/>
            <w:tcBorders>
              <w:top w:val="single" w:sz="4" w:space="0" w:color="auto"/>
              <w:left w:val="single" w:sz="4" w:space="0" w:color="auto"/>
              <w:bottom w:val="single" w:sz="4" w:space="0" w:color="auto"/>
              <w:right w:val="single" w:sz="4" w:space="0" w:color="auto"/>
            </w:tcBorders>
          </w:tcPr>
          <w:p w14:paraId="293E07E5" w14:textId="77777777" w:rsidR="00302BFE" w:rsidRPr="00E03056" w:rsidRDefault="00302BFE" w:rsidP="00243B15">
            <w:pPr>
              <w:spacing w:before="40" w:after="40"/>
              <w:rPr>
                <w:sz w:val="18"/>
                <w:szCs w:val="18"/>
                <w:lang w:val="en-GB"/>
              </w:rPr>
            </w:pPr>
            <w:r w:rsidRPr="00E03056">
              <w:rPr>
                <w:rFonts w:cs="Calibri"/>
                <w:sz w:val="18"/>
                <w:szCs w:val="18"/>
                <w:lang w:val="en-CA"/>
              </w:rPr>
              <w:t>Budgetary reserve for possible contribution to the rental of the office of the PCU and to the acquisition of equipment and furniture, necessary for the conduct of the interventions under component 4 @ 3,000 / year for the years 1 to 6. Total cost: $ 18,000.</w:t>
            </w:r>
          </w:p>
        </w:tc>
      </w:tr>
      <w:tr w:rsidR="00302BFE" w:rsidRPr="006E490C" w14:paraId="03D87BFB" w14:textId="77777777" w:rsidTr="004F4EA2">
        <w:trPr>
          <w:jc w:val="center"/>
        </w:trPr>
        <w:tc>
          <w:tcPr>
            <w:tcW w:w="14390" w:type="dxa"/>
            <w:gridSpan w:val="2"/>
            <w:tcBorders>
              <w:top w:val="single" w:sz="4" w:space="0" w:color="auto"/>
              <w:left w:val="single" w:sz="4" w:space="0" w:color="auto"/>
              <w:bottom w:val="single" w:sz="4" w:space="0" w:color="auto"/>
              <w:right w:val="single" w:sz="4" w:space="0" w:color="auto"/>
            </w:tcBorders>
            <w:shd w:val="clear" w:color="auto" w:fill="DEEAF6"/>
            <w:hideMark/>
          </w:tcPr>
          <w:p w14:paraId="5EE49FEF" w14:textId="77777777" w:rsidR="00302BFE" w:rsidRPr="006E490C" w:rsidRDefault="00302BFE" w:rsidP="00243B15">
            <w:pPr>
              <w:spacing w:before="40" w:after="40"/>
              <w:rPr>
                <w:rFonts w:eastAsia="Times New Roman" w:cs="Calibri"/>
                <w:b/>
                <w:sz w:val="18"/>
                <w:szCs w:val="18"/>
                <w:lang w:val="en-GB"/>
              </w:rPr>
            </w:pPr>
            <w:r w:rsidRPr="006E490C">
              <w:rPr>
                <w:rFonts w:eastAsia="Times New Roman" w:cs="Calibri"/>
                <w:b/>
                <w:sz w:val="18"/>
                <w:szCs w:val="18"/>
                <w:lang w:val="en-GB"/>
              </w:rPr>
              <w:t>Project Management Unit</w:t>
            </w:r>
          </w:p>
        </w:tc>
      </w:tr>
      <w:tr w:rsidR="00302BFE" w:rsidRPr="006E490C" w14:paraId="151A3E85"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2318EBBB" w14:textId="58A9749E" w:rsidR="00302BFE" w:rsidRPr="006E490C" w:rsidRDefault="00D45B3D" w:rsidP="00243B15">
            <w:pPr>
              <w:spacing w:before="40" w:after="40"/>
              <w:jc w:val="center"/>
              <w:rPr>
                <w:rFonts w:eastAsia="Times New Roman" w:cs="Calibri"/>
                <w:i/>
                <w:iCs/>
                <w:sz w:val="18"/>
                <w:szCs w:val="18"/>
                <w:lang w:val="en-GB"/>
              </w:rPr>
            </w:pPr>
            <w:r>
              <w:rPr>
                <w:rFonts w:eastAsia="Times New Roman" w:cs="Calibri"/>
                <w:i/>
                <w:iCs/>
                <w:sz w:val="18"/>
                <w:szCs w:val="18"/>
                <w:lang w:val="en-GB"/>
              </w:rPr>
              <w:t>52</w:t>
            </w:r>
          </w:p>
        </w:tc>
        <w:tc>
          <w:tcPr>
            <w:tcW w:w="13687" w:type="dxa"/>
            <w:tcBorders>
              <w:top w:val="single" w:sz="4" w:space="0" w:color="auto"/>
              <w:left w:val="single" w:sz="4" w:space="0" w:color="auto"/>
              <w:bottom w:val="single" w:sz="4" w:space="0" w:color="auto"/>
              <w:right w:val="single" w:sz="4" w:space="0" w:color="auto"/>
            </w:tcBorders>
            <w:hideMark/>
          </w:tcPr>
          <w:p w14:paraId="0E182A78" w14:textId="77777777" w:rsidR="00302BFE" w:rsidRPr="00D61C93" w:rsidRDefault="00302BFE" w:rsidP="00243B15">
            <w:pPr>
              <w:spacing w:before="40" w:after="40"/>
              <w:rPr>
                <w:rFonts w:eastAsia="Times New Roman" w:cs="Calibri"/>
                <w:sz w:val="18"/>
                <w:szCs w:val="18"/>
                <w:lang w:val="en-GB"/>
              </w:rPr>
            </w:pPr>
            <w:r w:rsidRPr="00D61C93">
              <w:rPr>
                <w:rFonts w:eastAsia="Times New Roman" w:cs="Calibri"/>
                <w:sz w:val="18"/>
                <w:szCs w:val="18"/>
                <w:lang w:val="en-GB"/>
              </w:rPr>
              <w:t>a) Project Coordinator (20% for management) responsible for overall project management, including mobilization of all project inputs, supervision of project staff, consultants and subcontractors, day-to-day management of project activities, reporting on the project, maintaining key relationships between stakeholders. $400/month over 6 years. Total cost: $ 28,800.</w:t>
            </w:r>
          </w:p>
          <w:p w14:paraId="502206A6" w14:textId="7E1CAEA5" w:rsidR="00302BFE" w:rsidRPr="00D61C93" w:rsidRDefault="00302BFE" w:rsidP="00243B15">
            <w:pPr>
              <w:spacing w:before="40" w:after="40"/>
              <w:rPr>
                <w:rFonts w:eastAsia="Times New Roman" w:cs="Calibri"/>
                <w:sz w:val="18"/>
                <w:szCs w:val="18"/>
                <w:lang w:val="en-GB"/>
              </w:rPr>
            </w:pPr>
            <w:r w:rsidRPr="002136D5">
              <w:rPr>
                <w:rFonts w:eastAsia="Times New Roman" w:cs="Calibri"/>
                <w:sz w:val="18"/>
                <w:szCs w:val="18"/>
                <w:lang w:val="en-GB"/>
              </w:rPr>
              <w:t xml:space="preserve">b) Administrative and Financial Assistant (100% for management) responsible for project financial management, accounting, purchasing and financial reporting. $1,500 / month in years </w:t>
            </w:r>
            <w:r w:rsidRPr="00EF6D8E">
              <w:rPr>
                <w:rFonts w:eastAsia="Times New Roman" w:cs="Calibri"/>
                <w:sz w:val="18"/>
                <w:szCs w:val="18"/>
                <w:lang w:val="en-GB"/>
              </w:rPr>
              <w:t xml:space="preserve">1 to </w:t>
            </w:r>
            <w:r w:rsidR="00921613" w:rsidRPr="00EF6D8E">
              <w:rPr>
                <w:rFonts w:eastAsia="Times New Roman" w:cs="Calibri"/>
                <w:sz w:val="18"/>
                <w:szCs w:val="18"/>
                <w:lang w:val="en-GB"/>
              </w:rPr>
              <w:t>5</w:t>
            </w:r>
            <w:r w:rsidRPr="00EF6D8E">
              <w:rPr>
                <w:rFonts w:eastAsia="Times New Roman" w:cs="Calibri"/>
                <w:sz w:val="18"/>
                <w:szCs w:val="18"/>
                <w:lang w:val="en-GB"/>
              </w:rPr>
              <w:t xml:space="preserve">; Total cost: $ </w:t>
            </w:r>
            <w:r w:rsidR="00921613" w:rsidRPr="00EF6D8E">
              <w:rPr>
                <w:rFonts w:eastAsia="Times New Roman" w:cs="Calibri"/>
                <w:sz w:val="18"/>
                <w:szCs w:val="18"/>
                <w:lang w:val="en-GB"/>
              </w:rPr>
              <w:t>8</w:t>
            </w:r>
            <w:r w:rsidRPr="00EF6D8E">
              <w:rPr>
                <w:rFonts w:eastAsia="Times New Roman" w:cs="Calibri"/>
                <w:sz w:val="18"/>
                <w:szCs w:val="18"/>
                <w:lang w:val="en-GB"/>
              </w:rPr>
              <w:t>8,000</w:t>
            </w:r>
          </w:p>
          <w:p w14:paraId="4465EBF7" w14:textId="3989CF97" w:rsidR="006E6BBB" w:rsidRPr="00D61C93" w:rsidRDefault="006E6BBB" w:rsidP="00243B15">
            <w:pPr>
              <w:spacing w:before="40" w:after="40"/>
              <w:rPr>
                <w:rFonts w:eastAsia="Times New Roman" w:cs="Calibri"/>
                <w:sz w:val="18"/>
                <w:szCs w:val="18"/>
                <w:lang w:val="en-GB"/>
              </w:rPr>
            </w:pPr>
            <w:r w:rsidRPr="00D61C93">
              <w:rPr>
                <w:rFonts w:eastAsia="Times New Roman" w:cs="Calibri"/>
                <w:sz w:val="18"/>
                <w:szCs w:val="18"/>
                <w:lang w:val="en-GB"/>
              </w:rPr>
              <w:lastRenderedPageBreak/>
              <w:t xml:space="preserve">c) Procurement specialist (100% for management) responsible </w:t>
            </w:r>
            <w:r w:rsidR="00035B7E" w:rsidRPr="00D61C93">
              <w:rPr>
                <w:rFonts w:eastAsia="Times New Roman" w:cs="Calibri"/>
                <w:sz w:val="18"/>
                <w:szCs w:val="18"/>
                <w:lang w:val="en-GB"/>
              </w:rPr>
              <w:t xml:space="preserve">for </w:t>
            </w:r>
            <w:r w:rsidR="00E563F7" w:rsidRPr="00D61C93">
              <w:rPr>
                <w:rFonts w:eastAsia="Times New Roman" w:cs="Calibri"/>
                <w:sz w:val="18"/>
                <w:szCs w:val="18"/>
                <w:lang w:val="en-GB"/>
              </w:rPr>
              <w:t xml:space="preserve">management, </w:t>
            </w:r>
            <w:proofErr w:type="gramStart"/>
            <w:r w:rsidR="00E563F7" w:rsidRPr="00D61C93">
              <w:rPr>
                <w:rFonts w:eastAsia="Times New Roman" w:cs="Calibri"/>
                <w:sz w:val="18"/>
                <w:szCs w:val="18"/>
                <w:lang w:val="en-GB"/>
              </w:rPr>
              <w:t>implementation</w:t>
            </w:r>
            <w:proofErr w:type="gramEnd"/>
            <w:r w:rsidR="00E563F7" w:rsidRPr="00D61C93">
              <w:rPr>
                <w:rFonts w:eastAsia="Times New Roman" w:cs="Calibri"/>
                <w:sz w:val="18"/>
                <w:szCs w:val="18"/>
                <w:lang w:val="en-GB"/>
              </w:rPr>
              <w:t xml:space="preserve"> and oversight of key procurement activities for the needs of the project on a full-time basis for a 3-year period, including the elaboration and implementation of project procurement strategies, including of sourcing strategy and e-procurement tools, and efficient management of procurement processes for the project</w:t>
            </w:r>
            <w:r w:rsidR="00035B7E" w:rsidRPr="00D61C93">
              <w:rPr>
                <w:rFonts w:eastAsia="Times New Roman" w:cs="Calibri"/>
                <w:sz w:val="18"/>
                <w:szCs w:val="18"/>
                <w:lang w:val="en-GB"/>
              </w:rPr>
              <w:t xml:space="preserve">. </w:t>
            </w:r>
            <w:r w:rsidR="00E563F7" w:rsidRPr="00D61C93">
              <w:rPr>
                <w:rFonts w:eastAsia="Times New Roman" w:cs="Calibri"/>
                <w:sz w:val="18"/>
                <w:szCs w:val="18"/>
                <w:lang w:val="en-GB"/>
              </w:rPr>
              <w:t xml:space="preserve">$1,500 / month in years 1 to 3. </w:t>
            </w:r>
            <w:r w:rsidR="00035B7E" w:rsidRPr="00D61C93">
              <w:rPr>
                <w:rFonts w:eastAsia="Times New Roman" w:cs="Calibri"/>
                <w:sz w:val="18"/>
                <w:szCs w:val="18"/>
                <w:lang w:val="en-GB"/>
              </w:rPr>
              <w:t>Total cost: $5</w:t>
            </w:r>
            <w:r w:rsidR="004F4EA2" w:rsidRPr="00D61C93">
              <w:rPr>
                <w:rFonts w:eastAsia="Times New Roman" w:cs="Calibri"/>
                <w:sz w:val="18"/>
                <w:szCs w:val="18"/>
                <w:lang w:val="en-GB"/>
              </w:rPr>
              <w:t>4</w:t>
            </w:r>
            <w:r w:rsidR="00035B7E" w:rsidRPr="00D61C93">
              <w:rPr>
                <w:rFonts w:eastAsia="Times New Roman" w:cs="Calibri"/>
                <w:sz w:val="18"/>
                <w:szCs w:val="18"/>
                <w:lang w:val="en-GB"/>
              </w:rPr>
              <w:t>,</w:t>
            </w:r>
            <w:r w:rsidR="004F4EA2" w:rsidRPr="00D61C93">
              <w:rPr>
                <w:rFonts w:eastAsia="Times New Roman" w:cs="Calibri"/>
                <w:sz w:val="18"/>
                <w:szCs w:val="18"/>
                <w:lang w:val="en-GB"/>
              </w:rPr>
              <w:t>00</w:t>
            </w:r>
            <w:r w:rsidR="00035B7E" w:rsidRPr="00D61C93">
              <w:rPr>
                <w:rFonts w:eastAsia="Times New Roman" w:cs="Calibri"/>
                <w:sz w:val="18"/>
                <w:szCs w:val="18"/>
                <w:lang w:val="en-GB"/>
              </w:rPr>
              <w:t>0.</w:t>
            </w:r>
          </w:p>
        </w:tc>
      </w:tr>
      <w:tr w:rsidR="00302BFE" w:rsidRPr="006E490C" w14:paraId="59189FB9"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2ADD3B5A" w14:textId="63065923" w:rsidR="00302BFE" w:rsidRPr="006E490C" w:rsidRDefault="00D45B3D" w:rsidP="00243B15">
            <w:pPr>
              <w:spacing w:before="40" w:after="40"/>
              <w:jc w:val="center"/>
              <w:rPr>
                <w:rFonts w:eastAsia="Times New Roman" w:cs="Calibri"/>
                <w:i/>
                <w:iCs/>
                <w:sz w:val="18"/>
                <w:szCs w:val="18"/>
                <w:lang w:val="en-GB"/>
              </w:rPr>
            </w:pPr>
            <w:r>
              <w:rPr>
                <w:rFonts w:eastAsia="Times New Roman" w:cs="Calibri"/>
                <w:i/>
                <w:iCs/>
                <w:sz w:val="18"/>
                <w:szCs w:val="18"/>
                <w:lang w:val="en-GB"/>
              </w:rPr>
              <w:lastRenderedPageBreak/>
              <w:t>53</w:t>
            </w:r>
          </w:p>
        </w:tc>
        <w:tc>
          <w:tcPr>
            <w:tcW w:w="13687" w:type="dxa"/>
            <w:tcBorders>
              <w:top w:val="single" w:sz="4" w:space="0" w:color="auto"/>
              <w:left w:val="single" w:sz="4" w:space="0" w:color="auto"/>
              <w:bottom w:val="single" w:sz="4" w:space="0" w:color="auto"/>
              <w:right w:val="single" w:sz="4" w:space="0" w:color="auto"/>
            </w:tcBorders>
            <w:hideMark/>
          </w:tcPr>
          <w:p w14:paraId="043AA6AB" w14:textId="77777777" w:rsidR="00302BFE" w:rsidRPr="00D61C93" w:rsidRDefault="00302BFE" w:rsidP="00243B15">
            <w:pPr>
              <w:spacing w:before="40" w:after="40"/>
              <w:rPr>
                <w:rFonts w:eastAsia="Times New Roman" w:cs="Calibri"/>
                <w:sz w:val="18"/>
                <w:szCs w:val="18"/>
                <w:lang w:val="en-GB"/>
              </w:rPr>
            </w:pPr>
            <w:r w:rsidRPr="00D61C93">
              <w:rPr>
                <w:rFonts w:eastAsia="Times New Roman" w:cs="Calibri"/>
                <w:sz w:val="18"/>
                <w:szCs w:val="18"/>
                <w:lang w:val="en-GB"/>
              </w:rPr>
              <w:t>a) Lump sum (shared between all components) for fuel purchase and vehicle maintenance of the Project Coordination Unit to be used for most field missions (consultants and PCU staff) as well as for motorcycles for the travel of technical assistants and community mobilization assistants @ $1,500 / year. Total cost: $9,000</w:t>
            </w:r>
          </w:p>
        </w:tc>
      </w:tr>
      <w:tr w:rsidR="00302BFE" w:rsidRPr="006E490C" w14:paraId="785FC361"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20B45F7D" w14:textId="7AD565A3" w:rsidR="00302BFE" w:rsidRPr="006E490C" w:rsidRDefault="00057365" w:rsidP="00243B15">
            <w:pPr>
              <w:spacing w:before="40" w:after="40"/>
              <w:jc w:val="center"/>
              <w:rPr>
                <w:rFonts w:eastAsia="Times New Roman" w:cs="Calibri"/>
                <w:i/>
                <w:iCs/>
                <w:sz w:val="18"/>
                <w:szCs w:val="18"/>
                <w:lang w:val="en-GB"/>
              </w:rPr>
            </w:pPr>
            <w:r>
              <w:rPr>
                <w:rFonts w:eastAsia="Times New Roman" w:cs="Calibri"/>
                <w:i/>
                <w:iCs/>
                <w:sz w:val="18"/>
                <w:szCs w:val="18"/>
                <w:lang w:val="en-GB"/>
              </w:rPr>
              <w:t>5</w:t>
            </w:r>
            <w:r w:rsidR="00D45B3D">
              <w:rPr>
                <w:rFonts w:eastAsia="Times New Roman" w:cs="Calibri"/>
                <w:i/>
                <w:iCs/>
                <w:sz w:val="18"/>
                <w:szCs w:val="18"/>
                <w:lang w:val="en-GB"/>
              </w:rPr>
              <w:t>4</w:t>
            </w:r>
          </w:p>
        </w:tc>
        <w:tc>
          <w:tcPr>
            <w:tcW w:w="13687" w:type="dxa"/>
            <w:tcBorders>
              <w:top w:val="single" w:sz="4" w:space="0" w:color="auto"/>
              <w:left w:val="single" w:sz="4" w:space="0" w:color="auto"/>
              <w:bottom w:val="single" w:sz="4" w:space="0" w:color="auto"/>
              <w:right w:val="single" w:sz="4" w:space="0" w:color="auto"/>
            </w:tcBorders>
            <w:hideMark/>
          </w:tcPr>
          <w:p w14:paraId="42C00BBC" w14:textId="77777777" w:rsidR="00302BFE" w:rsidRPr="00D61C93" w:rsidRDefault="00302BFE" w:rsidP="00243B15">
            <w:pPr>
              <w:spacing w:before="40" w:after="40"/>
              <w:rPr>
                <w:rFonts w:eastAsia="Times New Roman" w:cs="Calibri"/>
                <w:sz w:val="18"/>
                <w:szCs w:val="18"/>
                <w:lang w:val="en-GB"/>
              </w:rPr>
            </w:pPr>
            <w:r w:rsidRPr="00D61C93">
              <w:rPr>
                <w:rFonts w:eastAsia="Times New Roman" w:cs="Calibri"/>
                <w:sz w:val="18"/>
                <w:szCs w:val="18"/>
                <w:lang w:val="en-GB"/>
              </w:rPr>
              <w:t>a) Rental costs for premises to host PCU in Po @ $250 / month. Total cost: $ 18,000</w:t>
            </w:r>
          </w:p>
          <w:p w14:paraId="5C8F1685" w14:textId="77777777" w:rsidR="00302BFE" w:rsidRPr="00D61C93" w:rsidRDefault="00302BFE" w:rsidP="00243B15">
            <w:pPr>
              <w:spacing w:before="40" w:after="40"/>
              <w:rPr>
                <w:rFonts w:eastAsia="Times New Roman" w:cs="Calibri"/>
                <w:sz w:val="18"/>
                <w:szCs w:val="18"/>
                <w:lang w:val="en-GB"/>
              </w:rPr>
            </w:pPr>
            <w:r w:rsidRPr="00D61C93">
              <w:rPr>
                <w:rFonts w:eastAsia="Times New Roman" w:cs="Calibri"/>
                <w:sz w:val="18"/>
                <w:szCs w:val="18"/>
                <w:lang w:val="en-GB"/>
              </w:rPr>
              <w:t>b) Office furniture including 3 work desks, tables, chairs, filing cabinets, shelves, etc. Total cost $5,000 Year 1</w:t>
            </w:r>
          </w:p>
        </w:tc>
      </w:tr>
      <w:tr w:rsidR="00302BFE" w:rsidRPr="00243B15" w14:paraId="3BCEA2C0"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0CD762FE" w14:textId="5D96657A"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5</w:t>
            </w:r>
            <w:r w:rsidR="00D45B3D">
              <w:rPr>
                <w:rFonts w:eastAsia="Times New Roman" w:cs="Calibri"/>
                <w:i/>
                <w:iCs/>
                <w:sz w:val="18"/>
                <w:szCs w:val="18"/>
                <w:lang w:val="en-GB"/>
              </w:rPr>
              <w:t>5</w:t>
            </w:r>
          </w:p>
        </w:tc>
        <w:tc>
          <w:tcPr>
            <w:tcW w:w="13687" w:type="dxa"/>
            <w:tcBorders>
              <w:top w:val="single" w:sz="4" w:space="0" w:color="auto"/>
              <w:left w:val="single" w:sz="4" w:space="0" w:color="auto"/>
              <w:bottom w:val="single" w:sz="4" w:space="0" w:color="auto"/>
              <w:right w:val="single" w:sz="4" w:space="0" w:color="auto"/>
            </w:tcBorders>
            <w:hideMark/>
          </w:tcPr>
          <w:p w14:paraId="3DFD5C67" w14:textId="6840FEC4" w:rsidR="00302BFE" w:rsidRPr="00D61C93" w:rsidRDefault="00302BFE" w:rsidP="00243B15">
            <w:pPr>
              <w:spacing w:before="40" w:after="40"/>
              <w:rPr>
                <w:rFonts w:eastAsia="Times New Roman" w:cs="Calibri"/>
                <w:sz w:val="18"/>
                <w:szCs w:val="18"/>
                <w:lang w:val="en-GB"/>
              </w:rPr>
            </w:pPr>
            <w:r w:rsidRPr="00D61C93">
              <w:rPr>
                <w:rFonts w:eastAsia="Times New Roman" w:cs="Calibri"/>
                <w:sz w:val="18"/>
                <w:szCs w:val="18"/>
                <w:lang w:val="en-GB"/>
              </w:rPr>
              <w:t>a) Office supplies.</w:t>
            </w:r>
            <w:r w:rsidR="004F4EA2" w:rsidRPr="00D61C93">
              <w:rPr>
                <w:rFonts w:eastAsia="Times New Roman" w:cs="Calibri"/>
                <w:sz w:val="18"/>
                <w:szCs w:val="18"/>
                <w:lang w:val="en-GB"/>
              </w:rPr>
              <w:t xml:space="preserve"> $ 3,250 year 1, </w:t>
            </w:r>
            <w:r w:rsidRPr="00D61C93">
              <w:rPr>
                <w:rFonts w:eastAsia="Times New Roman" w:cs="Calibri"/>
                <w:sz w:val="18"/>
                <w:szCs w:val="18"/>
                <w:lang w:val="en-GB"/>
              </w:rPr>
              <w:t xml:space="preserve">$ 1,500 years </w:t>
            </w:r>
            <w:r w:rsidR="004F4EA2" w:rsidRPr="00D61C93">
              <w:rPr>
                <w:rFonts w:eastAsia="Times New Roman" w:cs="Calibri"/>
                <w:sz w:val="18"/>
                <w:szCs w:val="18"/>
                <w:lang w:val="en-GB"/>
              </w:rPr>
              <w:t>2</w:t>
            </w:r>
            <w:r w:rsidRPr="00D61C93">
              <w:rPr>
                <w:rFonts w:eastAsia="Times New Roman" w:cs="Calibri"/>
                <w:sz w:val="18"/>
                <w:szCs w:val="18"/>
                <w:lang w:val="en-GB"/>
              </w:rPr>
              <w:t xml:space="preserve"> to 6 - Total Cost: $ </w:t>
            </w:r>
            <w:r w:rsidR="004F4EA2" w:rsidRPr="00D61C93">
              <w:rPr>
                <w:rFonts w:eastAsia="Times New Roman" w:cs="Calibri"/>
                <w:sz w:val="18"/>
                <w:szCs w:val="18"/>
                <w:lang w:val="en-GB"/>
              </w:rPr>
              <w:t>10</w:t>
            </w:r>
            <w:r w:rsidRPr="00D61C93">
              <w:rPr>
                <w:rFonts w:eastAsia="Times New Roman" w:cs="Calibri"/>
                <w:sz w:val="18"/>
                <w:szCs w:val="18"/>
                <w:lang w:val="en-GB"/>
              </w:rPr>
              <w:t>,</w:t>
            </w:r>
            <w:r w:rsidR="004F4EA2" w:rsidRPr="00D61C93">
              <w:rPr>
                <w:rFonts w:eastAsia="Times New Roman" w:cs="Calibri"/>
                <w:sz w:val="18"/>
                <w:szCs w:val="18"/>
                <w:lang w:val="en-GB"/>
              </w:rPr>
              <w:t>75</w:t>
            </w:r>
            <w:r w:rsidRPr="00D61C93">
              <w:rPr>
                <w:rFonts w:eastAsia="Times New Roman" w:cs="Calibri"/>
                <w:sz w:val="18"/>
                <w:szCs w:val="18"/>
                <w:lang w:val="en-GB"/>
              </w:rPr>
              <w:t>0</w:t>
            </w:r>
          </w:p>
        </w:tc>
      </w:tr>
      <w:tr w:rsidR="00302BFE" w:rsidRPr="006E490C" w14:paraId="331416F1"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01467699" w14:textId="74F4A7F7" w:rsidR="00302BFE" w:rsidRPr="006E490C" w:rsidRDefault="00302BFE" w:rsidP="00243B15">
            <w:pPr>
              <w:spacing w:before="40" w:after="40"/>
              <w:jc w:val="center"/>
              <w:rPr>
                <w:rFonts w:eastAsia="Times New Roman" w:cs="Calibri"/>
                <w:i/>
                <w:iCs/>
                <w:sz w:val="18"/>
                <w:szCs w:val="18"/>
                <w:lang w:val="en-GB"/>
              </w:rPr>
            </w:pPr>
            <w:r w:rsidRPr="006E490C">
              <w:rPr>
                <w:rFonts w:eastAsia="Times New Roman" w:cs="Calibri"/>
                <w:i/>
                <w:iCs/>
                <w:sz w:val="18"/>
                <w:szCs w:val="18"/>
                <w:lang w:val="en-GB"/>
              </w:rPr>
              <w:t>5</w:t>
            </w:r>
            <w:r w:rsidR="00D45B3D">
              <w:rPr>
                <w:rFonts w:eastAsia="Times New Roman" w:cs="Calibri"/>
                <w:i/>
                <w:iCs/>
                <w:sz w:val="18"/>
                <w:szCs w:val="18"/>
                <w:lang w:val="en-GB"/>
              </w:rPr>
              <w:t>6</w:t>
            </w:r>
          </w:p>
        </w:tc>
        <w:tc>
          <w:tcPr>
            <w:tcW w:w="13687" w:type="dxa"/>
            <w:tcBorders>
              <w:top w:val="single" w:sz="4" w:space="0" w:color="auto"/>
              <w:left w:val="single" w:sz="4" w:space="0" w:color="auto"/>
              <w:bottom w:val="single" w:sz="4" w:space="0" w:color="auto"/>
              <w:right w:val="single" w:sz="4" w:space="0" w:color="auto"/>
            </w:tcBorders>
            <w:hideMark/>
          </w:tcPr>
          <w:p w14:paraId="07406CB4" w14:textId="77777777" w:rsidR="00302BFE" w:rsidRPr="006E490C" w:rsidRDefault="00302BFE" w:rsidP="00243B15">
            <w:pPr>
              <w:spacing w:before="40" w:after="40"/>
              <w:rPr>
                <w:sz w:val="18"/>
                <w:szCs w:val="18"/>
                <w:lang w:val="en-GB"/>
              </w:rPr>
            </w:pPr>
            <w:r w:rsidRPr="006E490C">
              <w:rPr>
                <w:sz w:val="18"/>
                <w:szCs w:val="18"/>
                <w:lang w:val="en-GB"/>
              </w:rPr>
              <w:t xml:space="preserve">a) Computer equipment for the PCU office, including 1 Laptop for the Project Coordinator, external monitor and docking station @ $ 2,200, 1 Laptop Financial Assistant, external monitor and docking station @ 2,200 $; 1 Digitizer @ $ 200, </w:t>
            </w:r>
            <w:r>
              <w:rPr>
                <w:sz w:val="18"/>
                <w:szCs w:val="18"/>
                <w:lang w:val="en-GB"/>
              </w:rPr>
              <w:t xml:space="preserve">1 </w:t>
            </w:r>
            <w:r w:rsidRPr="006E490C">
              <w:rPr>
                <w:sz w:val="18"/>
                <w:szCs w:val="18"/>
                <w:lang w:val="en-GB"/>
              </w:rPr>
              <w:t>Multifunction Printer @ $ 500, 1 Digital Camera @ $ 250, 1 Video Projector @ $ 350. Total cost: $ 5,700</w:t>
            </w:r>
          </w:p>
          <w:p w14:paraId="4D96F3CE" w14:textId="77777777" w:rsidR="00302BFE" w:rsidRPr="006E490C" w:rsidRDefault="00302BFE" w:rsidP="00243B15">
            <w:pPr>
              <w:spacing w:before="40" w:after="40"/>
              <w:rPr>
                <w:rFonts w:eastAsia="Times New Roman" w:cs="Calibri"/>
                <w:sz w:val="18"/>
                <w:szCs w:val="18"/>
                <w:lang w:val="en-GB"/>
              </w:rPr>
            </w:pPr>
            <w:r w:rsidRPr="006E490C">
              <w:rPr>
                <w:sz w:val="18"/>
                <w:szCs w:val="18"/>
                <w:lang w:val="en-GB"/>
              </w:rPr>
              <w:t>b) Internet subscription for the office of the PCU @ 25 $ / month. Total cost: $ 1,800</w:t>
            </w:r>
          </w:p>
        </w:tc>
      </w:tr>
      <w:tr w:rsidR="001B1641" w:rsidRPr="006E490C" w14:paraId="4F04A2F7" w14:textId="77777777" w:rsidTr="00C756F3">
        <w:trPr>
          <w:jc w:val="center"/>
        </w:trPr>
        <w:tc>
          <w:tcPr>
            <w:tcW w:w="703" w:type="dxa"/>
            <w:tcBorders>
              <w:top w:val="single" w:sz="4" w:space="0" w:color="auto"/>
              <w:left w:val="single" w:sz="4" w:space="0" w:color="auto"/>
              <w:bottom w:val="single" w:sz="4" w:space="0" w:color="auto"/>
              <w:right w:val="single" w:sz="4" w:space="0" w:color="auto"/>
            </w:tcBorders>
            <w:hideMark/>
          </w:tcPr>
          <w:p w14:paraId="0542B80E" w14:textId="757A9535" w:rsidR="001B1641" w:rsidRPr="006E490C" w:rsidRDefault="00057365" w:rsidP="00C756F3">
            <w:pPr>
              <w:spacing w:before="40" w:after="40"/>
              <w:jc w:val="center"/>
              <w:rPr>
                <w:rFonts w:eastAsia="Times New Roman" w:cs="Calibri"/>
                <w:i/>
                <w:iCs/>
                <w:sz w:val="18"/>
                <w:szCs w:val="18"/>
                <w:lang w:val="en-GB"/>
              </w:rPr>
            </w:pPr>
            <w:r>
              <w:rPr>
                <w:rFonts w:eastAsia="Times New Roman" w:cs="Calibri"/>
                <w:i/>
                <w:iCs/>
                <w:sz w:val="18"/>
                <w:szCs w:val="18"/>
                <w:lang w:val="en-GB"/>
              </w:rPr>
              <w:t>5</w:t>
            </w:r>
            <w:r w:rsidR="00D45B3D">
              <w:rPr>
                <w:rFonts w:eastAsia="Times New Roman" w:cs="Calibri"/>
                <w:i/>
                <w:iCs/>
                <w:sz w:val="18"/>
                <w:szCs w:val="18"/>
                <w:lang w:val="en-GB"/>
              </w:rPr>
              <w:t>7</w:t>
            </w:r>
          </w:p>
        </w:tc>
        <w:tc>
          <w:tcPr>
            <w:tcW w:w="13687" w:type="dxa"/>
            <w:tcBorders>
              <w:top w:val="single" w:sz="4" w:space="0" w:color="auto"/>
              <w:left w:val="single" w:sz="4" w:space="0" w:color="auto"/>
              <w:bottom w:val="single" w:sz="4" w:space="0" w:color="auto"/>
              <w:right w:val="single" w:sz="4" w:space="0" w:color="auto"/>
            </w:tcBorders>
            <w:hideMark/>
          </w:tcPr>
          <w:p w14:paraId="6B9BB1E6" w14:textId="77777777" w:rsidR="001B1641" w:rsidRPr="006E490C" w:rsidRDefault="001B1641" w:rsidP="00C756F3">
            <w:pPr>
              <w:spacing w:before="40" w:after="40"/>
              <w:rPr>
                <w:rFonts w:eastAsia="Times New Roman" w:cs="Calibri"/>
                <w:sz w:val="18"/>
                <w:szCs w:val="18"/>
                <w:lang w:val="en-GB"/>
              </w:rPr>
            </w:pPr>
            <w:r w:rsidRPr="006E490C">
              <w:rPr>
                <w:rFonts w:eastAsia="Times New Roman" w:cs="Calibri"/>
                <w:sz w:val="18"/>
                <w:szCs w:val="18"/>
                <w:lang w:val="en-GB"/>
              </w:rPr>
              <w:t>Project management incidental expenses: $3,000 in year 1, $ 500/year in years 2 to 5, $502 in year 6 Total cost: $ 5,502</w:t>
            </w:r>
          </w:p>
        </w:tc>
      </w:tr>
      <w:tr w:rsidR="00302BFE" w:rsidRPr="006E490C" w14:paraId="55D373FE" w14:textId="77777777" w:rsidTr="004F4EA2">
        <w:trPr>
          <w:jc w:val="center"/>
        </w:trPr>
        <w:tc>
          <w:tcPr>
            <w:tcW w:w="703" w:type="dxa"/>
            <w:tcBorders>
              <w:top w:val="single" w:sz="4" w:space="0" w:color="auto"/>
              <w:left w:val="single" w:sz="4" w:space="0" w:color="auto"/>
              <w:bottom w:val="single" w:sz="4" w:space="0" w:color="auto"/>
              <w:right w:val="single" w:sz="4" w:space="0" w:color="auto"/>
            </w:tcBorders>
            <w:hideMark/>
          </w:tcPr>
          <w:p w14:paraId="24C0E954" w14:textId="722AED6E" w:rsidR="00302BFE" w:rsidRPr="00EF6D8E" w:rsidRDefault="00057365" w:rsidP="00243B15">
            <w:pPr>
              <w:spacing w:before="40" w:after="40"/>
              <w:jc w:val="center"/>
              <w:rPr>
                <w:rFonts w:eastAsia="Times New Roman" w:cs="Calibri"/>
                <w:i/>
                <w:iCs/>
                <w:sz w:val="18"/>
                <w:szCs w:val="18"/>
                <w:lang w:val="en-GB"/>
              </w:rPr>
            </w:pPr>
            <w:r>
              <w:rPr>
                <w:rFonts w:eastAsia="Times New Roman" w:cs="Calibri"/>
                <w:i/>
                <w:iCs/>
                <w:sz w:val="18"/>
                <w:szCs w:val="18"/>
                <w:lang w:val="en-GB"/>
              </w:rPr>
              <w:t>5</w:t>
            </w:r>
            <w:r w:rsidR="00D45B3D">
              <w:rPr>
                <w:rFonts w:eastAsia="Times New Roman" w:cs="Calibri"/>
                <w:i/>
                <w:iCs/>
                <w:sz w:val="18"/>
                <w:szCs w:val="18"/>
                <w:lang w:val="en-GB"/>
              </w:rPr>
              <w:t>8</w:t>
            </w:r>
          </w:p>
        </w:tc>
        <w:tc>
          <w:tcPr>
            <w:tcW w:w="13687" w:type="dxa"/>
            <w:tcBorders>
              <w:top w:val="single" w:sz="4" w:space="0" w:color="auto"/>
              <w:left w:val="single" w:sz="4" w:space="0" w:color="auto"/>
              <w:bottom w:val="single" w:sz="4" w:space="0" w:color="auto"/>
              <w:right w:val="single" w:sz="4" w:space="0" w:color="auto"/>
            </w:tcBorders>
            <w:hideMark/>
          </w:tcPr>
          <w:p w14:paraId="17C403D3" w14:textId="5EE87FFB" w:rsidR="00302BFE" w:rsidRPr="00EF6D8E" w:rsidRDefault="001B1641" w:rsidP="00243B15">
            <w:pPr>
              <w:spacing w:before="40" w:after="40"/>
              <w:rPr>
                <w:rFonts w:cs="Calibri"/>
                <w:color w:val="000000"/>
                <w:sz w:val="18"/>
                <w:szCs w:val="18"/>
                <w:lang w:val="en-GB"/>
              </w:rPr>
            </w:pPr>
            <w:r w:rsidRPr="00EF6D8E">
              <w:rPr>
                <w:rFonts w:cs="Calibri"/>
                <w:color w:val="000000"/>
                <w:sz w:val="18"/>
                <w:szCs w:val="18"/>
                <w:lang w:val="en-GB"/>
              </w:rPr>
              <w:t>External annual audits beginning in year 2 (5) @ $ 4,000 / audit. Total cost: $ 20,000 (Output 4.2)</w:t>
            </w:r>
          </w:p>
        </w:tc>
      </w:tr>
    </w:tbl>
    <w:p w14:paraId="4EF36625" w14:textId="77777777" w:rsidR="00302BFE" w:rsidRDefault="00302BFE" w:rsidP="00302BFE">
      <w:pPr>
        <w:rPr>
          <w:b/>
          <w:szCs w:val="22"/>
        </w:rPr>
      </w:pPr>
    </w:p>
    <w:p w14:paraId="6AA269FD" w14:textId="77777777" w:rsidR="00302BFE" w:rsidRPr="0003763F" w:rsidRDefault="00302BFE" w:rsidP="00302BFE"/>
    <w:p w14:paraId="73C8F2DD" w14:textId="77777777" w:rsidR="00302BFE" w:rsidRDefault="00302BFE" w:rsidP="00302BFE">
      <w:pPr>
        <w:jc w:val="left"/>
        <w:rPr>
          <w:szCs w:val="28"/>
        </w:rPr>
        <w:sectPr w:rsidR="00302BFE" w:rsidSect="00243B15">
          <w:pgSz w:w="15840" w:h="12240" w:orient="landscape" w:code="1"/>
          <w:pgMar w:top="720" w:right="720" w:bottom="720" w:left="720" w:header="720" w:footer="432" w:gutter="0"/>
          <w:cols w:space="708"/>
          <w:titlePg/>
          <w:docGrid w:linePitch="360"/>
        </w:sectPr>
      </w:pPr>
    </w:p>
    <w:p w14:paraId="7F19EDF6" w14:textId="77777777" w:rsidR="00302BFE" w:rsidRPr="0003763F" w:rsidRDefault="00302BFE" w:rsidP="00302BFE">
      <w:pPr>
        <w:pStyle w:val="Titre1"/>
        <w:spacing w:before="0" w:after="60"/>
        <w:rPr>
          <w:rFonts w:ascii="Calibri" w:hAnsi="Calibri"/>
          <w:szCs w:val="28"/>
        </w:rPr>
      </w:pPr>
      <w:bookmarkStart w:id="41" w:name="_Toc9961798"/>
      <w:r w:rsidRPr="0003763F">
        <w:rPr>
          <w:rFonts w:ascii="Calibri" w:hAnsi="Calibri"/>
          <w:szCs w:val="28"/>
        </w:rPr>
        <w:lastRenderedPageBreak/>
        <w:t>Legal Context</w:t>
      </w:r>
      <w:bookmarkEnd w:id="41"/>
    </w:p>
    <w:p w14:paraId="20CAE2F1" w14:textId="3D0EC0BE" w:rsidR="00302BFE" w:rsidRPr="00D45B3D" w:rsidRDefault="00302BFE" w:rsidP="00C46720">
      <w:pPr>
        <w:pStyle w:val="Paragraphedeliste"/>
        <w:numPr>
          <w:ilvl w:val="0"/>
          <w:numId w:val="14"/>
        </w:numPr>
        <w:tabs>
          <w:tab w:val="left" w:pos="284"/>
        </w:tabs>
        <w:spacing w:before="240" w:after="120"/>
        <w:ind w:left="0" w:firstLine="0"/>
        <w:jc w:val="both"/>
        <w:rPr>
          <w:rFonts w:ascii="Calibri" w:hAnsi="Calibri"/>
          <w:sz w:val="20"/>
          <w:szCs w:val="20"/>
        </w:rPr>
      </w:pPr>
      <w:r w:rsidRPr="00F166CF">
        <w:rPr>
          <w:rFonts w:ascii="Calibri" w:hAnsi="Calibri"/>
          <w:sz w:val="20"/>
          <w:szCs w:val="20"/>
        </w:rPr>
        <w:t xml:space="preserve">This project document shall be the instrument referred to as such in Article 1 of the Standard Basic Assistance Agreement between the Government of </w:t>
      </w:r>
      <w:r>
        <w:rPr>
          <w:rFonts w:ascii="Calibri" w:hAnsi="Calibri"/>
          <w:sz w:val="20"/>
          <w:szCs w:val="20"/>
        </w:rPr>
        <w:t>Burkina Faso</w:t>
      </w:r>
      <w:r w:rsidRPr="00F166CF">
        <w:rPr>
          <w:rFonts w:ascii="Calibri" w:hAnsi="Calibri"/>
          <w:sz w:val="20"/>
          <w:szCs w:val="20"/>
        </w:rPr>
        <w:t xml:space="preserve"> and </w:t>
      </w:r>
      <w:r w:rsidRPr="00D45B3D">
        <w:rPr>
          <w:rFonts w:ascii="Calibri" w:hAnsi="Calibri"/>
          <w:sz w:val="20"/>
          <w:szCs w:val="20"/>
        </w:rPr>
        <w:t>UNDP, signed on</w:t>
      </w:r>
      <w:r w:rsidR="00756CF0" w:rsidRPr="00D45B3D">
        <w:rPr>
          <w:rFonts w:ascii="Calibri" w:hAnsi="Calibri"/>
          <w:sz w:val="20"/>
          <w:szCs w:val="20"/>
        </w:rPr>
        <w:t xml:space="preserve"> May 22, 2019</w:t>
      </w:r>
      <w:r w:rsidRPr="00D45B3D">
        <w:rPr>
          <w:rFonts w:ascii="Calibri" w:hAnsi="Calibri"/>
          <w:sz w:val="20"/>
          <w:szCs w:val="20"/>
        </w:rPr>
        <w:t>. All references in the SBAA to “Executing Agency” shall be deemed to refer to “Implementing Partner.”</w:t>
      </w:r>
    </w:p>
    <w:p w14:paraId="2270F2AC" w14:textId="71FA9150" w:rsidR="00302BFE" w:rsidRPr="00F166CF" w:rsidRDefault="00302BFE" w:rsidP="00C46720">
      <w:pPr>
        <w:pStyle w:val="Paragraphedeliste"/>
        <w:numPr>
          <w:ilvl w:val="0"/>
          <w:numId w:val="14"/>
        </w:numPr>
        <w:tabs>
          <w:tab w:val="left" w:pos="284"/>
        </w:tabs>
        <w:spacing w:before="120" w:after="120"/>
        <w:ind w:left="0" w:firstLine="0"/>
        <w:jc w:val="both"/>
        <w:rPr>
          <w:rFonts w:ascii="Calibri" w:hAnsi="Calibri"/>
          <w:sz w:val="20"/>
          <w:szCs w:val="20"/>
        </w:rPr>
      </w:pPr>
      <w:r w:rsidRPr="00D45B3D">
        <w:rPr>
          <w:rFonts w:ascii="Calibri" w:hAnsi="Calibri"/>
          <w:sz w:val="20"/>
          <w:szCs w:val="20"/>
        </w:rPr>
        <w:t>This project will be implemented by the</w:t>
      </w:r>
      <w:r w:rsidR="000D0AA3" w:rsidRPr="00D45B3D">
        <w:rPr>
          <w:rFonts w:ascii="Calibri" w:hAnsi="Calibri"/>
          <w:sz w:val="20"/>
          <w:szCs w:val="20"/>
        </w:rPr>
        <w:t xml:space="preserve"> </w:t>
      </w:r>
      <w:proofErr w:type="spellStart"/>
      <w:r w:rsidR="00DC4587" w:rsidRPr="004F57D9">
        <w:rPr>
          <w:rFonts w:ascii="Calibri" w:hAnsi="Calibri"/>
          <w:sz w:val="20"/>
          <w:szCs w:val="20"/>
          <w:highlight w:val="green"/>
        </w:rPr>
        <w:t>Ministere</w:t>
      </w:r>
      <w:proofErr w:type="spellEnd"/>
      <w:r w:rsidR="00DC4587" w:rsidRPr="004F57D9">
        <w:rPr>
          <w:rFonts w:ascii="Calibri" w:hAnsi="Calibri"/>
          <w:sz w:val="20"/>
          <w:szCs w:val="20"/>
          <w:highlight w:val="green"/>
        </w:rPr>
        <w:t xml:space="preserve"> de </w:t>
      </w:r>
      <w:proofErr w:type="spellStart"/>
      <w:r w:rsidR="00DC4587" w:rsidRPr="004F57D9">
        <w:rPr>
          <w:rFonts w:ascii="Calibri" w:hAnsi="Calibri"/>
          <w:sz w:val="20"/>
          <w:szCs w:val="20"/>
          <w:highlight w:val="green"/>
        </w:rPr>
        <w:t>l'environnement</w:t>
      </w:r>
      <w:proofErr w:type="spellEnd"/>
      <w:r w:rsidR="00DC4587" w:rsidRPr="004F57D9">
        <w:rPr>
          <w:rFonts w:ascii="Calibri" w:hAnsi="Calibri"/>
          <w:sz w:val="20"/>
          <w:szCs w:val="20"/>
          <w:highlight w:val="green"/>
        </w:rPr>
        <w:t xml:space="preserve">, de </w:t>
      </w:r>
      <w:proofErr w:type="spellStart"/>
      <w:r w:rsidR="00DC4587" w:rsidRPr="004F57D9">
        <w:rPr>
          <w:rFonts w:ascii="Calibri" w:hAnsi="Calibri"/>
          <w:sz w:val="20"/>
          <w:szCs w:val="20"/>
          <w:highlight w:val="green"/>
        </w:rPr>
        <w:t>l'eau</w:t>
      </w:r>
      <w:proofErr w:type="spellEnd"/>
      <w:r w:rsidR="00DC4587" w:rsidRPr="004F57D9">
        <w:rPr>
          <w:rFonts w:ascii="Calibri" w:hAnsi="Calibri"/>
          <w:sz w:val="20"/>
          <w:szCs w:val="20"/>
          <w:highlight w:val="green"/>
        </w:rPr>
        <w:t xml:space="preserve"> et de </w:t>
      </w:r>
      <w:proofErr w:type="spellStart"/>
      <w:r w:rsidR="00DC4587" w:rsidRPr="004F57D9">
        <w:rPr>
          <w:rFonts w:ascii="Calibri" w:hAnsi="Calibri"/>
          <w:sz w:val="20"/>
          <w:szCs w:val="20"/>
          <w:highlight w:val="green"/>
        </w:rPr>
        <w:t>l"Assainissement</w:t>
      </w:r>
      <w:proofErr w:type="spellEnd"/>
      <w:r w:rsidR="00DC4587" w:rsidRPr="00DC4587">
        <w:rPr>
          <w:rFonts w:ascii="Calibri" w:hAnsi="Calibri"/>
          <w:sz w:val="20"/>
          <w:szCs w:val="20"/>
        </w:rPr>
        <w:t xml:space="preserve"> </w:t>
      </w:r>
      <w:r w:rsidRPr="00F166CF">
        <w:rPr>
          <w:rFonts w:ascii="Calibri" w:hAnsi="Calibri"/>
          <w:sz w:val="20"/>
          <w:szCs w:val="20"/>
        </w:rPr>
        <w:t xml:space="preserve">(“Implementing Partner”) in accordance with its financial regulations, rules, </w:t>
      </w:r>
      <w:proofErr w:type="gramStart"/>
      <w:r w:rsidRPr="00F166CF">
        <w:rPr>
          <w:rFonts w:ascii="Calibri" w:hAnsi="Calibri"/>
          <w:sz w:val="20"/>
          <w:szCs w:val="20"/>
        </w:rPr>
        <w:t>practices</w:t>
      </w:r>
      <w:proofErr w:type="gramEnd"/>
      <w:r w:rsidRPr="00F166CF">
        <w:rPr>
          <w:rFonts w:ascii="Calibri" w:hAnsi="Calibri"/>
          <w:sz w:val="20"/>
          <w:szCs w:val="20"/>
        </w:rPr>
        <w:t xml:space="preserve">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621A7006" w14:textId="77777777" w:rsidR="00302BFE" w:rsidRPr="00F166CF" w:rsidRDefault="00302BFE" w:rsidP="00C46720">
      <w:pPr>
        <w:pStyle w:val="Paragraphedeliste"/>
        <w:numPr>
          <w:ilvl w:val="0"/>
          <w:numId w:val="14"/>
        </w:numPr>
        <w:tabs>
          <w:tab w:val="left" w:pos="284"/>
        </w:tabs>
        <w:spacing w:before="120" w:after="360"/>
        <w:ind w:left="0" w:firstLine="0"/>
        <w:jc w:val="both"/>
        <w:rPr>
          <w:rFonts w:ascii="Calibri" w:hAnsi="Calibri"/>
          <w:sz w:val="20"/>
          <w:szCs w:val="20"/>
        </w:rPr>
      </w:pPr>
      <w:r w:rsidRPr="00F166CF">
        <w:rPr>
          <w:rFonts w:ascii="Calibri" w:hAnsi="Calibri"/>
          <w:sz w:val="20"/>
          <w:szCs w:val="20"/>
        </w:rPr>
        <w:t>Any designations on maps or other references employed in this project document do not imply the expression of any opinion whatsoever on the part of UNDP concerning the legal status of any country, territory, city or area or its authorities, or concerning the delimitation of its frontiers or boundaries. </w:t>
      </w:r>
    </w:p>
    <w:p w14:paraId="2B487138" w14:textId="77777777" w:rsidR="00302BFE" w:rsidRPr="0003763F" w:rsidRDefault="00302BFE" w:rsidP="00302BFE">
      <w:pPr>
        <w:pStyle w:val="Titre1"/>
        <w:spacing w:before="0" w:after="60"/>
        <w:jc w:val="left"/>
        <w:rPr>
          <w:rFonts w:ascii="Calibri" w:hAnsi="Calibri"/>
          <w:szCs w:val="28"/>
        </w:rPr>
      </w:pPr>
      <w:bookmarkStart w:id="42" w:name="_Toc9961799"/>
      <w:r>
        <w:rPr>
          <w:rFonts w:ascii="Calibri" w:hAnsi="Calibri"/>
          <w:szCs w:val="28"/>
        </w:rPr>
        <w:t>Risk Management</w:t>
      </w:r>
      <w:bookmarkEnd w:id="42"/>
    </w:p>
    <w:p w14:paraId="3E04C1AB" w14:textId="77777777" w:rsidR="00550EDF" w:rsidRPr="00966EF0" w:rsidRDefault="00550EDF" w:rsidP="00C46720">
      <w:pPr>
        <w:numPr>
          <w:ilvl w:val="0"/>
          <w:numId w:val="64"/>
        </w:numPr>
        <w:spacing w:after="0"/>
        <w:ind w:left="360"/>
        <w:rPr>
          <w:rFonts w:cs="Arial"/>
          <w:szCs w:val="20"/>
        </w:rPr>
      </w:pPr>
      <w:bookmarkStart w:id="43" w:name="_Toc9961800"/>
      <w:r w:rsidRPr="00966EF0">
        <w:rPr>
          <w:rFonts w:cs="Arial"/>
          <w:szCs w:val="20"/>
        </w:rPr>
        <w:t xml:space="preserve">Consistent with the Article III of the SBAA </w:t>
      </w:r>
      <w:r w:rsidRPr="00966EF0">
        <w:rPr>
          <w:rFonts w:cs="Arial"/>
          <w:i/>
          <w:szCs w:val="20"/>
        </w:rPr>
        <w:t>[or the Supplemental Provisions to the Project Document]</w:t>
      </w:r>
      <w:r w:rsidRPr="00966EF0">
        <w:rPr>
          <w:rFonts w:cs="Arial"/>
          <w:szCs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57869396" w14:textId="77777777" w:rsidR="00550EDF" w:rsidRPr="00966EF0" w:rsidRDefault="00550EDF" w:rsidP="00C46720">
      <w:pPr>
        <w:numPr>
          <w:ilvl w:val="0"/>
          <w:numId w:val="8"/>
        </w:numPr>
        <w:rPr>
          <w:rFonts w:cs="Arial"/>
          <w:szCs w:val="20"/>
        </w:rPr>
      </w:pPr>
      <w:r w:rsidRPr="00966EF0">
        <w:rPr>
          <w:rFonts w:cs="Arial"/>
          <w:szCs w:val="20"/>
        </w:rPr>
        <w:t xml:space="preserve">put in place an appropriate security plan and maintain the security plan, taking into account the security situation in the country where the project is being </w:t>
      </w:r>
      <w:proofErr w:type="gramStart"/>
      <w:r w:rsidRPr="00966EF0">
        <w:rPr>
          <w:rFonts w:cs="Arial"/>
          <w:szCs w:val="20"/>
        </w:rPr>
        <w:t>carried;</w:t>
      </w:r>
      <w:proofErr w:type="gramEnd"/>
    </w:p>
    <w:p w14:paraId="60D8D2DB" w14:textId="77777777" w:rsidR="00550EDF" w:rsidRPr="00966EF0" w:rsidRDefault="00550EDF" w:rsidP="00C46720">
      <w:pPr>
        <w:numPr>
          <w:ilvl w:val="0"/>
          <w:numId w:val="8"/>
        </w:numPr>
        <w:rPr>
          <w:rFonts w:cs="Arial"/>
          <w:szCs w:val="20"/>
        </w:rPr>
      </w:pPr>
      <w:r w:rsidRPr="00966EF0">
        <w:rPr>
          <w:rFonts w:cs="Arial"/>
          <w:szCs w:val="20"/>
        </w:rPr>
        <w:t>assume all risks and liabilities related to the Implementing Partner’s security, and the full implementation of the security plan.</w:t>
      </w:r>
    </w:p>
    <w:p w14:paraId="791E14F0" w14:textId="77777777" w:rsidR="00550EDF" w:rsidRPr="00966EF0" w:rsidRDefault="00550EDF" w:rsidP="00550EDF">
      <w:pPr>
        <w:rPr>
          <w:rFonts w:cs="Arial"/>
          <w:szCs w:val="20"/>
        </w:rPr>
      </w:pPr>
    </w:p>
    <w:p w14:paraId="12164549" w14:textId="77777777" w:rsidR="00550EDF" w:rsidRPr="00966EF0" w:rsidRDefault="00550EDF" w:rsidP="00C46720">
      <w:pPr>
        <w:numPr>
          <w:ilvl w:val="0"/>
          <w:numId w:val="64"/>
        </w:numPr>
        <w:spacing w:after="0"/>
        <w:ind w:left="360"/>
        <w:rPr>
          <w:rFonts w:cs="Arial"/>
          <w:szCs w:val="20"/>
        </w:rPr>
      </w:pPr>
      <w:r w:rsidRPr="00966EF0">
        <w:rPr>
          <w:rFonts w:cs="Arial"/>
          <w:szCs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7B6CAC00" w14:textId="77777777" w:rsidR="00550EDF" w:rsidRPr="00966EF0" w:rsidRDefault="00550EDF" w:rsidP="00550EDF">
      <w:pPr>
        <w:ind w:left="360"/>
        <w:rPr>
          <w:rFonts w:cs="Arial"/>
          <w:szCs w:val="20"/>
        </w:rPr>
      </w:pPr>
    </w:p>
    <w:p w14:paraId="130F7BD5" w14:textId="77777777" w:rsidR="00550EDF" w:rsidRPr="00966EF0" w:rsidRDefault="00550EDF" w:rsidP="00C46720">
      <w:pPr>
        <w:numPr>
          <w:ilvl w:val="0"/>
          <w:numId w:val="64"/>
        </w:numPr>
        <w:spacing w:after="0"/>
        <w:ind w:left="360"/>
        <w:rPr>
          <w:rFonts w:cs="Calibri"/>
          <w:szCs w:val="20"/>
        </w:rPr>
      </w:pPr>
      <w:r w:rsidRPr="00966EF0">
        <w:rPr>
          <w:rFonts w:cs="Arial"/>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w:t>
      </w:r>
      <w:r w:rsidRPr="00966EF0">
        <w:rPr>
          <w:rFonts w:cs="Calibri"/>
          <w:szCs w:val="20"/>
        </w:rPr>
        <w:t xml:space="preserve">accessed via </w:t>
      </w:r>
      <w:hyperlink r:id="rId42" w:history="1">
        <w:r w:rsidRPr="00966EF0">
          <w:rPr>
            <w:rFonts w:cs="Calibri"/>
            <w:color w:val="0000FF"/>
            <w:szCs w:val="20"/>
            <w:u w:val="single"/>
          </w:rPr>
          <w:t>http://www.un.org/sc/committees/1267/aq_sanctions_list.shtml</w:t>
        </w:r>
      </w:hyperlink>
      <w:r w:rsidRPr="00966EF0">
        <w:rPr>
          <w:rFonts w:cs="Calibri"/>
          <w:color w:val="000080"/>
          <w:szCs w:val="20"/>
        </w:rPr>
        <w:t>.</w:t>
      </w:r>
      <w:r w:rsidRPr="00966EF0">
        <w:rPr>
          <w:rFonts w:cs="Calibri"/>
          <w:szCs w:val="20"/>
        </w:rPr>
        <w:t xml:space="preserve">  </w:t>
      </w:r>
    </w:p>
    <w:p w14:paraId="540E495C" w14:textId="77777777" w:rsidR="00550EDF" w:rsidRPr="00966EF0" w:rsidRDefault="00550EDF" w:rsidP="00550EDF">
      <w:pPr>
        <w:spacing w:after="0"/>
        <w:ind w:left="360"/>
        <w:rPr>
          <w:rFonts w:cs="Calibri"/>
          <w:szCs w:val="20"/>
        </w:rPr>
      </w:pPr>
    </w:p>
    <w:p w14:paraId="432123FD" w14:textId="77777777" w:rsidR="00550EDF" w:rsidRPr="00966EF0" w:rsidRDefault="00550EDF" w:rsidP="00C46720">
      <w:pPr>
        <w:numPr>
          <w:ilvl w:val="0"/>
          <w:numId w:val="64"/>
        </w:numPr>
        <w:spacing w:after="240"/>
        <w:ind w:left="360"/>
        <w:rPr>
          <w:rFonts w:cs="Calibri"/>
          <w:szCs w:val="20"/>
        </w:rPr>
      </w:pPr>
      <w:r w:rsidRPr="00966EF0">
        <w:rPr>
          <w:rFonts w:cs="Calibri"/>
          <w:szCs w:val="20"/>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696E8B62" w14:textId="77777777" w:rsidR="00550EDF" w:rsidRPr="00966EF0" w:rsidRDefault="00550EDF" w:rsidP="00550EDF">
      <w:pPr>
        <w:spacing w:after="240"/>
        <w:ind w:left="360"/>
        <w:rPr>
          <w:rFonts w:cs="Calibri"/>
          <w:szCs w:val="20"/>
        </w:rPr>
      </w:pPr>
      <w:r w:rsidRPr="00966EF0">
        <w:rPr>
          <w:rFonts w:cs="Calibri"/>
          <w:szCs w:val="20"/>
        </w:rPr>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50E60CB6" w14:textId="77777777" w:rsidR="00550EDF" w:rsidRPr="00966EF0" w:rsidRDefault="00550EDF" w:rsidP="00550EDF">
      <w:pPr>
        <w:spacing w:after="240"/>
        <w:ind w:left="360"/>
        <w:rPr>
          <w:rFonts w:cs="Calibri"/>
          <w:szCs w:val="20"/>
        </w:rPr>
      </w:pPr>
      <w:r w:rsidRPr="00966EF0">
        <w:rPr>
          <w:rFonts w:cs="Calibri"/>
          <w:szCs w:val="20"/>
        </w:rPr>
        <w:t xml:space="preserve">(b) Moreover, and without limitation to the application of other regulations, rules, </w:t>
      </w:r>
      <w:proofErr w:type="gramStart"/>
      <w:r w:rsidRPr="00966EF0">
        <w:rPr>
          <w:rFonts w:cs="Calibri"/>
          <w:szCs w:val="20"/>
        </w:rPr>
        <w:t>policies</w:t>
      </w:r>
      <w:proofErr w:type="gramEnd"/>
      <w:r w:rsidRPr="00966EF0">
        <w:rPr>
          <w:rFonts w:cs="Calibri"/>
          <w:szCs w:val="20"/>
        </w:rPr>
        <w:t xml:space="preserve">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w:t>
      </w:r>
      <w:proofErr w:type="gramStart"/>
      <w:r w:rsidRPr="00966EF0">
        <w:rPr>
          <w:rFonts w:cs="Calibri"/>
          <w:szCs w:val="20"/>
        </w:rPr>
        <w:t>employment</w:t>
      </w:r>
      <w:proofErr w:type="gramEnd"/>
      <w:r w:rsidRPr="00966EF0">
        <w:rPr>
          <w:rFonts w:cs="Calibri"/>
          <w:szCs w:val="20"/>
        </w:rPr>
        <w:t xml:space="preserve"> or creates an intimidating, hostile or offensive work environment.</w:t>
      </w:r>
    </w:p>
    <w:p w14:paraId="2482815A" w14:textId="77777777" w:rsidR="00550EDF" w:rsidRPr="00966EF0" w:rsidRDefault="00550EDF" w:rsidP="00C46720">
      <w:pPr>
        <w:numPr>
          <w:ilvl w:val="0"/>
          <w:numId w:val="64"/>
        </w:numPr>
        <w:spacing w:after="240"/>
        <w:ind w:left="360"/>
        <w:rPr>
          <w:rFonts w:cs="Calibri"/>
          <w:szCs w:val="20"/>
        </w:rPr>
      </w:pPr>
      <w:r w:rsidRPr="00966EF0">
        <w:rPr>
          <w:rFonts w:cs="Calibri"/>
          <w:szCs w:val="20"/>
        </w:rPr>
        <w:t>a) In the performance of the activities under this Project Document, the Implementing Partner shall (with respect to its own activities</w:t>
      </w:r>
      <w:proofErr w:type="gramStart"/>
      <w:r w:rsidRPr="00966EF0">
        <w:rPr>
          <w:rFonts w:cs="Calibri"/>
          <w:szCs w:val="20"/>
        </w:rPr>
        <w:t>), and</w:t>
      </w:r>
      <w:proofErr w:type="gramEnd"/>
      <w:r w:rsidRPr="00966EF0">
        <w:rPr>
          <w:rFonts w:cs="Calibri"/>
          <w:szCs w:val="20"/>
        </w:rPr>
        <w:t xml:space="preserve">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w:t>
      </w:r>
      <w:proofErr w:type="gramStart"/>
      <w:r w:rsidRPr="00966EF0">
        <w:rPr>
          <w:rFonts w:cs="Calibri"/>
          <w:szCs w:val="20"/>
        </w:rPr>
        <w:t>include:</w:t>
      </w:r>
      <w:proofErr w:type="gramEnd"/>
      <w:r w:rsidRPr="00966EF0">
        <w:rPr>
          <w:rFonts w:cs="Calibri"/>
          <w:szCs w:val="20"/>
        </w:rPr>
        <w:t xml:space="preserve"> policies on sexual harassment and sexual </w:t>
      </w:r>
      <w:r w:rsidRPr="00966EF0">
        <w:rPr>
          <w:rFonts w:cs="Calibri"/>
          <w:szCs w:val="20"/>
        </w:rPr>
        <w:lastRenderedPageBreak/>
        <w:t>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3DA92E5D" w14:textId="77777777" w:rsidR="00550EDF" w:rsidRPr="00966EF0" w:rsidRDefault="00550EDF" w:rsidP="00C46720">
      <w:pPr>
        <w:numPr>
          <w:ilvl w:val="1"/>
          <w:numId w:val="65"/>
        </w:numPr>
        <w:spacing w:after="240"/>
        <w:rPr>
          <w:rFonts w:cs="Calibri"/>
          <w:szCs w:val="20"/>
        </w:rPr>
      </w:pPr>
      <w:r w:rsidRPr="00966EF0">
        <w:rPr>
          <w:rFonts w:cs="Calibri"/>
          <w:szCs w:val="20"/>
        </w:rPr>
        <w:t xml:space="preserve">Prevent its employees, agents or any other persons engaged to perform any services under this Project Document, from engaging in SH or </w:t>
      </w:r>
      <w:proofErr w:type="gramStart"/>
      <w:r w:rsidRPr="00966EF0">
        <w:rPr>
          <w:rFonts w:cs="Calibri"/>
          <w:szCs w:val="20"/>
        </w:rPr>
        <w:t>SEA;</w:t>
      </w:r>
      <w:proofErr w:type="gramEnd"/>
    </w:p>
    <w:p w14:paraId="1E64895E" w14:textId="77777777" w:rsidR="00550EDF" w:rsidRPr="00966EF0" w:rsidRDefault="00550EDF" w:rsidP="00C46720">
      <w:pPr>
        <w:numPr>
          <w:ilvl w:val="1"/>
          <w:numId w:val="65"/>
        </w:numPr>
        <w:spacing w:after="240"/>
        <w:rPr>
          <w:rFonts w:cs="Calibri"/>
          <w:szCs w:val="20"/>
        </w:rPr>
      </w:pPr>
      <w:r w:rsidRPr="00966EF0">
        <w:rPr>
          <w:rFonts w:cs="Calibri"/>
          <w:szCs w:val="20"/>
        </w:rPr>
        <w:t xml:space="preserve">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w:t>
      </w:r>
      <w:proofErr w:type="gramStart"/>
      <w:r w:rsidRPr="00966EF0">
        <w:rPr>
          <w:rFonts w:cs="Calibri"/>
          <w:szCs w:val="20"/>
        </w:rPr>
        <w:t>UNDP;</w:t>
      </w:r>
      <w:proofErr w:type="gramEnd"/>
    </w:p>
    <w:p w14:paraId="11F69DFD" w14:textId="77777777" w:rsidR="00550EDF" w:rsidRPr="00966EF0" w:rsidRDefault="00550EDF" w:rsidP="00C46720">
      <w:pPr>
        <w:numPr>
          <w:ilvl w:val="1"/>
          <w:numId w:val="65"/>
        </w:numPr>
        <w:spacing w:after="240"/>
        <w:rPr>
          <w:rFonts w:cs="Calibri"/>
          <w:szCs w:val="20"/>
        </w:rPr>
      </w:pPr>
      <w:r w:rsidRPr="00966EF0">
        <w:rPr>
          <w:rFonts w:cs="Calibri"/>
          <w:szCs w:val="20"/>
        </w:rPr>
        <w:t xml:space="preserve">Report and monitor allegations of SH and SEA of which the Implementing Partner and its sub-parties referred to in paragraph 4 have been informed or have otherwise become aware, and status </w:t>
      </w:r>
      <w:proofErr w:type="gramStart"/>
      <w:r w:rsidRPr="00966EF0">
        <w:rPr>
          <w:rFonts w:cs="Calibri"/>
          <w:szCs w:val="20"/>
        </w:rPr>
        <w:t>thereof;</w:t>
      </w:r>
      <w:proofErr w:type="gramEnd"/>
      <w:r w:rsidRPr="00966EF0">
        <w:rPr>
          <w:rFonts w:cs="Calibri"/>
          <w:szCs w:val="20"/>
        </w:rPr>
        <w:t xml:space="preserve"> </w:t>
      </w:r>
    </w:p>
    <w:p w14:paraId="3D17A749" w14:textId="77777777" w:rsidR="00550EDF" w:rsidRPr="00966EF0" w:rsidRDefault="00550EDF" w:rsidP="00C46720">
      <w:pPr>
        <w:numPr>
          <w:ilvl w:val="1"/>
          <w:numId w:val="65"/>
        </w:numPr>
        <w:spacing w:after="240"/>
        <w:rPr>
          <w:rFonts w:cs="Calibri"/>
          <w:szCs w:val="20"/>
        </w:rPr>
      </w:pPr>
      <w:r w:rsidRPr="00966EF0">
        <w:rPr>
          <w:rFonts w:cs="Calibri"/>
          <w:szCs w:val="20"/>
        </w:rPr>
        <w:t>Refer victims/survivors of SH and SEA to safe and confidential victim assistance; and</w:t>
      </w:r>
    </w:p>
    <w:p w14:paraId="4F797416" w14:textId="77777777" w:rsidR="00550EDF" w:rsidRPr="00966EF0" w:rsidRDefault="00550EDF" w:rsidP="00C46720">
      <w:pPr>
        <w:numPr>
          <w:ilvl w:val="1"/>
          <w:numId w:val="65"/>
        </w:numPr>
        <w:spacing w:after="240"/>
        <w:rPr>
          <w:rFonts w:cs="Calibri"/>
          <w:szCs w:val="20"/>
        </w:rPr>
      </w:pPr>
      <w:r w:rsidRPr="00966EF0">
        <w:rPr>
          <w:rFonts w:cs="Calibri"/>
          <w:szCs w:val="20"/>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01673E4C" w14:textId="77777777" w:rsidR="00550EDF" w:rsidRPr="00966EF0" w:rsidRDefault="00550EDF" w:rsidP="00C46720">
      <w:pPr>
        <w:numPr>
          <w:ilvl w:val="0"/>
          <w:numId w:val="68"/>
        </w:numPr>
        <w:spacing w:after="240"/>
        <w:rPr>
          <w:rFonts w:cs="Calibri"/>
          <w:szCs w:val="20"/>
        </w:rPr>
      </w:pPr>
      <w:r w:rsidRPr="00966EF0">
        <w:rPr>
          <w:rFonts w:cs="Calibri"/>
          <w:szCs w:val="20"/>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70CD95F7" w14:textId="77777777" w:rsidR="00550EDF" w:rsidRPr="00966EF0" w:rsidRDefault="00550EDF" w:rsidP="00C46720">
      <w:pPr>
        <w:numPr>
          <w:ilvl w:val="0"/>
          <w:numId w:val="64"/>
        </w:numPr>
        <w:spacing w:after="240"/>
        <w:ind w:left="450" w:hanging="450"/>
        <w:rPr>
          <w:rFonts w:cs="Arial"/>
          <w:szCs w:val="20"/>
          <w:u w:val="single"/>
        </w:rPr>
      </w:pPr>
      <w:r w:rsidRPr="00966EF0">
        <w:rPr>
          <w:rFonts w:cs="Arial"/>
          <w:szCs w:val="20"/>
        </w:rPr>
        <w:t xml:space="preserve">Social and environmental sustainability will be enhanced through application of the UNDP Social and Environmental Standards (http://www.undp.org/ses) and related Accountability Mechanism (http://www.undp.org/secu-srm).  </w:t>
      </w:r>
      <w:r w:rsidRPr="00966EF0">
        <w:rPr>
          <w:rFonts w:cs="Arial"/>
          <w:color w:val="000000"/>
          <w:szCs w:val="20"/>
        </w:rPr>
        <w:t> </w:t>
      </w:r>
    </w:p>
    <w:p w14:paraId="19FF12F4" w14:textId="77777777" w:rsidR="00550EDF" w:rsidRPr="00966EF0" w:rsidRDefault="00550EDF" w:rsidP="00C46720">
      <w:pPr>
        <w:numPr>
          <w:ilvl w:val="0"/>
          <w:numId w:val="64"/>
        </w:numPr>
        <w:autoSpaceDE w:val="0"/>
        <w:autoSpaceDN w:val="0"/>
        <w:adjustRightInd w:val="0"/>
        <w:spacing w:after="0"/>
        <w:ind w:left="360"/>
        <w:rPr>
          <w:rFonts w:eastAsia="MS Mincho" w:cs="Arial"/>
          <w:color w:val="000000"/>
          <w:szCs w:val="20"/>
          <w:lang w:eastAsia="ja-JP"/>
        </w:rPr>
      </w:pPr>
      <w:r w:rsidRPr="00966EF0">
        <w:rPr>
          <w:rFonts w:eastAsia="MS Mincho" w:cs="Arial"/>
          <w:color w:val="101010"/>
          <w:spacing w:val="-6"/>
          <w:kern w:val="1"/>
          <w:szCs w:val="20"/>
          <w:lang w:eastAsia="ja-JP"/>
        </w:rPr>
        <w:t xml:space="preserve">The Implementing Partner shall: (a) conduct project and </w:t>
      </w:r>
      <w:proofErr w:type="spellStart"/>
      <w:r w:rsidRPr="00966EF0">
        <w:rPr>
          <w:rFonts w:eastAsia="MS Mincho" w:cs="Arial"/>
          <w:color w:val="101010"/>
          <w:spacing w:val="-6"/>
          <w:kern w:val="1"/>
          <w:szCs w:val="20"/>
          <w:lang w:eastAsia="ja-JP"/>
        </w:rPr>
        <w:t>programme</w:t>
      </w:r>
      <w:proofErr w:type="spellEnd"/>
      <w:r w:rsidRPr="00966EF0">
        <w:rPr>
          <w:rFonts w:eastAsia="MS Mincho" w:cs="Arial"/>
          <w:color w:val="101010"/>
          <w:spacing w:val="-6"/>
          <w:kern w:val="1"/>
          <w:szCs w:val="20"/>
          <w:lang w:eastAsia="ja-JP"/>
        </w:rPr>
        <w:t xml:space="preserve">-related activities in a manner consistent with the UNDP Social and Environmental Standards, (b) implement any management or mitigation plan prepared for the project or </w:t>
      </w:r>
      <w:proofErr w:type="spellStart"/>
      <w:r w:rsidRPr="00966EF0">
        <w:rPr>
          <w:rFonts w:eastAsia="MS Mincho" w:cs="Arial"/>
          <w:color w:val="101010"/>
          <w:spacing w:val="-6"/>
          <w:kern w:val="1"/>
          <w:szCs w:val="20"/>
          <w:lang w:eastAsia="ja-JP"/>
        </w:rPr>
        <w:t>programme</w:t>
      </w:r>
      <w:proofErr w:type="spellEnd"/>
      <w:r w:rsidRPr="00966EF0">
        <w:rPr>
          <w:rFonts w:eastAsia="MS Mincho" w:cs="Arial"/>
          <w:color w:val="101010"/>
          <w:spacing w:val="-6"/>
          <w:kern w:val="1"/>
          <w:szCs w:val="20"/>
          <w:lang w:eastAsia="ja-JP"/>
        </w:rPr>
        <w:t xml:space="preserve"> to comply with such standards, and (c) engage in a constructive and timely manner to address any concerns and complaints raised through the Accountability Mechanism. </w:t>
      </w:r>
      <w:r w:rsidRPr="00966EF0">
        <w:rPr>
          <w:rFonts w:eastAsia="MS Mincho" w:cs="Arial"/>
          <w:color w:val="141414"/>
          <w:spacing w:val="-4"/>
          <w:szCs w:val="20"/>
          <w:lang w:val="en-GB" w:eastAsia="ja-JP"/>
        </w:rPr>
        <w:t>UNDP</w:t>
      </w:r>
      <w:r w:rsidRPr="00966EF0">
        <w:rPr>
          <w:rFonts w:eastAsia="MS Mincho" w:cs="Arial"/>
          <w:color w:val="000000"/>
          <w:szCs w:val="20"/>
          <w:lang w:val="en-GB" w:eastAsia="ja-JP"/>
        </w:rPr>
        <w:t xml:space="preserve"> will seek to ensure that communities and other project stakeholders are informed of and have access to the Accountability Mechanism. </w:t>
      </w:r>
    </w:p>
    <w:p w14:paraId="6986E125" w14:textId="77777777" w:rsidR="00550EDF" w:rsidRPr="00966EF0" w:rsidRDefault="00550EDF" w:rsidP="00C46720">
      <w:pPr>
        <w:numPr>
          <w:ilvl w:val="0"/>
          <w:numId w:val="64"/>
        </w:numPr>
        <w:spacing w:before="240" w:after="240"/>
        <w:ind w:left="360"/>
        <w:rPr>
          <w:rFonts w:cs="Arial"/>
          <w:spacing w:val="-4"/>
          <w:szCs w:val="20"/>
        </w:rPr>
      </w:pPr>
      <w:r w:rsidRPr="00966EF0">
        <w:rPr>
          <w:rFonts w:cs="Arial"/>
          <w:spacing w:val="-4"/>
          <w:szCs w:val="20"/>
        </w:rPr>
        <w:t xml:space="preserve">All signatories to the Project Document shall cooperate in good faith with any exercise to evaluate any </w:t>
      </w:r>
      <w:proofErr w:type="spellStart"/>
      <w:r w:rsidRPr="00966EF0">
        <w:rPr>
          <w:rFonts w:cs="Arial"/>
          <w:spacing w:val="-4"/>
          <w:szCs w:val="20"/>
        </w:rPr>
        <w:t>programme</w:t>
      </w:r>
      <w:proofErr w:type="spellEnd"/>
      <w:r w:rsidRPr="00966EF0">
        <w:rPr>
          <w:rFonts w:cs="Arial"/>
          <w:spacing w:val="-4"/>
          <w:szCs w:val="20"/>
        </w:rPr>
        <w:t xml:space="preserve"> or project-related commitments or compliance with the UNDP Social and Environmental Standards. This includes providing access to project sites, relevant personnel, information, and documentation.</w:t>
      </w:r>
    </w:p>
    <w:p w14:paraId="767845B8" w14:textId="77777777" w:rsidR="00550EDF" w:rsidRPr="00966EF0" w:rsidRDefault="00550EDF" w:rsidP="00C46720">
      <w:pPr>
        <w:numPr>
          <w:ilvl w:val="0"/>
          <w:numId w:val="64"/>
        </w:numPr>
        <w:autoSpaceDE w:val="0"/>
        <w:autoSpaceDN w:val="0"/>
        <w:adjustRightInd w:val="0"/>
        <w:spacing w:after="0"/>
        <w:ind w:left="360"/>
        <w:rPr>
          <w:rFonts w:eastAsia="Calibri" w:cs="Arial"/>
          <w:color w:val="000000"/>
          <w:szCs w:val="20"/>
        </w:rPr>
      </w:pPr>
      <w:r w:rsidRPr="00966EF0">
        <w:rPr>
          <w:rFonts w:eastAsia="Calibri" w:cs="Arial"/>
          <w:color w:val="000000"/>
          <w:szCs w:val="20"/>
        </w:rPr>
        <w:t xml:space="preserve">The Implementing Partner will take appropriate steps to prevent misuse of funds, </w:t>
      </w:r>
      <w:proofErr w:type="gramStart"/>
      <w:r w:rsidRPr="00966EF0">
        <w:rPr>
          <w:rFonts w:eastAsia="Calibri" w:cs="Arial"/>
          <w:color w:val="000000"/>
          <w:szCs w:val="20"/>
        </w:rPr>
        <w:t>fraud</w:t>
      </w:r>
      <w:proofErr w:type="gramEnd"/>
      <w:r w:rsidRPr="00966EF0">
        <w:rPr>
          <w:rFonts w:eastAsia="Calibri" w:cs="Arial"/>
          <w:color w:val="000000"/>
          <w:szCs w:val="20"/>
        </w:rPr>
        <w:t xml:space="preserve"> or corruption, by its officials, consultants, responsible parties, subcontractors and sub-recipients in implementing the project or using UNDP funds.  The Implementing Partner will ensure that its financial management, anti-</w:t>
      </w:r>
      <w:proofErr w:type="gramStart"/>
      <w:r w:rsidRPr="00966EF0">
        <w:rPr>
          <w:rFonts w:eastAsia="Calibri" w:cs="Arial"/>
          <w:color w:val="000000"/>
          <w:szCs w:val="20"/>
        </w:rPr>
        <w:t>corruption</w:t>
      </w:r>
      <w:proofErr w:type="gramEnd"/>
      <w:r w:rsidRPr="00966EF0">
        <w:rPr>
          <w:rFonts w:eastAsia="Calibri" w:cs="Arial"/>
          <w:color w:val="000000"/>
          <w:szCs w:val="20"/>
        </w:rPr>
        <w:t xml:space="preserve"> and anti-fraud policies are in place and enforced for all funding received from or through UNDP.</w:t>
      </w:r>
    </w:p>
    <w:p w14:paraId="7F1798A7" w14:textId="77777777" w:rsidR="00550EDF" w:rsidRPr="00966EF0" w:rsidRDefault="00550EDF" w:rsidP="00550EDF">
      <w:pPr>
        <w:autoSpaceDE w:val="0"/>
        <w:autoSpaceDN w:val="0"/>
        <w:adjustRightInd w:val="0"/>
        <w:spacing w:after="0"/>
        <w:ind w:left="360"/>
        <w:rPr>
          <w:rFonts w:eastAsia="Calibri" w:cs="Arial"/>
          <w:color w:val="000000"/>
          <w:szCs w:val="20"/>
        </w:rPr>
      </w:pPr>
    </w:p>
    <w:p w14:paraId="474845C3" w14:textId="77777777" w:rsidR="00550EDF" w:rsidRPr="00966EF0" w:rsidRDefault="00550EDF" w:rsidP="00C46720">
      <w:pPr>
        <w:numPr>
          <w:ilvl w:val="0"/>
          <w:numId w:val="64"/>
        </w:numPr>
        <w:autoSpaceDE w:val="0"/>
        <w:autoSpaceDN w:val="0"/>
        <w:adjustRightInd w:val="0"/>
        <w:spacing w:after="0"/>
        <w:ind w:left="360"/>
        <w:rPr>
          <w:rFonts w:eastAsia="Calibri" w:cs="Arial"/>
          <w:color w:val="000000"/>
          <w:szCs w:val="20"/>
        </w:rPr>
      </w:pPr>
      <w:r w:rsidRPr="00966EF0">
        <w:rPr>
          <w:rFonts w:eastAsia="Calibri" w:cs="Arial"/>
          <w:color w:val="000000"/>
          <w:szCs w:val="20"/>
        </w:rPr>
        <w:t xml:space="preserve">The requirements of the following documents, then in force at the time of signature of the Project Document, apply to the Implementing Partner: </w:t>
      </w:r>
      <w:r w:rsidRPr="00966EF0">
        <w:rPr>
          <w:rFonts w:eastAsia="Calibri" w:cs="Arial"/>
          <w:bCs/>
          <w:color w:val="000000"/>
          <w:szCs w:val="20"/>
        </w:rPr>
        <w:t>(a)</w:t>
      </w:r>
      <w:r w:rsidRPr="00966EF0">
        <w:rPr>
          <w:rFonts w:eastAsia="Calibri" w:cs="Arial"/>
          <w:b/>
          <w:bCs/>
          <w:color w:val="000000"/>
          <w:szCs w:val="20"/>
        </w:rPr>
        <w:t xml:space="preserve"> </w:t>
      </w:r>
      <w:r w:rsidRPr="00966EF0">
        <w:rPr>
          <w:rFonts w:eastAsia="Calibri" w:cs="Arial"/>
          <w:color w:val="000000"/>
          <w:szCs w:val="20"/>
        </w:rPr>
        <w:t xml:space="preserve">UNDP Policy on Fraud and other Corrupt Practices and </w:t>
      </w:r>
      <w:r w:rsidRPr="00966EF0">
        <w:rPr>
          <w:rFonts w:eastAsia="Calibri" w:cs="Arial"/>
          <w:bCs/>
          <w:color w:val="000000"/>
          <w:szCs w:val="20"/>
        </w:rPr>
        <w:t>(b)</w:t>
      </w:r>
      <w:r w:rsidRPr="00966EF0">
        <w:rPr>
          <w:rFonts w:eastAsia="Calibri" w:cs="Arial"/>
          <w:b/>
          <w:bCs/>
          <w:color w:val="000000"/>
          <w:szCs w:val="20"/>
        </w:rPr>
        <w:t xml:space="preserve"> </w:t>
      </w:r>
      <w:r w:rsidRPr="00966EF0">
        <w:rPr>
          <w:rFonts w:eastAsia="Calibri" w:cs="Arial"/>
          <w:color w:val="000000"/>
          <w:szCs w:val="20"/>
        </w:rPr>
        <w:t xml:space="preserve">UNDP Office of Audit and Investigations Investigation Guidelines. </w:t>
      </w:r>
      <w:r w:rsidRPr="00966EF0">
        <w:rPr>
          <w:rFonts w:eastAsia="Calibri" w:cs="Arial"/>
          <w:szCs w:val="20"/>
        </w:rPr>
        <w:t xml:space="preserve">The Implementing Partner agrees to the requirements of the above documents, which are an integral part of this Project Document and are available online at www.undp.org. </w:t>
      </w:r>
    </w:p>
    <w:p w14:paraId="3AA936DC" w14:textId="77777777" w:rsidR="00550EDF" w:rsidRPr="00966EF0" w:rsidRDefault="00550EDF" w:rsidP="00550EDF">
      <w:pPr>
        <w:spacing w:after="0"/>
        <w:ind w:left="360"/>
        <w:rPr>
          <w:rFonts w:cs="Arial"/>
          <w:color w:val="000000"/>
          <w:szCs w:val="20"/>
        </w:rPr>
      </w:pPr>
    </w:p>
    <w:p w14:paraId="08AA7AC7" w14:textId="77777777" w:rsidR="00550EDF" w:rsidRPr="00966EF0" w:rsidRDefault="00550EDF" w:rsidP="00C46720">
      <w:pPr>
        <w:numPr>
          <w:ilvl w:val="0"/>
          <w:numId w:val="64"/>
        </w:numPr>
        <w:spacing w:after="0"/>
        <w:ind w:left="360"/>
        <w:rPr>
          <w:rFonts w:cs="Arial"/>
          <w:color w:val="000000"/>
          <w:szCs w:val="20"/>
        </w:rPr>
      </w:pPr>
      <w:proofErr w:type="gramStart"/>
      <w:r w:rsidRPr="00966EF0">
        <w:rPr>
          <w:rFonts w:cs="Arial"/>
          <w:color w:val="000000"/>
          <w:szCs w:val="20"/>
        </w:rPr>
        <w:lastRenderedPageBreak/>
        <w:t>In the event that</w:t>
      </w:r>
      <w:proofErr w:type="gramEnd"/>
      <w:r w:rsidRPr="00966EF0">
        <w:rPr>
          <w:rFonts w:cs="Arial"/>
          <w:color w:val="000000"/>
          <w:szCs w:val="20"/>
        </w:rPr>
        <w:t xml:space="preserve"> an investigation is required, UNDP has the obligation to conduct investigations relating to any aspect of UNDP projects and </w:t>
      </w:r>
      <w:proofErr w:type="spellStart"/>
      <w:r w:rsidRPr="00966EF0">
        <w:rPr>
          <w:rFonts w:cs="Arial"/>
          <w:color w:val="000000"/>
          <w:szCs w:val="20"/>
        </w:rPr>
        <w:t>programmes</w:t>
      </w:r>
      <w:proofErr w:type="spellEnd"/>
      <w:r w:rsidRPr="00966EF0">
        <w:rPr>
          <w:rFonts w:cs="Arial"/>
          <w:color w:val="000000"/>
          <w:szCs w:val="20"/>
        </w:rPr>
        <w:t xml:space="preserve"> in accordance with UNDP’s regulations, rules, policies and procedures. The Implementing Partner shall provide its full cooperation, including making available personnel, relevant documentation, and granting access to the Implementing Partner’s</w:t>
      </w:r>
      <w:r w:rsidRPr="00966EF0">
        <w:rPr>
          <w:rFonts w:eastAsia="Calibri" w:cs="Arial"/>
          <w:color w:val="000000"/>
          <w:szCs w:val="20"/>
        </w:rPr>
        <w:t xml:space="preserve"> </w:t>
      </w:r>
      <w:r w:rsidRPr="00966EF0">
        <w:rPr>
          <w:rFonts w:cs="Arial"/>
          <w:color w:val="000000"/>
          <w:szCs w:val="20"/>
        </w:rPr>
        <w:t xml:space="preserve">(and its consultants’, responsible parties’, </w:t>
      </w:r>
      <w:proofErr w:type="gramStart"/>
      <w:r w:rsidRPr="00966EF0">
        <w:rPr>
          <w:rFonts w:cs="Arial"/>
          <w:color w:val="000000"/>
          <w:szCs w:val="20"/>
        </w:rPr>
        <w:t>subcontractors’</w:t>
      </w:r>
      <w:proofErr w:type="gramEnd"/>
      <w:r w:rsidRPr="00966EF0">
        <w:rPr>
          <w:rFonts w:cs="Arial"/>
          <w:color w:val="000000"/>
          <w:szCs w:val="20"/>
        </w:rPr>
        <w:t xml:space="preserve">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0F34EA81" w14:textId="77777777" w:rsidR="00550EDF" w:rsidRPr="00966EF0" w:rsidRDefault="00550EDF" w:rsidP="00550EDF">
      <w:pPr>
        <w:spacing w:after="0"/>
        <w:ind w:left="360"/>
        <w:rPr>
          <w:rFonts w:eastAsia="Calibri" w:cs="Arial"/>
          <w:color w:val="000000"/>
          <w:szCs w:val="20"/>
        </w:rPr>
      </w:pPr>
    </w:p>
    <w:p w14:paraId="7C1511E7" w14:textId="77777777" w:rsidR="00550EDF" w:rsidRPr="00966EF0" w:rsidRDefault="00550EDF" w:rsidP="00C46720">
      <w:pPr>
        <w:numPr>
          <w:ilvl w:val="0"/>
          <w:numId w:val="64"/>
        </w:numPr>
        <w:spacing w:after="0"/>
        <w:ind w:left="360"/>
        <w:rPr>
          <w:rFonts w:cs="Calibri"/>
          <w:szCs w:val="20"/>
        </w:rPr>
      </w:pPr>
      <w:r w:rsidRPr="00966EF0">
        <w:rPr>
          <w:rFonts w:cs="Calibri"/>
          <w:szCs w:val="20"/>
        </w:rPr>
        <w:t>The signatories to this Project Document will promptly inform one another in case of any incidence of inappropriate use of funds, or credible allegation of fraud or corruption with due confidentiality.</w:t>
      </w:r>
    </w:p>
    <w:p w14:paraId="4F5CD037" w14:textId="77777777" w:rsidR="00550EDF" w:rsidRPr="00966EF0" w:rsidRDefault="00550EDF" w:rsidP="00550EDF">
      <w:pPr>
        <w:spacing w:after="0"/>
        <w:ind w:left="360"/>
        <w:rPr>
          <w:rFonts w:cs="Calibri"/>
          <w:szCs w:val="20"/>
        </w:rPr>
      </w:pPr>
    </w:p>
    <w:p w14:paraId="36ACAD37" w14:textId="77777777" w:rsidR="00550EDF" w:rsidRPr="00966EF0" w:rsidRDefault="00550EDF" w:rsidP="00550EDF">
      <w:pPr>
        <w:spacing w:after="0"/>
        <w:ind w:left="360"/>
        <w:rPr>
          <w:rFonts w:eastAsia="Calibri" w:cs="Calibri"/>
          <w:color w:val="000000"/>
          <w:szCs w:val="20"/>
        </w:rPr>
      </w:pPr>
      <w:r w:rsidRPr="00966EF0">
        <w:rPr>
          <w:rFonts w:cs="Calibri"/>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197DEBA7" w14:textId="77777777" w:rsidR="00550EDF" w:rsidRPr="00966EF0" w:rsidRDefault="00550EDF" w:rsidP="00550EDF">
      <w:pPr>
        <w:spacing w:after="0"/>
        <w:ind w:left="360"/>
        <w:rPr>
          <w:rFonts w:cs="Calibri"/>
          <w:i/>
          <w:szCs w:val="20"/>
        </w:rPr>
      </w:pPr>
    </w:p>
    <w:p w14:paraId="0EC622E3" w14:textId="77777777" w:rsidR="00550EDF" w:rsidRPr="00966EF0" w:rsidRDefault="00550EDF" w:rsidP="00C46720">
      <w:pPr>
        <w:numPr>
          <w:ilvl w:val="0"/>
          <w:numId w:val="66"/>
        </w:numPr>
        <w:spacing w:after="0"/>
        <w:rPr>
          <w:rFonts w:eastAsia="Calibri" w:cs="Calibri"/>
          <w:color w:val="000000"/>
          <w:szCs w:val="20"/>
        </w:rPr>
      </w:pPr>
      <w:r w:rsidRPr="00966EF0">
        <w:rPr>
          <w:rFonts w:cs="Calibri"/>
          <w:szCs w:val="20"/>
        </w:rPr>
        <w:t>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6235214D" w14:textId="77777777" w:rsidR="00550EDF" w:rsidRPr="00966EF0" w:rsidRDefault="00550EDF" w:rsidP="00550EDF">
      <w:pPr>
        <w:spacing w:after="0"/>
        <w:ind w:left="360"/>
        <w:rPr>
          <w:rFonts w:cs="Calibri"/>
          <w:szCs w:val="20"/>
        </w:rPr>
      </w:pPr>
    </w:p>
    <w:p w14:paraId="2B4B61B6" w14:textId="77777777" w:rsidR="00550EDF" w:rsidRPr="00966EF0" w:rsidRDefault="00550EDF" w:rsidP="00550EDF">
      <w:pPr>
        <w:spacing w:after="0"/>
        <w:ind w:left="360"/>
        <w:rPr>
          <w:rFonts w:cs="Arial"/>
          <w:szCs w:val="20"/>
        </w:rPr>
      </w:pPr>
      <w:r w:rsidRPr="00966EF0">
        <w:rPr>
          <w:rFonts w:cs="Arial"/>
          <w:szCs w:val="2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or corruption, or otherwise paid other than in accordance with the terms and conditions of the Project Document.</w:t>
      </w:r>
    </w:p>
    <w:p w14:paraId="05F05BB0" w14:textId="77777777" w:rsidR="00550EDF" w:rsidRPr="00966EF0" w:rsidRDefault="00550EDF" w:rsidP="00550EDF">
      <w:pPr>
        <w:spacing w:after="0"/>
        <w:ind w:left="360"/>
        <w:rPr>
          <w:rFonts w:cs="Arial"/>
          <w:szCs w:val="20"/>
        </w:rPr>
      </w:pPr>
    </w:p>
    <w:p w14:paraId="70FA16DF" w14:textId="77777777" w:rsidR="00550EDF" w:rsidRPr="00966EF0" w:rsidRDefault="00550EDF" w:rsidP="00550EDF">
      <w:pPr>
        <w:spacing w:after="0"/>
        <w:ind w:left="360"/>
        <w:rPr>
          <w:rFonts w:eastAsia="Calibri" w:cs="Arial"/>
          <w:color w:val="000000"/>
          <w:szCs w:val="20"/>
        </w:rPr>
      </w:pPr>
      <w:r w:rsidRPr="00966EF0">
        <w:rPr>
          <w:rFonts w:cs="Arial"/>
          <w:i/>
          <w:szCs w:val="20"/>
          <w:u w:val="single"/>
        </w:rPr>
        <w:t>Note</w:t>
      </w:r>
      <w:r w:rsidRPr="00966EF0">
        <w:rPr>
          <w:rFonts w:cs="Arial"/>
          <w:i/>
          <w:szCs w:val="20"/>
        </w:rPr>
        <w:t>:</w:t>
      </w:r>
      <w:r w:rsidRPr="00966EF0">
        <w:rPr>
          <w:rFonts w:cs="Arial"/>
          <w:szCs w:val="20"/>
        </w:rPr>
        <w:t xml:space="preserve">  The term “Project Document” as used in this clause shall be deemed to include any relevant subsidiary agreement further to the Project Document, including those with responsible parties, </w:t>
      </w:r>
      <w:proofErr w:type="gramStart"/>
      <w:r w:rsidRPr="00966EF0">
        <w:rPr>
          <w:rFonts w:cs="Arial"/>
          <w:szCs w:val="20"/>
        </w:rPr>
        <w:t>subcontractors</w:t>
      </w:r>
      <w:proofErr w:type="gramEnd"/>
      <w:r w:rsidRPr="00966EF0">
        <w:rPr>
          <w:rFonts w:cs="Arial"/>
          <w:szCs w:val="20"/>
        </w:rPr>
        <w:t xml:space="preserve"> and sub-recipients.</w:t>
      </w:r>
    </w:p>
    <w:p w14:paraId="454C6219" w14:textId="77777777" w:rsidR="00550EDF" w:rsidRPr="00966EF0" w:rsidRDefault="00550EDF" w:rsidP="00550EDF">
      <w:pPr>
        <w:spacing w:after="0"/>
        <w:ind w:left="360"/>
        <w:rPr>
          <w:rFonts w:cs="Arial"/>
          <w:szCs w:val="20"/>
        </w:rPr>
      </w:pPr>
    </w:p>
    <w:p w14:paraId="1E5C20F1" w14:textId="77777777" w:rsidR="00550EDF" w:rsidRPr="00966EF0" w:rsidRDefault="00550EDF" w:rsidP="00C46720">
      <w:pPr>
        <w:numPr>
          <w:ilvl w:val="0"/>
          <w:numId w:val="67"/>
        </w:numPr>
        <w:spacing w:after="0"/>
        <w:rPr>
          <w:rFonts w:cs="Arial"/>
          <w:szCs w:val="20"/>
        </w:rPr>
      </w:pPr>
      <w:r w:rsidRPr="00966EF0">
        <w:rPr>
          <w:rFonts w:cs="Arial"/>
          <w:szCs w:val="20"/>
        </w:rPr>
        <w:t xml:space="preserve">Each contract issued by the Implementing Partner in connection with this Project Document shall include a provision representing that no fees, gratuities, rebates, gifts, </w:t>
      </w:r>
      <w:proofErr w:type="gramStart"/>
      <w:r w:rsidRPr="00966EF0">
        <w:rPr>
          <w:rFonts w:cs="Arial"/>
          <w:szCs w:val="20"/>
        </w:rPr>
        <w:t>commissions</w:t>
      </w:r>
      <w:proofErr w:type="gramEnd"/>
      <w:r w:rsidRPr="00966EF0">
        <w:rPr>
          <w:rFonts w:cs="Arial"/>
          <w:szCs w:val="20"/>
        </w:rPr>
        <w:t xml:space="preserve">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4F687872" w14:textId="77777777" w:rsidR="00550EDF" w:rsidRPr="00966EF0" w:rsidRDefault="00550EDF" w:rsidP="00550EDF">
      <w:pPr>
        <w:spacing w:after="0"/>
        <w:ind w:left="360"/>
        <w:rPr>
          <w:rFonts w:cs="Arial"/>
          <w:szCs w:val="20"/>
        </w:rPr>
      </w:pPr>
    </w:p>
    <w:p w14:paraId="75E17E69" w14:textId="77777777" w:rsidR="00550EDF" w:rsidRPr="00966EF0" w:rsidRDefault="00550EDF" w:rsidP="00C46720">
      <w:pPr>
        <w:numPr>
          <w:ilvl w:val="0"/>
          <w:numId w:val="67"/>
        </w:numPr>
        <w:spacing w:after="0"/>
        <w:rPr>
          <w:rFonts w:cs="Arial"/>
          <w:szCs w:val="20"/>
        </w:rPr>
      </w:pPr>
      <w:r w:rsidRPr="00966EF0">
        <w:rPr>
          <w:rFonts w:cs="Arial"/>
          <w:szCs w:val="20"/>
        </w:rPr>
        <w:t xml:space="preserve">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w:t>
      </w:r>
      <w:proofErr w:type="gramStart"/>
      <w:r w:rsidRPr="00966EF0">
        <w:rPr>
          <w:rFonts w:cs="Arial"/>
          <w:szCs w:val="20"/>
        </w:rPr>
        <w:t>recover</w:t>
      </w:r>
      <w:proofErr w:type="gramEnd"/>
      <w:r w:rsidRPr="00966EF0">
        <w:rPr>
          <w:rFonts w:cs="Arial"/>
          <w:szCs w:val="20"/>
        </w:rPr>
        <w:t xml:space="preserve"> and return any recovered funds to UNDP.</w:t>
      </w:r>
    </w:p>
    <w:p w14:paraId="66BB698B" w14:textId="77777777" w:rsidR="00550EDF" w:rsidRPr="00966EF0" w:rsidRDefault="00550EDF" w:rsidP="00550EDF">
      <w:pPr>
        <w:spacing w:after="0"/>
        <w:ind w:left="360"/>
        <w:rPr>
          <w:rFonts w:cs="Arial"/>
          <w:szCs w:val="20"/>
        </w:rPr>
      </w:pPr>
    </w:p>
    <w:p w14:paraId="3ECCECD0" w14:textId="37B2E6A6" w:rsidR="00550EDF" w:rsidRDefault="00550EDF" w:rsidP="00C46720">
      <w:pPr>
        <w:numPr>
          <w:ilvl w:val="0"/>
          <w:numId w:val="67"/>
        </w:numPr>
        <w:spacing w:after="0"/>
        <w:rPr>
          <w:rFonts w:cs="Arial"/>
          <w:szCs w:val="20"/>
        </w:rPr>
      </w:pPr>
      <w:r w:rsidRPr="00966EF0">
        <w:rPr>
          <w:rFonts w:cs="Arial"/>
          <w:szCs w:val="20"/>
        </w:rPr>
        <w:t xml:space="preserve">The Implementing Partner shall ensure that </w:t>
      </w:r>
      <w:proofErr w:type="gramStart"/>
      <w:r w:rsidRPr="00966EF0">
        <w:rPr>
          <w:rFonts w:cs="Arial"/>
          <w:szCs w:val="20"/>
        </w:rPr>
        <w:t>all of</w:t>
      </w:r>
      <w:proofErr w:type="gramEnd"/>
      <w:r w:rsidRPr="00966EF0">
        <w:rPr>
          <w:rFonts w:cs="Arial"/>
          <w:szCs w:val="20"/>
        </w:rPr>
        <w:t xml:space="preserve"> its obligations set forth under this section entitled “Risk Management” are passed on to each responsible party, subcontractor and sub-recipient and that all the clauses under this section entitled “Risk Management Standard Clauses” are included, </w:t>
      </w:r>
      <w:r w:rsidRPr="00966EF0">
        <w:rPr>
          <w:rFonts w:cs="Arial"/>
          <w:i/>
          <w:szCs w:val="20"/>
        </w:rPr>
        <w:t>mutatis mutandis</w:t>
      </w:r>
      <w:r w:rsidRPr="00966EF0">
        <w:rPr>
          <w:rFonts w:cs="Arial"/>
          <w:szCs w:val="20"/>
        </w:rPr>
        <w:t>, in all sub-contracts or sub-agreements entered into further to this Project Document.</w:t>
      </w:r>
    </w:p>
    <w:p w14:paraId="7C0920AB" w14:textId="77777777" w:rsidR="001200EA" w:rsidRDefault="001200EA" w:rsidP="001200EA">
      <w:pPr>
        <w:pStyle w:val="Paragraphedeliste"/>
        <w:rPr>
          <w:rFonts w:cs="Arial"/>
          <w:szCs w:val="20"/>
        </w:rPr>
      </w:pPr>
    </w:p>
    <w:p w14:paraId="6547515C" w14:textId="50FD6CEB" w:rsidR="001200EA" w:rsidRDefault="001200EA" w:rsidP="001200EA">
      <w:pPr>
        <w:spacing w:after="0"/>
        <w:ind w:left="360"/>
        <w:rPr>
          <w:rFonts w:cs="Arial"/>
          <w:szCs w:val="20"/>
        </w:rPr>
      </w:pPr>
    </w:p>
    <w:p w14:paraId="25485AA0" w14:textId="63C96B23" w:rsidR="001200EA" w:rsidRDefault="001200EA" w:rsidP="001200EA">
      <w:pPr>
        <w:spacing w:after="0"/>
        <w:ind w:left="360"/>
        <w:rPr>
          <w:rFonts w:cs="Arial"/>
          <w:szCs w:val="20"/>
        </w:rPr>
      </w:pPr>
    </w:p>
    <w:p w14:paraId="412014B4" w14:textId="06C701F4" w:rsidR="001200EA" w:rsidRDefault="001200EA" w:rsidP="001200EA">
      <w:pPr>
        <w:spacing w:after="0"/>
        <w:ind w:left="360"/>
        <w:rPr>
          <w:rFonts w:cs="Arial"/>
          <w:szCs w:val="20"/>
        </w:rPr>
      </w:pPr>
    </w:p>
    <w:p w14:paraId="1BA2A8D6" w14:textId="4A33E040" w:rsidR="001200EA" w:rsidRDefault="001200EA" w:rsidP="001200EA">
      <w:pPr>
        <w:spacing w:after="0"/>
        <w:ind w:left="360"/>
        <w:rPr>
          <w:rFonts w:cs="Arial"/>
          <w:szCs w:val="20"/>
        </w:rPr>
      </w:pPr>
    </w:p>
    <w:p w14:paraId="432ECE2B" w14:textId="75A81611" w:rsidR="001200EA" w:rsidRDefault="001200EA" w:rsidP="001200EA">
      <w:pPr>
        <w:spacing w:after="0"/>
        <w:ind w:left="360"/>
        <w:rPr>
          <w:rFonts w:cs="Arial"/>
          <w:szCs w:val="20"/>
        </w:rPr>
      </w:pPr>
    </w:p>
    <w:p w14:paraId="4C639132" w14:textId="77777777" w:rsidR="001200EA" w:rsidRPr="00966EF0" w:rsidRDefault="001200EA" w:rsidP="001200EA">
      <w:pPr>
        <w:spacing w:after="0"/>
        <w:ind w:left="360"/>
        <w:rPr>
          <w:rFonts w:cs="Arial"/>
          <w:szCs w:val="20"/>
        </w:rPr>
      </w:pPr>
    </w:p>
    <w:p w14:paraId="3B937B24" w14:textId="77777777" w:rsidR="00302BFE" w:rsidRPr="0003763F" w:rsidRDefault="00302BFE" w:rsidP="00302BFE">
      <w:pPr>
        <w:pStyle w:val="Titre1"/>
        <w:spacing w:before="0" w:after="60"/>
        <w:rPr>
          <w:rFonts w:ascii="Calibri" w:hAnsi="Calibri"/>
        </w:rPr>
      </w:pPr>
      <w:r w:rsidRPr="0003763F">
        <w:rPr>
          <w:rFonts w:ascii="Calibri" w:hAnsi="Calibri"/>
        </w:rPr>
        <w:t>Mandatory Annexes</w:t>
      </w:r>
      <w:bookmarkEnd w:id="43"/>
    </w:p>
    <w:p w14:paraId="23E7EC92" w14:textId="77777777" w:rsidR="00302BFE" w:rsidRPr="0003763F" w:rsidRDefault="00302BFE" w:rsidP="00302BFE">
      <w:pPr>
        <w:pStyle w:val="Paragraphedeliste"/>
        <w:numPr>
          <w:ilvl w:val="0"/>
          <w:numId w:val="6"/>
        </w:numPr>
        <w:spacing w:after="60"/>
        <w:ind w:left="720"/>
        <w:rPr>
          <w:rFonts w:ascii="Calibri" w:hAnsi="Calibri"/>
          <w:sz w:val="20"/>
          <w:szCs w:val="20"/>
        </w:rPr>
      </w:pPr>
      <w:r w:rsidRPr="0003763F">
        <w:rPr>
          <w:rFonts w:ascii="Calibri" w:hAnsi="Calibri"/>
          <w:sz w:val="20"/>
          <w:szCs w:val="20"/>
        </w:rPr>
        <w:t>Multi</w:t>
      </w:r>
      <w:r>
        <w:rPr>
          <w:rFonts w:ascii="Calibri" w:hAnsi="Calibri"/>
          <w:sz w:val="20"/>
          <w:szCs w:val="20"/>
        </w:rPr>
        <w:t>-</w:t>
      </w:r>
      <w:r w:rsidRPr="0003763F">
        <w:rPr>
          <w:rFonts w:ascii="Calibri" w:hAnsi="Calibri"/>
          <w:sz w:val="20"/>
          <w:szCs w:val="20"/>
        </w:rPr>
        <w:t>year Workplan</w:t>
      </w:r>
    </w:p>
    <w:p w14:paraId="136B6460" w14:textId="77777777" w:rsidR="00302BFE" w:rsidRDefault="00302BFE" w:rsidP="00302BFE">
      <w:pPr>
        <w:pStyle w:val="Paragraphedeliste"/>
        <w:numPr>
          <w:ilvl w:val="0"/>
          <w:numId w:val="6"/>
        </w:numPr>
        <w:spacing w:after="60"/>
        <w:ind w:left="720"/>
        <w:rPr>
          <w:rFonts w:ascii="Calibri" w:hAnsi="Calibri"/>
          <w:sz w:val="20"/>
          <w:szCs w:val="20"/>
        </w:rPr>
      </w:pPr>
      <w:r w:rsidRPr="00055F28">
        <w:rPr>
          <w:rFonts w:ascii="Calibri" w:hAnsi="Calibri"/>
          <w:sz w:val="20"/>
          <w:szCs w:val="20"/>
        </w:rPr>
        <w:lastRenderedPageBreak/>
        <w:t>GE</w:t>
      </w:r>
      <w:r>
        <w:rPr>
          <w:rFonts w:ascii="Calibri" w:hAnsi="Calibri"/>
          <w:sz w:val="20"/>
          <w:szCs w:val="20"/>
        </w:rPr>
        <w:t>F-7 Core Indicators at baseline</w:t>
      </w:r>
    </w:p>
    <w:p w14:paraId="19F6675B" w14:textId="77777777" w:rsidR="00302BFE" w:rsidRPr="00055F28" w:rsidRDefault="00302BFE" w:rsidP="00302BFE">
      <w:pPr>
        <w:pStyle w:val="Paragraphedeliste"/>
        <w:numPr>
          <w:ilvl w:val="0"/>
          <w:numId w:val="6"/>
        </w:numPr>
        <w:spacing w:after="60"/>
        <w:ind w:left="720"/>
        <w:rPr>
          <w:rFonts w:ascii="Calibri" w:hAnsi="Calibri"/>
          <w:sz w:val="20"/>
          <w:szCs w:val="20"/>
        </w:rPr>
      </w:pPr>
      <w:r w:rsidRPr="00055F28">
        <w:rPr>
          <w:rFonts w:ascii="Calibri" w:hAnsi="Calibri"/>
          <w:sz w:val="20"/>
          <w:szCs w:val="20"/>
        </w:rPr>
        <w:t xml:space="preserve">Terms of Reference for </w:t>
      </w:r>
      <w:r>
        <w:rPr>
          <w:rFonts w:ascii="Calibri" w:hAnsi="Calibri"/>
          <w:sz w:val="20"/>
          <w:szCs w:val="20"/>
        </w:rPr>
        <w:t>key p</w:t>
      </w:r>
      <w:r w:rsidRPr="00055F28">
        <w:rPr>
          <w:rFonts w:ascii="Calibri" w:hAnsi="Calibri"/>
          <w:sz w:val="20"/>
          <w:szCs w:val="20"/>
        </w:rPr>
        <w:t xml:space="preserve">roject positions </w:t>
      </w:r>
    </w:p>
    <w:p w14:paraId="1CE7D58B" w14:textId="77777777" w:rsidR="00302BFE" w:rsidRPr="003B6502" w:rsidRDefault="00302BFE" w:rsidP="00302BFE">
      <w:pPr>
        <w:pStyle w:val="Paragraphedeliste"/>
        <w:numPr>
          <w:ilvl w:val="0"/>
          <w:numId w:val="6"/>
        </w:numPr>
        <w:spacing w:after="60"/>
        <w:ind w:left="720"/>
        <w:rPr>
          <w:rFonts w:ascii="Calibri" w:hAnsi="Calibri"/>
          <w:sz w:val="20"/>
          <w:szCs w:val="20"/>
        </w:rPr>
      </w:pPr>
      <w:r w:rsidRPr="0003763F">
        <w:rPr>
          <w:rFonts w:ascii="Calibri" w:hAnsi="Calibri"/>
          <w:sz w:val="20"/>
          <w:szCs w:val="20"/>
        </w:rPr>
        <w:t>UNDP Social and Environmental and Social Screening Template (SESP)</w:t>
      </w:r>
    </w:p>
    <w:p w14:paraId="04F7F3EA" w14:textId="77777777" w:rsidR="00302BFE" w:rsidRDefault="00302BFE" w:rsidP="00302BFE">
      <w:pPr>
        <w:pStyle w:val="Paragraphedeliste"/>
        <w:numPr>
          <w:ilvl w:val="0"/>
          <w:numId w:val="6"/>
        </w:numPr>
        <w:spacing w:after="60"/>
        <w:ind w:left="720"/>
        <w:rPr>
          <w:rFonts w:ascii="Calibri" w:hAnsi="Calibri"/>
          <w:sz w:val="20"/>
          <w:szCs w:val="20"/>
        </w:rPr>
      </w:pPr>
      <w:r>
        <w:rPr>
          <w:rFonts w:ascii="Calibri" w:hAnsi="Calibri"/>
          <w:sz w:val="20"/>
          <w:szCs w:val="20"/>
        </w:rPr>
        <w:t>Stakeholder Engagement Plan</w:t>
      </w:r>
    </w:p>
    <w:p w14:paraId="37551740" w14:textId="77777777" w:rsidR="00302BFE" w:rsidRDefault="00302BFE" w:rsidP="00302BFE">
      <w:pPr>
        <w:pStyle w:val="Paragraphedeliste"/>
        <w:numPr>
          <w:ilvl w:val="0"/>
          <w:numId w:val="6"/>
        </w:numPr>
        <w:spacing w:after="60"/>
        <w:ind w:left="720"/>
        <w:rPr>
          <w:rFonts w:ascii="Calibri" w:hAnsi="Calibri"/>
          <w:sz w:val="20"/>
          <w:szCs w:val="20"/>
        </w:rPr>
      </w:pPr>
      <w:r>
        <w:rPr>
          <w:rFonts w:ascii="Calibri" w:hAnsi="Calibri"/>
          <w:sz w:val="20"/>
          <w:szCs w:val="20"/>
        </w:rPr>
        <w:t>Gender Analysis and Action Plan</w:t>
      </w:r>
    </w:p>
    <w:p w14:paraId="5669B16A" w14:textId="77777777" w:rsidR="00302BFE" w:rsidRDefault="00302BFE" w:rsidP="00302BFE">
      <w:pPr>
        <w:pStyle w:val="Paragraphedeliste"/>
        <w:numPr>
          <w:ilvl w:val="0"/>
          <w:numId w:val="6"/>
        </w:numPr>
        <w:spacing w:after="60"/>
        <w:ind w:left="720"/>
        <w:rPr>
          <w:rFonts w:ascii="Calibri" w:hAnsi="Calibri"/>
          <w:sz w:val="20"/>
          <w:szCs w:val="20"/>
        </w:rPr>
      </w:pPr>
      <w:r>
        <w:rPr>
          <w:rFonts w:ascii="Calibri" w:hAnsi="Calibri"/>
          <w:sz w:val="20"/>
          <w:szCs w:val="20"/>
        </w:rPr>
        <w:t xml:space="preserve">UNDP Risk Log </w:t>
      </w:r>
    </w:p>
    <w:p w14:paraId="2FC80E12" w14:textId="241249E8" w:rsidR="00302BFE" w:rsidRPr="006E490C" w:rsidRDefault="00302BFE" w:rsidP="00302BFE">
      <w:pPr>
        <w:pStyle w:val="Paragraphedeliste"/>
        <w:numPr>
          <w:ilvl w:val="0"/>
          <w:numId w:val="6"/>
        </w:numPr>
        <w:spacing w:after="60"/>
        <w:ind w:left="720"/>
        <w:rPr>
          <w:rFonts w:ascii="Calibri" w:hAnsi="Calibri"/>
          <w:sz w:val="20"/>
          <w:szCs w:val="20"/>
        </w:rPr>
      </w:pPr>
      <w:r w:rsidRPr="006E490C">
        <w:rPr>
          <w:rFonts w:ascii="Calibri" w:hAnsi="Calibri"/>
          <w:sz w:val="20"/>
          <w:szCs w:val="20"/>
        </w:rPr>
        <w:t>Additional agreements: GEF OFP letter</w:t>
      </w:r>
    </w:p>
    <w:p w14:paraId="28D084DC" w14:textId="77777777" w:rsidR="00302BFE" w:rsidRDefault="00302BFE" w:rsidP="00302BFE">
      <w:pPr>
        <w:pStyle w:val="Paragraphedeliste"/>
        <w:numPr>
          <w:ilvl w:val="0"/>
          <w:numId w:val="6"/>
        </w:numPr>
        <w:spacing w:after="60"/>
        <w:ind w:left="720"/>
        <w:rPr>
          <w:rFonts w:ascii="Calibri" w:hAnsi="Calibri"/>
          <w:sz w:val="20"/>
          <w:szCs w:val="20"/>
        </w:rPr>
      </w:pPr>
      <w:r>
        <w:rPr>
          <w:rFonts w:ascii="Calibri" w:hAnsi="Calibri"/>
          <w:sz w:val="20"/>
          <w:szCs w:val="20"/>
        </w:rPr>
        <w:t>Target Landscape profile</w:t>
      </w:r>
    </w:p>
    <w:p w14:paraId="6285A7DD" w14:textId="77777777" w:rsidR="00302BFE" w:rsidRDefault="00302BFE" w:rsidP="00302BFE">
      <w:pPr>
        <w:pStyle w:val="Paragraphedeliste"/>
        <w:numPr>
          <w:ilvl w:val="0"/>
          <w:numId w:val="6"/>
        </w:numPr>
        <w:spacing w:after="60"/>
        <w:ind w:left="720"/>
        <w:rPr>
          <w:rFonts w:ascii="Calibri" w:hAnsi="Calibri"/>
          <w:sz w:val="20"/>
          <w:szCs w:val="20"/>
        </w:rPr>
      </w:pPr>
      <w:r>
        <w:rPr>
          <w:rFonts w:ascii="Calibri" w:hAnsi="Calibri"/>
          <w:sz w:val="20"/>
          <w:szCs w:val="20"/>
        </w:rPr>
        <w:t>Overview of the protected area system in Burkina Faso</w:t>
      </w:r>
    </w:p>
    <w:p w14:paraId="3C85AF1D" w14:textId="77777777" w:rsidR="00302BFE" w:rsidRDefault="00302BFE" w:rsidP="00302BFE">
      <w:pPr>
        <w:pStyle w:val="Paragraphedeliste"/>
        <w:numPr>
          <w:ilvl w:val="0"/>
          <w:numId w:val="6"/>
        </w:numPr>
        <w:spacing w:after="60"/>
        <w:ind w:left="720"/>
        <w:rPr>
          <w:rFonts w:ascii="Calibri" w:hAnsi="Calibri"/>
          <w:sz w:val="20"/>
          <w:szCs w:val="20"/>
        </w:rPr>
      </w:pPr>
      <w:r>
        <w:rPr>
          <w:rFonts w:ascii="Calibri" w:hAnsi="Calibri"/>
          <w:sz w:val="20"/>
          <w:szCs w:val="20"/>
        </w:rPr>
        <w:t>Overview of the protected areas and community-managed terroirs of the PONASI landscape</w:t>
      </w:r>
    </w:p>
    <w:p w14:paraId="6F9BBF9A" w14:textId="77777777" w:rsidR="00302BFE" w:rsidRDefault="00302BFE" w:rsidP="00302BFE">
      <w:pPr>
        <w:pStyle w:val="Paragraphedeliste"/>
        <w:numPr>
          <w:ilvl w:val="0"/>
          <w:numId w:val="6"/>
        </w:numPr>
        <w:spacing w:after="60"/>
        <w:ind w:left="720"/>
        <w:rPr>
          <w:rFonts w:ascii="Calibri" w:hAnsi="Calibri"/>
          <w:sz w:val="20"/>
          <w:szCs w:val="20"/>
        </w:rPr>
      </w:pPr>
      <w:r>
        <w:rPr>
          <w:rFonts w:ascii="Calibri" w:hAnsi="Calibri"/>
          <w:sz w:val="20"/>
          <w:szCs w:val="20"/>
        </w:rPr>
        <w:t>HWC and SAFE Systems approach</w:t>
      </w:r>
    </w:p>
    <w:p w14:paraId="45126F81" w14:textId="77777777" w:rsidR="00302BFE" w:rsidRDefault="00302BFE" w:rsidP="00302BFE">
      <w:pPr>
        <w:pStyle w:val="Paragraphedeliste"/>
        <w:numPr>
          <w:ilvl w:val="0"/>
          <w:numId w:val="6"/>
        </w:numPr>
        <w:spacing w:after="60"/>
        <w:ind w:left="720"/>
        <w:rPr>
          <w:rFonts w:ascii="Calibri" w:hAnsi="Calibri"/>
          <w:sz w:val="20"/>
          <w:szCs w:val="20"/>
        </w:rPr>
      </w:pPr>
      <w:r>
        <w:rPr>
          <w:rFonts w:ascii="Calibri" w:hAnsi="Calibri"/>
          <w:sz w:val="20"/>
          <w:szCs w:val="20"/>
        </w:rPr>
        <w:t>P</w:t>
      </w:r>
      <w:r w:rsidRPr="0003763F">
        <w:rPr>
          <w:rFonts w:ascii="Calibri" w:hAnsi="Calibri"/>
          <w:sz w:val="20"/>
          <w:szCs w:val="20"/>
        </w:rPr>
        <w:t>eople consulted during project development</w:t>
      </w:r>
    </w:p>
    <w:p w14:paraId="6F4C8BBD" w14:textId="77777777" w:rsidR="00302BFE" w:rsidRDefault="00302BFE" w:rsidP="00302BFE">
      <w:pPr>
        <w:pStyle w:val="Paragraphedeliste"/>
        <w:numPr>
          <w:ilvl w:val="0"/>
          <w:numId w:val="6"/>
        </w:numPr>
        <w:spacing w:after="60"/>
        <w:ind w:left="720"/>
        <w:rPr>
          <w:rFonts w:ascii="Calibri" w:hAnsi="Calibri"/>
          <w:sz w:val="20"/>
          <w:szCs w:val="20"/>
        </w:rPr>
      </w:pPr>
      <w:r>
        <w:rPr>
          <w:rFonts w:ascii="Calibri" w:hAnsi="Calibri"/>
          <w:sz w:val="20"/>
          <w:szCs w:val="20"/>
        </w:rPr>
        <w:t>Provisional Procurement Plan</w:t>
      </w:r>
    </w:p>
    <w:p w14:paraId="6699D6BB" w14:textId="77777777" w:rsidR="00302BFE" w:rsidRDefault="00302BFE" w:rsidP="00302BFE">
      <w:pPr>
        <w:pStyle w:val="Paragraphedeliste"/>
        <w:numPr>
          <w:ilvl w:val="0"/>
          <w:numId w:val="6"/>
        </w:numPr>
        <w:spacing w:after="60"/>
        <w:ind w:left="720"/>
        <w:rPr>
          <w:rFonts w:ascii="Calibri" w:hAnsi="Calibri"/>
          <w:sz w:val="20"/>
          <w:szCs w:val="20"/>
        </w:rPr>
      </w:pPr>
      <w:r>
        <w:rPr>
          <w:rFonts w:ascii="Calibri" w:hAnsi="Calibri"/>
          <w:sz w:val="20"/>
          <w:szCs w:val="20"/>
        </w:rPr>
        <w:t>GHG calculations</w:t>
      </w:r>
    </w:p>
    <w:p w14:paraId="36CFB48D" w14:textId="77777777" w:rsidR="00302BFE" w:rsidRPr="006E490C" w:rsidRDefault="00302BFE" w:rsidP="00302BFE">
      <w:pPr>
        <w:pStyle w:val="Paragraphedeliste"/>
        <w:numPr>
          <w:ilvl w:val="0"/>
          <w:numId w:val="6"/>
        </w:numPr>
        <w:spacing w:after="60"/>
        <w:ind w:left="720"/>
        <w:rPr>
          <w:rFonts w:ascii="Calibri" w:hAnsi="Calibri"/>
          <w:sz w:val="20"/>
          <w:szCs w:val="20"/>
        </w:rPr>
      </w:pPr>
      <w:r w:rsidRPr="006E490C">
        <w:rPr>
          <w:rFonts w:ascii="Calibri" w:hAnsi="Calibri"/>
          <w:sz w:val="20"/>
          <w:szCs w:val="20"/>
        </w:rPr>
        <w:t>Co-financing letters (attached as separate document)</w:t>
      </w:r>
    </w:p>
    <w:p w14:paraId="594E5F49" w14:textId="77777777" w:rsidR="00302BFE" w:rsidRPr="009E2206" w:rsidRDefault="00302BFE" w:rsidP="00302BFE">
      <w:pPr>
        <w:pStyle w:val="Paragraphedeliste"/>
        <w:numPr>
          <w:ilvl w:val="0"/>
          <w:numId w:val="6"/>
        </w:numPr>
        <w:spacing w:after="60"/>
        <w:ind w:left="720"/>
        <w:rPr>
          <w:rFonts w:ascii="Calibri" w:hAnsi="Calibri"/>
          <w:sz w:val="20"/>
          <w:szCs w:val="20"/>
        </w:rPr>
      </w:pPr>
      <w:r>
        <w:rPr>
          <w:rFonts w:ascii="Calibri" w:hAnsi="Calibri"/>
          <w:sz w:val="20"/>
          <w:szCs w:val="20"/>
        </w:rPr>
        <w:t>UNDP Capacity Assessment Scorecard for DGEF and OFINAP</w:t>
      </w:r>
    </w:p>
    <w:p w14:paraId="2EAA5A19" w14:textId="77777777" w:rsidR="00302BFE" w:rsidRPr="0003763F" w:rsidRDefault="00302BFE" w:rsidP="00302BFE">
      <w:pPr>
        <w:rPr>
          <w:szCs w:val="22"/>
        </w:rPr>
      </w:pPr>
    </w:p>
    <w:p w14:paraId="584F3E1B" w14:textId="77777777" w:rsidR="00302BFE" w:rsidRPr="0003763F" w:rsidRDefault="00302BFE" w:rsidP="00302BFE">
      <w:pPr>
        <w:jc w:val="left"/>
        <w:sectPr w:rsidR="00302BFE" w:rsidRPr="0003763F" w:rsidSect="00243B15">
          <w:pgSz w:w="12240" w:h="15840" w:code="1"/>
          <w:pgMar w:top="720" w:right="720" w:bottom="720" w:left="720" w:header="720" w:footer="720" w:gutter="0"/>
          <w:cols w:space="720"/>
          <w:docGrid w:linePitch="360"/>
        </w:sectPr>
      </w:pPr>
    </w:p>
    <w:p w14:paraId="730E8785" w14:textId="77777777" w:rsidR="00302BFE" w:rsidRPr="00421FD8" w:rsidRDefault="00302BFE" w:rsidP="00302BFE">
      <w:pPr>
        <w:pStyle w:val="Titre2"/>
        <w:ind w:left="0"/>
        <w:rPr>
          <w:rFonts w:ascii="Calibri" w:hAnsi="Calibri"/>
          <w:szCs w:val="22"/>
        </w:rPr>
      </w:pPr>
      <w:bookmarkStart w:id="44" w:name="_Toc9961801"/>
      <w:r w:rsidRPr="00421FD8">
        <w:rPr>
          <w:rFonts w:ascii="Calibri" w:hAnsi="Calibri"/>
          <w:szCs w:val="22"/>
        </w:rPr>
        <w:lastRenderedPageBreak/>
        <w:t>Annex A:  Multi Year Work Plan</w:t>
      </w:r>
      <w:bookmarkEnd w:id="44"/>
    </w:p>
    <w:p w14:paraId="0F71E0DF" w14:textId="77777777" w:rsidR="00302BFE" w:rsidRDefault="00302BFE" w:rsidP="00302BFE">
      <w:pPr>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302BFE" w:rsidRPr="00D45B3D" w14:paraId="7039EF6D" w14:textId="77777777" w:rsidTr="00243B15">
        <w:trPr>
          <w:cantSplit/>
          <w:tblHeader/>
          <w:jc w:val="center"/>
        </w:trPr>
        <w:tc>
          <w:tcPr>
            <w:tcW w:w="5670" w:type="dxa"/>
            <w:vMerge w:val="restart"/>
            <w:shd w:val="clear" w:color="auto" w:fill="auto"/>
            <w:vAlign w:val="center"/>
          </w:tcPr>
          <w:p w14:paraId="1ECC7FB0" w14:textId="77777777" w:rsidR="00302BFE" w:rsidRPr="00D45B3D" w:rsidRDefault="00302BFE" w:rsidP="00243B15">
            <w:pPr>
              <w:rPr>
                <w:b/>
                <w:szCs w:val="20"/>
                <w:lang w:val="en-CA"/>
              </w:rPr>
            </w:pPr>
            <w:bookmarkStart w:id="45" w:name="_Hlk8298765"/>
            <w:r w:rsidRPr="00D45B3D">
              <w:rPr>
                <w:b/>
                <w:szCs w:val="20"/>
                <w:lang w:val="en-CA"/>
              </w:rPr>
              <w:t>Tasks</w:t>
            </w:r>
          </w:p>
        </w:tc>
        <w:tc>
          <w:tcPr>
            <w:tcW w:w="1360" w:type="dxa"/>
            <w:gridSpan w:val="4"/>
            <w:shd w:val="clear" w:color="auto" w:fill="auto"/>
            <w:vAlign w:val="center"/>
          </w:tcPr>
          <w:p w14:paraId="264B5104" w14:textId="77777777" w:rsidR="00302BFE" w:rsidRPr="00D45B3D" w:rsidRDefault="00302BFE" w:rsidP="00243B15">
            <w:pPr>
              <w:jc w:val="center"/>
              <w:rPr>
                <w:b/>
                <w:sz w:val="18"/>
                <w:szCs w:val="18"/>
                <w:lang w:val="en-CA"/>
              </w:rPr>
            </w:pPr>
            <w:r w:rsidRPr="00D45B3D">
              <w:rPr>
                <w:b/>
                <w:sz w:val="18"/>
                <w:szCs w:val="18"/>
                <w:lang w:val="en-CA"/>
              </w:rPr>
              <w:t>Year 1</w:t>
            </w:r>
          </w:p>
        </w:tc>
        <w:tc>
          <w:tcPr>
            <w:tcW w:w="1360" w:type="dxa"/>
            <w:gridSpan w:val="4"/>
            <w:shd w:val="clear" w:color="auto" w:fill="auto"/>
            <w:vAlign w:val="center"/>
          </w:tcPr>
          <w:p w14:paraId="326FC445" w14:textId="77777777" w:rsidR="00302BFE" w:rsidRPr="00D45B3D" w:rsidRDefault="00302BFE" w:rsidP="00243B15">
            <w:pPr>
              <w:jc w:val="center"/>
              <w:rPr>
                <w:b/>
                <w:sz w:val="18"/>
                <w:szCs w:val="18"/>
                <w:lang w:val="en-CA"/>
              </w:rPr>
            </w:pPr>
            <w:r w:rsidRPr="00D45B3D">
              <w:rPr>
                <w:b/>
                <w:sz w:val="18"/>
                <w:szCs w:val="18"/>
                <w:lang w:val="en-CA"/>
              </w:rPr>
              <w:t>Year 2</w:t>
            </w:r>
          </w:p>
        </w:tc>
        <w:tc>
          <w:tcPr>
            <w:tcW w:w="1360" w:type="dxa"/>
            <w:gridSpan w:val="4"/>
            <w:shd w:val="clear" w:color="auto" w:fill="auto"/>
            <w:vAlign w:val="center"/>
          </w:tcPr>
          <w:p w14:paraId="04C95F4A" w14:textId="77777777" w:rsidR="00302BFE" w:rsidRPr="00D45B3D" w:rsidRDefault="00302BFE" w:rsidP="00243B15">
            <w:pPr>
              <w:jc w:val="center"/>
              <w:rPr>
                <w:b/>
                <w:sz w:val="18"/>
                <w:szCs w:val="18"/>
                <w:lang w:val="en-CA"/>
              </w:rPr>
            </w:pPr>
            <w:r w:rsidRPr="00D45B3D">
              <w:rPr>
                <w:b/>
                <w:sz w:val="18"/>
                <w:szCs w:val="18"/>
                <w:lang w:val="en-CA"/>
              </w:rPr>
              <w:t>Year 3</w:t>
            </w:r>
          </w:p>
        </w:tc>
        <w:tc>
          <w:tcPr>
            <w:tcW w:w="1360" w:type="dxa"/>
            <w:gridSpan w:val="4"/>
            <w:shd w:val="clear" w:color="auto" w:fill="auto"/>
            <w:vAlign w:val="center"/>
          </w:tcPr>
          <w:p w14:paraId="3C5953A7" w14:textId="77777777" w:rsidR="00302BFE" w:rsidRPr="00D45B3D" w:rsidRDefault="00302BFE" w:rsidP="00243B15">
            <w:pPr>
              <w:jc w:val="center"/>
              <w:rPr>
                <w:b/>
                <w:sz w:val="18"/>
                <w:szCs w:val="18"/>
                <w:lang w:val="en-CA"/>
              </w:rPr>
            </w:pPr>
            <w:r w:rsidRPr="00D45B3D">
              <w:rPr>
                <w:b/>
                <w:sz w:val="18"/>
                <w:szCs w:val="18"/>
                <w:lang w:val="en-CA"/>
              </w:rPr>
              <w:t>Year 4</w:t>
            </w:r>
          </w:p>
        </w:tc>
        <w:tc>
          <w:tcPr>
            <w:tcW w:w="1360" w:type="dxa"/>
            <w:gridSpan w:val="4"/>
            <w:shd w:val="clear" w:color="auto" w:fill="auto"/>
            <w:vAlign w:val="center"/>
          </w:tcPr>
          <w:p w14:paraId="49EB093B" w14:textId="77777777" w:rsidR="00302BFE" w:rsidRPr="00D45B3D" w:rsidRDefault="00302BFE" w:rsidP="00243B15">
            <w:pPr>
              <w:jc w:val="center"/>
              <w:rPr>
                <w:b/>
                <w:sz w:val="18"/>
                <w:szCs w:val="18"/>
                <w:lang w:val="en-CA"/>
              </w:rPr>
            </w:pPr>
            <w:r w:rsidRPr="00D45B3D">
              <w:rPr>
                <w:b/>
                <w:sz w:val="18"/>
                <w:szCs w:val="18"/>
                <w:lang w:val="en-CA"/>
              </w:rPr>
              <w:t>Year 5</w:t>
            </w:r>
          </w:p>
        </w:tc>
        <w:tc>
          <w:tcPr>
            <w:tcW w:w="1360" w:type="dxa"/>
            <w:gridSpan w:val="4"/>
            <w:shd w:val="clear" w:color="auto" w:fill="auto"/>
            <w:vAlign w:val="center"/>
          </w:tcPr>
          <w:p w14:paraId="58CDF4EC" w14:textId="77777777" w:rsidR="00302BFE" w:rsidRPr="00D45B3D" w:rsidRDefault="00302BFE" w:rsidP="00243B15">
            <w:pPr>
              <w:jc w:val="center"/>
              <w:rPr>
                <w:b/>
                <w:sz w:val="18"/>
                <w:szCs w:val="18"/>
                <w:lang w:val="en-CA"/>
              </w:rPr>
            </w:pPr>
            <w:r w:rsidRPr="00D45B3D">
              <w:rPr>
                <w:b/>
                <w:sz w:val="18"/>
                <w:szCs w:val="18"/>
                <w:lang w:val="en-CA"/>
              </w:rPr>
              <w:t>Year 6</w:t>
            </w:r>
          </w:p>
        </w:tc>
      </w:tr>
      <w:tr w:rsidR="00755BF9" w:rsidRPr="00D45B3D" w14:paraId="4F849249" w14:textId="77777777" w:rsidTr="00755BF9">
        <w:trPr>
          <w:cantSplit/>
          <w:tblHeader/>
          <w:jc w:val="center"/>
        </w:trPr>
        <w:tc>
          <w:tcPr>
            <w:tcW w:w="5670" w:type="dxa"/>
            <w:vMerge/>
            <w:shd w:val="clear" w:color="auto" w:fill="auto"/>
          </w:tcPr>
          <w:p w14:paraId="79A325CD" w14:textId="77777777" w:rsidR="00302BFE" w:rsidRPr="00D45B3D" w:rsidRDefault="00302BFE" w:rsidP="00243B15">
            <w:pPr>
              <w:rPr>
                <w:sz w:val="16"/>
                <w:szCs w:val="16"/>
                <w:lang w:val="en-CA"/>
              </w:rPr>
            </w:pPr>
          </w:p>
        </w:tc>
        <w:tc>
          <w:tcPr>
            <w:tcW w:w="340" w:type="dxa"/>
            <w:shd w:val="clear" w:color="auto" w:fill="auto"/>
            <w:tcMar>
              <w:left w:w="28" w:type="dxa"/>
              <w:right w:w="28" w:type="dxa"/>
            </w:tcMar>
            <w:vAlign w:val="center"/>
          </w:tcPr>
          <w:p w14:paraId="02EE1766" w14:textId="77777777" w:rsidR="00302BFE" w:rsidRPr="00D45B3D" w:rsidRDefault="00302BFE" w:rsidP="00243B15">
            <w:pPr>
              <w:jc w:val="center"/>
              <w:rPr>
                <w:sz w:val="16"/>
                <w:szCs w:val="16"/>
                <w:lang w:val="en-CA"/>
              </w:rPr>
            </w:pPr>
            <w:r w:rsidRPr="00D45B3D">
              <w:rPr>
                <w:sz w:val="16"/>
                <w:szCs w:val="16"/>
                <w:lang w:val="en-CA"/>
              </w:rPr>
              <w:t>Q1</w:t>
            </w:r>
          </w:p>
        </w:tc>
        <w:tc>
          <w:tcPr>
            <w:tcW w:w="340" w:type="dxa"/>
            <w:shd w:val="clear" w:color="auto" w:fill="auto"/>
            <w:tcMar>
              <w:left w:w="28" w:type="dxa"/>
              <w:right w:w="28" w:type="dxa"/>
            </w:tcMar>
            <w:vAlign w:val="center"/>
          </w:tcPr>
          <w:p w14:paraId="03044327" w14:textId="77777777" w:rsidR="00302BFE" w:rsidRPr="00D45B3D" w:rsidRDefault="00302BFE" w:rsidP="00243B15">
            <w:pPr>
              <w:jc w:val="center"/>
              <w:rPr>
                <w:sz w:val="16"/>
                <w:szCs w:val="16"/>
                <w:lang w:val="en-CA"/>
              </w:rPr>
            </w:pPr>
            <w:r w:rsidRPr="00D45B3D">
              <w:rPr>
                <w:sz w:val="16"/>
                <w:szCs w:val="16"/>
                <w:lang w:val="en-CA"/>
              </w:rPr>
              <w:t>Q2</w:t>
            </w:r>
          </w:p>
        </w:tc>
        <w:tc>
          <w:tcPr>
            <w:tcW w:w="340" w:type="dxa"/>
            <w:shd w:val="clear" w:color="auto" w:fill="auto"/>
            <w:tcMar>
              <w:left w:w="28" w:type="dxa"/>
              <w:right w:w="28" w:type="dxa"/>
            </w:tcMar>
            <w:vAlign w:val="center"/>
          </w:tcPr>
          <w:p w14:paraId="5590F142" w14:textId="77777777" w:rsidR="00302BFE" w:rsidRPr="00D45B3D" w:rsidRDefault="00302BFE" w:rsidP="00243B15">
            <w:pPr>
              <w:jc w:val="center"/>
              <w:rPr>
                <w:sz w:val="16"/>
                <w:szCs w:val="16"/>
                <w:lang w:val="en-CA"/>
              </w:rPr>
            </w:pPr>
            <w:r w:rsidRPr="00D45B3D">
              <w:rPr>
                <w:sz w:val="16"/>
                <w:szCs w:val="16"/>
                <w:lang w:val="en-CA"/>
              </w:rPr>
              <w:t>Q3</w:t>
            </w:r>
          </w:p>
        </w:tc>
        <w:tc>
          <w:tcPr>
            <w:tcW w:w="340" w:type="dxa"/>
            <w:shd w:val="clear" w:color="auto" w:fill="auto"/>
            <w:tcMar>
              <w:left w:w="28" w:type="dxa"/>
              <w:right w:w="28" w:type="dxa"/>
            </w:tcMar>
            <w:vAlign w:val="center"/>
          </w:tcPr>
          <w:p w14:paraId="34844365" w14:textId="77777777" w:rsidR="00302BFE" w:rsidRPr="00D45B3D" w:rsidRDefault="00302BFE" w:rsidP="00243B15">
            <w:pPr>
              <w:jc w:val="center"/>
              <w:rPr>
                <w:sz w:val="16"/>
                <w:szCs w:val="16"/>
                <w:lang w:val="en-CA"/>
              </w:rPr>
            </w:pPr>
            <w:r w:rsidRPr="00D45B3D">
              <w:rPr>
                <w:sz w:val="16"/>
                <w:szCs w:val="16"/>
                <w:lang w:val="en-CA"/>
              </w:rPr>
              <w:t>Q4</w:t>
            </w:r>
          </w:p>
        </w:tc>
        <w:tc>
          <w:tcPr>
            <w:tcW w:w="340" w:type="dxa"/>
            <w:shd w:val="clear" w:color="auto" w:fill="auto"/>
            <w:tcMar>
              <w:left w:w="28" w:type="dxa"/>
              <w:right w:w="28" w:type="dxa"/>
            </w:tcMar>
            <w:vAlign w:val="center"/>
          </w:tcPr>
          <w:p w14:paraId="511A4465" w14:textId="77777777" w:rsidR="00302BFE" w:rsidRPr="00D45B3D" w:rsidRDefault="00302BFE" w:rsidP="00243B15">
            <w:pPr>
              <w:jc w:val="center"/>
              <w:rPr>
                <w:sz w:val="16"/>
                <w:szCs w:val="16"/>
                <w:lang w:val="en-CA"/>
              </w:rPr>
            </w:pPr>
            <w:r w:rsidRPr="00D45B3D">
              <w:rPr>
                <w:sz w:val="16"/>
                <w:szCs w:val="16"/>
                <w:lang w:val="en-CA"/>
              </w:rPr>
              <w:t>Q1</w:t>
            </w:r>
          </w:p>
        </w:tc>
        <w:tc>
          <w:tcPr>
            <w:tcW w:w="340" w:type="dxa"/>
            <w:shd w:val="clear" w:color="auto" w:fill="auto"/>
            <w:tcMar>
              <w:left w:w="28" w:type="dxa"/>
              <w:right w:w="28" w:type="dxa"/>
            </w:tcMar>
            <w:vAlign w:val="center"/>
          </w:tcPr>
          <w:p w14:paraId="77BEB433" w14:textId="77777777" w:rsidR="00302BFE" w:rsidRPr="00D45B3D" w:rsidRDefault="00302BFE" w:rsidP="00243B15">
            <w:pPr>
              <w:jc w:val="center"/>
              <w:rPr>
                <w:sz w:val="16"/>
                <w:szCs w:val="16"/>
                <w:lang w:val="en-CA"/>
              </w:rPr>
            </w:pPr>
            <w:r w:rsidRPr="00D45B3D">
              <w:rPr>
                <w:sz w:val="16"/>
                <w:szCs w:val="16"/>
                <w:lang w:val="en-CA"/>
              </w:rPr>
              <w:t>Q2</w:t>
            </w:r>
          </w:p>
        </w:tc>
        <w:tc>
          <w:tcPr>
            <w:tcW w:w="340" w:type="dxa"/>
            <w:shd w:val="clear" w:color="auto" w:fill="auto"/>
            <w:tcMar>
              <w:left w:w="28" w:type="dxa"/>
              <w:right w:w="28" w:type="dxa"/>
            </w:tcMar>
            <w:vAlign w:val="center"/>
          </w:tcPr>
          <w:p w14:paraId="6A13FCBD" w14:textId="77777777" w:rsidR="00302BFE" w:rsidRPr="00D45B3D" w:rsidRDefault="00302BFE" w:rsidP="00243B15">
            <w:pPr>
              <w:jc w:val="center"/>
              <w:rPr>
                <w:sz w:val="16"/>
                <w:szCs w:val="16"/>
                <w:lang w:val="en-CA"/>
              </w:rPr>
            </w:pPr>
            <w:r w:rsidRPr="00D45B3D">
              <w:rPr>
                <w:sz w:val="16"/>
                <w:szCs w:val="16"/>
                <w:lang w:val="en-CA"/>
              </w:rPr>
              <w:t>Q3</w:t>
            </w:r>
          </w:p>
        </w:tc>
        <w:tc>
          <w:tcPr>
            <w:tcW w:w="340" w:type="dxa"/>
            <w:shd w:val="clear" w:color="auto" w:fill="auto"/>
            <w:tcMar>
              <w:left w:w="28" w:type="dxa"/>
              <w:right w:w="28" w:type="dxa"/>
            </w:tcMar>
            <w:vAlign w:val="center"/>
          </w:tcPr>
          <w:p w14:paraId="1BD3D460" w14:textId="77777777" w:rsidR="00302BFE" w:rsidRPr="00D45B3D" w:rsidRDefault="00302BFE" w:rsidP="00243B15">
            <w:pPr>
              <w:jc w:val="center"/>
              <w:rPr>
                <w:sz w:val="16"/>
                <w:szCs w:val="16"/>
                <w:lang w:val="en-CA"/>
              </w:rPr>
            </w:pPr>
            <w:r w:rsidRPr="00D45B3D">
              <w:rPr>
                <w:sz w:val="16"/>
                <w:szCs w:val="16"/>
                <w:lang w:val="en-CA"/>
              </w:rPr>
              <w:t>Q4</w:t>
            </w:r>
          </w:p>
        </w:tc>
        <w:tc>
          <w:tcPr>
            <w:tcW w:w="340" w:type="dxa"/>
            <w:shd w:val="clear" w:color="auto" w:fill="auto"/>
            <w:tcMar>
              <w:left w:w="28" w:type="dxa"/>
              <w:right w:w="28" w:type="dxa"/>
            </w:tcMar>
            <w:vAlign w:val="center"/>
          </w:tcPr>
          <w:p w14:paraId="28872810" w14:textId="77777777" w:rsidR="00302BFE" w:rsidRPr="00D45B3D" w:rsidRDefault="00302BFE" w:rsidP="00243B15">
            <w:pPr>
              <w:jc w:val="center"/>
              <w:rPr>
                <w:sz w:val="16"/>
                <w:szCs w:val="16"/>
                <w:lang w:val="en-CA"/>
              </w:rPr>
            </w:pPr>
            <w:r w:rsidRPr="00D45B3D">
              <w:rPr>
                <w:sz w:val="16"/>
                <w:szCs w:val="16"/>
                <w:lang w:val="en-CA"/>
              </w:rPr>
              <w:t>Q1</w:t>
            </w:r>
          </w:p>
        </w:tc>
        <w:tc>
          <w:tcPr>
            <w:tcW w:w="340" w:type="dxa"/>
            <w:shd w:val="clear" w:color="auto" w:fill="auto"/>
            <w:tcMar>
              <w:left w:w="28" w:type="dxa"/>
              <w:right w:w="28" w:type="dxa"/>
            </w:tcMar>
            <w:vAlign w:val="center"/>
          </w:tcPr>
          <w:p w14:paraId="6418C8B3" w14:textId="77777777" w:rsidR="00302BFE" w:rsidRPr="00D45B3D" w:rsidRDefault="00302BFE" w:rsidP="00243B15">
            <w:pPr>
              <w:jc w:val="center"/>
              <w:rPr>
                <w:sz w:val="16"/>
                <w:szCs w:val="16"/>
                <w:lang w:val="en-CA"/>
              </w:rPr>
            </w:pPr>
            <w:r w:rsidRPr="00D45B3D">
              <w:rPr>
                <w:sz w:val="16"/>
                <w:szCs w:val="16"/>
                <w:lang w:val="en-CA"/>
              </w:rPr>
              <w:t>Q2</w:t>
            </w:r>
          </w:p>
        </w:tc>
        <w:tc>
          <w:tcPr>
            <w:tcW w:w="340" w:type="dxa"/>
            <w:shd w:val="clear" w:color="auto" w:fill="auto"/>
            <w:tcMar>
              <w:left w:w="28" w:type="dxa"/>
              <w:right w:w="28" w:type="dxa"/>
            </w:tcMar>
            <w:vAlign w:val="center"/>
          </w:tcPr>
          <w:p w14:paraId="25D86188" w14:textId="77777777" w:rsidR="00302BFE" w:rsidRPr="00D45B3D" w:rsidRDefault="00302BFE" w:rsidP="00243B15">
            <w:pPr>
              <w:jc w:val="center"/>
              <w:rPr>
                <w:sz w:val="16"/>
                <w:szCs w:val="16"/>
                <w:lang w:val="en-CA"/>
              </w:rPr>
            </w:pPr>
            <w:r w:rsidRPr="00D45B3D">
              <w:rPr>
                <w:sz w:val="16"/>
                <w:szCs w:val="16"/>
                <w:lang w:val="en-CA"/>
              </w:rPr>
              <w:t>Q3</w:t>
            </w:r>
          </w:p>
        </w:tc>
        <w:tc>
          <w:tcPr>
            <w:tcW w:w="340" w:type="dxa"/>
            <w:shd w:val="clear" w:color="auto" w:fill="auto"/>
            <w:tcMar>
              <w:left w:w="28" w:type="dxa"/>
              <w:right w:w="28" w:type="dxa"/>
            </w:tcMar>
            <w:vAlign w:val="center"/>
          </w:tcPr>
          <w:p w14:paraId="79226476" w14:textId="77777777" w:rsidR="00302BFE" w:rsidRPr="00D45B3D" w:rsidRDefault="00302BFE" w:rsidP="00243B15">
            <w:pPr>
              <w:jc w:val="center"/>
              <w:rPr>
                <w:sz w:val="16"/>
                <w:szCs w:val="16"/>
                <w:lang w:val="en-CA"/>
              </w:rPr>
            </w:pPr>
            <w:r w:rsidRPr="00D45B3D">
              <w:rPr>
                <w:sz w:val="16"/>
                <w:szCs w:val="16"/>
                <w:lang w:val="en-CA"/>
              </w:rPr>
              <w:t>Q4</w:t>
            </w:r>
          </w:p>
        </w:tc>
        <w:tc>
          <w:tcPr>
            <w:tcW w:w="340" w:type="dxa"/>
            <w:shd w:val="clear" w:color="auto" w:fill="auto"/>
            <w:tcMar>
              <w:left w:w="28" w:type="dxa"/>
              <w:right w:w="28" w:type="dxa"/>
            </w:tcMar>
            <w:vAlign w:val="center"/>
          </w:tcPr>
          <w:p w14:paraId="3774FCB4" w14:textId="77777777" w:rsidR="00302BFE" w:rsidRPr="00D45B3D" w:rsidRDefault="00302BFE" w:rsidP="00243B15">
            <w:pPr>
              <w:jc w:val="center"/>
              <w:rPr>
                <w:sz w:val="16"/>
                <w:szCs w:val="16"/>
                <w:lang w:val="en-CA"/>
              </w:rPr>
            </w:pPr>
            <w:r w:rsidRPr="00D45B3D">
              <w:rPr>
                <w:sz w:val="16"/>
                <w:szCs w:val="16"/>
                <w:lang w:val="en-CA"/>
              </w:rPr>
              <w:t>Q1</w:t>
            </w:r>
          </w:p>
        </w:tc>
        <w:tc>
          <w:tcPr>
            <w:tcW w:w="340" w:type="dxa"/>
            <w:shd w:val="clear" w:color="auto" w:fill="auto"/>
            <w:tcMar>
              <w:left w:w="28" w:type="dxa"/>
              <w:right w:w="28" w:type="dxa"/>
            </w:tcMar>
            <w:vAlign w:val="center"/>
          </w:tcPr>
          <w:p w14:paraId="1E0F465B" w14:textId="77777777" w:rsidR="00302BFE" w:rsidRPr="00D45B3D" w:rsidRDefault="00302BFE" w:rsidP="00243B15">
            <w:pPr>
              <w:jc w:val="center"/>
              <w:rPr>
                <w:sz w:val="16"/>
                <w:szCs w:val="16"/>
                <w:lang w:val="en-CA"/>
              </w:rPr>
            </w:pPr>
            <w:r w:rsidRPr="00D45B3D">
              <w:rPr>
                <w:sz w:val="16"/>
                <w:szCs w:val="16"/>
                <w:lang w:val="en-CA"/>
              </w:rPr>
              <w:t>Q2</w:t>
            </w:r>
          </w:p>
        </w:tc>
        <w:tc>
          <w:tcPr>
            <w:tcW w:w="340" w:type="dxa"/>
            <w:shd w:val="clear" w:color="auto" w:fill="auto"/>
            <w:tcMar>
              <w:left w:w="28" w:type="dxa"/>
              <w:right w:w="28" w:type="dxa"/>
            </w:tcMar>
            <w:vAlign w:val="center"/>
          </w:tcPr>
          <w:p w14:paraId="4B0AD70B" w14:textId="77777777" w:rsidR="00302BFE" w:rsidRPr="00D45B3D" w:rsidRDefault="00302BFE" w:rsidP="00243B15">
            <w:pPr>
              <w:jc w:val="center"/>
              <w:rPr>
                <w:sz w:val="16"/>
                <w:szCs w:val="16"/>
                <w:lang w:val="en-CA"/>
              </w:rPr>
            </w:pPr>
            <w:r w:rsidRPr="00D45B3D">
              <w:rPr>
                <w:sz w:val="16"/>
                <w:szCs w:val="16"/>
                <w:lang w:val="en-CA"/>
              </w:rPr>
              <w:t>Q3</w:t>
            </w:r>
          </w:p>
        </w:tc>
        <w:tc>
          <w:tcPr>
            <w:tcW w:w="340" w:type="dxa"/>
            <w:shd w:val="clear" w:color="auto" w:fill="auto"/>
            <w:tcMar>
              <w:left w:w="28" w:type="dxa"/>
              <w:right w:w="28" w:type="dxa"/>
            </w:tcMar>
            <w:vAlign w:val="center"/>
          </w:tcPr>
          <w:p w14:paraId="79E88D7F" w14:textId="77777777" w:rsidR="00302BFE" w:rsidRPr="00D45B3D" w:rsidRDefault="00302BFE" w:rsidP="00243B15">
            <w:pPr>
              <w:jc w:val="center"/>
              <w:rPr>
                <w:sz w:val="16"/>
                <w:szCs w:val="16"/>
                <w:lang w:val="en-CA"/>
              </w:rPr>
            </w:pPr>
            <w:r w:rsidRPr="00D45B3D">
              <w:rPr>
                <w:sz w:val="16"/>
                <w:szCs w:val="16"/>
                <w:lang w:val="en-CA"/>
              </w:rPr>
              <w:t>Q4</w:t>
            </w:r>
          </w:p>
        </w:tc>
        <w:tc>
          <w:tcPr>
            <w:tcW w:w="340" w:type="dxa"/>
            <w:shd w:val="clear" w:color="auto" w:fill="auto"/>
            <w:tcMar>
              <w:left w:w="28" w:type="dxa"/>
              <w:right w:w="28" w:type="dxa"/>
            </w:tcMar>
            <w:vAlign w:val="center"/>
          </w:tcPr>
          <w:p w14:paraId="69892C6F" w14:textId="77777777" w:rsidR="00302BFE" w:rsidRPr="00D45B3D" w:rsidRDefault="00302BFE" w:rsidP="00243B15">
            <w:pPr>
              <w:jc w:val="center"/>
              <w:rPr>
                <w:sz w:val="16"/>
                <w:szCs w:val="16"/>
                <w:lang w:val="en-CA"/>
              </w:rPr>
            </w:pPr>
            <w:r w:rsidRPr="00D45B3D">
              <w:rPr>
                <w:sz w:val="16"/>
                <w:szCs w:val="16"/>
                <w:lang w:val="en-CA"/>
              </w:rPr>
              <w:t>Q1</w:t>
            </w:r>
          </w:p>
        </w:tc>
        <w:tc>
          <w:tcPr>
            <w:tcW w:w="340" w:type="dxa"/>
            <w:shd w:val="clear" w:color="auto" w:fill="auto"/>
            <w:tcMar>
              <w:left w:w="28" w:type="dxa"/>
              <w:right w:w="28" w:type="dxa"/>
            </w:tcMar>
            <w:vAlign w:val="center"/>
          </w:tcPr>
          <w:p w14:paraId="4E7A7C5C" w14:textId="77777777" w:rsidR="00302BFE" w:rsidRPr="00D45B3D" w:rsidRDefault="00302BFE" w:rsidP="00243B15">
            <w:pPr>
              <w:jc w:val="center"/>
              <w:rPr>
                <w:sz w:val="16"/>
                <w:szCs w:val="16"/>
                <w:lang w:val="en-CA"/>
              </w:rPr>
            </w:pPr>
            <w:r w:rsidRPr="00D45B3D">
              <w:rPr>
                <w:sz w:val="16"/>
                <w:szCs w:val="16"/>
                <w:lang w:val="en-CA"/>
              </w:rPr>
              <w:t>Q2</w:t>
            </w:r>
          </w:p>
        </w:tc>
        <w:tc>
          <w:tcPr>
            <w:tcW w:w="340" w:type="dxa"/>
            <w:shd w:val="clear" w:color="auto" w:fill="auto"/>
            <w:tcMar>
              <w:left w:w="28" w:type="dxa"/>
              <w:right w:w="28" w:type="dxa"/>
            </w:tcMar>
            <w:vAlign w:val="center"/>
          </w:tcPr>
          <w:p w14:paraId="4C01ADB0" w14:textId="77777777" w:rsidR="00302BFE" w:rsidRPr="00D45B3D" w:rsidRDefault="00302BFE" w:rsidP="00243B15">
            <w:pPr>
              <w:jc w:val="center"/>
              <w:rPr>
                <w:sz w:val="16"/>
                <w:szCs w:val="16"/>
                <w:lang w:val="en-CA"/>
              </w:rPr>
            </w:pPr>
            <w:r w:rsidRPr="00D45B3D">
              <w:rPr>
                <w:sz w:val="16"/>
                <w:szCs w:val="16"/>
                <w:lang w:val="en-CA"/>
              </w:rPr>
              <w:t>Q3</w:t>
            </w:r>
          </w:p>
        </w:tc>
        <w:tc>
          <w:tcPr>
            <w:tcW w:w="340" w:type="dxa"/>
            <w:shd w:val="clear" w:color="auto" w:fill="auto"/>
            <w:tcMar>
              <w:left w:w="28" w:type="dxa"/>
              <w:right w:w="28" w:type="dxa"/>
            </w:tcMar>
            <w:vAlign w:val="center"/>
          </w:tcPr>
          <w:p w14:paraId="777111B9" w14:textId="77777777" w:rsidR="00302BFE" w:rsidRPr="00D45B3D" w:rsidRDefault="00302BFE" w:rsidP="00243B15">
            <w:pPr>
              <w:jc w:val="center"/>
              <w:rPr>
                <w:sz w:val="16"/>
                <w:szCs w:val="16"/>
                <w:lang w:val="en-CA"/>
              </w:rPr>
            </w:pPr>
            <w:r w:rsidRPr="00D45B3D">
              <w:rPr>
                <w:sz w:val="16"/>
                <w:szCs w:val="16"/>
                <w:lang w:val="en-CA"/>
              </w:rPr>
              <w:t>Q4</w:t>
            </w:r>
          </w:p>
        </w:tc>
        <w:tc>
          <w:tcPr>
            <w:tcW w:w="340" w:type="dxa"/>
            <w:shd w:val="clear" w:color="auto" w:fill="auto"/>
            <w:tcMar>
              <w:left w:w="28" w:type="dxa"/>
              <w:right w:w="28" w:type="dxa"/>
            </w:tcMar>
            <w:vAlign w:val="center"/>
          </w:tcPr>
          <w:p w14:paraId="47C1EFC6" w14:textId="77777777" w:rsidR="00302BFE" w:rsidRPr="00D45B3D" w:rsidRDefault="00302BFE" w:rsidP="00243B15">
            <w:pPr>
              <w:jc w:val="center"/>
              <w:rPr>
                <w:sz w:val="16"/>
                <w:szCs w:val="16"/>
                <w:lang w:val="en-CA"/>
              </w:rPr>
            </w:pPr>
            <w:r w:rsidRPr="00D45B3D">
              <w:rPr>
                <w:sz w:val="16"/>
                <w:szCs w:val="16"/>
                <w:lang w:val="en-CA"/>
              </w:rPr>
              <w:t>Q1</w:t>
            </w:r>
          </w:p>
        </w:tc>
        <w:tc>
          <w:tcPr>
            <w:tcW w:w="340" w:type="dxa"/>
            <w:shd w:val="clear" w:color="auto" w:fill="auto"/>
            <w:tcMar>
              <w:left w:w="28" w:type="dxa"/>
              <w:right w:w="28" w:type="dxa"/>
            </w:tcMar>
            <w:vAlign w:val="center"/>
          </w:tcPr>
          <w:p w14:paraId="76186BA6" w14:textId="77777777" w:rsidR="00302BFE" w:rsidRPr="00D45B3D" w:rsidRDefault="00302BFE" w:rsidP="00243B15">
            <w:pPr>
              <w:jc w:val="center"/>
              <w:rPr>
                <w:sz w:val="16"/>
                <w:szCs w:val="16"/>
                <w:lang w:val="en-CA"/>
              </w:rPr>
            </w:pPr>
            <w:r w:rsidRPr="00D45B3D">
              <w:rPr>
                <w:sz w:val="16"/>
                <w:szCs w:val="16"/>
                <w:lang w:val="en-CA"/>
              </w:rPr>
              <w:t>Q2</w:t>
            </w:r>
          </w:p>
        </w:tc>
        <w:tc>
          <w:tcPr>
            <w:tcW w:w="340" w:type="dxa"/>
            <w:shd w:val="clear" w:color="auto" w:fill="auto"/>
            <w:tcMar>
              <w:left w:w="28" w:type="dxa"/>
              <w:right w:w="28" w:type="dxa"/>
            </w:tcMar>
            <w:vAlign w:val="center"/>
          </w:tcPr>
          <w:p w14:paraId="21E6AEA6" w14:textId="77777777" w:rsidR="00302BFE" w:rsidRPr="00D45B3D" w:rsidRDefault="00302BFE" w:rsidP="00243B15">
            <w:pPr>
              <w:jc w:val="center"/>
              <w:rPr>
                <w:sz w:val="16"/>
                <w:szCs w:val="16"/>
                <w:lang w:val="en-CA"/>
              </w:rPr>
            </w:pPr>
            <w:r w:rsidRPr="00D45B3D">
              <w:rPr>
                <w:sz w:val="16"/>
                <w:szCs w:val="16"/>
                <w:lang w:val="en-CA"/>
              </w:rPr>
              <w:t>Q3</w:t>
            </w:r>
          </w:p>
        </w:tc>
        <w:tc>
          <w:tcPr>
            <w:tcW w:w="340" w:type="dxa"/>
            <w:shd w:val="clear" w:color="auto" w:fill="auto"/>
            <w:tcMar>
              <w:left w:w="28" w:type="dxa"/>
              <w:right w:w="28" w:type="dxa"/>
            </w:tcMar>
            <w:vAlign w:val="center"/>
          </w:tcPr>
          <w:p w14:paraId="29C6ED26" w14:textId="77777777" w:rsidR="00302BFE" w:rsidRPr="00D45B3D" w:rsidRDefault="00302BFE" w:rsidP="00243B15">
            <w:pPr>
              <w:jc w:val="center"/>
              <w:rPr>
                <w:sz w:val="16"/>
                <w:szCs w:val="16"/>
                <w:lang w:val="en-CA"/>
              </w:rPr>
            </w:pPr>
            <w:r w:rsidRPr="00D45B3D">
              <w:rPr>
                <w:sz w:val="16"/>
                <w:szCs w:val="16"/>
                <w:lang w:val="en-CA"/>
              </w:rPr>
              <w:t>Q4</w:t>
            </w:r>
          </w:p>
        </w:tc>
      </w:tr>
      <w:tr w:rsidR="00302BFE" w:rsidRPr="00D45B3D" w14:paraId="393F4C36" w14:textId="77777777" w:rsidTr="00243B15">
        <w:trPr>
          <w:jc w:val="center"/>
        </w:trPr>
        <w:tc>
          <w:tcPr>
            <w:tcW w:w="13830" w:type="dxa"/>
            <w:gridSpan w:val="25"/>
            <w:shd w:val="clear" w:color="auto" w:fill="FFF2CC"/>
          </w:tcPr>
          <w:p w14:paraId="2BECDF4D" w14:textId="77777777" w:rsidR="00302BFE" w:rsidRPr="00D45B3D" w:rsidRDefault="00302BFE" w:rsidP="00243B15">
            <w:pPr>
              <w:rPr>
                <w:b/>
                <w:sz w:val="16"/>
                <w:szCs w:val="16"/>
                <w:lang w:val="en-CA"/>
              </w:rPr>
            </w:pPr>
            <w:r w:rsidRPr="00D45B3D">
              <w:rPr>
                <w:b/>
                <w:sz w:val="16"/>
                <w:szCs w:val="16"/>
                <w:lang w:val="en-GB"/>
              </w:rPr>
              <w:t>Component 1. Framework for Integrated Landscape Management of PONASI with sustainable financing for its operation</w:t>
            </w:r>
          </w:p>
        </w:tc>
      </w:tr>
      <w:tr w:rsidR="00302BFE" w:rsidRPr="00D45B3D" w14:paraId="675985AE" w14:textId="77777777" w:rsidTr="00243B15">
        <w:trPr>
          <w:jc w:val="center"/>
        </w:trPr>
        <w:tc>
          <w:tcPr>
            <w:tcW w:w="5670" w:type="dxa"/>
            <w:shd w:val="clear" w:color="auto" w:fill="auto"/>
          </w:tcPr>
          <w:p w14:paraId="4C5B9925" w14:textId="77777777" w:rsidR="00302BFE" w:rsidRPr="00D45B3D" w:rsidRDefault="00302BFE" w:rsidP="00243B15">
            <w:pPr>
              <w:rPr>
                <w:i/>
                <w:color w:val="4472C4"/>
                <w:sz w:val="16"/>
                <w:szCs w:val="16"/>
                <w:lang w:val="en-CA"/>
              </w:rPr>
            </w:pPr>
            <w:r w:rsidRPr="00D45B3D">
              <w:rPr>
                <w:sz w:val="16"/>
                <w:szCs w:val="16"/>
                <w:lang w:val="en-GB"/>
              </w:rPr>
              <w:t xml:space="preserve">Output 1.1 The "PONASI Landscape Co-Governance Mechanism" is updated, </w:t>
            </w:r>
            <w:proofErr w:type="gramStart"/>
            <w:r w:rsidRPr="00D45B3D">
              <w:rPr>
                <w:sz w:val="16"/>
                <w:szCs w:val="16"/>
                <w:lang w:val="en-GB"/>
              </w:rPr>
              <w:t>strengthened</w:t>
            </w:r>
            <w:proofErr w:type="gramEnd"/>
            <w:r w:rsidRPr="00D45B3D">
              <w:rPr>
                <w:sz w:val="16"/>
                <w:szCs w:val="16"/>
                <w:lang w:val="en-GB"/>
              </w:rPr>
              <w:t xml:space="preserve"> and operationalized </w:t>
            </w:r>
          </w:p>
        </w:tc>
        <w:tc>
          <w:tcPr>
            <w:tcW w:w="8160" w:type="dxa"/>
            <w:gridSpan w:val="24"/>
            <w:shd w:val="clear" w:color="auto" w:fill="auto"/>
          </w:tcPr>
          <w:p w14:paraId="710EFF00" w14:textId="77777777" w:rsidR="00302BFE" w:rsidRPr="00D45B3D" w:rsidRDefault="00302BFE" w:rsidP="00243B15">
            <w:pPr>
              <w:rPr>
                <w:lang w:val="en-CA"/>
              </w:rPr>
            </w:pPr>
          </w:p>
        </w:tc>
      </w:tr>
      <w:tr w:rsidR="00755BF9" w:rsidRPr="00D45B3D" w14:paraId="76CCA631" w14:textId="77777777" w:rsidTr="00755BF9">
        <w:trPr>
          <w:jc w:val="center"/>
        </w:trPr>
        <w:tc>
          <w:tcPr>
            <w:tcW w:w="5670" w:type="dxa"/>
            <w:shd w:val="clear" w:color="auto" w:fill="auto"/>
          </w:tcPr>
          <w:p w14:paraId="706A4697" w14:textId="77777777" w:rsidR="00302BFE" w:rsidRPr="00D45B3D" w:rsidRDefault="00302BFE" w:rsidP="00243B15">
            <w:pPr>
              <w:rPr>
                <w:sz w:val="16"/>
                <w:szCs w:val="16"/>
                <w:lang w:val="en-CA"/>
              </w:rPr>
            </w:pPr>
            <w:r w:rsidRPr="00D45B3D">
              <w:rPr>
                <w:i/>
                <w:color w:val="4472C4"/>
                <w:sz w:val="16"/>
                <w:szCs w:val="16"/>
                <w:lang w:val="en-GB"/>
              </w:rPr>
              <w:t>1.1.1 Establishment of the PONASI landscape co-governance mechanism</w:t>
            </w:r>
          </w:p>
        </w:tc>
        <w:tc>
          <w:tcPr>
            <w:tcW w:w="340" w:type="dxa"/>
            <w:shd w:val="clear" w:color="auto" w:fill="auto"/>
          </w:tcPr>
          <w:p w14:paraId="3822FBA7" w14:textId="77777777" w:rsidR="00302BFE" w:rsidRPr="00D45B3D" w:rsidRDefault="00302BFE" w:rsidP="00243B15">
            <w:pPr>
              <w:rPr>
                <w:lang w:val="en-CA"/>
              </w:rPr>
            </w:pPr>
          </w:p>
        </w:tc>
        <w:tc>
          <w:tcPr>
            <w:tcW w:w="340" w:type="dxa"/>
            <w:shd w:val="clear" w:color="auto" w:fill="D9D9D9"/>
          </w:tcPr>
          <w:p w14:paraId="311D059E"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416D50F8" w14:textId="77777777" w:rsidR="00302BFE" w:rsidRPr="00D45B3D" w:rsidRDefault="00302BFE" w:rsidP="00243B15">
            <w:pPr>
              <w:rPr>
                <w:lang w:val="en-CA"/>
              </w:rPr>
            </w:pPr>
          </w:p>
        </w:tc>
        <w:tc>
          <w:tcPr>
            <w:tcW w:w="340" w:type="dxa"/>
            <w:shd w:val="clear" w:color="auto" w:fill="auto"/>
          </w:tcPr>
          <w:p w14:paraId="19C81A61" w14:textId="77777777" w:rsidR="00302BFE" w:rsidRPr="00D45B3D" w:rsidRDefault="00302BFE" w:rsidP="00243B15">
            <w:pPr>
              <w:rPr>
                <w:lang w:val="en-CA"/>
              </w:rPr>
            </w:pPr>
          </w:p>
        </w:tc>
        <w:tc>
          <w:tcPr>
            <w:tcW w:w="340" w:type="dxa"/>
            <w:shd w:val="clear" w:color="auto" w:fill="auto"/>
          </w:tcPr>
          <w:p w14:paraId="2CA8BE60" w14:textId="77777777" w:rsidR="00302BFE" w:rsidRPr="00D45B3D" w:rsidRDefault="00302BFE" w:rsidP="00243B15">
            <w:pPr>
              <w:rPr>
                <w:lang w:val="en-CA"/>
              </w:rPr>
            </w:pPr>
          </w:p>
        </w:tc>
        <w:tc>
          <w:tcPr>
            <w:tcW w:w="340" w:type="dxa"/>
            <w:shd w:val="clear" w:color="auto" w:fill="auto"/>
          </w:tcPr>
          <w:p w14:paraId="609C391F" w14:textId="77777777" w:rsidR="00302BFE" w:rsidRPr="00D45B3D" w:rsidRDefault="00302BFE" w:rsidP="00243B15">
            <w:pPr>
              <w:rPr>
                <w:lang w:val="en-CA"/>
              </w:rPr>
            </w:pPr>
          </w:p>
        </w:tc>
        <w:tc>
          <w:tcPr>
            <w:tcW w:w="340" w:type="dxa"/>
            <w:shd w:val="clear" w:color="auto" w:fill="auto"/>
          </w:tcPr>
          <w:p w14:paraId="644848B4" w14:textId="77777777" w:rsidR="00302BFE" w:rsidRPr="00D45B3D" w:rsidRDefault="00302BFE" w:rsidP="00243B15">
            <w:pPr>
              <w:rPr>
                <w:lang w:val="en-CA"/>
              </w:rPr>
            </w:pPr>
          </w:p>
        </w:tc>
        <w:tc>
          <w:tcPr>
            <w:tcW w:w="340" w:type="dxa"/>
            <w:shd w:val="clear" w:color="auto" w:fill="auto"/>
          </w:tcPr>
          <w:p w14:paraId="441A178D" w14:textId="77777777" w:rsidR="00302BFE" w:rsidRPr="00D45B3D" w:rsidRDefault="00302BFE" w:rsidP="00243B15">
            <w:pPr>
              <w:rPr>
                <w:lang w:val="en-CA"/>
              </w:rPr>
            </w:pPr>
          </w:p>
        </w:tc>
        <w:tc>
          <w:tcPr>
            <w:tcW w:w="340" w:type="dxa"/>
            <w:shd w:val="clear" w:color="auto" w:fill="auto"/>
          </w:tcPr>
          <w:p w14:paraId="38066739" w14:textId="77777777" w:rsidR="00302BFE" w:rsidRPr="00D45B3D" w:rsidRDefault="00302BFE" w:rsidP="00243B15">
            <w:pPr>
              <w:rPr>
                <w:lang w:val="en-CA"/>
              </w:rPr>
            </w:pPr>
          </w:p>
        </w:tc>
        <w:tc>
          <w:tcPr>
            <w:tcW w:w="340" w:type="dxa"/>
            <w:shd w:val="clear" w:color="auto" w:fill="auto"/>
          </w:tcPr>
          <w:p w14:paraId="68B2B7DE" w14:textId="77777777" w:rsidR="00302BFE" w:rsidRPr="00D45B3D" w:rsidRDefault="00302BFE" w:rsidP="00243B15">
            <w:pPr>
              <w:rPr>
                <w:lang w:val="en-CA"/>
              </w:rPr>
            </w:pPr>
          </w:p>
        </w:tc>
        <w:tc>
          <w:tcPr>
            <w:tcW w:w="340" w:type="dxa"/>
            <w:shd w:val="clear" w:color="auto" w:fill="auto"/>
          </w:tcPr>
          <w:p w14:paraId="2B44A866" w14:textId="77777777" w:rsidR="00302BFE" w:rsidRPr="00D45B3D" w:rsidRDefault="00302BFE" w:rsidP="00243B15">
            <w:pPr>
              <w:rPr>
                <w:lang w:val="en-CA"/>
              </w:rPr>
            </w:pPr>
          </w:p>
        </w:tc>
        <w:tc>
          <w:tcPr>
            <w:tcW w:w="340" w:type="dxa"/>
            <w:shd w:val="clear" w:color="auto" w:fill="auto"/>
          </w:tcPr>
          <w:p w14:paraId="03FD285A" w14:textId="77777777" w:rsidR="00302BFE" w:rsidRPr="00D45B3D" w:rsidRDefault="00302BFE" w:rsidP="00243B15">
            <w:pPr>
              <w:rPr>
                <w:lang w:val="en-CA"/>
              </w:rPr>
            </w:pPr>
          </w:p>
        </w:tc>
        <w:tc>
          <w:tcPr>
            <w:tcW w:w="340" w:type="dxa"/>
            <w:shd w:val="clear" w:color="auto" w:fill="auto"/>
          </w:tcPr>
          <w:p w14:paraId="2201A943" w14:textId="77777777" w:rsidR="00302BFE" w:rsidRPr="00D45B3D" w:rsidRDefault="00302BFE" w:rsidP="00243B15">
            <w:pPr>
              <w:rPr>
                <w:lang w:val="en-CA"/>
              </w:rPr>
            </w:pPr>
          </w:p>
        </w:tc>
        <w:tc>
          <w:tcPr>
            <w:tcW w:w="340" w:type="dxa"/>
            <w:shd w:val="clear" w:color="auto" w:fill="auto"/>
          </w:tcPr>
          <w:p w14:paraId="34C73B65" w14:textId="77777777" w:rsidR="00302BFE" w:rsidRPr="00D45B3D" w:rsidRDefault="00302BFE" w:rsidP="00243B15">
            <w:pPr>
              <w:rPr>
                <w:lang w:val="en-CA"/>
              </w:rPr>
            </w:pPr>
          </w:p>
        </w:tc>
        <w:tc>
          <w:tcPr>
            <w:tcW w:w="340" w:type="dxa"/>
            <w:shd w:val="clear" w:color="auto" w:fill="auto"/>
          </w:tcPr>
          <w:p w14:paraId="5A3E532D" w14:textId="77777777" w:rsidR="00302BFE" w:rsidRPr="00D45B3D" w:rsidRDefault="00302BFE" w:rsidP="00243B15">
            <w:pPr>
              <w:rPr>
                <w:lang w:val="en-CA"/>
              </w:rPr>
            </w:pPr>
          </w:p>
        </w:tc>
        <w:tc>
          <w:tcPr>
            <w:tcW w:w="340" w:type="dxa"/>
            <w:shd w:val="clear" w:color="auto" w:fill="auto"/>
          </w:tcPr>
          <w:p w14:paraId="2409DC1C" w14:textId="77777777" w:rsidR="00302BFE" w:rsidRPr="00D45B3D" w:rsidRDefault="00302BFE" w:rsidP="00243B15">
            <w:pPr>
              <w:rPr>
                <w:lang w:val="en-CA"/>
              </w:rPr>
            </w:pPr>
          </w:p>
        </w:tc>
        <w:tc>
          <w:tcPr>
            <w:tcW w:w="340" w:type="dxa"/>
            <w:shd w:val="clear" w:color="auto" w:fill="auto"/>
          </w:tcPr>
          <w:p w14:paraId="294DF431" w14:textId="77777777" w:rsidR="00302BFE" w:rsidRPr="00D45B3D" w:rsidRDefault="00302BFE" w:rsidP="00243B15">
            <w:pPr>
              <w:rPr>
                <w:lang w:val="en-CA"/>
              </w:rPr>
            </w:pPr>
          </w:p>
        </w:tc>
        <w:tc>
          <w:tcPr>
            <w:tcW w:w="340" w:type="dxa"/>
            <w:shd w:val="clear" w:color="auto" w:fill="auto"/>
          </w:tcPr>
          <w:p w14:paraId="2E9DC35C" w14:textId="77777777" w:rsidR="00302BFE" w:rsidRPr="00D45B3D" w:rsidRDefault="00302BFE" w:rsidP="00243B15">
            <w:pPr>
              <w:rPr>
                <w:lang w:val="en-CA"/>
              </w:rPr>
            </w:pPr>
          </w:p>
        </w:tc>
        <w:tc>
          <w:tcPr>
            <w:tcW w:w="340" w:type="dxa"/>
            <w:shd w:val="clear" w:color="auto" w:fill="auto"/>
          </w:tcPr>
          <w:p w14:paraId="755C65CD" w14:textId="77777777" w:rsidR="00302BFE" w:rsidRPr="00D45B3D" w:rsidRDefault="00302BFE" w:rsidP="00243B15">
            <w:pPr>
              <w:rPr>
                <w:lang w:val="en-CA"/>
              </w:rPr>
            </w:pPr>
          </w:p>
        </w:tc>
        <w:tc>
          <w:tcPr>
            <w:tcW w:w="340" w:type="dxa"/>
            <w:shd w:val="clear" w:color="auto" w:fill="auto"/>
          </w:tcPr>
          <w:p w14:paraId="74BA7151" w14:textId="77777777" w:rsidR="00302BFE" w:rsidRPr="00D45B3D" w:rsidRDefault="00302BFE" w:rsidP="00243B15">
            <w:pPr>
              <w:rPr>
                <w:lang w:val="en-CA"/>
              </w:rPr>
            </w:pPr>
          </w:p>
        </w:tc>
        <w:tc>
          <w:tcPr>
            <w:tcW w:w="340" w:type="dxa"/>
            <w:shd w:val="clear" w:color="auto" w:fill="auto"/>
          </w:tcPr>
          <w:p w14:paraId="2F9A1668" w14:textId="77777777" w:rsidR="00302BFE" w:rsidRPr="00D45B3D" w:rsidRDefault="00302BFE" w:rsidP="00243B15">
            <w:pPr>
              <w:rPr>
                <w:lang w:val="en-CA"/>
              </w:rPr>
            </w:pPr>
          </w:p>
        </w:tc>
        <w:tc>
          <w:tcPr>
            <w:tcW w:w="340" w:type="dxa"/>
            <w:shd w:val="clear" w:color="auto" w:fill="auto"/>
          </w:tcPr>
          <w:p w14:paraId="455A4F80" w14:textId="77777777" w:rsidR="00302BFE" w:rsidRPr="00D45B3D" w:rsidRDefault="00302BFE" w:rsidP="00243B15">
            <w:pPr>
              <w:rPr>
                <w:lang w:val="en-CA"/>
              </w:rPr>
            </w:pPr>
          </w:p>
        </w:tc>
        <w:tc>
          <w:tcPr>
            <w:tcW w:w="340" w:type="dxa"/>
            <w:shd w:val="clear" w:color="auto" w:fill="auto"/>
          </w:tcPr>
          <w:p w14:paraId="34A8B26C" w14:textId="77777777" w:rsidR="00302BFE" w:rsidRPr="00D45B3D" w:rsidRDefault="00302BFE" w:rsidP="00243B15">
            <w:pPr>
              <w:rPr>
                <w:lang w:val="en-CA"/>
              </w:rPr>
            </w:pPr>
          </w:p>
        </w:tc>
        <w:tc>
          <w:tcPr>
            <w:tcW w:w="340" w:type="dxa"/>
            <w:shd w:val="clear" w:color="auto" w:fill="auto"/>
          </w:tcPr>
          <w:p w14:paraId="46D1B9AB" w14:textId="77777777" w:rsidR="00302BFE" w:rsidRPr="00D45B3D" w:rsidRDefault="00302BFE" w:rsidP="00243B15">
            <w:pPr>
              <w:rPr>
                <w:lang w:val="en-CA"/>
              </w:rPr>
            </w:pPr>
          </w:p>
        </w:tc>
      </w:tr>
      <w:tr w:rsidR="00755BF9" w:rsidRPr="00D45B3D" w14:paraId="7062D41A" w14:textId="77777777" w:rsidTr="00755BF9">
        <w:trPr>
          <w:jc w:val="center"/>
        </w:trPr>
        <w:tc>
          <w:tcPr>
            <w:tcW w:w="5670" w:type="dxa"/>
            <w:shd w:val="clear" w:color="auto" w:fill="auto"/>
          </w:tcPr>
          <w:p w14:paraId="2410942C" w14:textId="77777777" w:rsidR="00302BFE" w:rsidRPr="00D45B3D" w:rsidRDefault="00302BFE" w:rsidP="00243B15">
            <w:pPr>
              <w:rPr>
                <w:i/>
                <w:color w:val="4472C4"/>
                <w:sz w:val="16"/>
                <w:szCs w:val="16"/>
                <w:lang w:val="en-CA"/>
              </w:rPr>
            </w:pPr>
            <w:r w:rsidRPr="00D45B3D">
              <w:rPr>
                <w:i/>
                <w:color w:val="4472C4"/>
                <w:sz w:val="16"/>
                <w:szCs w:val="16"/>
                <w:lang w:val="en-GB"/>
              </w:rPr>
              <w:t>1.1.2 Operationalizing the co-governance mechanism</w:t>
            </w:r>
          </w:p>
        </w:tc>
        <w:tc>
          <w:tcPr>
            <w:tcW w:w="340" w:type="dxa"/>
            <w:shd w:val="clear" w:color="auto" w:fill="auto"/>
          </w:tcPr>
          <w:p w14:paraId="2B1124E4" w14:textId="77777777" w:rsidR="00302BFE" w:rsidRPr="00D45B3D" w:rsidRDefault="00302BFE" w:rsidP="00243B15">
            <w:pPr>
              <w:rPr>
                <w:lang w:val="en-CA"/>
              </w:rPr>
            </w:pPr>
          </w:p>
        </w:tc>
        <w:tc>
          <w:tcPr>
            <w:tcW w:w="340" w:type="dxa"/>
            <w:shd w:val="clear" w:color="auto" w:fill="auto"/>
          </w:tcPr>
          <w:p w14:paraId="4BC10E8D"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48581B40"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71A52E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7EB0391"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DF4AC91"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E8CF6D0"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0E575FD" w14:textId="77777777" w:rsidR="00302BFE" w:rsidRPr="00D45B3D" w:rsidRDefault="00302BFE" w:rsidP="00243B15">
            <w:pPr>
              <w:rPr>
                <w:lang w:val="en-CA"/>
              </w:rPr>
            </w:pPr>
          </w:p>
        </w:tc>
        <w:tc>
          <w:tcPr>
            <w:tcW w:w="340" w:type="dxa"/>
            <w:shd w:val="clear" w:color="auto" w:fill="auto"/>
          </w:tcPr>
          <w:p w14:paraId="4DEC1804" w14:textId="77777777" w:rsidR="00302BFE" w:rsidRPr="00D45B3D" w:rsidRDefault="00302BFE" w:rsidP="00243B15">
            <w:pPr>
              <w:rPr>
                <w:lang w:val="en-CA"/>
              </w:rPr>
            </w:pPr>
          </w:p>
        </w:tc>
        <w:tc>
          <w:tcPr>
            <w:tcW w:w="340" w:type="dxa"/>
            <w:shd w:val="clear" w:color="auto" w:fill="auto"/>
          </w:tcPr>
          <w:p w14:paraId="756238A0" w14:textId="77777777" w:rsidR="00302BFE" w:rsidRPr="00D45B3D" w:rsidRDefault="00302BFE" w:rsidP="00243B15">
            <w:pPr>
              <w:rPr>
                <w:lang w:val="en-CA"/>
              </w:rPr>
            </w:pPr>
          </w:p>
        </w:tc>
        <w:tc>
          <w:tcPr>
            <w:tcW w:w="340" w:type="dxa"/>
            <w:shd w:val="clear" w:color="auto" w:fill="auto"/>
          </w:tcPr>
          <w:p w14:paraId="542356E6" w14:textId="77777777" w:rsidR="00302BFE" w:rsidRPr="00D45B3D" w:rsidRDefault="00302BFE" w:rsidP="00243B15">
            <w:pPr>
              <w:rPr>
                <w:lang w:val="en-CA"/>
              </w:rPr>
            </w:pPr>
          </w:p>
        </w:tc>
        <w:tc>
          <w:tcPr>
            <w:tcW w:w="340" w:type="dxa"/>
            <w:shd w:val="clear" w:color="auto" w:fill="auto"/>
          </w:tcPr>
          <w:p w14:paraId="6AC98A4C" w14:textId="77777777" w:rsidR="00302BFE" w:rsidRPr="00D45B3D" w:rsidRDefault="00302BFE" w:rsidP="00243B15">
            <w:pPr>
              <w:rPr>
                <w:lang w:val="en-CA"/>
              </w:rPr>
            </w:pPr>
          </w:p>
        </w:tc>
        <w:tc>
          <w:tcPr>
            <w:tcW w:w="340" w:type="dxa"/>
            <w:shd w:val="clear" w:color="auto" w:fill="auto"/>
          </w:tcPr>
          <w:p w14:paraId="50CB7028" w14:textId="77777777" w:rsidR="00302BFE" w:rsidRPr="00D45B3D" w:rsidRDefault="00302BFE" w:rsidP="00243B15">
            <w:pPr>
              <w:rPr>
                <w:lang w:val="en-CA"/>
              </w:rPr>
            </w:pPr>
          </w:p>
        </w:tc>
        <w:tc>
          <w:tcPr>
            <w:tcW w:w="340" w:type="dxa"/>
            <w:shd w:val="clear" w:color="auto" w:fill="auto"/>
          </w:tcPr>
          <w:p w14:paraId="279A93C3" w14:textId="77777777" w:rsidR="00302BFE" w:rsidRPr="00D45B3D" w:rsidRDefault="00302BFE" w:rsidP="00243B15">
            <w:pPr>
              <w:rPr>
                <w:lang w:val="en-CA"/>
              </w:rPr>
            </w:pPr>
          </w:p>
        </w:tc>
        <w:tc>
          <w:tcPr>
            <w:tcW w:w="340" w:type="dxa"/>
            <w:shd w:val="clear" w:color="auto" w:fill="auto"/>
          </w:tcPr>
          <w:p w14:paraId="70236286" w14:textId="77777777" w:rsidR="00302BFE" w:rsidRPr="00D45B3D" w:rsidRDefault="00302BFE" w:rsidP="00243B15">
            <w:pPr>
              <w:rPr>
                <w:lang w:val="en-CA"/>
              </w:rPr>
            </w:pPr>
          </w:p>
        </w:tc>
        <w:tc>
          <w:tcPr>
            <w:tcW w:w="340" w:type="dxa"/>
            <w:shd w:val="clear" w:color="auto" w:fill="auto"/>
          </w:tcPr>
          <w:p w14:paraId="1887A1D9" w14:textId="77777777" w:rsidR="00302BFE" w:rsidRPr="00D45B3D" w:rsidRDefault="00302BFE" w:rsidP="00243B15">
            <w:pPr>
              <w:rPr>
                <w:lang w:val="en-CA"/>
              </w:rPr>
            </w:pPr>
          </w:p>
        </w:tc>
        <w:tc>
          <w:tcPr>
            <w:tcW w:w="340" w:type="dxa"/>
            <w:shd w:val="clear" w:color="auto" w:fill="auto"/>
          </w:tcPr>
          <w:p w14:paraId="2658BC5A" w14:textId="77777777" w:rsidR="00302BFE" w:rsidRPr="00D45B3D" w:rsidRDefault="00302BFE" w:rsidP="00243B15">
            <w:pPr>
              <w:rPr>
                <w:lang w:val="en-CA"/>
              </w:rPr>
            </w:pPr>
          </w:p>
        </w:tc>
        <w:tc>
          <w:tcPr>
            <w:tcW w:w="340" w:type="dxa"/>
            <w:shd w:val="clear" w:color="auto" w:fill="auto"/>
          </w:tcPr>
          <w:p w14:paraId="353E9D37" w14:textId="77777777" w:rsidR="00302BFE" w:rsidRPr="00D45B3D" w:rsidRDefault="00302BFE" w:rsidP="00243B15">
            <w:pPr>
              <w:rPr>
                <w:lang w:val="en-CA"/>
              </w:rPr>
            </w:pPr>
          </w:p>
        </w:tc>
        <w:tc>
          <w:tcPr>
            <w:tcW w:w="340" w:type="dxa"/>
            <w:shd w:val="clear" w:color="auto" w:fill="auto"/>
          </w:tcPr>
          <w:p w14:paraId="3E221CA0" w14:textId="77777777" w:rsidR="00302BFE" w:rsidRPr="00D45B3D" w:rsidRDefault="00302BFE" w:rsidP="00243B15">
            <w:pPr>
              <w:rPr>
                <w:lang w:val="en-CA"/>
              </w:rPr>
            </w:pPr>
          </w:p>
        </w:tc>
        <w:tc>
          <w:tcPr>
            <w:tcW w:w="340" w:type="dxa"/>
            <w:shd w:val="clear" w:color="auto" w:fill="auto"/>
          </w:tcPr>
          <w:p w14:paraId="3DB0F134" w14:textId="77777777" w:rsidR="00302BFE" w:rsidRPr="00D45B3D" w:rsidRDefault="00302BFE" w:rsidP="00243B15">
            <w:pPr>
              <w:rPr>
                <w:lang w:val="en-CA"/>
              </w:rPr>
            </w:pPr>
          </w:p>
        </w:tc>
        <w:tc>
          <w:tcPr>
            <w:tcW w:w="340" w:type="dxa"/>
            <w:shd w:val="clear" w:color="auto" w:fill="auto"/>
          </w:tcPr>
          <w:p w14:paraId="482231E1" w14:textId="77777777" w:rsidR="00302BFE" w:rsidRPr="00D45B3D" w:rsidRDefault="00302BFE" w:rsidP="00243B15">
            <w:pPr>
              <w:rPr>
                <w:lang w:val="en-CA"/>
              </w:rPr>
            </w:pPr>
          </w:p>
        </w:tc>
        <w:tc>
          <w:tcPr>
            <w:tcW w:w="340" w:type="dxa"/>
            <w:shd w:val="clear" w:color="auto" w:fill="auto"/>
          </w:tcPr>
          <w:p w14:paraId="62E06458" w14:textId="77777777" w:rsidR="00302BFE" w:rsidRPr="00D45B3D" w:rsidRDefault="00302BFE" w:rsidP="00243B15">
            <w:pPr>
              <w:rPr>
                <w:lang w:val="en-CA"/>
              </w:rPr>
            </w:pPr>
          </w:p>
        </w:tc>
        <w:tc>
          <w:tcPr>
            <w:tcW w:w="340" w:type="dxa"/>
            <w:shd w:val="clear" w:color="auto" w:fill="auto"/>
          </w:tcPr>
          <w:p w14:paraId="55767B7A" w14:textId="77777777" w:rsidR="00302BFE" w:rsidRPr="00D45B3D" w:rsidRDefault="00302BFE" w:rsidP="00243B15">
            <w:pPr>
              <w:rPr>
                <w:lang w:val="en-CA"/>
              </w:rPr>
            </w:pPr>
          </w:p>
        </w:tc>
        <w:tc>
          <w:tcPr>
            <w:tcW w:w="340" w:type="dxa"/>
            <w:shd w:val="clear" w:color="auto" w:fill="auto"/>
          </w:tcPr>
          <w:p w14:paraId="3D6BECA9" w14:textId="77777777" w:rsidR="00302BFE" w:rsidRPr="00D45B3D" w:rsidRDefault="00302BFE" w:rsidP="00243B15">
            <w:pPr>
              <w:rPr>
                <w:lang w:val="en-CA"/>
              </w:rPr>
            </w:pPr>
          </w:p>
        </w:tc>
      </w:tr>
      <w:tr w:rsidR="00755BF9" w:rsidRPr="00D45B3D" w14:paraId="1DFB2EEB" w14:textId="77777777" w:rsidTr="00755BF9">
        <w:trPr>
          <w:jc w:val="center"/>
        </w:trPr>
        <w:tc>
          <w:tcPr>
            <w:tcW w:w="5670" w:type="dxa"/>
            <w:shd w:val="clear" w:color="auto" w:fill="auto"/>
          </w:tcPr>
          <w:p w14:paraId="1A6FD8F1" w14:textId="77777777" w:rsidR="00302BFE" w:rsidRPr="00D45B3D" w:rsidRDefault="00302BFE" w:rsidP="00243B15">
            <w:pPr>
              <w:rPr>
                <w:sz w:val="16"/>
                <w:szCs w:val="16"/>
                <w:lang w:val="en-CA"/>
              </w:rPr>
            </w:pPr>
            <w:r w:rsidRPr="00D45B3D">
              <w:rPr>
                <w:i/>
                <w:color w:val="4472C4"/>
                <w:sz w:val="16"/>
                <w:szCs w:val="16"/>
                <w:lang w:val="en-GB"/>
              </w:rPr>
              <w:t>1.1.3 Capacity building of stakeholders in landscape management at all levels to ensure optimal and open input from stakeholders</w:t>
            </w:r>
          </w:p>
        </w:tc>
        <w:tc>
          <w:tcPr>
            <w:tcW w:w="340" w:type="dxa"/>
            <w:shd w:val="clear" w:color="auto" w:fill="auto"/>
          </w:tcPr>
          <w:p w14:paraId="4FE253D1" w14:textId="77777777" w:rsidR="00302BFE" w:rsidRPr="00D45B3D" w:rsidRDefault="00302BFE" w:rsidP="00243B15">
            <w:pPr>
              <w:rPr>
                <w:lang w:val="en-CA"/>
              </w:rPr>
            </w:pPr>
          </w:p>
        </w:tc>
        <w:tc>
          <w:tcPr>
            <w:tcW w:w="340" w:type="dxa"/>
            <w:shd w:val="clear" w:color="auto" w:fill="auto"/>
          </w:tcPr>
          <w:p w14:paraId="38B65098" w14:textId="77777777" w:rsidR="00302BFE" w:rsidRPr="00D45B3D" w:rsidRDefault="00302BFE" w:rsidP="00243B15">
            <w:pPr>
              <w:rPr>
                <w:lang w:val="en-CA"/>
              </w:rPr>
            </w:pPr>
          </w:p>
        </w:tc>
        <w:tc>
          <w:tcPr>
            <w:tcW w:w="340" w:type="dxa"/>
            <w:shd w:val="clear" w:color="auto" w:fill="D9D9D9"/>
          </w:tcPr>
          <w:p w14:paraId="453E9EA0" w14:textId="77777777" w:rsidR="00302BFE" w:rsidRPr="00D45B3D" w:rsidRDefault="00302BFE" w:rsidP="00243B15">
            <w:pPr>
              <w:rPr>
                <w:lang w:val="en-CA"/>
              </w:rPr>
            </w:pPr>
          </w:p>
        </w:tc>
        <w:tc>
          <w:tcPr>
            <w:tcW w:w="340" w:type="dxa"/>
            <w:shd w:val="clear" w:color="auto" w:fill="D9D9D9"/>
          </w:tcPr>
          <w:p w14:paraId="0E583DF0"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6A4CE38C"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22C25704"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1490F02D"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175A98E9" w14:textId="77777777" w:rsidR="00302BFE" w:rsidRPr="00D45B3D" w:rsidRDefault="00302BFE" w:rsidP="00243B15">
            <w:pPr>
              <w:rPr>
                <w:lang w:val="en-CA"/>
              </w:rPr>
            </w:pPr>
          </w:p>
        </w:tc>
        <w:tc>
          <w:tcPr>
            <w:tcW w:w="340" w:type="dxa"/>
            <w:shd w:val="clear" w:color="auto" w:fill="auto"/>
          </w:tcPr>
          <w:p w14:paraId="09A8DCB8" w14:textId="77777777" w:rsidR="00302BFE" w:rsidRPr="00D45B3D" w:rsidRDefault="00302BFE" w:rsidP="00243B15">
            <w:pPr>
              <w:rPr>
                <w:lang w:val="en-CA"/>
              </w:rPr>
            </w:pPr>
          </w:p>
        </w:tc>
        <w:tc>
          <w:tcPr>
            <w:tcW w:w="340" w:type="dxa"/>
            <w:shd w:val="clear" w:color="auto" w:fill="auto"/>
          </w:tcPr>
          <w:p w14:paraId="2E28298E" w14:textId="77777777" w:rsidR="00302BFE" w:rsidRPr="00D45B3D" w:rsidRDefault="00302BFE" w:rsidP="00243B15">
            <w:pPr>
              <w:rPr>
                <w:lang w:val="en-CA"/>
              </w:rPr>
            </w:pPr>
          </w:p>
        </w:tc>
        <w:tc>
          <w:tcPr>
            <w:tcW w:w="340" w:type="dxa"/>
            <w:shd w:val="clear" w:color="auto" w:fill="auto"/>
          </w:tcPr>
          <w:p w14:paraId="55CEF497" w14:textId="77777777" w:rsidR="00302BFE" w:rsidRPr="00D45B3D" w:rsidRDefault="00302BFE" w:rsidP="00243B15">
            <w:pPr>
              <w:rPr>
                <w:lang w:val="en-CA"/>
              </w:rPr>
            </w:pPr>
          </w:p>
        </w:tc>
        <w:tc>
          <w:tcPr>
            <w:tcW w:w="340" w:type="dxa"/>
            <w:shd w:val="clear" w:color="auto" w:fill="auto"/>
          </w:tcPr>
          <w:p w14:paraId="7F8A340C" w14:textId="77777777" w:rsidR="00302BFE" w:rsidRPr="00D45B3D" w:rsidRDefault="00302BFE" w:rsidP="00243B15">
            <w:pPr>
              <w:rPr>
                <w:lang w:val="en-CA"/>
              </w:rPr>
            </w:pPr>
          </w:p>
        </w:tc>
        <w:tc>
          <w:tcPr>
            <w:tcW w:w="340" w:type="dxa"/>
            <w:shd w:val="clear" w:color="auto" w:fill="auto"/>
          </w:tcPr>
          <w:p w14:paraId="73FB9F7A" w14:textId="77777777" w:rsidR="00302BFE" w:rsidRPr="00D45B3D" w:rsidRDefault="00302BFE" w:rsidP="00243B15">
            <w:pPr>
              <w:rPr>
                <w:lang w:val="en-CA"/>
              </w:rPr>
            </w:pPr>
          </w:p>
        </w:tc>
        <w:tc>
          <w:tcPr>
            <w:tcW w:w="340" w:type="dxa"/>
            <w:shd w:val="clear" w:color="auto" w:fill="auto"/>
          </w:tcPr>
          <w:p w14:paraId="1721F38C" w14:textId="77777777" w:rsidR="00302BFE" w:rsidRPr="00D45B3D" w:rsidRDefault="00302BFE" w:rsidP="00243B15">
            <w:pPr>
              <w:rPr>
                <w:lang w:val="en-CA"/>
              </w:rPr>
            </w:pPr>
          </w:p>
        </w:tc>
        <w:tc>
          <w:tcPr>
            <w:tcW w:w="340" w:type="dxa"/>
            <w:shd w:val="clear" w:color="auto" w:fill="auto"/>
          </w:tcPr>
          <w:p w14:paraId="0C890ED0" w14:textId="77777777" w:rsidR="00302BFE" w:rsidRPr="00D45B3D" w:rsidRDefault="00302BFE" w:rsidP="00243B15">
            <w:pPr>
              <w:rPr>
                <w:lang w:val="en-CA"/>
              </w:rPr>
            </w:pPr>
          </w:p>
        </w:tc>
        <w:tc>
          <w:tcPr>
            <w:tcW w:w="340" w:type="dxa"/>
            <w:shd w:val="clear" w:color="auto" w:fill="auto"/>
          </w:tcPr>
          <w:p w14:paraId="010A09F3" w14:textId="77777777" w:rsidR="00302BFE" w:rsidRPr="00D45B3D" w:rsidRDefault="00302BFE" w:rsidP="00243B15">
            <w:pPr>
              <w:rPr>
                <w:lang w:val="en-CA"/>
              </w:rPr>
            </w:pPr>
          </w:p>
        </w:tc>
        <w:tc>
          <w:tcPr>
            <w:tcW w:w="340" w:type="dxa"/>
            <w:shd w:val="clear" w:color="auto" w:fill="auto"/>
          </w:tcPr>
          <w:p w14:paraId="792C4E38" w14:textId="77777777" w:rsidR="00302BFE" w:rsidRPr="00D45B3D" w:rsidRDefault="00302BFE" w:rsidP="00243B15">
            <w:pPr>
              <w:rPr>
                <w:lang w:val="en-CA"/>
              </w:rPr>
            </w:pPr>
          </w:p>
        </w:tc>
        <w:tc>
          <w:tcPr>
            <w:tcW w:w="340" w:type="dxa"/>
            <w:shd w:val="clear" w:color="auto" w:fill="auto"/>
          </w:tcPr>
          <w:p w14:paraId="33C1BB39" w14:textId="77777777" w:rsidR="00302BFE" w:rsidRPr="00D45B3D" w:rsidRDefault="00302BFE" w:rsidP="00243B15">
            <w:pPr>
              <w:rPr>
                <w:lang w:val="en-CA"/>
              </w:rPr>
            </w:pPr>
          </w:p>
        </w:tc>
        <w:tc>
          <w:tcPr>
            <w:tcW w:w="340" w:type="dxa"/>
            <w:shd w:val="clear" w:color="auto" w:fill="auto"/>
          </w:tcPr>
          <w:p w14:paraId="2A3848E8" w14:textId="77777777" w:rsidR="00302BFE" w:rsidRPr="00D45B3D" w:rsidRDefault="00302BFE" w:rsidP="00243B15">
            <w:pPr>
              <w:rPr>
                <w:lang w:val="en-CA"/>
              </w:rPr>
            </w:pPr>
          </w:p>
        </w:tc>
        <w:tc>
          <w:tcPr>
            <w:tcW w:w="340" w:type="dxa"/>
            <w:shd w:val="clear" w:color="auto" w:fill="auto"/>
          </w:tcPr>
          <w:p w14:paraId="4C51C5E5" w14:textId="77777777" w:rsidR="00302BFE" w:rsidRPr="00D45B3D" w:rsidRDefault="00302BFE" w:rsidP="00243B15">
            <w:pPr>
              <w:rPr>
                <w:lang w:val="en-CA"/>
              </w:rPr>
            </w:pPr>
          </w:p>
        </w:tc>
        <w:tc>
          <w:tcPr>
            <w:tcW w:w="340" w:type="dxa"/>
            <w:shd w:val="clear" w:color="auto" w:fill="auto"/>
          </w:tcPr>
          <w:p w14:paraId="7821C552" w14:textId="77777777" w:rsidR="00302BFE" w:rsidRPr="00D45B3D" w:rsidRDefault="00302BFE" w:rsidP="00243B15">
            <w:pPr>
              <w:rPr>
                <w:lang w:val="en-CA"/>
              </w:rPr>
            </w:pPr>
          </w:p>
        </w:tc>
        <w:tc>
          <w:tcPr>
            <w:tcW w:w="340" w:type="dxa"/>
            <w:shd w:val="clear" w:color="auto" w:fill="auto"/>
          </w:tcPr>
          <w:p w14:paraId="429BC08B" w14:textId="77777777" w:rsidR="00302BFE" w:rsidRPr="00D45B3D" w:rsidRDefault="00302BFE" w:rsidP="00243B15">
            <w:pPr>
              <w:rPr>
                <w:lang w:val="en-CA"/>
              </w:rPr>
            </w:pPr>
          </w:p>
        </w:tc>
        <w:tc>
          <w:tcPr>
            <w:tcW w:w="340" w:type="dxa"/>
            <w:shd w:val="clear" w:color="auto" w:fill="auto"/>
          </w:tcPr>
          <w:p w14:paraId="6C3661BF" w14:textId="77777777" w:rsidR="00302BFE" w:rsidRPr="00D45B3D" w:rsidRDefault="00302BFE" w:rsidP="00243B15">
            <w:pPr>
              <w:rPr>
                <w:lang w:val="en-CA"/>
              </w:rPr>
            </w:pPr>
          </w:p>
        </w:tc>
        <w:tc>
          <w:tcPr>
            <w:tcW w:w="340" w:type="dxa"/>
            <w:shd w:val="clear" w:color="auto" w:fill="auto"/>
          </w:tcPr>
          <w:p w14:paraId="7D50C0A3" w14:textId="77777777" w:rsidR="00302BFE" w:rsidRPr="00D45B3D" w:rsidRDefault="00302BFE" w:rsidP="00243B15">
            <w:pPr>
              <w:rPr>
                <w:lang w:val="en-CA"/>
              </w:rPr>
            </w:pPr>
          </w:p>
        </w:tc>
      </w:tr>
      <w:tr w:rsidR="00755BF9" w:rsidRPr="00D45B3D" w14:paraId="13C05D86" w14:textId="77777777" w:rsidTr="00755BF9">
        <w:trPr>
          <w:jc w:val="center"/>
        </w:trPr>
        <w:tc>
          <w:tcPr>
            <w:tcW w:w="5670" w:type="dxa"/>
            <w:shd w:val="clear" w:color="auto" w:fill="auto"/>
          </w:tcPr>
          <w:p w14:paraId="4843B108" w14:textId="77777777" w:rsidR="00302BFE" w:rsidRPr="00D45B3D" w:rsidRDefault="00302BFE" w:rsidP="00243B15">
            <w:pPr>
              <w:rPr>
                <w:sz w:val="16"/>
                <w:szCs w:val="16"/>
                <w:lang w:val="en-CA"/>
              </w:rPr>
            </w:pPr>
            <w:r w:rsidRPr="00D45B3D">
              <w:rPr>
                <w:sz w:val="16"/>
                <w:szCs w:val="16"/>
                <w:lang w:val="en-GB"/>
              </w:rPr>
              <w:t>Output 1.2 The territorial planning tool is adopted as a spatial planning methodology</w:t>
            </w:r>
          </w:p>
        </w:tc>
        <w:tc>
          <w:tcPr>
            <w:tcW w:w="340" w:type="dxa"/>
            <w:shd w:val="clear" w:color="auto" w:fill="auto"/>
          </w:tcPr>
          <w:p w14:paraId="67EB5A91" w14:textId="77777777" w:rsidR="00302BFE" w:rsidRPr="00D45B3D" w:rsidRDefault="00302BFE" w:rsidP="00243B15">
            <w:pPr>
              <w:rPr>
                <w:lang w:val="en-CA"/>
              </w:rPr>
            </w:pPr>
          </w:p>
        </w:tc>
        <w:tc>
          <w:tcPr>
            <w:tcW w:w="340" w:type="dxa"/>
            <w:shd w:val="clear" w:color="auto" w:fill="auto"/>
          </w:tcPr>
          <w:p w14:paraId="4AFE64A3" w14:textId="77777777" w:rsidR="00302BFE" w:rsidRPr="00D45B3D" w:rsidRDefault="00302BFE" w:rsidP="00243B15">
            <w:pPr>
              <w:rPr>
                <w:lang w:val="en-CA"/>
              </w:rPr>
            </w:pPr>
          </w:p>
        </w:tc>
        <w:tc>
          <w:tcPr>
            <w:tcW w:w="340" w:type="dxa"/>
            <w:shd w:val="clear" w:color="auto" w:fill="auto"/>
          </w:tcPr>
          <w:p w14:paraId="1C6793A3"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C97A690" w14:textId="77777777" w:rsidR="00302BFE" w:rsidRPr="00D45B3D" w:rsidRDefault="00302BFE" w:rsidP="00243B15">
            <w:pPr>
              <w:rPr>
                <w:lang w:val="en-CA"/>
              </w:rPr>
            </w:pPr>
          </w:p>
        </w:tc>
        <w:tc>
          <w:tcPr>
            <w:tcW w:w="340" w:type="dxa"/>
            <w:shd w:val="clear" w:color="auto" w:fill="D9D9D9"/>
          </w:tcPr>
          <w:p w14:paraId="70DDADB0" w14:textId="77777777" w:rsidR="00302BFE" w:rsidRPr="00D45B3D" w:rsidRDefault="00302BFE" w:rsidP="00243B15">
            <w:pPr>
              <w:rPr>
                <w:lang w:val="en-CA"/>
              </w:rPr>
            </w:pPr>
          </w:p>
        </w:tc>
        <w:tc>
          <w:tcPr>
            <w:tcW w:w="340" w:type="dxa"/>
            <w:shd w:val="clear" w:color="auto" w:fill="D9D9D9"/>
          </w:tcPr>
          <w:p w14:paraId="035D2ECE" w14:textId="77777777" w:rsidR="00302BFE" w:rsidRPr="00D45B3D" w:rsidRDefault="00302BFE" w:rsidP="00243B15">
            <w:pPr>
              <w:rPr>
                <w:lang w:val="en-CA"/>
              </w:rPr>
            </w:pPr>
          </w:p>
        </w:tc>
        <w:tc>
          <w:tcPr>
            <w:tcW w:w="340" w:type="dxa"/>
            <w:shd w:val="clear" w:color="auto" w:fill="D9D9D9"/>
          </w:tcPr>
          <w:p w14:paraId="28D93DAC" w14:textId="77777777" w:rsidR="00302BFE" w:rsidRPr="00D45B3D" w:rsidRDefault="00302BFE" w:rsidP="00243B15">
            <w:pPr>
              <w:rPr>
                <w:lang w:val="en-CA"/>
              </w:rPr>
            </w:pPr>
          </w:p>
        </w:tc>
        <w:tc>
          <w:tcPr>
            <w:tcW w:w="340" w:type="dxa"/>
            <w:shd w:val="clear" w:color="auto" w:fill="D9D9D9"/>
          </w:tcPr>
          <w:p w14:paraId="311FC91A" w14:textId="77777777" w:rsidR="00302BFE" w:rsidRPr="00D45B3D" w:rsidRDefault="00302BFE" w:rsidP="00243B15">
            <w:pPr>
              <w:rPr>
                <w:lang w:val="en-CA"/>
              </w:rPr>
            </w:pPr>
          </w:p>
        </w:tc>
        <w:tc>
          <w:tcPr>
            <w:tcW w:w="340" w:type="dxa"/>
            <w:shd w:val="clear" w:color="auto" w:fill="auto"/>
          </w:tcPr>
          <w:p w14:paraId="2B72A737" w14:textId="77777777" w:rsidR="00302BFE" w:rsidRPr="00D45B3D" w:rsidRDefault="00302BFE" w:rsidP="00243B15">
            <w:pPr>
              <w:rPr>
                <w:lang w:val="en-CA"/>
              </w:rPr>
            </w:pPr>
          </w:p>
        </w:tc>
        <w:tc>
          <w:tcPr>
            <w:tcW w:w="340" w:type="dxa"/>
            <w:shd w:val="clear" w:color="auto" w:fill="auto"/>
          </w:tcPr>
          <w:p w14:paraId="6885A85E" w14:textId="77777777" w:rsidR="00302BFE" w:rsidRPr="00D45B3D" w:rsidRDefault="00302BFE" w:rsidP="00243B15">
            <w:pPr>
              <w:rPr>
                <w:lang w:val="en-CA"/>
              </w:rPr>
            </w:pPr>
          </w:p>
        </w:tc>
        <w:tc>
          <w:tcPr>
            <w:tcW w:w="340" w:type="dxa"/>
            <w:shd w:val="clear" w:color="auto" w:fill="auto"/>
          </w:tcPr>
          <w:p w14:paraId="6A99119C"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D458A5B" w14:textId="77777777" w:rsidR="00302BFE" w:rsidRPr="00D45B3D" w:rsidRDefault="00302BFE" w:rsidP="00243B15">
            <w:pPr>
              <w:rPr>
                <w:lang w:val="en-CA"/>
              </w:rPr>
            </w:pPr>
          </w:p>
        </w:tc>
        <w:tc>
          <w:tcPr>
            <w:tcW w:w="340" w:type="dxa"/>
            <w:shd w:val="clear" w:color="auto" w:fill="auto"/>
          </w:tcPr>
          <w:p w14:paraId="3FD98220" w14:textId="77777777" w:rsidR="00302BFE" w:rsidRPr="00D45B3D" w:rsidRDefault="00302BFE" w:rsidP="00243B15">
            <w:pPr>
              <w:rPr>
                <w:lang w:val="en-CA"/>
              </w:rPr>
            </w:pPr>
          </w:p>
        </w:tc>
        <w:tc>
          <w:tcPr>
            <w:tcW w:w="340" w:type="dxa"/>
            <w:shd w:val="clear" w:color="auto" w:fill="auto"/>
          </w:tcPr>
          <w:p w14:paraId="1661E0E4" w14:textId="77777777" w:rsidR="00302BFE" w:rsidRPr="00D45B3D" w:rsidRDefault="00302BFE" w:rsidP="00243B15">
            <w:pPr>
              <w:rPr>
                <w:lang w:val="en-CA"/>
              </w:rPr>
            </w:pPr>
          </w:p>
        </w:tc>
        <w:tc>
          <w:tcPr>
            <w:tcW w:w="340" w:type="dxa"/>
            <w:shd w:val="clear" w:color="auto" w:fill="auto"/>
          </w:tcPr>
          <w:p w14:paraId="43FD4772" w14:textId="77777777" w:rsidR="00302BFE" w:rsidRPr="00D45B3D" w:rsidRDefault="00302BFE" w:rsidP="00243B15">
            <w:pPr>
              <w:rPr>
                <w:lang w:val="en-CA"/>
              </w:rPr>
            </w:pPr>
          </w:p>
        </w:tc>
        <w:tc>
          <w:tcPr>
            <w:tcW w:w="340" w:type="dxa"/>
            <w:shd w:val="clear" w:color="auto" w:fill="auto"/>
          </w:tcPr>
          <w:p w14:paraId="66AAB83A" w14:textId="77777777" w:rsidR="00302BFE" w:rsidRPr="00D45B3D" w:rsidRDefault="00302BFE" w:rsidP="00243B15">
            <w:pPr>
              <w:rPr>
                <w:lang w:val="en-CA"/>
              </w:rPr>
            </w:pPr>
          </w:p>
        </w:tc>
        <w:tc>
          <w:tcPr>
            <w:tcW w:w="340" w:type="dxa"/>
            <w:shd w:val="clear" w:color="auto" w:fill="auto"/>
          </w:tcPr>
          <w:p w14:paraId="3E6A84C7" w14:textId="77777777" w:rsidR="00302BFE" w:rsidRPr="00D45B3D" w:rsidRDefault="00302BFE" w:rsidP="00243B15">
            <w:pPr>
              <w:rPr>
                <w:lang w:val="en-CA"/>
              </w:rPr>
            </w:pPr>
          </w:p>
        </w:tc>
        <w:tc>
          <w:tcPr>
            <w:tcW w:w="340" w:type="dxa"/>
            <w:shd w:val="clear" w:color="auto" w:fill="auto"/>
          </w:tcPr>
          <w:p w14:paraId="17749BDD" w14:textId="77777777" w:rsidR="00302BFE" w:rsidRPr="00D45B3D" w:rsidRDefault="00302BFE" w:rsidP="00243B15">
            <w:pPr>
              <w:rPr>
                <w:lang w:val="en-CA"/>
              </w:rPr>
            </w:pPr>
          </w:p>
        </w:tc>
        <w:tc>
          <w:tcPr>
            <w:tcW w:w="340" w:type="dxa"/>
            <w:shd w:val="clear" w:color="auto" w:fill="auto"/>
          </w:tcPr>
          <w:p w14:paraId="6F8C3164"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04FCDCC" w14:textId="77777777" w:rsidR="00302BFE" w:rsidRPr="00D45B3D" w:rsidRDefault="00302BFE" w:rsidP="00243B15">
            <w:pPr>
              <w:rPr>
                <w:lang w:val="en-CA"/>
              </w:rPr>
            </w:pPr>
          </w:p>
        </w:tc>
        <w:tc>
          <w:tcPr>
            <w:tcW w:w="340" w:type="dxa"/>
            <w:shd w:val="clear" w:color="auto" w:fill="auto"/>
          </w:tcPr>
          <w:p w14:paraId="409710B5" w14:textId="77777777" w:rsidR="00302BFE" w:rsidRPr="00D45B3D" w:rsidRDefault="00302BFE" w:rsidP="00243B15">
            <w:pPr>
              <w:rPr>
                <w:lang w:val="en-CA"/>
              </w:rPr>
            </w:pPr>
          </w:p>
        </w:tc>
        <w:tc>
          <w:tcPr>
            <w:tcW w:w="340" w:type="dxa"/>
            <w:shd w:val="clear" w:color="auto" w:fill="auto"/>
          </w:tcPr>
          <w:p w14:paraId="7E68C47F" w14:textId="77777777" w:rsidR="00302BFE" w:rsidRPr="00D45B3D" w:rsidRDefault="00302BFE" w:rsidP="00243B15">
            <w:pPr>
              <w:rPr>
                <w:lang w:val="en-CA"/>
              </w:rPr>
            </w:pPr>
          </w:p>
        </w:tc>
        <w:tc>
          <w:tcPr>
            <w:tcW w:w="340" w:type="dxa"/>
            <w:shd w:val="clear" w:color="auto" w:fill="auto"/>
          </w:tcPr>
          <w:p w14:paraId="144726B0" w14:textId="77777777" w:rsidR="00302BFE" w:rsidRPr="00D45B3D" w:rsidRDefault="00302BFE" w:rsidP="00243B15">
            <w:pPr>
              <w:rPr>
                <w:lang w:val="en-CA"/>
              </w:rPr>
            </w:pPr>
          </w:p>
        </w:tc>
        <w:tc>
          <w:tcPr>
            <w:tcW w:w="340" w:type="dxa"/>
            <w:shd w:val="clear" w:color="auto" w:fill="auto"/>
          </w:tcPr>
          <w:p w14:paraId="08A3ECCE" w14:textId="77777777" w:rsidR="00302BFE" w:rsidRPr="00D45B3D" w:rsidRDefault="00302BFE" w:rsidP="00243B15">
            <w:pPr>
              <w:rPr>
                <w:lang w:val="en-CA"/>
              </w:rPr>
            </w:pPr>
          </w:p>
        </w:tc>
      </w:tr>
      <w:tr w:rsidR="00755BF9" w:rsidRPr="00D45B3D" w14:paraId="4EDDC038" w14:textId="77777777" w:rsidTr="00755BF9">
        <w:trPr>
          <w:jc w:val="center"/>
        </w:trPr>
        <w:tc>
          <w:tcPr>
            <w:tcW w:w="5670" w:type="dxa"/>
            <w:shd w:val="clear" w:color="auto" w:fill="auto"/>
          </w:tcPr>
          <w:p w14:paraId="55D0AA7B" w14:textId="77777777" w:rsidR="00302BFE" w:rsidRPr="00D45B3D" w:rsidRDefault="00302BFE" w:rsidP="00243B15">
            <w:pPr>
              <w:rPr>
                <w:i/>
                <w:color w:val="4472C4"/>
                <w:sz w:val="16"/>
                <w:szCs w:val="16"/>
                <w:lang w:val="en-GB"/>
              </w:rPr>
            </w:pPr>
            <w:r w:rsidRPr="00D45B3D">
              <w:rPr>
                <w:i/>
                <w:color w:val="4472C4"/>
                <w:sz w:val="16"/>
                <w:szCs w:val="16"/>
                <w:lang w:val="en-GB"/>
              </w:rPr>
              <w:t>1.2.1 Valuation of ecosystem goods and services (ES) produced by the various units of the PONASI landscape</w:t>
            </w:r>
          </w:p>
        </w:tc>
        <w:tc>
          <w:tcPr>
            <w:tcW w:w="340" w:type="dxa"/>
            <w:shd w:val="clear" w:color="auto" w:fill="auto"/>
          </w:tcPr>
          <w:p w14:paraId="4129117E" w14:textId="77777777" w:rsidR="00302BFE" w:rsidRPr="00D45B3D" w:rsidRDefault="00302BFE" w:rsidP="00243B15">
            <w:pPr>
              <w:rPr>
                <w:lang w:val="en-CA"/>
              </w:rPr>
            </w:pPr>
          </w:p>
        </w:tc>
        <w:tc>
          <w:tcPr>
            <w:tcW w:w="340" w:type="dxa"/>
            <w:shd w:val="clear" w:color="auto" w:fill="auto"/>
          </w:tcPr>
          <w:p w14:paraId="5F90DC53" w14:textId="77777777" w:rsidR="00302BFE" w:rsidRPr="00D45B3D" w:rsidRDefault="00302BFE" w:rsidP="00243B15">
            <w:pPr>
              <w:rPr>
                <w:lang w:val="en-CA"/>
              </w:rPr>
            </w:pPr>
          </w:p>
        </w:tc>
        <w:tc>
          <w:tcPr>
            <w:tcW w:w="340" w:type="dxa"/>
            <w:shd w:val="clear" w:color="auto" w:fill="auto"/>
          </w:tcPr>
          <w:p w14:paraId="536135EA"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35E4313" w14:textId="77777777" w:rsidR="00302BFE" w:rsidRPr="00D45B3D" w:rsidRDefault="00302BFE" w:rsidP="00243B15">
            <w:pPr>
              <w:rPr>
                <w:lang w:val="en-CA"/>
              </w:rPr>
            </w:pPr>
          </w:p>
        </w:tc>
        <w:tc>
          <w:tcPr>
            <w:tcW w:w="340" w:type="dxa"/>
            <w:shd w:val="clear" w:color="auto" w:fill="D9D9D9"/>
          </w:tcPr>
          <w:p w14:paraId="62400D69" w14:textId="77777777" w:rsidR="00302BFE" w:rsidRPr="00D45B3D" w:rsidRDefault="00302BFE" w:rsidP="00243B15">
            <w:pPr>
              <w:rPr>
                <w:lang w:val="en-CA"/>
              </w:rPr>
            </w:pPr>
          </w:p>
        </w:tc>
        <w:tc>
          <w:tcPr>
            <w:tcW w:w="340" w:type="dxa"/>
            <w:shd w:val="clear" w:color="auto" w:fill="D9D9D9"/>
          </w:tcPr>
          <w:p w14:paraId="4E4F695C" w14:textId="77777777" w:rsidR="00302BFE" w:rsidRPr="00D45B3D" w:rsidRDefault="00302BFE" w:rsidP="00243B15">
            <w:pPr>
              <w:rPr>
                <w:lang w:val="en-CA"/>
              </w:rPr>
            </w:pPr>
          </w:p>
        </w:tc>
        <w:tc>
          <w:tcPr>
            <w:tcW w:w="340" w:type="dxa"/>
            <w:shd w:val="clear" w:color="auto" w:fill="D9D9D9"/>
          </w:tcPr>
          <w:p w14:paraId="5789BDB2" w14:textId="77777777" w:rsidR="00302BFE" w:rsidRPr="00D45B3D" w:rsidRDefault="00302BFE" w:rsidP="00243B15">
            <w:pPr>
              <w:rPr>
                <w:lang w:val="en-CA"/>
              </w:rPr>
            </w:pPr>
          </w:p>
        </w:tc>
        <w:tc>
          <w:tcPr>
            <w:tcW w:w="340" w:type="dxa"/>
            <w:shd w:val="clear" w:color="auto" w:fill="D9D9D9"/>
          </w:tcPr>
          <w:p w14:paraId="5A3F363F" w14:textId="77777777" w:rsidR="00302BFE" w:rsidRPr="00D45B3D" w:rsidRDefault="00302BFE" w:rsidP="00243B15">
            <w:pPr>
              <w:rPr>
                <w:lang w:val="en-CA"/>
              </w:rPr>
            </w:pPr>
          </w:p>
        </w:tc>
        <w:tc>
          <w:tcPr>
            <w:tcW w:w="340" w:type="dxa"/>
            <w:shd w:val="clear" w:color="auto" w:fill="auto"/>
          </w:tcPr>
          <w:p w14:paraId="4610EDE5" w14:textId="77777777" w:rsidR="00302BFE" w:rsidRPr="00D45B3D" w:rsidRDefault="00302BFE" w:rsidP="00243B15">
            <w:pPr>
              <w:rPr>
                <w:lang w:val="en-CA"/>
              </w:rPr>
            </w:pPr>
          </w:p>
        </w:tc>
        <w:tc>
          <w:tcPr>
            <w:tcW w:w="340" w:type="dxa"/>
            <w:shd w:val="clear" w:color="auto" w:fill="auto"/>
          </w:tcPr>
          <w:p w14:paraId="12835052" w14:textId="77777777" w:rsidR="00302BFE" w:rsidRPr="00D45B3D" w:rsidRDefault="00302BFE" w:rsidP="00243B15">
            <w:pPr>
              <w:rPr>
                <w:lang w:val="en-CA"/>
              </w:rPr>
            </w:pPr>
          </w:p>
        </w:tc>
        <w:tc>
          <w:tcPr>
            <w:tcW w:w="340" w:type="dxa"/>
            <w:shd w:val="clear" w:color="auto" w:fill="auto"/>
          </w:tcPr>
          <w:p w14:paraId="52AD235E"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732B539" w14:textId="77777777" w:rsidR="00302BFE" w:rsidRPr="00D45B3D" w:rsidRDefault="00302BFE" w:rsidP="00243B15">
            <w:pPr>
              <w:rPr>
                <w:lang w:val="en-CA"/>
              </w:rPr>
            </w:pPr>
          </w:p>
        </w:tc>
        <w:tc>
          <w:tcPr>
            <w:tcW w:w="340" w:type="dxa"/>
            <w:shd w:val="clear" w:color="auto" w:fill="auto"/>
          </w:tcPr>
          <w:p w14:paraId="4F5F3102" w14:textId="77777777" w:rsidR="00302BFE" w:rsidRPr="00D45B3D" w:rsidRDefault="00302BFE" w:rsidP="00243B15">
            <w:pPr>
              <w:rPr>
                <w:lang w:val="en-CA"/>
              </w:rPr>
            </w:pPr>
          </w:p>
        </w:tc>
        <w:tc>
          <w:tcPr>
            <w:tcW w:w="340" w:type="dxa"/>
            <w:shd w:val="clear" w:color="auto" w:fill="auto"/>
          </w:tcPr>
          <w:p w14:paraId="11E809BF" w14:textId="77777777" w:rsidR="00302BFE" w:rsidRPr="00D45B3D" w:rsidRDefault="00302BFE" w:rsidP="00243B15">
            <w:pPr>
              <w:rPr>
                <w:lang w:val="en-CA"/>
              </w:rPr>
            </w:pPr>
          </w:p>
        </w:tc>
        <w:tc>
          <w:tcPr>
            <w:tcW w:w="340" w:type="dxa"/>
            <w:shd w:val="clear" w:color="auto" w:fill="auto"/>
          </w:tcPr>
          <w:p w14:paraId="0DCAAD12" w14:textId="77777777" w:rsidR="00302BFE" w:rsidRPr="00D45B3D" w:rsidRDefault="00302BFE" w:rsidP="00243B15">
            <w:pPr>
              <w:rPr>
                <w:lang w:val="en-CA"/>
              </w:rPr>
            </w:pPr>
          </w:p>
        </w:tc>
        <w:tc>
          <w:tcPr>
            <w:tcW w:w="340" w:type="dxa"/>
            <w:shd w:val="clear" w:color="auto" w:fill="auto"/>
          </w:tcPr>
          <w:p w14:paraId="335E465C" w14:textId="77777777" w:rsidR="00302BFE" w:rsidRPr="00D45B3D" w:rsidRDefault="00302BFE" w:rsidP="00243B15">
            <w:pPr>
              <w:rPr>
                <w:lang w:val="en-CA"/>
              </w:rPr>
            </w:pPr>
          </w:p>
        </w:tc>
        <w:tc>
          <w:tcPr>
            <w:tcW w:w="340" w:type="dxa"/>
            <w:shd w:val="clear" w:color="auto" w:fill="auto"/>
          </w:tcPr>
          <w:p w14:paraId="42BE0174" w14:textId="77777777" w:rsidR="00302BFE" w:rsidRPr="00D45B3D" w:rsidRDefault="00302BFE" w:rsidP="00243B15">
            <w:pPr>
              <w:rPr>
                <w:lang w:val="en-CA"/>
              </w:rPr>
            </w:pPr>
          </w:p>
        </w:tc>
        <w:tc>
          <w:tcPr>
            <w:tcW w:w="340" w:type="dxa"/>
            <w:shd w:val="clear" w:color="auto" w:fill="auto"/>
          </w:tcPr>
          <w:p w14:paraId="0E4A844E" w14:textId="77777777" w:rsidR="00302BFE" w:rsidRPr="00D45B3D" w:rsidRDefault="00302BFE" w:rsidP="00243B15">
            <w:pPr>
              <w:rPr>
                <w:lang w:val="en-CA"/>
              </w:rPr>
            </w:pPr>
          </w:p>
        </w:tc>
        <w:tc>
          <w:tcPr>
            <w:tcW w:w="340" w:type="dxa"/>
            <w:shd w:val="clear" w:color="auto" w:fill="auto"/>
          </w:tcPr>
          <w:p w14:paraId="5BC24A8C"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7B2CF20" w14:textId="77777777" w:rsidR="00302BFE" w:rsidRPr="00D45B3D" w:rsidRDefault="00302BFE" w:rsidP="00243B15">
            <w:pPr>
              <w:rPr>
                <w:lang w:val="en-CA"/>
              </w:rPr>
            </w:pPr>
          </w:p>
        </w:tc>
        <w:tc>
          <w:tcPr>
            <w:tcW w:w="340" w:type="dxa"/>
            <w:shd w:val="clear" w:color="auto" w:fill="auto"/>
          </w:tcPr>
          <w:p w14:paraId="31C0D88A" w14:textId="77777777" w:rsidR="00302BFE" w:rsidRPr="00D45B3D" w:rsidRDefault="00302BFE" w:rsidP="00243B15">
            <w:pPr>
              <w:rPr>
                <w:lang w:val="en-CA"/>
              </w:rPr>
            </w:pPr>
          </w:p>
        </w:tc>
        <w:tc>
          <w:tcPr>
            <w:tcW w:w="340" w:type="dxa"/>
            <w:shd w:val="clear" w:color="auto" w:fill="auto"/>
          </w:tcPr>
          <w:p w14:paraId="4E3FFEC6" w14:textId="77777777" w:rsidR="00302BFE" w:rsidRPr="00D45B3D" w:rsidRDefault="00302BFE" w:rsidP="00243B15">
            <w:pPr>
              <w:rPr>
                <w:lang w:val="en-CA"/>
              </w:rPr>
            </w:pPr>
          </w:p>
        </w:tc>
        <w:tc>
          <w:tcPr>
            <w:tcW w:w="340" w:type="dxa"/>
            <w:shd w:val="clear" w:color="auto" w:fill="auto"/>
          </w:tcPr>
          <w:p w14:paraId="081DC734" w14:textId="77777777" w:rsidR="00302BFE" w:rsidRPr="00D45B3D" w:rsidRDefault="00302BFE" w:rsidP="00243B15">
            <w:pPr>
              <w:rPr>
                <w:lang w:val="en-CA"/>
              </w:rPr>
            </w:pPr>
          </w:p>
        </w:tc>
        <w:tc>
          <w:tcPr>
            <w:tcW w:w="340" w:type="dxa"/>
            <w:shd w:val="clear" w:color="auto" w:fill="auto"/>
          </w:tcPr>
          <w:p w14:paraId="796FBE20" w14:textId="77777777" w:rsidR="00302BFE" w:rsidRPr="00D45B3D" w:rsidRDefault="00302BFE" w:rsidP="00243B15">
            <w:pPr>
              <w:rPr>
                <w:lang w:val="en-CA"/>
              </w:rPr>
            </w:pPr>
          </w:p>
        </w:tc>
      </w:tr>
      <w:tr w:rsidR="00755BF9" w:rsidRPr="00D45B3D" w14:paraId="25B822A3" w14:textId="77777777" w:rsidTr="00755BF9">
        <w:trPr>
          <w:jc w:val="center"/>
        </w:trPr>
        <w:tc>
          <w:tcPr>
            <w:tcW w:w="5670" w:type="dxa"/>
            <w:shd w:val="clear" w:color="auto" w:fill="auto"/>
          </w:tcPr>
          <w:p w14:paraId="2C240215" w14:textId="77777777" w:rsidR="00302BFE" w:rsidRPr="00D45B3D" w:rsidRDefault="00302BFE" w:rsidP="00243B15">
            <w:pPr>
              <w:rPr>
                <w:i/>
                <w:color w:val="4472C4"/>
                <w:sz w:val="16"/>
                <w:szCs w:val="16"/>
                <w:lang w:val="en-GB"/>
              </w:rPr>
            </w:pPr>
            <w:r w:rsidRPr="00D45B3D">
              <w:rPr>
                <w:i/>
                <w:color w:val="4472C4"/>
                <w:sz w:val="16"/>
                <w:szCs w:val="16"/>
                <w:lang w:val="en-GB"/>
              </w:rPr>
              <w:t>1.2.2 Establishment of a consolidated environment information system to support the environmental land use planning process</w:t>
            </w:r>
          </w:p>
        </w:tc>
        <w:tc>
          <w:tcPr>
            <w:tcW w:w="340" w:type="dxa"/>
            <w:shd w:val="clear" w:color="auto" w:fill="auto"/>
          </w:tcPr>
          <w:p w14:paraId="7C709C05" w14:textId="77777777" w:rsidR="00302BFE" w:rsidRPr="00D45B3D" w:rsidRDefault="00302BFE" w:rsidP="00243B15">
            <w:pPr>
              <w:rPr>
                <w:lang w:val="en-CA"/>
              </w:rPr>
            </w:pPr>
          </w:p>
        </w:tc>
        <w:tc>
          <w:tcPr>
            <w:tcW w:w="340" w:type="dxa"/>
            <w:shd w:val="clear" w:color="auto" w:fill="auto"/>
          </w:tcPr>
          <w:p w14:paraId="071E5518" w14:textId="77777777" w:rsidR="00302BFE" w:rsidRPr="00D45B3D" w:rsidRDefault="00302BFE" w:rsidP="00243B15">
            <w:pPr>
              <w:rPr>
                <w:lang w:val="en-CA"/>
              </w:rPr>
            </w:pPr>
          </w:p>
        </w:tc>
        <w:tc>
          <w:tcPr>
            <w:tcW w:w="340" w:type="dxa"/>
            <w:shd w:val="clear" w:color="auto" w:fill="D9D9D9"/>
          </w:tcPr>
          <w:p w14:paraId="31B33523"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430A5B21" w14:textId="77777777" w:rsidR="00302BFE" w:rsidRPr="00D45B3D" w:rsidRDefault="00302BFE" w:rsidP="00243B15">
            <w:pPr>
              <w:rPr>
                <w:lang w:val="en-CA"/>
              </w:rPr>
            </w:pPr>
          </w:p>
        </w:tc>
        <w:tc>
          <w:tcPr>
            <w:tcW w:w="340" w:type="dxa"/>
            <w:shd w:val="clear" w:color="auto" w:fill="D9D9D9"/>
          </w:tcPr>
          <w:p w14:paraId="7F56CB8A" w14:textId="77777777" w:rsidR="00302BFE" w:rsidRPr="00D45B3D" w:rsidRDefault="00302BFE" w:rsidP="00243B15">
            <w:pPr>
              <w:rPr>
                <w:lang w:val="en-CA"/>
              </w:rPr>
            </w:pPr>
          </w:p>
        </w:tc>
        <w:tc>
          <w:tcPr>
            <w:tcW w:w="340" w:type="dxa"/>
            <w:shd w:val="clear" w:color="auto" w:fill="D9D9D9"/>
          </w:tcPr>
          <w:p w14:paraId="3FCB6312" w14:textId="77777777" w:rsidR="00302BFE" w:rsidRPr="00D45B3D" w:rsidRDefault="00302BFE" w:rsidP="00243B15">
            <w:pPr>
              <w:rPr>
                <w:lang w:val="en-CA"/>
              </w:rPr>
            </w:pPr>
          </w:p>
        </w:tc>
        <w:tc>
          <w:tcPr>
            <w:tcW w:w="340" w:type="dxa"/>
            <w:shd w:val="clear" w:color="auto" w:fill="auto"/>
          </w:tcPr>
          <w:p w14:paraId="78A47FC7" w14:textId="77777777" w:rsidR="00302BFE" w:rsidRPr="00D45B3D" w:rsidRDefault="00302BFE" w:rsidP="00243B15">
            <w:pPr>
              <w:rPr>
                <w:lang w:val="en-CA"/>
              </w:rPr>
            </w:pPr>
          </w:p>
        </w:tc>
        <w:tc>
          <w:tcPr>
            <w:tcW w:w="340" w:type="dxa"/>
            <w:shd w:val="clear" w:color="auto" w:fill="auto"/>
          </w:tcPr>
          <w:p w14:paraId="59C6F81E" w14:textId="77777777" w:rsidR="00302BFE" w:rsidRPr="00D45B3D" w:rsidRDefault="00302BFE" w:rsidP="00243B15">
            <w:pPr>
              <w:rPr>
                <w:lang w:val="en-CA"/>
              </w:rPr>
            </w:pPr>
          </w:p>
        </w:tc>
        <w:tc>
          <w:tcPr>
            <w:tcW w:w="340" w:type="dxa"/>
            <w:shd w:val="clear" w:color="auto" w:fill="auto"/>
          </w:tcPr>
          <w:p w14:paraId="4129766F" w14:textId="77777777" w:rsidR="00302BFE" w:rsidRPr="00D45B3D" w:rsidRDefault="00302BFE" w:rsidP="00243B15">
            <w:pPr>
              <w:rPr>
                <w:lang w:val="en-CA"/>
              </w:rPr>
            </w:pPr>
          </w:p>
        </w:tc>
        <w:tc>
          <w:tcPr>
            <w:tcW w:w="340" w:type="dxa"/>
            <w:shd w:val="clear" w:color="auto" w:fill="auto"/>
          </w:tcPr>
          <w:p w14:paraId="6EB14A80" w14:textId="77777777" w:rsidR="00302BFE" w:rsidRPr="00D45B3D" w:rsidRDefault="00302BFE" w:rsidP="00243B15">
            <w:pPr>
              <w:rPr>
                <w:lang w:val="en-CA"/>
              </w:rPr>
            </w:pPr>
          </w:p>
        </w:tc>
        <w:tc>
          <w:tcPr>
            <w:tcW w:w="340" w:type="dxa"/>
            <w:shd w:val="clear" w:color="auto" w:fill="auto"/>
          </w:tcPr>
          <w:p w14:paraId="228409F6"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E7EE6C7" w14:textId="77777777" w:rsidR="00302BFE" w:rsidRPr="00D45B3D" w:rsidRDefault="00302BFE" w:rsidP="00243B15">
            <w:pPr>
              <w:rPr>
                <w:lang w:val="en-CA"/>
              </w:rPr>
            </w:pPr>
          </w:p>
        </w:tc>
        <w:tc>
          <w:tcPr>
            <w:tcW w:w="340" w:type="dxa"/>
            <w:shd w:val="clear" w:color="auto" w:fill="auto"/>
          </w:tcPr>
          <w:p w14:paraId="256833EA" w14:textId="77777777" w:rsidR="00302BFE" w:rsidRPr="00D45B3D" w:rsidRDefault="00302BFE" w:rsidP="00243B15">
            <w:pPr>
              <w:rPr>
                <w:lang w:val="en-CA"/>
              </w:rPr>
            </w:pPr>
          </w:p>
        </w:tc>
        <w:tc>
          <w:tcPr>
            <w:tcW w:w="340" w:type="dxa"/>
            <w:shd w:val="clear" w:color="auto" w:fill="auto"/>
          </w:tcPr>
          <w:p w14:paraId="299C66C2" w14:textId="77777777" w:rsidR="00302BFE" w:rsidRPr="00D45B3D" w:rsidRDefault="00302BFE" w:rsidP="00243B15">
            <w:pPr>
              <w:rPr>
                <w:lang w:val="en-CA"/>
              </w:rPr>
            </w:pPr>
          </w:p>
        </w:tc>
        <w:tc>
          <w:tcPr>
            <w:tcW w:w="340" w:type="dxa"/>
            <w:shd w:val="clear" w:color="auto" w:fill="auto"/>
          </w:tcPr>
          <w:p w14:paraId="701EF6A4" w14:textId="77777777" w:rsidR="00302BFE" w:rsidRPr="00D45B3D" w:rsidRDefault="00302BFE" w:rsidP="00243B15">
            <w:pPr>
              <w:rPr>
                <w:lang w:val="en-CA"/>
              </w:rPr>
            </w:pPr>
          </w:p>
        </w:tc>
        <w:tc>
          <w:tcPr>
            <w:tcW w:w="340" w:type="dxa"/>
            <w:shd w:val="clear" w:color="auto" w:fill="auto"/>
          </w:tcPr>
          <w:p w14:paraId="6EE8ED6F" w14:textId="77777777" w:rsidR="00302BFE" w:rsidRPr="00D45B3D" w:rsidRDefault="00302BFE" w:rsidP="00243B15">
            <w:pPr>
              <w:rPr>
                <w:lang w:val="en-CA"/>
              </w:rPr>
            </w:pPr>
          </w:p>
        </w:tc>
        <w:tc>
          <w:tcPr>
            <w:tcW w:w="340" w:type="dxa"/>
            <w:shd w:val="clear" w:color="auto" w:fill="auto"/>
          </w:tcPr>
          <w:p w14:paraId="78E99EE7" w14:textId="77777777" w:rsidR="00302BFE" w:rsidRPr="00D45B3D" w:rsidRDefault="00302BFE" w:rsidP="00243B15">
            <w:pPr>
              <w:rPr>
                <w:lang w:val="en-CA"/>
              </w:rPr>
            </w:pPr>
          </w:p>
        </w:tc>
        <w:tc>
          <w:tcPr>
            <w:tcW w:w="340" w:type="dxa"/>
            <w:shd w:val="clear" w:color="auto" w:fill="auto"/>
          </w:tcPr>
          <w:p w14:paraId="3581ED31" w14:textId="77777777" w:rsidR="00302BFE" w:rsidRPr="00D45B3D" w:rsidRDefault="00302BFE" w:rsidP="00243B15">
            <w:pPr>
              <w:rPr>
                <w:lang w:val="en-CA"/>
              </w:rPr>
            </w:pPr>
          </w:p>
        </w:tc>
        <w:tc>
          <w:tcPr>
            <w:tcW w:w="340" w:type="dxa"/>
            <w:shd w:val="clear" w:color="auto" w:fill="auto"/>
          </w:tcPr>
          <w:p w14:paraId="5475529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3EDF98B" w14:textId="77777777" w:rsidR="00302BFE" w:rsidRPr="00D45B3D" w:rsidRDefault="00302BFE" w:rsidP="00243B15">
            <w:pPr>
              <w:rPr>
                <w:lang w:val="en-CA"/>
              </w:rPr>
            </w:pPr>
          </w:p>
        </w:tc>
        <w:tc>
          <w:tcPr>
            <w:tcW w:w="340" w:type="dxa"/>
            <w:shd w:val="clear" w:color="auto" w:fill="auto"/>
          </w:tcPr>
          <w:p w14:paraId="4B8B140D" w14:textId="77777777" w:rsidR="00302BFE" w:rsidRPr="00D45B3D" w:rsidRDefault="00302BFE" w:rsidP="00243B15">
            <w:pPr>
              <w:rPr>
                <w:lang w:val="en-CA"/>
              </w:rPr>
            </w:pPr>
          </w:p>
        </w:tc>
        <w:tc>
          <w:tcPr>
            <w:tcW w:w="340" w:type="dxa"/>
            <w:shd w:val="clear" w:color="auto" w:fill="auto"/>
          </w:tcPr>
          <w:p w14:paraId="318D064C" w14:textId="77777777" w:rsidR="00302BFE" w:rsidRPr="00D45B3D" w:rsidRDefault="00302BFE" w:rsidP="00243B15">
            <w:pPr>
              <w:rPr>
                <w:lang w:val="en-CA"/>
              </w:rPr>
            </w:pPr>
          </w:p>
        </w:tc>
        <w:tc>
          <w:tcPr>
            <w:tcW w:w="340" w:type="dxa"/>
            <w:shd w:val="clear" w:color="auto" w:fill="auto"/>
          </w:tcPr>
          <w:p w14:paraId="0A3767B5" w14:textId="77777777" w:rsidR="00302BFE" w:rsidRPr="00D45B3D" w:rsidRDefault="00302BFE" w:rsidP="00243B15">
            <w:pPr>
              <w:rPr>
                <w:lang w:val="en-CA"/>
              </w:rPr>
            </w:pPr>
          </w:p>
        </w:tc>
        <w:tc>
          <w:tcPr>
            <w:tcW w:w="340" w:type="dxa"/>
            <w:shd w:val="clear" w:color="auto" w:fill="auto"/>
          </w:tcPr>
          <w:p w14:paraId="0A9232EB" w14:textId="77777777" w:rsidR="00302BFE" w:rsidRPr="00D45B3D" w:rsidRDefault="00302BFE" w:rsidP="00243B15">
            <w:pPr>
              <w:rPr>
                <w:lang w:val="en-CA"/>
              </w:rPr>
            </w:pPr>
          </w:p>
        </w:tc>
      </w:tr>
      <w:tr w:rsidR="00755BF9" w:rsidRPr="00D45B3D" w14:paraId="7FB61261" w14:textId="77777777" w:rsidTr="00755BF9">
        <w:trPr>
          <w:jc w:val="center"/>
        </w:trPr>
        <w:tc>
          <w:tcPr>
            <w:tcW w:w="5670" w:type="dxa"/>
            <w:shd w:val="clear" w:color="auto" w:fill="auto"/>
          </w:tcPr>
          <w:p w14:paraId="241582B6" w14:textId="77777777" w:rsidR="00302BFE" w:rsidRPr="00D45B3D" w:rsidRDefault="00302BFE" w:rsidP="00243B15">
            <w:pPr>
              <w:rPr>
                <w:i/>
                <w:color w:val="4472C4"/>
                <w:sz w:val="16"/>
                <w:szCs w:val="16"/>
                <w:lang w:val="en-GB"/>
              </w:rPr>
            </w:pPr>
            <w:r w:rsidRPr="00D45B3D">
              <w:rPr>
                <w:i/>
                <w:color w:val="4472C4"/>
                <w:sz w:val="16"/>
                <w:szCs w:val="16"/>
                <w:lang w:val="en-GB"/>
              </w:rPr>
              <w:t>1.2.3 Criteria and standards for biodiversity conservation and sustainable land and ecosystem services management</w:t>
            </w:r>
          </w:p>
        </w:tc>
        <w:tc>
          <w:tcPr>
            <w:tcW w:w="340" w:type="dxa"/>
            <w:shd w:val="clear" w:color="auto" w:fill="auto"/>
          </w:tcPr>
          <w:p w14:paraId="68443C22" w14:textId="77777777" w:rsidR="00302BFE" w:rsidRPr="00D45B3D" w:rsidRDefault="00302BFE" w:rsidP="00243B15">
            <w:pPr>
              <w:rPr>
                <w:lang w:val="en-CA"/>
              </w:rPr>
            </w:pPr>
          </w:p>
        </w:tc>
        <w:tc>
          <w:tcPr>
            <w:tcW w:w="340" w:type="dxa"/>
            <w:shd w:val="clear" w:color="auto" w:fill="auto"/>
          </w:tcPr>
          <w:p w14:paraId="1CC3D126" w14:textId="77777777" w:rsidR="00302BFE" w:rsidRPr="00D45B3D" w:rsidRDefault="00302BFE" w:rsidP="00243B15">
            <w:pPr>
              <w:rPr>
                <w:lang w:val="en-CA"/>
              </w:rPr>
            </w:pPr>
          </w:p>
        </w:tc>
        <w:tc>
          <w:tcPr>
            <w:tcW w:w="340" w:type="dxa"/>
            <w:shd w:val="clear" w:color="auto" w:fill="D9D9D9"/>
          </w:tcPr>
          <w:p w14:paraId="1F3B6EC1"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4614B4AF" w14:textId="77777777" w:rsidR="00302BFE" w:rsidRPr="00D45B3D" w:rsidRDefault="00302BFE" w:rsidP="00243B15">
            <w:pPr>
              <w:rPr>
                <w:lang w:val="en-CA"/>
              </w:rPr>
            </w:pPr>
          </w:p>
        </w:tc>
        <w:tc>
          <w:tcPr>
            <w:tcW w:w="340" w:type="dxa"/>
            <w:shd w:val="clear" w:color="auto" w:fill="auto"/>
          </w:tcPr>
          <w:p w14:paraId="23647DDC" w14:textId="77777777" w:rsidR="00302BFE" w:rsidRPr="00D45B3D" w:rsidRDefault="00302BFE" w:rsidP="00243B15">
            <w:pPr>
              <w:rPr>
                <w:lang w:val="en-CA"/>
              </w:rPr>
            </w:pPr>
          </w:p>
        </w:tc>
        <w:tc>
          <w:tcPr>
            <w:tcW w:w="340" w:type="dxa"/>
            <w:shd w:val="clear" w:color="auto" w:fill="auto"/>
          </w:tcPr>
          <w:p w14:paraId="613D240E" w14:textId="77777777" w:rsidR="00302BFE" w:rsidRPr="00D45B3D" w:rsidRDefault="00302BFE" w:rsidP="00243B15">
            <w:pPr>
              <w:rPr>
                <w:lang w:val="en-CA"/>
              </w:rPr>
            </w:pPr>
          </w:p>
        </w:tc>
        <w:tc>
          <w:tcPr>
            <w:tcW w:w="340" w:type="dxa"/>
            <w:shd w:val="clear" w:color="auto" w:fill="auto"/>
          </w:tcPr>
          <w:p w14:paraId="019D23B4" w14:textId="77777777" w:rsidR="00302BFE" w:rsidRPr="00D45B3D" w:rsidRDefault="00302BFE" w:rsidP="00243B15">
            <w:pPr>
              <w:rPr>
                <w:lang w:val="en-CA"/>
              </w:rPr>
            </w:pPr>
          </w:p>
        </w:tc>
        <w:tc>
          <w:tcPr>
            <w:tcW w:w="340" w:type="dxa"/>
            <w:shd w:val="clear" w:color="auto" w:fill="auto"/>
          </w:tcPr>
          <w:p w14:paraId="046F521D" w14:textId="77777777" w:rsidR="00302BFE" w:rsidRPr="00D45B3D" w:rsidRDefault="00302BFE" w:rsidP="00243B15">
            <w:pPr>
              <w:rPr>
                <w:lang w:val="en-CA"/>
              </w:rPr>
            </w:pPr>
          </w:p>
        </w:tc>
        <w:tc>
          <w:tcPr>
            <w:tcW w:w="340" w:type="dxa"/>
            <w:shd w:val="clear" w:color="auto" w:fill="auto"/>
          </w:tcPr>
          <w:p w14:paraId="3DADCBF9" w14:textId="77777777" w:rsidR="00302BFE" w:rsidRPr="00D45B3D" w:rsidRDefault="00302BFE" w:rsidP="00243B15">
            <w:pPr>
              <w:rPr>
                <w:lang w:val="en-CA"/>
              </w:rPr>
            </w:pPr>
          </w:p>
        </w:tc>
        <w:tc>
          <w:tcPr>
            <w:tcW w:w="340" w:type="dxa"/>
            <w:shd w:val="clear" w:color="auto" w:fill="auto"/>
          </w:tcPr>
          <w:p w14:paraId="4F76DF96" w14:textId="77777777" w:rsidR="00302BFE" w:rsidRPr="00D45B3D" w:rsidRDefault="00302BFE" w:rsidP="00243B15">
            <w:pPr>
              <w:rPr>
                <w:lang w:val="en-CA"/>
              </w:rPr>
            </w:pPr>
          </w:p>
        </w:tc>
        <w:tc>
          <w:tcPr>
            <w:tcW w:w="340" w:type="dxa"/>
            <w:shd w:val="clear" w:color="auto" w:fill="auto"/>
          </w:tcPr>
          <w:p w14:paraId="1E6C6D10"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0A0C40C" w14:textId="77777777" w:rsidR="00302BFE" w:rsidRPr="00D45B3D" w:rsidRDefault="00302BFE" w:rsidP="00243B15">
            <w:pPr>
              <w:rPr>
                <w:lang w:val="en-CA"/>
              </w:rPr>
            </w:pPr>
          </w:p>
        </w:tc>
        <w:tc>
          <w:tcPr>
            <w:tcW w:w="340" w:type="dxa"/>
            <w:shd w:val="clear" w:color="auto" w:fill="auto"/>
          </w:tcPr>
          <w:p w14:paraId="728DD3E7" w14:textId="77777777" w:rsidR="00302BFE" w:rsidRPr="00D45B3D" w:rsidRDefault="00302BFE" w:rsidP="00243B15">
            <w:pPr>
              <w:rPr>
                <w:lang w:val="en-CA"/>
              </w:rPr>
            </w:pPr>
          </w:p>
        </w:tc>
        <w:tc>
          <w:tcPr>
            <w:tcW w:w="340" w:type="dxa"/>
            <w:shd w:val="clear" w:color="auto" w:fill="auto"/>
          </w:tcPr>
          <w:p w14:paraId="46073310" w14:textId="77777777" w:rsidR="00302BFE" w:rsidRPr="00D45B3D" w:rsidRDefault="00302BFE" w:rsidP="00243B15">
            <w:pPr>
              <w:rPr>
                <w:lang w:val="en-CA"/>
              </w:rPr>
            </w:pPr>
          </w:p>
        </w:tc>
        <w:tc>
          <w:tcPr>
            <w:tcW w:w="340" w:type="dxa"/>
            <w:shd w:val="clear" w:color="auto" w:fill="auto"/>
          </w:tcPr>
          <w:p w14:paraId="1D3EC741" w14:textId="77777777" w:rsidR="00302BFE" w:rsidRPr="00D45B3D" w:rsidRDefault="00302BFE" w:rsidP="00243B15">
            <w:pPr>
              <w:rPr>
                <w:lang w:val="en-CA"/>
              </w:rPr>
            </w:pPr>
          </w:p>
        </w:tc>
        <w:tc>
          <w:tcPr>
            <w:tcW w:w="340" w:type="dxa"/>
            <w:shd w:val="clear" w:color="auto" w:fill="auto"/>
          </w:tcPr>
          <w:p w14:paraId="0C6EC54F" w14:textId="77777777" w:rsidR="00302BFE" w:rsidRPr="00D45B3D" w:rsidRDefault="00302BFE" w:rsidP="00243B15">
            <w:pPr>
              <w:rPr>
                <w:lang w:val="en-CA"/>
              </w:rPr>
            </w:pPr>
          </w:p>
        </w:tc>
        <w:tc>
          <w:tcPr>
            <w:tcW w:w="340" w:type="dxa"/>
            <w:shd w:val="clear" w:color="auto" w:fill="auto"/>
          </w:tcPr>
          <w:p w14:paraId="10942020" w14:textId="77777777" w:rsidR="00302BFE" w:rsidRPr="00D45B3D" w:rsidRDefault="00302BFE" w:rsidP="00243B15">
            <w:pPr>
              <w:rPr>
                <w:lang w:val="en-CA"/>
              </w:rPr>
            </w:pPr>
          </w:p>
        </w:tc>
        <w:tc>
          <w:tcPr>
            <w:tcW w:w="340" w:type="dxa"/>
            <w:shd w:val="clear" w:color="auto" w:fill="auto"/>
          </w:tcPr>
          <w:p w14:paraId="1DA1167D" w14:textId="77777777" w:rsidR="00302BFE" w:rsidRPr="00D45B3D" w:rsidRDefault="00302BFE" w:rsidP="00243B15">
            <w:pPr>
              <w:rPr>
                <w:lang w:val="en-CA"/>
              </w:rPr>
            </w:pPr>
          </w:p>
        </w:tc>
        <w:tc>
          <w:tcPr>
            <w:tcW w:w="340" w:type="dxa"/>
            <w:shd w:val="clear" w:color="auto" w:fill="auto"/>
          </w:tcPr>
          <w:p w14:paraId="47E868FD"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A1098DD" w14:textId="77777777" w:rsidR="00302BFE" w:rsidRPr="00D45B3D" w:rsidRDefault="00302BFE" w:rsidP="00243B15">
            <w:pPr>
              <w:rPr>
                <w:lang w:val="en-CA"/>
              </w:rPr>
            </w:pPr>
          </w:p>
        </w:tc>
        <w:tc>
          <w:tcPr>
            <w:tcW w:w="340" w:type="dxa"/>
            <w:shd w:val="clear" w:color="auto" w:fill="auto"/>
          </w:tcPr>
          <w:p w14:paraId="29C51FCB" w14:textId="77777777" w:rsidR="00302BFE" w:rsidRPr="00D45B3D" w:rsidRDefault="00302BFE" w:rsidP="00243B15">
            <w:pPr>
              <w:rPr>
                <w:lang w:val="en-CA"/>
              </w:rPr>
            </w:pPr>
          </w:p>
        </w:tc>
        <w:tc>
          <w:tcPr>
            <w:tcW w:w="340" w:type="dxa"/>
            <w:shd w:val="clear" w:color="auto" w:fill="auto"/>
          </w:tcPr>
          <w:p w14:paraId="0A61697E" w14:textId="77777777" w:rsidR="00302BFE" w:rsidRPr="00D45B3D" w:rsidRDefault="00302BFE" w:rsidP="00243B15">
            <w:pPr>
              <w:rPr>
                <w:lang w:val="en-CA"/>
              </w:rPr>
            </w:pPr>
          </w:p>
        </w:tc>
        <w:tc>
          <w:tcPr>
            <w:tcW w:w="340" w:type="dxa"/>
            <w:shd w:val="clear" w:color="auto" w:fill="auto"/>
          </w:tcPr>
          <w:p w14:paraId="5618C9D5" w14:textId="77777777" w:rsidR="00302BFE" w:rsidRPr="00D45B3D" w:rsidRDefault="00302BFE" w:rsidP="00243B15">
            <w:pPr>
              <w:rPr>
                <w:lang w:val="en-CA"/>
              </w:rPr>
            </w:pPr>
          </w:p>
        </w:tc>
        <w:tc>
          <w:tcPr>
            <w:tcW w:w="340" w:type="dxa"/>
            <w:shd w:val="clear" w:color="auto" w:fill="auto"/>
          </w:tcPr>
          <w:p w14:paraId="1003E006" w14:textId="77777777" w:rsidR="00302BFE" w:rsidRPr="00D45B3D" w:rsidRDefault="00302BFE" w:rsidP="00243B15">
            <w:pPr>
              <w:rPr>
                <w:lang w:val="en-CA"/>
              </w:rPr>
            </w:pPr>
          </w:p>
        </w:tc>
      </w:tr>
      <w:tr w:rsidR="00755BF9" w:rsidRPr="00D45B3D" w14:paraId="7D454CBC" w14:textId="77777777" w:rsidTr="00755BF9">
        <w:trPr>
          <w:jc w:val="center"/>
        </w:trPr>
        <w:tc>
          <w:tcPr>
            <w:tcW w:w="5670" w:type="dxa"/>
            <w:shd w:val="clear" w:color="auto" w:fill="auto"/>
          </w:tcPr>
          <w:p w14:paraId="06EC0908" w14:textId="77777777" w:rsidR="00302BFE" w:rsidRPr="00D45B3D" w:rsidRDefault="00302BFE" w:rsidP="00243B15">
            <w:pPr>
              <w:rPr>
                <w:sz w:val="16"/>
                <w:szCs w:val="16"/>
                <w:lang w:val="en-CA"/>
              </w:rPr>
            </w:pPr>
            <w:r w:rsidRPr="00D45B3D">
              <w:rPr>
                <w:rFonts w:eastAsia="Cambria"/>
                <w:sz w:val="16"/>
                <w:szCs w:val="16"/>
                <w:lang w:val="en-GB"/>
              </w:rPr>
              <w:t>Output 1.3 Accurate and well-documented estimates of carbon stocks within the PONASI landscape are available</w:t>
            </w:r>
          </w:p>
        </w:tc>
        <w:tc>
          <w:tcPr>
            <w:tcW w:w="340" w:type="dxa"/>
            <w:shd w:val="clear" w:color="auto" w:fill="auto"/>
          </w:tcPr>
          <w:p w14:paraId="282319B3" w14:textId="77777777" w:rsidR="00302BFE" w:rsidRPr="00D45B3D" w:rsidRDefault="00302BFE" w:rsidP="00243B15">
            <w:pPr>
              <w:rPr>
                <w:lang w:val="en-CA"/>
              </w:rPr>
            </w:pPr>
          </w:p>
        </w:tc>
        <w:tc>
          <w:tcPr>
            <w:tcW w:w="340" w:type="dxa"/>
            <w:shd w:val="clear" w:color="auto" w:fill="auto"/>
          </w:tcPr>
          <w:p w14:paraId="659DBECB" w14:textId="77777777" w:rsidR="00302BFE" w:rsidRPr="00D45B3D" w:rsidRDefault="00302BFE" w:rsidP="00243B15">
            <w:pPr>
              <w:rPr>
                <w:lang w:val="en-CA"/>
              </w:rPr>
            </w:pPr>
          </w:p>
        </w:tc>
        <w:tc>
          <w:tcPr>
            <w:tcW w:w="340" w:type="dxa"/>
            <w:shd w:val="clear" w:color="auto" w:fill="auto"/>
          </w:tcPr>
          <w:p w14:paraId="6FAD589F" w14:textId="77777777" w:rsidR="00302BFE" w:rsidRPr="00D45B3D" w:rsidRDefault="00302BFE" w:rsidP="00243B15">
            <w:pPr>
              <w:rPr>
                <w:lang w:val="en-CA"/>
              </w:rPr>
            </w:pPr>
          </w:p>
        </w:tc>
        <w:tc>
          <w:tcPr>
            <w:tcW w:w="340" w:type="dxa"/>
            <w:shd w:val="clear" w:color="auto" w:fill="D9D9D9"/>
          </w:tcPr>
          <w:p w14:paraId="682DB4A9" w14:textId="77777777" w:rsidR="00302BFE" w:rsidRPr="00D45B3D" w:rsidRDefault="00302BFE" w:rsidP="00243B15">
            <w:pPr>
              <w:rPr>
                <w:lang w:val="en-CA"/>
              </w:rPr>
            </w:pPr>
          </w:p>
        </w:tc>
        <w:tc>
          <w:tcPr>
            <w:tcW w:w="340" w:type="dxa"/>
            <w:shd w:val="clear" w:color="auto" w:fill="auto"/>
          </w:tcPr>
          <w:p w14:paraId="3C789CA0" w14:textId="77777777" w:rsidR="00302BFE" w:rsidRPr="00D45B3D" w:rsidRDefault="00302BFE" w:rsidP="00243B15">
            <w:pPr>
              <w:rPr>
                <w:lang w:val="en-CA"/>
              </w:rPr>
            </w:pPr>
          </w:p>
        </w:tc>
        <w:tc>
          <w:tcPr>
            <w:tcW w:w="340" w:type="dxa"/>
            <w:shd w:val="clear" w:color="auto" w:fill="auto"/>
          </w:tcPr>
          <w:p w14:paraId="7A1D68CF" w14:textId="77777777" w:rsidR="00302BFE" w:rsidRPr="00D45B3D" w:rsidRDefault="00302BFE" w:rsidP="00243B15">
            <w:pPr>
              <w:rPr>
                <w:lang w:val="en-CA"/>
              </w:rPr>
            </w:pPr>
          </w:p>
        </w:tc>
        <w:tc>
          <w:tcPr>
            <w:tcW w:w="340" w:type="dxa"/>
            <w:shd w:val="clear" w:color="auto" w:fill="auto"/>
          </w:tcPr>
          <w:p w14:paraId="554AC05D" w14:textId="77777777" w:rsidR="00302BFE" w:rsidRPr="00D45B3D" w:rsidRDefault="00302BFE" w:rsidP="00243B15">
            <w:pPr>
              <w:rPr>
                <w:lang w:val="en-CA"/>
              </w:rPr>
            </w:pPr>
          </w:p>
        </w:tc>
        <w:tc>
          <w:tcPr>
            <w:tcW w:w="340" w:type="dxa"/>
            <w:shd w:val="clear" w:color="auto" w:fill="auto"/>
          </w:tcPr>
          <w:p w14:paraId="2FC290AB" w14:textId="77777777" w:rsidR="00302BFE" w:rsidRPr="00D45B3D" w:rsidRDefault="00302BFE" w:rsidP="00243B15">
            <w:pPr>
              <w:rPr>
                <w:lang w:val="en-CA"/>
              </w:rPr>
            </w:pPr>
          </w:p>
        </w:tc>
        <w:tc>
          <w:tcPr>
            <w:tcW w:w="340" w:type="dxa"/>
            <w:shd w:val="clear" w:color="auto" w:fill="auto"/>
          </w:tcPr>
          <w:p w14:paraId="5634C4A4" w14:textId="77777777" w:rsidR="00302BFE" w:rsidRPr="00D45B3D" w:rsidRDefault="00302BFE" w:rsidP="00243B15">
            <w:pPr>
              <w:rPr>
                <w:lang w:val="en-CA"/>
              </w:rPr>
            </w:pPr>
          </w:p>
        </w:tc>
        <w:tc>
          <w:tcPr>
            <w:tcW w:w="340" w:type="dxa"/>
            <w:shd w:val="clear" w:color="auto" w:fill="auto"/>
          </w:tcPr>
          <w:p w14:paraId="41689D39" w14:textId="77777777" w:rsidR="00302BFE" w:rsidRPr="00D45B3D" w:rsidRDefault="00302BFE" w:rsidP="00243B15">
            <w:pPr>
              <w:rPr>
                <w:lang w:val="en-CA"/>
              </w:rPr>
            </w:pPr>
          </w:p>
        </w:tc>
        <w:tc>
          <w:tcPr>
            <w:tcW w:w="340" w:type="dxa"/>
            <w:shd w:val="clear" w:color="auto" w:fill="auto"/>
          </w:tcPr>
          <w:p w14:paraId="65645EC9" w14:textId="77777777" w:rsidR="00302BFE" w:rsidRPr="00D45B3D" w:rsidRDefault="00302BFE" w:rsidP="00243B15">
            <w:pPr>
              <w:rPr>
                <w:lang w:val="en-CA"/>
              </w:rPr>
            </w:pPr>
          </w:p>
        </w:tc>
        <w:tc>
          <w:tcPr>
            <w:tcW w:w="340" w:type="dxa"/>
            <w:shd w:val="clear" w:color="auto" w:fill="D9D9D9"/>
          </w:tcPr>
          <w:p w14:paraId="56951F02" w14:textId="77777777" w:rsidR="00302BFE" w:rsidRPr="00D45B3D" w:rsidRDefault="00302BFE" w:rsidP="00243B15">
            <w:pPr>
              <w:rPr>
                <w:lang w:val="en-CA"/>
              </w:rPr>
            </w:pPr>
          </w:p>
        </w:tc>
        <w:tc>
          <w:tcPr>
            <w:tcW w:w="340" w:type="dxa"/>
            <w:shd w:val="clear" w:color="auto" w:fill="auto"/>
          </w:tcPr>
          <w:p w14:paraId="31D36F56" w14:textId="77777777" w:rsidR="00302BFE" w:rsidRPr="00D45B3D" w:rsidRDefault="00302BFE" w:rsidP="00243B15">
            <w:pPr>
              <w:rPr>
                <w:lang w:val="en-CA"/>
              </w:rPr>
            </w:pPr>
          </w:p>
        </w:tc>
        <w:tc>
          <w:tcPr>
            <w:tcW w:w="340" w:type="dxa"/>
            <w:shd w:val="clear" w:color="auto" w:fill="auto"/>
          </w:tcPr>
          <w:p w14:paraId="17630764" w14:textId="77777777" w:rsidR="00302BFE" w:rsidRPr="00D45B3D" w:rsidRDefault="00302BFE" w:rsidP="00243B15">
            <w:pPr>
              <w:rPr>
                <w:lang w:val="en-CA"/>
              </w:rPr>
            </w:pPr>
          </w:p>
        </w:tc>
        <w:tc>
          <w:tcPr>
            <w:tcW w:w="340" w:type="dxa"/>
            <w:shd w:val="clear" w:color="auto" w:fill="auto"/>
          </w:tcPr>
          <w:p w14:paraId="4D1F564D" w14:textId="77777777" w:rsidR="00302BFE" w:rsidRPr="00D45B3D" w:rsidRDefault="00302BFE" w:rsidP="00243B15">
            <w:pPr>
              <w:rPr>
                <w:lang w:val="en-CA"/>
              </w:rPr>
            </w:pPr>
          </w:p>
        </w:tc>
        <w:tc>
          <w:tcPr>
            <w:tcW w:w="340" w:type="dxa"/>
            <w:shd w:val="clear" w:color="auto" w:fill="auto"/>
          </w:tcPr>
          <w:p w14:paraId="463EB30C" w14:textId="77777777" w:rsidR="00302BFE" w:rsidRPr="00D45B3D" w:rsidRDefault="00302BFE" w:rsidP="00243B15">
            <w:pPr>
              <w:rPr>
                <w:lang w:val="en-CA"/>
              </w:rPr>
            </w:pPr>
          </w:p>
        </w:tc>
        <w:tc>
          <w:tcPr>
            <w:tcW w:w="340" w:type="dxa"/>
            <w:shd w:val="clear" w:color="auto" w:fill="auto"/>
          </w:tcPr>
          <w:p w14:paraId="6E679C7D" w14:textId="77777777" w:rsidR="00302BFE" w:rsidRPr="00D45B3D" w:rsidRDefault="00302BFE" w:rsidP="00243B15">
            <w:pPr>
              <w:rPr>
                <w:lang w:val="en-CA"/>
              </w:rPr>
            </w:pPr>
          </w:p>
        </w:tc>
        <w:tc>
          <w:tcPr>
            <w:tcW w:w="340" w:type="dxa"/>
            <w:shd w:val="clear" w:color="auto" w:fill="auto"/>
          </w:tcPr>
          <w:p w14:paraId="17EB4C0B" w14:textId="77777777" w:rsidR="00302BFE" w:rsidRPr="00D45B3D" w:rsidRDefault="00302BFE" w:rsidP="00243B15">
            <w:pPr>
              <w:rPr>
                <w:lang w:val="en-CA"/>
              </w:rPr>
            </w:pPr>
          </w:p>
        </w:tc>
        <w:tc>
          <w:tcPr>
            <w:tcW w:w="340" w:type="dxa"/>
            <w:shd w:val="clear" w:color="auto" w:fill="auto"/>
          </w:tcPr>
          <w:p w14:paraId="38D0F360" w14:textId="77777777" w:rsidR="00302BFE" w:rsidRPr="00D45B3D" w:rsidRDefault="00302BFE" w:rsidP="00243B15">
            <w:pPr>
              <w:rPr>
                <w:lang w:val="en-CA"/>
              </w:rPr>
            </w:pPr>
          </w:p>
        </w:tc>
        <w:tc>
          <w:tcPr>
            <w:tcW w:w="340" w:type="dxa"/>
            <w:shd w:val="clear" w:color="auto" w:fill="D9D9D9"/>
          </w:tcPr>
          <w:p w14:paraId="43157840" w14:textId="77777777" w:rsidR="00302BFE" w:rsidRPr="00D45B3D" w:rsidRDefault="00302BFE" w:rsidP="00243B15">
            <w:pPr>
              <w:rPr>
                <w:lang w:val="en-CA"/>
              </w:rPr>
            </w:pPr>
          </w:p>
        </w:tc>
        <w:tc>
          <w:tcPr>
            <w:tcW w:w="340" w:type="dxa"/>
            <w:shd w:val="clear" w:color="auto" w:fill="auto"/>
          </w:tcPr>
          <w:p w14:paraId="29B308F1" w14:textId="77777777" w:rsidR="00302BFE" w:rsidRPr="00D45B3D" w:rsidRDefault="00302BFE" w:rsidP="00243B15">
            <w:pPr>
              <w:rPr>
                <w:lang w:val="en-CA"/>
              </w:rPr>
            </w:pPr>
          </w:p>
        </w:tc>
        <w:tc>
          <w:tcPr>
            <w:tcW w:w="340" w:type="dxa"/>
            <w:shd w:val="clear" w:color="auto" w:fill="auto"/>
          </w:tcPr>
          <w:p w14:paraId="546AC949" w14:textId="77777777" w:rsidR="00302BFE" w:rsidRPr="00D45B3D" w:rsidRDefault="00302BFE" w:rsidP="00243B15">
            <w:pPr>
              <w:rPr>
                <w:lang w:val="en-CA"/>
              </w:rPr>
            </w:pPr>
          </w:p>
        </w:tc>
        <w:tc>
          <w:tcPr>
            <w:tcW w:w="340" w:type="dxa"/>
            <w:shd w:val="clear" w:color="auto" w:fill="auto"/>
          </w:tcPr>
          <w:p w14:paraId="1FB8D727" w14:textId="77777777" w:rsidR="00302BFE" w:rsidRPr="00D45B3D" w:rsidRDefault="00302BFE" w:rsidP="00243B15">
            <w:pPr>
              <w:rPr>
                <w:lang w:val="en-CA"/>
              </w:rPr>
            </w:pPr>
          </w:p>
        </w:tc>
        <w:tc>
          <w:tcPr>
            <w:tcW w:w="340" w:type="dxa"/>
            <w:shd w:val="clear" w:color="auto" w:fill="auto"/>
          </w:tcPr>
          <w:p w14:paraId="1122C0A6" w14:textId="77777777" w:rsidR="00302BFE" w:rsidRPr="00D45B3D" w:rsidRDefault="00302BFE" w:rsidP="00243B15">
            <w:pPr>
              <w:rPr>
                <w:lang w:val="en-CA"/>
              </w:rPr>
            </w:pPr>
          </w:p>
        </w:tc>
      </w:tr>
      <w:tr w:rsidR="00302BFE" w:rsidRPr="00D45B3D" w14:paraId="29CEAB73" w14:textId="77777777" w:rsidTr="00243B15">
        <w:trPr>
          <w:jc w:val="center"/>
        </w:trPr>
        <w:tc>
          <w:tcPr>
            <w:tcW w:w="5670" w:type="dxa"/>
            <w:shd w:val="clear" w:color="auto" w:fill="auto"/>
          </w:tcPr>
          <w:p w14:paraId="669DBD7C" w14:textId="77777777" w:rsidR="00302BFE" w:rsidRPr="00D45B3D" w:rsidRDefault="00302BFE" w:rsidP="00243B15">
            <w:pPr>
              <w:rPr>
                <w:i/>
                <w:color w:val="4472C4"/>
                <w:sz w:val="16"/>
                <w:szCs w:val="16"/>
                <w:lang w:val="en-CA"/>
              </w:rPr>
            </w:pPr>
            <w:r w:rsidRPr="00D45B3D">
              <w:rPr>
                <w:sz w:val="16"/>
                <w:szCs w:val="16"/>
                <w:lang w:val="en-GB"/>
              </w:rPr>
              <w:t>Output 1.4 Development of the PONASI Landscape Management Master Plan to guide the management of the PONASI landscape over the next 15 years</w:t>
            </w:r>
          </w:p>
        </w:tc>
        <w:tc>
          <w:tcPr>
            <w:tcW w:w="8160" w:type="dxa"/>
            <w:gridSpan w:val="24"/>
            <w:shd w:val="clear" w:color="auto" w:fill="auto"/>
          </w:tcPr>
          <w:p w14:paraId="4C7B1B2F" w14:textId="77777777" w:rsidR="00302BFE" w:rsidRPr="00D45B3D" w:rsidRDefault="00302BFE" w:rsidP="00243B15">
            <w:pPr>
              <w:rPr>
                <w:lang w:val="en-CA"/>
              </w:rPr>
            </w:pPr>
          </w:p>
        </w:tc>
      </w:tr>
      <w:tr w:rsidR="00755BF9" w:rsidRPr="00D45B3D" w14:paraId="40AC6F50" w14:textId="77777777" w:rsidTr="00755BF9">
        <w:trPr>
          <w:jc w:val="center"/>
        </w:trPr>
        <w:tc>
          <w:tcPr>
            <w:tcW w:w="5670" w:type="dxa"/>
            <w:shd w:val="clear" w:color="auto" w:fill="auto"/>
          </w:tcPr>
          <w:p w14:paraId="7894184A" w14:textId="77777777" w:rsidR="00302BFE" w:rsidRPr="00D45B3D" w:rsidRDefault="00302BFE" w:rsidP="00243B15">
            <w:pPr>
              <w:rPr>
                <w:sz w:val="16"/>
                <w:szCs w:val="16"/>
                <w:lang w:val="en-CA"/>
              </w:rPr>
            </w:pPr>
            <w:r w:rsidRPr="00D45B3D">
              <w:rPr>
                <w:i/>
                <w:color w:val="4472C4"/>
                <w:sz w:val="16"/>
                <w:szCs w:val="16"/>
                <w:lang w:val="en-GB"/>
              </w:rPr>
              <w:t>1.4.1 Development of the PONASI Landscape Management Master Plan</w:t>
            </w:r>
          </w:p>
        </w:tc>
        <w:tc>
          <w:tcPr>
            <w:tcW w:w="340" w:type="dxa"/>
            <w:shd w:val="clear" w:color="auto" w:fill="auto"/>
          </w:tcPr>
          <w:p w14:paraId="6474D3F4" w14:textId="77777777" w:rsidR="00302BFE" w:rsidRPr="00D45B3D" w:rsidRDefault="00302BFE" w:rsidP="00243B15">
            <w:pPr>
              <w:rPr>
                <w:lang w:val="en-CA"/>
              </w:rPr>
            </w:pPr>
          </w:p>
        </w:tc>
        <w:tc>
          <w:tcPr>
            <w:tcW w:w="340" w:type="dxa"/>
            <w:shd w:val="clear" w:color="auto" w:fill="auto"/>
          </w:tcPr>
          <w:p w14:paraId="70F42841" w14:textId="77777777" w:rsidR="00302BFE" w:rsidRPr="00D45B3D" w:rsidRDefault="00302BFE" w:rsidP="00243B15">
            <w:pPr>
              <w:rPr>
                <w:lang w:val="en-CA"/>
              </w:rPr>
            </w:pPr>
          </w:p>
        </w:tc>
        <w:tc>
          <w:tcPr>
            <w:tcW w:w="340" w:type="dxa"/>
            <w:shd w:val="clear" w:color="auto" w:fill="D9D9D9"/>
          </w:tcPr>
          <w:p w14:paraId="61B9460A" w14:textId="77777777" w:rsidR="00302BFE" w:rsidRPr="00D45B3D" w:rsidRDefault="00302BFE" w:rsidP="00243B15">
            <w:pPr>
              <w:rPr>
                <w:lang w:val="en-CA"/>
              </w:rPr>
            </w:pPr>
          </w:p>
        </w:tc>
        <w:tc>
          <w:tcPr>
            <w:tcW w:w="340" w:type="dxa"/>
            <w:shd w:val="clear" w:color="auto" w:fill="D9D9D9"/>
          </w:tcPr>
          <w:p w14:paraId="1BC0D45D" w14:textId="77777777" w:rsidR="00302BFE" w:rsidRPr="00D45B3D" w:rsidRDefault="00302BFE" w:rsidP="00243B15">
            <w:pPr>
              <w:rPr>
                <w:lang w:val="en-CA"/>
              </w:rPr>
            </w:pPr>
          </w:p>
        </w:tc>
        <w:tc>
          <w:tcPr>
            <w:tcW w:w="340" w:type="dxa"/>
            <w:shd w:val="clear" w:color="auto" w:fill="D9D9D9"/>
          </w:tcPr>
          <w:p w14:paraId="4F9FA862" w14:textId="77777777" w:rsidR="00302BFE" w:rsidRPr="00D45B3D" w:rsidRDefault="00302BFE" w:rsidP="00243B15">
            <w:pPr>
              <w:rPr>
                <w:lang w:val="en-CA"/>
              </w:rPr>
            </w:pPr>
          </w:p>
        </w:tc>
        <w:tc>
          <w:tcPr>
            <w:tcW w:w="340" w:type="dxa"/>
            <w:shd w:val="clear" w:color="auto" w:fill="D9D9D9"/>
          </w:tcPr>
          <w:p w14:paraId="3B0BA513" w14:textId="77777777" w:rsidR="00302BFE" w:rsidRPr="00D45B3D" w:rsidRDefault="00302BFE" w:rsidP="00243B15">
            <w:pPr>
              <w:rPr>
                <w:lang w:val="en-CA"/>
              </w:rPr>
            </w:pPr>
          </w:p>
        </w:tc>
        <w:tc>
          <w:tcPr>
            <w:tcW w:w="340" w:type="dxa"/>
            <w:shd w:val="clear" w:color="auto" w:fill="D9D9D9"/>
          </w:tcPr>
          <w:p w14:paraId="48C88BD7"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50A98AF3" w14:textId="77777777" w:rsidR="00302BFE" w:rsidRPr="00D45B3D" w:rsidRDefault="00302BFE" w:rsidP="00243B15">
            <w:pPr>
              <w:rPr>
                <w:lang w:val="en-CA"/>
              </w:rPr>
            </w:pPr>
          </w:p>
        </w:tc>
        <w:tc>
          <w:tcPr>
            <w:tcW w:w="340" w:type="dxa"/>
            <w:shd w:val="clear" w:color="auto" w:fill="auto"/>
          </w:tcPr>
          <w:p w14:paraId="13446FEF" w14:textId="77777777" w:rsidR="00302BFE" w:rsidRPr="00D45B3D" w:rsidRDefault="00302BFE" w:rsidP="00243B15">
            <w:pPr>
              <w:rPr>
                <w:lang w:val="en-CA"/>
              </w:rPr>
            </w:pPr>
          </w:p>
        </w:tc>
        <w:tc>
          <w:tcPr>
            <w:tcW w:w="340" w:type="dxa"/>
            <w:shd w:val="clear" w:color="auto" w:fill="auto"/>
          </w:tcPr>
          <w:p w14:paraId="4386EDA1" w14:textId="77777777" w:rsidR="00302BFE" w:rsidRPr="00D45B3D" w:rsidRDefault="00302BFE" w:rsidP="00243B15">
            <w:pPr>
              <w:rPr>
                <w:lang w:val="en-CA"/>
              </w:rPr>
            </w:pPr>
          </w:p>
        </w:tc>
        <w:tc>
          <w:tcPr>
            <w:tcW w:w="340" w:type="dxa"/>
            <w:shd w:val="clear" w:color="auto" w:fill="auto"/>
          </w:tcPr>
          <w:p w14:paraId="2A57101B" w14:textId="77777777" w:rsidR="00302BFE" w:rsidRPr="00D45B3D" w:rsidRDefault="00302BFE" w:rsidP="00243B15">
            <w:pPr>
              <w:rPr>
                <w:lang w:val="en-CA"/>
              </w:rPr>
            </w:pPr>
          </w:p>
        </w:tc>
        <w:tc>
          <w:tcPr>
            <w:tcW w:w="340" w:type="dxa"/>
            <w:shd w:val="clear" w:color="auto" w:fill="auto"/>
          </w:tcPr>
          <w:p w14:paraId="6911B4BF" w14:textId="77777777" w:rsidR="00302BFE" w:rsidRPr="00D45B3D" w:rsidRDefault="00302BFE" w:rsidP="00243B15">
            <w:pPr>
              <w:rPr>
                <w:lang w:val="en-CA"/>
              </w:rPr>
            </w:pPr>
          </w:p>
        </w:tc>
        <w:tc>
          <w:tcPr>
            <w:tcW w:w="340" w:type="dxa"/>
            <w:shd w:val="clear" w:color="auto" w:fill="auto"/>
          </w:tcPr>
          <w:p w14:paraId="674FF487" w14:textId="77777777" w:rsidR="00302BFE" w:rsidRPr="00D45B3D" w:rsidRDefault="00302BFE" w:rsidP="00243B15">
            <w:pPr>
              <w:rPr>
                <w:lang w:val="en-CA"/>
              </w:rPr>
            </w:pPr>
          </w:p>
        </w:tc>
        <w:tc>
          <w:tcPr>
            <w:tcW w:w="340" w:type="dxa"/>
            <w:shd w:val="clear" w:color="auto" w:fill="auto"/>
          </w:tcPr>
          <w:p w14:paraId="0164C387" w14:textId="77777777" w:rsidR="00302BFE" w:rsidRPr="00D45B3D" w:rsidRDefault="00302BFE" w:rsidP="00243B15">
            <w:pPr>
              <w:rPr>
                <w:lang w:val="en-CA"/>
              </w:rPr>
            </w:pPr>
          </w:p>
        </w:tc>
        <w:tc>
          <w:tcPr>
            <w:tcW w:w="340" w:type="dxa"/>
            <w:shd w:val="clear" w:color="auto" w:fill="auto"/>
          </w:tcPr>
          <w:p w14:paraId="11ADB56A" w14:textId="77777777" w:rsidR="00302BFE" w:rsidRPr="00D45B3D" w:rsidRDefault="00302BFE" w:rsidP="00243B15">
            <w:pPr>
              <w:rPr>
                <w:lang w:val="en-CA"/>
              </w:rPr>
            </w:pPr>
          </w:p>
        </w:tc>
        <w:tc>
          <w:tcPr>
            <w:tcW w:w="340" w:type="dxa"/>
            <w:shd w:val="clear" w:color="auto" w:fill="auto"/>
          </w:tcPr>
          <w:p w14:paraId="50154CCB" w14:textId="77777777" w:rsidR="00302BFE" w:rsidRPr="00D45B3D" w:rsidRDefault="00302BFE" w:rsidP="00243B15">
            <w:pPr>
              <w:rPr>
                <w:lang w:val="en-CA"/>
              </w:rPr>
            </w:pPr>
          </w:p>
        </w:tc>
        <w:tc>
          <w:tcPr>
            <w:tcW w:w="340" w:type="dxa"/>
            <w:shd w:val="clear" w:color="auto" w:fill="auto"/>
          </w:tcPr>
          <w:p w14:paraId="5C2FF04F" w14:textId="77777777" w:rsidR="00302BFE" w:rsidRPr="00D45B3D" w:rsidRDefault="00302BFE" w:rsidP="00243B15">
            <w:pPr>
              <w:rPr>
                <w:lang w:val="en-CA"/>
              </w:rPr>
            </w:pPr>
          </w:p>
        </w:tc>
        <w:tc>
          <w:tcPr>
            <w:tcW w:w="340" w:type="dxa"/>
            <w:shd w:val="clear" w:color="auto" w:fill="auto"/>
          </w:tcPr>
          <w:p w14:paraId="3622DFB7" w14:textId="77777777" w:rsidR="00302BFE" w:rsidRPr="00D45B3D" w:rsidRDefault="00302BFE" w:rsidP="00243B15">
            <w:pPr>
              <w:rPr>
                <w:lang w:val="en-CA"/>
              </w:rPr>
            </w:pPr>
          </w:p>
        </w:tc>
        <w:tc>
          <w:tcPr>
            <w:tcW w:w="340" w:type="dxa"/>
            <w:shd w:val="clear" w:color="auto" w:fill="auto"/>
          </w:tcPr>
          <w:p w14:paraId="72ED4139" w14:textId="77777777" w:rsidR="00302BFE" w:rsidRPr="00D45B3D" w:rsidRDefault="00302BFE" w:rsidP="00243B15">
            <w:pPr>
              <w:rPr>
                <w:lang w:val="en-CA"/>
              </w:rPr>
            </w:pPr>
          </w:p>
        </w:tc>
        <w:tc>
          <w:tcPr>
            <w:tcW w:w="340" w:type="dxa"/>
            <w:shd w:val="clear" w:color="auto" w:fill="auto"/>
          </w:tcPr>
          <w:p w14:paraId="12EC2E6E" w14:textId="77777777" w:rsidR="00302BFE" w:rsidRPr="00D45B3D" w:rsidRDefault="00302BFE" w:rsidP="00243B15">
            <w:pPr>
              <w:rPr>
                <w:lang w:val="en-CA"/>
              </w:rPr>
            </w:pPr>
          </w:p>
        </w:tc>
        <w:tc>
          <w:tcPr>
            <w:tcW w:w="340" w:type="dxa"/>
            <w:shd w:val="clear" w:color="auto" w:fill="auto"/>
          </w:tcPr>
          <w:p w14:paraId="09BDFC38" w14:textId="77777777" w:rsidR="00302BFE" w:rsidRPr="00D45B3D" w:rsidRDefault="00302BFE" w:rsidP="00243B15">
            <w:pPr>
              <w:rPr>
                <w:lang w:val="en-CA"/>
              </w:rPr>
            </w:pPr>
          </w:p>
        </w:tc>
        <w:tc>
          <w:tcPr>
            <w:tcW w:w="340" w:type="dxa"/>
            <w:shd w:val="clear" w:color="auto" w:fill="auto"/>
          </w:tcPr>
          <w:p w14:paraId="5881A40B" w14:textId="77777777" w:rsidR="00302BFE" w:rsidRPr="00D45B3D" w:rsidRDefault="00302BFE" w:rsidP="00243B15">
            <w:pPr>
              <w:rPr>
                <w:lang w:val="en-CA"/>
              </w:rPr>
            </w:pPr>
          </w:p>
        </w:tc>
        <w:tc>
          <w:tcPr>
            <w:tcW w:w="340" w:type="dxa"/>
            <w:shd w:val="clear" w:color="auto" w:fill="auto"/>
          </w:tcPr>
          <w:p w14:paraId="007F2094" w14:textId="77777777" w:rsidR="00302BFE" w:rsidRPr="00D45B3D" w:rsidRDefault="00302BFE" w:rsidP="00243B15">
            <w:pPr>
              <w:rPr>
                <w:lang w:val="en-CA"/>
              </w:rPr>
            </w:pPr>
          </w:p>
        </w:tc>
        <w:tc>
          <w:tcPr>
            <w:tcW w:w="340" w:type="dxa"/>
            <w:shd w:val="clear" w:color="auto" w:fill="auto"/>
          </w:tcPr>
          <w:p w14:paraId="2811746E" w14:textId="77777777" w:rsidR="00302BFE" w:rsidRPr="00D45B3D" w:rsidRDefault="00302BFE" w:rsidP="00243B15">
            <w:pPr>
              <w:rPr>
                <w:lang w:val="en-CA"/>
              </w:rPr>
            </w:pPr>
          </w:p>
        </w:tc>
      </w:tr>
      <w:tr w:rsidR="00302BFE" w:rsidRPr="00D45B3D" w14:paraId="3CEE35A6" w14:textId="77777777" w:rsidTr="00755BF9">
        <w:trPr>
          <w:jc w:val="center"/>
        </w:trPr>
        <w:tc>
          <w:tcPr>
            <w:tcW w:w="5670" w:type="dxa"/>
            <w:shd w:val="clear" w:color="auto" w:fill="auto"/>
          </w:tcPr>
          <w:p w14:paraId="32371CC1" w14:textId="77777777" w:rsidR="00302BFE" w:rsidRPr="00D45B3D" w:rsidRDefault="00302BFE" w:rsidP="00243B15">
            <w:pPr>
              <w:rPr>
                <w:sz w:val="16"/>
                <w:szCs w:val="16"/>
                <w:lang w:val="en-CA"/>
              </w:rPr>
            </w:pPr>
            <w:r w:rsidRPr="00D45B3D">
              <w:rPr>
                <w:i/>
                <w:color w:val="4472C4"/>
                <w:sz w:val="16"/>
                <w:szCs w:val="16"/>
                <w:lang w:val="en-GB"/>
              </w:rPr>
              <w:t>1.4.2 Approval of the PONASI Landscape Management Master Plan.</w:t>
            </w:r>
          </w:p>
        </w:tc>
        <w:tc>
          <w:tcPr>
            <w:tcW w:w="340" w:type="dxa"/>
            <w:shd w:val="clear" w:color="auto" w:fill="auto"/>
          </w:tcPr>
          <w:p w14:paraId="0756DB41" w14:textId="77777777" w:rsidR="00302BFE" w:rsidRPr="00D45B3D" w:rsidRDefault="00302BFE" w:rsidP="00243B15">
            <w:pPr>
              <w:rPr>
                <w:lang w:val="en-CA"/>
              </w:rPr>
            </w:pPr>
          </w:p>
        </w:tc>
        <w:tc>
          <w:tcPr>
            <w:tcW w:w="340" w:type="dxa"/>
            <w:shd w:val="clear" w:color="auto" w:fill="auto"/>
          </w:tcPr>
          <w:p w14:paraId="2A25F680" w14:textId="77777777" w:rsidR="00302BFE" w:rsidRPr="00D45B3D" w:rsidRDefault="00302BFE" w:rsidP="00243B15">
            <w:pPr>
              <w:rPr>
                <w:lang w:val="en-CA"/>
              </w:rPr>
            </w:pPr>
          </w:p>
        </w:tc>
        <w:tc>
          <w:tcPr>
            <w:tcW w:w="340" w:type="dxa"/>
            <w:shd w:val="clear" w:color="auto" w:fill="auto"/>
          </w:tcPr>
          <w:p w14:paraId="0D6E5496" w14:textId="77777777" w:rsidR="00302BFE" w:rsidRPr="00D45B3D" w:rsidRDefault="00302BFE" w:rsidP="00243B15">
            <w:pPr>
              <w:rPr>
                <w:lang w:val="en-CA"/>
              </w:rPr>
            </w:pPr>
          </w:p>
        </w:tc>
        <w:tc>
          <w:tcPr>
            <w:tcW w:w="340" w:type="dxa"/>
            <w:shd w:val="clear" w:color="auto" w:fill="auto"/>
          </w:tcPr>
          <w:p w14:paraId="5CAFA7ED" w14:textId="77777777" w:rsidR="00302BFE" w:rsidRPr="00D45B3D" w:rsidRDefault="00302BFE" w:rsidP="00243B15">
            <w:pPr>
              <w:rPr>
                <w:lang w:val="en-CA"/>
              </w:rPr>
            </w:pPr>
          </w:p>
        </w:tc>
        <w:tc>
          <w:tcPr>
            <w:tcW w:w="340" w:type="dxa"/>
            <w:shd w:val="clear" w:color="auto" w:fill="auto"/>
          </w:tcPr>
          <w:p w14:paraId="59CA1A18" w14:textId="77777777" w:rsidR="00302BFE" w:rsidRPr="00D45B3D" w:rsidRDefault="00302BFE" w:rsidP="00243B15">
            <w:pPr>
              <w:rPr>
                <w:lang w:val="en-CA"/>
              </w:rPr>
            </w:pPr>
          </w:p>
        </w:tc>
        <w:tc>
          <w:tcPr>
            <w:tcW w:w="340" w:type="dxa"/>
            <w:shd w:val="clear" w:color="auto" w:fill="auto"/>
          </w:tcPr>
          <w:p w14:paraId="3957F33F" w14:textId="77777777" w:rsidR="00302BFE" w:rsidRPr="00D45B3D" w:rsidRDefault="00302BFE" w:rsidP="00243B15">
            <w:pPr>
              <w:rPr>
                <w:lang w:val="en-CA"/>
              </w:rPr>
            </w:pPr>
          </w:p>
        </w:tc>
        <w:tc>
          <w:tcPr>
            <w:tcW w:w="340" w:type="dxa"/>
            <w:shd w:val="clear" w:color="auto" w:fill="auto"/>
          </w:tcPr>
          <w:p w14:paraId="7E1B7A45" w14:textId="77777777" w:rsidR="00302BFE" w:rsidRPr="00D45B3D" w:rsidRDefault="00302BFE" w:rsidP="00243B15">
            <w:pPr>
              <w:rPr>
                <w:lang w:val="en-CA"/>
              </w:rPr>
            </w:pPr>
          </w:p>
        </w:tc>
        <w:tc>
          <w:tcPr>
            <w:tcW w:w="340" w:type="dxa"/>
            <w:shd w:val="clear" w:color="auto" w:fill="D9D9D9"/>
          </w:tcPr>
          <w:p w14:paraId="7F2EA6B8" w14:textId="77777777" w:rsidR="00302BFE" w:rsidRPr="00D45B3D" w:rsidRDefault="00302BFE" w:rsidP="00243B15">
            <w:pPr>
              <w:rPr>
                <w:lang w:val="en-CA"/>
              </w:rPr>
            </w:pPr>
          </w:p>
        </w:tc>
        <w:tc>
          <w:tcPr>
            <w:tcW w:w="340" w:type="dxa"/>
            <w:shd w:val="clear" w:color="auto" w:fill="auto"/>
          </w:tcPr>
          <w:p w14:paraId="3BBED236" w14:textId="77777777" w:rsidR="00302BFE" w:rsidRPr="00D45B3D" w:rsidRDefault="00302BFE" w:rsidP="00243B15">
            <w:pPr>
              <w:rPr>
                <w:lang w:val="en-CA"/>
              </w:rPr>
            </w:pPr>
          </w:p>
        </w:tc>
        <w:tc>
          <w:tcPr>
            <w:tcW w:w="340" w:type="dxa"/>
            <w:shd w:val="clear" w:color="auto" w:fill="auto"/>
          </w:tcPr>
          <w:p w14:paraId="229334B7" w14:textId="77777777" w:rsidR="00302BFE" w:rsidRPr="00D45B3D" w:rsidRDefault="00302BFE" w:rsidP="00243B15">
            <w:pPr>
              <w:rPr>
                <w:lang w:val="en-CA"/>
              </w:rPr>
            </w:pPr>
          </w:p>
        </w:tc>
        <w:tc>
          <w:tcPr>
            <w:tcW w:w="340" w:type="dxa"/>
            <w:shd w:val="clear" w:color="auto" w:fill="auto"/>
          </w:tcPr>
          <w:p w14:paraId="045A14D2" w14:textId="77777777" w:rsidR="00302BFE" w:rsidRPr="00D45B3D" w:rsidRDefault="00302BFE" w:rsidP="00243B15">
            <w:pPr>
              <w:rPr>
                <w:lang w:val="en-CA"/>
              </w:rPr>
            </w:pPr>
          </w:p>
        </w:tc>
        <w:tc>
          <w:tcPr>
            <w:tcW w:w="340" w:type="dxa"/>
            <w:shd w:val="clear" w:color="auto" w:fill="auto"/>
          </w:tcPr>
          <w:p w14:paraId="0EDD6295" w14:textId="77777777" w:rsidR="00302BFE" w:rsidRPr="00D45B3D" w:rsidRDefault="00302BFE" w:rsidP="00243B15">
            <w:pPr>
              <w:rPr>
                <w:lang w:val="en-CA"/>
              </w:rPr>
            </w:pPr>
          </w:p>
        </w:tc>
        <w:tc>
          <w:tcPr>
            <w:tcW w:w="340" w:type="dxa"/>
            <w:shd w:val="clear" w:color="auto" w:fill="auto"/>
          </w:tcPr>
          <w:p w14:paraId="5E1B9AA3" w14:textId="77777777" w:rsidR="00302BFE" w:rsidRPr="00D45B3D" w:rsidRDefault="00302BFE" w:rsidP="00243B15">
            <w:pPr>
              <w:rPr>
                <w:lang w:val="en-CA"/>
              </w:rPr>
            </w:pPr>
          </w:p>
        </w:tc>
        <w:tc>
          <w:tcPr>
            <w:tcW w:w="340" w:type="dxa"/>
            <w:shd w:val="clear" w:color="auto" w:fill="auto"/>
          </w:tcPr>
          <w:p w14:paraId="64083502" w14:textId="77777777" w:rsidR="00302BFE" w:rsidRPr="00D45B3D" w:rsidRDefault="00302BFE" w:rsidP="00243B15">
            <w:pPr>
              <w:rPr>
                <w:lang w:val="en-CA"/>
              </w:rPr>
            </w:pPr>
          </w:p>
        </w:tc>
        <w:tc>
          <w:tcPr>
            <w:tcW w:w="340" w:type="dxa"/>
            <w:shd w:val="clear" w:color="auto" w:fill="auto"/>
          </w:tcPr>
          <w:p w14:paraId="29E666BE" w14:textId="77777777" w:rsidR="00302BFE" w:rsidRPr="00D45B3D" w:rsidRDefault="00302BFE" w:rsidP="00243B15">
            <w:pPr>
              <w:rPr>
                <w:lang w:val="en-CA"/>
              </w:rPr>
            </w:pPr>
          </w:p>
        </w:tc>
        <w:tc>
          <w:tcPr>
            <w:tcW w:w="340" w:type="dxa"/>
            <w:shd w:val="clear" w:color="auto" w:fill="auto"/>
          </w:tcPr>
          <w:p w14:paraId="070058C6" w14:textId="77777777" w:rsidR="00302BFE" w:rsidRPr="00D45B3D" w:rsidRDefault="00302BFE" w:rsidP="00243B15">
            <w:pPr>
              <w:rPr>
                <w:lang w:val="en-CA"/>
              </w:rPr>
            </w:pPr>
          </w:p>
        </w:tc>
        <w:tc>
          <w:tcPr>
            <w:tcW w:w="340" w:type="dxa"/>
            <w:shd w:val="clear" w:color="auto" w:fill="auto"/>
          </w:tcPr>
          <w:p w14:paraId="335A5DED" w14:textId="77777777" w:rsidR="00302BFE" w:rsidRPr="00D45B3D" w:rsidRDefault="00302BFE" w:rsidP="00243B15">
            <w:pPr>
              <w:rPr>
                <w:lang w:val="en-CA"/>
              </w:rPr>
            </w:pPr>
          </w:p>
        </w:tc>
        <w:tc>
          <w:tcPr>
            <w:tcW w:w="340" w:type="dxa"/>
            <w:shd w:val="clear" w:color="auto" w:fill="auto"/>
          </w:tcPr>
          <w:p w14:paraId="2CD21734" w14:textId="77777777" w:rsidR="00302BFE" w:rsidRPr="00D45B3D" w:rsidRDefault="00302BFE" w:rsidP="00243B15">
            <w:pPr>
              <w:rPr>
                <w:lang w:val="en-CA"/>
              </w:rPr>
            </w:pPr>
          </w:p>
        </w:tc>
        <w:tc>
          <w:tcPr>
            <w:tcW w:w="340" w:type="dxa"/>
            <w:shd w:val="clear" w:color="auto" w:fill="auto"/>
          </w:tcPr>
          <w:p w14:paraId="12D0F205" w14:textId="77777777" w:rsidR="00302BFE" w:rsidRPr="00D45B3D" w:rsidRDefault="00302BFE" w:rsidP="00243B15">
            <w:pPr>
              <w:rPr>
                <w:lang w:val="en-CA"/>
              </w:rPr>
            </w:pPr>
          </w:p>
        </w:tc>
        <w:tc>
          <w:tcPr>
            <w:tcW w:w="340" w:type="dxa"/>
            <w:shd w:val="clear" w:color="auto" w:fill="auto"/>
          </w:tcPr>
          <w:p w14:paraId="74E17245" w14:textId="77777777" w:rsidR="00302BFE" w:rsidRPr="00D45B3D" w:rsidRDefault="00302BFE" w:rsidP="00243B15">
            <w:pPr>
              <w:rPr>
                <w:lang w:val="en-CA"/>
              </w:rPr>
            </w:pPr>
          </w:p>
        </w:tc>
        <w:tc>
          <w:tcPr>
            <w:tcW w:w="340" w:type="dxa"/>
            <w:shd w:val="clear" w:color="auto" w:fill="auto"/>
          </w:tcPr>
          <w:p w14:paraId="07E9B3B6" w14:textId="77777777" w:rsidR="00302BFE" w:rsidRPr="00D45B3D" w:rsidRDefault="00302BFE" w:rsidP="00243B15">
            <w:pPr>
              <w:rPr>
                <w:lang w:val="en-CA"/>
              </w:rPr>
            </w:pPr>
          </w:p>
        </w:tc>
        <w:tc>
          <w:tcPr>
            <w:tcW w:w="340" w:type="dxa"/>
            <w:shd w:val="clear" w:color="auto" w:fill="auto"/>
          </w:tcPr>
          <w:p w14:paraId="2B9FFD4C" w14:textId="77777777" w:rsidR="00302BFE" w:rsidRPr="00D45B3D" w:rsidRDefault="00302BFE" w:rsidP="00243B15">
            <w:pPr>
              <w:rPr>
                <w:lang w:val="en-CA"/>
              </w:rPr>
            </w:pPr>
          </w:p>
        </w:tc>
        <w:tc>
          <w:tcPr>
            <w:tcW w:w="340" w:type="dxa"/>
            <w:shd w:val="clear" w:color="auto" w:fill="auto"/>
          </w:tcPr>
          <w:p w14:paraId="33C51E95" w14:textId="77777777" w:rsidR="00302BFE" w:rsidRPr="00D45B3D" w:rsidRDefault="00302BFE" w:rsidP="00243B15">
            <w:pPr>
              <w:rPr>
                <w:lang w:val="en-CA"/>
              </w:rPr>
            </w:pPr>
          </w:p>
        </w:tc>
        <w:tc>
          <w:tcPr>
            <w:tcW w:w="340" w:type="dxa"/>
            <w:shd w:val="clear" w:color="auto" w:fill="auto"/>
          </w:tcPr>
          <w:p w14:paraId="2C330908" w14:textId="77777777" w:rsidR="00302BFE" w:rsidRPr="00D45B3D" w:rsidRDefault="00302BFE" w:rsidP="00243B15">
            <w:pPr>
              <w:rPr>
                <w:lang w:val="en-CA"/>
              </w:rPr>
            </w:pPr>
          </w:p>
        </w:tc>
      </w:tr>
      <w:tr w:rsidR="00302BFE" w:rsidRPr="00D45B3D" w14:paraId="3655904B" w14:textId="77777777" w:rsidTr="00243B15">
        <w:trPr>
          <w:jc w:val="center"/>
        </w:trPr>
        <w:tc>
          <w:tcPr>
            <w:tcW w:w="5670" w:type="dxa"/>
            <w:shd w:val="clear" w:color="auto" w:fill="auto"/>
          </w:tcPr>
          <w:p w14:paraId="198CEE8F" w14:textId="77777777" w:rsidR="00302BFE" w:rsidRPr="00D45B3D" w:rsidRDefault="00302BFE" w:rsidP="00243B15">
            <w:pPr>
              <w:rPr>
                <w:i/>
                <w:color w:val="4472C4"/>
                <w:sz w:val="16"/>
                <w:szCs w:val="16"/>
                <w:lang w:val="en-CA"/>
              </w:rPr>
            </w:pPr>
            <w:r w:rsidRPr="00D45B3D">
              <w:rPr>
                <w:sz w:val="16"/>
                <w:szCs w:val="16"/>
                <w:lang w:val="en-CA"/>
              </w:rPr>
              <w:t>Output 1.5 Management requirements for the units of the territory, support the implementation of the PONASI Landscape Management Master Plan</w:t>
            </w:r>
          </w:p>
        </w:tc>
        <w:tc>
          <w:tcPr>
            <w:tcW w:w="8160" w:type="dxa"/>
            <w:gridSpan w:val="24"/>
            <w:shd w:val="clear" w:color="auto" w:fill="auto"/>
          </w:tcPr>
          <w:p w14:paraId="4EA8A1D7" w14:textId="77777777" w:rsidR="00302BFE" w:rsidRPr="00D45B3D" w:rsidRDefault="00302BFE" w:rsidP="00243B15">
            <w:pPr>
              <w:rPr>
                <w:lang w:val="en-CA"/>
              </w:rPr>
            </w:pPr>
          </w:p>
        </w:tc>
      </w:tr>
      <w:tr w:rsidR="00755BF9" w:rsidRPr="00D45B3D" w14:paraId="564F498B" w14:textId="77777777" w:rsidTr="00755BF9">
        <w:trPr>
          <w:jc w:val="center"/>
        </w:trPr>
        <w:tc>
          <w:tcPr>
            <w:tcW w:w="5670" w:type="dxa"/>
            <w:shd w:val="clear" w:color="auto" w:fill="auto"/>
          </w:tcPr>
          <w:p w14:paraId="0B8D6943" w14:textId="77777777" w:rsidR="00302BFE" w:rsidRPr="00D45B3D" w:rsidRDefault="00302BFE" w:rsidP="00243B15">
            <w:pPr>
              <w:rPr>
                <w:sz w:val="16"/>
                <w:szCs w:val="16"/>
                <w:lang w:val="en-CA"/>
              </w:rPr>
            </w:pPr>
            <w:r w:rsidRPr="00D45B3D">
              <w:rPr>
                <w:i/>
                <w:color w:val="4472C4"/>
                <w:sz w:val="16"/>
                <w:szCs w:val="16"/>
                <w:lang w:val="en-GB"/>
              </w:rPr>
              <w:t>1.5.1 Establishment of management prescriptions for the various territory units within the PONASI landscape</w:t>
            </w:r>
          </w:p>
        </w:tc>
        <w:tc>
          <w:tcPr>
            <w:tcW w:w="340" w:type="dxa"/>
            <w:shd w:val="clear" w:color="auto" w:fill="auto"/>
          </w:tcPr>
          <w:p w14:paraId="4B0BE4EA" w14:textId="77777777" w:rsidR="00302BFE" w:rsidRPr="00D45B3D" w:rsidRDefault="00302BFE" w:rsidP="00243B15">
            <w:pPr>
              <w:rPr>
                <w:lang w:val="en-CA"/>
              </w:rPr>
            </w:pPr>
          </w:p>
        </w:tc>
        <w:tc>
          <w:tcPr>
            <w:tcW w:w="340" w:type="dxa"/>
            <w:shd w:val="clear" w:color="auto" w:fill="auto"/>
          </w:tcPr>
          <w:p w14:paraId="2259B9FB" w14:textId="77777777" w:rsidR="00302BFE" w:rsidRPr="00D45B3D" w:rsidRDefault="00302BFE" w:rsidP="00243B15">
            <w:pPr>
              <w:rPr>
                <w:lang w:val="en-CA"/>
              </w:rPr>
            </w:pPr>
          </w:p>
        </w:tc>
        <w:tc>
          <w:tcPr>
            <w:tcW w:w="340" w:type="dxa"/>
            <w:shd w:val="clear" w:color="auto" w:fill="auto"/>
          </w:tcPr>
          <w:p w14:paraId="674084E8" w14:textId="77777777" w:rsidR="00302BFE" w:rsidRPr="00D45B3D" w:rsidRDefault="00302BFE" w:rsidP="00243B15">
            <w:pPr>
              <w:rPr>
                <w:lang w:val="en-CA"/>
              </w:rPr>
            </w:pPr>
          </w:p>
        </w:tc>
        <w:tc>
          <w:tcPr>
            <w:tcW w:w="340" w:type="dxa"/>
            <w:shd w:val="clear" w:color="auto" w:fill="auto"/>
          </w:tcPr>
          <w:p w14:paraId="3137B75C" w14:textId="77777777" w:rsidR="00302BFE" w:rsidRPr="00D45B3D" w:rsidRDefault="00302BFE" w:rsidP="00243B15">
            <w:pPr>
              <w:rPr>
                <w:lang w:val="en-CA"/>
              </w:rPr>
            </w:pPr>
          </w:p>
        </w:tc>
        <w:tc>
          <w:tcPr>
            <w:tcW w:w="340" w:type="dxa"/>
            <w:shd w:val="clear" w:color="auto" w:fill="D9D9D9"/>
          </w:tcPr>
          <w:p w14:paraId="418220A9" w14:textId="77777777" w:rsidR="00302BFE" w:rsidRPr="00D45B3D" w:rsidRDefault="00302BFE" w:rsidP="00243B15">
            <w:pPr>
              <w:rPr>
                <w:lang w:val="en-CA"/>
              </w:rPr>
            </w:pPr>
          </w:p>
        </w:tc>
        <w:tc>
          <w:tcPr>
            <w:tcW w:w="340" w:type="dxa"/>
            <w:shd w:val="clear" w:color="auto" w:fill="D9D9D9"/>
          </w:tcPr>
          <w:p w14:paraId="382BBDE0"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012002FC"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441F3166"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BB6E434"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25D9581"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B3D3E0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7811C96"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F326700"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BA67A43"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CAD4191"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DB940BA"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6F4EC5F" w14:textId="77777777" w:rsidR="00302BFE" w:rsidRPr="00D45B3D" w:rsidRDefault="00302BFE" w:rsidP="00243B15">
            <w:pPr>
              <w:rPr>
                <w:lang w:val="en-CA"/>
              </w:rPr>
            </w:pPr>
          </w:p>
        </w:tc>
        <w:tc>
          <w:tcPr>
            <w:tcW w:w="340" w:type="dxa"/>
            <w:tcBorders>
              <w:bottom w:val="single" w:sz="4" w:space="0" w:color="auto"/>
            </w:tcBorders>
            <w:shd w:val="clear" w:color="auto" w:fill="auto"/>
          </w:tcPr>
          <w:p w14:paraId="6D1CD951"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6C9EC58"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B7C9F73"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6FDAA16"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C72E763"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F2368D4" w14:textId="77777777" w:rsidR="00302BFE" w:rsidRPr="00D45B3D" w:rsidRDefault="00302BFE" w:rsidP="00243B15">
            <w:pPr>
              <w:rPr>
                <w:lang w:val="en-CA"/>
              </w:rPr>
            </w:pPr>
          </w:p>
        </w:tc>
        <w:tc>
          <w:tcPr>
            <w:tcW w:w="340" w:type="dxa"/>
            <w:shd w:val="clear" w:color="auto" w:fill="auto"/>
          </w:tcPr>
          <w:p w14:paraId="7C7958C4" w14:textId="77777777" w:rsidR="00302BFE" w:rsidRPr="00D45B3D" w:rsidRDefault="00302BFE" w:rsidP="00243B15">
            <w:pPr>
              <w:rPr>
                <w:lang w:val="en-CA"/>
              </w:rPr>
            </w:pPr>
          </w:p>
        </w:tc>
      </w:tr>
      <w:tr w:rsidR="005979FD" w:rsidRPr="00D45B3D" w14:paraId="49E76546" w14:textId="77777777" w:rsidTr="00CC2FAC">
        <w:trPr>
          <w:jc w:val="center"/>
        </w:trPr>
        <w:tc>
          <w:tcPr>
            <w:tcW w:w="5670" w:type="dxa"/>
            <w:shd w:val="clear" w:color="auto" w:fill="auto"/>
          </w:tcPr>
          <w:p w14:paraId="3AC53A87" w14:textId="77777777" w:rsidR="00302BFE" w:rsidRPr="00D45B3D" w:rsidRDefault="00302BFE" w:rsidP="00243B15">
            <w:pPr>
              <w:rPr>
                <w:sz w:val="16"/>
                <w:szCs w:val="16"/>
                <w:lang w:val="en-CA"/>
              </w:rPr>
            </w:pPr>
            <w:r w:rsidRPr="00D45B3D">
              <w:rPr>
                <w:i/>
                <w:color w:val="4472C4"/>
                <w:sz w:val="16"/>
                <w:szCs w:val="16"/>
                <w:lang w:val="en-GB"/>
              </w:rPr>
              <w:t>1.5.2 Monitoring system for the implementation of the master plan and its effects</w:t>
            </w:r>
          </w:p>
        </w:tc>
        <w:tc>
          <w:tcPr>
            <w:tcW w:w="340" w:type="dxa"/>
            <w:shd w:val="clear" w:color="auto" w:fill="auto"/>
          </w:tcPr>
          <w:p w14:paraId="3B632F80" w14:textId="77777777" w:rsidR="00302BFE" w:rsidRPr="00D45B3D" w:rsidRDefault="00302BFE" w:rsidP="00243B15">
            <w:pPr>
              <w:rPr>
                <w:lang w:val="en-CA"/>
              </w:rPr>
            </w:pPr>
          </w:p>
        </w:tc>
        <w:tc>
          <w:tcPr>
            <w:tcW w:w="340" w:type="dxa"/>
            <w:shd w:val="clear" w:color="auto" w:fill="auto"/>
          </w:tcPr>
          <w:p w14:paraId="67220EE6" w14:textId="77777777" w:rsidR="00302BFE" w:rsidRPr="00D45B3D" w:rsidRDefault="00302BFE" w:rsidP="00243B15">
            <w:pPr>
              <w:rPr>
                <w:lang w:val="en-CA"/>
              </w:rPr>
            </w:pPr>
          </w:p>
        </w:tc>
        <w:tc>
          <w:tcPr>
            <w:tcW w:w="340" w:type="dxa"/>
            <w:shd w:val="clear" w:color="auto" w:fill="auto"/>
          </w:tcPr>
          <w:p w14:paraId="20A27FBF" w14:textId="77777777" w:rsidR="00302BFE" w:rsidRPr="00D45B3D" w:rsidRDefault="00302BFE" w:rsidP="00243B15">
            <w:pPr>
              <w:rPr>
                <w:lang w:val="en-CA"/>
              </w:rPr>
            </w:pPr>
          </w:p>
        </w:tc>
        <w:tc>
          <w:tcPr>
            <w:tcW w:w="340" w:type="dxa"/>
            <w:shd w:val="clear" w:color="auto" w:fill="auto"/>
          </w:tcPr>
          <w:p w14:paraId="150B9556" w14:textId="77777777" w:rsidR="00302BFE" w:rsidRPr="00D45B3D" w:rsidRDefault="00302BFE" w:rsidP="00243B15">
            <w:pPr>
              <w:rPr>
                <w:lang w:val="en-CA"/>
              </w:rPr>
            </w:pPr>
          </w:p>
        </w:tc>
        <w:tc>
          <w:tcPr>
            <w:tcW w:w="340" w:type="dxa"/>
            <w:shd w:val="clear" w:color="auto" w:fill="auto"/>
          </w:tcPr>
          <w:p w14:paraId="786CBAA3" w14:textId="77777777" w:rsidR="00302BFE" w:rsidRPr="00D45B3D" w:rsidRDefault="00302BFE" w:rsidP="00243B15">
            <w:pPr>
              <w:rPr>
                <w:lang w:val="en-CA"/>
              </w:rPr>
            </w:pPr>
          </w:p>
        </w:tc>
        <w:tc>
          <w:tcPr>
            <w:tcW w:w="340" w:type="dxa"/>
            <w:shd w:val="clear" w:color="auto" w:fill="auto"/>
          </w:tcPr>
          <w:p w14:paraId="7E40FA78" w14:textId="77777777" w:rsidR="00302BFE" w:rsidRPr="00D45B3D" w:rsidRDefault="00302BFE" w:rsidP="00243B15">
            <w:pPr>
              <w:rPr>
                <w:lang w:val="en-CA"/>
              </w:rPr>
            </w:pPr>
          </w:p>
        </w:tc>
        <w:tc>
          <w:tcPr>
            <w:tcW w:w="340" w:type="dxa"/>
            <w:shd w:val="clear" w:color="auto" w:fill="D9D9D9"/>
          </w:tcPr>
          <w:p w14:paraId="1DD5C628"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2D1FAA0D"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32CB6D12"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412415CB"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2064E6D0"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59F779C6"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06079453"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6BD1DD23"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6D1D6F43"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1D425EBE"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16396D2D"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341E1C22"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022A1474"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235F6049"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1CFDA891"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4A387733"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7341C607" w14:textId="77777777" w:rsidR="00302BFE" w:rsidRPr="00D45B3D" w:rsidRDefault="00302BFE" w:rsidP="00243B15">
            <w:pPr>
              <w:rPr>
                <w:lang w:val="en-CA"/>
              </w:rPr>
            </w:pPr>
          </w:p>
        </w:tc>
        <w:tc>
          <w:tcPr>
            <w:tcW w:w="340" w:type="dxa"/>
            <w:shd w:val="clear" w:color="auto" w:fill="auto"/>
          </w:tcPr>
          <w:p w14:paraId="3D56E6F7" w14:textId="77777777" w:rsidR="00302BFE" w:rsidRPr="00D45B3D" w:rsidRDefault="00302BFE" w:rsidP="00243B15">
            <w:pPr>
              <w:rPr>
                <w:lang w:val="en-CA"/>
              </w:rPr>
            </w:pPr>
          </w:p>
        </w:tc>
      </w:tr>
      <w:tr w:rsidR="005979FD" w:rsidRPr="00D45B3D" w14:paraId="2A624855" w14:textId="77777777" w:rsidTr="00CC2FAC">
        <w:trPr>
          <w:jc w:val="center"/>
        </w:trPr>
        <w:tc>
          <w:tcPr>
            <w:tcW w:w="5670" w:type="dxa"/>
            <w:shd w:val="clear" w:color="auto" w:fill="auto"/>
          </w:tcPr>
          <w:p w14:paraId="4D251C93" w14:textId="77777777" w:rsidR="00302BFE" w:rsidRPr="00D45B3D" w:rsidRDefault="00302BFE" w:rsidP="00243B15">
            <w:pPr>
              <w:rPr>
                <w:sz w:val="16"/>
                <w:szCs w:val="16"/>
                <w:lang w:val="en-CA"/>
              </w:rPr>
            </w:pPr>
            <w:r w:rsidRPr="00D45B3D">
              <w:rPr>
                <w:i/>
                <w:color w:val="4472C4"/>
                <w:sz w:val="16"/>
                <w:szCs w:val="16"/>
                <w:lang w:val="en-GB"/>
              </w:rPr>
              <w:t>1.5.3 Design and implementation of incentives and disincentives to promote compliance to the Master Plan</w:t>
            </w:r>
          </w:p>
        </w:tc>
        <w:tc>
          <w:tcPr>
            <w:tcW w:w="340" w:type="dxa"/>
            <w:shd w:val="clear" w:color="auto" w:fill="auto"/>
          </w:tcPr>
          <w:p w14:paraId="23C60DB1" w14:textId="77777777" w:rsidR="00302BFE" w:rsidRPr="00D45B3D" w:rsidRDefault="00302BFE" w:rsidP="00243B15">
            <w:pPr>
              <w:rPr>
                <w:lang w:val="en-CA"/>
              </w:rPr>
            </w:pPr>
          </w:p>
        </w:tc>
        <w:tc>
          <w:tcPr>
            <w:tcW w:w="340" w:type="dxa"/>
            <w:shd w:val="clear" w:color="auto" w:fill="auto"/>
          </w:tcPr>
          <w:p w14:paraId="0008146C" w14:textId="77777777" w:rsidR="00302BFE" w:rsidRPr="00D45B3D" w:rsidRDefault="00302BFE" w:rsidP="00243B15">
            <w:pPr>
              <w:rPr>
                <w:lang w:val="en-CA"/>
              </w:rPr>
            </w:pPr>
          </w:p>
        </w:tc>
        <w:tc>
          <w:tcPr>
            <w:tcW w:w="340" w:type="dxa"/>
            <w:shd w:val="clear" w:color="auto" w:fill="auto"/>
          </w:tcPr>
          <w:p w14:paraId="510433E6" w14:textId="77777777" w:rsidR="00302BFE" w:rsidRPr="00D45B3D" w:rsidRDefault="00302BFE" w:rsidP="00243B15">
            <w:pPr>
              <w:rPr>
                <w:lang w:val="en-CA"/>
              </w:rPr>
            </w:pPr>
          </w:p>
        </w:tc>
        <w:tc>
          <w:tcPr>
            <w:tcW w:w="340" w:type="dxa"/>
            <w:shd w:val="clear" w:color="auto" w:fill="auto"/>
          </w:tcPr>
          <w:p w14:paraId="2947CF08" w14:textId="77777777" w:rsidR="00302BFE" w:rsidRPr="00D45B3D" w:rsidRDefault="00302BFE" w:rsidP="00243B15">
            <w:pPr>
              <w:rPr>
                <w:lang w:val="en-CA"/>
              </w:rPr>
            </w:pPr>
          </w:p>
        </w:tc>
        <w:tc>
          <w:tcPr>
            <w:tcW w:w="340" w:type="dxa"/>
            <w:shd w:val="clear" w:color="auto" w:fill="auto"/>
          </w:tcPr>
          <w:p w14:paraId="42DE2A2B" w14:textId="77777777" w:rsidR="00302BFE" w:rsidRPr="00D45B3D" w:rsidRDefault="00302BFE" w:rsidP="00243B15">
            <w:pPr>
              <w:rPr>
                <w:lang w:val="en-CA"/>
              </w:rPr>
            </w:pPr>
          </w:p>
        </w:tc>
        <w:tc>
          <w:tcPr>
            <w:tcW w:w="340" w:type="dxa"/>
            <w:shd w:val="clear" w:color="auto" w:fill="auto"/>
          </w:tcPr>
          <w:p w14:paraId="6004794E" w14:textId="77777777" w:rsidR="00302BFE" w:rsidRPr="00D45B3D" w:rsidRDefault="00302BFE" w:rsidP="00243B15">
            <w:pPr>
              <w:rPr>
                <w:lang w:val="en-CA"/>
              </w:rPr>
            </w:pPr>
          </w:p>
        </w:tc>
        <w:tc>
          <w:tcPr>
            <w:tcW w:w="340" w:type="dxa"/>
            <w:shd w:val="clear" w:color="auto" w:fill="auto"/>
          </w:tcPr>
          <w:p w14:paraId="26AE7C54"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0EE477F0" w14:textId="77777777" w:rsidR="00302BFE" w:rsidRPr="00D45B3D" w:rsidRDefault="00302BFE" w:rsidP="00243B15">
            <w:pPr>
              <w:rPr>
                <w:lang w:val="en-CA"/>
              </w:rPr>
            </w:pPr>
          </w:p>
        </w:tc>
        <w:tc>
          <w:tcPr>
            <w:tcW w:w="340" w:type="dxa"/>
            <w:shd w:val="clear" w:color="auto" w:fill="D9D9D9"/>
          </w:tcPr>
          <w:p w14:paraId="6DD9E85C" w14:textId="77777777" w:rsidR="00302BFE" w:rsidRPr="00D45B3D" w:rsidRDefault="00302BFE" w:rsidP="00243B15">
            <w:pPr>
              <w:rPr>
                <w:lang w:val="en-CA"/>
              </w:rPr>
            </w:pPr>
          </w:p>
        </w:tc>
        <w:tc>
          <w:tcPr>
            <w:tcW w:w="340" w:type="dxa"/>
            <w:shd w:val="clear" w:color="auto" w:fill="D9D9D9"/>
          </w:tcPr>
          <w:p w14:paraId="5BB3F7C6" w14:textId="77777777" w:rsidR="00302BFE" w:rsidRPr="00D45B3D" w:rsidRDefault="00302BFE" w:rsidP="00243B15">
            <w:pPr>
              <w:rPr>
                <w:lang w:val="en-CA"/>
              </w:rPr>
            </w:pPr>
          </w:p>
        </w:tc>
        <w:tc>
          <w:tcPr>
            <w:tcW w:w="340" w:type="dxa"/>
            <w:shd w:val="clear" w:color="auto" w:fill="D9D9D9"/>
          </w:tcPr>
          <w:p w14:paraId="22354591" w14:textId="77777777" w:rsidR="00302BFE" w:rsidRPr="00D45B3D" w:rsidRDefault="00302BFE" w:rsidP="00243B15">
            <w:pPr>
              <w:rPr>
                <w:lang w:val="en-CA"/>
              </w:rPr>
            </w:pPr>
          </w:p>
        </w:tc>
        <w:tc>
          <w:tcPr>
            <w:tcW w:w="340" w:type="dxa"/>
            <w:shd w:val="clear" w:color="auto" w:fill="D9D9D9"/>
          </w:tcPr>
          <w:p w14:paraId="70BA8EF5" w14:textId="77777777" w:rsidR="00302BFE" w:rsidRPr="00D45B3D" w:rsidRDefault="00302BFE" w:rsidP="00243B15">
            <w:pPr>
              <w:rPr>
                <w:lang w:val="en-CA"/>
              </w:rPr>
            </w:pPr>
          </w:p>
        </w:tc>
        <w:tc>
          <w:tcPr>
            <w:tcW w:w="340" w:type="dxa"/>
            <w:shd w:val="clear" w:color="auto" w:fill="D9D9D9"/>
          </w:tcPr>
          <w:p w14:paraId="400B518D" w14:textId="77777777" w:rsidR="00302BFE" w:rsidRPr="00D45B3D" w:rsidRDefault="00302BFE" w:rsidP="00243B15">
            <w:pPr>
              <w:rPr>
                <w:lang w:val="en-CA"/>
              </w:rPr>
            </w:pPr>
          </w:p>
        </w:tc>
        <w:tc>
          <w:tcPr>
            <w:tcW w:w="340" w:type="dxa"/>
            <w:shd w:val="clear" w:color="auto" w:fill="D9D9D9"/>
          </w:tcPr>
          <w:p w14:paraId="0D447481" w14:textId="77777777" w:rsidR="00302BFE" w:rsidRPr="00D45B3D" w:rsidRDefault="00302BFE" w:rsidP="00243B15">
            <w:pPr>
              <w:rPr>
                <w:lang w:val="en-CA"/>
              </w:rPr>
            </w:pPr>
          </w:p>
        </w:tc>
        <w:tc>
          <w:tcPr>
            <w:tcW w:w="340" w:type="dxa"/>
            <w:shd w:val="clear" w:color="auto" w:fill="D9D9D9"/>
          </w:tcPr>
          <w:p w14:paraId="16362A05" w14:textId="77777777" w:rsidR="00302BFE" w:rsidRPr="00D45B3D" w:rsidRDefault="00302BFE" w:rsidP="00243B15">
            <w:pPr>
              <w:rPr>
                <w:lang w:val="en-CA"/>
              </w:rPr>
            </w:pPr>
          </w:p>
        </w:tc>
        <w:tc>
          <w:tcPr>
            <w:tcW w:w="340" w:type="dxa"/>
            <w:shd w:val="clear" w:color="auto" w:fill="D9D9D9"/>
          </w:tcPr>
          <w:p w14:paraId="36F6BB4A" w14:textId="77777777" w:rsidR="00302BFE" w:rsidRPr="00D45B3D" w:rsidRDefault="00302BFE" w:rsidP="00243B15">
            <w:pPr>
              <w:rPr>
                <w:lang w:val="en-CA"/>
              </w:rPr>
            </w:pPr>
          </w:p>
        </w:tc>
        <w:tc>
          <w:tcPr>
            <w:tcW w:w="340" w:type="dxa"/>
            <w:shd w:val="clear" w:color="auto" w:fill="D9D9D9"/>
          </w:tcPr>
          <w:p w14:paraId="327BC593" w14:textId="77777777" w:rsidR="00302BFE" w:rsidRPr="00D45B3D" w:rsidRDefault="00302BFE" w:rsidP="00243B15">
            <w:pPr>
              <w:rPr>
                <w:lang w:val="en-CA"/>
              </w:rPr>
            </w:pPr>
          </w:p>
        </w:tc>
        <w:tc>
          <w:tcPr>
            <w:tcW w:w="340" w:type="dxa"/>
            <w:shd w:val="clear" w:color="auto" w:fill="D9D9D9"/>
          </w:tcPr>
          <w:p w14:paraId="51575B03" w14:textId="77777777" w:rsidR="00302BFE" w:rsidRPr="00D45B3D" w:rsidRDefault="00302BFE" w:rsidP="00243B15">
            <w:pPr>
              <w:rPr>
                <w:lang w:val="en-CA"/>
              </w:rPr>
            </w:pPr>
          </w:p>
        </w:tc>
        <w:tc>
          <w:tcPr>
            <w:tcW w:w="340" w:type="dxa"/>
            <w:shd w:val="clear" w:color="auto" w:fill="D9D9D9"/>
          </w:tcPr>
          <w:p w14:paraId="1F4B6E4A" w14:textId="77777777" w:rsidR="00302BFE" w:rsidRPr="00D45B3D" w:rsidRDefault="00302BFE" w:rsidP="00243B15">
            <w:pPr>
              <w:rPr>
                <w:lang w:val="en-CA"/>
              </w:rPr>
            </w:pPr>
          </w:p>
        </w:tc>
        <w:tc>
          <w:tcPr>
            <w:tcW w:w="340" w:type="dxa"/>
            <w:shd w:val="clear" w:color="auto" w:fill="D9D9D9"/>
          </w:tcPr>
          <w:p w14:paraId="2BD2CB73" w14:textId="77777777" w:rsidR="00302BFE" w:rsidRPr="00D45B3D" w:rsidRDefault="00302BFE" w:rsidP="00243B15">
            <w:pPr>
              <w:rPr>
                <w:lang w:val="en-CA"/>
              </w:rPr>
            </w:pPr>
          </w:p>
        </w:tc>
        <w:tc>
          <w:tcPr>
            <w:tcW w:w="340" w:type="dxa"/>
            <w:shd w:val="clear" w:color="auto" w:fill="D9D9D9"/>
          </w:tcPr>
          <w:p w14:paraId="50D3C7F4" w14:textId="77777777" w:rsidR="00302BFE" w:rsidRPr="00D45B3D" w:rsidRDefault="00302BFE" w:rsidP="00243B15">
            <w:pPr>
              <w:rPr>
                <w:lang w:val="en-CA"/>
              </w:rPr>
            </w:pPr>
          </w:p>
        </w:tc>
        <w:tc>
          <w:tcPr>
            <w:tcW w:w="340" w:type="dxa"/>
            <w:shd w:val="clear" w:color="auto" w:fill="D9D9D9"/>
          </w:tcPr>
          <w:p w14:paraId="67AAB8ED" w14:textId="77777777" w:rsidR="00302BFE" w:rsidRPr="00D45B3D" w:rsidRDefault="00302BFE" w:rsidP="00243B15">
            <w:pPr>
              <w:rPr>
                <w:lang w:val="en-CA"/>
              </w:rPr>
            </w:pPr>
          </w:p>
        </w:tc>
        <w:tc>
          <w:tcPr>
            <w:tcW w:w="340" w:type="dxa"/>
            <w:shd w:val="clear" w:color="auto" w:fill="D9D9D9"/>
          </w:tcPr>
          <w:p w14:paraId="1B853B69" w14:textId="77777777" w:rsidR="00302BFE" w:rsidRPr="00D45B3D" w:rsidRDefault="00302BFE" w:rsidP="00243B15">
            <w:pPr>
              <w:rPr>
                <w:lang w:val="en-CA"/>
              </w:rPr>
            </w:pPr>
          </w:p>
        </w:tc>
        <w:tc>
          <w:tcPr>
            <w:tcW w:w="340" w:type="dxa"/>
            <w:shd w:val="clear" w:color="auto" w:fill="auto"/>
          </w:tcPr>
          <w:p w14:paraId="6144E06B" w14:textId="77777777" w:rsidR="00302BFE" w:rsidRPr="00D45B3D" w:rsidRDefault="00302BFE" w:rsidP="00243B15">
            <w:pPr>
              <w:rPr>
                <w:lang w:val="en-CA"/>
              </w:rPr>
            </w:pPr>
          </w:p>
        </w:tc>
      </w:tr>
      <w:tr w:rsidR="00755BF9" w:rsidRPr="00D45B3D" w14:paraId="054DA899" w14:textId="77777777" w:rsidTr="00755BF9">
        <w:trPr>
          <w:jc w:val="center"/>
        </w:trPr>
        <w:tc>
          <w:tcPr>
            <w:tcW w:w="5670" w:type="dxa"/>
            <w:shd w:val="clear" w:color="auto" w:fill="auto"/>
          </w:tcPr>
          <w:p w14:paraId="177DA818" w14:textId="77777777" w:rsidR="00302BFE" w:rsidRPr="00D45B3D" w:rsidRDefault="00302BFE" w:rsidP="00243B15">
            <w:pPr>
              <w:rPr>
                <w:sz w:val="16"/>
                <w:szCs w:val="16"/>
                <w:lang w:val="en-CA"/>
              </w:rPr>
            </w:pPr>
            <w:r w:rsidRPr="00D45B3D">
              <w:rPr>
                <w:i/>
                <w:color w:val="4472C4"/>
                <w:sz w:val="16"/>
                <w:szCs w:val="16"/>
                <w:lang w:val="en-GB"/>
              </w:rPr>
              <w:t>1.5.4 Establishment of a mechanism to monitor compliance and prevent/manage conflicts</w:t>
            </w:r>
          </w:p>
        </w:tc>
        <w:tc>
          <w:tcPr>
            <w:tcW w:w="340" w:type="dxa"/>
            <w:shd w:val="clear" w:color="auto" w:fill="auto"/>
          </w:tcPr>
          <w:p w14:paraId="4AA65192" w14:textId="77777777" w:rsidR="00302BFE" w:rsidRPr="00D45B3D" w:rsidRDefault="00302BFE" w:rsidP="00243B15">
            <w:pPr>
              <w:rPr>
                <w:lang w:val="en-CA"/>
              </w:rPr>
            </w:pPr>
          </w:p>
        </w:tc>
        <w:tc>
          <w:tcPr>
            <w:tcW w:w="340" w:type="dxa"/>
            <w:shd w:val="clear" w:color="auto" w:fill="auto"/>
          </w:tcPr>
          <w:p w14:paraId="6994385C" w14:textId="77777777" w:rsidR="00302BFE" w:rsidRPr="00D45B3D" w:rsidRDefault="00302BFE" w:rsidP="00243B15">
            <w:pPr>
              <w:rPr>
                <w:lang w:val="en-CA"/>
              </w:rPr>
            </w:pPr>
          </w:p>
        </w:tc>
        <w:tc>
          <w:tcPr>
            <w:tcW w:w="340" w:type="dxa"/>
            <w:shd w:val="clear" w:color="auto" w:fill="auto"/>
          </w:tcPr>
          <w:p w14:paraId="764317F5" w14:textId="77777777" w:rsidR="00302BFE" w:rsidRPr="00D45B3D" w:rsidRDefault="00302BFE" w:rsidP="00243B15">
            <w:pPr>
              <w:rPr>
                <w:lang w:val="en-CA"/>
              </w:rPr>
            </w:pPr>
          </w:p>
        </w:tc>
        <w:tc>
          <w:tcPr>
            <w:tcW w:w="340" w:type="dxa"/>
            <w:shd w:val="clear" w:color="auto" w:fill="auto"/>
          </w:tcPr>
          <w:p w14:paraId="06FAF97C" w14:textId="77777777" w:rsidR="00302BFE" w:rsidRPr="00D45B3D" w:rsidRDefault="00302BFE" w:rsidP="00243B15">
            <w:pPr>
              <w:rPr>
                <w:lang w:val="en-CA"/>
              </w:rPr>
            </w:pPr>
          </w:p>
        </w:tc>
        <w:tc>
          <w:tcPr>
            <w:tcW w:w="340" w:type="dxa"/>
            <w:shd w:val="clear" w:color="auto" w:fill="auto"/>
          </w:tcPr>
          <w:p w14:paraId="6541B7AD" w14:textId="77777777" w:rsidR="00302BFE" w:rsidRPr="00D45B3D" w:rsidRDefault="00302BFE" w:rsidP="00243B15">
            <w:pPr>
              <w:rPr>
                <w:lang w:val="en-CA"/>
              </w:rPr>
            </w:pPr>
          </w:p>
        </w:tc>
        <w:tc>
          <w:tcPr>
            <w:tcW w:w="340" w:type="dxa"/>
            <w:shd w:val="clear" w:color="auto" w:fill="auto"/>
          </w:tcPr>
          <w:p w14:paraId="25305971" w14:textId="77777777" w:rsidR="00302BFE" w:rsidRPr="00D45B3D" w:rsidRDefault="00302BFE" w:rsidP="00243B15">
            <w:pPr>
              <w:rPr>
                <w:lang w:val="en-CA"/>
              </w:rPr>
            </w:pPr>
          </w:p>
        </w:tc>
        <w:tc>
          <w:tcPr>
            <w:tcW w:w="340" w:type="dxa"/>
            <w:shd w:val="clear" w:color="auto" w:fill="auto"/>
          </w:tcPr>
          <w:p w14:paraId="4AE4059D" w14:textId="77777777" w:rsidR="00302BFE" w:rsidRPr="00D45B3D" w:rsidRDefault="00302BFE" w:rsidP="00243B15">
            <w:pPr>
              <w:rPr>
                <w:lang w:val="en-CA"/>
              </w:rPr>
            </w:pPr>
          </w:p>
        </w:tc>
        <w:tc>
          <w:tcPr>
            <w:tcW w:w="340" w:type="dxa"/>
            <w:shd w:val="clear" w:color="auto" w:fill="D9D9D9"/>
          </w:tcPr>
          <w:p w14:paraId="28B82F67"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CFF5451"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A526F5C"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786DE49"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C0A636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5940178"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A092206"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B6B1A52"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6DD82F9"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AF6535D"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6E8E683"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FDFED41"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C9DC342"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B58A380"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2854E3F"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F17C48A" w14:textId="77777777" w:rsidR="00302BFE" w:rsidRPr="00D45B3D" w:rsidRDefault="00302BFE" w:rsidP="00243B15">
            <w:pPr>
              <w:rPr>
                <w:lang w:val="en-CA"/>
              </w:rPr>
            </w:pPr>
          </w:p>
        </w:tc>
        <w:tc>
          <w:tcPr>
            <w:tcW w:w="340" w:type="dxa"/>
            <w:shd w:val="clear" w:color="auto" w:fill="auto"/>
          </w:tcPr>
          <w:p w14:paraId="4DDBD380" w14:textId="77777777" w:rsidR="00302BFE" w:rsidRPr="00D45B3D" w:rsidRDefault="00302BFE" w:rsidP="00243B15">
            <w:pPr>
              <w:rPr>
                <w:lang w:val="en-CA"/>
              </w:rPr>
            </w:pPr>
          </w:p>
        </w:tc>
      </w:tr>
      <w:tr w:rsidR="005979FD" w:rsidRPr="00D45B3D" w14:paraId="24D54A80" w14:textId="77777777" w:rsidTr="00CC2FAC">
        <w:trPr>
          <w:jc w:val="center"/>
        </w:trPr>
        <w:tc>
          <w:tcPr>
            <w:tcW w:w="5670" w:type="dxa"/>
            <w:shd w:val="clear" w:color="auto" w:fill="auto"/>
          </w:tcPr>
          <w:p w14:paraId="0F49B9EC" w14:textId="77777777" w:rsidR="00302BFE" w:rsidRPr="00D45B3D" w:rsidRDefault="00302BFE" w:rsidP="00243B15">
            <w:pPr>
              <w:rPr>
                <w:sz w:val="16"/>
                <w:szCs w:val="16"/>
                <w:lang w:val="en-CA"/>
              </w:rPr>
            </w:pPr>
            <w:r w:rsidRPr="00D45B3D">
              <w:rPr>
                <w:i/>
                <w:color w:val="4472C4"/>
                <w:sz w:val="16"/>
                <w:szCs w:val="16"/>
                <w:lang w:val="en-GB"/>
              </w:rPr>
              <w:t>1.5.5 Support for the implementation of the PONASI Landscape Management Master Plan</w:t>
            </w:r>
          </w:p>
        </w:tc>
        <w:tc>
          <w:tcPr>
            <w:tcW w:w="340" w:type="dxa"/>
            <w:shd w:val="clear" w:color="auto" w:fill="auto"/>
          </w:tcPr>
          <w:p w14:paraId="1A6E3906" w14:textId="77777777" w:rsidR="00302BFE" w:rsidRPr="00D45B3D" w:rsidRDefault="00302BFE" w:rsidP="00243B15">
            <w:pPr>
              <w:rPr>
                <w:lang w:val="en-CA"/>
              </w:rPr>
            </w:pPr>
          </w:p>
        </w:tc>
        <w:tc>
          <w:tcPr>
            <w:tcW w:w="340" w:type="dxa"/>
            <w:shd w:val="clear" w:color="auto" w:fill="auto"/>
          </w:tcPr>
          <w:p w14:paraId="118E6E0E" w14:textId="77777777" w:rsidR="00302BFE" w:rsidRPr="00D45B3D" w:rsidRDefault="00302BFE" w:rsidP="00243B15">
            <w:pPr>
              <w:rPr>
                <w:lang w:val="en-CA"/>
              </w:rPr>
            </w:pPr>
          </w:p>
        </w:tc>
        <w:tc>
          <w:tcPr>
            <w:tcW w:w="340" w:type="dxa"/>
            <w:shd w:val="clear" w:color="auto" w:fill="auto"/>
          </w:tcPr>
          <w:p w14:paraId="2020BE85" w14:textId="77777777" w:rsidR="00302BFE" w:rsidRPr="00D45B3D" w:rsidRDefault="00302BFE" w:rsidP="00243B15">
            <w:pPr>
              <w:rPr>
                <w:lang w:val="en-CA"/>
              </w:rPr>
            </w:pPr>
          </w:p>
        </w:tc>
        <w:tc>
          <w:tcPr>
            <w:tcW w:w="340" w:type="dxa"/>
            <w:shd w:val="clear" w:color="auto" w:fill="auto"/>
          </w:tcPr>
          <w:p w14:paraId="2339A6F8" w14:textId="77777777" w:rsidR="00302BFE" w:rsidRPr="00D45B3D" w:rsidRDefault="00302BFE" w:rsidP="00243B15">
            <w:pPr>
              <w:rPr>
                <w:lang w:val="en-CA"/>
              </w:rPr>
            </w:pPr>
          </w:p>
        </w:tc>
        <w:tc>
          <w:tcPr>
            <w:tcW w:w="340" w:type="dxa"/>
            <w:shd w:val="clear" w:color="auto" w:fill="auto"/>
          </w:tcPr>
          <w:p w14:paraId="75C749D6" w14:textId="77777777" w:rsidR="00302BFE" w:rsidRPr="00D45B3D" w:rsidRDefault="00302BFE" w:rsidP="00243B15">
            <w:pPr>
              <w:rPr>
                <w:lang w:val="en-CA"/>
              </w:rPr>
            </w:pPr>
          </w:p>
        </w:tc>
        <w:tc>
          <w:tcPr>
            <w:tcW w:w="340" w:type="dxa"/>
            <w:shd w:val="clear" w:color="auto" w:fill="auto"/>
          </w:tcPr>
          <w:p w14:paraId="79689D76" w14:textId="77777777" w:rsidR="00302BFE" w:rsidRPr="00D45B3D" w:rsidRDefault="00302BFE" w:rsidP="00243B15">
            <w:pPr>
              <w:rPr>
                <w:lang w:val="en-CA"/>
              </w:rPr>
            </w:pPr>
          </w:p>
        </w:tc>
        <w:tc>
          <w:tcPr>
            <w:tcW w:w="340" w:type="dxa"/>
            <w:shd w:val="clear" w:color="auto" w:fill="auto"/>
          </w:tcPr>
          <w:p w14:paraId="3D6DA87C" w14:textId="77777777" w:rsidR="00302BFE" w:rsidRPr="00D45B3D" w:rsidRDefault="00302BFE" w:rsidP="00243B15">
            <w:pPr>
              <w:rPr>
                <w:lang w:val="en-CA"/>
              </w:rPr>
            </w:pPr>
          </w:p>
        </w:tc>
        <w:tc>
          <w:tcPr>
            <w:tcW w:w="340" w:type="dxa"/>
            <w:shd w:val="clear" w:color="auto" w:fill="auto"/>
          </w:tcPr>
          <w:p w14:paraId="32E57730" w14:textId="77777777" w:rsidR="00302BFE" w:rsidRPr="00D45B3D" w:rsidRDefault="00302BFE" w:rsidP="00243B15">
            <w:pPr>
              <w:rPr>
                <w:lang w:val="en-CA"/>
              </w:rPr>
            </w:pPr>
          </w:p>
        </w:tc>
        <w:tc>
          <w:tcPr>
            <w:tcW w:w="340" w:type="dxa"/>
            <w:shd w:val="clear" w:color="auto" w:fill="D9D9D9"/>
          </w:tcPr>
          <w:p w14:paraId="281A339F" w14:textId="77777777" w:rsidR="00302BFE" w:rsidRPr="00D45B3D" w:rsidRDefault="00302BFE" w:rsidP="00243B15">
            <w:pPr>
              <w:rPr>
                <w:lang w:val="en-CA"/>
              </w:rPr>
            </w:pPr>
          </w:p>
        </w:tc>
        <w:tc>
          <w:tcPr>
            <w:tcW w:w="340" w:type="dxa"/>
            <w:shd w:val="clear" w:color="auto" w:fill="D9D9D9"/>
          </w:tcPr>
          <w:p w14:paraId="103B23AC" w14:textId="77777777" w:rsidR="00302BFE" w:rsidRPr="00D45B3D" w:rsidRDefault="00302BFE" w:rsidP="00243B15">
            <w:pPr>
              <w:rPr>
                <w:lang w:val="en-CA"/>
              </w:rPr>
            </w:pPr>
          </w:p>
        </w:tc>
        <w:tc>
          <w:tcPr>
            <w:tcW w:w="340" w:type="dxa"/>
            <w:shd w:val="clear" w:color="auto" w:fill="D9D9D9"/>
          </w:tcPr>
          <w:p w14:paraId="47D426D8" w14:textId="77777777" w:rsidR="00302BFE" w:rsidRPr="00D45B3D" w:rsidRDefault="00302BFE" w:rsidP="00243B15">
            <w:pPr>
              <w:rPr>
                <w:lang w:val="en-CA"/>
              </w:rPr>
            </w:pPr>
          </w:p>
        </w:tc>
        <w:tc>
          <w:tcPr>
            <w:tcW w:w="340" w:type="dxa"/>
            <w:shd w:val="clear" w:color="auto" w:fill="D9D9D9"/>
          </w:tcPr>
          <w:p w14:paraId="30E31080" w14:textId="77777777" w:rsidR="00302BFE" w:rsidRPr="00D45B3D" w:rsidRDefault="00302BFE" w:rsidP="00243B15">
            <w:pPr>
              <w:rPr>
                <w:lang w:val="en-CA"/>
              </w:rPr>
            </w:pPr>
          </w:p>
        </w:tc>
        <w:tc>
          <w:tcPr>
            <w:tcW w:w="340" w:type="dxa"/>
            <w:shd w:val="clear" w:color="auto" w:fill="D9D9D9"/>
          </w:tcPr>
          <w:p w14:paraId="11FCC4C9" w14:textId="77777777" w:rsidR="00302BFE" w:rsidRPr="00D45B3D" w:rsidRDefault="00302BFE" w:rsidP="00243B15">
            <w:pPr>
              <w:rPr>
                <w:lang w:val="en-CA"/>
              </w:rPr>
            </w:pPr>
          </w:p>
        </w:tc>
        <w:tc>
          <w:tcPr>
            <w:tcW w:w="340" w:type="dxa"/>
            <w:shd w:val="clear" w:color="auto" w:fill="D9D9D9"/>
          </w:tcPr>
          <w:p w14:paraId="29161508" w14:textId="77777777" w:rsidR="00302BFE" w:rsidRPr="00D45B3D" w:rsidRDefault="00302BFE" w:rsidP="00243B15">
            <w:pPr>
              <w:rPr>
                <w:lang w:val="en-CA"/>
              </w:rPr>
            </w:pPr>
          </w:p>
        </w:tc>
        <w:tc>
          <w:tcPr>
            <w:tcW w:w="340" w:type="dxa"/>
            <w:shd w:val="clear" w:color="auto" w:fill="D9D9D9"/>
          </w:tcPr>
          <w:p w14:paraId="4F31AEB8" w14:textId="77777777" w:rsidR="00302BFE" w:rsidRPr="00D45B3D" w:rsidRDefault="00302BFE" w:rsidP="00243B15">
            <w:pPr>
              <w:rPr>
                <w:lang w:val="en-CA"/>
              </w:rPr>
            </w:pPr>
          </w:p>
        </w:tc>
        <w:tc>
          <w:tcPr>
            <w:tcW w:w="340" w:type="dxa"/>
            <w:shd w:val="clear" w:color="auto" w:fill="D9D9D9"/>
          </w:tcPr>
          <w:p w14:paraId="4008A861" w14:textId="77777777" w:rsidR="00302BFE" w:rsidRPr="00D45B3D" w:rsidRDefault="00302BFE" w:rsidP="00243B15">
            <w:pPr>
              <w:rPr>
                <w:lang w:val="en-CA"/>
              </w:rPr>
            </w:pPr>
          </w:p>
        </w:tc>
        <w:tc>
          <w:tcPr>
            <w:tcW w:w="340" w:type="dxa"/>
            <w:shd w:val="clear" w:color="auto" w:fill="D9D9D9"/>
          </w:tcPr>
          <w:p w14:paraId="27305B6B" w14:textId="77777777" w:rsidR="00302BFE" w:rsidRPr="00D45B3D" w:rsidRDefault="00302BFE" w:rsidP="00243B15">
            <w:pPr>
              <w:rPr>
                <w:lang w:val="en-CA"/>
              </w:rPr>
            </w:pPr>
          </w:p>
        </w:tc>
        <w:tc>
          <w:tcPr>
            <w:tcW w:w="340" w:type="dxa"/>
            <w:shd w:val="clear" w:color="auto" w:fill="D9D9D9"/>
          </w:tcPr>
          <w:p w14:paraId="052FEAF8" w14:textId="77777777" w:rsidR="00302BFE" w:rsidRPr="00D45B3D" w:rsidRDefault="00302BFE" w:rsidP="00243B15">
            <w:pPr>
              <w:rPr>
                <w:lang w:val="en-CA"/>
              </w:rPr>
            </w:pPr>
          </w:p>
        </w:tc>
        <w:tc>
          <w:tcPr>
            <w:tcW w:w="340" w:type="dxa"/>
            <w:shd w:val="clear" w:color="auto" w:fill="D9D9D9"/>
          </w:tcPr>
          <w:p w14:paraId="1A55F06E" w14:textId="77777777" w:rsidR="00302BFE" w:rsidRPr="00D45B3D" w:rsidRDefault="00302BFE" w:rsidP="00243B15">
            <w:pPr>
              <w:rPr>
                <w:lang w:val="en-CA"/>
              </w:rPr>
            </w:pPr>
          </w:p>
        </w:tc>
        <w:tc>
          <w:tcPr>
            <w:tcW w:w="340" w:type="dxa"/>
            <w:shd w:val="clear" w:color="auto" w:fill="D9D9D9"/>
          </w:tcPr>
          <w:p w14:paraId="6DF5789C" w14:textId="77777777" w:rsidR="00302BFE" w:rsidRPr="00D45B3D" w:rsidRDefault="00302BFE" w:rsidP="00243B15">
            <w:pPr>
              <w:rPr>
                <w:lang w:val="en-CA"/>
              </w:rPr>
            </w:pPr>
          </w:p>
        </w:tc>
        <w:tc>
          <w:tcPr>
            <w:tcW w:w="340" w:type="dxa"/>
            <w:shd w:val="clear" w:color="auto" w:fill="D9D9D9"/>
          </w:tcPr>
          <w:p w14:paraId="7D20F1E7" w14:textId="77777777" w:rsidR="00302BFE" w:rsidRPr="00D45B3D" w:rsidRDefault="00302BFE" w:rsidP="00243B15">
            <w:pPr>
              <w:rPr>
                <w:lang w:val="en-CA"/>
              </w:rPr>
            </w:pPr>
          </w:p>
        </w:tc>
        <w:tc>
          <w:tcPr>
            <w:tcW w:w="340" w:type="dxa"/>
            <w:shd w:val="clear" w:color="auto" w:fill="D9D9D9"/>
          </w:tcPr>
          <w:p w14:paraId="73ED2739" w14:textId="77777777" w:rsidR="00302BFE" w:rsidRPr="00D45B3D" w:rsidRDefault="00302BFE" w:rsidP="00243B15">
            <w:pPr>
              <w:rPr>
                <w:lang w:val="en-CA"/>
              </w:rPr>
            </w:pPr>
          </w:p>
        </w:tc>
        <w:tc>
          <w:tcPr>
            <w:tcW w:w="340" w:type="dxa"/>
            <w:shd w:val="clear" w:color="auto" w:fill="D9D9D9"/>
          </w:tcPr>
          <w:p w14:paraId="6C069CBB" w14:textId="77777777" w:rsidR="00302BFE" w:rsidRPr="00D45B3D" w:rsidRDefault="00302BFE" w:rsidP="00243B15">
            <w:pPr>
              <w:rPr>
                <w:lang w:val="en-CA"/>
              </w:rPr>
            </w:pPr>
          </w:p>
        </w:tc>
        <w:tc>
          <w:tcPr>
            <w:tcW w:w="340" w:type="dxa"/>
            <w:shd w:val="clear" w:color="auto" w:fill="auto"/>
          </w:tcPr>
          <w:p w14:paraId="54B7A8D8" w14:textId="77777777" w:rsidR="00302BFE" w:rsidRPr="00D45B3D" w:rsidRDefault="00302BFE" w:rsidP="00243B15">
            <w:pPr>
              <w:rPr>
                <w:lang w:val="en-CA"/>
              </w:rPr>
            </w:pPr>
          </w:p>
        </w:tc>
      </w:tr>
      <w:tr w:rsidR="00302BFE" w:rsidRPr="00D45B3D" w14:paraId="4D179F08" w14:textId="77777777" w:rsidTr="00243B15">
        <w:trPr>
          <w:jc w:val="center"/>
        </w:trPr>
        <w:tc>
          <w:tcPr>
            <w:tcW w:w="13830" w:type="dxa"/>
            <w:gridSpan w:val="25"/>
            <w:shd w:val="clear" w:color="auto" w:fill="FFF2CC"/>
          </w:tcPr>
          <w:p w14:paraId="2597D6C9" w14:textId="77777777" w:rsidR="00302BFE" w:rsidRPr="00D45B3D" w:rsidRDefault="00302BFE" w:rsidP="00243B15">
            <w:pPr>
              <w:rPr>
                <w:b/>
                <w:sz w:val="16"/>
                <w:szCs w:val="16"/>
                <w:lang w:val="en-CA"/>
              </w:rPr>
            </w:pPr>
            <w:r w:rsidRPr="00D45B3D">
              <w:rPr>
                <w:b/>
                <w:sz w:val="16"/>
                <w:szCs w:val="16"/>
                <w:lang w:val="en-GB"/>
              </w:rPr>
              <w:t>Component 2. Strengthening the PONASI Protected Area System</w:t>
            </w:r>
          </w:p>
        </w:tc>
      </w:tr>
      <w:tr w:rsidR="00302BFE" w:rsidRPr="00D45B3D" w14:paraId="4D080D6B" w14:textId="77777777" w:rsidTr="00243B15">
        <w:trPr>
          <w:jc w:val="center"/>
        </w:trPr>
        <w:tc>
          <w:tcPr>
            <w:tcW w:w="5670" w:type="dxa"/>
            <w:shd w:val="clear" w:color="auto" w:fill="auto"/>
          </w:tcPr>
          <w:p w14:paraId="1E3CD0B9" w14:textId="77777777" w:rsidR="00302BFE" w:rsidRPr="00D45B3D" w:rsidRDefault="00302BFE" w:rsidP="00243B15">
            <w:pPr>
              <w:rPr>
                <w:i/>
                <w:color w:val="4472C4"/>
                <w:sz w:val="16"/>
                <w:szCs w:val="16"/>
                <w:lang w:val="en-CA"/>
              </w:rPr>
            </w:pPr>
            <w:r w:rsidRPr="00D45B3D">
              <w:rPr>
                <w:sz w:val="16"/>
                <w:szCs w:val="16"/>
                <w:lang w:val="en-CA"/>
              </w:rPr>
              <w:t>Output 2.1 Institutional and individual capacities within PA agencies are enhanced through targeted capacity building interventions</w:t>
            </w:r>
          </w:p>
        </w:tc>
        <w:tc>
          <w:tcPr>
            <w:tcW w:w="8160" w:type="dxa"/>
            <w:gridSpan w:val="24"/>
            <w:shd w:val="clear" w:color="auto" w:fill="auto"/>
          </w:tcPr>
          <w:p w14:paraId="1E200261" w14:textId="77777777" w:rsidR="00302BFE" w:rsidRPr="00D45B3D" w:rsidRDefault="00302BFE" w:rsidP="00243B15">
            <w:pPr>
              <w:rPr>
                <w:sz w:val="16"/>
                <w:szCs w:val="16"/>
                <w:lang w:val="en-CA"/>
              </w:rPr>
            </w:pPr>
          </w:p>
        </w:tc>
      </w:tr>
      <w:tr w:rsidR="00EC409B" w:rsidRPr="00D45B3D" w14:paraId="25FFD39A" w14:textId="77777777" w:rsidTr="00755BF9">
        <w:trPr>
          <w:jc w:val="center"/>
        </w:trPr>
        <w:tc>
          <w:tcPr>
            <w:tcW w:w="5670" w:type="dxa"/>
            <w:shd w:val="clear" w:color="auto" w:fill="auto"/>
          </w:tcPr>
          <w:p w14:paraId="48F794F7" w14:textId="77777777" w:rsidR="00302BFE" w:rsidRPr="00D45B3D" w:rsidRDefault="00302BFE" w:rsidP="00243B15">
            <w:pPr>
              <w:rPr>
                <w:i/>
                <w:color w:val="4472C4"/>
                <w:sz w:val="16"/>
                <w:szCs w:val="16"/>
                <w:lang w:val="en-CA"/>
              </w:rPr>
            </w:pPr>
            <w:r w:rsidRPr="00D45B3D">
              <w:rPr>
                <w:i/>
                <w:color w:val="4472C4"/>
                <w:sz w:val="16"/>
                <w:szCs w:val="16"/>
                <w:lang w:val="en-GB"/>
              </w:rPr>
              <w:t xml:space="preserve">2.1.1 The institutional structure enables effective, </w:t>
            </w:r>
            <w:proofErr w:type="gramStart"/>
            <w:r w:rsidRPr="00D45B3D">
              <w:rPr>
                <w:i/>
                <w:color w:val="4472C4"/>
                <w:sz w:val="16"/>
                <w:szCs w:val="16"/>
                <w:lang w:val="en-GB"/>
              </w:rPr>
              <w:t>efficient</w:t>
            </w:r>
            <w:proofErr w:type="gramEnd"/>
            <w:r w:rsidRPr="00D45B3D">
              <w:rPr>
                <w:i/>
                <w:color w:val="4472C4"/>
                <w:sz w:val="16"/>
                <w:szCs w:val="16"/>
                <w:lang w:val="en-GB"/>
              </w:rPr>
              <w:t xml:space="preserve"> and collaborative management of the PONASI protected areas</w:t>
            </w:r>
          </w:p>
        </w:tc>
        <w:tc>
          <w:tcPr>
            <w:tcW w:w="340" w:type="dxa"/>
            <w:shd w:val="clear" w:color="auto" w:fill="auto"/>
          </w:tcPr>
          <w:p w14:paraId="5D1AB26D" w14:textId="77777777" w:rsidR="00302BFE" w:rsidRPr="00D45B3D" w:rsidRDefault="00302BFE" w:rsidP="00243B15">
            <w:pPr>
              <w:rPr>
                <w:lang w:val="en-CA"/>
              </w:rPr>
            </w:pPr>
          </w:p>
        </w:tc>
        <w:tc>
          <w:tcPr>
            <w:tcW w:w="340" w:type="dxa"/>
            <w:shd w:val="clear" w:color="auto" w:fill="auto"/>
          </w:tcPr>
          <w:p w14:paraId="643BF29C"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6AD743E7"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5F54F113"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58B13EFE"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22CA6EFE"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B10BC26"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C0EC848"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E266120" w14:textId="77777777" w:rsidR="00302BFE" w:rsidRPr="00D45B3D" w:rsidRDefault="00302BFE" w:rsidP="00243B15">
            <w:pPr>
              <w:rPr>
                <w:lang w:val="en-CA"/>
              </w:rPr>
            </w:pPr>
          </w:p>
        </w:tc>
        <w:tc>
          <w:tcPr>
            <w:tcW w:w="340" w:type="dxa"/>
            <w:tcBorders>
              <w:bottom w:val="single" w:sz="4" w:space="0" w:color="auto"/>
            </w:tcBorders>
            <w:shd w:val="clear" w:color="auto" w:fill="auto"/>
          </w:tcPr>
          <w:p w14:paraId="6168E2D6"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FD32042"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18948C3"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AB930EF"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D9747B2"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FA64FB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A4C96A3"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73BDAC8"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E451641"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B738F28"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B47DFAD"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F5CCA22"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5C375D6"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68C5367" w14:textId="77777777" w:rsidR="00302BFE" w:rsidRPr="00D45B3D" w:rsidRDefault="00302BFE" w:rsidP="00243B15">
            <w:pPr>
              <w:rPr>
                <w:lang w:val="en-CA"/>
              </w:rPr>
            </w:pPr>
          </w:p>
        </w:tc>
        <w:tc>
          <w:tcPr>
            <w:tcW w:w="340" w:type="dxa"/>
            <w:shd w:val="clear" w:color="auto" w:fill="auto"/>
          </w:tcPr>
          <w:p w14:paraId="60688D41" w14:textId="77777777" w:rsidR="00302BFE" w:rsidRPr="00D45B3D" w:rsidRDefault="00302BFE" w:rsidP="00243B15">
            <w:pPr>
              <w:rPr>
                <w:lang w:val="en-CA"/>
              </w:rPr>
            </w:pPr>
          </w:p>
        </w:tc>
      </w:tr>
      <w:tr w:rsidR="005979FD" w:rsidRPr="00D45B3D" w14:paraId="351C8606" w14:textId="77777777" w:rsidTr="00CC2FAC">
        <w:trPr>
          <w:jc w:val="center"/>
        </w:trPr>
        <w:tc>
          <w:tcPr>
            <w:tcW w:w="5670" w:type="dxa"/>
            <w:shd w:val="clear" w:color="auto" w:fill="auto"/>
          </w:tcPr>
          <w:p w14:paraId="62657E61" w14:textId="77777777" w:rsidR="00302BFE" w:rsidRPr="00D45B3D" w:rsidRDefault="00302BFE" w:rsidP="00243B15">
            <w:pPr>
              <w:rPr>
                <w:i/>
                <w:color w:val="4472C4"/>
                <w:sz w:val="16"/>
                <w:szCs w:val="16"/>
                <w:lang w:val="en-CA"/>
              </w:rPr>
            </w:pPr>
            <w:r w:rsidRPr="00D45B3D">
              <w:rPr>
                <w:i/>
                <w:color w:val="4472C4"/>
                <w:sz w:val="16"/>
                <w:szCs w:val="16"/>
                <w:lang w:val="en-GB"/>
              </w:rPr>
              <w:lastRenderedPageBreak/>
              <w:t xml:space="preserve">2.1.2 An information system for monitoring, analysis, </w:t>
            </w:r>
            <w:proofErr w:type="gramStart"/>
            <w:r w:rsidRPr="00D45B3D">
              <w:rPr>
                <w:i/>
                <w:color w:val="4472C4"/>
                <w:sz w:val="16"/>
                <w:szCs w:val="16"/>
                <w:lang w:val="en-GB"/>
              </w:rPr>
              <w:t>mapping</w:t>
            </w:r>
            <w:proofErr w:type="gramEnd"/>
            <w:r w:rsidRPr="00D45B3D">
              <w:rPr>
                <w:i/>
                <w:color w:val="4472C4"/>
                <w:sz w:val="16"/>
                <w:szCs w:val="16"/>
                <w:lang w:val="en-GB"/>
              </w:rPr>
              <w:t xml:space="preserve"> and dissemination of knowledge is implemented</w:t>
            </w:r>
          </w:p>
        </w:tc>
        <w:tc>
          <w:tcPr>
            <w:tcW w:w="340" w:type="dxa"/>
            <w:shd w:val="clear" w:color="auto" w:fill="auto"/>
          </w:tcPr>
          <w:p w14:paraId="6AAE3B5C" w14:textId="77777777" w:rsidR="00302BFE" w:rsidRPr="00D45B3D" w:rsidRDefault="00302BFE" w:rsidP="00243B15">
            <w:pPr>
              <w:rPr>
                <w:lang w:val="en-CA"/>
              </w:rPr>
            </w:pPr>
          </w:p>
        </w:tc>
        <w:tc>
          <w:tcPr>
            <w:tcW w:w="340" w:type="dxa"/>
            <w:shd w:val="clear" w:color="auto" w:fill="auto"/>
          </w:tcPr>
          <w:p w14:paraId="39281662" w14:textId="77777777" w:rsidR="00302BFE" w:rsidRPr="00D45B3D" w:rsidRDefault="00302BFE" w:rsidP="00243B15">
            <w:pPr>
              <w:rPr>
                <w:lang w:val="en-CA"/>
              </w:rPr>
            </w:pPr>
          </w:p>
        </w:tc>
        <w:tc>
          <w:tcPr>
            <w:tcW w:w="340" w:type="dxa"/>
            <w:shd w:val="clear" w:color="auto" w:fill="D9D9D9"/>
          </w:tcPr>
          <w:p w14:paraId="51EF7EE6" w14:textId="77777777" w:rsidR="00302BFE" w:rsidRPr="00D45B3D" w:rsidRDefault="00302BFE" w:rsidP="00243B15">
            <w:pPr>
              <w:rPr>
                <w:lang w:val="en-CA"/>
              </w:rPr>
            </w:pPr>
          </w:p>
        </w:tc>
        <w:tc>
          <w:tcPr>
            <w:tcW w:w="340" w:type="dxa"/>
            <w:shd w:val="clear" w:color="auto" w:fill="D9D9D9"/>
          </w:tcPr>
          <w:p w14:paraId="6BE41A77" w14:textId="77777777" w:rsidR="00302BFE" w:rsidRPr="00D45B3D" w:rsidRDefault="00302BFE" w:rsidP="00243B15">
            <w:pPr>
              <w:rPr>
                <w:lang w:val="en-CA"/>
              </w:rPr>
            </w:pPr>
          </w:p>
        </w:tc>
        <w:tc>
          <w:tcPr>
            <w:tcW w:w="340" w:type="dxa"/>
            <w:shd w:val="clear" w:color="auto" w:fill="D9D9D9"/>
          </w:tcPr>
          <w:p w14:paraId="28D82A10" w14:textId="77777777" w:rsidR="00302BFE" w:rsidRPr="00D45B3D" w:rsidRDefault="00302BFE" w:rsidP="00243B15">
            <w:pPr>
              <w:rPr>
                <w:lang w:val="en-CA"/>
              </w:rPr>
            </w:pPr>
          </w:p>
        </w:tc>
        <w:tc>
          <w:tcPr>
            <w:tcW w:w="340" w:type="dxa"/>
            <w:shd w:val="clear" w:color="auto" w:fill="D9D9D9"/>
          </w:tcPr>
          <w:p w14:paraId="07D271C5" w14:textId="77777777" w:rsidR="00302BFE" w:rsidRPr="00D45B3D" w:rsidRDefault="00302BFE" w:rsidP="00243B15">
            <w:pPr>
              <w:rPr>
                <w:lang w:val="en-CA"/>
              </w:rPr>
            </w:pPr>
          </w:p>
        </w:tc>
        <w:tc>
          <w:tcPr>
            <w:tcW w:w="340" w:type="dxa"/>
            <w:shd w:val="clear" w:color="auto" w:fill="D9D9D9"/>
          </w:tcPr>
          <w:p w14:paraId="2F6350C2" w14:textId="77777777" w:rsidR="00302BFE" w:rsidRPr="00D45B3D" w:rsidRDefault="00302BFE" w:rsidP="00243B15">
            <w:pPr>
              <w:rPr>
                <w:lang w:val="en-CA"/>
              </w:rPr>
            </w:pPr>
          </w:p>
        </w:tc>
        <w:tc>
          <w:tcPr>
            <w:tcW w:w="340" w:type="dxa"/>
            <w:shd w:val="clear" w:color="auto" w:fill="D9D9D9"/>
          </w:tcPr>
          <w:p w14:paraId="101DF32D"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6806D0E0"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6887FECF"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44473872"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7B4D40CE"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5DBC2568"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15F3E951"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494A766E"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48AE4808"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610E2E3A"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7810404F" w14:textId="77777777" w:rsidR="00302BFE" w:rsidRPr="00D45B3D" w:rsidRDefault="00302BFE" w:rsidP="00243B15">
            <w:pPr>
              <w:rPr>
                <w:lang w:val="en-CA"/>
              </w:rPr>
            </w:pPr>
          </w:p>
        </w:tc>
        <w:tc>
          <w:tcPr>
            <w:tcW w:w="340" w:type="dxa"/>
            <w:shd w:val="clear" w:color="auto" w:fill="D9D9D9"/>
          </w:tcPr>
          <w:p w14:paraId="227FFD5A" w14:textId="77777777" w:rsidR="00302BFE" w:rsidRPr="00D45B3D" w:rsidRDefault="00302BFE" w:rsidP="00243B15">
            <w:pPr>
              <w:rPr>
                <w:lang w:val="en-CA"/>
              </w:rPr>
            </w:pPr>
          </w:p>
        </w:tc>
        <w:tc>
          <w:tcPr>
            <w:tcW w:w="340" w:type="dxa"/>
            <w:shd w:val="clear" w:color="auto" w:fill="D9D9D9"/>
          </w:tcPr>
          <w:p w14:paraId="232739D8" w14:textId="77777777" w:rsidR="00302BFE" w:rsidRPr="00D45B3D" w:rsidRDefault="00302BFE" w:rsidP="00243B15">
            <w:pPr>
              <w:rPr>
                <w:lang w:val="en-CA"/>
              </w:rPr>
            </w:pPr>
          </w:p>
        </w:tc>
        <w:tc>
          <w:tcPr>
            <w:tcW w:w="340" w:type="dxa"/>
            <w:shd w:val="clear" w:color="auto" w:fill="D9D9D9"/>
          </w:tcPr>
          <w:p w14:paraId="32E2C645" w14:textId="77777777" w:rsidR="00302BFE" w:rsidRPr="00D45B3D" w:rsidRDefault="00302BFE" w:rsidP="00243B15">
            <w:pPr>
              <w:rPr>
                <w:lang w:val="en-CA"/>
              </w:rPr>
            </w:pPr>
          </w:p>
        </w:tc>
        <w:tc>
          <w:tcPr>
            <w:tcW w:w="340" w:type="dxa"/>
            <w:shd w:val="clear" w:color="auto" w:fill="D9D9D9"/>
          </w:tcPr>
          <w:p w14:paraId="40DD24C0" w14:textId="77777777" w:rsidR="00302BFE" w:rsidRPr="00D45B3D" w:rsidRDefault="00302BFE" w:rsidP="00243B15">
            <w:pPr>
              <w:rPr>
                <w:lang w:val="en-CA"/>
              </w:rPr>
            </w:pPr>
          </w:p>
        </w:tc>
        <w:tc>
          <w:tcPr>
            <w:tcW w:w="340" w:type="dxa"/>
            <w:shd w:val="clear" w:color="auto" w:fill="D9D9D9"/>
          </w:tcPr>
          <w:p w14:paraId="7ED7B1DD" w14:textId="77777777" w:rsidR="00302BFE" w:rsidRPr="00D45B3D" w:rsidRDefault="00302BFE" w:rsidP="00243B15">
            <w:pPr>
              <w:rPr>
                <w:lang w:val="en-CA"/>
              </w:rPr>
            </w:pPr>
          </w:p>
        </w:tc>
        <w:tc>
          <w:tcPr>
            <w:tcW w:w="340" w:type="dxa"/>
            <w:shd w:val="clear" w:color="auto" w:fill="auto"/>
          </w:tcPr>
          <w:p w14:paraId="33CF5C81" w14:textId="77777777" w:rsidR="00302BFE" w:rsidRPr="00D45B3D" w:rsidRDefault="00302BFE" w:rsidP="00243B15">
            <w:pPr>
              <w:rPr>
                <w:lang w:val="en-CA"/>
              </w:rPr>
            </w:pPr>
          </w:p>
        </w:tc>
      </w:tr>
      <w:tr w:rsidR="00EC409B" w:rsidRPr="00D45B3D" w14:paraId="47CDAD98" w14:textId="77777777" w:rsidTr="00755BF9">
        <w:trPr>
          <w:jc w:val="center"/>
        </w:trPr>
        <w:tc>
          <w:tcPr>
            <w:tcW w:w="5670" w:type="dxa"/>
            <w:shd w:val="clear" w:color="auto" w:fill="auto"/>
          </w:tcPr>
          <w:p w14:paraId="224E60C2" w14:textId="77777777" w:rsidR="00302BFE" w:rsidRPr="00D45B3D" w:rsidRDefault="00302BFE" w:rsidP="00243B15">
            <w:pPr>
              <w:rPr>
                <w:i/>
                <w:color w:val="4472C4"/>
                <w:sz w:val="16"/>
                <w:szCs w:val="16"/>
                <w:lang w:val="en-CA"/>
              </w:rPr>
            </w:pPr>
            <w:r w:rsidRPr="00D45B3D">
              <w:rPr>
                <w:i/>
                <w:color w:val="4472C4"/>
                <w:sz w:val="16"/>
                <w:szCs w:val="16"/>
                <w:lang w:val="en-GB"/>
              </w:rPr>
              <w:t>2.1.3 Capacity development program developed and implemented</w:t>
            </w:r>
          </w:p>
        </w:tc>
        <w:tc>
          <w:tcPr>
            <w:tcW w:w="340" w:type="dxa"/>
            <w:shd w:val="clear" w:color="auto" w:fill="auto"/>
          </w:tcPr>
          <w:p w14:paraId="33E2BE61" w14:textId="77777777" w:rsidR="00302BFE" w:rsidRPr="00D45B3D" w:rsidRDefault="00302BFE" w:rsidP="00243B15">
            <w:pPr>
              <w:rPr>
                <w:lang w:val="en-CA"/>
              </w:rPr>
            </w:pPr>
          </w:p>
        </w:tc>
        <w:tc>
          <w:tcPr>
            <w:tcW w:w="340" w:type="dxa"/>
            <w:shd w:val="clear" w:color="auto" w:fill="auto"/>
          </w:tcPr>
          <w:p w14:paraId="1CAE6928" w14:textId="77777777" w:rsidR="00302BFE" w:rsidRPr="00D45B3D" w:rsidRDefault="00302BFE" w:rsidP="00243B15">
            <w:pPr>
              <w:rPr>
                <w:lang w:val="en-CA"/>
              </w:rPr>
            </w:pPr>
          </w:p>
        </w:tc>
        <w:tc>
          <w:tcPr>
            <w:tcW w:w="340" w:type="dxa"/>
            <w:shd w:val="clear" w:color="auto" w:fill="auto"/>
          </w:tcPr>
          <w:p w14:paraId="6A04D5CE" w14:textId="77777777" w:rsidR="00302BFE" w:rsidRPr="00D45B3D" w:rsidRDefault="00302BFE" w:rsidP="00243B15">
            <w:pPr>
              <w:rPr>
                <w:lang w:val="en-CA"/>
              </w:rPr>
            </w:pPr>
          </w:p>
        </w:tc>
        <w:tc>
          <w:tcPr>
            <w:tcW w:w="340" w:type="dxa"/>
            <w:shd w:val="clear" w:color="auto" w:fill="auto"/>
          </w:tcPr>
          <w:p w14:paraId="568B3B77" w14:textId="77777777" w:rsidR="00302BFE" w:rsidRPr="00D45B3D" w:rsidRDefault="00302BFE" w:rsidP="00243B15">
            <w:pPr>
              <w:rPr>
                <w:lang w:val="en-CA"/>
              </w:rPr>
            </w:pPr>
          </w:p>
        </w:tc>
        <w:tc>
          <w:tcPr>
            <w:tcW w:w="340" w:type="dxa"/>
            <w:shd w:val="clear" w:color="auto" w:fill="D9D9D9" w:themeFill="background1" w:themeFillShade="D9"/>
          </w:tcPr>
          <w:p w14:paraId="36753932" w14:textId="77777777" w:rsidR="00302BFE" w:rsidRPr="00D45B3D" w:rsidRDefault="00302BFE" w:rsidP="00243B15">
            <w:pPr>
              <w:rPr>
                <w:lang w:val="en-CA"/>
              </w:rPr>
            </w:pPr>
          </w:p>
        </w:tc>
        <w:tc>
          <w:tcPr>
            <w:tcW w:w="340" w:type="dxa"/>
            <w:shd w:val="clear" w:color="auto" w:fill="D9D9D9" w:themeFill="background1" w:themeFillShade="D9"/>
          </w:tcPr>
          <w:p w14:paraId="4A1FFB65" w14:textId="77777777" w:rsidR="00302BFE" w:rsidRPr="00D45B3D" w:rsidRDefault="00302BFE" w:rsidP="00243B15">
            <w:pPr>
              <w:rPr>
                <w:lang w:val="en-CA"/>
              </w:rPr>
            </w:pPr>
          </w:p>
        </w:tc>
        <w:tc>
          <w:tcPr>
            <w:tcW w:w="340" w:type="dxa"/>
            <w:shd w:val="clear" w:color="auto" w:fill="D9D9D9" w:themeFill="background1" w:themeFillShade="D9"/>
          </w:tcPr>
          <w:p w14:paraId="47FC2F6D" w14:textId="77777777" w:rsidR="00302BFE" w:rsidRPr="00D45B3D" w:rsidRDefault="00302BFE" w:rsidP="00243B15">
            <w:pPr>
              <w:rPr>
                <w:lang w:val="en-CA"/>
              </w:rPr>
            </w:pPr>
          </w:p>
        </w:tc>
        <w:tc>
          <w:tcPr>
            <w:tcW w:w="340" w:type="dxa"/>
            <w:shd w:val="clear" w:color="auto" w:fill="D9D9D9" w:themeFill="background1" w:themeFillShade="D9"/>
          </w:tcPr>
          <w:p w14:paraId="30B44B5B" w14:textId="77777777" w:rsidR="00302BFE" w:rsidRPr="00D45B3D" w:rsidRDefault="00302BFE" w:rsidP="00243B15">
            <w:pPr>
              <w:rPr>
                <w:lang w:val="en-CA"/>
              </w:rPr>
            </w:pPr>
          </w:p>
        </w:tc>
        <w:tc>
          <w:tcPr>
            <w:tcW w:w="340" w:type="dxa"/>
            <w:shd w:val="clear" w:color="auto" w:fill="D9D9D9"/>
          </w:tcPr>
          <w:p w14:paraId="0FBBA4F9" w14:textId="77777777" w:rsidR="00302BFE" w:rsidRPr="00D45B3D" w:rsidRDefault="00302BFE" w:rsidP="00243B15">
            <w:pPr>
              <w:rPr>
                <w:lang w:val="en-CA"/>
              </w:rPr>
            </w:pPr>
          </w:p>
        </w:tc>
        <w:tc>
          <w:tcPr>
            <w:tcW w:w="340" w:type="dxa"/>
            <w:shd w:val="clear" w:color="auto" w:fill="D9D9D9"/>
          </w:tcPr>
          <w:p w14:paraId="2CB49FCD" w14:textId="77777777" w:rsidR="00302BFE" w:rsidRPr="00D45B3D" w:rsidRDefault="00302BFE" w:rsidP="00243B15">
            <w:pPr>
              <w:rPr>
                <w:lang w:val="en-CA"/>
              </w:rPr>
            </w:pPr>
          </w:p>
        </w:tc>
        <w:tc>
          <w:tcPr>
            <w:tcW w:w="340" w:type="dxa"/>
            <w:shd w:val="clear" w:color="auto" w:fill="D9D9D9"/>
          </w:tcPr>
          <w:p w14:paraId="28634FEB" w14:textId="77777777" w:rsidR="00302BFE" w:rsidRPr="00D45B3D" w:rsidRDefault="00302BFE" w:rsidP="00243B15">
            <w:pPr>
              <w:rPr>
                <w:lang w:val="en-CA"/>
              </w:rPr>
            </w:pPr>
          </w:p>
        </w:tc>
        <w:tc>
          <w:tcPr>
            <w:tcW w:w="340" w:type="dxa"/>
            <w:shd w:val="clear" w:color="auto" w:fill="D9D9D9"/>
          </w:tcPr>
          <w:p w14:paraId="04FDB90D" w14:textId="77777777" w:rsidR="00302BFE" w:rsidRPr="00D45B3D" w:rsidRDefault="00302BFE" w:rsidP="00243B15">
            <w:pPr>
              <w:rPr>
                <w:lang w:val="en-CA"/>
              </w:rPr>
            </w:pPr>
          </w:p>
        </w:tc>
        <w:tc>
          <w:tcPr>
            <w:tcW w:w="340" w:type="dxa"/>
            <w:shd w:val="clear" w:color="auto" w:fill="D9D9D9"/>
          </w:tcPr>
          <w:p w14:paraId="14B0D090" w14:textId="77777777" w:rsidR="00302BFE" w:rsidRPr="00D45B3D" w:rsidRDefault="00302BFE" w:rsidP="00243B15">
            <w:pPr>
              <w:rPr>
                <w:lang w:val="en-CA"/>
              </w:rPr>
            </w:pPr>
          </w:p>
        </w:tc>
        <w:tc>
          <w:tcPr>
            <w:tcW w:w="340" w:type="dxa"/>
            <w:shd w:val="clear" w:color="auto" w:fill="D9D9D9"/>
          </w:tcPr>
          <w:p w14:paraId="5E3DD790" w14:textId="77777777" w:rsidR="00302BFE" w:rsidRPr="00D45B3D" w:rsidRDefault="00302BFE" w:rsidP="00243B15">
            <w:pPr>
              <w:rPr>
                <w:lang w:val="en-CA"/>
              </w:rPr>
            </w:pPr>
          </w:p>
        </w:tc>
        <w:tc>
          <w:tcPr>
            <w:tcW w:w="340" w:type="dxa"/>
            <w:shd w:val="clear" w:color="auto" w:fill="auto"/>
          </w:tcPr>
          <w:p w14:paraId="05839272" w14:textId="77777777" w:rsidR="00302BFE" w:rsidRPr="00D45B3D" w:rsidRDefault="00302BFE" w:rsidP="00243B15">
            <w:pPr>
              <w:rPr>
                <w:lang w:val="en-CA"/>
              </w:rPr>
            </w:pPr>
          </w:p>
        </w:tc>
        <w:tc>
          <w:tcPr>
            <w:tcW w:w="340" w:type="dxa"/>
            <w:shd w:val="clear" w:color="auto" w:fill="auto"/>
          </w:tcPr>
          <w:p w14:paraId="2395DECE" w14:textId="77777777" w:rsidR="00302BFE" w:rsidRPr="00D45B3D" w:rsidRDefault="00302BFE" w:rsidP="00243B15">
            <w:pPr>
              <w:rPr>
                <w:lang w:val="en-CA"/>
              </w:rPr>
            </w:pPr>
          </w:p>
        </w:tc>
        <w:tc>
          <w:tcPr>
            <w:tcW w:w="340" w:type="dxa"/>
            <w:shd w:val="clear" w:color="auto" w:fill="auto"/>
          </w:tcPr>
          <w:p w14:paraId="479151F0" w14:textId="77777777" w:rsidR="00302BFE" w:rsidRPr="00D45B3D" w:rsidRDefault="00302BFE" w:rsidP="00243B15">
            <w:pPr>
              <w:rPr>
                <w:lang w:val="en-CA"/>
              </w:rPr>
            </w:pPr>
          </w:p>
        </w:tc>
        <w:tc>
          <w:tcPr>
            <w:tcW w:w="340" w:type="dxa"/>
            <w:shd w:val="clear" w:color="auto" w:fill="auto"/>
          </w:tcPr>
          <w:p w14:paraId="2D013A82" w14:textId="77777777" w:rsidR="00302BFE" w:rsidRPr="00D45B3D" w:rsidRDefault="00302BFE" w:rsidP="00243B15">
            <w:pPr>
              <w:rPr>
                <w:lang w:val="en-CA"/>
              </w:rPr>
            </w:pPr>
          </w:p>
        </w:tc>
        <w:tc>
          <w:tcPr>
            <w:tcW w:w="340" w:type="dxa"/>
            <w:shd w:val="clear" w:color="auto" w:fill="auto"/>
          </w:tcPr>
          <w:p w14:paraId="232E4A4C" w14:textId="77777777" w:rsidR="00302BFE" w:rsidRPr="00D45B3D" w:rsidRDefault="00302BFE" w:rsidP="00243B15">
            <w:pPr>
              <w:rPr>
                <w:lang w:val="en-CA"/>
              </w:rPr>
            </w:pPr>
          </w:p>
        </w:tc>
        <w:tc>
          <w:tcPr>
            <w:tcW w:w="340" w:type="dxa"/>
            <w:shd w:val="clear" w:color="auto" w:fill="auto"/>
          </w:tcPr>
          <w:p w14:paraId="41E4FA82" w14:textId="77777777" w:rsidR="00302BFE" w:rsidRPr="00D45B3D" w:rsidRDefault="00302BFE" w:rsidP="00243B15">
            <w:pPr>
              <w:rPr>
                <w:lang w:val="en-CA"/>
              </w:rPr>
            </w:pPr>
          </w:p>
        </w:tc>
        <w:tc>
          <w:tcPr>
            <w:tcW w:w="340" w:type="dxa"/>
            <w:shd w:val="clear" w:color="auto" w:fill="auto"/>
          </w:tcPr>
          <w:p w14:paraId="086B3036" w14:textId="77777777" w:rsidR="00302BFE" w:rsidRPr="00D45B3D" w:rsidRDefault="00302BFE" w:rsidP="00243B15">
            <w:pPr>
              <w:rPr>
                <w:lang w:val="en-CA"/>
              </w:rPr>
            </w:pPr>
          </w:p>
        </w:tc>
        <w:tc>
          <w:tcPr>
            <w:tcW w:w="340" w:type="dxa"/>
            <w:shd w:val="clear" w:color="auto" w:fill="auto"/>
          </w:tcPr>
          <w:p w14:paraId="13253913" w14:textId="77777777" w:rsidR="00302BFE" w:rsidRPr="00D45B3D" w:rsidRDefault="00302BFE" w:rsidP="00243B15">
            <w:pPr>
              <w:rPr>
                <w:lang w:val="en-CA"/>
              </w:rPr>
            </w:pPr>
          </w:p>
        </w:tc>
        <w:tc>
          <w:tcPr>
            <w:tcW w:w="340" w:type="dxa"/>
            <w:shd w:val="clear" w:color="auto" w:fill="auto"/>
          </w:tcPr>
          <w:p w14:paraId="160B3CE3" w14:textId="77777777" w:rsidR="00302BFE" w:rsidRPr="00D45B3D" w:rsidRDefault="00302BFE" w:rsidP="00243B15">
            <w:pPr>
              <w:rPr>
                <w:lang w:val="en-CA"/>
              </w:rPr>
            </w:pPr>
          </w:p>
        </w:tc>
        <w:tc>
          <w:tcPr>
            <w:tcW w:w="340" w:type="dxa"/>
            <w:shd w:val="clear" w:color="auto" w:fill="auto"/>
          </w:tcPr>
          <w:p w14:paraId="482B7FAB" w14:textId="77777777" w:rsidR="00302BFE" w:rsidRPr="00D45B3D" w:rsidRDefault="00302BFE" w:rsidP="00243B15">
            <w:pPr>
              <w:rPr>
                <w:lang w:val="en-CA"/>
              </w:rPr>
            </w:pPr>
          </w:p>
        </w:tc>
      </w:tr>
      <w:tr w:rsidR="00302BFE" w:rsidRPr="00D45B3D" w14:paraId="22C1096C" w14:textId="77777777" w:rsidTr="00243B15">
        <w:trPr>
          <w:jc w:val="center"/>
        </w:trPr>
        <w:tc>
          <w:tcPr>
            <w:tcW w:w="5670" w:type="dxa"/>
            <w:shd w:val="clear" w:color="auto" w:fill="auto"/>
          </w:tcPr>
          <w:p w14:paraId="38897E54" w14:textId="77777777" w:rsidR="00302BFE" w:rsidRPr="00D45B3D" w:rsidRDefault="00302BFE" w:rsidP="00243B15">
            <w:pPr>
              <w:rPr>
                <w:i/>
                <w:color w:val="4472C4"/>
                <w:sz w:val="16"/>
                <w:szCs w:val="16"/>
                <w:lang w:val="en-CA"/>
              </w:rPr>
            </w:pPr>
            <w:r w:rsidRPr="00D45B3D">
              <w:rPr>
                <w:sz w:val="16"/>
                <w:szCs w:val="16"/>
                <w:lang w:val="en-GB"/>
              </w:rPr>
              <w:t>Output 2.2 The management effectiveness of the State-managed PAs of the PONASI complex - Kabore-</w:t>
            </w:r>
            <w:proofErr w:type="spellStart"/>
            <w:r w:rsidRPr="00D45B3D">
              <w:rPr>
                <w:sz w:val="16"/>
                <w:szCs w:val="16"/>
                <w:lang w:val="en-GB"/>
              </w:rPr>
              <w:t>Tambi</w:t>
            </w:r>
            <w:proofErr w:type="spellEnd"/>
            <w:r w:rsidRPr="00D45B3D">
              <w:rPr>
                <w:sz w:val="16"/>
                <w:szCs w:val="16"/>
                <w:lang w:val="en-GB"/>
              </w:rPr>
              <w:t xml:space="preserve">, </w:t>
            </w:r>
            <w:proofErr w:type="spellStart"/>
            <w:r w:rsidRPr="00D45B3D">
              <w:rPr>
                <w:sz w:val="16"/>
                <w:szCs w:val="16"/>
                <w:lang w:val="en-GB"/>
              </w:rPr>
              <w:t>Nazinga</w:t>
            </w:r>
            <w:proofErr w:type="spellEnd"/>
            <w:r w:rsidRPr="00D45B3D">
              <w:rPr>
                <w:sz w:val="16"/>
                <w:szCs w:val="16"/>
                <w:lang w:val="en-GB"/>
              </w:rPr>
              <w:t xml:space="preserve"> and </w:t>
            </w:r>
            <w:proofErr w:type="spellStart"/>
            <w:r w:rsidRPr="00D45B3D">
              <w:rPr>
                <w:sz w:val="16"/>
                <w:szCs w:val="16"/>
                <w:lang w:val="en-GB"/>
              </w:rPr>
              <w:t>Sissili</w:t>
            </w:r>
            <w:proofErr w:type="spellEnd"/>
            <w:r w:rsidRPr="00D45B3D">
              <w:rPr>
                <w:sz w:val="16"/>
                <w:szCs w:val="16"/>
                <w:lang w:val="en-GB"/>
              </w:rPr>
              <w:t>, including corridors # 1 and # 2 is reinforced by a series of technical support</w:t>
            </w:r>
          </w:p>
        </w:tc>
        <w:tc>
          <w:tcPr>
            <w:tcW w:w="8160" w:type="dxa"/>
            <w:gridSpan w:val="24"/>
            <w:shd w:val="clear" w:color="auto" w:fill="auto"/>
          </w:tcPr>
          <w:p w14:paraId="0DC03BC1" w14:textId="77777777" w:rsidR="00302BFE" w:rsidRPr="00D45B3D" w:rsidRDefault="00302BFE" w:rsidP="00243B15">
            <w:pPr>
              <w:rPr>
                <w:lang w:val="en-CA"/>
              </w:rPr>
            </w:pPr>
          </w:p>
        </w:tc>
      </w:tr>
      <w:tr w:rsidR="00EC409B" w:rsidRPr="00D45B3D" w14:paraId="22C07AAF" w14:textId="77777777" w:rsidTr="00755BF9">
        <w:trPr>
          <w:jc w:val="center"/>
        </w:trPr>
        <w:tc>
          <w:tcPr>
            <w:tcW w:w="5670" w:type="dxa"/>
            <w:shd w:val="clear" w:color="auto" w:fill="auto"/>
          </w:tcPr>
          <w:p w14:paraId="62933173" w14:textId="77777777" w:rsidR="00302BFE" w:rsidRPr="00D45B3D" w:rsidRDefault="00302BFE" w:rsidP="00243B15">
            <w:pPr>
              <w:rPr>
                <w:i/>
                <w:color w:val="4472C4"/>
                <w:sz w:val="16"/>
                <w:szCs w:val="16"/>
                <w:lang w:val="en-CA"/>
              </w:rPr>
            </w:pPr>
            <w:r w:rsidRPr="00D45B3D">
              <w:rPr>
                <w:i/>
                <w:color w:val="4472C4"/>
                <w:sz w:val="16"/>
                <w:szCs w:val="16"/>
                <w:lang w:val="en-GB"/>
              </w:rPr>
              <w:t xml:space="preserve">2.2.1. </w:t>
            </w:r>
            <w:r w:rsidRPr="00D45B3D">
              <w:rPr>
                <w:i/>
                <w:color w:val="4472C4"/>
                <w:sz w:val="16"/>
                <w:szCs w:val="16"/>
                <w:lang w:val="en-CA"/>
              </w:rPr>
              <w:t>Clarification / revision of the status and boundaries of PAs</w:t>
            </w:r>
          </w:p>
        </w:tc>
        <w:tc>
          <w:tcPr>
            <w:tcW w:w="340" w:type="dxa"/>
            <w:shd w:val="clear" w:color="auto" w:fill="auto"/>
          </w:tcPr>
          <w:p w14:paraId="43DCF1FA" w14:textId="77777777" w:rsidR="00302BFE" w:rsidRPr="00D45B3D" w:rsidRDefault="00302BFE" w:rsidP="00243B15">
            <w:pPr>
              <w:rPr>
                <w:lang w:val="en-CA"/>
              </w:rPr>
            </w:pPr>
          </w:p>
        </w:tc>
        <w:tc>
          <w:tcPr>
            <w:tcW w:w="340" w:type="dxa"/>
            <w:shd w:val="clear" w:color="auto" w:fill="auto"/>
          </w:tcPr>
          <w:p w14:paraId="0E3BDE90" w14:textId="77777777" w:rsidR="00302BFE" w:rsidRPr="00D45B3D" w:rsidRDefault="00302BFE" w:rsidP="00243B15">
            <w:pPr>
              <w:rPr>
                <w:lang w:val="en-CA"/>
              </w:rPr>
            </w:pPr>
          </w:p>
        </w:tc>
        <w:tc>
          <w:tcPr>
            <w:tcW w:w="340" w:type="dxa"/>
            <w:shd w:val="clear" w:color="auto" w:fill="D9D9D9"/>
          </w:tcPr>
          <w:p w14:paraId="29D5EC84" w14:textId="77777777" w:rsidR="00302BFE" w:rsidRPr="00D45B3D" w:rsidRDefault="00302BFE" w:rsidP="00243B15">
            <w:pPr>
              <w:rPr>
                <w:lang w:val="en-CA"/>
              </w:rPr>
            </w:pPr>
          </w:p>
        </w:tc>
        <w:tc>
          <w:tcPr>
            <w:tcW w:w="340" w:type="dxa"/>
            <w:shd w:val="clear" w:color="auto" w:fill="D9D9D9"/>
          </w:tcPr>
          <w:p w14:paraId="0EDF5242"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28635A56"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068D5D1A"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8396956"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D8AFF9A" w14:textId="77777777" w:rsidR="00302BFE" w:rsidRPr="00D45B3D" w:rsidRDefault="00302BFE" w:rsidP="00243B15">
            <w:pPr>
              <w:rPr>
                <w:lang w:val="en-CA"/>
              </w:rPr>
            </w:pPr>
          </w:p>
        </w:tc>
        <w:tc>
          <w:tcPr>
            <w:tcW w:w="340" w:type="dxa"/>
            <w:tcBorders>
              <w:bottom w:val="single" w:sz="4" w:space="0" w:color="auto"/>
            </w:tcBorders>
            <w:shd w:val="clear" w:color="auto" w:fill="auto"/>
          </w:tcPr>
          <w:p w14:paraId="687C9E6B"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FD66928"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F8CE7CB"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BA51C6E"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8407EF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D532C0E"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ACE17FB"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F7B04F9"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D7AA9FC"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5D8071C" w14:textId="77777777" w:rsidR="00302BFE" w:rsidRPr="00D45B3D" w:rsidRDefault="00302BFE" w:rsidP="00243B15">
            <w:pPr>
              <w:rPr>
                <w:lang w:val="en-CA"/>
              </w:rPr>
            </w:pPr>
          </w:p>
        </w:tc>
        <w:tc>
          <w:tcPr>
            <w:tcW w:w="340" w:type="dxa"/>
            <w:tcBorders>
              <w:bottom w:val="single" w:sz="4" w:space="0" w:color="auto"/>
            </w:tcBorders>
            <w:shd w:val="clear" w:color="auto" w:fill="auto"/>
          </w:tcPr>
          <w:p w14:paraId="6B95797D" w14:textId="77777777" w:rsidR="00302BFE" w:rsidRPr="00D45B3D" w:rsidRDefault="00302BFE" w:rsidP="00243B15">
            <w:pPr>
              <w:rPr>
                <w:lang w:val="en-CA"/>
              </w:rPr>
            </w:pPr>
          </w:p>
        </w:tc>
        <w:tc>
          <w:tcPr>
            <w:tcW w:w="340" w:type="dxa"/>
            <w:tcBorders>
              <w:bottom w:val="single" w:sz="4" w:space="0" w:color="auto"/>
            </w:tcBorders>
            <w:shd w:val="clear" w:color="auto" w:fill="auto"/>
          </w:tcPr>
          <w:p w14:paraId="606292B7"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0A35C4F"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61916C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B8B55C4" w14:textId="77777777" w:rsidR="00302BFE" w:rsidRPr="00D45B3D" w:rsidRDefault="00302BFE" w:rsidP="00243B15">
            <w:pPr>
              <w:rPr>
                <w:lang w:val="en-CA"/>
              </w:rPr>
            </w:pPr>
          </w:p>
        </w:tc>
        <w:tc>
          <w:tcPr>
            <w:tcW w:w="340" w:type="dxa"/>
            <w:shd w:val="clear" w:color="auto" w:fill="auto"/>
          </w:tcPr>
          <w:p w14:paraId="4B65FDA5" w14:textId="77777777" w:rsidR="00302BFE" w:rsidRPr="00D45B3D" w:rsidRDefault="00302BFE" w:rsidP="00243B15">
            <w:pPr>
              <w:rPr>
                <w:lang w:val="en-CA"/>
              </w:rPr>
            </w:pPr>
          </w:p>
        </w:tc>
      </w:tr>
      <w:tr w:rsidR="005979FD" w:rsidRPr="00D45B3D" w14:paraId="6F32680B" w14:textId="77777777" w:rsidTr="00CC2FAC">
        <w:trPr>
          <w:jc w:val="center"/>
        </w:trPr>
        <w:tc>
          <w:tcPr>
            <w:tcW w:w="5670" w:type="dxa"/>
            <w:shd w:val="clear" w:color="auto" w:fill="auto"/>
          </w:tcPr>
          <w:p w14:paraId="4D2F59F3" w14:textId="77777777" w:rsidR="00302BFE" w:rsidRPr="00D45B3D" w:rsidRDefault="00302BFE" w:rsidP="00243B15">
            <w:pPr>
              <w:rPr>
                <w:i/>
                <w:color w:val="4472C4"/>
                <w:sz w:val="16"/>
                <w:szCs w:val="16"/>
                <w:lang w:val="en-GB"/>
              </w:rPr>
            </w:pPr>
            <w:r w:rsidRPr="00D45B3D">
              <w:rPr>
                <w:i/>
                <w:color w:val="4472C4"/>
                <w:sz w:val="16"/>
                <w:szCs w:val="16"/>
                <w:lang w:val="en-GB"/>
              </w:rPr>
              <w:t xml:space="preserve">2.2.2. Management plans for </w:t>
            </w:r>
            <w:proofErr w:type="spellStart"/>
            <w:r w:rsidRPr="00D45B3D">
              <w:rPr>
                <w:i/>
                <w:color w:val="4472C4"/>
                <w:sz w:val="16"/>
                <w:szCs w:val="16"/>
                <w:lang w:val="en-GB"/>
              </w:rPr>
              <w:t>Nazinga</w:t>
            </w:r>
            <w:proofErr w:type="spellEnd"/>
            <w:r w:rsidRPr="00D45B3D">
              <w:rPr>
                <w:i/>
                <w:color w:val="4472C4"/>
                <w:sz w:val="16"/>
                <w:szCs w:val="16"/>
                <w:lang w:val="en-GB"/>
              </w:rPr>
              <w:t xml:space="preserve">, PNKT and </w:t>
            </w:r>
            <w:proofErr w:type="spellStart"/>
            <w:r w:rsidRPr="00D45B3D">
              <w:rPr>
                <w:i/>
                <w:color w:val="4472C4"/>
                <w:sz w:val="16"/>
                <w:szCs w:val="16"/>
                <w:lang w:val="en-GB"/>
              </w:rPr>
              <w:t>Sissili</w:t>
            </w:r>
            <w:proofErr w:type="spellEnd"/>
            <w:r w:rsidRPr="00D45B3D">
              <w:rPr>
                <w:i/>
                <w:color w:val="4472C4"/>
                <w:sz w:val="16"/>
                <w:szCs w:val="16"/>
                <w:lang w:val="en-GB"/>
              </w:rPr>
              <w:t xml:space="preserve"> PAs, including corridors # 1 and # 2 developed and implemented</w:t>
            </w:r>
          </w:p>
        </w:tc>
        <w:tc>
          <w:tcPr>
            <w:tcW w:w="340" w:type="dxa"/>
            <w:shd w:val="clear" w:color="auto" w:fill="auto"/>
          </w:tcPr>
          <w:p w14:paraId="2C9A98F8" w14:textId="77777777" w:rsidR="00302BFE" w:rsidRPr="00D45B3D" w:rsidRDefault="00302BFE" w:rsidP="00243B15">
            <w:pPr>
              <w:rPr>
                <w:lang w:val="en-CA"/>
              </w:rPr>
            </w:pPr>
          </w:p>
        </w:tc>
        <w:tc>
          <w:tcPr>
            <w:tcW w:w="340" w:type="dxa"/>
            <w:shd w:val="clear" w:color="auto" w:fill="auto"/>
          </w:tcPr>
          <w:p w14:paraId="41EB25D4"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51717A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1F308C9" w14:textId="77777777" w:rsidR="00302BFE" w:rsidRPr="00D45B3D" w:rsidRDefault="00302BFE" w:rsidP="00243B15">
            <w:pPr>
              <w:rPr>
                <w:lang w:val="en-CA"/>
              </w:rPr>
            </w:pPr>
          </w:p>
        </w:tc>
        <w:tc>
          <w:tcPr>
            <w:tcW w:w="340" w:type="dxa"/>
            <w:shd w:val="clear" w:color="auto" w:fill="D9D9D9"/>
          </w:tcPr>
          <w:p w14:paraId="33A4B39A" w14:textId="77777777" w:rsidR="00302BFE" w:rsidRPr="00D45B3D" w:rsidRDefault="00302BFE" w:rsidP="00243B15">
            <w:pPr>
              <w:rPr>
                <w:lang w:val="en-CA"/>
              </w:rPr>
            </w:pPr>
          </w:p>
        </w:tc>
        <w:tc>
          <w:tcPr>
            <w:tcW w:w="340" w:type="dxa"/>
            <w:shd w:val="clear" w:color="auto" w:fill="D9D9D9"/>
          </w:tcPr>
          <w:p w14:paraId="508AF7B5" w14:textId="77777777" w:rsidR="00302BFE" w:rsidRPr="00D45B3D" w:rsidRDefault="00302BFE" w:rsidP="00243B15">
            <w:pPr>
              <w:rPr>
                <w:lang w:val="en-CA"/>
              </w:rPr>
            </w:pPr>
          </w:p>
        </w:tc>
        <w:tc>
          <w:tcPr>
            <w:tcW w:w="340" w:type="dxa"/>
            <w:shd w:val="clear" w:color="auto" w:fill="D9D9D9"/>
          </w:tcPr>
          <w:p w14:paraId="7E4DAFA5" w14:textId="77777777" w:rsidR="00302BFE" w:rsidRPr="00D45B3D" w:rsidRDefault="00302BFE" w:rsidP="00243B15">
            <w:pPr>
              <w:rPr>
                <w:lang w:val="en-CA"/>
              </w:rPr>
            </w:pPr>
          </w:p>
        </w:tc>
        <w:tc>
          <w:tcPr>
            <w:tcW w:w="340" w:type="dxa"/>
            <w:shd w:val="clear" w:color="auto" w:fill="D9D9D9"/>
          </w:tcPr>
          <w:p w14:paraId="0558456E" w14:textId="77777777" w:rsidR="00302BFE" w:rsidRPr="00D45B3D" w:rsidRDefault="00302BFE" w:rsidP="00243B15">
            <w:pPr>
              <w:rPr>
                <w:lang w:val="en-CA"/>
              </w:rPr>
            </w:pPr>
          </w:p>
        </w:tc>
        <w:tc>
          <w:tcPr>
            <w:tcW w:w="340" w:type="dxa"/>
            <w:shd w:val="clear" w:color="auto" w:fill="D9D9D9"/>
          </w:tcPr>
          <w:p w14:paraId="266C4370" w14:textId="77777777" w:rsidR="00302BFE" w:rsidRPr="00D45B3D" w:rsidRDefault="00302BFE" w:rsidP="00243B15">
            <w:pPr>
              <w:rPr>
                <w:lang w:val="en-CA"/>
              </w:rPr>
            </w:pPr>
          </w:p>
        </w:tc>
        <w:tc>
          <w:tcPr>
            <w:tcW w:w="340" w:type="dxa"/>
            <w:shd w:val="clear" w:color="auto" w:fill="D9D9D9"/>
          </w:tcPr>
          <w:p w14:paraId="2263D530" w14:textId="77777777" w:rsidR="00302BFE" w:rsidRPr="00D45B3D" w:rsidRDefault="00302BFE" w:rsidP="00243B15">
            <w:pPr>
              <w:rPr>
                <w:lang w:val="en-CA"/>
              </w:rPr>
            </w:pPr>
          </w:p>
        </w:tc>
        <w:tc>
          <w:tcPr>
            <w:tcW w:w="340" w:type="dxa"/>
            <w:shd w:val="clear" w:color="auto" w:fill="D9D9D9"/>
          </w:tcPr>
          <w:p w14:paraId="6AF66070" w14:textId="77777777" w:rsidR="00302BFE" w:rsidRPr="00D45B3D" w:rsidRDefault="00302BFE" w:rsidP="00243B15">
            <w:pPr>
              <w:rPr>
                <w:lang w:val="en-CA"/>
              </w:rPr>
            </w:pPr>
          </w:p>
        </w:tc>
        <w:tc>
          <w:tcPr>
            <w:tcW w:w="340" w:type="dxa"/>
            <w:shd w:val="clear" w:color="auto" w:fill="D9D9D9"/>
          </w:tcPr>
          <w:p w14:paraId="08DE85E7" w14:textId="77777777" w:rsidR="00302BFE" w:rsidRPr="00D45B3D" w:rsidRDefault="00302BFE" w:rsidP="00243B15">
            <w:pPr>
              <w:rPr>
                <w:lang w:val="en-CA"/>
              </w:rPr>
            </w:pPr>
          </w:p>
        </w:tc>
        <w:tc>
          <w:tcPr>
            <w:tcW w:w="340" w:type="dxa"/>
            <w:shd w:val="clear" w:color="auto" w:fill="D9D9D9"/>
          </w:tcPr>
          <w:p w14:paraId="5BC3A0E5" w14:textId="77777777" w:rsidR="00302BFE" w:rsidRPr="00D45B3D" w:rsidRDefault="00302BFE" w:rsidP="00243B15">
            <w:pPr>
              <w:rPr>
                <w:lang w:val="en-CA"/>
              </w:rPr>
            </w:pPr>
          </w:p>
        </w:tc>
        <w:tc>
          <w:tcPr>
            <w:tcW w:w="340" w:type="dxa"/>
            <w:shd w:val="clear" w:color="auto" w:fill="D9D9D9"/>
          </w:tcPr>
          <w:p w14:paraId="7B0050F2" w14:textId="77777777" w:rsidR="00302BFE" w:rsidRPr="00D45B3D" w:rsidRDefault="00302BFE" w:rsidP="00243B15">
            <w:pPr>
              <w:rPr>
                <w:lang w:val="en-CA"/>
              </w:rPr>
            </w:pPr>
          </w:p>
        </w:tc>
        <w:tc>
          <w:tcPr>
            <w:tcW w:w="340" w:type="dxa"/>
            <w:shd w:val="clear" w:color="auto" w:fill="D9D9D9"/>
          </w:tcPr>
          <w:p w14:paraId="562E595C" w14:textId="77777777" w:rsidR="00302BFE" w:rsidRPr="00D45B3D" w:rsidRDefault="00302BFE" w:rsidP="00243B15">
            <w:pPr>
              <w:rPr>
                <w:lang w:val="en-CA"/>
              </w:rPr>
            </w:pPr>
          </w:p>
        </w:tc>
        <w:tc>
          <w:tcPr>
            <w:tcW w:w="340" w:type="dxa"/>
            <w:shd w:val="clear" w:color="auto" w:fill="D9D9D9"/>
          </w:tcPr>
          <w:p w14:paraId="4B270B98" w14:textId="77777777" w:rsidR="00302BFE" w:rsidRPr="00D45B3D" w:rsidRDefault="00302BFE" w:rsidP="00243B15">
            <w:pPr>
              <w:rPr>
                <w:lang w:val="en-CA"/>
              </w:rPr>
            </w:pPr>
          </w:p>
        </w:tc>
        <w:tc>
          <w:tcPr>
            <w:tcW w:w="340" w:type="dxa"/>
            <w:shd w:val="clear" w:color="auto" w:fill="D9D9D9"/>
          </w:tcPr>
          <w:p w14:paraId="33F492A6" w14:textId="77777777" w:rsidR="00302BFE" w:rsidRPr="00D45B3D" w:rsidRDefault="00302BFE" w:rsidP="00243B15">
            <w:pPr>
              <w:rPr>
                <w:lang w:val="en-CA"/>
              </w:rPr>
            </w:pPr>
          </w:p>
        </w:tc>
        <w:tc>
          <w:tcPr>
            <w:tcW w:w="340" w:type="dxa"/>
            <w:shd w:val="clear" w:color="auto" w:fill="D9D9D9"/>
          </w:tcPr>
          <w:p w14:paraId="48AAA845" w14:textId="77777777" w:rsidR="00302BFE" w:rsidRPr="00D45B3D" w:rsidRDefault="00302BFE" w:rsidP="00243B15">
            <w:pPr>
              <w:rPr>
                <w:lang w:val="en-CA"/>
              </w:rPr>
            </w:pPr>
          </w:p>
        </w:tc>
        <w:tc>
          <w:tcPr>
            <w:tcW w:w="340" w:type="dxa"/>
            <w:shd w:val="clear" w:color="auto" w:fill="D9D9D9"/>
          </w:tcPr>
          <w:p w14:paraId="56064139" w14:textId="77777777" w:rsidR="00302BFE" w:rsidRPr="00D45B3D" w:rsidRDefault="00302BFE" w:rsidP="00243B15">
            <w:pPr>
              <w:rPr>
                <w:lang w:val="en-CA"/>
              </w:rPr>
            </w:pPr>
          </w:p>
        </w:tc>
        <w:tc>
          <w:tcPr>
            <w:tcW w:w="340" w:type="dxa"/>
            <w:shd w:val="clear" w:color="auto" w:fill="D9D9D9"/>
          </w:tcPr>
          <w:p w14:paraId="4900FF99" w14:textId="77777777" w:rsidR="00302BFE" w:rsidRPr="00D45B3D" w:rsidRDefault="00302BFE" w:rsidP="00243B15">
            <w:pPr>
              <w:rPr>
                <w:lang w:val="en-CA"/>
              </w:rPr>
            </w:pPr>
          </w:p>
        </w:tc>
        <w:tc>
          <w:tcPr>
            <w:tcW w:w="340" w:type="dxa"/>
            <w:shd w:val="clear" w:color="auto" w:fill="D9D9D9"/>
          </w:tcPr>
          <w:p w14:paraId="465A6CE5" w14:textId="77777777" w:rsidR="00302BFE" w:rsidRPr="00D45B3D" w:rsidRDefault="00302BFE" w:rsidP="00243B15">
            <w:pPr>
              <w:rPr>
                <w:lang w:val="en-CA"/>
              </w:rPr>
            </w:pPr>
          </w:p>
        </w:tc>
        <w:tc>
          <w:tcPr>
            <w:tcW w:w="340" w:type="dxa"/>
            <w:shd w:val="clear" w:color="auto" w:fill="D9D9D9"/>
          </w:tcPr>
          <w:p w14:paraId="16105EA4" w14:textId="77777777" w:rsidR="00302BFE" w:rsidRPr="00D45B3D" w:rsidRDefault="00302BFE" w:rsidP="00243B15">
            <w:pPr>
              <w:rPr>
                <w:lang w:val="en-CA"/>
              </w:rPr>
            </w:pPr>
          </w:p>
        </w:tc>
        <w:tc>
          <w:tcPr>
            <w:tcW w:w="340" w:type="dxa"/>
            <w:shd w:val="clear" w:color="auto" w:fill="D9D9D9"/>
          </w:tcPr>
          <w:p w14:paraId="0D0B7E11" w14:textId="77777777" w:rsidR="00302BFE" w:rsidRPr="00D45B3D" w:rsidRDefault="00302BFE" w:rsidP="00243B15">
            <w:pPr>
              <w:rPr>
                <w:lang w:val="en-CA"/>
              </w:rPr>
            </w:pPr>
          </w:p>
        </w:tc>
        <w:tc>
          <w:tcPr>
            <w:tcW w:w="340" w:type="dxa"/>
            <w:shd w:val="clear" w:color="auto" w:fill="auto"/>
          </w:tcPr>
          <w:p w14:paraId="0CF00667" w14:textId="77777777" w:rsidR="00302BFE" w:rsidRPr="00D45B3D" w:rsidRDefault="00302BFE" w:rsidP="00243B15">
            <w:pPr>
              <w:rPr>
                <w:lang w:val="en-CA"/>
              </w:rPr>
            </w:pPr>
          </w:p>
        </w:tc>
      </w:tr>
      <w:tr w:rsidR="005979FD" w:rsidRPr="00D45B3D" w14:paraId="71ACF32A" w14:textId="77777777" w:rsidTr="00CC2FAC">
        <w:trPr>
          <w:jc w:val="center"/>
        </w:trPr>
        <w:tc>
          <w:tcPr>
            <w:tcW w:w="5670" w:type="dxa"/>
            <w:shd w:val="clear" w:color="auto" w:fill="auto"/>
          </w:tcPr>
          <w:p w14:paraId="7BCE6AE6" w14:textId="77777777" w:rsidR="00302BFE" w:rsidRPr="00D45B3D" w:rsidRDefault="00302BFE" w:rsidP="00243B15">
            <w:pPr>
              <w:rPr>
                <w:i/>
                <w:color w:val="4472C4"/>
                <w:sz w:val="16"/>
                <w:szCs w:val="16"/>
                <w:lang w:val="en-GB"/>
              </w:rPr>
            </w:pPr>
            <w:r w:rsidRPr="00D45B3D">
              <w:rPr>
                <w:i/>
                <w:color w:val="4472C4"/>
                <w:sz w:val="16"/>
                <w:szCs w:val="16"/>
                <w:lang w:val="en-GB"/>
              </w:rPr>
              <w:t>2.2.3 Collaborative management agreements for State PAs and support to collaborative management committees</w:t>
            </w:r>
          </w:p>
        </w:tc>
        <w:tc>
          <w:tcPr>
            <w:tcW w:w="340" w:type="dxa"/>
            <w:shd w:val="clear" w:color="auto" w:fill="auto"/>
          </w:tcPr>
          <w:p w14:paraId="38E7F1F7" w14:textId="77777777" w:rsidR="00302BFE" w:rsidRPr="00D45B3D" w:rsidRDefault="00302BFE" w:rsidP="00243B15">
            <w:pPr>
              <w:rPr>
                <w:lang w:val="en-CA"/>
              </w:rPr>
            </w:pPr>
          </w:p>
        </w:tc>
        <w:tc>
          <w:tcPr>
            <w:tcW w:w="340" w:type="dxa"/>
            <w:shd w:val="clear" w:color="auto" w:fill="auto"/>
          </w:tcPr>
          <w:p w14:paraId="353A66AD" w14:textId="77777777" w:rsidR="00302BFE" w:rsidRPr="00D45B3D" w:rsidRDefault="00302BFE" w:rsidP="00243B15">
            <w:pPr>
              <w:rPr>
                <w:lang w:val="en-CA"/>
              </w:rPr>
            </w:pPr>
          </w:p>
        </w:tc>
        <w:tc>
          <w:tcPr>
            <w:tcW w:w="340" w:type="dxa"/>
            <w:shd w:val="clear" w:color="auto" w:fill="D9D9D9"/>
          </w:tcPr>
          <w:p w14:paraId="1C81BB70" w14:textId="77777777" w:rsidR="00302BFE" w:rsidRPr="00D45B3D" w:rsidRDefault="00302BFE" w:rsidP="00243B15">
            <w:pPr>
              <w:rPr>
                <w:lang w:val="en-CA"/>
              </w:rPr>
            </w:pPr>
          </w:p>
        </w:tc>
        <w:tc>
          <w:tcPr>
            <w:tcW w:w="340" w:type="dxa"/>
            <w:shd w:val="clear" w:color="auto" w:fill="D9D9D9"/>
          </w:tcPr>
          <w:p w14:paraId="38008131" w14:textId="77777777" w:rsidR="00302BFE" w:rsidRPr="00D45B3D" w:rsidRDefault="00302BFE" w:rsidP="00243B15">
            <w:pPr>
              <w:rPr>
                <w:lang w:val="en-CA"/>
              </w:rPr>
            </w:pPr>
          </w:p>
        </w:tc>
        <w:tc>
          <w:tcPr>
            <w:tcW w:w="340" w:type="dxa"/>
            <w:shd w:val="clear" w:color="auto" w:fill="D9D9D9"/>
          </w:tcPr>
          <w:p w14:paraId="066915E9" w14:textId="77777777" w:rsidR="00302BFE" w:rsidRPr="00D45B3D" w:rsidRDefault="00302BFE" w:rsidP="00243B15">
            <w:pPr>
              <w:rPr>
                <w:lang w:val="en-CA"/>
              </w:rPr>
            </w:pPr>
          </w:p>
        </w:tc>
        <w:tc>
          <w:tcPr>
            <w:tcW w:w="340" w:type="dxa"/>
            <w:shd w:val="clear" w:color="auto" w:fill="D9D9D9"/>
          </w:tcPr>
          <w:p w14:paraId="087A4EB6" w14:textId="77777777" w:rsidR="00302BFE" w:rsidRPr="00D45B3D" w:rsidRDefault="00302BFE" w:rsidP="00243B15">
            <w:pPr>
              <w:rPr>
                <w:lang w:val="en-CA"/>
              </w:rPr>
            </w:pPr>
          </w:p>
        </w:tc>
        <w:tc>
          <w:tcPr>
            <w:tcW w:w="340" w:type="dxa"/>
            <w:shd w:val="clear" w:color="auto" w:fill="D9D9D9"/>
          </w:tcPr>
          <w:p w14:paraId="572A3F08" w14:textId="77777777" w:rsidR="00302BFE" w:rsidRPr="00D45B3D" w:rsidRDefault="00302BFE" w:rsidP="00243B15">
            <w:pPr>
              <w:rPr>
                <w:lang w:val="en-CA"/>
              </w:rPr>
            </w:pPr>
          </w:p>
        </w:tc>
        <w:tc>
          <w:tcPr>
            <w:tcW w:w="340" w:type="dxa"/>
            <w:shd w:val="clear" w:color="auto" w:fill="D9D9D9"/>
          </w:tcPr>
          <w:p w14:paraId="0AC1087A" w14:textId="77777777" w:rsidR="00302BFE" w:rsidRPr="00D45B3D" w:rsidRDefault="00302BFE" w:rsidP="00243B15">
            <w:pPr>
              <w:rPr>
                <w:lang w:val="en-CA"/>
              </w:rPr>
            </w:pPr>
          </w:p>
        </w:tc>
        <w:tc>
          <w:tcPr>
            <w:tcW w:w="340" w:type="dxa"/>
            <w:shd w:val="clear" w:color="auto" w:fill="D9D9D9"/>
          </w:tcPr>
          <w:p w14:paraId="2A6ED962" w14:textId="77777777" w:rsidR="00302BFE" w:rsidRPr="00D45B3D" w:rsidRDefault="00302BFE" w:rsidP="00243B15">
            <w:pPr>
              <w:rPr>
                <w:lang w:val="en-CA"/>
              </w:rPr>
            </w:pPr>
          </w:p>
        </w:tc>
        <w:tc>
          <w:tcPr>
            <w:tcW w:w="340" w:type="dxa"/>
            <w:shd w:val="clear" w:color="auto" w:fill="D9D9D9"/>
          </w:tcPr>
          <w:p w14:paraId="79964CC1" w14:textId="77777777" w:rsidR="00302BFE" w:rsidRPr="00D45B3D" w:rsidRDefault="00302BFE" w:rsidP="00243B15">
            <w:pPr>
              <w:rPr>
                <w:lang w:val="en-CA"/>
              </w:rPr>
            </w:pPr>
          </w:p>
        </w:tc>
        <w:tc>
          <w:tcPr>
            <w:tcW w:w="340" w:type="dxa"/>
            <w:shd w:val="clear" w:color="auto" w:fill="D9D9D9"/>
          </w:tcPr>
          <w:p w14:paraId="160B853F" w14:textId="77777777" w:rsidR="00302BFE" w:rsidRPr="00D45B3D" w:rsidRDefault="00302BFE" w:rsidP="00243B15">
            <w:pPr>
              <w:rPr>
                <w:lang w:val="en-CA"/>
              </w:rPr>
            </w:pPr>
          </w:p>
        </w:tc>
        <w:tc>
          <w:tcPr>
            <w:tcW w:w="340" w:type="dxa"/>
            <w:shd w:val="clear" w:color="auto" w:fill="D9D9D9"/>
          </w:tcPr>
          <w:p w14:paraId="5303828D" w14:textId="77777777" w:rsidR="00302BFE" w:rsidRPr="00D45B3D" w:rsidRDefault="00302BFE" w:rsidP="00243B15">
            <w:pPr>
              <w:rPr>
                <w:lang w:val="en-CA"/>
              </w:rPr>
            </w:pPr>
          </w:p>
        </w:tc>
        <w:tc>
          <w:tcPr>
            <w:tcW w:w="340" w:type="dxa"/>
            <w:shd w:val="clear" w:color="auto" w:fill="D9D9D9"/>
          </w:tcPr>
          <w:p w14:paraId="48B42BB2" w14:textId="77777777" w:rsidR="00302BFE" w:rsidRPr="00D45B3D" w:rsidRDefault="00302BFE" w:rsidP="00243B15">
            <w:pPr>
              <w:rPr>
                <w:lang w:val="en-CA"/>
              </w:rPr>
            </w:pPr>
          </w:p>
        </w:tc>
        <w:tc>
          <w:tcPr>
            <w:tcW w:w="340" w:type="dxa"/>
            <w:shd w:val="clear" w:color="auto" w:fill="D9D9D9"/>
          </w:tcPr>
          <w:p w14:paraId="42FD28A6" w14:textId="77777777" w:rsidR="00302BFE" w:rsidRPr="00D45B3D" w:rsidRDefault="00302BFE" w:rsidP="00243B15">
            <w:pPr>
              <w:rPr>
                <w:lang w:val="en-CA"/>
              </w:rPr>
            </w:pPr>
          </w:p>
        </w:tc>
        <w:tc>
          <w:tcPr>
            <w:tcW w:w="340" w:type="dxa"/>
            <w:shd w:val="clear" w:color="auto" w:fill="D9D9D9"/>
          </w:tcPr>
          <w:p w14:paraId="050D521B" w14:textId="77777777" w:rsidR="00302BFE" w:rsidRPr="00D45B3D" w:rsidRDefault="00302BFE" w:rsidP="00243B15">
            <w:pPr>
              <w:rPr>
                <w:lang w:val="en-CA"/>
              </w:rPr>
            </w:pPr>
          </w:p>
        </w:tc>
        <w:tc>
          <w:tcPr>
            <w:tcW w:w="340" w:type="dxa"/>
            <w:shd w:val="clear" w:color="auto" w:fill="D9D9D9"/>
          </w:tcPr>
          <w:p w14:paraId="6B139B91" w14:textId="77777777" w:rsidR="00302BFE" w:rsidRPr="00D45B3D" w:rsidRDefault="00302BFE" w:rsidP="00243B15">
            <w:pPr>
              <w:rPr>
                <w:lang w:val="en-CA"/>
              </w:rPr>
            </w:pPr>
          </w:p>
        </w:tc>
        <w:tc>
          <w:tcPr>
            <w:tcW w:w="340" w:type="dxa"/>
            <w:shd w:val="clear" w:color="auto" w:fill="D9D9D9"/>
          </w:tcPr>
          <w:p w14:paraId="6A43E7A2" w14:textId="77777777" w:rsidR="00302BFE" w:rsidRPr="00D45B3D" w:rsidRDefault="00302BFE" w:rsidP="00243B15">
            <w:pPr>
              <w:rPr>
                <w:lang w:val="en-CA"/>
              </w:rPr>
            </w:pPr>
          </w:p>
        </w:tc>
        <w:tc>
          <w:tcPr>
            <w:tcW w:w="340" w:type="dxa"/>
            <w:shd w:val="clear" w:color="auto" w:fill="D9D9D9"/>
          </w:tcPr>
          <w:p w14:paraId="4A1A29A9" w14:textId="77777777" w:rsidR="00302BFE" w:rsidRPr="00D45B3D" w:rsidRDefault="00302BFE" w:rsidP="00243B15">
            <w:pPr>
              <w:rPr>
                <w:lang w:val="en-CA"/>
              </w:rPr>
            </w:pPr>
          </w:p>
        </w:tc>
        <w:tc>
          <w:tcPr>
            <w:tcW w:w="340" w:type="dxa"/>
            <w:shd w:val="clear" w:color="auto" w:fill="D9D9D9"/>
          </w:tcPr>
          <w:p w14:paraId="68BD233D" w14:textId="77777777" w:rsidR="00302BFE" w:rsidRPr="00D45B3D" w:rsidRDefault="00302BFE" w:rsidP="00243B15">
            <w:pPr>
              <w:rPr>
                <w:lang w:val="en-CA"/>
              </w:rPr>
            </w:pPr>
          </w:p>
        </w:tc>
        <w:tc>
          <w:tcPr>
            <w:tcW w:w="340" w:type="dxa"/>
            <w:shd w:val="clear" w:color="auto" w:fill="D9D9D9"/>
          </w:tcPr>
          <w:p w14:paraId="3AFDDC1D" w14:textId="77777777" w:rsidR="00302BFE" w:rsidRPr="00D45B3D" w:rsidRDefault="00302BFE" w:rsidP="00243B15">
            <w:pPr>
              <w:rPr>
                <w:lang w:val="en-CA"/>
              </w:rPr>
            </w:pPr>
          </w:p>
        </w:tc>
        <w:tc>
          <w:tcPr>
            <w:tcW w:w="340" w:type="dxa"/>
            <w:shd w:val="clear" w:color="auto" w:fill="D9D9D9"/>
          </w:tcPr>
          <w:p w14:paraId="37F20F2A" w14:textId="77777777" w:rsidR="00302BFE" w:rsidRPr="00D45B3D" w:rsidRDefault="00302BFE" w:rsidP="00243B15">
            <w:pPr>
              <w:rPr>
                <w:lang w:val="en-CA"/>
              </w:rPr>
            </w:pPr>
          </w:p>
        </w:tc>
        <w:tc>
          <w:tcPr>
            <w:tcW w:w="340" w:type="dxa"/>
            <w:shd w:val="clear" w:color="auto" w:fill="D9D9D9"/>
          </w:tcPr>
          <w:p w14:paraId="5C3C94CC" w14:textId="77777777" w:rsidR="00302BFE" w:rsidRPr="00D45B3D" w:rsidRDefault="00302BFE" w:rsidP="00243B15">
            <w:pPr>
              <w:rPr>
                <w:lang w:val="en-CA"/>
              </w:rPr>
            </w:pPr>
          </w:p>
        </w:tc>
        <w:tc>
          <w:tcPr>
            <w:tcW w:w="340" w:type="dxa"/>
            <w:shd w:val="clear" w:color="auto" w:fill="D9D9D9"/>
          </w:tcPr>
          <w:p w14:paraId="1B254E72" w14:textId="77777777" w:rsidR="00302BFE" w:rsidRPr="00D45B3D" w:rsidRDefault="00302BFE" w:rsidP="00243B15">
            <w:pPr>
              <w:rPr>
                <w:lang w:val="en-CA"/>
              </w:rPr>
            </w:pPr>
          </w:p>
        </w:tc>
        <w:tc>
          <w:tcPr>
            <w:tcW w:w="340" w:type="dxa"/>
            <w:shd w:val="clear" w:color="auto" w:fill="auto"/>
          </w:tcPr>
          <w:p w14:paraId="013F3A51" w14:textId="77777777" w:rsidR="00302BFE" w:rsidRPr="00D45B3D" w:rsidRDefault="00302BFE" w:rsidP="00243B15">
            <w:pPr>
              <w:rPr>
                <w:lang w:val="en-CA"/>
              </w:rPr>
            </w:pPr>
          </w:p>
        </w:tc>
      </w:tr>
      <w:tr w:rsidR="005979FD" w:rsidRPr="00D45B3D" w14:paraId="3AB9CE89" w14:textId="77777777" w:rsidTr="00CC2FAC">
        <w:trPr>
          <w:jc w:val="center"/>
        </w:trPr>
        <w:tc>
          <w:tcPr>
            <w:tcW w:w="5670" w:type="dxa"/>
            <w:shd w:val="clear" w:color="auto" w:fill="auto"/>
          </w:tcPr>
          <w:p w14:paraId="12F985E0" w14:textId="77777777" w:rsidR="00302BFE" w:rsidRPr="00D45B3D" w:rsidRDefault="00302BFE" w:rsidP="00243B15">
            <w:pPr>
              <w:rPr>
                <w:i/>
                <w:color w:val="4472C4"/>
                <w:sz w:val="16"/>
                <w:szCs w:val="16"/>
                <w:lang w:val="en-GB"/>
              </w:rPr>
            </w:pPr>
            <w:r w:rsidRPr="00D45B3D">
              <w:rPr>
                <w:rFonts w:eastAsia="Calibri"/>
                <w:i/>
                <w:color w:val="4472C4"/>
                <w:sz w:val="16"/>
                <w:szCs w:val="16"/>
                <w:lang w:val="en-GB"/>
              </w:rPr>
              <w:t>2.2.4 Long-term ecological monitoring system at the landscape and individual PAs levels</w:t>
            </w:r>
          </w:p>
        </w:tc>
        <w:tc>
          <w:tcPr>
            <w:tcW w:w="340" w:type="dxa"/>
            <w:shd w:val="clear" w:color="auto" w:fill="auto"/>
          </w:tcPr>
          <w:p w14:paraId="0991ABE2" w14:textId="77777777" w:rsidR="00302BFE" w:rsidRPr="00D45B3D" w:rsidRDefault="00302BFE" w:rsidP="00243B15">
            <w:pPr>
              <w:rPr>
                <w:lang w:val="en-CA"/>
              </w:rPr>
            </w:pPr>
          </w:p>
        </w:tc>
        <w:tc>
          <w:tcPr>
            <w:tcW w:w="340" w:type="dxa"/>
            <w:shd w:val="clear" w:color="auto" w:fill="auto"/>
          </w:tcPr>
          <w:p w14:paraId="347BB7D9" w14:textId="77777777" w:rsidR="00302BFE" w:rsidRPr="00D45B3D" w:rsidRDefault="00302BFE" w:rsidP="00243B15">
            <w:pPr>
              <w:rPr>
                <w:lang w:val="en-CA"/>
              </w:rPr>
            </w:pPr>
          </w:p>
        </w:tc>
        <w:tc>
          <w:tcPr>
            <w:tcW w:w="340" w:type="dxa"/>
            <w:shd w:val="clear" w:color="auto" w:fill="D9D9D9" w:themeFill="background1" w:themeFillShade="D9"/>
          </w:tcPr>
          <w:p w14:paraId="0948C2E6" w14:textId="77777777" w:rsidR="00302BFE" w:rsidRPr="00D45B3D" w:rsidRDefault="00302BFE" w:rsidP="00243B15">
            <w:pPr>
              <w:rPr>
                <w:lang w:val="en-CA"/>
              </w:rPr>
            </w:pPr>
          </w:p>
        </w:tc>
        <w:tc>
          <w:tcPr>
            <w:tcW w:w="340" w:type="dxa"/>
            <w:shd w:val="clear" w:color="auto" w:fill="D9D9D9" w:themeFill="background1" w:themeFillShade="D9"/>
          </w:tcPr>
          <w:p w14:paraId="47699479" w14:textId="77777777" w:rsidR="00302BFE" w:rsidRPr="00D45B3D" w:rsidRDefault="00302BFE" w:rsidP="00243B15">
            <w:pPr>
              <w:rPr>
                <w:lang w:val="en-CA"/>
              </w:rPr>
            </w:pPr>
          </w:p>
        </w:tc>
        <w:tc>
          <w:tcPr>
            <w:tcW w:w="340" w:type="dxa"/>
            <w:shd w:val="clear" w:color="auto" w:fill="D9D9D9"/>
          </w:tcPr>
          <w:p w14:paraId="3871B229" w14:textId="77777777" w:rsidR="00302BFE" w:rsidRPr="00D45B3D" w:rsidRDefault="00302BFE" w:rsidP="00243B15">
            <w:pPr>
              <w:rPr>
                <w:lang w:val="en-CA"/>
              </w:rPr>
            </w:pPr>
          </w:p>
        </w:tc>
        <w:tc>
          <w:tcPr>
            <w:tcW w:w="340" w:type="dxa"/>
            <w:shd w:val="clear" w:color="auto" w:fill="D9D9D9"/>
          </w:tcPr>
          <w:p w14:paraId="7CCC9E51" w14:textId="77777777" w:rsidR="00302BFE" w:rsidRPr="00D45B3D" w:rsidRDefault="00302BFE" w:rsidP="00243B15">
            <w:pPr>
              <w:rPr>
                <w:lang w:val="en-CA"/>
              </w:rPr>
            </w:pPr>
          </w:p>
        </w:tc>
        <w:tc>
          <w:tcPr>
            <w:tcW w:w="340" w:type="dxa"/>
            <w:shd w:val="clear" w:color="auto" w:fill="D9D9D9"/>
          </w:tcPr>
          <w:p w14:paraId="50E277F2" w14:textId="77777777" w:rsidR="00302BFE" w:rsidRPr="00D45B3D" w:rsidRDefault="00302BFE" w:rsidP="00243B15">
            <w:pPr>
              <w:rPr>
                <w:lang w:val="en-CA"/>
              </w:rPr>
            </w:pPr>
          </w:p>
        </w:tc>
        <w:tc>
          <w:tcPr>
            <w:tcW w:w="340" w:type="dxa"/>
            <w:shd w:val="clear" w:color="auto" w:fill="D9D9D9"/>
          </w:tcPr>
          <w:p w14:paraId="1B2055C2"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4286BAF5"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45BF2DC8"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524C3742"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50F0C481"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3FAF676C"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471F7CEA"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1E07FF51"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33DA85E4"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614F4FE5"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3AB8FCC0"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65C5358D"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59A46053"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121044E5"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152FB885"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62C68A0D" w14:textId="77777777" w:rsidR="00302BFE" w:rsidRPr="00D45B3D" w:rsidRDefault="00302BFE" w:rsidP="00243B15">
            <w:pPr>
              <w:rPr>
                <w:lang w:val="en-CA"/>
              </w:rPr>
            </w:pPr>
          </w:p>
        </w:tc>
        <w:tc>
          <w:tcPr>
            <w:tcW w:w="340" w:type="dxa"/>
            <w:shd w:val="clear" w:color="auto" w:fill="auto"/>
          </w:tcPr>
          <w:p w14:paraId="75AAF65A" w14:textId="77777777" w:rsidR="00302BFE" w:rsidRPr="00D45B3D" w:rsidRDefault="00302BFE" w:rsidP="00243B15">
            <w:pPr>
              <w:rPr>
                <w:lang w:val="en-CA"/>
              </w:rPr>
            </w:pPr>
          </w:p>
        </w:tc>
      </w:tr>
      <w:tr w:rsidR="005979FD" w:rsidRPr="00D45B3D" w14:paraId="595B0B06" w14:textId="77777777" w:rsidTr="00CC2FAC">
        <w:trPr>
          <w:jc w:val="center"/>
        </w:trPr>
        <w:tc>
          <w:tcPr>
            <w:tcW w:w="5670" w:type="dxa"/>
            <w:shd w:val="clear" w:color="auto" w:fill="auto"/>
          </w:tcPr>
          <w:p w14:paraId="053530B8" w14:textId="77777777" w:rsidR="00302BFE" w:rsidRPr="00D45B3D" w:rsidRDefault="00302BFE" w:rsidP="00243B15">
            <w:pPr>
              <w:rPr>
                <w:i/>
                <w:color w:val="4472C4"/>
                <w:sz w:val="16"/>
                <w:szCs w:val="16"/>
                <w:lang w:val="en-CA"/>
              </w:rPr>
            </w:pPr>
            <w:r w:rsidRPr="00D45B3D">
              <w:rPr>
                <w:rFonts w:eastAsia="Cambria"/>
                <w:i/>
                <w:color w:val="4472C4"/>
                <w:sz w:val="16"/>
                <w:szCs w:val="16"/>
                <w:lang w:val="en-GB"/>
              </w:rPr>
              <w:t>2.2.5 Surveillance and anti-poaching are planned and implemented at the PONASI landscape scale</w:t>
            </w:r>
          </w:p>
        </w:tc>
        <w:tc>
          <w:tcPr>
            <w:tcW w:w="340" w:type="dxa"/>
            <w:shd w:val="clear" w:color="auto" w:fill="auto"/>
          </w:tcPr>
          <w:p w14:paraId="649AB93D" w14:textId="77777777" w:rsidR="00302BFE" w:rsidRPr="00D45B3D" w:rsidRDefault="00302BFE" w:rsidP="00243B15">
            <w:pPr>
              <w:rPr>
                <w:lang w:val="en-CA"/>
              </w:rPr>
            </w:pPr>
          </w:p>
        </w:tc>
        <w:tc>
          <w:tcPr>
            <w:tcW w:w="340" w:type="dxa"/>
            <w:shd w:val="clear" w:color="auto" w:fill="auto"/>
          </w:tcPr>
          <w:p w14:paraId="1EC1546B" w14:textId="77777777" w:rsidR="00302BFE" w:rsidRPr="00D45B3D" w:rsidRDefault="00302BFE" w:rsidP="00243B15">
            <w:pPr>
              <w:rPr>
                <w:lang w:val="en-CA"/>
              </w:rPr>
            </w:pPr>
          </w:p>
        </w:tc>
        <w:tc>
          <w:tcPr>
            <w:tcW w:w="340" w:type="dxa"/>
            <w:shd w:val="clear" w:color="auto" w:fill="D9D9D9" w:themeFill="background1" w:themeFillShade="D9"/>
          </w:tcPr>
          <w:p w14:paraId="79D05EFD" w14:textId="77777777" w:rsidR="00302BFE" w:rsidRPr="00D45B3D" w:rsidRDefault="00302BFE" w:rsidP="00243B15">
            <w:pPr>
              <w:rPr>
                <w:lang w:val="en-CA"/>
              </w:rPr>
            </w:pPr>
          </w:p>
        </w:tc>
        <w:tc>
          <w:tcPr>
            <w:tcW w:w="340" w:type="dxa"/>
            <w:shd w:val="clear" w:color="auto" w:fill="D9D9D9" w:themeFill="background1" w:themeFillShade="D9"/>
          </w:tcPr>
          <w:p w14:paraId="49D9131C" w14:textId="77777777" w:rsidR="00302BFE" w:rsidRPr="00D45B3D" w:rsidRDefault="00302BFE" w:rsidP="00243B15">
            <w:pPr>
              <w:rPr>
                <w:lang w:val="en-CA"/>
              </w:rPr>
            </w:pPr>
          </w:p>
        </w:tc>
        <w:tc>
          <w:tcPr>
            <w:tcW w:w="340" w:type="dxa"/>
            <w:shd w:val="clear" w:color="auto" w:fill="D9D9D9" w:themeFill="background1" w:themeFillShade="D9"/>
          </w:tcPr>
          <w:p w14:paraId="27BEF51C" w14:textId="77777777" w:rsidR="00302BFE" w:rsidRPr="00D45B3D" w:rsidRDefault="00302BFE" w:rsidP="00243B15">
            <w:pPr>
              <w:rPr>
                <w:lang w:val="en-CA"/>
              </w:rPr>
            </w:pPr>
          </w:p>
        </w:tc>
        <w:tc>
          <w:tcPr>
            <w:tcW w:w="340" w:type="dxa"/>
            <w:shd w:val="clear" w:color="auto" w:fill="D9D9D9" w:themeFill="background1" w:themeFillShade="D9"/>
          </w:tcPr>
          <w:p w14:paraId="63CE0824" w14:textId="77777777" w:rsidR="00302BFE" w:rsidRPr="00D45B3D" w:rsidRDefault="00302BFE" w:rsidP="00243B15">
            <w:pPr>
              <w:rPr>
                <w:lang w:val="en-CA"/>
              </w:rPr>
            </w:pPr>
          </w:p>
        </w:tc>
        <w:tc>
          <w:tcPr>
            <w:tcW w:w="340" w:type="dxa"/>
            <w:shd w:val="clear" w:color="auto" w:fill="D9D9D9" w:themeFill="background1" w:themeFillShade="D9"/>
          </w:tcPr>
          <w:p w14:paraId="721B262A" w14:textId="77777777" w:rsidR="00302BFE" w:rsidRPr="00D45B3D" w:rsidRDefault="00302BFE" w:rsidP="00243B15">
            <w:pPr>
              <w:rPr>
                <w:lang w:val="en-CA"/>
              </w:rPr>
            </w:pPr>
          </w:p>
        </w:tc>
        <w:tc>
          <w:tcPr>
            <w:tcW w:w="340" w:type="dxa"/>
            <w:shd w:val="clear" w:color="auto" w:fill="D9D9D9" w:themeFill="background1" w:themeFillShade="D9"/>
          </w:tcPr>
          <w:p w14:paraId="16941857" w14:textId="77777777" w:rsidR="00302BFE" w:rsidRPr="00D45B3D" w:rsidRDefault="00302BFE" w:rsidP="00243B15">
            <w:pPr>
              <w:rPr>
                <w:lang w:val="en-CA"/>
              </w:rPr>
            </w:pPr>
          </w:p>
        </w:tc>
        <w:tc>
          <w:tcPr>
            <w:tcW w:w="340" w:type="dxa"/>
            <w:shd w:val="clear" w:color="auto" w:fill="D9D9D9"/>
          </w:tcPr>
          <w:p w14:paraId="4A76777B" w14:textId="77777777" w:rsidR="00302BFE" w:rsidRPr="00D45B3D" w:rsidRDefault="00302BFE" w:rsidP="00243B15">
            <w:pPr>
              <w:rPr>
                <w:lang w:val="en-CA"/>
              </w:rPr>
            </w:pPr>
          </w:p>
        </w:tc>
        <w:tc>
          <w:tcPr>
            <w:tcW w:w="340" w:type="dxa"/>
            <w:shd w:val="clear" w:color="auto" w:fill="D9D9D9"/>
          </w:tcPr>
          <w:p w14:paraId="3DD2742A" w14:textId="77777777" w:rsidR="00302BFE" w:rsidRPr="00D45B3D" w:rsidRDefault="00302BFE" w:rsidP="00243B15">
            <w:pPr>
              <w:rPr>
                <w:lang w:val="en-CA"/>
              </w:rPr>
            </w:pPr>
          </w:p>
        </w:tc>
        <w:tc>
          <w:tcPr>
            <w:tcW w:w="340" w:type="dxa"/>
            <w:shd w:val="clear" w:color="auto" w:fill="D9D9D9"/>
          </w:tcPr>
          <w:p w14:paraId="4DBF37DD" w14:textId="77777777" w:rsidR="00302BFE" w:rsidRPr="00D45B3D" w:rsidRDefault="00302BFE" w:rsidP="00243B15">
            <w:pPr>
              <w:rPr>
                <w:lang w:val="en-CA"/>
              </w:rPr>
            </w:pPr>
          </w:p>
        </w:tc>
        <w:tc>
          <w:tcPr>
            <w:tcW w:w="340" w:type="dxa"/>
            <w:shd w:val="clear" w:color="auto" w:fill="D9D9D9"/>
          </w:tcPr>
          <w:p w14:paraId="3BCEF380" w14:textId="77777777" w:rsidR="00302BFE" w:rsidRPr="00D45B3D" w:rsidRDefault="00302BFE" w:rsidP="00243B15">
            <w:pPr>
              <w:rPr>
                <w:lang w:val="en-CA"/>
              </w:rPr>
            </w:pPr>
          </w:p>
        </w:tc>
        <w:tc>
          <w:tcPr>
            <w:tcW w:w="340" w:type="dxa"/>
            <w:shd w:val="clear" w:color="auto" w:fill="D9D9D9"/>
          </w:tcPr>
          <w:p w14:paraId="0D6043A7" w14:textId="77777777" w:rsidR="00302BFE" w:rsidRPr="00D45B3D" w:rsidRDefault="00302BFE" w:rsidP="00243B15">
            <w:pPr>
              <w:rPr>
                <w:lang w:val="en-CA"/>
              </w:rPr>
            </w:pPr>
          </w:p>
        </w:tc>
        <w:tc>
          <w:tcPr>
            <w:tcW w:w="340" w:type="dxa"/>
            <w:shd w:val="clear" w:color="auto" w:fill="D9D9D9"/>
          </w:tcPr>
          <w:p w14:paraId="41102274" w14:textId="77777777" w:rsidR="00302BFE" w:rsidRPr="00D45B3D" w:rsidRDefault="00302BFE" w:rsidP="00243B15">
            <w:pPr>
              <w:rPr>
                <w:lang w:val="en-CA"/>
              </w:rPr>
            </w:pPr>
          </w:p>
        </w:tc>
        <w:tc>
          <w:tcPr>
            <w:tcW w:w="340" w:type="dxa"/>
            <w:shd w:val="clear" w:color="auto" w:fill="D9D9D9"/>
          </w:tcPr>
          <w:p w14:paraId="23068C3E" w14:textId="77777777" w:rsidR="00302BFE" w:rsidRPr="00D45B3D" w:rsidRDefault="00302BFE" w:rsidP="00243B15">
            <w:pPr>
              <w:rPr>
                <w:lang w:val="en-CA"/>
              </w:rPr>
            </w:pPr>
          </w:p>
        </w:tc>
        <w:tc>
          <w:tcPr>
            <w:tcW w:w="340" w:type="dxa"/>
            <w:shd w:val="clear" w:color="auto" w:fill="D9D9D9"/>
          </w:tcPr>
          <w:p w14:paraId="4D3EE0AB" w14:textId="77777777" w:rsidR="00302BFE" w:rsidRPr="00D45B3D" w:rsidRDefault="00302BFE" w:rsidP="00243B15">
            <w:pPr>
              <w:rPr>
                <w:lang w:val="en-CA"/>
              </w:rPr>
            </w:pPr>
          </w:p>
        </w:tc>
        <w:tc>
          <w:tcPr>
            <w:tcW w:w="340" w:type="dxa"/>
            <w:shd w:val="clear" w:color="auto" w:fill="D9D9D9"/>
          </w:tcPr>
          <w:p w14:paraId="003DD82B" w14:textId="77777777" w:rsidR="00302BFE" w:rsidRPr="00D45B3D" w:rsidRDefault="00302BFE" w:rsidP="00243B15">
            <w:pPr>
              <w:rPr>
                <w:lang w:val="en-CA"/>
              </w:rPr>
            </w:pPr>
          </w:p>
        </w:tc>
        <w:tc>
          <w:tcPr>
            <w:tcW w:w="340" w:type="dxa"/>
            <w:shd w:val="clear" w:color="auto" w:fill="D9D9D9"/>
          </w:tcPr>
          <w:p w14:paraId="5F9A8724" w14:textId="77777777" w:rsidR="00302BFE" w:rsidRPr="00D45B3D" w:rsidRDefault="00302BFE" w:rsidP="00243B15">
            <w:pPr>
              <w:rPr>
                <w:lang w:val="en-CA"/>
              </w:rPr>
            </w:pPr>
          </w:p>
        </w:tc>
        <w:tc>
          <w:tcPr>
            <w:tcW w:w="340" w:type="dxa"/>
            <w:shd w:val="clear" w:color="auto" w:fill="D9D9D9"/>
          </w:tcPr>
          <w:p w14:paraId="463F5FA6" w14:textId="77777777" w:rsidR="00302BFE" w:rsidRPr="00D45B3D" w:rsidRDefault="00302BFE" w:rsidP="00243B15">
            <w:pPr>
              <w:rPr>
                <w:lang w:val="en-CA"/>
              </w:rPr>
            </w:pPr>
          </w:p>
        </w:tc>
        <w:tc>
          <w:tcPr>
            <w:tcW w:w="340" w:type="dxa"/>
            <w:shd w:val="clear" w:color="auto" w:fill="D9D9D9"/>
          </w:tcPr>
          <w:p w14:paraId="084536EE" w14:textId="77777777" w:rsidR="00302BFE" w:rsidRPr="00D45B3D" w:rsidRDefault="00302BFE" w:rsidP="00243B15">
            <w:pPr>
              <w:rPr>
                <w:lang w:val="en-CA"/>
              </w:rPr>
            </w:pPr>
          </w:p>
        </w:tc>
        <w:tc>
          <w:tcPr>
            <w:tcW w:w="340" w:type="dxa"/>
            <w:shd w:val="clear" w:color="auto" w:fill="D9D9D9"/>
          </w:tcPr>
          <w:p w14:paraId="6258F0D8" w14:textId="77777777" w:rsidR="00302BFE" w:rsidRPr="00D45B3D" w:rsidRDefault="00302BFE" w:rsidP="00243B15">
            <w:pPr>
              <w:rPr>
                <w:lang w:val="en-CA"/>
              </w:rPr>
            </w:pPr>
          </w:p>
        </w:tc>
        <w:tc>
          <w:tcPr>
            <w:tcW w:w="340" w:type="dxa"/>
            <w:shd w:val="clear" w:color="auto" w:fill="D9D9D9"/>
          </w:tcPr>
          <w:p w14:paraId="091C8B01" w14:textId="77777777" w:rsidR="00302BFE" w:rsidRPr="00D45B3D" w:rsidRDefault="00302BFE" w:rsidP="00243B15">
            <w:pPr>
              <w:rPr>
                <w:lang w:val="en-CA"/>
              </w:rPr>
            </w:pPr>
          </w:p>
        </w:tc>
        <w:tc>
          <w:tcPr>
            <w:tcW w:w="340" w:type="dxa"/>
            <w:shd w:val="clear" w:color="auto" w:fill="D9D9D9"/>
          </w:tcPr>
          <w:p w14:paraId="270D547F" w14:textId="77777777" w:rsidR="00302BFE" w:rsidRPr="00D45B3D" w:rsidRDefault="00302BFE" w:rsidP="00243B15">
            <w:pPr>
              <w:rPr>
                <w:lang w:val="en-CA"/>
              </w:rPr>
            </w:pPr>
          </w:p>
        </w:tc>
        <w:tc>
          <w:tcPr>
            <w:tcW w:w="340" w:type="dxa"/>
            <w:shd w:val="clear" w:color="auto" w:fill="auto"/>
          </w:tcPr>
          <w:p w14:paraId="456F4947" w14:textId="77777777" w:rsidR="00302BFE" w:rsidRPr="00D45B3D" w:rsidRDefault="00302BFE" w:rsidP="00243B15">
            <w:pPr>
              <w:rPr>
                <w:lang w:val="en-CA"/>
              </w:rPr>
            </w:pPr>
          </w:p>
        </w:tc>
      </w:tr>
      <w:tr w:rsidR="00302BFE" w:rsidRPr="00D45B3D" w14:paraId="63EBEF79" w14:textId="77777777" w:rsidTr="00243B15">
        <w:trPr>
          <w:jc w:val="center"/>
        </w:trPr>
        <w:tc>
          <w:tcPr>
            <w:tcW w:w="5670" w:type="dxa"/>
            <w:shd w:val="clear" w:color="auto" w:fill="auto"/>
          </w:tcPr>
          <w:p w14:paraId="14C2C40B" w14:textId="77777777" w:rsidR="00302BFE" w:rsidRPr="00D45B3D" w:rsidRDefault="00302BFE" w:rsidP="00243B15">
            <w:pPr>
              <w:rPr>
                <w:sz w:val="16"/>
                <w:szCs w:val="16"/>
                <w:lang w:val="en-CA"/>
              </w:rPr>
            </w:pPr>
            <w:r w:rsidRPr="00D45B3D">
              <w:rPr>
                <w:sz w:val="16"/>
                <w:szCs w:val="16"/>
                <w:lang w:val="en-CA"/>
              </w:rPr>
              <w:t>Output 2.3 The management of natural resources in ZOVIC, community protected areas, is enhanced</w:t>
            </w:r>
          </w:p>
        </w:tc>
        <w:tc>
          <w:tcPr>
            <w:tcW w:w="8160" w:type="dxa"/>
            <w:gridSpan w:val="24"/>
            <w:shd w:val="clear" w:color="auto" w:fill="auto"/>
          </w:tcPr>
          <w:p w14:paraId="0EE78BD4" w14:textId="77777777" w:rsidR="00302BFE" w:rsidRPr="00D45B3D" w:rsidRDefault="00302BFE" w:rsidP="00243B15">
            <w:pPr>
              <w:rPr>
                <w:lang w:val="en-CA"/>
              </w:rPr>
            </w:pPr>
          </w:p>
        </w:tc>
      </w:tr>
      <w:tr w:rsidR="00EC409B" w:rsidRPr="00D45B3D" w14:paraId="74AF6032" w14:textId="77777777" w:rsidTr="00755BF9">
        <w:trPr>
          <w:jc w:val="center"/>
        </w:trPr>
        <w:tc>
          <w:tcPr>
            <w:tcW w:w="5670" w:type="dxa"/>
            <w:shd w:val="clear" w:color="auto" w:fill="auto"/>
          </w:tcPr>
          <w:p w14:paraId="6D4EDC48" w14:textId="77777777" w:rsidR="00302BFE" w:rsidRPr="00D45B3D" w:rsidRDefault="00302BFE" w:rsidP="00243B15">
            <w:pPr>
              <w:rPr>
                <w:i/>
                <w:color w:val="4472C4"/>
                <w:sz w:val="16"/>
                <w:szCs w:val="16"/>
                <w:lang w:val="en-CA"/>
              </w:rPr>
            </w:pPr>
            <w:r w:rsidRPr="00D45B3D">
              <w:rPr>
                <w:i/>
                <w:color w:val="4472C4"/>
                <w:sz w:val="16"/>
                <w:szCs w:val="16"/>
                <w:lang w:val="en-GB"/>
              </w:rPr>
              <w:t>2.3.1 Formalization of the legal status of certain ZOVICs and updating of the ZOVIC limits</w:t>
            </w:r>
          </w:p>
        </w:tc>
        <w:tc>
          <w:tcPr>
            <w:tcW w:w="340" w:type="dxa"/>
            <w:shd w:val="clear" w:color="auto" w:fill="auto"/>
          </w:tcPr>
          <w:p w14:paraId="0565A282" w14:textId="77777777" w:rsidR="00302BFE" w:rsidRPr="00D45B3D" w:rsidRDefault="00302BFE" w:rsidP="00243B15">
            <w:pPr>
              <w:rPr>
                <w:lang w:val="en-CA"/>
              </w:rPr>
            </w:pPr>
          </w:p>
        </w:tc>
        <w:tc>
          <w:tcPr>
            <w:tcW w:w="340" w:type="dxa"/>
            <w:shd w:val="clear" w:color="auto" w:fill="auto"/>
          </w:tcPr>
          <w:p w14:paraId="2717FB84" w14:textId="77777777" w:rsidR="00302BFE" w:rsidRPr="00D45B3D" w:rsidRDefault="00302BFE" w:rsidP="00243B15">
            <w:pPr>
              <w:rPr>
                <w:lang w:val="en-CA"/>
              </w:rPr>
            </w:pPr>
          </w:p>
        </w:tc>
        <w:tc>
          <w:tcPr>
            <w:tcW w:w="340" w:type="dxa"/>
            <w:shd w:val="clear" w:color="auto" w:fill="auto"/>
          </w:tcPr>
          <w:p w14:paraId="5E18C9D3" w14:textId="77777777" w:rsidR="00302BFE" w:rsidRPr="00D45B3D" w:rsidRDefault="00302BFE" w:rsidP="00243B15">
            <w:pPr>
              <w:rPr>
                <w:lang w:val="en-CA"/>
              </w:rPr>
            </w:pPr>
          </w:p>
        </w:tc>
        <w:tc>
          <w:tcPr>
            <w:tcW w:w="340" w:type="dxa"/>
            <w:shd w:val="clear" w:color="auto" w:fill="auto"/>
          </w:tcPr>
          <w:p w14:paraId="78037971" w14:textId="77777777" w:rsidR="00302BFE" w:rsidRPr="00D45B3D" w:rsidRDefault="00302BFE" w:rsidP="00243B15">
            <w:pPr>
              <w:rPr>
                <w:lang w:val="en-CA"/>
              </w:rPr>
            </w:pPr>
          </w:p>
        </w:tc>
        <w:tc>
          <w:tcPr>
            <w:tcW w:w="340" w:type="dxa"/>
            <w:shd w:val="clear" w:color="auto" w:fill="D9D9D9"/>
          </w:tcPr>
          <w:p w14:paraId="3856E36E" w14:textId="77777777" w:rsidR="00302BFE" w:rsidRPr="00D45B3D" w:rsidRDefault="00302BFE" w:rsidP="00243B15">
            <w:pPr>
              <w:rPr>
                <w:lang w:val="en-CA"/>
              </w:rPr>
            </w:pPr>
          </w:p>
        </w:tc>
        <w:tc>
          <w:tcPr>
            <w:tcW w:w="340" w:type="dxa"/>
            <w:shd w:val="clear" w:color="auto" w:fill="D9D9D9"/>
          </w:tcPr>
          <w:p w14:paraId="785FC4B4" w14:textId="77777777" w:rsidR="00302BFE" w:rsidRPr="00D45B3D" w:rsidRDefault="00302BFE" w:rsidP="00243B15">
            <w:pPr>
              <w:rPr>
                <w:lang w:val="en-CA"/>
              </w:rPr>
            </w:pPr>
          </w:p>
        </w:tc>
        <w:tc>
          <w:tcPr>
            <w:tcW w:w="340" w:type="dxa"/>
            <w:shd w:val="clear" w:color="auto" w:fill="D9D9D9"/>
          </w:tcPr>
          <w:p w14:paraId="0D0A341D" w14:textId="77777777" w:rsidR="00302BFE" w:rsidRPr="00D45B3D" w:rsidRDefault="00302BFE" w:rsidP="00243B15">
            <w:pPr>
              <w:rPr>
                <w:lang w:val="en-CA"/>
              </w:rPr>
            </w:pPr>
          </w:p>
        </w:tc>
        <w:tc>
          <w:tcPr>
            <w:tcW w:w="340" w:type="dxa"/>
            <w:shd w:val="clear" w:color="auto" w:fill="D9D9D9"/>
          </w:tcPr>
          <w:p w14:paraId="5B7E06CA" w14:textId="77777777" w:rsidR="00302BFE" w:rsidRPr="00D45B3D" w:rsidRDefault="00302BFE" w:rsidP="00243B15">
            <w:pPr>
              <w:rPr>
                <w:lang w:val="en-CA"/>
              </w:rPr>
            </w:pPr>
          </w:p>
        </w:tc>
        <w:tc>
          <w:tcPr>
            <w:tcW w:w="340" w:type="dxa"/>
            <w:shd w:val="clear" w:color="auto" w:fill="D9D9D9"/>
          </w:tcPr>
          <w:p w14:paraId="0CD74D73"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AC2F4FE" w14:textId="77777777" w:rsidR="00302BFE" w:rsidRPr="00D45B3D" w:rsidRDefault="00302BFE" w:rsidP="00243B15">
            <w:pPr>
              <w:rPr>
                <w:lang w:val="en-CA"/>
              </w:rPr>
            </w:pPr>
          </w:p>
        </w:tc>
        <w:tc>
          <w:tcPr>
            <w:tcW w:w="340" w:type="dxa"/>
            <w:tcBorders>
              <w:bottom w:val="single" w:sz="4" w:space="0" w:color="auto"/>
            </w:tcBorders>
            <w:shd w:val="clear" w:color="auto" w:fill="auto"/>
          </w:tcPr>
          <w:p w14:paraId="643D814C"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6963653" w14:textId="77777777" w:rsidR="00302BFE" w:rsidRPr="00D45B3D" w:rsidRDefault="00302BFE" w:rsidP="00243B15">
            <w:pPr>
              <w:rPr>
                <w:lang w:val="en-CA"/>
              </w:rPr>
            </w:pPr>
          </w:p>
        </w:tc>
        <w:tc>
          <w:tcPr>
            <w:tcW w:w="340" w:type="dxa"/>
            <w:tcBorders>
              <w:bottom w:val="single" w:sz="4" w:space="0" w:color="auto"/>
            </w:tcBorders>
            <w:shd w:val="clear" w:color="auto" w:fill="auto"/>
          </w:tcPr>
          <w:p w14:paraId="6BAECF56"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C55177F"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7732359"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72000B8"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1C8888F"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52B9737"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454D47A"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5680857"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314B80A"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CE52794"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E2C51B3" w14:textId="77777777" w:rsidR="00302BFE" w:rsidRPr="00D45B3D" w:rsidRDefault="00302BFE" w:rsidP="00243B15">
            <w:pPr>
              <w:rPr>
                <w:lang w:val="en-CA"/>
              </w:rPr>
            </w:pPr>
          </w:p>
        </w:tc>
        <w:tc>
          <w:tcPr>
            <w:tcW w:w="340" w:type="dxa"/>
            <w:shd w:val="clear" w:color="auto" w:fill="auto"/>
          </w:tcPr>
          <w:p w14:paraId="6547204F" w14:textId="77777777" w:rsidR="00302BFE" w:rsidRPr="00D45B3D" w:rsidRDefault="00302BFE" w:rsidP="00243B15">
            <w:pPr>
              <w:rPr>
                <w:lang w:val="en-CA"/>
              </w:rPr>
            </w:pPr>
          </w:p>
        </w:tc>
      </w:tr>
      <w:tr w:rsidR="005979FD" w:rsidRPr="00D45B3D" w14:paraId="5B269521" w14:textId="77777777" w:rsidTr="00CC2FAC">
        <w:trPr>
          <w:jc w:val="center"/>
        </w:trPr>
        <w:tc>
          <w:tcPr>
            <w:tcW w:w="5670" w:type="dxa"/>
            <w:shd w:val="clear" w:color="auto" w:fill="auto"/>
          </w:tcPr>
          <w:p w14:paraId="070A54C8" w14:textId="77777777" w:rsidR="00302BFE" w:rsidRPr="00D45B3D" w:rsidRDefault="00302BFE" w:rsidP="00243B15">
            <w:pPr>
              <w:rPr>
                <w:i/>
                <w:color w:val="4472C4"/>
                <w:sz w:val="16"/>
                <w:szCs w:val="16"/>
                <w:lang w:val="en-CA"/>
              </w:rPr>
            </w:pPr>
            <w:r w:rsidRPr="00D45B3D">
              <w:rPr>
                <w:i/>
                <w:color w:val="4472C4"/>
                <w:sz w:val="16"/>
                <w:szCs w:val="16"/>
                <w:lang w:val="en-GB"/>
              </w:rPr>
              <w:t>2.3.2 Development of simplified zoning plans for ZOVICs using the territory planning tool and support for their implementation</w:t>
            </w:r>
          </w:p>
        </w:tc>
        <w:tc>
          <w:tcPr>
            <w:tcW w:w="340" w:type="dxa"/>
            <w:shd w:val="clear" w:color="auto" w:fill="auto"/>
          </w:tcPr>
          <w:p w14:paraId="32631E73" w14:textId="77777777" w:rsidR="00302BFE" w:rsidRPr="00D45B3D" w:rsidRDefault="00302BFE" w:rsidP="00243B15">
            <w:pPr>
              <w:rPr>
                <w:lang w:val="en-CA"/>
              </w:rPr>
            </w:pPr>
          </w:p>
        </w:tc>
        <w:tc>
          <w:tcPr>
            <w:tcW w:w="340" w:type="dxa"/>
            <w:shd w:val="clear" w:color="auto" w:fill="auto"/>
          </w:tcPr>
          <w:p w14:paraId="1F93F88C" w14:textId="77777777" w:rsidR="00302BFE" w:rsidRPr="00D45B3D" w:rsidRDefault="00302BFE" w:rsidP="00243B15">
            <w:pPr>
              <w:rPr>
                <w:lang w:val="en-CA"/>
              </w:rPr>
            </w:pPr>
          </w:p>
        </w:tc>
        <w:tc>
          <w:tcPr>
            <w:tcW w:w="340" w:type="dxa"/>
            <w:shd w:val="clear" w:color="auto" w:fill="auto"/>
          </w:tcPr>
          <w:p w14:paraId="0AB2D360" w14:textId="77777777" w:rsidR="00302BFE" w:rsidRPr="00D45B3D" w:rsidRDefault="00302BFE" w:rsidP="00243B15">
            <w:pPr>
              <w:rPr>
                <w:lang w:val="en-CA"/>
              </w:rPr>
            </w:pPr>
          </w:p>
        </w:tc>
        <w:tc>
          <w:tcPr>
            <w:tcW w:w="340" w:type="dxa"/>
            <w:shd w:val="clear" w:color="auto" w:fill="auto"/>
          </w:tcPr>
          <w:p w14:paraId="0963CC6A" w14:textId="77777777" w:rsidR="00302BFE" w:rsidRPr="00D45B3D" w:rsidRDefault="00302BFE" w:rsidP="00243B15">
            <w:pPr>
              <w:rPr>
                <w:lang w:val="en-CA"/>
              </w:rPr>
            </w:pPr>
          </w:p>
        </w:tc>
        <w:tc>
          <w:tcPr>
            <w:tcW w:w="340" w:type="dxa"/>
            <w:shd w:val="clear" w:color="auto" w:fill="D9D9D9"/>
          </w:tcPr>
          <w:p w14:paraId="54A5BD5F" w14:textId="77777777" w:rsidR="00302BFE" w:rsidRPr="00D45B3D" w:rsidRDefault="00302BFE" w:rsidP="00243B15">
            <w:pPr>
              <w:rPr>
                <w:lang w:val="en-CA"/>
              </w:rPr>
            </w:pPr>
          </w:p>
        </w:tc>
        <w:tc>
          <w:tcPr>
            <w:tcW w:w="340" w:type="dxa"/>
            <w:shd w:val="clear" w:color="auto" w:fill="D9D9D9"/>
          </w:tcPr>
          <w:p w14:paraId="755ECE8F" w14:textId="77777777" w:rsidR="00302BFE" w:rsidRPr="00D45B3D" w:rsidRDefault="00302BFE" w:rsidP="00243B15">
            <w:pPr>
              <w:rPr>
                <w:lang w:val="en-CA"/>
              </w:rPr>
            </w:pPr>
          </w:p>
        </w:tc>
        <w:tc>
          <w:tcPr>
            <w:tcW w:w="340" w:type="dxa"/>
            <w:shd w:val="clear" w:color="auto" w:fill="D9D9D9"/>
          </w:tcPr>
          <w:p w14:paraId="5127371D" w14:textId="77777777" w:rsidR="00302BFE" w:rsidRPr="00D45B3D" w:rsidRDefault="00302BFE" w:rsidP="00243B15">
            <w:pPr>
              <w:rPr>
                <w:lang w:val="en-CA"/>
              </w:rPr>
            </w:pPr>
          </w:p>
        </w:tc>
        <w:tc>
          <w:tcPr>
            <w:tcW w:w="340" w:type="dxa"/>
            <w:shd w:val="clear" w:color="auto" w:fill="D9D9D9"/>
          </w:tcPr>
          <w:p w14:paraId="687A346A" w14:textId="77777777" w:rsidR="00302BFE" w:rsidRPr="00D45B3D" w:rsidRDefault="00302BFE" w:rsidP="00243B15">
            <w:pPr>
              <w:rPr>
                <w:lang w:val="en-CA"/>
              </w:rPr>
            </w:pPr>
          </w:p>
        </w:tc>
        <w:tc>
          <w:tcPr>
            <w:tcW w:w="340" w:type="dxa"/>
            <w:shd w:val="clear" w:color="auto" w:fill="D9D9D9"/>
          </w:tcPr>
          <w:p w14:paraId="3339C164" w14:textId="77777777" w:rsidR="00302BFE" w:rsidRPr="00D45B3D" w:rsidRDefault="00302BFE" w:rsidP="00243B15">
            <w:pPr>
              <w:rPr>
                <w:lang w:val="en-CA"/>
              </w:rPr>
            </w:pPr>
          </w:p>
        </w:tc>
        <w:tc>
          <w:tcPr>
            <w:tcW w:w="340" w:type="dxa"/>
            <w:shd w:val="clear" w:color="auto" w:fill="D9D9D9"/>
          </w:tcPr>
          <w:p w14:paraId="49BCEEF9" w14:textId="77777777" w:rsidR="00302BFE" w:rsidRPr="00D45B3D" w:rsidRDefault="00302BFE" w:rsidP="00243B15">
            <w:pPr>
              <w:rPr>
                <w:lang w:val="en-CA"/>
              </w:rPr>
            </w:pPr>
          </w:p>
        </w:tc>
        <w:tc>
          <w:tcPr>
            <w:tcW w:w="340" w:type="dxa"/>
            <w:shd w:val="clear" w:color="auto" w:fill="D9D9D9"/>
          </w:tcPr>
          <w:p w14:paraId="70289188" w14:textId="77777777" w:rsidR="00302BFE" w:rsidRPr="00D45B3D" w:rsidRDefault="00302BFE" w:rsidP="00243B15">
            <w:pPr>
              <w:rPr>
                <w:lang w:val="en-CA"/>
              </w:rPr>
            </w:pPr>
          </w:p>
        </w:tc>
        <w:tc>
          <w:tcPr>
            <w:tcW w:w="340" w:type="dxa"/>
            <w:shd w:val="clear" w:color="auto" w:fill="D9D9D9"/>
          </w:tcPr>
          <w:p w14:paraId="5F640EC2" w14:textId="77777777" w:rsidR="00302BFE" w:rsidRPr="00D45B3D" w:rsidRDefault="00302BFE" w:rsidP="00243B15">
            <w:pPr>
              <w:rPr>
                <w:lang w:val="en-CA"/>
              </w:rPr>
            </w:pPr>
          </w:p>
        </w:tc>
        <w:tc>
          <w:tcPr>
            <w:tcW w:w="340" w:type="dxa"/>
            <w:shd w:val="clear" w:color="auto" w:fill="D9D9D9"/>
          </w:tcPr>
          <w:p w14:paraId="1C97082A" w14:textId="77777777" w:rsidR="00302BFE" w:rsidRPr="00D45B3D" w:rsidRDefault="00302BFE" w:rsidP="00243B15">
            <w:pPr>
              <w:rPr>
                <w:lang w:val="en-CA"/>
              </w:rPr>
            </w:pPr>
          </w:p>
        </w:tc>
        <w:tc>
          <w:tcPr>
            <w:tcW w:w="340" w:type="dxa"/>
            <w:shd w:val="clear" w:color="auto" w:fill="D9D9D9"/>
          </w:tcPr>
          <w:p w14:paraId="6920E502" w14:textId="77777777" w:rsidR="00302BFE" w:rsidRPr="00D45B3D" w:rsidRDefault="00302BFE" w:rsidP="00243B15">
            <w:pPr>
              <w:rPr>
                <w:lang w:val="en-CA"/>
              </w:rPr>
            </w:pPr>
          </w:p>
        </w:tc>
        <w:tc>
          <w:tcPr>
            <w:tcW w:w="340" w:type="dxa"/>
            <w:shd w:val="clear" w:color="auto" w:fill="D9D9D9"/>
          </w:tcPr>
          <w:p w14:paraId="2DFE6EF2" w14:textId="77777777" w:rsidR="00302BFE" w:rsidRPr="00D45B3D" w:rsidRDefault="00302BFE" w:rsidP="00243B15">
            <w:pPr>
              <w:rPr>
                <w:lang w:val="en-CA"/>
              </w:rPr>
            </w:pPr>
          </w:p>
        </w:tc>
        <w:tc>
          <w:tcPr>
            <w:tcW w:w="340" w:type="dxa"/>
            <w:shd w:val="clear" w:color="auto" w:fill="D9D9D9"/>
          </w:tcPr>
          <w:p w14:paraId="14F2FF00" w14:textId="77777777" w:rsidR="00302BFE" w:rsidRPr="00D45B3D" w:rsidRDefault="00302BFE" w:rsidP="00243B15">
            <w:pPr>
              <w:rPr>
                <w:lang w:val="en-CA"/>
              </w:rPr>
            </w:pPr>
          </w:p>
        </w:tc>
        <w:tc>
          <w:tcPr>
            <w:tcW w:w="340" w:type="dxa"/>
            <w:shd w:val="clear" w:color="auto" w:fill="D9D9D9"/>
          </w:tcPr>
          <w:p w14:paraId="492D689C" w14:textId="77777777" w:rsidR="00302BFE" w:rsidRPr="00D45B3D" w:rsidRDefault="00302BFE" w:rsidP="00243B15">
            <w:pPr>
              <w:rPr>
                <w:lang w:val="en-CA"/>
              </w:rPr>
            </w:pPr>
          </w:p>
        </w:tc>
        <w:tc>
          <w:tcPr>
            <w:tcW w:w="340" w:type="dxa"/>
            <w:shd w:val="clear" w:color="auto" w:fill="D9D9D9"/>
          </w:tcPr>
          <w:p w14:paraId="6E12F8B1" w14:textId="77777777" w:rsidR="00302BFE" w:rsidRPr="00D45B3D" w:rsidRDefault="00302BFE" w:rsidP="00243B15">
            <w:pPr>
              <w:rPr>
                <w:lang w:val="en-CA"/>
              </w:rPr>
            </w:pPr>
          </w:p>
        </w:tc>
        <w:tc>
          <w:tcPr>
            <w:tcW w:w="340" w:type="dxa"/>
            <w:shd w:val="clear" w:color="auto" w:fill="D9D9D9"/>
          </w:tcPr>
          <w:p w14:paraId="68DB9E34" w14:textId="77777777" w:rsidR="00302BFE" w:rsidRPr="00D45B3D" w:rsidRDefault="00302BFE" w:rsidP="00243B15">
            <w:pPr>
              <w:rPr>
                <w:lang w:val="en-CA"/>
              </w:rPr>
            </w:pPr>
          </w:p>
        </w:tc>
        <w:tc>
          <w:tcPr>
            <w:tcW w:w="340" w:type="dxa"/>
            <w:shd w:val="clear" w:color="auto" w:fill="D9D9D9"/>
          </w:tcPr>
          <w:p w14:paraId="4C510D20" w14:textId="77777777" w:rsidR="00302BFE" w:rsidRPr="00D45B3D" w:rsidRDefault="00302BFE" w:rsidP="00243B15">
            <w:pPr>
              <w:rPr>
                <w:lang w:val="en-CA"/>
              </w:rPr>
            </w:pPr>
          </w:p>
        </w:tc>
        <w:tc>
          <w:tcPr>
            <w:tcW w:w="340" w:type="dxa"/>
            <w:shd w:val="clear" w:color="auto" w:fill="D9D9D9"/>
          </w:tcPr>
          <w:p w14:paraId="5C717577" w14:textId="77777777" w:rsidR="00302BFE" w:rsidRPr="00D45B3D" w:rsidRDefault="00302BFE" w:rsidP="00243B15">
            <w:pPr>
              <w:rPr>
                <w:lang w:val="en-CA"/>
              </w:rPr>
            </w:pPr>
          </w:p>
        </w:tc>
        <w:tc>
          <w:tcPr>
            <w:tcW w:w="340" w:type="dxa"/>
            <w:shd w:val="clear" w:color="auto" w:fill="D9D9D9"/>
          </w:tcPr>
          <w:p w14:paraId="07B44534" w14:textId="77777777" w:rsidR="00302BFE" w:rsidRPr="00D45B3D" w:rsidRDefault="00302BFE" w:rsidP="00243B15">
            <w:pPr>
              <w:rPr>
                <w:lang w:val="en-CA"/>
              </w:rPr>
            </w:pPr>
          </w:p>
        </w:tc>
        <w:tc>
          <w:tcPr>
            <w:tcW w:w="340" w:type="dxa"/>
            <w:shd w:val="clear" w:color="auto" w:fill="D9D9D9"/>
          </w:tcPr>
          <w:p w14:paraId="29CF8FBE" w14:textId="77777777" w:rsidR="00302BFE" w:rsidRPr="00D45B3D" w:rsidRDefault="00302BFE" w:rsidP="00243B15">
            <w:pPr>
              <w:rPr>
                <w:lang w:val="en-CA"/>
              </w:rPr>
            </w:pPr>
          </w:p>
        </w:tc>
        <w:tc>
          <w:tcPr>
            <w:tcW w:w="340" w:type="dxa"/>
            <w:shd w:val="clear" w:color="auto" w:fill="auto"/>
          </w:tcPr>
          <w:p w14:paraId="1ACA3A2D" w14:textId="77777777" w:rsidR="00302BFE" w:rsidRPr="00D45B3D" w:rsidRDefault="00302BFE" w:rsidP="00243B15">
            <w:pPr>
              <w:rPr>
                <w:lang w:val="en-CA"/>
              </w:rPr>
            </w:pPr>
          </w:p>
        </w:tc>
      </w:tr>
      <w:tr w:rsidR="00302BFE" w:rsidRPr="00D45B3D" w14:paraId="39B00590" w14:textId="77777777" w:rsidTr="00243B15">
        <w:trPr>
          <w:jc w:val="center"/>
        </w:trPr>
        <w:tc>
          <w:tcPr>
            <w:tcW w:w="5670" w:type="dxa"/>
            <w:shd w:val="clear" w:color="auto" w:fill="auto"/>
          </w:tcPr>
          <w:p w14:paraId="72340972" w14:textId="77777777" w:rsidR="00302BFE" w:rsidRPr="00D45B3D" w:rsidRDefault="00302BFE" w:rsidP="00243B15">
            <w:pPr>
              <w:rPr>
                <w:i/>
                <w:color w:val="4472C4"/>
                <w:sz w:val="16"/>
                <w:szCs w:val="16"/>
                <w:lang w:val="en-CA"/>
              </w:rPr>
            </w:pPr>
            <w:r w:rsidRPr="00D45B3D">
              <w:rPr>
                <w:sz w:val="16"/>
                <w:szCs w:val="16"/>
                <w:lang w:val="en-CA"/>
              </w:rPr>
              <w:t>Output 2.4 An effective PONASI landscape-wide elephant protection plan is developed and implemented</w:t>
            </w:r>
          </w:p>
        </w:tc>
        <w:tc>
          <w:tcPr>
            <w:tcW w:w="8160" w:type="dxa"/>
            <w:gridSpan w:val="24"/>
            <w:shd w:val="clear" w:color="auto" w:fill="auto"/>
          </w:tcPr>
          <w:p w14:paraId="515B6149" w14:textId="77777777" w:rsidR="00302BFE" w:rsidRPr="00D45B3D" w:rsidRDefault="00302BFE" w:rsidP="00243B15">
            <w:pPr>
              <w:rPr>
                <w:lang w:val="en-CA"/>
              </w:rPr>
            </w:pPr>
          </w:p>
        </w:tc>
      </w:tr>
      <w:tr w:rsidR="005979FD" w:rsidRPr="00D45B3D" w14:paraId="37807E60" w14:textId="77777777" w:rsidTr="00CC2FAC">
        <w:trPr>
          <w:jc w:val="center"/>
        </w:trPr>
        <w:tc>
          <w:tcPr>
            <w:tcW w:w="5670" w:type="dxa"/>
            <w:shd w:val="clear" w:color="auto" w:fill="auto"/>
          </w:tcPr>
          <w:p w14:paraId="30D22933" w14:textId="77777777" w:rsidR="00302BFE" w:rsidRPr="00D45B3D" w:rsidRDefault="00302BFE" w:rsidP="00243B15">
            <w:pPr>
              <w:rPr>
                <w:i/>
                <w:color w:val="4472C4"/>
                <w:sz w:val="16"/>
                <w:szCs w:val="16"/>
                <w:lang w:val="en-CA"/>
              </w:rPr>
            </w:pPr>
            <w:r w:rsidRPr="00D45B3D">
              <w:rPr>
                <w:i/>
                <w:color w:val="4472C4"/>
                <w:sz w:val="16"/>
                <w:szCs w:val="16"/>
                <w:lang w:val="en-GB"/>
              </w:rPr>
              <w:t>2.4.1 The resolution of human-elephant conflicts in the PONASI landscape using the SAFE Systems approach</w:t>
            </w:r>
          </w:p>
        </w:tc>
        <w:tc>
          <w:tcPr>
            <w:tcW w:w="340" w:type="dxa"/>
            <w:shd w:val="clear" w:color="auto" w:fill="auto"/>
          </w:tcPr>
          <w:p w14:paraId="098352BC" w14:textId="77777777" w:rsidR="00302BFE" w:rsidRPr="00D45B3D" w:rsidRDefault="00302BFE" w:rsidP="00243B15">
            <w:pPr>
              <w:rPr>
                <w:lang w:val="en-CA"/>
              </w:rPr>
            </w:pPr>
          </w:p>
        </w:tc>
        <w:tc>
          <w:tcPr>
            <w:tcW w:w="340" w:type="dxa"/>
            <w:shd w:val="clear" w:color="auto" w:fill="auto"/>
          </w:tcPr>
          <w:p w14:paraId="0E09BB89" w14:textId="77777777" w:rsidR="00302BFE" w:rsidRPr="00D45B3D" w:rsidRDefault="00302BFE" w:rsidP="00243B15">
            <w:pPr>
              <w:rPr>
                <w:lang w:val="en-CA"/>
              </w:rPr>
            </w:pPr>
          </w:p>
        </w:tc>
        <w:tc>
          <w:tcPr>
            <w:tcW w:w="340" w:type="dxa"/>
            <w:shd w:val="clear" w:color="auto" w:fill="D9D9D9"/>
          </w:tcPr>
          <w:p w14:paraId="266C23F4" w14:textId="77777777" w:rsidR="00302BFE" w:rsidRPr="00D45B3D" w:rsidRDefault="00302BFE" w:rsidP="00243B15">
            <w:pPr>
              <w:rPr>
                <w:lang w:val="en-CA"/>
              </w:rPr>
            </w:pPr>
          </w:p>
        </w:tc>
        <w:tc>
          <w:tcPr>
            <w:tcW w:w="340" w:type="dxa"/>
            <w:shd w:val="clear" w:color="auto" w:fill="D9D9D9"/>
          </w:tcPr>
          <w:p w14:paraId="1DAC0F6D" w14:textId="77777777" w:rsidR="00302BFE" w:rsidRPr="00D45B3D" w:rsidRDefault="00302BFE" w:rsidP="00243B15">
            <w:pPr>
              <w:rPr>
                <w:lang w:val="en-CA"/>
              </w:rPr>
            </w:pPr>
          </w:p>
        </w:tc>
        <w:tc>
          <w:tcPr>
            <w:tcW w:w="340" w:type="dxa"/>
            <w:shd w:val="clear" w:color="auto" w:fill="D9D9D9"/>
          </w:tcPr>
          <w:p w14:paraId="6CD87C85" w14:textId="77777777" w:rsidR="00302BFE" w:rsidRPr="00D45B3D" w:rsidRDefault="00302BFE" w:rsidP="00243B15">
            <w:pPr>
              <w:rPr>
                <w:lang w:val="en-CA"/>
              </w:rPr>
            </w:pPr>
          </w:p>
        </w:tc>
        <w:tc>
          <w:tcPr>
            <w:tcW w:w="340" w:type="dxa"/>
            <w:shd w:val="clear" w:color="auto" w:fill="D9D9D9"/>
          </w:tcPr>
          <w:p w14:paraId="482DF5CC" w14:textId="77777777" w:rsidR="00302BFE" w:rsidRPr="00D45B3D" w:rsidRDefault="00302BFE" w:rsidP="00243B15">
            <w:pPr>
              <w:rPr>
                <w:lang w:val="en-CA"/>
              </w:rPr>
            </w:pPr>
          </w:p>
        </w:tc>
        <w:tc>
          <w:tcPr>
            <w:tcW w:w="340" w:type="dxa"/>
            <w:shd w:val="clear" w:color="auto" w:fill="D9D9D9"/>
          </w:tcPr>
          <w:p w14:paraId="263B7A23" w14:textId="77777777" w:rsidR="00302BFE" w:rsidRPr="00D45B3D" w:rsidRDefault="00302BFE" w:rsidP="00243B15">
            <w:pPr>
              <w:rPr>
                <w:lang w:val="en-CA"/>
              </w:rPr>
            </w:pPr>
          </w:p>
        </w:tc>
        <w:tc>
          <w:tcPr>
            <w:tcW w:w="340" w:type="dxa"/>
            <w:shd w:val="clear" w:color="auto" w:fill="D9D9D9"/>
          </w:tcPr>
          <w:p w14:paraId="52C96130" w14:textId="77777777" w:rsidR="00302BFE" w:rsidRPr="00D45B3D" w:rsidRDefault="00302BFE" w:rsidP="00243B15">
            <w:pPr>
              <w:rPr>
                <w:lang w:val="en-CA"/>
              </w:rPr>
            </w:pPr>
          </w:p>
        </w:tc>
        <w:tc>
          <w:tcPr>
            <w:tcW w:w="340" w:type="dxa"/>
            <w:shd w:val="clear" w:color="auto" w:fill="D9D9D9"/>
          </w:tcPr>
          <w:p w14:paraId="12A24B6D" w14:textId="77777777" w:rsidR="00302BFE" w:rsidRPr="00D45B3D" w:rsidRDefault="00302BFE" w:rsidP="00243B15">
            <w:pPr>
              <w:rPr>
                <w:lang w:val="en-CA"/>
              </w:rPr>
            </w:pPr>
          </w:p>
        </w:tc>
        <w:tc>
          <w:tcPr>
            <w:tcW w:w="340" w:type="dxa"/>
            <w:shd w:val="clear" w:color="auto" w:fill="D9D9D9"/>
          </w:tcPr>
          <w:p w14:paraId="77345808" w14:textId="77777777" w:rsidR="00302BFE" w:rsidRPr="00D45B3D" w:rsidRDefault="00302BFE" w:rsidP="00243B15">
            <w:pPr>
              <w:rPr>
                <w:lang w:val="en-CA"/>
              </w:rPr>
            </w:pPr>
          </w:p>
        </w:tc>
        <w:tc>
          <w:tcPr>
            <w:tcW w:w="340" w:type="dxa"/>
            <w:shd w:val="clear" w:color="auto" w:fill="D9D9D9"/>
          </w:tcPr>
          <w:p w14:paraId="2E221707" w14:textId="77777777" w:rsidR="00302BFE" w:rsidRPr="00D45B3D" w:rsidRDefault="00302BFE" w:rsidP="00243B15">
            <w:pPr>
              <w:rPr>
                <w:lang w:val="en-CA"/>
              </w:rPr>
            </w:pPr>
          </w:p>
        </w:tc>
        <w:tc>
          <w:tcPr>
            <w:tcW w:w="340" w:type="dxa"/>
            <w:shd w:val="clear" w:color="auto" w:fill="D9D9D9"/>
          </w:tcPr>
          <w:p w14:paraId="6CDA4593" w14:textId="77777777" w:rsidR="00302BFE" w:rsidRPr="00D45B3D" w:rsidRDefault="00302BFE" w:rsidP="00243B15">
            <w:pPr>
              <w:rPr>
                <w:lang w:val="en-CA"/>
              </w:rPr>
            </w:pPr>
          </w:p>
        </w:tc>
        <w:tc>
          <w:tcPr>
            <w:tcW w:w="340" w:type="dxa"/>
            <w:shd w:val="clear" w:color="auto" w:fill="D9D9D9"/>
          </w:tcPr>
          <w:p w14:paraId="0CAC1709" w14:textId="77777777" w:rsidR="00302BFE" w:rsidRPr="00D45B3D" w:rsidRDefault="00302BFE" w:rsidP="00243B15">
            <w:pPr>
              <w:rPr>
                <w:lang w:val="en-CA"/>
              </w:rPr>
            </w:pPr>
          </w:p>
        </w:tc>
        <w:tc>
          <w:tcPr>
            <w:tcW w:w="340" w:type="dxa"/>
            <w:shd w:val="clear" w:color="auto" w:fill="D9D9D9"/>
          </w:tcPr>
          <w:p w14:paraId="40FC66D9" w14:textId="77777777" w:rsidR="00302BFE" w:rsidRPr="00D45B3D" w:rsidRDefault="00302BFE" w:rsidP="00243B15">
            <w:pPr>
              <w:rPr>
                <w:lang w:val="en-CA"/>
              </w:rPr>
            </w:pPr>
          </w:p>
        </w:tc>
        <w:tc>
          <w:tcPr>
            <w:tcW w:w="340" w:type="dxa"/>
            <w:shd w:val="clear" w:color="auto" w:fill="D9D9D9"/>
          </w:tcPr>
          <w:p w14:paraId="2E025D9D" w14:textId="77777777" w:rsidR="00302BFE" w:rsidRPr="00D45B3D" w:rsidRDefault="00302BFE" w:rsidP="00243B15">
            <w:pPr>
              <w:rPr>
                <w:lang w:val="en-CA"/>
              </w:rPr>
            </w:pPr>
          </w:p>
        </w:tc>
        <w:tc>
          <w:tcPr>
            <w:tcW w:w="340" w:type="dxa"/>
            <w:shd w:val="clear" w:color="auto" w:fill="D9D9D9"/>
          </w:tcPr>
          <w:p w14:paraId="2BCE0E27" w14:textId="77777777" w:rsidR="00302BFE" w:rsidRPr="00D45B3D" w:rsidRDefault="00302BFE" w:rsidP="00243B15">
            <w:pPr>
              <w:rPr>
                <w:lang w:val="en-CA"/>
              </w:rPr>
            </w:pPr>
          </w:p>
        </w:tc>
        <w:tc>
          <w:tcPr>
            <w:tcW w:w="340" w:type="dxa"/>
            <w:shd w:val="clear" w:color="auto" w:fill="D9D9D9"/>
          </w:tcPr>
          <w:p w14:paraId="1B01B7E6" w14:textId="77777777" w:rsidR="00302BFE" w:rsidRPr="00D45B3D" w:rsidRDefault="00302BFE" w:rsidP="00243B15">
            <w:pPr>
              <w:rPr>
                <w:lang w:val="en-CA"/>
              </w:rPr>
            </w:pPr>
          </w:p>
        </w:tc>
        <w:tc>
          <w:tcPr>
            <w:tcW w:w="340" w:type="dxa"/>
            <w:shd w:val="clear" w:color="auto" w:fill="D9D9D9"/>
          </w:tcPr>
          <w:p w14:paraId="2BF8C234" w14:textId="77777777" w:rsidR="00302BFE" w:rsidRPr="00D45B3D" w:rsidRDefault="00302BFE" w:rsidP="00243B15">
            <w:pPr>
              <w:rPr>
                <w:lang w:val="en-CA"/>
              </w:rPr>
            </w:pPr>
          </w:p>
        </w:tc>
        <w:tc>
          <w:tcPr>
            <w:tcW w:w="340" w:type="dxa"/>
            <w:shd w:val="clear" w:color="auto" w:fill="D9D9D9"/>
          </w:tcPr>
          <w:p w14:paraId="013F21F5" w14:textId="77777777" w:rsidR="00302BFE" w:rsidRPr="00D45B3D" w:rsidRDefault="00302BFE" w:rsidP="00243B15">
            <w:pPr>
              <w:rPr>
                <w:lang w:val="en-CA"/>
              </w:rPr>
            </w:pPr>
          </w:p>
        </w:tc>
        <w:tc>
          <w:tcPr>
            <w:tcW w:w="340" w:type="dxa"/>
            <w:shd w:val="clear" w:color="auto" w:fill="D9D9D9"/>
          </w:tcPr>
          <w:p w14:paraId="6E06580B"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046C8600"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525D7182" w14:textId="77777777" w:rsidR="00302BFE" w:rsidRPr="00D45B3D" w:rsidRDefault="00302BFE" w:rsidP="00243B15">
            <w:pPr>
              <w:rPr>
                <w:lang w:val="en-CA"/>
              </w:rPr>
            </w:pPr>
          </w:p>
        </w:tc>
        <w:tc>
          <w:tcPr>
            <w:tcW w:w="340" w:type="dxa"/>
            <w:shd w:val="clear" w:color="auto" w:fill="D9D9D9"/>
          </w:tcPr>
          <w:p w14:paraId="65D87B50" w14:textId="77777777" w:rsidR="00302BFE" w:rsidRPr="00D45B3D" w:rsidRDefault="00302BFE" w:rsidP="00243B15">
            <w:pPr>
              <w:rPr>
                <w:lang w:val="en-CA"/>
              </w:rPr>
            </w:pPr>
          </w:p>
        </w:tc>
        <w:tc>
          <w:tcPr>
            <w:tcW w:w="340" w:type="dxa"/>
            <w:shd w:val="clear" w:color="auto" w:fill="auto"/>
          </w:tcPr>
          <w:p w14:paraId="3CFFAC44" w14:textId="77777777" w:rsidR="00302BFE" w:rsidRPr="00D45B3D" w:rsidRDefault="00302BFE" w:rsidP="00243B15">
            <w:pPr>
              <w:rPr>
                <w:lang w:val="en-CA"/>
              </w:rPr>
            </w:pPr>
          </w:p>
        </w:tc>
      </w:tr>
      <w:tr w:rsidR="00EC409B" w:rsidRPr="00D45B3D" w14:paraId="2F07096D" w14:textId="77777777" w:rsidTr="00755BF9">
        <w:trPr>
          <w:jc w:val="center"/>
        </w:trPr>
        <w:tc>
          <w:tcPr>
            <w:tcW w:w="5670" w:type="dxa"/>
            <w:shd w:val="clear" w:color="auto" w:fill="auto"/>
          </w:tcPr>
          <w:p w14:paraId="577D0243" w14:textId="77777777" w:rsidR="00302BFE" w:rsidRPr="00D45B3D" w:rsidRDefault="00302BFE" w:rsidP="00243B15">
            <w:pPr>
              <w:rPr>
                <w:i/>
                <w:color w:val="4472C4"/>
                <w:sz w:val="16"/>
                <w:szCs w:val="16"/>
                <w:lang w:val="en-CA"/>
              </w:rPr>
            </w:pPr>
            <w:r w:rsidRPr="00D45B3D">
              <w:rPr>
                <w:i/>
                <w:color w:val="4472C4"/>
                <w:sz w:val="16"/>
                <w:szCs w:val="16"/>
                <w:lang w:val="en-GB"/>
              </w:rPr>
              <w:t>2.4.2 Research program on elephant movements within and outside the PONASI landscape</w:t>
            </w:r>
          </w:p>
        </w:tc>
        <w:tc>
          <w:tcPr>
            <w:tcW w:w="340" w:type="dxa"/>
            <w:shd w:val="clear" w:color="auto" w:fill="auto"/>
          </w:tcPr>
          <w:p w14:paraId="71CCB8ED" w14:textId="77777777" w:rsidR="00302BFE" w:rsidRPr="00D45B3D" w:rsidRDefault="00302BFE" w:rsidP="00243B15">
            <w:pPr>
              <w:rPr>
                <w:lang w:val="en-CA"/>
              </w:rPr>
            </w:pPr>
          </w:p>
        </w:tc>
        <w:tc>
          <w:tcPr>
            <w:tcW w:w="340" w:type="dxa"/>
            <w:shd w:val="clear" w:color="auto" w:fill="auto"/>
          </w:tcPr>
          <w:p w14:paraId="55DF4E36" w14:textId="77777777" w:rsidR="00302BFE" w:rsidRPr="00D45B3D" w:rsidRDefault="00302BFE" w:rsidP="00243B15">
            <w:pPr>
              <w:rPr>
                <w:lang w:val="en-CA"/>
              </w:rPr>
            </w:pPr>
          </w:p>
        </w:tc>
        <w:tc>
          <w:tcPr>
            <w:tcW w:w="340" w:type="dxa"/>
            <w:shd w:val="clear" w:color="auto" w:fill="D9D9D9"/>
          </w:tcPr>
          <w:p w14:paraId="72C86008" w14:textId="77777777" w:rsidR="00302BFE" w:rsidRPr="00D45B3D" w:rsidRDefault="00302BFE" w:rsidP="00243B15">
            <w:pPr>
              <w:rPr>
                <w:lang w:val="en-CA"/>
              </w:rPr>
            </w:pPr>
          </w:p>
        </w:tc>
        <w:tc>
          <w:tcPr>
            <w:tcW w:w="340" w:type="dxa"/>
            <w:shd w:val="clear" w:color="auto" w:fill="D9D9D9"/>
          </w:tcPr>
          <w:p w14:paraId="0C18FAC3" w14:textId="77777777" w:rsidR="00302BFE" w:rsidRPr="00D45B3D" w:rsidRDefault="00302BFE" w:rsidP="00243B15">
            <w:pPr>
              <w:rPr>
                <w:lang w:val="en-CA"/>
              </w:rPr>
            </w:pPr>
          </w:p>
        </w:tc>
        <w:tc>
          <w:tcPr>
            <w:tcW w:w="340" w:type="dxa"/>
            <w:shd w:val="clear" w:color="auto" w:fill="D9D9D9"/>
          </w:tcPr>
          <w:p w14:paraId="3558B507" w14:textId="77777777" w:rsidR="00302BFE" w:rsidRPr="00D45B3D" w:rsidRDefault="00302BFE" w:rsidP="00243B15">
            <w:pPr>
              <w:rPr>
                <w:lang w:val="en-CA"/>
              </w:rPr>
            </w:pPr>
          </w:p>
        </w:tc>
        <w:tc>
          <w:tcPr>
            <w:tcW w:w="340" w:type="dxa"/>
            <w:shd w:val="clear" w:color="auto" w:fill="D9D9D9"/>
          </w:tcPr>
          <w:p w14:paraId="27258B23" w14:textId="77777777" w:rsidR="00302BFE" w:rsidRPr="00D45B3D" w:rsidRDefault="00302BFE" w:rsidP="00243B15">
            <w:pPr>
              <w:rPr>
                <w:lang w:val="en-CA"/>
              </w:rPr>
            </w:pPr>
          </w:p>
        </w:tc>
        <w:tc>
          <w:tcPr>
            <w:tcW w:w="340" w:type="dxa"/>
            <w:shd w:val="clear" w:color="auto" w:fill="D9D9D9"/>
          </w:tcPr>
          <w:p w14:paraId="66577D07" w14:textId="77777777" w:rsidR="00302BFE" w:rsidRPr="00D45B3D" w:rsidRDefault="00302BFE" w:rsidP="00243B15">
            <w:pPr>
              <w:rPr>
                <w:lang w:val="en-CA"/>
              </w:rPr>
            </w:pPr>
          </w:p>
        </w:tc>
        <w:tc>
          <w:tcPr>
            <w:tcW w:w="340" w:type="dxa"/>
            <w:shd w:val="clear" w:color="auto" w:fill="D9D9D9"/>
          </w:tcPr>
          <w:p w14:paraId="4564620A" w14:textId="77777777" w:rsidR="00302BFE" w:rsidRPr="00D45B3D" w:rsidRDefault="00302BFE" w:rsidP="00243B15">
            <w:pPr>
              <w:rPr>
                <w:lang w:val="en-CA"/>
              </w:rPr>
            </w:pPr>
          </w:p>
        </w:tc>
        <w:tc>
          <w:tcPr>
            <w:tcW w:w="340" w:type="dxa"/>
            <w:shd w:val="clear" w:color="auto" w:fill="D9D9D9"/>
          </w:tcPr>
          <w:p w14:paraId="3711F412" w14:textId="77777777" w:rsidR="00302BFE" w:rsidRPr="00D45B3D" w:rsidRDefault="00302BFE" w:rsidP="00243B15">
            <w:pPr>
              <w:rPr>
                <w:lang w:val="en-CA"/>
              </w:rPr>
            </w:pPr>
          </w:p>
        </w:tc>
        <w:tc>
          <w:tcPr>
            <w:tcW w:w="340" w:type="dxa"/>
            <w:shd w:val="clear" w:color="auto" w:fill="D9D9D9"/>
          </w:tcPr>
          <w:p w14:paraId="46CD3998"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4A275B01"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62DB069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7987E70"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0374F48" w14:textId="77777777" w:rsidR="00302BFE" w:rsidRPr="00D45B3D" w:rsidRDefault="00302BFE" w:rsidP="00243B15">
            <w:pPr>
              <w:rPr>
                <w:lang w:val="en-CA"/>
              </w:rPr>
            </w:pPr>
          </w:p>
        </w:tc>
        <w:tc>
          <w:tcPr>
            <w:tcW w:w="340" w:type="dxa"/>
            <w:tcBorders>
              <w:bottom w:val="single" w:sz="4" w:space="0" w:color="auto"/>
            </w:tcBorders>
            <w:shd w:val="clear" w:color="auto" w:fill="auto"/>
          </w:tcPr>
          <w:p w14:paraId="64E9204C"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E88E4B7"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4BB384A"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D6B59BB"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A5E358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B382050" w14:textId="77777777" w:rsidR="00302BFE" w:rsidRPr="00D45B3D" w:rsidRDefault="00302BFE" w:rsidP="00243B15">
            <w:pPr>
              <w:rPr>
                <w:lang w:val="en-CA"/>
              </w:rPr>
            </w:pPr>
          </w:p>
        </w:tc>
        <w:tc>
          <w:tcPr>
            <w:tcW w:w="340" w:type="dxa"/>
            <w:shd w:val="clear" w:color="auto" w:fill="D9D9D9"/>
          </w:tcPr>
          <w:p w14:paraId="033C4D3F" w14:textId="77777777" w:rsidR="00302BFE" w:rsidRPr="00D45B3D" w:rsidRDefault="00302BFE" w:rsidP="00243B15">
            <w:pPr>
              <w:rPr>
                <w:lang w:val="en-CA"/>
              </w:rPr>
            </w:pPr>
          </w:p>
        </w:tc>
        <w:tc>
          <w:tcPr>
            <w:tcW w:w="340" w:type="dxa"/>
            <w:shd w:val="clear" w:color="auto" w:fill="D9D9D9"/>
          </w:tcPr>
          <w:p w14:paraId="3B6C157F" w14:textId="77777777" w:rsidR="00302BFE" w:rsidRPr="00D45B3D" w:rsidRDefault="00302BFE" w:rsidP="00243B15">
            <w:pPr>
              <w:rPr>
                <w:lang w:val="en-CA"/>
              </w:rPr>
            </w:pPr>
          </w:p>
        </w:tc>
        <w:tc>
          <w:tcPr>
            <w:tcW w:w="340" w:type="dxa"/>
            <w:shd w:val="clear" w:color="auto" w:fill="auto"/>
          </w:tcPr>
          <w:p w14:paraId="3C81780A" w14:textId="77777777" w:rsidR="00302BFE" w:rsidRPr="00D45B3D" w:rsidRDefault="00302BFE" w:rsidP="00243B15">
            <w:pPr>
              <w:rPr>
                <w:lang w:val="en-CA"/>
              </w:rPr>
            </w:pPr>
          </w:p>
        </w:tc>
        <w:tc>
          <w:tcPr>
            <w:tcW w:w="340" w:type="dxa"/>
            <w:shd w:val="clear" w:color="auto" w:fill="auto"/>
          </w:tcPr>
          <w:p w14:paraId="4DE6EC60" w14:textId="77777777" w:rsidR="00302BFE" w:rsidRPr="00D45B3D" w:rsidRDefault="00302BFE" w:rsidP="00243B15">
            <w:pPr>
              <w:rPr>
                <w:lang w:val="en-CA"/>
              </w:rPr>
            </w:pPr>
          </w:p>
        </w:tc>
      </w:tr>
      <w:tr w:rsidR="00EC409B" w:rsidRPr="00D45B3D" w14:paraId="033573FB" w14:textId="77777777" w:rsidTr="00755BF9">
        <w:trPr>
          <w:jc w:val="center"/>
        </w:trPr>
        <w:tc>
          <w:tcPr>
            <w:tcW w:w="5670" w:type="dxa"/>
            <w:shd w:val="clear" w:color="auto" w:fill="auto"/>
          </w:tcPr>
          <w:p w14:paraId="3C015950" w14:textId="77777777" w:rsidR="00302BFE" w:rsidRPr="00D45B3D" w:rsidRDefault="00302BFE" w:rsidP="00243B15">
            <w:pPr>
              <w:rPr>
                <w:i/>
                <w:color w:val="4472C4"/>
                <w:sz w:val="16"/>
                <w:szCs w:val="16"/>
                <w:lang w:val="en-CA"/>
              </w:rPr>
            </w:pPr>
            <w:r w:rsidRPr="00D45B3D">
              <w:rPr>
                <w:i/>
                <w:color w:val="4472C4"/>
                <w:sz w:val="16"/>
                <w:szCs w:val="16"/>
                <w:lang w:val="en-GB"/>
              </w:rPr>
              <w:t>2.4.3 Renewal of transboundary collaboration agreements with Ghana for the conservation of shared natural resources</w:t>
            </w:r>
          </w:p>
        </w:tc>
        <w:tc>
          <w:tcPr>
            <w:tcW w:w="340" w:type="dxa"/>
            <w:shd w:val="clear" w:color="auto" w:fill="auto"/>
          </w:tcPr>
          <w:p w14:paraId="1ACC2D2E" w14:textId="77777777" w:rsidR="00302BFE" w:rsidRPr="00D45B3D" w:rsidRDefault="00302BFE" w:rsidP="00243B15">
            <w:pPr>
              <w:rPr>
                <w:lang w:val="en-CA"/>
              </w:rPr>
            </w:pPr>
          </w:p>
        </w:tc>
        <w:tc>
          <w:tcPr>
            <w:tcW w:w="340" w:type="dxa"/>
            <w:shd w:val="clear" w:color="auto" w:fill="auto"/>
          </w:tcPr>
          <w:p w14:paraId="25EDEC65" w14:textId="77777777" w:rsidR="00302BFE" w:rsidRPr="00D45B3D" w:rsidRDefault="00302BFE" w:rsidP="00243B15">
            <w:pPr>
              <w:rPr>
                <w:lang w:val="en-CA"/>
              </w:rPr>
            </w:pPr>
          </w:p>
        </w:tc>
        <w:tc>
          <w:tcPr>
            <w:tcW w:w="340" w:type="dxa"/>
            <w:shd w:val="clear" w:color="auto" w:fill="auto"/>
          </w:tcPr>
          <w:p w14:paraId="33929863" w14:textId="77777777" w:rsidR="00302BFE" w:rsidRPr="00D45B3D" w:rsidRDefault="00302BFE" w:rsidP="00243B15">
            <w:pPr>
              <w:rPr>
                <w:lang w:val="en-CA"/>
              </w:rPr>
            </w:pPr>
          </w:p>
        </w:tc>
        <w:tc>
          <w:tcPr>
            <w:tcW w:w="340" w:type="dxa"/>
            <w:shd w:val="clear" w:color="auto" w:fill="auto"/>
          </w:tcPr>
          <w:p w14:paraId="19ECE290" w14:textId="77777777" w:rsidR="00302BFE" w:rsidRPr="00D45B3D" w:rsidRDefault="00302BFE" w:rsidP="00243B15">
            <w:pPr>
              <w:rPr>
                <w:lang w:val="en-CA"/>
              </w:rPr>
            </w:pPr>
          </w:p>
        </w:tc>
        <w:tc>
          <w:tcPr>
            <w:tcW w:w="340" w:type="dxa"/>
            <w:shd w:val="clear" w:color="auto" w:fill="auto"/>
          </w:tcPr>
          <w:p w14:paraId="2FBC6490" w14:textId="77777777" w:rsidR="00302BFE" w:rsidRPr="00D45B3D" w:rsidRDefault="00302BFE" w:rsidP="00243B15">
            <w:pPr>
              <w:rPr>
                <w:lang w:val="en-CA"/>
              </w:rPr>
            </w:pPr>
          </w:p>
        </w:tc>
        <w:tc>
          <w:tcPr>
            <w:tcW w:w="340" w:type="dxa"/>
            <w:shd w:val="clear" w:color="auto" w:fill="auto"/>
          </w:tcPr>
          <w:p w14:paraId="696AAF44" w14:textId="77777777" w:rsidR="00302BFE" w:rsidRPr="00D45B3D" w:rsidRDefault="00302BFE" w:rsidP="00243B15">
            <w:pPr>
              <w:rPr>
                <w:lang w:val="en-CA"/>
              </w:rPr>
            </w:pPr>
          </w:p>
        </w:tc>
        <w:tc>
          <w:tcPr>
            <w:tcW w:w="340" w:type="dxa"/>
            <w:shd w:val="clear" w:color="auto" w:fill="auto"/>
          </w:tcPr>
          <w:p w14:paraId="3CD2C46E" w14:textId="77777777" w:rsidR="00302BFE" w:rsidRPr="00D45B3D" w:rsidRDefault="00302BFE" w:rsidP="00243B15">
            <w:pPr>
              <w:rPr>
                <w:lang w:val="en-CA"/>
              </w:rPr>
            </w:pPr>
          </w:p>
        </w:tc>
        <w:tc>
          <w:tcPr>
            <w:tcW w:w="340" w:type="dxa"/>
            <w:shd w:val="clear" w:color="auto" w:fill="auto"/>
          </w:tcPr>
          <w:p w14:paraId="7CC68C0B" w14:textId="77777777" w:rsidR="00302BFE" w:rsidRPr="00D45B3D" w:rsidRDefault="00302BFE" w:rsidP="00243B15">
            <w:pPr>
              <w:rPr>
                <w:lang w:val="en-CA"/>
              </w:rPr>
            </w:pPr>
          </w:p>
        </w:tc>
        <w:tc>
          <w:tcPr>
            <w:tcW w:w="340" w:type="dxa"/>
            <w:shd w:val="clear" w:color="auto" w:fill="auto"/>
          </w:tcPr>
          <w:p w14:paraId="67F78B43" w14:textId="77777777" w:rsidR="00302BFE" w:rsidRPr="00D45B3D" w:rsidRDefault="00302BFE" w:rsidP="00243B15">
            <w:pPr>
              <w:rPr>
                <w:lang w:val="en-CA"/>
              </w:rPr>
            </w:pPr>
          </w:p>
        </w:tc>
        <w:tc>
          <w:tcPr>
            <w:tcW w:w="340" w:type="dxa"/>
            <w:shd w:val="clear" w:color="auto" w:fill="auto"/>
          </w:tcPr>
          <w:p w14:paraId="1EA6808E" w14:textId="77777777" w:rsidR="00302BFE" w:rsidRPr="00D45B3D" w:rsidRDefault="00302BFE" w:rsidP="00243B15">
            <w:pPr>
              <w:rPr>
                <w:lang w:val="en-CA"/>
              </w:rPr>
            </w:pPr>
          </w:p>
        </w:tc>
        <w:tc>
          <w:tcPr>
            <w:tcW w:w="340" w:type="dxa"/>
            <w:shd w:val="clear" w:color="auto" w:fill="D9D9D9"/>
          </w:tcPr>
          <w:p w14:paraId="749E7AAF" w14:textId="77777777" w:rsidR="00302BFE" w:rsidRPr="00D45B3D" w:rsidRDefault="00302BFE" w:rsidP="00243B15">
            <w:pPr>
              <w:rPr>
                <w:lang w:val="en-CA"/>
              </w:rPr>
            </w:pPr>
          </w:p>
        </w:tc>
        <w:tc>
          <w:tcPr>
            <w:tcW w:w="340" w:type="dxa"/>
            <w:shd w:val="clear" w:color="auto" w:fill="D9D9D9"/>
          </w:tcPr>
          <w:p w14:paraId="7ED58721" w14:textId="77777777" w:rsidR="00302BFE" w:rsidRPr="00D45B3D" w:rsidRDefault="00302BFE" w:rsidP="00243B15">
            <w:pPr>
              <w:rPr>
                <w:lang w:val="en-CA"/>
              </w:rPr>
            </w:pPr>
          </w:p>
        </w:tc>
        <w:tc>
          <w:tcPr>
            <w:tcW w:w="340" w:type="dxa"/>
            <w:shd w:val="clear" w:color="auto" w:fill="D9D9D9"/>
          </w:tcPr>
          <w:p w14:paraId="60ADEB0E" w14:textId="77777777" w:rsidR="00302BFE" w:rsidRPr="00D45B3D" w:rsidRDefault="00302BFE" w:rsidP="00243B15">
            <w:pPr>
              <w:rPr>
                <w:lang w:val="en-CA"/>
              </w:rPr>
            </w:pPr>
          </w:p>
        </w:tc>
        <w:tc>
          <w:tcPr>
            <w:tcW w:w="340" w:type="dxa"/>
            <w:shd w:val="clear" w:color="auto" w:fill="D9D9D9"/>
          </w:tcPr>
          <w:p w14:paraId="0B1F71D9" w14:textId="77777777" w:rsidR="00302BFE" w:rsidRPr="00D45B3D" w:rsidRDefault="00302BFE" w:rsidP="00243B15">
            <w:pPr>
              <w:rPr>
                <w:lang w:val="en-CA"/>
              </w:rPr>
            </w:pPr>
          </w:p>
        </w:tc>
        <w:tc>
          <w:tcPr>
            <w:tcW w:w="340" w:type="dxa"/>
            <w:shd w:val="clear" w:color="auto" w:fill="D9D9D9"/>
          </w:tcPr>
          <w:p w14:paraId="505F4BAD" w14:textId="77777777" w:rsidR="00302BFE" w:rsidRPr="00D45B3D" w:rsidRDefault="00302BFE" w:rsidP="00243B15">
            <w:pPr>
              <w:rPr>
                <w:lang w:val="en-CA"/>
              </w:rPr>
            </w:pPr>
          </w:p>
        </w:tc>
        <w:tc>
          <w:tcPr>
            <w:tcW w:w="340" w:type="dxa"/>
            <w:shd w:val="clear" w:color="auto" w:fill="D9D9D9"/>
          </w:tcPr>
          <w:p w14:paraId="72E70E60" w14:textId="77777777" w:rsidR="00302BFE" w:rsidRPr="00D45B3D" w:rsidRDefault="00302BFE" w:rsidP="00243B15">
            <w:pPr>
              <w:rPr>
                <w:lang w:val="en-CA"/>
              </w:rPr>
            </w:pPr>
          </w:p>
        </w:tc>
        <w:tc>
          <w:tcPr>
            <w:tcW w:w="340" w:type="dxa"/>
            <w:shd w:val="clear" w:color="auto" w:fill="D9D9D9"/>
          </w:tcPr>
          <w:p w14:paraId="251F739C" w14:textId="77777777" w:rsidR="00302BFE" w:rsidRPr="00D45B3D" w:rsidRDefault="00302BFE" w:rsidP="00243B15">
            <w:pPr>
              <w:rPr>
                <w:lang w:val="en-CA"/>
              </w:rPr>
            </w:pPr>
          </w:p>
        </w:tc>
        <w:tc>
          <w:tcPr>
            <w:tcW w:w="340" w:type="dxa"/>
            <w:shd w:val="clear" w:color="auto" w:fill="D9D9D9"/>
          </w:tcPr>
          <w:p w14:paraId="42A2EF87" w14:textId="77777777" w:rsidR="00302BFE" w:rsidRPr="00D45B3D" w:rsidRDefault="00302BFE" w:rsidP="00243B15">
            <w:pPr>
              <w:rPr>
                <w:lang w:val="en-CA"/>
              </w:rPr>
            </w:pPr>
          </w:p>
        </w:tc>
        <w:tc>
          <w:tcPr>
            <w:tcW w:w="340" w:type="dxa"/>
            <w:shd w:val="clear" w:color="auto" w:fill="D9D9D9"/>
          </w:tcPr>
          <w:p w14:paraId="7FCBEF4C" w14:textId="77777777" w:rsidR="00302BFE" w:rsidRPr="00D45B3D" w:rsidRDefault="00302BFE" w:rsidP="00243B15">
            <w:pPr>
              <w:rPr>
                <w:lang w:val="en-CA"/>
              </w:rPr>
            </w:pPr>
          </w:p>
        </w:tc>
        <w:tc>
          <w:tcPr>
            <w:tcW w:w="340" w:type="dxa"/>
            <w:shd w:val="clear" w:color="auto" w:fill="D9D9D9"/>
          </w:tcPr>
          <w:p w14:paraId="4DA82DF8" w14:textId="77777777" w:rsidR="00302BFE" w:rsidRPr="00D45B3D" w:rsidRDefault="00302BFE" w:rsidP="00243B15">
            <w:pPr>
              <w:rPr>
                <w:lang w:val="en-CA"/>
              </w:rPr>
            </w:pPr>
          </w:p>
        </w:tc>
        <w:tc>
          <w:tcPr>
            <w:tcW w:w="340" w:type="dxa"/>
            <w:shd w:val="clear" w:color="auto" w:fill="auto"/>
          </w:tcPr>
          <w:p w14:paraId="47F86A92" w14:textId="77777777" w:rsidR="00302BFE" w:rsidRPr="00D45B3D" w:rsidRDefault="00302BFE" w:rsidP="00243B15">
            <w:pPr>
              <w:rPr>
                <w:lang w:val="en-CA"/>
              </w:rPr>
            </w:pPr>
          </w:p>
        </w:tc>
        <w:tc>
          <w:tcPr>
            <w:tcW w:w="340" w:type="dxa"/>
            <w:shd w:val="clear" w:color="auto" w:fill="auto"/>
          </w:tcPr>
          <w:p w14:paraId="201D36F6" w14:textId="77777777" w:rsidR="00302BFE" w:rsidRPr="00D45B3D" w:rsidRDefault="00302BFE" w:rsidP="00243B15">
            <w:pPr>
              <w:rPr>
                <w:lang w:val="en-CA"/>
              </w:rPr>
            </w:pPr>
          </w:p>
        </w:tc>
        <w:tc>
          <w:tcPr>
            <w:tcW w:w="340" w:type="dxa"/>
            <w:shd w:val="clear" w:color="auto" w:fill="auto"/>
          </w:tcPr>
          <w:p w14:paraId="1BD23FA1" w14:textId="77777777" w:rsidR="00302BFE" w:rsidRPr="00D45B3D" w:rsidRDefault="00302BFE" w:rsidP="00243B15">
            <w:pPr>
              <w:rPr>
                <w:lang w:val="en-CA"/>
              </w:rPr>
            </w:pPr>
          </w:p>
        </w:tc>
        <w:tc>
          <w:tcPr>
            <w:tcW w:w="340" w:type="dxa"/>
            <w:shd w:val="clear" w:color="auto" w:fill="auto"/>
          </w:tcPr>
          <w:p w14:paraId="6BDFC92B" w14:textId="77777777" w:rsidR="00302BFE" w:rsidRPr="00D45B3D" w:rsidRDefault="00302BFE" w:rsidP="00243B15">
            <w:pPr>
              <w:rPr>
                <w:lang w:val="en-CA"/>
              </w:rPr>
            </w:pPr>
          </w:p>
        </w:tc>
      </w:tr>
      <w:tr w:rsidR="00302BFE" w:rsidRPr="00D45B3D" w14:paraId="3B84C792" w14:textId="77777777" w:rsidTr="00243B15">
        <w:trPr>
          <w:jc w:val="center"/>
        </w:trPr>
        <w:tc>
          <w:tcPr>
            <w:tcW w:w="13830" w:type="dxa"/>
            <w:gridSpan w:val="25"/>
            <w:shd w:val="clear" w:color="auto" w:fill="FFF2CC"/>
          </w:tcPr>
          <w:p w14:paraId="34AF1351" w14:textId="77777777" w:rsidR="00302BFE" w:rsidRPr="00D45B3D" w:rsidRDefault="00302BFE" w:rsidP="00243B15">
            <w:pPr>
              <w:rPr>
                <w:b/>
                <w:sz w:val="16"/>
                <w:szCs w:val="16"/>
                <w:lang w:val="en-CA"/>
              </w:rPr>
            </w:pPr>
            <w:r w:rsidRPr="00D45B3D">
              <w:rPr>
                <w:b/>
                <w:sz w:val="16"/>
                <w:szCs w:val="16"/>
                <w:lang w:val="en-CA"/>
              </w:rPr>
              <w:t>Component 3. Sustainable Land and Resources Management and Diversification of Livelihoods</w:t>
            </w:r>
          </w:p>
        </w:tc>
      </w:tr>
      <w:tr w:rsidR="00302BFE" w:rsidRPr="00D45B3D" w14:paraId="756BCFC6" w14:textId="77777777" w:rsidTr="00243B15">
        <w:trPr>
          <w:jc w:val="center"/>
        </w:trPr>
        <w:tc>
          <w:tcPr>
            <w:tcW w:w="5670" w:type="dxa"/>
            <w:shd w:val="clear" w:color="auto" w:fill="auto"/>
          </w:tcPr>
          <w:p w14:paraId="6FE8FEE8" w14:textId="77777777" w:rsidR="00302BFE" w:rsidRPr="00D45B3D" w:rsidRDefault="00302BFE" w:rsidP="00243B15">
            <w:pPr>
              <w:rPr>
                <w:i/>
                <w:color w:val="4472C4"/>
                <w:sz w:val="16"/>
                <w:szCs w:val="16"/>
                <w:lang w:val="en-CA"/>
              </w:rPr>
            </w:pPr>
            <w:r w:rsidRPr="00D45B3D">
              <w:rPr>
                <w:sz w:val="16"/>
                <w:szCs w:val="16"/>
                <w:lang w:val="en-CA"/>
              </w:rPr>
              <w:t>Output 3.1 Sustainable Land Management (SLM) practices are implemented by communities within the PONASI landscape</w:t>
            </w:r>
            <w:r w:rsidRPr="00D45B3D">
              <w:rPr>
                <w:b/>
                <w:szCs w:val="20"/>
                <w:lang w:val="en-GB"/>
              </w:rPr>
              <w:t xml:space="preserve"> </w:t>
            </w:r>
          </w:p>
        </w:tc>
        <w:tc>
          <w:tcPr>
            <w:tcW w:w="8160" w:type="dxa"/>
            <w:gridSpan w:val="24"/>
            <w:shd w:val="clear" w:color="auto" w:fill="auto"/>
          </w:tcPr>
          <w:p w14:paraId="58880670" w14:textId="77777777" w:rsidR="00302BFE" w:rsidRPr="00D45B3D" w:rsidRDefault="00302BFE" w:rsidP="00243B15">
            <w:pPr>
              <w:rPr>
                <w:lang w:val="en-CA"/>
              </w:rPr>
            </w:pPr>
          </w:p>
        </w:tc>
      </w:tr>
      <w:tr w:rsidR="00EC409B" w:rsidRPr="00D45B3D" w14:paraId="51AC93EC" w14:textId="77777777" w:rsidTr="00755BF9">
        <w:trPr>
          <w:jc w:val="center"/>
        </w:trPr>
        <w:tc>
          <w:tcPr>
            <w:tcW w:w="5670" w:type="dxa"/>
            <w:shd w:val="clear" w:color="auto" w:fill="auto"/>
          </w:tcPr>
          <w:p w14:paraId="440EDE02" w14:textId="77777777" w:rsidR="00302BFE" w:rsidRPr="00D45B3D" w:rsidRDefault="00302BFE" w:rsidP="00243B15">
            <w:pPr>
              <w:rPr>
                <w:i/>
                <w:color w:val="4472C4"/>
                <w:sz w:val="16"/>
                <w:szCs w:val="16"/>
                <w:lang w:val="en-CA"/>
              </w:rPr>
            </w:pPr>
            <w:r w:rsidRPr="00D45B3D">
              <w:rPr>
                <w:i/>
                <w:color w:val="4472C4"/>
                <w:sz w:val="16"/>
                <w:szCs w:val="16"/>
                <w:lang w:val="en-GB"/>
              </w:rPr>
              <w:t>3.1.1 Participatory diagnostic of the condition of land resources (soils, water, biodiversity)</w:t>
            </w:r>
          </w:p>
        </w:tc>
        <w:tc>
          <w:tcPr>
            <w:tcW w:w="340" w:type="dxa"/>
            <w:shd w:val="clear" w:color="auto" w:fill="auto"/>
          </w:tcPr>
          <w:p w14:paraId="0967CEF8" w14:textId="77777777" w:rsidR="00302BFE" w:rsidRPr="00D45B3D" w:rsidRDefault="00302BFE" w:rsidP="00243B15">
            <w:pPr>
              <w:rPr>
                <w:lang w:val="en-CA"/>
              </w:rPr>
            </w:pPr>
          </w:p>
        </w:tc>
        <w:tc>
          <w:tcPr>
            <w:tcW w:w="340" w:type="dxa"/>
            <w:shd w:val="clear" w:color="auto" w:fill="auto"/>
          </w:tcPr>
          <w:p w14:paraId="6E7BA435" w14:textId="77777777" w:rsidR="00302BFE" w:rsidRPr="00D45B3D" w:rsidRDefault="00302BFE" w:rsidP="00243B15">
            <w:pPr>
              <w:rPr>
                <w:lang w:val="en-CA"/>
              </w:rPr>
            </w:pPr>
          </w:p>
        </w:tc>
        <w:tc>
          <w:tcPr>
            <w:tcW w:w="340" w:type="dxa"/>
            <w:shd w:val="clear" w:color="auto" w:fill="auto"/>
          </w:tcPr>
          <w:p w14:paraId="1857743A" w14:textId="77777777" w:rsidR="00302BFE" w:rsidRPr="00D45B3D" w:rsidRDefault="00302BFE" w:rsidP="00243B15">
            <w:pPr>
              <w:rPr>
                <w:lang w:val="en-CA"/>
              </w:rPr>
            </w:pPr>
          </w:p>
        </w:tc>
        <w:tc>
          <w:tcPr>
            <w:tcW w:w="340" w:type="dxa"/>
            <w:shd w:val="clear" w:color="auto" w:fill="auto"/>
          </w:tcPr>
          <w:p w14:paraId="6E1288FE" w14:textId="77777777" w:rsidR="00302BFE" w:rsidRPr="00D45B3D" w:rsidRDefault="00302BFE" w:rsidP="00243B15">
            <w:pPr>
              <w:rPr>
                <w:lang w:val="en-CA"/>
              </w:rPr>
            </w:pPr>
          </w:p>
        </w:tc>
        <w:tc>
          <w:tcPr>
            <w:tcW w:w="340" w:type="dxa"/>
            <w:shd w:val="clear" w:color="auto" w:fill="D9D9D9"/>
          </w:tcPr>
          <w:p w14:paraId="581E73C1" w14:textId="77777777" w:rsidR="00302BFE" w:rsidRPr="00D45B3D" w:rsidRDefault="00302BFE" w:rsidP="00243B15">
            <w:pPr>
              <w:rPr>
                <w:lang w:val="en-CA"/>
              </w:rPr>
            </w:pPr>
          </w:p>
        </w:tc>
        <w:tc>
          <w:tcPr>
            <w:tcW w:w="340" w:type="dxa"/>
            <w:shd w:val="clear" w:color="auto" w:fill="D9D9D9"/>
          </w:tcPr>
          <w:p w14:paraId="234B9A24"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665278E"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1AB2936" w14:textId="77777777" w:rsidR="00302BFE" w:rsidRPr="00D45B3D" w:rsidRDefault="00302BFE" w:rsidP="00243B15">
            <w:pPr>
              <w:rPr>
                <w:lang w:val="en-CA"/>
              </w:rPr>
            </w:pPr>
          </w:p>
        </w:tc>
        <w:tc>
          <w:tcPr>
            <w:tcW w:w="340" w:type="dxa"/>
            <w:shd w:val="clear" w:color="auto" w:fill="auto"/>
          </w:tcPr>
          <w:p w14:paraId="6E58C00D" w14:textId="77777777" w:rsidR="00302BFE" w:rsidRPr="00D45B3D" w:rsidRDefault="00302BFE" w:rsidP="00243B15">
            <w:pPr>
              <w:rPr>
                <w:lang w:val="en-CA"/>
              </w:rPr>
            </w:pPr>
          </w:p>
        </w:tc>
        <w:tc>
          <w:tcPr>
            <w:tcW w:w="340" w:type="dxa"/>
            <w:shd w:val="clear" w:color="auto" w:fill="auto"/>
          </w:tcPr>
          <w:p w14:paraId="5DCC9ED8" w14:textId="77777777" w:rsidR="00302BFE" w:rsidRPr="00D45B3D" w:rsidRDefault="00302BFE" w:rsidP="00243B15">
            <w:pPr>
              <w:rPr>
                <w:lang w:val="en-CA"/>
              </w:rPr>
            </w:pPr>
          </w:p>
        </w:tc>
        <w:tc>
          <w:tcPr>
            <w:tcW w:w="340" w:type="dxa"/>
            <w:shd w:val="clear" w:color="auto" w:fill="auto"/>
          </w:tcPr>
          <w:p w14:paraId="0DF6A282" w14:textId="77777777" w:rsidR="00302BFE" w:rsidRPr="00D45B3D" w:rsidRDefault="00302BFE" w:rsidP="00243B15">
            <w:pPr>
              <w:rPr>
                <w:lang w:val="en-CA"/>
              </w:rPr>
            </w:pPr>
          </w:p>
        </w:tc>
        <w:tc>
          <w:tcPr>
            <w:tcW w:w="340" w:type="dxa"/>
            <w:shd w:val="clear" w:color="auto" w:fill="auto"/>
          </w:tcPr>
          <w:p w14:paraId="49C50721" w14:textId="77777777" w:rsidR="00302BFE" w:rsidRPr="00D45B3D" w:rsidRDefault="00302BFE" w:rsidP="00243B15">
            <w:pPr>
              <w:rPr>
                <w:lang w:val="en-CA"/>
              </w:rPr>
            </w:pPr>
          </w:p>
        </w:tc>
        <w:tc>
          <w:tcPr>
            <w:tcW w:w="340" w:type="dxa"/>
            <w:shd w:val="clear" w:color="auto" w:fill="auto"/>
          </w:tcPr>
          <w:p w14:paraId="26AF55C8" w14:textId="77777777" w:rsidR="00302BFE" w:rsidRPr="00D45B3D" w:rsidRDefault="00302BFE" w:rsidP="00243B15">
            <w:pPr>
              <w:rPr>
                <w:lang w:val="en-CA"/>
              </w:rPr>
            </w:pPr>
          </w:p>
        </w:tc>
        <w:tc>
          <w:tcPr>
            <w:tcW w:w="340" w:type="dxa"/>
            <w:shd w:val="clear" w:color="auto" w:fill="auto"/>
          </w:tcPr>
          <w:p w14:paraId="2F7A9680" w14:textId="77777777" w:rsidR="00302BFE" w:rsidRPr="00D45B3D" w:rsidRDefault="00302BFE" w:rsidP="00243B15">
            <w:pPr>
              <w:rPr>
                <w:lang w:val="en-CA"/>
              </w:rPr>
            </w:pPr>
          </w:p>
        </w:tc>
        <w:tc>
          <w:tcPr>
            <w:tcW w:w="340" w:type="dxa"/>
            <w:shd w:val="clear" w:color="auto" w:fill="auto"/>
          </w:tcPr>
          <w:p w14:paraId="0CEC72DC" w14:textId="77777777" w:rsidR="00302BFE" w:rsidRPr="00D45B3D" w:rsidRDefault="00302BFE" w:rsidP="00243B15">
            <w:pPr>
              <w:rPr>
                <w:lang w:val="en-CA"/>
              </w:rPr>
            </w:pPr>
          </w:p>
        </w:tc>
        <w:tc>
          <w:tcPr>
            <w:tcW w:w="340" w:type="dxa"/>
            <w:shd w:val="clear" w:color="auto" w:fill="auto"/>
          </w:tcPr>
          <w:p w14:paraId="65FF2AE6" w14:textId="77777777" w:rsidR="00302BFE" w:rsidRPr="00D45B3D" w:rsidRDefault="00302BFE" w:rsidP="00243B15">
            <w:pPr>
              <w:rPr>
                <w:lang w:val="en-CA"/>
              </w:rPr>
            </w:pPr>
          </w:p>
        </w:tc>
        <w:tc>
          <w:tcPr>
            <w:tcW w:w="340" w:type="dxa"/>
            <w:shd w:val="clear" w:color="auto" w:fill="auto"/>
          </w:tcPr>
          <w:p w14:paraId="091DB69D" w14:textId="77777777" w:rsidR="00302BFE" w:rsidRPr="00D45B3D" w:rsidRDefault="00302BFE" w:rsidP="00243B15">
            <w:pPr>
              <w:rPr>
                <w:lang w:val="en-CA"/>
              </w:rPr>
            </w:pPr>
          </w:p>
        </w:tc>
        <w:tc>
          <w:tcPr>
            <w:tcW w:w="340" w:type="dxa"/>
            <w:shd w:val="clear" w:color="auto" w:fill="auto"/>
          </w:tcPr>
          <w:p w14:paraId="53F35E94" w14:textId="77777777" w:rsidR="00302BFE" w:rsidRPr="00D45B3D" w:rsidRDefault="00302BFE" w:rsidP="00243B15">
            <w:pPr>
              <w:rPr>
                <w:lang w:val="en-CA"/>
              </w:rPr>
            </w:pPr>
          </w:p>
        </w:tc>
        <w:tc>
          <w:tcPr>
            <w:tcW w:w="340" w:type="dxa"/>
            <w:shd w:val="clear" w:color="auto" w:fill="auto"/>
          </w:tcPr>
          <w:p w14:paraId="3A8040C9" w14:textId="77777777" w:rsidR="00302BFE" w:rsidRPr="00D45B3D" w:rsidRDefault="00302BFE" w:rsidP="00243B15">
            <w:pPr>
              <w:rPr>
                <w:lang w:val="en-CA"/>
              </w:rPr>
            </w:pPr>
          </w:p>
        </w:tc>
        <w:tc>
          <w:tcPr>
            <w:tcW w:w="340" w:type="dxa"/>
            <w:shd w:val="clear" w:color="auto" w:fill="auto"/>
          </w:tcPr>
          <w:p w14:paraId="654243DF" w14:textId="77777777" w:rsidR="00302BFE" w:rsidRPr="00D45B3D" w:rsidRDefault="00302BFE" w:rsidP="00243B15">
            <w:pPr>
              <w:rPr>
                <w:lang w:val="en-CA"/>
              </w:rPr>
            </w:pPr>
          </w:p>
        </w:tc>
        <w:tc>
          <w:tcPr>
            <w:tcW w:w="340" w:type="dxa"/>
            <w:shd w:val="clear" w:color="auto" w:fill="auto"/>
          </w:tcPr>
          <w:p w14:paraId="3A32AE95" w14:textId="77777777" w:rsidR="00302BFE" w:rsidRPr="00D45B3D" w:rsidRDefault="00302BFE" w:rsidP="00243B15">
            <w:pPr>
              <w:rPr>
                <w:lang w:val="en-CA"/>
              </w:rPr>
            </w:pPr>
          </w:p>
        </w:tc>
        <w:tc>
          <w:tcPr>
            <w:tcW w:w="340" w:type="dxa"/>
            <w:shd w:val="clear" w:color="auto" w:fill="auto"/>
          </w:tcPr>
          <w:p w14:paraId="45606B89" w14:textId="77777777" w:rsidR="00302BFE" w:rsidRPr="00D45B3D" w:rsidRDefault="00302BFE" w:rsidP="00243B15">
            <w:pPr>
              <w:rPr>
                <w:lang w:val="en-CA"/>
              </w:rPr>
            </w:pPr>
          </w:p>
        </w:tc>
        <w:tc>
          <w:tcPr>
            <w:tcW w:w="340" w:type="dxa"/>
            <w:shd w:val="clear" w:color="auto" w:fill="auto"/>
          </w:tcPr>
          <w:p w14:paraId="1F0A45B5" w14:textId="77777777" w:rsidR="00302BFE" w:rsidRPr="00D45B3D" w:rsidRDefault="00302BFE" w:rsidP="00243B15">
            <w:pPr>
              <w:rPr>
                <w:lang w:val="en-CA"/>
              </w:rPr>
            </w:pPr>
          </w:p>
        </w:tc>
        <w:tc>
          <w:tcPr>
            <w:tcW w:w="340" w:type="dxa"/>
            <w:shd w:val="clear" w:color="auto" w:fill="auto"/>
          </w:tcPr>
          <w:p w14:paraId="6820E98C" w14:textId="77777777" w:rsidR="00302BFE" w:rsidRPr="00D45B3D" w:rsidRDefault="00302BFE" w:rsidP="00243B15">
            <w:pPr>
              <w:rPr>
                <w:lang w:val="en-CA"/>
              </w:rPr>
            </w:pPr>
          </w:p>
        </w:tc>
      </w:tr>
      <w:tr w:rsidR="00EC409B" w:rsidRPr="00D45B3D" w14:paraId="4E2A7681" w14:textId="77777777" w:rsidTr="00755BF9">
        <w:trPr>
          <w:jc w:val="center"/>
        </w:trPr>
        <w:tc>
          <w:tcPr>
            <w:tcW w:w="5670" w:type="dxa"/>
            <w:shd w:val="clear" w:color="auto" w:fill="auto"/>
          </w:tcPr>
          <w:p w14:paraId="64B3AC6F" w14:textId="77777777" w:rsidR="00302BFE" w:rsidRPr="00D45B3D" w:rsidRDefault="00302BFE" w:rsidP="00243B15">
            <w:pPr>
              <w:rPr>
                <w:i/>
                <w:color w:val="4472C4"/>
                <w:sz w:val="16"/>
                <w:szCs w:val="16"/>
              </w:rPr>
            </w:pPr>
            <w:r w:rsidRPr="00D45B3D">
              <w:rPr>
                <w:i/>
                <w:color w:val="4472C4"/>
                <w:sz w:val="16"/>
                <w:szCs w:val="16"/>
                <w:lang w:val="en-GB"/>
              </w:rPr>
              <w:t>3.1.2 Intervention and investment plan</w:t>
            </w:r>
          </w:p>
        </w:tc>
        <w:tc>
          <w:tcPr>
            <w:tcW w:w="340" w:type="dxa"/>
            <w:shd w:val="clear" w:color="auto" w:fill="auto"/>
          </w:tcPr>
          <w:p w14:paraId="5BEB0726" w14:textId="77777777" w:rsidR="00302BFE" w:rsidRPr="00D45B3D" w:rsidRDefault="00302BFE" w:rsidP="00243B15"/>
        </w:tc>
        <w:tc>
          <w:tcPr>
            <w:tcW w:w="340" w:type="dxa"/>
            <w:shd w:val="clear" w:color="auto" w:fill="auto"/>
          </w:tcPr>
          <w:p w14:paraId="627E1B10" w14:textId="77777777" w:rsidR="00302BFE" w:rsidRPr="00D45B3D" w:rsidRDefault="00302BFE" w:rsidP="00243B15"/>
        </w:tc>
        <w:tc>
          <w:tcPr>
            <w:tcW w:w="340" w:type="dxa"/>
            <w:tcBorders>
              <w:bottom w:val="single" w:sz="4" w:space="0" w:color="auto"/>
            </w:tcBorders>
            <w:shd w:val="clear" w:color="auto" w:fill="auto"/>
          </w:tcPr>
          <w:p w14:paraId="1AE121FC" w14:textId="77777777" w:rsidR="00302BFE" w:rsidRPr="00D45B3D" w:rsidRDefault="00302BFE" w:rsidP="00243B15"/>
        </w:tc>
        <w:tc>
          <w:tcPr>
            <w:tcW w:w="340" w:type="dxa"/>
            <w:tcBorders>
              <w:bottom w:val="single" w:sz="4" w:space="0" w:color="auto"/>
            </w:tcBorders>
            <w:shd w:val="clear" w:color="auto" w:fill="auto"/>
          </w:tcPr>
          <w:p w14:paraId="49E18CF9" w14:textId="77777777" w:rsidR="00302BFE" w:rsidRPr="00D45B3D" w:rsidRDefault="00302BFE" w:rsidP="00243B15"/>
        </w:tc>
        <w:tc>
          <w:tcPr>
            <w:tcW w:w="340" w:type="dxa"/>
            <w:tcBorders>
              <w:bottom w:val="single" w:sz="4" w:space="0" w:color="auto"/>
            </w:tcBorders>
            <w:shd w:val="clear" w:color="auto" w:fill="auto"/>
          </w:tcPr>
          <w:p w14:paraId="6CEA10C9" w14:textId="77777777" w:rsidR="00302BFE" w:rsidRPr="00D45B3D" w:rsidRDefault="00302BFE" w:rsidP="00243B15"/>
        </w:tc>
        <w:tc>
          <w:tcPr>
            <w:tcW w:w="340" w:type="dxa"/>
            <w:tcBorders>
              <w:bottom w:val="single" w:sz="4" w:space="0" w:color="auto"/>
            </w:tcBorders>
            <w:shd w:val="clear" w:color="auto" w:fill="auto"/>
          </w:tcPr>
          <w:p w14:paraId="6A92D12C" w14:textId="77777777" w:rsidR="00302BFE" w:rsidRPr="00D45B3D" w:rsidRDefault="00302BFE" w:rsidP="00243B15"/>
        </w:tc>
        <w:tc>
          <w:tcPr>
            <w:tcW w:w="340" w:type="dxa"/>
            <w:tcBorders>
              <w:bottom w:val="single" w:sz="4" w:space="0" w:color="auto"/>
            </w:tcBorders>
            <w:shd w:val="clear" w:color="auto" w:fill="D9D9D9"/>
          </w:tcPr>
          <w:p w14:paraId="1D6F8364" w14:textId="77777777" w:rsidR="00302BFE" w:rsidRPr="00D45B3D" w:rsidRDefault="00302BFE" w:rsidP="00243B15"/>
        </w:tc>
        <w:tc>
          <w:tcPr>
            <w:tcW w:w="340" w:type="dxa"/>
            <w:tcBorders>
              <w:bottom w:val="single" w:sz="4" w:space="0" w:color="auto"/>
            </w:tcBorders>
            <w:shd w:val="clear" w:color="auto" w:fill="D9D9D9"/>
          </w:tcPr>
          <w:p w14:paraId="5A105736" w14:textId="77777777" w:rsidR="00302BFE" w:rsidRPr="00D45B3D" w:rsidRDefault="00302BFE" w:rsidP="00243B15"/>
        </w:tc>
        <w:tc>
          <w:tcPr>
            <w:tcW w:w="340" w:type="dxa"/>
            <w:tcBorders>
              <w:bottom w:val="single" w:sz="4" w:space="0" w:color="auto"/>
            </w:tcBorders>
            <w:shd w:val="clear" w:color="auto" w:fill="auto"/>
          </w:tcPr>
          <w:p w14:paraId="3FEEA230" w14:textId="77777777" w:rsidR="00302BFE" w:rsidRPr="00D45B3D" w:rsidRDefault="00302BFE" w:rsidP="00243B15"/>
        </w:tc>
        <w:tc>
          <w:tcPr>
            <w:tcW w:w="340" w:type="dxa"/>
            <w:tcBorders>
              <w:bottom w:val="single" w:sz="4" w:space="0" w:color="auto"/>
            </w:tcBorders>
            <w:shd w:val="clear" w:color="auto" w:fill="auto"/>
          </w:tcPr>
          <w:p w14:paraId="40D0D0AC" w14:textId="77777777" w:rsidR="00302BFE" w:rsidRPr="00D45B3D" w:rsidRDefault="00302BFE" w:rsidP="00243B15"/>
        </w:tc>
        <w:tc>
          <w:tcPr>
            <w:tcW w:w="340" w:type="dxa"/>
            <w:tcBorders>
              <w:bottom w:val="single" w:sz="4" w:space="0" w:color="auto"/>
            </w:tcBorders>
            <w:shd w:val="clear" w:color="auto" w:fill="auto"/>
          </w:tcPr>
          <w:p w14:paraId="25E22A08" w14:textId="77777777" w:rsidR="00302BFE" w:rsidRPr="00D45B3D" w:rsidRDefault="00302BFE" w:rsidP="00243B15"/>
        </w:tc>
        <w:tc>
          <w:tcPr>
            <w:tcW w:w="340" w:type="dxa"/>
            <w:tcBorders>
              <w:bottom w:val="single" w:sz="4" w:space="0" w:color="auto"/>
            </w:tcBorders>
            <w:shd w:val="clear" w:color="auto" w:fill="auto"/>
          </w:tcPr>
          <w:p w14:paraId="70733CAF" w14:textId="77777777" w:rsidR="00302BFE" w:rsidRPr="00D45B3D" w:rsidRDefault="00302BFE" w:rsidP="00243B15"/>
        </w:tc>
        <w:tc>
          <w:tcPr>
            <w:tcW w:w="340" w:type="dxa"/>
            <w:tcBorders>
              <w:bottom w:val="single" w:sz="4" w:space="0" w:color="auto"/>
            </w:tcBorders>
            <w:shd w:val="clear" w:color="auto" w:fill="auto"/>
          </w:tcPr>
          <w:p w14:paraId="0FEC063B" w14:textId="77777777" w:rsidR="00302BFE" w:rsidRPr="00D45B3D" w:rsidRDefault="00302BFE" w:rsidP="00243B15"/>
        </w:tc>
        <w:tc>
          <w:tcPr>
            <w:tcW w:w="340" w:type="dxa"/>
            <w:tcBorders>
              <w:bottom w:val="single" w:sz="4" w:space="0" w:color="auto"/>
            </w:tcBorders>
            <w:shd w:val="clear" w:color="auto" w:fill="auto"/>
          </w:tcPr>
          <w:p w14:paraId="6CB7B443" w14:textId="77777777" w:rsidR="00302BFE" w:rsidRPr="00D45B3D" w:rsidRDefault="00302BFE" w:rsidP="00243B15"/>
        </w:tc>
        <w:tc>
          <w:tcPr>
            <w:tcW w:w="340" w:type="dxa"/>
            <w:tcBorders>
              <w:bottom w:val="single" w:sz="4" w:space="0" w:color="auto"/>
            </w:tcBorders>
            <w:shd w:val="clear" w:color="auto" w:fill="auto"/>
          </w:tcPr>
          <w:p w14:paraId="5E8B5C55" w14:textId="77777777" w:rsidR="00302BFE" w:rsidRPr="00D45B3D" w:rsidRDefault="00302BFE" w:rsidP="00243B15"/>
        </w:tc>
        <w:tc>
          <w:tcPr>
            <w:tcW w:w="340" w:type="dxa"/>
            <w:tcBorders>
              <w:bottom w:val="single" w:sz="4" w:space="0" w:color="auto"/>
            </w:tcBorders>
            <w:shd w:val="clear" w:color="auto" w:fill="auto"/>
          </w:tcPr>
          <w:p w14:paraId="23621B99" w14:textId="77777777" w:rsidR="00302BFE" w:rsidRPr="00D45B3D" w:rsidRDefault="00302BFE" w:rsidP="00243B15"/>
        </w:tc>
        <w:tc>
          <w:tcPr>
            <w:tcW w:w="340" w:type="dxa"/>
            <w:tcBorders>
              <w:bottom w:val="single" w:sz="4" w:space="0" w:color="auto"/>
            </w:tcBorders>
            <w:shd w:val="clear" w:color="auto" w:fill="auto"/>
          </w:tcPr>
          <w:p w14:paraId="05C97395" w14:textId="77777777" w:rsidR="00302BFE" w:rsidRPr="00D45B3D" w:rsidRDefault="00302BFE" w:rsidP="00243B15"/>
        </w:tc>
        <w:tc>
          <w:tcPr>
            <w:tcW w:w="340" w:type="dxa"/>
            <w:tcBorders>
              <w:bottom w:val="single" w:sz="4" w:space="0" w:color="auto"/>
            </w:tcBorders>
            <w:shd w:val="clear" w:color="auto" w:fill="auto"/>
          </w:tcPr>
          <w:p w14:paraId="1C63DB0C" w14:textId="77777777" w:rsidR="00302BFE" w:rsidRPr="00D45B3D" w:rsidRDefault="00302BFE" w:rsidP="00243B15"/>
        </w:tc>
        <w:tc>
          <w:tcPr>
            <w:tcW w:w="340" w:type="dxa"/>
            <w:tcBorders>
              <w:bottom w:val="single" w:sz="4" w:space="0" w:color="auto"/>
            </w:tcBorders>
            <w:shd w:val="clear" w:color="auto" w:fill="auto"/>
          </w:tcPr>
          <w:p w14:paraId="3DD70C83" w14:textId="77777777" w:rsidR="00302BFE" w:rsidRPr="00D45B3D" w:rsidRDefault="00302BFE" w:rsidP="00243B15"/>
        </w:tc>
        <w:tc>
          <w:tcPr>
            <w:tcW w:w="340" w:type="dxa"/>
            <w:tcBorders>
              <w:bottom w:val="single" w:sz="4" w:space="0" w:color="auto"/>
            </w:tcBorders>
            <w:shd w:val="clear" w:color="auto" w:fill="auto"/>
          </w:tcPr>
          <w:p w14:paraId="7E07DD6B" w14:textId="77777777" w:rsidR="00302BFE" w:rsidRPr="00D45B3D" w:rsidRDefault="00302BFE" w:rsidP="00243B15"/>
        </w:tc>
        <w:tc>
          <w:tcPr>
            <w:tcW w:w="340" w:type="dxa"/>
            <w:tcBorders>
              <w:bottom w:val="single" w:sz="4" w:space="0" w:color="auto"/>
            </w:tcBorders>
            <w:shd w:val="clear" w:color="auto" w:fill="auto"/>
          </w:tcPr>
          <w:p w14:paraId="0EC65E4A" w14:textId="77777777" w:rsidR="00302BFE" w:rsidRPr="00D45B3D" w:rsidRDefault="00302BFE" w:rsidP="00243B15"/>
        </w:tc>
        <w:tc>
          <w:tcPr>
            <w:tcW w:w="340" w:type="dxa"/>
            <w:tcBorders>
              <w:bottom w:val="single" w:sz="4" w:space="0" w:color="auto"/>
            </w:tcBorders>
            <w:shd w:val="clear" w:color="auto" w:fill="auto"/>
          </w:tcPr>
          <w:p w14:paraId="6B1BFFA4" w14:textId="77777777" w:rsidR="00302BFE" w:rsidRPr="00D45B3D" w:rsidRDefault="00302BFE" w:rsidP="00243B15"/>
        </w:tc>
        <w:tc>
          <w:tcPr>
            <w:tcW w:w="340" w:type="dxa"/>
            <w:tcBorders>
              <w:bottom w:val="single" w:sz="4" w:space="0" w:color="auto"/>
            </w:tcBorders>
            <w:shd w:val="clear" w:color="auto" w:fill="auto"/>
          </w:tcPr>
          <w:p w14:paraId="2C2B30B6" w14:textId="77777777" w:rsidR="00302BFE" w:rsidRPr="00D45B3D" w:rsidRDefault="00302BFE" w:rsidP="00243B15"/>
        </w:tc>
        <w:tc>
          <w:tcPr>
            <w:tcW w:w="340" w:type="dxa"/>
            <w:shd w:val="clear" w:color="auto" w:fill="auto"/>
          </w:tcPr>
          <w:p w14:paraId="0FF892F5" w14:textId="77777777" w:rsidR="00302BFE" w:rsidRPr="00D45B3D" w:rsidRDefault="00302BFE" w:rsidP="00243B15"/>
        </w:tc>
      </w:tr>
      <w:tr w:rsidR="005979FD" w:rsidRPr="00D45B3D" w14:paraId="3B6C7E3D" w14:textId="77777777" w:rsidTr="00CC2FAC">
        <w:trPr>
          <w:jc w:val="center"/>
        </w:trPr>
        <w:tc>
          <w:tcPr>
            <w:tcW w:w="5670" w:type="dxa"/>
            <w:shd w:val="clear" w:color="auto" w:fill="auto"/>
          </w:tcPr>
          <w:p w14:paraId="4E1100DD" w14:textId="77777777" w:rsidR="00302BFE" w:rsidRPr="00D45B3D" w:rsidRDefault="00302BFE" w:rsidP="00243B15">
            <w:pPr>
              <w:rPr>
                <w:i/>
                <w:color w:val="4472C4"/>
                <w:sz w:val="16"/>
                <w:szCs w:val="16"/>
                <w:lang w:val="en-CA"/>
              </w:rPr>
            </w:pPr>
            <w:r w:rsidRPr="00D45B3D">
              <w:rPr>
                <w:i/>
                <w:color w:val="4472C4"/>
                <w:sz w:val="16"/>
                <w:szCs w:val="16"/>
                <w:lang w:val="en-GB"/>
              </w:rPr>
              <w:t>3.1.3 Support to producers and groups</w:t>
            </w:r>
          </w:p>
        </w:tc>
        <w:tc>
          <w:tcPr>
            <w:tcW w:w="340" w:type="dxa"/>
            <w:shd w:val="clear" w:color="auto" w:fill="auto"/>
          </w:tcPr>
          <w:p w14:paraId="7D5AFB7E" w14:textId="77777777" w:rsidR="00302BFE" w:rsidRPr="00D45B3D" w:rsidRDefault="00302BFE" w:rsidP="00243B15">
            <w:pPr>
              <w:rPr>
                <w:lang w:val="en-CA"/>
              </w:rPr>
            </w:pPr>
          </w:p>
        </w:tc>
        <w:tc>
          <w:tcPr>
            <w:tcW w:w="340" w:type="dxa"/>
            <w:shd w:val="clear" w:color="auto" w:fill="auto"/>
          </w:tcPr>
          <w:p w14:paraId="266F0F7B" w14:textId="77777777" w:rsidR="00302BFE" w:rsidRPr="00D45B3D" w:rsidRDefault="00302BFE" w:rsidP="00243B15">
            <w:pPr>
              <w:rPr>
                <w:lang w:val="en-CA"/>
              </w:rPr>
            </w:pPr>
          </w:p>
        </w:tc>
        <w:tc>
          <w:tcPr>
            <w:tcW w:w="340" w:type="dxa"/>
            <w:shd w:val="clear" w:color="auto" w:fill="D9D9D9"/>
          </w:tcPr>
          <w:p w14:paraId="0DB19B28" w14:textId="77777777" w:rsidR="00302BFE" w:rsidRPr="00D45B3D" w:rsidRDefault="00302BFE" w:rsidP="00243B15">
            <w:pPr>
              <w:rPr>
                <w:lang w:val="en-CA"/>
              </w:rPr>
            </w:pPr>
          </w:p>
        </w:tc>
        <w:tc>
          <w:tcPr>
            <w:tcW w:w="340" w:type="dxa"/>
            <w:shd w:val="clear" w:color="auto" w:fill="D9D9D9"/>
          </w:tcPr>
          <w:p w14:paraId="719A0D38" w14:textId="77777777" w:rsidR="00302BFE" w:rsidRPr="00D45B3D" w:rsidRDefault="00302BFE" w:rsidP="00243B15">
            <w:pPr>
              <w:rPr>
                <w:lang w:val="en-CA"/>
              </w:rPr>
            </w:pPr>
          </w:p>
        </w:tc>
        <w:tc>
          <w:tcPr>
            <w:tcW w:w="340" w:type="dxa"/>
            <w:shd w:val="clear" w:color="auto" w:fill="D9D9D9"/>
          </w:tcPr>
          <w:p w14:paraId="3DFA0652" w14:textId="77777777" w:rsidR="00302BFE" w:rsidRPr="00D45B3D" w:rsidRDefault="00302BFE" w:rsidP="00243B15">
            <w:pPr>
              <w:rPr>
                <w:lang w:val="en-CA"/>
              </w:rPr>
            </w:pPr>
          </w:p>
        </w:tc>
        <w:tc>
          <w:tcPr>
            <w:tcW w:w="340" w:type="dxa"/>
            <w:shd w:val="clear" w:color="auto" w:fill="D9D9D9"/>
          </w:tcPr>
          <w:p w14:paraId="3BD13DB3" w14:textId="77777777" w:rsidR="00302BFE" w:rsidRPr="00D45B3D" w:rsidRDefault="00302BFE" w:rsidP="00243B15">
            <w:pPr>
              <w:rPr>
                <w:lang w:val="en-CA"/>
              </w:rPr>
            </w:pPr>
          </w:p>
        </w:tc>
        <w:tc>
          <w:tcPr>
            <w:tcW w:w="340" w:type="dxa"/>
            <w:shd w:val="clear" w:color="auto" w:fill="D9D9D9"/>
          </w:tcPr>
          <w:p w14:paraId="6538C18F" w14:textId="77777777" w:rsidR="00302BFE" w:rsidRPr="00D45B3D" w:rsidRDefault="00302BFE" w:rsidP="00243B15">
            <w:pPr>
              <w:rPr>
                <w:lang w:val="en-CA"/>
              </w:rPr>
            </w:pPr>
          </w:p>
        </w:tc>
        <w:tc>
          <w:tcPr>
            <w:tcW w:w="340" w:type="dxa"/>
            <w:shd w:val="clear" w:color="auto" w:fill="D9D9D9"/>
          </w:tcPr>
          <w:p w14:paraId="4D667A5E" w14:textId="77777777" w:rsidR="00302BFE" w:rsidRPr="00D45B3D" w:rsidRDefault="00302BFE" w:rsidP="00243B15">
            <w:pPr>
              <w:rPr>
                <w:lang w:val="en-CA"/>
              </w:rPr>
            </w:pPr>
          </w:p>
        </w:tc>
        <w:tc>
          <w:tcPr>
            <w:tcW w:w="340" w:type="dxa"/>
            <w:shd w:val="clear" w:color="auto" w:fill="D9D9D9"/>
          </w:tcPr>
          <w:p w14:paraId="6F7145CE" w14:textId="77777777" w:rsidR="00302BFE" w:rsidRPr="00D45B3D" w:rsidRDefault="00302BFE" w:rsidP="00243B15">
            <w:pPr>
              <w:rPr>
                <w:lang w:val="en-CA"/>
              </w:rPr>
            </w:pPr>
          </w:p>
        </w:tc>
        <w:tc>
          <w:tcPr>
            <w:tcW w:w="340" w:type="dxa"/>
            <w:shd w:val="clear" w:color="auto" w:fill="D9D9D9"/>
          </w:tcPr>
          <w:p w14:paraId="678FF1FC" w14:textId="77777777" w:rsidR="00302BFE" w:rsidRPr="00D45B3D" w:rsidRDefault="00302BFE" w:rsidP="00243B15">
            <w:pPr>
              <w:rPr>
                <w:lang w:val="en-CA"/>
              </w:rPr>
            </w:pPr>
          </w:p>
        </w:tc>
        <w:tc>
          <w:tcPr>
            <w:tcW w:w="340" w:type="dxa"/>
            <w:shd w:val="clear" w:color="auto" w:fill="D9D9D9"/>
          </w:tcPr>
          <w:p w14:paraId="18433E05" w14:textId="77777777" w:rsidR="00302BFE" w:rsidRPr="00D45B3D" w:rsidRDefault="00302BFE" w:rsidP="00243B15">
            <w:pPr>
              <w:rPr>
                <w:lang w:val="en-CA"/>
              </w:rPr>
            </w:pPr>
          </w:p>
        </w:tc>
        <w:tc>
          <w:tcPr>
            <w:tcW w:w="340" w:type="dxa"/>
            <w:shd w:val="clear" w:color="auto" w:fill="D9D9D9"/>
          </w:tcPr>
          <w:p w14:paraId="66AF07C0" w14:textId="77777777" w:rsidR="00302BFE" w:rsidRPr="00D45B3D" w:rsidRDefault="00302BFE" w:rsidP="00243B15">
            <w:pPr>
              <w:rPr>
                <w:lang w:val="en-CA"/>
              </w:rPr>
            </w:pPr>
          </w:p>
        </w:tc>
        <w:tc>
          <w:tcPr>
            <w:tcW w:w="340" w:type="dxa"/>
            <w:shd w:val="clear" w:color="auto" w:fill="D9D9D9"/>
          </w:tcPr>
          <w:p w14:paraId="63C94AF5" w14:textId="77777777" w:rsidR="00302BFE" w:rsidRPr="00D45B3D" w:rsidRDefault="00302BFE" w:rsidP="00243B15">
            <w:pPr>
              <w:rPr>
                <w:lang w:val="en-CA"/>
              </w:rPr>
            </w:pPr>
          </w:p>
        </w:tc>
        <w:tc>
          <w:tcPr>
            <w:tcW w:w="340" w:type="dxa"/>
            <w:shd w:val="clear" w:color="auto" w:fill="D9D9D9"/>
          </w:tcPr>
          <w:p w14:paraId="3C4D7CA9" w14:textId="77777777" w:rsidR="00302BFE" w:rsidRPr="00D45B3D" w:rsidRDefault="00302BFE" w:rsidP="00243B15">
            <w:pPr>
              <w:rPr>
                <w:lang w:val="en-CA"/>
              </w:rPr>
            </w:pPr>
          </w:p>
        </w:tc>
        <w:tc>
          <w:tcPr>
            <w:tcW w:w="340" w:type="dxa"/>
            <w:shd w:val="clear" w:color="auto" w:fill="D9D9D9"/>
          </w:tcPr>
          <w:p w14:paraId="03B42934" w14:textId="77777777" w:rsidR="00302BFE" w:rsidRPr="00D45B3D" w:rsidRDefault="00302BFE" w:rsidP="00243B15">
            <w:pPr>
              <w:rPr>
                <w:lang w:val="en-CA"/>
              </w:rPr>
            </w:pPr>
          </w:p>
        </w:tc>
        <w:tc>
          <w:tcPr>
            <w:tcW w:w="340" w:type="dxa"/>
            <w:shd w:val="clear" w:color="auto" w:fill="D9D9D9"/>
          </w:tcPr>
          <w:p w14:paraId="319D6025" w14:textId="77777777" w:rsidR="00302BFE" w:rsidRPr="00D45B3D" w:rsidRDefault="00302BFE" w:rsidP="00243B15">
            <w:pPr>
              <w:rPr>
                <w:lang w:val="en-CA"/>
              </w:rPr>
            </w:pPr>
          </w:p>
        </w:tc>
        <w:tc>
          <w:tcPr>
            <w:tcW w:w="340" w:type="dxa"/>
            <w:shd w:val="clear" w:color="auto" w:fill="D9D9D9"/>
          </w:tcPr>
          <w:p w14:paraId="7D7E4461" w14:textId="77777777" w:rsidR="00302BFE" w:rsidRPr="00D45B3D" w:rsidRDefault="00302BFE" w:rsidP="00243B15">
            <w:pPr>
              <w:rPr>
                <w:lang w:val="en-CA"/>
              </w:rPr>
            </w:pPr>
          </w:p>
        </w:tc>
        <w:tc>
          <w:tcPr>
            <w:tcW w:w="340" w:type="dxa"/>
            <w:shd w:val="clear" w:color="auto" w:fill="D9D9D9"/>
          </w:tcPr>
          <w:p w14:paraId="70122E61" w14:textId="77777777" w:rsidR="00302BFE" w:rsidRPr="00D45B3D" w:rsidRDefault="00302BFE" w:rsidP="00243B15">
            <w:pPr>
              <w:rPr>
                <w:lang w:val="en-CA"/>
              </w:rPr>
            </w:pPr>
          </w:p>
        </w:tc>
        <w:tc>
          <w:tcPr>
            <w:tcW w:w="340" w:type="dxa"/>
            <w:shd w:val="clear" w:color="auto" w:fill="D9D9D9"/>
          </w:tcPr>
          <w:p w14:paraId="048A23DF" w14:textId="77777777" w:rsidR="00302BFE" w:rsidRPr="00D45B3D" w:rsidRDefault="00302BFE" w:rsidP="00243B15">
            <w:pPr>
              <w:rPr>
                <w:lang w:val="en-CA"/>
              </w:rPr>
            </w:pPr>
          </w:p>
        </w:tc>
        <w:tc>
          <w:tcPr>
            <w:tcW w:w="340" w:type="dxa"/>
            <w:shd w:val="clear" w:color="auto" w:fill="D9D9D9"/>
          </w:tcPr>
          <w:p w14:paraId="428ED364" w14:textId="77777777" w:rsidR="00302BFE" w:rsidRPr="00D45B3D" w:rsidRDefault="00302BFE" w:rsidP="00243B15">
            <w:pPr>
              <w:rPr>
                <w:lang w:val="en-CA"/>
              </w:rPr>
            </w:pPr>
          </w:p>
        </w:tc>
        <w:tc>
          <w:tcPr>
            <w:tcW w:w="340" w:type="dxa"/>
            <w:shd w:val="clear" w:color="auto" w:fill="D9D9D9"/>
          </w:tcPr>
          <w:p w14:paraId="7C5071B3" w14:textId="77777777" w:rsidR="00302BFE" w:rsidRPr="00D45B3D" w:rsidRDefault="00302BFE" w:rsidP="00243B15">
            <w:pPr>
              <w:rPr>
                <w:lang w:val="en-CA"/>
              </w:rPr>
            </w:pPr>
          </w:p>
        </w:tc>
        <w:tc>
          <w:tcPr>
            <w:tcW w:w="340" w:type="dxa"/>
            <w:shd w:val="clear" w:color="auto" w:fill="D9D9D9"/>
          </w:tcPr>
          <w:p w14:paraId="3526E015" w14:textId="77777777" w:rsidR="00302BFE" w:rsidRPr="00D45B3D" w:rsidRDefault="00302BFE" w:rsidP="00243B15">
            <w:pPr>
              <w:rPr>
                <w:lang w:val="en-CA"/>
              </w:rPr>
            </w:pPr>
          </w:p>
        </w:tc>
        <w:tc>
          <w:tcPr>
            <w:tcW w:w="340" w:type="dxa"/>
            <w:shd w:val="clear" w:color="auto" w:fill="D9D9D9"/>
          </w:tcPr>
          <w:p w14:paraId="2F6F4971" w14:textId="77777777" w:rsidR="00302BFE" w:rsidRPr="00D45B3D" w:rsidRDefault="00302BFE" w:rsidP="00243B15">
            <w:pPr>
              <w:rPr>
                <w:lang w:val="en-CA"/>
              </w:rPr>
            </w:pPr>
          </w:p>
        </w:tc>
        <w:tc>
          <w:tcPr>
            <w:tcW w:w="340" w:type="dxa"/>
            <w:shd w:val="clear" w:color="auto" w:fill="auto"/>
          </w:tcPr>
          <w:p w14:paraId="5B613649" w14:textId="77777777" w:rsidR="00302BFE" w:rsidRPr="00D45B3D" w:rsidRDefault="00302BFE" w:rsidP="00243B15">
            <w:pPr>
              <w:rPr>
                <w:lang w:val="en-CA"/>
              </w:rPr>
            </w:pPr>
          </w:p>
        </w:tc>
      </w:tr>
      <w:tr w:rsidR="00302BFE" w:rsidRPr="00D45B3D" w14:paraId="47B2A09B" w14:textId="77777777" w:rsidTr="00243B15">
        <w:trPr>
          <w:jc w:val="center"/>
        </w:trPr>
        <w:tc>
          <w:tcPr>
            <w:tcW w:w="5670" w:type="dxa"/>
            <w:shd w:val="clear" w:color="auto" w:fill="auto"/>
          </w:tcPr>
          <w:p w14:paraId="4C33BD55" w14:textId="77777777" w:rsidR="00302BFE" w:rsidRPr="00D45B3D" w:rsidRDefault="00302BFE" w:rsidP="00243B15">
            <w:pPr>
              <w:rPr>
                <w:i/>
                <w:color w:val="4472C4"/>
                <w:sz w:val="16"/>
                <w:szCs w:val="16"/>
                <w:lang w:val="en-CA"/>
              </w:rPr>
            </w:pPr>
            <w:r w:rsidRPr="00D45B3D">
              <w:rPr>
                <w:sz w:val="16"/>
                <w:szCs w:val="16"/>
                <w:lang w:val="en-CA"/>
              </w:rPr>
              <w:t>Output 3.2 The management of natural resources in forests and community pastoral areas is improved</w:t>
            </w:r>
            <w:r w:rsidRPr="00D45B3D">
              <w:rPr>
                <w:b/>
                <w:sz w:val="16"/>
                <w:szCs w:val="16"/>
                <w:lang w:val="en-GB"/>
              </w:rPr>
              <w:t xml:space="preserve"> </w:t>
            </w:r>
          </w:p>
        </w:tc>
        <w:tc>
          <w:tcPr>
            <w:tcW w:w="8160" w:type="dxa"/>
            <w:gridSpan w:val="24"/>
            <w:shd w:val="clear" w:color="auto" w:fill="auto"/>
          </w:tcPr>
          <w:p w14:paraId="77F3312E" w14:textId="77777777" w:rsidR="00302BFE" w:rsidRPr="00D45B3D" w:rsidRDefault="00302BFE" w:rsidP="00243B15">
            <w:pPr>
              <w:rPr>
                <w:lang w:val="en-CA"/>
              </w:rPr>
            </w:pPr>
          </w:p>
        </w:tc>
      </w:tr>
      <w:tr w:rsidR="00EC409B" w:rsidRPr="00D45B3D" w14:paraId="31BB85DA" w14:textId="77777777" w:rsidTr="00755BF9">
        <w:trPr>
          <w:jc w:val="center"/>
        </w:trPr>
        <w:tc>
          <w:tcPr>
            <w:tcW w:w="5670" w:type="dxa"/>
            <w:shd w:val="clear" w:color="auto" w:fill="auto"/>
          </w:tcPr>
          <w:p w14:paraId="2AC82D8E" w14:textId="77777777" w:rsidR="00302BFE" w:rsidRPr="00D45B3D" w:rsidRDefault="00302BFE" w:rsidP="00243B15">
            <w:pPr>
              <w:rPr>
                <w:i/>
                <w:color w:val="4472C4"/>
                <w:sz w:val="16"/>
                <w:szCs w:val="16"/>
                <w:lang w:val="en-CA"/>
              </w:rPr>
            </w:pPr>
            <w:r w:rsidRPr="00D45B3D">
              <w:rPr>
                <w:i/>
                <w:color w:val="4472C4"/>
                <w:sz w:val="16"/>
                <w:szCs w:val="16"/>
                <w:lang w:val="en-GB"/>
              </w:rPr>
              <w:t>3.2.1 Development of simplified zoning plans for community-managed forests, and improvement of forest management</w:t>
            </w:r>
          </w:p>
        </w:tc>
        <w:tc>
          <w:tcPr>
            <w:tcW w:w="340" w:type="dxa"/>
            <w:shd w:val="clear" w:color="auto" w:fill="auto"/>
          </w:tcPr>
          <w:p w14:paraId="5C8872DB" w14:textId="77777777" w:rsidR="00302BFE" w:rsidRPr="00D45B3D" w:rsidRDefault="00302BFE" w:rsidP="00243B15">
            <w:pPr>
              <w:rPr>
                <w:lang w:val="en-CA"/>
              </w:rPr>
            </w:pPr>
          </w:p>
        </w:tc>
        <w:tc>
          <w:tcPr>
            <w:tcW w:w="340" w:type="dxa"/>
            <w:shd w:val="clear" w:color="auto" w:fill="auto"/>
          </w:tcPr>
          <w:p w14:paraId="79AB2654" w14:textId="77777777" w:rsidR="00302BFE" w:rsidRPr="00D45B3D" w:rsidRDefault="00302BFE" w:rsidP="00243B15">
            <w:pPr>
              <w:rPr>
                <w:lang w:val="en-CA"/>
              </w:rPr>
            </w:pPr>
          </w:p>
        </w:tc>
        <w:tc>
          <w:tcPr>
            <w:tcW w:w="340" w:type="dxa"/>
            <w:shd w:val="clear" w:color="auto" w:fill="auto"/>
          </w:tcPr>
          <w:p w14:paraId="35EA5E80" w14:textId="77777777" w:rsidR="00302BFE" w:rsidRPr="00D45B3D" w:rsidRDefault="00302BFE" w:rsidP="00243B15">
            <w:pPr>
              <w:rPr>
                <w:lang w:val="en-CA"/>
              </w:rPr>
            </w:pPr>
          </w:p>
        </w:tc>
        <w:tc>
          <w:tcPr>
            <w:tcW w:w="340" w:type="dxa"/>
            <w:shd w:val="clear" w:color="auto" w:fill="auto"/>
          </w:tcPr>
          <w:p w14:paraId="7B38233F"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33AD246B"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145AF284"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00167D09"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79C775E4"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402B1CC"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66BE469"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426490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BCBF320"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A3ACFD7"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D44544E"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1630F14"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0462478"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DF1DDE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2DA7861"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248E11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0EF8CD0"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0F9EB8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ECD23A2"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EDCE148" w14:textId="77777777" w:rsidR="00302BFE" w:rsidRPr="00D45B3D" w:rsidRDefault="00302BFE" w:rsidP="00243B15">
            <w:pPr>
              <w:rPr>
                <w:lang w:val="en-CA"/>
              </w:rPr>
            </w:pPr>
          </w:p>
        </w:tc>
        <w:tc>
          <w:tcPr>
            <w:tcW w:w="340" w:type="dxa"/>
            <w:shd w:val="clear" w:color="auto" w:fill="auto"/>
          </w:tcPr>
          <w:p w14:paraId="6ABB626B" w14:textId="77777777" w:rsidR="00302BFE" w:rsidRPr="00D45B3D" w:rsidRDefault="00302BFE" w:rsidP="00243B15">
            <w:pPr>
              <w:rPr>
                <w:lang w:val="en-CA"/>
              </w:rPr>
            </w:pPr>
          </w:p>
        </w:tc>
      </w:tr>
      <w:tr w:rsidR="005979FD" w:rsidRPr="00D45B3D" w14:paraId="7CBE6F87" w14:textId="77777777" w:rsidTr="00CC2FAC">
        <w:trPr>
          <w:jc w:val="center"/>
        </w:trPr>
        <w:tc>
          <w:tcPr>
            <w:tcW w:w="5670" w:type="dxa"/>
            <w:shd w:val="clear" w:color="auto" w:fill="auto"/>
          </w:tcPr>
          <w:p w14:paraId="020AD404" w14:textId="77777777" w:rsidR="00302BFE" w:rsidRPr="00D45B3D" w:rsidRDefault="00302BFE" w:rsidP="00243B15">
            <w:pPr>
              <w:rPr>
                <w:i/>
                <w:color w:val="4472C4"/>
                <w:sz w:val="16"/>
                <w:szCs w:val="16"/>
                <w:lang w:val="en-CA"/>
              </w:rPr>
            </w:pPr>
            <w:r w:rsidRPr="00D45B3D">
              <w:rPr>
                <w:i/>
                <w:color w:val="4472C4"/>
                <w:sz w:val="16"/>
                <w:szCs w:val="16"/>
                <w:lang w:val="en-GB"/>
              </w:rPr>
              <w:lastRenderedPageBreak/>
              <w:t>3.2.2 Promotion of best practices for rangeland and pasture management including specific strategies for managing pastoralism at the local level</w:t>
            </w:r>
          </w:p>
        </w:tc>
        <w:tc>
          <w:tcPr>
            <w:tcW w:w="340" w:type="dxa"/>
            <w:shd w:val="clear" w:color="auto" w:fill="auto"/>
          </w:tcPr>
          <w:p w14:paraId="74744C6E" w14:textId="77777777" w:rsidR="00302BFE" w:rsidRPr="00D45B3D" w:rsidRDefault="00302BFE" w:rsidP="00243B15">
            <w:pPr>
              <w:rPr>
                <w:lang w:val="en-CA"/>
              </w:rPr>
            </w:pPr>
          </w:p>
        </w:tc>
        <w:tc>
          <w:tcPr>
            <w:tcW w:w="340" w:type="dxa"/>
            <w:shd w:val="clear" w:color="auto" w:fill="auto"/>
          </w:tcPr>
          <w:p w14:paraId="2CA513E5" w14:textId="77777777" w:rsidR="00302BFE" w:rsidRPr="00D45B3D" w:rsidRDefault="00302BFE" w:rsidP="00243B15">
            <w:pPr>
              <w:rPr>
                <w:lang w:val="en-CA"/>
              </w:rPr>
            </w:pPr>
          </w:p>
        </w:tc>
        <w:tc>
          <w:tcPr>
            <w:tcW w:w="340" w:type="dxa"/>
            <w:shd w:val="clear" w:color="auto" w:fill="auto"/>
          </w:tcPr>
          <w:p w14:paraId="53F91361" w14:textId="77777777" w:rsidR="00302BFE" w:rsidRPr="00D45B3D" w:rsidRDefault="00302BFE" w:rsidP="00243B15">
            <w:pPr>
              <w:rPr>
                <w:lang w:val="en-CA"/>
              </w:rPr>
            </w:pPr>
          </w:p>
        </w:tc>
        <w:tc>
          <w:tcPr>
            <w:tcW w:w="340" w:type="dxa"/>
            <w:shd w:val="clear" w:color="auto" w:fill="auto"/>
          </w:tcPr>
          <w:p w14:paraId="15694C41" w14:textId="77777777" w:rsidR="00302BFE" w:rsidRPr="00D45B3D" w:rsidRDefault="00302BFE" w:rsidP="00243B15">
            <w:pPr>
              <w:rPr>
                <w:lang w:val="en-CA"/>
              </w:rPr>
            </w:pPr>
          </w:p>
        </w:tc>
        <w:tc>
          <w:tcPr>
            <w:tcW w:w="340" w:type="dxa"/>
            <w:shd w:val="clear" w:color="auto" w:fill="D9D9D9"/>
          </w:tcPr>
          <w:p w14:paraId="039F0F31" w14:textId="77777777" w:rsidR="00302BFE" w:rsidRPr="00D45B3D" w:rsidRDefault="00302BFE" w:rsidP="00243B15">
            <w:pPr>
              <w:rPr>
                <w:lang w:val="en-CA"/>
              </w:rPr>
            </w:pPr>
          </w:p>
        </w:tc>
        <w:tc>
          <w:tcPr>
            <w:tcW w:w="340" w:type="dxa"/>
            <w:shd w:val="clear" w:color="auto" w:fill="D9D9D9"/>
          </w:tcPr>
          <w:p w14:paraId="08167969" w14:textId="77777777" w:rsidR="00302BFE" w:rsidRPr="00D45B3D" w:rsidRDefault="00302BFE" w:rsidP="00243B15">
            <w:pPr>
              <w:rPr>
                <w:lang w:val="en-CA"/>
              </w:rPr>
            </w:pPr>
          </w:p>
        </w:tc>
        <w:tc>
          <w:tcPr>
            <w:tcW w:w="340" w:type="dxa"/>
            <w:shd w:val="clear" w:color="auto" w:fill="D9D9D9"/>
          </w:tcPr>
          <w:p w14:paraId="613C63DF" w14:textId="77777777" w:rsidR="00302BFE" w:rsidRPr="00D45B3D" w:rsidRDefault="00302BFE" w:rsidP="00243B15">
            <w:pPr>
              <w:rPr>
                <w:lang w:val="en-CA"/>
              </w:rPr>
            </w:pPr>
          </w:p>
        </w:tc>
        <w:tc>
          <w:tcPr>
            <w:tcW w:w="340" w:type="dxa"/>
            <w:shd w:val="clear" w:color="auto" w:fill="D9D9D9"/>
          </w:tcPr>
          <w:p w14:paraId="64D03ABA" w14:textId="77777777" w:rsidR="00302BFE" w:rsidRPr="00D45B3D" w:rsidRDefault="00302BFE" w:rsidP="00243B15">
            <w:pPr>
              <w:rPr>
                <w:lang w:val="en-CA"/>
              </w:rPr>
            </w:pPr>
          </w:p>
        </w:tc>
        <w:tc>
          <w:tcPr>
            <w:tcW w:w="340" w:type="dxa"/>
            <w:shd w:val="clear" w:color="auto" w:fill="D9D9D9"/>
          </w:tcPr>
          <w:p w14:paraId="2369CDCF" w14:textId="77777777" w:rsidR="00302BFE" w:rsidRPr="00D45B3D" w:rsidRDefault="00302BFE" w:rsidP="00243B15">
            <w:pPr>
              <w:rPr>
                <w:lang w:val="en-CA"/>
              </w:rPr>
            </w:pPr>
          </w:p>
        </w:tc>
        <w:tc>
          <w:tcPr>
            <w:tcW w:w="340" w:type="dxa"/>
            <w:shd w:val="clear" w:color="auto" w:fill="D9D9D9"/>
          </w:tcPr>
          <w:p w14:paraId="2D0948AE" w14:textId="77777777" w:rsidR="00302BFE" w:rsidRPr="00D45B3D" w:rsidRDefault="00302BFE" w:rsidP="00243B15">
            <w:pPr>
              <w:rPr>
                <w:lang w:val="en-CA"/>
              </w:rPr>
            </w:pPr>
          </w:p>
        </w:tc>
        <w:tc>
          <w:tcPr>
            <w:tcW w:w="340" w:type="dxa"/>
            <w:shd w:val="clear" w:color="auto" w:fill="D9D9D9"/>
          </w:tcPr>
          <w:p w14:paraId="583603D1" w14:textId="77777777" w:rsidR="00302BFE" w:rsidRPr="00D45B3D" w:rsidRDefault="00302BFE" w:rsidP="00243B15">
            <w:pPr>
              <w:rPr>
                <w:lang w:val="en-CA"/>
              </w:rPr>
            </w:pPr>
          </w:p>
        </w:tc>
        <w:tc>
          <w:tcPr>
            <w:tcW w:w="340" w:type="dxa"/>
            <w:shd w:val="clear" w:color="auto" w:fill="D9D9D9"/>
          </w:tcPr>
          <w:p w14:paraId="2B3D4324" w14:textId="77777777" w:rsidR="00302BFE" w:rsidRPr="00D45B3D" w:rsidRDefault="00302BFE" w:rsidP="00243B15">
            <w:pPr>
              <w:rPr>
                <w:lang w:val="en-CA"/>
              </w:rPr>
            </w:pPr>
          </w:p>
        </w:tc>
        <w:tc>
          <w:tcPr>
            <w:tcW w:w="340" w:type="dxa"/>
            <w:shd w:val="clear" w:color="auto" w:fill="D9D9D9"/>
          </w:tcPr>
          <w:p w14:paraId="68458A3A" w14:textId="77777777" w:rsidR="00302BFE" w:rsidRPr="00D45B3D" w:rsidRDefault="00302BFE" w:rsidP="00243B15">
            <w:pPr>
              <w:rPr>
                <w:lang w:val="en-CA"/>
              </w:rPr>
            </w:pPr>
          </w:p>
        </w:tc>
        <w:tc>
          <w:tcPr>
            <w:tcW w:w="340" w:type="dxa"/>
            <w:shd w:val="clear" w:color="auto" w:fill="D9D9D9"/>
          </w:tcPr>
          <w:p w14:paraId="4ED4BE38" w14:textId="77777777" w:rsidR="00302BFE" w:rsidRPr="00D45B3D" w:rsidRDefault="00302BFE" w:rsidP="00243B15">
            <w:pPr>
              <w:rPr>
                <w:lang w:val="en-CA"/>
              </w:rPr>
            </w:pPr>
          </w:p>
        </w:tc>
        <w:tc>
          <w:tcPr>
            <w:tcW w:w="340" w:type="dxa"/>
            <w:shd w:val="clear" w:color="auto" w:fill="D9D9D9"/>
          </w:tcPr>
          <w:p w14:paraId="52923A71" w14:textId="77777777" w:rsidR="00302BFE" w:rsidRPr="00D45B3D" w:rsidRDefault="00302BFE" w:rsidP="00243B15">
            <w:pPr>
              <w:rPr>
                <w:lang w:val="en-CA"/>
              </w:rPr>
            </w:pPr>
          </w:p>
        </w:tc>
        <w:tc>
          <w:tcPr>
            <w:tcW w:w="340" w:type="dxa"/>
            <w:shd w:val="clear" w:color="auto" w:fill="D9D9D9"/>
          </w:tcPr>
          <w:p w14:paraId="4ED8E18F" w14:textId="77777777" w:rsidR="00302BFE" w:rsidRPr="00D45B3D" w:rsidRDefault="00302BFE" w:rsidP="00243B15">
            <w:pPr>
              <w:rPr>
                <w:lang w:val="en-CA"/>
              </w:rPr>
            </w:pPr>
          </w:p>
        </w:tc>
        <w:tc>
          <w:tcPr>
            <w:tcW w:w="340" w:type="dxa"/>
            <w:shd w:val="clear" w:color="auto" w:fill="D9D9D9"/>
          </w:tcPr>
          <w:p w14:paraId="715202FD" w14:textId="77777777" w:rsidR="00302BFE" w:rsidRPr="00D45B3D" w:rsidRDefault="00302BFE" w:rsidP="00243B15">
            <w:pPr>
              <w:rPr>
                <w:lang w:val="en-CA"/>
              </w:rPr>
            </w:pPr>
          </w:p>
        </w:tc>
        <w:tc>
          <w:tcPr>
            <w:tcW w:w="340" w:type="dxa"/>
            <w:shd w:val="clear" w:color="auto" w:fill="D9D9D9"/>
          </w:tcPr>
          <w:p w14:paraId="72498E28" w14:textId="77777777" w:rsidR="00302BFE" w:rsidRPr="00D45B3D" w:rsidRDefault="00302BFE" w:rsidP="00243B15">
            <w:pPr>
              <w:rPr>
                <w:lang w:val="en-CA"/>
              </w:rPr>
            </w:pPr>
          </w:p>
        </w:tc>
        <w:tc>
          <w:tcPr>
            <w:tcW w:w="340" w:type="dxa"/>
            <w:shd w:val="clear" w:color="auto" w:fill="D9D9D9"/>
          </w:tcPr>
          <w:p w14:paraId="0ADF8441" w14:textId="77777777" w:rsidR="00302BFE" w:rsidRPr="00D45B3D" w:rsidRDefault="00302BFE" w:rsidP="00243B15">
            <w:pPr>
              <w:rPr>
                <w:lang w:val="en-CA"/>
              </w:rPr>
            </w:pPr>
          </w:p>
        </w:tc>
        <w:tc>
          <w:tcPr>
            <w:tcW w:w="340" w:type="dxa"/>
            <w:shd w:val="clear" w:color="auto" w:fill="D9D9D9"/>
          </w:tcPr>
          <w:p w14:paraId="3BE15E7F" w14:textId="77777777" w:rsidR="00302BFE" w:rsidRPr="00D45B3D" w:rsidRDefault="00302BFE" w:rsidP="00243B15">
            <w:pPr>
              <w:rPr>
                <w:lang w:val="en-CA"/>
              </w:rPr>
            </w:pPr>
          </w:p>
        </w:tc>
        <w:tc>
          <w:tcPr>
            <w:tcW w:w="340" w:type="dxa"/>
            <w:shd w:val="clear" w:color="auto" w:fill="D9D9D9"/>
          </w:tcPr>
          <w:p w14:paraId="4FF30068" w14:textId="77777777" w:rsidR="00302BFE" w:rsidRPr="00D45B3D" w:rsidRDefault="00302BFE" w:rsidP="00243B15">
            <w:pPr>
              <w:rPr>
                <w:lang w:val="en-CA"/>
              </w:rPr>
            </w:pPr>
          </w:p>
        </w:tc>
        <w:tc>
          <w:tcPr>
            <w:tcW w:w="340" w:type="dxa"/>
            <w:shd w:val="clear" w:color="auto" w:fill="D9D9D9"/>
          </w:tcPr>
          <w:p w14:paraId="3863808E" w14:textId="77777777" w:rsidR="00302BFE" w:rsidRPr="00D45B3D" w:rsidRDefault="00302BFE" w:rsidP="00243B15">
            <w:pPr>
              <w:rPr>
                <w:lang w:val="en-CA"/>
              </w:rPr>
            </w:pPr>
          </w:p>
        </w:tc>
        <w:tc>
          <w:tcPr>
            <w:tcW w:w="340" w:type="dxa"/>
            <w:shd w:val="clear" w:color="auto" w:fill="D9D9D9"/>
          </w:tcPr>
          <w:p w14:paraId="5C479B34" w14:textId="77777777" w:rsidR="00302BFE" w:rsidRPr="00D45B3D" w:rsidRDefault="00302BFE" w:rsidP="00243B15">
            <w:pPr>
              <w:rPr>
                <w:lang w:val="en-CA"/>
              </w:rPr>
            </w:pPr>
          </w:p>
        </w:tc>
        <w:tc>
          <w:tcPr>
            <w:tcW w:w="340" w:type="dxa"/>
            <w:shd w:val="clear" w:color="auto" w:fill="auto"/>
          </w:tcPr>
          <w:p w14:paraId="421A0F01" w14:textId="77777777" w:rsidR="00302BFE" w:rsidRPr="00D45B3D" w:rsidRDefault="00302BFE" w:rsidP="00243B15">
            <w:pPr>
              <w:rPr>
                <w:lang w:val="en-CA"/>
              </w:rPr>
            </w:pPr>
          </w:p>
        </w:tc>
      </w:tr>
      <w:tr w:rsidR="005979FD" w:rsidRPr="00D45B3D" w14:paraId="6C876AD7" w14:textId="77777777" w:rsidTr="00CC2FAC">
        <w:trPr>
          <w:jc w:val="center"/>
        </w:trPr>
        <w:tc>
          <w:tcPr>
            <w:tcW w:w="5670" w:type="dxa"/>
            <w:shd w:val="clear" w:color="auto" w:fill="auto"/>
          </w:tcPr>
          <w:p w14:paraId="30C989E7" w14:textId="77777777" w:rsidR="00302BFE" w:rsidRPr="00D45B3D" w:rsidRDefault="00302BFE" w:rsidP="00243B15">
            <w:pPr>
              <w:rPr>
                <w:i/>
                <w:color w:val="4472C4"/>
                <w:sz w:val="16"/>
                <w:szCs w:val="16"/>
                <w:lang w:val="en-CA"/>
              </w:rPr>
            </w:pPr>
            <w:r w:rsidRPr="00D45B3D">
              <w:rPr>
                <w:i/>
                <w:color w:val="4472C4"/>
                <w:sz w:val="16"/>
                <w:szCs w:val="16"/>
                <w:lang w:val="en-CA"/>
              </w:rPr>
              <w:t>3.2.3 Revising the Forest Management Worksites Model</w:t>
            </w:r>
          </w:p>
        </w:tc>
        <w:tc>
          <w:tcPr>
            <w:tcW w:w="340" w:type="dxa"/>
            <w:shd w:val="clear" w:color="auto" w:fill="auto"/>
          </w:tcPr>
          <w:p w14:paraId="3EBC2023" w14:textId="77777777" w:rsidR="00302BFE" w:rsidRPr="00D45B3D" w:rsidRDefault="00302BFE" w:rsidP="00243B15">
            <w:pPr>
              <w:rPr>
                <w:lang w:val="en-CA"/>
              </w:rPr>
            </w:pPr>
          </w:p>
        </w:tc>
        <w:tc>
          <w:tcPr>
            <w:tcW w:w="340" w:type="dxa"/>
            <w:shd w:val="clear" w:color="auto" w:fill="auto"/>
          </w:tcPr>
          <w:p w14:paraId="5229A18D" w14:textId="77777777" w:rsidR="00302BFE" w:rsidRPr="00D45B3D" w:rsidRDefault="00302BFE" w:rsidP="00243B15">
            <w:pPr>
              <w:rPr>
                <w:lang w:val="en-CA"/>
              </w:rPr>
            </w:pPr>
          </w:p>
        </w:tc>
        <w:tc>
          <w:tcPr>
            <w:tcW w:w="340" w:type="dxa"/>
            <w:shd w:val="clear" w:color="auto" w:fill="auto"/>
          </w:tcPr>
          <w:p w14:paraId="222778F7" w14:textId="77777777" w:rsidR="00302BFE" w:rsidRPr="00D45B3D" w:rsidRDefault="00302BFE" w:rsidP="00243B15">
            <w:pPr>
              <w:rPr>
                <w:lang w:val="en-CA"/>
              </w:rPr>
            </w:pPr>
          </w:p>
        </w:tc>
        <w:tc>
          <w:tcPr>
            <w:tcW w:w="340" w:type="dxa"/>
            <w:shd w:val="clear" w:color="auto" w:fill="auto"/>
          </w:tcPr>
          <w:p w14:paraId="5F584DEE" w14:textId="77777777" w:rsidR="00302BFE" w:rsidRPr="00D45B3D" w:rsidRDefault="00302BFE" w:rsidP="00243B15">
            <w:pPr>
              <w:rPr>
                <w:lang w:val="en-CA"/>
              </w:rPr>
            </w:pPr>
          </w:p>
        </w:tc>
        <w:tc>
          <w:tcPr>
            <w:tcW w:w="340" w:type="dxa"/>
            <w:shd w:val="clear" w:color="auto" w:fill="D9D9D9"/>
          </w:tcPr>
          <w:p w14:paraId="59B2981F" w14:textId="77777777" w:rsidR="00302BFE" w:rsidRPr="00D45B3D" w:rsidRDefault="00302BFE" w:rsidP="00243B15">
            <w:pPr>
              <w:rPr>
                <w:lang w:val="en-CA"/>
              </w:rPr>
            </w:pPr>
          </w:p>
        </w:tc>
        <w:tc>
          <w:tcPr>
            <w:tcW w:w="340" w:type="dxa"/>
            <w:shd w:val="clear" w:color="auto" w:fill="D9D9D9"/>
          </w:tcPr>
          <w:p w14:paraId="3382D659" w14:textId="77777777" w:rsidR="00302BFE" w:rsidRPr="00D45B3D" w:rsidRDefault="00302BFE" w:rsidP="00243B15">
            <w:pPr>
              <w:rPr>
                <w:lang w:val="en-CA"/>
              </w:rPr>
            </w:pPr>
          </w:p>
        </w:tc>
        <w:tc>
          <w:tcPr>
            <w:tcW w:w="340" w:type="dxa"/>
            <w:shd w:val="clear" w:color="auto" w:fill="D9D9D9"/>
          </w:tcPr>
          <w:p w14:paraId="3D65DC30" w14:textId="77777777" w:rsidR="00302BFE" w:rsidRPr="00D45B3D" w:rsidRDefault="00302BFE" w:rsidP="00243B15">
            <w:pPr>
              <w:rPr>
                <w:lang w:val="en-CA"/>
              </w:rPr>
            </w:pPr>
          </w:p>
        </w:tc>
        <w:tc>
          <w:tcPr>
            <w:tcW w:w="340" w:type="dxa"/>
            <w:shd w:val="clear" w:color="auto" w:fill="D9D9D9"/>
          </w:tcPr>
          <w:p w14:paraId="07BCFEB3" w14:textId="77777777" w:rsidR="00302BFE" w:rsidRPr="00D45B3D" w:rsidRDefault="00302BFE" w:rsidP="00243B15">
            <w:pPr>
              <w:rPr>
                <w:lang w:val="en-CA"/>
              </w:rPr>
            </w:pPr>
          </w:p>
        </w:tc>
        <w:tc>
          <w:tcPr>
            <w:tcW w:w="340" w:type="dxa"/>
            <w:shd w:val="clear" w:color="auto" w:fill="D9D9D9"/>
          </w:tcPr>
          <w:p w14:paraId="7883C3A9" w14:textId="77777777" w:rsidR="00302BFE" w:rsidRPr="00D45B3D" w:rsidRDefault="00302BFE" w:rsidP="00243B15">
            <w:pPr>
              <w:rPr>
                <w:lang w:val="en-CA"/>
              </w:rPr>
            </w:pPr>
          </w:p>
        </w:tc>
        <w:tc>
          <w:tcPr>
            <w:tcW w:w="340" w:type="dxa"/>
            <w:shd w:val="clear" w:color="auto" w:fill="D9D9D9"/>
          </w:tcPr>
          <w:p w14:paraId="71F611CB" w14:textId="77777777" w:rsidR="00302BFE" w:rsidRPr="00D45B3D" w:rsidRDefault="00302BFE" w:rsidP="00243B15">
            <w:pPr>
              <w:rPr>
                <w:lang w:val="en-CA"/>
              </w:rPr>
            </w:pPr>
          </w:p>
        </w:tc>
        <w:tc>
          <w:tcPr>
            <w:tcW w:w="340" w:type="dxa"/>
            <w:shd w:val="clear" w:color="auto" w:fill="D9D9D9"/>
          </w:tcPr>
          <w:p w14:paraId="08158C11" w14:textId="77777777" w:rsidR="00302BFE" w:rsidRPr="00D45B3D" w:rsidRDefault="00302BFE" w:rsidP="00243B15">
            <w:pPr>
              <w:rPr>
                <w:lang w:val="en-CA"/>
              </w:rPr>
            </w:pPr>
          </w:p>
        </w:tc>
        <w:tc>
          <w:tcPr>
            <w:tcW w:w="340" w:type="dxa"/>
            <w:shd w:val="clear" w:color="auto" w:fill="D9D9D9"/>
          </w:tcPr>
          <w:p w14:paraId="3DAB0A45" w14:textId="77777777" w:rsidR="00302BFE" w:rsidRPr="00D45B3D" w:rsidRDefault="00302BFE" w:rsidP="00243B15">
            <w:pPr>
              <w:rPr>
                <w:lang w:val="en-CA"/>
              </w:rPr>
            </w:pPr>
          </w:p>
        </w:tc>
        <w:tc>
          <w:tcPr>
            <w:tcW w:w="340" w:type="dxa"/>
            <w:shd w:val="clear" w:color="auto" w:fill="D9D9D9"/>
          </w:tcPr>
          <w:p w14:paraId="65B5C557" w14:textId="77777777" w:rsidR="00302BFE" w:rsidRPr="00D45B3D" w:rsidRDefault="00302BFE" w:rsidP="00243B15">
            <w:pPr>
              <w:rPr>
                <w:lang w:val="en-CA"/>
              </w:rPr>
            </w:pPr>
          </w:p>
        </w:tc>
        <w:tc>
          <w:tcPr>
            <w:tcW w:w="340" w:type="dxa"/>
            <w:shd w:val="clear" w:color="auto" w:fill="D9D9D9"/>
          </w:tcPr>
          <w:p w14:paraId="0960975D" w14:textId="77777777" w:rsidR="00302BFE" w:rsidRPr="00D45B3D" w:rsidRDefault="00302BFE" w:rsidP="00243B15">
            <w:pPr>
              <w:rPr>
                <w:lang w:val="en-CA"/>
              </w:rPr>
            </w:pPr>
          </w:p>
        </w:tc>
        <w:tc>
          <w:tcPr>
            <w:tcW w:w="340" w:type="dxa"/>
            <w:shd w:val="clear" w:color="auto" w:fill="D9D9D9"/>
          </w:tcPr>
          <w:p w14:paraId="599B8ED2" w14:textId="77777777" w:rsidR="00302BFE" w:rsidRPr="00D45B3D" w:rsidRDefault="00302BFE" w:rsidP="00243B15">
            <w:pPr>
              <w:rPr>
                <w:lang w:val="en-CA"/>
              </w:rPr>
            </w:pPr>
          </w:p>
        </w:tc>
        <w:tc>
          <w:tcPr>
            <w:tcW w:w="340" w:type="dxa"/>
            <w:shd w:val="clear" w:color="auto" w:fill="D9D9D9"/>
          </w:tcPr>
          <w:p w14:paraId="3FC2E56E" w14:textId="77777777" w:rsidR="00302BFE" w:rsidRPr="00D45B3D" w:rsidRDefault="00302BFE" w:rsidP="00243B15">
            <w:pPr>
              <w:rPr>
                <w:lang w:val="en-CA"/>
              </w:rPr>
            </w:pPr>
          </w:p>
        </w:tc>
        <w:tc>
          <w:tcPr>
            <w:tcW w:w="340" w:type="dxa"/>
            <w:shd w:val="clear" w:color="auto" w:fill="D9D9D9"/>
          </w:tcPr>
          <w:p w14:paraId="32E89051" w14:textId="77777777" w:rsidR="00302BFE" w:rsidRPr="00D45B3D" w:rsidRDefault="00302BFE" w:rsidP="00243B15">
            <w:pPr>
              <w:rPr>
                <w:lang w:val="en-CA"/>
              </w:rPr>
            </w:pPr>
          </w:p>
        </w:tc>
        <w:tc>
          <w:tcPr>
            <w:tcW w:w="340" w:type="dxa"/>
            <w:shd w:val="clear" w:color="auto" w:fill="D9D9D9"/>
          </w:tcPr>
          <w:p w14:paraId="1EF547B9" w14:textId="77777777" w:rsidR="00302BFE" w:rsidRPr="00D45B3D" w:rsidRDefault="00302BFE" w:rsidP="00243B15">
            <w:pPr>
              <w:rPr>
                <w:lang w:val="en-CA"/>
              </w:rPr>
            </w:pPr>
          </w:p>
        </w:tc>
        <w:tc>
          <w:tcPr>
            <w:tcW w:w="340" w:type="dxa"/>
            <w:shd w:val="clear" w:color="auto" w:fill="D9D9D9"/>
          </w:tcPr>
          <w:p w14:paraId="42CD44F2" w14:textId="77777777" w:rsidR="00302BFE" w:rsidRPr="00D45B3D" w:rsidRDefault="00302BFE" w:rsidP="00243B15">
            <w:pPr>
              <w:rPr>
                <w:lang w:val="en-CA"/>
              </w:rPr>
            </w:pPr>
          </w:p>
        </w:tc>
        <w:tc>
          <w:tcPr>
            <w:tcW w:w="340" w:type="dxa"/>
            <w:shd w:val="clear" w:color="auto" w:fill="D9D9D9"/>
          </w:tcPr>
          <w:p w14:paraId="57DACF5B" w14:textId="77777777" w:rsidR="00302BFE" w:rsidRPr="00D45B3D" w:rsidRDefault="00302BFE" w:rsidP="00243B15">
            <w:pPr>
              <w:rPr>
                <w:lang w:val="en-CA"/>
              </w:rPr>
            </w:pPr>
          </w:p>
        </w:tc>
        <w:tc>
          <w:tcPr>
            <w:tcW w:w="340" w:type="dxa"/>
            <w:shd w:val="clear" w:color="auto" w:fill="D9D9D9"/>
          </w:tcPr>
          <w:p w14:paraId="0051AEEE" w14:textId="77777777" w:rsidR="00302BFE" w:rsidRPr="00D45B3D" w:rsidRDefault="00302BFE" w:rsidP="00243B15">
            <w:pPr>
              <w:rPr>
                <w:lang w:val="en-CA"/>
              </w:rPr>
            </w:pPr>
          </w:p>
        </w:tc>
        <w:tc>
          <w:tcPr>
            <w:tcW w:w="340" w:type="dxa"/>
            <w:shd w:val="clear" w:color="auto" w:fill="D9D9D9"/>
          </w:tcPr>
          <w:p w14:paraId="58B07DE8" w14:textId="77777777" w:rsidR="00302BFE" w:rsidRPr="00D45B3D" w:rsidRDefault="00302BFE" w:rsidP="00243B15">
            <w:pPr>
              <w:rPr>
                <w:lang w:val="en-CA"/>
              </w:rPr>
            </w:pPr>
          </w:p>
        </w:tc>
        <w:tc>
          <w:tcPr>
            <w:tcW w:w="340" w:type="dxa"/>
            <w:shd w:val="clear" w:color="auto" w:fill="D9D9D9"/>
          </w:tcPr>
          <w:p w14:paraId="05DB15E3" w14:textId="77777777" w:rsidR="00302BFE" w:rsidRPr="00D45B3D" w:rsidRDefault="00302BFE" w:rsidP="00243B15">
            <w:pPr>
              <w:rPr>
                <w:lang w:val="en-CA"/>
              </w:rPr>
            </w:pPr>
          </w:p>
        </w:tc>
        <w:tc>
          <w:tcPr>
            <w:tcW w:w="340" w:type="dxa"/>
            <w:shd w:val="clear" w:color="auto" w:fill="auto"/>
          </w:tcPr>
          <w:p w14:paraId="40E356D8" w14:textId="77777777" w:rsidR="00302BFE" w:rsidRPr="00D45B3D" w:rsidRDefault="00302BFE" w:rsidP="00243B15">
            <w:pPr>
              <w:rPr>
                <w:lang w:val="en-CA"/>
              </w:rPr>
            </w:pPr>
          </w:p>
        </w:tc>
      </w:tr>
      <w:tr w:rsidR="00302BFE" w:rsidRPr="00D45B3D" w14:paraId="07C433FF" w14:textId="77777777" w:rsidTr="00243B15">
        <w:trPr>
          <w:jc w:val="center"/>
        </w:trPr>
        <w:tc>
          <w:tcPr>
            <w:tcW w:w="5670" w:type="dxa"/>
            <w:shd w:val="clear" w:color="auto" w:fill="auto"/>
          </w:tcPr>
          <w:p w14:paraId="221ABA29" w14:textId="77777777" w:rsidR="00302BFE" w:rsidRPr="00D45B3D" w:rsidRDefault="00302BFE" w:rsidP="00243B15">
            <w:pPr>
              <w:rPr>
                <w:sz w:val="16"/>
                <w:szCs w:val="16"/>
                <w:lang w:val="en-CA"/>
              </w:rPr>
            </w:pPr>
            <w:r w:rsidRPr="00D45B3D">
              <w:rPr>
                <w:sz w:val="16"/>
                <w:szCs w:val="16"/>
                <w:lang w:val="en-CA"/>
              </w:rPr>
              <w:t>Output 3.3 Sustainable local forest products processing enterprises are established</w:t>
            </w:r>
          </w:p>
        </w:tc>
        <w:tc>
          <w:tcPr>
            <w:tcW w:w="8160" w:type="dxa"/>
            <w:gridSpan w:val="24"/>
            <w:shd w:val="clear" w:color="auto" w:fill="auto"/>
          </w:tcPr>
          <w:p w14:paraId="76647AB4" w14:textId="77777777" w:rsidR="00302BFE" w:rsidRPr="00D45B3D" w:rsidRDefault="00302BFE" w:rsidP="00243B15">
            <w:pPr>
              <w:rPr>
                <w:lang w:val="en-CA"/>
              </w:rPr>
            </w:pPr>
          </w:p>
        </w:tc>
      </w:tr>
      <w:tr w:rsidR="00EC409B" w:rsidRPr="00D45B3D" w14:paraId="032CDAD7" w14:textId="77777777" w:rsidTr="00755BF9">
        <w:trPr>
          <w:jc w:val="center"/>
        </w:trPr>
        <w:tc>
          <w:tcPr>
            <w:tcW w:w="5670" w:type="dxa"/>
            <w:shd w:val="clear" w:color="auto" w:fill="auto"/>
          </w:tcPr>
          <w:p w14:paraId="0D0B60A2" w14:textId="77777777" w:rsidR="00302BFE" w:rsidRPr="00D45B3D" w:rsidRDefault="00302BFE" w:rsidP="00243B15">
            <w:pPr>
              <w:rPr>
                <w:i/>
                <w:color w:val="4472C4"/>
                <w:sz w:val="16"/>
                <w:szCs w:val="16"/>
                <w:lang w:val="en-CA"/>
              </w:rPr>
            </w:pPr>
            <w:r w:rsidRPr="00D45B3D">
              <w:rPr>
                <w:i/>
                <w:color w:val="4472C4"/>
                <w:sz w:val="16"/>
                <w:szCs w:val="16"/>
                <w:lang w:val="en-GB"/>
              </w:rPr>
              <w:t>3.3.1 Market studies for the three non-timber forest products sectors</w:t>
            </w:r>
          </w:p>
        </w:tc>
        <w:tc>
          <w:tcPr>
            <w:tcW w:w="340" w:type="dxa"/>
            <w:shd w:val="clear" w:color="auto" w:fill="auto"/>
          </w:tcPr>
          <w:p w14:paraId="0886D3AA" w14:textId="77777777" w:rsidR="00302BFE" w:rsidRPr="00D45B3D" w:rsidRDefault="00302BFE" w:rsidP="00243B15">
            <w:pPr>
              <w:rPr>
                <w:lang w:val="en-CA"/>
              </w:rPr>
            </w:pPr>
          </w:p>
        </w:tc>
        <w:tc>
          <w:tcPr>
            <w:tcW w:w="340" w:type="dxa"/>
            <w:shd w:val="clear" w:color="auto" w:fill="auto"/>
          </w:tcPr>
          <w:p w14:paraId="3772C5B3" w14:textId="77777777" w:rsidR="00302BFE" w:rsidRPr="00D45B3D" w:rsidRDefault="00302BFE" w:rsidP="00243B15">
            <w:pPr>
              <w:rPr>
                <w:lang w:val="en-CA"/>
              </w:rPr>
            </w:pPr>
          </w:p>
        </w:tc>
        <w:tc>
          <w:tcPr>
            <w:tcW w:w="340" w:type="dxa"/>
            <w:shd w:val="clear" w:color="auto" w:fill="auto"/>
          </w:tcPr>
          <w:p w14:paraId="49172C8F" w14:textId="77777777" w:rsidR="00302BFE" w:rsidRPr="00D45B3D" w:rsidRDefault="00302BFE" w:rsidP="00243B15">
            <w:pPr>
              <w:rPr>
                <w:lang w:val="en-CA"/>
              </w:rPr>
            </w:pPr>
          </w:p>
        </w:tc>
        <w:tc>
          <w:tcPr>
            <w:tcW w:w="340" w:type="dxa"/>
            <w:shd w:val="clear" w:color="auto" w:fill="auto"/>
          </w:tcPr>
          <w:p w14:paraId="19153D32" w14:textId="77777777" w:rsidR="00302BFE" w:rsidRPr="00D45B3D" w:rsidRDefault="00302BFE" w:rsidP="00243B15">
            <w:pPr>
              <w:rPr>
                <w:lang w:val="en-CA"/>
              </w:rPr>
            </w:pPr>
          </w:p>
        </w:tc>
        <w:tc>
          <w:tcPr>
            <w:tcW w:w="340" w:type="dxa"/>
            <w:shd w:val="clear" w:color="auto" w:fill="auto"/>
          </w:tcPr>
          <w:p w14:paraId="5ED9796F" w14:textId="77777777" w:rsidR="00302BFE" w:rsidRPr="00D45B3D" w:rsidRDefault="00302BFE" w:rsidP="00243B15">
            <w:pPr>
              <w:rPr>
                <w:lang w:val="en-CA"/>
              </w:rPr>
            </w:pPr>
          </w:p>
        </w:tc>
        <w:tc>
          <w:tcPr>
            <w:tcW w:w="340" w:type="dxa"/>
            <w:shd w:val="clear" w:color="auto" w:fill="auto"/>
          </w:tcPr>
          <w:p w14:paraId="58148219" w14:textId="77777777" w:rsidR="00302BFE" w:rsidRPr="00D45B3D" w:rsidRDefault="00302BFE" w:rsidP="00243B15">
            <w:pPr>
              <w:rPr>
                <w:lang w:val="en-CA"/>
              </w:rPr>
            </w:pPr>
          </w:p>
        </w:tc>
        <w:tc>
          <w:tcPr>
            <w:tcW w:w="340" w:type="dxa"/>
            <w:shd w:val="clear" w:color="auto" w:fill="auto"/>
          </w:tcPr>
          <w:p w14:paraId="25CFCCB4" w14:textId="77777777" w:rsidR="00302BFE" w:rsidRPr="00D45B3D" w:rsidRDefault="00302BFE" w:rsidP="00243B15">
            <w:pPr>
              <w:rPr>
                <w:lang w:val="en-CA"/>
              </w:rPr>
            </w:pPr>
          </w:p>
        </w:tc>
        <w:tc>
          <w:tcPr>
            <w:tcW w:w="340" w:type="dxa"/>
            <w:shd w:val="clear" w:color="auto" w:fill="auto"/>
          </w:tcPr>
          <w:p w14:paraId="2FECE424"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2DF90F3F" w14:textId="77777777" w:rsidR="00302BFE" w:rsidRPr="00D45B3D" w:rsidRDefault="00302BFE" w:rsidP="00243B15">
            <w:pPr>
              <w:rPr>
                <w:lang w:val="en-CA"/>
              </w:rPr>
            </w:pPr>
          </w:p>
        </w:tc>
        <w:tc>
          <w:tcPr>
            <w:tcW w:w="340" w:type="dxa"/>
            <w:shd w:val="clear" w:color="auto" w:fill="D9D9D9"/>
          </w:tcPr>
          <w:p w14:paraId="46CAB961" w14:textId="77777777" w:rsidR="00302BFE" w:rsidRPr="00D45B3D" w:rsidRDefault="00302BFE" w:rsidP="00243B15">
            <w:pPr>
              <w:rPr>
                <w:lang w:val="en-CA"/>
              </w:rPr>
            </w:pPr>
          </w:p>
        </w:tc>
        <w:tc>
          <w:tcPr>
            <w:tcW w:w="340" w:type="dxa"/>
            <w:shd w:val="clear" w:color="auto" w:fill="auto"/>
          </w:tcPr>
          <w:p w14:paraId="6A36A1BE" w14:textId="77777777" w:rsidR="00302BFE" w:rsidRPr="00D45B3D" w:rsidRDefault="00302BFE" w:rsidP="00243B15">
            <w:pPr>
              <w:rPr>
                <w:lang w:val="en-CA"/>
              </w:rPr>
            </w:pPr>
          </w:p>
        </w:tc>
        <w:tc>
          <w:tcPr>
            <w:tcW w:w="340" w:type="dxa"/>
            <w:shd w:val="clear" w:color="auto" w:fill="auto"/>
          </w:tcPr>
          <w:p w14:paraId="4CE7D841" w14:textId="77777777" w:rsidR="00302BFE" w:rsidRPr="00D45B3D" w:rsidRDefault="00302BFE" w:rsidP="00243B15">
            <w:pPr>
              <w:rPr>
                <w:lang w:val="en-CA"/>
              </w:rPr>
            </w:pPr>
          </w:p>
        </w:tc>
        <w:tc>
          <w:tcPr>
            <w:tcW w:w="340" w:type="dxa"/>
            <w:shd w:val="clear" w:color="auto" w:fill="auto"/>
          </w:tcPr>
          <w:p w14:paraId="75601478" w14:textId="77777777" w:rsidR="00302BFE" w:rsidRPr="00D45B3D" w:rsidRDefault="00302BFE" w:rsidP="00243B15">
            <w:pPr>
              <w:rPr>
                <w:lang w:val="en-CA"/>
              </w:rPr>
            </w:pPr>
          </w:p>
        </w:tc>
        <w:tc>
          <w:tcPr>
            <w:tcW w:w="340" w:type="dxa"/>
            <w:shd w:val="clear" w:color="auto" w:fill="auto"/>
          </w:tcPr>
          <w:p w14:paraId="01FE3E27" w14:textId="77777777" w:rsidR="00302BFE" w:rsidRPr="00D45B3D" w:rsidRDefault="00302BFE" w:rsidP="00243B15">
            <w:pPr>
              <w:rPr>
                <w:lang w:val="en-CA"/>
              </w:rPr>
            </w:pPr>
          </w:p>
        </w:tc>
        <w:tc>
          <w:tcPr>
            <w:tcW w:w="340" w:type="dxa"/>
            <w:shd w:val="clear" w:color="auto" w:fill="auto"/>
          </w:tcPr>
          <w:p w14:paraId="11A309B4" w14:textId="77777777" w:rsidR="00302BFE" w:rsidRPr="00D45B3D" w:rsidRDefault="00302BFE" w:rsidP="00243B15">
            <w:pPr>
              <w:rPr>
                <w:lang w:val="en-CA"/>
              </w:rPr>
            </w:pPr>
          </w:p>
        </w:tc>
        <w:tc>
          <w:tcPr>
            <w:tcW w:w="340" w:type="dxa"/>
            <w:shd w:val="clear" w:color="auto" w:fill="auto"/>
          </w:tcPr>
          <w:p w14:paraId="36B80653" w14:textId="77777777" w:rsidR="00302BFE" w:rsidRPr="00D45B3D" w:rsidRDefault="00302BFE" w:rsidP="00243B15">
            <w:pPr>
              <w:rPr>
                <w:lang w:val="en-CA"/>
              </w:rPr>
            </w:pPr>
          </w:p>
        </w:tc>
        <w:tc>
          <w:tcPr>
            <w:tcW w:w="340" w:type="dxa"/>
            <w:shd w:val="clear" w:color="auto" w:fill="auto"/>
          </w:tcPr>
          <w:p w14:paraId="4CD77704" w14:textId="77777777" w:rsidR="00302BFE" w:rsidRPr="00D45B3D" w:rsidRDefault="00302BFE" w:rsidP="00243B15">
            <w:pPr>
              <w:rPr>
                <w:lang w:val="en-CA"/>
              </w:rPr>
            </w:pPr>
          </w:p>
        </w:tc>
        <w:tc>
          <w:tcPr>
            <w:tcW w:w="340" w:type="dxa"/>
            <w:shd w:val="clear" w:color="auto" w:fill="auto"/>
          </w:tcPr>
          <w:p w14:paraId="00FDBEA1" w14:textId="77777777" w:rsidR="00302BFE" w:rsidRPr="00D45B3D" w:rsidRDefault="00302BFE" w:rsidP="00243B15">
            <w:pPr>
              <w:rPr>
                <w:lang w:val="en-CA"/>
              </w:rPr>
            </w:pPr>
          </w:p>
        </w:tc>
        <w:tc>
          <w:tcPr>
            <w:tcW w:w="340" w:type="dxa"/>
            <w:shd w:val="clear" w:color="auto" w:fill="auto"/>
          </w:tcPr>
          <w:p w14:paraId="2186E8BA" w14:textId="77777777" w:rsidR="00302BFE" w:rsidRPr="00D45B3D" w:rsidRDefault="00302BFE" w:rsidP="00243B15">
            <w:pPr>
              <w:rPr>
                <w:lang w:val="en-CA"/>
              </w:rPr>
            </w:pPr>
          </w:p>
        </w:tc>
        <w:tc>
          <w:tcPr>
            <w:tcW w:w="340" w:type="dxa"/>
            <w:shd w:val="clear" w:color="auto" w:fill="auto"/>
          </w:tcPr>
          <w:p w14:paraId="4F9AF0ED" w14:textId="77777777" w:rsidR="00302BFE" w:rsidRPr="00D45B3D" w:rsidRDefault="00302BFE" w:rsidP="00243B15">
            <w:pPr>
              <w:rPr>
                <w:lang w:val="en-CA"/>
              </w:rPr>
            </w:pPr>
          </w:p>
        </w:tc>
        <w:tc>
          <w:tcPr>
            <w:tcW w:w="340" w:type="dxa"/>
            <w:shd w:val="clear" w:color="auto" w:fill="auto"/>
          </w:tcPr>
          <w:p w14:paraId="061992C6" w14:textId="77777777" w:rsidR="00302BFE" w:rsidRPr="00D45B3D" w:rsidRDefault="00302BFE" w:rsidP="00243B15">
            <w:pPr>
              <w:rPr>
                <w:lang w:val="en-CA"/>
              </w:rPr>
            </w:pPr>
          </w:p>
        </w:tc>
        <w:tc>
          <w:tcPr>
            <w:tcW w:w="340" w:type="dxa"/>
            <w:shd w:val="clear" w:color="auto" w:fill="auto"/>
          </w:tcPr>
          <w:p w14:paraId="1E20697C" w14:textId="77777777" w:rsidR="00302BFE" w:rsidRPr="00D45B3D" w:rsidRDefault="00302BFE" w:rsidP="00243B15">
            <w:pPr>
              <w:rPr>
                <w:lang w:val="en-CA"/>
              </w:rPr>
            </w:pPr>
          </w:p>
        </w:tc>
        <w:tc>
          <w:tcPr>
            <w:tcW w:w="340" w:type="dxa"/>
            <w:shd w:val="clear" w:color="auto" w:fill="auto"/>
          </w:tcPr>
          <w:p w14:paraId="5C7B6C53" w14:textId="77777777" w:rsidR="00302BFE" w:rsidRPr="00D45B3D" w:rsidRDefault="00302BFE" w:rsidP="00243B15">
            <w:pPr>
              <w:rPr>
                <w:lang w:val="en-CA"/>
              </w:rPr>
            </w:pPr>
          </w:p>
        </w:tc>
        <w:tc>
          <w:tcPr>
            <w:tcW w:w="340" w:type="dxa"/>
            <w:shd w:val="clear" w:color="auto" w:fill="auto"/>
          </w:tcPr>
          <w:p w14:paraId="05F7816D" w14:textId="77777777" w:rsidR="00302BFE" w:rsidRPr="00D45B3D" w:rsidRDefault="00302BFE" w:rsidP="00243B15">
            <w:pPr>
              <w:rPr>
                <w:lang w:val="en-CA"/>
              </w:rPr>
            </w:pPr>
          </w:p>
        </w:tc>
      </w:tr>
      <w:tr w:rsidR="00EC409B" w:rsidRPr="00D45B3D" w14:paraId="16D3A621" w14:textId="77777777" w:rsidTr="00755BF9">
        <w:trPr>
          <w:jc w:val="center"/>
        </w:trPr>
        <w:tc>
          <w:tcPr>
            <w:tcW w:w="5670" w:type="dxa"/>
            <w:shd w:val="clear" w:color="auto" w:fill="auto"/>
          </w:tcPr>
          <w:p w14:paraId="6AD40BF9" w14:textId="77777777" w:rsidR="00302BFE" w:rsidRPr="00D45B3D" w:rsidRDefault="00302BFE" w:rsidP="00243B15">
            <w:pPr>
              <w:rPr>
                <w:i/>
                <w:color w:val="4472C4"/>
                <w:sz w:val="16"/>
                <w:szCs w:val="16"/>
              </w:rPr>
            </w:pPr>
            <w:r w:rsidRPr="00D45B3D">
              <w:rPr>
                <w:i/>
                <w:color w:val="4472C4"/>
                <w:sz w:val="16"/>
                <w:szCs w:val="16"/>
                <w:lang w:val="en-GB"/>
              </w:rPr>
              <w:t>3.3.2 Identification of priority beneficiaries</w:t>
            </w:r>
          </w:p>
        </w:tc>
        <w:tc>
          <w:tcPr>
            <w:tcW w:w="340" w:type="dxa"/>
            <w:shd w:val="clear" w:color="auto" w:fill="auto"/>
          </w:tcPr>
          <w:p w14:paraId="63DC2D31" w14:textId="77777777" w:rsidR="00302BFE" w:rsidRPr="00D45B3D" w:rsidRDefault="00302BFE" w:rsidP="00243B15"/>
        </w:tc>
        <w:tc>
          <w:tcPr>
            <w:tcW w:w="340" w:type="dxa"/>
            <w:shd w:val="clear" w:color="auto" w:fill="auto"/>
          </w:tcPr>
          <w:p w14:paraId="10BEAA90" w14:textId="77777777" w:rsidR="00302BFE" w:rsidRPr="00D45B3D" w:rsidRDefault="00302BFE" w:rsidP="00243B15"/>
        </w:tc>
        <w:tc>
          <w:tcPr>
            <w:tcW w:w="340" w:type="dxa"/>
            <w:shd w:val="clear" w:color="auto" w:fill="auto"/>
          </w:tcPr>
          <w:p w14:paraId="7DA21027" w14:textId="77777777" w:rsidR="00302BFE" w:rsidRPr="00D45B3D" w:rsidRDefault="00302BFE" w:rsidP="00243B15"/>
        </w:tc>
        <w:tc>
          <w:tcPr>
            <w:tcW w:w="340" w:type="dxa"/>
            <w:shd w:val="clear" w:color="auto" w:fill="auto"/>
          </w:tcPr>
          <w:p w14:paraId="4D52B110" w14:textId="77777777" w:rsidR="00302BFE" w:rsidRPr="00D45B3D" w:rsidRDefault="00302BFE" w:rsidP="00243B15"/>
        </w:tc>
        <w:tc>
          <w:tcPr>
            <w:tcW w:w="340" w:type="dxa"/>
            <w:shd w:val="clear" w:color="auto" w:fill="auto"/>
          </w:tcPr>
          <w:p w14:paraId="785F8741" w14:textId="77777777" w:rsidR="00302BFE" w:rsidRPr="00D45B3D" w:rsidRDefault="00302BFE" w:rsidP="00243B15"/>
        </w:tc>
        <w:tc>
          <w:tcPr>
            <w:tcW w:w="340" w:type="dxa"/>
            <w:shd w:val="clear" w:color="auto" w:fill="auto"/>
          </w:tcPr>
          <w:p w14:paraId="03D4BDA8" w14:textId="77777777" w:rsidR="00302BFE" w:rsidRPr="00D45B3D" w:rsidRDefault="00302BFE" w:rsidP="00243B15"/>
        </w:tc>
        <w:tc>
          <w:tcPr>
            <w:tcW w:w="340" w:type="dxa"/>
            <w:shd w:val="clear" w:color="auto" w:fill="auto"/>
          </w:tcPr>
          <w:p w14:paraId="137C7F05" w14:textId="77777777" w:rsidR="00302BFE" w:rsidRPr="00D45B3D" w:rsidRDefault="00302BFE" w:rsidP="00243B15"/>
        </w:tc>
        <w:tc>
          <w:tcPr>
            <w:tcW w:w="340" w:type="dxa"/>
            <w:shd w:val="clear" w:color="auto" w:fill="auto"/>
          </w:tcPr>
          <w:p w14:paraId="2A21A401" w14:textId="77777777" w:rsidR="00302BFE" w:rsidRPr="00D45B3D" w:rsidRDefault="00302BFE" w:rsidP="00243B15"/>
        </w:tc>
        <w:tc>
          <w:tcPr>
            <w:tcW w:w="340" w:type="dxa"/>
            <w:tcBorders>
              <w:bottom w:val="single" w:sz="4" w:space="0" w:color="auto"/>
            </w:tcBorders>
            <w:shd w:val="clear" w:color="auto" w:fill="D9D9D9"/>
          </w:tcPr>
          <w:p w14:paraId="679D9540" w14:textId="77777777" w:rsidR="00302BFE" w:rsidRPr="00D45B3D" w:rsidRDefault="00302BFE" w:rsidP="00243B15"/>
        </w:tc>
        <w:tc>
          <w:tcPr>
            <w:tcW w:w="340" w:type="dxa"/>
            <w:tcBorders>
              <w:bottom w:val="single" w:sz="4" w:space="0" w:color="auto"/>
            </w:tcBorders>
            <w:shd w:val="clear" w:color="auto" w:fill="auto"/>
          </w:tcPr>
          <w:p w14:paraId="23739EC1" w14:textId="77777777" w:rsidR="00302BFE" w:rsidRPr="00D45B3D" w:rsidRDefault="00302BFE" w:rsidP="00243B15"/>
        </w:tc>
        <w:tc>
          <w:tcPr>
            <w:tcW w:w="340" w:type="dxa"/>
            <w:shd w:val="clear" w:color="auto" w:fill="auto"/>
          </w:tcPr>
          <w:p w14:paraId="259E182C" w14:textId="77777777" w:rsidR="00302BFE" w:rsidRPr="00D45B3D" w:rsidRDefault="00302BFE" w:rsidP="00243B15"/>
        </w:tc>
        <w:tc>
          <w:tcPr>
            <w:tcW w:w="340" w:type="dxa"/>
            <w:shd w:val="clear" w:color="auto" w:fill="auto"/>
          </w:tcPr>
          <w:p w14:paraId="3D122374" w14:textId="77777777" w:rsidR="00302BFE" w:rsidRPr="00D45B3D" w:rsidRDefault="00302BFE" w:rsidP="00243B15"/>
        </w:tc>
        <w:tc>
          <w:tcPr>
            <w:tcW w:w="340" w:type="dxa"/>
            <w:shd w:val="clear" w:color="auto" w:fill="auto"/>
          </w:tcPr>
          <w:p w14:paraId="7BE70050" w14:textId="77777777" w:rsidR="00302BFE" w:rsidRPr="00D45B3D" w:rsidRDefault="00302BFE" w:rsidP="00243B15"/>
        </w:tc>
        <w:tc>
          <w:tcPr>
            <w:tcW w:w="340" w:type="dxa"/>
            <w:shd w:val="clear" w:color="auto" w:fill="auto"/>
          </w:tcPr>
          <w:p w14:paraId="680401D5" w14:textId="77777777" w:rsidR="00302BFE" w:rsidRPr="00D45B3D" w:rsidRDefault="00302BFE" w:rsidP="00243B15"/>
        </w:tc>
        <w:tc>
          <w:tcPr>
            <w:tcW w:w="340" w:type="dxa"/>
            <w:shd w:val="clear" w:color="auto" w:fill="auto"/>
          </w:tcPr>
          <w:p w14:paraId="7CC7437C" w14:textId="77777777" w:rsidR="00302BFE" w:rsidRPr="00D45B3D" w:rsidRDefault="00302BFE" w:rsidP="00243B15"/>
        </w:tc>
        <w:tc>
          <w:tcPr>
            <w:tcW w:w="340" w:type="dxa"/>
            <w:shd w:val="clear" w:color="auto" w:fill="auto"/>
          </w:tcPr>
          <w:p w14:paraId="0374D699" w14:textId="77777777" w:rsidR="00302BFE" w:rsidRPr="00D45B3D" w:rsidRDefault="00302BFE" w:rsidP="00243B15"/>
        </w:tc>
        <w:tc>
          <w:tcPr>
            <w:tcW w:w="340" w:type="dxa"/>
            <w:shd w:val="clear" w:color="auto" w:fill="auto"/>
          </w:tcPr>
          <w:p w14:paraId="34596A73" w14:textId="77777777" w:rsidR="00302BFE" w:rsidRPr="00D45B3D" w:rsidRDefault="00302BFE" w:rsidP="00243B15"/>
        </w:tc>
        <w:tc>
          <w:tcPr>
            <w:tcW w:w="340" w:type="dxa"/>
            <w:shd w:val="clear" w:color="auto" w:fill="auto"/>
          </w:tcPr>
          <w:p w14:paraId="65558076" w14:textId="77777777" w:rsidR="00302BFE" w:rsidRPr="00D45B3D" w:rsidRDefault="00302BFE" w:rsidP="00243B15"/>
        </w:tc>
        <w:tc>
          <w:tcPr>
            <w:tcW w:w="340" w:type="dxa"/>
            <w:shd w:val="clear" w:color="auto" w:fill="auto"/>
          </w:tcPr>
          <w:p w14:paraId="1C2E2209" w14:textId="77777777" w:rsidR="00302BFE" w:rsidRPr="00D45B3D" w:rsidRDefault="00302BFE" w:rsidP="00243B15"/>
        </w:tc>
        <w:tc>
          <w:tcPr>
            <w:tcW w:w="340" w:type="dxa"/>
            <w:shd w:val="clear" w:color="auto" w:fill="auto"/>
          </w:tcPr>
          <w:p w14:paraId="30DC6DB7" w14:textId="77777777" w:rsidR="00302BFE" w:rsidRPr="00D45B3D" w:rsidRDefault="00302BFE" w:rsidP="00243B15"/>
        </w:tc>
        <w:tc>
          <w:tcPr>
            <w:tcW w:w="340" w:type="dxa"/>
            <w:shd w:val="clear" w:color="auto" w:fill="auto"/>
          </w:tcPr>
          <w:p w14:paraId="1369D309" w14:textId="77777777" w:rsidR="00302BFE" w:rsidRPr="00D45B3D" w:rsidRDefault="00302BFE" w:rsidP="00243B15"/>
        </w:tc>
        <w:tc>
          <w:tcPr>
            <w:tcW w:w="340" w:type="dxa"/>
            <w:shd w:val="clear" w:color="auto" w:fill="auto"/>
          </w:tcPr>
          <w:p w14:paraId="5DD1B3AB" w14:textId="77777777" w:rsidR="00302BFE" w:rsidRPr="00D45B3D" w:rsidRDefault="00302BFE" w:rsidP="00243B15"/>
        </w:tc>
        <w:tc>
          <w:tcPr>
            <w:tcW w:w="340" w:type="dxa"/>
            <w:shd w:val="clear" w:color="auto" w:fill="auto"/>
          </w:tcPr>
          <w:p w14:paraId="50E69830" w14:textId="77777777" w:rsidR="00302BFE" w:rsidRPr="00D45B3D" w:rsidRDefault="00302BFE" w:rsidP="00243B15"/>
        </w:tc>
        <w:tc>
          <w:tcPr>
            <w:tcW w:w="340" w:type="dxa"/>
            <w:shd w:val="clear" w:color="auto" w:fill="auto"/>
          </w:tcPr>
          <w:p w14:paraId="396946F3" w14:textId="77777777" w:rsidR="00302BFE" w:rsidRPr="00D45B3D" w:rsidRDefault="00302BFE" w:rsidP="00243B15"/>
        </w:tc>
      </w:tr>
      <w:tr w:rsidR="00EC409B" w:rsidRPr="00D45B3D" w14:paraId="19666188" w14:textId="77777777" w:rsidTr="00755BF9">
        <w:trPr>
          <w:jc w:val="center"/>
        </w:trPr>
        <w:tc>
          <w:tcPr>
            <w:tcW w:w="5670" w:type="dxa"/>
            <w:shd w:val="clear" w:color="auto" w:fill="auto"/>
          </w:tcPr>
          <w:p w14:paraId="50990F43" w14:textId="77777777" w:rsidR="00302BFE" w:rsidRPr="00D45B3D" w:rsidRDefault="00302BFE" w:rsidP="00243B15">
            <w:pPr>
              <w:rPr>
                <w:i/>
                <w:color w:val="4472C4"/>
                <w:sz w:val="16"/>
                <w:szCs w:val="16"/>
                <w:lang w:val="en-CA"/>
              </w:rPr>
            </w:pPr>
            <w:r w:rsidRPr="00D45B3D">
              <w:rPr>
                <w:i/>
                <w:color w:val="4472C4"/>
                <w:sz w:val="16"/>
                <w:szCs w:val="16"/>
                <w:lang w:val="en-GB"/>
              </w:rPr>
              <w:t>3.3.3 Women and men beneficiaries are better structured through the establishment of four (4) functional cooperatives</w:t>
            </w:r>
          </w:p>
        </w:tc>
        <w:tc>
          <w:tcPr>
            <w:tcW w:w="340" w:type="dxa"/>
            <w:shd w:val="clear" w:color="auto" w:fill="auto"/>
          </w:tcPr>
          <w:p w14:paraId="1AEB5DED" w14:textId="77777777" w:rsidR="00302BFE" w:rsidRPr="00D45B3D" w:rsidRDefault="00302BFE" w:rsidP="00243B15">
            <w:pPr>
              <w:rPr>
                <w:lang w:val="en-CA"/>
              </w:rPr>
            </w:pPr>
          </w:p>
        </w:tc>
        <w:tc>
          <w:tcPr>
            <w:tcW w:w="340" w:type="dxa"/>
            <w:shd w:val="clear" w:color="auto" w:fill="auto"/>
          </w:tcPr>
          <w:p w14:paraId="527F05BE" w14:textId="77777777" w:rsidR="00302BFE" w:rsidRPr="00D45B3D" w:rsidRDefault="00302BFE" w:rsidP="00243B15">
            <w:pPr>
              <w:rPr>
                <w:lang w:val="en-CA"/>
              </w:rPr>
            </w:pPr>
          </w:p>
        </w:tc>
        <w:tc>
          <w:tcPr>
            <w:tcW w:w="340" w:type="dxa"/>
            <w:shd w:val="clear" w:color="auto" w:fill="auto"/>
          </w:tcPr>
          <w:p w14:paraId="6E0C3026" w14:textId="77777777" w:rsidR="00302BFE" w:rsidRPr="00D45B3D" w:rsidRDefault="00302BFE" w:rsidP="00243B15">
            <w:pPr>
              <w:rPr>
                <w:lang w:val="en-CA"/>
              </w:rPr>
            </w:pPr>
          </w:p>
        </w:tc>
        <w:tc>
          <w:tcPr>
            <w:tcW w:w="340" w:type="dxa"/>
            <w:shd w:val="clear" w:color="auto" w:fill="auto"/>
          </w:tcPr>
          <w:p w14:paraId="64A011BF" w14:textId="77777777" w:rsidR="00302BFE" w:rsidRPr="00D45B3D" w:rsidRDefault="00302BFE" w:rsidP="00243B15">
            <w:pPr>
              <w:rPr>
                <w:lang w:val="en-CA"/>
              </w:rPr>
            </w:pPr>
          </w:p>
        </w:tc>
        <w:tc>
          <w:tcPr>
            <w:tcW w:w="340" w:type="dxa"/>
            <w:shd w:val="clear" w:color="auto" w:fill="auto"/>
          </w:tcPr>
          <w:p w14:paraId="6BD5B49C" w14:textId="77777777" w:rsidR="00302BFE" w:rsidRPr="00D45B3D" w:rsidRDefault="00302BFE" w:rsidP="00243B15">
            <w:pPr>
              <w:rPr>
                <w:lang w:val="en-CA"/>
              </w:rPr>
            </w:pPr>
          </w:p>
        </w:tc>
        <w:tc>
          <w:tcPr>
            <w:tcW w:w="340" w:type="dxa"/>
            <w:shd w:val="clear" w:color="auto" w:fill="auto"/>
          </w:tcPr>
          <w:p w14:paraId="007EB7EA" w14:textId="77777777" w:rsidR="00302BFE" w:rsidRPr="00D45B3D" w:rsidRDefault="00302BFE" w:rsidP="00243B15">
            <w:pPr>
              <w:rPr>
                <w:lang w:val="en-CA"/>
              </w:rPr>
            </w:pPr>
          </w:p>
        </w:tc>
        <w:tc>
          <w:tcPr>
            <w:tcW w:w="340" w:type="dxa"/>
            <w:shd w:val="clear" w:color="auto" w:fill="auto"/>
          </w:tcPr>
          <w:p w14:paraId="18624D93" w14:textId="77777777" w:rsidR="00302BFE" w:rsidRPr="00D45B3D" w:rsidRDefault="00302BFE" w:rsidP="00243B15">
            <w:pPr>
              <w:rPr>
                <w:lang w:val="en-CA"/>
              </w:rPr>
            </w:pPr>
          </w:p>
        </w:tc>
        <w:tc>
          <w:tcPr>
            <w:tcW w:w="340" w:type="dxa"/>
            <w:shd w:val="clear" w:color="auto" w:fill="auto"/>
          </w:tcPr>
          <w:p w14:paraId="0E46B169" w14:textId="77777777" w:rsidR="00302BFE" w:rsidRPr="00D45B3D" w:rsidRDefault="00302BFE" w:rsidP="00243B15">
            <w:pPr>
              <w:rPr>
                <w:lang w:val="en-CA"/>
              </w:rPr>
            </w:pPr>
          </w:p>
        </w:tc>
        <w:tc>
          <w:tcPr>
            <w:tcW w:w="340" w:type="dxa"/>
            <w:shd w:val="clear" w:color="auto" w:fill="D9D9D9"/>
          </w:tcPr>
          <w:p w14:paraId="4910C02E" w14:textId="77777777" w:rsidR="00302BFE" w:rsidRPr="00D45B3D" w:rsidRDefault="00302BFE" w:rsidP="00243B15">
            <w:pPr>
              <w:rPr>
                <w:lang w:val="en-CA"/>
              </w:rPr>
            </w:pPr>
          </w:p>
        </w:tc>
        <w:tc>
          <w:tcPr>
            <w:tcW w:w="340" w:type="dxa"/>
            <w:shd w:val="clear" w:color="auto" w:fill="D9D9D9"/>
          </w:tcPr>
          <w:p w14:paraId="22A97B4B"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AEBAE7B"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E919467"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1F70696"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CC49A29" w14:textId="77777777" w:rsidR="00302BFE" w:rsidRPr="00D45B3D" w:rsidRDefault="00302BFE" w:rsidP="00243B15">
            <w:pPr>
              <w:rPr>
                <w:lang w:val="en-CA"/>
              </w:rPr>
            </w:pPr>
          </w:p>
        </w:tc>
        <w:tc>
          <w:tcPr>
            <w:tcW w:w="340" w:type="dxa"/>
            <w:shd w:val="clear" w:color="auto" w:fill="auto"/>
          </w:tcPr>
          <w:p w14:paraId="6D5ADF6C" w14:textId="77777777" w:rsidR="00302BFE" w:rsidRPr="00D45B3D" w:rsidRDefault="00302BFE" w:rsidP="00243B15">
            <w:pPr>
              <w:rPr>
                <w:lang w:val="en-CA"/>
              </w:rPr>
            </w:pPr>
          </w:p>
        </w:tc>
        <w:tc>
          <w:tcPr>
            <w:tcW w:w="340" w:type="dxa"/>
            <w:shd w:val="clear" w:color="auto" w:fill="auto"/>
          </w:tcPr>
          <w:p w14:paraId="523A2BD8" w14:textId="77777777" w:rsidR="00302BFE" w:rsidRPr="00D45B3D" w:rsidRDefault="00302BFE" w:rsidP="00243B15">
            <w:pPr>
              <w:rPr>
                <w:lang w:val="en-CA"/>
              </w:rPr>
            </w:pPr>
          </w:p>
        </w:tc>
        <w:tc>
          <w:tcPr>
            <w:tcW w:w="340" w:type="dxa"/>
            <w:shd w:val="clear" w:color="auto" w:fill="auto"/>
          </w:tcPr>
          <w:p w14:paraId="1CB0CFD1" w14:textId="77777777" w:rsidR="00302BFE" w:rsidRPr="00D45B3D" w:rsidRDefault="00302BFE" w:rsidP="00243B15">
            <w:pPr>
              <w:rPr>
                <w:lang w:val="en-CA"/>
              </w:rPr>
            </w:pPr>
          </w:p>
        </w:tc>
        <w:tc>
          <w:tcPr>
            <w:tcW w:w="340" w:type="dxa"/>
            <w:shd w:val="clear" w:color="auto" w:fill="auto"/>
          </w:tcPr>
          <w:p w14:paraId="4621504E" w14:textId="77777777" w:rsidR="00302BFE" w:rsidRPr="00D45B3D" w:rsidRDefault="00302BFE" w:rsidP="00243B15">
            <w:pPr>
              <w:rPr>
                <w:lang w:val="en-CA"/>
              </w:rPr>
            </w:pPr>
          </w:p>
        </w:tc>
        <w:tc>
          <w:tcPr>
            <w:tcW w:w="340" w:type="dxa"/>
            <w:shd w:val="clear" w:color="auto" w:fill="auto"/>
          </w:tcPr>
          <w:p w14:paraId="07128FD7" w14:textId="77777777" w:rsidR="00302BFE" w:rsidRPr="00D45B3D" w:rsidRDefault="00302BFE" w:rsidP="00243B15">
            <w:pPr>
              <w:rPr>
                <w:lang w:val="en-CA"/>
              </w:rPr>
            </w:pPr>
          </w:p>
        </w:tc>
        <w:tc>
          <w:tcPr>
            <w:tcW w:w="340" w:type="dxa"/>
            <w:shd w:val="clear" w:color="auto" w:fill="auto"/>
          </w:tcPr>
          <w:p w14:paraId="6E24D3DD" w14:textId="77777777" w:rsidR="00302BFE" w:rsidRPr="00D45B3D" w:rsidRDefault="00302BFE" w:rsidP="00243B15">
            <w:pPr>
              <w:rPr>
                <w:lang w:val="en-CA"/>
              </w:rPr>
            </w:pPr>
          </w:p>
        </w:tc>
        <w:tc>
          <w:tcPr>
            <w:tcW w:w="340" w:type="dxa"/>
            <w:shd w:val="clear" w:color="auto" w:fill="auto"/>
          </w:tcPr>
          <w:p w14:paraId="15E0BE4C" w14:textId="77777777" w:rsidR="00302BFE" w:rsidRPr="00D45B3D" w:rsidRDefault="00302BFE" w:rsidP="00243B15">
            <w:pPr>
              <w:rPr>
                <w:lang w:val="en-CA"/>
              </w:rPr>
            </w:pPr>
          </w:p>
        </w:tc>
        <w:tc>
          <w:tcPr>
            <w:tcW w:w="340" w:type="dxa"/>
            <w:shd w:val="clear" w:color="auto" w:fill="auto"/>
          </w:tcPr>
          <w:p w14:paraId="69F12A92" w14:textId="77777777" w:rsidR="00302BFE" w:rsidRPr="00D45B3D" w:rsidRDefault="00302BFE" w:rsidP="00243B15">
            <w:pPr>
              <w:rPr>
                <w:lang w:val="en-CA"/>
              </w:rPr>
            </w:pPr>
          </w:p>
        </w:tc>
        <w:tc>
          <w:tcPr>
            <w:tcW w:w="340" w:type="dxa"/>
            <w:shd w:val="clear" w:color="auto" w:fill="auto"/>
          </w:tcPr>
          <w:p w14:paraId="63FB0F62" w14:textId="77777777" w:rsidR="00302BFE" w:rsidRPr="00D45B3D" w:rsidRDefault="00302BFE" w:rsidP="00243B15">
            <w:pPr>
              <w:rPr>
                <w:lang w:val="en-CA"/>
              </w:rPr>
            </w:pPr>
          </w:p>
        </w:tc>
        <w:tc>
          <w:tcPr>
            <w:tcW w:w="340" w:type="dxa"/>
            <w:shd w:val="clear" w:color="auto" w:fill="auto"/>
          </w:tcPr>
          <w:p w14:paraId="318A1578" w14:textId="77777777" w:rsidR="00302BFE" w:rsidRPr="00D45B3D" w:rsidRDefault="00302BFE" w:rsidP="00243B15">
            <w:pPr>
              <w:rPr>
                <w:lang w:val="en-CA"/>
              </w:rPr>
            </w:pPr>
          </w:p>
        </w:tc>
      </w:tr>
      <w:tr w:rsidR="00EC409B" w:rsidRPr="00D45B3D" w14:paraId="0E286F89" w14:textId="77777777" w:rsidTr="00755BF9">
        <w:trPr>
          <w:jc w:val="center"/>
        </w:trPr>
        <w:tc>
          <w:tcPr>
            <w:tcW w:w="5670" w:type="dxa"/>
            <w:shd w:val="clear" w:color="auto" w:fill="auto"/>
          </w:tcPr>
          <w:p w14:paraId="07B85615" w14:textId="77777777" w:rsidR="00302BFE" w:rsidRPr="00D45B3D" w:rsidRDefault="00302BFE" w:rsidP="00243B15">
            <w:pPr>
              <w:rPr>
                <w:i/>
                <w:color w:val="4472C4"/>
                <w:sz w:val="16"/>
                <w:szCs w:val="16"/>
                <w:lang w:val="en-CA"/>
              </w:rPr>
            </w:pPr>
            <w:r w:rsidRPr="00D45B3D">
              <w:rPr>
                <w:i/>
                <w:color w:val="4472C4"/>
                <w:sz w:val="16"/>
                <w:szCs w:val="16"/>
                <w:lang w:val="en-GB"/>
              </w:rPr>
              <w:t>3.3.4 The capacities of women and men beneficiaries are built by technical training</w:t>
            </w:r>
          </w:p>
        </w:tc>
        <w:tc>
          <w:tcPr>
            <w:tcW w:w="340" w:type="dxa"/>
            <w:shd w:val="clear" w:color="auto" w:fill="auto"/>
          </w:tcPr>
          <w:p w14:paraId="45CB1588" w14:textId="77777777" w:rsidR="00302BFE" w:rsidRPr="00D45B3D" w:rsidRDefault="00302BFE" w:rsidP="00243B15">
            <w:pPr>
              <w:rPr>
                <w:lang w:val="en-CA"/>
              </w:rPr>
            </w:pPr>
          </w:p>
        </w:tc>
        <w:tc>
          <w:tcPr>
            <w:tcW w:w="340" w:type="dxa"/>
            <w:shd w:val="clear" w:color="auto" w:fill="auto"/>
          </w:tcPr>
          <w:p w14:paraId="1B05DB33" w14:textId="77777777" w:rsidR="00302BFE" w:rsidRPr="00D45B3D" w:rsidRDefault="00302BFE" w:rsidP="00243B15">
            <w:pPr>
              <w:rPr>
                <w:lang w:val="en-CA"/>
              </w:rPr>
            </w:pPr>
          </w:p>
        </w:tc>
        <w:tc>
          <w:tcPr>
            <w:tcW w:w="340" w:type="dxa"/>
            <w:shd w:val="clear" w:color="auto" w:fill="auto"/>
          </w:tcPr>
          <w:p w14:paraId="4AB6F05E" w14:textId="77777777" w:rsidR="00302BFE" w:rsidRPr="00D45B3D" w:rsidRDefault="00302BFE" w:rsidP="00243B15">
            <w:pPr>
              <w:rPr>
                <w:lang w:val="en-CA"/>
              </w:rPr>
            </w:pPr>
          </w:p>
        </w:tc>
        <w:tc>
          <w:tcPr>
            <w:tcW w:w="340" w:type="dxa"/>
            <w:shd w:val="clear" w:color="auto" w:fill="auto"/>
          </w:tcPr>
          <w:p w14:paraId="673032DE" w14:textId="77777777" w:rsidR="00302BFE" w:rsidRPr="00D45B3D" w:rsidRDefault="00302BFE" w:rsidP="00243B15">
            <w:pPr>
              <w:rPr>
                <w:lang w:val="en-CA"/>
              </w:rPr>
            </w:pPr>
          </w:p>
        </w:tc>
        <w:tc>
          <w:tcPr>
            <w:tcW w:w="340" w:type="dxa"/>
            <w:shd w:val="clear" w:color="auto" w:fill="auto"/>
          </w:tcPr>
          <w:p w14:paraId="3F1C5DFE" w14:textId="77777777" w:rsidR="00302BFE" w:rsidRPr="00D45B3D" w:rsidRDefault="00302BFE" w:rsidP="00243B15">
            <w:pPr>
              <w:rPr>
                <w:lang w:val="en-CA"/>
              </w:rPr>
            </w:pPr>
          </w:p>
        </w:tc>
        <w:tc>
          <w:tcPr>
            <w:tcW w:w="340" w:type="dxa"/>
            <w:shd w:val="clear" w:color="auto" w:fill="auto"/>
          </w:tcPr>
          <w:p w14:paraId="3E4EAFF7" w14:textId="77777777" w:rsidR="00302BFE" w:rsidRPr="00D45B3D" w:rsidRDefault="00302BFE" w:rsidP="00243B15">
            <w:pPr>
              <w:rPr>
                <w:lang w:val="en-CA"/>
              </w:rPr>
            </w:pPr>
          </w:p>
        </w:tc>
        <w:tc>
          <w:tcPr>
            <w:tcW w:w="340" w:type="dxa"/>
            <w:shd w:val="clear" w:color="auto" w:fill="auto"/>
          </w:tcPr>
          <w:p w14:paraId="6BC176A3" w14:textId="77777777" w:rsidR="00302BFE" w:rsidRPr="00D45B3D" w:rsidRDefault="00302BFE" w:rsidP="00243B15">
            <w:pPr>
              <w:rPr>
                <w:lang w:val="en-CA"/>
              </w:rPr>
            </w:pPr>
          </w:p>
        </w:tc>
        <w:tc>
          <w:tcPr>
            <w:tcW w:w="340" w:type="dxa"/>
            <w:shd w:val="clear" w:color="auto" w:fill="auto"/>
          </w:tcPr>
          <w:p w14:paraId="77F1383C"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C073AB9"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C64BED2"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7FF9629D"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1D49298F"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1ACC04A1"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1FDA5860"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67D241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9DDFEDD" w14:textId="77777777" w:rsidR="00302BFE" w:rsidRPr="00D45B3D" w:rsidRDefault="00302BFE" w:rsidP="00243B15">
            <w:pPr>
              <w:rPr>
                <w:lang w:val="en-CA"/>
              </w:rPr>
            </w:pPr>
          </w:p>
        </w:tc>
        <w:tc>
          <w:tcPr>
            <w:tcW w:w="340" w:type="dxa"/>
            <w:shd w:val="clear" w:color="auto" w:fill="auto"/>
          </w:tcPr>
          <w:p w14:paraId="348737D5" w14:textId="77777777" w:rsidR="00302BFE" w:rsidRPr="00D45B3D" w:rsidRDefault="00302BFE" w:rsidP="00243B15">
            <w:pPr>
              <w:rPr>
                <w:lang w:val="en-CA"/>
              </w:rPr>
            </w:pPr>
          </w:p>
        </w:tc>
        <w:tc>
          <w:tcPr>
            <w:tcW w:w="340" w:type="dxa"/>
            <w:shd w:val="clear" w:color="auto" w:fill="auto"/>
          </w:tcPr>
          <w:p w14:paraId="4275AE29" w14:textId="77777777" w:rsidR="00302BFE" w:rsidRPr="00D45B3D" w:rsidRDefault="00302BFE" w:rsidP="00243B15">
            <w:pPr>
              <w:rPr>
                <w:lang w:val="en-CA"/>
              </w:rPr>
            </w:pPr>
          </w:p>
        </w:tc>
        <w:tc>
          <w:tcPr>
            <w:tcW w:w="340" w:type="dxa"/>
            <w:shd w:val="clear" w:color="auto" w:fill="auto"/>
          </w:tcPr>
          <w:p w14:paraId="37A7352F" w14:textId="77777777" w:rsidR="00302BFE" w:rsidRPr="00D45B3D" w:rsidRDefault="00302BFE" w:rsidP="00243B15">
            <w:pPr>
              <w:rPr>
                <w:lang w:val="en-CA"/>
              </w:rPr>
            </w:pPr>
          </w:p>
        </w:tc>
        <w:tc>
          <w:tcPr>
            <w:tcW w:w="340" w:type="dxa"/>
            <w:shd w:val="clear" w:color="auto" w:fill="auto"/>
          </w:tcPr>
          <w:p w14:paraId="24B02132" w14:textId="77777777" w:rsidR="00302BFE" w:rsidRPr="00D45B3D" w:rsidRDefault="00302BFE" w:rsidP="00243B15">
            <w:pPr>
              <w:rPr>
                <w:lang w:val="en-CA"/>
              </w:rPr>
            </w:pPr>
          </w:p>
        </w:tc>
        <w:tc>
          <w:tcPr>
            <w:tcW w:w="340" w:type="dxa"/>
            <w:shd w:val="clear" w:color="auto" w:fill="auto"/>
          </w:tcPr>
          <w:p w14:paraId="13F63BD5" w14:textId="77777777" w:rsidR="00302BFE" w:rsidRPr="00D45B3D" w:rsidRDefault="00302BFE" w:rsidP="00243B15">
            <w:pPr>
              <w:rPr>
                <w:lang w:val="en-CA"/>
              </w:rPr>
            </w:pPr>
          </w:p>
        </w:tc>
        <w:tc>
          <w:tcPr>
            <w:tcW w:w="340" w:type="dxa"/>
            <w:shd w:val="clear" w:color="auto" w:fill="auto"/>
          </w:tcPr>
          <w:p w14:paraId="6862047D" w14:textId="77777777" w:rsidR="00302BFE" w:rsidRPr="00D45B3D" w:rsidRDefault="00302BFE" w:rsidP="00243B15">
            <w:pPr>
              <w:rPr>
                <w:lang w:val="en-CA"/>
              </w:rPr>
            </w:pPr>
          </w:p>
        </w:tc>
        <w:tc>
          <w:tcPr>
            <w:tcW w:w="340" w:type="dxa"/>
            <w:shd w:val="clear" w:color="auto" w:fill="auto"/>
          </w:tcPr>
          <w:p w14:paraId="13530C66" w14:textId="77777777" w:rsidR="00302BFE" w:rsidRPr="00D45B3D" w:rsidRDefault="00302BFE" w:rsidP="00243B15">
            <w:pPr>
              <w:rPr>
                <w:lang w:val="en-CA"/>
              </w:rPr>
            </w:pPr>
          </w:p>
        </w:tc>
        <w:tc>
          <w:tcPr>
            <w:tcW w:w="340" w:type="dxa"/>
            <w:shd w:val="clear" w:color="auto" w:fill="auto"/>
          </w:tcPr>
          <w:p w14:paraId="740F687D" w14:textId="77777777" w:rsidR="00302BFE" w:rsidRPr="00D45B3D" w:rsidRDefault="00302BFE" w:rsidP="00243B15">
            <w:pPr>
              <w:rPr>
                <w:lang w:val="en-CA"/>
              </w:rPr>
            </w:pPr>
          </w:p>
        </w:tc>
      </w:tr>
      <w:tr w:rsidR="00EC409B" w:rsidRPr="00D45B3D" w14:paraId="649DAD58" w14:textId="77777777" w:rsidTr="00755BF9">
        <w:trPr>
          <w:jc w:val="center"/>
        </w:trPr>
        <w:tc>
          <w:tcPr>
            <w:tcW w:w="5670" w:type="dxa"/>
            <w:shd w:val="clear" w:color="auto" w:fill="auto"/>
          </w:tcPr>
          <w:p w14:paraId="404B9271" w14:textId="77777777" w:rsidR="00302BFE" w:rsidRPr="00D45B3D" w:rsidRDefault="00302BFE" w:rsidP="00243B15">
            <w:pPr>
              <w:rPr>
                <w:i/>
                <w:color w:val="4472C4"/>
                <w:sz w:val="16"/>
                <w:szCs w:val="16"/>
                <w:lang w:val="en-CA"/>
              </w:rPr>
            </w:pPr>
            <w:r w:rsidRPr="00D45B3D">
              <w:rPr>
                <w:i/>
                <w:color w:val="4472C4"/>
                <w:sz w:val="16"/>
                <w:szCs w:val="16"/>
                <w:lang w:val="en-GB"/>
              </w:rPr>
              <w:t>3.3.5 Securing access to resources that support value chains and their sustainability to maximize revenue</w:t>
            </w:r>
          </w:p>
        </w:tc>
        <w:tc>
          <w:tcPr>
            <w:tcW w:w="340" w:type="dxa"/>
            <w:shd w:val="clear" w:color="auto" w:fill="auto"/>
          </w:tcPr>
          <w:p w14:paraId="2E3DD151" w14:textId="77777777" w:rsidR="00302BFE" w:rsidRPr="00D45B3D" w:rsidRDefault="00302BFE" w:rsidP="00243B15">
            <w:pPr>
              <w:rPr>
                <w:lang w:val="en-CA"/>
              </w:rPr>
            </w:pPr>
          </w:p>
        </w:tc>
        <w:tc>
          <w:tcPr>
            <w:tcW w:w="340" w:type="dxa"/>
            <w:shd w:val="clear" w:color="auto" w:fill="auto"/>
          </w:tcPr>
          <w:p w14:paraId="1493E938" w14:textId="77777777" w:rsidR="00302BFE" w:rsidRPr="00D45B3D" w:rsidRDefault="00302BFE" w:rsidP="00243B15">
            <w:pPr>
              <w:rPr>
                <w:lang w:val="en-CA"/>
              </w:rPr>
            </w:pPr>
          </w:p>
        </w:tc>
        <w:tc>
          <w:tcPr>
            <w:tcW w:w="340" w:type="dxa"/>
            <w:shd w:val="clear" w:color="auto" w:fill="auto"/>
          </w:tcPr>
          <w:p w14:paraId="0966C630" w14:textId="77777777" w:rsidR="00302BFE" w:rsidRPr="00D45B3D" w:rsidRDefault="00302BFE" w:rsidP="00243B15">
            <w:pPr>
              <w:rPr>
                <w:lang w:val="en-CA"/>
              </w:rPr>
            </w:pPr>
          </w:p>
        </w:tc>
        <w:tc>
          <w:tcPr>
            <w:tcW w:w="340" w:type="dxa"/>
            <w:shd w:val="clear" w:color="auto" w:fill="auto"/>
          </w:tcPr>
          <w:p w14:paraId="46CDE5CC" w14:textId="77777777" w:rsidR="00302BFE" w:rsidRPr="00D45B3D" w:rsidRDefault="00302BFE" w:rsidP="00243B15">
            <w:pPr>
              <w:rPr>
                <w:lang w:val="en-CA"/>
              </w:rPr>
            </w:pPr>
          </w:p>
        </w:tc>
        <w:tc>
          <w:tcPr>
            <w:tcW w:w="340" w:type="dxa"/>
            <w:shd w:val="clear" w:color="auto" w:fill="auto"/>
          </w:tcPr>
          <w:p w14:paraId="63F58C16" w14:textId="77777777" w:rsidR="00302BFE" w:rsidRPr="00D45B3D" w:rsidRDefault="00302BFE" w:rsidP="00243B15">
            <w:pPr>
              <w:rPr>
                <w:lang w:val="en-CA"/>
              </w:rPr>
            </w:pPr>
          </w:p>
        </w:tc>
        <w:tc>
          <w:tcPr>
            <w:tcW w:w="340" w:type="dxa"/>
            <w:shd w:val="clear" w:color="auto" w:fill="auto"/>
          </w:tcPr>
          <w:p w14:paraId="5E0C250C" w14:textId="77777777" w:rsidR="00302BFE" w:rsidRPr="00D45B3D" w:rsidRDefault="00302BFE" w:rsidP="00243B15">
            <w:pPr>
              <w:rPr>
                <w:lang w:val="en-CA"/>
              </w:rPr>
            </w:pPr>
          </w:p>
        </w:tc>
        <w:tc>
          <w:tcPr>
            <w:tcW w:w="340" w:type="dxa"/>
            <w:shd w:val="clear" w:color="auto" w:fill="auto"/>
          </w:tcPr>
          <w:p w14:paraId="12F61D45" w14:textId="77777777" w:rsidR="00302BFE" w:rsidRPr="00D45B3D" w:rsidRDefault="00302BFE" w:rsidP="00243B15">
            <w:pPr>
              <w:rPr>
                <w:lang w:val="en-CA"/>
              </w:rPr>
            </w:pPr>
          </w:p>
        </w:tc>
        <w:tc>
          <w:tcPr>
            <w:tcW w:w="340" w:type="dxa"/>
            <w:shd w:val="clear" w:color="auto" w:fill="auto"/>
          </w:tcPr>
          <w:p w14:paraId="06CDA6BA" w14:textId="77777777" w:rsidR="00302BFE" w:rsidRPr="00D45B3D" w:rsidRDefault="00302BFE" w:rsidP="00243B15">
            <w:pPr>
              <w:rPr>
                <w:lang w:val="en-CA"/>
              </w:rPr>
            </w:pPr>
          </w:p>
        </w:tc>
        <w:tc>
          <w:tcPr>
            <w:tcW w:w="340" w:type="dxa"/>
            <w:shd w:val="clear" w:color="auto" w:fill="D9D9D9"/>
          </w:tcPr>
          <w:p w14:paraId="1A81EC10" w14:textId="77777777" w:rsidR="00302BFE" w:rsidRPr="00D45B3D" w:rsidRDefault="00302BFE" w:rsidP="00243B15">
            <w:pPr>
              <w:rPr>
                <w:lang w:val="en-CA"/>
              </w:rPr>
            </w:pPr>
          </w:p>
        </w:tc>
        <w:tc>
          <w:tcPr>
            <w:tcW w:w="340" w:type="dxa"/>
            <w:shd w:val="clear" w:color="auto" w:fill="D9D9D9"/>
          </w:tcPr>
          <w:p w14:paraId="0549E806" w14:textId="77777777" w:rsidR="00302BFE" w:rsidRPr="00D45B3D" w:rsidRDefault="00302BFE" w:rsidP="00243B15">
            <w:pPr>
              <w:rPr>
                <w:lang w:val="en-CA"/>
              </w:rPr>
            </w:pPr>
          </w:p>
        </w:tc>
        <w:tc>
          <w:tcPr>
            <w:tcW w:w="340" w:type="dxa"/>
            <w:shd w:val="clear" w:color="auto" w:fill="D9D9D9"/>
          </w:tcPr>
          <w:p w14:paraId="7F56E938" w14:textId="77777777" w:rsidR="00302BFE" w:rsidRPr="00D45B3D" w:rsidRDefault="00302BFE" w:rsidP="00243B15">
            <w:pPr>
              <w:rPr>
                <w:lang w:val="en-CA"/>
              </w:rPr>
            </w:pPr>
          </w:p>
        </w:tc>
        <w:tc>
          <w:tcPr>
            <w:tcW w:w="340" w:type="dxa"/>
            <w:shd w:val="clear" w:color="auto" w:fill="D9D9D9"/>
          </w:tcPr>
          <w:p w14:paraId="443E0EA4" w14:textId="77777777" w:rsidR="00302BFE" w:rsidRPr="00D45B3D" w:rsidRDefault="00302BFE" w:rsidP="00243B15">
            <w:pPr>
              <w:rPr>
                <w:lang w:val="en-CA"/>
              </w:rPr>
            </w:pPr>
          </w:p>
        </w:tc>
        <w:tc>
          <w:tcPr>
            <w:tcW w:w="340" w:type="dxa"/>
            <w:shd w:val="clear" w:color="auto" w:fill="D9D9D9"/>
          </w:tcPr>
          <w:p w14:paraId="1BC488D1" w14:textId="77777777" w:rsidR="00302BFE" w:rsidRPr="00D45B3D" w:rsidRDefault="00302BFE" w:rsidP="00243B15">
            <w:pPr>
              <w:rPr>
                <w:lang w:val="en-CA"/>
              </w:rPr>
            </w:pPr>
          </w:p>
        </w:tc>
        <w:tc>
          <w:tcPr>
            <w:tcW w:w="340" w:type="dxa"/>
            <w:shd w:val="clear" w:color="auto" w:fill="D9D9D9"/>
          </w:tcPr>
          <w:p w14:paraId="5DC1683B" w14:textId="77777777" w:rsidR="00302BFE" w:rsidRPr="00D45B3D" w:rsidRDefault="00302BFE" w:rsidP="00243B15">
            <w:pPr>
              <w:rPr>
                <w:lang w:val="en-CA"/>
              </w:rPr>
            </w:pPr>
          </w:p>
        </w:tc>
        <w:tc>
          <w:tcPr>
            <w:tcW w:w="340" w:type="dxa"/>
            <w:shd w:val="clear" w:color="auto" w:fill="D9D9D9"/>
          </w:tcPr>
          <w:p w14:paraId="5FC88303" w14:textId="77777777" w:rsidR="00302BFE" w:rsidRPr="00D45B3D" w:rsidRDefault="00302BFE" w:rsidP="00243B15">
            <w:pPr>
              <w:rPr>
                <w:lang w:val="en-CA"/>
              </w:rPr>
            </w:pPr>
          </w:p>
        </w:tc>
        <w:tc>
          <w:tcPr>
            <w:tcW w:w="340" w:type="dxa"/>
            <w:shd w:val="clear" w:color="auto" w:fill="D9D9D9"/>
          </w:tcPr>
          <w:p w14:paraId="2A56F34A" w14:textId="77777777" w:rsidR="00302BFE" w:rsidRPr="00D45B3D" w:rsidRDefault="00302BFE" w:rsidP="00243B15">
            <w:pPr>
              <w:rPr>
                <w:lang w:val="en-CA"/>
              </w:rPr>
            </w:pPr>
          </w:p>
        </w:tc>
        <w:tc>
          <w:tcPr>
            <w:tcW w:w="340" w:type="dxa"/>
            <w:tcBorders>
              <w:bottom w:val="single" w:sz="4" w:space="0" w:color="auto"/>
            </w:tcBorders>
            <w:shd w:val="clear" w:color="auto" w:fill="auto"/>
          </w:tcPr>
          <w:p w14:paraId="64C0389E"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D490454"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537D8D1"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A859CA6"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2D75429"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9C48A28"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3F4CB2A" w14:textId="77777777" w:rsidR="00302BFE" w:rsidRPr="00D45B3D" w:rsidRDefault="00302BFE" w:rsidP="00243B15">
            <w:pPr>
              <w:rPr>
                <w:lang w:val="en-CA"/>
              </w:rPr>
            </w:pPr>
          </w:p>
        </w:tc>
        <w:tc>
          <w:tcPr>
            <w:tcW w:w="340" w:type="dxa"/>
            <w:shd w:val="clear" w:color="auto" w:fill="auto"/>
          </w:tcPr>
          <w:p w14:paraId="7122F1A8" w14:textId="77777777" w:rsidR="00302BFE" w:rsidRPr="00D45B3D" w:rsidRDefault="00302BFE" w:rsidP="00243B15">
            <w:pPr>
              <w:rPr>
                <w:lang w:val="en-CA"/>
              </w:rPr>
            </w:pPr>
          </w:p>
        </w:tc>
      </w:tr>
      <w:tr w:rsidR="005979FD" w:rsidRPr="00D45B3D" w14:paraId="20443077" w14:textId="77777777" w:rsidTr="00CC2FAC">
        <w:trPr>
          <w:jc w:val="center"/>
        </w:trPr>
        <w:tc>
          <w:tcPr>
            <w:tcW w:w="5670" w:type="dxa"/>
            <w:shd w:val="clear" w:color="auto" w:fill="auto"/>
          </w:tcPr>
          <w:p w14:paraId="100FF7CA" w14:textId="77777777" w:rsidR="00302BFE" w:rsidRPr="00D45B3D" w:rsidRDefault="00302BFE" w:rsidP="00243B15">
            <w:pPr>
              <w:rPr>
                <w:i/>
                <w:color w:val="4472C4"/>
                <w:sz w:val="16"/>
                <w:szCs w:val="16"/>
                <w:lang w:val="en-CA"/>
              </w:rPr>
            </w:pPr>
            <w:r w:rsidRPr="00D45B3D">
              <w:rPr>
                <w:i/>
                <w:color w:val="4472C4"/>
                <w:sz w:val="16"/>
                <w:szCs w:val="16"/>
                <w:lang w:val="en-GB"/>
              </w:rPr>
              <w:t>3.3.6 Support to the production activity</w:t>
            </w:r>
          </w:p>
        </w:tc>
        <w:tc>
          <w:tcPr>
            <w:tcW w:w="340" w:type="dxa"/>
            <w:shd w:val="clear" w:color="auto" w:fill="auto"/>
          </w:tcPr>
          <w:p w14:paraId="4FA1CCA9" w14:textId="77777777" w:rsidR="00302BFE" w:rsidRPr="00D45B3D" w:rsidRDefault="00302BFE" w:rsidP="00243B15">
            <w:pPr>
              <w:rPr>
                <w:lang w:val="en-CA"/>
              </w:rPr>
            </w:pPr>
          </w:p>
        </w:tc>
        <w:tc>
          <w:tcPr>
            <w:tcW w:w="340" w:type="dxa"/>
            <w:shd w:val="clear" w:color="auto" w:fill="auto"/>
          </w:tcPr>
          <w:p w14:paraId="0D3545CA" w14:textId="77777777" w:rsidR="00302BFE" w:rsidRPr="00D45B3D" w:rsidRDefault="00302BFE" w:rsidP="00243B15">
            <w:pPr>
              <w:rPr>
                <w:lang w:val="en-CA"/>
              </w:rPr>
            </w:pPr>
          </w:p>
        </w:tc>
        <w:tc>
          <w:tcPr>
            <w:tcW w:w="340" w:type="dxa"/>
            <w:shd w:val="clear" w:color="auto" w:fill="auto"/>
          </w:tcPr>
          <w:p w14:paraId="4FC31A6B" w14:textId="77777777" w:rsidR="00302BFE" w:rsidRPr="00D45B3D" w:rsidRDefault="00302BFE" w:rsidP="00243B15">
            <w:pPr>
              <w:rPr>
                <w:lang w:val="en-CA"/>
              </w:rPr>
            </w:pPr>
          </w:p>
        </w:tc>
        <w:tc>
          <w:tcPr>
            <w:tcW w:w="340" w:type="dxa"/>
            <w:shd w:val="clear" w:color="auto" w:fill="auto"/>
          </w:tcPr>
          <w:p w14:paraId="0AD95204" w14:textId="77777777" w:rsidR="00302BFE" w:rsidRPr="00D45B3D" w:rsidRDefault="00302BFE" w:rsidP="00243B15">
            <w:pPr>
              <w:rPr>
                <w:lang w:val="en-CA"/>
              </w:rPr>
            </w:pPr>
          </w:p>
        </w:tc>
        <w:tc>
          <w:tcPr>
            <w:tcW w:w="340" w:type="dxa"/>
            <w:shd w:val="clear" w:color="auto" w:fill="auto"/>
          </w:tcPr>
          <w:p w14:paraId="4E2C2072" w14:textId="77777777" w:rsidR="00302BFE" w:rsidRPr="00D45B3D" w:rsidRDefault="00302BFE" w:rsidP="00243B15">
            <w:pPr>
              <w:rPr>
                <w:lang w:val="en-CA"/>
              </w:rPr>
            </w:pPr>
          </w:p>
        </w:tc>
        <w:tc>
          <w:tcPr>
            <w:tcW w:w="340" w:type="dxa"/>
            <w:shd w:val="clear" w:color="auto" w:fill="auto"/>
          </w:tcPr>
          <w:p w14:paraId="0DE589B6" w14:textId="77777777" w:rsidR="00302BFE" w:rsidRPr="00D45B3D" w:rsidRDefault="00302BFE" w:rsidP="00243B15">
            <w:pPr>
              <w:rPr>
                <w:lang w:val="en-CA"/>
              </w:rPr>
            </w:pPr>
          </w:p>
        </w:tc>
        <w:tc>
          <w:tcPr>
            <w:tcW w:w="340" w:type="dxa"/>
            <w:shd w:val="clear" w:color="auto" w:fill="auto"/>
          </w:tcPr>
          <w:p w14:paraId="39E0CBDB" w14:textId="77777777" w:rsidR="00302BFE" w:rsidRPr="00D45B3D" w:rsidRDefault="00302BFE" w:rsidP="00243B15">
            <w:pPr>
              <w:rPr>
                <w:lang w:val="en-CA"/>
              </w:rPr>
            </w:pPr>
          </w:p>
        </w:tc>
        <w:tc>
          <w:tcPr>
            <w:tcW w:w="340" w:type="dxa"/>
            <w:shd w:val="clear" w:color="auto" w:fill="auto"/>
          </w:tcPr>
          <w:p w14:paraId="7FF967FF" w14:textId="77777777" w:rsidR="00302BFE" w:rsidRPr="00D45B3D" w:rsidRDefault="00302BFE" w:rsidP="00243B15">
            <w:pPr>
              <w:rPr>
                <w:lang w:val="en-CA"/>
              </w:rPr>
            </w:pPr>
          </w:p>
        </w:tc>
        <w:tc>
          <w:tcPr>
            <w:tcW w:w="340" w:type="dxa"/>
            <w:shd w:val="clear" w:color="auto" w:fill="D9D9D9"/>
          </w:tcPr>
          <w:p w14:paraId="1E17A0DE" w14:textId="77777777" w:rsidR="00302BFE" w:rsidRPr="00D45B3D" w:rsidRDefault="00302BFE" w:rsidP="00243B15">
            <w:pPr>
              <w:rPr>
                <w:lang w:val="en-CA"/>
              </w:rPr>
            </w:pPr>
          </w:p>
        </w:tc>
        <w:tc>
          <w:tcPr>
            <w:tcW w:w="340" w:type="dxa"/>
            <w:shd w:val="clear" w:color="auto" w:fill="D9D9D9"/>
          </w:tcPr>
          <w:p w14:paraId="0B83289D" w14:textId="77777777" w:rsidR="00302BFE" w:rsidRPr="00D45B3D" w:rsidRDefault="00302BFE" w:rsidP="00243B15">
            <w:pPr>
              <w:rPr>
                <w:lang w:val="en-CA"/>
              </w:rPr>
            </w:pPr>
          </w:p>
        </w:tc>
        <w:tc>
          <w:tcPr>
            <w:tcW w:w="340" w:type="dxa"/>
            <w:shd w:val="clear" w:color="auto" w:fill="D9D9D9"/>
          </w:tcPr>
          <w:p w14:paraId="41B9B8D8" w14:textId="77777777" w:rsidR="00302BFE" w:rsidRPr="00D45B3D" w:rsidRDefault="00302BFE" w:rsidP="00243B15">
            <w:pPr>
              <w:rPr>
                <w:lang w:val="en-CA"/>
              </w:rPr>
            </w:pPr>
          </w:p>
        </w:tc>
        <w:tc>
          <w:tcPr>
            <w:tcW w:w="340" w:type="dxa"/>
            <w:shd w:val="clear" w:color="auto" w:fill="D9D9D9"/>
          </w:tcPr>
          <w:p w14:paraId="0CF51DF3"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328AA0D6"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0B48F601"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09124A0D"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1DAF855B" w14:textId="77777777" w:rsidR="00302BFE" w:rsidRPr="00D45B3D" w:rsidRDefault="00302BFE" w:rsidP="00243B15">
            <w:pPr>
              <w:rPr>
                <w:lang w:val="en-CA"/>
              </w:rPr>
            </w:pPr>
          </w:p>
        </w:tc>
        <w:tc>
          <w:tcPr>
            <w:tcW w:w="340" w:type="dxa"/>
            <w:shd w:val="clear" w:color="auto" w:fill="D9D9D9"/>
          </w:tcPr>
          <w:p w14:paraId="719BA31C" w14:textId="77777777" w:rsidR="00302BFE" w:rsidRPr="00D45B3D" w:rsidRDefault="00302BFE" w:rsidP="00243B15">
            <w:pPr>
              <w:rPr>
                <w:lang w:val="en-CA"/>
              </w:rPr>
            </w:pPr>
          </w:p>
        </w:tc>
        <w:tc>
          <w:tcPr>
            <w:tcW w:w="340" w:type="dxa"/>
            <w:shd w:val="clear" w:color="auto" w:fill="D9D9D9"/>
          </w:tcPr>
          <w:p w14:paraId="7ACD6C11" w14:textId="77777777" w:rsidR="00302BFE" w:rsidRPr="00D45B3D" w:rsidRDefault="00302BFE" w:rsidP="00243B15">
            <w:pPr>
              <w:rPr>
                <w:lang w:val="en-CA"/>
              </w:rPr>
            </w:pPr>
          </w:p>
        </w:tc>
        <w:tc>
          <w:tcPr>
            <w:tcW w:w="340" w:type="dxa"/>
            <w:shd w:val="clear" w:color="auto" w:fill="D9D9D9"/>
          </w:tcPr>
          <w:p w14:paraId="35B7D4F8" w14:textId="77777777" w:rsidR="00302BFE" w:rsidRPr="00D45B3D" w:rsidRDefault="00302BFE" w:rsidP="00243B15">
            <w:pPr>
              <w:rPr>
                <w:lang w:val="en-CA"/>
              </w:rPr>
            </w:pPr>
          </w:p>
        </w:tc>
        <w:tc>
          <w:tcPr>
            <w:tcW w:w="340" w:type="dxa"/>
            <w:shd w:val="clear" w:color="auto" w:fill="D9D9D9"/>
          </w:tcPr>
          <w:p w14:paraId="6871ED42" w14:textId="77777777" w:rsidR="00302BFE" w:rsidRPr="00D45B3D" w:rsidRDefault="00302BFE" w:rsidP="00243B15">
            <w:pPr>
              <w:rPr>
                <w:lang w:val="en-CA"/>
              </w:rPr>
            </w:pPr>
          </w:p>
        </w:tc>
        <w:tc>
          <w:tcPr>
            <w:tcW w:w="340" w:type="dxa"/>
            <w:shd w:val="clear" w:color="auto" w:fill="D9D9D9"/>
          </w:tcPr>
          <w:p w14:paraId="75A7DB88" w14:textId="77777777" w:rsidR="00302BFE" w:rsidRPr="00D45B3D" w:rsidRDefault="00302BFE" w:rsidP="00243B15">
            <w:pPr>
              <w:rPr>
                <w:lang w:val="en-CA"/>
              </w:rPr>
            </w:pPr>
          </w:p>
        </w:tc>
        <w:tc>
          <w:tcPr>
            <w:tcW w:w="340" w:type="dxa"/>
            <w:shd w:val="clear" w:color="auto" w:fill="D9D9D9"/>
          </w:tcPr>
          <w:p w14:paraId="439DF973" w14:textId="77777777" w:rsidR="00302BFE" w:rsidRPr="00D45B3D" w:rsidRDefault="00302BFE" w:rsidP="00243B15">
            <w:pPr>
              <w:rPr>
                <w:lang w:val="en-CA"/>
              </w:rPr>
            </w:pPr>
          </w:p>
        </w:tc>
        <w:tc>
          <w:tcPr>
            <w:tcW w:w="340" w:type="dxa"/>
            <w:shd w:val="clear" w:color="auto" w:fill="D9D9D9"/>
          </w:tcPr>
          <w:p w14:paraId="1E779329" w14:textId="77777777" w:rsidR="00302BFE" w:rsidRPr="00D45B3D" w:rsidRDefault="00302BFE" w:rsidP="00243B15">
            <w:pPr>
              <w:rPr>
                <w:lang w:val="en-CA"/>
              </w:rPr>
            </w:pPr>
          </w:p>
        </w:tc>
        <w:tc>
          <w:tcPr>
            <w:tcW w:w="340" w:type="dxa"/>
            <w:shd w:val="clear" w:color="auto" w:fill="auto"/>
          </w:tcPr>
          <w:p w14:paraId="6C555253" w14:textId="77777777" w:rsidR="00302BFE" w:rsidRPr="00D45B3D" w:rsidRDefault="00302BFE" w:rsidP="00243B15">
            <w:pPr>
              <w:rPr>
                <w:lang w:val="en-CA"/>
              </w:rPr>
            </w:pPr>
          </w:p>
        </w:tc>
      </w:tr>
      <w:tr w:rsidR="00EC409B" w:rsidRPr="00D45B3D" w14:paraId="1B980DC1" w14:textId="77777777" w:rsidTr="00755BF9">
        <w:trPr>
          <w:jc w:val="center"/>
        </w:trPr>
        <w:tc>
          <w:tcPr>
            <w:tcW w:w="5670" w:type="dxa"/>
            <w:shd w:val="clear" w:color="auto" w:fill="auto"/>
          </w:tcPr>
          <w:p w14:paraId="730417E0" w14:textId="77777777" w:rsidR="00302BFE" w:rsidRPr="00D45B3D" w:rsidRDefault="00302BFE" w:rsidP="00243B15">
            <w:pPr>
              <w:rPr>
                <w:i/>
                <w:color w:val="4472C4"/>
                <w:sz w:val="16"/>
                <w:szCs w:val="16"/>
              </w:rPr>
            </w:pPr>
            <w:r w:rsidRPr="00D45B3D">
              <w:rPr>
                <w:i/>
                <w:color w:val="4472C4"/>
                <w:sz w:val="16"/>
                <w:szCs w:val="16"/>
                <w:lang w:val="en-GB"/>
              </w:rPr>
              <w:t>3.3.7 Support for marketing</w:t>
            </w:r>
          </w:p>
        </w:tc>
        <w:tc>
          <w:tcPr>
            <w:tcW w:w="340" w:type="dxa"/>
            <w:shd w:val="clear" w:color="auto" w:fill="auto"/>
          </w:tcPr>
          <w:p w14:paraId="7F14D39F" w14:textId="77777777" w:rsidR="00302BFE" w:rsidRPr="00D45B3D" w:rsidRDefault="00302BFE" w:rsidP="00243B15"/>
        </w:tc>
        <w:tc>
          <w:tcPr>
            <w:tcW w:w="340" w:type="dxa"/>
            <w:shd w:val="clear" w:color="auto" w:fill="auto"/>
          </w:tcPr>
          <w:p w14:paraId="5D0786A7" w14:textId="77777777" w:rsidR="00302BFE" w:rsidRPr="00D45B3D" w:rsidRDefault="00302BFE" w:rsidP="00243B15"/>
        </w:tc>
        <w:tc>
          <w:tcPr>
            <w:tcW w:w="340" w:type="dxa"/>
            <w:shd w:val="clear" w:color="auto" w:fill="auto"/>
          </w:tcPr>
          <w:p w14:paraId="04C5934E" w14:textId="77777777" w:rsidR="00302BFE" w:rsidRPr="00D45B3D" w:rsidRDefault="00302BFE" w:rsidP="00243B15"/>
        </w:tc>
        <w:tc>
          <w:tcPr>
            <w:tcW w:w="340" w:type="dxa"/>
            <w:shd w:val="clear" w:color="auto" w:fill="auto"/>
          </w:tcPr>
          <w:p w14:paraId="2AB0DAA0" w14:textId="77777777" w:rsidR="00302BFE" w:rsidRPr="00D45B3D" w:rsidRDefault="00302BFE" w:rsidP="00243B15"/>
        </w:tc>
        <w:tc>
          <w:tcPr>
            <w:tcW w:w="340" w:type="dxa"/>
            <w:shd w:val="clear" w:color="auto" w:fill="auto"/>
          </w:tcPr>
          <w:p w14:paraId="5DBFE3F2" w14:textId="77777777" w:rsidR="00302BFE" w:rsidRPr="00D45B3D" w:rsidRDefault="00302BFE" w:rsidP="00243B15"/>
        </w:tc>
        <w:tc>
          <w:tcPr>
            <w:tcW w:w="340" w:type="dxa"/>
            <w:shd w:val="clear" w:color="auto" w:fill="auto"/>
          </w:tcPr>
          <w:p w14:paraId="2598A11E" w14:textId="77777777" w:rsidR="00302BFE" w:rsidRPr="00D45B3D" w:rsidRDefault="00302BFE" w:rsidP="00243B15"/>
        </w:tc>
        <w:tc>
          <w:tcPr>
            <w:tcW w:w="340" w:type="dxa"/>
            <w:shd w:val="clear" w:color="auto" w:fill="auto"/>
          </w:tcPr>
          <w:p w14:paraId="6B69CC72" w14:textId="77777777" w:rsidR="00302BFE" w:rsidRPr="00D45B3D" w:rsidRDefault="00302BFE" w:rsidP="00243B15"/>
        </w:tc>
        <w:tc>
          <w:tcPr>
            <w:tcW w:w="340" w:type="dxa"/>
            <w:shd w:val="clear" w:color="auto" w:fill="auto"/>
          </w:tcPr>
          <w:p w14:paraId="54D5155E" w14:textId="77777777" w:rsidR="00302BFE" w:rsidRPr="00D45B3D" w:rsidRDefault="00302BFE" w:rsidP="00243B15"/>
        </w:tc>
        <w:tc>
          <w:tcPr>
            <w:tcW w:w="340" w:type="dxa"/>
            <w:shd w:val="clear" w:color="auto" w:fill="auto"/>
          </w:tcPr>
          <w:p w14:paraId="0DA19CFB" w14:textId="77777777" w:rsidR="00302BFE" w:rsidRPr="00D45B3D" w:rsidRDefault="00302BFE" w:rsidP="00243B15"/>
        </w:tc>
        <w:tc>
          <w:tcPr>
            <w:tcW w:w="340" w:type="dxa"/>
            <w:shd w:val="clear" w:color="auto" w:fill="auto"/>
          </w:tcPr>
          <w:p w14:paraId="0C0FF6E5" w14:textId="77777777" w:rsidR="00302BFE" w:rsidRPr="00D45B3D" w:rsidRDefault="00302BFE" w:rsidP="00243B15"/>
        </w:tc>
        <w:tc>
          <w:tcPr>
            <w:tcW w:w="340" w:type="dxa"/>
            <w:shd w:val="clear" w:color="auto" w:fill="auto"/>
          </w:tcPr>
          <w:p w14:paraId="5B7F5B06" w14:textId="77777777" w:rsidR="00302BFE" w:rsidRPr="00D45B3D" w:rsidRDefault="00302BFE" w:rsidP="00243B15"/>
        </w:tc>
        <w:tc>
          <w:tcPr>
            <w:tcW w:w="340" w:type="dxa"/>
            <w:shd w:val="clear" w:color="auto" w:fill="auto"/>
          </w:tcPr>
          <w:p w14:paraId="3FD3D8FC" w14:textId="77777777" w:rsidR="00302BFE" w:rsidRPr="00D45B3D" w:rsidRDefault="00302BFE" w:rsidP="00243B15"/>
        </w:tc>
        <w:tc>
          <w:tcPr>
            <w:tcW w:w="340" w:type="dxa"/>
            <w:shd w:val="clear" w:color="auto" w:fill="D9D9D9"/>
          </w:tcPr>
          <w:p w14:paraId="3D38134A" w14:textId="77777777" w:rsidR="00302BFE" w:rsidRPr="00D45B3D" w:rsidRDefault="00302BFE" w:rsidP="00243B15"/>
        </w:tc>
        <w:tc>
          <w:tcPr>
            <w:tcW w:w="340" w:type="dxa"/>
            <w:shd w:val="clear" w:color="auto" w:fill="D9D9D9"/>
          </w:tcPr>
          <w:p w14:paraId="2B48CC42" w14:textId="77777777" w:rsidR="00302BFE" w:rsidRPr="00D45B3D" w:rsidRDefault="00302BFE" w:rsidP="00243B15"/>
        </w:tc>
        <w:tc>
          <w:tcPr>
            <w:tcW w:w="340" w:type="dxa"/>
            <w:shd w:val="clear" w:color="auto" w:fill="D9D9D9"/>
          </w:tcPr>
          <w:p w14:paraId="22D0D9AB" w14:textId="77777777" w:rsidR="00302BFE" w:rsidRPr="00D45B3D" w:rsidRDefault="00302BFE" w:rsidP="00243B15"/>
        </w:tc>
        <w:tc>
          <w:tcPr>
            <w:tcW w:w="340" w:type="dxa"/>
            <w:shd w:val="clear" w:color="auto" w:fill="D9D9D9"/>
          </w:tcPr>
          <w:p w14:paraId="413B38DB" w14:textId="77777777" w:rsidR="00302BFE" w:rsidRPr="00D45B3D" w:rsidRDefault="00302BFE" w:rsidP="00243B15"/>
        </w:tc>
        <w:tc>
          <w:tcPr>
            <w:tcW w:w="340" w:type="dxa"/>
            <w:shd w:val="clear" w:color="auto" w:fill="D9D9D9"/>
          </w:tcPr>
          <w:p w14:paraId="18010B31" w14:textId="77777777" w:rsidR="00302BFE" w:rsidRPr="00D45B3D" w:rsidRDefault="00302BFE" w:rsidP="00243B15"/>
        </w:tc>
        <w:tc>
          <w:tcPr>
            <w:tcW w:w="340" w:type="dxa"/>
            <w:shd w:val="clear" w:color="auto" w:fill="D9D9D9"/>
          </w:tcPr>
          <w:p w14:paraId="7B172446" w14:textId="77777777" w:rsidR="00302BFE" w:rsidRPr="00D45B3D" w:rsidRDefault="00302BFE" w:rsidP="00243B15"/>
        </w:tc>
        <w:tc>
          <w:tcPr>
            <w:tcW w:w="340" w:type="dxa"/>
            <w:shd w:val="clear" w:color="auto" w:fill="D9D9D9"/>
          </w:tcPr>
          <w:p w14:paraId="41D78A97" w14:textId="77777777" w:rsidR="00302BFE" w:rsidRPr="00D45B3D" w:rsidRDefault="00302BFE" w:rsidP="00243B15"/>
        </w:tc>
        <w:tc>
          <w:tcPr>
            <w:tcW w:w="340" w:type="dxa"/>
            <w:shd w:val="clear" w:color="auto" w:fill="D9D9D9"/>
          </w:tcPr>
          <w:p w14:paraId="04EC91C2" w14:textId="77777777" w:rsidR="00302BFE" w:rsidRPr="00D45B3D" w:rsidRDefault="00302BFE" w:rsidP="00243B15"/>
        </w:tc>
        <w:tc>
          <w:tcPr>
            <w:tcW w:w="340" w:type="dxa"/>
            <w:shd w:val="clear" w:color="auto" w:fill="D9D9D9"/>
          </w:tcPr>
          <w:p w14:paraId="02A07D39" w14:textId="77777777" w:rsidR="00302BFE" w:rsidRPr="00D45B3D" w:rsidRDefault="00302BFE" w:rsidP="00243B15"/>
        </w:tc>
        <w:tc>
          <w:tcPr>
            <w:tcW w:w="340" w:type="dxa"/>
            <w:shd w:val="clear" w:color="auto" w:fill="D9D9D9"/>
          </w:tcPr>
          <w:p w14:paraId="61F09A98" w14:textId="77777777" w:rsidR="00302BFE" w:rsidRPr="00D45B3D" w:rsidRDefault="00302BFE" w:rsidP="00243B15"/>
        </w:tc>
        <w:tc>
          <w:tcPr>
            <w:tcW w:w="340" w:type="dxa"/>
            <w:shd w:val="clear" w:color="auto" w:fill="D9D9D9"/>
          </w:tcPr>
          <w:p w14:paraId="66679D79" w14:textId="77777777" w:rsidR="00302BFE" w:rsidRPr="00D45B3D" w:rsidRDefault="00302BFE" w:rsidP="00243B15"/>
        </w:tc>
        <w:tc>
          <w:tcPr>
            <w:tcW w:w="340" w:type="dxa"/>
            <w:shd w:val="clear" w:color="auto" w:fill="auto"/>
          </w:tcPr>
          <w:p w14:paraId="30111D26" w14:textId="77777777" w:rsidR="00302BFE" w:rsidRPr="00D45B3D" w:rsidRDefault="00302BFE" w:rsidP="00243B15"/>
        </w:tc>
      </w:tr>
      <w:tr w:rsidR="00302BFE" w:rsidRPr="00D45B3D" w14:paraId="40D8B82B" w14:textId="77777777" w:rsidTr="00243B15">
        <w:trPr>
          <w:jc w:val="center"/>
        </w:trPr>
        <w:tc>
          <w:tcPr>
            <w:tcW w:w="5670" w:type="dxa"/>
            <w:shd w:val="clear" w:color="auto" w:fill="auto"/>
          </w:tcPr>
          <w:p w14:paraId="33545B83" w14:textId="77777777" w:rsidR="00302BFE" w:rsidRPr="00D45B3D" w:rsidRDefault="00302BFE" w:rsidP="00243B15">
            <w:pPr>
              <w:rPr>
                <w:i/>
                <w:color w:val="4472C4"/>
                <w:sz w:val="16"/>
                <w:szCs w:val="16"/>
                <w:lang w:val="en-CA"/>
              </w:rPr>
            </w:pPr>
            <w:r w:rsidRPr="00D45B3D">
              <w:rPr>
                <w:sz w:val="16"/>
                <w:szCs w:val="16"/>
                <w:lang w:val="en-CA"/>
              </w:rPr>
              <w:t xml:space="preserve">Output 3.4 Strengthened capacities for better sharing of tourism benefits with local communities in the PONASI landscape </w:t>
            </w:r>
          </w:p>
        </w:tc>
        <w:tc>
          <w:tcPr>
            <w:tcW w:w="8160" w:type="dxa"/>
            <w:gridSpan w:val="24"/>
            <w:shd w:val="clear" w:color="auto" w:fill="auto"/>
          </w:tcPr>
          <w:p w14:paraId="4647857C" w14:textId="77777777" w:rsidR="00302BFE" w:rsidRPr="00D45B3D" w:rsidRDefault="00302BFE" w:rsidP="00243B15">
            <w:pPr>
              <w:rPr>
                <w:lang w:val="en-CA"/>
              </w:rPr>
            </w:pPr>
          </w:p>
        </w:tc>
      </w:tr>
      <w:tr w:rsidR="00EC409B" w:rsidRPr="00D45B3D" w14:paraId="58392586" w14:textId="77777777" w:rsidTr="00755BF9">
        <w:trPr>
          <w:jc w:val="center"/>
        </w:trPr>
        <w:tc>
          <w:tcPr>
            <w:tcW w:w="5670" w:type="dxa"/>
            <w:shd w:val="clear" w:color="auto" w:fill="auto"/>
          </w:tcPr>
          <w:p w14:paraId="551E2675" w14:textId="77777777" w:rsidR="00302BFE" w:rsidRPr="00D45B3D" w:rsidRDefault="00302BFE" w:rsidP="00243B15">
            <w:pPr>
              <w:rPr>
                <w:i/>
                <w:color w:val="4472C4"/>
                <w:sz w:val="16"/>
                <w:szCs w:val="16"/>
                <w:lang w:val="en-CA"/>
              </w:rPr>
            </w:pPr>
            <w:r w:rsidRPr="00D45B3D">
              <w:rPr>
                <w:i/>
                <w:color w:val="4472C4"/>
                <w:sz w:val="16"/>
                <w:szCs w:val="16"/>
                <w:lang w:val="en-GB"/>
              </w:rPr>
              <w:t>3.4.1 Establish a sustainable tourism strategy for the PONASI landscape</w:t>
            </w:r>
          </w:p>
        </w:tc>
        <w:tc>
          <w:tcPr>
            <w:tcW w:w="340" w:type="dxa"/>
            <w:shd w:val="clear" w:color="auto" w:fill="auto"/>
          </w:tcPr>
          <w:p w14:paraId="00B6325F" w14:textId="77777777" w:rsidR="00302BFE" w:rsidRPr="00D45B3D" w:rsidRDefault="00302BFE" w:rsidP="00243B15">
            <w:pPr>
              <w:rPr>
                <w:lang w:val="en-CA"/>
              </w:rPr>
            </w:pPr>
          </w:p>
        </w:tc>
        <w:tc>
          <w:tcPr>
            <w:tcW w:w="340" w:type="dxa"/>
            <w:shd w:val="clear" w:color="auto" w:fill="auto"/>
          </w:tcPr>
          <w:p w14:paraId="68B70E26" w14:textId="77777777" w:rsidR="00302BFE" w:rsidRPr="00D45B3D" w:rsidRDefault="00302BFE" w:rsidP="00243B15">
            <w:pPr>
              <w:rPr>
                <w:lang w:val="en-CA"/>
              </w:rPr>
            </w:pPr>
          </w:p>
        </w:tc>
        <w:tc>
          <w:tcPr>
            <w:tcW w:w="340" w:type="dxa"/>
            <w:shd w:val="clear" w:color="auto" w:fill="D9D9D9"/>
          </w:tcPr>
          <w:p w14:paraId="51A6A504" w14:textId="77777777" w:rsidR="00302BFE" w:rsidRPr="00D45B3D" w:rsidRDefault="00302BFE" w:rsidP="00243B15">
            <w:pPr>
              <w:rPr>
                <w:lang w:val="en-CA"/>
              </w:rPr>
            </w:pPr>
          </w:p>
        </w:tc>
        <w:tc>
          <w:tcPr>
            <w:tcW w:w="340" w:type="dxa"/>
            <w:shd w:val="clear" w:color="auto" w:fill="D9D9D9"/>
          </w:tcPr>
          <w:p w14:paraId="01156E43" w14:textId="77777777" w:rsidR="00302BFE" w:rsidRPr="00D45B3D" w:rsidRDefault="00302BFE" w:rsidP="00243B15">
            <w:pPr>
              <w:rPr>
                <w:lang w:val="en-CA"/>
              </w:rPr>
            </w:pPr>
          </w:p>
        </w:tc>
        <w:tc>
          <w:tcPr>
            <w:tcW w:w="340" w:type="dxa"/>
            <w:shd w:val="clear" w:color="auto" w:fill="D9D9D9"/>
          </w:tcPr>
          <w:p w14:paraId="2E33B1B8" w14:textId="77777777" w:rsidR="00302BFE" w:rsidRPr="00D45B3D" w:rsidRDefault="00302BFE" w:rsidP="00243B15">
            <w:pPr>
              <w:rPr>
                <w:lang w:val="en-CA"/>
              </w:rPr>
            </w:pPr>
          </w:p>
        </w:tc>
        <w:tc>
          <w:tcPr>
            <w:tcW w:w="340" w:type="dxa"/>
            <w:shd w:val="clear" w:color="auto" w:fill="D9D9D9"/>
          </w:tcPr>
          <w:p w14:paraId="1035AE39"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6697F88"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84E7D27"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6242341"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3691F2C" w14:textId="77777777" w:rsidR="00302BFE" w:rsidRPr="00D45B3D" w:rsidRDefault="00302BFE" w:rsidP="00243B15">
            <w:pPr>
              <w:rPr>
                <w:lang w:val="en-CA"/>
              </w:rPr>
            </w:pPr>
          </w:p>
        </w:tc>
        <w:tc>
          <w:tcPr>
            <w:tcW w:w="340" w:type="dxa"/>
            <w:tcBorders>
              <w:bottom w:val="single" w:sz="4" w:space="0" w:color="auto"/>
            </w:tcBorders>
            <w:shd w:val="clear" w:color="auto" w:fill="auto"/>
          </w:tcPr>
          <w:p w14:paraId="62DDBB6A" w14:textId="77777777" w:rsidR="00302BFE" w:rsidRPr="00D45B3D" w:rsidRDefault="00302BFE" w:rsidP="00243B15">
            <w:pPr>
              <w:rPr>
                <w:lang w:val="en-CA"/>
              </w:rPr>
            </w:pPr>
          </w:p>
        </w:tc>
        <w:tc>
          <w:tcPr>
            <w:tcW w:w="340" w:type="dxa"/>
            <w:tcBorders>
              <w:bottom w:val="single" w:sz="4" w:space="0" w:color="auto"/>
            </w:tcBorders>
            <w:shd w:val="clear" w:color="auto" w:fill="auto"/>
          </w:tcPr>
          <w:p w14:paraId="6F6BC8F1"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508B3EC"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9EB2DA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E42BC4E"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13EBA02"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E727EA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69716851"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EBBD1B4"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668BDE8"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B4A4D1D" w14:textId="77777777" w:rsidR="00302BFE" w:rsidRPr="00D45B3D" w:rsidRDefault="00302BFE" w:rsidP="00243B15">
            <w:pPr>
              <w:rPr>
                <w:lang w:val="en-CA"/>
              </w:rPr>
            </w:pPr>
          </w:p>
        </w:tc>
        <w:tc>
          <w:tcPr>
            <w:tcW w:w="340" w:type="dxa"/>
            <w:tcBorders>
              <w:bottom w:val="single" w:sz="4" w:space="0" w:color="auto"/>
            </w:tcBorders>
            <w:shd w:val="clear" w:color="auto" w:fill="auto"/>
          </w:tcPr>
          <w:p w14:paraId="2C7D3797"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ACA5E77" w14:textId="77777777" w:rsidR="00302BFE" w:rsidRPr="00D45B3D" w:rsidRDefault="00302BFE" w:rsidP="00243B15">
            <w:pPr>
              <w:rPr>
                <w:lang w:val="en-CA"/>
              </w:rPr>
            </w:pPr>
          </w:p>
        </w:tc>
        <w:tc>
          <w:tcPr>
            <w:tcW w:w="340" w:type="dxa"/>
            <w:shd w:val="clear" w:color="auto" w:fill="auto"/>
          </w:tcPr>
          <w:p w14:paraId="2096E76E" w14:textId="77777777" w:rsidR="00302BFE" w:rsidRPr="00D45B3D" w:rsidRDefault="00302BFE" w:rsidP="00243B15">
            <w:pPr>
              <w:rPr>
                <w:lang w:val="en-CA"/>
              </w:rPr>
            </w:pPr>
          </w:p>
        </w:tc>
      </w:tr>
      <w:tr w:rsidR="005979FD" w:rsidRPr="00D45B3D" w14:paraId="7FA6987A" w14:textId="77777777" w:rsidTr="00CC2FAC">
        <w:trPr>
          <w:jc w:val="center"/>
        </w:trPr>
        <w:tc>
          <w:tcPr>
            <w:tcW w:w="5670" w:type="dxa"/>
            <w:shd w:val="clear" w:color="auto" w:fill="auto"/>
          </w:tcPr>
          <w:p w14:paraId="23617939" w14:textId="77777777" w:rsidR="00302BFE" w:rsidRPr="00D45B3D" w:rsidRDefault="00302BFE" w:rsidP="00243B15">
            <w:pPr>
              <w:rPr>
                <w:i/>
                <w:color w:val="4472C4"/>
                <w:sz w:val="16"/>
                <w:szCs w:val="16"/>
              </w:rPr>
            </w:pPr>
            <w:r w:rsidRPr="00D45B3D">
              <w:rPr>
                <w:i/>
                <w:color w:val="4472C4"/>
                <w:sz w:val="16"/>
                <w:szCs w:val="16"/>
                <w:lang w:val="en-GB"/>
              </w:rPr>
              <w:t>3.4.2 Establish and support a PONASI destination management organisation</w:t>
            </w:r>
          </w:p>
        </w:tc>
        <w:tc>
          <w:tcPr>
            <w:tcW w:w="340" w:type="dxa"/>
            <w:shd w:val="clear" w:color="auto" w:fill="auto"/>
          </w:tcPr>
          <w:p w14:paraId="6D7436A1" w14:textId="77777777" w:rsidR="00302BFE" w:rsidRPr="00D45B3D" w:rsidRDefault="00302BFE" w:rsidP="00243B15"/>
        </w:tc>
        <w:tc>
          <w:tcPr>
            <w:tcW w:w="340" w:type="dxa"/>
            <w:shd w:val="clear" w:color="auto" w:fill="auto"/>
          </w:tcPr>
          <w:p w14:paraId="1E609DCD" w14:textId="77777777" w:rsidR="00302BFE" w:rsidRPr="00D45B3D" w:rsidRDefault="00302BFE" w:rsidP="00243B15"/>
        </w:tc>
        <w:tc>
          <w:tcPr>
            <w:tcW w:w="340" w:type="dxa"/>
            <w:shd w:val="clear" w:color="auto" w:fill="auto"/>
          </w:tcPr>
          <w:p w14:paraId="7B9276BE" w14:textId="77777777" w:rsidR="00302BFE" w:rsidRPr="00D45B3D" w:rsidRDefault="00302BFE" w:rsidP="00243B15"/>
        </w:tc>
        <w:tc>
          <w:tcPr>
            <w:tcW w:w="340" w:type="dxa"/>
            <w:shd w:val="clear" w:color="auto" w:fill="auto"/>
          </w:tcPr>
          <w:p w14:paraId="3CE25CD9" w14:textId="77777777" w:rsidR="00302BFE" w:rsidRPr="00D45B3D" w:rsidRDefault="00302BFE" w:rsidP="00243B15"/>
        </w:tc>
        <w:tc>
          <w:tcPr>
            <w:tcW w:w="340" w:type="dxa"/>
            <w:shd w:val="clear" w:color="auto" w:fill="auto"/>
          </w:tcPr>
          <w:p w14:paraId="5310B431" w14:textId="77777777" w:rsidR="00302BFE" w:rsidRPr="00D45B3D" w:rsidRDefault="00302BFE" w:rsidP="00243B15"/>
        </w:tc>
        <w:tc>
          <w:tcPr>
            <w:tcW w:w="340" w:type="dxa"/>
            <w:shd w:val="clear" w:color="auto" w:fill="auto"/>
          </w:tcPr>
          <w:p w14:paraId="42DDA0F4" w14:textId="77777777" w:rsidR="00302BFE" w:rsidRPr="00D45B3D" w:rsidRDefault="00302BFE" w:rsidP="00243B15"/>
        </w:tc>
        <w:tc>
          <w:tcPr>
            <w:tcW w:w="340" w:type="dxa"/>
            <w:shd w:val="clear" w:color="auto" w:fill="D9D9D9"/>
          </w:tcPr>
          <w:p w14:paraId="4B7492B9" w14:textId="77777777" w:rsidR="00302BFE" w:rsidRPr="00D45B3D" w:rsidRDefault="00302BFE" w:rsidP="00243B15"/>
        </w:tc>
        <w:tc>
          <w:tcPr>
            <w:tcW w:w="340" w:type="dxa"/>
            <w:shd w:val="clear" w:color="auto" w:fill="D9D9D9"/>
          </w:tcPr>
          <w:p w14:paraId="522D9421" w14:textId="77777777" w:rsidR="00302BFE" w:rsidRPr="00D45B3D" w:rsidRDefault="00302BFE" w:rsidP="00243B15"/>
        </w:tc>
        <w:tc>
          <w:tcPr>
            <w:tcW w:w="340" w:type="dxa"/>
            <w:shd w:val="clear" w:color="auto" w:fill="D9D9D9"/>
          </w:tcPr>
          <w:p w14:paraId="3998966C" w14:textId="77777777" w:rsidR="00302BFE" w:rsidRPr="00D45B3D" w:rsidRDefault="00302BFE" w:rsidP="00243B15"/>
        </w:tc>
        <w:tc>
          <w:tcPr>
            <w:tcW w:w="340" w:type="dxa"/>
            <w:shd w:val="clear" w:color="auto" w:fill="D9D9D9"/>
          </w:tcPr>
          <w:p w14:paraId="2DCF7E4F" w14:textId="77777777" w:rsidR="00302BFE" w:rsidRPr="00D45B3D" w:rsidRDefault="00302BFE" w:rsidP="00243B15"/>
        </w:tc>
        <w:tc>
          <w:tcPr>
            <w:tcW w:w="340" w:type="dxa"/>
            <w:shd w:val="clear" w:color="auto" w:fill="D9D9D9"/>
          </w:tcPr>
          <w:p w14:paraId="0C2D64B5" w14:textId="77777777" w:rsidR="00302BFE" w:rsidRPr="00D45B3D" w:rsidRDefault="00302BFE" w:rsidP="00243B15"/>
        </w:tc>
        <w:tc>
          <w:tcPr>
            <w:tcW w:w="340" w:type="dxa"/>
            <w:shd w:val="clear" w:color="auto" w:fill="D9D9D9"/>
          </w:tcPr>
          <w:p w14:paraId="447D3C96" w14:textId="77777777" w:rsidR="00302BFE" w:rsidRPr="00D45B3D" w:rsidRDefault="00302BFE" w:rsidP="00243B15"/>
        </w:tc>
        <w:tc>
          <w:tcPr>
            <w:tcW w:w="340" w:type="dxa"/>
            <w:shd w:val="clear" w:color="auto" w:fill="D9D9D9"/>
          </w:tcPr>
          <w:p w14:paraId="138A0F40" w14:textId="77777777" w:rsidR="00302BFE" w:rsidRPr="00D45B3D" w:rsidRDefault="00302BFE" w:rsidP="00243B15"/>
        </w:tc>
        <w:tc>
          <w:tcPr>
            <w:tcW w:w="340" w:type="dxa"/>
            <w:shd w:val="clear" w:color="auto" w:fill="D9D9D9"/>
          </w:tcPr>
          <w:p w14:paraId="3277CC0A" w14:textId="77777777" w:rsidR="00302BFE" w:rsidRPr="00D45B3D" w:rsidRDefault="00302BFE" w:rsidP="00243B15"/>
        </w:tc>
        <w:tc>
          <w:tcPr>
            <w:tcW w:w="340" w:type="dxa"/>
            <w:shd w:val="clear" w:color="auto" w:fill="D9D9D9"/>
          </w:tcPr>
          <w:p w14:paraId="38DB618B" w14:textId="77777777" w:rsidR="00302BFE" w:rsidRPr="00D45B3D" w:rsidRDefault="00302BFE" w:rsidP="00243B15"/>
        </w:tc>
        <w:tc>
          <w:tcPr>
            <w:tcW w:w="340" w:type="dxa"/>
            <w:shd w:val="clear" w:color="auto" w:fill="D9D9D9"/>
          </w:tcPr>
          <w:p w14:paraId="5339D707" w14:textId="77777777" w:rsidR="00302BFE" w:rsidRPr="00D45B3D" w:rsidRDefault="00302BFE" w:rsidP="00243B15"/>
        </w:tc>
        <w:tc>
          <w:tcPr>
            <w:tcW w:w="340" w:type="dxa"/>
            <w:shd w:val="clear" w:color="auto" w:fill="D9D9D9"/>
          </w:tcPr>
          <w:p w14:paraId="6CFB16F5" w14:textId="77777777" w:rsidR="00302BFE" w:rsidRPr="00D45B3D" w:rsidRDefault="00302BFE" w:rsidP="00243B15"/>
        </w:tc>
        <w:tc>
          <w:tcPr>
            <w:tcW w:w="340" w:type="dxa"/>
            <w:shd w:val="clear" w:color="auto" w:fill="D9D9D9"/>
          </w:tcPr>
          <w:p w14:paraId="77ACB906" w14:textId="77777777" w:rsidR="00302BFE" w:rsidRPr="00D45B3D" w:rsidRDefault="00302BFE" w:rsidP="00243B15"/>
        </w:tc>
        <w:tc>
          <w:tcPr>
            <w:tcW w:w="340" w:type="dxa"/>
            <w:shd w:val="clear" w:color="auto" w:fill="D9D9D9"/>
          </w:tcPr>
          <w:p w14:paraId="38431D7B" w14:textId="77777777" w:rsidR="00302BFE" w:rsidRPr="00D45B3D" w:rsidRDefault="00302BFE" w:rsidP="00243B15"/>
        </w:tc>
        <w:tc>
          <w:tcPr>
            <w:tcW w:w="340" w:type="dxa"/>
            <w:shd w:val="clear" w:color="auto" w:fill="D9D9D9"/>
          </w:tcPr>
          <w:p w14:paraId="01CECCBB" w14:textId="77777777" w:rsidR="00302BFE" w:rsidRPr="00D45B3D" w:rsidRDefault="00302BFE" w:rsidP="00243B15"/>
        </w:tc>
        <w:tc>
          <w:tcPr>
            <w:tcW w:w="340" w:type="dxa"/>
            <w:shd w:val="clear" w:color="auto" w:fill="D9D9D9"/>
          </w:tcPr>
          <w:p w14:paraId="7590DBA0" w14:textId="77777777" w:rsidR="00302BFE" w:rsidRPr="00D45B3D" w:rsidRDefault="00302BFE" w:rsidP="00243B15"/>
        </w:tc>
        <w:tc>
          <w:tcPr>
            <w:tcW w:w="340" w:type="dxa"/>
            <w:shd w:val="clear" w:color="auto" w:fill="D9D9D9"/>
          </w:tcPr>
          <w:p w14:paraId="51468415" w14:textId="77777777" w:rsidR="00302BFE" w:rsidRPr="00D45B3D" w:rsidRDefault="00302BFE" w:rsidP="00243B15"/>
        </w:tc>
        <w:tc>
          <w:tcPr>
            <w:tcW w:w="340" w:type="dxa"/>
            <w:shd w:val="clear" w:color="auto" w:fill="D9D9D9"/>
          </w:tcPr>
          <w:p w14:paraId="19460D3F" w14:textId="77777777" w:rsidR="00302BFE" w:rsidRPr="00D45B3D" w:rsidRDefault="00302BFE" w:rsidP="00243B15"/>
        </w:tc>
        <w:tc>
          <w:tcPr>
            <w:tcW w:w="340" w:type="dxa"/>
            <w:shd w:val="clear" w:color="auto" w:fill="auto"/>
          </w:tcPr>
          <w:p w14:paraId="2F76E7C7" w14:textId="77777777" w:rsidR="00302BFE" w:rsidRPr="00D45B3D" w:rsidRDefault="00302BFE" w:rsidP="00243B15"/>
        </w:tc>
      </w:tr>
      <w:tr w:rsidR="00EC409B" w:rsidRPr="00D45B3D" w14:paraId="74CBC410" w14:textId="77777777" w:rsidTr="00755BF9">
        <w:trPr>
          <w:jc w:val="center"/>
        </w:trPr>
        <w:tc>
          <w:tcPr>
            <w:tcW w:w="5670" w:type="dxa"/>
            <w:shd w:val="clear" w:color="auto" w:fill="auto"/>
          </w:tcPr>
          <w:p w14:paraId="353482B2" w14:textId="77777777" w:rsidR="00302BFE" w:rsidRPr="00D45B3D" w:rsidRDefault="00302BFE" w:rsidP="00243B15">
            <w:pPr>
              <w:rPr>
                <w:i/>
                <w:color w:val="4472C4"/>
                <w:sz w:val="16"/>
                <w:szCs w:val="16"/>
                <w:lang w:val="en-CA"/>
              </w:rPr>
            </w:pPr>
            <w:r w:rsidRPr="00D45B3D">
              <w:rPr>
                <w:i/>
                <w:color w:val="4472C4"/>
                <w:sz w:val="16"/>
                <w:szCs w:val="16"/>
                <w:lang w:val="en-GB"/>
              </w:rPr>
              <w:t>3.4.3 Tourism and hospitality capacity building and training program</w:t>
            </w:r>
          </w:p>
        </w:tc>
        <w:tc>
          <w:tcPr>
            <w:tcW w:w="340" w:type="dxa"/>
            <w:shd w:val="clear" w:color="auto" w:fill="auto"/>
          </w:tcPr>
          <w:p w14:paraId="3A86C29A" w14:textId="77777777" w:rsidR="00302BFE" w:rsidRPr="00D45B3D" w:rsidRDefault="00302BFE" w:rsidP="00243B15">
            <w:pPr>
              <w:rPr>
                <w:lang w:val="en-CA"/>
              </w:rPr>
            </w:pPr>
          </w:p>
        </w:tc>
        <w:tc>
          <w:tcPr>
            <w:tcW w:w="340" w:type="dxa"/>
            <w:shd w:val="clear" w:color="auto" w:fill="auto"/>
          </w:tcPr>
          <w:p w14:paraId="5EE462EA" w14:textId="77777777" w:rsidR="00302BFE" w:rsidRPr="00D45B3D" w:rsidRDefault="00302BFE" w:rsidP="00243B15">
            <w:pPr>
              <w:rPr>
                <w:lang w:val="en-CA"/>
              </w:rPr>
            </w:pPr>
          </w:p>
        </w:tc>
        <w:tc>
          <w:tcPr>
            <w:tcW w:w="340" w:type="dxa"/>
            <w:shd w:val="clear" w:color="auto" w:fill="auto"/>
          </w:tcPr>
          <w:p w14:paraId="7AB38418" w14:textId="77777777" w:rsidR="00302BFE" w:rsidRPr="00D45B3D" w:rsidRDefault="00302BFE" w:rsidP="00243B15">
            <w:pPr>
              <w:rPr>
                <w:lang w:val="en-CA"/>
              </w:rPr>
            </w:pPr>
          </w:p>
        </w:tc>
        <w:tc>
          <w:tcPr>
            <w:tcW w:w="340" w:type="dxa"/>
            <w:shd w:val="clear" w:color="auto" w:fill="auto"/>
          </w:tcPr>
          <w:p w14:paraId="53DF8BCC" w14:textId="77777777" w:rsidR="00302BFE" w:rsidRPr="00D45B3D" w:rsidRDefault="00302BFE" w:rsidP="00243B15">
            <w:pPr>
              <w:rPr>
                <w:lang w:val="en-CA"/>
              </w:rPr>
            </w:pPr>
          </w:p>
        </w:tc>
        <w:tc>
          <w:tcPr>
            <w:tcW w:w="340" w:type="dxa"/>
            <w:shd w:val="clear" w:color="auto" w:fill="auto"/>
          </w:tcPr>
          <w:p w14:paraId="4202ED59" w14:textId="77777777" w:rsidR="00302BFE" w:rsidRPr="00D45B3D" w:rsidRDefault="00302BFE" w:rsidP="00243B15">
            <w:pPr>
              <w:rPr>
                <w:lang w:val="en-CA"/>
              </w:rPr>
            </w:pPr>
          </w:p>
        </w:tc>
        <w:tc>
          <w:tcPr>
            <w:tcW w:w="340" w:type="dxa"/>
            <w:shd w:val="clear" w:color="auto" w:fill="auto"/>
          </w:tcPr>
          <w:p w14:paraId="055839D1" w14:textId="77777777" w:rsidR="00302BFE" w:rsidRPr="00D45B3D" w:rsidRDefault="00302BFE" w:rsidP="00243B15">
            <w:pPr>
              <w:rPr>
                <w:lang w:val="en-CA"/>
              </w:rPr>
            </w:pPr>
          </w:p>
        </w:tc>
        <w:tc>
          <w:tcPr>
            <w:tcW w:w="340" w:type="dxa"/>
            <w:shd w:val="clear" w:color="auto" w:fill="D9D9D9"/>
          </w:tcPr>
          <w:p w14:paraId="24AEA92C" w14:textId="77777777" w:rsidR="00302BFE" w:rsidRPr="00D45B3D" w:rsidRDefault="00302BFE" w:rsidP="00243B15">
            <w:pPr>
              <w:rPr>
                <w:lang w:val="en-CA"/>
              </w:rPr>
            </w:pPr>
          </w:p>
        </w:tc>
        <w:tc>
          <w:tcPr>
            <w:tcW w:w="340" w:type="dxa"/>
            <w:shd w:val="clear" w:color="auto" w:fill="D9D9D9"/>
          </w:tcPr>
          <w:p w14:paraId="5B9CB0D5" w14:textId="77777777" w:rsidR="00302BFE" w:rsidRPr="00D45B3D" w:rsidRDefault="00302BFE" w:rsidP="00243B15">
            <w:pPr>
              <w:rPr>
                <w:lang w:val="en-CA"/>
              </w:rPr>
            </w:pPr>
          </w:p>
        </w:tc>
        <w:tc>
          <w:tcPr>
            <w:tcW w:w="340" w:type="dxa"/>
            <w:shd w:val="clear" w:color="auto" w:fill="D9D9D9"/>
          </w:tcPr>
          <w:p w14:paraId="2538CFE5" w14:textId="77777777" w:rsidR="00302BFE" w:rsidRPr="00D45B3D" w:rsidRDefault="00302BFE" w:rsidP="00243B15">
            <w:pPr>
              <w:rPr>
                <w:lang w:val="en-CA"/>
              </w:rPr>
            </w:pPr>
          </w:p>
        </w:tc>
        <w:tc>
          <w:tcPr>
            <w:tcW w:w="340" w:type="dxa"/>
            <w:shd w:val="clear" w:color="auto" w:fill="D9D9D9"/>
          </w:tcPr>
          <w:p w14:paraId="0F8C48FB" w14:textId="77777777" w:rsidR="00302BFE" w:rsidRPr="00D45B3D" w:rsidRDefault="00302BFE" w:rsidP="00243B15">
            <w:pPr>
              <w:rPr>
                <w:lang w:val="en-CA"/>
              </w:rPr>
            </w:pPr>
          </w:p>
        </w:tc>
        <w:tc>
          <w:tcPr>
            <w:tcW w:w="340" w:type="dxa"/>
            <w:shd w:val="clear" w:color="auto" w:fill="D9D9D9"/>
          </w:tcPr>
          <w:p w14:paraId="13D86EEC" w14:textId="77777777" w:rsidR="00302BFE" w:rsidRPr="00D45B3D" w:rsidRDefault="00302BFE" w:rsidP="00243B15">
            <w:pPr>
              <w:rPr>
                <w:lang w:val="en-CA"/>
              </w:rPr>
            </w:pPr>
          </w:p>
        </w:tc>
        <w:tc>
          <w:tcPr>
            <w:tcW w:w="340" w:type="dxa"/>
            <w:shd w:val="clear" w:color="auto" w:fill="D9D9D9"/>
          </w:tcPr>
          <w:p w14:paraId="71240DE0"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F3548C8" w14:textId="77777777" w:rsidR="00302BFE" w:rsidRPr="00D45B3D" w:rsidRDefault="00302BFE" w:rsidP="00243B15">
            <w:pPr>
              <w:rPr>
                <w:lang w:val="en-CA"/>
              </w:rPr>
            </w:pPr>
          </w:p>
        </w:tc>
        <w:tc>
          <w:tcPr>
            <w:tcW w:w="340" w:type="dxa"/>
            <w:tcBorders>
              <w:bottom w:val="single" w:sz="4" w:space="0" w:color="auto"/>
            </w:tcBorders>
            <w:shd w:val="clear" w:color="auto" w:fill="auto"/>
          </w:tcPr>
          <w:p w14:paraId="0A35E49F"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0905192" w14:textId="77777777" w:rsidR="00302BFE" w:rsidRPr="00D45B3D" w:rsidRDefault="00302BFE" w:rsidP="00243B15">
            <w:pPr>
              <w:rPr>
                <w:lang w:val="en-CA"/>
              </w:rPr>
            </w:pPr>
          </w:p>
        </w:tc>
        <w:tc>
          <w:tcPr>
            <w:tcW w:w="340" w:type="dxa"/>
            <w:tcBorders>
              <w:bottom w:val="single" w:sz="4" w:space="0" w:color="auto"/>
            </w:tcBorders>
            <w:shd w:val="clear" w:color="auto" w:fill="auto"/>
          </w:tcPr>
          <w:p w14:paraId="4B963584"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C8FDCDF"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61941A3" w14:textId="77777777" w:rsidR="00302BFE" w:rsidRPr="00D45B3D" w:rsidRDefault="00302BFE" w:rsidP="00243B15">
            <w:pPr>
              <w:rPr>
                <w:lang w:val="en-CA"/>
              </w:rPr>
            </w:pPr>
          </w:p>
        </w:tc>
        <w:tc>
          <w:tcPr>
            <w:tcW w:w="340" w:type="dxa"/>
            <w:tcBorders>
              <w:bottom w:val="single" w:sz="4" w:space="0" w:color="auto"/>
            </w:tcBorders>
            <w:shd w:val="clear" w:color="auto" w:fill="auto"/>
          </w:tcPr>
          <w:p w14:paraId="61F7CFE5" w14:textId="77777777" w:rsidR="00302BFE" w:rsidRPr="00D45B3D" w:rsidRDefault="00302BFE" w:rsidP="00243B15">
            <w:pPr>
              <w:rPr>
                <w:lang w:val="en-CA"/>
              </w:rPr>
            </w:pPr>
          </w:p>
        </w:tc>
        <w:tc>
          <w:tcPr>
            <w:tcW w:w="340" w:type="dxa"/>
            <w:tcBorders>
              <w:bottom w:val="single" w:sz="4" w:space="0" w:color="auto"/>
            </w:tcBorders>
            <w:shd w:val="clear" w:color="auto" w:fill="auto"/>
          </w:tcPr>
          <w:p w14:paraId="7AEF818B" w14:textId="77777777" w:rsidR="00302BFE" w:rsidRPr="00D45B3D" w:rsidRDefault="00302BFE" w:rsidP="00243B15">
            <w:pPr>
              <w:rPr>
                <w:lang w:val="en-CA"/>
              </w:rPr>
            </w:pPr>
          </w:p>
        </w:tc>
        <w:tc>
          <w:tcPr>
            <w:tcW w:w="340" w:type="dxa"/>
            <w:tcBorders>
              <w:bottom w:val="single" w:sz="4" w:space="0" w:color="auto"/>
            </w:tcBorders>
            <w:shd w:val="clear" w:color="auto" w:fill="auto"/>
          </w:tcPr>
          <w:p w14:paraId="5149AD47" w14:textId="77777777" w:rsidR="00302BFE" w:rsidRPr="00D45B3D" w:rsidRDefault="00302BFE" w:rsidP="00243B15">
            <w:pPr>
              <w:rPr>
                <w:lang w:val="en-CA"/>
              </w:rPr>
            </w:pPr>
          </w:p>
        </w:tc>
        <w:tc>
          <w:tcPr>
            <w:tcW w:w="340" w:type="dxa"/>
            <w:tcBorders>
              <w:bottom w:val="single" w:sz="4" w:space="0" w:color="auto"/>
            </w:tcBorders>
            <w:shd w:val="clear" w:color="auto" w:fill="auto"/>
          </w:tcPr>
          <w:p w14:paraId="12895955" w14:textId="77777777" w:rsidR="00302BFE" w:rsidRPr="00D45B3D" w:rsidRDefault="00302BFE" w:rsidP="00243B15">
            <w:pPr>
              <w:rPr>
                <w:lang w:val="en-CA"/>
              </w:rPr>
            </w:pPr>
          </w:p>
        </w:tc>
        <w:tc>
          <w:tcPr>
            <w:tcW w:w="340" w:type="dxa"/>
            <w:shd w:val="clear" w:color="auto" w:fill="auto"/>
          </w:tcPr>
          <w:p w14:paraId="3A34D1DE" w14:textId="77777777" w:rsidR="00302BFE" w:rsidRPr="00D45B3D" w:rsidRDefault="00302BFE" w:rsidP="00243B15">
            <w:pPr>
              <w:rPr>
                <w:lang w:val="en-CA"/>
              </w:rPr>
            </w:pPr>
          </w:p>
        </w:tc>
        <w:tc>
          <w:tcPr>
            <w:tcW w:w="340" w:type="dxa"/>
            <w:shd w:val="clear" w:color="auto" w:fill="auto"/>
          </w:tcPr>
          <w:p w14:paraId="17641023" w14:textId="77777777" w:rsidR="00302BFE" w:rsidRPr="00D45B3D" w:rsidRDefault="00302BFE" w:rsidP="00243B15">
            <w:pPr>
              <w:rPr>
                <w:lang w:val="en-CA"/>
              </w:rPr>
            </w:pPr>
          </w:p>
        </w:tc>
      </w:tr>
      <w:tr w:rsidR="00EC409B" w:rsidRPr="00D45B3D" w14:paraId="75D72551" w14:textId="77777777" w:rsidTr="00755BF9">
        <w:trPr>
          <w:jc w:val="center"/>
        </w:trPr>
        <w:tc>
          <w:tcPr>
            <w:tcW w:w="5670" w:type="dxa"/>
            <w:shd w:val="clear" w:color="auto" w:fill="auto"/>
          </w:tcPr>
          <w:p w14:paraId="482D803D" w14:textId="77777777" w:rsidR="00302BFE" w:rsidRPr="00D45B3D" w:rsidRDefault="00302BFE" w:rsidP="00243B15">
            <w:pPr>
              <w:rPr>
                <w:i/>
                <w:color w:val="4472C4"/>
                <w:sz w:val="16"/>
                <w:szCs w:val="16"/>
                <w:lang w:val="en-CA"/>
              </w:rPr>
            </w:pPr>
            <w:r w:rsidRPr="00D45B3D">
              <w:rPr>
                <w:i/>
                <w:color w:val="4472C4"/>
                <w:sz w:val="16"/>
                <w:szCs w:val="16"/>
                <w:lang w:val="en-GB"/>
              </w:rPr>
              <w:t>3.4.4 Tourism product development and improvement</w:t>
            </w:r>
          </w:p>
        </w:tc>
        <w:tc>
          <w:tcPr>
            <w:tcW w:w="340" w:type="dxa"/>
            <w:shd w:val="clear" w:color="auto" w:fill="auto"/>
          </w:tcPr>
          <w:p w14:paraId="149D89B1" w14:textId="77777777" w:rsidR="00302BFE" w:rsidRPr="00D45B3D" w:rsidRDefault="00302BFE" w:rsidP="00243B15">
            <w:pPr>
              <w:rPr>
                <w:lang w:val="en-CA"/>
              </w:rPr>
            </w:pPr>
          </w:p>
        </w:tc>
        <w:tc>
          <w:tcPr>
            <w:tcW w:w="340" w:type="dxa"/>
            <w:shd w:val="clear" w:color="auto" w:fill="auto"/>
          </w:tcPr>
          <w:p w14:paraId="7AB8037E" w14:textId="77777777" w:rsidR="00302BFE" w:rsidRPr="00D45B3D" w:rsidRDefault="00302BFE" w:rsidP="00243B15">
            <w:pPr>
              <w:rPr>
                <w:lang w:val="en-CA"/>
              </w:rPr>
            </w:pPr>
          </w:p>
        </w:tc>
        <w:tc>
          <w:tcPr>
            <w:tcW w:w="340" w:type="dxa"/>
            <w:shd w:val="clear" w:color="auto" w:fill="auto"/>
          </w:tcPr>
          <w:p w14:paraId="006B01D2" w14:textId="77777777" w:rsidR="00302BFE" w:rsidRPr="00D45B3D" w:rsidRDefault="00302BFE" w:rsidP="00243B15">
            <w:pPr>
              <w:rPr>
                <w:lang w:val="en-CA"/>
              </w:rPr>
            </w:pPr>
          </w:p>
        </w:tc>
        <w:tc>
          <w:tcPr>
            <w:tcW w:w="340" w:type="dxa"/>
            <w:shd w:val="clear" w:color="auto" w:fill="auto"/>
          </w:tcPr>
          <w:p w14:paraId="2431914F" w14:textId="77777777" w:rsidR="00302BFE" w:rsidRPr="00D45B3D" w:rsidRDefault="00302BFE" w:rsidP="00243B15">
            <w:pPr>
              <w:rPr>
                <w:lang w:val="en-CA"/>
              </w:rPr>
            </w:pPr>
          </w:p>
        </w:tc>
        <w:tc>
          <w:tcPr>
            <w:tcW w:w="340" w:type="dxa"/>
            <w:shd w:val="clear" w:color="auto" w:fill="auto"/>
          </w:tcPr>
          <w:p w14:paraId="1CA04A23" w14:textId="77777777" w:rsidR="00302BFE" w:rsidRPr="00D45B3D" w:rsidRDefault="00302BFE" w:rsidP="00243B15">
            <w:pPr>
              <w:rPr>
                <w:lang w:val="en-CA"/>
              </w:rPr>
            </w:pPr>
          </w:p>
        </w:tc>
        <w:tc>
          <w:tcPr>
            <w:tcW w:w="340" w:type="dxa"/>
            <w:shd w:val="clear" w:color="auto" w:fill="auto"/>
          </w:tcPr>
          <w:p w14:paraId="4C48D5CD" w14:textId="77777777" w:rsidR="00302BFE" w:rsidRPr="00D45B3D" w:rsidRDefault="00302BFE" w:rsidP="00243B15">
            <w:pPr>
              <w:rPr>
                <w:lang w:val="en-CA"/>
              </w:rPr>
            </w:pPr>
          </w:p>
        </w:tc>
        <w:tc>
          <w:tcPr>
            <w:tcW w:w="340" w:type="dxa"/>
            <w:shd w:val="clear" w:color="auto" w:fill="auto"/>
          </w:tcPr>
          <w:p w14:paraId="213EFAB2" w14:textId="77777777" w:rsidR="00302BFE" w:rsidRPr="00D45B3D" w:rsidRDefault="00302BFE" w:rsidP="00243B15">
            <w:pPr>
              <w:rPr>
                <w:lang w:val="en-CA"/>
              </w:rPr>
            </w:pPr>
          </w:p>
        </w:tc>
        <w:tc>
          <w:tcPr>
            <w:tcW w:w="340" w:type="dxa"/>
            <w:shd w:val="clear" w:color="auto" w:fill="auto"/>
          </w:tcPr>
          <w:p w14:paraId="082438F6" w14:textId="77777777" w:rsidR="00302BFE" w:rsidRPr="00D45B3D" w:rsidRDefault="00302BFE" w:rsidP="00243B15">
            <w:pPr>
              <w:rPr>
                <w:lang w:val="en-CA"/>
              </w:rPr>
            </w:pPr>
          </w:p>
        </w:tc>
        <w:tc>
          <w:tcPr>
            <w:tcW w:w="340" w:type="dxa"/>
            <w:shd w:val="clear" w:color="auto" w:fill="auto"/>
          </w:tcPr>
          <w:p w14:paraId="70A9F4FB" w14:textId="77777777" w:rsidR="00302BFE" w:rsidRPr="00D45B3D" w:rsidRDefault="00302BFE" w:rsidP="00243B15">
            <w:pPr>
              <w:rPr>
                <w:lang w:val="en-CA"/>
              </w:rPr>
            </w:pPr>
          </w:p>
        </w:tc>
        <w:tc>
          <w:tcPr>
            <w:tcW w:w="340" w:type="dxa"/>
            <w:shd w:val="clear" w:color="auto" w:fill="auto"/>
          </w:tcPr>
          <w:p w14:paraId="43282331" w14:textId="77777777" w:rsidR="00302BFE" w:rsidRPr="00D45B3D" w:rsidRDefault="00302BFE" w:rsidP="00243B15">
            <w:pPr>
              <w:rPr>
                <w:lang w:val="en-CA"/>
              </w:rPr>
            </w:pPr>
          </w:p>
        </w:tc>
        <w:tc>
          <w:tcPr>
            <w:tcW w:w="340" w:type="dxa"/>
            <w:shd w:val="clear" w:color="auto" w:fill="auto"/>
          </w:tcPr>
          <w:p w14:paraId="75DAD8C1" w14:textId="77777777" w:rsidR="00302BFE" w:rsidRPr="00D45B3D" w:rsidRDefault="00302BFE" w:rsidP="00243B15">
            <w:pPr>
              <w:rPr>
                <w:lang w:val="en-CA"/>
              </w:rPr>
            </w:pPr>
          </w:p>
        </w:tc>
        <w:tc>
          <w:tcPr>
            <w:tcW w:w="340" w:type="dxa"/>
            <w:shd w:val="clear" w:color="auto" w:fill="auto"/>
          </w:tcPr>
          <w:p w14:paraId="67BA48AA" w14:textId="77777777" w:rsidR="00302BFE" w:rsidRPr="00D45B3D" w:rsidRDefault="00302BFE" w:rsidP="00243B15">
            <w:pPr>
              <w:rPr>
                <w:lang w:val="en-CA"/>
              </w:rPr>
            </w:pPr>
          </w:p>
        </w:tc>
        <w:tc>
          <w:tcPr>
            <w:tcW w:w="340" w:type="dxa"/>
            <w:shd w:val="clear" w:color="auto" w:fill="D9D9D9"/>
          </w:tcPr>
          <w:p w14:paraId="708298F7" w14:textId="77777777" w:rsidR="00302BFE" w:rsidRPr="00D45B3D" w:rsidRDefault="00302BFE" w:rsidP="00243B15">
            <w:pPr>
              <w:rPr>
                <w:lang w:val="en-CA"/>
              </w:rPr>
            </w:pPr>
          </w:p>
        </w:tc>
        <w:tc>
          <w:tcPr>
            <w:tcW w:w="340" w:type="dxa"/>
            <w:shd w:val="clear" w:color="auto" w:fill="D9D9D9"/>
          </w:tcPr>
          <w:p w14:paraId="5D333B8F" w14:textId="77777777" w:rsidR="00302BFE" w:rsidRPr="00D45B3D" w:rsidRDefault="00302BFE" w:rsidP="00243B15">
            <w:pPr>
              <w:rPr>
                <w:lang w:val="en-CA"/>
              </w:rPr>
            </w:pPr>
          </w:p>
        </w:tc>
        <w:tc>
          <w:tcPr>
            <w:tcW w:w="340" w:type="dxa"/>
            <w:shd w:val="clear" w:color="auto" w:fill="D9D9D9"/>
          </w:tcPr>
          <w:p w14:paraId="1180B24C" w14:textId="77777777" w:rsidR="00302BFE" w:rsidRPr="00D45B3D" w:rsidRDefault="00302BFE" w:rsidP="00243B15">
            <w:pPr>
              <w:rPr>
                <w:lang w:val="en-CA"/>
              </w:rPr>
            </w:pPr>
          </w:p>
        </w:tc>
        <w:tc>
          <w:tcPr>
            <w:tcW w:w="340" w:type="dxa"/>
            <w:shd w:val="clear" w:color="auto" w:fill="D9D9D9"/>
          </w:tcPr>
          <w:p w14:paraId="1144BCD1" w14:textId="77777777" w:rsidR="00302BFE" w:rsidRPr="00D45B3D" w:rsidRDefault="00302BFE" w:rsidP="00243B15">
            <w:pPr>
              <w:rPr>
                <w:lang w:val="en-CA"/>
              </w:rPr>
            </w:pPr>
          </w:p>
        </w:tc>
        <w:tc>
          <w:tcPr>
            <w:tcW w:w="340" w:type="dxa"/>
            <w:shd w:val="clear" w:color="auto" w:fill="D9D9D9"/>
          </w:tcPr>
          <w:p w14:paraId="150C620A" w14:textId="77777777" w:rsidR="00302BFE" w:rsidRPr="00D45B3D" w:rsidRDefault="00302BFE" w:rsidP="00243B15">
            <w:pPr>
              <w:rPr>
                <w:lang w:val="en-CA"/>
              </w:rPr>
            </w:pPr>
          </w:p>
        </w:tc>
        <w:tc>
          <w:tcPr>
            <w:tcW w:w="340" w:type="dxa"/>
            <w:shd w:val="clear" w:color="auto" w:fill="D9D9D9"/>
          </w:tcPr>
          <w:p w14:paraId="1719D162" w14:textId="77777777" w:rsidR="00302BFE" w:rsidRPr="00D45B3D" w:rsidRDefault="00302BFE" w:rsidP="00243B15">
            <w:pPr>
              <w:rPr>
                <w:lang w:val="en-CA"/>
              </w:rPr>
            </w:pPr>
          </w:p>
        </w:tc>
        <w:tc>
          <w:tcPr>
            <w:tcW w:w="340" w:type="dxa"/>
            <w:shd w:val="clear" w:color="auto" w:fill="D9D9D9"/>
          </w:tcPr>
          <w:p w14:paraId="54825579" w14:textId="77777777" w:rsidR="00302BFE" w:rsidRPr="00D45B3D" w:rsidRDefault="00302BFE" w:rsidP="00243B15">
            <w:pPr>
              <w:rPr>
                <w:lang w:val="en-CA"/>
              </w:rPr>
            </w:pPr>
          </w:p>
        </w:tc>
        <w:tc>
          <w:tcPr>
            <w:tcW w:w="340" w:type="dxa"/>
            <w:shd w:val="clear" w:color="auto" w:fill="D9D9D9"/>
          </w:tcPr>
          <w:p w14:paraId="2715D7A1" w14:textId="77777777" w:rsidR="00302BFE" w:rsidRPr="00D45B3D" w:rsidRDefault="00302BFE" w:rsidP="00243B15">
            <w:pPr>
              <w:rPr>
                <w:lang w:val="en-CA"/>
              </w:rPr>
            </w:pPr>
          </w:p>
        </w:tc>
        <w:tc>
          <w:tcPr>
            <w:tcW w:w="340" w:type="dxa"/>
            <w:shd w:val="clear" w:color="auto" w:fill="D9D9D9"/>
          </w:tcPr>
          <w:p w14:paraId="0BFDF8B5" w14:textId="77777777" w:rsidR="00302BFE" w:rsidRPr="00D45B3D" w:rsidRDefault="00302BFE" w:rsidP="00243B15">
            <w:pPr>
              <w:rPr>
                <w:lang w:val="en-CA"/>
              </w:rPr>
            </w:pPr>
          </w:p>
        </w:tc>
        <w:tc>
          <w:tcPr>
            <w:tcW w:w="340" w:type="dxa"/>
            <w:shd w:val="clear" w:color="auto" w:fill="D9D9D9"/>
          </w:tcPr>
          <w:p w14:paraId="293AFA97" w14:textId="77777777" w:rsidR="00302BFE" w:rsidRPr="00D45B3D" w:rsidRDefault="00302BFE" w:rsidP="00243B15">
            <w:pPr>
              <w:rPr>
                <w:lang w:val="en-CA"/>
              </w:rPr>
            </w:pPr>
          </w:p>
        </w:tc>
        <w:tc>
          <w:tcPr>
            <w:tcW w:w="340" w:type="dxa"/>
            <w:shd w:val="clear" w:color="auto" w:fill="auto"/>
          </w:tcPr>
          <w:p w14:paraId="56AC4D98" w14:textId="77777777" w:rsidR="00302BFE" w:rsidRPr="00D45B3D" w:rsidRDefault="00302BFE" w:rsidP="00243B15">
            <w:pPr>
              <w:rPr>
                <w:lang w:val="en-CA"/>
              </w:rPr>
            </w:pPr>
          </w:p>
        </w:tc>
        <w:tc>
          <w:tcPr>
            <w:tcW w:w="340" w:type="dxa"/>
            <w:shd w:val="clear" w:color="auto" w:fill="auto"/>
          </w:tcPr>
          <w:p w14:paraId="2B2998C9" w14:textId="77777777" w:rsidR="00302BFE" w:rsidRPr="00D45B3D" w:rsidRDefault="00302BFE" w:rsidP="00243B15">
            <w:pPr>
              <w:rPr>
                <w:lang w:val="en-CA"/>
              </w:rPr>
            </w:pPr>
          </w:p>
        </w:tc>
      </w:tr>
      <w:tr w:rsidR="00EC409B" w:rsidRPr="00D45B3D" w14:paraId="53DD33BE" w14:textId="77777777" w:rsidTr="00755BF9">
        <w:trPr>
          <w:jc w:val="center"/>
        </w:trPr>
        <w:tc>
          <w:tcPr>
            <w:tcW w:w="5670" w:type="dxa"/>
            <w:shd w:val="clear" w:color="auto" w:fill="auto"/>
          </w:tcPr>
          <w:p w14:paraId="59BF8D82" w14:textId="77777777" w:rsidR="00302BFE" w:rsidRPr="00D45B3D" w:rsidRDefault="00302BFE" w:rsidP="00243B15">
            <w:pPr>
              <w:rPr>
                <w:i/>
                <w:color w:val="4472C4"/>
                <w:sz w:val="16"/>
                <w:szCs w:val="16"/>
                <w:lang w:val="en-CA"/>
              </w:rPr>
            </w:pPr>
            <w:r w:rsidRPr="00D45B3D">
              <w:rPr>
                <w:i/>
                <w:color w:val="4472C4"/>
                <w:sz w:val="16"/>
                <w:szCs w:val="16"/>
                <w:lang w:val="en-GB"/>
              </w:rPr>
              <w:t>3.4.5 Promotion and improved market access</w:t>
            </w:r>
          </w:p>
        </w:tc>
        <w:tc>
          <w:tcPr>
            <w:tcW w:w="340" w:type="dxa"/>
            <w:shd w:val="clear" w:color="auto" w:fill="auto"/>
          </w:tcPr>
          <w:p w14:paraId="24A4A273" w14:textId="77777777" w:rsidR="00302BFE" w:rsidRPr="00D45B3D" w:rsidRDefault="00302BFE" w:rsidP="00243B15">
            <w:pPr>
              <w:rPr>
                <w:lang w:val="en-CA"/>
              </w:rPr>
            </w:pPr>
          </w:p>
        </w:tc>
        <w:tc>
          <w:tcPr>
            <w:tcW w:w="340" w:type="dxa"/>
            <w:shd w:val="clear" w:color="auto" w:fill="auto"/>
          </w:tcPr>
          <w:p w14:paraId="5AF8D0AB" w14:textId="77777777" w:rsidR="00302BFE" w:rsidRPr="00D45B3D" w:rsidRDefault="00302BFE" w:rsidP="00243B15">
            <w:pPr>
              <w:rPr>
                <w:lang w:val="en-CA"/>
              </w:rPr>
            </w:pPr>
          </w:p>
        </w:tc>
        <w:tc>
          <w:tcPr>
            <w:tcW w:w="340" w:type="dxa"/>
            <w:shd w:val="clear" w:color="auto" w:fill="auto"/>
          </w:tcPr>
          <w:p w14:paraId="166A277C" w14:textId="77777777" w:rsidR="00302BFE" w:rsidRPr="00D45B3D" w:rsidRDefault="00302BFE" w:rsidP="00243B15">
            <w:pPr>
              <w:rPr>
                <w:lang w:val="en-CA"/>
              </w:rPr>
            </w:pPr>
          </w:p>
        </w:tc>
        <w:tc>
          <w:tcPr>
            <w:tcW w:w="340" w:type="dxa"/>
            <w:shd w:val="clear" w:color="auto" w:fill="auto"/>
          </w:tcPr>
          <w:p w14:paraId="01798117" w14:textId="77777777" w:rsidR="00302BFE" w:rsidRPr="00D45B3D" w:rsidRDefault="00302BFE" w:rsidP="00243B15">
            <w:pPr>
              <w:rPr>
                <w:lang w:val="en-CA"/>
              </w:rPr>
            </w:pPr>
          </w:p>
        </w:tc>
        <w:tc>
          <w:tcPr>
            <w:tcW w:w="340" w:type="dxa"/>
            <w:shd w:val="clear" w:color="auto" w:fill="auto"/>
          </w:tcPr>
          <w:p w14:paraId="2D59F5F2" w14:textId="77777777" w:rsidR="00302BFE" w:rsidRPr="00D45B3D" w:rsidRDefault="00302BFE" w:rsidP="00243B15">
            <w:pPr>
              <w:rPr>
                <w:lang w:val="en-CA"/>
              </w:rPr>
            </w:pPr>
          </w:p>
        </w:tc>
        <w:tc>
          <w:tcPr>
            <w:tcW w:w="340" w:type="dxa"/>
            <w:shd w:val="clear" w:color="auto" w:fill="auto"/>
          </w:tcPr>
          <w:p w14:paraId="6F3D0D4B" w14:textId="77777777" w:rsidR="00302BFE" w:rsidRPr="00D45B3D" w:rsidRDefault="00302BFE" w:rsidP="00243B15">
            <w:pPr>
              <w:rPr>
                <w:lang w:val="en-CA"/>
              </w:rPr>
            </w:pPr>
          </w:p>
        </w:tc>
        <w:tc>
          <w:tcPr>
            <w:tcW w:w="340" w:type="dxa"/>
            <w:shd w:val="clear" w:color="auto" w:fill="auto"/>
          </w:tcPr>
          <w:p w14:paraId="1433ED6C" w14:textId="77777777" w:rsidR="00302BFE" w:rsidRPr="00D45B3D" w:rsidRDefault="00302BFE" w:rsidP="00243B15">
            <w:pPr>
              <w:rPr>
                <w:lang w:val="en-CA"/>
              </w:rPr>
            </w:pPr>
          </w:p>
        </w:tc>
        <w:tc>
          <w:tcPr>
            <w:tcW w:w="340" w:type="dxa"/>
            <w:shd w:val="clear" w:color="auto" w:fill="auto"/>
          </w:tcPr>
          <w:p w14:paraId="27280B26" w14:textId="77777777" w:rsidR="00302BFE" w:rsidRPr="00D45B3D" w:rsidRDefault="00302BFE" w:rsidP="00243B15">
            <w:pPr>
              <w:rPr>
                <w:lang w:val="en-CA"/>
              </w:rPr>
            </w:pPr>
          </w:p>
        </w:tc>
        <w:tc>
          <w:tcPr>
            <w:tcW w:w="340" w:type="dxa"/>
            <w:shd w:val="clear" w:color="auto" w:fill="auto"/>
          </w:tcPr>
          <w:p w14:paraId="46406C26" w14:textId="77777777" w:rsidR="00302BFE" w:rsidRPr="00D45B3D" w:rsidRDefault="00302BFE" w:rsidP="00243B15">
            <w:pPr>
              <w:rPr>
                <w:lang w:val="en-CA"/>
              </w:rPr>
            </w:pPr>
          </w:p>
        </w:tc>
        <w:tc>
          <w:tcPr>
            <w:tcW w:w="340" w:type="dxa"/>
            <w:shd w:val="clear" w:color="auto" w:fill="auto"/>
          </w:tcPr>
          <w:p w14:paraId="3081C240" w14:textId="77777777" w:rsidR="00302BFE" w:rsidRPr="00D45B3D" w:rsidRDefault="00302BFE" w:rsidP="00243B15">
            <w:pPr>
              <w:rPr>
                <w:lang w:val="en-CA"/>
              </w:rPr>
            </w:pPr>
          </w:p>
        </w:tc>
        <w:tc>
          <w:tcPr>
            <w:tcW w:w="340" w:type="dxa"/>
            <w:shd w:val="clear" w:color="auto" w:fill="auto"/>
          </w:tcPr>
          <w:p w14:paraId="7D05DFEC" w14:textId="77777777" w:rsidR="00302BFE" w:rsidRPr="00D45B3D" w:rsidRDefault="00302BFE" w:rsidP="00243B15">
            <w:pPr>
              <w:rPr>
                <w:lang w:val="en-CA"/>
              </w:rPr>
            </w:pPr>
          </w:p>
        </w:tc>
        <w:tc>
          <w:tcPr>
            <w:tcW w:w="340" w:type="dxa"/>
            <w:shd w:val="clear" w:color="auto" w:fill="auto"/>
          </w:tcPr>
          <w:p w14:paraId="656C564B" w14:textId="77777777" w:rsidR="00302BFE" w:rsidRPr="00D45B3D" w:rsidRDefault="00302BFE" w:rsidP="00243B15">
            <w:pPr>
              <w:rPr>
                <w:lang w:val="en-CA"/>
              </w:rPr>
            </w:pPr>
          </w:p>
        </w:tc>
        <w:tc>
          <w:tcPr>
            <w:tcW w:w="340" w:type="dxa"/>
            <w:shd w:val="clear" w:color="auto" w:fill="D9D9D9"/>
          </w:tcPr>
          <w:p w14:paraId="08377B4D" w14:textId="77777777" w:rsidR="00302BFE" w:rsidRPr="00D45B3D" w:rsidRDefault="00302BFE" w:rsidP="00243B15">
            <w:pPr>
              <w:rPr>
                <w:lang w:val="en-CA"/>
              </w:rPr>
            </w:pPr>
          </w:p>
        </w:tc>
        <w:tc>
          <w:tcPr>
            <w:tcW w:w="340" w:type="dxa"/>
            <w:shd w:val="clear" w:color="auto" w:fill="D9D9D9"/>
          </w:tcPr>
          <w:p w14:paraId="5381FCB5" w14:textId="77777777" w:rsidR="00302BFE" w:rsidRPr="00D45B3D" w:rsidRDefault="00302BFE" w:rsidP="00243B15">
            <w:pPr>
              <w:rPr>
                <w:lang w:val="en-CA"/>
              </w:rPr>
            </w:pPr>
          </w:p>
        </w:tc>
        <w:tc>
          <w:tcPr>
            <w:tcW w:w="340" w:type="dxa"/>
            <w:shd w:val="clear" w:color="auto" w:fill="D9D9D9"/>
          </w:tcPr>
          <w:p w14:paraId="3CC88D63" w14:textId="77777777" w:rsidR="00302BFE" w:rsidRPr="00D45B3D" w:rsidRDefault="00302BFE" w:rsidP="00243B15">
            <w:pPr>
              <w:rPr>
                <w:lang w:val="en-CA"/>
              </w:rPr>
            </w:pPr>
          </w:p>
        </w:tc>
        <w:tc>
          <w:tcPr>
            <w:tcW w:w="340" w:type="dxa"/>
            <w:shd w:val="clear" w:color="auto" w:fill="D9D9D9"/>
          </w:tcPr>
          <w:p w14:paraId="74E4DC70" w14:textId="77777777" w:rsidR="00302BFE" w:rsidRPr="00D45B3D" w:rsidRDefault="00302BFE" w:rsidP="00243B15">
            <w:pPr>
              <w:rPr>
                <w:lang w:val="en-CA"/>
              </w:rPr>
            </w:pPr>
          </w:p>
        </w:tc>
        <w:tc>
          <w:tcPr>
            <w:tcW w:w="340" w:type="dxa"/>
            <w:shd w:val="clear" w:color="auto" w:fill="D9D9D9"/>
          </w:tcPr>
          <w:p w14:paraId="0AE9ADDA" w14:textId="77777777" w:rsidR="00302BFE" w:rsidRPr="00D45B3D" w:rsidRDefault="00302BFE" w:rsidP="00243B15">
            <w:pPr>
              <w:rPr>
                <w:lang w:val="en-CA"/>
              </w:rPr>
            </w:pPr>
          </w:p>
        </w:tc>
        <w:tc>
          <w:tcPr>
            <w:tcW w:w="340" w:type="dxa"/>
            <w:shd w:val="clear" w:color="auto" w:fill="D9D9D9"/>
          </w:tcPr>
          <w:p w14:paraId="41BF2CBB" w14:textId="77777777" w:rsidR="00302BFE" w:rsidRPr="00D45B3D" w:rsidRDefault="00302BFE" w:rsidP="00243B15">
            <w:pPr>
              <w:rPr>
                <w:lang w:val="en-CA"/>
              </w:rPr>
            </w:pPr>
          </w:p>
        </w:tc>
        <w:tc>
          <w:tcPr>
            <w:tcW w:w="340" w:type="dxa"/>
            <w:shd w:val="clear" w:color="auto" w:fill="D9D9D9"/>
          </w:tcPr>
          <w:p w14:paraId="5E23E609" w14:textId="77777777" w:rsidR="00302BFE" w:rsidRPr="00D45B3D" w:rsidRDefault="00302BFE" w:rsidP="00243B15">
            <w:pPr>
              <w:rPr>
                <w:lang w:val="en-CA"/>
              </w:rPr>
            </w:pPr>
          </w:p>
        </w:tc>
        <w:tc>
          <w:tcPr>
            <w:tcW w:w="340" w:type="dxa"/>
            <w:shd w:val="clear" w:color="auto" w:fill="D9D9D9"/>
          </w:tcPr>
          <w:p w14:paraId="223CDAE3" w14:textId="77777777" w:rsidR="00302BFE" w:rsidRPr="00D45B3D" w:rsidRDefault="00302BFE" w:rsidP="00243B15">
            <w:pPr>
              <w:rPr>
                <w:lang w:val="en-CA"/>
              </w:rPr>
            </w:pPr>
          </w:p>
        </w:tc>
        <w:tc>
          <w:tcPr>
            <w:tcW w:w="340" w:type="dxa"/>
            <w:shd w:val="clear" w:color="auto" w:fill="D9D9D9"/>
          </w:tcPr>
          <w:p w14:paraId="13A5F45C" w14:textId="77777777" w:rsidR="00302BFE" w:rsidRPr="00D45B3D" w:rsidRDefault="00302BFE" w:rsidP="00243B15">
            <w:pPr>
              <w:rPr>
                <w:lang w:val="en-CA"/>
              </w:rPr>
            </w:pPr>
          </w:p>
        </w:tc>
        <w:tc>
          <w:tcPr>
            <w:tcW w:w="340" w:type="dxa"/>
            <w:shd w:val="clear" w:color="auto" w:fill="D9D9D9"/>
          </w:tcPr>
          <w:p w14:paraId="609C223F" w14:textId="77777777" w:rsidR="00302BFE" w:rsidRPr="00D45B3D" w:rsidRDefault="00302BFE" w:rsidP="00243B15">
            <w:pPr>
              <w:rPr>
                <w:lang w:val="en-CA"/>
              </w:rPr>
            </w:pPr>
          </w:p>
        </w:tc>
        <w:tc>
          <w:tcPr>
            <w:tcW w:w="340" w:type="dxa"/>
            <w:shd w:val="clear" w:color="auto" w:fill="auto"/>
          </w:tcPr>
          <w:p w14:paraId="60DAA6E6" w14:textId="77777777" w:rsidR="00302BFE" w:rsidRPr="00D45B3D" w:rsidRDefault="00302BFE" w:rsidP="00243B15">
            <w:pPr>
              <w:rPr>
                <w:lang w:val="en-CA"/>
              </w:rPr>
            </w:pPr>
          </w:p>
        </w:tc>
        <w:tc>
          <w:tcPr>
            <w:tcW w:w="340" w:type="dxa"/>
            <w:shd w:val="clear" w:color="auto" w:fill="auto"/>
          </w:tcPr>
          <w:p w14:paraId="3F41A17E" w14:textId="77777777" w:rsidR="00302BFE" w:rsidRPr="00D45B3D" w:rsidRDefault="00302BFE" w:rsidP="00243B15">
            <w:pPr>
              <w:rPr>
                <w:lang w:val="en-CA"/>
              </w:rPr>
            </w:pPr>
          </w:p>
        </w:tc>
      </w:tr>
      <w:tr w:rsidR="00EC409B" w:rsidRPr="00D45B3D" w14:paraId="4C220F8F" w14:textId="77777777" w:rsidTr="00755BF9">
        <w:trPr>
          <w:jc w:val="center"/>
        </w:trPr>
        <w:tc>
          <w:tcPr>
            <w:tcW w:w="5670" w:type="dxa"/>
            <w:shd w:val="clear" w:color="auto" w:fill="auto"/>
          </w:tcPr>
          <w:p w14:paraId="6816D91C" w14:textId="77777777" w:rsidR="00302BFE" w:rsidRPr="00D45B3D" w:rsidRDefault="00302BFE" w:rsidP="00243B15">
            <w:pPr>
              <w:rPr>
                <w:i/>
                <w:color w:val="4472C4"/>
                <w:sz w:val="16"/>
                <w:szCs w:val="16"/>
              </w:rPr>
            </w:pPr>
            <w:r w:rsidRPr="00D45B3D">
              <w:rPr>
                <w:i/>
                <w:color w:val="4472C4"/>
                <w:sz w:val="16"/>
                <w:szCs w:val="16"/>
                <w:lang w:val="en-GB"/>
              </w:rPr>
              <w:t>3.4.6 Tourism infrastructure improvements for the Kaboré-</w:t>
            </w:r>
            <w:proofErr w:type="spellStart"/>
            <w:r w:rsidRPr="00D45B3D">
              <w:rPr>
                <w:i/>
                <w:color w:val="4472C4"/>
                <w:sz w:val="16"/>
                <w:szCs w:val="16"/>
                <w:lang w:val="en-GB"/>
              </w:rPr>
              <w:t>Tambi</w:t>
            </w:r>
            <w:proofErr w:type="spellEnd"/>
            <w:r w:rsidRPr="00D45B3D">
              <w:rPr>
                <w:i/>
                <w:color w:val="4472C4"/>
                <w:sz w:val="16"/>
                <w:szCs w:val="16"/>
                <w:lang w:val="en-GB"/>
              </w:rPr>
              <w:t xml:space="preserve"> National Park</w:t>
            </w:r>
          </w:p>
        </w:tc>
        <w:tc>
          <w:tcPr>
            <w:tcW w:w="340" w:type="dxa"/>
            <w:shd w:val="clear" w:color="auto" w:fill="auto"/>
          </w:tcPr>
          <w:p w14:paraId="4F940640" w14:textId="77777777" w:rsidR="00302BFE" w:rsidRPr="00D45B3D" w:rsidRDefault="00302BFE" w:rsidP="00243B15"/>
        </w:tc>
        <w:tc>
          <w:tcPr>
            <w:tcW w:w="340" w:type="dxa"/>
            <w:shd w:val="clear" w:color="auto" w:fill="auto"/>
          </w:tcPr>
          <w:p w14:paraId="7CC0A17C" w14:textId="77777777" w:rsidR="00302BFE" w:rsidRPr="00D45B3D" w:rsidRDefault="00302BFE" w:rsidP="00243B15"/>
        </w:tc>
        <w:tc>
          <w:tcPr>
            <w:tcW w:w="340" w:type="dxa"/>
            <w:shd w:val="clear" w:color="auto" w:fill="auto"/>
          </w:tcPr>
          <w:p w14:paraId="050002E5" w14:textId="77777777" w:rsidR="00302BFE" w:rsidRPr="00D45B3D" w:rsidRDefault="00302BFE" w:rsidP="00243B15"/>
        </w:tc>
        <w:tc>
          <w:tcPr>
            <w:tcW w:w="340" w:type="dxa"/>
            <w:shd w:val="clear" w:color="auto" w:fill="auto"/>
          </w:tcPr>
          <w:p w14:paraId="6C7BAD95" w14:textId="77777777" w:rsidR="00302BFE" w:rsidRPr="00D45B3D" w:rsidRDefault="00302BFE" w:rsidP="00243B15"/>
        </w:tc>
        <w:tc>
          <w:tcPr>
            <w:tcW w:w="340" w:type="dxa"/>
            <w:shd w:val="clear" w:color="auto" w:fill="auto"/>
          </w:tcPr>
          <w:p w14:paraId="5FBF1547" w14:textId="77777777" w:rsidR="00302BFE" w:rsidRPr="00D45B3D" w:rsidRDefault="00302BFE" w:rsidP="00243B15"/>
        </w:tc>
        <w:tc>
          <w:tcPr>
            <w:tcW w:w="340" w:type="dxa"/>
            <w:shd w:val="clear" w:color="auto" w:fill="auto"/>
          </w:tcPr>
          <w:p w14:paraId="40A03137" w14:textId="77777777" w:rsidR="00302BFE" w:rsidRPr="00D45B3D" w:rsidRDefault="00302BFE" w:rsidP="00243B15"/>
        </w:tc>
        <w:tc>
          <w:tcPr>
            <w:tcW w:w="340" w:type="dxa"/>
            <w:shd w:val="clear" w:color="auto" w:fill="auto"/>
          </w:tcPr>
          <w:p w14:paraId="5C8CDE73" w14:textId="77777777" w:rsidR="00302BFE" w:rsidRPr="00D45B3D" w:rsidRDefault="00302BFE" w:rsidP="00243B15"/>
        </w:tc>
        <w:tc>
          <w:tcPr>
            <w:tcW w:w="340" w:type="dxa"/>
            <w:shd w:val="clear" w:color="auto" w:fill="auto"/>
          </w:tcPr>
          <w:p w14:paraId="233EC8F5" w14:textId="77777777" w:rsidR="00302BFE" w:rsidRPr="00D45B3D" w:rsidRDefault="00302BFE" w:rsidP="00243B15"/>
        </w:tc>
        <w:tc>
          <w:tcPr>
            <w:tcW w:w="340" w:type="dxa"/>
            <w:shd w:val="clear" w:color="auto" w:fill="auto"/>
          </w:tcPr>
          <w:p w14:paraId="3AB0170D" w14:textId="77777777" w:rsidR="00302BFE" w:rsidRPr="00D45B3D" w:rsidRDefault="00302BFE" w:rsidP="00243B15"/>
        </w:tc>
        <w:tc>
          <w:tcPr>
            <w:tcW w:w="340" w:type="dxa"/>
            <w:shd w:val="clear" w:color="auto" w:fill="auto"/>
          </w:tcPr>
          <w:p w14:paraId="10712278" w14:textId="77777777" w:rsidR="00302BFE" w:rsidRPr="00D45B3D" w:rsidRDefault="00302BFE" w:rsidP="00243B15"/>
        </w:tc>
        <w:tc>
          <w:tcPr>
            <w:tcW w:w="340" w:type="dxa"/>
            <w:shd w:val="clear" w:color="auto" w:fill="auto"/>
          </w:tcPr>
          <w:p w14:paraId="5F4419C7" w14:textId="77777777" w:rsidR="00302BFE" w:rsidRPr="00D45B3D" w:rsidRDefault="00302BFE" w:rsidP="00243B15"/>
        </w:tc>
        <w:tc>
          <w:tcPr>
            <w:tcW w:w="340" w:type="dxa"/>
            <w:shd w:val="clear" w:color="auto" w:fill="auto"/>
          </w:tcPr>
          <w:p w14:paraId="529DCC5F" w14:textId="77777777" w:rsidR="00302BFE" w:rsidRPr="00D45B3D" w:rsidRDefault="00302BFE" w:rsidP="00243B15"/>
        </w:tc>
        <w:tc>
          <w:tcPr>
            <w:tcW w:w="340" w:type="dxa"/>
            <w:shd w:val="clear" w:color="auto" w:fill="D9D9D9"/>
          </w:tcPr>
          <w:p w14:paraId="0AB633A1" w14:textId="77777777" w:rsidR="00302BFE" w:rsidRPr="00D45B3D" w:rsidRDefault="00302BFE" w:rsidP="00243B15"/>
        </w:tc>
        <w:tc>
          <w:tcPr>
            <w:tcW w:w="340" w:type="dxa"/>
            <w:shd w:val="clear" w:color="auto" w:fill="D9D9D9"/>
          </w:tcPr>
          <w:p w14:paraId="0AE7562C" w14:textId="77777777" w:rsidR="00302BFE" w:rsidRPr="00D45B3D" w:rsidRDefault="00302BFE" w:rsidP="00243B15"/>
        </w:tc>
        <w:tc>
          <w:tcPr>
            <w:tcW w:w="340" w:type="dxa"/>
            <w:shd w:val="clear" w:color="auto" w:fill="D9D9D9"/>
          </w:tcPr>
          <w:p w14:paraId="67E18FAD" w14:textId="77777777" w:rsidR="00302BFE" w:rsidRPr="00D45B3D" w:rsidRDefault="00302BFE" w:rsidP="00243B15"/>
        </w:tc>
        <w:tc>
          <w:tcPr>
            <w:tcW w:w="340" w:type="dxa"/>
            <w:shd w:val="clear" w:color="auto" w:fill="D9D9D9"/>
          </w:tcPr>
          <w:p w14:paraId="5351DACE" w14:textId="77777777" w:rsidR="00302BFE" w:rsidRPr="00D45B3D" w:rsidRDefault="00302BFE" w:rsidP="00243B15"/>
        </w:tc>
        <w:tc>
          <w:tcPr>
            <w:tcW w:w="340" w:type="dxa"/>
            <w:shd w:val="clear" w:color="auto" w:fill="D9D9D9"/>
          </w:tcPr>
          <w:p w14:paraId="0643ED73" w14:textId="77777777" w:rsidR="00302BFE" w:rsidRPr="00D45B3D" w:rsidRDefault="00302BFE" w:rsidP="00243B15"/>
        </w:tc>
        <w:tc>
          <w:tcPr>
            <w:tcW w:w="340" w:type="dxa"/>
            <w:shd w:val="clear" w:color="auto" w:fill="D9D9D9"/>
          </w:tcPr>
          <w:p w14:paraId="76F91BBB" w14:textId="77777777" w:rsidR="00302BFE" w:rsidRPr="00D45B3D" w:rsidRDefault="00302BFE" w:rsidP="00243B15"/>
        </w:tc>
        <w:tc>
          <w:tcPr>
            <w:tcW w:w="340" w:type="dxa"/>
            <w:shd w:val="clear" w:color="auto" w:fill="D9D9D9"/>
          </w:tcPr>
          <w:p w14:paraId="4DA9D5A9" w14:textId="77777777" w:rsidR="00302BFE" w:rsidRPr="00D45B3D" w:rsidRDefault="00302BFE" w:rsidP="00243B15"/>
        </w:tc>
        <w:tc>
          <w:tcPr>
            <w:tcW w:w="340" w:type="dxa"/>
            <w:shd w:val="clear" w:color="auto" w:fill="D9D9D9"/>
          </w:tcPr>
          <w:p w14:paraId="077690A3" w14:textId="77777777" w:rsidR="00302BFE" w:rsidRPr="00D45B3D" w:rsidRDefault="00302BFE" w:rsidP="00243B15"/>
        </w:tc>
        <w:tc>
          <w:tcPr>
            <w:tcW w:w="340" w:type="dxa"/>
            <w:shd w:val="clear" w:color="auto" w:fill="D9D9D9"/>
          </w:tcPr>
          <w:p w14:paraId="6A976154" w14:textId="77777777" w:rsidR="00302BFE" w:rsidRPr="00D45B3D" w:rsidRDefault="00302BFE" w:rsidP="00243B15"/>
        </w:tc>
        <w:tc>
          <w:tcPr>
            <w:tcW w:w="340" w:type="dxa"/>
            <w:shd w:val="clear" w:color="auto" w:fill="D9D9D9"/>
          </w:tcPr>
          <w:p w14:paraId="4C7DC27C" w14:textId="77777777" w:rsidR="00302BFE" w:rsidRPr="00D45B3D" w:rsidRDefault="00302BFE" w:rsidP="00243B15"/>
        </w:tc>
        <w:tc>
          <w:tcPr>
            <w:tcW w:w="340" w:type="dxa"/>
            <w:shd w:val="clear" w:color="auto" w:fill="auto"/>
          </w:tcPr>
          <w:p w14:paraId="0F9AE944" w14:textId="77777777" w:rsidR="00302BFE" w:rsidRPr="00D45B3D" w:rsidRDefault="00302BFE" w:rsidP="00243B15"/>
        </w:tc>
        <w:tc>
          <w:tcPr>
            <w:tcW w:w="340" w:type="dxa"/>
            <w:shd w:val="clear" w:color="auto" w:fill="auto"/>
          </w:tcPr>
          <w:p w14:paraId="44F37D7D" w14:textId="77777777" w:rsidR="00302BFE" w:rsidRPr="00D45B3D" w:rsidRDefault="00302BFE" w:rsidP="00243B15"/>
        </w:tc>
      </w:tr>
      <w:tr w:rsidR="00302BFE" w:rsidRPr="00D45B3D" w14:paraId="2883F9DE" w14:textId="77777777" w:rsidTr="00243B15">
        <w:trPr>
          <w:jc w:val="center"/>
        </w:trPr>
        <w:tc>
          <w:tcPr>
            <w:tcW w:w="13830" w:type="dxa"/>
            <w:gridSpan w:val="25"/>
            <w:shd w:val="clear" w:color="auto" w:fill="FFF2CC"/>
          </w:tcPr>
          <w:p w14:paraId="51BBB10C" w14:textId="77777777" w:rsidR="00302BFE" w:rsidRPr="00D45B3D" w:rsidRDefault="00302BFE" w:rsidP="00243B15">
            <w:pPr>
              <w:rPr>
                <w:lang w:val="en-CA"/>
              </w:rPr>
            </w:pPr>
            <w:r w:rsidRPr="00D45B3D">
              <w:rPr>
                <w:b/>
                <w:sz w:val="16"/>
                <w:szCs w:val="16"/>
                <w:lang w:val="en-CA"/>
              </w:rPr>
              <w:t>Component 4: Gender mainstreaming, and knowledge and learning management</w:t>
            </w:r>
          </w:p>
        </w:tc>
      </w:tr>
      <w:tr w:rsidR="005979FD" w:rsidRPr="00D45B3D" w14:paraId="674E1619" w14:textId="77777777" w:rsidTr="00CC2FAC">
        <w:trPr>
          <w:jc w:val="center"/>
        </w:trPr>
        <w:tc>
          <w:tcPr>
            <w:tcW w:w="5670" w:type="dxa"/>
            <w:shd w:val="clear" w:color="auto" w:fill="auto"/>
          </w:tcPr>
          <w:p w14:paraId="6A1591B0" w14:textId="77777777" w:rsidR="00302BFE" w:rsidRPr="00D45B3D" w:rsidRDefault="00302BFE" w:rsidP="00243B15">
            <w:pPr>
              <w:rPr>
                <w:sz w:val="16"/>
                <w:szCs w:val="16"/>
                <w:lang w:val="en-CA"/>
              </w:rPr>
            </w:pPr>
            <w:r w:rsidRPr="00D45B3D">
              <w:rPr>
                <w:sz w:val="16"/>
                <w:szCs w:val="16"/>
                <w:lang w:val="en-CA"/>
              </w:rPr>
              <w:t xml:space="preserve">Output 4.1 Gender Action plan implemented, </w:t>
            </w:r>
            <w:proofErr w:type="gramStart"/>
            <w:r w:rsidRPr="00D45B3D">
              <w:rPr>
                <w:sz w:val="16"/>
                <w:szCs w:val="16"/>
                <w:lang w:val="en-CA"/>
              </w:rPr>
              <w:t>monitored</w:t>
            </w:r>
            <w:proofErr w:type="gramEnd"/>
            <w:r w:rsidRPr="00D45B3D">
              <w:rPr>
                <w:sz w:val="16"/>
                <w:szCs w:val="16"/>
                <w:lang w:val="en-CA"/>
              </w:rPr>
              <w:t xml:space="preserve"> and evaluated</w:t>
            </w:r>
          </w:p>
        </w:tc>
        <w:tc>
          <w:tcPr>
            <w:tcW w:w="340" w:type="dxa"/>
            <w:tcBorders>
              <w:bottom w:val="single" w:sz="4" w:space="0" w:color="auto"/>
            </w:tcBorders>
            <w:shd w:val="clear" w:color="auto" w:fill="auto"/>
          </w:tcPr>
          <w:p w14:paraId="5882F72F" w14:textId="77777777" w:rsidR="00302BFE" w:rsidRPr="00D45B3D" w:rsidRDefault="00302BFE" w:rsidP="00243B15">
            <w:pPr>
              <w:rPr>
                <w:lang w:val="en-CA"/>
              </w:rPr>
            </w:pPr>
          </w:p>
        </w:tc>
        <w:tc>
          <w:tcPr>
            <w:tcW w:w="340" w:type="dxa"/>
            <w:tcBorders>
              <w:bottom w:val="single" w:sz="4" w:space="0" w:color="auto"/>
            </w:tcBorders>
            <w:shd w:val="clear" w:color="auto" w:fill="auto"/>
          </w:tcPr>
          <w:p w14:paraId="3351B5A5"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60B2402C"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3154D1E5" w14:textId="77777777" w:rsidR="00302BFE" w:rsidRPr="00D45B3D" w:rsidRDefault="00302BFE" w:rsidP="00243B15">
            <w:pPr>
              <w:rPr>
                <w:lang w:val="en-CA"/>
              </w:rPr>
            </w:pPr>
          </w:p>
        </w:tc>
        <w:tc>
          <w:tcPr>
            <w:tcW w:w="340" w:type="dxa"/>
            <w:shd w:val="clear" w:color="auto" w:fill="D9D9D9"/>
          </w:tcPr>
          <w:p w14:paraId="1E0505FA" w14:textId="77777777" w:rsidR="00302BFE" w:rsidRPr="00D45B3D" w:rsidRDefault="00302BFE" w:rsidP="00243B15">
            <w:pPr>
              <w:rPr>
                <w:lang w:val="en-CA"/>
              </w:rPr>
            </w:pPr>
          </w:p>
        </w:tc>
        <w:tc>
          <w:tcPr>
            <w:tcW w:w="340" w:type="dxa"/>
            <w:shd w:val="clear" w:color="auto" w:fill="D9D9D9"/>
          </w:tcPr>
          <w:p w14:paraId="41C2FBBF" w14:textId="77777777" w:rsidR="00302BFE" w:rsidRPr="00D45B3D" w:rsidRDefault="00302BFE" w:rsidP="00243B15">
            <w:pPr>
              <w:rPr>
                <w:lang w:val="en-CA"/>
              </w:rPr>
            </w:pPr>
          </w:p>
        </w:tc>
        <w:tc>
          <w:tcPr>
            <w:tcW w:w="340" w:type="dxa"/>
            <w:shd w:val="clear" w:color="auto" w:fill="D9D9D9"/>
          </w:tcPr>
          <w:p w14:paraId="7040A381" w14:textId="77777777" w:rsidR="00302BFE" w:rsidRPr="00D45B3D" w:rsidRDefault="00302BFE" w:rsidP="00243B15">
            <w:pPr>
              <w:rPr>
                <w:lang w:val="en-CA"/>
              </w:rPr>
            </w:pPr>
          </w:p>
        </w:tc>
        <w:tc>
          <w:tcPr>
            <w:tcW w:w="340" w:type="dxa"/>
            <w:tcBorders>
              <w:bottom w:val="single" w:sz="4" w:space="0" w:color="auto"/>
            </w:tcBorders>
            <w:shd w:val="clear" w:color="auto" w:fill="D9D9D9"/>
          </w:tcPr>
          <w:p w14:paraId="7ACD72E3" w14:textId="77777777" w:rsidR="00302BFE" w:rsidRPr="00D45B3D" w:rsidRDefault="00302BFE" w:rsidP="00243B15">
            <w:pPr>
              <w:rPr>
                <w:lang w:val="en-CA"/>
              </w:rPr>
            </w:pPr>
          </w:p>
        </w:tc>
        <w:tc>
          <w:tcPr>
            <w:tcW w:w="340" w:type="dxa"/>
            <w:shd w:val="clear" w:color="auto" w:fill="D9D9D9"/>
          </w:tcPr>
          <w:p w14:paraId="36BD6560" w14:textId="77777777" w:rsidR="00302BFE" w:rsidRPr="00D45B3D" w:rsidRDefault="00302BFE" w:rsidP="00243B15">
            <w:pPr>
              <w:rPr>
                <w:lang w:val="en-CA"/>
              </w:rPr>
            </w:pPr>
          </w:p>
        </w:tc>
        <w:tc>
          <w:tcPr>
            <w:tcW w:w="340" w:type="dxa"/>
            <w:shd w:val="clear" w:color="auto" w:fill="D9D9D9"/>
          </w:tcPr>
          <w:p w14:paraId="1AE6F7E8" w14:textId="77777777" w:rsidR="00302BFE" w:rsidRPr="00D45B3D" w:rsidRDefault="00302BFE" w:rsidP="00243B15">
            <w:pPr>
              <w:rPr>
                <w:lang w:val="en-CA"/>
              </w:rPr>
            </w:pPr>
          </w:p>
        </w:tc>
        <w:tc>
          <w:tcPr>
            <w:tcW w:w="340" w:type="dxa"/>
            <w:shd w:val="clear" w:color="auto" w:fill="D9D9D9"/>
          </w:tcPr>
          <w:p w14:paraId="29C14591" w14:textId="77777777" w:rsidR="00302BFE" w:rsidRPr="00D45B3D" w:rsidRDefault="00302BFE" w:rsidP="00243B15">
            <w:pPr>
              <w:rPr>
                <w:lang w:val="en-CA"/>
              </w:rPr>
            </w:pPr>
          </w:p>
        </w:tc>
        <w:tc>
          <w:tcPr>
            <w:tcW w:w="340" w:type="dxa"/>
            <w:shd w:val="clear" w:color="auto" w:fill="D9D9D9"/>
          </w:tcPr>
          <w:p w14:paraId="76968DAF" w14:textId="77777777" w:rsidR="00302BFE" w:rsidRPr="00D45B3D" w:rsidRDefault="00302BFE" w:rsidP="00243B15">
            <w:pPr>
              <w:rPr>
                <w:lang w:val="en-CA"/>
              </w:rPr>
            </w:pPr>
          </w:p>
        </w:tc>
        <w:tc>
          <w:tcPr>
            <w:tcW w:w="340" w:type="dxa"/>
            <w:shd w:val="clear" w:color="auto" w:fill="D9D9D9"/>
          </w:tcPr>
          <w:p w14:paraId="08C673C1" w14:textId="77777777" w:rsidR="00302BFE" w:rsidRPr="00D45B3D" w:rsidRDefault="00302BFE" w:rsidP="00243B15">
            <w:pPr>
              <w:rPr>
                <w:lang w:val="en-CA"/>
              </w:rPr>
            </w:pPr>
          </w:p>
        </w:tc>
        <w:tc>
          <w:tcPr>
            <w:tcW w:w="340" w:type="dxa"/>
            <w:shd w:val="clear" w:color="auto" w:fill="D9D9D9"/>
          </w:tcPr>
          <w:p w14:paraId="40536C49" w14:textId="77777777" w:rsidR="00302BFE" w:rsidRPr="00D45B3D" w:rsidRDefault="00302BFE" w:rsidP="00243B15">
            <w:pPr>
              <w:rPr>
                <w:lang w:val="en-CA"/>
              </w:rPr>
            </w:pPr>
          </w:p>
        </w:tc>
        <w:tc>
          <w:tcPr>
            <w:tcW w:w="340" w:type="dxa"/>
            <w:shd w:val="clear" w:color="auto" w:fill="D9D9D9"/>
          </w:tcPr>
          <w:p w14:paraId="5B6DF6B2" w14:textId="77777777" w:rsidR="00302BFE" w:rsidRPr="00D45B3D" w:rsidRDefault="00302BFE" w:rsidP="00243B15">
            <w:pPr>
              <w:rPr>
                <w:lang w:val="en-CA"/>
              </w:rPr>
            </w:pPr>
          </w:p>
        </w:tc>
        <w:tc>
          <w:tcPr>
            <w:tcW w:w="340" w:type="dxa"/>
            <w:shd w:val="clear" w:color="auto" w:fill="D9D9D9"/>
          </w:tcPr>
          <w:p w14:paraId="249E0420" w14:textId="77777777" w:rsidR="00302BFE" w:rsidRPr="00D45B3D" w:rsidRDefault="00302BFE" w:rsidP="00243B15">
            <w:pPr>
              <w:rPr>
                <w:lang w:val="en-CA"/>
              </w:rPr>
            </w:pPr>
          </w:p>
        </w:tc>
        <w:tc>
          <w:tcPr>
            <w:tcW w:w="340" w:type="dxa"/>
            <w:shd w:val="clear" w:color="auto" w:fill="D9D9D9"/>
          </w:tcPr>
          <w:p w14:paraId="5D1103F5" w14:textId="77777777" w:rsidR="00302BFE" w:rsidRPr="00D45B3D" w:rsidRDefault="00302BFE" w:rsidP="00243B15">
            <w:pPr>
              <w:rPr>
                <w:lang w:val="en-CA"/>
              </w:rPr>
            </w:pPr>
          </w:p>
        </w:tc>
        <w:tc>
          <w:tcPr>
            <w:tcW w:w="340" w:type="dxa"/>
            <w:shd w:val="clear" w:color="auto" w:fill="D9D9D9"/>
          </w:tcPr>
          <w:p w14:paraId="70D1C104" w14:textId="77777777" w:rsidR="00302BFE" w:rsidRPr="00D45B3D" w:rsidRDefault="00302BFE" w:rsidP="00243B15">
            <w:pPr>
              <w:rPr>
                <w:lang w:val="en-CA"/>
              </w:rPr>
            </w:pPr>
          </w:p>
        </w:tc>
        <w:tc>
          <w:tcPr>
            <w:tcW w:w="340" w:type="dxa"/>
            <w:shd w:val="clear" w:color="auto" w:fill="D9D9D9"/>
          </w:tcPr>
          <w:p w14:paraId="39E6AFB0" w14:textId="77777777" w:rsidR="00302BFE" w:rsidRPr="00D45B3D" w:rsidRDefault="00302BFE" w:rsidP="00243B15">
            <w:pPr>
              <w:rPr>
                <w:lang w:val="en-CA"/>
              </w:rPr>
            </w:pPr>
          </w:p>
        </w:tc>
        <w:tc>
          <w:tcPr>
            <w:tcW w:w="340" w:type="dxa"/>
            <w:shd w:val="clear" w:color="auto" w:fill="D9D9D9"/>
          </w:tcPr>
          <w:p w14:paraId="61EEC8E1" w14:textId="77777777" w:rsidR="00302BFE" w:rsidRPr="00D45B3D" w:rsidRDefault="00302BFE" w:rsidP="00243B15">
            <w:pPr>
              <w:rPr>
                <w:lang w:val="en-CA"/>
              </w:rPr>
            </w:pPr>
          </w:p>
        </w:tc>
        <w:tc>
          <w:tcPr>
            <w:tcW w:w="340" w:type="dxa"/>
            <w:shd w:val="clear" w:color="auto" w:fill="D9D9D9"/>
          </w:tcPr>
          <w:p w14:paraId="209D46B1" w14:textId="77777777" w:rsidR="00302BFE" w:rsidRPr="00D45B3D" w:rsidRDefault="00302BFE" w:rsidP="00243B15">
            <w:pPr>
              <w:rPr>
                <w:lang w:val="en-CA"/>
              </w:rPr>
            </w:pPr>
          </w:p>
        </w:tc>
        <w:tc>
          <w:tcPr>
            <w:tcW w:w="340" w:type="dxa"/>
            <w:shd w:val="clear" w:color="auto" w:fill="D9D9D9"/>
          </w:tcPr>
          <w:p w14:paraId="4CADBDCE" w14:textId="77777777" w:rsidR="00302BFE" w:rsidRPr="00D45B3D" w:rsidRDefault="00302BFE" w:rsidP="00243B15">
            <w:pPr>
              <w:rPr>
                <w:lang w:val="en-CA"/>
              </w:rPr>
            </w:pPr>
          </w:p>
        </w:tc>
        <w:tc>
          <w:tcPr>
            <w:tcW w:w="340" w:type="dxa"/>
            <w:shd w:val="clear" w:color="auto" w:fill="D9D9D9"/>
          </w:tcPr>
          <w:p w14:paraId="405768F1" w14:textId="77777777" w:rsidR="00302BFE" w:rsidRPr="00D45B3D" w:rsidRDefault="00302BFE" w:rsidP="00243B15">
            <w:pPr>
              <w:rPr>
                <w:lang w:val="en-CA"/>
              </w:rPr>
            </w:pPr>
          </w:p>
        </w:tc>
        <w:tc>
          <w:tcPr>
            <w:tcW w:w="340" w:type="dxa"/>
            <w:shd w:val="clear" w:color="auto" w:fill="D9D9D9"/>
          </w:tcPr>
          <w:p w14:paraId="7461CEF9" w14:textId="77777777" w:rsidR="00302BFE" w:rsidRPr="00D45B3D" w:rsidRDefault="00302BFE" w:rsidP="00243B15">
            <w:pPr>
              <w:rPr>
                <w:lang w:val="en-CA"/>
              </w:rPr>
            </w:pPr>
          </w:p>
        </w:tc>
      </w:tr>
      <w:tr w:rsidR="00EC409B" w:rsidRPr="00D45B3D" w14:paraId="4726FD27" w14:textId="77777777" w:rsidTr="00755BF9">
        <w:trPr>
          <w:jc w:val="center"/>
        </w:trPr>
        <w:tc>
          <w:tcPr>
            <w:tcW w:w="5670" w:type="dxa"/>
            <w:shd w:val="clear" w:color="auto" w:fill="auto"/>
          </w:tcPr>
          <w:p w14:paraId="39B2AFCC" w14:textId="77777777" w:rsidR="00302BFE" w:rsidRPr="00D45B3D" w:rsidRDefault="00302BFE" w:rsidP="00243B15">
            <w:pPr>
              <w:rPr>
                <w:sz w:val="16"/>
                <w:szCs w:val="16"/>
                <w:lang w:val="en-CA"/>
              </w:rPr>
            </w:pPr>
            <w:r w:rsidRPr="00D45B3D">
              <w:rPr>
                <w:sz w:val="16"/>
                <w:szCs w:val="16"/>
                <w:lang w:val="en-CA"/>
              </w:rPr>
              <w:t xml:space="preserve">Output 4.2: Technical knowledge and lessons learned from the project's experiences are compiled, </w:t>
            </w:r>
            <w:proofErr w:type="gramStart"/>
            <w:r w:rsidRPr="00D45B3D">
              <w:rPr>
                <w:sz w:val="16"/>
                <w:szCs w:val="16"/>
                <w:lang w:val="en-CA"/>
              </w:rPr>
              <w:t>assessed</w:t>
            </w:r>
            <w:proofErr w:type="gramEnd"/>
            <w:r w:rsidRPr="00D45B3D">
              <w:rPr>
                <w:sz w:val="16"/>
                <w:szCs w:val="16"/>
                <w:lang w:val="en-CA"/>
              </w:rPr>
              <w:t xml:space="preserve"> and translated into knowledge products</w:t>
            </w:r>
          </w:p>
        </w:tc>
        <w:tc>
          <w:tcPr>
            <w:tcW w:w="340" w:type="dxa"/>
            <w:shd w:val="clear" w:color="auto" w:fill="D9D9D9"/>
          </w:tcPr>
          <w:p w14:paraId="170F0279" w14:textId="77777777" w:rsidR="00302BFE" w:rsidRPr="00D45B3D" w:rsidRDefault="00302BFE" w:rsidP="00243B15">
            <w:pPr>
              <w:rPr>
                <w:lang w:val="en-CA"/>
              </w:rPr>
            </w:pPr>
          </w:p>
        </w:tc>
        <w:tc>
          <w:tcPr>
            <w:tcW w:w="340" w:type="dxa"/>
            <w:shd w:val="clear" w:color="auto" w:fill="D9D9D9"/>
          </w:tcPr>
          <w:p w14:paraId="35DE9BDF" w14:textId="77777777" w:rsidR="00302BFE" w:rsidRPr="00D45B3D" w:rsidRDefault="00302BFE" w:rsidP="00243B15">
            <w:pPr>
              <w:rPr>
                <w:lang w:val="en-CA"/>
              </w:rPr>
            </w:pPr>
          </w:p>
        </w:tc>
        <w:tc>
          <w:tcPr>
            <w:tcW w:w="340" w:type="dxa"/>
            <w:shd w:val="clear" w:color="auto" w:fill="D9D9D9"/>
          </w:tcPr>
          <w:p w14:paraId="380E9187" w14:textId="77777777" w:rsidR="00302BFE" w:rsidRPr="00D45B3D" w:rsidRDefault="00302BFE" w:rsidP="00243B15">
            <w:pPr>
              <w:rPr>
                <w:lang w:val="en-CA"/>
              </w:rPr>
            </w:pPr>
          </w:p>
        </w:tc>
        <w:tc>
          <w:tcPr>
            <w:tcW w:w="340" w:type="dxa"/>
            <w:shd w:val="clear" w:color="auto" w:fill="D9D9D9"/>
          </w:tcPr>
          <w:p w14:paraId="21F1C7E1" w14:textId="77777777" w:rsidR="00302BFE" w:rsidRPr="00D45B3D" w:rsidRDefault="00302BFE" w:rsidP="00243B15">
            <w:pPr>
              <w:rPr>
                <w:lang w:val="en-CA"/>
              </w:rPr>
            </w:pPr>
          </w:p>
        </w:tc>
        <w:tc>
          <w:tcPr>
            <w:tcW w:w="340" w:type="dxa"/>
            <w:shd w:val="clear" w:color="auto" w:fill="auto"/>
          </w:tcPr>
          <w:p w14:paraId="538DC26D" w14:textId="77777777" w:rsidR="00302BFE" w:rsidRPr="00D45B3D" w:rsidRDefault="00302BFE" w:rsidP="00243B15">
            <w:pPr>
              <w:rPr>
                <w:lang w:val="en-CA"/>
              </w:rPr>
            </w:pPr>
          </w:p>
        </w:tc>
        <w:tc>
          <w:tcPr>
            <w:tcW w:w="340" w:type="dxa"/>
            <w:shd w:val="clear" w:color="auto" w:fill="auto"/>
          </w:tcPr>
          <w:p w14:paraId="0068B894" w14:textId="77777777" w:rsidR="00302BFE" w:rsidRPr="00D45B3D" w:rsidRDefault="00302BFE" w:rsidP="00243B15">
            <w:pPr>
              <w:rPr>
                <w:lang w:val="en-CA"/>
              </w:rPr>
            </w:pPr>
          </w:p>
        </w:tc>
        <w:tc>
          <w:tcPr>
            <w:tcW w:w="340" w:type="dxa"/>
            <w:shd w:val="clear" w:color="auto" w:fill="auto"/>
          </w:tcPr>
          <w:p w14:paraId="4C7DA53C" w14:textId="77777777" w:rsidR="00302BFE" w:rsidRPr="00D45B3D" w:rsidRDefault="00302BFE" w:rsidP="00243B15">
            <w:pPr>
              <w:rPr>
                <w:lang w:val="en-CA"/>
              </w:rPr>
            </w:pPr>
          </w:p>
        </w:tc>
        <w:tc>
          <w:tcPr>
            <w:tcW w:w="340" w:type="dxa"/>
            <w:shd w:val="clear" w:color="auto" w:fill="D9D9D9"/>
          </w:tcPr>
          <w:p w14:paraId="0B38D3BB" w14:textId="77777777" w:rsidR="00302BFE" w:rsidRPr="00D45B3D" w:rsidRDefault="00302BFE" w:rsidP="00243B15">
            <w:pPr>
              <w:rPr>
                <w:lang w:val="en-CA"/>
              </w:rPr>
            </w:pPr>
          </w:p>
        </w:tc>
        <w:tc>
          <w:tcPr>
            <w:tcW w:w="340" w:type="dxa"/>
            <w:shd w:val="clear" w:color="auto" w:fill="auto"/>
          </w:tcPr>
          <w:p w14:paraId="1E1F6223" w14:textId="77777777" w:rsidR="00302BFE" w:rsidRPr="00D45B3D" w:rsidRDefault="00302BFE" w:rsidP="00243B15">
            <w:pPr>
              <w:rPr>
                <w:lang w:val="en-CA"/>
              </w:rPr>
            </w:pPr>
          </w:p>
        </w:tc>
        <w:tc>
          <w:tcPr>
            <w:tcW w:w="340" w:type="dxa"/>
            <w:shd w:val="clear" w:color="auto" w:fill="auto"/>
          </w:tcPr>
          <w:p w14:paraId="35048AD8" w14:textId="77777777" w:rsidR="00302BFE" w:rsidRPr="00D45B3D" w:rsidRDefault="00302BFE" w:rsidP="00243B15">
            <w:pPr>
              <w:rPr>
                <w:lang w:val="en-CA"/>
              </w:rPr>
            </w:pPr>
          </w:p>
        </w:tc>
        <w:tc>
          <w:tcPr>
            <w:tcW w:w="340" w:type="dxa"/>
            <w:shd w:val="clear" w:color="auto" w:fill="auto"/>
          </w:tcPr>
          <w:p w14:paraId="0A4F47CE" w14:textId="77777777" w:rsidR="00302BFE" w:rsidRPr="00D45B3D" w:rsidRDefault="00302BFE" w:rsidP="00243B15">
            <w:pPr>
              <w:rPr>
                <w:lang w:val="en-CA"/>
              </w:rPr>
            </w:pPr>
          </w:p>
        </w:tc>
        <w:tc>
          <w:tcPr>
            <w:tcW w:w="340" w:type="dxa"/>
            <w:shd w:val="clear" w:color="auto" w:fill="D9D9D9"/>
          </w:tcPr>
          <w:p w14:paraId="1E825A51" w14:textId="77777777" w:rsidR="00302BFE" w:rsidRPr="00D45B3D" w:rsidRDefault="00302BFE" w:rsidP="00243B15">
            <w:pPr>
              <w:rPr>
                <w:lang w:val="en-CA"/>
              </w:rPr>
            </w:pPr>
          </w:p>
        </w:tc>
        <w:tc>
          <w:tcPr>
            <w:tcW w:w="340" w:type="dxa"/>
            <w:shd w:val="clear" w:color="auto" w:fill="auto"/>
          </w:tcPr>
          <w:p w14:paraId="09CF9CE9" w14:textId="77777777" w:rsidR="00302BFE" w:rsidRPr="00D45B3D" w:rsidRDefault="00302BFE" w:rsidP="00243B15">
            <w:pPr>
              <w:rPr>
                <w:lang w:val="en-CA"/>
              </w:rPr>
            </w:pPr>
          </w:p>
        </w:tc>
        <w:tc>
          <w:tcPr>
            <w:tcW w:w="340" w:type="dxa"/>
            <w:shd w:val="clear" w:color="auto" w:fill="auto"/>
          </w:tcPr>
          <w:p w14:paraId="7CC3550E" w14:textId="77777777" w:rsidR="00302BFE" w:rsidRPr="00D45B3D" w:rsidRDefault="00302BFE" w:rsidP="00243B15">
            <w:pPr>
              <w:rPr>
                <w:lang w:val="en-CA"/>
              </w:rPr>
            </w:pPr>
          </w:p>
        </w:tc>
        <w:tc>
          <w:tcPr>
            <w:tcW w:w="340" w:type="dxa"/>
            <w:shd w:val="clear" w:color="auto" w:fill="auto"/>
          </w:tcPr>
          <w:p w14:paraId="6CA3060D" w14:textId="77777777" w:rsidR="00302BFE" w:rsidRPr="00D45B3D" w:rsidRDefault="00302BFE" w:rsidP="00243B15">
            <w:pPr>
              <w:rPr>
                <w:lang w:val="en-CA"/>
              </w:rPr>
            </w:pPr>
          </w:p>
        </w:tc>
        <w:tc>
          <w:tcPr>
            <w:tcW w:w="340" w:type="dxa"/>
            <w:shd w:val="clear" w:color="auto" w:fill="D9D9D9"/>
          </w:tcPr>
          <w:p w14:paraId="452C0640" w14:textId="77777777" w:rsidR="00302BFE" w:rsidRPr="00D45B3D" w:rsidRDefault="00302BFE" w:rsidP="00243B15">
            <w:pPr>
              <w:rPr>
                <w:lang w:val="en-CA"/>
              </w:rPr>
            </w:pPr>
          </w:p>
        </w:tc>
        <w:tc>
          <w:tcPr>
            <w:tcW w:w="340" w:type="dxa"/>
            <w:shd w:val="clear" w:color="auto" w:fill="auto"/>
          </w:tcPr>
          <w:p w14:paraId="44F8A3E2" w14:textId="77777777" w:rsidR="00302BFE" w:rsidRPr="00D45B3D" w:rsidRDefault="00302BFE" w:rsidP="00243B15">
            <w:pPr>
              <w:rPr>
                <w:lang w:val="en-CA"/>
              </w:rPr>
            </w:pPr>
          </w:p>
        </w:tc>
        <w:tc>
          <w:tcPr>
            <w:tcW w:w="340" w:type="dxa"/>
            <w:shd w:val="clear" w:color="auto" w:fill="auto"/>
          </w:tcPr>
          <w:p w14:paraId="11B3FEC1" w14:textId="77777777" w:rsidR="00302BFE" w:rsidRPr="00D45B3D" w:rsidRDefault="00302BFE" w:rsidP="00243B15">
            <w:pPr>
              <w:rPr>
                <w:lang w:val="en-CA"/>
              </w:rPr>
            </w:pPr>
          </w:p>
        </w:tc>
        <w:tc>
          <w:tcPr>
            <w:tcW w:w="340" w:type="dxa"/>
            <w:shd w:val="clear" w:color="auto" w:fill="auto"/>
          </w:tcPr>
          <w:p w14:paraId="4140E9EF" w14:textId="77777777" w:rsidR="00302BFE" w:rsidRPr="00D45B3D" w:rsidRDefault="00302BFE" w:rsidP="00243B15">
            <w:pPr>
              <w:rPr>
                <w:lang w:val="en-CA"/>
              </w:rPr>
            </w:pPr>
          </w:p>
        </w:tc>
        <w:tc>
          <w:tcPr>
            <w:tcW w:w="340" w:type="dxa"/>
            <w:shd w:val="clear" w:color="auto" w:fill="D9D9D9"/>
          </w:tcPr>
          <w:p w14:paraId="725B5C06" w14:textId="77777777" w:rsidR="00302BFE" w:rsidRPr="00D45B3D" w:rsidRDefault="00302BFE" w:rsidP="00243B15">
            <w:pPr>
              <w:rPr>
                <w:lang w:val="en-CA"/>
              </w:rPr>
            </w:pPr>
          </w:p>
        </w:tc>
        <w:tc>
          <w:tcPr>
            <w:tcW w:w="340" w:type="dxa"/>
            <w:shd w:val="clear" w:color="auto" w:fill="D9D9D9"/>
          </w:tcPr>
          <w:p w14:paraId="35E64918" w14:textId="77777777" w:rsidR="00302BFE" w:rsidRPr="00D45B3D" w:rsidRDefault="00302BFE" w:rsidP="00243B15">
            <w:pPr>
              <w:rPr>
                <w:lang w:val="en-CA"/>
              </w:rPr>
            </w:pPr>
          </w:p>
        </w:tc>
        <w:tc>
          <w:tcPr>
            <w:tcW w:w="340" w:type="dxa"/>
            <w:shd w:val="clear" w:color="auto" w:fill="D9D9D9"/>
          </w:tcPr>
          <w:p w14:paraId="5E8EDB62" w14:textId="77777777" w:rsidR="00302BFE" w:rsidRPr="00D45B3D" w:rsidRDefault="00302BFE" w:rsidP="00243B15">
            <w:pPr>
              <w:rPr>
                <w:lang w:val="en-CA"/>
              </w:rPr>
            </w:pPr>
          </w:p>
        </w:tc>
        <w:tc>
          <w:tcPr>
            <w:tcW w:w="340" w:type="dxa"/>
            <w:shd w:val="clear" w:color="auto" w:fill="D9D9D9"/>
          </w:tcPr>
          <w:p w14:paraId="29832B40" w14:textId="77777777" w:rsidR="00302BFE" w:rsidRPr="00D45B3D" w:rsidRDefault="00302BFE" w:rsidP="00243B15">
            <w:pPr>
              <w:rPr>
                <w:lang w:val="en-CA"/>
              </w:rPr>
            </w:pPr>
          </w:p>
        </w:tc>
        <w:tc>
          <w:tcPr>
            <w:tcW w:w="340" w:type="dxa"/>
            <w:shd w:val="clear" w:color="auto" w:fill="D9D9D9"/>
          </w:tcPr>
          <w:p w14:paraId="281EF843" w14:textId="77777777" w:rsidR="00302BFE" w:rsidRPr="00D45B3D" w:rsidRDefault="00302BFE" w:rsidP="00243B15">
            <w:pPr>
              <w:rPr>
                <w:lang w:val="en-CA"/>
              </w:rPr>
            </w:pPr>
          </w:p>
        </w:tc>
      </w:tr>
      <w:tr w:rsidR="005979FD" w:rsidRPr="00D45B3D" w14:paraId="44AC6866" w14:textId="77777777" w:rsidTr="00CC2FAC">
        <w:trPr>
          <w:jc w:val="center"/>
        </w:trPr>
        <w:tc>
          <w:tcPr>
            <w:tcW w:w="5670" w:type="dxa"/>
            <w:shd w:val="clear" w:color="auto" w:fill="auto"/>
          </w:tcPr>
          <w:p w14:paraId="3DCAA0B4" w14:textId="77777777" w:rsidR="00302BFE" w:rsidRPr="00D45B3D" w:rsidRDefault="00302BFE" w:rsidP="00243B15">
            <w:pPr>
              <w:rPr>
                <w:sz w:val="16"/>
                <w:szCs w:val="16"/>
                <w:lang w:val="en-CA"/>
              </w:rPr>
            </w:pPr>
            <w:r w:rsidRPr="00D45B3D">
              <w:rPr>
                <w:rFonts w:eastAsia="Calibri"/>
                <w:sz w:val="16"/>
                <w:szCs w:val="16"/>
                <w:lang w:val="en-CA"/>
              </w:rPr>
              <w:t xml:space="preserve">Output 4.3. Learnings are disseminated through the project communication plan to enable their widespread adoption </w:t>
            </w:r>
          </w:p>
        </w:tc>
        <w:tc>
          <w:tcPr>
            <w:tcW w:w="340" w:type="dxa"/>
            <w:shd w:val="clear" w:color="auto" w:fill="auto"/>
          </w:tcPr>
          <w:p w14:paraId="2183E392" w14:textId="77777777" w:rsidR="00302BFE" w:rsidRPr="00D45B3D" w:rsidRDefault="00302BFE" w:rsidP="00243B15">
            <w:pPr>
              <w:rPr>
                <w:lang w:val="en-CA"/>
              </w:rPr>
            </w:pPr>
          </w:p>
        </w:tc>
        <w:tc>
          <w:tcPr>
            <w:tcW w:w="340" w:type="dxa"/>
            <w:shd w:val="clear" w:color="auto" w:fill="auto"/>
          </w:tcPr>
          <w:p w14:paraId="5BBE2B22" w14:textId="77777777" w:rsidR="00302BFE" w:rsidRPr="00D45B3D" w:rsidRDefault="00302BFE" w:rsidP="00243B15">
            <w:pPr>
              <w:rPr>
                <w:lang w:val="en-CA"/>
              </w:rPr>
            </w:pPr>
          </w:p>
        </w:tc>
        <w:tc>
          <w:tcPr>
            <w:tcW w:w="340" w:type="dxa"/>
            <w:shd w:val="clear" w:color="auto" w:fill="auto"/>
          </w:tcPr>
          <w:p w14:paraId="2989A20D" w14:textId="77777777" w:rsidR="00302BFE" w:rsidRPr="00D45B3D" w:rsidRDefault="00302BFE" w:rsidP="00243B15">
            <w:pPr>
              <w:rPr>
                <w:lang w:val="en-CA"/>
              </w:rPr>
            </w:pPr>
          </w:p>
        </w:tc>
        <w:tc>
          <w:tcPr>
            <w:tcW w:w="340" w:type="dxa"/>
            <w:shd w:val="clear" w:color="auto" w:fill="D9D9D9"/>
          </w:tcPr>
          <w:p w14:paraId="201A9960" w14:textId="77777777" w:rsidR="00302BFE" w:rsidRPr="00D45B3D" w:rsidRDefault="00302BFE" w:rsidP="00243B15">
            <w:pPr>
              <w:rPr>
                <w:lang w:val="en-CA"/>
              </w:rPr>
            </w:pPr>
          </w:p>
        </w:tc>
        <w:tc>
          <w:tcPr>
            <w:tcW w:w="340" w:type="dxa"/>
            <w:shd w:val="clear" w:color="auto" w:fill="auto"/>
          </w:tcPr>
          <w:p w14:paraId="377ACABF" w14:textId="77777777" w:rsidR="00302BFE" w:rsidRPr="00D45B3D" w:rsidRDefault="00302BFE" w:rsidP="00243B15">
            <w:pPr>
              <w:rPr>
                <w:lang w:val="en-CA"/>
              </w:rPr>
            </w:pPr>
          </w:p>
        </w:tc>
        <w:tc>
          <w:tcPr>
            <w:tcW w:w="340" w:type="dxa"/>
            <w:shd w:val="clear" w:color="auto" w:fill="auto"/>
          </w:tcPr>
          <w:p w14:paraId="7CC0D72D" w14:textId="77777777" w:rsidR="00302BFE" w:rsidRPr="00D45B3D" w:rsidRDefault="00302BFE" w:rsidP="00243B15">
            <w:pPr>
              <w:rPr>
                <w:lang w:val="en-CA"/>
              </w:rPr>
            </w:pPr>
          </w:p>
        </w:tc>
        <w:tc>
          <w:tcPr>
            <w:tcW w:w="340" w:type="dxa"/>
            <w:shd w:val="clear" w:color="auto" w:fill="auto"/>
          </w:tcPr>
          <w:p w14:paraId="0D0BD8BB" w14:textId="77777777" w:rsidR="00302BFE" w:rsidRPr="00D45B3D" w:rsidRDefault="00302BFE" w:rsidP="00243B15">
            <w:pPr>
              <w:rPr>
                <w:lang w:val="en-CA"/>
              </w:rPr>
            </w:pPr>
          </w:p>
        </w:tc>
        <w:tc>
          <w:tcPr>
            <w:tcW w:w="340" w:type="dxa"/>
            <w:shd w:val="clear" w:color="auto" w:fill="D9D9D9"/>
          </w:tcPr>
          <w:p w14:paraId="1A862952" w14:textId="77777777" w:rsidR="00302BFE" w:rsidRPr="00D45B3D" w:rsidRDefault="00302BFE" w:rsidP="00243B15">
            <w:pPr>
              <w:rPr>
                <w:lang w:val="en-CA"/>
              </w:rPr>
            </w:pPr>
          </w:p>
        </w:tc>
        <w:tc>
          <w:tcPr>
            <w:tcW w:w="340" w:type="dxa"/>
            <w:shd w:val="clear" w:color="auto" w:fill="D9D9D9"/>
          </w:tcPr>
          <w:p w14:paraId="27EBE8C9" w14:textId="77777777" w:rsidR="00302BFE" w:rsidRPr="00D45B3D" w:rsidRDefault="00302BFE" w:rsidP="00243B15">
            <w:pPr>
              <w:rPr>
                <w:lang w:val="en-CA"/>
              </w:rPr>
            </w:pPr>
          </w:p>
        </w:tc>
        <w:tc>
          <w:tcPr>
            <w:tcW w:w="340" w:type="dxa"/>
            <w:shd w:val="clear" w:color="auto" w:fill="D9D9D9"/>
          </w:tcPr>
          <w:p w14:paraId="204E3120" w14:textId="77777777" w:rsidR="00302BFE" w:rsidRPr="00D45B3D" w:rsidRDefault="00302BFE" w:rsidP="00243B15">
            <w:pPr>
              <w:rPr>
                <w:lang w:val="en-CA"/>
              </w:rPr>
            </w:pPr>
          </w:p>
        </w:tc>
        <w:tc>
          <w:tcPr>
            <w:tcW w:w="340" w:type="dxa"/>
            <w:shd w:val="clear" w:color="auto" w:fill="D9D9D9"/>
          </w:tcPr>
          <w:p w14:paraId="72BF64C0" w14:textId="77777777" w:rsidR="00302BFE" w:rsidRPr="00D45B3D" w:rsidRDefault="00302BFE" w:rsidP="00243B15">
            <w:pPr>
              <w:rPr>
                <w:lang w:val="en-CA"/>
              </w:rPr>
            </w:pPr>
          </w:p>
        </w:tc>
        <w:tc>
          <w:tcPr>
            <w:tcW w:w="340" w:type="dxa"/>
            <w:shd w:val="clear" w:color="auto" w:fill="D9D9D9"/>
          </w:tcPr>
          <w:p w14:paraId="33890892" w14:textId="77777777" w:rsidR="00302BFE" w:rsidRPr="00D45B3D" w:rsidRDefault="00302BFE" w:rsidP="00243B15">
            <w:pPr>
              <w:rPr>
                <w:lang w:val="en-CA"/>
              </w:rPr>
            </w:pPr>
          </w:p>
        </w:tc>
        <w:tc>
          <w:tcPr>
            <w:tcW w:w="340" w:type="dxa"/>
            <w:shd w:val="clear" w:color="auto" w:fill="D9D9D9"/>
          </w:tcPr>
          <w:p w14:paraId="2B1A9565" w14:textId="77777777" w:rsidR="00302BFE" w:rsidRPr="00D45B3D" w:rsidRDefault="00302BFE" w:rsidP="00243B15">
            <w:pPr>
              <w:rPr>
                <w:lang w:val="en-CA"/>
              </w:rPr>
            </w:pPr>
          </w:p>
        </w:tc>
        <w:tc>
          <w:tcPr>
            <w:tcW w:w="340" w:type="dxa"/>
            <w:shd w:val="clear" w:color="auto" w:fill="D9D9D9"/>
          </w:tcPr>
          <w:p w14:paraId="35E1FAB1" w14:textId="77777777" w:rsidR="00302BFE" w:rsidRPr="00D45B3D" w:rsidRDefault="00302BFE" w:rsidP="00243B15">
            <w:pPr>
              <w:rPr>
                <w:lang w:val="en-CA"/>
              </w:rPr>
            </w:pPr>
          </w:p>
        </w:tc>
        <w:tc>
          <w:tcPr>
            <w:tcW w:w="340" w:type="dxa"/>
            <w:shd w:val="clear" w:color="auto" w:fill="D9D9D9"/>
          </w:tcPr>
          <w:p w14:paraId="395B1837" w14:textId="77777777" w:rsidR="00302BFE" w:rsidRPr="00D45B3D" w:rsidRDefault="00302BFE" w:rsidP="00243B15">
            <w:pPr>
              <w:rPr>
                <w:lang w:val="en-CA"/>
              </w:rPr>
            </w:pPr>
          </w:p>
        </w:tc>
        <w:tc>
          <w:tcPr>
            <w:tcW w:w="340" w:type="dxa"/>
            <w:shd w:val="clear" w:color="auto" w:fill="D9D9D9"/>
          </w:tcPr>
          <w:p w14:paraId="76BCCD7E" w14:textId="77777777" w:rsidR="00302BFE" w:rsidRPr="00D45B3D" w:rsidRDefault="00302BFE" w:rsidP="00243B15">
            <w:pPr>
              <w:rPr>
                <w:lang w:val="en-CA"/>
              </w:rPr>
            </w:pPr>
          </w:p>
        </w:tc>
        <w:tc>
          <w:tcPr>
            <w:tcW w:w="340" w:type="dxa"/>
            <w:shd w:val="clear" w:color="auto" w:fill="D9D9D9"/>
          </w:tcPr>
          <w:p w14:paraId="442460F8" w14:textId="77777777" w:rsidR="00302BFE" w:rsidRPr="00D45B3D" w:rsidRDefault="00302BFE" w:rsidP="00243B15">
            <w:pPr>
              <w:rPr>
                <w:lang w:val="en-CA"/>
              </w:rPr>
            </w:pPr>
          </w:p>
        </w:tc>
        <w:tc>
          <w:tcPr>
            <w:tcW w:w="340" w:type="dxa"/>
            <w:shd w:val="clear" w:color="auto" w:fill="D9D9D9"/>
          </w:tcPr>
          <w:p w14:paraId="42A8F039" w14:textId="77777777" w:rsidR="00302BFE" w:rsidRPr="00D45B3D" w:rsidRDefault="00302BFE" w:rsidP="00243B15">
            <w:pPr>
              <w:rPr>
                <w:lang w:val="en-CA"/>
              </w:rPr>
            </w:pPr>
          </w:p>
        </w:tc>
        <w:tc>
          <w:tcPr>
            <w:tcW w:w="340" w:type="dxa"/>
            <w:shd w:val="clear" w:color="auto" w:fill="D9D9D9"/>
          </w:tcPr>
          <w:p w14:paraId="66148449" w14:textId="77777777" w:rsidR="00302BFE" w:rsidRPr="00D45B3D" w:rsidRDefault="00302BFE" w:rsidP="00243B15">
            <w:pPr>
              <w:rPr>
                <w:lang w:val="en-CA"/>
              </w:rPr>
            </w:pPr>
          </w:p>
        </w:tc>
        <w:tc>
          <w:tcPr>
            <w:tcW w:w="340" w:type="dxa"/>
            <w:shd w:val="clear" w:color="auto" w:fill="D9D9D9"/>
          </w:tcPr>
          <w:p w14:paraId="3C23CC98" w14:textId="77777777" w:rsidR="00302BFE" w:rsidRPr="00D45B3D" w:rsidRDefault="00302BFE" w:rsidP="00243B15">
            <w:pPr>
              <w:rPr>
                <w:lang w:val="en-CA"/>
              </w:rPr>
            </w:pPr>
          </w:p>
        </w:tc>
        <w:tc>
          <w:tcPr>
            <w:tcW w:w="340" w:type="dxa"/>
            <w:shd w:val="clear" w:color="auto" w:fill="D9D9D9"/>
          </w:tcPr>
          <w:p w14:paraId="446CC886" w14:textId="77777777" w:rsidR="00302BFE" w:rsidRPr="00D45B3D" w:rsidRDefault="00302BFE" w:rsidP="00243B15">
            <w:pPr>
              <w:rPr>
                <w:lang w:val="en-CA"/>
              </w:rPr>
            </w:pPr>
          </w:p>
        </w:tc>
        <w:tc>
          <w:tcPr>
            <w:tcW w:w="340" w:type="dxa"/>
            <w:shd w:val="clear" w:color="auto" w:fill="D9D9D9"/>
          </w:tcPr>
          <w:p w14:paraId="1C558656" w14:textId="77777777" w:rsidR="00302BFE" w:rsidRPr="00D45B3D" w:rsidRDefault="00302BFE" w:rsidP="00243B15">
            <w:pPr>
              <w:rPr>
                <w:lang w:val="en-CA"/>
              </w:rPr>
            </w:pPr>
          </w:p>
        </w:tc>
        <w:tc>
          <w:tcPr>
            <w:tcW w:w="340" w:type="dxa"/>
            <w:shd w:val="clear" w:color="auto" w:fill="D9D9D9"/>
          </w:tcPr>
          <w:p w14:paraId="180F59ED" w14:textId="77777777" w:rsidR="00302BFE" w:rsidRPr="00D45B3D" w:rsidRDefault="00302BFE" w:rsidP="00243B15">
            <w:pPr>
              <w:rPr>
                <w:lang w:val="en-CA"/>
              </w:rPr>
            </w:pPr>
          </w:p>
        </w:tc>
        <w:tc>
          <w:tcPr>
            <w:tcW w:w="340" w:type="dxa"/>
            <w:shd w:val="clear" w:color="auto" w:fill="D9D9D9"/>
          </w:tcPr>
          <w:p w14:paraId="1FF993EB" w14:textId="77777777" w:rsidR="00302BFE" w:rsidRPr="00D45B3D" w:rsidRDefault="00302BFE" w:rsidP="00243B15">
            <w:pPr>
              <w:rPr>
                <w:lang w:val="en-CA"/>
              </w:rPr>
            </w:pPr>
          </w:p>
        </w:tc>
      </w:tr>
      <w:tr w:rsidR="00CC2FAC" w:rsidRPr="00D45B3D" w14:paraId="374B9DB0" w14:textId="77777777" w:rsidTr="00755BF9">
        <w:trPr>
          <w:jc w:val="center"/>
        </w:trPr>
        <w:tc>
          <w:tcPr>
            <w:tcW w:w="13830" w:type="dxa"/>
            <w:gridSpan w:val="25"/>
            <w:shd w:val="clear" w:color="auto" w:fill="FFF2CC" w:themeFill="accent4" w:themeFillTint="33"/>
          </w:tcPr>
          <w:p w14:paraId="557CFEE6" w14:textId="2728244F" w:rsidR="00CC2FAC" w:rsidRPr="00D45B3D" w:rsidRDefault="00CC2FAC" w:rsidP="00CC2FAC">
            <w:pPr>
              <w:rPr>
                <w:lang w:val="en-CA"/>
              </w:rPr>
            </w:pPr>
            <w:r w:rsidRPr="00D45B3D">
              <w:rPr>
                <w:b/>
                <w:sz w:val="16"/>
                <w:szCs w:val="16"/>
                <w:lang w:val="en-CA"/>
              </w:rPr>
              <w:t>ESMF - Activities</w:t>
            </w:r>
          </w:p>
        </w:tc>
      </w:tr>
      <w:tr w:rsidR="00EC409B" w:rsidRPr="00D45B3D" w14:paraId="2296B531" w14:textId="77777777" w:rsidTr="00CC2FAC">
        <w:trPr>
          <w:jc w:val="center"/>
        </w:trPr>
        <w:tc>
          <w:tcPr>
            <w:tcW w:w="5670" w:type="dxa"/>
            <w:shd w:val="clear" w:color="auto" w:fill="auto"/>
          </w:tcPr>
          <w:p w14:paraId="662D9F33" w14:textId="5AAC4477" w:rsidR="009830CB" w:rsidRPr="00D45B3D" w:rsidRDefault="009830CB" w:rsidP="00755BF9">
            <w:pPr>
              <w:spacing w:after="0"/>
              <w:contextualSpacing/>
              <w:rPr>
                <w:rFonts w:eastAsia="Calibri"/>
                <w:sz w:val="16"/>
                <w:szCs w:val="16"/>
                <w:lang w:val="en-CA"/>
              </w:rPr>
            </w:pPr>
            <w:r w:rsidRPr="00D45B3D">
              <w:rPr>
                <w:rFonts w:asciiTheme="minorHAnsi" w:hAnsiTheme="minorHAnsi" w:cstheme="minorHAnsi"/>
                <w:sz w:val="16"/>
                <w:szCs w:val="16"/>
              </w:rPr>
              <w:t>Develop the ESIA</w:t>
            </w:r>
          </w:p>
        </w:tc>
        <w:tc>
          <w:tcPr>
            <w:tcW w:w="340" w:type="dxa"/>
            <w:shd w:val="clear" w:color="auto" w:fill="D9D9D9" w:themeFill="background1" w:themeFillShade="D9"/>
          </w:tcPr>
          <w:p w14:paraId="7F414FE6" w14:textId="77777777" w:rsidR="009830CB" w:rsidRPr="00D45B3D" w:rsidRDefault="009830CB" w:rsidP="009830CB">
            <w:pPr>
              <w:rPr>
                <w:lang w:val="en-CA"/>
              </w:rPr>
            </w:pPr>
          </w:p>
        </w:tc>
        <w:tc>
          <w:tcPr>
            <w:tcW w:w="340" w:type="dxa"/>
            <w:shd w:val="clear" w:color="auto" w:fill="D9D9D9" w:themeFill="background1" w:themeFillShade="D9"/>
          </w:tcPr>
          <w:p w14:paraId="07A32BBC" w14:textId="77777777" w:rsidR="009830CB" w:rsidRPr="00D45B3D" w:rsidRDefault="009830CB" w:rsidP="009830CB">
            <w:pPr>
              <w:rPr>
                <w:lang w:val="en-CA"/>
              </w:rPr>
            </w:pPr>
          </w:p>
        </w:tc>
        <w:tc>
          <w:tcPr>
            <w:tcW w:w="340" w:type="dxa"/>
            <w:shd w:val="clear" w:color="auto" w:fill="FFFFFF" w:themeFill="background1"/>
          </w:tcPr>
          <w:p w14:paraId="19D18478" w14:textId="77777777" w:rsidR="009830CB" w:rsidRPr="00D45B3D" w:rsidRDefault="009830CB" w:rsidP="009830CB">
            <w:pPr>
              <w:rPr>
                <w:lang w:val="en-CA"/>
              </w:rPr>
            </w:pPr>
          </w:p>
        </w:tc>
        <w:tc>
          <w:tcPr>
            <w:tcW w:w="340" w:type="dxa"/>
            <w:shd w:val="clear" w:color="auto" w:fill="FFFFFF" w:themeFill="background1"/>
          </w:tcPr>
          <w:p w14:paraId="15D3B9C7" w14:textId="77777777" w:rsidR="009830CB" w:rsidRPr="00D45B3D" w:rsidRDefault="009830CB" w:rsidP="009830CB">
            <w:pPr>
              <w:rPr>
                <w:lang w:val="en-CA"/>
              </w:rPr>
            </w:pPr>
          </w:p>
        </w:tc>
        <w:tc>
          <w:tcPr>
            <w:tcW w:w="340" w:type="dxa"/>
            <w:shd w:val="clear" w:color="auto" w:fill="FFFFFF" w:themeFill="background1"/>
          </w:tcPr>
          <w:p w14:paraId="768AB406" w14:textId="77777777" w:rsidR="009830CB" w:rsidRPr="00D45B3D" w:rsidRDefault="009830CB" w:rsidP="009830CB">
            <w:pPr>
              <w:rPr>
                <w:lang w:val="en-CA"/>
              </w:rPr>
            </w:pPr>
          </w:p>
        </w:tc>
        <w:tc>
          <w:tcPr>
            <w:tcW w:w="340" w:type="dxa"/>
            <w:shd w:val="clear" w:color="auto" w:fill="FFFFFF" w:themeFill="background1"/>
          </w:tcPr>
          <w:p w14:paraId="422934E1" w14:textId="77777777" w:rsidR="009830CB" w:rsidRPr="00D45B3D" w:rsidRDefault="009830CB" w:rsidP="009830CB">
            <w:pPr>
              <w:rPr>
                <w:lang w:val="en-CA"/>
              </w:rPr>
            </w:pPr>
          </w:p>
        </w:tc>
        <w:tc>
          <w:tcPr>
            <w:tcW w:w="340" w:type="dxa"/>
            <w:shd w:val="clear" w:color="auto" w:fill="FFFFFF" w:themeFill="background1"/>
          </w:tcPr>
          <w:p w14:paraId="41DE6864" w14:textId="77777777" w:rsidR="009830CB" w:rsidRPr="00D45B3D" w:rsidRDefault="009830CB" w:rsidP="009830CB">
            <w:pPr>
              <w:rPr>
                <w:lang w:val="en-CA"/>
              </w:rPr>
            </w:pPr>
          </w:p>
        </w:tc>
        <w:tc>
          <w:tcPr>
            <w:tcW w:w="340" w:type="dxa"/>
            <w:shd w:val="clear" w:color="auto" w:fill="FFFFFF" w:themeFill="background1"/>
          </w:tcPr>
          <w:p w14:paraId="0C579734" w14:textId="77777777" w:rsidR="009830CB" w:rsidRPr="00D45B3D" w:rsidRDefault="009830CB" w:rsidP="009830CB">
            <w:pPr>
              <w:rPr>
                <w:lang w:val="en-CA"/>
              </w:rPr>
            </w:pPr>
          </w:p>
        </w:tc>
        <w:tc>
          <w:tcPr>
            <w:tcW w:w="340" w:type="dxa"/>
            <w:shd w:val="clear" w:color="auto" w:fill="FFFFFF" w:themeFill="background1"/>
          </w:tcPr>
          <w:p w14:paraId="17505553" w14:textId="77777777" w:rsidR="009830CB" w:rsidRPr="00D45B3D" w:rsidRDefault="009830CB" w:rsidP="009830CB">
            <w:pPr>
              <w:rPr>
                <w:lang w:val="en-CA"/>
              </w:rPr>
            </w:pPr>
          </w:p>
        </w:tc>
        <w:tc>
          <w:tcPr>
            <w:tcW w:w="340" w:type="dxa"/>
            <w:shd w:val="clear" w:color="auto" w:fill="FFFFFF" w:themeFill="background1"/>
          </w:tcPr>
          <w:p w14:paraId="7FE603CD" w14:textId="77777777" w:rsidR="009830CB" w:rsidRPr="00D45B3D" w:rsidRDefault="009830CB" w:rsidP="009830CB">
            <w:pPr>
              <w:rPr>
                <w:lang w:val="en-CA"/>
              </w:rPr>
            </w:pPr>
          </w:p>
        </w:tc>
        <w:tc>
          <w:tcPr>
            <w:tcW w:w="340" w:type="dxa"/>
            <w:shd w:val="clear" w:color="auto" w:fill="FFFFFF" w:themeFill="background1"/>
          </w:tcPr>
          <w:p w14:paraId="362CC795" w14:textId="77777777" w:rsidR="009830CB" w:rsidRPr="00D45B3D" w:rsidRDefault="009830CB" w:rsidP="009830CB">
            <w:pPr>
              <w:rPr>
                <w:lang w:val="en-CA"/>
              </w:rPr>
            </w:pPr>
          </w:p>
        </w:tc>
        <w:tc>
          <w:tcPr>
            <w:tcW w:w="340" w:type="dxa"/>
            <w:shd w:val="clear" w:color="auto" w:fill="FFFFFF" w:themeFill="background1"/>
          </w:tcPr>
          <w:p w14:paraId="6EF17F8F" w14:textId="77777777" w:rsidR="009830CB" w:rsidRPr="00D45B3D" w:rsidRDefault="009830CB" w:rsidP="009830CB">
            <w:pPr>
              <w:rPr>
                <w:lang w:val="en-CA"/>
              </w:rPr>
            </w:pPr>
          </w:p>
        </w:tc>
        <w:tc>
          <w:tcPr>
            <w:tcW w:w="340" w:type="dxa"/>
            <w:shd w:val="clear" w:color="auto" w:fill="FFFFFF" w:themeFill="background1"/>
          </w:tcPr>
          <w:p w14:paraId="41B78863" w14:textId="77777777" w:rsidR="009830CB" w:rsidRPr="00D45B3D" w:rsidRDefault="009830CB" w:rsidP="009830CB">
            <w:pPr>
              <w:rPr>
                <w:lang w:val="en-CA"/>
              </w:rPr>
            </w:pPr>
          </w:p>
        </w:tc>
        <w:tc>
          <w:tcPr>
            <w:tcW w:w="340" w:type="dxa"/>
            <w:shd w:val="clear" w:color="auto" w:fill="FFFFFF" w:themeFill="background1"/>
          </w:tcPr>
          <w:p w14:paraId="38F8061F" w14:textId="77777777" w:rsidR="009830CB" w:rsidRPr="00D45B3D" w:rsidRDefault="009830CB" w:rsidP="009830CB">
            <w:pPr>
              <w:rPr>
                <w:lang w:val="en-CA"/>
              </w:rPr>
            </w:pPr>
          </w:p>
        </w:tc>
        <w:tc>
          <w:tcPr>
            <w:tcW w:w="340" w:type="dxa"/>
            <w:shd w:val="clear" w:color="auto" w:fill="FFFFFF" w:themeFill="background1"/>
          </w:tcPr>
          <w:p w14:paraId="1E0FAA08" w14:textId="77777777" w:rsidR="009830CB" w:rsidRPr="00D45B3D" w:rsidRDefault="009830CB" w:rsidP="009830CB">
            <w:pPr>
              <w:rPr>
                <w:lang w:val="en-CA"/>
              </w:rPr>
            </w:pPr>
          </w:p>
        </w:tc>
        <w:tc>
          <w:tcPr>
            <w:tcW w:w="340" w:type="dxa"/>
            <w:shd w:val="clear" w:color="auto" w:fill="FFFFFF" w:themeFill="background1"/>
          </w:tcPr>
          <w:p w14:paraId="59FAB56B" w14:textId="77777777" w:rsidR="009830CB" w:rsidRPr="00D45B3D" w:rsidRDefault="009830CB" w:rsidP="009830CB">
            <w:pPr>
              <w:rPr>
                <w:lang w:val="en-CA"/>
              </w:rPr>
            </w:pPr>
          </w:p>
        </w:tc>
        <w:tc>
          <w:tcPr>
            <w:tcW w:w="340" w:type="dxa"/>
            <w:shd w:val="clear" w:color="auto" w:fill="FFFFFF" w:themeFill="background1"/>
          </w:tcPr>
          <w:p w14:paraId="020EB2C6" w14:textId="77777777" w:rsidR="009830CB" w:rsidRPr="00D45B3D" w:rsidRDefault="009830CB" w:rsidP="009830CB">
            <w:pPr>
              <w:rPr>
                <w:lang w:val="en-CA"/>
              </w:rPr>
            </w:pPr>
          </w:p>
        </w:tc>
        <w:tc>
          <w:tcPr>
            <w:tcW w:w="340" w:type="dxa"/>
            <w:shd w:val="clear" w:color="auto" w:fill="FFFFFF" w:themeFill="background1"/>
          </w:tcPr>
          <w:p w14:paraId="08ED14CC" w14:textId="77777777" w:rsidR="009830CB" w:rsidRPr="00D45B3D" w:rsidRDefault="009830CB" w:rsidP="009830CB">
            <w:pPr>
              <w:rPr>
                <w:lang w:val="en-CA"/>
              </w:rPr>
            </w:pPr>
          </w:p>
        </w:tc>
        <w:tc>
          <w:tcPr>
            <w:tcW w:w="340" w:type="dxa"/>
            <w:shd w:val="clear" w:color="auto" w:fill="FFFFFF" w:themeFill="background1"/>
          </w:tcPr>
          <w:p w14:paraId="0A4398CD" w14:textId="77777777" w:rsidR="009830CB" w:rsidRPr="00D45B3D" w:rsidRDefault="009830CB" w:rsidP="009830CB">
            <w:pPr>
              <w:rPr>
                <w:lang w:val="en-CA"/>
              </w:rPr>
            </w:pPr>
          </w:p>
        </w:tc>
        <w:tc>
          <w:tcPr>
            <w:tcW w:w="340" w:type="dxa"/>
            <w:shd w:val="clear" w:color="auto" w:fill="FFFFFF" w:themeFill="background1"/>
          </w:tcPr>
          <w:p w14:paraId="5E49ADE7" w14:textId="77777777" w:rsidR="009830CB" w:rsidRPr="00D45B3D" w:rsidRDefault="009830CB" w:rsidP="009830CB">
            <w:pPr>
              <w:rPr>
                <w:lang w:val="en-CA"/>
              </w:rPr>
            </w:pPr>
          </w:p>
        </w:tc>
        <w:tc>
          <w:tcPr>
            <w:tcW w:w="340" w:type="dxa"/>
            <w:shd w:val="clear" w:color="auto" w:fill="FFFFFF" w:themeFill="background1"/>
          </w:tcPr>
          <w:p w14:paraId="4BA165C4" w14:textId="77777777" w:rsidR="009830CB" w:rsidRPr="00D45B3D" w:rsidRDefault="009830CB" w:rsidP="009830CB">
            <w:pPr>
              <w:rPr>
                <w:lang w:val="en-CA"/>
              </w:rPr>
            </w:pPr>
          </w:p>
        </w:tc>
        <w:tc>
          <w:tcPr>
            <w:tcW w:w="340" w:type="dxa"/>
            <w:shd w:val="clear" w:color="auto" w:fill="FFFFFF" w:themeFill="background1"/>
          </w:tcPr>
          <w:p w14:paraId="09C9E3E7" w14:textId="77777777" w:rsidR="009830CB" w:rsidRPr="00D45B3D" w:rsidRDefault="009830CB" w:rsidP="009830CB">
            <w:pPr>
              <w:rPr>
                <w:lang w:val="en-CA"/>
              </w:rPr>
            </w:pPr>
          </w:p>
        </w:tc>
        <w:tc>
          <w:tcPr>
            <w:tcW w:w="340" w:type="dxa"/>
            <w:shd w:val="clear" w:color="auto" w:fill="FFFFFF" w:themeFill="background1"/>
          </w:tcPr>
          <w:p w14:paraId="2138C446" w14:textId="77777777" w:rsidR="009830CB" w:rsidRPr="00D45B3D" w:rsidRDefault="009830CB" w:rsidP="009830CB">
            <w:pPr>
              <w:rPr>
                <w:lang w:val="en-CA"/>
              </w:rPr>
            </w:pPr>
          </w:p>
        </w:tc>
        <w:tc>
          <w:tcPr>
            <w:tcW w:w="340" w:type="dxa"/>
            <w:shd w:val="clear" w:color="auto" w:fill="FFFFFF" w:themeFill="background1"/>
          </w:tcPr>
          <w:p w14:paraId="19CE837B" w14:textId="77777777" w:rsidR="009830CB" w:rsidRPr="00D45B3D" w:rsidRDefault="009830CB" w:rsidP="009830CB">
            <w:pPr>
              <w:rPr>
                <w:lang w:val="en-CA"/>
              </w:rPr>
            </w:pPr>
          </w:p>
        </w:tc>
      </w:tr>
      <w:tr w:rsidR="00EC409B" w:rsidRPr="00D45B3D" w14:paraId="1474BCE7" w14:textId="77777777" w:rsidTr="00CC2FAC">
        <w:trPr>
          <w:trHeight w:val="194"/>
          <w:jc w:val="center"/>
        </w:trPr>
        <w:tc>
          <w:tcPr>
            <w:tcW w:w="5670" w:type="dxa"/>
            <w:shd w:val="clear" w:color="auto" w:fill="auto"/>
          </w:tcPr>
          <w:p w14:paraId="4E6B20DE" w14:textId="22BACC23" w:rsidR="009830CB" w:rsidRPr="00D45B3D" w:rsidRDefault="009830CB" w:rsidP="00755BF9">
            <w:pPr>
              <w:spacing w:after="0"/>
              <w:contextualSpacing/>
              <w:rPr>
                <w:rFonts w:eastAsia="Calibri"/>
                <w:sz w:val="16"/>
                <w:szCs w:val="16"/>
                <w:lang w:val="en-CA"/>
              </w:rPr>
            </w:pPr>
            <w:r w:rsidRPr="00D45B3D">
              <w:rPr>
                <w:rFonts w:asciiTheme="minorHAnsi" w:hAnsiTheme="minorHAnsi" w:cstheme="minorHAnsi"/>
                <w:sz w:val="16"/>
                <w:szCs w:val="16"/>
              </w:rPr>
              <w:t>Develop the SESA</w:t>
            </w:r>
          </w:p>
        </w:tc>
        <w:tc>
          <w:tcPr>
            <w:tcW w:w="340" w:type="dxa"/>
            <w:shd w:val="clear" w:color="auto" w:fill="D0CECE" w:themeFill="background2" w:themeFillShade="E6"/>
          </w:tcPr>
          <w:p w14:paraId="7ED8C8C0" w14:textId="77777777" w:rsidR="009830CB" w:rsidRPr="00D45B3D" w:rsidRDefault="009830CB" w:rsidP="009830CB">
            <w:pPr>
              <w:rPr>
                <w:lang w:val="en-CA"/>
              </w:rPr>
            </w:pPr>
          </w:p>
        </w:tc>
        <w:tc>
          <w:tcPr>
            <w:tcW w:w="340" w:type="dxa"/>
            <w:shd w:val="clear" w:color="auto" w:fill="D0CECE" w:themeFill="background2" w:themeFillShade="E6"/>
          </w:tcPr>
          <w:p w14:paraId="5D9A615D" w14:textId="77777777" w:rsidR="009830CB" w:rsidRPr="00D45B3D" w:rsidRDefault="009830CB" w:rsidP="009830CB">
            <w:pPr>
              <w:rPr>
                <w:lang w:val="en-CA"/>
              </w:rPr>
            </w:pPr>
          </w:p>
        </w:tc>
        <w:tc>
          <w:tcPr>
            <w:tcW w:w="340" w:type="dxa"/>
            <w:shd w:val="clear" w:color="auto" w:fill="FFFFFF" w:themeFill="background1"/>
          </w:tcPr>
          <w:p w14:paraId="0696111E" w14:textId="77777777" w:rsidR="009830CB" w:rsidRPr="00D45B3D" w:rsidRDefault="009830CB" w:rsidP="009830CB">
            <w:pPr>
              <w:rPr>
                <w:lang w:val="en-CA"/>
              </w:rPr>
            </w:pPr>
          </w:p>
        </w:tc>
        <w:tc>
          <w:tcPr>
            <w:tcW w:w="340" w:type="dxa"/>
            <w:shd w:val="clear" w:color="auto" w:fill="FFFFFF" w:themeFill="background1"/>
          </w:tcPr>
          <w:p w14:paraId="461B67B1" w14:textId="77777777" w:rsidR="009830CB" w:rsidRPr="00D45B3D" w:rsidRDefault="009830CB" w:rsidP="009830CB">
            <w:pPr>
              <w:rPr>
                <w:lang w:val="en-CA"/>
              </w:rPr>
            </w:pPr>
          </w:p>
        </w:tc>
        <w:tc>
          <w:tcPr>
            <w:tcW w:w="340" w:type="dxa"/>
            <w:shd w:val="clear" w:color="auto" w:fill="FFFFFF" w:themeFill="background1"/>
          </w:tcPr>
          <w:p w14:paraId="2465C932" w14:textId="77777777" w:rsidR="009830CB" w:rsidRPr="00D45B3D" w:rsidRDefault="009830CB" w:rsidP="009830CB">
            <w:pPr>
              <w:rPr>
                <w:lang w:val="en-CA"/>
              </w:rPr>
            </w:pPr>
          </w:p>
        </w:tc>
        <w:tc>
          <w:tcPr>
            <w:tcW w:w="340" w:type="dxa"/>
            <w:shd w:val="clear" w:color="auto" w:fill="FFFFFF" w:themeFill="background1"/>
          </w:tcPr>
          <w:p w14:paraId="6FE4391C" w14:textId="77777777" w:rsidR="009830CB" w:rsidRPr="00D45B3D" w:rsidRDefault="009830CB" w:rsidP="009830CB">
            <w:pPr>
              <w:rPr>
                <w:lang w:val="en-CA"/>
              </w:rPr>
            </w:pPr>
          </w:p>
        </w:tc>
        <w:tc>
          <w:tcPr>
            <w:tcW w:w="340" w:type="dxa"/>
            <w:shd w:val="clear" w:color="auto" w:fill="FFFFFF" w:themeFill="background1"/>
          </w:tcPr>
          <w:p w14:paraId="216FDEFC" w14:textId="77777777" w:rsidR="009830CB" w:rsidRPr="00D45B3D" w:rsidRDefault="009830CB" w:rsidP="009830CB">
            <w:pPr>
              <w:rPr>
                <w:lang w:val="en-CA"/>
              </w:rPr>
            </w:pPr>
          </w:p>
        </w:tc>
        <w:tc>
          <w:tcPr>
            <w:tcW w:w="340" w:type="dxa"/>
            <w:shd w:val="clear" w:color="auto" w:fill="FFFFFF" w:themeFill="background1"/>
          </w:tcPr>
          <w:p w14:paraId="5BCA2E1B" w14:textId="77777777" w:rsidR="009830CB" w:rsidRPr="00D45B3D" w:rsidRDefault="009830CB" w:rsidP="009830CB">
            <w:pPr>
              <w:rPr>
                <w:lang w:val="en-CA"/>
              </w:rPr>
            </w:pPr>
          </w:p>
        </w:tc>
        <w:tc>
          <w:tcPr>
            <w:tcW w:w="340" w:type="dxa"/>
            <w:shd w:val="clear" w:color="auto" w:fill="FFFFFF" w:themeFill="background1"/>
          </w:tcPr>
          <w:p w14:paraId="7657A35D" w14:textId="77777777" w:rsidR="009830CB" w:rsidRPr="00D45B3D" w:rsidRDefault="009830CB" w:rsidP="009830CB">
            <w:pPr>
              <w:rPr>
                <w:lang w:val="en-CA"/>
              </w:rPr>
            </w:pPr>
          </w:p>
        </w:tc>
        <w:tc>
          <w:tcPr>
            <w:tcW w:w="340" w:type="dxa"/>
            <w:shd w:val="clear" w:color="auto" w:fill="FFFFFF" w:themeFill="background1"/>
          </w:tcPr>
          <w:p w14:paraId="1B2313A9" w14:textId="77777777" w:rsidR="009830CB" w:rsidRPr="00D45B3D" w:rsidRDefault="009830CB" w:rsidP="009830CB">
            <w:pPr>
              <w:rPr>
                <w:lang w:val="en-CA"/>
              </w:rPr>
            </w:pPr>
          </w:p>
        </w:tc>
        <w:tc>
          <w:tcPr>
            <w:tcW w:w="340" w:type="dxa"/>
            <w:shd w:val="clear" w:color="auto" w:fill="FFFFFF" w:themeFill="background1"/>
          </w:tcPr>
          <w:p w14:paraId="2BB5EB06" w14:textId="77777777" w:rsidR="009830CB" w:rsidRPr="00D45B3D" w:rsidRDefault="009830CB" w:rsidP="009830CB">
            <w:pPr>
              <w:rPr>
                <w:lang w:val="en-CA"/>
              </w:rPr>
            </w:pPr>
          </w:p>
        </w:tc>
        <w:tc>
          <w:tcPr>
            <w:tcW w:w="340" w:type="dxa"/>
            <w:shd w:val="clear" w:color="auto" w:fill="FFFFFF" w:themeFill="background1"/>
          </w:tcPr>
          <w:p w14:paraId="7D061A98" w14:textId="77777777" w:rsidR="009830CB" w:rsidRPr="00D45B3D" w:rsidRDefault="009830CB" w:rsidP="009830CB">
            <w:pPr>
              <w:rPr>
                <w:lang w:val="en-CA"/>
              </w:rPr>
            </w:pPr>
          </w:p>
        </w:tc>
        <w:tc>
          <w:tcPr>
            <w:tcW w:w="340" w:type="dxa"/>
            <w:shd w:val="clear" w:color="auto" w:fill="FFFFFF" w:themeFill="background1"/>
          </w:tcPr>
          <w:p w14:paraId="6E373C1E" w14:textId="77777777" w:rsidR="009830CB" w:rsidRPr="00D45B3D" w:rsidRDefault="009830CB" w:rsidP="009830CB">
            <w:pPr>
              <w:rPr>
                <w:lang w:val="en-CA"/>
              </w:rPr>
            </w:pPr>
          </w:p>
        </w:tc>
        <w:tc>
          <w:tcPr>
            <w:tcW w:w="340" w:type="dxa"/>
            <w:shd w:val="clear" w:color="auto" w:fill="FFFFFF" w:themeFill="background1"/>
          </w:tcPr>
          <w:p w14:paraId="580A3153" w14:textId="77777777" w:rsidR="009830CB" w:rsidRPr="00D45B3D" w:rsidRDefault="009830CB" w:rsidP="009830CB">
            <w:pPr>
              <w:rPr>
                <w:lang w:val="en-CA"/>
              </w:rPr>
            </w:pPr>
          </w:p>
        </w:tc>
        <w:tc>
          <w:tcPr>
            <w:tcW w:w="340" w:type="dxa"/>
            <w:shd w:val="clear" w:color="auto" w:fill="FFFFFF" w:themeFill="background1"/>
          </w:tcPr>
          <w:p w14:paraId="1A1322AF" w14:textId="77777777" w:rsidR="009830CB" w:rsidRPr="00D45B3D" w:rsidRDefault="009830CB" w:rsidP="009830CB">
            <w:pPr>
              <w:rPr>
                <w:lang w:val="en-CA"/>
              </w:rPr>
            </w:pPr>
          </w:p>
        </w:tc>
        <w:tc>
          <w:tcPr>
            <w:tcW w:w="340" w:type="dxa"/>
            <w:shd w:val="clear" w:color="auto" w:fill="FFFFFF" w:themeFill="background1"/>
          </w:tcPr>
          <w:p w14:paraId="6B264BC5" w14:textId="77777777" w:rsidR="009830CB" w:rsidRPr="00D45B3D" w:rsidRDefault="009830CB" w:rsidP="009830CB">
            <w:pPr>
              <w:rPr>
                <w:lang w:val="en-CA"/>
              </w:rPr>
            </w:pPr>
          </w:p>
        </w:tc>
        <w:tc>
          <w:tcPr>
            <w:tcW w:w="340" w:type="dxa"/>
            <w:shd w:val="clear" w:color="auto" w:fill="FFFFFF" w:themeFill="background1"/>
          </w:tcPr>
          <w:p w14:paraId="3735A73F" w14:textId="77777777" w:rsidR="009830CB" w:rsidRPr="00D45B3D" w:rsidRDefault="009830CB" w:rsidP="009830CB">
            <w:pPr>
              <w:rPr>
                <w:lang w:val="en-CA"/>
              </w:rPr>
            </w:pPr>
          </w:p>
        </w:tc>
        <w:tc>
          <w:tcPr>
            <w:tcW w:w="340" w:type="dxa"/>
            <w:shd w:val="clear" w:color="auto" w:fill="FFFFFF" w:themeFill="background1"/>
          </w:tcPr>
          <w:p w14:paraId="205DFE45" w14:textId="77777777" w:rsidR="009830CB" w:rsidRPr="00D45B3D" w:rsidRDefault="009830CB" w:rsidP="009830CB">
            <w:pPr>
              <w:rPr>
                <w:lang w:val="en-CA"/>
              </w:rPr>
            </w:pPr>
          </w:p>
        </w:tc>
        <w:tc>
          <w:tcPr>
            <w:tcW w:w="340" w:type="dxa"/>
            <w:shd w:val="clear" w:color="auto" w:fill="FFFFFF" w:themeFill="background1"/>
          </w:tcPr>
          <w:p w14:paraId="50F06380" w14:textId="77777777" w:rsidR="009830CB" w:rsidRPr="00D45B3D" w:rsidRDefault="009830CB" w:rsidP="009830CB">
            <w:pPr>
              <w:rPr>
                <w:lang w:val="en-CA"/>
              </w:rPr>
            </w:pPr>
          </w:p>
        </w:tc>
        <w:tc>
          <w:tcPr>
            <w:tcW w:w="340" w:type="dxa"/>
            <w:shd w:val="clear" w:color="auto" w:fill="FFFFFF" w:themeFill="background1"/>
          </w:tcPr>
          <w:p w14:paraId="3125F573" w14:textId="77777777" w:rsidR="009830CB" w:rsidRPr="00D45B3D" w:rsidRDefault="009830CB" w:rsidP="009830CB">
            <w:pPr>
              <w:rPr>
                <w:lang w:val="en-CA"/>
              </w:rPr>
            </w:pPr>
          </w:p>
        </w:tc>
        <w:tc>
          <w:tcPr>
            <w:tcW w:w="340" w:type="dxa"/>
            <w:shd w:val="clear" w:color="auto" w:fill="FFFFFF" w:themeFill="background1"/>
          </w:tcPr>
          <w:p w14:paraId="18460F5A" w14:textId="77777777" w:rsidR="009830CB" w:rsidRPr="00D45B3D" w:rsidRDefault="009830CB" w:rsidP="009830CB">
            <w:pPr>
              <w:rPr>
                <w:lang w:val="en-CA"/>
              </w:rPr>
            </w:pPr>
          </w:p>
        </w:tc>
        <w:tc>
          <w:tcPr>
            <w:tcW w:w="340" w:type="dxa"/>
            <w:shd w:val="clear" w:color="auto" w:fill="FFFFFF" w:themeFill="background1"/>
          </w:tcPr>
          <w:p w14:paraId="52C7A99D" w14:textId="77777777" w:rsidR="009830CB" w:rsidRPr="00D45B3D" w:rsidRDefault="009830CB" w:rsidP="009830CB">
            <w:pPr>
              <w:rPr>
                <w:lang w:val="en-CA"/>
              </w:rPr>
            </w:pPr>
          </w:p>
        </w:tc>
        <w:tc>
          <w:tcPr>
            <w:tcW w:w="340" w:type="dxa"/>
            <w:shd w:val="clear" w:color="auto" w:fill="FFFFFF" w:themeFill="background1"/>
          </w:tcPr>
          <w:p w14:paraId="50C2D589" w14:textId="77777777" w:rsidR="009830CB" w:rsidRPr="00D45B3D" w:rsidRDefault="009830CB" w:rsidP="009830CB">
            <w:pPr>
              <w:rPr>
                <w:lang w:val="en-CA"/>
              </w:rPr>
            </w:pPr>
          </w:p>
        </w:tc>
        <w:tc>
          <w:tcPr>
            <w:tcW w:w="340" w:type="dxa"/>
            <w:shd w:val="clear" w:color="auto" w:fill="FFFFFF" w:themeFill="background1"/>
          </w:tcPr>
          <w:p w14:paraId="5D86B904" w14:textId="77777777" w:rsidR="009830CB" w:rsidRPr="00D45B3D" w:rsidRDefault="009830CB" w:rsidP="009830CB">
            <w:pPr>
              <w:rPr>
                <w:lang w:val="en-CA"/>
              </w:rPr>
            </w:pPr>
          </w:p>
        </w:tc>
      </w:tr>
      <w:tr w:rsidR="00EC409B" w:rsidRPr="00D45B3D" w14:paraId="548331AF" w14:textId="77777777" w:rsidTr="00CC2FAC">
        <w:trPr>
          <w:jc w:val="center"/>
        </w:trPr>
        <w:tc>
          <w:tcPr>
            <w:tcW w:w="5670" w:type="dxa"/>
            <w:shd w:val="clear" w:color="auto" w:fill="auto"/>
          </w:tcPr>
          <w:p w14:paraId="0A0DE775" w14:textId="00E444C3" w:rsidR="009830CB" w:rsidRPr="00D45B3D" w:rsidRDefault="009830CB" w:rsidP="00755BF9">
            <w:pPr>
              <w:spacing w:after="0"/>
              <w:contextualSpacing/>
              <w:rPr>
                <w:rFonts w:eastAsia="Calibri"/>
                <w:sz w:val="16"/>
                <w:szCs w:val="16"/>
                <w:lang w:val="en-CA"/>
              </w:rPr>
            </w:pPr>
            <w:r w:rsidRPr="00D45B3D">
              <w:rPr>
                <w:rFonts w:asciiTheme="minorHAnsi" w:hAnsiTheme="minorHAnsi" w:cstheme="minorHAnsi"/>
                <w:sz w:val="16"/>
                <w:szCs w:val="16"/>
              </w:rPr>
              <w:t>Develop the SESP site and activity specific</w:t>
            </w:r>
          </w:p>
        </w:tc>
        <w:tc>
          <w:tcPr>
            <w:tcW w:w="340" w:type="dxa"/>
            <w:shd w:val="clear" w:color="auto" w:fill="D0CECE" w:themeFill="background2" w:themeFillShade="E6"/>
          </w:tcPr>
          <w:p w14:paraId="527524E1" w14:textId="77777777" w:rsidR="009830CB" w:rsidRPr="00D45B3D" w:rsidRDefault="009830CB" w:rsidP="009830CB">
            <w:pPr>
              <w:rPr>
                <w:lang w:val="en-CA"/>
              </w:rPr>
            </w:pPr>
          </w:p>
        </w:tc>
        <w:tc>
          <w:tcPr>
            <w:tcW w:w="340" w:type="dxa"/>
            <w:shd w:val="clear" w:color="auto" w:fill="D0CECE" w:themeFill="background2" w:themeFillShade="E6"/>
          </w:tcPr>
          <w:p w14:paraId="7314C079" w14:textId="77777777" w:rsidR="009830CB" w:rsidRPr="00D45B3D" w:rsidRDefault="009830CB" w:rsidP="009830CB">
            <w:pPr>
              <w:rPr>
                <w:lang w:val="en-CA"/>
              </w:rPr>
            </w:pPr>
          </w:p>
        </w:tc>
        <w:tc>
          <w:tcPr>
            <w:tcW w:w="340" w:type="dxa"/>
            <w:shd w:val="clear" w:color="auto" w:fill="FFFFFF" w:themeFill="background1"/>
          </w:tcPr>
          <w:p w14:paraId="7E28E202" w14:textId="77777777" w:rsidR="009830CB" w:rsidRPr="00D45B3D" w:rsidRDefault="009830CB" w:rsidP="009830CB">
            <w:pPr>
              <w:rPr>
                <w:lang w:val="en-CA"/>
              </w:rPr>
            </w:pPr>
          </w:p>
        </w:tc>
        <w:tc>
          <w:tcPr>
            <w:tcW w:w="340" w:type="dxa"/>
            <w:shd w:val="clear" w:color="auto" w:fill="FFFFFF" w:themeFill="background1"/>
          </w:tcPr>
          <w:p w14:paraId="017350E7" w14:textId="77777777" w:rsidR="009830CB" w:rsidRPr="00D45B3D" w:rsidRDefault="009830CB" w:rsidP="009830CB">
            <w:pPr>
              <w:rPr>
                <w:lang w:val="en-CA"/>
              </w:rPr>
            </w:pPr>
          </w:p>
        </w:tc>
        <w:tc>
          <w:tcPr>
            <w:tcW w:w="340" w:type="dxa"/>
            <w:shd w:val="clear" w:color="auto" w:fill="FFFFFF" w:themeFill="background1"/>
          </w:tcPr>
          <w:p w14:paraId="3FF3703B" w14:textId="77777777" w:rsidR="009830CB" w:rsidRPr="00D45B3D" w:rsidRDefault="009830CB" w:rsidP="009830CB">
            <w:pPr>
              <w:rPr>
                <w:lang w:val="en-CA"/>
              </w:rPr>
            </w:pPr>
          </w:p>
        </w:tc>
        <w:tc>
          <w:tcPr>
            <w:tcW w:w="340" w:type="dxa"/>
            <w:shd w:val="clear" w:color="auto" w:fill="FFFFFF" w:themeFill="background1"/>
          </w:tcPr>
          <w:p w14:paraId="792557C1" w14:textId="77777777" w:rsidR="009830CB" w:rsidRPr="00D45B3D" w:rsidRDefault="009830CB" w:rsidP="009830CB">
            <w:pPr>
              <w:rPr>
                <w:lang w:val="en-CA"/>
              </w:rPr>
            </w:pPr>
          </w:p>
        </w:tc>
        <w:tc>
          <w:tcPr>
            <w:tcW w:w="340" w:type="dxa"/>
            <w:shd w:val="clear" w:color="auto" w:fill="FFFFFF" w:themeFill="background1"/>
          </w:tcPr>
          <w:p w14:paraId="28A487FE" w14:textId="77777777" w:rsidR="009830CB" w:rsidRPr="00D45B3D" w:rsidRDefault="009830CB" w:rsidP="009830CB">
            <w:pPr>
              <w:rPr>
                <w:lang w:val="en-CA"/>
              </w:rPr>
            </w:pPr>
          </w:p>
        </w:tc>
        <w:tc>
          <w:tcPr>
            <w:tcW w:w="340" w:type="dxa"/>
            <w:shd w:val="clear" w:color="auto" w:fill="FFFFFF" w:themeFill="background1"/>
          </w:tcPr>
          <w:p w14:paraId="4B01DEEF" w14:textId="77777777" w:rsidR="009830CB" w:rsidRPr="00D45B3D" w:rsidRDefault="009830CB" w:rsidP="009830CB">
            <w:pPr>
              <w:rPr>
                <w:lang w:val="en-CA"/>
              </w:rPr>
            </w:pPr>
          </w:p>
        </w:tc>
        <w:tc>
          <w:tcPr>
            <w:tcW w:w="340" w:type="dxa"/>
            <w:shd w:val="clear" w:color="auto" w:fill="FFFFFF" w:themeFill="background1"/>
          </w:tcPr>
          <w:p w14:paraId="21D2517D" w14:textId="77777777" w:rsidR="009830CB" w:rsidRPr="00D45B3D" w:rsidRDefault="009830CB" w:rsidP="009830CB">
            <w:pPr>
              <w:rPr>
                <w:lang w:val="en-CA"/>
              </w:rPr>
            </w:pPr>
          </w:p>
        </w:tc>
        <w:tc>
          <w:tcPr>
            <w:tcW w:w="340" w:type="dxa"/>
            <w:shd w:val="clear" w:color="auto" w:fill="FFFFFF" w:themeFill="background1"/>
          </w:tcPr>
          <w:p w14:paraId="1C8CFA02" w14:textId="77777777" w:rsidR="009830CB" w:rsidRPr="00D45B3D" w:rsidRDefault="009830CB" w:rsidP="009830CB">
            <w:pPr>
              <w:rPr>
                <w:lang w:val="en-CA"/>
              </w:rPr>
            </w:pPr>
          </w:p>
        </w:tc>
        <w:tc>
          <w:tcPr>
            <w:tcW w:w="340" w:type="dxa"/>
            <w:shd w:val="clear" w:color="auto" w:fill="FFFFFF" w:themeFill="background1"/>
          </w:tcPr>
          <w:p w14:paraId="675FF125" w14:textId="77777777" w:rsidR="009830CB" w:rsidRPr="00D45B3D" w:rsidRDefault="009830CB" w:rsidP="009830CB">
            <w:pPr>
              <w:rPr>
                <w:lang w:val="en-CA"/>
              </w:rPr>
            </w:pPr>
          </w:p>
        </w:tc>
        <w:tc>
          <w:tcPr>
            <w:tcW w:w="340" w:type="dxa"/>
            <w:shd w:val="clear" w:color="auto" w:fill="FFFFFF" w:themeFill="background1"/>
          </w:tcPr>
          <w:p w14:paraId="66B31126" w14:textId="77777777" w:rsidR="009830CB" w:rsidRPr="00D45B3D" w:rsidRDefault="009830CB" w:rsidP="009830CB">
            <w:pPr>
              <w:rPr>
                <w:lang w:val="en-CA"/>
              </w:rPr>
            </w:pPr>
          </w:p>
        </w:tc>
        <w:tc>
          <w:tcPr>
            <w:tcW w:w="340" w:type="dxa"/>
            <w:shd w:val="clear" w:color="auto" w:fill="FFFFFF" w:themeFill="background1"/>
          </w:tcPr>
          <w:p w14:paraId="7EA5D08B" w14:textId="77777777" w:rsidR="009830CB" w:rsidRPr="00D45B3D" w:rsidRDefault="009830CB" w:rsidP="009830CB">
            <w:pPr>
              <w:rPr>
                <w:lang w:val="en-CA"/>
              </w:rPr>
            </w:pPr>
          </w:p>
        </w:tc>
        <w:tc>
          <w:tcPr>
            <w:tcW w:w="340" w:type="dxa"/>
            <w:shd w:val="clear" w:color="auto" w:fill="FFFFFF" w:themeFill="background1"/>
          </w:tcPr>
          <w:p w14:paraId="3A3E5A5C" w14:textId="77777777" w:rsidR="009830CB" w:rsidRPr="00D45B3D" w:rsidRDefault="009830CB" w:rsidP="009830CB">
            <w:pPr>
              <w:rPr>
                <w:lang w:val="en-CA"/>
              </w:rPr>
            </w:pPr>
          </w:p>
        </w:tc>
        <w:tc>
          <w:tcPr>
            <w:tcW w:w="340" w:type="dxa"/>
            <w:shd w:val="clear" w:color="auto" w:fill="FFFFFF" w:themeFill="background1"/>
          </w:tcPr>
          <w:p w14:paraId="051D4AA0" w14:textId="77777777" w:rsidR="009830CB" w:rsidRPr="00D45B3D" w:rsidRDefault="009830CB" w:rsidP="009830CB">
            <w:pPr>
              <w:rPr>
                <w:lang w:val="en-CA"/>
              </w:rPr>
            </w:pPr>
          </w:p>
        </w:tc>
        <w:tc>
          <w:tcPr>
            <w:tcW w:w="340" w:type="dxa"/>
            <w:shd w:val="clear" w:color="auto" w:fill="FFFFFF" w:themeFill="background1"/>
          </w:tcPr>
          <w:p w14:paraId="4FC48F60" w14:textId="77777777" w:rsidR="009830CB" w:rsidRPr="00D45B3D" w:rsidRDefault="009830CB" w:rsidP="009830CB">
            <w:pPr>
              <w:rPr>
                <w:lang w:val="en-CA"/>
              </w:rPr>
            </w:pPr>
          </w:p>
        </w:tc>
        <w:tc>
          <w:tcPr>
            <w:tcW w:w="340" w:type="dxa"/>
            <w:shd w:val="clear" w:color="auto" w:fill="FFFFFF" w:themeFill="background1"/>
          </w:tcPr>
          <w:p w14:paraId="42BD3901" w14:textId="77777777" w:rsidR="009830CB" w:rsidRPr="00D45B3D" w:rsidRDefault="009830CB" w:rsidP="009830CB">
            <w:pPr>
              <w:rPr>
                <w:lang w:val="en-CA"/>
              </w:rPr>
            </w:pPr>
          </w:p>
        </w:tc>
        <w:tc>
          <w:tcPr>
            <w:tcW w:w="340" w:type="dxa"/>
            <w:shd w:val="clear" w:color="auto" w:fill="FFFFFF" w:themeFill="background1"/>
          </w:tcPr>
          <w:p w14:paraId="7040C11D" w14:textId="77777777" w:rsidR="009830CB" w:rsidRPr="00D45B3D" w:rsidRDefault="009830CB" w:rsidP="009830CB">
            <w:pPr>
              <w:rPr>
                <w:lang w:val="en-CA"/>
              </w:rPr>
            </w:pPr>
          </w:p>
        </w:tc>
        <w:tc>
          <w:tcPr>
            <w:tcW w:w="340" w:type="dxa"/>
            <w:shd w:val="clear" w:color="auto" w:fill="FFFFFF" w:themeFill="background1"/>
          </w:tcPr>
          <w:p w14:paraId="7F3D68FF" w14:textId="77777777" w:rsidR="009830CB" w:rsidRPr="00D45B3D" w:rsidRDefault="009830CB" w:rsidP="009830CB">
            <w:pPr>
              <w:rPr>
                <w:lang w:val="en-CA"/>
              </w:rPr>
            </w:pPr>
          </w:p>
        </w:tc>
        <w:tc>
          <w:tcPr>
            <w:tcW w:w="340" w:type="dxa"/>
            <w:shd w:val="clear" w:color="auto" w:fill="FFFFFF" w:themeFill="background1"/>
          </w:tcPr>
          <w:p w14:paraId="71F1FB64" w14:textId="77777777" w:rsidR="009830CB" w:rsidRPr="00D45B3D" w:rsidRDefault="009830CB" w:rsidP="009830CB">
            <w:pPr>
              <w:rPr>
                <w:lang w:val="en-CA"/>
              </w:rPr>
            </w:pPr>
          </w:p>
        </w:tc>
        <w:tc>
          <w:tcPr>
            <w:tcW w:w="340" w:type="dxa"/>
            <w:shd w:val="clear" w:color="auto" w:fill="FFFFFF" w:themeFill="background1"/>
          </w:tcPr>
          <w:p w14:paraId="6B4615CD" w14:textId="77777777" w:rsidR="009830CB" w:rsidRPr="00D45B3D" w:rsidRDefault="009830CB" w:rsidP="009830CB">
            <w:pPr>
              <w:rPr>
                <w:lang w:val="en-CA"/>
              </w:rPr>
            </w:pPr>
          </w:p>
        </w:tc>
        <w:tc>
          <w:tcPr>
            <w:tcW w:w="340" w:type="dxa"/>
            <w:shd w:val="clear" w:color="auto" w:fill="FFFFFF" w:themeFill="background1"/>
          </w:tcPr>
          <w:p w14:paraId="7ABF37A7" w14:textId="77777777" w:rsidR="009830CB" w:rsidRPr="00D45B3D" w:rsidRDefault="009830CB" w:rsidP="009830CB">
            <w:pPr>
              <w:rPr>
                <w:lang w:val="en-CA"/>
              </w:rPr>
            </w:pPr>
          </w:p>
        </w:tc>
        <w:tc>
          <w:tcPr>
            <w:tcW w:w="340" w:type="dxa"/>
            <w:shd w:val="clear" w:color="auto" w:fill="FFFFFF" w:themeFill="background1"/>
          </w:tcPr>
          <w:p w14:paraId="14C70E50" w14:textId="77777777" w:rsidR="009830CB" w:rsidRPr="00D45B3D" w:rsidRDefault="009830CB" w:rsidP="009830CB">
            <w:pPr>
              <w:rPr>
                <w:lang w:val="en-CA"/>
              </w:rPr>
            </w:pPr>
          </w:p>
        </w:tc>
        <w:tc>
          <w:tcPr>
            <w:tcW w:w="340" w:type="dxa"/>
            <w:shd w:val="clear" w:color="auto" w:fill="FFFFFF" w:themeFill="background1"/>
          </w:tcPr>
          <w:p w14:paraId="337CC44B" w14:textId="77777777" w:rsidR="009830CB" w:rsidRPr="00D45B3D" w:rsidRDefault="009830CB" w:rsidP="009830CB">
            <w:pPr>
              <w:rPr>
                <w:lang w:val="en-CA"/>
              </w:rPr>
            </w:pPr>
          </w:p>
        </w:tc>
      </w:tr>
      <w:tr w:rsidR="00EC409B" w:rsidRPr="00D45B3D" w14:paraId="4319CE9D" w14:textId="77777777" w:rsidTr="009830CB">
        <w:trPr>
          <w:jc w:val="center"/>
        </w:trPr>
        <w:tc>
          <w:tcPr>
            <w:tcW w:w="5670" w:type="dxa"/>
            <w:shd w:val="clear" w:color="auto" w:fill="auto"/>
          </w:tcPr>
          <w:p w14:paraId="6423379A" w14:textId="290B069E" w:rsidR="009830CB" w:rsidRPr="00D45B3D" w:rsidRDefault="009830CB" w:rsidP="009830CB">
            <w:pPr>
              <w:spacing w:after="0"/>
              <w:contextualSpacing/>
              <w:rPr>
                <w:rFonts w:asciiTheme="minorHAnsi" w:hAnsiTheme="minorHAnsi" w:cstheme="minorHAnsi"/>
                <w:sz w:val="16"/>
                <w:szCs w:val="16"/>
                <w:lang w:val="en-GB"/>
              </w:rPr>
            </w:pPr>
            <w:r w:rsidRPr="00D45B3D">
              <w:rPr>
                <w:rFonts w:asciiTheme="minorHAnsi" w:hAnsiTheme="minorHAnsi" w:cstheme="minorHAnsi"/>
                <w:sz w:val="16"/>
                <w:szCs w:val="16"/>
              </w:rPr>
              <w:t>Develop the Livelihood Action Plan (LAP) (if needed)</w:t>
            </w:r>
          </w:p>
        </w:tc>
        <w:tc>
          <w:tcPr>
            <w:tcW w:w="340" w:type="dxa"/>
            <w:shd w:val="clear" w:color="auto" w:fill="D0CECE" w:themeFill="background2" w:themeFillShade="E6"/>
          </w:tcPr>
          <w:p w14:paraId="361906AF" w14:textId="77777777" w:rsidR="009830CB" w:rsidRPr="00D45B3D" w:rsidRDefault="009830CB" w:rsidP="009830CB">
            <w:pPr>
              <w:rPr>
                <w:lang w:val="en-CA"/>
              </w:rPr>
            </w:pPr>
          </w:p>
        </w:tc>
        <w:tc>
          <w:tcPr>
            <w:tcW w:w="340" w:type="dxa"/>
            <w:shd w:val="clear" w:color="auto" w:fill="D0CECE" w:themeFill="background2" w:themeFillShade="E6"/>
          </w:tcPr>
          <w:p w14:paraId="79222516" w14:textId="77777777" w:rsidR="009830CB" w:rsidRPr="00D45B3D" w:rsidRDefault="009830CB" w:rsidP="009830CB">
            <w:pPr>
              <w:rPr>
                <w:lang w:val="en-CA"/>
              </w:rPr>
            </w:pPr>
          </w:p>
        </w:tc>
        <w:tc>
          <w:tcPr>
            <w:tcW w:w="340" w:type="dxa"/>
            <w:shd w:val="clear" w:color="auto" w:fill="FFFFFF" w:themeFill="background1"/>
          </w:tcPr>
          <w:p w14:paraId="2DF5C211" w14:textId="77777777" w:rsidR="009830CB" w:rsidRPr="00D45B3D" w:rsidRDefault="009830CB" w:rsidP="009830CB">
            <w:pPr>
              <w:rPr>
                <w:lang w:val="en-CA"/>
              </w:rPr>
            </w:pPr>
          </w:p>
        </w:tc>
        <w:tc>
          <w:tcPr>
            <w:tcW w:w="340" w:type="dxa"/>
            <w:shd w:val="clear" w:color="auto" w:fill="FFFFFF" w:themeFill="background1"/>
          </w:tcPr>
          <w:p w14:paraId="4822D06E" w14:textId="77777777" w:rsidR="009830CB" w:rsidRPr="00D45B3D" w:rsidRDefault="009830CB" w:rsidP="009830CB">
            <w:pPr>
              <w:rPr>
                <w:lang w:val="en-CA"/>
              </w:rPr>
            </w:pPr>
          </w:p>
        </w:tc>
        <w:tc>
          <w:tcPr>
            <w:tcW w:w="340" w:type="dxa"/>
            <w:shd w:val="clear" w:color="auto" w:fill="FFFFFF" w:themeFill="background1"/>
          </w:tcPr>
          <w:p w14:paraId="7AA2E606" w14:textId="77777777" w:rsidR="009830CB" w:rsidRPr="00D45B3D" w:rsidRDefault="009830CB" w:rsidP="009830CB">
            <w:pPr>
              <w:rPr>
                <w:lang w:val="en-CA"/>
              </w:rPr>
            </w:pPr>
          </w:p>
        </w:tc>
        <w:tc>
          <w:tcPr>
            <w:tcW w:w="340" w:type="dxa"/>
            <w:shd w:val="clear" w:color="auto" w:fill="FFFFFF" w:themeFill="background1"/>
          </w:tcPr>
          <w:p w14:paraId="565F5AC1" w14:textId="77777777" w:rsidR="009830CB" w:rsidRPr="00D45B3D" w:rsidRDefault="009830CB" w:rsidP="009830CB">
            <w:pPr>
              <w:rPr>
                <w:lang w:val="en-CA"/>
              </w:rPr>
            </w:pPr>
          </w:p>
        </w:tc>
        <w:tc>
          <w:tcPr>
            <w:tcW w:w="340" w:type="dxa"/>
            <w:shd w:val="clear" w:color="auto" w:fill="FFFFFF" w:themeFill="background1"/>
          </w:tcPr>
          <w:p w14:paraId="23299194" w14:textId="77777777" w:rsidR="009830CB" w:rsidRPr="00D45B3D" w:rsidRDefault="009830CB" w:rsidP="009830CB">
            <w:pPr>
              <w:rPr>
                <w:lang w:val="en-CA"/>
              </w:rPr>
            </w:pPr>
          </w:p>
        </w:tc>
        <w:tc>
          <w:tcPr>
            <w:tcW w:w="340" w:type="dxa"/>
            <w:shd w:val="clear" w:color="auto" w:fill="FFFFFF" w:themeFill="background1"/>
          </w:tcPr>
          <w:p w14:paraId="0CC2B116" w14:textId="77777777" w:rsidR="009830CB" w:rsidRPr="00D45B3D" w:rsidRDefault="009830CB" w:rsidP="009830CB">
            <w:pPr>
              <w:rPr>
                <w:lang w:val="en-CA"/>
              </w:rPr>
            </w:pPr>
          </w:p>
        </w:tc>
        <w:tc>
          <w:tcPr>
            <w:tcW w:w="340" w:type="dxa"/>
            <w:shd w:val="clear" w:color="auto" w:fill="FFFFFF" w:themeFill="background1"/>
          </w:tcPr>
          <w:p w14:paraId="24105610" w14:textId="77777777" w:rsidR="009830CB" w:rsidRPr="00D45B3D" w:rsidRDefault="009830CB" w:rsidP="009830CB">
            <w:pPr>
              <w:rPr>
                <w:lang w:val="en-CA"/>
              </w:rPr>
            </w:pPr>
          </w:p>
        </w:tc>
        <w:tc>
          <w:tcPr>
            <w:tcW w:w="340" w:type="dxa"/>
            <w:shd w:val="clear" w:color="auto" w:fill="FFFFFF" w:themeFill="background1"/>
          </w:tcPr>
          <w:p w14:paraId="21C258B7" w14:textId="77777777" w:rsidR="009830CB" w:rsidRPr="00D45B3D" w:rsidRDefault="009830CB" w:rsidP="009830CB">
            <w:pPr>
              <w:rPr>
                <w:lang w:val="en-CA"/>
              </w:rPr>
            </w:pPr>
          </w:p>
        </w:tc>
        <w:tc>
          <w:tcPr>
            <w:tcW w:w="340" w:type="dxa"/>
            <w:shd w:val="clear" w:color="auto" w:fill="FFFFFF" w:themeFill="background1"/>
          </w:tcPr>
          <w:p w14:paraId="37D22119" w14:textId="77777777" w:rsidR="009830CB" w:rsidRPr="00D45B3D" w:rsidRDefault="009830CB" w:rsidP="009830CB">
            <w:pPr>
              <w:rPr>
                <w:lang w:val="en-CA"/>
              </w:rPr>
            </w:pPr>
          </w:p>
        </w:tc>
        <w:tc>
          <w:tcPr>
            <w:tcW w:w="340" w:type="dxa"/>
            <w:shd w:val="clear" w:color="auto" w:fill="FFFFFF" w:themeFill="background1"/>
          </w:tcPr>
          <w:p w14:paraId="134C93E7" w14:textId="77777777" w:rsidR="009830CB" w:rsidRPr="00D45B3D" w:rsidRDefault="009830CB" w:rsidP="009830CB">
            <w:pPr>
              <w:rPr>
                <w:lang w:val="en-CA"/>
              </w:rPr>
            </w:pPr>
          </w:p>
        </w:tc>
        <w:tc>
          <w:tcPr>
            <w:tcW w:w="340" w:type="dxa"/>
            <w:shd w:val="clear" w:color="auto" w:fill="FFFFFF" w:themeFill="background1"/>
          </w:tcPr>
          <w:p w14:paraId="7BD2B3E5" w14:textId="77777777" w:rsidR="009830CB" w:rsidRPr="00D45B3D" w:rsidRDefault="009830CB" w:rsidP="009830CB">
            <w:pPr>
              <w:rPr>
                <w:lang w:val="en-CA"/>
              </w:rPr>
            </w:pPr>
          </w:p>
        </w:tc>
        <w:tc>
          <w:tcPr>
            <w:tcW w:w="340" w:type="dxa"/>
            <w:shd w:val="clear" w:color="auto" w:fill="FFFFFF" w:themeFill="background1"/>
          </w:tcPr>
          <w:p w14:paraId="5D4C541F" w14:textId="77777777" w:rsidR="009830CB" w:rsidRPr="00D45B3D" w:rsidRDefault="009830CB" w:rsidP="009830CB">
            <w:pPr>
              <w:rPr>
                <w:lang w:val="en-CA"/>
              </w:rPr>
            </w:pPr>
          </w:p>
        </w:tc>
        <w:tc>
          <w:tcPr>
            <w:tcW w:w="340" w:type="dxa"/>
            <w:shd w:val="clear" w:color="auto" w:fill="FFFFFF" w:themeFill="background1"/>
          </w:tcPr>
          <w:p w14:paraId="544413E2" w14:textId="77777777" w:rsidR="009830CB" w:rsidRPr="00D45B3D" w:rsidRDefault="009830CB" w:rsidP="009830CB">
            <w:pPr>
              <w:rPr>
                <w:lang w:val="en-CA"/>
              </w:rPr>
            </w:pPr>
          </w:p>
        </w:tc>
        <w:tc>
          <w:tcPr>
            <w:tcW w:w="340" w:type="dxa"/>
            <w:shd w:val="clear" w:color="auto" w:fill="FFFFFF" w:themeFill="background1"/>
          </w:tcPr>
          <w:p w14:paraId="52BBB126" w14:textId="77777777" w:rsidR="009830CB" w:rsidRPr="00D45B3D" w:rsidRDefault="009830CB" w:rsidP="009830CB">
            <w:pPr>
              <w:rPr>
                <w:lang w:val="en-CA"/>
              </w:rPr>
            </w:pPr>
          </w:p>
        </w:tc>
        <w:tc>
          <w:tcPr>
            <w:tcW w:w="340" w:type="dxa"/>
            <w:shd w:val="clear" w:color="auto" w:fill="FFFFFF" w:themeFill="background1"/>
          </w:tcPr>
          <w:p w14:paraId="0587D5CD" w14:textId="77777777" w:rsidR="009830CB" w:rsidRPr="00D45B3D" w:rsidRDefault="009830CB" w:rsidP="009830CB">
            <w:pPr>
              <w:rPr>
                <w:lang w:val="en-CA"/>
              </w:rPr>
            </w:pPr>
          </w:p>
        </w:tc>
        <w:tc>
          <w:tcPr>
            <w:tcW w:w="340" w:type="dxa"/>
            <w:shd w:val="clear" w:color="auto" w:fill="FFFFFF" w:themeFill="background1"/>
          </w:tcPr>
          <w:p w14:paraId="4721C887" w14:textId="77777777" w:rsidR="009830CB" w:rsidRPr="00D45B3D" w:rsidRDefault="009830CB" w:rsidP="009830CB">
            <w:pPr>
              <w:rPr>
                <w:lang w:val="en-CA"/>
              </w:rPr>
            </w:pPr>
          </w:p>
        </w:tc>
        <w:tc>
          <w:tcPr>
            <w:tcW w:w="340" w:type="dxa"/>
            <w:shd w:val="clear" w:color="auto" w:fill="FFFFFF" w:themeFill="background1"/>
          </w:tcPr>
          <w:p w14:paraId="7616BF94" w14:textId="77777777" w:rsidR="009830CB" w:rsidRPr="00D45B3D" w:rsidRDefault="009830CB" w:rsidP="009830CB">
            <w:pPr>
              <w:rPr>
                <w:lang w:val="en-CA"/>
              </w:rPr>
            </w:pPr>
          </w:p>
        </w:tc>
        <w:tc>
          <w:tcPr>
            <w:tcW w:w="340" w:type="dxa"/>
            <w:shd w:val="clear" w:color="auto" w:fill="FFFFFF" w:themeFill="background1"/>
          </w:tcPr>
          <w:p w14:paraId="61C0771E" w14:textId="77777777" w:rsidR="009830CB" w:rsidRPr="00D45B3D" w:rsidRDefault="009830CB" w:rsidP="009830CB">
            <w:pPr>
              <w:rPr>
                <w:lang w:val="en-CA"/>
              </w:rPr>
            </w:pPr>
          </w:p>
        </w:tc>
        <w:tc>
          <w:tcPr>
            <w:tcW w:w="340" w:type="dxa"/>
            <w:shd w:val="clear" w:color="auto" w:fill="FFFFFF" w:themeFill="background1"/>
          </w:tcPr>
          <w:p w14:paraId="2FA69889" w14:textId="77777777" w:rsidR="009830CB" w:rsidRPr="00D45B3D" w:rsidRDefault="009830CB" w:rsidP="009830CB">
            <w:pPr>
              <w:rPr>
                <w:lang w:val="en-CA"/>
              </w:rPr>
            </w:pPr>
          </w:p>
        </w:tc>
        <w:tc>
          <w:tcPr>
            <w:tcW w:w="340" w:type="dxa"/>
            <w:shd w:val="clear" w:color="auto" w:fill="FFFFFF" w:themeFill="background1"/>
          </w:tcPr>
          <w:p w14:paraId="2536830F" w14:textId="77777777" w:rsidR="009830CB" w:rsidRPr="00D45B3D" w:rsidRDefault="009830CB" w:rsidP="009830CB">
            <w:pPr>
              <w:rPr>
                <w:lang w:val="en-CA"/>
              </w:rPr>
            </w:pPr>
          </w:p>
        </w:tc>
        <w:tc>
          <w:tcPr>
            <w:tcW w:w="340" w:type="dxa"/>
            <w:shd w:val="clear" w:color="auto" w:fill="FFFFFF" w:themeFill="background1"/>
          </w:tcPr>
          <w:p w14:paraId="374E8E46" w14:textId="77777777" w:rsidR="009830CB" w:rsidRPr="00D45B3D" w:rsidRDefault="009830CB" w:rsidP="009830CB">
            <w:pPr>
              <w:rPr>
                <w:lang w:val="en-CA"/>
              </w:rPr>
            </w:pPr>
          </w:p>
        </w:tc>
        <w:tc>
          <w:tcPr>
            <w:tcW w:w="340" w:type="dxa"/>
            <w:shd w:val="clear" w:color="auto" w:fill="FFFFFF" w:themeFill="background1"/>
          </w:tcPr>
          <w:p w14:paraId="5BB4D344" w14:textId="77777777" w:rsidR="009830CB" w:rsidRPr="00D45B3D" w:rsidRDefault="009830CB" w:rsidP="009830CB">
            <w:pPr>
              <w:rPr>
                <w:lang w:val="en-CA"/>
              </w:rPr>
            </w:pPr>
          </w:p>
        </w:tc>
      </w:tr>
      <w:tr w:rsidR="00EC409B" w:rsidRPr="00D45B3D" w14:paraId="3397ED37" w14:textId="77777777" w:rsidTr="009830CB">
        <w:trPr>
          <w:jc w:val="center"/>
        </w:trPr>
        <w:tc>
          <w:tcPr>
            <w:tcW w:w="5670" w:type="dxa"/>
            <w:shd w:val="clear" w:color="auto" w:fill="auto"/>
          </w:tcPr>
          <w:p w14:paraId="7F0701C9" w14:textId="3633881B" w:rsidR="009830CB" w:rsidRPr="00D45B3D" w:rsidRDefault="009830CB" w:rsidP="009830CB">
            <w:pPr>
              <w:spacing w:after="0"/>
              <w:contextualSpacing/>
              <w:rPr>
                <w:rFonts w:asciiTheme="minorHAnsi" w:hAnsiTheme="minorHAnsi" w:cstheme="minorHAnsi"/>
                <w:sz w:val="16"/>
                <w:szCs w:val="16"/>
                <w:lang w:val="en-GB"/>
              </w:rPr>
            </w:pPr>
            <w:r w:rsidRPr="00D45B3D">
              <w:rPr>
                <w:rFonts w:asciiTheme="minorHAnsi" w:hAnsiTheme="minorHAnsi" w:cstheme="minorHAnsi"/>
                <w:sz w:val="16"/>
                <w:szCs w:val="16"/>
              </w:rPr>
              <w:t xml:space="preserve">Develop the </w:t>
            </w:r>
            <w:r w:rsidRPr="00D45B3D">
              <w:rPr>
                <w:rFonts w:asciiTheme="minorHAnsi" w:hAnsiTheme="minorHAnsi" w:cstheme="minorHAnsi"/>
                <w:sz w:val="16"/>
                <w:szCs w:val="16"/>
                <w:lang w:val="en-GB"/>
              </w:rPr>
              <w:t xml:space="preserve">IPP </w:t>
            </w:r>
          </w:p>
        </w:tc>
        <w:tc>
          <w:tcPr>
            <w:tcW w:w="340" w:type="dxa"/>
            <w:shd w:val="clear" w:color="auto" w:fill="D9D9D9" w:themeFill="background1" w:themeFillShade="D9"/>
          </w:tcPr>
          <w:p w14:paraId="4ADC70E8" w14:textId="77777777" w:rsidR="009830CB" w:rsidRPr="00D45B3D" w:rsidRDefault="009830CB" w:rsidP="009830CB">
            <w:pPr>
              <w:rPr>
                <w:lang w:val="en-CA"/>
              </w:rPr>
            </w:pPr>
          </w:p>
        </w:tc>
        <w:tc>
          <w:tcPr>
            <w:tcW w:w="340" w:type="dxa"/>
            <w:shd w:val="clear" w:color="auto" w:fill="D9D9D9" w:themeFill="background1" w:themeFillShade="D9"/>
          </w:tcPr>
          <w:p w14:paraId="05E45BE9" w14:textId="77777777" w:rsidR="009830CB" w:rsidRPr="00D45B3D" w:rsidRDefault="009830CB" w:rsidP="009830CB">
            <w:pPr>
              <w:rPr>
                <w:lang w:val="en-CA"/>
              </w:rPr>
            </w:pPr>
          </w:p>
        </w:tc>
        <w:tc>
          <w:tcPr>
            <w:tcW w:w="340" w:type="dxa"/>
            <w:shd w:val="clear" w:color="auto" w:fill="D9D9D9" w:themeFill="background1" w:themeFillShade="D9"/>
          </w:tcPr>
          <w:p w14:paraId="24A6B524" w14:textId="77777777" w:rsidR="009830CB" w:rsidRPr="00D45B3D" w:rsidRDefault="009830CB" w:rsidP="009830CB">
            <w:pPr>
              <w:rPr>
                <w:lang w:val="en-CA"/>
              </w:rPr>
            </w:pPr>
          </w:p>
        </w:tc>
        <w:tc>
          <w:tcPr>
            <w:tcW w:w="340" w:type="dxa"/>
            <w:shd w:val="clear" w:color="auto" w:fill="D9D9D9" w:themeFill="background1" w:themeFillShade="D9"/>
          </w:tcPr>
          <w:p w14:paraId="2A7FE219" w14:textId="77777777" w:rsidR="009830CB" w:rsidRPr="00D45B3D" w:rsidRDefault="009830CB" w:rsidP="009830CB">
            <w:pPr>
              <w:rPr>
                <w:lang w:val="en-CA"/>
              </w:rPr>
            </w:pPr>
          </w:p>
        </w:tc>
        <w:tc>
          <w:tcPr>
            <w:tcW w:w="340" w:type="dxa"/>
            <w:shd w:val="clear" w:color="auto" w:fill="FFFFFF" w:themeFill="background1"/>
          </w:tcPr>
          <w:p w14:paraId="07119F85" w14:textId="77777777" w:rsidR="009830CB" w:rsidRPr="00D45B3D" w:rsidRDefault="009830CB" w:rsidP="009830CB">
            <w:pPr>
              <w:rPr>
                <w:lang w:val="en-CA"/>
              </w:rPr>
            </w:pPr>
          </w:p>
        </w:tc>
        <w:tc>
          <w:tcPr>
            <w:tcW w:w="340" w:type="dxa"/>
            <w:shd w:val="clear" w:color="auto" w:fill="FFFFFF" w:themeFill="background1"/>
          </w:tcPr>
          <w:p w14:paraId="4A215AE7" w14:textId="77777777" w:rsidR="009830CB" w:rsidRPr="00D45B3D" w:rsidRDefault="009830CB" w:rsidP="009830CB">
            <w:pPr>
              <w:rPr>
                <w:lang w:val="en-CA"/>
              </w:rPr>
            </w:pPr>
          </w:p>
        </w:tc>
        <w:tc>
          <w:tcPr>
            <w:tcW w:w="340" w:type="dxa"/>
            <w:shd w:val="clear" w:color="auto" w:fill="FFFFFF" w:themeFill="background1"/>
          </w:tcPr>
          <w:p w14:paraId="7CA9227C" w14:textId="77777777" w:rsidR="009830CB" w:rsidRPr="00D45B3D" w:rsidRDefault="009830CB" w:rsidP="009830CB">
            <w:pPr>
              <w:rPr>
                <w:lang w:val="en-CA"/>
              </w:rPr>
            </w:pPr>
          </w:p>
        </w:tc>
        <w:tc>
          <w:tcPr>
            <w:tcW w:w="340" w:type="dxa"/>
            <w:shd w:val="clear" w:color="auto" w:fill="FFFFFF" w:themeFill="background1"/>
          </w:tcPr>
          <w:p w14:paraId="7F9CF5B1" w14:textId="77777777" w:rsidR="009830CB" w:rsidRPr="00D45B3D" w:rsidRDefault="009830CB" w:rsidP="009830CB">
            <w:pPr>
              <w:rPr>
                <w:lang w:val="en-CA"/>
              </w:rPr>
            </w:pPr>
          </w:p>
        </w:tc>
        <w:tc>
          <w:tcPr>
            <w:tcW w:w="340" w:type="dxa"/>
            <w:shd w:val="clear" w:color="auto" w:fill="FFFFFF" w:themeFill="background1"/>
          </w:tcPr>
          <w:p w14:paraId="438A70E0" w14:textId="77777777" w:rsidR="009830CB" w:rsidRPr="00D45B3D" w:rsidRDefault="009830CB" w:rsidP="009830CB">
            <w:pPr>
              <w:rPr>
                <w:lang w:val="en-CA"/>
              </w:rPr>
            </w:pPr>
          </w:p>
        </w:tc>
        <w:tc>
          <w:tcPr>
            <w:tcW w:w="340" w:type="dxa"/>
            <w:shd w:val="clear" w:color="auto" w:fill="FFFFFF" w:themeFill="background1"/>
          </w:tcPr>
          <w:p w14:paraId="311918AB" w14:textId="77777777" w:rsidR="009830CB" w:rsidRPr="00D45B3D" w:rsidRDefault="009830CB" w:rsidP="009830CB">
            <w:pPr>
              <w:rPr>
                <w:lang w:val="en-CA"/>
              </w:rPr>
            </w:pPr>
          </w:p>
        </w:tc>
        <w:tc>
          <w:tcPr>
            <w:tcW w:w="340" w:type="dxa"/>
            <w:shd w:val="clear" w:color="auto" w:fill="FFFFFF" w:themeFill="background1"/>
          </w:tcPr>
          <w:p w14:paraId="2AD4230D" w14:textId="77777777" w:rsidR="009830CB" w:rsidRPr="00D45B3D" w:rsidRDefault="009830CB" w:rsidP="009830CB">
            <w:pPr>
              <w:rPr>
                <w:lang w:val="en-CA"/>
              </w:rPr>
            </w:pPr>
          </w:p>
        </w:tc>
        <w:tc>
          <w:tcPr>
            <w:tcW w:w="340" w:type="dxa"/>
            <w:shd w:val="clear" w:color="auto" w:fill="FFFFFF" w:themeFill="background1"/>
          </w:tcPr>
          <w:p w14:paraId="275175C7" w14:textId="77777777" w:rsidR="009830CB" w:rsidRPr="00D45B3D" w:rsidRDefault="009830CB" w:rsidP="009830CB">
            <w:pPr>
              <w:rPr>
                <w:lang w:val="en-CA"/>
              </w:rPr>
            </w:pPr>
          </w:p>
        </w:tc>
        <w:tc>
          <w:tcPr>
            <w:tcW w:w="340" w:type="dxa"/>
            <w:shd w:val="clear" w:color="auto" w:fill="FFFFFF" w:themeFill="background1"/>
          </w:tcPr>
          <w:p w14:paraId="7B2014C7" w14:textId="77777777" w:rsidR="009830CB" w:rsidRPr="00D45B3D" w:rsidRDefault="009830CB" w:rsidP="009830CB">
            <w:pPr>
              <w:rPr>
                <w:lang w:val="en-CA"/>
              </w:rPr>
            </w:pPr>
          </w:p>
        </w:tc>
        <w:tc>
          <w:tcPr>
            <w:tcW w:w="340" w:type="dxa"/>
            <w:shd w:val="clear" w:color="auto" w:fill="FFFFFF" w:themeFill="background1"/>
          </w:tcPr>
          <w:p w14:paraId="18CA0D0F" w14:textId="77777777" w:rsidR="009830CB" w:rsidRPr="00D45B3D" w:rsidRDefault="009830CB" w:rsidP="009830CB">
            <w:pPr>
              <w:rPr>
                <w:lang w:val="en-CA"/>
              </w:rPr>
            </w:pPr>
          </w:p>
        </w:tc>
        <w:tc>
          <w:tcPr>
            <w:tcW w:w="340" w:type="dxa"/>
            <w:shd w:val="clear" w:color="auto" w:fill="FFFFFF" w:themeFill="background1"/>
          </w:tcPr>
          <w:p w14:paraId="1A63A82E" w14:textId="77777777" w:rsidR="009830CB" w:rsidRPr="00D45B3D" w:rsidRDefault="009830CB" w:rsidP="009830CB">
            <w:pPr>
              <w:rPr>
                <w:lang w:val="en-CA"/>
              </w:rPr>
            </w:pPr>
          </w:p>
        </w:tc>
        <w:tc>
          <w:tcPr>
            <w:tcW w:w="340" w:type="dxa"/>
            <w:shd w:val="clear" w:color="auto" w:fill="FFFFFF" w:themeFill="background1"/>
          </w:tcPr>
          <w:p w14:paraId="7C37BB3C" w14:textId="77777777" w:rsidR="009830CB" w:rsidRPr="00D45B3D" w:rsidRDefault="009830CB" w:rsidP="009830CB">
            <w:pPr>
              <w:rPr>
                <w:lang w:val="en-CA"/>
              </w:rPr>
            </w:pPr>
          </w:p>
        </w:tc>
        <w:tc>
          <w:tcPr>
            <w:tcW w:w="340" w:type="dxa"/>
            <w:shd w:val="clear" w:color="auto" w:fill="FFFFFF" w:themeFill="background1"/>
          </w:tcPr>
          <w:p w14:paraId="0116D46D" w14:textId="77777777" w:rsidR="009830CB" w:rsidRPr="00D45B3D" w:rsidRDefault="009830CB" w:rsidP="009830CB">
            <w:pPr>
              <w:rPr>
                <w:lang w:val="en-CA"/>
              </w:rPr>
            </w:pPr>
          </w:p>
        </w:tc>
        <w:tc>
          <w:tcPr>
            <w:tcW w:w="340" w:type="dxa"/>
            <w:shd w:val="clear" w:color="auto" w:fill="FFFFFF" w:themeFill="background1"/>
          </w:tcPr>
          <w:p w14:paraId="63E0152A" w14:textId="77777777" w:rsidR="009830CB" w:rsidRPr="00D45B3D" w:rsidRDefault="009830CB" w:rsidP="009830CB">
            <w:pPr>
              <w:rPr>
                <w:lang w:val="en-CA"/>
              </w:rPr>
            </w:pPr>
          </w:p>
        </w:tc>
        <w:tc>
          <w:tcPr>
            <w:tcW w:w="340" w:type="dxa"/>
            <w:shd w:val="clear" w:color="auto" w:fill="FFFFFF" w:themeFill="background1"/>
          </w:tcPr>
          <w:p w14:paraId="2698D59C" w14:textId="77777777" w:rsidR="009830CB" w:rsidRPr="00D45B3D" w:rsidRDefault="009830CB" w:rsidP="009830CB">
            <w:pPr>
              <w:rPr>
                <w:lang w:val="en-CA"/>
              </w:rPr>
            </w:pPr>
          </w:p>
        </w:tc>
        <w:tc>
          <w:tcPr>
            <w:tcW w:w="340" w:type="dxa"/>
            <w:shd w:val="clear" w:color="auto" w:fill="FFFFFF" w:themeFill="background1"/>
          </w:tcPr>
          <w:p w14:paraId="50478F72" w14:textId="77777777" w:rsidR="009830CB" w:rsidRPr="00D45B3D" w:rsidRDefault="009830CB" w:rsidP="009830CB">
            <w:pPr>
              <w:rPr>
                <w:lang w:val="en-CA"/>
              </w:rPr>
            </w:pPr>
          </w:p>
        </w:tc>
        <w:tc>
          <w:tcPr>
            <w:tcW w:w="340" w:type="dxa"/>
            <w:shd w:val="clear" w:color="auto" w:fill="FFFFFF" w:themeFill="background1"/>
          </w:tcPr>
          <w:p w14:paraId="6456F715" w14:textId="77777777" w:rsidR="009830CB" w:rsidRPr="00D45B3D" w:rsidRDefault="009830CB" w:rsidP="009830CB">
            <w:pPr>
              <w:rPr>
                <w:lang w:val="en-CA"/>
              </w:rPr>
            </w:pPr>
          </w:p>
        </w:tc>
        <w:tc>
          <w:tcPr>
            <w:tcW w:w="340" w:type="dxa"/>
            <w:shd w:val="clear" w:color="auto" w:fill="FFFFFF" w:themeFill="background1"/>
          </w:tcPr>
          <w:p w14:paraId="7751C554" w14:textId="77777777" w:rsidR="009830CB" w:rsidRPr="00D45B3D" w:rsidRDefault="009830CB" w:rsidP="009830CB">
            <w:pPr>
              <w:rPr>
                <w:lang w:val="en-CA"/>
              </w:rPr>
            </w:pPr>
          </w:p>
        </w:tc>
        <w:tc>
          <w:tcPr>
            <w:tcW w:w="340" w:type="dxa"/>
            <w:shd w:val="clear" w:color="auto" w:fill="FFFFFF" w:themeFill="background1"/>
          </w:tcPr>
          <w:p w14:paraId="170C2C84" w14:textId="77777777" w:rsidR="009830CB" w:rsidRPr="00D45B3D" w:rsidRDefault="009830CB" w:rsidP="009830CB">
            <w:pPr>
              <w:rPr>
                <w:lang w:val="en-CA"/>
              </w:rPr>
            </w:pPr>
          </w:p>
        </w:tc>
        <w:tc>
          <w:tcPr>
            <w:tcW w:w="340" w:type="dxa"/>
            <w:shd w:val="clear" w:color="auto" w:fill="FFFFFF" w:themeFill="background1"/>
          </w:tcPr>
          <w:p w14:paraId="49148750" w14:textId="77777777" w:rsidR="009830CB" w:rsidRPr="00D45B3D" w:rsidRDefault="009830CB" w:rsidP="009830CB">
            <w:pPr>
              <w:rPr>
                <w:lang w:val="en-CA"/>
              </w:rPr>
            </w:pPr>
          </w:p>
        </w:tc>
      </w:tr>
      <w:tr w:rsidR="00EC409B" w:rsidRPr="00D45B3D" w14:paraId="4831EA49" w14:textId="77777777" w:rsidTr="00CC2FAC">
        <w:trPr>
          <w:jc w:val="center"/>
        </w:trPr>
        <w:tc>
          <w:tcPr>
            <w:tcW w:w="5670" w:type="dxa"/>
            <w:shd w:val="clear" w:color="auto" w:fill="auto"/>
          </w:tcPr>
          <w:p w14:paraId="06766E26" w14:textId="03A9108B" w:rsidR="009830CB" w:rsidRPr="00D45B3D" w:rsidRDefault="009830CB" w:rsidP="00755BF9">
            <w:pPr>
              <w:spacing w:after="0"/>
              <w:contextualSpacing/>
              <w:rPr>
                <w:rFonts w:eastAsia="Calibri"/>
                <w:sz w:val="16"/>
                <w:szCs w:val="16"/>
                <w:lang w:val="en-CA"/>
              </w:rPr>
            </w:pPr>
            <w:r w:rsidRPr="00D45B3D">
              <w:rPr>
                <w:rFonts w:asciiTheme="minorHAnsi" w:hAnsiTheme="minorHAnsi" w:cstheme="minorHAnsi"/>
                <w:sz w:val="16"/>
                <w:szCs w:val="16"/>
              </w:rPr>
              <w:t xml:space="preserve">Develop the </w:t>
            </w:r>
            <w:r w:rsidRPr="00D45B3D">
              <w:rPr>
                <w:rFonts w:asciiTheme="minorHAnsi" w:hAnsiTheme="minorHAnsi" w:cstheme="minorHAnsi"/>
                <w:sz w:val="16"/>
                <w:szCs w:val="16"/>
                <w:lang w:val="en-GB"/>
              </w:rPr>
              <w:t xml:space="preserve">ESMP </w:t>
            </w:r>
          </w:p>
        </w:tc>
        <w:tc>
          <w:tcPr>
            <w:tcW w:w="340" w:type="dxa"/>
            <w:shd w:val="clear" w:color="auto" w:fill="D0CECE" w:themeFill="background2" w:themeFillShade="E6"/>
          </w:tcPr>
          <w:p w14:paraId="086C5DD5" w14:textId="77777777" w:rsidR="009830CB" w:rsidRPr="00D45B3D" w:rsidRDefault="009830CB" w:rsidP="009830CB">
            <w:pPr>
              <w:rPr>
                <w:lang w:val="en-CA"/>
              </w:rPr>
            </w:pPr>
          </w:p>
        </w:tc>
        <w:tc>
          <w:tcPr>
            <w:tcW w:w="340" w:type="dxa"/>
            <w:shd w:val="clear" w:color="auto" w:fill="D0CECE" w:themeFill="background2" w:themeFillShade="E6"/>
          </w:tcPr>
          <w:p w14:paraId="4058666E" w14:textId="77777777" w:rsidR="009830CB" w:rsidRPr="00D45B3D" w:rsidRDefault="009830CB" w:rsidP="009830CB">
            <w:pPr>
              <w:rPr>
                <w:lang w:val="en-CA"/>
              </w:rPr>
            </w:pPr>
          </w:p>
        </w:tc>
        <w:tc>
          <w:tcPr>
            <w:tcW w:w="340" w:type="dxa"/>
            <w:shd w:val="clear" w:color="auto" w:fill="D0CECE" w:themeFill="background2" w:themeFillShade="E6"/>
          </w:tcPr>
          <w:p w14:paraId="1A5E70B1" w14:textId="77777777" w:rsidR="009830CB" w:rsidRPr="00D45B3D" w:rsidRDefault="009830CB" w:rsidP="009830CB">
            <w:pPr>
              <w:rPr>
                <w:lang w:val="en-CA"/>
              </w:rPr>
            </w:pPr>
          </w:p>
        </w:tc>
        <w:tc>
          <w:tcPr>
            <w:tcW w:w="340" w:type="dxa"/>
            <w:shd w:val="clear" w:color="auto" w:fill="D0CECE" w:themeFill="background2" w:themeFillShade="E6"/>
          </w:tcPr>
          <w:p w14:paraId="3415EAE7" w14:textId="77777777" w:rsidR="009830CB" w:rsidRPr="00D45B3D" w:rsidRDefault="009830CB" w:rsidP="009830CB">
            <w:pPr>
              <w:rPr>
                <w:lang w:val="en-CA"/>
              </w:rPr>
            </w:pPr>
          </w:p>
        </w:tc>
        <w:tc>
          <w:tcPr>
            <w:tcW w:w="340" w:type="dxa"/>
            <w:shd w:val="clear" w:color="auto" w:fill="FFFFFF" w:themeFill="background1"/>
          </w:tcPr>
          <w:p w14:paraId="47E16706" w14:textId="77777777" w:rsidR="009830CB" w:rsidRPr="00D45B3D" w:rsidRDefault="009830CB" w:rsidP="009830CB">
            <w:pPr>
              <w:rPr>
                <w:lang w:val="en-CA"/>
              </w:rPr>
            </w:pPr>
          </w:p>
        </w:tc>
        <w:tc>
          <w:tcPr>
            <w:tcW w:w="340" w:type="dxa"/>
            <w:shd w:val="clear" w:color="auto" w:fill="FFFFFF" w:themeFill="background1"/>
          </w:tcPr>
          <w:p w14:paraId="2D3A397B" w14:textId="77777777" w:rsidR="009830CB" w:rsidRPr="00D45B3D" w:rsidRDefault="009830CB" w:rsidP="009830CB">
            <w:pPr>
              <w:rPr>
                <w:lang w:val="en-CA"/>
              </w:rPr>
            </w:pPr>
          </w:p>
        </w:tc>
        <w:tc>
          <w:tcPr>
            <w:tcW w:w="340" w:type="dxa"/>
            <w:shd w:val="clear" w:color="auto" w:fill="FFFFFF" w:themeFill="background1"/>
          </w:tcPr>
          <w:p w14:paraId="2DBBF788" w14:textId="77777777" w:rsidR="009830CB" w:rsidRPr="00D45B3D" w:rsidRDefault="009830CB" w:rsidP="009830CB">
            <w:pPr>
              <w:rPr>
                <w:lang w:val="en-CA"/>
              </w:rPr>
            </w:pPr>
          </w:p>
        </w:tc>
        <w:tc>
          <w:tcPr>
            <w:tcW w:w="340" w:type="dxa"/>
            <w:shd w:val="clear" w:color="auto" w:fill="FFFFFF" w:themeFill="background1"/>
          </w:tcPr>
          <w:p w14:paraId="1F13D9B3" w14:textId="77777777" w:rsidR="009830CB" w:rsidRPr="00D45B3D" w:rsidRDefault="009830CB" w:rsidP="009830CB">
            <w:pPr>
              <w:rPr>
                <w:lang w:val="en-CA"/>
              </w:rPr>
            </w:pPr>
          </w:p>
        </w:tc>
        <w:tc>
          <w:tcPr>
            <w:tcW w:w="340" w:type="dxa"/>
            <w:shd w:val="clear" w:color="auto" w:fill="FFFFFF" w:themeFill="background1"/>
          </w:tcPr>
          <w:p w14:paraId="579371D5" w14:textId="77777777" w:rsidR="009830CB" w:rsidRPr="00D45B3D" w:rsidRDefault="009830CB" w:rsidP="009830CB">
            <w:pPr>
              <w:rPr>
                <w:lang w:val="en-CA"/>
              </w:rPr>
            </w:pPr>
          </w:p>
        </w:tc>
        <w:tc>
          <w:tcPr>
            <w:tcW w:w="340" w:type="dxa"/>
            <w:shd w:val="clear" w:color="auto" w:fill="FFFFFF" w:themeFill="background1"/>
          </w:tcPr>
          <w:p w14:paraId="4E82CEFF" w14:textId="77777777" w:rsidR="009830CB" w:rsidRPr="00D45B3D" w:rsidRDefault="009830CB" w:rsidP="009830CB">
            <w:pPr>
              <w:rPr>
                <w:lang w:val="en-CA"/>
              </w:rPr>
            </w:pPr>
          </w:p>
        </w:tc>
        <w:tc>
          <w:tcPr>
            <w:tcW w:w="340" w:type="dxa"/>
            <w:shd w:val="clear" w:color="auto" w:fill="FFFFFF" w:themeFill="background1"/>
          </w:tcPr>
          <w:p w14:paraId="0B4BE595" w14:textId="77777777" w:rsidR="009830CB" w:rsidRPr="00D45B3D" w:rsidRDefault="009830CB" w:rsidP="009830CB">
            <w:pPr>
              <w:rPr>
                <w:lang w:val="en-CA"/>
              </w:rPr>
            </w:pPr>
          </w:p>
        </w:tc>
        <w:tc>
          <w:tcPr>
            <w:tcW w:w="340" w:type="dxa"/>
            <w:shd w:val="clear" w:color="auto" w:fill="FFFFFF" w:themeFill="background1"/>
          </w:tcPr>
          <w:p w14:paraId="79B3298A" w14:textId="77777777" w:rsidR="009830CB" w:rsidRPr="00D45B3D" w:rsidRDefault="009830CB" w:rsidP="009830CB">
            <w:pPr>
              <w:rPr>
                <w:lang w:val="en-CA"/>
              </w:rPr>
            </w:pPr>
          </w:p>
        </w:tc>
        <w:tc>
          <w:tcPr>
            <w:tcW w:w="340" w:type="dxa"/>
            <w:shd w:val="clear" w:color="auto" w:fill="FFFFFF" w:themeFill="background1"/>
          </w:tcPr>
          <w:p w14:paraId="694D9DF9" w14:textId="77777777" w:rsidR="009830CB" w:rsidRPr="00D45B3D" w:rsidRDefault="009830CB" w:rsidP="009830CB">
            <w:pPr>
              <w:rPr>
                <w:lang w:val="en-CA"/>
              </w:rPr>
            </w:pPr>
          </w:p>
        </w:tc>
        <w:tc>
          <w:tcPr>
            <w:tcW w:w="340" w:type="dxa"/>
            <w:shd w:val="clear" w:color="auto" w:fill="FFFFFF" w:themeFill="background1"/>
          </w:tcPr>
          <w:p w14:paraId="61B2499F" w14:textId="77777777" w:rsidR="009830CB" w:rsidRPr="00D45B3D" w:rsidRDefault="009830CB" w:rsidP="009830CB">
            <w:pPr>
              <w:rPr>
                <w:lang w:val="en-CA"/>
              </w:rPr>
            </w:pPr>
          </w:p>
        </w:tc>
        <w:tc>
          <w:tcPr>
            <w:tcW w:w="340" w:type="dxa"/>
            <w:shd w:val="clear" w:color="auto" w:fill="FFFFFF" w:themeFill="background1"/>
          </w:tcPr>
          <w:p w14:paraId="0FBF55BF" w14:textId="77777777" w:rsidR="009830CB" w:rsidRPr="00D45B3D" w:rsidRDefault="009830CB" w:rsidP="009830CB">
            <w:pPr>
              <w:rPr>
                <w:lang w:val="en-CA"/>
              </w:rPr>
            </w:pPr>
          </w:p>
        </w:tc>
        <w:tc>
          <w:tcPr>
            <w:tcW w:w="340" w:type="dxa"/>
            <w:shd w:val="clear" w:color="auto" w:fill="FFFFFF" w:themeFill="background1"/>
          </w:tcPr>
          <w:p w14:paraId="3A4932F7" w14:textId="77777777" w:rsidR="009830CB" w:rsidRPr="00D45B3D" w:rsidRDefault="009830CB" w:rsidP="009830CB">
            <w:pPr>
              <w:rPr>
                <w:lang w:val="en-CA"/>
              </w:rPr>
            </w:pPr>
          </w:p>
        </w:tc>
        <w:tc>
          <w:tcPr>
            <w:tcW w:w="340" w:type="dxa"/>
            <w:shd w:val="clear" w:color="auto" w:fill="FFFFFF" w:themeFill="background1"/>
          </w:tcPr>
          <w:p w14:paraId="2534F883" w14:textId="77777777" w:rsidR="009830CB" w:rsidRPr="00D45B3D" w:rsidRDefault="009830CB" w:rsidP="009830CB">
            <w:pPr>
              <w:rPr>
                <w:lang w:val="en-CA"/>
              </w:rPr>
            </w:pPr>
          </w:p>
        </w:tc>
        <w:tc>
          <w:tcPr>
            <w:tcW w:w="340" w:type="dxa"/>
            <w:shd w:val="clear" w:color="auto" w:fill="FFFFFF" w:themeFill="background1"/>
          </w:tcPr>
          <w:p w14:paraId="7C2E77B4" w14:textId="77777777" w:rsidR="009830CB" w:rsidRPr="00D45B3D" w:rsidRDefault="009830CB" w:rsidP="009830CB">
            <w:pPr>
              <w:rPr>
                <w:lang w:val="en-CA"/>
              </w:rPr>
            </w:pPr>
          </w:p>
        </w:tc>
        <w:tc>
          <w:tcPr>
            <w:tcW w:w="340" w:type="dxa"/>
            <w:shd w:val="clear" w:color="auto" w:fill="FFFFFF" w:themeFill="background1"/>
          </w:tcPr>
          <w:p w14:paraId="1DB3247C" w14:textId="77777777" w:rsidR="009830CB" w:rsidRPr="00D45B3D" w:rsidRDefault="009830CB" w:rsidP="009830CB">
            <w:pPr>
              <w:rPr>
                <w:lang w:val="en-CA"/>
              </w:rPr>
            </w:pPr>
          </w:p>
        </w:tc>
        <w:tc>
          <w:tcPr>
            <w:tcW w:w="340" w:type="dxa"/>
            <w:shd w:val="clear" w:color="auto" w:fill="FFFFFF" w:themeFill="background1"/>
          </w:tcPr>
          <w:p w14:paraId="7C8B78B1" w14:textId="77777777" w:rsidR="009830CB" w:rsidRPr="00D45B3D" w:rsidRDefault="009830CB" w:rsidP="009830CB">
            <w:pPr>
              <w:rPr>
                <w:lang w:val="en-CA"/>
              </w:rPr>
            </w:pPr>
          </w:p>
        </w:tc>
        <w:tc>
          <w:tcPr>
            <w:tcW w:w="340" w:type="dxa"/>
            <w:shd w:val="clear" w:color="auto" w:fill="FFFFFF" w:themeFill="background1"/>
          </w:tcPr>
          <w:p w14:paraId="0DA221BA" w14:textId="77777777" w:rsidR="009830CB" w:rsidRPr="00D45B3D" w:rsidRDefault="009830CB" w:rsidP="009830CB">
            <w:pPr>
              <w:rPr>
                <w:lang w:val="en-CA"/>
              </w:rPr>
            </w:pPr>
          </w:p>
        </w:tc>
        <w:tc>
          <w:tcPr>
            <w:tcW w:w="340" w:type="dxa"/>
            <w:shd w:val="clear" w:color="auto" w:fill="FFFFFF" w:themeFill="background1"/>
          </w:tcPr>
          <w:p w14:paraId="1FF4A720" w14:textId="77777777" w:rsidR="009830CB" w:rsidRPr="00D45B3D" w:rsidRDefault="009830CB" w:rsidP="009830CB">
            <w:pPr>
              <w:rPr>
                <w:lang w:val="en-CA"/>
              </w:rPr>
            </w:pPr>
          </w:p>
        </w:tc>
        <w:tc>
          <w:tcPr>
            <w:tcW w:w="340" w:type="dxa"/>
            <w:shd w:val="clear" w:color="auto" w:fill="FFFFFF" w:themeFill="background1"/>
          </w:tcPr>
          <w:p w14:paraId="07BC4634" w14:textId="77777777" w:rsidR="009830CB" w:rsidRPr="00D45B3D" w:rsidRDefault="009830CB" w:rsidP="009830CB">
            <w:pPr>
              <w:rPr>
                <w:lang w:val="en-CA"/>
              </w:rPr>
            </w:pPr>
          </w:p>
        </w:tc>
        <w:tc>
          <w:tcPr>
            <w:tcW w:w="340" w:type="dxa"/>
            <w:shd w:val="clear" w:color="auto" w:fill="FFFFFF" w:themeFill="background1"/>
          </w:tcPr>
          <w:p w14:paraId="5CDDE89E" w14:textId="77777777" w:rsidR="009830CB" w:rsidRPr="00D45B3D" w:rsidRDefault="009830CB" w:rsidP="009830CB">
            <w:pPr>
              <w:rPr>
                <w:lang w:val="en-CA"/>
              </w:rPr>
            </w:pPr>
          </w:p>
        </w:tc>
      </w:tr>
      <w:tr w:rsidR="00EC409B" w:rsidRPr="00D45B3D" w14:paraId="03DD30FA" w14:textId="77777777" w:rsidTr="00CC2FAC">
        <w:trPr>
          <w:jc w:val="center"/>
        </w:trPr>
        <w:tc>
          <w:tcPr>
            <w:tcW w:w="5670" w:type="dxa"/>
            <w:shd w:val="clear" w:color="auto" w:fill="auto"/>
          </w:tcPr>
          <w:p w14:paraId="7D8EE810" w14:textId="641CBA3E" w:rsidR="009830CB" w:rsidRPr="00D45B3D" w:rsidRDefault="009830CB" w:rsidP="00755BF9">
            <w:pPr>
              <w:spacing w:after="0"/>
              <w:contextualSpacing/>
              <w:rPr>
                <w:rFonts w:eastAsia="Calibri"/>
                <w:sz w:val="16"/>
                <w:szCs w:val="16"/>
                <w:lang w:val="en-CA"/>
              </w:rPr>
            </w:pPr>
            <w:r w:rsidRPr="00D45B3D">
              <w:rPr>
                <w:rFonts w:asciiTheme="minorHAnsi" w:hAnsiTheme="minorHAnsi" w:cstheme="minorHAnsi"/>
                <w:sz w:val="16"/>
                <w:szCs w:val="16"/>
              </w:rPr>
              <w:lastRenderedPageBreak/>
              <w:t>ESMF Monitoring</w:t>
            </w:r>
          </w:p>
        </w:tc>
        <w:tc>
          <w:tcPr>
            <w:tcW w:w="340" w:type="dxa"/>
            <w:shd w:val="clear" w:color="auto" w:fill="D0CECE" w:themeFill="background2" w:themeFillShade="E6"/>
          </w:tcPr>
          <w:p w14:paraId="6E69BA73" w14:textId="77777777" w:rsidR="009830CB" w:rsidRPr="00D45B3D" w:rsidRDefault="009830CB" w:rsidP="009830CB">
            <w:pPr>
              <w:rPr>
                <w:lang w:val="en-CA"/>
              </w:rPr>
            </w:pPr>
          </w:p>
        </w:tc>
        <w:tc>
          <w:tcPr>
            <w:tcW w:w="340" w:type="dxa"/>
            <w:shd w:val="clear" w:color="auto" w:fill="D0CECE" w:themeFill="background2" w:themeFillShade="E6"/>
          </w:tcPr>
          <w:p w14:paraId="6922CBBB" w14:textId="77777777" w:rsidR="009830CB" w:rsidRPr="00D45B3D" w:rsidRDefault="009830CB" w:rsidP="009830CB">
            <w:pPr>
              <w:rPr>
                <w:lang w:val="en-CA"/>
              </w:rPr>
            </w:pPr>
          </w:p>
        </w:tc>
        <w:tc>
          <w:tcPr>
            <w:tcW w:w="340" w:type="dxa"/>
            <w:shd w:val="clear" w:color="auto" w:fill="D0CECE" w:themeFill="background2" w:themeFillShade="E6"/>
          </w:tcPr>
          <w:p w14:paraId="76EEABCF" w14:textId="77777777" w:rsidR="009830CB" w:rsidRPr="00D45B3D" w:rsidRDefault="009830CB" w:rsidP="009830CB">
            <w:pPr>
              <w:rPr>
                <w:lang w:val="en-CA"/>
              </w:rPr>
            </w:pPr>
          </w:p>
        </w:tc>
        <w:tc>
          <w:tcPr>
            <w:tcW w:w="340" w:type="dxa"/>
            <w:shd w:val="clear" w:color="auto" w:fill="D0CECE" w:themeFill="background2" w:themeFillShade="E6"/>
          </w:tcPr>
          <w:p w14:paraId="3D420D19" w14:textId="77777777" w:rsidR="009830CB" w:rsidRPr="00D45B3D" w:rsidRDefault="009830CB" w:rsidP="009830CB">
            <w:pPr>
              <w:rPr>
                <w:lang w:val="en-CA"/>
              </w:rPr>
            </w:pPr>
          </w:p>
        </w:tc>
        <w:tc>
          <w:tcPr>
            <w:tcW w:w="340" w:type="dxa"/>
            <w:shd w:val="clear" w:color="auto" w:fill="D0CECE" w:themeFill="background2" w:themeFillShade="E6"/>
          </w:tcPr>
          <w:p w14:paraId="29FD5D50" w14:textId="77777777" w:rsidR="009830CB" w:rsidRPr="00D45B3D" w:rsidRDefault="009830CB" w:rsidP="009830CB">
            <w:pPr>
              <w:rPr>
                <w:lang w:val="en-CA"/>
              </w:rPr>
            </w:pPr>
          </w:p>
        </w:tc>
        <w:tc>
          <w:tcPr>
            <w:tcW w:w="340" w:type="dxa"/>
            <w:shd w:val="clear" w:color="auto" w:fill="D0CECE" w:themeFill="background2" w:themeFillShade="E6"/>
          </w:tcPr>
          <w:p w14:paraId="77F188BF" w14:textId="77777777" w:rsidR="009830CB" w:rsidRPr="00D45B3D" w:rsidRDefault="009830CB" w:rsidP="009830CB">
            <w:pPr>
              <w:rPr>
                <w:lang w:val="en-CA"/>
              </w:rPr>
            </w:pPr>
          </w:p>
        </w:tc>
        <w:tc>
          <w:tcPr>
            <w:tcW w:w="340" w:type="dxa"/>
            <w:shd w:val="clear" w:color="auto" w:fill="D0CECE" w:themeFill="background2" w:themeFillShade="E6"/>
          </w:tcPr>
          <w:p w14:paraId="0817FA8E" w14:textId="77777777" w:rsidR="009830CB" w:rsidRPr="00D45B3D" w:rsidRDefault="009830CB" w:rsidP="009830CB">
            <w:pPr>
              <w:rPr>
                <w:lang w:val="en-CA"/>
              </w:rPr>
            </w:pPr>
          </w:p>
        </w:tc>
        <w:tc>
          <w:tcPr>
            <w:tcW w:w="340" w:type="dxa"/>
            <w:shd w:val="clear" w:color="auto" w:fill="D0CECE" w:themeFill="background2" w:themeFillShade="E6"/>
          </w:tcPr>
          <w:p w14:paraId="1AF3D41C" w14:textId="77777777" w:rsidR="009830CB" w:rsidRPr="00D45B3D" w:rsidRDefault="009830CB" w:rsidP="009830CB">
            <w:pPr>
              <w:rPr>
                <w:lang w:val="en-CA"/>
              </w:rPr>
            </w:pPr>
          </w:p>
        </w:tc>
        <w:tc>
          <w:tcPr>
            <w:tcW w:w="340" w:type="dxa"/>
            <w:shd w:val="clear" w:color="auto" w:fill="D0CECE" w:themeFill="background2" w:themeFillShade="E6"/>
          </w:tcPr>
          <w:p w14:paraId="171CE455" w14:textId="77777777" w:rsidR="009830CB" w:rsidRPr="00D45B3D" w:rsidRDefault="009830CB" w:rsidP="009830CB">
            <w:pPr>
              <w:rPr>
                <w:lang w:val="en-CA"/>
              </w:rPr>
            </w:pPr>
          </w:p>
        </w:tc>
        <w:tc>
          <w:tcPr>
            <w:tcW w:w="340" w:type="dxa"/>
            <w:shd w:val="clear" w:color="auto" w:fill="D0CECE" w:themeFill="background2" w:themeFillShade="E6"/>
          </w:tcPr>
          <w:p w14:paraId="4A704029" w14:textId="77777777" w:rsidR="009830CB" w:rsidRPr="00D45B3D" w:rsidRDefault="009830CB" w:rsidP="009830CB">
            <w:pPr>
              <w:rPr>
                <w:lang w:val="en-CA"/>
              </w:rPr>
            </w:pPr>
          </w:p>
        </w:tc>
        <w:tc>
          <w:tcPr>
            <w:tcW w:w="340" w:type="dxa"/>
            <w:shd w:val="clear" w:color="auto" w:fill="D0CECE" w:themeFill="background2" w:themeFillShade="E6"/>
          </w:tcPr>
          <w:p w14:paraId="4F5A2FF9" w14:textId="77777777" w:rsidR="009830CB" w:rsidRPr="00D45B3D" w:rsidRDefault="009830CB" w:rsidP="009830CB">
            <w:pPr>
              <w:rPr>
                <w:lang w:val="en-CA"/>
              </w:rPr>
            </w:pPr>
          </w:p>
        </w:tc>
        <w:tc>
          <w:tcPr>
            <w:tcW w:w="340" w:type="dxa"/>
            <w:shd w:val="clear" w:color="auto" w:fill="D0CECE" w:themeFill="background2" w:themeFillShade="E6"/>
          </w:tcPr>
          <w:p w14:paraId="51EF3D72" w14:textId="77777777" w:rsidR="009830CB" w:rsidRPr="00D45B3D" w:rsidRDefault="009830CB" w:rsidP="009830CB">
            <w:pPr>
              <w:rPr>
                <w:lang w:val="en-CA"/>
              </w:rPr>
            </w:pPr>
          </w:p>
        </w:tc>
        <w:tc>
          <w:tcPr>
            <w:tcW w:w="340" w:type="dxa"/>
            <w:shd w:val="clear" w:color="auto" w:fill="D0CECE" w:themeFill="background2" w:themeFillShade="E6"/>
          </w:tcPr>
          <w:p w14:paraId="62151E05" w14:textId="77777777" w:rsidR="009830CB" w:rsidRPr="00D45B3D" w:rsidRDefault="009830CB" w:rsidP="009830CB">
            <w:pPr>
              <w:rPr>
                <w:lang w:val="en-CA"/>
              </w:rPr>
            </w:pPr>
          </w:p>
        </w:tc>
        <w:tc>
          <w:tcPr>
            <w:tcW w:w="340" w:type="dxa"/>
            <w:shd w:val="clear" w:color="auto" w:fill="D0CECE" w:themeFill="background2" w:themeFillShade="E6"/>
          </w:tcPr>
          <w:p w14:paraId="5F2D9D53" w14:textId="77777777" w:rsidR="009830CB" w:rsidRPr="00D45B3D" w:rsidRDefault="009830CB" w:rsidP="009830CB">
            <w:pPr>
              <w:rPr>
                <w:lang w:val="en-CA"/>
              </w:rPr>
            </w:pPr>
          </w:p>
        </w:tc>
        <w:tc>
          <w:tcPr>
            <w:tcW w:w="340" w:type="dxa"/>
            <w:shd w:val="clear" w:color="auto" w:fill="D0CECE" w:themeFill="background2" w:themeFillShade="E6"/>
          </w:tcPr>
          <w:p w14:paraId="73F96E7D" w14:textId="77777777" w:rsidR="009830CB" w:rsidRPr="00D45B3D" w:rsidRDefault="009830CB" w:rsidP="009830CB">
            <w:pPr>
              <w:rPr>
                <w:lang w:val="en-CA"/>
              </w:rPr>
            </w:pPr>
          </w:p>
        </w:tc>
        <w:tc>
          <w:tcPr>
            <w:tcW w:w="340" w:type="dxa"/>
            <w:shd w:val="clear" w:color="auto" w:fill="D0CECE" w:themeFill="background2" w:themeFillShade="E6"/>
          </w:tcPr>
          <w:p w14:paraId="43109C7C" w14:textId="77777777" w:rsidR="009830CB" w:rsidRPr="00D45B3D" w:rsidRDefault="009830CB" w:rsidP="009830CB">
            <w:pPr>
              <w:rPr>
                <w:lang w:val="en-CA"/>
              </w:rPr>
            </w:pPr>
          </w:p>
        </w:tc>
        <w:tc>
          <w:tcPr>
            <w:tcW w:w="340" w:type="dxa"/>
            <w:shd w:val="clear" w:color="auto" w:fill="D0CECE" w:themeFill="background2" w:themeFillShade="E6"/>
          </w:tcPr>
          <w:p w14:paraId="6F500A40" w14:textId="77777777" w:rsidR="009830CB" w:rsidRPr="00D45B3D" w:rsidRDefault="009830CB" w:rsidP="009830CB">
            <w:pPr>
              <w:rPr>
                <w:lang w:val="en-CA"/>
              </w:rPr>
            </w:pPr>
          </w:p>
        </w:tc>
        <w:tc>
          <w:tcPr>
            <w:tcW w:w="340" w:type="dxa"/>
            <w:shd w:val="clear" w:color="auto" w:fill="D0CECE" w:themeFill="background2" w:themeFillShade="E6"/>
          </w:tcPr>
          <w:p w14:paraId="6CA624D8" w14:textId="77777777" w:rsidR="009830CB" w:rsidRPr="00D45B3D" w:rsidRDefault="009830CB" w:rsidP="009830CB">
            <w:pPr>
              <w:rPr>
                <w:lang w:val="en-CA"/>
              </w:rPr>
            </w:pPr>
          </w:p>
        </w:tc>
        <w:tc>
          <w:tcPr>
            <w:tcW w:w="340" w:type="dxa"/>
            <w:shd w:val="clear" w:color="auto" w:fill="D0CECE" w:themeFill="background2" w:themeFillShade="E6"/>
          </w:tcPr>
          <w:p w14:paraId="3CE06C61" w14:textId="77777777" w:rsidR="009830CB" w:rsidRPr="00D45B3D" w:rsidRDefault="009830CB" w:rsidP="009830CB">
            <w:pPr>
              <w:rPr>
                <w:lang w:val="en-CA"/>
              </w:rPr>
            </w:pPr>
          </w:p>
        </w:tc>
        <w:tc>
          <w:tcPr>
            <w:tcW w:w="340" w:type="dxa"/>
            <w:shd w:val="clear" w:color="auto" w:fill="D0CECE" w:themeFill="background2" w:themeFillShade="E6"/>
          </w:tcPr>
          <w:p w14:paraId="08AA8D19" w14:textId="77777777" w:rsidR="009830CB" w:rsidRPr="00D45B3D" w:rsidRDefault="009830CB" w:rsidP="009830CB">
            <w:pPr>
              <w:rPr>
                <w:lang w:val="en-CA"/>
              </w:rPr>
            </w:pPr>
          </w:p>
        </w:tc>
        <w:tc>
          <w:tcPr>
            <w:tcW w:w="340" w:type="dxa"/>
            <w:shd w:val="clear" w:color="auto" w:fill="D0CECE" w:themeFill="background2" w:themeFillShade="E6"/>
          </w:tcPr>
          <w:p w14:paraId="11F3B2FB" w14:textId="77777777" w:rsidR="009830CB" w:rsidRPr="00D45B3D" w:rsidRDefault="009830CB" w:rsidP="009830CB">
            <w:pPr>
              <w:rPr>
                <w:lang w:val="en-CA"/>
              </w:rPr>
            </w:pPr>
          </w:p>
        </w:tc>
        <w:tc>
          <w:tcPr>
            <w:tcW w:w="340" w:type="dxa"/>
            <w:shd w:val="clear" w:color="auto" w:fill="D0CECE" w:themeFill="background2" w:themeFillShade="E6"/>
          </w:tcPr>
          <w:p w14:paraId="4D25F1D1" w14:textId="77777777" w:rsidR="009830CB" w:rsidRPr="00D45B3D" w:rsidRDefault="009830CB" w:rsidP="009830CB">
            <w:pPr>
              <w:rPr>
                <w:lang w:val="en-CA"/>
              </w:rPr>
            </w:pPr>
          </w:p>
        </w:tc>
        <w:tc>
          <w:tcPr>
            <w:tcW w:w="340" w:type="dxa"/>
            <w:shd w:val="clear" w:color="auto" w:fill="D0CECE" w:themeFill="background2" w:themeFillShade="E6"/>
          </w:tcPr>
          <w:p w14:paraId="43BAC654" w14:textId="77777777" w:rsidR="009830CB" w:rsidRPr="00D45B3D" w:rsidRDefault="009830CB" w:rsidP="009830CB">
            <w:pPr>
              <w:rPr>
                <w:lang w:val="en-CA"/>
              </w:rPr>
            </w:pPr>
          </w:p>
        </w:tc>
        <w:tc>
          <w:tcPr>
            <w:tcW w:w="340" w:type="dxa"/>
            <w:shd w:val="clear" w:color="auto" w:fill="D0CECE" w:themeFill="background2" w:themeFillShade="E6"/>
          </w:tcPr>
          <w:p w14:paraId="6F575177" w14:textId="77777777" w:rsidR="009830CB" w:rsidRPr="00D45B3D" w:rsidRDefault="009830CB" w:rsidP="009830CB">
            <w:pPr>
              <w:rPr>
                <w:lang w:val="en-CA"/>
              </w:rPr>
            </w:pPr>
          </w:p>
        </w:tc>
      </w:tr>
      <w:tr w:rsidR="005979FD" w:rsidRPr="00D45B3D" w14:paraId="23D81AAF" w14:textId="77777777" w:rsidTr="00CC2FAC">
        <w:trPr>
          <w:jc w:val="center"/>
        </w:trPr>
        <w:tc>
          <w:tcPr>
            <w:tcW w:w="5670" w:type="dxa"/>
            <w:shd w:val="clear" w:color="auto" w:fill="auto"/>
          </w:tcPr>
          <w:p w14:paraId="02311AA3" w14:textId="55A50E2F" w:rsidR="009830CB" w:rsidRPr="00D45B3D" w:rsidRDefault="009830CB" w:rsidP="00755BF9">
            <w:pPr>
              <w:spacing w:after="0"/>
              <w:contextualSpacing/>
              <w:rPr>
                <w:rFonts w:eastAsia="Calibri"/>
                <w:sz w:val="16"/>
                <w:szCs w:val="16"/>
                <w:lang w:val="en-CA"/>
              </w:rPr>
            </w:pPr>
            <w:r w:rsidRPr="00D45B3D">
              <w:rPr>
                <w:rFonts w:asciiTheme="minorHAnsi" w:hAnsiTheme="minorHAnsi" w:cstheme="minorHAnsi"/>
                <w:sz w:val="16"/>
                <w:szCs w:val="16"/>
              </w:rPr>
              <w:t xml:space="preserve">Stakeholder consultation for ESMF M&amp;E and update </w:t>
            </w:r>
          </w:p>
        </w:tc>
        <w:tc>
          <w:tcPr>
            <w:tcW w:w="340" w:type="dxa"/>
            <w:shd w:val="clear" w:color="auto" w:fill="auto"/>
          </w:tcPr>
          <w:p w14:paraId="30D784C1" w14:textId="77777777" w:rsidR="009830CB" w:rsidRPr="00D45B3D" w:rsidRDefault="009830CB" w:rsidP="009830CB">
            <w:pPr>
              <w:rPr>
                <w:lang w:val="en-CA"/>
              </w:rPr>
            </w:pPr>
          </w:p>
        </w:tc>
        <w:tc>
          <w:tcPr>
            <w:tcW w:w="340" w:type="dxa"/>
            <w:shd w:val="clear" w:color="auto" w:fill="auto"/>
          </w:tcPr>
          <w:p w14:paraId="570CBA07" w14:textId="77777777" w:rsidR="009830CB" w:rsidRPr="00D45B3D" w:rsidRDefault="009830CB" w:rsidP="009830CB">
            <w:pPr>
              <w:rPr>
                <w:lang w:val="en-CA"/>
              </w:rPr>
            </w:pPr>
          </w:p>
        </w:tc>
        <w:tc>
          <w:tcPr>
            <w:tcW w:w="340" w:type="dxa"/>
            <w:shd w:val="clear" w:color="auto" w:fill="D9D9D9" w:themeFill="background1" w:themeFillShade="D9"/>
          </w:tcPr>
          <w:p w14:paraId="1E498E30" w14:textId="77777777" w:rsidR="009830CB" w:rsidRPr="00D45B3D" w:rsidRDefault="009830CB" w:rsidP="009830CB">
            <w:pPr>
              <w:rPr>
                <w:lang w:val="en-CA"/>
              </w:rPr>
            </w:pPr>
          </w:p>
        </w:tc>
        <w:tc>
          <w:tcPr>
            <w:tcW w:w="340" w:type="dxa"/>
            <w:shd w:val="clear" w:color="auto" w:fill="D9D9D9" w:themeFill="background1" w:themeFillShade="D9"/>
          </w:tcPr>
          <w:p w14:paraId="06E093A5" w14:textId="77777777" w:rsidR="009830CB" w:rsidRPr="00D45B3D" w:rsidRDefault="009830CB" w:rsidP="009830CB">
            <w:pPr>
              <w:rPr>
                <w:lang w:val="en-CA"/>
              </w:rPr>
            </w:pPr>
          </w:p>
        </w:tc>
        <w:tc>
          <w:tcPr>
            <w:tcW w:w="340" w:type="dxa"/>
            <w:shd w:val="clear" w:color="auto" w:fill="FFFFFF" w:themeFill="background1"/>
          </w:tcPr>
          <w:p w14:paraId="708CCA00" w14:textId="77777777" w:rsidR="009830CB" w:rsidRPr="00D45B3D" w:rsidRDefault="009830CB" w:rsidP="009830CB">
            <w:pPr>
              <w:rPr>
                <w:lang w:val="en-CA"/>
              </w:rPr>
            </w:pPr>
          </w:p>
        </w:tc>
        <w:tc>
          <w:tcPr>
            <w:tcW w:w="340" w:type="dxa"/>
            <w:shd w:val="clear" w:color="auto" w:fill="FFFFFF" w:themeFill="background1"/>
          </w:tcPr>
          <w:p w14:paraId="642E5084" w14:textId="77777777" w:rsidR="009830CB" w:rsidRPr="00D45B3D" w:rsidRDefault="009830CB" w:rsidP="009830CB">
            <w:pPr>
              <w:rPr>
                <w:lang w:val="en-CA"/>
              </w:rPr>
            </w:pPr>
          </w:p>
        </w:tc>
        <w:tc>
          <w:tcPr>
            <w:tcW w:w="340" w:type="dxa"/>
            <w:shd w:val="clear" w:color="auto" w:fill="D9D9D9" w:themeFill="background1" w:themeFillShade="D9"/>
          </w:tcPr>
          <w:p w14:paraId="5FD3D528" w14:textId="77777777" w:rsidR="009830CB" w:rsidRPr="00D45B3D" w:rsidRDefault="009830CB" w:rsidP="009830CB">
            <w:pPr>
              <w:rPr>
                <w:lang w:val="en-CA"/>
              </w:rPr>
            </w:pPr>
          </w:p>
        </w:tc>
        <w:tc>
          <w:tcPr>
            <w:tcW w:w="340" w:type="dxa"/>
            <w:shd w:val="clear" w:color="auto" w:fill="D9D9D9" w:themeFill="background1" w:themeFillShade="D9"/>
          </w:tcPr>
          <w:p w14:paraId="5CA54D60" w14:textId="77777777" w:rsidR="009830CB" w:rsidRPr="00D45B3D" w:rsidRDefault="009830CB" w:rsidP="009830CB">
            <w:pPr>
              <w:rPr>
                <w:lang w:val="en-CA"/>
              </w:rPr>
            </w:pPr>
          </w:p>
        </w:tc>
        <w:tc>
          <w:tcPr>
            <w:tcW w:w="340" w:type="dxa"/>
            <w:shd w:val="clear" w:color="auto" w:fill="FFFFFF" w:themeFill="background1"/>
          </w:tcPr>
          <w:p w14:paraId="4C9640A7" w14:textId="77777777" w:rsidR="009830CB" w:rsidRPr="00D45B3D" w:rsidRDefault="009830CB" w:rsidP="009830CB">
            <w:pPr>
              <w:rPr>
                <w:lang w:val="en-CA"/>
              </w:rPr>
            </w:pPr>
          </w:p>
        </w:tc>
        <w:tc>
          <w:tcPr>
            <w:tcW w:w="340" w:type="dxa"/>
            <w:shd w:val="clear" w:color="auto" w:fill="FFFFFF" w:themeFill="background1"/>
          </w:tcPr>
          <w:p w14:paraId="3B3B2C45" w14:textId="77777777" w:rsidR="009830CB" w:rsidRPr="00D45B3D" w:rsidRDefault="009830CB" w:rsidP="009830CB">
            <w:pPr>
              <w:rPr>
                <w:lang w:val="en-CA"/>
              </w:rPr>
            </w:pPr>
          </w:p>
        </w:tc>
        <w:tc>
          <w:tcPr>
            <w:tcW w:w="340" w:type="dxa"/>
            <w:shd w:val="clear" w:color="auto" w:fill="D9D9D9" w:themeFill="background1" w:themeFillShade="D9"/>
          </w:tcPr>
          <w:p w14:paraId="681E3898" w14:textId="77777777" w:rsidR="009830CB" w:rsidRPr="00D45B3D" w:rsidRDefault="009830CB" w:rsidP="009830CB">
            <w:pPr>
              <w:rPr>
                <w:lang w:val="en-CA"/>
              </w:rPr>
            </w:pPr>
          </w:p>
        </w:tc>
        <w:tc>
          <w:tcPr>
            <w:tcW w:w="340" w:type="dxa"/>
            <w:shd w:val="clear" w:color="auto" w:fill="D9D9D9" w:themeFill="background1" w:themeFillShade="D9"/>
          </w:tcPr>
          <w:p w14:paraId="6A6DFDC7" w14:textId="77777777" w:rsidR="009830CB" w:rsidRPr="00D45B3D" w:rsidRDefault="009830CB" w:rsidP="009830CB">
            <w:pPr>
              <w:rPr>
                <w:lang w:val="en-CA"/>
              </w:rPr>
            </w:pPr>
          </w:p>
        </w:tc>
        <w:tc>
          <w:tcPr>
            <w:tcW w:w="340" w:type="dxa"/>
            <w:shd w:val="clear" w:color="auto" w:fill="FFFFFF" w:themeFill="background1"/>
          </w:tcPr>
          <w:p w14:paraId="18AD9DFA" w14:textId="77777777" w:rsidR="009830CB" w:rsidRPr="00D45B3D" w:rsidRDefault="009830CB" w:rsidP="009830CB">
            <w:pPr>
              <w:rPr>
                <w:lang w:val="en-CA"/>
              </w:rPr>
            </w:pPr>
          </w:p>
        </w:tc>
        <w:tc>
          <w:tcPr>
            <w:tcW w:w="340" w:type="dxa"/>
            <w:shd w:val="clear" w:color="auto" w:fill="FFFFFF" w:themeFill="background1"/>
          </w:tcPr>
          <w:p w14:paraId="57923BC3" w14:textId="77777777" w:rsidR="009830CB" w:rsidRPr="00D45B3D" w:rsidRDefault="009830CB" w:rsidP="009830CB">
            <w:pPr>
              <w:rPr>
                <w:lang w:val="en-CA"/>
              </w:rPr>
            </w:pPr>
          </w:p>
        </w:tc>
        <w:tc>
          <w:tcPr>
            <w:tcW w:w="340" w:type="dxa"/>
            <w:shd w:val="clear" w:color="auto" w:fill="D9D9D9" w:themeFill="background1" w:themeFillShade="D9"/>
          </w:tcPr>
          <w:p w14:paraId="200B8DAB" w14:textId="77777777" w:rsidR="009830CB" w:rsidRPr="00D45B3D" w:rsidRDefault="009830CB" w:rsidP="009830CB">
            <w:pPr>
              <w:rPr>
                <w:lang w:val="en-CA"/>
              </w:rPr>
            </w:pPr>
          </w:p>
        </w:tc>
        <w:tc>
          <w:tcPr>
            <w:tcW w:w="340" w:type="dxa"/>
            <w:shd w:val="clear" w:color="auto" w:fill="D9D9D9" w:themeFill="background1" w:themeFillShade="D9"/>
          </w:tcPr>
          <w:p w14:paraId="7646AD30" w14:textId="77777777" w:rsidR="009830CB" w:rsidRPr="00D45B3D" w:rsidRDefault="009830CB" w:rsidP="009830CB">
            <w:pPr>
              <w:rPr>
                <w:lang w:val="en-CA"/>
              </w:rPr>
            </w:pPr>
          </w:p>
        </w:tc>
        <w:tc>
          <w:tcPr>
            <w:tcW w:w="340" w:type="dxa"/>
            <w:shd w:val="clear" w:color="auto" w:fill="FFFFFF" w:themeFill="background1"/>
          </w:tcPr>
          <w:p w14:paraId="106F0300" w14:textId="77777777" w:rsidR="009830CB" w:rsidRPr="00D45B3D" w:rsidRDefault="009830CB" w:rsidP="009830CB">
            <w:pPr>
              <w:rPr>
                <w:lang w:val="en-CA"/>
              </w:rPr>
            </w:pPr>
          </w:p>
        </w:tc>
        <w:tc>
          <w:tcPr>
            <w:tcW w:w="340" w:type="dxa"/>
            <w:shd w:val="clear" w:color="auto" w:fill="FFFFFF" w:themeFill="background1"/>
          </w:tcPr>
          <w:p w14:paraId="0DD2D485" w14:textId="77777777" w:rsidR="009830CB" w:rsidRPr="00D45B3D" w:rsidRDefault="009830CB" w:rsidP="009830CB">
            <w:pPr>
              <w:rPr>
                <w:lang w:val="en-CA"/>
              </w:rPr>
            </w:pPr>
          </w:p>
        </w:tc>
        <w:tc>
          <w:tcPr>
            <w:tcW w:w="340" w:type="dxa"/>
            <w:shd w:val="clear" w:color="auto" w:fill="D9D9D9" w:themeFill="background1" w:themeFillShade="D9"/>
          </w:tcPr>
          <w:p w14:paraId="6C2FAAA9" w14:textId="77777777" w:rsidR="009830CB" w:rsidRPr="00D45B3D" w:rsidRDefault="009830CB" w:rsidP="009830CB">
            <w:pPr>
              <w:rPr>
                <w:lang w:val="en-CA"/>
              </w:rPr>
            </w:pPr>
          </w:p>
        </w:tc>
        <w:tc>
          <w:tcPr>
            <w:tcW w:w="340" w:type="dxa"/>
            <w:shd w:val="clear" w:color="auto" w:fill="D9D9D9" w:themeFill="background1" w:themeFillShade="D9"/>
          </w:tcPr>
          <w:p w14:paraId="7BB30602" w14:textId="77777777" w:rsidR="009830CB" w:rsidRPr="00D45B3D" w:rsidRDefault="009830CB" w:rsidP="009830CB">
            <w:pPr>
              <w:rPr>
                <w:lang w:val="en-CA"/>
              </w:rPr>
            </w:pPr>
          </w:p>
        </w:tc>
        <w:tc>
          <w:tcPr>
            <w:tcW w:w="340" w:type="dxa"/>
            <w:shd w:val="clear" w:color="auto" w:fill="FFFFFF" w:themeFill="background1"/>
          </w:tcPr>
          <w:p w14:paraId="1DFA7B3B" w14:textId="77777777" w:rsidR="009830CB" w:rsidRPr="00D45B3D" w:rsidRDefault="009830CB" w:rsidP="009830CB">
            <w:pPr>
              <w:rPr>
                <w:lang w:val="en-CA"/>
              </w:rPr>
            </w:pPr>
          </w:p>
        </w:tc>
        <w:tc>
          <w:tcPr>
            <w:tcW w:w="340" w:type="dxa"/>
            <w:shd w:val="clear" w:color="auto" w:fill="FFFFFF" w:themeFill="background1"/>
          </w:tcPr>
          <w:p w14:paraId="2D564DB1" w14:textId="77777777" w:rsidR="009830CB" w:rsidRPr="00D45B3D" w:rsidRDefault="009830CB" w:rsidP="009830CB">
            <w:pPr>
              <w:rPr>
                <w:lang w:val="en-CA"/>
              </w:rPr>
            </w:pPr>
          </w:p>
        </w:tc>
        <w:tc>
          <w:tcPr>
            <w:tcW w:w="340" w:type="dxa"/>
            <w:shd w:val="clear" w:color="auto" w:fill="D9D9D9" w:themeFill="background1" w:themeFillShade="D9"/>
          </w:tcPr>
          <w:p w14:paraId="62EF4F2C" w14:textId="77777777" w:rsidR="009830CB" w:rsidRPr="00D45B3D" w:rsidRDefault="009830CB" w:rsidP="009830CB">
            <w:pPr>
              <w:rPr>
                <w:lang w:val="en-CA"/>
              </w:rPr>
            </w:pPr>
          </w:p>
        </w:tc>
        <w:tc>
          <w:tcPr>
            <w:tcW w:w="340" w:type="dxa"/>
            <w:shd w:val="clear" w:color="auto" w:fill="D9D9D9" w:themeFill="background1" w:themeFillShade="D9"/>
          </w:tcPr>
          <w:p w14:paraId="11BD3CF4" w14:textId="77777777" w:rsidR="009830CB" w:rsidRPr="00D45B3D" w:rsidRDefault="009830CB" w:rsidP="009830CB">
            <w:pPr>
              <w:rPr>
                <w:lang w:val="en-CA"/>
              </w:rPr>
            </w:pPr>
          </w:p>
        </w:tc>
      </w:tr>
      <w:tr w:rsidR="005979FD" w:rsidRPr="007F4D35" w14:paraId="44AB8944" w14:textId="77777777" w:rsidTr="00CC2FAC">
        <w:trPr>
          <w:jc w:val="center"/>
        </w:trPr>
        <w:tc>
          <w:tcPr>
            <w:tcW w:w="5670" w:type="dxa"/>
            <w:shd w:val="clear" w:color="auto" w:fill="auto"/>
          </w:tcPr>
          <w:p w14:paraId="0911DD49" w14:textId="7188D0AB" w:rsidR="009830CB" w:rsidRPr="009830CB" w:rsidRDefault="009830CB" w:rsidP="00755BF9">
            <w:pPr>
              <w:spacing w:after="0"/>
              <w:contextualSpacing/>
              <w:rPr>
                <w:rFonts w:eastAsia="Calibri"/>
                <w:sz w:val="16"/>
                <w:szCs w:val="16"/>
                <w:lang w:val="en-CA"/>
              </w:rPr>
            </w:pPr>
            <w:r w:rsidRPr="00D45B3D">
              <w:rPr>
                <w:rFonts w:asciiTheme="minorHAnsi" w:hAnsiTheme="minorHAnsi" w:cstheme="minorHAnsi"/>
                <w:sz w:val="16"/>
                <w:szCs w:val="16"/>
              </w:rPr>
              <w:t>Project Steering Committee meeting for Safeguards M&amp;E</w:t>
            </w:r>
          </w:p>
        </w:tc>
        <w:tc>
          <w:tcPr>
            <w:tcW w:w="340" w:type="dxa"/>
            <w:shd w:val="clear" w:color="auto" w:fill="auto"/>
          </w:tcPr>
          <w:p w14:paraId="0D62E01C" w14:textId="77777777" w:rsidR="009830CB" w:rsidRPr="007F4D35" w:rsidRDefault="009830CB" w:rsidP="009830CB">
            <w:pPr>
              <w:rPr>
                <w:lang w:val="en-CA"/>
              </w:rPr>
            </w:pPr>
          </w:p>
        </w:tc>
        <w:tc>
          <w:tcPr>
            <w:tcW w:w="340" w:type="dxa"/>
            <w:shd w:val="clear" w:color="auto" w:fill="FFFFFF" w:themeFill="background1"/>
          </w:tcPr>
          <w:p w14:paraId="253C5A8E" w14:textId="77777777" w:rsidR="009830CB" w:rsidRPr="007F4D35" w:rsidRDefault="009830CB" w:rsidP="009830CB">
            <w:pPr>
              <w:rPr>
                <w:lang w:val="en-CA"/>
              </w:rPr>
            </w:pPr>
          </w:p>
        </w:tc>
        <w:tc>
          <w:tcPr>
            <w:tcW w:w="340" w:type="dxa"/>
            <w:shd w:val="clear" w:color="auto" w:fill="D9D9D9" w:themeFill="background1" w:themeFillShade="D9"/>
          </w:tcPr>
          <w:p w14:paraId="176ABEE6" w14:textId="77777777" w:rsidR="009830CB" w:rsidRPr="007F4D35" w:rsidRDefault="009830CB" w:rsidP="009830CB">
            <w:pPr>
              <w:rPr>
                <w:lang w:val="en-CA"/>
              </w:rPr>
            </w:pPr>
          </w:p>
        </w:tc>
        <w:tc>
          <w:tcPr>
            <w:tcW w:w="340" w:type="dxa"/>
            <w:shd w:val="clear" w:color="auto" w:fill="D9D9D9" w:themeFill="background1" w:themeFillShade="D9"/>
          </w:tcPr>
          <w:p w14:paraId="752A31B4" w14:textId="77777777" w:rsidR="009830CB" w:rsidRPr="007F4D35" w:rsidRDefault="009830CB" w:rsidP="009830CB">
            <w:pPr>
              <w:rPr>
                <w:lang w:val="en-CA"/>
              </w:rPr>
            </w:pPr>
          </w:p>
        </w:tc>
        <w:tc>
          <w:tcPr>
            <w:tcW w:w="340" w:type="dxa"/>
            <w:shd w:val="clear" w:color="auto" w:fill="FFFFFF" w:themeFill="background1"/>
          </w:tcPr>
          <w:p w14:paraId="6EC1B069" w14:textId="77777777" w:rsidR="009830CB" w:rsidRPr="007F4D35" w:rsidRDefault="009830CB" w:rsidP="009830CB">
            <w:pPr>
              <w:rPr>
                <w:lang w:val="en-CA"/>
              </w:rPr>
            </w:pPr>
          </w:p>
        </w:tc>
        <w:tc>
          <w:tcPr>
            <w:tcW w:w="340" w:type="dxa"/>
            <w:shd w:val="clear" w:color="auto" w:fill="FFFFFF" w:themeFill="background1"/>
          </w:tcPr>
          <w:p w14:paraId="1799AD40" w14:textId="77777777" w:rsidR="009830CB" w:rsidRPr="007F4D35" w:rsidRDefault="009830CB" w:rsidP="009830CB">
            <w:pPr>
              <w:rPr>
                <w:lang w:val="en-CA"/>
              </w:rPr>
            </w:pPr>
          </w:p>
        </w:tc>
        <w:tc>
          <w:tcPr>
            <w:tcW w:w="340" w:type="dxa"/>
            <w:shd w:val="clear" w:color="auto" w:fill="D9D9D9" w:themeFill="background1" w:themeFillShade="D9"/>
          </w:tcPr>
          <w:p w14:paraId="7D982286" w14:textId="77777777" w:rsidR="009830CB" w:rsidRPr="007F4D35" w:rsidRDefault="009830CB" w:rsidP="009830CB">
            <w:pPr>
              <w:rPr>
                <w:lang w:val="en-CA"/>
              </w:rPr>
            </w:pPr>
          </w:p>
        </w:tc>
        <w:tc>
          <w:tcPr>
            <w:tcW w:w="340" w:type="dxa"/>
            <w:shd w:val="clear" w:color="auto" w:fill="D9D9D9" w:themeFill="background1" w:themeFillShade="D9"/>
          </w:tcPr>
          <w:p w14:paraId="50716A50" w14:textId="77777777" w:rsidR="009830CB" w:rsidRPr="007F4D35" w:rsidRDefault="009830CB" w:rsidP="009830CB">
            <w:pPr>
              <w:rPr>
                <w:lang w:val="en-CA"/>
              </w:rPr>
            </w:pPr>
          </w:p>
        </w:tc>
        <w:tc>
          <w:tcPr>
            <w:tcW w:w="340" w:type="dxa"/>
            <w:shd w:val="clear" w:color="auto" w:fill="FFFFFF" w:themeFill="background1"/>
          </w:tcPr>
          <w:p w14:paraId="2A084DD0" w14:textId="77777777" w:rsidR="009830CB" w:rsidRPr="007F4D35" w:rsidRDefault="009830CB" w:rsidP="009830CB">
            <w:pPr>
              <w:rPr>
                <w:lang w:val="en-CA"/>
              </w:rPr>
            </w:pPr>
          </w:p>
        </w:tc>
        <w:tc>
          <w:tcPr>
            <w:tcW w:w="340" w:type="dxa"/>
            <w:shd w:val="clear" w:color="auto" w:fill="FFFFFF" w:themeFill="background1"/>
          </w:tcPr>
          <w:p w14:paraId="1B9DFABC" w14:textId="77777777" w:rsidR="009830CB" w:rsidRPr="007F4D35" w:rsidRDefault="009830CB" w:rsidP="009830CB">
            <w:pPr>
              <w:rPr>
                <w:lang w:val="en-CA"/>
              </w:rPr>
            </w:pPr>
          </w:p>
        </w:tc>
        <w:tc>
          <w:tcPr>
            <w:tcW w:w="340" w:type="dxa"/>
            <w:shd w:val="clear" w:color="auto" w:fill="D9D9D9" w:themeFill="background1" w:themeFillShade="D9"/>
          </w:tcPr>
          <w:p w14:paraId="16A8AD6E" w14:textId="77777777" w:rsidR="009830CB" w:rsidRPr="007F4D35" w:rsidRDefault="009830CB" w:rsidP="009830CB">
            <w:pPr>
              <w:rPr>
                <w:lang w:val="en-CA"/>
              </w:rPr>
            </w:pPr>
          </w:p>
        </w:tc>
        <w:tc>
          <w:tcPr>
            <w:tcW w:w="340" w:type="dxa"/>
            <w:shd w:val="clear" w:color="auto" w:fill="D9D9D9" w:themeFill="background1" w:themeFillShade="D9"/>
          </w:tcPr>
          <w:p w14:paraId="6012121A" w14:textId="77777777" w:rsidR="009830CB" w:rsidRPr="007F4D35" w:rsidRDefault="009830CB" w:rsidP="009830CB">
            <w:pPr>
              <w:rPr>
                <w:lang w:val="en-CA"/>
              </w:rPr>
            </w:pPr>
          </w:p>
        </w:tc>
        <w:tc>
          <w:tcPr>
            <w:tcW w:w="340" w:type="dxa"/>
            <w:shd w:val="clear" w:color="auto" w:fill="FFFFFF" w:themeFill="background1"/>
          </w:tcPr>
          <w:p w14:paraId="304D51AD" w14:textId="77777777" w:rsidR="009830CB" w:rsidRPr="007F4D35" w:rsidRDefault="009830CB" w:rsidP="009830CB">
            <w:pPr>
              <w:rPr>
                <w:lang w:val="en-CA"/>
              </w:rPr>
            </w:pPr>
          </w:p>
        </w:tc>
        <w:tc>
          <w:tcPr>
            <w:tcW w:w="340" w:type="dxa"/>
            <w:shd w:val="clear" w:color="auto" w:fill="FFFFFF" w:themeFill="background1"/>
          </w:tcPr>
          <w:p w14:paraId="214338B6" w14:textId="77777777" w:rsidR="009830CB" w:rsidRPr="007F4D35" w:rsidRDefault="009830CB" w:rsidP="009830CB">
            <w:pPr>
              <w:rPr>
                <w:lang w:val="en-CA"/>
              </w:rPr>
            </w:pPr>
          </w:p>
        </w:tc>
        <w:tc>
          <w:tcPr>
            <w:tcW w:w="340" w:type="dxa"/>
            <w:shd w:val="clear" w:color="auto" w:fill="D9D9D9" w:themeFill="background1" w:themeFillShade="D9"/>
          </w:tcPr>
          <w:p w14:paraId="2AE34FF2" w14:textId="77777777" w:rsidR="009830CB" w:rsidRPr="007F4D35" w:rsidRDefault="009830CB" w:rsidP="009830CB">
            <w:pPr>
              <w:rPr>
                <w:lang w:val="en-CA"/>
              </w:rPr>
            </w:pPr>
          </w:p>
        </w:tc>
        <w:tc>
          <w:tcPr>
            <w:tcW w:w="340" w:type="dxa"/>
            <w:shd w:val="clear" w:color="auto" w:fill="D9D9D9" w:themeFill="background1" w:themeFillShade="D9"/>
          </w:tcPr>
          <w:p w14:paraId="6D7EC8BC" w14:textId="77777777" w:rsidR="009830CB" w:rsidRPr="007F4D35" w:rsidRDefault="009830CB" w:rsidP="009830CB">
            <w:pPr>
              <w:rPr>
                <w:lang w:val="en-CA"/>
              </w:rPr>
            </w:pPr>
          </w:p>
        </w:tc>
        <w:tc>
          <w:tcPr>
            <w:tcW w:w="340" w:type="dxa"/>
            <w:shd w:val="clear" w:color="auto" w:fill="FFFFFF" w:themeFill="background1"/>
          </w:tcPr>
          <w:p w14:paraId="33E7BBA0" w14:textId="77777777" w:rsidR="009830CB" w:rsidRPr="007F4D35" w:rsidRDefault="009830CB" w:rsidP="009830CB">
            <w:pPr>
              <w:rPr>
                <w:lang w:val="en-CA"/>
              </w:rPr>
            </w:pPr>
          </w:p>
        </w:tc>
        <w:tc>
          <w:tcPr>
            <w:tcW w:w="340" w:type="dxa"/>
            <w:shd w:val="clear" w:color="auto" w:fill="FFFFFF" w:themeFill="background1"/>
          </w:tcPr>
          <w:p w14:paraId="5C15AF2E" w14:textId="77777777" w:rsidR="009830CB" w:rsidRPr="007F4D35" w:rsidRDefault="009830CB" w:rsidP="009830CB">
            <w:pPr>
              <w:rPr>
                <w:lang w:val="en-CA"/>
              </w:rPr>
            </w:pPr>
          </w:p>
        </w:tc>
        <w:tc>
          <w:tcPr>
            <w:tcW w:w="340" w:type="dxa"/>
            <w:shd w:val="clear" w:color="auto" w:fill="D9D9D9" w:themeFill="background1" w:themeFillShade="D9"/>
          </w:tcPr>
          <w:p w14:paraId="46EE718B" w14:textId="77777777" w:rsidR="009830CB" w:rsidRPr="007F4D35" w:rsidRDefault="009830CB" w:rsidP="009830CB">
            <w:pPr>
              <w:rPr>
                <w:lang w:val="en-CA"/>
              </w:rPr>
            </w:pPr>
          </w:p>
        </w:tc>
        <w:tc>
          <w:tcPr>
            <w:tcW w:w="340" w:type="dxa"/>
            <w:shd w:val="clear" w:color="auto" w:fill="D9D9D9" w:themeFill="background1" w:themeFillShade="D9"/>
          </w:tcPr>
          <w:p w14:paraId="4486C8AC" w14:textId="77777777" w:rsidR="009830CB" w:rsidRPr="007F4D35" w:rsidRDefault="009830CB" w:rsidP="009830CB">
            <w:pPr>
              <w:rPr>
                <w:lang w:val="en-CA"/>
              </w:rPr>
            </w:pPr>
          </w:p>
        </w:tc>
        <w:tc>
          <w:tcPr>
            <w:tcW w:w="340" w:type="dxa"/>
            <w:shd w:val="clear" w:color="auto" w:fill="FFFFFF" w:themeFill="background1"/>
          </w:tcPr>
          <w:p w14:paraId="01CD4CE6" w14:textId="77777777" w:rsidR="009830CB" w:rsidRPr="007F4D35" w:rsidRDefault="009830CB" w:rsidP="009830CB">
            <w:pPr>
              <w:rPr>
                <w:lang w:val="en-CA"/>
              </w:rPr>
            </w:pPr>
          </w:p>
        </w:tc>
        <w:tc>
          <w:tcPr>
            <w:tcW w:w="340" w:type="dxa"/>
            <w:shd w:val="clear" w:color="auto" w:fill="FFFFFF" w:themeFill="background1"/>
          </w:tcPr>
          <w:p w14:paraId="3C0BC1F0" w14:textId="77777777" w:rsidR="009830CB" w:rsidRPr="007F4D35" w:rsidRDefault="009830CB" w:rsidP="009830CB">
            <w:pPr>
              <w:rPr>
                <w:lang w:val="en-CA"/>
              </w:rPr>
            </w:pPr>
          </w:p>
        </w:tc>
        <w:tc>
          <w:tcPr>
            <w:tcW w:w="340" w:type="dxa"/>
            <w:shd w:val="clear" w:color="auto" w:fill="D9D9D9" w:themeFill="background1" w:themeFillShade="D9"/>
          </w:tcPr>
          <w:p w14:paraId="2A1BD860" w14:textId="77777777" w:rsidR="009830CB" w:rsidRPr="007F4D35" w:rsidRDefault="009830CB" w:rsidP="009830CB">
            <w:pPr>
              <w:rPr>
                <w:lang w:val="en-CA"/>
              </w:rPr>
            </w:pPr>
          </w:p>
        </w:tc>
        <w:tc>
          <w:tcPr>
            <w:tcW w:w="340" w:type="dxa"/>
            <w:shd w:val="clear" w:color="auto" w:fill="D9D9D9" w:themeFill="background1" w:themeFillShade="D9"/>
          </w:tcPr>
          <w:p w14:paraId="0948B099" w14:textId="77777777" w:rsidR="009830CB" w:rsidRPr="007F4D35" w:rsidRDefault="009830CB" w:rsidP="009830CB">
            <w:pPr>
              <w:rPr>
                <w:lang w:val="en-CA"/>
              </w:rPr>
            </w:pPr>
          </w:p>
        </w:tc>
      </w:tr>
      <w:bookmarkEnd w:id="45"/>
    </w:tbl>
    <w:p w14:paraId="252DFC94" w14:textId="77777777" w:rsidR="00302BFE" w:rsidRPr="0093681C" w:rsidRDefault="00302BFE" w:rsidP="00302BFE">
      <w:pPr>
        <w:rPr>
          <w:lang w:val="en-CA"/>
        </w:rPr>
      </w:pPr>
    </w:p>
    <w:p w14:paraId="703F8657" w14:textId="77777777" w:rsidR="00302BFE" w:rsidRPr="001C72D6" w:rsidRDefault="00302BFE" w:rsidP="00302BFE">
      <w:pPr>
        <w:rPr>
          <w:szCs w:val="22"/>
          <w:lang w:val="en-CA"/>
        </w:rPr>
      </w:pPr>
    </w:p>
    <w:p w14:paraId="5011A9DF" w14:textId="77777777" w:rsidR="00302BFE" w:rsidRDefault="00302BFE" w:rsidP="00302BFE">
      <w:pPr>
        <w:pStyle w:val="Titre2"/>
        <w:ind w:left="0"/>
        <w:rPr>
          <w:rFonts w:ascii="Calibri" w:hAnsi="Calibri"/>
          <w:szCs w:val="22"/>
        </w:rPr>
      </w:pPr>
      <w:r>
        <w:rPr>
          <w:b w:val="0"/>
          <w:szCs w:val="22"/>
        </w:rPr>
        <w:br w:type="page"/>
      </w:r>
      <w:bookmarkStart w:id="46" w:name="_Toc9961802"/>
      <w:bookmarkEnd w:id="26"/>
      <w:bookmarkEnd w:id="27"/>
      <w:r w:rsidRPr="00421FD8">
        <w:rPr>
          <w:rFonts w:ascii="Calibri" w:hAnsi="Calibri"/>
          <w:szCs w:val="22"/>
        </w:rPr>
        <w:lastRenderedPageBreak/>
        <w:t>Annex B:  GEF</w:t>
      </w:r>
      <w:r>
        <w:rPr>
          <w:rFonts w:ascii="Calibri" w:hAnsi="Calibri"/>
          <w:szCs w:val="22"/>
        </w:rPr>
        <w:t>-7 Core Indicators</w:t>
      </w:r>
      <w:bookmarkEnd w:id="46"/>
    </w:p>
    <w:p w14:paraId="50AEAA00" w14:textId="77777777" w:rsidR="00302BFE" w:rsidRPr="00D45B3D" w:rsidRDefault="00302BFE" w:rsidP="00302BFE">
      <w:pPr>
        <w:jc w:val="center"/>
        <w:rPr>
          <w:rFonts w:asciiTheme="minorHAnsi" w:hAnsiTheme="minorHAnsi" w:cstheme="minorHAnsi"/>
          <w:b/>
          <w:sz w:val="24"/>
        </w:rPr>
      </w:pPr>
      <w:r w:rsidRPr="00D45B3D">
        <w:rPr>
          <w:rFonts w:asciiTheme="minorHAnsi" w:hAnsiTheme="minorHAnsi" w:cstheme="minorHAnsi"/>
          <w:b/>
          <w:sz w:val="24"/>
        </w:rPr>
        <w:t>GEF Core Indicators at [PIF / CEO ER / MTR / TE]</w:t>
      </w:r>
    </w:p>
    <w:p w14:paraId="57BCA19B" w14:textId="77777777" w:rsidR="00302BFE" w:rsidRPr="00D45B3D" w:rsidRDefault="00302BFE" w:rsidP="00302BFE">
      <w:pPr>
        <w:jc w:val="center"/>
        <w:rPr>
          <w:rFonts w:asciiTheme="minorHAnsi" w:hAnsiTheme="minorHAnsi" w:cstheme="minorHAnsi"/>
        </w:rPr>
      </w:pPr>
      <w:r w:rsidRPr="00D45B3D">
        <w:rPr>
          <w:rFonts w:asciiTheme="minorHAnsi" w:hAnsiTheme="minorHAnsi" w:cstheme="minorHAnsi"/>
        </w:rPr>
        <w:t>[PIMS 5938] [Burkina Faso]</w:t>
      </w:r>
    </w:p>
    <w:p w14:paraId="7A90AED1" w14:textId="77777777" w:rsidR="00302BFE" w:rsidRPr="00D45B3D" w:rsidRDefault="00302BFE" w:rsidP="00302BFE">
      <w:pPr>
        <w:jc w:val="center"/>
        <w:rPr>
          <w:rFonts w:asciiTheme="minorHAnsi" w:hAnsiTheme="minorHAnsi" w:cstheme="minorHAnsi"/>
        </w:rPr>
      </w:pPr>
      <w:r w:rsidRPr="00D45B3D">
        <w:rPr>
          <w:rFonts w:asciiTheme="minorHAnsi" w:hAnsiTheme="minorHAnsi" w:cstheme="minorHAnsi"/>
        </w:rPr>
        <w:t>[April 2019]</w:t>
      </w:r>
    </w:p>
    <w:p w14:paraId="1B8F7D44" w14:textId="77777777" w:rsidR="00302BFE" w:rsidRPr="00D45B3D" w:rsidRDefault="00302BFE" w:rsidP="00302BFE">
      <w:pPr>
        <w:spacing w:before="240" w:after="120"/>
        <w:rPr>
          <w:rFonts w:asciiTheme="minorHAnsi" w:eastAsia="Times New Roman" w:hAnsiTheme="minorHAnsi" w:cstheme="minorHAnsi"/>
          <w:b/>
          <w:color w:val="000000"/>
          <w:szCs w:val="20"/>
        </w:rPr>
      </w:pPr>
      <w:bookmarkStart w:id="47" w:name="_Toc7991603"/>
      <w:r w:rsidRPr="00D45B3D">
        <w:rPr>
          <w:rFonts w:asciiTheme="minorHAnsi" w:eastAsia="Times New Roman" w:hAnsiTheme="minorHAnsi" w:cstheme="minorHAnsi"/>
          <w:b/>
          <w:color w:val="000000"/>
          <w:szCs w:val="20"/>
        </w:rPr>
        <w:t>CORE INDICATOR 1: TERRESTRIAL PROTECTED AREAS CREATED OR UNDER IMPROVED MANAGEMENT FOR CONSERVATION AND SUSTAINABLE USE (HECTARES)</w:t>
      </w:r>
      <w:bookmarkEnd w:id="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551"/>
        <w:gridCol w:w="2410"/>
        <w:gridCol w:w="2020"/>
      </w:tblGrid>
      <w:tr w:rsidR="00302BFE" w:rsidRPr="00D45B3D" w14:paraId="1885D4A5" w14:textId="77777777" w:rsidTr="00243B15">
        <w:tc>
          <w:tcPr>
            <w:tcW w:w="2235" w:type="dxa"/>
            <w:shd w:val="clear" w:color="auto" w:fill="4472C4"/>
          </w:tcPr>
          <w:p w14:paraId="6AC55E8F"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PIF)</w:t>
            </w:r>
          </w:p>
        </w:tc>
        <w:tc>
          <w:tcPr>
            <w:tcW w:w="2551" w:type="dxa"/>
            <w:shd w:val="clear" w:color="auto" w:fill="4472C4"/>
          </w:tcPr>
          <w:p w14:paraId="30C99161"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CEO ER)</w:t>
            </w:r>
          </w:p>
        </w:tc>
        <w:tc>
          <w:tcPr>
            <w:tcW w:w="2410" w:type="dxa"/>
            <w:shd w:val="clear" w:color="auto" w:fill="4472C4"/>
          </w:tcPr>
          <w:p w14:paraId="3FDB12C6"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MTR)</w:t>
            </w:r>
          </w:p>
        </w:tc>
        <w:tc>
          <w:tcPr>
            <w:tcW w:w="2020" w:type="dxa"/>
            <w:shd w:val="clear" w:color="auto" w:fill="4472C4"/>
          </w:tcPr>
          <w:p w14:paraId="526C1C48"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TE)</w:t>
            </w:r>
          </w:p>
        </w:tc>
      </w:tr>
      <w:tr w:rsidR="00302BFE" w:rsidRPr="00D45B3D" w14:paraId="7D12FC46" w14:textId="77777777" w:rsidTr="00243B15">
        <w:tc>
          <w:tcPr>
            <w:tcW w:w="2235" w:type="dxa"/>
            <w:shd w:val="clear" w:color="auto" w:fill="auto"/>
          </w:tcPr>
          <w:p w14:paraId="613B734A"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436,057</w:t>
            </w:r>
          </w:p>
        </w:tc>
        <w:tc>
          <w:tcPr>
            <w:tcW w:w="2551" w:type="dxa"/>
            <w:shd w:val="clear" w:color="auto" w:fill="auto"/>
          </w:tcPr>
          <w:p w14:paraId="40C2C44F"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354,781</w:t>
            </w:r>
          </w:p>
        </w:tc>
        <w:tc>
          <w:tcPr>
            <w:tcW w:w="2410" w:type="dxa"/>
            <w:shd w:val="clear" w:color="auto" w:fill="auto"/>
          </w:tcPr>
          <w:p w14:paraId="0AF1F028" w14:textId="77777777" w:rsidR="00302BFE" w:rsidRPr="00D45B3D" w:rsidRDefault="00302BFE" w:rsidP="00243B15">
            <w:pPr>
              <w:rPr>
                <w:rFonts w:asciiTheme="minorHAnsi" w:eastAsia="Times New Roman" w:hAnsiTheme="minorHAnsi" w:cstheme="minorHAnsi"/>
                <w:color w:val="000000"/>
                <w:szCs w:val="20"/>
              </w:rPr>
            </w:pPr>
          </w:p>
        </w:tc>
        <w:tc>
          <w:tcPr>
            <w:tcW w:w="2020" w:type="dxa"/>
            <w:shd w:val="clear" w:color="auto" w:fill="auto"/>
          </w:tcPr>
          <w:p w14:paraId="7E96DFC1" w14:textId="77777777" w:rsidR="00302BFE" w:rsidRPr="00D45B3D" w:rsidRDefault="00302BFE" w:rsidP="00243B15">
            <w:pPr>
              <w:rPr>
                <w:rFonts w:asciiTheme="minorHAnsi" w:eastAsia="Times New Roman" w:hAnsiTheme="minorHAnsi" w:cstheme="minorHAnsi"/>
                <w:color w:val="000000"/>
                <w:szCs w:val="20"/>
              </w:rPr>
            </w:pPr>
          </w:p>
        </w:tc>
      </w:tr>
    </w:tbl>
    <w:p w14:paraId="5C6511B9" w14:textId="77777777" w:rsidR="00302BFE" w:rsidRPr="00D45B3D" w:rsidRDefault="00302BFE" w:rsidP="00302BFE">
      <w:pPr>
        <w:rPr>
          <w:rFonts w:asciiTheme="minorHAnsi" w:eastAsia="Times New Roman" w:hAnsiTheme="minorHAnsi" w:cstheme="minorHAnsi"/>
          <w:i/>
          <w:color w:val="000000"/>
          <w:sz w:val="18"/>
          <w:szCs w:val="18"/>
        </w:rPr>
      </w:pPr>
      <w:r w:rsidRPr="00D45B3D">
        <w:rPr>
          <w:rFonts w:asciiTheme="minorHAnsi" w:eastAsia="Times New Roman" w:hAnsiTheme="minorHAnsi" w:cstheme="minorHAnsi"/>
          <w:i/>
          <w:color w:val="000000"/>
          <w:sz w:val="18"/>
          <w:szCs w:val="18"/>
        </w:rPr>
        <w:t xml:space="preserve">Figure at a given stage must be the sum of all figures reported under the two sub-indicators (1.1 and 1.2) for that stage. </w:t>
      </w:r>
    </w:p>
    <w:p w14:paraId="2C65CFA2" w14:textId="77777777" w:rsidR="00302BFE" w:rsidRPr="00D45B3D" w:rsidRDefault="00302BFE" w:rsidP="00302BFE">
      <w:pPr>
        <w:spacing w:after="0"/>
        <w:rPr>
          <w:rFonts w:asciiTheme="minorHAnsi" w:eastAsia="Times New Roman" w:hAnsiTheme="minorHAnsi" w:cstheme="minorHAnsi"/>
          <w:color w:val="000000"/>
          <w:sz w:val="16"/>
          <w:szCs w:val="16"/>
        </w:rPr>
      </w:pPr>
    </w:p>
    <w:p w14:paraId="58DB4321" w14:textId="77777777" w:rsidR="00302BFE" w:rsidRPr="00D45B3D" w:rsidRDefault="00302BFE" w:rsidP="00302BFE">
      <w:pPr>
        <w:rPr>
          <w:rFonts w:asciiTheme="minorHAnsi" w:eastAsia="Times New Roman" w:hAnsiTheme="minorHAnsi" w:cstheme="minorHAnsi"/>
          <w:b/>
          <w:color w:val="000000"/>
        </w:rPr>
      </w:pPr>
      <w:r w:rsidRPr="00D45B3D">
        <w:rPr>
          <w:rFonts w:asciiTheme="minorHAnsi" w:eastAsia="Times New Roman" w:hAnsiTheme="minorHAnsi" w:cstheme="minorHAnsi"/>
          <w:b/>
          <w:color w:val="000000"/>
        </w:rPr>
        <w:t>1.1 Terrestrial protected areas newly created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977"/>
        <w:gridCol w:w="2693"/>
        <w:gridCol w:w="2552"/>
      </w:tblGrid>
      <w:tr w:rsidR="00302BFE" w:rsidRPr="00D45B3D" w14:paraId="04E4A98C" w14:textId="77777777" w:rsidTr="00243B15">
        <w:tc>
          <w:tcPr>
            <w:tcW w:w="2518" w:type="dxa"/>
            <w:shd w:val="clear" w:color="auto" w:fill="4472C4"/>
          </w:tcPr>
          <w:p w14:paraId="6EAB3B8D"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(expected at PIF)</w:t>
            </w:r>
          </w:p>
        </w:tc>
        <w:tc>
          <w:tcPr>
            <w:tcW w:w="2977" w:type="dxa"/>
            <w:shd w:val="clear" w:color="auto" w:fill="4472C4"/>
          </w:tcPr>
          <w:p w14:paraId="3A188603"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(expected at CEO ER)</w:t>
            </w:r>
          </w:p>
        </w:tc>
        <w:tc>
          <w:tcPr>
            <w:tcW w:w="2693" w:type="dxa"/>
            <w:shd w:val="clear" w:color="auto" w:fill="4472C4"/>
          </w:tcPr>
          <w:p w14:paraId="59D9E93F"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(achieved at MTR)</w:t>
            </w:r>
          </w:p>
        </w:tc>
        <w:tc>
          <w:tcPr>
            <w:tcW w:w="2552" w:type="dxa"/>
            <w:shd w:val="clear" w:color="auto" w:fill="4472C4"/>
          </w:tcPr>
          <w:p w14:paraId="17D5ECA8"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(achieved at TE)</w:t>
            </w:r>
          </w:p>
        </w:tc>
      </w:tr>
      <w:tr w:rsidR="00302BFE" w:rsidRPr="00D45B3D" w14:paraId="5FCDCB13" w14:textId="77777777" w:rsidTr="00243B15">
        <w:tc>
          <w:tcPr>
            <w:tcW w:w="2518" w:type="dxa"/>
            <w:shd w:val="clear" w:color="auto" w:fill="auto"/>
          </w:tcPr>
          <w:p w14:paraId="53492265"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p>
        </w:tc>
        <w:tc>
          <w:tcPr>
            <w:tcW w:w="2977" w:type="dxa"/>
            <w:shd w:val="clear" w:color="auto" w:fill="auto"/>
          </w:tcPr>
          <w:p w14:paraId="37B961EC"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33,000</w:t>
            </w:r>
          </w:p>
        </w:tc>
        <w:tc>
          <w:tcPr>
            <w:tcW w:w="2693" w:type="dxa"/>
            <w:shd w:val="clear" w:color="auto" w:fill="auto"/>
          </w:tcPr>
          <w:p w14:paraId="5DEE5D6B" w14:textId="77777777" w:rsidR="00302BFE" w:rsidRPr="00D45B3D" w:rsidRDefault="00302BFE" w:rsidP="00243B15">
            <w:pPr>
              <w:rPr>
                <w:rFonts w:asciiTheme="minorHAnsi" w:eastAsia="Times New Roman" w:hAnsiTheme="minorHAnsi" w:cstheme="minorHAnsi"/>
                <w:color w:val="000000"/>
                <w:szCs w:val="20"/>
              </w:rPr>
            </w:pPr>
          </w:p>
        </w:tc>
        <w:tc>
          <w:tcPr>
            <w:tcW w:w="2552" w:type="dxa"/>
            <w:shd w:val="clear" w:color="auto" w:fill="auto"/>
          </w:tcPr>
          <w:p w14:paraId="1C82C50A" w14:textId="77777777" w:rsidR="00302BFE" w:rsidRPr="00D45B3D" w:rsidRDefault="00302BFE" w:rsidP="00243B15">
            <w:pPr>
              <w:rPr>
                <w:rFonts w:asciiTheme="minorHAnsi" w:eastAsia="Times New Roman" w:hAnsiTheme="minorHAnsi" w:cstheme="minorHAnsi"/>
                <w:color w:val="000000"/>
                <w:szCs w:val="20"/>
              </w:rPr>
            </w:pPr>
          </w:p>
        </w:tc>
      </w:tr>
    </w:tbl>
    <w:p w14:paraId="74F48BD0" w14:textId="77777777" w:rsidR="00302BFE" w:rsidRPr="00D45B3D" w:rsidRDefault="00302BFE" w:rsidP="00302BFE">
      <w:pPr>
        <w:rPr>
          <w:rFonts w:asciiTheme="minorHAnsi" w:eastAsia="Times New Roman" w:hAnsiTheme="minorHAnsi" w:cstheme="minorHAnsi"/>
          <w:i/>
          <w:color w:val="000000"/>
          <w:sz w:val="18"/>
          <w:szCs w:val="18"/>
        </w:rPr>
      </w:pPr>
      <w:r w:rsidRPr="00D45B3D">
        <w:rPr>
          <w:rFonts w:asciiTheme="minorHAnsi" w:eastAsia="Times New Roman" w:hAnsiTheme="minorHAnsi" w:cstheme="minorHAnsi"/>
          <w:i/>
          <w:color w:val="000000"/>
          <w:sz w:val="18"/>
          <w:szCs w:val="18"/>
        </w:rPr>
        <w:t>Figure at a given stage must be the sum of all individual PAs reported in the next table, for that stage.</w:t>
      </w:r>
    </w:p>
    <w:p w14:paraId="64A4AAB0" w14:textId="77777777" w:rsidR="00302BFE" w:rsidRPr="00D45B3D" w:rsidRDefault="00302BFE" w:rsidP="00302BFE">
      <w:pPr>
        <w:rPr>
          <w:rFonts w:asciiTheme="minorHAnsi" w:eastAsia="Times New Roman" w:hAnsiTheme="minorHAnsi" w:cstheme="minorHAnsi"/>
          <w:color w:val="00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134"/>
        <w:gridCol w:w="1701"/>
        <w:gridCol w:w="2410"/>
        <w:gridCol w:w="2555"/>
        <w:gridCol w:w="2107"/>
        <w:gridCol w:w="2107"/>
      </w:tblGrid>
      <w:tr w:rsidR="00302BFE" w:rsidRPr="00D45B3D" w14:paraId="4195FDBD" w14:textId="77777777" w:rsidTr="00243B15">
        <w:tc>
          <w:tcPr>
            <w:tcW w:w="2376" w:type="dxa"/>
            <w:shd w:val="clear" w:color="auto" w:fill="4472C4"/>
          </w:tcPr>
          <w:p w14:paraId="1C351328"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Name of Protected Area</w:t>
            </w:r>
          </w:p>
        </w:tc>
        <w:tc>
          <w:tcPr>
            <w:tcW w:w="1134" w:type="dxa"/>
            <w:shd w:val="clear" w:color="auto" w:fill="4472C4"/>
          </w:tcPr>
          <w:p w14:paraId="3B2CAA9E"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WDPA ID</w:t>
            </w:r>
          </w:p>
        </w:tc>
        <w:tc>
          <w:tcPr>
            <w:tcW w:w="1701" w:type="dxa"/>
            <w:shd w:val="clear" w:color="auto" w:fill="4472C4"/>
          </w:tcPr>
          <w:p w14:paraId="3B9A3502"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IUCN Category</w:t>
            </w:r>
          </w:p>
        </w:tc>
        <w:tc>
          <w:tcPr>
            <w:tcW w:w="2410" w:type="dxa"/>
            <w:shd w:val="clear" w:color="auto" w:fill="4472C4"/>
          </w:tcPr>
          <w:p w14:paraId="25F05DC0"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(expected at PIF)</w:t>
            </w:r>
          </w:p>
        </w:tc>
        <w:tc>
          <w:tcPr>
            <w:tcW w:w="2555" w:type="dxa"/>
            <w:shd w:val="clear" w:color="auto" w:fill="4472C4"/>
          </w:tcPr>
          <w:p w14:paraId="1149684B"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(expected at CEO ER)</w:t>
            </w:r>
          </w:p>
        </w:tc>
        <w:tc>
          <w:tcPr>
            <w:tcW w:w="2107" w:type="dxa"/>
            <w:shd w:val="clear" w:color="auto" w:fill="4472C4"/>
          </w:tcPr>
          <w:p w14:paraId="4832BB0B"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(achieved at MTR)</w:t>
            </w:r>
          </w:p>
        </w:tc>
        <w:tc>
          <w:tcPr>
            <w:tcW w:w="2107" w:type="dxa"/>
            <w:shd w:val="clear" w:color="auto" w:fill="4472C4"/>
          </w:tcPr>
          <w:p w14:paraId="5D3E7EDE"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(achieved at TE)</w:t>
            </w:r>
          </w:p>
        </w:tc>
      </w:tr>
      <w:tr w:rsidR="00302BFE" w:rsidRPr="00D45B3D" w14:paraId="4AD87C68" w14:textId="77777777" w:rsidTr="00243B15">
        <w:tc>
          <w:tcPr>
            <w:tcW w:w="2376" w:type="dxa"/>
            <w:shd w:val="clear" w:color="auto" w:fill="auto"/>
          </w:tcPr>
          <w:p w14:paraId="32341580"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Corridor #2</w:t>
            </w:r>
          </w:p>
        </w:tc>
        <w:tc>
          <w:tcPr>
            <w:tcW w:w="1134" w:type="dxa"/>
            <w:shd w:val="clear" w:color="auto" w:fill="auto"/>
          </w:tcPr>
          <w:p w14:paraId="1329A12D"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none</w:t>
            </w:r>
          </w:p>
        </w:tc>
        <w:tc>
          <w:tcPr>
            <w:tcW w:w="1701" w:type="dxa"/>
            <w:shd w:val="clear" w:color="auto" w:fill="auto"/>
          </w:tcPr>
          <w:p w14:paraId="3F18EE60"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IV</w:t>
            </w:r>
          </w:p>
        </w:tc>
        <w:tc>
          <w:tcPr>
            <w:tcW w:w="2410" w:type="dxa"/>
            <w:shd w:val="clear" w:color="auto" w:fill="auto"/>
          </w:tcPr>
          <w:p w14:paraId="3A7DA71A" w14:textId="77777777" w:rsidR="00302BFE" w:rsidRPr="00D45B3D" w:rsidRDefault="00302BFE" w:rsidP="00243B15">
            <w:pPr>
              <w:rPr>
                <w:rFonts w:asciiTheme="minorHAnsi" w:eastAsia="Times New Roman" w:hAnsiTheme="minorHAnsi" w:cstheme="minorHAnsi"/>
                <w:color w:val="000000"/>
                <w:szCs w:val="20"/>
              </w:rPr>
            </w:pPr>
          </w:p>
        </w:tc>
        <w:tc>
          <w:tcPr>
            <w:tcW w:w="2555" w:type="dxa"/>
            <w:shd w:val="clear" w:color="auto" w:fill="auto"/>
          </w:tcPr>
          <w:p w14:paraId="01805C34"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33,000</w:t>
            </w:r>
          </w:p>
        </w:tc>
        <w:tc>
          <w:tcPr>
            <w:tcW w:w="2107" w:type="dxa"/>
            <w:shd w:val="clear" w:color="auto" w:fill="auto"/>
          </w:tcPr>
          <w:p w14:paraId="345DDC81" w14:textId="77777777" w:rsidR="00302BFE" w:rsidRPr="00D45B3D" w:rsidRDefault="00302BFE" w:rsidP="00243B15">
            <w:pPr>
              <w:rPr>
                <w:rFonts w:asciiTheme="minorHAnsi" w:eastAsia="Times New Roman" w:hAnsiTheme="minorHAnsi" w:cstheme="minorHAnsi"/>
                <w:color w:val="000000"/>
                <w:szCs w:val="20"/>
              </w:rPr>
            </w:pPr>
          </w:p>
        </w:tc>
        <w:tc>
          <w:tcPr>
            <w:tcW w:w="2107" w:type="dxa"/>
            <w:shd w:val="clear" w:color="auto" w:fill="auto"/>
          </w:tcPr>
          <w:p w14:paraId="0FE121C0" w14:textId="77777777" w:rsidR="00302BFE" w:rsidRPr="00D45B3D" w:rsidRDefault="00302BFE" w:rsidP="00243B15">
            <w:pPr>
              <w:rPr>
                <w:rFonts w:asciiTheme="minorHAnsi" w:eastAsia="Times New Roman" w:hAnsiTheme="minorHAnsi" w:cstheme="minorHAnsi"/>
                <w:color w:val="000000"/>
                <w:szCs w:val="20"/>
              </w:rPr>
            </w:pPr>
          </w:p>
        </w:tc>
      </w:tr>
    </w:tbl>
    <w:p w14:paraId="6E298612" w14:textId="77777777" w:rsidR="00302BFE" w:rsidRPr="00D45B3D" w:rsidRDefault="00302BFE" w:rsidP="00302BFE">
      <w:pPr>
        <w:rPr>
          <w:rFonts w:asciiTheme="minorHAnsi" w:eastAsia="Times New Roman" w:hAnsiTheme="minorHAnsi" w:cstheme="minorHAnsi"/>
          <w:color w:val="00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552"/>
        <w:gridCol w:w="2268"/>
        <w:gridCol w:w="2410"/>
      </w:tblGrid>
      <w:tr w:rsidR="00302BFE" w:rsidRPr="00D45B3D" w14:paraId="2CA80C57" w14:textId="77777777" w:rsidTr="00243B15">
        <w:tc>
          <w:tcPr>
            <w:tcW w:w="2376" w:type="dxa"/>
            <w:shd w:val="clear" w:color="auto" w:fill="4472C4"/>
          </w:tcPr>
          <w:p w14:paraId="4A09526E"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Name of Protected Area</w:t>
            </w:r>
          </w:p>
        </w:tc>
        <w:tc>
          <w:tcPr>
            <w:tcW w:w="2552" w:type="dxa"/>
            <w:shd w:val="clear" w:color="auto" w:fill="4472C4"/>
          </w:tcPr>
          <w:p w14:paraId="62AC2365"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METT Score at CEO ER</w:t>
            </w:r>
          </w:p>
        </w:tc>
        <w:tc>
          <w:tcPr>
            <w:tcW w:w="2268" w:type="dxa"/>
            <w:shd w:val="clear" w:color="auto" w:fill="4472C4"/>
          </w:tcPr>
          <w:p w14:paraId="00D6C6F1"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METT Score at MTR</w:t>
            </w:r>
          </w:p>
        </w:tc>
        <w:tc>
          <w:tcPr>
            <w:tcW w:w="2410" w:type="dxa"/>
            <w:shd w:val="clear" w:color="auto" w:fill="4472C4"/>
          </w:tcPr>
          <w:p w14:paraId="4A9AB895"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METT Score at TE</w:t>
            </w:r>
          </w:p>
        </w:tc>
      </w:tr>
      <w:tr w:rsidR="00302BFE" w:rsidRPr="00D45B3D" w14:paraId="1FF08A1B" w14:textId="77777777" w:rsidTr="00243B15">
        <w:tc>
          <w:tcPr>
            <w:tcW w:w="2376" w:type="dxa"/>
            <w:shd w:val="clear" w:color="auto" w:fill="auto"/>
          </w:tcPr>
          <w:p w14:paraId="45EE2D3D"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Corridor #2</w:t>
            </w:r>
          </w:p>
        </w:tc>
        <w:tc>
          <w:tcPr>
            <w:tcW w:w="2552" w:type="dxa"/>
            <w:shd w:val="clear" w:color="auto" w:fill="auto"/>
          </w:tcPr>
          <w:p w14:paraId="5D4A4983"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31</w:t>
            </w:r>
          </w:p>
        </w:tc>
        <w:tc>
          <w:tcPr>
            <w:tcW w:w="2268" w:type="dxa"/>
            <w:shd w:val="clear" w:color="auto" w:fill="auto"/>
          </w:tcPr>
          <w:p w14:paraId="05F303F4" w14:textId="77777777" w:rsidR="00302BFE" w:rsidRPr="00D45B3D" w:rsidRDefault="00302BFE" w:rsidP="00243B15">
            <w:pPr>
              <w:rPr>
                <w:rFonts w:asciiTheme="minorHAnsi" w:eastAsia="Times New Roman" w:hAnsiTheme="minorHAnsi" w:cstheme="minorHAnsi"/>
                <w:color w:val="000000"/>
                <w:szCs w:val="20"/>
              </w:rPr>
            </w:pPr>
          </w:p>
        </w:tc>
        <w:tc>
          <w:tcPr>
            <w:tcW w:w="2410" w:type="dxa"/>
            <w:shd w:val="clear" w:color="auto" w:fill="auto"/>
          </w:tcPr>
          <w:p w14:paraId="56EB678E" w14:textId="77777777" w:rsidR="00302BFE" w:rsidRPr="00D45B3D" w:rsidRDefault="00302BFE" w:rsidP="00243B15">
            <w:pPr>
              <w:rPr>
                <w:rFonts w:asciiTheme="minorHAnsi" w:eastAsia="Times New Roman" w:hAnsiTheme="minorHAnsi" w:cstheme="minorHAnsi"/>
                <w:color w:val="000000"/>
                <w:szCs w:val="20"/>
              </w:rPr>
            </w:pPr>
          </w:p>
        </w:tc>
      </w:tr>
    </w:tbl>
    <w:p w14:paraId="69EEE747" w14:textId="77777777" w:rsidR="00302BFE" w:rsidRPr="00D45B3D" w:rsidRDefault="00302BFE" w:rsidP="00302BFE">
      <w:pPr>
        <w:spacing w:after="0"/>
        <w:rPr>
          <w:rFonts w:asciiTheme="minorHAnsi" w:eastAsia="Times New Roman" w:hAnsiTheme="minorHAnsi" w:cstheme="minorHAnsi"/>
          <w:color w:val="000000"/>
          <w:sz w:val="16"/>
          <w:szCs w:val="16"/>
        </w:rPr>
      </w:pPr>
    </w:p>
    <w:p w14:paraId="0D2B74D9" w14:textId="77777777" w:rsidR="00302BFE" w:rsidRPr="00D45B3D" w:rsidRDefault="00302BFE" w:rsidP="00302BFE">
      <w:pPr>
        <w:rPr>
          <w:rFonts w:asciiTheme="minorHAnsi" w:eastAsia="Times New Roman" w:hAnsiTheme="minorHAnsi" w:cstheme="minorHAnsi"/>
          <w:color w:val="000000"/>
        </w:rPr>
      </w:pPr>
      <w:r w:rsidRPr="00D45B3D">
        <w:rPr>
          <w:rFonts w:asciiTheme="minorHAnsi" w:eastAsia="Times New Roman" w:hAnsiTheme="minorHAnsi" w:cstheme="minorHAnsi"/>
          <w:b/>
          <w:color w:val="000000"/>
        </w:rPr>
        <w:t>1.2 Terrestrial protected areas under improved management effectiveness</w:t>
      </w:r>
      <w:r w:rsidRPr="00D45B3D">
        <w:rPr>
          <w:rFonts w:asciiTheme="minorHAnsi" w:eastAsia="Times New Roman" w:hAnsiTheme="minorHAnsi" w:cstheme="minorHAnsi"/>
          <w:color w:val="00000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977"/>
        <w:gridCol w:w="2693"/>
        <w:gridCol w:w="2552"/>
      </w:tblGrid>
      <w:tr w:rsidR="00302BFE" w:rsidRPr="00D45B3D" w14:paraId="489B64E1" w14:textId="77777777" w:rsidTr="00243B15">
        <w:tc>
          <w:tcPr>
            <w:tcW w:w="2518" w:type="dxa"/>
            <w:shd w:val="clear" w:color="auto" w:fill="4472C4"/>
          </w:tcPr>
          <w:p w14:paraId="572E6B71"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(expected at PIF)</w:t>
            </w:r>
          </w:p>
        </w:tc>
        <w:tc>
          <w:tcPr>
            <w:tcW w:w="2977" w:type="dxa"/>
            <w:shd w:val="clear" w:color="auto" w:fill="4472C4"/>
          </w:tcPr>
          <w:p w14:paraId="2ADCBA40"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(expected at CEO ER)</w:t>
            </w:r>
          </w:p>
        </w:tc>
        <w:tc>
          <w:tcPr>
            <w:tcW w:w="2693" w:type="dxa"/>
            <w:shd w:val="clear" w:color="auto" w:fill="4472C4"/>
          </w:tcPr>
          <w:p w14:paraId="70E1E7D0"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(achieved at MTR)</w:t>
            </w:r>
          </w:p>
        </w:tc>
        <w:tc>
          <w:tcPr>
            <w:tcW w:w="2552" w:type="dxa"/>
            <w:shd w:val="clear" w:color="auto" w:fill="4472C4"/>
          </w:tcPr>
          <w:p w14:paraId="25870A1B"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(achieved at TE)</w:t>
            </w:r>
          </w:p>
        </w:tc>
      </w:tr>
      <w:tr w:rsidR="00302BFE" w:rsidRPr="00D45B3D" w14:paraId="6C712D18" w14:textId="77777777" w:rsidTr="00243B15">
        <w:tc>
          <w:tcPr>
            <w:tcW w:w="2518" w:type="dxa"/>
            <w:shd w:val="clear" w:color="auto" w:fill="auto"/>
          </w:tcPr>
          <w:p w14:paraId="0C79F8FD"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lang w:val="fr-CA"/>
              </w:rPr>
              <w:t>436,057</w:t>
            </w:r>
          </w:p>
        </w:tc>
        <w:tc>
          <w:tcPr>
            <w:tcW w:w="2977" w:type="dxa"/>
            <w:shd w:val="clear" w:color="auto" w:fill="auto"/>
          </w:tcPr>
          <w:p w14:paraId="3E51AEF1"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321,781</w:t>
            </w:r>
          </w:p>
        </w:tc>
        <w:tc>
          <w:tcPr>
            <w:tcW w:w="2693" w:type="dxa"/>
            <w:shd w:val="clear" w:color="auto" w:fill="auto"/>
          </w:tcPr>
          <w:p w14:paraId="5EB133C2" w14:textId="77777777" w:rsidR="00302BFE" w:rsidRPr="00D45B3D" w:rsidRDefault="00302BFE" w:rsidP="00243B15">
            <w:pPr>
              <w:rPr>
                <w:rFonts w:asciiTheme="minorHAnsi" w:eastAsia="Times New Roman" w:hAnsiTheme="minorHAnsi" w:cstheme="minorHAnsi"/>
                <w:color w:val="000000"/>
                <w:szCs w:val="20"/>
              </w:rPr>
            </w:pPr>
          </w:p>
        </w:tc>
        <w:tc>
          <w:tcPr>
            <w:tcW w:w="2552" w:type="dxa"/>
            <w:shd w:val="clear" w:color="auto" w:fill="auto"/>
          </w:tcPr>
          <w:p w14:paraId="4F1B7C02" w14:textId="77777777" w:rsidR="00302BFE" w:rsidRPr="00D45B3D" w:rsidRDefault="00302BFE" w:rsidP="00243B15">
            <w:pPr>
              <w:rPr>
                <w:rFonts w:asciiTheme="minorHAnsi" w:eastAsia="Times New Roman" w:hAnsiTheme="minorHAnsi" w:cstheme="minorHAnsi"/>
                <w:color w:val="000000"/>
                <w:szCs w:val="20"/>
              </w:rPr>
            </w:pPr>
          </w:p>
        </w:tc>
      </w:tr>
    </w:tbl>
    <w:p w14:paraId="4CDBDFCA" w14:textId="77777777" w:rsidR="00302BFE" w:rsidRPr="00D45B3D" w:rsidRDefault="00302BFE" w:rsidP="00302BFE">
      <w:pPr>
        <w:spacing w:after="0"/>
        <w:rPr>
          <w:rFonts w:asciiTheme="minorHAnsi" w:eastAsia="Times New Roman" w:hAnsiTheme="minorHAnsi" w:cstheme="minorHAnsi"/>
          <w:i/>
          <w:color w:val="000000"/>
          <w:sz w:val="18"/>
          <w:szCs w:val="18"/>
        </w:rPr>
      </w:pPr>
      <w:r w:rsidRPr="00D45B3D">
        <w:rPr>
          <w:rFonts w:asciiTheme="minorHAnsi" w:eastAsia="Times New Roman" w:hAnsiTheme="minorHAnsi" w:cstheme="minorHAnsi"/>
          <w:i/>
          <w:color w:val="000000"/>
          <w:sz w:val="18"/>
          <w:szCs w:val="18"/>
        </w:rPr>
        <w:t>Figure at a given stage must be the sum of all individual PAs reported in the next table, for that stage.</w:t>
      </w:r>
    </w:p>
    <w:p w14:paraId="2A251BC8" w14:textId="77777777" w:rsidR="00302BFE" w:rsidRPr="00D45B3D" w:rsidRDefault="00302BFE" w:rsidP="00302BFE">
      <w:pPr>
        <w:spacing w:after="0"/>
        <w:rPr>
          <w:rFonts w:asciiTheme="minorHAnsi" w:eastAsia="Times New Roman" w:hAnsiTheme="minorHAnsi" w:cstheme="minorHAnsi"/>
          <w:color w:val="00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1350"/>
        <w:gridCol w:w="1126"/>
        <w:gridCol w:w="2111"/>
        <w:gridCol w:w="2174"/>
        <w:gridCol w:w="2107"/>
        <w:gridCol w:w="2107"/>
      </w:tblGrid>
      <w:tr w:rsidR="00302BFE" w:rsidRPr="00D45B3D" w14:paraId="227DE3E6" w14:textId="77777777" w:rsidTr="00243B15">
        <w:tc>
          <w:tcPr>
            <w:tcW w:w="3415" w:type="dxa"/>
            <w:shd w:val="clear" w:color="auto" w:fill="4472C4"/>
          </w:tcPr>
          <w:p w14:paraId="6CA78180"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Name of Protected Area</w:t>
            </w:r>
          </w:p>
        </w:tc>
        <w:tc>
          <w:tcPr>
            <w:tcW w:w="1350" w:type="dxa"/>
            <w:shd w:val="clear" w:color="auto" w:fill="4472C4"/>
          </w:tcPr>
          <w:p w14:paraId="711FEE07"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WDPA ID</w:t>
            </w:r>
          </w:p>
        </w:tc>
        <w:tc>
          <w:tcPr>
            <w:tcW w:w="1126" w:type="dxa"/>
            <w:shd w:val="clear" w:color="auto" w:fill="4472C4"/>
          </w:tcPr>
          <w:p w14:paraId="70FB7D59"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IUCN Category</w:t>
            </w:r>
          </w:p>
        </w:tc>
        <w:tc>
          <w:tcPr>
            <w:tcW w:w="2111" w:type="dxa"/>
            <w:shd w:val="clear" w:color="auto" w:fill="4472C4"/>
          </w:tcPr>
          <w:p w14:paraId="7B04B471"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(expected at PIF)</w:t>
            </w:r>
          </w:p>
        </w:tc>
        <w:tc>
          <w:tcPr>
            <w:tcW w:w="2174" w:type="dxa"/>
            <w:shd w:val="clear" w:color="auto" w:fill="4472C4"/>
          </w:tcPr>
          <w:p w14:paraId="7E8B4FA7"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(expected at CEO ER)</w:t>
            </w:r>
          </w:p>
        </w:tc>
        <w:tc>
          <w:tcPr>
            <w:tcW w:w="2107" w:type="dxa"/>
            <w:shd w:val="clear" w:color="auto" w:fill="4472C4"/>
          </w:tcPr>
          <w:p w14:paraId="417BBC91"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(achieved at MTR)</w:t>
            </w:r>
          </w:p>
        </w:tc>
        <w:tc>
          <w:tcPr>
            <w:tcW w:w="2107" w:type="dxa"/>
            <w:shd w:val="clear" w:color="auto" w:fill="4472C4"/>
          </w:tcPr>
          <w:p w14:paraId="42FDED1A"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(achieved at TE)</w:t>
            </w:r>
          </w:p>
        </w:tc>
      </w:tr>
      <w:tr w:rsidR="00302BFE" w:rsidRPr="00D45B3D" w14:paraId="54BE816E" w14:textId="77777777" w:rsidTr="00243B15">
        <w:tc>
          <w:tcPr>
            <w:tcW w:w="3415" w:type="dxa"/>
            <w:shd w:val="clear" w:color="auto" w:fill="auto"/>
          </w:tcPr>
          <w:p w14:paraId="529CC625" w14:textId="77777777" w:rsidR="00302BFE" w:rsidRPr="00D45B3D" w:rsidRDefault="00302BFE" w:rsidP="00243B15">
            <w:pPr>
              <w:rPr>
                <w:rFonts w:asciiTheme="minorHAnsi" w:eastAsia="Times New Roman" w:hAnsiTheme="minorHAnsi" w:cstheme="minorHAnsi"/>
                <w:color w:val="000000"/>
                <w:szCs w:val="20"/>
              </w:rPr>
            </w:pPr>
            <w:proofErr w:type="spellStart"/>
            <w:r w:rsidRPr="00D45B3D">
              <w:rPr>
                <w:rFonts w:asciiTheme="minorHAnsi" w:eastAsia="Times New Roman" w:hAnsiTheme="minorHAnsi" w:cstheme="minorHAnsi"/>
                <w:color w:val="000000"/>
                <w:szCs w:val="20"/>
              </w:rPr>
              <w:t>Nazinga</w:t>
            </w:r>
            <w:proofErr w:type="spellEnd"/>
            <w:r w:rsidRPr="00D45B3D">
              <w:rPr>
                <w:rFonts w:asciiTheme="minorHAnsi" w:eastAsia="Times New Roman" w:hAnsiTheme="minorHAnsi" w:cstheme="minorHAnsi"/>
                <w:color w:val="000000"/>
                <w:szCs w:val="20"/>
              </w:rPr>
              <w:t xml:space="preserve"> Game Ranch</w:t>
            </w:r>
          </w:p>
        </w:tc>
        <w:tc>
          <w:tcPr>
            <w:tcW w:w="1350" w:type="dxa"/>
            <w:shd w:val="clear" w:color="auto" w:fill="auto"/>
          </w:tcPr>
          <w:p w14:paraId="636A603E"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none</w:t>
            </w:r>
          </w:p>
        </w:tc>
        <w:tc>
          <w:tcPr>
            <w:tcW w:w="1126" w:type="dxa"/>
            <w:shd w:val="clear" w:color="auto" w:fill="auto"/>
          </w:tcPr>
          <w:p w14:paraId="02FB0C75"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IV</w:t>
            </w:r>
          </w:p>
        </w:tc>
        <w:tc>
          <w:tcPr>
            <w:tcW w:w="2111" w:type="dxa"/>
            <w:shd w:val="clear" w:color="auto" w:fill="auto"/>
          </w:tcPr>
          <w:p w14:paraId="7419A77D"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103,579</w:t>
            </w:r>
          </w:p>
        </w:tc>
        <w:tc>
          <w:tcPr>
            <w:tcW w:w="2174" w:type="dxa"/>
            <w:shd w:val="clear" w:color="auto" w:fill="auto"/>
          </w:tcPr>
          <w:p w14:paraId="173B4F17"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91,300</w:t>
            </w:r>
          </w:p>
        </w:tc>
        <w:tc>
          <w:tcPr>
            <w:tcW w:w="2107" w:type="dxa"/>
            <w:shd w:val="clear" w:color="auto" w:fill="auto"/>
          </w:tcPr>
          <w:p w14:paraId="5955E651" w14:textId="77777777" w:rsidR="00302BFE" w:rsidRPr="00D45B3D" w:rsidRDefault="00302BFE" w:rsidP="00243B15">
            <w:pPr>
              <w:rPr>
                <w:rFonts w:asciiTheme="minorHAnsi" w:eastAsia="Times New Roman" w:hAnsiTheme="minorHAnsi" w:cstheme="minorHAnsi"/>
                <w:color w:val="000000"/>
              </w:rPr>
            </w:pPr>
          </w:p>
        </w:tc>
        <w:tc>
          <w:tcPr>
            <w:tcW w:w="2107" w:type="dxa"/>
            <w:shd w:val="clear" w:color="auto" w:fill="auto"/>
          </w:tcPr>
          <w:p w14:paraId="4F719DC5" w14:textId="77777777" w:rsidR="00302BFE" w:rsidRPr="00D45B3D" w:rsidRDefault="00302BFE" w:rsidP="00243B15">
            <w:pPr>
              <w:rPr>
                <w:rFonts w:asciiTheme="minorHAnsi" w:eastAsia="Times New Roman" w:hAnsiTheme="minorHAnsi" w:cstheme="minorHAnsi"/>
                <w:color w:val="000000"/>
              </w:rPr>
            </w:pPr>
          </w:p>
        </w:tc>
      </w:tr>
      <w:tr w:rsidR="00302BFE" w:rsidRPr="00D45B3D" w14:paraId="128A4E83" w14:textId="77777777" w:rsidTr="00243B15">
        <w:tc>
          <w:tcPr>
            <w:tcW w:w="3415" w:type="dxa"/>
            <w:shd w:val="clear" w:color="auto" w:fill="auto"/>
          </w:tcPr>
          <w:p w14:paraId="2B784443" w14:textId="77777777" w:rsidR="00302BFE" w:rsidRPr="00D45B3D" w:rsidRDefault="00302BFE" w:rsidP="00243B15">
            <w:pPr>
              <w:rPr>
                <w:rFonts w:asciiTheme="minorHAnsi" w:eastAsia="Times New Roman" w:hAnsiTheme="minorHAnsi" w:cstheme="minorHAnsi"/>
                <w:color w:val="000000"/>
                <w:szCs w:val="20"/>
              </w:rPr>
            </w:pPr>
            <w:proofErr w:type="spellStart"/>
            <w:r w:rsidRPr="00D45B3D">
              <w:rPr>
                <w:rFonts w:asciiTheme="minorHAnsi" w:eastAsia="Times New Roman" w:hAnsiTheme="minorHAnsi" w:cstheme="minorHAnsi"/>
                <w:color w:val="000000"/>
                <w:szCs w:val="20"/>
              </w:rPr>
              <w:t>Sissili</w:t>
            </w:r>
            <w:proofErr w:type="spellEnd"/>
            <w:r w:rsidRPr="00D45B3D">
              <w:rPr>
                <w:rFonts w:asciiTheme="minorHAnsi" w:eastAsia="Times New Roman" w:hAnsiTheme="minorHAnsi" w:cstheme="minorHAnsi"/>
                <w:color w:val="000000"/>
                <w:szCs w:val="20"/>
              </w:rPr>
              <w:t xml:space="preserve"> Classified Forest</w:t>
            </w:r>
          </w:p>
        </w:tc>
        <w:tc>
          <w:tcPr>
            <w:tcW w:w="1350" w:type="dxa"/>
            <w:shd w:val="clear" w:color="auto" w:fill="auto"/>
          </w:tcPr>
          <w:p w14:paraId="3FDF7603"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28556</w:t>
            </w:r>
          </w:p>
        </w:tc>
        <w:tc>
          <w:tcPr>
            <w:tcW w:w="1126" w:type="dxa"/>
            <w:shd w:val="clear" w:color="auto" w:fill="auto"/>
          </w:tcPr>
          <w:p w14:paraId="7ABF295A"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IV</w:t>
            </w:r>
          </w:p>
        </w:tc>
        <w:tc>
          <w:tcPr>
            <w:tcW w:w="2111" w:type="dxa"/>
            <w:shd w:val="clear" w:color="auto" w:fill="auto"/>
          </w:tcPr>
          <w:p w14:paraId="12A260DA"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38,153</w:t>
            </w:r>
          </w:p>
        </w:tc>
        <w:tc>
          <w:tcPr>
            <w:tcW w:w="2174" w:type="dxa"/>
            <w:shd w:val="clear" w:color="auto" w:fill="auto"/>
          </w:tcPr>
          <w:p w14:paraId="7A6A481C"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32,700</w:t>
            </w:r>
          </w:p>
        </w:tc>
        <w:tc>
          <w:tcPr>
            <w:tcW w:w="2107" w:type="dxa"/>
            <w:shd w:val="clear" w:color="auto" w:fill="auto"/>
          </w:tcPr>
          <w:p w14:paraId="5A5D4DDC" w14:textId="77777777" w:rsidR="00302BFE" w:rsidRPr="00D45B3D" w:rsidRDefault="00302BFE" w:rsidP="00243B15">
            <w:pPr>
              <w:rPr>
                <w:rFonts w:asciiTheme="minorHAnsi" w:eastAsia="Times New Roman" w:hAnsiTheme="minorHAnsi" w:cstheme="minorHAnsi"/>
                <w:color w:val="000000"/>
              </w:rPr>
            </w:pPr>
          </w:p>
        </w:tc>
        <w:tc>
          <w:tcPr>
            <w:tcW w:w="2107" w:type="dxa"/>
            <w:shd w:val="clear" w:color="auto" w:fill="auto"/>
          </w:tcPr>
          <w:p w14:paraId="4880DC25" w14:textId="77777777" w:rsidR="00302BFE" w:rsidRPr="00D45B3D" w:rsidRDefault="00302BFE" w:rsidP="00243B15">
            <w:pPr>
              <w:rPr>
                <w:rFonts w:asciiTheme="minorHAnsi" w:eastAsia="Times New Roman" w:hAnsiTheme="minorHAnsi" w:cstheme="minorHAnsi"/>
                <w:color w:val="000000"/>
              </w:rPr>
            </w:pPr>
          </w:p>
        </w:tc>
      </w:tr>
      <w:tr w:rsidR="00302BFE" w:rsidRPr="00D45B3D" w14:paraId="43A9E47C" w14:textId="77777777" w:rsidTr="00243B15">
        <w:tc>
          <w:tcPr>
            <w:tcW w:w="3415" w:type="dxa"/>
            <w:shd w:val="clear" w:color="auto" w:fill="auto"/>
          </w:tcPr>
          <w:p w14:paraId="5EF2AD9D"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Kaboré-</w:t>
            </w:r>
            <w:proofErr w:type="spellStart"/>
            <w:r w:rsidRPr="00D45B3D">
              <w:rPr>
                <w:rFonts w:asciiTheme="minorHAnsi" w:eastAsia="Times New Roman" w:hAnsiTheme="minorHAnsi" w:cstheme="minorHAnsi"/>
                <w:color w:val="000000"/>
                <w:szCs w:val="20"/>
              </w:rPr>
              <w:t>Tambi</w:t>
            </w:r>
            <w:proofErr w:type="spellEnd"/>
            <w:r w:rsidRPr="00D45B3D">
              <w:rPr>
                <w:rFonts w:asciiTheme="minorHAnsi" w:eastAsia="Times New Roman" w:hAnsiTheme="minorHAnsi" w:cstheme="minorHAnsi"/>
                <w:color w:val="000000"/>
                <w:szCs w:val="20"/>
              </w:rPr>
              <w:t xml:space="preserve"> National Park</w:t>
            </w:r>
          </w:p>
        </w:tc>
        <w:tc>
          <w:tcPr>
            <w:tcW w:w="1350" w:type="dxa"/>
            <w:shd w:val="clear" w:color="auto" w:fill="auto"/>
          </w:tcPr>
          <w:p w14:paraId="1EFB3874"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1049</w:t>
            </w:r>
          </w:p>
        </w:tc>
        <w:tc>
          <w:tcPr>
            <w:tcW w:w="1126" w:type="dxa"/>
            <w:shd w:val="clear" w:color="auto" w:fill="auto"/>
          </w:tcPr>
          <w:p w14:paraId="26B17A82"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II</w:t>
            </w:r>
          </w:p>
        </w:tc>
        <w:tc>
          <w:tcPr>
            <w:tcW w:w="2111" w:type="dxa"/>
            <w:shd w:val="clear" w:color="auto" w:fill="auto"/>
          </w:tcPr>
          <w:p w14:paraId="01B581D5"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161,956</w:t>
            </w:r>
          </w:p>
        </w:tc>
        <w:tc>
          <w:tcPr>
            <w:tcW w:w="2174" w:type="dxa"/>
            <w:shd w:val="clear" w:color="auto" w:fill="auto"/>
          </w:tcPr>
          <w:p w14:paraId="2B426920"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169,000</w:t>
            </w:r>
          </w:p>
        </w:tc>
        <w:tc>
          <w:tcPr>
            <w:tcW w:w="2107" w:type="dxa"/>
            <w:shd w:val="clear" w:color="auto" w:fill="auto"/>
          </w:tcPr>
          <w:p w14:paraId="2DC7B291" w14:textId="77777777" w:rsidR="00302BFE" w:rsidRPr="00D45B3D" w:rsidRDefault="00302BFE" w:rsidP="00243B15">
            <w:pPr>
              <w:rPr>
                <w:rFonts w:asciiTheme="minorHAnsi" w:eastAsia="Times New Roman" w:hAnsiTheme="minorHAnsi" w:cstheme="minorHAnsi"/>
                <w:color w:val="000000"/>
              </w:rPr>
            </w:pPr>
          </w:p>
        </w:tc>
        <w:tc>
          <w:tcPr>
            <w:tcW w:w="2107" w:type="dxa"/>
            <w:shd w:val="clear" w:color="auto" w:fill="auto"/>
          </w:tcPr>
          <w:p w14:paraId="611A2929" w14:textId="77777777" w:rsidR="00302BFE" w:rsidRPr="00D45B3D" w:rsidRDefault="00302BFE" w:rsidP="00243B15">
            <w:pPr>
              <w:rPr>
                <w:rFonts w:asciiTheme="minorHAnsi" w:eastAsia="Times New Roman" w:hAnsiTheme="minorHAnsi" w:cstheme="minorHAnsi"/>
                <w:color w:val="000000"/>
              </w:rPr>
            </w:pPr>
          </w:p>
        </w:tc>
      </w:tr>
      <w:tr w:rsidR="00302BFE" w:rsidRPr="00D45B3D" w14:paraId="380697A3" w14:textId="77777777" w:rsidTr="00243B15">
        <w:tc>
          <w:tcPr>
            <w:tcW w:w="3415" w:type="dxa"/>
            <w:shd w:val="clear" w:color="auto" w:fill="auto"/>
          </w:tcPr>
          <w:p w14:paraId="67AF33AC"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Corridor #1</w:t>
            </w:r>
          </w:p>
        </w:tc>
        <w:tc>
          <w:tcPr>
            <w:tcW w:w="1350" w:type="dxa"/>
            <w:shd w:val="clear" w:color="auto" w:fill="auto"/>
          </w:tcPr>
          <w:p w14:paraId="475E4A64"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none</w:t>
            </w:r>
          </w:p>
        </w:tc>
        <w:tc>
          <w:tcPr>
            <w:tcW w:w="1126" w:type="dxa"/>
            <w:shd w:val="clear" w:color="auto" w:fill="auto"/>
          </w:tcPr>
          <w:p w14:paraId="0758B04E"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IV</w:t>
            </w:r>
          </w:p>
        </w:tc>
        <w:tc>
          <w:tcPr>
            <w:tcW w:w="2111" w:type="dxa"/>
            <w:shd w:val="clear" w:color="auto" w:fill="auto"/>
          </w:tcPr>
          <w:p w14:paraId="707048DF"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19,246</w:t>
            </w:r>
          </w:p>
        </w:tc>
        <w:tc>
          <w:tcPr>
            <w:tcW w:w="2174" w:type="dxa"/>
            <w:shd w:val="clear" w:color="auto" w:fill="auto"/>
          </w:tcPr>
          <w:p w14:paraId="1EA8771E"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4,500</w:t>
            </w:r>
          </w:p>
        </w:tc>
        <w:tc>
          <w:tcPr>
            <w:tcW w:w="2107" w:type="dxa"/>
            <w:shd w:val="clear" w:color="auto" w:fill="auto"/>
          </w:tcPr>
          <w:p w14:paraId="3FEE8726" w14:textId="77777777" w:rsidR="00302BFE" w:rsidRPr="00D45B3D" w:rsidRDefault="00302BFE" w:rsidP="00243B15">
            <w:pPr>
              <w:rPr>
                <w:rFonts w:asciiTheme="minorHAnsi" w:eastAsia="Times New Roman" w:hAnsiTheme="minorHAnsi" w:cstheme="minorHAnsi"/>
                <w:color w:val="000000"/>
              </w:rPr>
            </w:pPr>
          </w:p>
        </w:tc>
        <w:tc>
          <w:tcPr>
            <w:tcW w:w="2107" w:type="dxa"/>
            <w:shd w:val="clear" w:color="auto" w:fill="auto"/>
          </w:tcPr>
          <w:p w14:paraId="3CC3A10F" w14:textId="77777777" w:rsidR="00302BFE" w:rsidRPr="00D45B3D" w:rsidRDefault="00302BFE" w:rsidP="00243B15">
            <w:pPr>
              <w:rPr>
                <w:rFonts w:asciiTheme="minorHAnsi" w:eastAsia="Times New Roman" w:hAnsiTheme="minorHAnsi" w:cstheme="minorHAnsi"/>
                <w:color w:val="000000"/>
              </w:rPr>
            </w:pPr>
          </w:p>
        </w:tc>
      </w:tr>
      <w:tr w:rsidR="00302BFE" w:rsidRPr="00D45B3D" w14:paraId="6DA6243A" w14:textId="77777777" w:rsidTr="00243B15">
        <w:tc>
          <w:tcPr>
            <w:tcW w:w="3415" w:type="dxa"/>
            <w:shd w:val="clear" w:color="auto" w:fill="auto"/>
          </w:tcPr>
          <w:p w14:paraId="6FF42439"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Corridor #2</w:t>
            </w:r>
          </w:p>
        </w:tc>
        <w:tc>
          <w:tcPr>
            <w:tcW w:w="1350" w:type="dxa"/>
            <w:shd w:val="clear" w:color="auto" w:fill="auto"/>
          </w:tcPr>
          <w:p w14:paraId="041EA103"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none</w:t>
            </w:r>
          </w:p>
        </w:tc>
        <w:tc>
          <w:tcPr>
            <w:tcW w:w="1126" w:type="dxa"/>
            <w:shd w:val="clear" w:color="auto" w:fill="auto"/>
          </w:tcPr>
          <w:p w14:paraId="26139EC6"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IV</w:t>
            </w:r>
          </w:p>
        </w:tc>
        <w:tc>
          <w:tcPr>
            <w:tcW w:w="2111" w:type="dxa"/>
            <w:shd w:val="clear" w:color="auto" w:fill="auto"/>
          </w:tcPr>
          <w:p w14:paraId="59BECBA0"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69,445</w:t>
            </w:r>
          </w:p>
        </w:tc>
        <w:tc>
          <w:tcPr>
            <w:tcW w:w="2174" w:type="dxa"/>
            <w:shd w:val="clear" w:color="auto" w:fill="auto"/>
          </w:tcPr>
          <w:p w14:paraId="07968DB9"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p>
        </w:tc>
        <w:tc>
          <w:tcPr>
            <w:tcW w:w="2107" w:type="dxa"/>
            <w:shd w:val="clear" w:color="auto" w:fill="auto"/>
          </w:tcPr>
          <w:p w14:paraId="35C7A875" w14:textId="77777777" w:rsidR="00302BFE" w:rsidRPr="00D45B3D" w:rsidRDefault="00302BFE" w:rsidP="00243B15">
            <w:pPr>
              <w:rPr>
                <w:rFonts w:asciiTheme="minorHAnsi" w:eastAsia="Times New Roman" w:hAnsiTheme="minorHAnsi" w:cstheme="minorHAnsi"/>
                <w:color w:val="000000"/>
              </w:rPr>
            </w:pPr>
          </w:p>
        </w:tc>
        <w:tc>
          <w:tcPr>
            <w:tcW w:w="2107" w:type="dxa"/>
            <w:shd w:val="clear" w:color="auto" w:fill="auto"/>
          </w:tcPr>
          <w:p w14:paraId="47965776" w14:textId="77777777" w:rsidR="00302BFE" w:rsidRPr="00D45B3D" w:rsidRDefault="00302BFE" w:rsidP="00243B15">
            <w:pPr>
              <w:rPr>
                <w:rFonts w:asciiTheme="minorHAnsi" w:eastAsia="Times New Roman" w:hAnsiTheme="minorHAnsi" w:cstheme="minorHAnsi"/>
                <w:color w:val="000000"/>
              </w:rPr>
            </w:pPr>
          </w:p>
        </w:tc>
      </w:tr>
      <w:tr w:rsidR="00302BFE" w:rsidRPr="00D45B3D" w14:paraId="0C33FA00" w14:textId="77777777" w:rsidTr="00243B15">
        <w:tc>
          <w:tcPr>
            <w:tcW w:w="3415" w:type="dxa"/>
            <w:shd w:val="clear" w:color="auto" w:fill="auto"/>
          </w:tcPr>
          <w:p w14:paraId="19C8C786"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 xml:space="preserve">ZOVICs </w:t>
            </w:r>
            <w:proofErr w:type="spellStart"/>
            <w:r w:rsidRPr="00D45B3D">
              <w:rPr>
                <w:rFonts w:asciiTheme="minorHAnsi" w:eastAsia="Times New Roman" w:hAnsiTheme="minorHAnsi" w:cstheme="minorHAnsi"/>
                <w:color w:val="000000"/>
                <w:szCs w:val="20"/>
              </w:rPr>
              <w:t>Guiaro</w:t>
            </w:r>
            <w:proofErr w:type="spellEnd"/>
            <w:r w:rsidRPr="00D45B3D">
              <w:rPr>
                <w:rFonts w:asciiTheme="minorHAnsi" w:eastAsia="Times New Roman" w:hAnsiTheme="minorHAnsi" w:cstheme="minorHAnsi"/>
                <w:color w:val="000000"/>
                <w:szCs w:val="20"/>
              </w:rPr>
              <w:t xml:space="preserve">- </w:t>
            </w:r>
            <w:proofErr w:type="spellStart"/>
            <w:r w:rsidRPr="00D45B3D">
              <w:rPr>
                <w:rFonts w:asciiTheme="minorHAnsi" w:eastAsia="Times New Roman" w:hAnsiTheme="minorHAnsi" w:cstheme="minorHAnsi"/>
                <w:color w:val="000000"/>
                <w:szCs w:val="20"/>
              </w:rPr>
              <w:t>Pô</w:t>
            </w:r>
            <w:proofErr w:type="spellEnd"/>
            <w:r w:rsidRPr="00D45B3D">
              <w:rPr>
                <w:rFonts w:asciiTheme="minorHAnsi" w:eastAsia="Times New Roman" w:hAnsiTheme="minorHAnsi" w:cstheme="minorHAnsi"/>
                <w:color w:val="000000"/>
                <w:szCs w:val="20"/>
              </w:rPr>
              <w:t xml:space="preserve"> (7)</w:t>
            </w:r>
          </w:p>
        </w:tc>
        <w:tc>
          <w:tcPr>
            <w:tcW w:w="1350" w:type="dxa"/>
            <w:shd w:val="clear" w:color="auto" w:fill="auto"/>
          </w:tcPr>
          <w:p w14:paraId="469B1C4C"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none</w:t>
            </w:r>
          </w:p>
        </w:tc>
        <w:tc>
          <w:tcPr>
            <w:tcW w:w="1126" w:type="dxa"/>
            <w:shd w:val="clear" w:color="auto" w:fill="auto"/>
          </w:tcPr>
          <w:p w14:paraId="4799676D"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VI</w:t>
            </w:r>
          </w:p>
        </w:tc>
        <w:tc>
          <w:tcPr>
            <w:tcW w:w="2111" w:type="dxa"/>
            <w:shd w:val="clear" w:color="auto" w:fill="auto"/>
          </w:tcPr>
          <w:p w14:paraId="632195F0"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p>
        </w:tc>
        <w:tc>
          <w:tcPr>
            <w:tcW w:w="2174" w:type="dxa"/>
            <w:shd w:val="clear" w:color="auto" w:fill="auto"/>
          </w:tcPr>
          <w:p w14:paraId="1A82141F"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14,279</w:t>
            </w:r>
          </w:p>
        </w:tc>
        <w:tc>
          <w:tcPr>
            <w:tcW w:w="2107" w:type="dxa"/>
            <w:shd w:val="clear" w:color="auto" w:fill="auto"/>
          </w:tcPr>
          <w:p w14:paraId="0B4AAD60" w14:textId="77777777" w:rsidR="00302BFE" w:rsidRPr="00D45B3D" w:rsidRDefault="00302BFE" w:rsidP="00243B15">
            <w:pPr>
              <w:rPr>
                <w:rFonts w:asciiTheme="minorHAnsi" w:eastAsia="Times New Roman" w:hAnsiTheme="minorHAnsi" w:cstheme="minorHAnsi"/>
                <w:color w:val="000000"/>
              </w:rPr>
            </w:pPr>
          </w:p>
        </w:tc>
        <w:tc>
          <w:tcPr>
            <w:tcW w:w="2107" w:type="dxa"/>
            <w:shd w:val="clear" w:color="auto" w:fill="auto"/>
          </w:tcPr>
          <w:p w14:paraId="4AE9F39F" w14:textId="77777777" w:rsidR="00302BFE" w:rsidRPr="00D45B3D" w:rsidRDefault="00302BFE" w:rsidP="00243B15">
            <w:pPr>
              <w:rPr>
                <w:rFonts w:asciiTheme="minorHAnsi" w:eastAsia="Times New Roman" w:hAnsiTheme="minorHAnsi" w:cstheme="minorHAnsi"/>
                <w:color w:val="000000"/>
              </w:rPr>
            </w:pPr>
          </w:p>
        </w:tc>
      </w:tr>
      <w:tr w:rsidR="00302BFE" w:rsidRPr="00D45B3D" w14:paraId="7AC42AB7" w14:textId="77777777" w:rsidTr="00243B15">
        <w:tc>
          <w:tcPr>
            <w:tcW w:w="3415" w:type="dxa"/>
            <w:shd w:val="clear" w:color="auto" w:fill="auto"/>
          </w:tcPr>
          <w:p w14:paraId="410A804E"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lastRenderedPageBreak/>
              <w:t xml:space="preserve">ZOVICs </w:t>
            </w:r>
            <w:proofErr w:type="spellStart"/>
            <w:r w:rsidRPr="00D45B3D">
              <w:rPr>
                <w:rFonts w:asciiTheme="minorHAnsi" w:eastAsia="Times New Roman" w:hAnsiTheme="minorHAnsi" w:cstheme="minorHAnsi"/>
                <w:color w:val="000000"/>
                <w:szCs w:val="20"/>
              </w:rPr>
              <w:t>Biéha</w:t>
            </w:r>
            <w:proofErr w:type="spellEnd"/>
            <w:r w:rsidRPr="00D45B3D">
              <w:rPr>
                <w:rFonts w:asciiTheme="minorHAnsi" w:eastAsia="Times New Roman" w:hAnsiTheme="minorHAnsi" w:cstheme="minorHAnsi"/>
                <w:color w:val="000000"/>
                <w:szCs w:val="20"/>
              </w:rPr>
              <w:t xml:space="preserve"> (4)</w:t>
            </w:r>
          </w:p>
        </w:tc>
        <w:tc>
          <w:tcPr>
            <w:tcW w:w="1350" w:type="dxa"/>
            <w:shd w:val="clear" w:color="auto" w:fill="auto"/>
          </w:tcPr>
          <w:p w14:paraId="4AE913EA"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none</w:t>
            </w:r>
          </w:p>
        </w:tc>
        <w:tc>
          <w:tcPr>
            <w:tcW w:w="1126" w:type="dxa"/>
            <w:shd w:val="clear" w:color="auto" w:fill="auto"/>
          </w:tcPr>
          <w:p w14:paraId="6AADE134"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VI</w:t>
            </w:r>
          </w:p>
        </w:tc>
        <w:tc>
          <w:tcPr>
            <w:tcW w:w="2111" w:type="dxa"/>
            <w:shd w:val="clear" w:color="auto" w:fill="auto"/>
          </w:tcPr>
          <w:p w14:paraId="2BA588FE"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p>
        </w:tc>
        <w:tc>
          <w:tcPr>
            <w:tcW w:w="2174" w:type="dxa"/>
            <w:shd w:val="clear" w:color="auto" w:fill="auto"/>
          </w:tcPr>
          <w:p w14:paraId="088550D8"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10,002</w:t>
            </w:r>
          </w:p>
        </w:tc>
        <w:tc>
          <w:tcPr>
            <w:tcW w:w="2107" w:type="dxa"/>
            <w:shd w:val="clear" w:color="auto" w:fill="auto"/>
          </w:tcPr>
          <w:p w14:paraId="7D7B1667" w14:textId="77777777" w:rsidR="00302BFE" w:rsidRPr="00D45B3D" w:rsidRDefault="00302BFE" w:rsidP="00243B15">
            <w:pPr>
              <w:rPr>
                <w:rFonts w:asciiTheme="minorHAnsi" w:eastAsia="Times New Roman" w:hAnsiTheme="minorHAnsi" w:cstheme="minorHAnsi"/>
                <w:color w:val="000000"/>
              </w:rPr>
            </w:pPr>
          </w:p>
        </w:tc>
        <w:tc>
          <w:tcPr>
            <w:tcW w:w="2107" w:type="dxa"/>
            <w:shd w:val="clear" w:color="auto" w:fill="auto"/>
          </w:tcPr>
          <w:p w14:paraId="76176680" w14:textId="77777777" w:rsidR="00302BFE" w:rsidRPr="00D45B3D" w:rsidRDefault="00302BFE" w:rsidP="00243B15">
            <w:pPr>
              <w:rPr>
                <w:rFonts w:asciiTheme="minorHAnsi" w:eastAsia="Times New Roman" w:hAnsiTheme="minorHAnsi" w:cstheme="minorHAnsi"/>
                <w:color w:val="000000"/>
              </w:rPr>
            </w:pPr>
          </w:p>
        </w:tc>
      </w:tr>
      <w:tr w:rsidR="00302BFE" w:rsidRPr="00D45B3D" w14:paraId="0C4DCF61" w14:textId="77777777" w:rsidTr="00243B15">
        <w:tc>
          <w:tcPr>
            <w:tcW w:w="3415" w:type="dxa"/>
            <w:shd w:val="clear" w:color="auto" w:fill="auto"/>
          </w:tcPr>
          <w:p w14:paraId="52A7B62D"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ZOVICs (10 in all)</w:t>
            </w:r>
          </w:p>
        </w:tc>
        <w:tc>
          <w:tcPr>
            <w:tcW w:w="1350" w:type="dxa"/>
            <w:shd w:val="clear" w:color="auto" w:fill="auto"/>
          </w:tcPr>
          <w:p w14:paraId="0704B464"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none</w:t>
            </w:r>
          </w:p>
        </w:tc>
        <w:tc>
          <w:tcPr>
            <w:tcW w:w="1126" w:type="dxa"/>
            <w:shd w:val="clear" w:color="auto" w:fill="auto"/>
          </w:tcPr>
          <w:p w14:paraId="5A892436"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VI</w:t>
            </w:r>
          </w:p>
        </w:tc>
        <w:tc>
          <w:tcPr>
            <w:tcW w:w="2111" w:type="dxa"/>
            <w:shd w:val="clear" w:color="auto" w:fill="auto"/>
          </w:tcPr>
          <w:p w14:paraId="5A3F1B2F"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32,932</w:t>
            </w:r>
          </w:p>
        </w:tc>
        <w:tc>
          <w:tcPr>
            <w:tcW w:w="2174" w:type="dxa"/>
            <w:shd w:val="clear" w:color="auto" w:fill="auto"/>
          </w:tcPr>
          <w:p w14:paraId="4202C5AC"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p>
        </w:tc>
        <w:tc>
          <w:tcPr>
            <w:tcW w:w="2107" w:type="dxa"/>
            <w:shd w:val="clear" w:color="auto" w:fill="auto"/>
          </w:tcPr>
          <w:p w14:paraId="7F662B07" w14:textId="77777777" w:rsidR="00302BFE" w:rsidRPr="00D45B3D" w:rsidRDefault="00302BFE" w:rsidP="00243B15">
            <w:pPr>
              <w:rPr>
                <w:rFonts w:asciiTheme="minorHAnsi" w:eastAsia="Times New Roman" w:hAnsiTheme="minorHAnsi" w:cstheme="minorHAnsi"/>
                <w:color w:val="000000"/>
              </w:rPr>
            </w:pPr>
          </w:p>
        </w:tc>
        <w:tc>
          <w:tcPr>
            <w:tcW w:w="2107" w:type="dxa"/>
            <w:shd w:val="clear" w:color="auto" w:fill="auto"/>
          </w:tcPr>
          <w:p w14:paraId="0D8D99B1" w14:textId="77777777" w:rsidR="00302BFE" w:rsidRPr="00D45B3D" w:rsidRDefault="00302BFE" w:rsidP="00243B15">
            <w:pPr>
              <w:rPr>
                <w:rFonts w:asciiTheme="minorHAnsi" w:eastAsia="Times New Roman" w:hAnsiTheme="minorHAnsi" w:cstheme="minorHAnsi"/>
                <w:color w:val="000000"/>
              </w:rPr>
            </w:pPr>
          </w:p>
        </w:tc>
      </w:tr>
      <w:tr w:rsidR="00302BFE" w:rsidRPr="00D45B3D" w14:paraId="1087E5F6" w14:textId="77777777" w:rsidTr="00243B15">
        <w:tc>
          <w:tcPr>
            <w:tcW w:w="3415" w:type="dxa"/>
            <w:shd w:val="clear" w:color="auto" w:fill="auto"/>
          </w:tcPr>
          <w:p w14:paraId="201978EF" w14:textId="77777777" w:rsidR="00302BFE" w:rsidRPr="00D45B3D" w:rsidRDefault="00302BFE" w:rsidP="00243B15">
            <w:pPr>
              <w:rPr>
                <w:rFonts w:asciiTheme="minorHAnsi" w:eastAsia="Times New Roman" w:hAnsiTheme="minorHAnsi" w:cstheme="minorHAnsi"/>
                <w:color w:val="000000"/>
                <w:szCs w:val="20"/>
                <w:lang w:val="fr-CA"/>
              </w:rPr>
            </w:pPr>
            <w:proofErr w:type="spellStart"/>
            <w:r w:rsidRPr="00D45B3D">
              <w:rPr>
                <w:rFonts w:asciiTheme="minorHAnsi" w:eastAsia="Times New Roman" w:hAnsiTheme="minorHAnsi" w:cstheme="minorHAnsi"/>
                <w:color w:val="000000"/>
                <w:szCs w:val="20"/>
                <w:lang w:val="fr-CA"/>
              </w:rPr>
              <w:t>Nazinon</w:t>
            </w:r>
            <w:proofErr w:type="spellEnd"/>
            <w:r w:rsidRPr="00D45B3D">
              <w:rPr>
                <w:rFonts w:asciiTheme="minorHAnsi" w:eastAsia="Times New Roman" w:hAnsiTheme="minorHAnsi" w:cstheme="minorHAnsi"/>
                <w:color w:val="000000"/>
                <w:szCs w:val="20"/>
                <w:lang w:val="fr-CA"/>
              </w:rPr>
              <w:t xml:space="preserve"> </w:t>
            </w:r>
            <w:proofErr w:type="spellStart"/>
            <w:r w:rsidRPr="00D45B3D">
              <w:rPr>
                <w:rFonts w:asciiTheme="minorHAnsi" w:eastAsia="Times New Roman" w:hAnsiTheme="minorHAnsi" w:cstheme="minorHAnsi"/>
                <w:color w:val="000000"/>
                <w:szCs w:val="20"/>
                <w:lang w:val="fr-CA"/>
              </w:rPr>
              <w:t>Classified</w:t>
            </w:r>
            <w:proofErr w:type="spellEnd"/>
            <w:r w:rsidRPr="00D45B3D">
              <w:rPr>
                <w:rFonts w:asciiTheme="minorHAnsi" w:eastAsia="Times New Roman" w:hAnsiTheme="minorHAnsi" w:cstheme="minorHAnsi"/>
                <w:color w:val="000000"/>
                <w:szCs w:val="20"/>
                <w:lang w:val="fr-CA"/>
              </w:rPr>
              <w:t xml:space="preserve"> Forest/ Forest management site (</w:t>
            </w:r>
            <w:r w:rsidRPr="00D45B3D">
              <w:rPr>
                <w:rFonts w:asciiTheme="minorHAnsi" w:eastAsia="Times New Roman" w:hAnsiTheme="minorHAnsi" w:cstheme="minorHAnsi"/>
                <w:i/>
                <w:color w:val="000000"/>
                <w:szCs w:val="20"/>
                <w:lang w:val="fr-CA"/>
              </w:rPr>
              <w:t>Chantier d’aménagement Forestier</w:t>
            </w:r>
            <w:r w:rsidRPr="00D45B3D">
              <w:rPr>
                <w:rFonts w:asciiTheme="minorHAnsi" w:eastAsia="Times New Roman" w:hAnsiTheme="minorHAnsi" w:cstheme="minorHAnsi"/>
                <w:color w:val="000000"/>
                <w:szCs w:val="20"/>
                <w:lang w:val="fr-CA"/>
              </w:rPr>
              <w:t>)</w:t>
            </w:r>
          </w:p>
        </w:tc>
        <w:tc>
          <w:tcPr>
            <w:tcW w:w="1350" w:type="dxa"/>
            <w:shd w:val="clear" w:color="auto" w:fill="auto"/>
          </w:tcPr>
          <w:p w14:paraId="0C412140" w14:textId="77777777" w:rsidR="00302BFE" w:rsidRPr="00D45B3D" w:rsidRDefault="00302BFE" w:rsidP="00243B15">
            <w:pPr>
              <w:rPr>
                <w:rFonts w:asciiTheme="minorHAnsi" w:eastAsia="Times New Roman" w:hAnsiTheme="minorHAnsi" w:cstheme="minorHAnsi"/>
                <w:color w:val="000000"/>
                <w:szCs w:val="20"/>
                <w:lang w:val="fr-CA"/>
              </w:rPr>
            </w:pPr>
            <w:proofErr w:type="gramStart"/>
            <w:r w:rsidRPr="00D45B3D">
              <w:rPr>
                <w:rFonts w:asciiTheme="minorHAnsi" w:eastAsia="Times New Roman" w:hAnsiTheme="minorHAnsi" w:cstheme="minorHAnsi"/>
                <w:color w:val="000000"/>
                <w:szCs w:val="20"/>
                <w:lang w:val="fr-CA"/>
              </w:rPr>
              <w:t>none</w:t>
            </w:r>
            <w:proofErr w:type="gramEnd"/>
          </w:p>
        </w:tc>
        <w:tc>
          <w:tcPr>
            <w:tcW w:w="1126" w:type="dxa"/>
            <w:shd w:val="clear" w:color="auto" w:fill="auto"/>
          </w:tcPr>
          <w:p w14:paraId="39A53F1C" w14:textId="77777777" w:rsidR="00302BFE" w:rsidRPr="00D45B3D" w:rsidRDefault="00302BFE" w:rsidP="00243B15">
            <w:pPr>
              <w:rPr>
                <w:rFonts w:asciiTheme="minorHAnsi" w:eastAsia="Times New Roman" w:hAnsiTheme="minorHAnsi" w:cstheme="minorHAnsi"/>
                <w:color w:val="000000"/>
                <w:szCs w:val="20"/>
                <w:lang w:val="fr-CA"/>
              </w:rPr>
            </w:pPr>
            <w:proofErr w:type="spellStart"/>
            <w:r w:rsidRPr="00D45B3D">
              <w:rPr>
                <w:rFonts w:asciiTheme="minorHAnsi" w:eastAsia="Times New Roman" w:hAnsiTheme="minorHAnsi" w:cstheme="minorHAnsi"/>
                <w:color w:val="000000"/>
                <w:szCs w:val="20"/>
                <w:lang w:val="fr-CA"/>
              </w:rPr>
              <w:t>n.a</w:t>
            </w:r>
            <w:proofErr w:type="spellEnd"/>
            <w:r w:rsidRPr="00D45B3D">
              <w:rPr>
                <w:rFonts w:asciiTheme="minorHAnsi" w:eastAsia="Times New Roman" w:hAnsiTheme="minorHAnsi" w:cstheme="minorHAnsi"/>
                <w:color w:val="000000"/>
                <w:szCs w:val="20"/>
                <w:lang w:val="fr-CA"/>
              </w:rPr>
              <w:t>.</w:t>
            </w:r>
          </w:p>
        </w:tc>
        <w:tc>
          <w:tcPr>
            <w:tcW w:w="2111" w:type="dxa"/>
            <w:shd w:val="clear" w:color="auto" w:fill="auto"/>
          </w:tcPr>
          <w:p w14:paraId="1372EB1E" w14:textId="77777777" w:rsidR="00302BFE" w:rsidRPr="00D45B3D" w:rsidRDefault="00302BFE" w:rsidP="00243B15">
            <w:pPr>
              <w:rPr>
                <w:rFonts w:asciiTheme="minorHAnsi" w:eastAsia="Times New Roman" w:hAnsiTheme="minorHAnsi" w:cstheme="minorHAnsi"/>
                <w:color w:val="000000"/>
                <w:szCs w:val="20"/>
                <w:lang w:val="fr-CA"/>
              </w:rPr>
            </w:pPr>
            <w:r w:rsidRPr="00D45B3D">
              <w:rPr>
                <w:rFonts w:asciiTheme="minorHAnsi" w:eastAsia="Times New Roman" w:hAnsiTheme="minorHAnsi" w:cstheme="minorHAnsi"/>
                <w:color w:val="000000"/>
                <w:szCs w:val="20"/>
                <w:lang w:val="fr-CA"/>
              </w:rPr>
              <w:t>10,746</w:t>
            </w:r>
          </w:p>
        </w:tc>
        <w:tc>
          <w:tcPr>
            <w:tcW w:w="2174" w:type="dxa"/>
            <w:shd w:val="clear" w:color="auto" w:fill="auto"/>
          </w:tcPr>
          <w:p w14:paraId="3AB29E7D" w14:textId="77777777" w:rsidR="00302BFE" w:rsidRPr="00D45B3D" w:rsidRDefault="00302BFE" w:rsidP="00243B15">
            <w:pPr>
              <w:rPr>
                <w:rFonts w:asciiTheme="minorHAnsi" w:eastAsia="Times New Roman" w:hAnsiTheme="minorHAnsi" w:cstheme="minorHAnsi"/>
                <w:color w:val="000000"/>
                <w:szCs w:val="20"/>
                <w:lang w:val="fr-CA"/>
              </w:rPr>
            </w:pPr>
            <w:r w:rsidRPr="00D45B3D">
              <w:rPr>
                <w:rFonts w:asciiTheme="minorHAnsi" w:eastAsia="Times New Roman" w:hAnsiTheme="minorHAnsi" w:cstheme="minorHAnsi"/>
                <w:color w:val="000000"/>
                <w:szCs w:val="20"/>
                <w:lang w:val="fr-CA"/>
              </w:rPr>
              <w:t>-</w:t>
            </w:r>
          </w:p>
        </w:tc>
        <w:tc>
          <w:tcPr>
            <w:tcW w:w="2107" w:type="dxa"/>
            <w:shd w:val="clear" w:color="auto" w:fill="auto"/>
          </w:tcPr>
          <w:p w14:paraId="7176EAEA" w14:textId="77777777" w:rsidR="00302BFE" w:rsidRPr="00D45B3D" w:rsidRDefault="00302BFE" w:rsidP="00243B15">
            <w:pPr>
              <w:rPr>
                <w:rFonts w:asciiTheme="minorHAnsi" w:eastAsia="Times New Roman" w:hAnsiTheme="minorHAnsi" w:cstheme="minorHAnsi"/>
                <w:color w:val="000000"/>
                <w:lang w:val="fr-CA"/>
              </w:rPr>
            </w:pPr>
          </w:p>
        </w:tc>
        <w:tc>
          <w:tcPr>
            <w:tcW w:w="2107" w:type="dxa"/>
            <w:shd w:val="clear" w:color="auto" w:fill="auto"/>
          </w:tcPr>
          <w:p w14:paraId="7A1EF41D" w14:textId="77777777" w:rsidR="00302BFE" w:rsidRPr="00D45B3D" w:rsidRDefault="00302BFE" w:rsidP="00243B15">
            <w:pPr>
              <w:rPr>
                <w:rFonts w:asciiTheme="minorHAnsi" w:eastAsia="Times New Roman" w:hAnsiTheme="minorHAnsi" w:cstheme="minorHAnsi"/>
                <w:color w:val="000000"/>
                <w:lang w:val="fr-CA"/>
              </w:rPr>
            </w:pPr>
          </w:p>
        </w:tc>
      </w:tr>
      <w:tr w:rsidR="00302BFE" w:rsidRPr="00D45B3D" w14:paraId="2E43F9AC" w14:textId="77777777" w:rsidTr="00243B15">
        <w:tc>
          <w:tcPr>
            <w:tcW w:w="3415" w:type="dxa"/>
            <w:shd w:val="clear" w:color="auto" w:fill="auto"/>
          </w:tcPr>
          <w:p w14:paraId="488DD7B9" w14:textId="77777777" w:rsidR="00302BFE" w:rsidRPr="00D45B3D" w:rsidRDefault="00302BFE" w:rsidP="00243B15">
            <w:pPr>
              <w:rPr>
                <w:rFonts w:asciiTheme="minorHAnsi" w:eastAsia="Times New Roman" w:hAnsiTheme="minorHAnsi" w:cstheme="minorHAnsi"/>
                <w:b/>
                <w:color w:val="000000"/>
                <w:szCs w:val="20"/>
                <w:lang w:val="fr-CA"/>
              </w:rPr>
            </w:pPr>
            <w:r w:rsidRPr="00D45B3D">
              <w:rPr>
                <w:rFonts w:asciiTheme="minorHAnsi" w:eastAsia="Times New Roman" w:hAnsiTheme="minorHAnsi" w:cstheme="minorHAnsi"/>
                <w:b/>
                <w:color w:val="000000"/>
                <w:szCs w:val="20"/>
                <w:lang w:val="fr-CA"/>
              </w:rPr>
              <w:t>Total</w:t>
            </w:r>
          </w:p>
        </w:tc>
        <w:tc>
          <w:tcPr>
            <w:tcW w:w="1350" w:type="dxa"/>
            <w:shd w:val="clear" w:color="auto" w:fill="auto"/>
          </w:tcPr>
          <w:p w14:paraId="0499A762" w14:textId="77777777" w:rsidR="00302BFE" w:rsidRPr="00D45B3D" w:rsidRDefault="00302BFE" w:rsidP="00243B15">
            <w:pPr>
              <w:rPr>
                <w:rFonts w:asciiTheme="minorHAnsi" w:eastAsia="Times New Roman" w:hAnsiTheme="minorHAnsi" w:cstheme="minorHAnsi"/>
                <w:color w:val="000000"/>
                <w:szCs w:val="20"/>
                <w:lang w:val="fr-CA"/>
              </w:rPr>
            </w:pPr>
          </w:p>
        </w:tc>
        <w:tc>
          <w:tcPr>
            <w:tcW w:w="1126" w:type="dxa"/>
            <w:shd w:val="clear" w:color="auto" w:fill="auto"/>
          </w:tcPr>
          <w:p w14:paraId="15B6FF8B" w14:textId="77777777" w:rsidR="00302BFE" w:rsidRPr="00D45B3D" w:rsidRDefault="00302BFE" w:rsidP="00243B15">
            <w:pPr>
              <w:rPr>
                <w:rFonts w:asciiTheme="minorHAnsi" w:eastAsia="Times New Roman" w:hAnsiTheme="minorHAnsi" w:cstheme="minorHAnsi"/>
                <w:color w:val="000000"/>
                <w:szCs w:val="20"/>
                <w:lang w:val="fr-CA"/>
              </w:rPr>
            </w:pPr>
          </w:p>
        </w:tc>
        <w:tc>
          <w:tcPr>
            <w:tcW w:w="2111" w:type="dxa"/>
            <w:shd w:val="clear" w:color="auto" w:fill="auto"/>
          </w:tcPr>
          <w:p w14:paraId="28764007" w14:textId="77777777" w:rsidR="00302BFE" w:rsidRPr="00D45B3D" w:rsidRDefault="00302BFE" w:rsidP="00243B15">
            <w:pPr>
              <w:rPr>
                <w:rFonts w:asciiTheme="minorHAnsi" w:eastAsia="Times New Roman" w:hAnsiTheme="minorHAnsi" w:cstheme="minorHAnsi"/>
                <w:b/>
                <w:color w:val="000000"/>
                <w:szCs w:val="20"/>
                <w:lang w:val="fr-CA"/>
              </w:rPr>
            </w:pPr>
            <w:r w:rsidRPr="00D45B3D">
              <w:rPr>
                <w:rFonts w:asciiTheme="minorHAnsi" w:eastAsia="Times New Roman" w:hAnsiTheme="minorHAnsi" w:cstheme="minorHAnsi"/>
                <w:b/>
                <w:color w:val="000000"/>
                <w:szCs w:val="20"/>
                <w:lang w:val="fr-CA"/>
              </w:rPr>
              <w:t>436,057</w:t>
            </w:r>
          </w:p>
        </w:tc>
        <w:tc>
          <w:tcPr>
            <w:tcW w:w="2174" w:type="dxa"/>
            <w:shd w:val="clear" w:color="auto" w:fill="auto"/>
          </w:tcPr>
          <w:p w14:paraId="5B831FC9" w14:textId="77777777" w:rsidR="00302BFE" w:rsidRPr="00D45B3D" w:rsidRDefault="00302BFE" w:rsidP="00243B15">
            <w:pPr>
              <w:rPr>
                <w:rFonts w:asciiTheme="minorHAnsi" w:eastAsia="Times New Roman" w:hAnsiTheme="minorHAnsi" w:cstheme="minorHAnsi"/>
                <w:b/>
                <w:color w:val="000000"/>
                <w:szCs w:val="20"/>
                <w:lang w:val="fr-CA"/>
              </w:rPr>
            </w:pPr>
            <w:r w:rsidRPr="00D45B3D">
              <w:rPr>
                <w:rFonts w:asciiTheme="minorHAnsi" w:eastAsia="Times New Roman" w:hAnsiTheme="minorHAnsi" w:cstheme="minorHAnsi"/>
                <w:b/>
                <w:color w:val="000000"/>
                <w:szCs w:val="20"/>
                <w:lang w:val="fr-CA"/>
              </w:rPr>
              <w:t>321,781</w:t>
            </w:r>
          </w:p>
        </w:tc>
        <w:tc>
          <w:tcPr>
            <w:tcW w:w="2107" w:type="dxa"/>
            <w:shd w:val="clear" w:color="auto" w:fill="auto"/>
          </w:tcPr>
          <w:p w14:paraId="50675AA7" w14:textId="77777777" w:rsidR="00302BFE" w:rsidRPr="00D45B3D" w:rsidRDefault="00302BFE" w:rsidP="00243B15">
            <w:pPr>
              <w:rPr>
                <w:rFonts w:asciiTheme="minorHAnsi" w:eastAsia="Times New Roman" w:hAnsiTheme="minorHAnsi" w:cstheme="minorHAnsi"/>
                <w:color w:val="000000"/>
                <w:lang w:val="fr-CA"/>
              </w:rPr>
            </w:pPr>
          </w:p>
        </w:tc>
        <w:tc>
          <w:tcPr>
            <w:tcW w:w="2107" w:type="dxa"/>
            <w:shd w:val="clear" w:color="auto" w:fill="auto"/>
          </w:tcPr>
          <w:p w14:paraId="280DA371" w14:textId="77777777" w:rsidR="00302BFE" w:rsidRPr="00D45B3D" w:rsidRDefault="00302BFE" w:rsidP="00243B15">
            <w:pPr>
              <w:rPr>
                <w:rFonts w:asciiTheme="minorHAnsi" w:eastAsia="Times New Roman" w:hAnsiTheme="minorHAnsi" w:cstheme="minorHAnsi"/>
                <w:color w:val="000000"/>
                <w:lang w:val="fr-CA"/>
              </w:rPr>
            </w:pPr>
          </w:p>
        </w:tc>
      </w:tr>
    </w:tbl>
    <w:p w14:paraId="00CE0A3D" w14:textId="77777777" w:rsidR="00302BFE" w:rsidRPr="00D45B3D" w:rsidRDefault="00302BFE" w:rsidP="00302BFE">
      <w:pPr>
        <w:spacing w:after="0"/>
        <w:rPr>
          <w:rFonts w:asciiTheme="minorHAnsi" w:eastAsia="Times New Roman" w:hAnsiTheme="minorHAnsi" w:cstheme="minorHAns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409"/>
        <w:gridCol w:w="2127"/>
        <w:gridCol w:w="1984"/>
      </w:tblGrid>
      <w:tr w:rsidR="00302BFE" w:rsidRPr="00D45B3D" w14:paraId="6EBC15BE" w14:textId="77777777" w:rsidTr="00243B15">
        <w:tc>
          <w:tcPr>
            <w:tcW w:w="2802" w:type="dxa"/>
            <w:shd w:val="clear" w:color="auto" w:fill="4472C4"/>
          </w:tcPr>
          <w:p w14:paraId="7B6B75F6"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Name of Protected Area</w:t>
            </w:r>
          </w:p>
        </w:tc>
        <w:tc>
          <w:tcPr>
            <w:tcW w:w="2409" w:type="dxa"/>
            <w:shd w:val="clear" w:color="auto" w:fill="4472C4"/>
          </w:tcPr>
          <w:p w14:paraId="64995A39"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METT Score at CEO ER</w:t>
            </w:r>
          </w:p>
        </w:tc>
        <w:tc>
          <w:tcPr>
            <w:tcW w:w="2127" w:type="dxa"/>
            <w:shd w:val="clear" w:color="auto" w:fill="4472C4"/>
          </w:tcPr>
          <w:p w14:paraId="6A272BD3"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METT Score at MTR</w:t>
            </w:r>
          </w:p>
        </w:tc>
        <w:tc>
          <w:tcPr>
            <w:tcW w:w="1984" w:type="dxa"/>
            <w:shd w:val="clear" w:color="auto" w:fill="4472C4"/>
          </w:tcPr>
          <w:p w14:paraId="7BC925CD"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METT Score at TE</w:t>
            </w:r>
          </w:p>
        </w:tc>
      </w:tr>
      <w:tr w:rsidR="00302BFE" w:rsidRPr="00D45B3D" w14:paraId="206B38B3" w14:textId="77777777" w:rsidTr="00243B15">
        <w:tc>
          <w:tcPr>
            <w:tcW w:w="2802" w:type="dxa"/>
            <w:shd w:val="clear" w:color="auto" w:fill="auto"/>
          </w:tcPr>
          <w:p w14:paraId="409B05FF" w14:textId="77777777" w:rsidR="00302BFE" w:rsidRPr="00D45B3D" w:rsidRDefault="00302BFE" w:rsidP="00243B15">
            <w:pPr>
              <w:rPr>
                <w:rFonts w:asciiTheme="minorHAnsi" w:eastAsia="Times New Roman" w:hAnsiTheme="minorHAnsi" w:cstheme="minorHAnsi"/>
                <w:color w:val="000000"/>
                <w:szCs w:val="20"/>
              </w:rPr>
            </w:pPr>
            <w:proofErr w:type="spellStart"/>
            <w:r w:rsidRPr="00D45B3D">
              <w:rPr>
                <w:rFonts w:asciiTheme="minorHAnsi" w:eastAsia="Times New Roman" w:hAnsiTheme="minorHAnsi" w:cstheme="minorHAnsi"/>
                <w:color w:val="000000"/>
                <w:szCs w:val="20"/>
              </w:rPr>
              <w:t>Nazinga</w:t>
            </w:r>
            <w:proofErr w:type="spellEnd"/>
            <w:r w:rsidRPr="00D45B3D">
              <w:rPr>
                <w:rFonts w:asciiTheme="minorHAnsi" w:eastAsia="Times New Roman" w:hAnsiTheme="minorHAnsi" w:cstheme="minorHAnsi"/>
                <w:color w:val="000000"/>
                <w:szCs w:val="20"/>
              </w:rPr>
              <w:t xml:space="preserve"> Game Ranch</w:t>
            </w:r>
          </w:p>
        </w:tc>
        <w:tc>
          <w:tcPr>
            <w:tcW w:w="2409" w:type="dxa"/>
            <w:shd w:val="clear" w:color="auto" w:fill="auto"/>
          </w:tcPr>
          <w:p w14:paraId="1641D7BD"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75</w:t>
            </w:r>
          </w:p>
        </w:tc>
        <w:tc>
          <w:tcPr>
            <w:tcW w:w="2127" w:type="dxa"/>
            <w:shd w:val="clear" w:color="auto" w:fill="auto"/>
          </w:tcPr>
          <w:p w14:paraId="76FE27CD" w14:textId="77777777" w:rsidR="00302BFE" w:rsidRPr="00D45B3D" w:rsidRDefault="00302BFE" w:rsidP="00243B15">
            <w:pPr>
              <w:rPr>
                <w:rFonts w:asciiTheme="minorHAnsi" w:eastAsia="Times New Roman" w:hAnsiTheme="minorHAnsi" w:cstheme="minorHAnsi"/>
                <w:color w:val="000000"/>
                <w:szCs w:val="20"/>
              </w:rPr>
            </w:pPr>
          </w:p>
        </w:tc>
        <w:tc>
          <w:tcPr>
            <w:tcW w:w="1984" w:type="dxa"/>
            <w:shd w:val="clear" w:color="auto" w:fill="auto"/>
          </w:tcPr>
          <w:p w14:paraId="0F49E1E1" w14:textId="77777777" w:rsidR="00302BFE" w:rsidRPr="00D45B3D" w:rsidRDefault="00302BFE" w:rsidP="00243B15">
            <w:pPr>
              <w:rPr>
                <w:rFonts w:asciiTheme="minorHAnsi" w:eastAsia="Times New Roman" w:hAnsiTheme="minorHAnsi" w:cstheme="minorHAnsi"/>
                <w:color w:val="000000"/>
                <w:szCs w:val="20"/>
              </w:rPr>
            </w:pPr>
          </w:p>
        </w:tc>
      </w:tr>
      <w:tr w:rsidR="00302BFE" w:rsidRPr="00D45B3D" w14:paraId="165C1358" w14:textId="77777777" w:rsidTr="00243B15">
        <w:tc>
          <w:tcPr>
            <w:tcW w:w="2802" w:type="dxa"/>
            <w:shd w:val="clear" w:color="auto" w:fill="auto"/>
          </w:tcPr>
          <w:p w14:paraId="4C6AFB33" w14:textId="77777777" w:rsidR="00302BFE" w:rsidRPr="00D45B3D" w:rsidRDefault="00302BFE" w:rsidP="00243B15">
            <w:pPr>
              <w:rPr>
                <w:rFonts w:asciiTheme="minorHAnsi" w:eastAsia="Times New Roman" w:hAnsiTheme="minorHAnsi" w:cstheme="minorHAnsi"/>
                <w:color w:val="000000"/>
                <w:szCs w:val="20"/>
              </w:rPr>
            </w:pPr>
            <w:proofErr w:type="spellStart"/>
            <w:r w:rsidRPr="00D45B3D">
              <w:rPr>
                <w:rFonts w:asciiTheme="minorHAnsi" w:eastAsia="Times New Roman" w:hAnsiTheme="minorHAnsi" w:cstheme="minorHAnsi"/>
                <w:color w:val="000000"/>
                <w:szCs w:val="20"/>
              </w:rPr>
              <w:t>Sissili</w:t>
            </w:r>
            <w:proofErr w:type="spellEnd"/>
            <w:r w:rsidRPr="00D45B3D">
              <w:rPr>
                <w:rFonts w:asciiTheme="minorHAnsi" w:eastAsia="Times New Roman" w:hAnsiTheme="minorHAnsi" w:cstheme="minorHAnsi"/>
                <w:color w:val="000000"/>
                <w:szCs w:val="20"/>
              </w:rPr>
              <w:t xml:space="preserve"> Classified Forest</w:t>
            </w:r>
          </w:p>
        </w:tc>
        <w:tc>
          <w:tcPr>
            <w:tcW w:w="2409" w:type="dxa"/>
            <w:shd w:val="clear" w:color="auto" w:fill="auto"/>
          </w:tcPr>
          <w:p w14:paraId="3F33BB01"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47</w:t>
            </w:r>
          </w:p>
        </w:tc>
        <w:tc>
          <w:tcPr>
            <w:tcW w:w="2127" w:type="dxa"/>
            <w:shd w:val="clear" w:color="auto" w:fill="auto"/>
          </w:tcPr>
          <w:p w14:paraId="3E99E949" w14:textId="77777777" w:rsidR="00302BFE" w:rsidRPr="00D45B3D" w:rsidRDefault="00302BFE" w:rsidP="00243B15">
            <w:pPr>
              <w:rPr>
                <w:rFonts w:asciiTheme="minorHAnsi" w:eastAsia="Times New Roman" w:hAnsiTheme="minorHAnsi" w:cstheme="minorHAnsi"/>
                <w:color w:val="000000"/>
                <w:szCs w:val="20"/>
              </w:rPr>
            </w:pPr>
          </w:p>
        </w:tc>
        <w:tc>
          <w:tcPr>
            <w:tcW w:w="1984" w:type="dxa"/>
            <w:shd w:val="clear" w:color="auto" w:fill="auto"/>
          </w:tcPr>
          <w:p w14:paraId="319759C8" w14:textId="77777777" w:rsidR="00302BFE" w:rsidRPr="00D45B3D" w:rsidRDefault="00302BFE" w:rsidP="00243B15">
            <w:pPr>
              <w:rPr>
                <w:rFonts w:asciiTheme="minorHAnsi" w:eastAsia="Times New Roman" w:hAnsiTheme="minorHAnsi" w:cstheme="minorHAnsi"/>
                <w:color w:val="000000"/>
                <w:szCs w:val="20"/>
              </w:rPr>
            </w:pPr>
          </w:p>
        </w:tc>
      </w:tr>
      <w:tr w:rsidR="00302BFE" w:rsidRPr="00D45B3D" w14:paraId="418B8A22" w14:textId="77777777" w:rsidTr="00243B15">
        <w:tc>
          <w:tcPr>
            <w:tcW w:w="2802" w:type="dxa"/>
            <w:shd w:val="clear" w:color="auto" w:fill="auto"/>
          </w:tcPr>
          <w:p w14:paraId="655EC798"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Kaboré-</w:t>
            </w:r>
            <w:proofErr w:type="spellStart"/>
            <w:r w:rsidRPr="00D45B3D">
              <w:rPr>
                <w:rFonts w:asciiTheme="minorHAnsi" w:eastAsia="Times New Roman" w:hAnsiTheme="minorHAnsi" w:cstheme="minorHAnsi"/>
                <w:color w:val="000000"/>
                <w:szCs w:val="20"/>
              </w:rPr>
              <w:t>Tambi</w:t>
            </w:r>
            <w:proofErr w:type="spellEnd"/>
            <w:r w:rsidRPr="00D45B3D">
              <w:rPr>
                <w:rFonts w:asciiTheme="minorHAnsi" w:eastAsia="Times New Roman" w:hAnsiTheme="minorHAnsi" w:cstheme="minorHAnsi"/>
                <w:color w:val="000000"/>
                <w:szCs w:val="20"/>
              </w:rPr>
              <w:t xml:space="preserve"> National Park</w:t>
            </w:r>
          </w:p>
        </w:tc>
        <w:tc>
          <w:tcPr>
            <w:tcW w:w="2409" w:type="dxa"/>
            <w:shd w:val="clear" w:color="auto" w:fill="auto"/>
          </w:tcPr>
          <w:p w14:paraId="001C0E01"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39</w:t>
            </w:r>
          </w:p>
        </w:tc>
        <w:tc>
          <w:tcPr>
            <w:tcW w:w="2127" w:type="dxa"/>
            <w:shd w:val="clear" w:color="auto" w:fill="auto"/>
          </w:tcPr>
          <w:p w14:paraId="4F51F289" w14:textId="77777777" w:rsidR="00302BFE" w:rsidRPr="00D45B3D" w:rsidRDefault="00302BFE" w:rsidP="00243B15">
            <w:pPr>
              <w:rPr>
                <w:rFonts w:asciiTheme="minorHAnsi" w:eastAsia="Times New Roman" w:hAnsiTheme="minorHAnsi" w:cstheme="minorHAnsi"/>
                <w:color w:val="000000"/>
                <w:szCs w:val="20"/>
              </w:rPr>
            </w:pPr>
          </w:p>
        </w:tc>
        <w:tc>
          <w:tcPr>
            <w:tcW w:w="1984" w:type="dxa"/>
            <w:shd w:val="clear" w:color="auto" w:fill="auto"/>
          </w:tcPr>
          <w:p w14:paraId="15D25820" w14:textId="77777777" w:rsidR="00302BFE" w:rsidRPr="00D45B3D" w:rsidRDefault="00302BFE" w:rsidP="00243B15">
            <w:pPr>
              <w:rPr>
                <w:rFonts w:asciiTheme="minorHAnsi" w:eastAsia="Times New Roman" w:hAnsiTheme="minorHAnsi" w:cstheme="minorHAnsi"/>
                <w:color w:val="000000"/>
                <w:szCs w:val="20"/>
              </w:rPr>
            </w:pPr>
          </w:p>
        </w:tc>
      </w:tr>
      <w:tr w:rsidR="00302BFE" w:rsidRPr="00D45B3D" w14:paraId="5A12B24F" w14:textId="77777777" w:rsidTr="00243B15">
        <w:tc>
          <w:tcPr>
            <w:tcW w:w="2802" w:type="dxa"/>
            <w:shd w:val="clear" w:color="auto" w:fill="auto"/>
          </w:tcPr>
          <w:p w14:paraId="213F1145"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Corridor #1</w:t>
            </w:r>
          </w:p>
        </w:tc>
        <w:tc>
          <w:tcPr>
            <w:tcW w:w="2409" w:type="dxa"/>
            <w:shd w:val="clear" w:color="auto" w:fill="auto"/>
          </w:tcPr>
          <w:p w14:paraId="0B865285"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31</w:t>
            </w:r>
          </w:p>
        </w:tc>
        <w:tc>
          <w:tcPr>
            <w:tcW w:w="2127" w:type="dxa"/>
            <w:shd w:val="clear" w:color="auto" w:fill="auto"/>
          </w:tcPr>
          <w:p w14:paraId="3B18729C" w14:textId="77777777" w:rsidR="00302BFE" w:rsidRPr="00D45B3D" w:rsidRDefault="00302BFE" w:rsidP="00243B15">
            <w:pPr>
              <w:rPr>
                <w:rFonts w:asciiTheme="minorHAnsi" w:eastAsia="Times New Roman" w:hAnsiTheme="minorHAnsi" w:cstheme="minorHAnsi"/>
                <w:color w:val="000000"/>
                <w:szCs w:val="20"/>
              </w:rPr>
            </w:pPr>
          </w:p>
        </w:tc>
        <w:tc>
          <w:tcPr>
            <w:tcW w:w="1984" w:type="dxa"/>
            <w:shd w:val="clear" w:color="auto" w:fill="auto"/>
          </w:tcPr>
          <w:p w14:paraId="33F1B0A6" w14:textId="77777777" w:rsidR="00302BFE" w:rsidRPr="00D45B3D" w:rsidRDefault="00302BFE" w:rsidP="00243B15">
            <w:pPr>
              <w:rPr>
                <w:rFonts w:asciiTheme="minorHAnsi" w:eastAsia="Times New Roman" w:hAnsiTheme="minorHAnsi" w:cstheme="minorHAnsi"/>
                <w:color w:val="000000"/>
                <w:szCs w:val="20"/>
              </w:rPr>
            </w:pPr>
          </w:p>
        </w:tc>
      </w:tr>
      <w:tr w:rsidR="00302BFE" w:rsidRPr="00D45B3D" w14:paraId="534A01EE" w14:textId="77777777" w:rsidTr="00243B15">
        <w:tc>
          <w:tcPr>
            <w:tcW w:w="2802" w:type="dxa"/>
            <w:shd w:val="clear" w:color="auto" w:fill="auto"/>
          </w:tcPr>
          <w:p w14:paraId="1A4F7105"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 xml:space="preserve">ZOVICs </w:t>
            </w:r>
            <w:proofErr w:type="spellStart"/>
            <w:r w:rsidRPr="00D45B3D">
              <w:rPr>
                <w:rFonts w:asciiTheme="minorHAnsi" w:eastAsia="Times New Roman" w:hAnsiTheme="minorHAnsi" w:cstheme="minorHAnsi"/>
                <w:color w:val="000000"/>
                <w:szCs w:val="20"/>
              </w:rPr>
              <w:t>Guiaro-Pô</w:t>
            </w:r>
            <w:proofErr w:type="spellEnd"/>
          </w:p>
        </w:tc>
        <w:tc>
          <w:tcPr>
            <w:tcW w:w="2409" w:type="dxa"/>
            <w:shd w:val="clear" w:color="auto" w:fill="auto"/>
          </w:tcPr>
          <w:p w14:paraId="74AF8B01"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55</w:t>
            </w:r>
          </w:p>
        </w:tc>
        <w:tc>
          <w:tcPr>
            <w:tcW w:w="2127" w:type="dxa"/>
            <w:shd w:val="clear" w:color="auto" w:fill="auto"/>
          </w:tcPr>
          <w:p w14:paraId="0D749C6E" w14:textId="77777777" w:rsidR="00302BFE" w:rsidRPr="00D45B3D" w:rsidRDefault="00302BFE" w:rsidP="00243B15">
            <w:pPr>
              <w:rPr>
                <w:rFonts w:asciiTheme="minorHAnsi" w:eastAsia="Times New Roman" w:hAnsiTheme="minorHAnsi" w:cstheme="minorHAnsi"/>
                <w:color w:val="000000"/>
                <w:szCs w:val="20"/>
              </w:rPr>
            </w:pPr>
          </w:p>
        </w:tc>
        <w:tc>
          <w:tcPr>
            <w:tcW w:w="1984" w:type="dxa"/>
            <w:shd w:val="clear" w:color="auto" w:fill="auto"/>
          </w:tcPr>
          <w:p w14:paraId="4DA1CD33" w14:textId="77777777" w:rsidR="00302BFE" w:rsidRPr="00D45B3D" w:rsidRDefault="00302BFE" w:rsidP="00243B15">
            <w:pPr>
              <w:rPr>
                <w:rFonts w:asciiTheme="minorHAnsi" w:eastAsia="Times New Roman" w:hAnsiTheme="minorHAnsi" w:cstheme="minorHAnsi"/>
                <w:color w:val="000000"/>
                <w:szCs w:val="20"/>
              </w:rPr>
            </w:pPr>
          </w:p>
        </w:tc>
      </w:tr>
      <w:tr w:rsidR="00302BFE" w:rsidRPr="00D45B3D" w14:paraId="2AB8B8B5" w14:textId="77777777" w:rsidTr="00243B15">
        <w:tc>
          <w:tcPr>
            <w:tcW w:w="2802" w:type="dxa"/>
            <w:shd w:val="clear" w:color="auto" w:fill="auto"/>
          </w:tcPr>
          <w:p w14:paraId="5938F096"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 xml:space="preserve">ZOVICs </w:t>
            </w:r>
            <w:proofErr w:type="spellStart"/>
            <w:r w:rsidRPr="00D45B3D">
              <w:rPr>
                <w:rFonts w:asciiTheme="minorHAnsi" w:eastAsia="Times New Roman" w:hAnsiTheme="minorHAnsi" w:cstheme="minorHAnsi"/>
                <w:color w:val="000000"/>
                <w:szCs w:val="20"/>
              </w:rPr>
              <w:t>Biéha</w:t>
            </w:r>
            <w:proofErr w:type="spellEnd"/>
          </w:p>
        </w:tc>
        <w:tc>
          <w:tcPr>
            <w:tcW w:w="2409" w:type="dxa"/>
            <w:shd w:val="clear" w:color="auto" w:fill="auto"/>
          </w:tcPr>
          <w:p w14:paraId="78727E42"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36</w:t>
            </w:r>
          </w:p>
        </w:tc>
        <w:tc>
          <w:tcPr>
            <w:tcW w:w="2127" w:type="dxa"/>
            <w:shd w:val="clear" w:color="auto" w:fill="auto"/>
          </w:tcPr>
          <w:p w14:paraId="5B62AD06" w14:textId="77777777" w:rsidR="00302BFE" w:rsidRPr="00D45B3D" w:rsidRDefault="00302BFE" w:rsidP="00243B15">
            <w:pPr>
              <w:rPr>
                <w:rFonts w:asciiTheme="minorHAnsi" w:eastAsia="Times New Roman" w:hAnsiTheme="minorHAnsi" w:cstheme="minorHAnsi"/>
                <w:color w:val="000000"/>
                <w:szCs w:val="20"/>
              </w:rPr>
            </w:pPr>
          </w:p>
        </w:tc>
        <w:tc>
          <w:tcPr>
            <w:tcW w:w="1984" w:type="dxa"/>
            <w:shd w:val="clear" w:color="auto" w:fill="auto"/>
          </w:tcPr>
          <w:p w14:paraId="7394B38A" w14:textId="77777777" w:rsidR="00302BFE" w:rsidRPr="00D45B3D" w:rsidRDefault="00302BFE" w:rsidP="00243B15">
            <w:pPr>
              <w:rPr>
                <w:rFonts w:asciiTheme="minorHAnsi" w:eastAsia="Times New Roman" w:hAnsiTheme="minorHAnsi" w:cstheme="minorHAnsi"/>
                <w:color w:val="000000"/>
                <w:szCs w:val="20"/>
              </w:rPr>
            </w:pPr>
          </w:p>
        </w:tc>
      </w:tr>
    </w:tbl>
    <w:p w14:paraId="0B92D019" w14:textId="77777777" w:rsidR="00302BFE" w:rsidRPr="00D45B3D" w:rsidRDefault="00302BFE" w:rsidP="00302BFE">
      <w:pPr>
        <w:spacing w:before="240" w:after="120"/>
        <w:rPr>
          <w:rFonts w:asciiTheme="minorHAnsi" w:eastAsia="Times New Roman" w:hAnsiTheme="minorHAnsi" w:cstheme="minorHAnsi"/>
          <w:b/>
          <w:caps/>
          <w:color w:val="000000"/>
          <w:szCs w:val="20"/>
        </w:rPr>
      </w:pPr>
      <w:bookmarkStart w:id="48" w:name="_Toc7991604"/>
      <w:r w:rsidRPr="00D45B3D">
        <w:rPr>
          <w:rFonts w:asciiTheme="minorHAnsi" w:eastAsia="Times New Roman" w:hAnsiTheme="minorHAnsi" w:cstheme="minorHAnsi"/>
          <w:b/>
          <w:caps/>
          <w:color w:val="000000"/>
          <w:szCs w:val="20"/>
        </w:rPr>
        <w:t>Core Indicator 3: Area of land restored (hectares)</w:t>
      </w:r>
      <w:bookmarkEnd w:id="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304"/>
        <w:gridCol w:w="2304"/>
        <w:gridCol w:w="2304"/>
      </w:tblGrid>
      <w:tr w:rsidR="00302BFE" w:rsidRPr="00D45B3D" w14:paraId="4B866498" w14:textId="77777777" w:rsidTr="00243B15">
        <w:tc>
          <w:tcPr>
            <w:tcW w:w="2304" w:type="dxa"/>
            <w:shd w:val="clear" w:color="auto" w:fill="4472C4"/>
          </w:tcPr>
          <w:p w14:paraId="1A46087B"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PIF)</w:t>
            </w:r>
          </w:p>
        </w:tc>
        <w:tc>
          <w:tcPr>
            <w:tcW w:w="2304" w:type="dxa"/>
            <w:shd w:val="clear" w:color="auto" w:fill="4472C4"/>
          </w:tcPr>
          <w:p w14:paraId="0BC00F68"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CEO ER)</w:t>
            </w:r>
          </w:p>
        </w:tc>
        <w:tc>
          <w:tcPr>
            <w:tcW w:w="2304" w:type="dxa"/>
            <w:shd w:val="clear" w:color="auto" w:fill="4472C4"/>
          </w:tcPr>
          <w:p w14:paraId="621BCF83"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MTR)</w:t>
            </w:r>
          </w:p>
        </w:tc>
        <w:tc>
          <w:tcPr>
            <w:tcW w:w="2304" w:type="dxa"/>
            <w:shd w:val="clear" w:color="auto" w:fill="4472C4"/>
          </w:tcPr>
          <w:p w14:paraId="5FF4C069"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TE)</w:t>
            </w:r>
          </w:p>
        </w:tc>
      </w:tr>
      <w:tr w:rsidR="00302BFE" w:rsidRPr="00D45B3D" w14:paraId="030B9636" w14:textId="77777777" w:rsidTr="00243B15">
        <w:tc>
          <w:tcPr>
            <w:tcW w:w="2304" w:type="dxa"/>
            <w:shd w:val="clear" w:color="auto" w:fill="auto"/>
          </w:tcPr>
          <w:p w14:paraId="7DCDFCFF"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3,000</w:t>
            </w:r>
          </w:p>
        </w:tc>
        <w:tc>
          <w:tcPr>
            <w:tcW w:w="2304" w:type="dxa"/>
            <w:shd w:val="clear" w:color="auto" w:fill="auto"/>
          </w:tcPr>
          <w:p w14:paraId="626FC469"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11,000</w:t>
            </w:r>
          </w:p>
        </w:tc>
        <w:tc>
          <w:tcPr>
            <w:tcW w:w="2304" w:type="dxa"/>
            <w:shd w:val="clear" w:color="auto" w:fill="auto"/>
          </w:tcPr>
          <w:p w14:paraId="74CEE10F" w14:textId="77777777" w:rsidR="00302BFE" w:rsidRPr="00D45B3D" w:rsidRDefault="00302BFE" w:rsidP="00243B15">
            <w:pPr>
              <w:rPr>
                <w:rFonts w:asciiTheme="minorHAnsi" w:eastAsia="Times New Roman" w:hAnsiTheme="minorHAnsi" w:cstheme="minorHAnsi"/>
                <w:color w:val="000000"/>
                <w:szCs w:val="20"/>
              </w:rPr>
            </w:pPr>
          </w:p>
        </w:tc>
        <w:tc>
          <w:tcPr>
            <w:tcW w:w="2304" w:type="dxa"/>
            <w:shd w:val="clear" w:color="auto" w:fill="auto"/>
          </w:tcPr>
          <w:p w14:paraId="3F9CF263" w14:textId="77777777" w:rsidR="00302BFE" w:rsidRPr="00D45B3D" w:rsidRDefault="00302BFE" w:rsidP="00243B15">
            <w:pPr>
              <w:rPr>
                <w:rFonts w:asciiTheme="minorHAnsi" w:eastAsia="Times New Roman" w:hAnsiTheme="minorHAnsi" w:cstheme="minorHAnsi"/>
                <w:color w:val="000000"/>
                <w:szCs w:val="20"/>
              </w:rPr>
            </w:pPr>
          </w:p>
        </w:tc>
      </w:tr>
    </w:tbl>
    <w:p w14:paraId="6E8E4BB7" w14:textId="77777777" w:rsidR="00302BFE" w:rsidRPr="00D45B3D" w:rsidRDefault="00302BFE" w:rsidP="00302BFE">
      <w:pPr>
        <w:spacing w:after="0"/>
        <w:rPr>
          <w:rFonts w:asciiTheme="minorHAnsi" w:eastAsia="Times New Roman" w:hAnsiTheme="minorHAnsi" w:cstheme="minorHAnsi"/>
          <w:i/>
          <w:color w:val="000000"/>
          <w:sz w:val="18"/>
          <w:szCs w:val="18"/>
        </w:rPr>
      </w:pPr>
      <w:r w:rsidRPr="00D45B3D">
        <w:rPr>
          <w:rFonts w:asciiTheme="minorHAnsi" w:eastAsia="Times New Roman" w:hAnsiTheme="minorHAnsi" w:cstheme="minorHAnsi"/>
          <w:i/>
          <w:color w:val="000000"/>
          <w:sz w:val="18"/>
          <w:szCs w:val="18"/>
        </w:rPr>
        <w:t>Figure at a given stage must be the sum of all figures reported under the four sub-indicators (3.1, 3.2, 3.3 and 3.4) for that stage.</w:t>
      </w:r>
    </w:p>
    <w:p w14:paraId="63FB8ADD" w14:textId="77777777" w:rsidR="00302BFE" w:rsidRPr="00D45B3D" w:rsidRDefault="00302BFE" w:rsidP="00302BFE">
      <w:pPr>
        <w:spacing w:after="0"/>
        <w:rPr>
          <w:rFonts w:asciiTheme="minorHAnsi" w:eastAsia="Times New Roman" w:hAnsiTheme="minorHAnsi" w:cstheme="minorHAnsi"/>
          <w:color w:val="000000"/>
          <w:sz w:val="16"/>
          <w:szCs w:val="16"/>
        </w:rPr>
      </w:pPr>
    </w:p>
    <w:p w14:paraId="440B39E5" w14:textId="77777777" w:rsidR="00302BFE" w:rsidRPr="00D45B3D" w:rsidRDefault="00302BFE" w:rsidP="00302BFE">
      <w:pPr>
        <w:rPr>
          <w:rFonts w:asciiTheme="minorHAnsi" w:eastAsia="Times New Roman" w:hAnsiTheme="minorHAnsi" w:cstheme="minorHAnsi"/>
          <w:b/>
          <w:color w:val="000000"/>
        </w:rPr>
      </w:pPr>
      <w:r w:rsidRPr="00D45B3D">
        <w:rPr>
          <w:rFonts w:asciiTheme="minorHAnsi" w:eastAsia="Times New Roman" w:hAnsiTheme="minorHAnsi" w:cstheme="minorHAnsi"/>
          <w:b/>
          <w:color w:val="000000"/>
        </w:rPr>
        <w:t>3.1 Area of degraded agricultural lands restored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304"/>
        <w:gridCol w:w="2304"/>
        <w:gridCol w:w="2304"/>
      </w:tblGrid>
      <w:tr w:rsidR="00302BFE" w:rsidRPr="00D45B3D" w14:paraId="3C37DEDA" w14:textId="77777777" w:rsidTr="00243B15">
        <w:tc>
          <w:tcPr>
            <w:tcW w:w="2304" w:type="dxa"/>
            <w:shd w:val="clear" w:color="auto" w:fill="4472C4"/>
          </w:tcPr>
          <w:p w14:paraId="7DB8D876"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PIF)</w:t>
            </w:r>
          </w:p>
        </w:tc>
        <w:tc>
          <w:tcPr>
            <w:tcW w:w="2304" w:type="dxa"/>
            <w:shd w:val="clear" w:color="auto" w:fill="4472C4"/>
          </w:tcPr>
          <w:p w14:paraId="375511A4"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CEO ER)</w:t>
            </w:r>
          </w:p>
        </w:tc>
        <w:tc>
          <w:tcPr>
            <w:tcW w:w="2304" w:type="dxa"/>
            <w:shd w:val="clear" w:color="auto" w:fill="4472C4"/>
          </w:tcPr>
          <w:p w14:paraId="55929446"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MTR)</w:t>
            </w:r>
          </w:p>
        </w:tc>
        <w:tc>
          <w:tcPr>
            <w:tcW w:w="2304" w:type="dxa"/>
            <w:shd w:val="clear" w:color="auto" w:fill="4472C4"/>
          </w:tcPr>
          <w:p w14:paraId="734F1725"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TE)</w:t>
            </w:r>
          </w:p>
        </w:tc>
      </w:tr>
      <w:tr w:rsidR="00302BFE" w:rsidRPr="00D45B3D" w14:paraId="70B950DB" w14:textId="77777777" w:rsidTr="00243B15">
        <w:tc>
          <w:tcPr>
            <w:tcW w:w="2304" w:type="dxa"/>
            <w:shd w:val="clear" w:color="auto" w:fill="auto"/>
          </w:tcPr>
          <w:p w14:paraId="466D2723" w14:textId="77777777" w:rsidR="00302BFE" w:rsidRPr="00D45B3D" w:rsidRDefault="00302BFE" w:rsidP="00243B15">
            <w:pPr>
              <w:rPr>
                <w:rFonts w:asciiTheme="minorHAnsi" w:eastAsia="Times New Roman" w:hAnsiTheme="minorHAnsi" w:cstheme="minorHAnsi"/>
                <w:color w:val="000000"/>
              </w:rPr>
            </w:pPr>
          </w:p>
        </w:tc>
        <w:tc>
          <w:tcPr>
            <w:tcW w:w="2304" w:type="dxa"/>
            <w:shd w:val="clear" w:color="auto" w:fill="auto"/>
          </w:tcPr>
          <w:p w14:paraId="648350AA" w14:textId="77777777" w:rsidR="00302BFE" w:rsidRPr="00D45B3D" w:rsidRDefault="00302BFE" w:rsidP="00243B15">
            <w:pPr>
              <w:rPr>
                <w:rFonts w:asciiTheme="minorHAnsi" w:eastAsia="Times New Roman" w:hAnsiTheme="minorHAnsi" w:cstheme="minorHAnsi"/>
                <w:color w:val="000000"/>
              </w:rPr>
            </w:pPr>
          </w:p>
        </w:tc>
        <w:tc>
          <w:tcPr>
            <w:tcW w:w="2304" w:type="dxa"/>
            <w:shd w:val="clear" w:color="auto" w:fill="auto"/>
          </w:tcPr>
          <w:p w14:paraId="1CBA79A1" w14:textId="77777777" w:rsidR="00302BFE" w:rsidRPr="00D45B3D" w:rsidRDefault="00302BFE" w:rsidP="00243B15">
            <w:pPr>
              <w:rPr>
                <w:rFonts w:asciiTheme="minorHAnsi" w:eastAsia="Times New Roman" w:hAnsiTheme="minorHAnsi" w:cstheme="minorHAnsi"/>
                <w:color w:val="000000"/>
              </w:rPr>
            </w:pPr>
          </w:p>
        </w:tc>
        <w:tc>
          <w:tcPr>
            <w:tcW w:w="2304" w:type="dxa"/>
            <w:shd w:val="clear" w:color="auto" w:fill="auto"/>
          </w:tcPr>
          <w:p w14:paraId="38D8D03C" w14:textId="77777777" w:rsidR="00302BFE" w:rsidRPr="00D45B3D" w:rsidRDefault="00302BFE" w:rsidP="00243B15">
            <w:pPr>
              <w:rPr>
                <w:rFonts w:asciiTheme="minorHAnsi" w:eastAsia="Times New Roman" w:hAnsiTheme="minorHAnsi" w:cstheme="minorHAnsi"/>
                <w:color w:val="000000"/>
              </w:rPr>
            </w:pPr>
          </w:p>
        </w:tc>
      </w:tr>
    </w:tbl>
    <w:p w14:paraId="105FD134" w14:textId="77777777" w:rsidR="00302BFE" w:rsidRPr="00D45B3D" w:rsidRDefault="00302BFE" w:rsidP="00302BFE">
      <w:pPr>
        <w:rPr>
          <w:rFonts w:asciiTheme="minorHAnsi" w:eastAsia="Times New Roman" w:hAnsiTheme="minorHAnsi" w:cstheme="minorHAnsi"/>
          <w:color w:val="000000"/>
          <w:sz w:val="16"/>
          <w:szCs w:val="16"/>
        </w:rPr>
      </w:pPr>
    </w:p>
    <w:p w14:paraId="46E9843E" w14:textId="77777777" w:rsidR="00302BFE" w:rsidRPr="00D45B3D" w:rsidRDefault="00302BFE" w:rsidP="00302BFE">
      <w:pPr>
        <w:rPr>
          <w:rFonts w:asciiTheme="minorHAnsi" w:eastAsia="Times New Roman" w:hAnsiTheme="minorHAnsi" w:cstheme="minorHAnsi"/>
          <w:b/>
          <w:color w:val="000000"/>
        </w:rPr>
      </w:pPr>
      <w:r w:rsidRPr="00D45B3D">
        <w:rPr>
          <w:rFonts w:asciiTheme="minorHAnsi" w:eastAsia="Times New Roman" w:hAnsiTheme="minorHAnsi" w:cstheme="minorHAnsi"/>
          <w:b/>
          <w:color w:val="000000"/>
        </w:rPr>
        <w:t>3.2 Area of forest and forest land restored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304"/>
        <w:gridCol w:w="2304"/>
        <w:gridCol w:w="2304"/>
      </w:tblGrid>
      <w:tr w:rsidR="00302BFE" w:rsidRPr="00D45B3D" w14:paraId="2AD027F8" w14:textId="77777777" w:rsidTr="00243B15">
        <w:tc>
          <w:tcPr>
            <w:tcW w:w="2304" w:type="dxa"/>
            <w:shd w:val="clear" w:color="auto" w:fill="4472C4"/>
          </w:tcPr>
          <w:p w14:paraId="07831BE3"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PIF)</w:t>
            </w:r>
          </w:p>
        </w:tc>
        <w:tc>
          <w:tcPr>
            <w:tcW w:w="2304" w:type="dxa"/>
            <w:shd w:val="clear" w:color="auto" w:fill="4472C4"/>
          </w:tcPr>
          <w:p w14:paraId="4BD19361"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CEO ER)</w:t>
            </w:r>
          </w:p>
        </w:tc>
        <w:tc>
          <w:tcPr>
            <w:tcW w:w="2304" w:type="dxa"/>
            <w:shd w:val="clear" w:color="auto" w:fill="4472C4"/>
          </w:tcPr>
          <w:p w14:paraId="420FC7C1"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MTR)</w:t>
            </w:r>
          </w:p>
        </w:tc>
        <w:tc>
          <w:tcPr>
            <w:tcW w:w="2304" w:type="dxa"/>
            <w:shd w:val="clear" w:color="auto" w:fill="4472C4"/>
          </w:tcPr>
          <w:p w14:paraId="726F16F2"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TE)</w:t>
            </w:r>
          </w:p>
        </w:tc>
      </w:tr>
      <w:tr w:rsidR="00302BFE" w:rsidRPr="00D45B3D" w14:paraId="58F3AB2B" w14:textId="77777777" w:rsidTr="00243B15">
        <w:tc>
          <w:tcPr>
            <w:tcW w:w="2304" w:type="dxa"/>
            <w:shd w:val="clear" w:color="auto" w:fill="auto"/>
          </w:tcPr>
          <w:p w14:paraId="0E9A17DC"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3,000</w:t>
            </w:r>
          </w:p>
        </w:tc>
        <w:tc>
          <w:tcPr>
            <w:tcW w:w="2304" w:type="dxa"/>
            <w:shd w:val="clear" w:color="auto" w:fill="auto"/>
          </w:tcPr>
          <w:p w14:paraId="48920054"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11,000</w:t>
            </w:r>
            <w:r w:rsidRPr="00D45B3D">
              <w:rPr>
                <w:rStyle w:val="Appelnotedebasdep"/>
                <w:rFonts w:asciiTheme="minorHAnsi" w:eastAsia="Times New Roman" w:hAnsiTheme="minorHAnsi" w:cstheme="minorHAnsi"/>
                <w:color w:val="000000"/>
                <w:szCs w:val="20"/>
              </w:rPr>
              <w:footnoteReference w:id="81"/>
            </w:r>
          </w:p>
        </w:tc>
        <w:tc>
          <w:tcPr>
            <w:tcW w:w="2304" w:type="dxa"/>
            <w:shd w:val="clear" w:color="auto" w:fill="auto"/>
          </w:tcPr>
          <w:p w14:paraId="24237334" w14:textId="77777777" w:rsidR="00302BFE" w:rsidRPr="00D45B3D" w:rsidRDefault="00302BFE" w:rsidP="00243B15">
            <w:pPr>
              <w:rPr>
                <w:rFonts w:asciiTheme="minorHAnsi" w:eastAsia="Times New Roman" w:hAnsiTheme="minorHAnsi" w:cstheme="minorHAnsi"/>
                <w:color w:val="000000"/>
                <w:szCs w:val="20"/>
              </w:rPr>
            </w:pPr>
          </w:p>
        </w:tc>
        <w:tc>
          <w:tcPr>
            <w:tcW w:w="2304" w:type="dxa"/>
            <w:shd w:val="clear" w:color="auto" w:fill="auto"/>
          </w:tcPr>
          <w:p w14:paraId="7F075FD0" w14:textId="77777777" w:rsidR="00302BFE" w:rsidRPr="00D45B3D" w:rsidRDefault="00302BFE" w:rsidP="00243B15">
            <w:pPr>
              <w:rPr>
                <w:rFonts w:asciiTheme="minorHAnsi" w:eastAsia="Times New Roman" w:hAnsiTheme="minorHAnsi" w:cstheme="minorHAnsi"/>
                <w:color w:val="000000"/>
                <w:szCs w:val="20"/>
              </w:rPr>
            </w:pPr>
          </w:p>
        </w:tc>
      </w:tr>
    </w:tbl>
    <w:p w14:paraId="16FA6D29" w14:textId="77777777" w:rsidR="00302BFE" w:rsidRPr="00D45B3D" w:rsidRDefault="00302BFE" w:rsidP="00302BFE">
      <w:pPr>
        <w:spacing w:after="0"/>
        <w:rPr>
          <w:rFonts w:asciiTheme="minorHAnsi" w:eastAsia="Times New Roman" w:hAnsiTheme="minorHAnsi" w:cstheme="minorHAnsi"/>
          <w:color w:val="000000"/>
          <w:sz w:val="16"/>
          <w:szCs w:val="16"/>
        </w:rPr>
      </w:pPr>
    </w:p>
    <w:p w14:paraId="203A7DE3" w14:textId="77777777" w:rsidR="00302BFE" w:rsidRPr="00D45B3D" w:rsidRDefault="00302BFE" w:rsidP="00302BFE">
      <w:pPr>
        <w:rPr>
          <w:rFonts w:asciiTheme="minorHAnsi" w:eastAsia="Times New Roman" w:hAnsiTheme="minorHAnsi" w:cstheme="minorHAnsi"/>
          <w:b/>
          <w:color w:val="000000"/>
        </w:rPr>
      </w:pPr>
      <w:r w:rsidRPr="00D45B3D">
        <w:rPr>
          <w:rFonts w:asciiTheme="minorHAnsi" w:eastAsia="Times New Roman" w:hAnsiTheme="minorHAnsi" w:cstheme="minorHAnsi"/>
          <w:b/>
          <w:color w:val="000000"/>
        </w:rPr>
        <w:t>3.3 Area of natural grass and shrublands restored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304"/>
        <w:gridCol w:w="2304"/>
        <w:gridCol w:w="2304"/>
      </w:tblGrid>
      <w:tr w:rsidR="00302BFE" w:rsidRPr="00D45B3D" w14:paraId="07005355" w14:textId="77777777" w:rsidTr="00243B15">
        <w:tc>
          <w:tcPr>
            <w:tcW w:w="2304" w:type="dxa"/>
            <w:shd w:val="clear" w:color="auto" w:fill="4472C4"/>
          </w:tcPr>
          <w:p w14:paraId="7EFC2595"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PIF)</w:t>
            </w:r>
          </w:p>
        </w:tc>
        <w:tc>
          <w:tcPr>
            <w:tcW w:w="2304" w:type="dxa"/>
            <w:shd w:val="clear" w:color="auto" w:fill="4472C4"/>
          </w:tcPr>
          <w:p w14:paraId="2A3AC735"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CEO ER)</w:t>
            </w:r>
          </w:p>
        </w:tc>
        <w:tc>
          <w:tcPr>
            <w:tcW w:w="2304" w:type="dxa"/>
            <w:shd w:val="clear" w:color="auto" w:fill="4472C4"/>
          </w:tcPr>
          <w:p w14:paraId="2BF8FC52"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MTR)</w:t>
            </w:r>
          </w:p>
        </w:tc>
        <w:tc>
          <w:tcPr>
            <w:tcW w:w="2304" w:type="dxa"/>
            <w:shd w:val="clear" w:color="auto" w:fill="4472C4"/>
          </w:tcPr>
          <w:p w14:paraId="09F494E2"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TE)</w:t>
            </w:r>
          </w:p>
        </w:tc>
      </w:tr>
      <w:tr w:rsidR="00302BFE" w:rsidRPr="00D45B3D" w14:paraId="5A2007D3" w14:textId="77777777" w:rsidTr="00243B15">
        <w:tc>
          <w:tcPr>
            <w:tcW w:w="2304" w:type="dxa"/>
            <w:shd w:val="clear" w:color="auto" w:fill="auto"/>
          </w:tcPr>
          <w:p w14:paraId="3289A452" w14:textId="77777777" w:rsidR="00302BFE" w:rsidRPr="00D45B3D" w:rsidRDefault="00302BFE" w:rsidP="00243B15">
            <w:pPr>
              <w:rPr>
                <w:rFonts w:asciiTheme="minorHAnsi" w:eastAsia="Times New Roman" w:hAnsiTheme="minorHAnsi" w:cstheme="minorHAnsi"/>
                <w:color w:val="000000"/>
                <w:szCs w:val="20"/>
              </w:rPr>
            </w:pPr>
          </w:p>
        </w:tc>
        <w:tc>
          <w:tcPr>
            <w:tcW w:w="2304" w:type="dxa"/>
            <w:shd w:val="clear" w:color="auto" w:fill="auto"/>
          </w:tcPr>
          <w:p w14:paraId="6571995B" w14:textId="77777777" w:rsidR="00302BFE" w:rsidRPr="00D45B3D" w:rsidRDefault="00302BFE" w:rsidP="00243B15">
            <w:pPr>
              <w:rPr>
                <w:rFonts w:asciiTheme="minorHAnsi" w:eastAsia="Times New Roman" w:hAnsiTheme="minorHAnsi" w:cstheme="minorHAnsi"/>
                <w:color w:val="000000"/>
                <w:szCs w:val="20"/>
              </w:rPr>
            </w:pPr>
          </w:p>
        </w:tc>
        <w:tc>
          <w:tcPr>
            <w:tcW w:w="2304" w:type="dxa"/>
            <w:shd w:val="clear" w:color="auto" w:fill="auto"/>
          </w:tcPr>
          <w:p w14:paraId="52152168" w14:textId="77777777" w:rsidR="00302BFE" w:rsidRPr="00D45B3D" w:rsidRDefault="00302BFE" w:rsidP="00243B15">
            <w:pPr>
              <w:rPr>
                <w:rFonts w:asciiTheme="minorHAnsi" w:eastAsia="Times New Roman" w:hAnsiTheme="minorHAnsi" w:cstheme="minorHAnsi"/>
                <w:color w:val="000000"/>
                <w:szCs w:val="20"/>
              </w:rPr>
            </w:pPr>
          </w:p>
        </w:tc>
        <w:tc>
          <w:tcPr>
            <w:tcW w:w="2304" w:type="dxa"/>
            <w:shd w:val="clear" w:color="auto" w:fill="auto"/>
          </w:tcPr>
          <w:p w14:paraId="0FAF7B76" w14:textId="77777777" w:rsidR="00302BFE" w:rsidRPr="00D45B3D" w:rsidRDefault="00302BFE" w:rsidP="00243B15">
            <w:pPr>
              <w:rPr>
                <w:rFonts w:asciiTheme="minorHAnsi" w:eastAsia="Times New Roman" w:hAnsiTheme="minorHAnsi" w:cstheme="minorHAnsi"/>
                <w:color w:val="000000"/>
                <w:szCs w:val="20"/>
              </w:rPr>
            </w:pPr>
          </w:p>
        </w:tc>
      </w:tr>
    </w:tbl>
    <w:p w14:paraId="19D91F11" w14:textId="77777777" w:rsidR="00302BFE" w:rsidRPr="00D45B3D" w:rsidRDefault="00302BFE" w:rsidP="00302BFE">
      <w:pPr>
        <w:spacing w:after="0"/>
        <w:rPr>
          <w:rFonts w:asciiTheme="minorHAnsi" w:eastAsia="Times New Roman" w:hAnsiTheme="minorHAnsi" w:cstheme="minorHAnsi"/>
          <w:color w:val="000000"/>
          <w:sz w:val="16"/>
          <w:szCs w:val="16"/>
        </w:rPr>
      </w:pPr>
    </w:p>
    <w:p w14:paraId="39899ADB" w14:textId="77777777" w:rsidR="00302BFE" w:rsidRPr="00D45B3D" w:rsidRDefault="00302BFE" w:rsidP="00302BFE">
      <w:pPr>
        <w:rPr>
          <w:rFonts w:asciiTheme="minorHAnsi" w:eastAsia="Times New Roman" w:hAnsiTheme="minorHAnsi" w:cstheme="minorHAnsi"/>
          <w:b/>
          <w:color w:val="000000"/>
        </w:rPr>
      </w:pPr>
      <w:r w:rsidRPr="00D45B3D">
        <w:rPr>
          <w:rFonts w:asciiTheme="minorHAnsi" w:eastAsia="Times New Roman" w:hAnsiTheme="minorHAnsi" w:cstheme="minorHAnsi"/>
          <w:b/>
          <w:color w:val="000000"/>
        </w:rPr>
        <w:t>3.4 Area of wetlands (including estuaries and mangroves) restored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304"/>
        <w:gridCol w:w="2304"/>
        <w:gridCol w:w="2304"/>
      </w:tblGrid>
      <w:tr w:rsidR="00302BFE" w:rsidRPr="00D45B3D" w14:paraId="2B24F864" w14:textId="77777777" w:rsidTr="00243B15">
        <w:tc>
          <w:tcPr>
            <w:tcW w:w="2304" w:type="dxa"/>
            <w:shd w:val="clear" w:color="auto" w:fill="4472C4"/>
          </w:tcPr>
          <w:p w14:paraId="6F068891"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color w:val="000000"/>
                <w:szCs w:val="20"/>
              </w:rPr>
              <w:lastRenderedPageBreak/>
              <w:t> </w:t>
            </w:r>
            <w:r w:rsidRPr="00D45B3D">
              <w:rPr>
                <w:rFonts w:asciiTheme="minorHAnsi" w:eastAsia="Times New Roman" w:hAnsiTheme="minorHAnsi" w:cstheme="minorHAnsi"/>
                <w:b/>
                <w:color w:val="000000"/>
                <w:szCs w:val="20"/>
              </w:rPr>
              <w:t>Ha (expected at PIF)</w:t>
            </w:r>
          </w:p>
        </w:tc>
        <w:tc>
          <w:tcPr>
            <w:tcW w:w="2304" w:type="dxa"/>
            <w:shd w:val="clear" w:color="auto" w:fill="4472C4"/>
          </w:tcPr>
          <w:p w14:paraId="68B207AD"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CEO ER)</w:t>
            </w:r>
          </w:p>
        </w:tc>
        <w:tc>
          <w:tcPr>
            <w:tcW w:w="2304" w:type="dxa"/>
            <w:shd w:val="clear" w:color="auto" w:fill="4472C4"/>
          </w:tcPr>
          <w:p w14:paraId="10DD725C"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MTR)</w:t>
            </w:r>
          </w:p>
        </w:tc>
        <w:tc>
          <w:tcPr>
            <w:tcW w:w="2304" w:type="dxa"/>
            <w:shd w:val="clear" w:color="auto" w:fill="4472C4"/>
          </w:tcPr>
          <w:p w14:paraId="1A78E63A"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TE)</w:t>
            </w:r>
          </w:p>
        </w:tc>
      </w:tr>
      <w:tr w:rsidR="00302BFE" w:rsidRPr="00D45B3D" w14:paraId="66FFB350" w14:textId="77777777" w:rsidTr="00243B15">
        <w:tc>
          <w:tcPr>
            <w:tcW w:w="2304" w:type="dxa"/>
            <w:shd w:val="clear" w:color="auto" w:fill="auto"/>
          </w:tcPr>
          <w:p w14:paraId="4459EC72" w14:textId="77777777" w:rsidR="00302BFE" w:rsidRPr="00D45B3D" w:rsidRDefault="00302BFE" w:rsidP="00243B15">
            <w:pPr>
              <w:rPr>
                <w:rFonts w:asciiTheme="minorHAnsi" w:eastAsia="Times New Roman" w:hAnsiTheme="minorHAnsi" w:cstheme="minorHAnsi"/>
                <w:color w:val="000000"/>
              </w:rPr>
            </w:pPr>
          </w:p>
        </w:tc>
        <w:tc>
          <w:tcPr>
            <w:tcW w:w="2304" w:type="dxa"/>
            <w:shd w:val="clear" w:color="auto" w:fill="auto"/>
          </w:tcPr>
          <w:p w14:paraId="48D09C44" w14:textId="77777777" w:rsidR="00302BFE" w:rsidRPr="00D45B3D" w:rsidRDefault="00302BFE" w:rsidP="00243B15">
            <w:pPr>
              <w:rPr>
                <w:rFonts w:asciiTheme="minorHAnsi" w:eastAsia="Times New Roman" w:hAnsiTheme="minorHAnsi" w:cstheme="minorHAnsi"/>
                <w:color w:val="000000"/>
              </w:rPr>
            </w:pPr>
          </w:p>
        </w:tc>
        <w:tc>
          <w:tcPr>
            <w:tcW w:w="2304" w:type="dxa"/>
            <w:shd w:val="clear" w:color="auto" w:fill="auto"/>
          </w:tcPr>
          <w:p w14:paraId="0607C827" w14:textId="77777777" w:rsidR="00302BFE" w:rsidRPr="00D45B3D" w:rsidRDefault="00302BFE" w:rsidP="00243B15">
            <w:pPr>
              <w:rPr>
                <w:rFonts w:asciiTheme="minorHAnsi" w:eastAsia="Times New Roman" w:hAnsiTheme="minorHAnsi" w:cstheme="minorHAnsi"/>
                <w:color w:val="000000"/>
              </w:rPr>
            </w:pPr>
          </w:p>
        </w:tc>
        <w:tc>
          <w:tcPr>
            <w:tcW w:w="2304" w:type="dxa"/>
            <w:shd w:val="clear" w:color="auto" w:fill="auto"/>
          </w:tcPr>
          <w:p w14:paraId="739645C6" w14:textId="77777777" w:rsidR="00302BFE" w:rsidRPr="00D45B3D" w:rsidRDefault="00302BFE" w:rsidP="00243B15">
            <w:pPr>
              <w:rPr>
                <w:rFonts w:asciiTheme="minorHAnsi" w:eastAsia="Times New Roman" w:hAnsiTheme="minorHAnsi" w:cstheme="minorHAnsi"/>
                <w:color w:val="000000"/>
              </w:rPr>
            </w:pPr>
          </w:p>
        </w:tc>
      </w:tr>
    </w:tbl>
    <w:p w14:paraId="7A8F03F6" w14:textId="77777777" w:rsidR="00302BFE" w:rsidRPr="00D45B3D" w:rsidRDefault="00302BFE" w:rsidP="00302BFE">
      <w:pPr>
        <w:spacing w:before="240" w:after="120"/>
        <w:rPr>
          <w:rFonts w:asciiTheme="minorHAnsi" w:eastAsia="Times New Roman" w:hAnsiTheme="minorHAnsi" w:cstheme="minorHAnsi"/>
          <w:b/>
          <w:caps/>
          <w:color w:val="000000"/>
          <w:szCs w:val="20"/>
        </w:rPr>
      </w:pPr>
      <w:bookmarkStart w:id="49" w:name="_Toc7991605"/>
      <w:r w:rsidRPr="00D45B3D">
        <w:rPr>
          <w:rFonts w:asciiTheme="minorHAnsi" w:eastAsia="Times New Roman" w:hAnsiTheme="minorHAnsi" w:cstheme="minorHAnsi"/>
          <w:b/>
          <w:caps/>
          <w:color w:val="000000"/>
          <w:szCs w:val="20"/>
        </w:rPr>
        <w:t>Core Indicator 4: Area of landscapes under improved practices (hectares; excluding protected areas)</w:t>
      </w:r>
      <w:bookmarkEnd w:id="4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304"/>
        <w:gridCol w:w="2304"/>
        <w:gridCol w:w="2304"/>
      </w:tblGrid>
      <w:tr w:rsidR="00302BFE" w:rsidRPr="00D45B3D" w14:paraId="6A222C7A" w14:textId="77777777" w:rsidTr="00243B15">
        <w:tc>
          <w:tcPr>
            <w:tcW w:w="2304" w:type="dxa"/>
            <w:shd w:val="clear" w:color="auto" w:fill="4472C4"/>
          </w:tcPr>
          <w:p w14:paraId="5B97F6E4"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PIF)</w:t>
            </w:r>
          </w:p>
        </w:tc>
        <w:tc>
          <w:tcPr>
            <w:tcW w:w="2304" w:type="dxa"/>
            <w:shd w:val="clear" w:color="auto" w:fill="4472C4"/>
          </w:tcPr>
          <w:p w14:paraId="6FE772D9"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CEO ER)</w:t>
            </w:r>
          </w:p>
        </w:tc>
        <w:tc>
          <w:tcPr>
            <w:tcW w:w="2304" w:type="dxa"/>
            <w:shd w:val="clear" w:color="auto" w:fill="4472C4"/>
          </w:tcPr>
          <w:p w14:paraId="1D2DEFDC"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MTR)</w:t>
            </w:r>
          </w:p>
        </w:tc>
        <w:tc>
          <w:tcPr>
            <w:tcW w:w="2304" w:type="dxa"/>
            <w:shd w:val="clear" w:color="auto" w:fill="4472C4"/>
          </w:tcPr>
          <w:p w14:paraId="06579CAC"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TE)</w:t>
            </w:r>
          </w:p>
        </w:tc>
      </w:tr>
      <w:tr w:rsidR="00302BFE" w:rsidRPr="00D45B3D" w14:paraId="10D15E7B" w14:textId="77777777" w:rsidTr="00243B15">
        <w:tc>
          <w:tcPr>
            <w:tcW w:w="2304" w:type="dxa"/>
            <w:shd w:val="clear" w:color="auto" w:fill="auto"/>
          </w:tcPr>
          <w:p w14:paraId="3C1134CA"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6,000</w:t>
            </w:r>
          </w:p>
        </w:tc>
        <w:tc>
          <w:tcPr>
            <w:tcW w:w="2304" w:type="dxa"/>
            <w:shd w:val="clear" w:color="auto" w:fill="auto"/>
          </w:tcPr>
          <w:p w14:paraId="7B22F582" w14:textId="77777777" w:rsidR="00302BFE" w:rsidRPr="00D45B3D" w:rsidRDefault="00302BFE" w:rsidP="00243B15">
            <w:pPr>
              <w:rPr>
                <w:rFonts w:asciiTheme="minorHAnsi" w:eastAsia="Times New Roman" w:hAnsiTheme="minorHAnsi" w:cstheme="minorHAnsi"/>
                <w:szCs w:val="20"/>
              </w:rPr>
            </w:pPr>
            <w:r w:rsidRPr="00D45B3D">
              <w:rPr>
                <w:rFonts w:asciiTheme="minorHAnsi" w:eastAsia="Times New Roman" w:hAnsiTheme="minorHAnsi" w:cstheme="minorHAnsi"/>
                <w:szCs w:val="20"/>
              </w:rPr>
              <w:t>129,678</w:t>
            </w:r>
          </w:p>
        </w:tc>
        <w:tc>
          <w:tcPr>
            <w:tcW w:w="2304" w:type="dxa"/>
            <w:shd w:val="clear" w:color="auto" w:fill="auto"/>
          </w:tcPr>
          <w:p w14:paraId="07316B0D" w14:textId="77777777" w:rsidR="00302BFE" w:rsidRPr="00D45B3D" w:rsidRDefault="00302BFE" w:rsidP="00243B15">
            <w:pPr>
              <w:rPr>
                <w:rFonts w:asciiTheme="minorHAnsi" w:eastAsia="Times New Roman" w:hAnsiTheme="minorHAnsi" w:cstheme="minorHAnsi"/>
                <w:color w:val="000000"/>
                <w:szCs w:val="20"/>
              </w:rPr>
            </w:pPr>
          </w:p>
        </w:tc>
        <w:tc>
          <w:tcPr>
            <w:tcW w:w="2304" w:type="dxa"/>
            <w:shd w:val="clear" w:color="auto" w:fill="auto"/>
          </w:tcPr>
          <w:p w14:paraId="0DE477B7" w14:textId="77777777" w:rsidR="00302BFE" w:rsidRPr="00D45B3D" w:rsidRDefault="00302BFE" w:rsidP="00243B15">
            <w:pPr>
              <w:rPr>
                <w:rFonts w:asciiTheme="minorHAnsi" w:eastAsia="Times New Roman" w:hAnsiTheme="minorHAnsi" w:cstheme="minorHAnsi"/>
                <w:color w:val="000000"/>
                <w:szCs w:val="20"/>
              </w:rPr>
            </w:pPr>
          </w:p>
        </w:tc>
      </w:tr>
    </w:tbl>
    <w:p w14:paraId="4B225499" w14:textId="77777777" w:rsidR="00302BFE" w:rsidRPr="00D45B3D" w:rsidRDefault="00302BFE" w:rsidP="00302BFE">
      <w:pPr>
        <w:rPr>
          <w:rFonts w:asciiTheme="minorHAnsi" w:eastAsia="Times New Roman" w:hAnsiTheme="minorHAnsi" w:cstheme="minorHAnsi"/>
          <w:i/>
          <w:color w:val="000000"/>
          <w:sz w:val="18"/>
          <w:szCs w:val="18"/>
        </w:rPr>
      </w:pPr>
      <w:r w:rsidRPr="00D45B3D">
        <w:rPr>
          <w:rFonts w:asciiTheme="minorHAnsi" w:eastAsia="Times New Roman" w:hAnsiTheme="minorHAnsi" w:cstheme="minorHAnsi"/>
          <w:i/>
          <w:color w:val="000000"/>
          <w:sz w:val="18"/>
          <w:szCs w:val="18"/>
        </w:rPr>
        <w:t>Figure at a given stage must be the sum of all figures reported under the four sub-indicators (4.1, 4.2, 4.3 and 4.4) for that stage.</w:t>
      </w:r>
    </w:p>
    <w:p w14:paraId="7F144918" w14:textId="77777777" w:rsidR="00302BFE" w:rsidRPr="00D45B3D" w:rsidRDefault="00302BFE" w:rsidP="00302BFE">
      <w:pPr>
        <w:spacing w:after="0"/>
        <w:rPr>
          <w:rFonts w:asciiTheme="minorHAnsi" w:eastAsia="Times New Roman" w:hAnsiTheme="minorHAnsi" w:cstheme="minorHAnsi"/>
          <w:b/>
          <w:bCs/>
          <w:color w:val="000000"/>
        </w:rPr>
      </w:pPr>
    </w:p>
    <w:p w14:paraId="484523EA" w14:textId="77777777" w:rsidR="00302BFE" w:rsidRPr="00D45B3D" w:rsidRDefault="00302BFE" w:rsidP="00302BFE">
      <w:pPr>
        <w:rPr>
          <w:rFonts w:asciiTheme="minorHAnsi" w:eastAsia="Times New Roman" w:hAnsiTheme="minorHAnsi" w:cstheme="minorHAnsi"/>
          <w:b/>
          <w:color w:val="000000"/>
        </w:rPr>
      </w:pPr>
      <w:r w:rsidRPr="00D45B3D">
        <w:rPr>
          <w:rFonts w:asciiTheme="minorHAnsi" w:eastAsia="Times New Roman" w:hAnsiTheme="minorHAnsi" w:cstheme="minorHAnsi"/>
          <w:b/>
          <w:color w:val="000000"/>
        </w:rPr>
        <w:t>4.1 Area of landscapes under improved management to benefit biodiversity (qualitative assessment, noncertified)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8"/>
        <w:gridCol w:w="1624"/>
        <w:gridCol w:w="2044"/>
        <w:gridCol w:w="1623"/>
        <w:gridCol w:w="1910"/>
        <w:gridCol w:w="1623"/>
        <w:gridCol w:w="1910"/>
        <w:gridCol w:w="1738"/>
      </w:tblGrid>
      <w:tr w:rsidR="00302BFE" w:rsidRPr="00D45B3D" w14:paraId="6A01375F" w14:textId="77777777" w:rsidTr="00243B15">
        <w:trPr>
          <w:jc w:val="center"/>
        </w:trPr>
        <w:tc>
          <w:tcPr>
            <w:tcW w:w="1918" w:type="dxa"/>
            <w:shd w:val="clear" w:color="auto" w:fill="4472C4"/>
          </w:tcPr>
          <w:p w14:paraId="1F7FAE23"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color w:val="000000"/>
                <w:szCs w:val="20"/>
              </w:rPr>
              <w:t> </w:t>
            </w:r>
            <w:r w:rsidRPr="00D45B3D">
              <w:rPr>
                <w:rFonts w:asciiTheme="minorHAnsi" w:eastAsia="Times New Roman" w:hAnsiTheme="minorHAnsi" w:cstheme="minorHAnsi"/>
                <w:b/>
                <w:color w:val="000000"/>
                <w:szCs w:val="20"/>
              </w:rPr>
              <w:t>Ha (expected at PIF)</w:t>
            </w:r>
          </w:p>
        </w:tc>
        <w:tc>
          <w:tcPr>
            <w:tcW w:w="1624" w:type="dxa"/>
            <w:shd w:val="clear" w:color="auto" w:fill="4472C4"/>
          </w:tcPr>
          <w:p w14:paraId="00483E4C"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Qualitative description at PIF</w:t>
            </w:r>
          </w:p>
        </w:tc>
        <w:tc>
          <w:tcPr>
            <w:tcW w:w="2044" w:type="dxa"/>
            <w:shd w:val="clear" w:color="auto" w:fill="4472C4"/>
          </w:tcPr>
          <w:p w14:paraId="6E8AAB52"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CEO ER)</w:t>
            </w:r>
          </w:p>
        </w:tc>
        <w:tc>
          <w:tcPr>
            <w:tcW w:w="1623" w:type="dxa"/>
            <w:shd w:val="clear" w:color="auto" w:fill="4472C4"/>
          </w:tcPr>
          <w:p w14:paraId="58DB4E18"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Qualitative description at CEO ER</w:t>
            </w:r>
          </w:p>
        </w:tc>
        <w:tc>
          <w:tcPr>
            <w:tcW w:w="1910" w:type="dxa"/>
            <w:shd w:val="clear" w:color="auto" w:fill="4472C4"/>
          </w:tcPr>
          <w:p w14:paraId="704FC6C2"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MTR)</w:t>
            </w:r>
          </w:p>
        </w:tc>
        <w:tc>
          <w:tcPr>
            <w:tcW w:w="1623" w:type="dxa"/>
            <w:shd w:val="clear" w:color="auto" w:fill="4472C4"/>
          </w:tcPr>
          <w:p w14:paraId="3F88EABA"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Qualitative description at MTR</w:t>
            </w:r>
          </w:p>
        </w:tc>
        <w:tc>
          <w:tcPr>
            <w:tcW w:w="1910" w:type="dxa"/>
            <w:shd w:val="clear" w:color="auto" w:fill="4472C4"/>
          </w:tcPr>
          <w:p w14:paraId="02A1AAEE"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TE)</w:t>
            </w:r>
          </w:p>
        </w:tc>
        <w:tc>
          <w:tcPr>
            <w:tcW w:w="1738" w:type="dxa"/>
            <w:shd w:val="clear" w:color="auto" w:fill="4472C4"/>
          </w:tcPr>
          <w:p w14:paraId="0F271945"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Qualitative description at TE</w:t>
            </w:r>
          </w:p>
        </w:tc>
      </w:tr>
      <w:tr w:rsidR="00302BFE" w:rsidRPr="00D45B3D" w14:paraId="309AAA72" w14:textId="77777777" w:rsidTr="00243B15">
        <w:trPr>
          <w:jc w:val="center"/>
        </w:trPr>
        <w:tc>
          <w:tcPr>
            <w:tcW w:w="1918" w:type="dxa"/>
            <w:shd w:val="clear" w:color="auto" w:fill="auto"/>
          </w:tcPr>
          <w:p w14:paraId="4BB6170B" w14:textId="77777777" w:rsidR="00302BFE" w:rsidRPr="00D45B3D" w:rsidRDefault="00302BFE" w:rsidP="00243B15">
            <w:pPr>
              <w:rPr>
                <w:rFonts w:asciiTheme="minorHAnsi" w:eastAsia="Times New Roman" w:hAnsiTheme="minorHAnsi" w:cstheme="minorHAnsi"/>
                <w:color w:val="000000"/>
                <w:sz w:val="22"/>
                <w:szCs w:val="22"/>
              </w:rPr>
            </w:pPr>
          </w:p>
        </w:tc>
        <w:tc>
          <w:tcPr>
            <w:tcW w:w="1624" w:type="dxa"/>
            <w:shd w:val="clear" w:color="auto" w:fill="auto"/>
          </w:tcPr>
          <w:p w14:paraId="239EF18A" w14:textId="77777777" w:rsidR="00302BFE" w:rsidRPr="00D45B3D" w:rsidRDefault="00302BFE" w:rsidP="00243B15">
            <w:pPr>
              <w:rPr>
                <w:rFonts w:asciiTheme="minorHAnsi" w:eastAsia="Times New Roman" w:hAnsiTheme="minorHAnsi" w:cstheme="minorHAnsi"/>
                <w:color w:val="000000"/>
                <w:sz w:val="22"/>
                <w:szCs w:val="22"/>
              </w:rPr>
            </w:pPr>
          </w:p>
        </w:tc>
        <w:tc>
          <w:tcPr>
            <w:tcW w:w="2044" w:type="dxa"/>
            <w:shd w:val="clear" w:color="auto" w:fill="auto"/>
          </w:tcPr>
          <w:p w14:paraId="23A50E3B" w14:textId="77777777" w:rsidR="00302BFE" w:rsidRPr="00D45B3D" w:rsidRDefault="00302BFE" w:rsidP="00243B15">
            <w:pPr>
              <w:rPr>
                <w:rFonts w:asciiTheme="minorHAnsi" w:eastAsia="Times New Roman" w:hAnsiTheme="minorHAnsi" w:cstheme="minorHAnsi"/>
                <w:color w:val="000000"/>
                <w:sz w:val="22"/>
                <w:szCs w:val="22"/>
              </w:rPr>
            </w:pPr>
          </w:p>
        </w:tc>
        <w:tc>
          <w:tcPr>
            <w:tcW w:w="1623" w:type="dxa"/>
            <w:shd w:val="clear" w:color="auto" w:fill="auto"/>
          </w:tcPr>
          <w:p w14:paraId="0E1FB1C6" w14:textId="77777777" w:rsidR="00302BFE" w:rsidRPr="00D45B3D" w:rsidRDefault="00302BFE" w:rsidP="00243B15">
            <w:pPr>
              <w:rPr>
                <w:rFonts w:asciiTheme="minorHAnsi" w:eastAsia="Times New Roman" w:hAnsiTheme="minorHAnsi" w:cstheme="minorHAnsi"/>
                <w:color w:val="000000"/>
                <w:sz w:val="22"/>
                <w:szCs w:val="22"/>
              </w:rPr>
            </w:pPr>
          </w:p>
        </w:tc>
        <w:tc>
          <w:tcPr>
            <w:tcW w:w="1910" w:type="dxa"/>
            <w:shd w:val="clear" w:color="auto" w:fill="auto"/>
          </w:tcPr>
          <w:p w14:paraId="70F39F37" w14:textId="77777777" w:rsidR="00302BFE" w:rsidRPr="00D45B3D" w:rsidRDefault="00302BFE" w:rsidP="00243B15">
            <w:pPr>
              <w:rPr>
                <w:rFonts w:asciiTheme="minorHAnsi" w:eastAsia="Times New Roman" w:hAnsiTheme="minorHAnsi" w:cstheme="minorHAnsi"/>
                <w:color w:val="000000"/>
                <w:sz w:val="22"/>
                <w:szCs w:val="22"/>
              </w:rPr>
            </w:pPr>
          </w:p>
        </w:tc>
        <w:tc>
          <w:tcPr>
            <w:tcW w:w="1623" w:type="dxa"/>
            <w:shd w:val="clear" w:color="auto" w:fill="auto"/>
          </w:tcPr>
          <w:p w14:paraId="4D2FFA37" w14:textId="77777777" w:rsidR="00302BFE" w:rsidRPr="00D45B3D" w:rsidRDefault="00302BFE" w:rsidP="00243B15">
            <w:pPr>
              <w:rPr>
                <w:rFonts w:asciiTheme="minorHAnsi" w:eastAsia="Times New Roman" w:hAnsiTheme="minorHAnsi" w:cstheme="minorHAnsi"/>
                <w:color w:val="000000"/>
                <w:sz w:val="22"/>
                <w:szCs w:val="22"/>
              </w:rPr>
            </w:pPr>
          </w:p>
        </w:tc>
        <w:tc>
          <w:tcPr>
            <w:tcW w:w="1910" w:type="dxa"/>
            <w:shd w:val="clear" w:color="auto" w:fill="auto"/>
          </w:tcPr>
          <w:p w14:paraId="449EE5EC" w14:textId="77777777" w:rsidR="00302BFE" w:rsidRPr="00D45B3D" w:rsidRDefault="00302BFE" w:rsidP="00243B15">
            <w:pPr>
              <w:rPr>
                <w:rFonts w:asciiTheme="minorHAnsi" w:eastAsia="Times New Roman" w:hAnsiTheme="minorHAnsi" w:cstheme="minorHAnsi"/>
                <w:color w:val="000000"/>
                <w:sz w:val="22"/>
                <w:szCs w:val="22"/>
              </w:rPr>
            </w:pPr>
          </w:p>
        </w:tc>
        <w:tc>
          <w:tcPr>
            <w:tcW w:w="1738" w:type="dxa"/>
            <w:shd w:val="clear" w:color="auto" w:fill="auto"/>
          </w:tcPr>
          <w:p w14:paraId="1EE775B0" w14:textId="77777777" w:rsidR="00302BFE" w:rsidRPr="00D45B3D" w:rsidRDefault="00302BFE" w:rsidP="00243B15">
            <w:pPr>
              <w:rPr>
                <w:rFonts w:asciiTheme="minorHAnsi" w:eastAsia="Times New Roman" w:hAnsiTheme="minorHAnsi" w:cstheme="minorHAnsi"/>
                <w:color w:val="000000"/>
                <w:sz w:val="22"/>
                <w:szCs w:val="22"/>
              </w:rPr>
            </w:pPr>
          </w:p>
        </w:tc>
      </w:tr>
    </w:tbl>
    <w:p w14:paraId="38899229" w14:textId="77777777" w:rsidR="00302BFE" w:rsidRPr="00D45B3D" w:rsidRDefault="00302BFE" w:rsidP="00302BFE">
      <w:pPr>
        <w:spacing w:after="0"/>
        <w:rPr>
          <w:rFonts w:asciiTheme="minorHAnsi" w:eastAsia="Times New Roman" w:hAnsiTheme="minorHAnsi" w:cstheme="minorHAnsi"/>
          <w:color w:val="000000"/>
        </w:rPr>
      </w:pPr>
    </w:p>
    <w:p w14:paraId="10B8F1F5" w14:textId="77777777" w:rsidR="00302BFE" w:rsidRPr="00D45B3D" w:rsidRDefault="00302BFE" w:rsidP="00302BFE">
      <w:pPr>
        <w:rPr>
          <w:rFonts w:asciiTheme="minorHAnsi" w:eastAsia="Times New Roman" w:hAnsiTheme="minorHAnsi" w:cstheme="minorHAnsi"/>
          <w:b/>
          <w:color w:val="000000"/>
        </w:rPr>
      </w:pPr>
      <w:r w:rsidRPr="00D45B3D">
        <w:rPr>
          <w:rFonts w:asciiTheme="minorHAnsi" w:eastAsia="Times New Roman" w:hAnsiTheme="minorHAnsi" w:cstheme="minorHAnsi"/>
          <w:b/>
          <w:color w:val="000000"/>
        </w:rPr>
        <w:t>4.2 Area of landscapes that meet national or international third-party certification and that incorporates biodiversity considerations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8"/>
        <w:gridCol w:w="1624"/>
        <w:gridCol w:w="2044"/>
        <w:gridCol w:w="1623"/>
        <w:gridCol w:w="1910"/>
        <w:gridCol w:w="1623"/>
        <w:gridCol w:w="1910"/>
        <w:gridCol w:w="1738"/>
      </w:tblGrid>
      <w:tr w:rsidR="00302BFE" w:rsidRPr="00D45B3D" w14:paraId="5E97723E" w14:textId="77777777" w:rsidTr="00243B15">
        <w:trPr>
          <w:jc w:val="center"/>
        </w:trPr>
        <w:tc>
          <w:tcPr>
            <w:tcW w:w="1918" w:type="dxa"/>
            <w:shd w:val="clear" w:color="auto" w:fill="4472C4"/>
          </w:tcPr>
          <w:p w14:paraId="22270D49"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color w:val="000000"/>
                <w:szCs w:val="20"/>
              </w:rPr>
              <w:t> </w:t>
            </w:r>
            <w:r w:rsidRPr="00D45B3D">
              <w:rPr>
                <w:rFonts w:asciiTheme="minorHAnsi" w:eastAsia="Times New Roman" w:hAnsiTheme="minorHAnsi" w:cstheme="minorHAnsi"/>
                <w:b/>
                <w:color w:val="000000"/>
                <w:szCs w:val="20"/>
              </w:rPr>
              <w:t>Ha (expected at PIF)</w:t>
            </w:r>
          </w:p>
        </w:tc>
        <w:tc>
          <w:tcPr>
            <w:tcW w:w="1624" w:type="dxa"/>
            <w:shd w:val="clear" w:color="auto" w:fill="4472C4"/>
          </w:tcPr>
          <w:p w14:paraId="4F3575B9"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Type of Certification at PIF</w:t>
            </w:r>
          </w:p>
        </w:tc>
        <w:tc>
          <w:tcPr>
            <w:tcW w:w="2044" w:type="dxa"/>
            <w:shd w:val="clear" w:color="auto" w:fill="4472C4"/>
          </w:tcPr>
          <w:p w14:paraId="50F209A1"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CEO ER)</w:t>
            </w:r>
          </w:p>
        </w:tc>
        <w:tc>
          <w:tcPr>
            <w:tcW w:w="1623" w:type="dxa"/>
            <w:shd w:val="clear" w:color="auto" w:fill="4472C4"/>
          </w:tcPr>
          <w:p w14:paraId="70685401"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Type of Certification at CEO ER</w:t>
            </w:r>
          </w:p>
        </w:tc>
        <w:tc>
          <w:tcPr>
            <w:tcW w:w="1910" w:type="dxa"/>
            <w:shd w:val="clear" w:color="auto" w:fill="4472C4"/>
          </w:tcPr>
          <w:p w14:paraId="6D6BA77E"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MTR)</w:t>
            </w:r>
          </w:p>
        </w:tc>
        <w:tc>
          <w:tcPr>
            <w:tcW w:w="1623" w:type="dxa"/>
            <w:shd w:val="clear" w:color="auto" w:fill="4472C4"/>
          </w:tcPr>
          <w:p w14:paraId="560573CC"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Type of Certification at MTR</w:t>
            </w:r>
          </w:p>
        </w:tc>
        <w:tc>
          <w:tcPr>
            <w:tcW w:w="1910" w:type="dxa"/>
            <w:shd w:val="clear" w:color="auto" w:fill="4472C4"/>
          </w:tcPr>
          <w:p w14:paraId="2A385006"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TE)</w:t>
            </w:r>
          </w:p>
        </w:tc>
        <w:tc>
          <w:tcPr>
            <w:tcW w:w="1738" w:type="dxa"/>
            <w:shd w:val="clear" w:color="auto" w:fill="4472C4"/>
          </w:tcPr>
          <w:p w14:paraId="4D62B3C5"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Type of Certification at TE</w:t>
            </w:r>
          </w:p>
        </w:tc>
      </w:tr>
      <w:tr w:rsidR="00302BFE" w:rsidRPr="00D45B3D" w14:paraId="3C10E899" w14:textId="77777777" w:rsidTr="00243B15">
        <w:trPr>
          <w:jc w:val="center"/>
        </w:trPr>
        <w:tc>
          <w:tcPr>
            <w:tcW w:w="1918" w:type="dxa"/>
            <w:shd w:val="clear" w:color="auto" w:fill="auto"/>
          </w:tcPr>
          <w:p w14:paraId="7306A104"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p>
        </w:tc>
        <w:tc>
          <w:tcPr>
            <w:tcW w:w="1624" w:type="dxa"/>
            <w:shd w:val="clear" w:color="auto" w:fill="auto"/>
          </w:tcPr>
          <w:p w14:paraId="605C1741"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p>
        </w:tc>
        <w:tc>
          <w:tcPr>
            <w:tcW w:w="2044" w:type="dxa"/>
            <w:shd w:val="clear" w:color="auto" w:fill="auto"/>
          </w:tcPr>
          <w:p w14:paraId="47F4FBBE" w14:textId="77777777" w:rsidR="00302BFE" w:rsidRPr="00D45B3D" w:rsidRDefault="00302BFE" w:rsidP="00243B15">
            <w:pPr>
              <w:rPr>
                <w:rFonts w:asciiTheme="minorHAnsi" w:eastAsia="Times New Roman" w:hAnsiTheme="minorHAnsi" w:cstheme="minorHAnsi"/>
                <w:color w:val="000000"/>
                <w:szCs w:val="20"/>
                <w:highlight w:val="yellow"/>
              </w:rPr>
            </w:pPr>
            <w:r w:rsidRPr="00D45B3D">
              <w:rPr>
                <w:rFonts w:asciiTheme="minorHAnsi" w:eastAsia="Times New Roman" w:hAnsiTheme="minorHAnsi" w:cstheme="minorHAnsi"/>
                <w:color w:val="000000"/>
                <w:szCs w:val="20"/>
              </w:rPr>
              <w:t>200</w:t>
            </w:r>
          </w:p>
        </w:tc>
        <w:tc>
          <w:tcPr>
            <w:tcW w:w="1623" w:type="dxa"/>
            <w:shd w:val="clear" w:color="auto" w:fill="auto"/>
          </w:tcPr>
          <w:p w14:paraId="1C6A8DC7" w14:textId="77777777" w:rsidR="00302BFE" w:rsidRPr="00D45B3D" w:rsidRDefault="00302BFE" w:rsidP="00243B15">
            <w:pPr>
              <w:rPr>
                <w:rFonts w:asciiTheme="minorHAnsi" w:eastAsia="Times New Roman" w:hAnsiTheme="minorHAnsi" w:cstheme="minorHAnsi"/>
                <w:color w:val="000000"/>
                <w:szCs w:val="20"/>
              </w:rPr>
            </w:pPr>
            <w:proofErr w:type="spellStart"/>
            <w:r w:rsidRPr="00D45B3D">
              <w:rPr>
                <w:rFonts w:asciiTheme="minorHAnsi" w:eastAsia="Times New Roman" w:hAnsiTheme="minorHAnsi" w:cstheme="minorHAnsi"/>
                <w:color w:val="000000"/>
                <w:szCs w:val="20"/>
              </w:rPr>
              <w:t>Ecocert</w:t>
            </w:r>
            <w:proofErr w:type="spellEnd"/>
          </w:p>
        </w:tc>
        <w:tc>
          <w:tcPr>
            <w:tcW w:w="1910" w:type="dxa"/>
            <w:shd w:val="clear" w:color="auto" w:fill="auto"/>
          </w:tcPr>
          <w:p w14:paraId="3ECDD865" w14:textId="77777777" w:rsidR="00302BFE" w:rsidRPr="00D45B3D" w:rsidRDefault="00302BFE" w:rsidP="00243B15">
            <w:pPr>
              <w:rPr>
                <w:rFonts w:asciiTheme="minorHAnsi" w:eastAsia="Times New Roman" w:hAnsiTheme="minorHAnsi" w:cstheme="minorHAnsi"/>
                <w:color w:val="000000"/>
                <w:szCs w:val="20"/>
              </w:rPr>
            </w:pPr>
          </w:p>
        </w:tc>
        <w:tc>
          <w:tcPr>
            <w:tcW w:w="1623" w:type="dxa"/>
            <w:shd w:val="clear" w:color="auto" w:fill="auto"/>
          </w:tcPr>
          <w:p w14:paraId="79F37101" w14:textId="77777777" w:rsidR="00302BFE" w:rsidRPr="00D45B3D" w:rsidRDefault="00302BFE" w:rsidP="00243B15">
            <w:pPr>
              <w:rPr>
                <w:rFonts w:asciiTheme="minorHAnsi" w:eastAsia="Times New Roman" w:hAnsiTheme="minorHAnsi" w:cstheme="minorHAnsi"/>
                <w:color w:val="000000"/>
                <w:szCs w:val="20"/>
              </w:rPr>
            </w:pPr>
          </w:p>
        </w:tc>
        <w:tc>
          <w:tcPr>
            <w:tcW w:w="1910" w:type="dxa"/>
            <w:shd w:val="clear" w:color="auto" w:fill="auto"/>
          </w:tcPr>
          <w:p w14:paraId="0B433D29" w14:textId="77777777" w:rsidR="00302BFE" w:rsidRPr="00D45B3D" w:rsidRDefault="00302BFE" w:rsidP="00243B15">
            <w:pPr>
              <w:rPr>
                <w:rFonts w:asciiTheme="minorHAnsi" w:eastAsia="Times New Roman" w:hAnsiTheme="minorHAnsi" w:cstheme="minorHAnsi"/>
                <w:color w:val="000000"/>
                <w:szCs w:val="20"/>
              </w:rPr>
            </w:pPr>
          </w:p>
        </w:tc>
        <w:tc>
          <w:tcPr>
            <w:tcW w:w="1738" w:type="dxa"/>
            <w:shd w:val="clear" w:color="auto" w:fill="auto"/>
          </w:tcPr>
          <w:p w14:paraId="2D8E02DF" w14:textId="77777777" w:rsidR="00302BFE" w:rsidRPr="00D45B3D" w:rsidRDefault="00302BFE" w:rsidP="00243B15">
            <w:pPr>
              <w:rPr>
                <w:rFonts w:asciiTheme="minorHAnsi" w:eastAsia="Times New Roman" w:hAnsiTheme="minorHAnsi" w:cstheme="minorHAnsi"/>
                <w:color w:val="000000"/>
                <w:szCs w:val="20"/>
              </w:rPr>
            </w:pPr>
          </w:p>
        </w:tc>
      </w:tr>
    </w:tbl>
    <w:p w14:paraId="6FB80946" w14:textId="77777777" w:rsidR="00302BFE" w:rsidRPr="00D45B3D" w:rsidRDefault="00302BFE" w:rsidP="00302BFE">
      <w:pPr>
        <w:spacing w:after="0"/>
        <w:rPr>
          <w:rFonts w:asciiTheme="minorHAnsi" w:eastAsia="Times New Roman" w:hAnsiTheme="minorHAnsi" w:cstheme="minorHAnsi"/>
          <w:color w:val="000000"/>
        </w:rPr>
      </w:pPr>
    </w:p>
    <w:p w14:paraId="0248BE84" w14:textId="77777777" w:rsidR="00302BFE" w:rsidRPr="00D45B3D" w:rsidRDefault="00302BFE" w:rsidP="00302BFE">
      <w:pPr>
        <w:rPr>
          <w:rFonts w:asciiTheme="minorHAnsi" w:eastAsia="Times New Roman" w:hAnsiTheme="minorHAnsi" w:cstheme="minorHAnsi"/>
          <w:b/>
          <w:color w:val="000000"/>
        </w:rPr>
      </w:pPr>
      <w:r w:rsidRPr="00D45B3D">
        <w:rPr>
          <w:rFonts w:asciiTheme="minorHAnsi" w:eastAsia="Times New Roman" w:hAnsiTheme="minorHAnsi" w:cstheme="minorHAnsi"/>
          <w:b/>
          <w:color w:val="000000"/>
        </w:rPr>
        <w:t>4.3 Area of landscapes under sustainable land management in production systems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413"/>
        <w:gridCol w:w="1415"/>
        <w:gridCol w:w="2693"/>
        <w:gridCol w:w="1134"/>
        <w:gridCol w:w="2410"/>
        <w:gridCol w:w="1134"/>
        <w:gridCol w:w="2062"/>
      </w:tblGrid>
      <w:tr w:rsidR="008A508C" w:rsidRPr="00D45B3D" w14:paraId="4D550F0C" w14:textId="77777777" w:rsidTr="00204930">
        <w:trPr>
          <w:jc w:val="center"/>
        </w:trPr>
        <w:tc>
          <w:tcPr>
            <w:tcW w:w="1129" w:type="dxa"/>
            <w:shd w:val="clear" w:color="auto" w:fill="4472C4"/>
          </w:tcPr>
          <w:p w14:paraId="3BC179A3"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color w:val="000000"/>
                <w:szCs w:val="20"/>
              </w:rPr>
              <w:t> </w:t>
            </w:r>
            <w:r w:rsidRPr="00D45B3D">
              <w:rPr>
                <w:rFonts w:asciiTheme="minorHAnsi" w:eastAsia="Times New Roman" w:hAnsiTheme="minorHAnsi" w:cstheme="minorHAnsi"/>
                <w:b/>
                <w:color w:val="000000"/>
                <w:szCs w:val="20"/>
              </w:rPr>
              <w:t>Ha (expected at PIF)</w:t>
            </w:r>
          </w:p>
        </w:tc>
        <w:tc>
          <w:tcPr>
            <w:tcW w:w="2413" w:type="dxa"/>
            <w:shd w:val="clear" w:color="auto" w:fill="4472C4"/>
          </w:tcPr>
          <w:p w14:paraId="08643817"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Description of Management Practices at PIF</w:t>
            </w:r>
          </w:p>
        </w:tc>
        <w:tc>
          <w:tcPr>
            <w:tcW w:w="1415" w:type="dxa"/>
            <w:shd w:val="clear" w:color="auto" w:fill="4472C4"/>
          </w:tcPr>
          <w:p w14:paraId="07C8749E"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CEO ER)</w:t>
            </w:r>
          </w:p>
        </w:tc>
        <w:tc>
          <w:tcPr>
            <w:tcW w:w="2693" w:type="dxa"/>
            <w:shd w:val="clear" w:color="auto" w:fill="4472C4"/>
          </w:tcPr>
          <w:p w14:paraId="302E95F6"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Description of Management Practices at CEO ER</w:t>
            </w:r>
          </w:p>
        </w:tc>
        <w:tc>
          <w:tcPr>
            <w:tcW w:w="1134" w:type="dxa"/>
            <w:shd w:val="clear" w:color="auto" w:fill="4472C4"/>
          </w:tcPr>
          <w:p w14:paraId="063BB990"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MTR)</w:t>
            </w:r>
          </w:p>
        </w:tc>
        <w:tc>
          <w:tcPr>
            <w:tcW w:w="2410" w:type="dxa"/>
            <w:shd w:val="clear" w:color="auto" w:fill="4472C4"/>
          </w:tcPr>
          <w:p w14:paraId="3C4A8FD2"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Description of Management Practices at MTR</w:t>
            </w:r>
          </w:p>
        </w:tc>
        <w:tc>
          <w:tcPr>
            <w:tcW w:w="1134" w:type="dxa"/>
            <w:shd w:val="clear" w:color="auto" w:fill="4472C4"/>
          </w:tcPr>
          <w:p w14:paraId="137C4235"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TE)</w:t>
            </w:r>
          </w:p>
        </w:tc>
        <w:tc>
          <w:tcPr>
            <w:tcW w:w="2062" w:type="dxa"/>
            <w:shd w:val="clear" w:color="auto" w:fill="4472C4"/>
          </w:tcPr>
          <w:p w14:paraId="2104B9B5"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Description of Management Practices at TE</w:t>
            </w:r>
          </w:p>
        </w:tc>
      </w:tr>
      <w:tr w:rsidR="008A508C" w:rsidRPr="00D45B3D" w14:paraId="4BDE45F5" w14:textId="77777777" w:rsidTr="00204930">
        <w:trPr>
          <w:jc w:val="center"/>
        </w:trPr>
        <w:tc>
          <w:tcPr>
            <w:tcW w:w="1129" w:type="dxa"/>
            <w:shd w:val="clear" w:color="auto" w:fill="auto"/>
          </w:tcPr>
          <w:p w14:paraId="532F2556"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6,000</w:t>
            </w:r>
          </w:p>
        </w:tc>
        <w:tc>
          <w:tcPr>
            <w:tcW w:w="2413" w:type="dxa"/>
            <w:shd w:val="clear" w:color="auto" w:fill="auto"/>
          </w:tcPr>
          <w:p w14:paraId="52B8363F" w14:textId="77777777" w:rsidR="00302BFE" w:rsidRPr="00D45B3D" w:rsidRDefault="00302BFE" w:rsidP="00243B15">
            <w:pPr>
              <w:jc w:val="left"/>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 w:val="18"/>
                <w:szCs w:val="18"/>
              </w:rPr>
              <w:t xml:space="preserve">Effective </w:t>
            </w:r>
            <w:r w:rsidR="008A508C" w:rsidRPr="00D45B3D">
              <w:rPr>
                <w:rFonts w:asciiTheme="minorHAnsi" w:eastAsia="Times New Roman" w:hAnsiTheme="minorHAnsi" w:cstheme="minorHAnsi"/>
                <w:color w:val="000000"/>
                <w:sz w:val="18"/>
                <w:szCs w:val="18"/>
              </w:rPr>
              <w:t xml:space="preserve">forest, </w:t>
            </w:r>
            <w:r w:rsidRPr="00D45B3D">
              <w:rPr>
                <w:rFonts w:asciiTheme="minorHAnsi" w:eastAsia="Times New Roman" w:hAnsiTheme="minorHAnsi" w:cstheme="minorHAnsi"/>
                <w:color w:val="000000"/>
                <w:sz w:val="18"/>
                <w:szCs w:val="18"/>
              </w:rPr>
              <w:t>agricultural, rangeland and pastoral practices or supporting climate-smart agriculture</w:t>
            </w:r>
          </w:p>
        </w:tc>
        <w:tc>
          <w:tcPr>
            <w:tcW w:w="1415" w:type="dxa"/>
            <w:shd w:val="clear" w:color="auto" w:fill="auto"/>
          </w:tcPr>
          <w:p w14:paraId="0005FF35"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129,478</w:t>
            </w:r>
          </w:p>
        </w:tc>
        <w:tc>
          <w:tcPr>
            <w:tcW w:w="2693" w:type="dxa"/>
            <w:shd w:val="clear" w:color="auto" w:fill="auto"/>
          </w:tcPr>
          <w:p w14:paraId="011C5273" w14:textId="77777777" w:rsidR="00302BFE" w:rsidRPr="00D45B3D" w:rsidRDefault="00302BFE" w:rsidP="00243B15">
            <w:pPr>
              <w:jc w:val="left"/>
              <w:rPr>
                <w:rFonts w:asciiTheme="minorHAnsi" w:eastAsia="Times New Roman" w:hAnsiTheme="minorHAnsi" w:cstheme="minorHAnsi"/>
                <w:color w:val="000000"/>
                <w:sz w:val="18"/>
                <w:szCs w:val="18"/>
              </w:rPr>
            </w:pPr>
            <w:r w:rsidRPr="00D45B3D">
              <w:rPr>
                <w:rFonts w:asciiTheme="minorHAnsi" w:eastAsia="Times New Roman" w:hAnsiTheme="minorHAnsi" w:cstheme="minorHAnsi"/>
                <w:color w:val="000000"/>
                <w:sz w:val="18"/>
                <w:szCs w:val="18"/>
              </w:rPr>
              <w:t xml:space="preserve">Improved </w:t>
            </w:r>
            <w:r w:rsidR="008A508C" w:rsidRPr="00D45B3D">
              <w:rPr>
                <w:rFonts w:asciiTheme="minorHAnsi" w:eastAsia="Times New Roman" w:hAnsiTheme="minorHAnsi" w:cstheme="minorHAnsi"/>
                <w:color w:val="000000"/>
                <w:sz w:val="18"/>
                <w:szCs w:val="18"/>
              </w:rPr>
              <w:t xml:space="preserve">rangeland, pastoral, </w:t>
            </w:r>
            <w:proofErr w:type="gramStart"/>
            <w:r w:rsidR="008A508C" w:rsidRPr="00D45B3D">
              <w:rPr>
                <w:rFonts w:asciiTheme="minorHAnsi" w:eastAsia="Times New Roman" w:hAnsiTheme="minorHAnsi" w:cstheme="minorHAnsi"/>
                <w:color w:val="000000"/>
                <w:sz w:val="18"/>
                <w:szCs w:val="18"/>
              </w:rPr>
              <w:t>forest</w:t>
            </w:r>
            <w:proofErr w:type="gramEnd"/>
            <w:r w:rsidR="008A508C" w:rsidRPr="00D45B3D">
              <w:rPr>
                <w:rFonts w:asciiTheme="minorHAnsi" w:eastAsia="Times New Roman" w:hAnsiTheme="minorHAnsi" w:cstheme="minorHAnsi"/>
                <w:color w:val="000000"/>
                <w:sz w:val="18"/>
                <w:szCs w:val="18"/>
              </w:rPr>
              <w:t xml:space="preserve"> and farming </w:t>
            </w:r>
            <w:r w:rsidRPr="00D45B3D">
              <w:rPr>
                <w:rFonts w:asciiTheme="minorHAnsi" w:eastAsia="Times New Roman" w:hAnsiTheme="minorHAnsi" w:cstheme="minorHAnsi"/>
                <w:color w:val="000000"/>
                <w:sz w:val="18"/>
                <w:szCs w:val="18"/>
              </w:rPr>
              <w:t xml:space="preserve">management practices over </w:t>
            </w:r>
            <w:r w:rsidR="008A508C" w:rsidRPr="00D45B3D">
              <w:rPr>
                <w:rFonts w:asciiTheme="minorHAnsi" w:eastAsia="Times New Roman" w:hAnsiTheme="minorHAnsi" w:cstheme="minorHAnsi"/>
                <w:color w:val="000000"/>
                <w:sz w:val="18"/>
                <w:szCs w:val="18"/>
              </w:rPr>
              <w:t xml:space="preserve">75% of intervention areas including </w:t>
            </w:r>
            <w:r w:rsidRPr="00D45B3D">
              <w:rPr>
                <w:rFonts w:asciiTheme="minorHAnsi" w:eastAsia="Times New Roman" w:hAnsiTheme="minorHAnsi" w:cstheme="minorHAnsi"/>
                <w:color w:val="000000"/>
                <w:sz w:val="18"/>
                <w:szCs w:val="18"/>
              </w:rPr>
              <w:t>55,477 ha in Forest management worksites, 95 ha in communal forests; 29,168 ha inter-communal forests; 574 ha village forests, 39,664 ha of pastoral areas, and 4,500 ha of area under CSA</w:t>
            </w:r>
          </w:p>
        </w:tc>
        <w:tc>
          <w:tcPr>
            <w:tcW w:w="1134" w:type="dxa"/>
            <w:shd w:val="clear" w:color="auto" w:fill="auto"/>
          </w:tcPr>
          <w:p w14:paraId="3693B01D" w14:textId="77777777" w:rsidR="00302BFE" w:rsidRPr="00D45B3D" w:rsidRDefault="00302BFE" w:rsidP="00243B15">
            <w:pPr>
              <w:rPr>
                <w:rFonts w:asciiTheme="minorHAnsi" w:eastAsia="Times New Roman" w:hAnsiTheme="minorHAnsi" w:cstheme="minorHAnsi"/>
                <w:color w:val="000000"/>
                <w:sz w:val="22"/>
                <w:szCs w:val="22"/>
              </w:rPr>
            </w:pPr>
          </w:p>
        </w:tc>
        <w:tc>
          <w:tcPr>
            <w:tcW w:w="2410" w:type="dxa"/>
            <w:shd w:val="clear" w:color="auto" w:fill="auto"/>
          </w:tcPr>
          <w:p w14:paraId="5AD821B7" w14:textId="77777777" w:rsidR="00302BFE" w:rsidRPr="00D45B3D" w:rsidRDefault="00302BFE" w:rsidP="00243B15">
            <w:pPr>
              <w:rPr>
                <w:rFonts w:asciiTheme="minorHAnsi" w:eastAsia="Times New Roman" w:hAnsiTheme="minorHAnsi" w:cstheme="minorHAnsi"/>
                <w:color w:val="000000"/>
                <w:sz w:val="22"/>
                <w:szCs w:val="22"/>
              </w:rPr>
            </w:pPr>
          </w:p>
        </w:tc>
        <w:tc>
          <w:tcPr>
            <w:tcW w:w="1134" w:type="dxa"/>
            <w:shd w:val="clear" w:color="auto" w:fill="auto"/>
          </w:tcPr>
          <w:p w14:paraId="30925C32" w14:textId="77777777" w:rsidR="00302BFE" w:rsidRPr="00D45B3D" w:rsidRDefault="00302BFE" w:rsidP="00243B15">
            <w:pPr>
              <w:rPr>
                <w:rFonts w:asciiTheme="minorHAnsi" w:eastAsia="Times New Roman" w:hAnsiTheme="minorHAnsi" w:cstheme="minorHAnsi"/>
                <w:color w:val="000000"/>
                <w:sz w:val="22"/>
                <w:szCs w:val="22"/>
              </w:rPr>
            </w:pPr>
          </w:p>
        </w:tc>
        <w:tc>
          <w:tcPr>
            <w:tcW w:w="2062" w:type="dxa"/>
            <w:shd w:val="clear" w:color="auto" w:fill="auto"/>
          </w:tcPr>
          <w:p w14:paraId="79E7C786" w14:textId="77777777" w:rsidR="00302BFE" w:rsidRPr="00D45B3D" w:rsidRDefault="00302BFE" w:rsidP="00243B15">
            <w:pPr>
              <w:rPr>
                <w:rFonts w:asciiTheme="minorHAnsi" w:eastAsia="Times New Roman" w:hAnsiTheme="minorHAnsi" w:cstheme="minorHAnsi"/>
                <w:color w:val="000000"/>
                <w:sz w:val="22"/>
                <w:szCs w:val="22"/>
              </w:rPr>
            </w:pPr>
          </w:p>
        </w:tc>
      </w:tr>
    </w:tbl>
    <w:p w14:paraId="292E9F99" w14:textId="77777777" w:rsidR="00302BFE" w:rsidRPr="00D45B3D" w:rsidRDefault="00302BFE" w:rsidP="00302BFE">
      <w:pPr>
        <w:spacing w:after="0"/>
        <w:rPr>
          <w:rFonts w:asciiTheme="minorHAnsi" w:eastAsia="Times New Roman" w:hAnsiTheme="minorHAnsi" w:cstheme="minorHAnsi"/>
          <w:color w:val="000000"/>
        </w:rPr>
      </w:pPr>
    </w:p>
    <w:p w14:paraId="7CAD7104" w14:textId="77777777" w:rsidR="00302BFE" w:rsidRPr="00D45B3D" w:rsidRDefault="00302BFE" w:rsidP="00302BFE">
      <w:pPr>
        <w:rPr>
          <w:rFonts w:asciiTheme="minorHAnsi" w:eastAsia="Times New Roman" w:hAnsiTheme="minorHAnsi" w:cstheme="minorHAnsi"/>
          <w:color w:val="000000"/>
        </w:rPr>
      </w:pPr>
      <w:r w:rsidRPr="00D45B3D">
        <w:rPr>
          <w:rFonts w:asciiTheme="minorHAnsi" w:eastAsia="Times New Roman" w:hAnsiTheme="minorHAnsi" w:cstheme="minorHAnsi"/>
          <w:b/>
          <w:color w:val="000000"/>
        </w:rPr>
        <w:t xml:space="preserve">4.4 Area of High </w:t>
      </w:r>
      <w:proofErr w:type="gramStart"/>
      <w:r w:rsidRPr="00D45B3D">
        <w:rPr>
          <w:rFonts w:asciiTheme="minorHAnsi" w:eastAsia="Times New Roman" w:hAnsiTheme="minorHAnsi" w:cstheme="minorHAnsi"/>
          <w:b/>
          <w:color w:val="000000"/>
        </w:rPr>
        <w:t>Conservation Value forest</w:t>
      </w:r>
      <w:proofErr w:type="gramEnd"/>
      <w:r w:rsidRPr="00D45B3D">
        <w:rPr>
          <w:rFonts w:asciiTheme="minorHAnsi" w:eastAsia="Times New Roman" w:hAnsiTheme="minorHAnsi" w:cstheme="minorHAnsi"/>
          <w:b/>
          <w:color w:val="000000"/>
        </w:rPr>
        <w:t xml:space="preserve"> loss avoided</w:t>
      </w:r>
      <w:r w:rsidRPr="00D45B3D">
        <w:rPr>
          <w:rFonts w:asciiTheme="minorHAnsi" w:eastAsia="Times New Roman" w:hAnsiTheme="minorHAnsi" w:cstheme="minorHAnsi"/>
          <w:color w:val="00000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907"/>
        <w:gridCol w:w="142"/>
        <w:gridCol w:w="2977"/>
        <w:gridCol w:w="2551"/>
      </w:tblGrid>
      <w:tr w:rsidR="00302BFE" w:rsidRPr="00D45B3D" w14:paraId="60F621E8" w14:textId="77777777" w:rsidTr="00243B15">
        <w:tc>
          <w:tcPr>
            <w:tcW w:w="2304" w:type="dxa"/>
            <w:shd w:val="clear" w:color="auto" w:fill="4472C4"/>
          </w:tcPr>
          <w:p w14:paraId="24D5AEC0"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lastRenderedPageBreak/>
              <w:t>Total Ha (expected at PIF)</w:t>
            </w:r>
          </w:p>
        </w:tc>
        <w:tc>
          <w:tcPr>
            <w:tcW w:w="3049" w:type="dxa"/>
            <w:gridSpan w:val="2"/>
            <w:shd w:val="clear" w:color="auto" w:fill="4472C4"/>
          </w:tcPr>
          <w:p w14:paraId="349DBED0"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(expected at CEO ER)</w:t>
            </w:r>
          </w:p>
        </w:tc>
        <w:tc>
          <w:tcPr>
            <w:tcW w:w="2977" w:type="dxa"/>
            <w:shd w:val="clear" w:color="auto" w:fill="4472C4"/>
          </w:tcPr>
          <w:p w14:paraId="22ADFAD8"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(achieved at MTR)</w:t>
            </w:r>
          </w:p>
        </w:tc>
        <w:tc>
          <w:tcPr>
            <w:tcW w:w="2551" w:type="dxa"/>
            <w:shd w:val="clear" w:color="auto" w:fill="4472C4"/>
          </w:tcPr>
          <w:p w14:paraId="077CFCAD"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Ha (achieved at TE)</w:t>
            </w:r>
          </w:p>
        </w:tc>
      </w:tr>
      <w:tr w:rsidR="00302BFE" w:rsidRPr="00D45B3D" w14:paraId="4DB39DD9" w14:textId="77777777" w:rsidTr="00243B15">
        <w:tc>
          <w:tcPr>
            <w:tcW w:w="2304" w:type="dxa"/>
            <w:shd w:val="clear" w:color="auto" w:fill="auto"/>
          </w:tcPr>
          <w:p w14:paraId="5D7FAFCD" w14:textId="77777777" w:rsidR="00302BFE" w:rsidRPr="00D45B3D" w:rsidRDefault="00302BFE" w:rsidP="00243B15">
            <w:pPr>
              <w:rPr>
                <w:rFonts w:asciiTheme="minorHAnsi" w:eastAsia="Times New Roman" w:hAnsiTheme="minorHAnsi" w:cstheme="minorHAnsi"/>
                <w:color w:val="000000"/>
                <w:szCs w:val="20"/>
              </w:rPr>
            </w:pPr>
            <w:proofErr w:type="spellStart"/>
            <w:r w:rsidRPr="00D45B3D">
              <w:rPr>
                <w:rFonts w:asciiTheme="minorHAnsi" w:eastAsia="Times New Roman" w:hAnsiTheme="minorHAnsi" w:cstheme="minorHAnsi"/>
                <w:color w:val="000000"/>
                <w:szCs w:val="20"/>
              </w:rPr>
              <w:t>n.a.</w:t>
            </w:r>
            <w:proofErr w:type="spellEnd"/>
          </w:p>
        </w:tc>
        <w:tc>
          <w:tcPr>
            <w:tcW w:w="2907" w:type="dxa"/>
            <w:shd w:val="clear" w:color="auto" w:fill="auto"/>
          </w:tcPr>
          <w:p w14:paraId="0688223E" w14:textId="77777777" w:rsidR="00302BFE" w:rsidRPr="00D45B3D" w:rsidRDefault="00302BFE" w:rsidP="00243B15">
            <w:pPr>
              <w:rPr>
                <w:rFonts w:asciiTheme="minorHAnsi" w:eastAsia="Times New Roman" w:hAnsiTheme="minorHAnsi" w:cstheme="minorHAnsi"/>
                <w:color w:val="000000"/>
              </w:rPr>
            </w:pPr>
          </w:p>
        </w:tc>
        <w:tc>
          <w:tcPr>
            <w:tcW w:w="3119" w:type="dxa"/>
            <w:gridSpan w:val="2"/>
            <w:shd w:val="clear" w:color="auto" w:fill="auto"/>
          </w:tcPr>
          <w:p w14:paraId="2F96650A" w14:textId="77777777" w:rsidR="00302BFE" w:rsidRPr="00D45B3D" w:rsidRDefault="00302BFE" w:rsidP="00243B15">
            <w:pPr>
              <w:rPr>
                <w:rFonts w:asciiTheme="minorHAnsi" w:eastAsia="Times New Roman" w:hAnsiTheme="minorHAnsi" w:cstheme="minorHAnsi"/>
                <w:color w:val="000000"/>
              </w:rPr>
            </w:pPr>
          </w:p>
        </w:tc>
        <w:tc>
          <w:tcPr>
            <w:tcW w:w="2551" w:type="dxa"/>
            <w:shd w:val="clear" w:color="auto" w:fill="auto"/>
          </w:tcPr>
          <w:p w14:paraId="37AEF32C" w14:textId="77777777" w:rsidR="00302BFE" w:rsidRPr="00D45B3D" w:rsidRDefault="00302BFE" w:rsidP="00243B15">
            <w:pPr>
              <w:rPr>
                <w:rFonts w:asciiTheme="minorHAnsi" w:eastAsia="Times New Roman" w:hAnsiTheme="minorHAnsi" w:cstheme="minorHAnsi"/>
                <w:color w:val="000000"/>
              </w:rPr>
            </w:pPr>
          </w:p>
        </w:tc>
      </w:tr>
    </w:tbl>
    <w:p w14:paraId="7EBB76E1" w14:textId="77777777" w:rsidR="00302BFE" w:rsidRPr="00D45B3D" w:rsidRDefault="00302BFE" w:rsidP="00302BFE">
      <w:pPr>
        <w:rPr>
          <w:rFonts w:asciiTheme="minorHAnsi" w:eastAsia="Times New Roman" w:hAnsiTheme="minorHAnsi" w:cstheme="minorHAns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6"/>
        <w:gridCol w:w="2069"/>
        <w:gridCol w:w="2160"/>
        <w:gridCol w:w="2145"/>
        <w:gridCol w:w="1890"/>
        <w:gridCol w:w="2065"/>
        <w:gridCol w:w="2065"/>
      </w:tblGrid>
      <w:tr w:rsidR="00302BFE" w:rsidRPr="00D45B3D" w14:paraId="3551539E" w14:textId="77777777" w:rsidTr="00243B15">
        <w:tc>
          <w:tcPr>
            <w:tcW w:w="1996" w:type="dxa"/>
            <w:shd w:val="clear" w:color="auto" w:fill="4472C4"/>
          </w:tcPr>
          <w:p w14:paraId="78CC88E6"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Name of HCVF</w:t>
            </w:r>
          </w:p>
        </w:tc>
        <w:tc>
          <w:tcPr>
            <w:tcW w:w="2069" w:type="dxa"/>
            <w:shd w:val="clear" w:color="auto" w:fill="4472C4"/>
          </w:tcPr>
          <w:p w14:paraId="59ACE6CD"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PIF)</w:t>
            </w:r>
          </w:p>
        </w:tc>
        <w:tc>
          <w:tcPr>
            <w:tcW w:w="2160" w:type="dxa"/>
            <w:shd w:val="clear" w:color="auto" w:fill="4472C4"/>
          </w:tcPr>
          <w:p w14:paraId="591F1B11"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Counterfactual at PIF</w:t>
            </w:r>
          </w:p>
        </w:tc>
        <w:tc>
          <w:tcPr>
            <w:tcW w:w="2145" w:type="dxa"/>
            <w:shd w:val="clear" w:color="auto" w:fill="4472C4"/>
          </w:tcPr>
          <w:p w14:paraId="195E37CA"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CEO ER)</w:t>
            </w:r>
          </w:p>
        </w:tc>
        <w:tc>
          <w:tcPr>
            <w:tcW w:w="1890" w:type="dxa"/>
            <w:shd w:val="clear" w:color="auto" w:fill="4472C4"/>
          </w:tcPr>
          <w:p w14:paraId="4E8F0757"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Counterfactual at CEO ER</w:t>
            </w:r>
          </w:p>
        </w:tc>
        <w:tc>
          <w:tcPr>
            <w:tcW w:w="2065" w:type="dxa"/>
            <w:shd w:val="clear" w:color="auto" w:fill="4472C4"/>
          </w:tcPr>
          <w:p w14:paraId="60196EF8"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MTR)</w:t>
            </w:r>
          </w:p>
        </w:tc>
        <w:tc>
          <w:tcPr>
            <w:tcW w:w="2065" w:type="dxa"/>
            <w:shd w:val="clear" w:color="auto" w:fill="4472C4"/>
          </w:tcPr>
          <w:p w14:paraId="4AC2FC2E"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(achieved at TE)</w:t>
            </w:r>
          </w:p>
        </w:tc>
      </w:tr>
      <w:tr w:rsidR="00302BFE" w:rsidRPr="00D45B3D" w14:paraId="43CEA7A5" w14:textId="77777777" w:rsidTr="00243B15">
        <w:tc>
          <w:tcPr>
            <w:tcW w:w="1996" w:type="dxa"/>
            <w:shd w:val="clear" w:color="auto" w:fill="auto"/>
          </w:tcPr>
          <w:p w14:paraId="0C01A540" w14:textId="77777777" w:rsidR="00302BFE" w:rsidRPr="00D45B3D" w:rsidRDefault="00302BFE" w:rsidP="00243B15">
            <w:pPr>
              <w:rPr>
                <w:rFonts w:asciiTheme="minorHAnsi" w:eastAsia="Times New Roman" w:hAnsiTheme="minorHAnsi" w:cstheme="minorHAnsi"/>
                <w:color w:val="000000"/>
                <w:szCs w:val="20"/>
              </w:rPr>
            </w:pPr>
            <w:proofErr w:type="spellStart"/>
            <w:r w:rsidRPr="00D45B3D">
              <w:rPr>
                <w:rFonts w:asciiTheme="minorHAnsi" w:eastAsia="Times New Roman" w:hAnsiTheme="minorHAnsi" w:cstheme="minorHAnsi"/>
                <w:color w:val="000000"/>
                <w:szCs w:val="20"/>
              </w:rPr>
              <w:t>n.a.</w:t>
            </w:r>
            <w:proofErr w:type="spellEnd"/>
          </w:p>
        </w:tc>
        <w:tc>
          <w:tcPr>
            <w:tcW w:w="2069" w:type="dxa"/>
            <w:shd w:val="clear" w:color="auto" w:fill="auto"/>
          </w:tcPr>
          <w:p w14:paraId="362D3B5A" w14:textId="77777777" w:rsidR="00302BFE" w:rsidRPr="00D45B3D" w:rsidRDefault="00302BFE" w:rsidP="00243B15">
            <w:pPr>
              <w:rPr>
                <w:rFonts w:asciiTheme="minorHAnsi" w:eastAsia="Times New Roman" w:hAnsiTheme="minorHAnsi" w:cstheme="minorHAnsi"/>
                <w:color w:val="000000"/>
                <w:szCs w:val="20"/>
              </w:rPr>
            </w:pPr>
          </w:p>
        </w:tc>
        <w:tc>
          <w:tcPr>
            <w:tcW w:w="2160" w:type="dxa"/>
            <w:shd w:val="clear" w:color="auto" w:fill="auto"/>
          </w:tcPr>
          <w:p w14:paraId="004AC0E5" w14:textId="77777777" w:rsidR="00302BFE" w:rsidRPr="00D45B3D" w:rsidRDefault="00302BFE" w:rsidP="00243B15">
            <w:pPr>
              <w:rPr>
                <w:rFonts w:asciiTheme="minorHAnsi" w:eastAsia="Times New Roman" w:hAnsiTheme="minorHAnsi" w:cstheme="minorHAnsi"/>
                <w:color w:val="000000"/>
                <w:szCs w:val="20"/>
              </w:rPr>
            </w:pPr>
          </w:p>
        </w:tc>
        <w:tc>
          <w:tcPr>
            <w:tcW w:w="2145" w:type="dxa"/>
            <w:shd w:val="clear" w:color="auto" w:fill="auto"/>
          </w:tcPr>
          <w:p w14:paraId="4ED6B276" w14:textId="77777777" w:rsidR="00302BFE" w:rsidRPr="00D45B3D" w:rsidRDefault="00302BFE" w:rsidP="00243B15">
            <w:pPr>
              <w:rPr>
                <w:rFonts w:asciiTheme="minorHAnsi" w:eastAsia="Times New Roman" w:hAnsiTheme="minorHAnsi" w:cstheme="minorHAnsi"/>
                <w:color w:val="000000"/>
                <w:szCs w:val="20"/>
              </w:rPr>
            </w:pPr>
          </w:p>
        </w:tc>
        <w:tc>
          <w:tcPr>
            <w:tcW w:w="1890" w:type="dxa"/>
            <w:shd w:val="clear" w:color="auto" w:fill="auto"/>
          </w:tcPr>
          <w:p w14:paraId="1D892539" w14:textId="77777777" w:rsidR="00302BFE" w:rsidRPr="00D45B3D" w:rsidRDefault="00302BFE" w:rsidP="00243B15">
            <w:pPr>
              <w:rPr>
                <w:rFonts w:asciiTheme="minorHAnsi" w:eastAsia="Times New Roman" w:hAnsiTheme="minorHAnsi" w:cstheme="minorHAnsi"/>
                <w:color w:val="000000"/>
                <w:szCs w:val="20"/>
              </w:rPr>
            </w:pPr>
          </w:p>
        </w:tc>
        <w:tc>
          <w:tcPr>
            <w:tcW w:w="2065" w:type="dxa"/>
            <w:shd w:val="clear" w:color="auto" w:fill="auto"/>
          </w:tcPr>
          <w:p w14:paraId="3165C118" w14:textId="77777777" w:rsidR="00302BFE" w:rsidRPr="00D45B3D" w:rsidRDefault="00302BFE" w:rsidP="00243B15">
            <w:pPr>
              <w:rPr>
                <w:rFonts w:asciiTheme="minorHAnsi" w:eastAsia="Times New Roman" w:hAnsiTheme="minorHAnsi" w:cstheme="minorHAnsi"/>
                <w:color w:val="000000"/>
                <w:szCs w:val="20"/>
              </w:rPr>
            </w:pPr>
          </w:p>
        </w:tc>
        <w:tc>
          <w:tcPr>
            <w:tcW w:w="2065" w:type="dxa"/>
            <w:shd w:val="clear" w:color="auto" w:fill="auto"/>
          </w:tcPr>
          <w:p w14:paraId="27AD70D7" w14:textId="77777777" w:rsidR="00302BFE" w:rsidRPr="00D45B3D" w:rsidRDefault="00302BFE" w:rsidP="00243B15">
            <w:pPr>
              <w:rPr>
                <w:rFonts w:asciiTheme="minorHAnsi" w:eastAsia="Times New Roman" w:hAnsiTheme="minorHAnsi" w:cstheme="minorHAnsi"/>
                <w:color w:val="000000"/>
                <w:szCs w:val="20"/>
              </w:rPr>
            </w:pPr>
          </w:p>
        </w:tc>
      </w:tr>
    </w:tbl>
    <w:p w14:paraId="6A023FFA" w14:textId="77777777" w:rsidR="00302BFE" w:rsidRPr="00D45B3D" w:rsidRDefault="00302BFE" w:rsidP="00302BFE">
      <w:pPr>
        <w:spacing w:before="240" w:after="120"/>
        <w:rPr>
          <w:rFonts w:asciiTheme="minorHAnsi" w:eastAsia="Times New Roman" w:hAnsiTheme="minorHAnsi" w:cstheme="minorHAnsi"/>
          <w:b/>
          <w:caps/>
          <w:color w:val="000000"/>
          <w:szCs w:val="20"/>
        </w:rPr>
      </w:pPr>
      <w:bookmarkStart w:id="50" w:name="_Toc7991606"/>
      <w:r w:rsidRPr="00D45B3D">
        <w:rPr>
          <w:rFonts w:asciiTheme="minorHAnsi" w:eastAsia="Times New Roman" w:hAnsiTheme="minorHAnsi" w:cstheme="minorHAnsi"/>
          <w:b/>
          <w:caps/>
          <w:color w:val="000000"/>
          <w:szCs w:val="20"/>
        </w:rPr>
        <w:t>Total area under improved management (in PIF and CEO ER Table F)</w:t>
      </w:r>
      <w:bookmarkEnd w:id="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118"/>
      </w:tblGrid>
      <w:tr w:rsidR="00302BFE" w:rsidRPr="00D45B3D" w14:paraId="7CE1B8D2" w14:textId="77777777" w:rsidTr="00243B15">
        <w:tc>
          <w:tcPr>
            <w:tcW w:w="2689" w:type="dxa"/>
            <w:shd w:val="clear" w:color="auto" w:fill="4472C4"/>
          </w:tcPr>
          <w:p w14:paraId="735D4E42"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Million Ha (expected at PIF)</w:t>
            </w:r>
          </w:p>
        </w:tc>
        <w:tc>
          <w:tcPr>
            <w:tcW w:w="3118" w:type="dxa"/>
            <w:shd w:val="clear" w:color="auto" w:fill="4472C4"/>
          </w:tcPr>
          <w:p w14:paraId="5D901E27"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Million Ha (expected at CEO ER)</w:t>
            </w:r>
          </w:p>
        </w:tc>
      </w:tr>
      <w:tr w:rsidR="00302BFE" w:rsidRPr="00D45B3D" w14:paraId="0B8DFC88" w14:textId="77777777" w:rsidTr="00243B15">
        <w:tc>
          <w:tcPr>
            <w:tcW w:w="2689" w:type="dxa"/>
            <w:shd w:val="clear" w:color="auto" w:fill="auto"/>
          </w:tcPr>
          <w:p w14:paraId="7A7C5DC0"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445,057</w:t>
            </w:r>
          </w:p>
        </w:tc>
        <w:tc>
          <w:tcPr>
            <w:tcW w:w="3118" w:type="dxa"/>
            <w:shd w:val="clear" w:color="auto" w:fill="auto"/>
          </w:tcPr>
          <w:p w14:paraId="10258C8F"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484,459</w:t>
            </w:r>
          </w:p>
        </w:tc>
      </w:tr>
    </w:tbl>
    <w:p w14:paraId="611D91D2" w14:textId="77777777" w:rsidR="00302BFE" w:rsidRPr="00D45B3D" w:rsidRDefault="00302BFE" w:rsidP="00302BFE">
      <w:pPr>
        <w:rPr>
          <w:rFonts w:asciiTheme="minorHAnsi" w:hAnsiTheme="minorHAnsi" w:cstheme="minorHAnsi"/>
          <w:i/>
          <w:sz w:val="18"/>
          <w:szCs w:val="18"/>
        </w:rPr>
      </w:pPr>
      <w:r w:rsidRPr="00D45B3D">
        <w:rPr>
          <w:rFonts w:asciiTheme="minorHAnsi" w:hAnsiTheme="minorHAnsi" w:cstheme="minorHAnsi"/>
          <w:i/>
          <w:sz w:val="18"/>
          <w:szCs w:val="18"/>
        </w:rPr>
        <w:t xml:space="preserve">Calculate the total by summing Core Indicators 1-5. Ensure that there is no double-counting. </w:t>
      </w:r>
    </w:p>
    <w:p w14:paraId="467009C5" w14:textId="77777777" w:rsidR="00302BFE" w:rsidRPr="00D45B3D" w:rsidRDefault="00302BFE" w:rsidP="00302BFE">
      <w:pPr>
        <w:spacing w:before="240" w:after="120"/>
        <w:rPr>
          <w:rFonts w:asciiTheme="minorHAnsi" w:eastAsia="Times New Roman" w:hAnsiTheme="minorHAnsi" w:cstheme="minorHAnsi"/>
          <w:b/>
          <w:caps/>
          <w:color w:val="000000"/>
          <w:szCs w:val="20"/>
        </w:rPr>
      </w:pPr>
      <w:bookmarkStart w:id="51" w:name="_Toc7991607"/>
      <w:r w:rsidRPr="00D45B3D">
        <w:rPr>
          <w:rFonts w:asciiTheme="minorHAnsi" w:eastAsia="Times New Roman" w:hAnsiTheme="minorHAnsi" w:cstheme="minorHAnsi"/>
          <w:b/>
          <w:caps/>
          <w:color w:val="000000"/>
          <w:szCs w:val="20"/>
        </w:rPr>
        <w:t>Core Indicator 6: Greenhouse gas emissions mitigated (metric tons of carbon dioxide equivalent)</w:t>
      </w:r>
      <w:bookmarkEnd w:id="51"/>
      <w:r w:rsidRPr="00D45B3D">
        <w:rPr>
          <w:rFonts w:asciiTheme="minorHAnsi" w:eastAsia="Times New Roman" w:hAnsiTheme="minorHAnsi" w:cstheme="minorHAnsi"/>
          <w:b/>
          <w:caps/>
          <w:color w:val="00000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984"/>
        <w:gridCol w:w="2127"/>
        <w:gridCol w:w="2000"/>
        <w:gridCol w:w="2304"/>
      </w:tblGrid>
      <w:tr w:rsidR="00302BFE" w:rsidRPr="00D45B3D" w14:paraId="06422C56" w14:textId="77777777" w:rsidTr="00243B15">
        <w:tc>
          <w:tcPr>
            <w:tcW w:w="3681" w:type="dxa"/>
            <w:tcBorders>
              <w:top w:val="single" w:sz="4" w:space="0" w:color="auto"/>
              <w:left w:val="single" w:sz="4" w:space="0" w:color="auto"/>
              <w:bottom w:val="single" w:sz="4" w:space="0" w:color="auto"/>
              <w:right w:val="single" w:sz="4" w:space="0" w:color="auto"/>
            </w:tcBorders>
            <w:shd w:val="clear" w:color="auto" w:fill="4472C4"/>
            <w:hideMark/>
          </w:tcPr>
          <w:p w14:paraId="5333944C"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GHG emission type</w:t>
            </w:r>
          </w:p>
        </w:tc>
        <w:tc>
          <w:tcPr>
            <w:tcW w:w="1984" w:type="dxa"/>
            <w:tcBorders>
              <w:top w:val="single" w:sz="4" w:space="0" w:color="auto"/>
              <w:left w:val="single" w:sz="4" w:space="0" w:color="auto"/>
              <w:bottom w:val="single" w:sz="4" w:space="0" w:color="auto"/>
              <w:right w:val="single" w:sz="4" w:space="0" w:color="auto"/>
            </w:tcBorders>
            <w:shd w:val="clear" w:color="auto" w:fill="4472C4"/>
            <w:hideMark/>
          </w:tcPr>
          <w:p w14:paraId="7CCCF741"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Metric tons CO</w:t>
            </w:r>
            <w:r w:rsidRPr="00D45B3D">
              <w:rPr>
                <w:rFonts w:asciiTheme="minorHAnsi" w:eastAsia="Times New Roman" w:hAnsiTheme="minorHAnsi" w:cstheme="minorHAnsi"/>
                <w:b/>
                <w:color w:val="000000"/>
                <w:szCs w:val="20"/>
                <w:vertAlign w:val="subscript"/>
              </w:rPr>
              <w:t>2</w:t>
            </w:r>
            <w:r w:rsidRPr="00D45B3D">
              <w:rPr>
                <w:rFonts w:asciiTheme="minorHAnsi" w:eastAsia="Times New Roman" w:hAnsiTheme="minorHAnsi" w:cstheme="minorHAnsi"/>
                <w:b/>
                <w:color w:val="000000"/>
                <w:szCs w:val="20"/>
              </w:rPr>
              <w:t>-eq (expected at PIF)</w:t>
            </w:r>
          </w:p>
        </w:tc>
        <w:tc>
          <w:tcPr>
            <w:tcW w:w="2127" w:type="dxa"/>
            <w:tcBorders>
              <w:top w:val="single" w:sz="4" w:space="0" w:color="auto"/>
              <w:left w:val="single" w:sz="4" w:space="0" w:color="auto"/>
              <w:bottom w:val="single" w:sz="4" w:space="0" w:color="auto"/>
              <w:right w:val="single" w:sz="4" w:space="0" w:color="auto"/>
            </w:tcBorders>
            <w:shd w:val="clear" w:color="auto" w:fill="4472C4"/>
            <w:hideMark/>
          </w:tcPr>
          <w:p w14:paraId="5E367C09"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Metric tons CO</w:t>
            </w:r>
            <w:r w:rsidRPr="00D45B3D">
              <w:rPr>
                <w:rFonts w:asciiTheme="minorHAnsi" w:eastAsia="Times New Roman" w:hAnsiTheme="minorHAnsi" w:cstheme="minorHAnsi"/>
                <w:b/>
                <w:color w:val="000000"/>
                <w:szCs w:val="20"/>
                <w:vertAlign w:val="subscript"/>
              </w:rPr>
              <w:t>2</w:t>
            </w:r>
            <w:r w:rsidRPr="00D45B3D">
              <w:rPr>
                <w:rFonts w:asciiTheme="minorHAnsi" w:eastAsia="Times New Roman" w:hAnsiTheme="minorHAnsi" w:cstheme="minorHAnsi"/>
                <w:b/>
                <w:color w:val="000000"/>
                <w:szCs w:val="20"/>
              </w:rPr>
              <w:t>-eq (expected at CEO ER)</w:t>
            </w:r>
          </w:p>
        </w:tc>
        <w:tc>
          <w:tcPr>
            <w:tcW w:w="2000" w:type="dxa"/>
            <w:tcBorders>
              <w:top w:val="single" w:sz="4" w:space="0" w:color="auto"/>
              <w:left w:val="single" w:sz="4" w:space="0" w:color="auto"/>
              <w:bottom w:val="single" w:sz="4" w:space="0" w:color="auto"/>
              <w:right w:val="single" w:sz="4" w:space="0" w:color="auto"/>
            </w:tcBorders>
            <w:shd w:val="clear" w:color="auto" w:fill="4472C4"/>
            <w:hideMark/>
          </w:tcPr>
          <w:p w14:paraId="6B41562F"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Metric tons CO</w:t>
            </w:r>
            <w:r w:rsidRPr="00D45B3D">
              <w:rPr>
                <w:rFonts w:asciiTheme="minorHAnsi" w:eastAsia="Times New Roman" w:hAnsiTheme="minorHAnsi" w:cstheme="minorHAnsi"/>
                <w:b/>
                <w:color w:val="000000"/>
                <w:szCs w:val="20"/>
                <w:vertAlign w:val="subscript"/>
              </w:rPr>
              <w:t>2</w:t>
            </w:r>
            <w:r w:rsidRPr="00D45B3D">
              <w:rPr>
                <w:rFonts w:asciiTheme="minorHAnsi" w:eastAsia="Times New Roman" w:hAnsiTheme="minorHAnsi" w:cstheme="minorHAnsi"/>
                <w:b/>
                <w:color w:val="000000"/>
                <w:szCs w:val="20"/>
              </w:rPr>
              <w:t>-eq (expected at MTR)</w:t>
            </w:r>
          </w:p>
        </w:tc>
        <w:tc>
          <w:tcPr>
            <w:tcW w:w="2304" w:type="dxa"/>
            <w:tcBorders>
              <w:top w:val="single" w:sz="4" w:space="0" w:color="auto"/>
              <w:left w:val="single" w:sz="4" w:space="0" w:color="auto"/>
              <w:bottom w:val="single" w:sz="4" w:space="0" w:color="auto"/>
              <w:right w:val="single" w:sz="4" w:space="0" w:color="auto"/>
            </w:tcBorders>
            <w:shd w:val="clear" w:color="auto" w:fill="4472C4"/>
            <w:hideMark/>
          </w:tcPr>
          <w:p w14:paraId="44943F03"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Metric tons CO</w:t>
            </w:r>
            <w:r w:rsidRPr="00D45B3D">
              <w:rPr>
                <w:rFonts w:asciiTheme="minorHAnsi" w:eastAsia="Times New Roman" w:hAnsiTheme="minorHAnsi" w:cstheme="minorHAnsi"/>
                <w:b/>
                <w:color w:val="000000"/>
                <w:szCs w:val="20"/>
                <w:vertAlign w:val="subscript"/>
              </w:rPr>
              <w:t>2</w:t>
            </w:r>
            <w:r w:rsidRPr="00D45B3D">
              <w:rPr>
                <w:rFonts w:asciiTheme="minorHAnsi" w:eastAsia="Times New Roman" w:hAnsiTheme="minorHAnsi" w:cstheme="minorHAnsi"/>
                <w:b/>
                <w:color w:val="000000"/>
                <w:szCs w:val="20"/>
              </w:rPr>
              <w:t>-eq (expected at TE)</w:t>
            </w:r>
          </w:p>
        </w:tc>
      </w:tr>
      <w:tr w:rsidR="00302BFE" w:rsidRPr="00D45B3D" w14:paraId="09FD0F14" w14:textId="77777777" w:rsidTr="00243B15">
        <w:tc>
          <w:tcPr>
            <w:tcW w:w="3681" w:type="dxa"/>
            <w:tcBorders>
              <w:top w:val="single" w:sz="4" w:space="0" w:color="auto"/>
              <w:left w:val="single" w:sz="4" w:space="0" w:color="auto"/>
              <w:bottom w:val="single" w:sz="4" w:space="0" w:color="auto"/>
              <w:right w:val="single" w:sz="4" w:space="0" w:color="auto"/>
            </w:tcBorders>
            <w:shd w:val="clear" w:color="auto" w:fill="4472C4"/>
            <w:hideMark/>
          </w:tcPr>
          <w:p w14:paraId="33AB9557"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Expected metric tons of CO</w:t>
            </w:r>
            <w:r w:rsidRPr="00D45B3D">
              <w:rPr>
                <w:rFonts w:asciiTheme="minorHAnsi" w:eastAsia="Times New Roman" w:hAnsiTheme="minorHAnsi" w:cstheme="minorHAnsi"/>
                <w:b/>
                <w:color w:val="000000"/>
                <w:szCs w:val="20"/>
                <w:vertAlign w:val="subscript"/>
              </w:rPr>
              <w:t>2</w:t>
            </w:r>
            <w:r w:rsidRPr="00D45B3D">
              <w:rPr>
                <w:rFonts w:asciiTheme="minorHAnsi" w:eastAsia="Times New Roman" w:hAnsiTheme="minorHAnsi" w:cstheme="minorHAnsi"/>
                <w:b/>
                <w:color w:val="000000"/>
                <w:szCs w:val="20"/>
              </w:rPr>
              <w:t>-e (direct)</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88D09FD" w14:textId="77777777" w:rsidR="00302BFE" w:rsidRPr="00D45B3D" w:rsidRDefault="00302BFE" w:rsidP="00243B15">
            <w:pPr>
              <w:jc w:val="right"/>
              <w:rPr>
                <w:rFonts w:asciiTheme="minorHAnsi" w:eastAsia="Times New Roman" w:hAnsiTheme="minorHAnsi" w:cstheme="minorHAnsi"/>
                <w:color w:val="00000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5C51184" w14:textId="77777777" w:rsidR="00302BFE" w:rsidRPr="00D45B3D" w:rsidRDefault="00302BFE" w:rsidP="00243B15">
            <w:pPr>
              <w:jc w:val="right"/>
              <w:rPr>
                <w:rFonts w:asciiTheme="minorHAnsi" w:eastAsia="Times New Roman" w:hAnsiTheme="minorHAnsi" w:cstheme="minorHAnsi"/>
                <w:color w:val="000000"/>
                <w:szCs w:val="20"/>
              </w:rPr>
            </w:pPr>
          </w:p>
        </w:tc>
        <w:tc>
          <w:tcPr>
            <w:tcW w:w="2000" w:type="dxa"/>
            <w:tcBorders>
              <w:top w:val="single" w:sz="4" w:space="0" w:color="auto"/>
              <w:left w:val="single" w:sz="4" w:space="0" w:color="auto"/>
              <w:bottom w:val="single" w:sz="4" w:space="0" w:color="auto"/>
              <w:right w:val="single" w:sz="4" w:space="0" w:color="auto"/>
            </w:tcBorders>
            <w:shd w:val="clear" w:color="auto" w:fill="auto"/>
          </w:tcPr>
          <w:p w14:paraId="643DD04A" w14:textId="77777777" w:rsidR="00302BFE" w:rsidRPr="00D45B3D" w:rsidRDefault="00302BFE" w:rsidP="00243B15">
            <w:pPr>
              <w:jc w:val="right"/>
              <w:rPr>
                <w:rFonts w:asciiTheme="minorHAnsi" w:eastAsia="Times New Roman" w:hAnsiTheme="minorHAnsi" w:cstheme="minorHAnsi"/>
                <w:color w:val="000000"/>
                <w:szCs w:val="20"/>
              </w:rPr>
            </w:pPr>
          </w:p>
        </w:tc>
        <w:tc>
          <w:tcPr>
            <w:tcW w:w="2304" w:type="dxa"/>
            <w:tcBorders>
              <w:top w:val="single" w:sz="4" w:space="0" w:color="auto"/>
              <w:left w:val="single" w:sz="4" w:space="0" w:color="auto"/>
              <w:bottom w:val="single" w:sz="4" w:space="0" w:color="auto"/>
              <w:right w:val="single" w:sz="4" w:space="0" w:color="auto"/>
            </w:tcBorders>
            <w:shd w:val="clear" w:color="auto" w:fill="auto"/>
          </w:tcPr>
          <w:p w14:paraId="326C90D5" w14:textId="77777777" w:rsidR="00302BFE" w:rsidRPr="00D45B3D" w:rsidRDefault="00302BFE" w:rsidP="00243B15">
            <w:pPr>
              <w:jc w:val="right"/>
              <w:rPr>
                <w:rFonts w:asciiTheme="minorHAnsi" w:eastAsia="Times New Roman" w:hAnsiTheme="minorHAnsi" w:cstheme="minorHAnsi"/>
                <w:color w:val="000000"/>
                <w:szCs w:val="20"/>
              </w:rPr>
            </w:pPr>
          </w:p>
        </w:tc>
      </w:tr>
      <w:tr w:rsidR="00302BFE" w:rsidRPr="00D45B3D" w14:paraId="003A0E0E" w14:textId="77777777" w:rsidTr="00243B15">
        <w:tc>
          <w:tcPr>
            <w:tcW w:w="3681" w:type="dxa"/>
            <w:tcBorders>
              <w:top w:val="single" w:sz="4" w:space="0" w:color="auto"/>
              <w:left w:val="single" w:sz="4" w:space="0" w:color="auto"/>
              <w:bottom w:val="single" w:sz="4" w:space="0" w:color="auto"/>
              <w:right w:val="single" w:sz="4" w:space="0" w:color="auto"/>
            </w:tcBorders>
            <w:shd w:val="clear" w:color="auto" w:fill="4472C4"/>
            <w:hideMark/>
          </w:tcPr>
          <w:p w14:paraId="4C38219F"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Expected metric tons of CO</w:t>
            </w:r>
            <w:r w:rsidRPr="00D45B3D">
              <w:rPr>
                <w:rFonts w:asciiTheme="minorHAnsi" w:eastAsia="Times New Roman" w:hAnsiTheme="minorHAnsi" w:cstheme="minorHAnsi"/>
                <w:b/>
                <w:color w:val="000000"/>
                <w:szCs w:val="20"/>
                <w:vertAlign w:val="subscript"/>
              </w:rPr>
              <w:t>2</w:t>
            </w:r>
            <w:r w:rsidRPr="00D45B3D">
              <w:rPr>
                <w:rFonts w:asciiTheme="minorHAnsi" w:eastAsia="Times New Roman" w:hAnsiTheme="minorHAnsi" w:cstheme="minorHAnsi"/>
                <w:b/>
                <w:color w:val="000000"/>
                <w:szCs w:val="20"/>
              </w:rPr>
              <w:t>-e (indirect)</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06EA2CF" w14:textId="77777777" w:rsidR="00302BFE" w:rsidRPr="00D45B3D" w:rsidRDefault="00302BFE" w:rsidP="00243B15">
            <w:pPr>
              <w:jc w:val="right"/>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4,000,000</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F68B511" w14:textId="77777777" w:rsidR="00302BFE" w:rsidRPr="00D45B3D" w:rsidRDefault="00D72C07" w:rsidP="00243B15">
            <w:pPr>
              <w:jc w:val="right"/>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5,448,924</w:t>
            </w:r>
          </w:p>
        </w:tc>
        <w:tc>
          <w:tcPr>
            <w:tcW w:w="2000" w:type="dxa"/>
            <w:tcBorders>
              <w:top w:val="single" w:sz="4" w:space="0" w:color="auto"/>
              <w:left w:val="single" w:sz="4" w:space="0" w:color="auto"/>
              <w:bottom w:val="single" w:sz="4" w:space="0" w:color="auto"/>
              <w:right w:val="single" w:sz="4" w:space="0" w:color="auto"/>
            </w:tcBorders>
            <w:shd w:val="clear" w:color="auto" w:fill="auto"/>
          </w:tcPr>
          <w:p w14:paraId="7EF72D28" w14:textId="77777777" w:rsidR="00302BFE" w:rsidRPr="00D45B3D" w:rsidRDefault="00302BFE" w:rsidP="00243B15">
            <w:pPr>
              <w:jc w:val="right"/>
              <w:rPr>
                <w:rFonts w:asciiTheme="minorHAnsi" w:eastAsia="Times New Roman" w:hAnsiTheme="minorHAnsi" w:cstheme="minorHAnsi"/>
                <w:color w:val="000000"/>
                <w:szCs w:val="20"/>
              </w:rPr>
            </w:pPr>
          </w:p>
        </w:tc>
        <w:tc>
          <w:tcPr>
            <w:tcW w:w="2304" w:type="dxa"/>
            <w:tcBorders>
              <w:top w:val="single" w:sz="4" w:space="0" w:color="auto"/>
              <w:left w:val="single" w:sz="4" w:space="0" w:color="auto"/>
              <w:bottom w:val="single" w:sz="4" w:space="0" w:color="auto"/>
              <w:right w:val="single" w:sz="4" w:space="0" w:color="auto"/>
            </w:tcBorders>
            <w:shd w:val="clear" w:color="auto" w:fill="auto"/>
          </w:tcPr>
          <w:p w14:paraId="6B8C4B85" w14:textId="77777777" w:rsidR="00302BFE" w:rsidRPr="00D45B3D" w:rsidRDefault="00302BFE" w:rsidP="00243B15">
            <w:pPr>
              <w:jc w:val="right"/>
              <w:rPr>
                <w:rFonts w:asciiTheme="minorHAnsi" w:eastAsia="Times New Roman" w:hAnsiTheme="minorHAnsi" w:cstheme="minorHAnsi"/>
                <w:color w:val="000000"/>
                <w:szCs w:val="20"/>
              </w:rPr>
            </w:pPr>
          </w:p>
        </w:tc>
      </w:tr>
    </w:tbl>
    <w:p w14:paraId="4E39CF61" w14:textId="77777777" w:rsidR="00302BFE" w:rsidRPr="00D45B3D" w:rsidRDefault="00302BFE" w:rsidP="00302BFE">
      <w:pPr>
        <w:rPr>
          <w:rFonts w:asciiTheme="minorHAnsi" w:eastAsia="Times New Roman" w:hAnsiTheme="minorHAnsi" w:cstheme="minorHAnsi"/>
          <w:i/>
          <w:color w:val="000000"/>
          <w:sz w:val="18"/>
          <w:szCs w:val="18"/>
        </w:rPr>
      </w:pPr>
      <w:r w:rsidRPr="00D45B3D">
        <w:rPr>
          <w:rFonts w:asciiTheme="minorHAnsi" w:eastAsia="Times New Roman" w:hAnsiTheme="minorHAnsi" w:cstheme="minorHAnsi"/>
          <w:i/>
          <w:color w:val="000000"/>
          <w:sz w:val="18"/>
          <w:szCs w:val="18"/>
        </w:rPr>
        <w:t>Figure at a given stage must be the sum of all figures reported under the first two sub-indicators (6.1 and 6.2) for that stage.</w:t>
      </w:r>
    </w:p>
    <w:p w14:paraId="1AD5A119" w14:textId="77777777" w:rsidR="00302BFE" w:rsidRPr="00D45B3D" w:rsidRDefault="00302BFE" w:rsidP="00302BFE">
      <w:pPr>
        <w:spacing w:before="120"/>
        <w:rPr>
          <w:rFonts w:asciiTheme="minorHAnsi" w:eastAsia="Times New Roman" w:hAnsiTheme="minorHAnsi" w:cstheme="minorHAnsi"/>
          <w:b/>
          <w:color w:val="000000"/>
        </w:rPr>
      </w:pPr>
      <w:r w:rsidRPr="00D45B3D">
        <w:rPr>
          <w:rFonts w:asciiTheme="minorHAnsi" w:eastAsia="Times New Roman" w:hAnsiTheme="minorHAnsi" w:cstheme="minorHAnsi"/>
          <w:b/>
          <w:color w:val="000000"/>
        </w:rPr>
        <w:t>6.1 Carbon sequestered or emissions avoided in the sector of Agriculture, Forestry and Other Land 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1"/>
        <w:gridCol w:w="1325"/>
        <w:gridCol w:w="1635"/>
        <w:gridCol w:w="1325"/>
        <w:gridCol w:w="1635"/>
        <w:gridCol w:w="1325"/>
        <w:gridCol w:w="1623"/>
        <w:gridCol w:w="1323"/>
        <w:gridCol w:w="1623"/>
      </w:tblGrid>
      <w:tr w:rsidR="00302BFE" w:rsidRPr="00D45B3D" w14:paraId="02588947" w14:textId="77777777" w:rsidTr="00243B15">
        <w:tc>
          <w:tcPr>
            <w:tcW w:w="1631" w:type="dxa"/>
            <w:tcBorders>
              <w:top w:val="single" w:sz="4" w:space="0" w:color="auto"/>
              <w:left w:val="single" w:sz="4" w:space="0" w:color="auto"/>
              <w:bottom w:val="single" w:sz="4" w:space="0" w:color="auto"/>
              <w:right w:val="single" w:sz="4" w:space="0" w:color="auto"/>
            </w:tcBorders>
            <w:shd w:val="clear" w:color="auto" w:fill="4472C4"/>
            <w:hideMark/>
          </w:tcPr>
          <w:p w14:paraId="1091EA51"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GHG emission type</w:t>
            </w:r>
          </w:p>
        </w:tc>
        <w:tc>
          <w:tcPr>
            <w:tcW w:w="1325" w:type="dxa"/>
            <w:tcBorders>
              <w:top w:val="single" w:sz="4" w:space="0" w:color="auto"/>
              <w:left w:val="single" w:sz="4" w:space="0" w:color="auto"/>
              <w:bottom w:val="single" w:sz="4" w:space="0" w:color="auto"/>
              <w:right w:val="single" w:sz="4" w:space="0" w:color="auto"/>
            </w:tcBorders>
            <w:shd w:val="clear" w:color="auto" w:fill="4472C4"/>
            <w:hideMark/>
          </w:tcPr>
          <w:p w14:paraId="48D6DBAC"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PIF)</w:t>
            </w:r>
          </w:p>
        </w:tc>
        <w:tc>
          <w:tcPr>
            <w:tcW w:w="1635" w:type="dxa"/>
            <w:tcBorders>
              <w:top w:val="single" w:sz="4" w:space="0" w:color="auto"/>
              <w:left w:val="single" w:sz="4" w:space="0" w:color="auto"/>
              <w:bottom w:val="single" w:sz="4" w:space="0" w:color="auto"/>
              <w:right w:val="single" w:sz="4" w:space="0" w:color="auto"/>
            </w:tcBorders>
            <w:shd w:val="clear" w:color="auto" w:fill="4472C4"/>
            <w:hideMark/>
          </w:tcPr>
          <w:p w14:paraId="75B642CD" w14:textId="77777777" w:rsidR="00302BFE" w:rsidRPr="00D45B3D" w:rsidRDefault="00302BFE" w:rsidP="00243B15">
            <w:pPr>
              <w:rPr>
                <w:rFonts w:asciiTheme="minorHAnsi" w:eastAsia="Times New Roman" w:hAnsiTheme="minorHAnsi" w:cstheme="minorHAnsi"/>
                <w:b/>
                <w:color w:val="000000"/>
                <w:sz w:val="19"/>
                <w:szCs w:val="19"/>
              </w:rPr>
            </w:pPr>
            <w:r w:rsidRPr="00D45B3D">
              <w:rPr>
                <w:rFonts w:asciiTheme="minorHAnsi" w:eastAsia="Times New Roman" w:hAnsiTheme="minorHAnsi" w:cstheme="minorHAnsi"/>
                <w:b/>
                <w:color w:val="000000"/>
                <w:sz w:val="19"/>
                <w:szCs w:val="19"/>
              </w:rPr>
              <w:t>Metric tons CO</w:t>
            </w:r>
            <w:r w:rsidRPr="00D45B3D">
              <w:rPr>
                <w:rFonts w:asciiTheme="minorHAnsi" w:eastAsia="Times New Roman" w:hAnsiTheme="minorHAnsi" w:cstheme="minorHAnsi"/>
                <w:b/>
                <w:color w:val="000000"/>
                <w:sz w:val="19"/>
                <w:szCs w:val="19"/>
                <w:vertAlign w:val="subscript"/>
              </w:rPr>
              <w:t>2</w:t>
            </w:r>
            <w:r w:rsidRPr="00D45B3D">
              <w:rPr>
                <w:rFonts w:asciiTheme="minorHAnsi" w:eastAsia="Times New Roman" w:hAnsiTheme="minorHAnsi" w:cstheme="minorHAnsi"/>
                <w:b/>
                <w:color w:val="000000"/>
                <w:sz w:val="19"/>
                <w:szCs w:val="19"/>
              </w:rPr>
              <w:t>-eq (expected at PIF)</w:t>
            </w:r>
          </w:p>
        </w:tc>
        <w:tc>
          <w:tcPr>
            <w:tcW w:w="1325" w:type="dxa"/>
            <w:tcBorders>
              <w:top w:val="single" w:sz="4" w:space="0" w:color="auto"/>
              <w:left w:val="single" w:sz="4" w:space="0" w:color="auto"/>
              <w:bottom w:val="single" w:sz="4" w:space="0" w:color="auto"/>
              <w:right w:val="single" w:sz="4" w:space="0" w:color="auto"/>
            </w:tcBorders>
            <w:shd w:val="clear" w:color="auto" w:fill="4472C4"/>
            <w:hideMark/>
          </w:tcPr>
          <w:p w14:paraId="6C2DB332"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CEO ER)</w:t>
            </w:r>
          </w:p>
        </w:tc>
        <w:tc>
          <w:tcPr>
            <w:tcW w:w="1635" w:type="dxa"/>
            <w:tcBorders>
              <w:top w:val="single" w:sz="4" w:space="0" w:color="auto"/>
              <w:left w:val="single" w:sz="4" w:space="0" w:color="auto"/>
              <w:bottom w:val="single" w:sz="4" w:space="0" w:color="auto"/>
              <w:right w:val="single" w:sz="4" w:space="0" w:color="auto"/>
            </w:tcBorders>
            <w:shd w:val="clear" w:color="auto" w:fill="4472C4"/>
            <w:hideMark/>
          </w:tcPr>
          <w:p w14:paraId="304087C4" w14:textId="77777777" w:rsidR="00302BFE" w:rsidRPr="00D45B3D" w:rsidRDefault="00302BFE" w:rsidP="00243B15">
            <w:pPr>
              <w:rPr>
                <w:rFonts w:asciiTheme="minorHAnsi" w:eastAsia="Times New Roman" w:hAnsiTheme="minorHAnsi" w:cstheme="minorHAnsi"/>
                <w:b/>
                <w:color w:val="000000"/>
                <w:sz w:val="19"/>
                <w:szCs w:val="19"/>
              </w:rPr>
            </w:pPr>
            <w:r w:rsidRPr="00D45B3D">
              <w:rPr>
                <w:rFonts w:asciiTheme="minorHAnsi" w:eastAsia="Times New Roman" w:hAnsiTheme="minorHAnsi" w:cstheme="minorHAnsi"/>
                <w:b/>
                <w:color w:val="000000"/>
                <w:sz w:val="19"/>
                <w:szCs w:val="19"/>
              </w:rPr>
              <w:t>Metric tons CO</w:t>
            </w:r>
            <w:r w:rsidRPr="00D45B3D">
              <w:rPr>
                <w:rFonts w:asciiTheme="minorHAnsi" w:eastAsia="Times New Roman" w:hAnsiTheme="minorHAnsi" w:cstheme="minorHAnsi"/>
                <w:b/>
                <w:color w:val="000000"/>
                <w:sz w:val="19"/>
                <w:szCs w:val="19"/>
                <w:vertAlign w:val="subscript"/>
              </w:rPr>
              <w:t>2</w:t>
            </w:r>
            <w:r w:rsidRPr="00D45B3D">
              <w:rPr>
                <w:rFonts w:asciiTheme="minorHAnsi" w:eastAsia="Times New Roman" w:hAnsiTheme="minorHAnsi" w:cstheme="minorHAnsi"/>
                <w:b/>
                <w:color w:val="000000"/>
                <w:sz w:val="19"/>
                <w:szCs w:val="19"/>
              </w:rPr>
              <w:t>-eq (expected at CEO ER)</w:t>
            </w:r>
          </w:p>
        </w:tc>
        <w:tc>
          <w:tcPr>
            <w:tcW w:w="1325" w:type="dxa"/>
            <w:tcBorders>
              <w:top w:val="single" w:sz="4" w:space="0" w:color="auto"/>
              <w:left w:val="single" w:sz="4" w:space="0" w:color="auto"/>
              <w:bottom w:val="single" w:sz="4" w:space="0" w:color="auto"/>
              <w:right w:val="single" w:sz="4" w:space="0" w:color="auto"/>
            </w:tcBorders>
            <w:shd w:val="clear" w:color="auto" w:fill="4472C4"/>
            <w:hideMark/>
          </w:tcPr>
          <w:p w14:paraId="36A534C2"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MTR)</w:t>
            </w:r>
          </w:p>
        </w:tc>
        <w:tc>
          <w:tcPr>
            <w:tcW w:w="1623" w:type="dxa"/>
            <w:tcBorders>
              <w:top w:val="single" w:sz="4" w:space="0" w:color="auto"/>
              <w:left w:val="single" w:sz="4" w:space="0" w:color="auto"/>
              <w:bottom w:val="single" w:sz="4" w:space="0" w:color="auto"/>
              <w:right w:val="single" w:sz="4" w:space="0" w:color="auto"/>
            </w:tcBorders>
            <w:shd w:val="clear" w:color="auto" w:fill="4472C4"/>
            <w:hideMark/>
          </w:tcPr>
          <w:p w14:paraId="7AE5C60C" w14:textId="77777777" w:rsidR="00302BFE" w:rsidRPr="00D45B3D" w:rsidRDefault="00302BFE" w:rsidP="00243B15">
            <w:pPr>
              <w:rPr>
                <w:rFonts w:asciiTheme="minorHAnsi" w:eastAsia="Times New Roman" w:hAnsiTheme="minorHAnsi" w:cstheme="minorHAnsi"/>
                <w:b/>
                <w:color w:val="000000"/>
                <w:sz w:val="19"/>
                <w:szCs w:val="19"/>
              </w:rPr>
            </w:pPr>
            <w:r w:rsidRPr="00D45B3D">
              <w:rPr>
                <w:rFonts w:asciiTheme="minorHAnsi" w:eastAsia="Times New Roman" w:hAnsiTheme="minorHAnsi" w:cstheme="minorHAnsi"/>
                <w:b/>
                <w:color w:val="000000"/>
                <w:sz w:val="19"/>
                <w:szCs w:val="19"/>
              </w:rPr>
              <w:t>Metric tons CO</w:t>
            </w:r>
            <w:r w:rsidRPr="00D45B3D">
              <w:rPr>
                <w:rFonts w:asciiTheme="minorHAnsi" w:eastAsia="Times New Roman" w:hAnsiTheme="minorHAnsi" w:cstheme="minorHAnsi"/>
                <w:b/>
                <w:color w:val="000000"/>
                <w:sz w:val="19"/>
                <w:szCs w:val="19"/>
                <w:vertAlign w:val="subscript"/>
              </w:rPr>
              <w:t>2</w:t>
            </w:r>
            <w:r w:rsidRPr="00D45B3D">
              <w:rPr>
                <w:rFonts w:asciiTheme="minorHAnsi" w:eastAsia="Times New Roman" w:hAnsiTheme="minorHAnsi" w:cstheme="minorHAnsi"/>
                <w:b/>
                <w:color w:val="000000"/>
                <w:sz w:val="19"/>
                <w:szCs w:val="19"/>
              </w:rPr>
              <w:t>-eq (expected at MTR)</w:t>
            </w:r>
          </w:p>
        </w:tc>
        <w:tc>
          <w:tcPr>
            <w:tcW w:w="1323" w:type="dxa"/>
            <w:tcBorders>
              <w:top w:val="single" w:sz="4" w:space="0" w:color="auto"/>
              <w:left w:val="single" w:sz="4" w:space="0" w:color="auto"/>
              <w:bottom w:val="single" w:sz="4" w:space="0" w:color="auto"/>
              <w:right w:val="single" w:sz="4" w:space="0" w:color="auto"/>
            </w:tcBorders>
            <w:shd w:val="clear" w:color="auto" w:fill="4472C4"/>
            <w:hideMark/>
          </w:tcPr>
          <w:p w14:paraId="5BEBB6D0"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Ha (expected at TE)</w:t>
            </w:r>
          </w:p>
        </w:tc>
        <w:tc>
          <w:tcPr>
            <w:tcW w:w="1623" w:type="dxa"/>
            <w:tcBorders>
              <w:top w:val="single" w:sz="4" w:space="0" w:color="auto"/>
              <w:left w:val="single" w:sz="4" w:space="0" w:color="auto"/>
              <w:bottom w:val="single" w:sz="4" w:space="0" w:color="auto"/>
              <w:right w:val="single" w:sz="4" w:space="0" w:color="auto"/>
            </w:tcBorders>
            <w:shd w:val="clear" w:color="auto" w:fill="4472C4"/>
            <w:hideMark/>
          </w:tcPr>
          <w:p w14:paraId="7CD13E86" w14:textId="77777777" w:rsidR="00302BFE" w:rsidRPr="00D45B3D" w:rsidRDefault="00302BFE" w:rsidP="00243B15">
            <w:pPr>
              <w:rPr>
                <w:rFonts w:asciiTheme="minorHAnsi" w:eastAsia="Times New Roman" w:hAnsiTheme="minorHAnsi" w:cstheme="minorHAnsi"/>
                <w:b/>
                <w:color w:val="000000"/>
                <w:sz w:val="19"/>
                <w:szCs w:val="19"/>
              </w:rPr>
            </w:pPr>
            <w:r w:rsidRPr="00D45B3D">
              <w:rPr>
                <w:rFonts w:asciiTheme="minorHAnsi" w:eastAsia="Times New Roman" w:hAnsiTheme="minorHAnsi" w:cstheme="minorHAnsi"/>
                <w:b/>
                <w:color w:val="000000"/>
                <w:sz w:val="19"/>
                <w:szCs w:val="19"/>
              </w:rPr>
              <w:t>Metric tons CO</w:t>
            </w:r>
            <w:r w:rsidRPr="00D45B3D">
              <w:rPr>
                <w:rFonts w:asciiTheme="minorHAnsi" w:eastAsia="Times New Roman" w:hAnsiTheme="minorHAnsi" w:cstheme="minorHAnsi"/>
                <w:b/>
                <w:color w:val="000000"/>
                <w:sz w:val="19"/>
                <w:szCs w:val="19"/>
                <w:vertAlign w:val="subscript"/>
              </w:rPr>
              <w:t>2</w:t>
            </w:r>
            <w:r w:rsidRPr="00D45B3D">
              <w:rPr>
                <w:rFonts w:asciiTheme="minorHAnsi" w:eastAsia="Times New Roman" w:hAnsiTheme="minorHAnsi" w:cstheme="minorHAnsi"/>
                <w:b/>
                <w:color w:val="000000"/>
                <w:sz w:val="19"/>
                <w:szCs w:val="19"/>
              </w:rPr>
              <w:t>-eq (expected at TE)</w:t>
            </w:r>
          </w:p>
        </w:tc>
      </w:tr>
      <w:tr w:rsidR="00302BFE" w:rsidRPr="00D45B3D" w14:paraId="79D9027A" w14:textId="77777777" w:rsidTr="00243B15">
        <w:tc>
          <w:tcPr>
            <w:tcW w:w="1631" w:type="dxa"/>
            <w:tcBorders>
              <w:top w:val="single" w:sz="4" w:space="0" w:color="auto"/>
              <w:left w:val="single" w:sz="4" w:space="0" w:color="auto"/>
              <w:bottom w:val="single" w:sz="4" w:space="0" w:color="auto"/>
              <w:right w:val="single" w:sz="4" w:space="0" w:color="auto"/>
            </w:tcBorders>
            <w:shd w:val="clear" w:color="auto" w:fill="4472C4"/>
            <w:hideMark/>
          </w:tcPr>
          <w:p w14:paraId="1997202B" w14:textId="77777777" w:rsidR="00302BFE" w:rsidRPr="00D45B3D" w:rsidRDefault="00302BFE" w:rsidP="00243B15">
            <w:pPr>
              <w:rPr>
                <w:rFonts w:asciiTheme="minorHAnsi" w:eastAsia="Times New Roman" w:hAnsiTheme="minorHAnsi" w:cstheme="minorHAnsi"/>
                <w:b/>
                <w:color w:val="000000"/>
                <w:sz w:val="19"/>
                <w:szCs w:val="19"/>
              </w:rPr>
            </w:pPr>
            <w:r w:rsidRPr="00D45B3D">
              <w:rPr>
                <w:rFonts w:asciiTheme="minorHAnsi" w:eastAsia="Times New Roman" w:hAnsiTheme="minorHAnsi" w:cstheme="minorHAnsi"/>
                <w:b/>
                <w:color w:val="000000"/>
                <w:sz w:val="19"/>
                <w:szCs w:val="19"/>
              </w:rPr>
              <w:t>Expected metric tons of CO</w:t>
            </w:r>
            <w:r w:rsidRPr="00D45B3D">
              <w:rPr>
                <w:rFonts w:asciiTheme="minorHAnsi" w:eastAsia="Times New Roman" w:hAnsiTheme="minorHAnsi" w:cstheme="minorHAnsi"/>
                <w:b/>
                <w:color w:val="000000"/>
                <w:sz w:val="19"/>
                <w:szCs w:val="19"/>
                <w:vertAlign w:val="subscript"/>
              </w:rPr>
              <w:t>2</w:t>
            </w:r>
            <w:r w:rsidRPr="00D45B3D">
              <w:rPr>
                <w:rFonts w:asciiTheme="minorHAnsi" w:eastAsia="Times New Roman" w:hAnsiTheme="minorHAnsi" w:cstheme="minorHAnsi"/>
                <w:b/>
                <w:color w:val="000000"/>
                <w:sz w:val="19"/>
                <w:szCs w:val="19"/>
              </w:rPr>
              <w:t>-e (direct)</w:t>
            </w:r>
          </w:p>
        </w:tc>
        <w:tc>
          <w:tcPr>
            <w:tcW w:w="1325" w:type="dxa"/>
            <w:tcBorders>
              <w:top w:val="single" w:sz="4" w:space="0" w:color="auto"/>
              <w:left w:val="single" w:sz="4" w:space="0" w:color="auto"/>
              <w:bottom w:val="single" w:sz="4" w:space="0" w:color="auto"/>
              <w:right w:val="single" w:sz="4" w:space="0" w:color="auto"/>
            </w:tcBorders>
            <w:shd w:val="clear" w:color="auto" w:fill="auto"/>
          </w:tcPr>
          <w:p w14:paraId="55B9CE04" w14:textId="77777777" w:rsidR="00302BFE" w:rsidRPr="00D45B3D" w:rsidRDefault="00302BFE" w:rsidP="00243B15">
            <w:pPr>
              <w:jc w:val="right"/>
              <w:rPr>
                <w:rFonts w:asciiTheme="minorHAnsi" w:eastAsia="Times New Roman" w:hAnsiTheme="minorHAnsi" w:cstheme="minorHAnsi"/>
                <w:color w:val="000000"/>
                <w:szCs w:val="20"/>
              </w:rPr>
            </w:pP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5421495E" w14:textId="77777777" w:rsidR="00302BFE" w:rsidRPr="00D45B3D" w:rsidRDefault="00302BFE" w:rsidP="00243B15">
            <w:pPr>
              <w:jc w:val="right"/>
              <w:rPr>
                <w:rFonts w:asciiTheme="minorHAnsi" w:eastAsia="Times New Roman" w:hAnsiTheme="minorHAnsi" w:cstheme="minorHAnsi"/>
                <w:color w:val="000000"/>
                <w:szCs w:val="20"/>
              </w:rPr>
            </w:pPr>
          </w:p>
        </w:tc>
        <w:tc>
          <w:tcPr>
            <w:tcW w:w="1325" w:type="dxa"/>
            <w:tcBorders>
              <w:top w:val="single" w:sz="4" w:space="0" w:color="auto"/>
              <w:left w:val="single" w:sz="4" w:space="0" w:color="auto"/>
              <w:bottom w:val="single" w:sz="4" w:space="0" w:color="auto"/>
              <w:right w:val="single" w:sz="4" w:space="0" w:color="auto"/>
            </w:tcBorders>
            <w:shd w:val="clear" w:color="auto" w:fill="auto"/>
          </w:tcPr>
          <w:p w14:paraId="1C0873CB" w14:textId="77777777" w:rsidR="00302BFE" w:rsidRPr="00D45B3D" w:rsidRDefault="00302BFE" w:rsidP="00243B15">
            <w:pPr>
              <w:jc w:val="right"/>
              <w:rPr>
                <w:rFonts w:asciiTheme="minorHAnsi" w:eastAsia="Times New Roman" w:hAnsiTheme="minorHAnsi" w:cstheme="minorHAnsi"/>
                <w:color w:val="000000"/>
                <w:szCs w:val="20"/>
              </w:rPr>
            </w:pP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0B4EE1A8" w14:textId="77777777" w:rsidR="00302BFE" w:rsidRPr="00D45B3D" w:rsidRDefault="00302BFE" w:rsidP="00243B15">
            <w:pPr>
              <w:jc w:val="right"/>
              <w:rPr>
                <w:rFonts w:asciiTheme="minorHAnsi" w:eastAsia="Times New Roman" w:hAnsiTheme="minorHAnsi" w:cstheme="minorHAnsi"/>
                <w:color w:val="000000"/>
                <w:szCs w:val="20"/>
              </w:rPr>
            </w:pPr>
          </w:p>
        </w:tc>
        <w:tc>
          <w:tcPr>
            <w:tcW w:w="1325" w:type="dxa"/>
            <w:tcBorders>
              <w:top w:val="single" w:sz="4" w:space="0" w:color="auto"/>
              <w:left w:val="single" w:sz="4" w:space="0" w:color="auto"/>
              <w:bottom w:val="single" w:sz="4" w:space="0" w:color="auto"/>
              <w:right w:val="single" w:sz="4" w:space="0" w:color="auto"/>
            </w:tcBorders>
            <w:shd w:val="clear" w:color="auto" w:fill="auto"/>
          </w:tcPr>
          <w:p w14:paraId="6C339244" w14:textId="77777777" w:rsidR="00302BFE" w:rsidRPr="00D45B3D" w:rsidRDefault="00302BFE" w:rsidP="00243B15">
            <w:pPr>
              <w:jc w:val="right"/>
              <w:rPr>
                <w:rFonts w:asciiTheme="minorHAnsi" w:eastAsia="Times New Roman" w:hAnsiTheme="minorHAnsi" w:cstheme="minorHAnsi"/>
                <w:color w:val="000000"/>
                <w:szCs w:val="20"/>
              </w:rPr>
            </w:pPr>
          </w:p>
        </w:tc>
        <w:tc>
          <w:tcPr>
            <w:tcW w:w="1623" w:type="dxa"/>
            <w:tcBorders>
              <w:top w:val="single" w:sz="4" w:space="0" w:color="auto"/>
              <w:left w:val="single" w:sz="4" w:space="0" w:color="auto"/>
              <w:bottom w:val="single" w:sz="4" w:space="0" w:color="auto"/>
              <w:right w:val="single" w:sz="4" w:space="0" w:color="auto"/>
            </w:tcBorders>
            <w:shd w:val="clear" w:color="auto" w:fill="auto"/>
          </w:tcPr>
          <w:p w14:paraId="117F294D" w14:textId="77777777" w:rsidR="00302BFE" w:rsidRPr="00D45B3D" w:rsidRDefault="00302BFE" w:rsidP="00243B15">
            <w:pPr>
              <w:jc w:val="right"/>
              <w:rPr>
                <w:rFonts w:asciiTheme="minorHAnsi" w:eastAsia="Times New Roman" w:hAnsiTheme="minorHAnsi" w:cstheme="minorHAnsi"/>
                <w:color w:val="000000"/>
                <w:szCs w:val="20"/>
              </w:rPr>
            </w:pPr>
          </w:p>
        </w:tc>
        <w:tc>
          <w:tcPr>
            <w:tcW w:w="1323" w:type="dxa"/>
            <w:tcBorders>
              <w:top w:val="single" w:sz="4" w:space="0" w:color="auto"/>
              <w:left w:val="single" w:sz="4" w:space="0" w:color="auto"/>
              <w:bottom w:val="single" w:sz="4" w:space="0" w:color="auto"/>
              <w:right w:val="single" w:sz="4" w:space="0" w:color="auto"/>
            </w:tcBorders>
            <w:shd w:val="clear" w:color="auto" w:fill="auto"/>
          </w:tcPr>
          <w:p w14:paraId="56602658" w14:textId="77777777" w:rsidR="00302BFE" w:rsidRPr="00D45B3D" w:rsidRDefault="00302BFE" w:rsidP="00243B15">
            <w:pPr>
              <w:jc w:val="right"/>
              <w:rPr>
                <w:rFonts w:asciiTheme="minorHAnsi" w:eastAsia="Times New Roman" w:hAnsiTheme="minorHAnsi" w:cstheme="minorHAnsi"/>
                <w:color w:val="000000"/>
                <w:szCs w:val="20"/>
              </w:rPr>
            </w:pPr>
          </w:p>
        </w:tc>
        <w:tc>
          <w:tcPr>
            <w:tcW w:w="1623" w:type="dxa"/>
            <w:tcBorders>
              <w:top w:val="single" w:sz="4" w:space="0" w:color="auto"/>
              <w:left w:val="single" w:sz="4" w:space="0" w:color="auto"/>
              <w:bottom w:val="single" w:sz="4" w:space="0" w:color="auto"/>
              <w:right w:val="single" w:sz="4" w:space="0" w:color="auto"/>
            </w:tcBorders>
            <w:shd w:val="clear" w:color="auto" w:fill="auto"/>
          </w:tcPr>
          <w:p w14:paraId="41ABE0B9" w14:textId="77777777" w:rsidR="00302BFE" w:rsidRPr="00D45B3D" w:rsidRDefault="00302BFE" w:rsidP="00243B15">
            <w:pPr>
              <w:jc w:val="right"/>
              <w:rPr>
                <w:rFonts w:asciiTheme="minorHAnsi" w:eastAsia="Times New Roman" w:hAnsiTheme="minorHAnsi" w:cstheme="minorHAnsi"/>
                <w:color w:val="000000"/>
                <w:szCs w:val="20"/>
              </w:rPr>
            </w:pPr>
          </w:p>
        </w:tc>
      </w:tr>
      <w:tr w:rsidR="00302BFE" w:rsidRPr="00D45B3D" w14:paraId="2D3ACE89" w14:textId="77777777" w:rsidTr="00243B15">
        <w:tc>
          <w:tcPr>
            <w:tcW w:w="1631" w:type="dxa"/>
            <w:tcBorders>
              <w:top w:val="single" w:sz="4" w:space="0" w:color="auto"/>
              <w:left w:val="single" w:sz="4" w:space="0" w:color="auto"/>
              <w:bottom w:val="single" w:sz="4" w:space="0" w:color="auto"/>
              <w:right w:val="single" w:sz="4" w:space="0" w:color="auto"/>
            </w:tcBorders>
            <w:shd w:val="clear" w:color="auto" w:fill="4472C4"/>
            <w:hideMark/>
          </w:tcPr>
          <w:p w14:paraId="15410A65"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Expected metric tons of CO</w:t>
            </w:r>
            <w:r w:rsidRPr="00D45B3D">
              <w:rPr>
                <w:rFonts w:asciiTheme="minorHAnsi" w:eastAsia="Times New Roman" w:hAnsiTheme="minorHAnsi" w:cstheme="minorHAnsi"/>
                <w:b/>
                <w:color w:val="000000"/>
                <w:szCs w:val="20"/>
                <w:vertAlign w:val="subscript"/>
              </w:rPr>
              <w:t>2</w:t>
            </w:r>
            <w:r w:rsidRPr="00D45B3D">
              <w:rPr>
                <w:rFonts w:asciiTheme="minorHAnsi" w:eastAsia="Times New Roman" w:hAnsiTheme="minorHAnsi" w:cstheme="minorHAnsi"/>
                <w:b/>
                <w:color w:val="000000"/>
                <w:szCs w:val="20"/>
              </w:rPr>
              <w:t>-e (indirect)</w:t>
            </w:r>
          </w:p>
        </w:tc>
        <w:tc>
          <w:tcPr>
            <w:tcW w:w="1325" w:type="dxa"/>
            <w:tcBorders>
              <w:top w:val="single" w:sz="4" w:space="0" w:color="auto"/>
              <w:left w:val="single" w:sz="4" w:space="0" w:color="auto"/>
              <w:bottom w:val="single" w:sz="4" w:space="0" w:color="auto"/>
              <w:right w:val="single" w:sz="4" w:space="0" w:color="auto"/>
            </w:tcBorders>
            <w:shd w:val="clear" w:color="auto" w:fill="auto"/>
          </w:tcPr>
          <w:p w14:paraId="7B3872C5" w14:textId="77777777" w:rsidR="00302BFE" w:rsidRPr="00D45B3D" w:rsidRDefault="00302BFE" w:rsidP="00243B15">
            <w:pPr>
              <w:jc w:val="right"/>
              <w:rPr>
                <w:rFonts w:asciiTheme="minorHAnsi" w:eastAsia="Times New Roman" w:hAnsiTheme="minorHAnsi" w:cstheme="minorHAnsi"/>
                <w:color w:val="000000"/>
                <w:sz w:val="18"/>
                <w:szCs w:val="18"/>
              </w:rPr>
            </w:pPr>
            <w:r w:rsidRPr="00D45B3D">
              <w:rPr>
                <w:rFonts w:asciiTheme="minorHAnsi" w:eastAsia="Times New Roman" w:hAnsiTheme="minorHAnsi" w:cstheme="minorHAnsi"/>
                <w:sz w:val="18"/>
                <w:szCs w:val="18"/>
                <w:lang w:val="en-GB"/>
              </w:rPr>
              <w:t xml:space="preserve">reduced deforestation: 436,057 ha, restoration: 3,000 ha </w:t>
            </w: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3F97E49B" w14:textId="77777777" w:rsidR="00302BFE" w:rsidRPr="00D45B3D" w:rsidRDefault="00302BFE" w:rsidP="00243B15">
            <w:pPr>
              <w:jc w:val="right"/>
              <w:rPr>
                <w:rFonts w:asciiTheme="minorHAnsi" w:eastAsia="Times New Roman" w:hAnsiTheme="minorHAnsi" w:cstheme="minorHAnsi"/>
                <w:color w:val="000000"/>
                <w:sz w:val="18"/>
                <w:szCs w:val="18"/>
              </w:rPr>
            </w:pPr>
            <w:r w:rsidRPr="00D45B3D">
              <w:rPr>
                <w:rFonts w:asciiTheme="minorHAnsi" w:eastAsia="Times New Roman" w:hAnsiTheme="minorHAnsi" w:cstheme="minorHAnsi"/>
                <w:color w:val="000000"/>
                <w:sz w:val="18"/>
                <w:szCs w:val="18"/>
              </w:rPr>
              <w:t>4,000,000</w:t>
            </w:r>
          </w:p>
        </w:tc>
        <w:tc>
          <w:tcPr>
            <w:tcW w:w="1325" w:type="dxa"/>
            <w:tcBorders>
              <w:top w:val="single" w:sz="4" w:space="0" w:color="auto"/>
              <w:left w:val="single" w:sz="4" w:space="0" w:color="auto"/>
              <w:bottom w:val="single" w:sz="4" w:space="0" w:color="auto"/>
              <w:right w:val="single" w:sz="4" w:space="0" w:color="auto"/>
            </w:tcBorders>
            <w:shd w:val="clear" w:color="auto" w:fill="auto"/>
          </w:tcPr>
          <w:p w14:paraId="4129DDA8" w14:textId="77777777" w:rsidR="00302BFE" w:rsidRPr="00D45B3D" w:rsidRDefault="00302BFE" w:rsidP="00243B15">
            <w:pPr>
              <w:jc w:val="right"/>
              <w:rPr>
                <w:rFonts w:asciiTheme="minorHAnsi" w:eastAsia="Times New Roman" w:hAnsiTheme="minorHAnsi" w:cstheme="minorHAnsi"/>
                <w:color w:val="000000"/>
                <w:sz w:val="18"/>
                <w:szCs w:val="18"/>
              </w:rPr>
            </w:pPr>
            <w:r w:rsidRPr="00D45B3D">
              <w:rPr>
                <w:rFonts w:asciiTheme="minorHAnsi" w:eastAsia="Times New Roman" w:hAnsiTheme="minorHAnsi" w:cstheme="minorHAnsi"/>
                <w:sz w:val="18"/>
                <w:szCs w:val="18"/>
                <w:lang w:val="en-GB"/>
              </w:rPr>
              <w:t xml:space="preserve">reduced deforestation: </w:t>
            </w:r>
            <w:r w:rsidR="00D72C07" w:rsidRPr="00D45B3D">
              <w:rPr>
                <w:rFonts w:asciiTheme="minorHAnsi" w:eastAsia="Times New Roman" w:hAnsiTheme="minorHAnsi" w:cstheme="minorHAnsi"/>
                <w:sz w:val="18"/>
                <w:szCs w:val="18"/>
                <w:lang w:val="en-GB"/>
              </w:rPr>
              <w:t>394</w:t>
            </w:r>
            <w:r w:rsidRPr="00D45B3D">
              <w:rPr>
                <w:rFonts w:asciiTheme="minorHAnsi" w:eastAsia="Times New Roman" w:hAnsiTheme="minorHAnsi" w:cstheme="minorHAnsi"/>
                <w:sz w:val="18"/>
                <w:szCs w:val="18"/>
                <w:lang w:val="en-GB"/>
              </w:rPr>
              <w:t>,</w:t>
            </w:r>
            <w:r w:rsidR="00D72C07" w:rsidRPr="00D45B3D">
              <w:rPr>
                <w:rFonts w:asciiTheme="minorHAnsi" w:eastAsia="Times New Roman" w:hAnsiTheme="minorHAnsi" w:cstheme="minorHAnsi"/>
                <w:sz w:val="18"/>
                <w:szCs w:val="18"/>
                <w:lang w:val="en-GB"/>
              </w:rPr>
              <w:t>564</w:t>
            </w:r>
            <w:r w:rsidRPr="00D45B3D">
              <w:rPr>
                <w:rFonts w:asciiTheme="minorHAnsi" w:eastAsia="Times New Roman" w:hAnsiTheme="minorHAnsi" w:cstheme="minorHAnsi"/>
                <w:sz w:val="18"/>
                <w:szCs w:val="18"/>
                <w:lang w:val="en-GB"/>
              </w:rPr>
              <w:t xml:space="preserve"> ha, restoration: 11,000 ha </w:t>
            </w:r>
          </w:p>
        </w:tc>
        <w:tc>
          <w:tcPr>
            <w:tcW w:w="1635" w:type="dxa"/>
            <w:tcBorders>
              <w:top w:val="single" w:sz="4" w:space="0" w:color="auto"/>
              <w:left w:val="single" w:sz="4" w:space="0" w:color="auto"/>
              <w:bottom w:val="single" w:sz="4" w:space="0" w:color="auto"/>
              <w:right w:val="single" w:sz="4" w:space="0" w:color="auto"/>
            </w:tcBorders>
            <w:shd w:val="clear" w:color="auto" w:fill="auto"/>
          </w:tcPr>
          <w:p w14:paraId="7E295D94" w14:textId="77777777" w:rsidR="00302BFE" w:rsidRPr="00D45B3D" w:rsidRDefault="00D72C07" w:rsidP="00243B15">
            <w:pPr>
              <w:jc w:val="right"/>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5</w:t>
            </w:r>
            <w:r w:rsidR="00302BFE" w:rsidRPr="00D45B3D">
              <w:rPr>
                <w:rFonts w:asciiTheme="minorHAnsi" w:eastAsia="Times New Roman" w:hAnsiTheme="minorHAnsi" w:cstheme="minorHAnsi"/>
                <w:color w:val="000000"/>
                <w:szCs w:val="20"/>
              </w:rPr>
              <w:t>,</w:t>
            </w:r>
            <w:r w:rsidRPr="00D45B3D">
              <w:rPr>
                <w:rFonts w:asciiTheme="minorHAnsi" w:eastAsia="Times New Roman" w:hAnsiTheme="minorHAnsi" w:cstheme="minorHAnsi"/>
                <w:color w:val="000000"/>
                <w:szCs w:val="20"/>
              </w:rPr>
              <w:t>44</w:t>
            </w:r>
            <w:r w:rsidR="00302BFE" w:rsidRPr="00D45B3D">
              <w:rPr>
                <w:rFonts w:asciiTheme="minorHAnsi" w:eastAsia="Times New Roman" w:hAnsiTheme="minorHAnsi" w:cstheme="minorHAnsi"/>
                <w:color w:val="000000"/>
                <w:szCs w:val="20"/>
              </w:rPr>
              <w:t>8,</w:t>
            </w:r>
            <w:r w:rsidRPr="00D45B3D">
              <w:rPr>
                <w:rFonts w:asciiTheme="minorHAnsi" w:eastAsia="Times New Roman" w:hAnsiTheme="minorHAnsi" w:cstheme="minorHAnsi"/>
                <w:color w:val="000000"/>
                <w:szCs w:val="20"/>
              </w:rPr>
              <w:t>924</w:t>
            </w:r>
          </w:p>
        </w:tc>
        <w:tc>
          <w:tcPr>
            <w:tcW w:w="1325" w:type="dxa"/>
            <w:tcBorders>
              <w:top w:val="single" w:sz="4" w:space="0" w:color="auto"/>
              <w:left w:val="single" w:sz="4" w:space="0" w:color="auto"/>
              <w:bottom w:val="single" w:sz="4" w:space="0" w:color="auto"/>
              <w:right w:val="single" w:sz="4" w:space="0" w:color="auto"/>
            </w:tcBorders>
            <w:shd w:val="clear" w:color="auto" w:fill="auto"/>
          </w:tcPr>
          <w:p w14:paraId="13F7F805" w14:textId="77777777" w:rsidR="00302BFE" w:rsidRPr="00D45B3D" w:rsidRDefault="00302BFE" w:rsidP="00243B15">
            <w:pPr>
              <w:jc w:val="right"/>
              <w:rPr>
                <w:rFonts w:asciiTheme="minorHAnsi" w:eastAsia="Times New Roman" w:hAnsiTheme="minorHAnsi" w:cstheme="minorHAnsi"/>
                <w:color w:val="000000"/>
                <w:szCs w:val="20"/>
              </w:rPr>
            </w:pPr>
          </w:p>
        </w:tc>
        <w:tc>
          <w:tcPr>
            <w:tcW w:w="1623" w:type="dxa"/>
            <w:tcBorders>
              <w:top w:val="single" w:sz="4" w:space="0" w:color="auto"/>
              <w:left w:val="single" w:sz="4" w:space="0" w:color="auto"/>
              <w:bottom w:val="single" w:sz="4" w:space="0" w:color="auto"/>
              <w:right w:val="single" w:sz="4" w:space="0" w:color="auto"/>
            </w:tcBorders>
            <w:shd w:val="clear" w:color="auto" w:fill="auto"/>
          </w:tcPr>
          <w:p w14:paraId="2AF29808" w14:textId="77777777" w:rsidR="00302BFE" w:rsidRPr="00D45B3D" w:rsidRDefault="00302BFE" w:rsidP="00243B15">
            <w:pPr>
              <w:jc w:val="right"/>
              <w:rPr>
                <w:rFonts w:asciiTheme="minorHAnsi" w:eastAsia="Times New Roman" w:hAnsiTheme="minorHAnsi" w:cstheme="minorHAnsi"/>
                <w:color w:val="000000"/>
                <w:szCs w:val="20"/>
              </w:rPr>
            </w:pPr>
          </w:p>
        </w:tc>
        <w:tc>
          <w:tcPr>
            <w:tcW w:w="1323" w:type="dxa"/>
            <w:tcBorders>
              <w:top w:val="single" w:sz="4" w:space="0" w:color="auto"/>
              <w:left w:val="single" w:sz="4" w:space="0" w:color="auto"/>
              <w:bottom w:val="single" w:sz="4" w:space="0" w:color="auto"/>
              <w:right w:val="single" w:sz="4" w:space="0" w:color="auto"/>
            </w:tcBorders>
            <w:shd w:val="clear" w:color="auto" w:fill="auto"/>
          </w:tcPr>
          <w:p w14:paraId="37BF37EF" w14:textId="77777777" w:rsidR="00302BFE" w:rsidRPr="00D45B3D" w:rsidRDefault="00302BFE" w:rsidP="00243B15">
            <w:pPr>
              <w:jc w:val="right"/>
              <w:rPr>
                <w:rFonts w:asciiTheme="minorHAnsi" w:eastAsia="Times New Roman" w:hAnsiTheme="minorHAnsi" w:cstheme="minorHAnsi"/>
                <w:color w:val="000000"/>
                <w:szCs w:val="20"/>
              </w:rPr>
            </w:pPr>
          </w:p>
        </w:tc>
        <w:tc>
          <w:tcPr>
            <w:tcW w:w="1623" w:type="dxa"/>
            <w:tcBorders>
              <w:top w:val="single" w:sz="4" w:space="0" w:color="auto"/>
              <w:left w:val="single" w:sz="4" w:space="0" w:color="auto"/>
              <w:bottom w:val="single" w:sz="4" w:space="0" w:color="auto"/>
              <w:right w:val="single" w:sz="4" w:space="0" w:color="auto"/>
            </w:tcBorders>
            <w:shd w:val="clear" w:color="auto" w:fill="auto"/>
          </w:tcPr>
          <w:p w14:paraId="3DD19B2C" w14:textId="77777777" w:rsidR="00302BFE" w:rsidRPr="00D45B3D" w:rsidRDefault="00302BFE" w:rsidP="00243B15">
            <w:pPr>
              <w:jc w:val="right"/>
              <w:rPr>
                <w:rFonts w:asciiTheme="minorHAnsi" w:eastAsia="Times New Roman" w:hAnsiTheme="minorHAnsi" w:cstheme="minorHAnsi"/>
                <w:color w:val="000000"/>
                <w:szCs w:val="20"/>
              </w:rPr>
            </w:pPr>
          </w:p>
        </w:tc>
      </w:tr>
      <w:tr w:rsidR="00302BFE" w:rsidRPr="00D45B3D" w14:paraId="06C14A95" w14:textId="77777777" w:rsidTr="00243B15">
        <w:trPr>
          <w:trHeight w:val="576"/>
        </w:trPr>
        <w:tc>
          <w:tcPr>
            <w:tcW w:w="1631" w:type="dxa"/>
            <w:tcBorders>
              <w:top w:val="single" w:sz="4" w:space="0" w:color="auto"/>
              <w:left w:val="single" w:sz="4" w:space="0" w:color="auto"/>
              <w:bottom w:val="single" w:sz="4" w:space="0" w:color="auto"/>
              <w:right w:val="single" w:sz="4" w:space="0" w:color="auto"/>
            </w:tcBorders>
            <w:shd w:val="clear" w:color="auto" w:fill="4472C4"/>
            <w:hideMark/>
          </w:tcPr>
          <w:p w14:paraId="441238A8"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Anticipated year</w:t>
            </w:r>
          </w:p>
        </w:tc>
        <w:tc>
          <w:tcPr>
            <w:tcW w:w="1325" w:type="dxa"/>
            <w:tcBorders>
              <w:top w:val="single" w:sz="4" w:space="0" w:color="auto"/>
              <w:left w:val="single" w:sz="4" w:space="0" w:color="auto"/>
              <w:bottom w:val="single" w:sz="4" w:space="0" w:color="auto"/>
              <w:right w:val="single" w:sz="4" w:space="0" w:color="auto"/>
            </w:tcBorders>
            <w:shd w:val="clear" w:color="auto" w:fill="auto"/>
            <w:hideMark/>
          </w:tcPr>
          <w:p w14:paraId="0A146B89"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p>
        </w:tc>
        <w:tc>
          <w:tcPr>
            <w:tcW w:w="1635" w:type="dxa"/>
            <w:tcBorders>
              <w:top w:val="single" w:sz="4" w:space="0" w:color="auto"/>
              <w:left w:val="single" w:sz="4" w:space="0" w:color="auto"/>
              <w:bottom w:val="single" w:sz="4" w:space="0" w:color="auto"/>
              <w:right w:val="single" w:sz="4" w:space="0" w:color="auto"/>
            </w:tcBorders>
            <w:shd w:val="clear" w:color="auto" w:fill="auto"/>
            <w:hideMark/>
          </w:tcPr>
          <w:p w14:paraId="4C6E2CD4"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[2029]</w:t>
            </w:r>
          </w:p>
        </w:tc>
        <w:tc>
          <w:tcPr>
            <w:tcW w:w="1325" w:type="dxa"/>
            <w:tcBorders>
              <w:top w:val="single" w:sz="4" w:space="0" w:color="auto"/>
              <w:left w:val="single" w:sz="4" w:space="0" w:color="auto"/>
              <w:bottom w:val="single" w:sz="4" w:space="0" w:color="auto"/>
              <w:right w:val="single" w:sz="4" w:space="0" w:color="auto"/>
            </w:tcBorders>
            <w:shd w:val="clear" w:color="auto" w:fill="auto"/>
            <w:hideMark/>
          </w:tcPr>
          <w:p w14:paraId="39BA947D"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p>
        </w:tc>
        <w:tc>
          <w:tcPr>
            <w:tcW w:w="1635" w:type="dxa"/>
            <w:tcBorders>
              <w:top w:val="single" w:sz="4" w:space="0" w:color="auto"/>
              <w:left w:val="single" w:sz="4" w:space="0" w:color="auto"/>
              <w:bottom w:val="single" w:sz="4" w:space="0" w:color="auto"/>
              <w:right w:val="single" w:sz="4" w:space="0" w:color="auto"/>
            </w:tcBorders>
            <w:shd w:val="clear" w:color="auto" w:fill="auto"/>
            <w:hideMark/>
          </w:tcPr>
          <w:p w14:paraId="45DF4039"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[20</w:t>
            </w:r>
            <w:r w:rsidR="00D72C07" w:rsidRPr="00D45B3D">
              <w:rPr>
                <w:rFonts w:asciiTheme="minorHAnsi" w:eastAsia="Times New Roman" w:hAnsiTheme="minorHAnsi" w:cstheme="minorHAnsi"/>
                <w:color w:val="000000"/>
                <w:szCs w:val="20"/>
              </w:rPr>
              <w:t>40</w:t>
            </w:r>
            <w:r w:rsidRPr="00D45B3D">
              <w:rPr>
                <w:rFonts w:asciiTheme="minorHAnsi" w:eastAsia="Times New Roman" w:hAnsiTheme="minorHAnsi" w:cstheme="minorHAnsi"/>
                <w:color w:val="000000"/>
                <w:szCs w:val="20"/>
              </w:rPr>
              <w:t>]</w:t>
            </w:r>
          </w:p>
        </w:tc>
        <w:tc>
          <w:tcPr>
            <w:tcW w:w="1325" w:type="dxa"/>
            <w:tcBorders>
              <w:top w:val="single" w:sz="4" w:space="0" w:color="auto"/>
              <w:left w:val="single" w:sz="4" w:space="0" w:color="auto"/>
              <w:bottom w:val="single" w:sz="4" w:space="0" w:color="auto"/>
              <w:right w:val="single" w:sz="4" w:space="0" w:color="auto"/>
            </w:tcBorders>
            <w:shd w:val="clear" w:color="auto" w:fill="auto"/>
            <w:hideMark/>
          </w:tcPr>
          <w:p w14:paraId="20AFA91E"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p>
        </w:tc>
        <w:tc>
          <w:tcPr>
            <w:tcW w:w="1623" w:type="dxa"/>
            <w:tcBorders>
              <w:top w:val="single" w:sz="4" w:space="0" w:color="auto"/>
              <w:left w:val="single" w:sz="4" w:space="0" w:color="auto"/>
              <w:bottom w:val="single" w:sz="4" w:space="0" w:color="auto"/>
              <w:right w:val="single" w:sz="4" w:space="0" w:color="auto"/>
            </w:tcBorders>
            <w:shd w:val="clear" w:color="auto" w:fill="auto"/>
            <w:hideMark/>
          </w:tcPr>
          <w:p w14:paraId="0DF7B8A5"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[2018-2100]</w:t>
            </w:r>
          </w:p>
        </w:tc>
        <w:tc>
          <w:tcPr>
            <w:tcW w:w="1323" w:type="dxa"/>
            <w:tcBorders>
              <w:top w:val="single" w:sz="4" w:space="0" w:color="auto"/>
              <w:left w:val="single" w:sz="4" w:space="0" w:color="auto"/>
              <w:bottom w:val="single" w:sz="4" w:space="0" w:color="auto"/>
              <w:right w:val="single" w:sz="4" w:space="0" w:color="auto"/>
            </w:tcBorders>
            <w:shd w:val="clear" w:color="auto" w:fill="auto"/>
            <w:hideMark/>
          </w:tcPr>
          <w:p w14:paraId="73735620"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p>
        </w:tc>
        <w:tc>
          <w:tcPr>
            <w:tcW w:w="1623" w:type="dxa"/>
            <w:tcBorders>
              <w:top w:val="single" w:sz="4" w:space="0" w:color="auto"/>
              <w:left w:val="single" w:sz="4" w:space="0" w:color="auto"/>
              <w:bottom w:val="single" w:sz="4" w:space="0" w:color="auto"/>
              <w:right w:val="single" w:sz="4" w:space="0" w:color="auto"/>
            </w:tcBorders>
            <w:shd w:val="clear" w:color="auto" w:fill="auto"/>
            <w:hideMark/>
          </w:tcPr>
          <w:p w14:paraId="2ABBEEB4"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[2018-2100]</w:t>
            </w:r>
          </w:p>
        </w:tc>
      </w:tr>
      <w:tr w:rsidR="00302BFE" w:rsidRPr="00D45B3D" w14:paraId="04119726" w14:textId="77777777" w:rsidTr="00243B15">
        <w:trPr>
          <w:trHeight w:val="576"/>
        </w:trPr>
        <w:tc>
          <w:tcPr>
            <w:tcW w:w="1631" w:type="dxa"/>
            <w:tcBorders>
              <w:top w:val="single" w:sz="4" w:space="0" w:color="auto"/>
              <w:left w:val="single" w:sz="4" w:space="0" w:color="auto"/>
              <w:bottom w:val="single" w:sz="4" w:space="0" w:color="auto"/>
              <w:right w:val="single" w:sz="4" w:space="0" w:color="auto"/>
            </w:tcBorders>
            <w:shd w:val="clear" w:color="auto" w:fill="4472C4"/>
            <w:hideMark/>
          </w:tcPr>
          <w:p w14:paraId="4056EBC7"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Duration of accounting</w:t>
            </w:r>
          </w:p>
        </w:tc>
        <w:tc>
          <w:tcPr>
            <w:tcW w:w="1325" w:type="dxa"/>
            <w:tcBorders>
              <w:top w:val="single" w:sz="4" w:space="0" w:color="auto"/>
              <w:left w:val="single" w:sz="4" w:space="0" w:color="auto"/>
              <w:bottom w:val="single" w:sz="4" w:space="0" w:color="auto"/>
              <w:right w:val="single" w:sz="4" w:space="0" w:color="auto"/>
            </w:tcBorders>
            <w:shd w:val="clear" w:color="auto" w:fill="auto"/>
            <w:hideMark/>
          </w:tcPr>
          <w:p w14:paraId="61A00D3A"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p>
        </w:tc>
        <w:tc>
          <w:tcPr>
            <w:tcW w:w="1635" w:type="dxa"/>
            <w:tcBorders>
              <w:top w:val="single" w:sz="4" w:space="0" w:color="auto"/>
              <w:left w:val="single" w:sz="4" w:space="0" w:color="auto"/>
              <w:bottom w:val="single" w:sz="4" w:space="0" w:color="auto"/>
              <w:right w:val="single" w:sz="4" w:space="0" w:color="auto"/>
            </w:tcBorders>
            <w:shd w:val="clear" w:color="auto" w:fill="auto"/>
            <w:hideMark/>
          </w:tcPr>
          <w:p w14:paraId="54286567"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[10]</w:t>
            </w:r>
          </w:p>
        </w:tc>
        <w:tc>
          <w:tcPr>
            <w:tcW w:w="1325" w:type="dxa"/>
            <w:tcBorders>
              <w:top w:val="single" w:sz="4" w:space="0" w:color="auto"/>
              <w:left w:val="single" w:sz="4" w:space="0" w:color="auto"/>
              <w:bottom w:val="single" w:sz="4" w:space="0" w:color="auto"/>
              <w:right w:val="single" w:sz="4" w:space="0" w:color="auto"/>
            </w:tcBorders>
            <w:shd w:val="clear" w:color="auto" w:fill="auto"/>
            <w:hideMark/>
          </w:tcPr>
          <w:p w14:paraId="2CC6F982"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p>
        </w:tc>
        <w:tc>
          <w:tcPr>
            <w:tcW w:w="1635" w:type="dxa"/>
            <w:tcBorders>
              <w:top w:val="single" w:sz="4" w:space="0" w:color="auto"/>
              <w:left w:val="single" w:sz="4" w:space="0" w:color="auto"/>
              <w:bottom w:val="single" w:sz="4" w:space="0" w:color="auto"/>
              <w:right w:val="single" w:sz="4" w:space="0" w:color="auto"/>
            </w:tcBorders>
            <w:shd w:val="clear" w:color="auto" w:fill="auto"/>
            <w:hideMark/>
          </w:tcPr>
          <w:p w14:paraId="685EC8F1"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r w:rsidR="00D72C07" w:rsidRPr="00D45B3D">
              <w:rPr>
                <w:rFonts w:asciiTheme="minorHAnsi" w:eastAsia="Times New Roman" w:hAnsiTheme="minorHAnsi" w:cstheme="minorHAnsi"/>
                <w:color w:val="000000"/>
                <w:szCs w:val="20"/>
              </w:rPr>
              <w:t>2</w:t>
            </w:r>
            <w:r w:rsidRPr="00D45B3D">
              <w:rPr>
                <w:rFonts w:asciiTheme="minorHAnsi" w:eastAsia="Times New Roman" w:hAnsiTheme="minorHAnsi" w:cstheme="minorHAnsi"/>
                <w:color w:val="000000"/>
                <w:szCs w:val="20"/>
              </w:rPr>
              <w:t>0]</w:t>
            </w:r>
          </w:p>
        </w:tc>
        <w:tc>
          <w:tcPr>
            <w:tcW w:w="1325" w:type="dxa"/>
            <w:tcBorders>
              <w:top w:val="single" w:sz="4" w:space="0" w:color="auto"/>
              <w:left w:val="single" w:sz="4" w:space="0" w:color="auto"/>
              <w:bottom w:val="single" w:sz="4" w:space="0" w:color="auto"/>
              <w:right w:val="single" w:sz="4" w:space="0" w:color="auto"/>
            </w:tcBorders>
            <w:shd w:val="clear" w:color="auto" w:fill="auto"/>
            <w:hideMark/>
          </w:tcPr>
          <w:p w14:paraId="174FA1CA"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p>
        </w:tc>
        <w:tc>
          <w:tcPr>
            <w:tcW w:w="1623" w:type="dxa"/>
            <w:tcBorders>
              <w:top w:val="single" w:sz="4" w:space="0" w:color="auto"/>
              <w:left w:val="single" w:sz="4" w:space="0" w:color="auto"/>
              <w:bottom w:val="single" w:sz="4" w:space="0" w:color="auto"/>
              <w:right w:val="single" w:sz="4" w:space="0" w:color="auto"/>
            </w:tcBorders>
            <w:shd w:val="clear" w:color="auto" w:fill="auto"/>
            <w:hideMark/>
          </w:tcPr>
          <w:p w14:paraId="64FE8CDC"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[1-30]</w:t>
            </w:r>
          </w:p>
        </w:tc>
        <w:tc>
          <w:tcPr>
            <w:tcW w:w="1323" w:type="dxa"/>
            <w:tcBorders>
              <w:top w:val="single" w:sz="4" w:space="0" w:color="auto"/>
              <w:left w:val="single" w:sz="4" w:space="0" w:color="auto"/>
              <w:bottom w:val="single" w:sz="4" w:space="0" w:color="auto"/>
              <w:right w:val="single" w:sz="4" w:space="0" w:color="auto"/>
            </w:tcBorders>
            <w:shd w:val="clear" w:color="auto" w:fill="auto"/>
            <w:hideMark/>
          </w:tcPr>
          <w:p w14:paraId="146EC2E5"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w:t>
            </w:r>
          </w:p>
        </w:tc>
        <w:tc>
          <w:tcPr>
            <w:tcW w:w="1623" w:type="dxa"/>
            <w:tcBorders>
              <w:top w:val="single" w:sz="4" w:space="0" w:color="auto"/>
              <w:left w:val="single" w:sz="4" w:space="0" w:color="auto"/>
              <w:bottom w:val="single" w:sz="4" w:space="0" w:color="auto"/>
              <w:right w:val="single" w:sz="4" w:space="0" w:color="auto"/>
            </w:tcBorders>
            <w:shd w:val="clear" w:color="auto" w:fill="auto"/>
            <w:hideMark/>
          </w:tcPr>
          <w:p w14:paraId="78377F0A"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[1-30]</w:t>
            </w:r>
          </w:p>
        </w:tc>
      </w:tr>
    </w:tbl>
    <w:p w14:paraId="31E051AA" w14:textId="77777777" w:rsidR="00302BFE" w:rsidRPr="00D45B3D" w:rsidRDefault="00302BFE" w:rsidP="00302BFE">
      <w:pPr>
        <w:spacing w:before="120"/>
        <w:rPr>
          <w:rFonts w:asciiTheme="minorHAnsi" w:eastAsia="Times New Roman" w:hAnsiTheme="minorHAnsi" w:cstheme="minorHAnsi"/>
          <w:b/>
          <w:color w:val="000000"/>
        </w:rPr>
      </w:pPr>
      <w:r w:rsidRPr="00D45B3D">
        <w:rPr>
          <w:rFonts w:asciiTheme="minorHAnsi" w:eastAsia="Times New Roman" w:hAnsiTheme="minorHAnsi" w:cstheme="minorHAnsi"/>
          <w:b/>
          <w:color w:val="000000"/>
        </w:rPr>
        <w:lastRenderedPageBreak/>
        <w:t>6.2 Emissions avoided outside AFOLU (Agriculture, Forestry and Other Land 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984"/>
        <w:gridCol w:w="2126"/>
        <w:gridCol w:w="1985"/>
        <w:gridCol w:w="1984"/>
      </w:tblGrid>
      <w:tr w:rsidR="00302BFE" w:rsidRPr="00D45B3D" w14:paraId="0F29F31E" w14:textId="77777777" w:rsidTr="00243B15">
        <w:tc>
          <w:tcPr>
            <w:tcW w:w="3823" w:type="dxa"/>
            <w:tcBorders>
              <w:top w:val="single" w:sz="4" w:space="0" w:color="auto"/>
              <w:left w:val="single" w:sz="4" w:space="0" w:color="auto"/>
              <w:bottom w:val="single" w:sz="4" w:space="0" w:color="auto"/>
              <w:right w:val="single" w:sz="4" w:space="0" w:color="auto"/>
            </w:tcBorders>
            <w:shd w:val="clear" w:color="auto" w:fill="4472C4"/>
            <w:hideMark/>
          </w:tcPr>
          <w:p w14:paraId="05A9BDD4"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GHG emission type</w:t>
            </w:r>
          </w:p>
        </w:tc>
        <w:tc>
          <w:tcPr>
            <w:tcW w:w="1984" w:type="dxa"/>
            <w:tcBorders>
              <w:top w:val="single" w:sz="4" w:space="0" w:color="auto"/>
              <w:left w:val="single" w:sz="4" w:space="0" w:color="auto"/>
              <w:bottom w:val="single" w:sz="4" w:space="0" w:color="auto"/>
              <w:right w:val="single" w:sz="4" w:space="0" w:color="auto"/>
            </w:tcBorders>
            <w:shd w:val="clear" w:color="auto" w:fill="4472C4"/>
            <w:hideMark/>
          </w:tcPr>
          <w:p w14:paraId="5BE4240A"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Metric tons CO</w:t>
            </w:r>
            <w:r w:rsidRPr="00D45B3D">
              <w:rPr>
                <w:rFonts w:asciiTheme="minorHAnsi" w:eastAsia="Times New Roman" w:hAnsiTheme="minorHAnsi" w:cstheme="minorHAnsi"/>
                <w:b/>
                <w:color w:val="000000"/>
                <w:szCs w:val="20"/>
                <w:vertAlign w:val="subscript"/>
              </w:rPr>
              <w:t>2</w:t>
            </w:r>
            <w:r w:rsidRPr="00D45B3D">
              <w:rPr>
                <w:rFonts w:asciiTheme="minorHAnsi" w:eastAsia="Times New Roman" w:hAnsiTheme="minorHAnsi" w:cstheme="minorHAnsi"/>
                <w:b/>
                <w:color w:val="000000"/>
                <w:szCs w:val="20"/>
              </w:rPr>
              <w:t>-eq (expected at PIF)</w:t>
            </w:r>
          </w:p>
        </w:tc>
        <w:tc>
          <w:tcPr>
            <w:tcW w:w="2126" w:type="dxa"/>
            <w:tcBorders>
              <w:top w:val="single" w:sz="4" w:space="0" w:color="auto"/>
              <w:left w:val="single" w:sz="4" w:space="0" w:color="auto"/>
              <w:bottom w:val="single" w:sz="4" w:space="0" w:color="auto"/>
              <w:right w:val="single" w:sz="4" w:space="0" w:color="auto"/>
            </w:tcBorders>
            <w:shd w:val="clear" w:color="auto" w:fill="4472C4"/>
            <w:hideMark/>
          </w:tcPr>
          <w:p w14:paraId="5A476C0C"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Metric tons CO</w:t>
            </w:r>
            <w:r w:rsidRPr="00D45B3D">
              <w:rPr>
                <w:rFonts w:asciiTheme="minorHAnsi" w:eastAsia="Times New Roman" w:hAnsiTheme="minorHAnsi" w:cstheme="minorHAnsi"/>
                <w:b/>
                <w:color w:val="000000"/>
                <w:szCs w:val="20"/>
                <w:vertAlign w:val="subscript"/>
              </w:rPr>
              <w:t>2</w:t>
            </w:r>
            <w:r w:rsidRPr="00D45B3D">
              <w:rPr>
                <w:rFonts w:asciiTheme="minorHAnsi" w:eastAsia="Times New Roman" w:hAnsiTheme="minorHAnsi" w:cstheme="minorHAnsi"/>
                <w:b/>
                <w:color w:val="000000"/>
                <w:szCs w:val="20"/>
              </w:rPr>
              <w:t>-eq (expected at CEO ER)</w:t>
            </w:r>
          </w:p>
        </w:tc>
        <w:tc>
          <w:tcPr>
            <w:tcW w:w="1985" w:type="dxa"/>
            <w:tcBorders>
              <w:top w:val="single" w:sz="4" w:space="0" w:color="auto"/>
              <w:left w:val="single" w:sz="4" w:space="0" w:color="auto"/>
              <w:bottom w:val="single" w:sz="4" w:space="0" w:color="auto"/>
              <w:right w:val="single" w:sz="4" w:space="0" w:color="auto"/>
            </w:tcBorders>
            <w:shd w:val="clear" w:color="auto" w:fill="4472C4"/>
            <w:hideMark/>
          </w:tcPr>
          <w:p w14:paraId="0108EF17"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Metric tons CO</w:t>
            </w:r>
            <w:r w:rsidRPr="00D45B3D">
              <w:rPr>
                <w:rFonts w:asciiTheme="minorHAnsi" w:eastAsia="Times New Roman" w:hAnsiTheme="minorHAnsi" w:cstheme="minorHAnsi"/>
                <w:b/>
                <w:color w:val="000000"/>
                <w:szCs w:val="20"/>
                <w:vertAlign w:val="subscript"/>
              </w:rPr>
              <w:t>2</w:t>
            </w:r>
            <w:r w:rsidRPr="00D45B3D">
              <w:rPr>
                <w:rFonts w:asciiTheme="minorHAnsi" w:eastAsia="Times New Roman" w:hAnsiTheme="minorHAnsi" w:cstheme="minorHAnsi"/>
                <w:b/>
                <w:color w:val="000000"/>
                <w:szCs w:val="20"/>
              </w:rPr>
              <w:t>-eq (expected at MTR)</w:t>
            </w:r>
          </w:p>
        </w:tc>
        <w:tc>
          <w:tcPr>
            <w:tcW w:w="1984" w:type="dxa"/>
            <w:tcBorders>
              <w:top w:val="single" w:sz="4" w:space="0" w:color="auto"/>
              <w:left w:val="single" w:sz="4" w:space="0" w:color="auto"/>
              <w:bottom w:val="single" w:sz="4" w:space="0" w:color="auto"/>
              <w:right w:val="single" w:sz="4" w:space="0" w:color="auto"/>
            </w:tcBorders>
            <w:shd w:val="clear" w:color="auto" w:fill="4472C4"/>
            <w:hideMark/>
          </w:tcPr>
          <w:p w14:paraId="4EC8F9F4"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Metric tons CO</w:t>
            </w:r>
            <w:r w:rsidRPr="00D45B3D">
              <w:rPr>
                <w:rFonts w:asciiTheme="minorHAnsi" w:eastAsia="Times New Roman" w:hAnsiTheme="minorHAnsi" w:cstheme="minorHAnsi"/>
                <w:b/>
                <w:color w:val="000000"/>
                <w:szCs w:val="20"/>
                <w:vertAlign w:val="subscript"/>
              </w:rPr>
              <w:t>2</w:t>
            </w:r>
            <w:r w:rsidRPr="00D45B3D">
              <w:rPr>
                <w:rFonts w:asciiTheme="minorHAnsi" w:eastAsia="Times New Roman" w:hAnsiTheme="minorHAnsi" w:cstheme="minorHAnsi"/>
                <w:b/>
                <w:color w:val="000000"/>
                <w:szCs w:val="20"/>
              </w:rPr>
              <w:t>-eq (expected at TE)</w:t>
            </w:r>
          </w:p>
        </w:tc>
      </w:tr>
      <w:tr w:rsidR="00302BFE" w:rsidRPr="00D45B3D" w14:paraId="07BF706A" w14:textId="77777777" w:rsidTr="00243B15">
        <w:tc>
          <w:tcPr>
            <w:tcW w:w="3823" w:type="dxa"/>
            <w:tcBorders>
              <w:top w:val="single" w:sz="4" w:space="0" w:color="auto"/>
              <w:left w:val="single" w:sz="4" w:space="0" w:color="auto"/>
              <w:bottom w:val="single" w:sz="4" w:space="0" w:color="auto"/>
              <w:right w:val="single" w:sz="4" w:space="0" w:color="auto"/>
            </w:tcBorders>
            <w:shd w:val="clear" w:color="auto" w:fill="4472C4"/>
            <w:hideMark/>
          </w:tcPr>
          <w:p w14:paraId="57606CEF"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Expected metric tons of CO</w:t>
            </w:r>
            <w:r w:rsidRPr="00D45B3D">
              <w:rPr>
                <w:rFonts w:asciiTheme="minorHAnsi" w:eastAsia="Times New Roman" w:hAnsiTheme="minorHAnsi" w:cstheme="minorHAnsi"/>
                <w:b/>
                <w:color w:val="000000"/>
                <w:szCs w:val="20"/>
                <w:vertAlign w:val="subscript"/>
              </w:rPr>
              <w:t>2</w:t>
            </w:r>
            <w:r w:rsidRPr="00D45B3D">
              <w:rPr>
                <w:rFonts w:asciiTheme="minorHAnsi" w:eastAsia="Times New Roman" w:hAnsiTheme="minorHAnsi" w:cstheme="minorHAnsi"/>
                <w:b/>
                <w:color w:val="000000"/>
                <w:szCs w:val="20"/>
              </w:rPr>
              <w:t>-e (direct)</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93FFF04" w14:textId="77777777" w:rsidR="00302BFE" w:rsidRPr="00D45B3D" w:rsidRDefault="00302BFE" w:rsidP="00243B15">
            <w:pPr>
              <w:jc w:val="right"/>
              <w:rPr>
                <w:rFonts w:asciiTheme="minorHAnsi" w:eastAsia="Times New Roman" w:hAnsiTheme="minorHAnsi" w:cstheme="minorHAnsi"/>
                <w:color w:val="00000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7270F67" w14:textId="77777777" w:rsidR="00302BFE" w:rsidRPr="00D45B3D" w:rsidRDefault="00302BFE" w:rsidP="00243B15">
            <w:pPr>
              <w:jc w:val="right"/>
              <w:rPr>
                <w:rFonts w:asciiTheme="minorHAnsi" w:eastAsia="Times New Roman" w:hAnsiTheme="minorHAnsi" w:cstheme="minorHAnsi"/>
                <w:color w:val="00000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08698D1" w14:textId="77777777" w:rsidR="00302BFE" w:rsidRPr="00D45B3D" w:rsidRDefault="00302BFE" w:rsidP="00243B15">
            <w:pPr>
              <w:jc w:val="right"/>
              <w:rPr>
                <w:rFonts w:asciiTheme="minorHAnsi" w:eastAsia="Times New Roman" w:hAnsiTheme="minorHAnsi" w:cstheme="minorHAnsi"/>
                <w:color w:val="00000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6A15ED2" w14:textId="77777777" w:rsidR="00302BFE" w:rsidRPr="00D45B3D" w:rsidRDefault="00302BFE" w:rsidP="00243B15">
            <w:pPr>
              <w:jc w:val="right"/>
              <w:rPr>
                <w:rFonts w:asciiTheme="minorHAnsi" w:eastAsia="Times New Roman" w:hAnsiTheme="minorHAnsi" w:cstheme="minorHAnsi"/>
                <w:color w:val="000000"/>
                <w:szCs w:val="20"/>
              </w:rPr>
            </w:pPr>
          </w:p>
        </w:tc>
      </w:tr>
      <w:tr w:rsidR="00302BFE" w:rsidRPr="00D45B3D" w14:paraId="2EEC43A3" w14:textId="77777777" w:rsidTr="00243B15">
        <w:tc>
          <w:tcPr>
            <w:tcW w:w="3823" w:type="dxa"/>
            <w:tcBorders>
              <w:top w:val="single" w:sz="4" w:space="0" w:color="auto"/>
              <w:left w:val="single" w:sz="4" w:space="0" w:color="auto"/>
              <w:bottom w:val="single" w:sz="4" w:space="0" w:color="auto"/>
              <w:right w:val="single" w:sz="4" w:space="0" w:color="auto"/>
            </w:tcBorders>
            <w:shd w:val="clear" w:color="auto" w:fill="4472C4"/>
            <w:hideMark/>
          </w:tcPr>
          <w:p w14:paraId="564848FB"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Expected metric tons of CO</w:t>
            </w:r>
            <w:r w:rsidRPr="00D45B3D">
              <w:rPr>
                <w:rFonts w:asciiTheme="minorHAnsi" w:eastAsia="Times New Roman" w:hAnsiTheme="minorHAnsi" w:cstheme="minorHAnsi"/>
                <w:b/>
                <w:color w:val="000000"/>
                <w:szCs w:val="20"/>
                <w:vertAlign w:val="subscript"/>
              </w:rPr>
              <w:t>2</w:t>
            </w:r>
            <w:r w:rsidRPr="00D45B3D">
              <w:rPr>
                <w:rFonts w:asciiTheme="minorHAnsi" w:eastAsia="Times New Roman" w:hAnsiTheme="minorHAnsi" w:cstheme="minorHAnsi"/>
                <w:b/>
                <w:color w:val="000000"/>
                <w:szCs w:val="20"/>
              </w:rPr>
              <w:t>-e (indirect)</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E24A10C" w14:textId="77777777" w:rsidR="00302BFE" w:rsidRPr="00D45B3D" w:rsidRDefault="00302BFE" w:rsidP="00243B15">
            <w:pPr>
              <w:jc w:val="right"/>
              <w:rPr>
                <w:rFonts w:asciiTheme="minorHAnsi" w:eastAsia="Times New Roman" w:hAnsiTheme="minorHAnsi" w:cstheme="minorHAnsi"/>
                <w:color w:val="00000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E43175C" w14:textId="77777777" w:rsidR="00302BFE" w:rsidRPr="00D45B3D" w:rsidRDefault="00302BFE" w:rsidP="00243B15">
            <w:pPr>
              <w:jc w:val="right"/>
              <w:rPr>
                <w:rFonts w:asciiTheme="minorHAnsi" w:eastAsia="Times New Roman" w:hAnsiTheme="minorHAnsi" w:cstheme="minorHAnsi"/>
                <w:color w:val="00000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EE401A1" w14:textId="77777777" w:rsidR="00302BFE" w:rsidRPr="00D45B3D" w:rsidRDefault="00302BFE" w:rsidP="00243B15">
            <w:pPr>
              <w:jc w:val="right"/>
              <w:rPr>
                <w:rFonts w:asciiTheme="minorHAnsi" w:eastAsia="Times New Roman" w:hAnsiTheme="minorHAnsi" w:cstheme="minorHAnsi"/>
                <w:color w:val="00000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C1F7C32" w14:textId="77777777" w:rsidR="00302BFE" w:rsidRPr="00D45B3D" w:rsidRDefault="00302BFE" w:rsidP="00243B15">
            <w:pPr>
              <w:jc w:val="right"/>
              <w:rPr>
                <w:rFonts w:asciiTheme="minorHAnsi" w:eastAsia="Times New Roman" w:hAnsiTheme="minorHAnsi" w:cstheme="minorHAnsi"/>
                <w:color w:val="000000"/>
                <w:szCs w:val="20"/>
              </w:rPr>
            </w:pPr>
          </w:p>
        </w:tc>
      </w:tr>
      <w:tr w:rsidR="00302BFE" w:rsidRPr="00D45B3D" w14:paraId="5FAA59C4" w14:textId="77777777" w:rsidTr="00243B15">
        <w:tc>
          <w:tcPr>
            <w:tcW w:w="3823" w:type="dxa"/>
            <w:tcBorders>
              <w:top w:val="single" w:sz="4" w:space="0" w:color="auto"/>
              <w:left w:val="single" w:sz="4" w:space="0" w:color="auto"/>
              <w:bottom w:val="single" w:sz="4" w:space="0" w:color="auto"/>
              <w:right w:val="single" w:sz="4" w:space="0" w:color="auto"/>
            </w:tcBorders>
            <w:shd w:val="clear" w:color="auto" w:fill="4472C4"/>
            <w:hideMark/>
          </w:tcPr>
          <w:p w14:paraId="38EB83E8"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Anticipated year</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3E301DE5"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[2018-2100]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56F7A006"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[2018-2100]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4C2EB1B"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[2018-2100]</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74C25E58"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[2018-2100]</w:t>
            </w:r>
          </w:p>
        </w:tc>
      </w:tr>
      <w:tr w:rsidR="00302BFE" w:rsidRPr="00D45B3D" w14:paraId="1A9F7CDE" w14:textId="77777777" w:rsidTr="00243B15">
        <w:tc>
          <w:tcPr>
            <w:tcW w:w="3823" w:type="dxa"/>
            <w:tcBorders>
              <w:top w:val="single" w:sz="4" w:space="0" w:color="auto"/>
              <w:left w:val="single" w:sz="4" w:space="0" w:color="auto"/>
              <w:bottom w:val="single" w:sz="4" w:space="0" w:color="auto"/>
              <w:right w:val="single" w:sz="4" w:space="0" w:color="auto"/>
            </w:tcBorders>
            <w:shd w:val="clear" w:color="auto" w:fill="4472C4"/>
            <w:hideMark/>
          </w:tcPr>
          <w:p w14:paraId="2542A187"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Duration of accounting</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083B6C0C"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[1-20]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6AACBE15"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[1-20]</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0050E8A"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[1-20]</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5D0B6E9E"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[1-20]</w:t>
            </w:r>
          </w:p>
        </w:tc>
      </w:tr>
    </w:tbl>
    <w:p w14:paraId="73860D56" w14:textId="77777777" w:rsidR="00302BFE" w:rsidRPr="00D45B3D" w:rsidRDefault="00302BFE" w:rsidP="00302BFE">
      <w:pPr>
        <w:spacing w:before="120"/>
        <w:rPr>
          <w:rFonts w:asciiTheme="minorHAnsi" w:eastAsia="Times New Roman" w:hAnsiTheme="minorHAnsi" w:cstheme="minorHAnsi"/>
          <w:b/>
          <w:color w:val="000000"/>
        </w:rPr>
      </w:pPr>
      <w:r w:rsidRPr="00D45B3D">
        <w:rPr>
          <w:rFonts w:asciiTheme="minorHAnsi" w:eastAsia="Times New Roman" w:hAnsiTheme="minorHAnsi" w:cstheme="minorHAnsi"/>
          <w:b/>
          <w:color w:val="000000"/>
        </w:rPr>
        <w:t>6.3 Energy saved (megajoules)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304"/>
        <w:gridCol w:w="2304"/>
        <w:gridCol w:w="2304"/>
      </w:tblGrid>
      <w:tr w:rsidR="00302BFE" w:rsidRPr="00D45B3D" w14:paraId="63EA2637" w14:textId="77777777" w:rsidTr="00243B15">
        <w:tc>
          <w:tcPr>
            <w:tcW w:w="2304" w:type="dxa"/>
            <w:tcBorders>
              <w:top w:val="single" w:sz="4" w:space="0" w:color="auto"/>
              <w:left w:val="single" w:sz="4" w:space="0" w:color="auto"/>
              <w:bottom w:val="single" w:sz="4" w:space="0" w:color="auto"/>
              <w:right w:val="single" w:sz="4" w:space="0" w:color="auto"/>
            </w:tcBorders>
            <w:shd w:val="clear" w:color="auto" w:fill="4472C4"/>
            <w:hideMark/>
          </w:tcPr>
          <w:p w14:paraId="78BAA163"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MJ (expected at PIF)</w:t>
            </w:r>
          </w:p>
        </w:tc>
        <w:tc>
          <w:tcPr>
            <w:tcW w:w="2304" w:type="dxa"/>
            <w:tcBorders>
              <w:top w:val="single" w:sz="4" w:space="0" w:color="auto"/>
              <w:left w:val="single" w:sz="4" w:space="0" w:color="auto"/>
              <w:bottom w:val="single" w:sz="4" w:space="0" w:color="auto"/>
              <w:right w:val="single" w:sz="4" w:space="0" w:color="auto"/>
            </w:tcBorders>
            <w:shd w:val="clear" w:color="auto" w:fill="4472C4"/>
            <w:hideMark/>
          </w:tcPr>
          <w:p w14:paraId="2ACE4AA0"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MJ (expected at CEO ER)</w:t>
            </w:r>
          </w:p>
        </w:tc>
        <w:tc>
          <w:tcPr>
            <w:tcW w:w="2304" w:type="dxa"/>
            <w:tcBorders>
              <w:top w:val="single" w:sz="4" w:space="0" w:color="auto"/>
              <w:left w:val="single" w:sz="4" w:space="0" w:color="auto"/>
              <w:bottom w:val="single" w:sz="4" w:space="0" w:color="auto"/>
              <w:right w:val="single" w:sz="4" w:space="0" w:color="auto"/>
            </w:tcBorders>
            <w:shd w:val="clear" w:color="auto" w:fill="4472C4"/>
            <w:hideMark/>
          </w:tcPr>
          <w:p w14:paraId="4711B91C"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MJ (achieved at MTR)</w:t>
            </w:r>
          </w:p>
        </w:tc>
        <w:tc>
          <w:tcPr>
            <w:tcW w:w="2304" w:type="dxa"/>
            <w:tcBorders>
              <w:top w:val="single" w:sz="4" w:space="0" w:color="auto"/>
              <w:left w:val="single" w:sz="4" w:space="0" w:color="auto"/>
              <w:bottom w:val="single" w:sz="4" w:space="0" w:color="auto"/>
              <w:right w:val="single" w:sz="4" w:space="0" w:color="auto"/>
            </w:tcBorders>
            <w:shd w:val="clear" w:color="auto" w:fill="4472C4"/>
            <w:hideMark/>
          </w:tcPr>
          <w:p w14:paraId="0DF750F9"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MJ (achieved at TE)</w:t>
            </w:r>
          </w:p>
        </w:tc>
      </w:tr>
      <w:tr w:rsidR="00302BFE" w:rsidRPr="00D45B3D" w14:paraId="009DB284" w14:textId="77777777" w:rsidTr="00243B15">
        <w:tc>
          <w:tcPr>
            <w:tcW w:w="2304" w:type="dxa"/>
            <w:tcBorders>
              <w:top w:val="single" w:sz="4" w:space="0" w:color="auto"/>
              <w:left w:val="single" w:sz="4" w:space="0" w:color="auto"/>
              <w:bottom w:val="single" w:sz="4" w:space="0" w:color="auto"/>
              <w:right w:val="single" w:sz="4" w:space="0" w:color="auto"/>
            </w:tcBorders>
            <w:shd w:val="clear" w:color="auto" w:fill="auto"/>
          </w:tcPr>
          <w:p w14:paraId="28C8E9F1" w14:textId="77777777" w:rsidR="00302BFE" w:rsidRPr="00D45B3D" w:rsidRDefault="00302BFE" w:rsidP="00243B15">
            <w:pPr>
              <w:rPr>
                <w:rFonts w:asciiTheme="minorHAnsi" w:eastAsia="Times New Roman" w:hAnsiTheme="minorHAnsi" w:cstheme="minorHAnsi"/>
                <w:color w:val="000000"/>
                <w:sz w:val="22"/>
                <w:szCs w:val="22"/>
              </w:rPr>
            </w:pPr>
          </w:p>
        </w:tc>
        <w:tc>
          <w:tcPr>
            <w:tcW w:w="2304" w:type="dxa"/>
            <w:tcBorders>
              <w:top w:val="single" w:sz="4" w:space="0" w:color="auto"/>
              <w:left w:val="single" w:sz="4" w:space="0" w:color="auto"/>
              <w:bottom w:val="single" w:sz="4" w:space="0" w:color="auto"/>
              <w:right w:val="single" w:sz="4" w:space="0" w:color="auto"/>
            </w:tcBorders>
            <w:shd w:val="clear" w:color="auto" w:fill="auto"/>
          </w:tcPr>
          <w:p w14:paraId="3EC393D9" w14:textId="77777777" w:rsidR="00302BFE" w:rsidRPr="00D45B3D" w:rsidRDefault="00302BFE" w:rsidP="00243B15">
            <w:pPr>
              <w:rPr>
                <w:rFonts w:asciiTheme="minorHAnsi" w:eastAsia="Times New Roman" w:hAnsiTheme="minorHAnsi" w:cstheme="minorHAnsi"/>
                <w:color w:val="000000"/>
                <w:sz w:val="22"/>
                <w:szCs w:val="22"/>
              </w:rPr>
            </w:pPr>
          </w:p>
        </w:tc>
        <w:tc>
          <w:tcPr>
            <w:tcW w:w="2304" w:type="dxa"/>
            <w:tcBorders>
              <w:top w:val="single" w:sz="4" w:space="0" w:color="auto"/>
              <w:left w:val="single" w:sz="4" w:space="0" w:color="auto"/>
              <w:bottom w:val="single" w:sz="4" w:space="0" w:color="auto"/>
              <w:right w:val="single" w:sz="4" w:space="0" w:color="auto"/>
            </w:tcBorders>
            <w:shd w:val="clear" w:color="auto" w:fill="auto"/>
          </w:tcPr>
          <w:p w14:paraId="700BC8BE" w14:textId="77777777" w:rsidR="00302BFE" w:rsidRPr="00D45B3D" w:rsidRDefault="00302BFE" w:rsidP="00243B15">
            <w:pPr>
              <w:rPr>
                <w:rFonts w:asciiTheme="minorHAnsi" w:eastAsia="Times New Roman" w:hAnsiTheme="minorHAnsi" w:cstheme="minorHAnsi"/>
                <w:color w:val="000000"/>
                <w:sz w:val="22"/>
                <w:szCs w:val="22"/>
              </w:rPr>
            </w:pPr>
          </w:p>
        </w:tc>
        <w:tc>
          <w:tcPr>
            <w:tcW w:w="2304" w:type="dxa"/>
            <w:tcBorders>
              <w:top w:val="single" w:sz="4" w:space="0" w:color="auto"/>
              <w:left w:val="single" w:sz="4" w:space="0" w:color="auto"/>
              <w:bottom w:val="single" w:sz="4" w:space="0" w:color="auto"/>
              <w:right w:val="single" w:sz="4" w:space="0" w:color="auto"/>
            </w:tcBorders>
            <w:shd w:val="clear" w:color="auto" w:fill="auto"/>
          </w:tcPr>
          <w:p w14:paraId="0F2103DB" w14:textId="77777777" w:rsidR="00302BFE" w:rsidRPr="00D45B3D" w:rsidRDefault="00302BFE" w:rsidP="00243B15">
            <w:pPr>
              <w:rPr>
                <w:rFonts w:asciiTheme="minorHAnsi" w:eastAsia="Times New Roman" w:hAnsiTheme="minorHAnsi" w:cstheme="minorHAnsi"/>
                <w:color w:val="000000"/>
                <w:sz w:val="22"/>
                <w:szCs w:val="22"/>
              </w:rPr>
            </w:pPr>
          </w:p>
        </w:tc>
      </w:tr>
    </w:tbl>
    <w:p w14:paraId="3CD63025" w14:textId="77777777" w:rsidR="00302BFE" w:rsidRPr="00D45B3D" w:rsidRDefault="00302BFE" w:rsidP="00302BFE">
      <w:pPr>
        <w:spacing w:after="0"/>
        <w:rPr>
          <w:rFonts w:asciiTheme="minorHAnsi" w:eastAsia="Times New Roman" w:hAnsiTheme="minorHAnsi" w:cstheme="minorHAnsi"/>
          <w:color w:val="00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304"/>
        <w:gridCol w:w="2304"/>
        <w:gridCol w:w="2304"/>
        <w:gridCol w:w="2304"/>
      </w:tblGrid>
      <w:tr w:rsidR="00302BFE" w:rsidRPr="00D45B3D" w14:paraId="1CE6A34E" w14:textId="77777777" w:rsidTr="00243B15">
        <w:trPr>
          <w:trHeight w:val="311"/>
        </w:trPr>
        <w:tc>
          <w:tcPr>
            <w:tcW w:w="2304" w:type="dxa"/>
            <w:tcBorders>
              <w:top w:val="single" w:sz="4" w:space="0" w:color="auto"/>
              <w:left w:val="single" w:sz="4" w:space="0" w:color="auto"/>
              <w:bottom w:val="single" w:sz="4" w:space="0" w:color="auto"/>
              <w:right w:val="single" w:sz="4" w:space="0" w:color="auto"/>
            </w:tcBorders>
            <w:shd w:val="clear" w:color="auto" w:fill="4472C4"/>
            <w:hideMark/>
          </w:tcPr>
          <w:p w14:paraId="0001CC25"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Type of Intervention</w:t>
            </w:r>
          </w:p>
        </w:tc>
        <w:tc>
          <w:tcPr>
            <w:tcW w:w="2304" w:type="dxa"/>
            <w:tcBorders>
              <w:top w:val="single" w:sz="4" w:space="0" w:color="auto"/>
              <w:left w:val="single" w:sz="4" w:space="0" w:color="auto"/>
              <w:bottom w:val="single" w:sz="4" w:space="0" w:color="auto"/>
              <w:right w:val="single" w:sz="4" w:space="0" w:color="auto"/>
            </w:tcBorders>
            <w:shd w:val="clear" w:color="auto" w:fill="4472C4"/>
            <w:hideMark/>
          </w:tcPr>
          <w:p w14:paraId="60015811"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MJ (expected at PIF)</w:t>
            </w:r>
          </w:p>
        </w:tc>
        <w:tc>
          <w:tcPr>
            <w:tcW w:w="2304" w:type="dxa"/>
            <w:tcBorders>
              <w:top w:val="single" w:sz="4" w:space="0" w:color="auto"/>
              <w:left w:val="single" w:sz="4" w:space="0" w:color="auto"/>
              <w:bottom w:val="single" w:sz="4" w:space="0" w:color="auto"/>
              <w:right w:val="single" w:sz="4" w:space="0" w:color="auto"/>
            </w:tcBorders>
            <w:shd w:val="clear" w:color="auto" w:fill="4472C4"/>
            <w:hideMark/>
          </w:tcPr>
          <w:p w14:paraId="2E9C7FF6"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MJ (expected at CEO ER)</w:t>
            </w:r>
          </w:p>
        </w:tc>
        <w:tc>
          <w:tcPr>
            <w:tcW w:w="2304" w:type="dxa"/>
            <w:tcBorders>
              <w:top w:val="single" w:sz="4" w:space="0" w:color="auto"/>
              <w:left w:val="single" w:sz="4" w:space="0" w:color="auto"/>
              <w:bottom w:val="single" w:sz="4" w:space="0" w:color="auto"/>
              <w:right w:val="single" w:sz="4" w:space="0" w:color="auto"/>
            </w:tcBorders>
            <w:shd w:val="clear" w:color="auto" w:fill="4472C4"/>
            <w:hideMark/>
          </w:tcPr>
          <w:p w14:paraId="44E5C467"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MJ (achieved at MTR)</w:t>
            </w:r>
          </w:p>
        </w:tc>
        <w:tc>
          <w:tcPr>
            <w:tcW w:w="2304" w:type="dxa"/>
            <w:tcBorders>
              <w:top w:val="single" w:sz="4" w:space="0" w:color="auto"/>
              <w:left w:val="single" w:sz="4" w:space="0" w:color="auto"/>
              <w:bottom w:val="single" w:sz="4" w:space="0" w:color="auto"/>
              <w:right w:val="single" w:sz="4" w:space="0" w:color="auto"/>
            </w:tcBorders>
            <w:shd w:val="clear" w:color="auto" w:fill="4472C4"/>
            <w:hideMark/>
          </w:tcPr>
          <w:p w14:paraId="3DAC7A8F"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MJ (achieved at TE)</w:t>
            </w:r>
          </w:p>
        </w:tc>
      </w:tr>
      <w:tr w:rsidR="00302BFE" w:rsidRPr="00D45B3D" w14:paraId="488F4054" w14:textId="77777777" w:rsidTr="00243B15">
        <w:tc>
          <w:tcPr>
            <w:tcW w:w="2304" w:type="dxa"/>
            <w:tcBorders>
              <w:top w:val="single" w:sz="4" w:space="0" w:color="auto"/>
              <w:left w:val="single" w:sz="4" w:space="0" w:color="auto"/>
              <w:bottom w:val="single" w:sz="4" w:space="0" w:color="auto"/>
              <w:right w:val="single" w:sz="4" w:space="0" w:color="auto"/>
            </w:tcBorders>
            <w:shd w:val="clear" w:color="auto" w:fill="auto"/>
          </w:tcPr>
          <w:p w14:paraId="5713BBA1" w14:textId="77777777" w:rsidR="00302BFE" w:rsidRPr="00D45B3D" w:rsidRDefault="00302BFE" w:rsidP="00243B15">
            <w:pPr>
              <w:rPr>
                <w:rFonts w:asciiTheme="minorHAnsi" w:eastAsia="Times New Roman" w:hAnsiTheme="minorHAnsi" w:cstheme="minorHAnsi"/>
                <w:color w:val="000000"/>
                <w:szCs w:val="20"/>
              </w:rPr>
            </w:pPr>
            <w:proofErr w:type="spellStart"/>
            <w:r w:rsidRPr="00D45B3D">
              <w:rPr>
                <w:rFonts w:asciiTheme="minorHAnsi" w:eastAsia="Times New Roman" w:hAnsiTheme="minorHAnsi" w:cstheme="minorHAnsi"/>
                <w:color w:val="000000"/>
                <w:szCs w:val="20"/>
              </w:rPr>
              <w:t>n.a.</w:t>
            </w:r>
            <w:proofErr w:type="spellEnd"/>
          </w:p>
        </w:tc>
        <w:tc>
          <w:tcPr>
            <w:tcW w:w="2304" w:type="dxa"/>
            <w:tcBorders>
              <w:top w:val="single" w:sz="4" w:space="0" w:color="auto"/>
              <w:left w:val="single" w:sz="4" w:space="0" w:color="auto"/>
              <w:bottom w:val="single" w:sz="4" w:space="0" w:color="auto"/>
              <w:right w:val="single" w:sz="4" w:space="0" w:color="auto"/>
            </w:tcBorders>
            <w:shd w:val="clear" w:color="auto" w:fill="auto"/>
          </w:tcPr>
          <w:p w14:paraId="2B11F697" w14:textId="77777777" w:rsidR="00302BFE" w:rsidRPr="00D45B3D" w:rsidRDefault="00302BFE" w:rsidP="00243B15">
            <w:pPr>
              <w:rPr>
                <w:rFonts w:asciiTheme="minorHAnsi" w:eastAsia="Times New Roman" w:hAnsiTheme="minorHAnsi" w:cstheme="minorHAnsi"/>
                <w:color w:val="000000"/>
                <w:szCs w:val="20"/>
              </w:rPr>
            </w:pPr>
          </w:p>
        </w:tc>
        <w:tc>
          <w:tcPr>
            <w:tcW w:w="2304" w:type="dxa"/>
            <w:tcBorders>
              <w:top w:val="single" w:sz="4" w:space="0" w:color="auto"/>
              <w:left w:val="single" w:sz="4" w:space="0" w:color="auto"/>
              <w:bottom w:val="single" w:sz="4" w:space="0" w:color="auto"/>
              <w:right w:val="single" w:sz="4" w:space="0" w:color="auto"/>
            </w:tcBorders>
            <w:shd w:val="clear" w:color="auto" w:fill="auto"/>
          </w:tcPr>
          <w:p w14:paraId="6B2DD64B" w14:textId="77777777" w:rsidR="00302BFE" w:rsidRPr="00D45B3D" w:rsidRDefault="00302BFE" w:rsidP="00243B15">
            <w:pPr>
              <w:rPr>
                <w:rFonts w:asciiTheme="minorHAnsi" w:eastAsia="Times New Roman" w:hAnsiTheme="minorHAnsi" w:cstheme="minorHAnsi"/>
                <w:color w:val="000000"/>
                <w:szCs w:val="20"/>
              </w:rPr>
            </w:pPr>
          </w:p>
        </w:tc>
        <w:tc>
          <w:tcPr>
            <w:tcW w:w="2304" w:type="dxa"/>
            <w:tcBorders>
              <w:top w:val="single" w:sz="4" w:space="0" w:color="auto"/>
              <w:left w:val="single" w:sz="4" w:space="0" w:color="auto"/>
              <w:bottom w:val="single" w:sz="4" w:space="0" w:color="auto"/>
              <w:right w:val="single" w:sz="4" w:space="0" w:color="auto"/>
            </w:tcBorders>
            <w:shd w:val="clear" w:color="auto" w:fill="auto"/>
          </w:tcPr>
          <w:p w14:paraId="5882FA79" w14:textId="77777777" w:rsidR="00302BFE" w:rsidRPr="00D45B3D" w:rsidRDefault="00302BFE" w:rsidP="00243B15">
            <w:pPr>
              <w:rPr>
                <w:rFonts w:asciiTheme="minorHAnsi" w:eastAsia="Times New Roman" w:hAnsiTheme="minorHAnsi" w:cstheme="minorHAnsi"/>
                <w:color w:val="000000"/>
                <w:szCs w:val="20"/>
              </w:rPr>
            </w:pPr>
          </w:p>
        </w:tc>
        <w:tc>
          <w:tcPr>
            <w:tcW w:w="2304" w:type="dxa"/>
            <w:tcBorders>
              <w:top w:val="single" w:sz="4" w:space="0" w:color="auto"/>
              <w:left w:val="single" w:sz="4" w:space="0" w:color="auto"/>
              <w:bottom w:val="single" w:sz="4" w:space="0" w:color="auto"/>
              <w:right w:val="single" w:sz="4" w:space="0" w:color="auto"/>
            </w:tcBorders>
            <w:shd w:val="clear" w:color="auto" w:fill="auto"/>
          </w:tcPr>
          <w:p w14:paraId="33CFDE48" w14:textId="77777777" w:rsidR="00302BFE" w:rsidRPr="00D45B3D" w:rsidRDefault="00302BFE" w:rsidP="00243B15">
            <w:pPr>
              <w:rPr>
                <w:rFonts w:asciiTheme="minorHAnsi" w:eastAsia="Times New Roman" w:hAnsiTheme="minorHAnsi" w:cstheme="minorHAnsi"/>
                <w:color w:val="000000"/>
                <w:szCs w:val="20"/>
              </w:rPr>
            </w:pPr>
          </w:p>
        </w:tc>
      </w:tr>
    </w:tbl>
    <w:p w14:paraId="3AA3BDFE" w14:textId="77777777" w:rsidR="00302BFE" w:rsidRPr="00D45B3D" w:rsidRDefault="00302BFE" w:rsidP="00302BFE">
      <w:pPr>
        <w:spacing w:before="120"/>
        <w:rPr>
          <w:rFonts w:asciiTheme="minorHAnsi" w:eastAsia="Times New Roman" w:hAnsiTheme="minorHAnsi" w:cstheme="minorHAnsi"/>
          <w:b/>
          <w:color w:val="000000"/>
        </w:rPr>
      </w:pPr>
      <w:r w:rsidRPr="00D45B3D">
        <w:rPr>
          <w:rFonts w:asciiTheme="minorHAnsi" w:eastAsia="Times New Roman" w:hAnsiTheme="minorHAnsi" w:cstheme="minorHAnsi"/>
          <w:b/>
          <w:color w:val="000000"/>
        </w:rPr>
        <w:t xml:space="preserve">6.4 Increase in installed renewable energy capacity per technology (megawatts).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304"/>
        <w:gridCol w:w="2304"/>
        <w:gridCol w:w="2304"/>
        <w:gridCol w:w="2304"/>
      </w:tblGrid>
      <w:tr w:rsidR="00302BFE" w:rsidRPr="00D45B3D" w14:paraId="65ADA106" w14:textId="77777777" w:rsidTr="00243B15">
        <w:tc>
          <w:tcPr>
            <w:tcW w:w="2304" w:type="dxa"/>
            <w:tcBorders>
              <w:top w:val="single" w:sz="4" w:space="0" w:color="auto"/>
              <w:left w:val="single" w:sz="4" w:space="0" w:color="auto"/>
              <w:bottom w:val="single" w:sz="4" w:space="0" w:color="auto"/>
              <w:right w:val="single" w:sz="4" w:space="0" w:color="auto"/>
            </w:tcBorders>
            <w:shd w:val="clear" w:color="auto" w:fill="4472C4"/>
            <w:hideMark/>
          </w:tcPr>
          <w:p w14:paraId="36BC8D32"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Type of Renewable Energy</w:t>
            </w:r>
          </w:p>
        </w:tc>
        <w:tc>
          <w:tcPr>
            <w:tcW w:w="2304" w:type="dxa"/>
            <w:tcBorders>
              <w:top w:val="single" w:sz="4" w:space="0" w:color="auto"/>
              <w:left w:val="single" w:sz="4" w:space="0" w:color="auto"/>
              <w:bottom w:val="single" w:sz="4" w:space="0" w:color="auto"/>
              <w:right w:val="single" w:sz="4" w:space="0" w:color="auto"/>
            </w:tcBorders>
            <w:shd w:val="clear" w:color="auto" w:fill="4472C4"/>
            <w:hideMark/>
          </w:tcPr>
          <w:p w14:paraId="7A817B6C"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Capacity (MW; expected at PIF)</w:t>
            </w:r>
          </w:p>
        </w:tc>
        <w:tc>
          <w:tcPr>
            <w:tcW w:w="2304" w:type="dxa"/>
            <w:tcBorders>
              <w:top w:val="single" w:sz="4" w:space="0" w:color="auto"/>
              <w:left w:val="single" w:sz="4" w:space="0" w:color="auto"/>
              <w:bottom w:val="single" w:sz="4" w:space="0" w:color="auto"/>
              <w:right w:val="single" w:sz="4" w:space="0" w:color="auto"/>
            </w:tcBorders>
            <w:shd w:val="clear" w:color="auto" w:fill="4472C4"/>
            <w:hideMark/>
          </w:tcPr>
          <w:p w14:paraId="5468CA48"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Capacity (MW; expected at CEO ER)</w:t>
            </w:r>
          </w:p>
        </w:tc>
        <w:tc>
          <w:tcPr>
            <w:tcW w:w="2304" w:type="dxa"/>
            <w:tcBorders>
              <w:top w:val="single" w:sz="4" w:space="0" w:color="auto"/>
              <w:left w:val="single" w:sz="4" w:space="0" w:color="auto"/>
              <w:bottom w:val="single" w:sz="4" w:space="0" w:color="auto"/>
              <w:right w:val="single" w:sz="4" w:space="0" w:color="auto"/>
            </w:tcBorders>
            <w:shd w:val="clear" w:color="auto" w:fill="4472C4"/>
            <w:hideMark/>
          </w:tcPr>
          <w:p w14:paraId="5325034C"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Capacity (MW; achieved at MTR)</w:t>
            </w:r>
          </w:p>
        </w:tc>
        <w:tc>
          <w:tcPr>
            <w:tcW w:w="2304" w:type="dxa"/>
            <w:tcBorders>
              <w:top w:val="single" w:sz="4" w:space="0" w:color="auto"/>
              <w:left w:val="single" w:sz="4" w:space="0" w:color="auto"/>
              <w:bottom w:val="single" w:sz="4" w:space="0" w:color="auto"/>
              <w:right w:val="single" w:sz="4" w:space="0" w:color="auto"/>
            </w:tcBorders>
            <w:shd w:val="clear" w:color="auto" w:fill="4472C4"/>
            <w:hideMark/>
          </w:tcPr>
          <w:p w14:paraId="4DFC5DF7"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Capacity (MW; achieved at TE)</w:t>
            </w:r>
          </w:p>
        </w:tc>
      </w:tr>
      <w:tr w:rsidR="00302BFE" w:rsidRPr="00D45B3D" w14:paraId="7EF96112" w14:textId="77777777" w:rsidTr="00243B15">
        <w:tc>
          <w:tcPr>
            <w:tcW w:w="2304" w:type="dxa"/>
            <w:tcBorders>
              <w:top w:val="single" w:sz="4" w:space="0" w:color="auto"/>
              <w:left w:val="single" w:sz="4" w:space="0" w:color="auto"/>
              <w:bottom w:val="single" w:sz="4" w:space="0" w:color="auto"/>
              <w:right w:val="single" w:sz="4" w:space="0" w:color="auto"/>
            </w:tcBorders>
            <w:shd w:val="clear" w:color="auto" w:fill="auto"/>
            <w:hideMark/>
          </w:tcPr>
          <w:p w14:paraId="51074A48" w14:textId="77777777" w:rsidR="00302BFE" w:rsidRPr="00D45B3D" w:rsidRDefault="00302BFE" w:rsidP="00243B15">
            <w:pPr>
              <w:rPr>
                <w:rFonts w:asciiTheme="minorHAnsi" w:eastAsia="Times New Roman" w:hAnsiTheme="minorHAnsi" w:cstheme="minorHAnsi"/>
                <w:color w:val="000000"/>
                <w:szCs w:val="20"/>
              </w:rPr>
            </w:pPr>
            <w:proofErr w:type="spellStart"/>
            <w:r w:rsidRPr="00D45B3D">
              <w:rPr>
                <w:rFonts w:asciiTheme="minorHAnsi" w:eastAsia="Times New Roman" w:hAnsiTheme="minorHAnsi" w:cstheme="minorHAnsi"/>
                <w:color w:val="000000"/>
                <w:szCs w:val="20"/>
              </w:rPr>
              <w:t>n.a.</w:t>
            </w:r>
            <w:proofErr w:type="spellEnd"/>
          </w:p>
        </w:tc>
        <w:tc>
          <w:tcPr>
            <w:tcW w:w="2304" w:type="dxa"/>
            <w:tcBorders>
              <w:top w:val="single" w:sz="4" w:space="0" w:color="auto"/>
              <w:left w:val="single" w:sz="4" w:space="0" w:color="auto"/>
              <w:bottom w:val="single" w:sz="4" w:space="0" w:color="auto"/>
              <w:right w:val="single" w:sz="4" w:space="0" w:color="auto"/>
            </w:tcBorders>
            <w:shd w:val="clear" w:color="auto" w:fill="auto"/>
          </w:tcPr>
          <w:p w14:paraId="1FB9839A" w14:textId="77777777" w:rsidR="00302BFE" w:rsidRPr="00D45B3D" w:rsidRDefault="00302BFE" w:rsidP="00243B15">
            <w:pPr>
              <w:rPr>
                <w:rFonts w:asciiTheme="minorHAnsi" w:eastAsia="Times New Roman" w:hAnsiTheme="minorHAnsi" w:cstheme="minorHAnsi"/>
                <w:color w:val="000000"/>
                <w:szCs w:val="20"/>
              </w:rPr>
            </w:pPr>
          </w:p>
        </w:tc>
        <w:tc>
          <w:tcPr>
            <w:tcW w:w="2304" w:type="dxa"/>
            <w:tcBorders>
              <w:top w:val="single" w:sz="4" w:space="0" w:color="auto"/>
              <w:left w:val="single" w:sz="4" w:space="0" w:color="auto"/>
              <w:bottom w:val="single" w:sz="4" w:space="0" w:color="auto"/>
              <w:right w:val="single" w:sz="4" w:space="0" w:color="auto"/>
            </w:tcBorders>
            <w:shd w:val="clear" w:color="auto" w:fill="auto"/>
          </w:tcPr>
          <w:p w14:paraId="2AFA5D73" w14:textId="77777777" w:rsidR="00302BFE" w:rsidRPr="00D45B3D" w:rsidRDefault="00302BFE" w:rsidP="00243B15">
            <w:pPr>
              <w:rPr>
                <w:rFonts w:asciiTheme="minorHAnsi" w:eastAsia="Times New Roman" w:hAnsiTheme="minorHAnsi" w:cstheme="minorHAnsi"/>
                <w:color w:val="000000"/>
                <w:szCs w:val="20"/>
              </w:rPr>
            </w:pPr>
          </w:p>
        </w:tc>
        <w:tc>
          <w:tcPr>
            <w:tcW w:w="2304" w:type="dxa"/>
            <w:tcBorders>
              <w:top w:val="single" w:sz="4" w:space="0" w:color="auto"/>
              <w:left w:val="single" w:sz="4" w:space="0" w:color="auto"/>
              <w:bottom w:val="single" w:sz="4" w:space="0" w:color="auto"/>
              <w:right w:val="single" w:sz="4" w:space="0" w:color="auto"/>
            </w:tcBorders>
            <w:shd w:val="clear" w:color="auto" w:fill="auto"/>
          </w:tcPr>
          <w:p w14:paraId="61DFC896" w14:textId="77777777" w:rsidR="00302BFE" w:rsidRPr="00D45B3D" w:rsidRDefault="00302BFE" w:rsidP="00243B15">
            <w:pPr>
              <w:rPr>
                <w:rFonts w:asciiTheme="minorHAnsi" w:eastAsia="Times New Roman" w:hAnsiTheme="minorHAnsi" w:cstheme="minorHAnsi"/>
                <w:color w:val="000000"/>
                <w:szCs w:val="20"/>
              </w:rPr>
            </w:pPr>
          </w:p>
        </w:tc>
        <w:tc>
          <w:tcPr>
            <w:tcW w:w="2304" w:type="dxa"/>
            <w:tcBorders>
              <w:top w:val="single" w:sz="4" w:space="0" w:color="auto"/>
              <w:left w:val="single" w:sz="4" w:space="0" w:color="auto"/>
              <w:bottom w:val="single" w:sz="4" w:space="0" w:color="auto"/>
              <w:right w:val="single" w:sz="4" w:space="0" w:color="auto"/>
            </w:tcBorders>
            <w:shd w:val="clear" w:color="auto" w:fill="auto"/>
          </w:tcPr>
          <w:p w14:paraId="611F0B17" w14:textId="77777777" w:rsidR="00302BFE" w:rsidRPr="00D45B3D" w:rsidRDefault="00302BFE" w:rsidP="00243B15">
            <w:pPr>
              <w:rPr>
                <w:rFonts w:asciiTheme="minorHAnsi" w:eastAsia="Times New Roman" w:hAnsiTheme="minorHAnsi" w:cstheme="minorHAnsi"/>
                <w:color w:val="000000"/>
                <w:szCs w:val="20"/>
              </w:rPr>
            </w:pPr>
          </w:p>
        </w:tc>
      </w:tr>
    </w:tbl>
    <w:p w14:paraId="400DE913" w14:textId="77777777" w:rsidR="00302BFE" w:rsidRPr="00D45B3D" w:rsidRDefault="00302BFE" w:rsidP="00302BFE">
      <w:pPr>
        <w:spacing w:before="120" w:after="120"/>
        <w:rPr>
          <w:rFonts w:asciiTheme="minorHAnsi" w:eastAsia="Times New Roman" w:hAnsiTheme="minorHAnsi" w:cstheme="minorHAnsi"/>
          <w:b/>
          <w:caps/>
          <w:color w:val="000000"/>
          <w:szCs w:val="20"/>
        </w:rPr>
      </w:pPr>
      <w:bookmarkStart w:id="52" w:name="_Toc7991608"/>
      <w:r w:rsidRPr="00D45B3D">
        <w:rPr>
          <w:rFonts w:asciiTheme="minorHAnsi" w:eastAsia="Times New Roman" w:hAnsiTheme="minorHAnsi" w:cstheme="minorHAnsi"/>
          <w:b/>
          <w:caps/>
          <w:color w:val="000000"/>
          <w:szCs w:val="20"/>
        </w:rPr>
        <w:t>Core Indicator 11: Number of direct beneficiaries disaggregated by gender as co-benefit of GEF investment</w:t>
      </w:r>
      <w:bookmarkEnd w:id="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260"/>
        <w:gridCol w:w="2977"/>
      </w:tblGrid>
      <w:tr w:rsidR="00302BFE" w:rsidRPr="00D45B3D" w14:paraId="55B7AFC0" w14:textId="77777777" w:rsidTr="00243B15">
        <w:tc>
          <w:tcPr>
            <w:tcW w:w="2943" w:type="dxa"/>
            <w:tcBorders>
              <w:top w:val="single" w:sz="4" w:space="0" w:color="auto"/>
              <w:left w:val="single" w:sz="4" w:space="0" w:color="auto"/>
              <w:bottom w:val="single" w:sz="4" w:space="0" w:color="auto"/>
              <w:right w:val="single" w:sz="4" w:space="0" w:color="auto"/>
            </w:tcBorders>
            <w:shd w:val="clear" w:color="auto" w:fill="4472C4"/>
            <w:hideMark/>
          </w:tcPr>
          <w:p w14:paraId="70B3495A"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number (expected at PIF)</w:t>
            </w:r>
          </w:p>
        </w:tc>
        <w:tc>
          <w:tcPr>
            <w:tcW w:w="3544" w:type="dxa"/>
            <w:tcBorders>
              <w:top w:val="single" w:sz="4" w:space="0" w:color="auto"/>
              <w:left w:val="single" w:sz="4" w:space="0" w:color="auto"/>
              <w:bottom w:val="single" w:sz="4" w:space="0" w:color="auto"/>
              <w:right w:val="single" w:sz="4" w:space="0" w:color="auto"/>
            </w:tcBorders>
            <w:shd w:val="clear" w:color="auto" w:fill="4472C4"/>
            <w:hideMark/>
          </w:tcPr>
          <w:p w14:paraId="2911FE87"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number (expected at CEO ER)</w:t>
            </w:r>
          </w:p>
        </w:tc>
        <w:tc>
          <w:tcPr>
            <w:tcW w:w="3260" w:type="dxa"/>
            <w:tcBorders>
              <w:top w:val="single" w:sz="4" w:space="0" w:color="auto"/>
              <w:left w:val="single" w:sz="4" w:space="0" w:color="auto"/>
              <w:bottom w:val="single" w:sz="4" w:space="0" w:color="auto"/>
              <w:right w:val="single" w:sz="4" w:space="0" w:color="auto"/>
            </w:tcBorders>
            <w:shd w:val="clear" w:color="auto" w:fill="4472C4"/>
            <w:hideMark/>
          </w:tcPr>
          <w:p w14:paraId="325E4C32"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number (achieved at MTR)</w:t>
            </w:r>
          </w:p>
        </w:tc>
        <w:tc>
          <w:tcPr>
            <w:tcW w:w="2977" w:type="dxa"/>
            <w:tcBorders>
              <w:top w:val="single" w:sz="4" w:space="0" w:color="auto"/>
              <w:left w:val="single" w:sz="4" w:space="0" w:color="auto"/>
              <w:bottom w:val="single" w:sz="4" w:space="0" w:color="auto"/>
              <w:right w:val="single" w:sz="4" w:space="0" w:color="auto"/>
            </w:tcBorders>
            <w:shd w:val="clear" w:color="auto" w:fill="4472C4"/>
            <w:hideMark/>
          </w:tcPr>
          <w:p w14:paraId="669DFB1F"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Total number (achieved at TE)</w:t>
            </w:r>
          </w:p>
        </w:tc>
      </w:tr>
      <w:tr w:rsidR="00302BFE" w:rsidRPr="00D45B3D" w14:paraId="482B7351" w14:textId="77777777" w:rsidTr="00243B15">
        <w:tc>
          <w:tcPr>
            <w:tcW w:w="2943" w:type="dxa"/>
            <w:tcBorders>
              <w:top w:val="single" w:sz="4" w:space="0" w:color="auto"/>
              <w:left w:val="single" w:sz="4" w:space="0" w:color="auto"/>
              <w:bottom w:val="single" w:sz="4" w:space="0" w:color="auto"/>
              <w:right w:val="single" w:sz="4" w:space="0" w:color="auto"/>
            </w:tcBorders>
            <w:shd w:val="clear" w:color="auto" w:fill="auto"/>
          </w:tcPr>
          <w:p w14:paraId="02DE2A47"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not specified</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0088AE2"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30,885</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2C4D693" w14:textId="77777777" w:rsidR="00302BFE" w:rsidRPr="00D45B3D" w:rsidRDefault="00302BFE" w:rsidP="00243B15">
            <w:pPr>
              <w:rPr>
                <w:rFonts w:asciiTheme="minorHAnsi" w:eastAsia="Times New Roman" w:hAnsiTheme="minorHAnsi" w:cstheme="minorHAnsi"/>
                <w:color w:val="00000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468810B" w14:textId="77777777" w:rsidR="00302BFE" w:rsidRPr="00D45B3D" w:rsidRDefault="00302BFE" w:rsidP="00243B15">
            <w:pPr>
              <w:rPr>
                <w:rFonts w:asciiTheme="minorHAnsi" w:eastAsia="Times New Roman" w:hAnsiTheme="minorHAnsi" w:cstheme="minorHAnsi"/>
                <w:color w:val="000000"/>
                <w:szCs w:val="20"/>
              </w:rPr>
            </w:pPr>
          </w:p>
        </w:tc>
      </w:tr>
    </w:tbl>
    <w:p w14:paraId="45F3BF9F" w14:textId="77777777" w:rsidR="00302BFE" w:rsidRPr="00D45B3D" w:rsidRDefault="00302BFE" w:rsidP="00302BFE">
      <w:pPr>
        <w:spacing w:after="120"/>
        <w:rPr>
          <w:rFonts w:asciiTheme="minorHAnsi" w:eastAsia="Times New Roman" w:hAnsiTheme="minorHAnsi" w:cstheme="minorHAnsi"/>
          <w:i/>
          <w:color w:val="000000"/>
          <w:sz w:val="18"/>
          <w:szCs w:val="18"/>
        </w:rPr>
      </w:pPr>
      <w:r w:rsidRPr="00D45B3D">
        <w:rPr>
          <w:rFonts w:asciiTheme="minorHAnsi" w:eastAsia="Times New Roman" w:hAnsiTheme="minorHAnsi" w:cstheme="minorHAnsi"/>
          <w:i/>
          <w:color w:val="000000"/>
          <w:sz w:val="18"/>
          <w:szCs w:val="18"/>
        </w:rPr>
        <w:t xml:space="preserve">Figure at a given stage must be the sum of female and male, as in the table below for that stage.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551"/>
        <w:gridCol w:w="2977"/>
        <w:gridCol w:w="3260"/>
        <w:gridCol w:w="2977"/>
      </w:tblGrid>
      <w:tr w:rsidR="00302BFE" w:rsidRPr="00D45B3D" w14:paraId="6865E94F" w14:textId="77777777" w:rsidTr="00243B15">
        <w:tc>
          <w:tcPr>
            <w:tcW w:w="959" w:type="dxa"/>
            <w:tcBorders>
              <w:top w:val="single" w:sz="4" w:space="0" w:color="auto"/>
              <w:left w:val="single" w:sz="4" w:space="0" w:color="auto"/>
              <w:bottom w:val="single" w:sz="4" w:space="0" w:color="auto"/>
              <w:right w:val="single" w:sz="4" w:space="0" w:color="auto"/>
            </w:tcBorders>
            <w:shd w:val="clear" w:color="auto" w:fill="4472C4"/>
            <w:hideMark/>
          </w:tcPr>
          <w:p w14:paraId="330AFE65"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Gender</w:t>
            </w:r>
          </w:p>
        </w:tc>
        <w:tc>
          <w:tcPr>
            <w:tcW w:w="2551" w:type="dxa"/>
            <w:tcBorders>
              <w:top w:val="single" w:sz="4" w:space="0" w:color="auto"/>
              <w:left w:val="single" w:sz="4" w:space="0" w:color="auto"/>
              <w:bottom w:val="single" w:sz="4" w:space="0" w:color="auto"/>
              <w:right w:val="single" w:sz="4" w:space="0" w:color="auto"/>
            </w:tcBorders>
            <w:shd w:val="clear" w:color="auto" w:fill="4472C4"/>
            <w:hideMark/>
          </w:tcPr>
          <w:p w14:paraId="47CE350B"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Number (expected at PIF)</w:t>
            </w:r>
          </w:p>
        </w:tc>
        <w:tc>
          <w:tcPr>
            <w:tcW w:w="2977" w:type="dxa"/>
            <w:tcBorders>
              <w:top w:val="single" w:sz="4" w:space="0" w:color="auto"/>
              <w:left w:val="single" w:sz="4" w:space="0" w:color="auto"/>
              <w:bottom w:val="single" w:sz="4" w:space="0" w:color="auto"/>
              <w:right w:val="single" w:sz="4" w:space="0" w:color="auto"/>
            </w:tcBorders>
            <w:shd w:val="clear" w:color="auto" w:fill="4472C4"/>
            <w:hideMark/>
          </w:tcPr>
          <w:p w14:paraId="4CD5C45B"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Number (expected at CEO ER)</w:t>
            </w:r>
          </w:p>
        </w:tc>
        <w:tc>
          <w:tcPr>
            <w:tcW w:w="3260" w:type="dxa"/>
            <w:tcBorders>
              <w:top w:val="single" w:sz="4" w:space="0" w:color="auto"/>
              <w:left w:val="single" w:sz="4" w:space="0" w:color="auto"/>
              <w:bottom w:val="single" w:sz="4" w:space="0" w:color="auto"/>
              <w:right w:val="single" w:sz="4" w:space="0" w:color="auto"/>
            </w:tcBorders>
            <w:shd w:val="clear" w:color="auto" w:fill="4472C4"/>
            <w:hideMark/>
          </w:tcPr>
          <w:p w14:paraId="3FDABD56"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Number (achieved at MTR)</w:t>
            </w:r>
          </w:p>
        </w:tc>
        <w:tc>
          <w:tcPr>
            <w:tcW w:w="2977" w:type="dxa"/>
            <w:tcBorders>
              <w:top w:val="single" w:sz="4" w:space="0" w:color="auto"/>
              <w:left w:val="single" w:sz="4" w:space="0" w:color="auto"/>
              <w:bottom w:val="single" w:sz="4" w:space="0" w:color="auto"/>
              <w:right w:val="single" w:sz="4" w:space="0" w:color="auto"/>
            </w:tcBorders>
            <w:shd w:val="clear" w:color="auto" w:fill="4472C4"/>
            <w:hideMark/>
          </w:tcPr>
          <w:p w14:paraId="459E63C2"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Number (achieved at TE)</w:t>
            </w:r>
          </w:p>
        </w:tc>
      </w:tr>
      <w:tr w:rsidR="00302BFE" w:rsidRPr="00D45B3D" w14:paraId="42091783" w14:textId="77777777" w:rsidTr="00243B15">
        <w:tc>
          <w:tcPr>
            <w:tcW w:w="959" w:type="dxa"/>
            <w:tcBorders>
              <w:top w:val="single" w:sz="4" w:space="0" w:color="auto"/>
              <w:left w:val="single" w:sz="4" w:space="0" w:color="auto"/>
              <w:bottom w:val="single" w:sz="4" w:space="0" w:color="auto"/>
              <w:right w:val="single" w:sz="4" w:space="0" w:color="auto"/>
            </w:tcBorders>
            <w:shd w:val="clear" w:color="auto" w:fill="4472C4"/>
            <w:hideMark/>
          </w:tcPr>
          <w:p w14:paraId="28B461C1"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Female</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B16EBBA"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not specified</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95E0468"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18,531</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6DBC859" w14:textId="77777777" w:rsidR="00302BFE" w:rsidRPr="00D45B3D" w:rsidRDefault="00302BFE" w:rsidP="00243B15">
            <w:pPr>
              <w:rPr>
                <w:rFonts w:asciiTheme="minorHAnsi" w:eastAsia="Times New Roman" w:hAnsiTheme="minorHAnsi" w:cstheme="minorHAnsi"/>
                <w:color w:val="00000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8A1CB83" w14:textId="77777777" w:rsidR="00302BFE" w:rsidRPr="00D45B3D" w:rsidRDefault="00302BFE" w:rsidP="00243B15">
            <w:pPr>
              <w:rPr>
                <w:rFonts w:asciiTheme="minorHAnsi" w:eastAsia="Times New Roman" w:hAnsiTheme="minorHAnsi" w:cstheme="minorHAnsi"/>
                <w:color w:val="000000"/>
                <w:szCs w:val="20"/>
              </w:rPr>
            </w:pPr>
          </w:p>
        </w:tc>
      </w:tr>
      <w:tr w:rsidR="00302BFE" w:rsidRPr="00D45B3D" w14:paraId="1A98E15D" w14:textId="77777777" w:rsidTr="00243B15">
        <w:tc>
          <w:tcPr>
            <w:tcW w:w="959" w:type="dxa"/>
            <w:tcBorders>
              <w:top w:val="single" w:sz="4" w:space="0" w:color="auto"/>
              <w:left w:val="single" w:sz="4" w:space="0" w:color="auto"/>
              <w:bottom w:val="single" w:sz="4" w:space="0" w:color="auto"/>
              <w:right w:val="single" w:sz="4" w:space="0" w:color="auto"/>
            </w:tcBorders>
            <w:shd w:val="clear" w:color="auto" w:fill="4472C4"/>
            <w:hideMark/>
          </w:tcPr>
          <w:p w14:paraId="71D7DBE5" w14:textId="77777777" w:rsidR="00302BFE" w:rsidRPr="00D45B3D" w:rsidRDefault="00302BFE" w:rsidP="00243B15">
            <w:pPr>
              <w:rPr>
                <w:rFonts w:asciiTheme="minorHAnsi" w:eastAsia="Times New Roman" w:hAnsiTheme="minorHAnsi" w:cstheme="minorHAnsi"/>
                <w:b/>
                <w:color w:val="000000"/>
                <w:szCs w:val="20"/>
              </w:rPr>
            </w:pPr>
            <w:r w:rsidRPr="00D45B3D">
              <w:rPr>
                <w:rFonts w:asciiTheme="minorHAnsi" w:eastAsia="Times New Roman" w:hAnsiTheme="minorHAnsi" w:cstheme="minorHAnsi"/>
                <w:b/>
                <w:color w:val="000000"/>
                <w:szCs w:val="20"/>
              </w:rPr>
              <w:t>Male</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11BE232"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not specified</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5C15156" w14:textId="77777777" w:rsidR="00302BFE" w:rsidRPr="00D45B3D" w:rsidRDefault="00302BFE" w:rsidP="00243B15">
            <w:pPr>
              <w:rPr>
                <w:rFonts w:asciiTheme="minorHAnsi" w:eastAsia="Times New Roman" w:hAnsiTheme="minorHAnsi" w:cstheme="minorHAnsi"/>
                <w:color w:val="000000"/>
                <w:szCs w:val="20"/>
              </w:rPr>
            </w:pPr>
            <w:r w:rsidRPr="00D45B3D">
              <w:rPr>
                <w:rFonts w:asciiTheme="minorHAnsi" w:eastAsia="Times New Roman" w:hAnsiTheme="minorHAnsi" w:cstheme="minorHAnsi"/>
                <w:color w:val="000000"/>
                <w:szCs w:val="20"/>
              </w:rPr>
              <w:t>12,354</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45A1A6D" w14:textId="77777777" w:rsidR="00302BFE" w:rsidRPr="00D45B3D" w:rsidRDefault="00302BFE" w:rsidP="00243B15">
            <w:pPr>
              <w:rPr>
                <w:rFonts w:asciiTheme="minorHAnsi" w:eastAsia="Times New Roman" w:hAnsiTheme="minorHAnsi" w:cstheme="minorHAnsi"/>
                <w:color w:val="00000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FB47FD6" w14:textId="77777777" w:rsidR="00302BFE" w:rsidRPr="00D45B3D" w:rsidRDefault="00302BFE" w:rsidP="00243B15">
            <w:pPr>
              <w:rPr>
                <w:rFonts w:asciiTheme="minorHAnsi" w:eastAsia="Times New Roman" w:hAnsiTheme="minorHAnsi" w:cstheme="minorHAnsi"/>
                <w:color w:val="000000"/>
                <w:szCs w:val="20"/>
              </w:rPr>
            </w:pPr>
          </w:p>
        </w:tc>
      </w:tr>
    </w:tbl>
    <w:p w14:paraId="760A79D9" w14:textId="77777777" w:rsidR="00302BFE" w:rsidRPr="00D45B3D" w:rsidRDefault="00302BFE" w:rsidP="00302BFE">
      <w:pPr>
        <w:jc w:val="left"/>
        <w:rPr>
          <w:rFonts w:asciiTheme="minorHAnsi" w:hAnsiTheme="minorHAnsi" w:cstheme="minorHAnsi"/>
          <w:b/>
          <w:sz w:val="22"/>
          <w:szCs w:val="22"/>
          <w:lang w:val="en-CA"/>
        </w:rPr>
      </w:pPr>
    </w:p>
    <w:p w14:paraId="0AF15FDA" w14:textId="77777777" w:rsidR="00302BFE" w:rsidRPr="00D45B3D" w:rsidRDefault="00302BFE" w:rsidP="00302BFE">
      <w:pPr>
        <w:pStyle w:val="Titre2"/>
        <w:spacing w:after="120"/>
        <w:ind w:left="0"/>
        <w:rPr>
          <w:rFonts w:asciiTheme="minorHAnsi" w:hAnsiTheme="minorHAnsi" w:cstheme="minorHAnsi"/>
          <w:szCs w:val="22"/>
        </w:rPr>
        <w:sectPr w:rsidR="00302BFE" w:rsidRPr="00D45B3D" w:rsidSect="00243B15">
          <w:footerReference w:type="default" r:id="rId43"/>
          <w:pgSz w:w="15840" w:h="12240" w:orient="landscape" w:code="1"/>
          <w:pgMar w:top="720" w:right="720" w:bottom="720" w:left="720" w:header="720" w:footer="720" w:gutter="0"/>
          <w:cols w:space="720"/>
          <w:docGrid w:linePitch="360"/>
        </w:sectPr>
      </w:pPr>
    </w:p>
    <w:p w14:paraId="68F6DA2D" w14:textId="77777777" w:rsidR="00302BFE" w:rsidRPr="00D45B3D" w:rsidRDefault="00302BFE" w:rsidP="00302BFE">
      <w:pPr>
        <w:pStyle w:val="Titre2"/>
        <w:spacing w:after="120"/>
        <w:ind w:left="0"/>
        <w:rPr>
          <w:rFonts w:asciiTheme="minorHAnsi" w:hAnsiTheme="minorHAnsi" w:cstheme="minorHAnsi"/>
          <w:szCs w:val="22"/>
        </w:rPr>
      </w:pPr>
      <w:bookmarkStart w:id="53" w:name="_Toc9961803"/>
      <w:r w:rsidRPr="00D45B3D">
        <w:rPr>
          <w:rFonts w:asciiTheme="minorHAnsi" w:hAnsiTheme="minorHAnsi" w:cstheme="minorHAnsi"/>
          <w:szCs w:val="22"/>
        </w:rPr>
        <w:lastRenderedPageBreak/>
        <w:t>Annex C: Terms of Reference</w:t>
      </w:r>
      <w:bookmarkEnd w:id="53"/>
    </w:p>
    <w:p w14:paraId="611CE216" w14:textId="77777777" w:rsidR="00302BFE" w:rsidRPr="00D45B3D" w:rsidRDefault="00302BFE" w:rsidP="00302BFE">
      <w:pPr>
        <w:spacing w:after="0"/>
        <w:rPr>
          <w:rFonts w:asciiTheme="minorHAnsi" w:hAnsiTheme="minorHAnsi" w:cstheme="minorHAnsi"/>
          <w:b/>
          <w:iCs/>
          <w:noProof/>
          <w:szCs w:val="20"/>
          <w:lang w:eastAsia="zh-CN"/>
        </w:rPr>
      </w:pPr>
      <w:r w:rsidRPr="00D45B3D">
        <w:rPr>
          <w:rFonts w:asciiTheme="minorHAnsi" w:hAnsiTheme="minorHAnsi" w:cstheme="minorHAnsi"/>
          <w:b/>
          <w:iCs/>
          <w:noProof/>
          <w:szCs w:val="20"/>
          <w:lang w:eastAsia="zh-CN"/>
        </w:rPr>
        <w:t xml:space="preserve">1. Terms of reference for Project </w:t>
      </w:r>
      <w:r w:rsidRPr="00D45B3D">
        <w:rPr>
          <w:rFonts w:asciiTheme="minorHAnsi" w:hAnsiTheme="minorHAnsi" w:cstheme="minorHAnsi"/>
          <w:b/>
          <w:szCs w:val="20"/>
          <w:lang w:val="en-CA"/>
        </w:rPr>
        <w:t xml:space="preserve">Consultation / Dialogue Framework </w:t>
      </w:r>
      <w:r w:rsidRPr="00D45B3D">
        <w:rPr>
          <w:rFonts w:asciiTheme="minorHAnsi" w:hAnsiTheme="minorHAnsi" w:cstheme="minorHAnsi"/>
          <w:szCs w:val="20"/>
          <w:lang w:val="en-CA"/>
        </w:rPr>
        <w:t>(previously called Project Board or Project Steering Committee)</w:t>
      </w:r>
    </w:p>
    <w:p w14:paraId="2C1A5BDB" w14:textId="77777777" w:rsidR="00302BFE" w:rsidRPr="00D45B3D" w:rsidRDefault="00302BFE" w:rsidP="00302BFE">
      <w:pPr>
        <w:spacing w:before="120" w:after="120"/>
        <w:rPr>
          <w:rFonts w:asciiTheme="minorHAnsi" w:hAnsiTheme="minorHAnsi" w:cstheme="minorHAnsi"/>
          <w:szCs w:val="20"/>
          <w:lang w:val="en-CA"/>
        </w:rPr>
      </w:pPr>
      <w:r w:rsidRPr="00D45B3D">
        <w:rPr>
          <w:rFonts w:asciiTheme="minorHAnsi" w:hAnsiTheme="minorHAnsi" w:cstheme="minorHAnsi"/>
          <w:szCs w:val="20"/>
          <w:lang w:val="en-CA"/>
        </w:rPr>
        <w:t xml:space="preserve">The Project Consultation Framework or Dialogue framework </w:t>
      </w:r>
      <w:r w:rsidRPr="00D45B3D">
        <w:rPr>
          <w:rFonts w:asciiTheme="minorHAnsi" w:hAnsiTheme="minorHAnsi" w:cstheme="minorHAnsi"/>
          <w:iCs/>
          <w:noProof/>
          <w:szCs w:val="20"/>
          <w:lang w:eastAsia="zh-CN"/>
        </w:rPr>
        <w:t xml:space="preserve">will serve as the project’s decision-making body. It </w:t>
      </w:r>
      <w:r w:rsidRPr="00D45B3D">
        <w:rPr>
          <w:rFonts w:asciiTheme="minorHAnsi" w:hAnsiTheme="minorHAnsi" w:cstheme="minorHAnsi"/>
          <w:szCs w:val="20"/>
          <w:lang w:val="en-CA"/>
        </w:rPr>
        <w:t>is responsible for making by consensus, management decisions when guidance is required by the Project Manager, including recommendations for UNDP/Implementing Partner approval of project plans and revisions, and addressing any project level grievances. The Project Consultation/Dialogue Framework will contribute to the implementation of the project through the review of results and activities. It is</w:t>
      </w:r>
      <w:r w:rsidRPr="00D45B3D">
        <w:rPr>
          <w:rFonts w:asciiTheme="minorHAnsi" w:hAnsiTheme="minorHAnsi" w:cstheme="minorHAnsi"/>
          <w:iCs/>
          <w:noProof/>
          <w:szCs w:val="20"/>
          <w:lang w:eastAsia="zh-CN"/>
        </w:rPr>
        <w:t xml:space="preserve"> responsible for providing the strategic guidance and oversight to project implementation to ensure that it meets the requirements of the approved Project Document and achieves the stated outcomes.</w:t>
      </w:r>
      <w:r w:rsidRPr="00D45B3D">
        <w:rPr>
          <w:rFonts w:asciiTheme="minorHAnsi" w:hAnsiTheme="minorHAnsi" w:cstheme="minorHAnsi"/>
          <w:szCs w:val="20"/>
        </w:rPr>
        <w:t xml:space="preserve"> </w:t>
      </w:r>
      <w:r w:rsidRPr="00D45B3D">
        <w:rPr>
          <w:rFonts w:asciiTheme="minorHAnsi" w:hAnsiTheme="minorHAnsi" w:cstheme="minorHAnsi"/>
          <w:szCs w:val="20"/>
          <w:lang w:val="en-CA"/>
        </w:rPr>
        <w:t>To this end, the main responsibilities of the Project Consultation/Dialogue Framework will be to:</w:t>
      </w:r>
    </w:p>
    <w:p w14:paraId="0A42AFB0" w14:textId="77777777" w:rsidR="00302BFE" w:rsidRPr="00D45B3D" w:rsidRDefault="00302BFE" w:rsidP="00C46720">
      <w:pPr>
        <w:numPr>
          <w:ilvl w:val="0"/>
          <w:numId w:val="46"/>
        </w:numPr>
        <w:spacing w:after="0"/>
        <w:contextualSpacing/>
        <w:rPr>
          <w:rFonts w:asciiTheme="minorHAnsi" w:hAnsiTheme="minorHAnsi" w:cstheme="minorHAnsi"/>
          <w:iCs/>
          <w:noProof/>
          <w:szCs w:val="20"/>
          <w:lang w:eastAsia="zh-CN"/>
        </w:rPr>
      </w:pPr>
      <w:r w:rsidRPr="00D45B3D">
        <w:rPr>
          <w:rFonts w:asciiTheme="minorHAnsi" w:hAnsiTheme="minorHAnsi" w:cstheme="minorHAnsi"/>
          <w:iCs/>
          <w:noProof/>
          <w:szCs w:val="20"/>
          <w:lang w:eastAsia="zh-CN"/>
        </w:rPr>
        <w:t xml:space="preserve">Provide strategic guidance to project implementation; </w:t>
      </w:r>
    </w:p>
    <w:p w14:paraId="3B5A9F39" w14:textId="77777777" w:rsidR="00302BFE" w:rsidRPr="00D45B3D" w:rsidRDefault="00302BFE" w:rsidP="00C46720">
      <w:pPr>
        <w:numPr>
          <w:ilvl w:val="0"/>
          <w:numId w:val="46"/>
        </w:numPr>
        <w:spacing w:after="0"/>
        <w:contextualSpacing/>
        <w:rPr>
          <w:rFonts w:asciiTheme="minorHAnsi" w:hAnsiTheme="minorHAnsi" w:cstheme="minorHAnsi"/>
          <w:iCs/>
          <w:noProof/>
          <w:szCs w:val="20"/>
          <w:lang w:eastAsia="zh-CN"/>
        </w:rPr>
      </w:pPr>
      <w:r w:rsidRPr="00D45B3D">
        <w:rPr>
          <w:rFonts w:asciiTheme="minorHAnsi" w:hAnsiTheme="minorHAnsi" w:cstheme="minorHAnsi"/>
          <w:iCs/>
          <w:noProof/>
          <w:szCs w:val="20"/>
          <w:lang w:eastAsia="zh-CN"/>
        </w:rPr>
        <w:t xml:space="preserve">Ensure coordination between various donor funded and government funded projects and programmes; </w:t>
      </w:r>
    </w:p>
    <w:p w14:paraId="1E9B0E99" w14:textId="77777777" w:rsidR="00302BFE" w:rsidRPr="00D45B3D" w:rsidRDefault="00302BFE" w:rsidP="00C46720">
      <w:pPr>
        <w:numPr>
          <w:ilvl w:val="0"/>
          <w:numId w:val="46"/>
        </w:numPr>
        <w:spacing w:after="0"/>
        <w:contextualSpacing/>
        <w:rPr>
          <w:rFonts w:asciiTheme="minorHAnsi" w:hAnsiTheme="minorHAnsi" w:cstheme="minorHAnsi"/>
          <w:iCs/>
          <w:noProof/>
          <w:szCs w:val="20"/>
          <w:lang w:eastAsia="zh-CN"/>
        </w:rPr>
      </w:pPr>
      <w:r w:rsidRPr="00D45B3D">
        <w:rPr>
          <w:rFonts w:asciiTheme="minorHAnsi" w:hAnsiTheme="minorHAnsi" w:cstheme="minorHAnsi"/>
          <w:iCs/>
          <w:noProof/>
          <w:szCs w:val="20"/>
          <w:lang w:eastAsia="zh-CN"/>
        </w:rPr>
        <w:t xml:space="preserve">Ensure coordination with various government agencies and their participation in project activities; </w:t>
      </w:r>
    </w:p>
    <w:p w14:paraId="3D8BC299" w14:textId="77777777" w:rsidR="00302BFE" w:rsidRPr="00D45B3D" w:rsidRDefault="00302BFE" w:rsidP="00C46720">
      <w:pPr>
        <w:numPr>
          <w:ilvl w:val="0"/>
          <w:numId w:val="46"/>
        </w:numPr>
        <w:spacing w:after="0"/>
        <w:rPr>
          <w:rFonts w:asciiTheme="minorHAnsi" w:hAnsiTheme="minorHAnsi" w:cstheme="minorHAnsi"/>
          <w:color w:val="000000"/>
          <w:szCs w:val="20"/>
        </w:rPr>
      </w:pPr>
      <w:r w:rsidRPr="00D45B3D">
        <w:rPr>
          <w:rFonts w:asciiTheme="minorHAnsi" w:hAnsiTheme="minorHAnsi" w:cstheme="minorHAnsi"/>
          <w:color w:val="000000"/>
          <w:szCs w:val="20"/>
        </w:rPr>
        <w:t xml:space="preserve">Agree on Project Coordinator/Manager’s responsibilities, as well as the responsibilities of the other members of the </w:t>
      </w:r>
      <w:proofErr w:type="gramStart"/>
      <w:r w:rsidRPr="00D45B3D">
        <w:rPr>
          <w:rFonts w:asciiTheme="minorHAnsi" w:hAnsiTheme="minorHAnsi" w:cstheme="minorHAnsi"/>
          <w:color w:val="000000"/>
          <w:szCs w:val="20"/>
        </w:rPr>
        <w:t>PCU;</w:t>
      </w:r>
      <w:proofErr w:type="gramEnd"/>
    </w:p>
    <w:p w14:paraId="35B53835" w14:textId="77777777" w:rsidR="00302BFE" w:rsidRPr="00D45B3D" w:rsidRDefault="00302BFE" w:rsidP="00C46720">
      <w:pPr>
        <w:numPr>
          <w:ilvl w:val="0"/>
          <w:numId w:val="46"/>
        </w:numPr>
        <w:spacing w:after="0"/>
        <w:rPr>
          <w:rFonts w:asciiTheme="minorHAnsi" w:hAnsiTheme="minorHAnsi" w:cstheme="minorHAnsi"/>
          <w:color w:val="000000"/>
          <w:szCs w:val="20"/>
        </w:rPr>
      </w:pPr>
      <w:r w:rsidRPr="00D45B3D">
        <w:rPr>
          <w:rFonts w:asciiTheme="minorHAnsi" w:hAnsiTheme="minorHAnsi" w:cstheme="minorHAnsi"/>
          <w:color w:val="000000"/>
          <w:szCs w:val="20"/>
        </w:rPr>
        <w:t xml:space="preserve">Delegate any Project Assurance function as </w:t>
      </w:r>
      <w:proofErr w:type="gramStart"/>
      <w:r w:rsidRPr="00D45B3D">
        <w:rPr>
          <w:rFonts w:asciiTheme="minorHAnsi" w:hAnsiTheme="minorHAnsi" w:cstheme="minorHAnsi"/>
          <w:color w:val="000000"/>
          <w:szCs w:val="20"/>
        </w:rPr>
        <w:t>appropriate;</w:t>
      </w:r>
      <w:proofErr w:type="gramEnd"/>
    </w:p>
    <w:p w14:paraId="043A0DD1" w14:textId="77777777" w:rsidR="00302BFE" w:rsidRPr="00D45B3D" w:rsidRDefault="00302BFE" w:rsidP="00C46720">
      <w:pPr>
        <w:numPr>
          <w:ilvl w:val="0"/>
          <w:numId w:val="46"/>
        </w:numPr>
        <w:spacing w:after="0"/>
        <w:rPr>
          <w:rFonts w:asciiTheme="minorHAnsi" w:hAnsiTheme="minorHAnsi" w:cstheme="minorHAnsi"/>
          <w:color w:val="000000"/>
          <w:szCs w:val="20"/>
        </w:rPr>
      </w:pPr>
      <w:r w:rsidRPr="00D45B3D">
        <w:rPr>
          <w:rFonts w:asciiTheme="minorHAnsi" w:hAnsiTheme="minorHAnsi" w:cstheme="minorHAnsi"/>
          <w:color w:val="000000"/>
          <w:szCs w:val="20"/>
        </w:rPr>
        <w:t>Review and appraise detailed Project Plan and Annual Work Plan (AWP), including Atlas reports covering activity definition, quality criteria, issue log, updated risk log and the monitoring and communication plan.</w:t>
      </w:r>
    </w:p>
    <w:p w14:paraId="4230C61F" w14:textId="77777777" w:rsidR="00302BFE" w:rsidRPr="00D45B3D" w:rsidRDefault="00302BFE" w:rsidP="00C46720">
      <w:pPr>
        <w:numPr>
          <w:ilvl w:val="0"/>
          <w:numId w:val="46"/>
        </w:numPr>
        <w:spacing w:after="0"/>
        <w:contextualSpacing/>
        <w:rPr>
          <w:rFonts w:asciiTheme="minorHAnsi" w:hAnsiTheme="minorHAnsi" w:cstheme="minorHAnsi"/>
          <w:iCs/>
          <w:noProof/>
          <w:szCs w:val="20"/>
          <w:lang w:eastAsia="zh-CN"/>
        </w:rPr>
      </w:pPr>
      <w:r w:rsidRPr="00D45B3D">
        <w:rPr>
          <w:rFonts w:asciiTheme="minorHAnsi" w:hAnsiTheme="minorHAnsi" w:cstheme="minorHAnsi"/>
          <w:iCs/>
          <w:noProof/>
          <w:szCs w:val="20"/>
          <w:lang w:eastAsia="zh-CN"/>
        </w:rPr>
        <w:t xml:space="preserve">Approve annual project work plans and budgets, at the proposal of the Project Manager; </w:t>
      </w:r>
    </w:p>
    <w:p w14:paraId="642D59C4" w14:textId="77777777" w:rsidR="00302BFE" w:rsidRPr="00D45B3D" w:rsidRDefault="00302BFE" w:rsidP="00C46720">
      <w:pPr>
        <w:numPr>
          <w:ilvl w:val="0"/>
          <w:numId w:val="46"/>
        </w:numPr>
        <w:spacing w:after="0"/>
        <w:contextualSpacing/>
        <w:rPr>
          <w:rFonts w:asciiTheme="minorHAnsi" w:hAnsiTheme="minorHAnsi" w:cstheme="minorHAnsi"/>
          <w:iCs/>
          <w:noProof/>
          <w:szCs w:val="20"/>
          <w:lang w:eastAsia="zh-CN"/>
        </w:rPr>
      </w:pPr>
      <w:r w:rsidRPr="00D45B3D">
        <w:rPr>
          <w:rFonts w:asciiTheme="minorHAnsi" w:hAnsiTheme="minorHAnsi" w:cstheme="minorHAnsi"/>
          <w:iCs/>
          <w:noProof/>
          <w:szCs w:val="20"/>
          <w:lang w:eastAsia="zh-CN"/>
        </w:rPr>
        <w:t>Approve any major changes in project plans or programmes;</w:t>
      </w:r>
    </w:p>
    <w:p w14:paraId="3AD9B17C" w14:textId="77777777" w:rsidR="00302BFE" w:rsidRPr="00D45B3D" w:rsidRDefault="00302BFE" w:rsidP="00C46720">
      <w:pPr>
        <w:numPr>
          <w:ilvl w:val="0"/>
          <w:numId w:val="46"/>
        </w:numPr>
        <w:spacing w:after="0"/>
        <w:contextualSpacing/>
        <w:rPr>
          <w:rFonts w:asciiTheme="minorHAnsi" w:hAnsiTheme="minorHAnsi" w:cstheme="minorHAnsi"/>
          <w:iCs/>
          <w:noProof/>
          <w:szCs w:val="20"/>
          <w:lang w:eastAsia="zh-CN"/>
        </w:rPr>
      </w:pPr>
      <w:r w:rsidRPr="00D45B3D">
        <w:rPr>
          <w:rFonts w:asciiTheme="minorHAnsi" w:hAnsiTheme="minorHAnsi" w:cstheme="minorHAnsi"/>
          <w:iCs/>
          <w:noProof/>
          <w:szCs w:val="20"/>
          <w:lang w:eastAsia="zh-CN"/>
        </w:rPr>
        <w:t xml:space="preserve">Oversee monitoring, evaluation and reporting in line with GEF requirements; </w:t>
      </w:r>
    </w:p>
    <w:p w14:paraId="4C7AB07F" w14:textId="77777777" w:rsidR="00302BFE" w:rsidRPr="00D45B3D" w:rsidRDefault="00302BFE" w:rsidP="00C46720">
      <w:pPr>
        <w:numPr>
          <w:ilvl w:val="0"/>
          <w:numId w:val="46"/>
        </w:numPr>
        <w:spacing w:after="0"/>
        <w:contextualSpacing/>
        <w:rPr>
          <w:rFonts w:asciiTheme="minorHAnsi" w:hAnsiTheme="minorHAnsi" w:cstheme="minorHAnsi"/>
          <w:iCs/>
          <w:noProof/>
          <w:szCs w:val="20"/>
          <w:lang w:eastAsia="zh-CN"/>
        </w:rPr>
      </w:pPr>
      <w:r w:rsidRPr="00D45B3D">
        <w:rPr>
          <w:rFonts w:asciiTheme="minorHAnsi" w:hAnsiTheme="minorHAnsi" w:cstheme="minorHAnsi"/>
          <w:szCs w:val="20"/>
          <w:lang w:val="en-CA"/>
        </w:rPr>
        <w:t xml:space="preserve">Ensure the implementation of the recommendations of the Project Consultation/Dialogue Framework, supervision and monitoring missions and various </w:t>
      </w:r>
      <w:proofErr w:type="gramStart"/>
      <w:r w:rsidRPr="00D45B3D">
        <w:rPr>
          <w:rFonts w:asciiTheme="minorHAnsi" w:hAnsiTheme="minorHAnsi" w:cstheme="minorHAnsi"/>
          <w:szCs w:val="20"/>
          <w:lang w:val="en-CA"/>
        </w:rPr>
        <w:t>audits;</w:t>
      </w:r>
      <w:proofErr w:type="gramEnd"/>
    </w:p>
    <w:p w14:paraId="19D1D8CC" w14:textId="77777777" w:rsidR="00302BFE" w:rsidRPr="00D45B3D" w:rsidRDefault="00302BFE" w:rsidP="00C46720">
      <w:pPr>
        <w:numPr>
          <w:ilvl w:val="0"/>
          <w:numId w:val="46"/>
        </w:numPr>
        <w:spacing w:after="0"/>
        <w:contextualSpacing/>
        <w:rPr>
          <w:rFonts w:asciiTheme="minorHAnsi" w:hAnsiTheme="minorHAnsi" w:cstheme="minorHAnsi"/>
          <w:iCs/>
          <w:noProof/>
          <w:szCs w:val="20"/>
          <w:lang w:eastAsia="zh-CN"/>
        </w:rPr>
      </w:pPr>
      <w:r w:rsidRPr="00D45B3D">
        <w:rPr>
          <w:rFonts w:asciiTheme="minorHAnsi" w:hAnsiTheme="minorHAnsi" w:cstheme="minorHAnsi"/>
          <w:iCs/>
          <w:noProof/>
          <w:szCs w:val="20"/>
          <w:lang w:eastAsia="zh-CN"/>
        </w:rPr>
        <w:t xml:space="preserve">Ensure commitment of human resources to support project implementation, arbitrating any issues within the project; </w:t>
      </w:r>
    </w:p>
    <w:p w14:paraId="2276C9BA" w14:textId="77777777" w:rsidR="00302BFE" w:rsidRPr="00D45B3D" w:rsidRDefault="00302BFE" w:rsidP="00C46720">
      <w:pPr>
        <w:numPr>
          <w:ilvl w:val="0"/>
          <w:numId w:val="46"/>
        </w:numPr>
        <w:spacing w:after="0"/>
        <w:contextualSpacing/>
        <w:rPr>
          <w:rFonts w:asciiTheme="minorHAnsi" w:hAnsiTheme="minorHAnsi" w:cstheme="minorHAnsi"/>
          <w:iCs/>
          <w:noProof/>
          <w:szCs w:val="20"/>
          <w:lang w:eastAsia="zh-CN"/>
        </w:rPr>
      </w:pPr>
      <w:r w:rsidRPr="00D45B3D">
        <w:rPr>
          <w:rFonts w:asciiTheme="minorHAnsi" w:hAnsiTheme="minorHAnsi" w:cstheme="minorHAnsi"/>
          <w:iCs/>
          <w:noProof/>
          <w:szCs w:val="20"/>
          <w:lang w:eastAsia="zh-CN"/>
        </w:rPr>
        <w:t xml:space="preserve">Negotiate solutions between the project and any parties beyond the scope of the project; </w:t>
      </w:r>
    </w:p>
    <w:p w14:paraId="4225A037" w14:textId="77777777" w:rsidR="00302BFE" w:rsidRPr="00D45B3D" w:rsidRDefault="00302BFE" w:rsidP="00C46720">
      <w:pPr>
        <w:numPr>
          <w:ilvl w:val="0"/>
          <w:numId w:val="46"/>
        </w:numPr>
        <w:spacing w:after="0"/>
        <w:contextualSpacing/>
        <w:rPr>
          <w:rFonts w:asciiTheme="minorHAnsi" w:hAnsiTheme="minorHAnsi" w:cstheme="minorHAnsi"/>
          <w:iCs/>
          <w:noProof/>
          <w:szCs w:val="20"/>
          <w:lang w:eastAsia="zh-CN"/>
        </w:rPr>
      </w:pPr>
      <w:r w:rsidRPr="00D45B3D">
        <w:rPr>
          <w:rFonts w:asciiTheme="minorHAnsi" w:hAnsiTheme="minorHAnsi" w:cstheme="minorHAnsi"/>
          <w:iCs/>
          <w:noProof/>
          <w:szCs w:val="20"/>
          <w:lang w:eastAsia="zh-CN"/>
        </w:rPr>
        <w:t>Ensure that UNDP Social and Environmental Safeguards Policy is applied throughout project implementation; and, address related grievances as necessary.</w:t>
      </w:r>
    </w:p>
    <w:p w14:paraId="388027EF" w14:textId="77777777" w:rsidR="00302BFE" w:rsidRPr="00D45B3D" w:rsidRDefault="00302BFE" w:rsidP="00302BFE">
      <w:pPr>
        <w:spacing w:before="120" w:after="120"/>
        <w:rPr>
          <w:rFonts w:asciiTheme="minorHAnsi" w:hAnsiTheme="minorHAnsi" w:cstheme="minorHAnsi"/>
          <w:szCs w:val="20"/>
          <w:lang w:val="en-CA"/>
        </w:rPr>
      </w:pPr>
      <w:r w:rsidRPr="00D45B3D">
        <w:rPr>
          <w:rFonts w:asciiTheme="minorHAnsi" w:hAnsiTheme="minorHAnsi" w:cstheme="minorHAnsi"/>
          <w:szCs w:val="20"/>
          <w:u w:val="single"/>
          <w:lang w:val="en-CA"/>
        </w:rPr>
        <w:t>The Dialogue Framework is composed as follows</w:t>
      </w:r>
      <w:r w:rsidRPr="00D45B3D">
        <w:rPr>
          <w:rFonts w:asciiTheme="minorHAnsi" w:hAnsiTheme="minorHAnsi" w:cstheme="minorHAnsi"/>
          <w:szCs w:val="20"/>
          <w:lang w:val="en-CA"/>
        </w:rPr>
        <w:t>:</w:t>
      </w:r>
    </w:p>
    <w:p w14:paraId="2788E061" w14:textId="47451791" w:rsidR="00302BFE" w:rsidRPr="00AB47BD" w:rsidRDefault="00302BFE" w:rsidP="00302BFE">
      <w:pPr>
        <w:spacing w:after="0"/>
        <w:rPr>
          <w:rFonts w:asciiTheme="minorHAnsi" w:hAnsiTheme="minorHAnsi" w:cstheme="minorHAnsi"/>
          <w:szCs w:val="20"/>
          <w:lang w:val="fr-FR"/>
        </w:rPr>
      </w:pPr>
      <w:proofErr w:type="spellStart"/>
      <w:proofErr w:type="gramStart"/>
      <w:r w:rsidRPr="00AB47BD">
        <w:rPr>
          <w:rFonts w:asciiTheme="minorHAnsi" w:hAnsiTheme="minorHAnsi" w:cstheme="minorHAnsi"/>
          <w:szCs w:val="20"/>
          <w:u w:val="single"/>
          <w:lang w:val="fr-FR"/>
        </w:rPr>
        <w:t>President</w:t>
      </w:r>
      <w:proofErr w:type="spellEnd"/>
      <w:r w:rsidRPr="00AB47BD">
        <w:rPr>
          <w:rFonts w:asciiTheme="minorHAnsi" w:hAnsiTheme="minorHAnsi" w:cstheme="minorHAnsi"/>
          <w:szCs w:val="20"/>
          <w:lang w:val="fr-FR"/>
        </w:rPr>
        <w:t>:</w:t>
      </w:r>
      <w:proofErr w:type="gramEnd"/>
      <w:r w:rsidRPr="00AB47BD">
        <w:rPr>
          <w:rFonts w:asciiTheme="minorHAnsi" w:hAnsiTheme="minorHAnsi" w:cstheme="minorHAnsi"/>
          <w:szCs w:val="20"/>
          <w:lang w:val="fr-FR"/>
        </w:rPr>
        <w:t xml:space="preserve"> The </w:t>
      </w:r>
      <w:proofErr w:type="spellStart"/>
      <w:r w:rsidRPr="00AB47BD">
        <w:rPr>
          <w:rFonts w:asciiTheme="minorHAnsi" w:hAnsiTheme="minorHAnsi" w:cstheme="minorHAnsi"/>
          <w:szCs w:val="20"/>
          <w:lang w:val="fr-FR"/>
        </w:rPr>
        <w:t>representative</w:t>
      </w:r>
      <w:proofErr w:type="spellEnd"/>
      <w:r w:rsidRPr="00AB47BD">
        <w:rPr>
          <w:rFonts w:asciiTheme="minorHAnsi" w:hAnsiTheme="minorHAnsi" w:cstheme="minorHAnsi"/>
          <w:szCs w:val="20"/>
          <w:lang w:val="fr-FR"/>
        </w:rPr>
        <w:t xml:space="preserve"> of the </w:t>
      </w:r>
      <w:proofErr w:type="spellStart"/>
      <w:r w:rsidR="00806DBD" w:rsidRPr="00AB47BD">
        <w:rPr>
          <w:rFonts w:asciiTheme="minorHAnsi" w:hAnsiTheme="minorHAnsi" w:cstheme="minorHAnsi"/>
          <w:szCs w:val="20"/>
          <w:lang w:val="fr-FR"/>
        </w:rPr>
        <w:t>Ministere</w:t>
      </w:r>
      <w:proofErr w:type="spellEnd"/>
      <w:r w:rsidR="00806DBD" w:rsidRPr="00AB47BD">
        <w:rPr>
          <w:rFonts w:asciiTheme="minorHAnsi" w:hAnsiTheme="minorHAnsi" w:cstheme="minorHAnsi"/>
          <w:szCs w:val="20"/>
          <w:lang w:val="fr-FR"/>
        </w:rPr>
        <w:t xml:space="preserve"> de l’environnement, de l’eau et de </w:t>
      </w:r>
      <w:proofErr w:type="spellStart"/>
      <w:r w:rsidR="00806DBD" w:rsidRPr="00AB47BD">
        <w:rPr>
          <w:rFonts w:asciiTheme="minorHAnsi" w:hAnsiTheme="minorHAnsi" w:cstheme="minorHAnsi"/>
          <w:szCs w:val="20"/>
          <w:lang w:val="fr-FR"/>
        </w:rPr>
        <w:t>l”Assainissement</w:t>
      </w:r>
      <w:proofErr w:type="spellEnd"/>
    </w:p>
    <w:p w14:paraId="4914B9F0" w14:textId="77777777" w:rsidR="00302BFE" w:rsidRPr="00D45B3D" w:rsidRDefault="00302BFE" w:rsidP="00302BFE">
      <w:pPr>
        <w:spacing w:after="0"/>
        <w:rPr>
          <w:rFonts w:asciiTheme="minorHAnsi" w:hAnsiTheme="minorHAnsi" w:cstheme="minorHAnsi"/>
          <w:szCs w:val="20"/>
          <w:lang w:val="en-CA"/>
        </w:rPr>
      </w:pPr>
      <w:r w:rsidRPr="00D45B3D">
        <w:rPr>
          <w:rFonts w:asciiTheme="minorHAnsi" w:hAnsiTheme="minorHAnsi" w:cstheme="minorHAnsi"/>
          <w:szCs w:val="20"/>
          <w:u w:val="single"/>
          <w:lang w:val="en-CA"/>
        </w:rPr>
        <w:t>Co-Chair</w:t>
      </w:r>
      <w:r w:rsidRPr="00D45B3D">
        <w:rPr>
          <w:rFonts w:asciiTheme="minorHAnsi" w:hAnsiTheme="minorHAnsi" w:cstheme="minorHAnsi"/>
          <w:szCs w:val="20"/>
          <w:lang w:val="en-CA"/>
        </w:rPr>
        <w:t>: The UNDP Resident Representative or his/her representative</w:t>
      </w:r>
    </w:p>
    <w:p w14:paraId="3B2DF7B7" w14:textId="77777777" w:rsidR="00302BFE" w:rsidRPr="00D45B3D" w:rsidRDefault="00302BFE" w:rsidP="00302BFE">
      <w:pPr>
        <w:spacing w:after="0"/>
        <w:rPr>
          <w:rFonts w:asciiTheme="minorHAnsi" w:hAnsiTheme="minorHAnsi" w:cstheme="minorHAnsi"/>
          <w:szCs w:val="20"/>
          <w:lang w:val="en-CA"/>
        </w:rPr>
      </w:pPr>
      <w:r w:rsidRPr="00D45B3D">
        <w:rPr>
          <w:rFonts w:asciiTheme="minorHAnsi" w:hAnsiTheme="minorHAnsi" w:cstheme="minorHAnsi"/>
          <w:szCs w:val="20"/>
          <w:u w:val="single"/>
          <w:lang w:val="en-CA"/>
        </w:rPr>
        <w:t>Members</w:t>
      </w:r>
      <w:r w:rsidRPr="00D45B3D">
        <w:rPr>
          <w:rFonts w:asciiTheme="minorHAnsi" w:hAnsiTheme="minorHAnsi" w:cstheme="minorHAnsi"/>
          <w:szCs w:val="20"/>
          <w:lang w:val="en-CA"/>
        </w:rPr>
        <w:t>:</w:t>
      </w:r>
    </w:p>
    <w:p w14:paraId="6D8504EA" w14:textId="77777777" w:rsidR="00302BFE" w:rsidRPr="00D45B3D" w:rsidRDefault="00302BFE" w:rsidP="00302BFE">
      <w:pPr>
        <w:spacing w:after="0"/>
        <w:rPr>
          <w:rFonts w:asciiTheme="minorHAnsi" w:hAnsiTheme="minorHAnsi" w:cstheme="minorHAnsi"/>
          <w:szCs w:val="20"/>
          <w:lang w:val="en-CA"/>
        </w:rPr>
      </w:pPr>
      <w:r w:rsidRPr="00D45B3D">
        <w:rPr>
          <w:rFonts w:asciiTheme="minorHAnsi" w:hAnsiTheme="minorHAnsi" w:cstheme="minorHAnsi"/>
          <w:szCs w:val="20"/>
          <w:lang w:val="en-CA"/>
        </w:rPr>
        <w:t>As implementing actors:</w:t>
      </w:r>
    </w:p>
    <w:p w14:paraId="231A7241" w14:textId="77777777" w:rsidR="00302BFE" w:rsidRPr="00D45B3D" w:rsidRDefault="00302BFE" w:rsidP="00C46720">
      <w:pPr>
        <w:pStyle w:val="Paragraphedeliste"/>
        <w:numPr>
          <w:ilvl w:val="0"/>
          <w:numId w:val="45"/>
        </w:numPr>
        <w:contextualSpacing/>
        <w:rPr>
          <w:rFonts w:asciiTheme="minorHAnsi" w:hAnsiTheme="minorHAnsi" w:cstheme="minorHAnsi"/>
          <w:sz w:val="20"/>
          <w:szCs w:val="20"/>
          <w:lang w:val="en-CA"/>
        </w:rPr>
      </w:pPr>
      <w:r w:rsidRPr="00D45B3D">
        <w:rPr>
          <w:rFonts w:asciiTheme="minorHAnsi" w:hAnsiTheme="minorHAnsi" w:cstheme="minorHAnsi"/>
          <w:sz w:val="20"/>
          <w:szCs w:val="20"/>
          <w:lang w:val="en-CA"/>
        </w:rPr>
        <w:t>A representative of the Ministry of the Economy of Finance and Development (MINEFID)</w:t>
      </w:r>
    </w:p>
    <w:p w14:paraId="489DFB28" w14:textId="3672A8B1" w:rsidR="00302BFE" w:rsidRPr="00D45B3D" w:rsidRDefault="00302BFE" w:rsidP="00C46720">
      <w:pPr>
        <w:pStyle w:val="Paragraphedeliste"/>
        <w:numPr>
          <w:ilvl w:val="0"/>
          <w:numId w:val="45"/>
        </w:numPr>
        <w:contextualSpacing/>
        <w:rPr>
          <w:rFonts w:asciiTheme="minorHAnsi" w:hAnsiTheme="minorHAnsi" w:cstheme="minorHAnsi"/>
          <w:sz w:val="20"/>
          <w:szCs w:val="20"/>
          <w:lang w:val="en-CA"/>
        </w:rPr>
      </w:pPr>
      <w:r w:rsidRPr="00D45B3D">
        <w:rPr>
          <w:rFonts w:asciiTheme="minorHAnsi" w:hAnsiTheme="minorHAnsi" w:cstheme="minorHAnsi"/>
          <w:sz w:val="20"/>
          <w:szCs w:val="20"/>
          <w:lang w:val="en-CA"/>
        </w:rPr>
        <w:t xml:space="preserve">Four representatives of the </w:t>
      </w:r>
      <w:proofErr w:type="spellStart"/>
      <w:r w:rsidR="00806DBD">
        <w:rPr>
          <w:rFonts w:asciiTheme="minorHAnsi" w:hAnsiTheme="minorHAnsi" w:cstheme="minorHAnsi"/>
          <w:sz w:val="20"/>
          <w:szCs w:val="20"/>
          <w:lang w:val="en-CA"/>
        </w:rPr>
        <w:t>Ministere</w:t>
      </w:r>
      <w:proofErr w:type="spellEnd"/>
      <w:r w:rsidR="00806DBD">
        <w:rPr>
          <w:rFonts w:asciiTheme="minorHAnsi" w:hAnsiTheme="minorHAnsi" w:cstheme="minorHAnsi"/>
          <w:sz w:val="20"/>
          <w:szCs w:val="20"/>
          <w:lang w:val="en-CA"/>
        </w:rPr>
        <w:t xml:space="preserve"> de </w:t>
      </w:r>
      <w:proofErr w:type="spellStart"/>
      <w:r w:rsidR="00806DBD">
        <w:rPr>
          <w:rFonts w:asciiTheme="minorHAnsi" w:hAnsiTheme="minorHAnsi" w:cstheme="minorHAnsi"/>
          <w:sz w:val="20"/>
          <w:szCs w:val="20"/>
          <w:lang w:val="en-CA"/>
        </w:rPr>
        <w:t>l’environnement</w:t>
      </w:r>
      <w:proofErr w:type="spellEnd"/>
      <w:r w:rsidR="00806DBD">
        <w:rPr>
          <w:rFonts w:asciiTheme="minorHAnsi" w:hAnsiTheme="minorHAnsi" w:cstheme="minorHAnsi"/>
          <w:sz w:val="20"/>
          <w:szCs w:val="20"/>
          <w:lang w:val="en-CA"/>
        </w:rPr>
        <w:t xml:space="preserve">, de </w:t>
      </w:r>
      <w:proofErr w:type="spellStart"/>
      <w:r w:rsidR="00806DBD">
        <w:rPr>
          <w:rFonts w:asciiTheme="minorHAnsi" w:hAnsiTheme="minorHAnsi" w:cstheme="minorHAnsi"/>
          <w:sz w:val="20"/>
          <w:szCs w:val="20"/>
          <w:lang w:val="en-CA"/>
        </w:rPr>
        <w:t>l’eau</w:t>
      </w:r>
      <w:proofErr w:type="spellEnd"/>
      <w:r w:rsidR="00806DBD">
        <w:rPr>
          <w:rFonts w:asciiTheme="minorHAnsi" w:hAnsiTheme="minorHAnsi" w:cstheme="minorHAnsi"/>
          <w:sz w:val="20"/>
          <w:szCs w:val="20"/>
          <w:lang w:val="en-CA"/>
        </w:rPr>
        <w:t xml:space="preserve"> et de </w:t>
      </w:r>
      <w:proofErr w:type="spellStart"/>
      <w:proofErr w:type="gramStart"/>
      <w:r w:rsidR="00806DBD">
        <w:rPr>
          <w:rFonts w:asciiTheme="minorHAnsi" w:hAnsiTheme="minorHAnsi" w:cstheme="minorHAnsi"/>
          <w:sz w:val="20"/>
          <w:szCs w:val="20"/>
          <w:lang w:val="en-CA"/>
        </w:rPr>
        <w:t>l”Assainissement</w:t>
      </w:r>
      <w:proofErr w:type="spellEnd"/>
      <w:proofErr w:type="gramEnd"/>
      <w:r w:rsidRPr="00D45B3D">
        <w:rPr>
          <w:rFonts w:asciiTheme="minorHAnsi" w:hAnsiTheme="minorHAnsi" w:cstheme="minorHAnsi"/>
          <w:sz w:val="20"/>
          <w:szCs w:val="20"/>
          <w:lang w:val="en-CA"/>
        </w:rPr>
        <w:t xml:space="preserve"> (Head of the Budget Attachment Program or his/her representative, the Director of Fauna or his/her representative, the Director of OFINAP or his/her representative, and the Director General of Studies and Sectoral Statistics or his/her representative) </w:t>
      </w:r>
    </w:p>
    <w:p w14:paraId="6FB91BAC" w14:textId="77777777" w:rsidR="00302BFE" w:rsidRPr="00D45B3D" w:rsidRDefault="00302BFE" w:rsidP="00302BFE">
      <w:pPr>
        <w:spacing w:after="0"/>
        <w:rPr>
          <w:rFonts w:asciiTheme="minorHAnsi" w:hAnsiTheme="minorHAnsi" w:cstheme="minorHAnsi"/>
          <w:szCs w:val="20"/>
          <w:lang w:val="en-CA"/>
        </w:rPr>
      </w:pPr>
      <w:r w:rsidRPr="00D45B3D">
        <w:rPr>
          <w:rFonts w:asciiTheme="minorHAnsi" w:hAnsiTheme="minorHAnsi" w:cstheme="minorHAnsi"/>
          <w:szCs w:val="20"/>
          <w:lang w:val="en-CA"/>
        </w:rPr>
        <w:t>As beneficiaries:</w:t>
      </w:r>
    </w:p>
    <w:p w14:paraId="2B679623" w14:textId="77777777" w:rsidR="00302BFE" w:rsidRPr="00D45B3D" w:rsidRDefault="00302BFE" w:rsidP="00C46720">
      <w:pPr>
        <w:pStyle w:val="Paragraphedeliste"/>
        <w:numPr>
          <w:ilvl w:val="0"/>
          <w:numId w:val="45"/>
        </w:numPr>
        <w:contextualSpacing/>
        <w:rPr>
          <w:rFonts w:asciiTheme="minorHAnsi" w:hAnsiTheme="minorHAnsi" w:cstheme="minorHAnsi"/>
          <w:sz w:val="20"/>
          <w:szCs w:val="20"/>
          <w:lang w:val="en-CA"/>
        </w:rPr>
      </w:pPr>
      <w:r w:rsidRPr="00D45B3D">
        <w:rPr>
          <w:rFonts w:asciiTheme="minorHAnsi" w:hAnsiTheme="minorHAnsi" w:cstheme="minorHAnsi"/>
          <w:sz w:val="20"/>
          <w:szCs w:val="20"/>
          <w:lang w:val="en-CA"/>
        </w:rPr>
        <w:t>A representative of the Directorate General of Waters and Forests</w:t>
      </w:r>
    </w:p>
    <w:p w14:paraId="3FF791E9" w14:textId="77777777" w:rsidR="00302BFE" w:rsidRPr="00D45B3D" w:rsidRDefault="00302BFE" w:rsidP="00C46720">
      <w:pPr>
        <w:pStyle w:val="Paragraphedeliste"/>
        <w:numPr>
          <w:ilvl w:val="0"/>
          <w:numId w:val="45"/>
        </w:numPr>
        <w:contextualSpacing/>
        <w:rPr>
          <w:rFonts w:asciiTheme="minorHAnsi" w:hAnsiTheme="minorHAnsi" w:cstheme="minorHAnsi"/>
          <w:sz w:val="20"/>
          <w:szCs w:val="20"/>
          <w:lang w:val="en-CA"/>
        </w:rPr>
      </w:pPr>
      <w:r w:rsidRPr="00D45B3D">
        <w:rPr>
          <w:rFonts w:asciiTheme="minorHAnsi" w:hAnsiTheme="minorHAnsi" w:cstheme="minorHAnsi"/>
          <w:sz w:val="20"/>
          <w:szCs w:val="20"/>
          <w:lang w:val="en-CA"/>
        </w:rPr>
        <w:t>9 representatives of local authorities representing the pilot communes in the PONASI landscape that are involved in this project</w:t>
      </w:r>
    </w:p>
    <w:p w14:paraId="17A55F47" w14:textId="77777777" w:rsidR="00302BFE" w:rsidRPr="00D45B3D" w:rsidRDefault="00302BFE" w:rsidP="00C46720">
      <w:pPr>
        <w:pStyle w:val="Paragraphedeliste"/>
        <w:numPr>
          <w:ilvl w:val="0"/>
          <w:numId w:val="45"/>
        </w:numPr>
        <w:contextualSpacing/>
        <w:rPr>
          <w:rFonts w:asciiTheme="minorHAnsi" w:hAnsiTheme="minorHAnsi" w:cstheme="minorHAnsi"/>
          <w:sz w:val="20"/>
          <w:szCs w:val="20"/>
          <w:lang w:val="en-CA"/>
        </w:rPr>
      </w:pPr>
      <w:r w:rsidRPr="00D45B3D">
        <w:rPr>
          <w:rFonts w:asciiTheme="minorHAnsi" w:hAnsiTheme="minorHAnsi" w:cstheme="minorHAnsi"/>
          <w:sz w:val="20"/>
          <w:szCs w:val="20"/>
          <w:lang w:val="en-CA"/>
        </w:rPr>
        <w:t>Three representatives of the regional authorities (Center-South, Center-East and Center-West regions)</w:t>
      </w:r>
    </w:p>
    <w:p w14:paraId="3E44F325" w14:textId="77777777" w:rsidR="00302BFE" w:rsidRPr="00D45B3D" w:rsidRDefault="00302BFE" w:rsidP="00302BFE">
      <w:pPr>
        <w:spacing w:after="0"/>
        <w:rPr>
          <w:rFonts w:asciiTheme="minorHAnsi" w:hAnsiTheme="minorHAnsi" w:cstheme="minorHAnsi"/>
          <w:szCs w:val="20"/>
          <w:lang w:val="en-CA"/>
        </w:rPr>
      </w:pPr>
      <w:r w:rsidRPr="00D45B3D">
        <w:rPr>
          <w:rFonts w:asciiTheme="minorHAnsi" w:hAnsiTheme="minorHAnsi" w:cstheme="minorHAnsi"/>
          <w:szCs w:val="20"/>
          <w:lang w:val="en-CA"/>
        </w:rPr>
        <w:t xml:space="preserve">As </w:t>
      </w:r>
      <w:proofErr w:type="gramStart"/>
      <w:r w:rsidRPr="00D45B3D">
        <w:rPr>
          <w:rFonts w:asciiTheme="minorHAnsi" w:hAnsiTheme="minorHAnsi" w:cstheme="minorHAnsi"/>
          <w:szCs w:val="20"/>
          <w:lang w:val="en-CA"/>
        </w:rPr>
        <w:t>providers :</w:t>
      </w:r>
      <w:proofErr w:type="gramEnd"/>
    </w:p>
    <w:p w14:paraId="7630AFCD" w14:textId="77777777" w:rsidR="00302BFE" w:rsidRPr="00D45B3D" w:rsidRDefault="00302BFE" w:rsidP="00C46720">
      <w:pPr>
        <w:pStyle w:val="Paragraphedeliste"/>
        <w:numPr>
          <w:ilvl w:val="0"/>
          <w:numId w:val="45"/>
        </w:numPr>
        <w:contextualSpacing/>
        <w:rPr>
          <w:rFonts w:asciiTheme="minorHAnsi" w:hAnsiTheme="minorHAnsi" w:cstheme="minorHAnsi"/>
          <w:sz w:val="20"/>
          <w:szCs w:val="20"/>
          <w:lang w:val="en-CA"/>
        </w:rPr>
      </w:pPr>
      <w:r w:rsidRPr="00D45B3D">
        <w:rPr>
          <w:rFonts w:asciiTheme="minorHAnsi" w:hAnsiTheme="minorHAnsi" w:cstheme="minorHAnsi"/>
          <w:sz w:val="20"/>
          <w:szCs w:val="20"/>
          <w:lang w:val="en-CA"/>
        </w:rPr>
        <w:t>A representative of UNDP Resident Representative</w:t>
      </w:r>
    </w:p>
    <w:p w14:paraId="44D531C0" w14:textId="77777777" w:rsidR="00302BFE" w:rsidRPr="00D45B3D" w:rsidRDefault="00302BFE" w:rsidP="00C46720">
      <w:pPr>
        <w:pStyle w:val="Paragraphedeliste"/>
        <w:numPr>
          <w:ilvl w:val="0"/>
          <w:numId w:val="45"/>
        </w:numPr>
        <w:contextualSpacing/>
        <w:rPr>
          <w:rFonts w:asciiTheme="minorHAnsi" w:hAnsiTheme="minorHAnsi" w:cstheme="minorHAnsi"/>
          <w:sz w:val="20"/>
          <w:szCs w:val="20"/>
          <w:lang w:val="en-CA"/>
        </w:rPr>
      </w:pPr>
      <w:r w:rsidRPr="00D45B3D">
        <w:rPr>
          <w:rFonts w:asciiTheme="minorHAnsi" w:hAnsiTheme="minorHAnsi" w:cstheme="minorHAnsi"/>
          <w:sz w:val="20"/>
          <w:szCs w:val="20"/>
          <w:lang w:val="en-CA"/>
        </w:rPr>
        <w:t xml:space="preserve">Representatives of partner projects in the intervention zone </w:t>
      </w:r>
    </w:p>
    <w:p w14:paraId="41E26A57" w14:textId="77777777" w:rsidR="00302BFE" w:rsidRPr="00D45B3D" w:rsidRDefault="00302BFE" w:rsidP="00302BFE">
      <w:pPr>
        <w:spacing w:after="0"/>
        <w:rPr>
          <w:rFonts w:asciiTheme="minorHAnsi" w:hAnsiTheme="minorHAnsi" w:cstheme="minorHAnsi"/>
          <w:szCs w:val="20"/>
          <w:lang w:val="en-CA"/>
        </w:rPr>
      </w:pPr>
      <w:r w:rsidRPr="00D45B3D">
        <w:rPr>
          <w:rFonts w:asciiTheme="minorHAnsi" w:hAnsiTheme="minorHAnsi" w:cstheme="minorHAnsi"/>
          <w:szCs w:val="20"/>
          <w:u w:val="single"/>
          <w:lang w:val="en-CA"/>
        </w:rPr>
        <w:t>Observers and resource persons</w:t>
      </w:r>
      <w:r w:rsidRPr="00D45B3D">
        <w:rPr>
          <w:rFonts w:asciiTheme="minorHAnsi" w:hAnsiTheme="minorHAnsi" w:cstheme="minorHAnsi"/>
          <w:szCs w:val="20"/>
          <w:lang w:val="en-CA"/>
        </w:rPr>
        <w:t>:</w:t>
      </w:r>
    </w:p>
    <w:p w14:paraId="26167269" w14:textId="77777777" w:rsidR="00302BFE" w:rsidRPr="00D45B3D" w:rsidRDefault="00302BFE" w:rsidP="00C46720">
      <w:pPr>
        <w:pStyle w:val="Paragraphedeliste"/>
        <w:numPr>
          <w:ilvl w:val="0"/>
          <w:numId w:val="45"/>
        </w:numPr>
        <w:contextualSpacing/>
        <w:rPr>
          <w:rFonts w:asciiTheme="minorHAnsi" w:hAnsiTheme="minorHAnsi" w:cstheme="minorHAnsi"/>
          <w:sz w:val="20"/>
          <w:szCs w:val="20"/>
          <w:lang w:val="en-CA"/>
        </w:rPr>
      </w:pPr>
      <w:r w:rsidRPr="00D45B3D">
        <w:rPr>
          <w:rFonts w:asciiTheme="minorHAnsi" w:hAnsiTheme="minorHAnsi" w:cstheme="minorHAnsi"/>
          <w:sz w:val="20"/>
          <w:szCs w:val="20"/>
          <w:lang w:val="en-CA"/>
        </w:rPr>
        <w:t>UNDP</w:t>
      </w:r>
    </w:p>
    <w:p w14:paraId="462FE1B6" w14:textId="77777777" w:rsidR="00302BFE" w:rsidRPr="00D45B3D" w:rsidRDefault="00302BFE" w:rsidP="00C46720">
      <w:pPr>
        <w:pStyle w:val="Paragraphedeliste"/>
        <w:numPr>
          <w:ilvl w:val="0"/>
          <w:numId w:val="45"/>
        </w:numPr>
        <w:contextualSpacing/>
        <w:rPr>
          <w:rFonts w:asciiTheme="minorHAnsi" w:hAnsiTheme="minorHAnsi" w:cstheme="minorHAnsi"/>
          <w:sz w:val="20"/>
          <w:szCs w:val="20"/>
          <w:lang w:val="en-CA"/>
        </w:rPr>
      </w:pPr>
      <w:r w:rsidRPr="00D45B3D">
        <w:rPr>
          <w:rFonts w:asciiTheme="minorHAnsi" w:hAnsiTheme="minorHAnsi" w:cstheme="minorHAnsi"/>
          <w:sz w:val="20"/>
          <w:szCs w:val="20"/>
          <w:lang w:val="en-CA"/>
        </w:rPr>
        <w:t>Technical Ministries</w:t>
      </w:r>
    </w:p>
    <w:p w14:paraId="35F2EC78" w14:textId="77777777" w:rsidR="00302BFE" w:rsidRPr="00D45B3D" w:rsidRDefault="00302BFE" w:rsidP="00C46720">
      <w:pPr>
        <w:pStyle w:val="Paragraphedeliste"/>
        <w:numPr>
          <w:ilvl w:val="0"/>
          <w:numId w:val="45"/>
        </w:numPr>
        <w:contextualSpacing/>
        <w:rPr>
          <w:rFonts w:asciiTheme="minorHAnsi" w:hAnsiTheme="minorHAnsi" w:cstheme="minorHAnsi"/>
          <w:sz w:val="20"/>
          <w:szCs w:val="20"/>
          <w:lang w:val="en-CA"/>
        </w:rPr>
      </w:pPr>
      <w:r w:rsidRPr="00D45B3D">
        <w:rPr>
          <w:rFonts w:asciiTheme="minorHAnsi" w:hAnsiTheme="minorHAnsi" w:cstheme="minorHAnsi"/>
          <w:sz w:val="20"/>
          <w:szCs w:val="20"/>
          <w:lang w:val="en-CA"/>
        </w:rPr>
        <w:t>Other technical and financial partners</w:t>
      </w:r>
    </w:p>
    <w:p w14:paraId="436679E8" w14:textId="77777777" w:rsidR="00302BFE" w:rsidRPr="00D45B3D" w:rsidRDefault="00193614" w:rsidP="00302BFE">
      <w:pPr>
        <w:spacing w:before="120" w:after="120"/>
        <w:rPr>
          <w:rFonts w:asciiTheme="minorHAnsi" w:hAnsiTheme="minorHAnsi" w:cstheme="minorHAnsi"/>
          <w:szCs w:val="20"/>
          <w:lang w:val="en-CA"/>
        </w:rPr>
      </w:pPr>
      <w:r w:rsidRPr="00D45B3D">
        <w:rPr>
          <w:rFonts w:asciiTheme="minorHAnsi" w:hAnsiTheme="minorHAnsi" w:cstheme="minorHAnsi"/>
          <w:szCs w:val="20"/>
          <w:lang w:val="en-CA"/>
        </w:rPr>
        <w:t>T</w:t>
      </w:r>
      <w:r w:rsidR="00302BFE" w:rsidRPr="00D45B3D">
        <w:rPr>
          <w:rFonts w:asciiTheme="minorHAnsi" w:hAnsiTheme="minorHAnsi" w:cstheme="minorHAnsi"/>
          <w:szCs w:val="20"/>
          <w:lang w:val="en-CA"/>
        </w:rPr>
        <w:t>he Chairman of the Consultation Framework may, if necessary, invite any other person to the work of the consultation/dialogue framework of the project.</w:t>
      </w:r>
    </w:p>
    <w:p w14:paraId="4D5F899B" w14:textId="77777777" w:rsidR="00302BFE" w:rsidRPr="00D45B3D" w:rsidRDefault="00302BFE" w:rsidP="00302BFE">
      <w:pPr>
        <w:spacing w:before="120" w:after="120"/>
        <w:rPr>
          <w:rFonts w:asciiTheme="minorHAnsi" w:hAnsiTheme="minorHAnsi" w:cstheme="minorHAnsi"/>
          <w:szCs w:val="20"/>
          <w:lang w:val="en-CA"/>
        </w:rPr>
      </w:pPr>
      <w:r w:rsidRPr="00D45B3D">
        <w:rPr>
          <w:rFonts w:asciiTheme="minorHAnsi" w:hAnsiTheme="minorHAnsi" w:cstheme="minorHAnsi"/>
          <w:szCs w:val="20"/>
          <w:u w:val="single"/>
          <w:lang w:val="en-CA"/>
        </w:rPr>
        <w:t>Operation of the Consultation or Dialogue Framework</w:t>
      </w:r>
      <w:r w:rsidRPr="00D45B3D">
        <w:rPr>
          <w:rFonts w:asciiTheme="minorHAnsi" w:hAnsiTheme="minorHAnsi" w:cstheme="minorHAnsi"/>
          <w:szCs w:val="20"/>
          <w:lang w:val="en-CA"/>
        </w:rPr>
        <w:t xml:space="preserve">: The Chairman of the Dialogue Framework facilitates and coordinates the activities. He/she decides on the agenda of the sessions on proposal of the project supervisor and signs any act relating to the exercise of the missions of the dialogue framework. The Consultation Framework meets twice a year at the invitation of its </w:t>
      </w:r>
      <w:proofErr w:type="gramStart"/>
      <w:r w:rsidRPr="00D45B3D">
        <w:rPr>
          <w:rFonts w:asciiTheme="minorHAnsi" w:hAnsiTheme="minorHAnsi" w:cstheme="minorHAnsi"/>
          <w:szCs w:val="20"/>
          <w:lang w:val="en-CA"/>
        </w:rPr>
        <w:t>Chairman</w:t>
      </w:r>
      <w:proofErr w:type="gramEnd"/>
      <w:r w:rsidRPr="00D45B3D">
        <w:rPr>
          <w:rFonts w:asciiTheme="minorHAnsi" w:hAnsiTheme="minorHAnsi" w:cstheme="minorHAnsi"/>
          <w:iCs/>
          <w:noProof/>
          <w:szCs w:val="20"/>
          <w:lang w:eastAsia="zh-CN"/>
        </w:rPr>
        <w:t xml:space="preserve"> to review project progress, approve project work plans and approve major project deliverables</w:t>
      </w:r>
      <w:r w:rsidRPr="00D45B3D">
        <w:rPr>
          <w:rFonts w:asciiTheme="minorHAnsi" w:hAnsiTheme="minorHAnsi" w:cstheme="minorHAnsi"/>
          <w:szCs w:val="20"/>
          <w:lang w:val="en-CA"/>
        </w:rPr>
        <w:t xml:space="preserve">. However, it may meet in special session if </w:t>
      </w:r>
      <w:r w:rsidRPr="00D45B3D">
        <w:rPr>
          <w:rFonts w:asciiTheme="minorHAnsi" w:hAnsiTheme="minorHAnsi" w:cstheme="minorHAnsi"/>
          <w:szCs w:val="20"/>
          <w:lang w:val="en-CA"/>
        </w:rPr>
        <w:lastRenderedPageBreak/>
        <w:t xml:space="preserve">necessary. The project coordinator </w:t>
      </w:r>
      <w:proofErr w:type="gramStart"/>
      <w:r w:rsidRPr="00D45B3D">
        <w:rPr>
          <w:rFonts w:asciiTheme="minorHAnsi" w:hAnsiTheme="minorHAnsi" w:cstheme="minorHAnsi"/>
          <w:szCs w:val="20"/>
          <w:lang w:val="en-CA"/>
        </w:rPr>
        <w:t>is in charge of</w:t>
      </w:r>
      <w:proofErr w:type="gramEnd"/>
      <w:r w:rsidRPr="00D45B3D">
        <w:rPr>
          <w:rFonts w:asciiTheme="minorHAnsi" w:hAnsiTheme="minorHAnsi" w:cstheme="minorHAnsi"/>
          <w:szCs w:val="20"/>
          <w:lang w:val="en-CA"/>
        </w:rPr>
        <w:t xml:space="preserve"> the secretariat of the Dialogue Framework. The cost of organizing the Dialogue Framework sessions </w:t>
      </w:r>
      <w:proofErr w:type="gramStart"/>
      <w:r w:rsidRPr="00D45B3D">
        <w:rPr>
          <w:rFonts w:asciiTheme="minorHAnsi" w:hAnsiTheme="minorHAnsi" w:cstheme="minorHAnsi"/>
          <w:szCs w:val="20"/>
          <w:lang w:val="en-CA"/>
        </w:rPr>
        <w:t>are</w:t>
      </w:r>
      <w:proofErr w:type="gramEnd"/>
      <w:r w:rsidRPr="00D45B3D">
        <w:rPr>
          <w:rFonts w:asciiTheme="minorHAnsi" w:hAnsiTheme="minorHAnsi" w:cstheme="minorHAnsi"/>
          <w:szCs w:val="20"/>
          <w:lang w:val="en-CA"/>
        </w:rPr>
        <w:t xml:space="preserve"> supported by the project on the contributions from financial partners.</w:t>
      </w:r>
    </w:p>
    <w:p w14:paraId="652ECE5B" w14:textId="77777777" w:rsidR="00302BFE" w:rsidRPr="00D45B3D" w:rsidRDefault="00302BFE" w:rsidP="00302BFE">
      <w:pPr>
        <w:spacing w:after="120"/>
        <w:rPr>
          <w:rFonts w:asciiTheme="minorHAnsi" w:hAnsiTheme="minorHAnsi" w:cstheme="minorHAnsi"/>
          <w:szCs w:val="20"/>
        </w:rPr>
      </w:pPr>
      <w:r w:rsidRPr="00D45B3D">
        <w:rPr>
          <w:rFonts w:asciiTheme="minorHAnsi" w:hAnsiTheme="minorHAnsi" w:cstheme="minorHAnsi"/>
          <w:szCs w:val="20"/>
        </w:rPr>
        <w:t xml:space="preserve">As the Project Board will provide overall guidance to the Project; it will not be expected to deal with day-to-day management and administration of the Project. This will be handled by the Project Manager, in coordination with the Executing Agencies, and under guidance from the Country Office of the Implementing Agency (to ensure conformity with Unite Nations’ requirements). </w:t>
      </w:r>
    </w:p>
    <w:p w14:paraId="4FAF6B19" w14:textId="77777777" w:rsidR="00302BFE" w:rsidRPr="00D45B3D" w:rsidRDefault="00302BFE" w:rsidP="00302BFE">
      <w:pPr>
        <w:spacing w:after="120"/>
        <w:rPr>
          <w:rFonts w:asciiTheme="minorHAnsi" w:hAnsiTheme="minorHAnsi" w:cstheme="minorHAnsi"/>
          <w:szCs w:val="20"/>
        </w:rPr>
      </w:pPr>
      <w:r w:rsidRPr="00D45B3D">
        <w:rPr>
          <w:rFonts w:asciiTheme="minorHAnsi" w:hAnsiTheme="minorHAnsi" w:cstheme="minorHAnsi"/>
          <w:szCs w:val="20"/>
        </w:rPr>
        <w:t xml:space="preserve">The Project Board is especially responsible for evaluation and monitoring of Project outputs and achievements. In its formal meetings, the Project Board will be expected to review the Project work plan and budget expenditure, based on the Project Manager’s report. The Project Consultation/Dialogue Framework should be consulted for supporting any changes to the work plan or budget and is responsible for ensuring that the Project remains on target with respect to its outputs. Where necessary, the Project Consultation/Dialogue Framework will support definition of new targets in coordination with, and approval from, the Implementing/Executing Agencies. </w:t>
      </w:r>
    </w:p>
    <w:p w14:paraId="17AC8975" w14:textId="77777777" w:rsidR="00302BFE" w:rsidRPr="00D45B3D" w:rsidRDefault="00302BFE" w:rsidP="00302BFE">
      <w:pPr>
        <w:spacing w:after="0"/>
        <w:rPr>
          <w:rFonts w:asciiTheme="minorHAnsi" w:hAnsiTheme="minorHAnsi" w:cstheme="minorHAnsi"/>
          <w:iCs/>
          <w:noProof/>
          <w:szCs w:val="20"/>
          <w:lang w:eastAsia="zh-CN"/>
        </w:rPr>
      </w:pPr>
      <w:r w:rsidRPr="00D45B3D">
        <w:rPr>
          <w:rFonts w:asciiTheme="minorHAnsi" w:hAnsiTheme="minorHAnsi" w:cstheme="minorHAnsi"/>
          <w:iCs/>
          <w:noProof/>
          <w:szCs w:val="20"/>
          <w:lang w:eastAsia="zh-CN"/>
        </w:rPr>
        <w:t xml:space="preserve">These terms of reference will be finalized during the Project Inception Workshop. </w:t>
      </w:r>
    </w:p>
    <w:p w14:paraId="51220C25" w14:textId="77777777" w:rsidR="00302BFE" w:rsidRPr="00D45B3D" w:rsidRDefault="00302BFE" w:rsidP="00302BFE">
      <w:pPr>
        <w:spacing w:after="0"/>
        <w:rPr>
          <w:rFonts w:asciiTheme="minorHAnsi" w:hAnsiTheme="minorHAnsi" w:cstheme="minorHAnsi"/>
          <w:b/>
          <w:iCs/>
          <w:noProof/>
          <w:szCs w:val="20"/>
          <w:lang w:eastAsia="zh-CN"/>
        </w:rPr>
      </w:pPr>
    </w:p>
    <w:p w14:paraId="2238BB97" w14:textId="77777777" w:rsidR="00302BFE" w:rsidRPr="00D45B3D" w:rsidRDefault="00302BFE" w:rsidP="00302BFE">
      <w:pPr>
        <w:spacing w:after="0"/>
        <w:rPr>
          <w:rFonts w:asciiTheme="minorHAnsi" w:hAnsiTheme="minorHAnsi" w:cstheme="minorHAnsi"/>
          <w:b/>
          <w:iCs/>
          <w:noProof/>
          <w:szCs w:val="20"/>
          <w:lang w:eastAsia="zh-CN"/>
        </w:rPr>
      </w:pPr>
      <w:r w:rsidRPr="00D45B3D">
        <w:rPr>
          <w:rFonts w:asciiTheme="minorHAnsi" w:hAnsiTheme="minorHAnsi" w:cstheme="minorHAnsi"/>
          <w:b/>
          <w:iCs/>
          <w:noProof/>
          <w:szCs w:val="20"/>
          <w:lang w:eastAsia="zh-CN"/>
        </w:rPr>
        <w:t xml:space="preserve">2. Terms of Reference for Key Project Staff </w:t>
      </w:r>
    </w:p>
    <w:p w14:paraId="7AE706B6" w14:textId="77777777" w:rsidR="00302BFE" w:rsidRPr="00D45B3D" w:rsidRDefault="00302BFE" w:rsidP="00204930">
      <w:pPr>
        <w:spacing w:before="120" w:after="120"/>
        <w:rPr>
          <w:rFonts w:asciiTheme="minorHAnsi" w:eastAsia="Times New Roman" w:hAnsiTheme="minorHAnsi" w:cstheme="minorHAnsi"/>
          <w:b/>
          <w:bCs/>
          <w:color w:val="0055AA"/>
          <w:szCs w:val="20"/>
          <w:lang w:val="en-CA" w:eastAsia="fr-CA"/>
        </w:rPr>
      </w:pPr>
      <w:bookmarkStart w:id="54" w:name="_Toc404634831"/>
      <w:r w:rsidRPr="00D45B3D">
        <w:rPr>
          <w:rFonts w:asciiTheme="minorHAnsi" w:eastAsia="Times New Roman" w:hAnsiTheme="minorHAnsi" w:cstheme="minorHAnsi"/>
          <w:b/>
          <w:bCs/>
          <w:color w:val="0055AA"/>
          <w:szCs w:val="20"/>
          <w:lang w:val="en-CA" w:eastAsia="fr-CA"/>
        </w:rPr>
        <w:t>Project Manager</w:t>
      </w:r>
      <w:bookmarkEnd w:id="54"/>
      <w:r w:rsidRPr="00D45B3D">
        <w:rPr>
          <w:rFonts w:asciiTheme="minorHAnsi" w:eastAsia="Times New Roman" w:hAnsiTheme="minorHAnsi" w:cstheme="minorHAnsi"/>
          <w:b/>
          <w:bCs/>
          <w:color w:val="0055AA"/>
          <w:szCs w:val="20"/>
          <w:lang w:val="en-CA" w:eastAsia="fr-CA"/>
        </w:rPr>
        <w:t>/Coordinator</w:t>
      </w:r>
    </w:p>
    <w:p w14:paraId="7BB10261" w14:textId="77777777" w:rsidR="00302BFE" w:rsidRPr="00D45B3D" w:rsidRDefault="00302BFE" w:rsidP="00204930">
      <w:pPr>
        <w:spacing w:before="120" w:after="120"/>
        <w:rPr>
          <w:rFonts w:asciiTheme="minorHAnsi" w:hAnsiTheme="minorHAnsi" w:cstheme="minorHAnsi"/>
          <w:noProof/>
          <w:szCs w:val="20"/>
          <w:lang w:eastAsia="zh-CN"/>
        </w:rPr>
      </w:pPr>
      <w:r w:rsidRPr="00D45B3D">
        <w:rPr>
          <w:rFonts w:asciiTheme="minorHAnsi" w:hAnsiTheme="minorHAnsi" w:cstheme="minorHAnsi"/>
          <w:noProof/>
          <w:szCs w:val="20"/>
          <w:lang w:eastAsia="zh-CN"/>
        </w:rPr>
        <w:t xml:space="preserve">The National Project Coordinator (NPC), will be locally recruited following UNDP procedure, with input to the selection process from the Project partners. The position will be appointed by the project implementing agencies and funded entirely from the Project. The NPC will be responsible for the overall management of the Project, including the mobilisation of all project inputs, supervision over project staff, consultants and sub-contractors. The NPC will report to the PD in close consultation with the assigned UNDP Programme Manager for all of the Project’s substantive and administrative issues. From the strategic point of view of the Project, the PM will report on a periodic basis to the Project Consultation/Dialogue Framework, based on the PD’s instruction. Generally, the NPC will support the PD who will be responsible for meeting government obligations under the Project, under the NIM execution modality. The NPC will perform a liaison role with the government, UNDP and other UN agencies, CSOs and project partners, and maintain close collaboration with other donor agencies providing co-financing. </w:t>
      </w:r>
    </w:p>
    <w:p w14:paraId="523A16A1" w14:textId="77777777" w:rsidR="00302BFE" w:rsidRPr="00D45B3D" w:rsidRDefault="00302BFE" w:rsidP="00302BFE">
      <w:pPr>
        <w:spacing w:after="0"/>
        <w:rPr>
          <w:rFonts w:asciiTheme="minorHAnsi" w:hAnsiTheme="minorHAnsi" w:cstheme="minorHAnsi"/>
          <w:noProof/>
          <w:szCs w:val="20"/>
          <w:u w:val="single"/>
          <w:lang w:eastAsia="zh-CN"/>
        </w:rPr>
      </w:pPr>
      <w:r w:rsidRPr="00D45B3D">
        <w:rPr>
          <w:rFonts w:asciiTheme="minorHAnsi" w:hAnsiTheme="minorHAnsi" w:cstheme="minorHAnsi"/>
          <w:noProof/>
          <w:szCs w:val="20"/>
          <w:u w:val="single"/>
          <w:lang w:eastAsia="zh-CN"/>
        </w:rPr>
        <w:t>Duties and Responsibilities</w:t>
      </w:r>
    </w:p>
    <w:p w14:paraId="198311BB" w14:textId="77777777" w:rsidR="00302BFE" w:rsidRPr="00D45B3D" w:rsidRDefault="00302BFE" w:rsidP="00C46720">
      <w:pPr>
        <w:numPr>
          <w:ilvl w:val="0"/>
          <w:numId w:val="59"/>
        </w:numPr>
        <w:spacing w:after="0"/>
        <w:ind w:left="284" w:hanging="294"/>
        <w:rPr>
          <w:rFonts w:asciiTheme="minorHAnsi" w:hAnsiTheme="minorHAnsi" w:cstheme="minorHAnsi"/>
          <w:noProof/>
          <w:szCs w:val="20"/>
          <w:lang w:eastAsia="zh-CN"/>
        </w:rPr>
      </w:pPr>
      <w:r w:rsidRPr="00D45B3D">
        <w:rPr>
          <w:rFonts w:asciiTheme="minorHAnsi" w:hAnsiTheme="minorHAnsi" w:cstheme="minorHAnsi"/>
          <w:noProof/>
          <w:szCs w:val="20"/>
          <w:lang w:eastAsia="zh-CN"/>
        </w:rPr>
        <w:t>Plan the activities of the project and monitor progress against the approved work-plan.</w:t>
      </w:r>
    </w:p>
    <w:p w14:paraId="544BF458" w14:textId="77777777" w:rsidR="00302BFE" w:rsidRPr="00D45B3D" w:rsidRDefault="00302BFE" w:rsidP="00C46720">
      <w:pPr>
        <w:numPr>
          <w:ilvl w:val="0"/>
          <w:numId w:val="59"/>
        </w:numPr>
        <w:spacing w:after="0"/>
        <w:ind w:left="284" w:hanging="294"/>
        <w:rPr>
          <w:rFonts w:asciiTheme="minorHAnsi" w:hAnsiTheme="minorHAnsi" w:cstheme="minorHAnsi"/>
          <w:noProof/>
          <w:szCs w:val="20"/>
          <w:lang w:eastAsia="zh-CN"/>
        </w:rPr>
      </w:pPr>
      <w:r w:rsidRPr="00D45B3D">
        <w:rPr>
          <w:rFonts w:asciiTheme="minorHAnsi" w:hAnsiTheme="minorHAnsi" w:cstheme="minorHAnsi"/>
          <w:noProof/>
          <w:szCs w:val="20"/>
          <w:lang w:eastAsia="zh-CN"/>
        </w:rPr>
        <w:t>Supervise and coordinate the production of project outputs, as per the project document in a timely and high quality fashion.</w:t>
      </w:r>
    </w:p>
    <w:p w14:paraId="00E9C3C4" w14:textId="77777777" w:rsidR="00302BFE" w:rsidRPr="00D45B3D" w:rsidRDefault="00302BFE" w:rsidP="00C46720">
      <w:pPr>
        <w:numPr>
          <w:ilvl w:val="0"/>
          <w:numId w:val="59"/>
        </w:numPr>
        <w:spacing w:after="0"/>
        <w:ind w:left="284" w:hanging="294"/>
        <w:rPr>
          <w:rFonts w:asciiTheme="minorHAnsi" w:hAnsiTheme="minorHAnsi" w:cstheme="minorHAnsi"/>
          <w:noProof/>
          <w:szCs w:val="20"/>
          <w:lang w:eastAsia="zh-CN"/>
        </w:rPr>
      </w:pPr>
      <w:r w:rsidRPr="00D45B3D">
        <w:rPr>
          <w:rFonts w:asciiTheme="minorHAnsi" w:hAnsiTheme="minorHAnsi" w:cstheme="minorHAnsi"/>
          <w:noProof/>
          <w:szCs w:val="20"/>
          <w:lang w:eastAsia="zh-CN"/>
        </w:rPr>
        <w:t>Coordinate all project inputs and ensure that they are adhere to UNDP procedures for nationally executed projects.</w:t>
      </w:r>
    </w:p>
    <w:p w14:paraId="2307E9FB" w14:textId="77777777" w:rsidR="00302BFE" w:rsidRPr="00D45B3D" w:rsidRDefault="00302BFE" w:rsidP="00C46720">
      <w:pPr>
        <w:numPr>
          <w:ilvl w:val="0"/>
          <w:numId w:val="59"/>
        </w:numPr>
        <w:spacing w:after="0"/>
        <w:ind w:left="284" w:hanging="294"/>
        <w:rPr>
          <w:rFonts w:asciiTheme="minorHAnsi" w:hAnsiTheme="minorHAnsi" w:cstheme="minorHAnsi"/>
          <w:noProof/>
          <w:szCs w:val="20"/>
          <w:lang w:eastAsia="zh-CN"/>
        </w:rPr>
      </w:pPr>
      <w:r w:rsidRPr="00D45B3D">
        <w:rPr>
          <w:rFonts w:asciiTheme="minorHAnsi" w:hAnsiTheme="minorHAnsi" w:cstheme="minorHAnsi"/>
          <w:noProof/>
          <w:szCs w:val="20"/>
          <w:lang w:eastAsia="zh-CN"/>
        </w:rPr>
        <w:t>Supervise and coordinate the work of all project staff, consultants and sub-contractors ensuring timing and quality of outputs.</w:t>
      </w:r>
    </w:p>
    <w:p w14:paraId="01A8095F" w14:textId="77777777" w:rsidR="00302BFE" w:rsidRPr="00D45B3D" w:rsidRDefault="00302BFE" w:rsidP="00C46720">
      <w:pPr>
        <w:numPr>
          <w:ilvl w:val="0"/>
          <w:numId w:val="59"/>
        </w:numPr>
        <w:spacing w:after="0"/>
        <w:ind w:left="284" w:hanging="294"/>
        <w:rPr>
          <w:rFonts w:asciiTheme="minorHAnsi" w:hAnsiTheme="minorHAnsi" w:cstheme="minorHAnsi"/>
          <w:noProof/>
          <w:szCs w:val="20"/>
          <w:lang w:eastAsia="zh-CN"/>
        </w:rPr>
      </w:pPr>
      <w:r w:rsidRPr="00D45B3D">
        <w:rPr>
          <w:rFonts w:asciiTheme="minorHAnsi" w:hAnsiTheme="minorHAnsi" w:cstheme="minorHAnsi"/>
          <w:noProof/>
          <w:szCs w:val="20"/>
          <w:lang w:eastAsia="zh-CN"/>
        </w:rPr>
        <w:t>Coordinate the recruitment and selection of project personnel, consultants and sub-contracts, including drafting terms of reference and work specifications and overseeing all contractors’ work.</w:t>
      </w:r>
    </w:p>
    <w:p w14:paraId="267C2F8F" w14:textId="77777777" w:rsidR="00302BFE" w:rsidRPr="00D45B3D" w:rsidRDefault="00302BFE" w:rsidP="00C46720">
      <w:pPr>
        <w:numPr>
          <w:ilvl w:val="0"/>
          <w:numId w:val="59"/>
        </w:numPr>
        <w:spacing w:after="0"/>
        <w:ind w:left="284" w:hanging="294"/>
        <w:rPr>
          <w:rFonts w:asciiTheme="minorHAnsi" w:hAnsiTheme="minorHAnsi" w:cstheme="minorHAnsi"/>
          <w:noProof/>
          <w:szCs w:val="20"/>
          <w:lang w:eastAsia="zh-CN"/>
        </w:rPr>
      </w:pPr>
      <w:r w:rsidRPr="00D45B3D">
        <w:rPr>
          <w:rFonts w:asciiTheme="minorHAnsi" w:hAnsiTheme="minorHAnsi" w:cstheme="minorHAnsi"/>
          <w:noProof/>
          <w:szCs w:val="20"/>
          <w:lang w:eastAsia="zh-CN"/>
        </w:rPr>
        <w:t>Manage requests for the provision of financial resources by UNDP, through advance of funds, direct payments, or reimbursement using the UNDP provided format.</w:t>
      </w:r>
    </w:p>
    <w:p w14:paraId="053938F7" w14:textId="77777777" w:rsidR="00302BFE" w:rsidRPr="00D45B3D" w:rsidRDefault="00302BFE" w:rsidP="00C46720">
      <w:pPr>
        <w:numPr>
          <w:ilvl w:val="0"/>
          <w:numId w:val="59"/>
        </w:numPr>
        <w:spacing w:after="0"/>
        <w:ind w:left="284" w:hanging="294"/>
        <w:rPr>
          <w:rFonts w:asciiTheme="minorHAnsi" w:hAnsiTheme="minorHAnsi" w:cstheme="minorHAnsi"/>
          <w:noProof/>
          <w:szCs w:val="20"/>
          <w:lang w:eastAsia="zh-CN"/>
        </w:rPr>
      </w:pPr>
      <w:r w:rsidRPr="00D45B3D">
        <w:rPr>
          <w:rFonts w:asciiTheme="minorHAnsi" w:hAnsiTheme="minorHAnsi" w:cstheme="minorHAnsi"/>
          <w:noProof/>
          <w:szCs w:val="20"/>
          <w:lang w:eastAsia="zh-CN"/>
        </w:rPr>
        <w:t xml:space="preserve">Prepare, revise and submit project work and financial plans, as required by Project Consultation/Dialogue Framework and UNDP. </w:t>
      </w:r>
    </w:p>
    <w:p w14:paraId="7F4AFEF1" w14:textId="77777777" w:rsidR="00302BFE" w:rsidRPr="00D45B3D" w:rsidRDefault="00302BFE" w:rsidP="00C46720">
      <w:pPr>
        <w:numPr>
          <w:ilvl w:val="0"/>
          <w:numId w:val="59"/>
        </w:numPr>
        <w:spacing w:after="0"/>
        <w:ind w:left="284" w:hanging="294"/>
        <w:rPr>
          <w:rFonts w:asciiTheme="minorHAnsi" w:hAnsiTheme="minorHAnsi" w:cstheme="minorHAnsi"/>
          <w:noProof/>
          <w:szCs w:val="20"/>
          <w:lang w:eastAsia="zh-CN"/>
        </w:rPr>
      </w:pPr>
      <w:r w:rsidRPr="00D45B3D">
        <w:rPr>
          <w:rFonts w:asciiTheme="minorHAnsi" w:hAnsiTheme="minorHAnsi" w:cstheme="minorHAnsi"/>
          <w:noProof/>
          <w:szCs w:val="20"/>
          <w:lang w:eastAsia="zh-CN"/>
        </w:rPr>
        <w:t>Monitor financial resources and accounting to ensure accuracy and reliability of financial reports, submitted on a quarterly basis.</w:t>
      </w:r>
    </w:p>
    <w:p w14:paraId="7B2371FC"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 xml:space="preserve">Manage and monitor the project risks initially identified and submit new risks to the </w:t>
      </w:r>
      <w:r>
        <w:rPr>
          <w:rFonts w:cs="Arial"/>
          <w:noProof/>
          <w:szCs w:val="20"/>
          <w:lang w:eastAsia="zh-CN"/>
        </w:rPr>
        <w:t>Project Consultation/Dialogue Framework</w:t>
      </w:r>
      <w:r w:rsidRPr="00EB75D4">
        <w:rPr>
          <w:rFonts w:cs="Arial"/>
          <w:noProof/>
          <w:szCs w:val="20"/>
          <w:lang w:eastAsia="zh-CN"/>
        </w:rPr>
        <w:t xml:space="preserve"> for consideration and decision on possible actions if required; update the status of these risks by maintaining the project risks log.</w:t>
      </w:r>
    </w:p>
    <w:p w14:paraId="19D8DC4A"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 xml:space="preserve">Liaise with UNDP, </w:t>
      </w:r>
      <w:r>
        <w:rPr>
          <w:rFonts w:cs="Arial"/>
          <w:noProof/>
          <w:szCs w:val="20"/>
          <w:lang w:eastAsia="zh-CN"/>
        </w:rPr>
        <w:t>Project Consultation/Dialogue Framework</w:t>
      </w:r>
      <w:r w:rsidRPr="00EB75D4">
        <w:rPr>
          <w:rFonts w:cs="Arial"/>
          <w:noProof/>
          <w:szCs w:val="20"/>
          <w:lang w:eastAsia="zh-CN"/>
        </w:rPr>
        <w:t>, relevant government agencies, and all project partners, including donor organisations and CSOs for effective coordination of all project activities.</w:t>
      </w:r>
    </w:p>
    <w:p w14:paraId="2F87D395"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Facilitate administrative support to subcontractors and training activities supported by the Project.</w:t>
      </w:r>
    </w:p>
    <w:p w14:paraId="08CCC6A9"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Oversee and ensure timely submission of the Inception Report, Project Implementation Report, Technical reports, quarterly financial reports, and other reports as may be required by UNDP, GEF and other oversight agencies.</w:t>
      </w:r>
    </w:p>
    <w:p w14:paraId="32EDF878"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Disseminate project reports and respond to queries from concerned stakeholders.</w:t>
      </w:r>
    </w:p>
    <w:p w14:paraId="6E61DA79"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Report progress of project to the steering committees, and ensure the fulfilment of PSC directives.</w:t>
      </w:r>
    </w:p>
    <w:p w14:paraId="3B074DB7"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Oversee the exchange and sharing of experiences and lessons learned with relevant community based integrated conservation and development projects nationally and internationally.</w:t>
      </w:r>
    </w:p>
    <w:p w14:paraId="223D45C4"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 xml:space="preserve">Assist community groups, </w:t>
      </w:r>
      <w:r w:rsidR="009363D6">
        <w:rPr>
          <w:rFonts w:cs="Arial"/>
          <w:noProof/>
          <w:szCs w:val="20"/>
          <w:lang w:eastAsia="zh-CN"/>
        </w:rPr>
        <w:t>communes</w:t>
      </w:r>
      <w:r w:rsidRPr="00EB75D4">
        <w:rPr>
          <w:rFonts w:cs="Arial"/>
          <w:noProof/>
          <w:szCs w:val="20"/>
          <w:lang w:eastAsia="zh-CN"/>
        </w:rPr>
        <w:t>, CSOs, staff, and others with development of essential skills through training workshops and on the job training thereby increasing their institutional capabilities.</w:t>
      </w:r>
    </w:p>
    <w:p w14:paraId="23AA3357"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Encourage staff, partners and consultants such that strategic, intentional and demonstrable efforts are made to actively include women in the project, including activity design and planning, budgeting, staff and consultant hiring, subcontracting, purchasing, formal community governance and advocacy, outreach to social organizations, training, participation in meetings; and access to program benefits.</w:t>
      </w:r>
    </w:p>
    <w:p w14:paraId="538060DA"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Assists and advises the Project Implementation Units responsible for activity implementation in the target sites.</w:t>
      </w:r>
    </w:p>
    <w:p w14:paraId="7F1079A3"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lastRenderedPageBreak/>
        <w:t>Carry regular, announced and unannounced inspections of all sites and the activities of the Project Implementation Units.</w:t>
      </w:r>
    </w:p>
    <w:p w14:paraId="38A645F3" w14:textId="77777777" w:rsidR="00302BFE" w:rsidRPr="00EB75D4" w:rsidRDefault="00302BFE" w:rsidP="00204930">
      <w:pPr>
        <w:spacing w:before="120" w:after="0"/>
        <w:rPr>
          <w:rFonts w:cs="Arial"/>
          <w:noProof/>
          <w:szCs w:val="20"/>
          <w:u w:val="single"/>
          <w:lang w:eastAsia="zh-CN"/>
        </w:rPr>
      </w:pPr>
      <w:r w:rsidRPr="00EB75D4">
        <w:rPr>
          <w:rFonts w:cs="Arial"/>
          <w:noProof/>
          <w:szCs w:val="20"/>
          <w:u w:val="single"/>
          <w:lang w:eastAsia="zh-CN"/>
        </w:rPr>
        <w:t xml:space="preserve">Required skills and expertise </w:t>
      </w:r>
    </w:p>
    <w:p w14:paraId="5DD64468"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A university degree (MSc or PhD) in a subject related to natural resource management or environmental sciences.</w:t>
      </w:r>
    </w:p>
    <w:p w14:paraId="000B2E6A"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At least 10 years of experience in environmental business and/or natural resource planning and management (preferably in the context of protected area and biodiversity planning and management, wildlife conservation and law enforcement).</w:t>
      </w:r>
    </w:p>
    <w:p w14:paraId="480049CF"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At least 5 years of demonstrable project/programme management experience.</w:t>
      </w:r>
    </w:p>
    <w:p w14:paraId="4E1C77F8"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At least 5 years of experience working with ministries, national or provincial institutions that are concerned with natural resource and/or environmental management.</w:t>
      </w:r>
    </w:p>
    <w:p w14:paraId="0CA5AA1C" w14:textId="77777777" w:rsidR="00302BFE" w:rsidRPr="00EB75D4" w:rsidRDefault="00302BFE" w:rsidP="000D4265">
      <w:pPr>
        <w:spacing w:before="120" w:after="0"/>
        <w:rPr>
          <w:rFonts w:cs="Arial"/>
          <w:noProof/>
          <w:szCs w:val="20"/>
          <w:u w:val="single"/>
          <w:lang w:eastAsia="zh-CN"/>
        </w:rPr>
      </w:pPr>
      <w:r w:rsidRPr="00EB75D4">
        <w:rPr>
          <w:rFonts w:cs="Arial"/>
          <w:noProof/>
          <w:szCs w:val="20"/>
          <w:u w:val="single"/>
          <w:lang w:eastAsia="zh-CN"/>
        </w:rPr>
        <w:t>Competencies</w:t>
      </w:r>
    </w:p>
    <w:p w14:paraId="4A7B9DD5"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Strong leadership, managerial and coordination skills, with a demonstrated ability to effectively coordinate the implementation of large multi-stakeholder projects, including financial and technical aspects.</w:t>
      </w:r>
    </w:p>
    <w:p w14:paraId="0362CDEC"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Ability to effectively manage technical and administrative teams, work with a wide range of stakeholders across various sectors and at all levels, to develop durable partnerships with collaborating agencies.</w:t>
      </w:r>
    </w:p>
    <w:p w14:paraId="00828C89"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Ability to administer budgets, train and work effectively with counterpart staff at all levels and with all groups involved in the project.</w:t>
      </w:r>
    </w:p>
    <w:p w14:paraId="2B562748"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Ability to coordinate and supervise multiple Project Implementation Units in their implementation of technical activities in partnership with a variety of subnational stakeholder groups, including community and government.</w:t>
      </w:r>
    </w:p>
    <w:p w14:paraId="232DC1E3"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Familiarity with tourism issues, biodiversity and protected areas.</w:t>
      </w:r>
    </w:p>
    <w:p w14:paraId="2D73E072"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Strong drafting, presentation and reporting skills.</w:t>
      </w:r>
    </w:p>
    <w:p w14:paraId="51762F5F"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Strong communication skills, especially in timely and accurate responses to emails.</w:t>
      </w:r>
    </w:p>
    <w:p w14:paraId="3E042950"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Strong computer skills, in particular mastery of all applications of the MS Office package and internet search.</w:t>
      </w:r>
    </w:p>
    <w:p w14:paraId="40B1C378"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Strong knowledge about the political and socio-economic context related to the Indonesian protected area system, biodiversity conservation and law enforcement at national and subnational levels.</w:t>
      </w:r>
    </w:p>
    <w:p w14:paraId="7EA4B186" w14:textId="77777777" w:rsidR="00302BFE" w:rsidRPr="00EB75D4" w:rsidRDefault="00302BFE" w:rsidP="00C46720">
      <w:pPr>
        <w:numPr>
          <w:ilvl w:val="0"/>
          <w:numId w:val="59"/>
        </w:numPr>
        <w:spacing w:after="0"/>
        <w:ind w:left="284" w:hanging="294"/>
        <w:rPr>
          <w:rFonts w:cs="Arial"/>
          <w:noProof/>
          <w:szCs w:val="20"/>
          <w:lang w:eastAsia="zh-CN"/>
        </w:rPr>
      </w:pPr>
      <w:r w:rsidRPr="00EB75D4">
        <w:rPr>
          <w:rFonts w:cs="Arial"/>
          <w:noProof/>
          <w:szCs w:val="20"/>
          <w:lang w:eastAsia="zh-CN"/>
        </w:rPr>
        <w:t>Excellent command of French, English and local languages.</w:t>
      </w:r>
    </w:p>
    <w:p w14:paraId="74F303BD" w14:textId="77777777" w:rsidR="00302BFE" w:rsidRPr="000D4265" w:rsidRDefault="00302BFE" w:rsidP="00204930">
      <w:pPr>
        <w:spacing w:before="240" w:after="120"/>
        <w:rPr>
          <w:rFonts w:eastAsia="Times New Roman" w:cs="Arial"/>
          <w:b/>
          <w:bCs/>
          <w:color w:val="0055AA"/>
          <w:szCs w:val="20"/>
          <w:lang w:val="en-CA" w:eastAsia="fr-CA"/>
        </w:rPr>
      </w:pPr>
      <w:r w:rsidRPr="000D4265">
        <w:rPr>
          <w:rFonts w:eastAsia="Times New Roman" w:cs="Arial"/>
          <w:b/>
          <w:bCs/>
          <w:color w:val="0055AA"/>
          <w:szCs w:val="20"/>
          <w:lang w:val="en-CA" w:eastAsia="fr-CA"/>
        </w:rPr>
        <w:t>Project M&amp;E and Safeguards Expert</w:t>
      </w:r>
    </w:p>
    <w:p w14:paraId="29E35F4D" w14:textId="1B682CBD" w:rsidR="00302BFE" w:rsidRDefault="00302BFE" w:rsidP="00302BFE">
      <w:pPr>
        <w:spacing w:after="120"/>
        <w:rPr>
          <w:szCs w:val="20"/>
        </w:rPr>
      </w:pPr>
      <w:r w:rsidRPr="00930BD3">
        <w:rPr>
          <w:szCs w:val="20"/>
        </w:rPr>
        <w:t>Under the overall supervision and guidance of the Project Coordinator, the M&amp;E and Safeguards Expert will have the responsibility for project monitoring and evaluation, including coordinating the establishment of baseline values in the first year for all indicators where baseline is missing in the project results framework and updating indicators in project results framework in cooperation with other project staff for specific indicators. The M&amp;E and Safeguards Expert will work closely with the Communication/Knowledge Management Expert on knowledge management aspects of the project.</w:t>
      </w:r>
    </w:p>
    <w:p w14:paraId="068907D6" w14:textId="15C061AD" w:rsidR="00D842E2" w:rsidRDefault="00D842E2" w:rsidP="00D842E2">
      <w:pPr>
        <w:spacing w:before="120" w:after="0"/>
        <w:rPr>
          <w:szCs w:val="20"/>
        </w:rPr>
      </w:pPr>
      <w:r>
        <w:rPr>
          <w:rFonts w:cs="Arial"/>
          <w:noProof/>
          <w:szCs w:val="20"/>
          <w:u w:val="single"/>
          <w:lang w:eastAsia="zh-CN"/>
        </w:rPr>
        <w:t>Duties and Responsibilities:</w:t>
      </w:r>
    </w:p>
    <w:p w14:paraId="12CBC758"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Monitor project progress and participate in the production of progress reports ensuring that they meet the necessary reporting requirements and standards;</w:t>
      </w:r>
    </w:p>
    <w:p w14:paraId="2EAB418D"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Ensure project’s M&amp;E meets the requirements of the Government, the UNDP Country Office, and UNDP-GEF; develop project-specific M&amp;E tools as necessary;</w:t>
      </w:r>
    </w:p>
    <w:p w14:paraId="7AFE9C1B"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Oversee and ensure the implementation of the project’s M&amp;E plan, including periodic appraisal of the Project’s Theory of Change and Results Framework with reference to actual and potential project progress and results, including reporting as part of annual review processes, for the PIR and end of the year review;</w:t>
      </w:r>
    </w:p>
    <w:p w14:paraId="14B7A881"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Oversee/develop/coordinate the implementation of the stakeholder engagement plan;</w:t>
      </w:r>
    </w:p>
    <w:p w14:paraId="64C81788"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Review the SESP annually, and update and revise corresponding risk log; mitigation/management plans as necessary;</w:t>
      </w:r>
    </w:p>
    <w:p w14:paraId="6B3B9EDC"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Continuous monitoring of environmental and social risks;</w:t>
      </w:r>
    </w:p>
    <w:p w14:paraId="694A51AF"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Ensure that each project activity is subject to the project's ESMP process and procedures and conduct an environmental and social review of activities.</w:t>
      </w:r>
    </w:p>
    <w:p w14:paraId="632C98D7"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Ensure environmental and social risks are identified, avoided, mitigated and managed throughout project implementation;</w:t>
      </w:r>
    </w:p>
    <w:p w14:paraId="40F04A05"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Evaluate social risks that may emerge and/are triggered by project activities and provide recommendations on mitigation strategies;</w:t>
      </w:r>
    </w:p>
    <w:p w14:paraId="5D547A75"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Prepare safeguard reports as needed;</w:t>
      </w:r>
    </w:p>
    <w:p w14:paraId="0CEAAFC7"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Support the Project Manager in documenting and addressing environmental and social grievances;</w:t>
      </w:r>
    </w:p>
    <w:p w14:paraId="22660D88"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Oversee and guide the design of surveys/ assessments commissioned for monitoring and evaluating project results, especially for the establishment of indicators baselines in the first year of the project, where relevant;</w:t>
      </w:r>
    </w:p>
    <w:p w14:paraId="4021E2A3"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Facilitate mid-term and terminal evaluations of the project, including management responses;</w:t>
      </w:r>
    </w:p>
    <w:p w14:paraId="6F0064F3"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Facilitate annual reviews of the project and produce analytical reports from these annual reviews, including learning and other knowledge management products;</w:t>
      </w:r>
    </w:p>
    <w:p w14:paraId="7D2DA108"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lastRenderedPageBreak/>
        <w:t xml:space="preserve">Support project site M&amp;E and learning missions; </w:t>
      </w:r>
    </w:p>
    <w:p w14:paraId="5A879954"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Visit project sites as and when required to appraise project progress on the ground and validate written progress reports.</w:t>
      </w:r>
    </w:p>
    <w:p w14:paraId="14AB9FF8" w14:textId="2F2EE32A" w:rsidR="00302BFE" w:rsidRPr="00D842E2" w:rsidRDefault="00D842E2" w:rsidP="00D842E2">
      <w:pPr>
        <w:spacing w:before="120" w:after="0"/>
        <w:rPr>
          <w:szCs w:val="20"/>
          <w:u w:val="single"/>
        </w:rPr>
      </w:pPr>
      <w:r w:rsidRPr="00D842E2">
        <w:rPr>
          <w:szCs w:val="20"/>
          <w:u w:val="single"/>
        </w:rPr>
        <w:t>Required skills and expertise</w:t>
      </w:r>
    </w:p>
    <w:p w14:paraId="1724B866"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 xml:space="preserve">Masters degree, preferably in the field of environmental or natural resources management; </w:t>
      </w:r>
    </w:p>
    <w:p w14:paraId="76C2E995"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At least five years of relevant work experience preferably in a project management setting involving multi-lateral/ international funding agency. Previous experience with UN project will be a definite asset;</w:t>
      </w:r>
    </w:p>
    <w:p w14:paraId="2E87F2BD"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Significant experience in collating, analyzing and writing up results for reporting purposes;</w:t>
      </w:r>
    </w:p>
    <w:p w14:paraId="30780F02"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Very good knowledge of results-based management and project cycle management, particularly with regards to M&amp;E approach and methods. Formal training in biodiversity conservation, sustainable natural resource management, and/or SLM, CSA, will be a definite asset;</w:t>
      </w:r>
    </w:p>
    <w:p w14:paraId="08E48B1C"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Knowledge and working experience of the application of gender mainstreaming in international projects;</w:t>
      </w:r>
    </w:p>
    <w:p w14:paraId="42B95A4F"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 xml:space="preserve">Understanding of biodiversity conservation, sustainable natural resource management, SLM, and CSA, climate change, and associated issues; </w:t>
      </w:r>
    </w:p>
    <w:p w14:paraId="5BCA57D2"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Very good inter-personal skills;</w:t>
      </w:r>
    </w:p>
    <w:p w14:paraId="7C980C4B"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Proficiency in computer application and information technology;</w:t>
      </w:r>
    </w:p>
    <w:p w14:paraId="701CA6DC"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Excellent language skills in French and English (writing, speaking and reading).</w:t>
      </w:r>
    </w:p>
    <w:p w14:paraId="50A1B969" w14:textId="77777777" w:rsidR="00302BFE" w:rsidRPr="000D4265" w:rsidRDefault="00302BFE" w:rsidP="00D842E2">
      <w:pPr>
        <w:spacing w:before="240" w:after="120"/>
        <w:rPr>
          <w:rFonts w:eastAsia="Times New Roman" w:cs="Arial"/>
          <w:b/>
          <w:bCs/>
          <w:color w:val="0055AA"/>
          <w:szCs w:val="20"/>
          <w:lang w:val="en-CA" w:eastAsia="fr-CA"/>
        </w:rPr>
      </w:pPr>
      <w:r w:rsidRPr="000D4265">
        <w:rPr>
          <w:rFonts w:eastAsia="Times New Roman" w:cs="Arial"/>
          <w:b/>
          <w:bCs/>
          <w:color w:val="0055AA"/>
          <w:szCs w:val="20"/>
          <w:lang w:val="en-CA" w:eastAsia="fr-CA"/>
        </w:rPr>
        <w:t>Project Gender Specialist</w:t>
      </w:r>
    </w:p>
    <w:p w14:paraId="244A458C" w14:textId="77777777" w:rsidR="00D842E2" w:rsidRDefault="00302BFE" w:rsidP="00302BFE">
      <w:pPr>
        <w:spacing w:after="120"/>
        <w:rPr>
          <w:szCs w:val="20"/>
        </w:rPr>
      </w:pPr>
      <w:r w:rsidRPr="00FE1259">
        <w:rPr>
          <w:szCs w:val="20"/>
        </w:rPr>
        <w:t xml:space="preserve">Under the overall supervision and guidance of the Project </w:t>
      </w:r>
      <w:r w:rsidR="000D4265">
        <w:rPr>
          <w:szCs w:val="20"/>
        </w:rPr>
        <w:t>Coordinator</w:t>
      </w:r>
      <w:r w:rsidRPr="00FE1259">
        <w:rPr>
          <w:szCs w:val="20"/>
        </w:rPr>
        <w:t xml:space="preserve">, the Gender </w:t>
      </w:r>
      <w:r>
        <w:rPr>
          <w:szCs w:val="20"/>
        </w:rPr>
        <w:t>Specialist</w:t>
      </w:r>
      <w:r w:rsidRPr="00FE1259">
        <w:rPr>
          <w:szCs w:val="20"/>
        </w:rPr>
        <w:t xml:space="preserve"> will have the responsibility for the implementation of the Gender Action Plan. The Gender </w:t>
      </w:r>
      <w:r>
        <w:rPr>
          <w:szCs w:val="20"/>
        </w:rPr>
        <w:t>Specialist</w:t>
      </w:r>
      <w:r w:rsidRPr="00FE1259">
        <w:rPr>
          <w:szCs w:val="20"/>
        </w:rPr>
        <w:t xml:space="preserve"> will work closely with the M&amp;E and Safeguards Expert, and Communications Officer on related aspects of project implementation, reporting, monitoring, </w:t>
      </w:r>
      <w:proofErr w:type="gramStart"/>
      <w:r w:rsidRPr="00FE1259">
        <w:rPr>
          <w:szCs w:val="20"/>
        </w:rPr>
        <w:t>evaluation</w:t>
      </w:r>
      <w:proofErr w:type="gramEnd"/>
      <w:r w:rsidRPr="00FE1259">
        <w:rPr>
          <w:szCs w:val="20"/>
        </w:rPr>
        <w:t xml:space="preserve"> and communication. </w:t>
      </w:r>
    </w:p>
    <w:p w14:paraId="6752DACB" w14:textId="52298313" w:rsidR="00302BFE" w:rsidRPr="00426D92" w:rsidRDefault="00D842E2" w:rsidP="00D842E2">
      <w:pPr>
        <w:spacing w:before="120" w:after="0"/>
        <w:rPr>
          <w:szCs w:val="20"/>
        </w:rPr>
      </w:pPr>
      <w:r w:rsidRPr="00D842E2">
        <w:rPr>
          <w:szCs w:val="20"/>
          <w:u w:val="single"/>
        </w:rPr>
        <w:t>Duties and Responsibilities</w:t>
      </w:r>
      <w:r w:rsidR="00302BFE" w:rsidRPr="00FE1259">
        <w:rPr>
          <w:szCs w:val="20"/>
        </w:rPr>
        <w:t>:</w:t>
      </w:r>
    </w:p>
    <w:p w14:paraId="70A07BEE"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Monitor progress in implementation of the project Gender Action Plan ensuring that targets are fully met and the reporting requirements are fulfilled;</w:t>
      </w:r>
    </w:p>
    <w:p w14:paraId="57BF3FA9"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Oversee/develop/coordinate implementation of all gender-related work;</w:t>
      </w:r>
    </w:p>
    <w:p w14:paraId="5EFA2D4E"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Review the Gender Action Plan annually, and update and revise corresponding management plans as necessary;</w:t>
      </w:r>
    </w:p>
    <w:p w14:paraId="3EA8ED4A"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Work with the M&amp;E and Safeguards Expert to ensure reporting, monitoring and evaluation fully address the gender issues of the project.</w:t>
      </w:r>
    </w:p>
    <w:p w14:paraId="71A4158F" w14:textId="1FE67E47" w:rsidR="00302BFE" w:rsidRPr="00D842E2" w:rsidRDefault="00D842E2" w:rsidP="00D842E2">
      <w:pPr>
        <w:spacing w:before="120" w:after="0"/>
        <w:rPr>
          <w:szCs w:val="20"/>
          <w:u w:val="single"/>
        </w:rPr>
      </w:pPr>
      <w:r w:rsidRPr="00D842E2">
        <w:rPr>
          <w:szCs w:val="20"/>
          <w:u w:val="single"/>
        </w:rPr>
        <w:t>Required skills and expertise</w:t>
      </w:r>
      <w:r w:rsidR="00302BFE" w:rsidRPr="00D842E2">
        <w:rPr>
          <w:szCs w:val="20"/>
          <w:u w:val="single"/>
        </w:rPr>
        <w:t>:</w:t>
      </w:r>
    </w:p>
    <w:p w14:paraId="3EDBFB72"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Master’s degree in gender studies, gender and development, environment, sustainable development or closely related area;</w:t>
      </w:r>
    </w:p>
    <w:p w14:paraId="184A1EDB"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Demonstrated understanding of issues related to gender and sustainable development; at least 5 years of practical working experience in gender mainstreaming, women’s empowerment and sustainable development in Burkina Faso;</w:t>
      </w:r>
    </w:p>
    <w:p w14:paraId="6E8E743F"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Proven experience in gender issues in Burkina Faso;</w:t>
      </w:r>
    </w:p>
    <w:p w14:paraId="6A0E9A08"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Previous experience with UN projects will be a definite asset;</w:t>
      </w:r>
    </w:p>
    <w:p w14:paraId="4D381C91"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Demonstrated understanding of the links between sustainable development, social and gender issues;</w:t>
      </w:r>
    </w:p>
    <w:p w14:paraId="7CACC395"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Experience in gender responsive capacity building;</w:t>
      </w:r>
    </w:p>
    <w:p w14:paraId="0AD83454"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Experience with project development and results-based management methodologies is highly desired/required;</w:t>
      </w:r>
    </w:p>
    <w:p w14:paraId="235C1E1C"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Excellent analytical, writing, advocacy, presentation, and communications skills;</w:t>
      </w:r>
    </w:p>
    <w:p w14:paraId="1FFBD65D" w14:textId="102D4673"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 xml:space="preserve">Excellent </w:t>
      </w:r>
      <w:r w:rsidR="00D842E2">
        <w:rPr>
          <w:rFonts w:cs="Arial"/>
          <w:noProof/>
          <w:szCs w:val="20"/>
          <w:lang w:eastAsia="zh-CN"/>
        </w:rPr>
        <w:t xml:space="preserve">written ans spoken </w:t>
      </w:r>
      <w:r w:rsidRPr="000D4265">
        <w:rPr>
          <w:rFonts w:cs="Arial"/>
          <w:noProof/>
          <w:szCs w:val="20"/>
          <w:lang w:eastAsia="zh-CN"/>
        </w:rPr>
        <w:t>language skills in French, English and local languages.</w:t>
      </w:r>
    </w:p>
    <w:p w14:paraId="20102694" w14:textId="77777777" w:rsidR="00302BFE" w:rsidRPr="000D4265" w:rsidRDefault="00302BFE" w:rsidP="00D842E2">
      <w:pPr>
        <w:spacing w:before="240" w:after="120"/>
        <w:rPr>
          <w:rFonts w:eastAsia="Times New Roman" w:cs="Arial"/>
          <w:b/>
          <w:bCs/>
          <w:color w:val="0055AA"/>
          <w:szCs w:val="20"/>
          <w:lang w:val="en-CA" w:eastAsia="fr-CA"/>
        </w:rPr>
      </w:pPr>
      <w:r w:rsidRPr="000D4265">
        <w:rPr>
          <w:rFonts w:eastAsia="Times New Roman" w:cs="Arial"/>
          <w:b/>
          <w:bCs/>
          <w:color w:val="0055AA"/>
          <w:szCs w:val="20"/>
          <w:lang w:val="en-CA" w:eastAsia="fr-CA"/>
        </w:rPr>
        <w:t>Project Communication /Knowledge Management Expert</w:t>
      </w:r>
    </w:p>
    <w:p w14:paraId="26A4B2D7" w14:textId="15798FD3" w:rsidR="00302BFE" w:rsidRDefault="00302BFE" w:rsidP="00302BFE">
      <w:pPr>
        <w:spacing w:after="120"/>
        <w:rPr>
          <w:szCs w:val="20"/>
        </w:rPr>
      </w:pPr>
      <w:r w:rsidRPr="00426D92">
        <w:rPr>
          <w:szCs w:val="20"/>
        </w:rPr>
        <w:t xml:space="preserve">Under the overall supervision and guidance of the Project Manager, the </w:t>
      </w:r>
      <w:r w:rsidRPr="008F7A4B">
        <w:rPr>
          <w:szCs w:val="20"/>
        </w:rPr>
        <w:t>Communication /Knowledge Management Expert</w:t>
      </w:r>
      <w:r w:rsidRPr="00426D92">
        <w:rPr>
          <w:szCs w:val="20"/>
        </w:rPr>
        <w:t xml:space="preserve"> will have the responsibility for leading knowledge management outputs in Component 4 and developing the project communications strategy at the project outset and coordinating its implementation across all project components. The </w:t>
      </w:r>
      <w:r w:rsidRPr="008F7A4B">
        <w:rPr>
          <w:szCs w:val="20"/>
        </w:rPr>
        <w:t>Communication /Knowledge Management Expert</w:t>
      </w:r>
      <w:r w:rsidRPr="00426D92">
        <w:rPr>
          <w:szCs w:val="20"/>
        </w:rPr>
        <w:t xml:space="preserve"> will work closely with the M&amp;E</w:t>
      </w:r>
      <w:r>
        <w:rPr>
          <w:szCs w:val="20"/>
        </w:rPr>
        <w:t>/Safeguards</w:t>
      </w:r>
      <w:r w:rsidRPr="00426D92">
        <w:rPr>
          <w:szCs w:val="20"/>
        </w:rPr>
        <w:t xml:space="preserve"> Expert on knowledge management aspects of the project. </w:t>
      </w:r>
    </w:p>
    <w:p w14:paraId="738F4EB7" w14:textId="44651CEA" w:rsidR="00D842E2" w:rsidRPr="00204930" w:rsidRDefault="00D842E2" w:rsidP="00204930">
      <w:pPr>
        <w:spacing w:before="120" w:after="0"/>
        <w:rPr>
          <w:rFonts w:cs="Arial"/>
          <w:noProof/>
          <w:szCs w:val="20"/>
          <w:u w:val="single"/>
          <w:lang w:eastAsia="zh-CN"/>
        </w:rPr>
      </w:pPr>
      <w:r>
        <w:rPr>
          <w:rFonts w:cs="Arial"/>
          <w:noProof/>
          <w:szCs w:val="20"/>
          <w:u w:val="single"/>
          <w:lang w:eastAsia="zh-CN"/>
        </w:rPr>
        <w:t>Duties and Responsibilities:</w:t>
      </w:r>
    </w:p>
    <w:p w14:paraId="176DA8FE"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Develop a project communications strategy / plan, incorporate it with the annual work plans and update it annually in consultation with project stakeholders; coordinate its implementation;</w:t>
      </w:r>
    </w:p>
    <w:p w14:paraId="64F8C54E"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Coordinate the implementation of knowledge management outputs of the project;</w:t>
      </w:r>
    </w:p>
    <w:p w14:paraId="36B6218B"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Coordinate and oversee the implementation of public awareness activities across all project components, including support to the implementation of awareness activities among stakeholders;</w:t>
      </w:r>
    </w:p>
    <w:p w14:paraId="0431B408"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Facilitate the design and maintenance of the project website/webpages and ensure it is up-to-date and dynamic;</w:t>
      </w:r>
    </w:p>
    <w:p w14:paraId="01D444EB"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Facilitate learning and sharing of knowledge and experiences relevant to the project.</w:t>
      </w:r>
    </w:p>
    <w:p w14:paraId="47648CB7" w14:textId="08D98DD7" w:rsidR="00302BFE" w:rsidRPr="00204930" w:rsidRDefault="00D842E2" w:rsidP="000D4265">
      <w:pPr>
        <w:spacing w:before="120" w:after="0"/>
        <w:rPr>
          <w:rFonts w:cs="Arial"/>
          <w:noProof/>
          <w:szCs w:val="20"/>
          <w:u w:val="single"/>
          <w:lang w:eastAsia="zh-CN"/>
        </w:rPr>
      </w:pPr>
      <w:r w:rsidRPr="00204930">
        <w:rPr>
          <w:rFonts w:cs="Arial"/>
          <w:noProof/>
          <w:szCs w:val="20"/>
          <w:u w:val="single"/>
          <w:lang w:eastAsia="zh-CN"/>
        </w:rPr>
        <w:lastRenderedPageBreak/>
        <w:t>Required skills and expertise</w:t>
      </w:r>
      <w:r w:rsidR="00302BFE" w:rsidRPr="00204930">
        <w:rPr>
          <w:rFonts w:cs="Arial"/>
          <w:noProof/>
          <w:szCs w:val="20"/>
          <w:u w:val="single"/>
          <w:lang w:eastAsia="zh-CN"/>
        </w:rPr>
        <w:t>:</w:t>
      </w:r>
    </w:p>
    <w:p w14:paraId="77771BCD"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 xml:space="preserve">A Bachelors degree, preferably in the field of community development or natural resource / environmental management; </w:t>
      </w:r>
    </w:p>
    <w:p w14:paraId="2F7277B7"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A communications qualification;</w:t>
      </w:r>
    </w:p>
    <w:p w14:paraId="55678537"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At least three years of relevant work experience of communications for project or programme implementation, ideally involving international donors. Previous experience with UN projects will be a definite asset;</w:t>
      </w:r>
    </w:p>
    <w:p w14:paraId="7F6E71BB"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Previous experience in developing and implementing communications strategies for organizations or projects;</w:t>
      </w:r>
    </w:p>
    <w:p w14:paraId="4B0E2292"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Strong professional working capacity to use information and communications technology, specifically including website design and desk top publishing software;</w:t>
      </w:r>
    </w:p>
    <w:p w14:paraId="78511CD1"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 xml:space="preserve">Understanding of, biodiversity conservation, natural resources management, climate change, SLM, CSA, and associated issues; </w:t>
      </w:r>
    </w:p>
    <w:p w14:paraId="5ACB7FB3"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 xml:space="preserve">Very good inter-personal skills; </w:t>
      </w:r>
    </w:p>
    <w:p w14:paraId="4BEEE6F2"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Excellent language skills in French, English and local languages (writing, speaking and reading).</w:t>
      </w:r>
    </w:p>
    <w:p w14:paraId="5D260E80" w14:textId="77777777" w:rsidR="00302BFE" w:rsidRPr="000D4265" w:rsidRDefault="00302BFE" w:rsidP="00204930">
      <w:pPr>
        <w:spacing w:before="240" w:after="120"/>
        <w:rPr>
          <w:rFonts w:eastAsia="Times New Roman" w:cs="Arial"/>
          <w:b/>
          <w:bCs/>
          <w:color w:val="0055AA"/>
          <w:szCs w:val="20"/>
          <w:lang w:val="en-CA" w:eastAsia="fr-CA"/>
        </w:rPr>
      </w:pPr>
      <w:r w:rsidRPr="000D4265">
        <w:rPr>
          <w:rFonts w:eastAsia="Times New Roman" w:cs="Arial"/>
          <w:b/>
          <w:bCs/>
          <w:color w:val="0055AA"/>
          <w:szCs w:val="20"/>
          <w:lang w:val="en-CA" w:eastAsia="fr-CA"/>
        </w:rPr>
        <w:t>Project Financial/Administrative Assistant</w:t>
      </w:r>
    </w:p>
    <w:p w14:paraId="18073964" w14:textId="5DC47040" w:rsidR="00302BFE" w:rsidRPr="00426D92" w:rsidRDefault="00302BFE" w:rsidP="00302BFE">
      <w:pPr>
        <w:spacing w:after="120"/>
        <w:rPr>
          <w:szCs w:val="20"/>
        </w:rPr>
      </w:pPr>
      <w:r w:rsidRPr="00426D92">
        <w:rPr>
          <w:szCs w:val="20"/>
        </w:rPr>
        <w:t xml:space="preserve">Under the guidance and supervision of the Project </w:t>
      </w:r>
      <w:r>
        <w:rPr>
          <w:szCs w:val="20"/>
        </w:rPr>
        <w:t>Coordinator</w:t>
      </w:r>
      <w:r w:rsidRPr="00426D92">
        <w:rPr>
          <w:szCs w:val="20"/>
        </w:rPr>
        <w:t xml:space="preserve">, the Project Financial/Administrative Assistant will have the following specific </w:t>
      </w:r>
      <w:r w:rsidR="00D842E2" w:rsidRPr="00E925C4">
        <w:rPr>
          <w:szCs w:val="20"/>
          <w:u w:val="single"/>
        </w:rPr>
        <w:t xml:space="preserve">duties and </w:t>
      </w:r>
      <w:r w:rsidRPr="00E925C4">
        <w:rPr>
          <w:szCs w:val="20"/>
          <w:u w:val="single"/>
        </w:rPr>
        <w:t>responsibilities</w:t>
      </w:r>
      <w:r w:rsidRPr="00426D92">
        <w:rPr>
          <w:szCs w:val="20"/>
        </w:rPr>
        <w:t>:</w:t>
      </w:r>
    </w:p>
    <w:p w14:paraId="68317297" w14:textId="77777777" w:rsidR="00302BFE" w:rsidRPr="000D4265" w:rsidRDefault="00302BFE" w:rsidP="00C46720">
      <w:pPr>
        <w:numPr>
          <w:ilvl w:val="0"/>
          <w:numId w:val="59"/>
        </w:numPr>
        <w:spacing w:after="0"/>
        <w:ind w:left="284" w:hanging="294"/>
        <w:rPr>
          <w:rFonts w:cs="Arial"/>
          <w:noProof/>
          <w:szCs w:val="20"/>
          <w:lang w:eastAsia="zh-CN"/>
        </w:rPr>
      </w:pPr>
      <w:r w:rsidRPr="000D4265">
        <w:rPr>
          <w:rFonts w:cs="Arial"/>
          <w:noProof/>
          <w:szCs w:val="20"/>
          <w:lang w:eastAsia="zh-CN"/>
        </w:rPr>
        <w:t>Keep records of project funds and expenditures, and ensure all project-related financial documentation are well maintained and readily available when required by the Project Coordinator;</w:t>
      </w:r>
    </w:p>
    <w:p w14:paraId="4C05ECB6" w14:textId="77777777"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Review project expenditures and ensure that project funds are used in compliance with the Project Document and Government of Burkina Faso financial rules and procedures;</w:t>
      </w:r>
    </w:p>
    <w:p w14:paraId="1A56E480" w14:textId="77777777"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Validate and certify FACE forms before submission to UNDP;</w:t>
      </w:r>
    </w:p>
    <w:p w14:paraId="1288C8F0" w14:textId="77777777"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Provide necessary financial information as and when required for project management decisions;</w:t>
      </w:r>
    </w:p>
    <w:p w14:paraId="249148C6" w14:textId="77777777"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Provide necessary financial information during project audit(s);</w:t>
      </w:r>
    </w:p>
    <w:p w14:paraId="74A1A67F" w14:textId="77777777"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Review annual budgets and project expenditure reports, and notify the Project Coordinator if there are any discrepancies or issues;</w:t>
      </w:r>
    </w:p>
    <w:p w14:paraId="787D5CC8" w14:textId="77777777"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Consolidate financial progress reports submitted by the responsible parties for implementation of project activities;</w:t>
      </w:r>
    </w:p>
    <w:p w14:paraId="7C5D4E3A" w14:textId="77777777"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Liaise and follow up with the responsible parties for implementation of project activities in matters related to project funds and financial progress reports;</w:t>
      </w:r>
    </w:p>
    <w:p w14:paraId="228F04BA" w14:textId="04BBF6B9"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Assist the Project Coordinator in day-to-day management and oversight of project activities;</w:t>
      </w:r>
    </w:p>
    <w:p w14:paraId="39F4C0F1" w14:textId="66C4F3F4" w:rsidR="00BC5CDF" w:rsidRPr="00D61C93" w:rsidRDefault="00BC5CDF" w:rsidP="00C46720">
      <w:pPr>
        <w:numPr>
          <w:ilvl w:val="0"/>
          <w:numId w:val="59"/>
        </w:numPr>
        <w:spacing w:after="0"/>
        <w:ind w:left="284" w:hanging="294"/>
        <w:rPr>
          <w:rFonts w:cs="Arial"/>
          <w:noProof/>
          <w:szCs w:val="20"/>
          <w:lang w:eastAsia="zh-CN"/>
        </w:rPr>
      </w:pPr>
      <w:r w:rsidRPr="00D61C93">
        <w:rPr>
          <w:rFonts w:cs="Arial"/>
          <w:noProof/>
          <w:szCs w:val="20"/>
          <w:lang w:eastAsia="zh-CN"/>
        </w:rPr>
        <w:t>Assist the Project Procurement Specialist in the 3 first years of the project and takes over procurement responsibilities in the following years;</w:t>
      </w:r>
    </w:p>
    <w:p w14:paraId="63B51E92" w14:textId="77777777"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Assist the M&amp;E officer in matters related to M&amp;E and knowledge resources management;</w:t>
      </w:r>
    </w:p>
    <w:p w14:paraId="3662C06C" w14:textId="77777777"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Assist in the preparation of progress reports;</w:t>
      </w:r>
    </w:p>
    <w:p w14:paraId="057CD2F8" w14:textId="77777777"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Ensure all project documentation (progress reports, consulting and other technical reports, minutes of meetings, etc.) are properly maintained in hard and electronic copies in an efficient and readily accessible filing system, for when required by UNDP, project consultants and other PCU staff;</w:t>
      </w:r>
    </w:p>
    <w:p w14:paraId="20B61E81" w14:textId="77777777"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Provide PCU-related administrative and logistical assistance.</w:t>
      </w:r>
    </w:p>
    <w:p w14:paraId="40B65BBD" w14:textId="1B87C6B4" w:rsidR="00302BFE" w:rsidRPr="00D61C93" w:rsidRDefault="00D842E2" w:rsidP="000D4265">
      <w:pPr>
        <w:spacing w:before="120" w:after="0"/>
        <w:rPr>
          <w:szCs w:val="20"/>
        </w:rPr>
      </w:pPr>
      <w:r w:rsidRPr="00D61C93">
        <w:rPr>
          <w:rFonts w:cs="Arial"/>
          <w:noProof/>
          <w:szCs w:val="20"/>
          <w:u w:val="single"/>
          <w:lang w:eastAsia="zh-CN"/>
        </w:rPr>
        <w:t>Required skills and expertise</w:t>
      </w:r>
      <w:r w:rsidR="00302BFE" w:rsidRPr="00D61C93">
        <w:rPr>
          <w:szCs w:val="20"/>
        </w:rPr>
        <w:t>:</w:t>
      </w:r>
    </w:p>
    <w:p w14:paraId="2EEA28EB" w14:textId="60C58242"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A Bachelor degree or an advanced diploma in accounting/ financial management;</w:t>
      </w:r>
    </w:p>
    <w:p w14:paraId="68308F3E" w14:textId="77777777"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At least five years of relevant work experience preferably in a project management setting involving multi-lateral/ international funding agency. Previous experience with UN project will be a definite asset;</w:t>
      </w:r>
    </w:p>
    <w:p w14:paraId="29F42F7E" w14:textId="77777777"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Proficiency in the use of computer software applications particularly MS Excel;</w:t>
      </w:r>
    </w:p>
    <w:p w14:paraId="17CEB2D1" w14:textId="77777777" w:rsidR="00302BFE" w:rsidRPr="00D61C93" w:rsidRDefault="00302BFE" w:rsidP="00C46720">
      <w:pPr>
        <w:numPr>
          <w:ilvl w:val="0"/>
          <w:numId w:val="59"/>
        </w:numPr>
        <w:spacing w:after="0"/>
        <w:ind w:left="284" w:hanging="294"/>
        <w:rPr>
          <w:rFonts w:cs="Arial"/>
          <w:noProof/>
          <w:szCs w:val="20"/>
          <w:lang w:eastAsia="zh-CN"/>
        </w:rPr>
      </w:pPr>
      <w:r w:rsidRPr="00D61C93">
        <w:rPr>
          <w:rFonts w:cs="Arial"/>
          <w:noProof/>
          <w:szCs w:val="20"/>
          <w:lang w:eastAsia="zh-CN"/>
        </w:rPr>
        <w:t xml:space="preserve">Excellent language skills in French and English (writing, speaking and reading). </w:t>
      </w:r>
    </w:p>
    <w:p w14:paraId="373DAEDE" w14:textId="77777777" w:rsidR="000D4265" w:rsidRPr="00D61C93" w:rsidRDefault="000D4265" w:rsidP="00204930">
      <w:pPr>
        <w:spacing w:before="240" w:after="120"/>
        <w:rPr>
          <w:rFonts w:eastAsia="Times New Roman" w:cs="Arial"/>
          <w:b/>
          <w:bCs/>
          <w:color w:val="0055AA"/>
          <w:szCs w:val="20"/>
          <w:lang w:val="en-CA" w:eastAsia="fr-CA"/>
        </w:rPr>
      </w:pPr>
      <w:r w:rsidRPr="00D61C93">
        <w:rPr>
          <w:rFonts w:eastAsia="Times New Roman" w:cs="Arial"/>
          <w:b/>
          <w:bCs/>
          <w:color w:val="0055AA"/>
          <w:szCs w:val="20"/>
          <w:lang w:val="en-CA" w:eastAsia="fr-CA"/>
        </w:rPr>
        <w:t xml:space="preserve">Procurement Specialist </w:t>
      </w:r>
    </w:p>
    <w:p w14:paraId="0AF396B8" w14:textId="463E064D" w:rsidR="000D4265" w:rsidRPr="00D61C93" w:rsidRDefault="000D4265" w:rsidP="000D4265">
      <w:pPr>
        <w:spacing w:before="120" w:after="120"/>
        <w:rPr>
          <w:szCs w:val="20"/>
          <w:lang w:val="en-CA"/>
        </w:rPr>
      </w:pPr>
      <w:r w:rsidRPr="00D61C93">
        <w:rPr>
          <w:szCs w:val="20"/>
          <w:lang w:val="en-CA"/>
        </w:rPr>
        <w:t xml:space="preserve">Under the overall supervision of the Project Coordinator, the Procurement Specialist is responsible for fulfilling the procurement requirements of the PONASI Project which involves a significant procurement volume, guaranteeing effective delivery of procurement services </w:t>
      </w:r>
      <w:proofErr w:type="gramStart"/>
      <w:r w:rsidRPr="00D61C93">
        <w:rPr>
          <w:szCs w:val="20"/>
          <w:lang w:val="en-CA"/>
        </w:rPr>
        <w:t>in order to</w:t>
      </w:r>
      <w:proofErr w:type="gramEnd"/>
      <w:r w:rsidRPr="00D61C93">
        <w:rPr>
          <w:szCs w:val="20"/>
          <w:lang w:val="en-CA"/>
        </w:rPr>
        <w:t xml:space="preserve"> obtain the best value for money while ensuring full compliance of procurement activities with UNDP and GEF rules and policies including effective internal control, proper design and functioning.</w:t>
      </w:r>
      <w:r w:rsidR="00D842E2" w:rsidRPr="00D61C93">
        <w:rPr>
          <w:szCs w:val="20"/>
          <w:lang w:val="en-CA"/>
        </w:rPr>
        <w:t xml:space="preserve"> </w:t>
      </w:r>
      <w:r w:rsidRPr="00D61C93">
        <w:rPr>
          <w:szCs w:val="20"/>
          <w:lang w:val="en-CA"/>
        </w:rPr>
        <w:t xml:space="preserve">The Procurement Specialist will work in close collaboration with the project team, the technical specialists and the Financial and Administrative Assistant within the PCU, the Country Office and the UNDP-Procurement Support Office to successfully deliver procurement services. The procurement specialist will manage, </w:t>
      </w:r>
      <w:proofErr w:type="gramStart"/>
      <w:r w:rsidRPr="00D61C93">
        <w:rPr>
          <w:szCs w:val="20"/>
          <w:lang w:val="en-CA"/>
        </w:rPr>
        <w:t>implement</w:t>
      </w:r>
      <w:proofErr w:type="gramEnd"/>
      <w:r w:rsidRPr="00D61C93">
        <w:rPr>
          <w:szCs w:val="20"/>
          <w:lang w:val="en-CA"/>
        </w:rPr>
        <w:t xml:space="preserve"> and oversee key procurement activities for the needs of the project on a full-time basis for a 3-year period corresponding to the project period when procurement needs will be most critical. The key results will have an impact on the overall efficiency in procurement activities which are central to the achievement of project objectives.</w:t>
      </w:r>
    </w:p>
    <w:p w14:paraId="3DE9CDD6" w14:textId="7F138415" w:rsidR="000D4265" w:rsidRPr="00D61C93" w:rsidRDefault="00D842E2" w:rsidP="00204930">
      <w:pPr>
        <w:spacing w:before="120" w:after="0"/>
        <w:rPr>
          <w:rFonts w:cs="Arial"/>
          <w:noProof/>
          <w:szCs w:val="20"/>
          <w:u w:val="single"/>
          <w:lang w:eastAsia="zh-CN"/>
        </w:rPr>
      </w:pPr>
      <w:r w:rsidRPr="00D61C93">
        <w:rPr>
          <w:rFonts w:cs="Arial"/>
          <w:noProof/>
          <w:szCs w:val="20"/>
          <w:u w:val="single"/>
          <w:lang w:eastAsia="zh-CN"/>
        </w:rPr>
        <w:t>Duties and Responsibilities</w:t>
      </w:r>
      <w:r w:rsidR="000D4265" w:rsidRPr="00D61C93">
        <w:rPr>
          <w:rFonts w:cs="Arial"/>
          <w:noProof/>
          <w:szCs w:val="20"/>
          <w:u w:val="single"/>
          <w:lang w:eastAsia="zh-CN"/>
        </w:rPr>
        <w:t>:</w:t>
      </w:r>
    </w:p>
    <w:p w14:paraId="4D8A5F09" w14:textId="77777777" w:rsidR="000D4265" w:rsidRPr="00D61C93" w:rsidRDefault="000D4265" w:rsidP="000D4265">
      <w:pPr>
        <w:spacing w:before="120" w:after="120"/>
        <w:rPr>
          <w:szCs w:val="20"/>
          <w:lang w:val="en-CA"/>
        </w:rPr>
      </w:pPr>
      <w:r w:rsidRPr="00D61C93">
        <w:rPr>
          <w:szCs w:val="20"/>
          <w:u w:val="single"/>
          <w:lang w:val="en-CA"/>
        </w:rPr>
        <w:lastRenderedPageBreak/>
        <w:t>Elaboration and implementation of project procurement strategies, including of sourcing strategy and e-procurement tools</w:t>
      </w:r>
      <w:r w:rsidRPr="00D61C93">
        <w:rPr>
          <w:szCs w:val="20"/>
          <w:lang w:val="en-CA"/>
        </w:rPr>
        <w:t xml:space="preserve">: </w:t>
      </w:r>
    </w:p>
    <w:p w14:paraId="506CC35F"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Advise on project procurement activities and sourcing strategies that meet UNDP procurement principles and follow up in coordination with CO;</w:t>
      </w:r>
    </w:p>
    <w:p w14:paraId="778FEAF3"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Elaborate and implement cost saving and reduction strategies in project procurement;</w:t>
      </w:r>
    </w:p>
    <w:p w14:paraId="67356B81"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Implement a contract strategy for the project including tendering processes and evaluation, contractor’s appraisal, evaluation and negotiation of offers, management of the contracts and contractors, legal considerations and payment conditions, risk assessment;</w:t>
      </w:r>
    </w:p>
    <w:p w14:paraId="076A1E31"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Conceptualize, elaborate and implement strategic procurement in the project including sourcing strategy, supplier selection and evaluation, quality management, customer relationship management, e-procurement introduction and promotion, performance measurement;</w:t>
      </w:r>
    </w:p>
    <w:p w14:paraId="0D14E79D"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Identify availability and potential local sourcing of planned procurement activities, develop and manage rosters of suppliers and consultants where applicable, elaborate and implement mechanisms for supplier selection and evaluation, and quality and performance measurement;</w:t>
      </w:r>
    </w:p>
    <w:p w14:paraId="76063325" w14:textId="2B86081D"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Analyze procurement process results for value for money, based on quality, price, delivery times and other relevant factors</w:t>
      </w:r>
      <w:r w:rsidR="00E925C4" w:rsidRPr="00D61C93">
        <w:rPr>
          <w:rFonts w:cs="Arial"/>
          <w:noProof/>
          <w:szCs w:val="20"/>
          <w:lang w:eastAsia="zh-CN"/>
        </w:rPr>
        <w:t>.</w:t>
      </w:r>
    </w:p>
    <w:p w14:paraId="66E50CB9" w14:textId="77777777" w:rsidR="000D4265" w:rsidRPr="00D61C93" w:rsidRDefault="000D4265" w:rsidP="000D4265">
      <w:pPr>
        <w:spacing w:before="120" w:after="120"/>
        <w:rPr>
          <w:rFonts w:eastAsiaTheme="minorHAnsi" w:cstheme="minorBidi"/>
          <w:szCs w:val="20"/>
          <w:lang w:val="en-CA"/>
        </w:rPr>
      </w:pPr>
      <w:r w:rsidRPr="00D61C93">
        <w:rPr>
          <w:szCs w:val="20"/>
          <w:u w:val="single"/>
          <w:lang w:val="en-CA"/>
        </w:rPr>
        <w:t>Efficient management of procurement processes for the project</w:t>
      </w:r>
      <w:r w:rsidRPr="00D61C93">
        <w:rPr>
          <w:szCs w:val="20"/>
          <w:lang w:val="en-CA"/>
        </w:rPr>
        <w:t xml:space="preserve">, including </w:t>
      </w:r>
    </w:p>
    <w:p w14:paraId="7C25FFD4"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Support the Project Coordinator, UNDP CO and other Specialists involved in the project, in the preparation/validation of the consultants’ profiles and specifications of goods to be acquired by the Project.</w:t>
      </w:r>
    </w:p>
    <w:p w14:paraId="58D45410"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 xml:space="preserve">Ensure timely and proper preparation of procurement plans for the different activities according to total and annual work plans, including calendar and deadlines, sharing it with the relevant stakeholders and monitoring their implementation; </w:t>
      </w:r>
    </w:p>
    <w:p w14:paraId="64A9C0F4"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Map project procurement business processes and work with CO procurement to establish and/or implement mechanisms to ensure optimum and swift follow up with CO on procurement matters for the project;</w:t>
      </w:r>
    </w:p>
    <w:p w14:paraId="5F5C33FE"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Proceed with the procurement process, prepare a variety of procurement related documents, including Requests for Quotation, Invitations for Bid, Requests for Proposal, purchase orders, contracts, communications, guidelines, instructions, Value For Money submissions, and follow-up;</w:t>
      </w:r>
    </w:p>
    <w:p w14:paraId="6F4391EE"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Establish and implement proper monitoring system and control of procurement processes including receipt and evaluation of quotations, bids or proposals, negotiation of certain conditions of contracts in full compliance with UNDP rules and regulations and in coordination with UNDP CO;</w:t>
      </w:r>
    </w:p>
    <w:p w14:paraId="0E423E91"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Register and control goods and products received in ATLAS and other databases for the proper management and inventories of the project’s assets, and assist the Project Coordinator and CO to manage all assets and report on this;</w:t>
      </w:r>
    </w:p>
    <w:p w14:paraId="1E66F1C2"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Manage ATLAS tools, including creation-tracking-closing of POs, creation of vendors, payment to suppliers, reporting tools on procurement;</w:t>
      </w:r>
    </w:p>
    <w:p w14:paraId="6E5551FA"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Manage and oversee selection and contracting of project consultants, and facilitate recruitment processes and contracting with consultants (in coordination with UNDP CO HR staff), oversee adherence to contractual agreements and performance assessment, recommend amendments and contract extensions, advise concerned parties with respect to contractual rights/obligations;</w:t>
      </w:r>
    </w:p>
    <w:p w14:paraId="5A36CDFE"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Conduct regular meetings and ensure close coordination with the Project Coordinator and project team and provide monthly report on procurement progress;</w:t>
      </w:r>
    </w:p>
    <w:p w14:paraId="038971F4"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Participate in trainings in UNDP and International Standards procurement, and ATLAS on Procurement Rules and Regulations.</w:t>
      </w:r>
    </w:p>
    <w:p w14:paraId="4AE5479A" w14:textId="7246B5C5" w:rsidR="000D4265" w:rsidRPr="00D61C93" w:rsidRDefault="00D842E2" w:rsidP="00E925C4">
      <w:pPr>
        <w:spacing w:before="120" w:after="0"/>
        <w:rPr>
          <w:rFonts w:cs="Arial"/>
          <w:noProof/>
          <w:szCs w:val="20"/>
          <w:u w:val="single"/>
          <w:lang w:eastAsia="zh-CN"/>
        </w:rPr>
      </w:pPr>
      <w:r w:rsidRPr="00D61C93">
        <w:rPr>
          <w:rFonts w:cs="Arial"/>
          <w:noProof/>
          <w:szCs w:val="20"/>
          <w:u w:val="single"/>
          <w:lang w:eastAsia="zh-CN"/>
        </w:rPr>
        <w:t>Required skills and expertise</w:t>
      </w:r>
      <w:r w:rsidR="000D4265" w:rsidRPr="00D61C93">
        <w:rPr>
          <w:rFonts w:cs="Arial"/>
          <w:noProof/>
          <w:szCs w:val="20"/>
          <w:u w:val="single"/>
          <w:lang w:eastAsia="zh-CN"/>
        </w:rPr>
        <w:t>:</w:t>
      </w:r>
    </w:p>
    <w:p w14:paraId="1AC39686" w14:textId="77777777" w:rsidR="00D842E2" w:rsidRPr="00D61C93" w:rsidRDefault="00D842E2" w:rsidP="00C46720">
      <w:pPr>
        <w:numPr>
          <w:ilvl w:val="0"/>
          <w:numId w:val="59"/>
        </w:numPr>
        <w:spacing w:after="0"/>
        <w:ind w:left="284" w:hanging="294"/>
        <w:rPr>
          <w:rFonts w:cs="Arial"/>
          <w:noProof/>
          <w:szCs w:val="20"/>
          <w:lang w:eastAsia="zh-CN"/>
        </w:rPr>
      </w:pPr>
      <w:r w:rsidRPr="00D61C93">
        <w:rPr>
          <w:rFonts w:cs="Arial"/>
          <w:noProof/>
          <w:szCs w:val="20"/>
          <w:lang w:eastAsia="zh-CN"/>
        </w:rPr>
        <w:t>Master’s Degree or equivalent in Business Administration, Public Administration, Finance, Economics, Development or any development related field;</w:t>
      </w:r>
    </w:p>
    <w:p w14:paraId="5C724EB2" w14:textId="77777777" w:rsidR="00D842E2" w:rsidRPr="00D61C93" w:rsidRDefault="00D842E2" w:rsidP="00C46720">
      <w:pPr>
        <w:numPr>
          <w:ilvl w:val="0"/>
          <w:numId w:val="59"/>
        </w:numPr>
        <w:spacing w:after="0"/>
        <w:ind w:left="284" w:hanging="294"/>
        <w:rPr>
          <w:rFonts w:cs="Arial"/>
          <w:noProof/>
          <w:szCs w:val="20"/>
          <w:lang w:eastAsia="zh-CN"/>
        </w:rPr>
      </w:pPr>
      <w:r w:rsidRPr="00D61C93">
        <w:rPr>
          <w:rFonts w:cs="Arial"/>
          <w:noProof/>
          <w:szCs w:val="20"/>
          <w:lang w:eastAsia="zh-CN"/>
        </w:rPr>
        <w:t>UNDP Procurement Certification, any level above CIPS III certification, is highly desirable.</w:t>
      </w:r>
    </w:p>
    <w:p w14:paraId="2841EF76" w14:textId="77777777" w:rsidR="00D842E2" w:rsidRPr="00D61C93" w:rsidRDefault="00D842E2" w:rsidP="00C46720">
      <w:pPr>
        <w:numPr>
          <w:ilvl w:val="0"/>
          <w:numId w:val="59"/>
        </w:numPr>
        <w:spacing w:after="0"/>
        <w:ind w:left="284" w:hanging="294"/>
        <w:rPr>
          <w:rFonts w:cs="Arial"/>
          <w:noProof/>
          <w:szCs w:val="20"/>
          <w:lang w:eastAsia="zh-CN"/>
        </w:rPr>
      </w:pPr>
      <w:r w:rsidRPr="00D61C93">
        <w:rPr>
          <w:rFonts w:cs="Arial"/>
          <w:noProof/>
          <w:szCs w:val="20"/>
          <w:lang w:eastAsia="zh-CN"/>
        </w:rPr>
        <w:t>Specialized certification in Procurement will be an advantage.</w:t>
      </w:r>
    </w:p>
    <w:p w14:paraId="58F8ADFE"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Excellent knowledge of tools, procedures and international standards for the purchase of goods and services within the context of developmental support programs.</w:t>
      </w:r>
    </w:p>
    <w:p w14:paraId="5737DB50"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Knowledge of the UNDP administrative and financial management procedures is highly desirable</w:t>
      </w:r>
    </w:p>
    <w:p w14:paraId="14E57770"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Familiarity with UNDP programme execution modalities, rules and regulations.</w:t>
      </w:r>
    </w:p>
    <w:p w14:paraId="4223C254"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Computer literate especially, in calculus sheets, Excel, Access is required, and advanced knowledge of the UNDP ERP (ATLAS) is desirable.</w:t>
      </w:r>
    </w:p>
    <w:p w14:paraId="70E2E4A8"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Effective communication skills and ability to establish good working relationships.</w:t>
      </w:r>
    </w:p>
    <w:p w14:paraId="4B6B008F"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High moral integrity, as well as diplomacy, impartiality and discretion with proven ability to work and act under pressure and with discretion in a politically sensitive and challenging environment</w:t>
      </w:r>
    </w:p>
    <w:p w14:paraId="1BB81734"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t>At least 5 years of relevant experience at the national or international level in procurement at UNDP or other international organizations;</w:t>
      </w:r>
    </w:p>
    <w:p w14:paraId="005EDAB8" w14:textId="17B88081" w:rsidR="000D4265" w:rsidRPr="00D61C93" w:rsidRDefault="00E925C4" w:rsidP="00C46720">
      <w:pPr>
        <w:numPr>
          <w:ilvl w:val="0"/>
          <w:numId w:val="59"/>
        </w:numPr>
        <w:spacing w:after="0"/>
        <w:ind w:left="284" w:hanging="294"/>
        <w:rPr>
          <w:rFonts w:cs="Arial"/>
          <w:noProof/>
          <w:szCs w:val="20"/>
          <w:lang w:eastAsia="zh-CN"/>
        </w:rPr>
      </w:pPr>
      <w:r w:rsidRPr="00D61C93">
        <w:rPr>
          <w:rFonts w:cs="Arial"/>
          <w:noProof/>
          <w:szCs w:val="20"/>
          <w:lang w:eastAsia="zh-CN"/>
        </w:rPr>
        <w:t xml:space="preserve">Preference will be given to candidates with experience in UNDP operations, </w:t>
      </w:r>
      <w:r w:rsidR="000D4265" w:rsidRPr="00D61C93">
        <w:rPr>
          <w:rFonts w:cs="Arial"/>
          <w:noProof/>
          <w:szCs w:val="20"/>
          <w:lang w:eastAsia="zh-CN"/>
        </w:rPr>
        <w:t>e-tendering platform and ATLAS contract management</w:t>
      </w:r>
    </w:p>
    <w:p w14:paraId="51F97A7E" w14:textId="77777777" w:rsidR="000D4265" w:rsidRPr="00D61C93" w:rsidRDefault="000D4265" w:rsidP="00C46720">
      <w:pPr>
        <w:numPr>
          <w:ilvl w:val="0"/>
          <w:numId w:val="59"/>
        </w:numPr>
        <w:spacing w:after="0"/>
        <w:ind w:left="284" w:hanging="294"/>
        <w:rPr>
          <w:rFonts w:cs="Arial"/>
          <w:noProof/>
          <w:szCs w:val="20"/>
          <w:lang w:eastAsia="zh-CN"/>
        </w:rPr>
      </w:pPr>
      <w:r w:rsidRPr="00D61C93">
        <w:rPr>
          <w:rFonts w:cs="Arial"/>
          <w:noProof/>
          <w:szCs w:val="20"/>
          <w:lang w:eastAsia="zh-CN"/>
        </w:rPr>
        <w:lastRenderedPageBreak/>
        <w:t>Solid experience in the use of computers and office software packages (MS Office incl. Word, Excel) as well as advanced knowledge of web-based management systems</w:t>
      </w:r>
    </w:p>
    <w:p w14:paraId="103C3AB9" w14:textId="315800A7" w:rsidR="00D842E2" w:rsidRPr="00D61C93" w:rsidRDefault="00D842E2" w:rsidP="00C46720">
      <w:pPr>
        <w:numPr>
          <w:ilvl w:val="0"/>
          <w:numId w:val="59"/>
        </w:numPr>
        <w:spacing w:after="0"/>
        <w:ind w:left="284" w:hanging="294"/>
        <w:rPr>
          <w:rFonts w:cs="Arial"/>
          <w:noProof/>
          <w:szCs w:val="20"/>
          <w:lang w:eastAsia="zh-CN"/>
        </w:rPr>
      </w:pPr>
      <w:r w:rsidRPr="00D61C93">
        <w:rPr>
          <w:rFonts w:cs="Arial"/>
          <w:noProof/>
          <w:szCs w:val="20"/>
          <w:lang w:eastAsia="zh-CN"/>
        </w:rPr>
        <w:t>Fluency in both written and spoken English and French is required</w:t>
      </w:r>
    </w:p>
    <w:p w14:paraId="1DD639B6" w14:textId="77777777" w:rsidR="00302BFE" w:rsidRPr="00D61C93" w:rsidRDefault="00302BFE" w:rsidP="00204930">
      <w:pPr>
        <w:spacing w:before="240" w:after="120"/>
        <w:rPr>
          <w:rFonts w:eastAsia="Times New Roman" w:cs="Arial"/>
          <w:b/>
          <w:bCs/>
          <w:color w:val="0055AA"/>
          <w:szCs w:val="20"/>
          <w:lang w:val="en-CA" w:eastAsia="fr-CA"/>
        </w:rPr>
      </w:pPr>
      <w:r w:rsidRPr="00D61C93">
        <w:rPr>
          <w:rFonts w:eastAsia="Times New Roman" w:cs="Arial"/>
          <w:b/>
          <w:bCs/>
          <w:color w:val="0055AA"/>
          <w:szCs w:val="20"/>
          <w:lang w:val="en-CA" w:eastAsia="fr-CA"/>
        </w:rPr>
        <w:t xml:space="preserve">Expert in </w:t>
      </w:r>
      <w:bookmarkStart w:id="55" w:name="_Toc416219175"/>
      <w:bookmarkStart w:id="56" w:name="_Toc416219328"/>
      <w:bookmarkStart w:id="57" w:name="_Toc416219696"/>
      <w:bookmarkStart w:id="58" w:name="_Toc416259148"/>
      <w:bookmarkStart w:id="59" w:name="_Toc416303492"/>
      <w:r w:rsidRPr="00D61C93">
        <w:rPr>
          <w:rFonts w:eastAsia="Times New Roman" w:cs="Arial"/>
          <w:b/>
          <w:bCs/>
          <w:color w:val="0055AA"/>
          <w:szCs w:val="20"/>
          <w:lang w:val="en-CA" w:eastAsia="fr-CA"/>
        </w:rPr>
        <w:t>PA-related Tourism</w:t>
      </w:r>
      <w:bookmarkEnd w:id="55"/>
      <w:bookmarkEnd w:id="56"/>
      <w:bookmarkEnd w:id="57"/>
      <w:bookmarkEnd w:id="58"/>
      <w:bookmarkEnd w:id="59"/>
    </w:p>
    <w:p w14:paraId="3E70B197" w14:textId="38151CCD" w:rsidR="00302BFE" w:rsidRPr="00961982" w:rsidRDefault="00302BFE" w:rsidP="00302BFE">
      <w:pPr>
        <w:rPr>
          <w:b/>
          <w:szCs w:val="20"/>
        </w:rPr>
      </w:pPr>
      <w:r w:rsidRPr="00D61C93">
        <w:rPr>
          <w:szCs w:val="20"/>
        </w:rPr>
        <w:t xml:space="preserve">Under the guidance and supervision of the Project Coordinator, the Expert in PA-related Tourism will have the following specific </w:t>
      </w:r>
      <w:r w:rsidR="00D842E2" w:rsidRPr="00D61C93">
        <w:rPr>
          <w:szCs w:val="20"/>
          <w:u w:val="single"/>
        </w:rPr>
        <w:t xml:space="preserve">duties and </w:t>
      </w:r>
      <w:r w:rsidRPr="00D61C93">
        <w:rPr>
          <w:szCs w:val="20"/>
          <w:u w:val="single"/>
        </w:rPr>
        <w:t>responsibilitie</w:t>
      </w:r>
      <w:r w:rsidRPr="00D61C93">
        <w:rPr>
          <w:szCs w:val="20"/>
        </w:rPr>
        <w:t>s:</w:t>
      </w:r>
    </w:p>
    <w:p w14:paraId="0459C9B9"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Review and inform on applicability of best international best practice on sustainable tourism standards, participatory processes, and maximising tourism value chain linkages.</w:t>
      </w:r>
    </w:p>
    <w:p w14:paraId="039C65D9"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 xml:space="preserve">Advise and provide guidance on sustainable tourism strategy development, including policy review, financial analysis, market research, tourism asset inventory. </w:t>
      </w:r>
    </w:p>
    <w:p w14:paraId="21FBECAF"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Advise on development of a PONASI destination management organisation.</w:t>
      </w:r>
    </w:p>
    <w:p w14:paraId="58B3A78D"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 xml:space="preserve">Design, advise and guide tourism capacity building and training programs, for protected area staff and community members. </w:t>
      </w:r>
    </w:p>
    <w:p w14:paraId="7F2FABFA"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 xml:space="preserve">Design and manage a small grants program for tourism product development by SMMEs and entrepreneurs. Focus on linkages between local community enterprises and protected area attractions to ensure people benefit and understand conservation. </w:t>
      </w:r>
    </w:p>
    <w:p w14:paraId="62E59B44"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 xml:space="preserve">Design and advising on a market access strategy for PONASI tourism offerings, including online promotion (including peer-to-peer platforms), organizing familiarization trips for tour operators and media, organization of a market linkage workshop between products and buyers. </w:t>
      </w:r>
    </w:p>
    <w:p w14:paraId="1D826CE0"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Guide the procurement, design, development, and installation of protected area visitor infrastructure, including a visitor complex, trail development and improvement, observation platforms and ablutions with the PNKT.</w:t>
      </w:r>
    </w:p>
    <w:p w14:paraId="2F9799CE" w14:textId="4355777C" w:rsidR="00302BFE" w:rsidRPr="00204930" w:rsidRDefault="00D842E2" w:rsidP="00204930">
      <w:pPr>
        <w:spacing w:before="120" w:after="0"/>
        <w:rPr>
          <w:rFonts w:cs="Arial"/>
          <w:noProof/>
          <w:szCs w:val="20"/>
          <w:u w:val="single"/>
          <w:lang w:eastAsia="zh-CN"/>
        </w:rPr>
      </w:pPr>
      <w:r>
        <w:rPr>
          <w:rFonts w:cs="Arial"/>
          <w:noProof/>
          <w:szCs w:val="20"/>
          <w:u w:val="single"/>
          <w:lang w:eastAsia="zh-CN"/>
        </w:rPr>
        <w:t>Required skills and expertise</w:t>
      </w:r>
      <w:r w:rsidR="00302BFE" w:rsidRPr="00204930">
        <w:rPr>
          <w:rFonts w:cs="Arial"/>
          <w:noProof/>
          <w:szCs w:val="20"/>
          <w:u w:val="single"/>
          <w:lang w:eastAsia="zh-CN"/>
        </w:rPr>
        <w:t>:</w:t>
      </w:r>
    </w:p>
    <w:p w14:paraId="65F431CD"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Protected area and sustainable tourism planning and management with hands-on experiences in developing and strengthening human capacities in a multi stakeholder context.</w:t>
      </w:r>
    </w:p>
    <w:p w14:paraId="642767A0"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Dual technical excellence in (i) biodiversity and protected area management and (ii) sustainable tourism (iii) community-based tourism.</w:t>
      </w:r>
    </w:p>
    <w:p w14:paraId="56BF6361"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 xml:space="preserve">Sound knowledge of the tourism industry and trends in Burkina Faso and West Africa. </w:t>
      </w:r>
    </w:p>
    <w:p w14:paraId="07545C8E"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Good understanding of results-based project management.</w:t>
      </w:r>
    </w:p>
    <w:p w14:paraId="4A6F5EAB"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Good knowledge of and a good record of practical experiences with participatory processes, training and facilitation approaches and methods.</w:t>
      </w:r>
    </w:p>
    <w:p w14:paraId="2D8FB0F8"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Good knowledge of and a good record of practical experiences with concepts and practices of networking for learning, dissemination and replication.</w:t>
      </w:r>
    </w:p>
    <w:p w14:paraId="7C84F4AE"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Have experience in working with various actors in the tourism sector, including government, private sector, traditional authorities and communities;</w:t>
      </w:r>
    </w:p>
    <w:p w14:paraId="13ABA835"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Strong interpersonal and communication skills.</w:t>
      </w:r>
    </w:p>
    <w:p w14:paraId="3B60A96F"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Experience and ability to prepare reports and briefing papers;</w:t>
      </w:r>
    </w:p>
    <w:p w14:paraId="0650D94D"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Ability to work under pressure and independently in remote areas</w:t>
      </w:r>
    </w:p>
    <w:p w14:paraId="66AD0782"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Work experience with projects funded by international donors, ideally also the GEF.</w:t>
      </w:r>
    </w:p>
    <w:p w14:paraId="1705EA55"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Excellent knowledge of French and English.</w:t>
      </w:r>
    </w:p>
    <w:p w14:paraId="453BB23E" w14:textId="77777777" w:rsidR="00302BFE" w:rsidRPr="00204930" w:rsidRDefault="00302BFE" w:rsidP="00204930">
      <w:pPr>
        <w:spacing w:before="240" w:after="120"/>
        <w:rPr>
          <w:rFonts w:eastAsia="Times New Roman" w:cs="Arial"/>
          <w:b/>
          <w:bCs/>
          <w:color w:val="0055AA"/>
          <w:szCs w:val="20"/>
          <w:lang w:val="en-CA" w:eastAsia="fr-CA"/>
        </w:rPr>
      </w:pPr>
      <w:bookmarkStart w:id="60" w:name="_Hlk9700624"/>
      <w:r w:rsidRPr="00204930">
        <w:rPr>
          <w:rFonts w:eastAsia="Times New Roman" w:cs="Arial"/>
          <w:b/>
          <w:bCs/>
          <w:color w:val="0055AA"/>
          <w:szCs w:val="20"/>
          <w:lang w:val="en-CA" w:eastAsia="fr-CA"/>
        </w:rPr>
        <w:t>Environment and Social Impact Assessment Specialist</w:t>
      </w:r>
      <w:bookmarkEnd w:id="60"/>
    </w:p>
    <w:p w14:paraId="1E31CFB7" w14:textId="77777777" w:rsidR="00302BFE" w:rsidRPr="00D86A6D" w:rsidRDefault="00302BFE" w:rsidP="00302BFE">
      <w:pPr>
        <w:rPr>
          <w:szCs w:val="20"/>
        </w:rPr>
      </w:pPr>
      <w:r w:rsidRPr="00D86A6D">
        <w:rPr>
          <w:szCs w:val="20"/>
        </w:rPr>
        <w:t>An Environmental and Social Management Plan (ESMP) will be prepared to ensure the PONASI Landscape Project is consistent with UNDP’s Social and Environmental Standards (SES) (</w:t>
      </w:r>
      <w:hyperlink r:id="rId44" w:history="1">
        <w:r w:rsidRPr="00D86A6D">
          <w:rPr>
            <w:szCs w:val="20"/>
          </w:rPr>
          <w:t>www.undp.org/ses</w:t>
        </w:r>
      </w:hyperlink>
      <w:r w:rsidRPr="00D86A6D">
        <w:rPr>
          <w:szCs w:val="20"/>
        </w:rPr>
        <w:t xml:space="preserve">). The SES require that all UNDP projects consider the potential environmental and social opportunities that a project may generate and ensure that adverse social and environmental risks and impacts are avoided, minimized, </w:t>
      </w:r>
      <w:proofErr w:type="gramStart"/>
      <w:r w:rsidRPr="00D86A6D">
        <w:rPr>
          <w:szCs w:val="20"/>
        </w:rPr>
        <w:t>mitigated</w:t>
      </w:r>
      <w:proofErr w:type="gramEnd"/>
      <w:r w:rsidRPr="00D86A6D">
        <w:rPr>
          <w:szCs w:val="20"/>
        </w:rPr>
        <w:t xml:space="preserve"> and managed. </w:t>
      </w:r>
      <w:r w:rsidRPr="00D86A6D">
        <w:rPr>
          <w:lang w:val="en-CA"/>
        </w:rPr>
        <w:t xml:space="preserve">The overall objective of the ESMP is to assist in minimizing the impacts to the environment and the surrounding communities and reach a set of environmental and social objectives. The ESMP ensures that the environmental and social objectives of the projects are met through monitoring </w:t>
      </w:r>
      <w:proofErr w:type="gramStart"/>
      <w:r w:rsidRPr="00D86A6D">
        <w:rPr>
          <w:lang w:val="en-CA"/>
        </w:rPr>
        <w:t>in order to</w:t>
      </w:r>
      <w:proofErr w:type="gramEnd"/>
      <w:r w:rsidRPr="00D86A6D">
        <w:rPr>
          <w:lang w:val="en-CA"/>
        </w:rPr>
        <w:t xml:space="preserve"> avoid or mitigate adverse effects on the environment.</w:t>
      </w:r>
    </w:p>
    <w:p w14:paraId="77FA5520" w14:textId="77777777" w:rsidR="00302BFE" w:rsidRDefault="00302BFE" w:rsidP="00302BFE">
      <w:pPr>
        <w:rPr>
          <w:szCs w:val="20"/>
        </w:rPr>
      </w:pPr>
      <w:r w:rsidRPr="00D86A6D">
        <w:rPr>
          <w:szCs w:val="20"/>
        </w:rPr>
        <w:t xml:space="preserve">The ESMP </w:t>
      </w:r>
      <w:r>
        <w:rPr>
          <w:szCs w:val="20"/>
        </w:rPr>
        <w:t>will</w:t>
      </w:r>
      <w:r w:rsidRPr="00D86A6D">
        <w:rPr>
          <w:szCs w:val="20"/>
        </w:rPr>
        <w:t xml:space="preserve"> cover all activities to be implemented by the PONASI landscape project and likely to affect the social and environmental elements of the landscape, according to indications provided in the Project Document, including, but not limited to: formalizing the creation of a wildlife corridor, strengthening capacities for monitoring and surveillance in protected areas through training and equipment for eco-guards and rangers, building infrastructure for the Kaboré-</w:t>
      </w:r>
      <w:proofErr w:type="spellStart"/>
      <w:r w:rsidRPr="00D86A6D">
        <w:rPr>
          <w:szCs w:val="20"/>
        </w:rPr>
        <w:t>Tambi</w:t>
      </w:r>
      <w:proofErr w:type="spellEnd"/>
      <w:r w:rsidRPr="00D86A6D">
        <w:rPr>
          <w:szCs w:val="20"/>
        </w:rPr>
        <w:t xml:space="preserve"> National Park (PNKT) and observation platforms in PNKT, </w:t>
      </w:r>
      <w:proofErr w:type="spellStart"/>
      <w:r w:rsidRPr="00D86A6D">
        <w:rPr>
          <w:szCs w:val="20"/>
        </w:rPr>
        <w:t>Sissili</w:t>
      </w:r>
      <w:proofErr w:type="spellEnd"/>
      <w:r w:rsidRPr="00D86A6D">
        <w:rPr>
          <w:szCs w:val="20"/>
        </w:rPr>
        <w:t xml:space="preserve"> CF and </w:t>
      </w:r>
      <w:proofErr w:type="spellStart"/>
      <w:r w:rsidRPr="00D86A6D">
        <w:rPr>
          <w:szCs w:val="20"/>
        </w:rPr>
        <w:t>Nazinga</w:t>
      </w:r>
      <w:proofErr w:type="spellEnd"/>
      <w:r w:rsidRPr="00D86A6D">
        <w:rPr>
          <w:szCs w:val="20"/>
        </w:rPr>
        <w:t xml:space="preserve"> Game Ranch, maintenance of firebreaks and perimeter tracks, developing NTFP value chains, developing PA-related tourism, improving </w:t>
      </w:r>
      <w:proofErr w:type="spellStart"/>
      <w:r w:rsidRPr="00D86A6D">
        <w:rPr>
          <w:szCs w:val="20"/>
        </w:rPr>
        <w:t>agro</w:t>
      </w:r>
      <w:proofErr w:type="spellEnd"/>
      <w:r w:rsidRPr="00D86A6D">
        <w:rPr>
          <w:szCs w:val="20"/>
        </w:rPr>
        <w:t>-</w:t>
      </w:r>
      <w:proofErr w:type="spellStart"/>
      <w:r w:rsidRPr="00D86A6D">
        <w:rPr>
          <w:szCs w:val="20"/>
        </w:rPr>
        <w:t>silvo</w:t>
      </w:r>
      <w:proofErr w:type="spellEnd"/>
      <w:r w:rsidRPr="00D86A6D">
        <w:rPr>
          <w:szCs w:val="20"/>
        </w:rPr>
        <w:t>-pastoral systems including through sustainable land management practices, assisted natural regeneration, and agroforestry.</w:t>
      </w:r>
    </w:p>
    <w:p w14:paraId="59A0AEED" w14:textId="449357B2" w:rsidR="00302BFE" w:rsidRDefault="00302BFE" w:rsidP="00302BFE">
      <w:pPr>
        <w:rPr>
          <w:szCs w:val="20"/>
        </w:rPr>
      </w:pPr>
      <w:r w:rsidRPr="000B096C">
        <w:rPr>
          <w:szCs w:val="20"/>
        </w:rPr>
        <w:lastRenderedPageBreak/>
        <w:t>Under the guidance and supervision of the Project Coordinator</w:t>
      </w:r>
      <w:r w:rsidRPr="00D86A6D">
        <w:rPr>
          <w:szCs w:val="20"/>
        </w:rPr>
        <w:t xml:space="preserve"> and in close collaboration with the </w:t>
      </w:r>
      <w:r w:rsidRPr="000B096C">
        <w:rPr>
          <w:szCs w:val="20"/>
        </w:rPr>
        <w:t xml:space="preserve">Project M&amp;E and Safeguards Expert, the ESMP Consultant will have the following specific </w:t>
      </w:r>
      <w:r w:rsidR="00204930">
        <w:rPr>
          <w:szCs w:val="20"/>
        </w:rPr>
        <w:t xml:space="preserve">duties and </w:t>
      </w:r>
      <w:r w:rsidRPr="000B096C">
        <w:rPr>
          <w:szCs w:val="20"/>
        </w:rPr>
        <w:t>responsibilities:</w:t>
      </w:r>
    </w:p>
    <w:p w14:paraId="04638F25"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To review the project document of the UNDP-GEF PONASI Landscape Project and assess the potential environmental and social impacts of the planned project activities (inclusive of those on capacity development and stakeholder engagement), as well as the proposed measures to mitigate pre-determined social and environmental risks. </w:t>
      </w:r>
    </w:p>
    <w:p w14:paraId="7A773822"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To report on the assessment of potential environmental and social risks and impacts of the proposed activities (inclusive of those on capacity development and stakeholder engagement) presented in the draft project document of the UNDP-GEF PONASI Landscape Project.</w:t>
      </w:r>
    </w:p>
    <w:p w14:paraId="4AB16B4F"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To identify and recommend mitigation measures (preventive and alleviative) that are necessary to address the identified social and environmental risks and impacts, and, the proposed monitoring plan for tracking the results of the implementation of the proposed mitigation measures.</w:t>
      </w:r>
    </w:p>
    <w:p w14:paraId="136E9263"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To recommend and report on the principles, rules, guidelines and procedures for screening, assessing, and managing the potential social and environmental impacts of the proposed PONASI Landscape project activities.</w:t>
      </w:r>
    </w:p>
    <w:p w14:paraId="13F2ADE5" w14:textId="59E1FFB2" w:rsidR="00302BFE"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To review and update the UNDP Social and Environmental Screening Procedure annex of the PONASI Landscape project</w:t>
      </w:r>
    </w:p>
    <w:p w14:paraId="4E1B3FD5" w14:textId="5D68D9EF" w:rsidR="00580E65" w:rsidRPr="00580E65" w:rsidRDefault="00580E65" w:rsidP="00C46720">
      <w:pPr>
        <w:numPr>
          <w:ilvl w:val="0"/>
          <w:numId w:val="59"/>
        </w:numPr>
        <w:spacing w:after="0"/>
        <w:ind w:left="284" w:hanging="294"/>
        <w:rPr>
          <w:rFonts w:cs="Arial"/>
          <w:noProof/>
          <w:szCs w:val="20"/>
          <w:lang w:eastAsia="zh-CN"/>
        </w:rPr>
      </w:pPr>
      <w:r w:rsidRPr="00D777D0">
        <w:rPr>
          <w:szCs w:val="20"/>
        </w:rPr>
        <w:t>To prepare the Environmental and Social Management Plan</w:t>
      </w:r>
      <w:r w:rsidRPr="009B4250">
        <w:rPr>
          <w:szCs w:val="20"/>
        </w:rPr>
        <w:t xml:space="preserve"> </w:t>
      </w:r>
      <w:r>
        <w:rPr>
          <w:szCs w:val="20"/>
        </w:rPr>
        <w:t xml:space="preserve">(ESMP) </w:t>
      </w:r>
      <w:r w:rsidRPr="00D86A6D">
        <w:rPr>
          <w:szCs w:val="20"/>
        </w:rPr>
        <w:t>in accordance with UNDP requirements for the implementation of the PONASI Landscape project</w:t>
      </w:r>
      <w:r w:rsidRPr="009B4250">
        <w:rPr>
          <w:szCs w:val="20"/>
        </w:rPr>
        <w:t>,</w:t>
      </w:r>
      <w:r w:rsidRPr="00D777D0">
        <w:rPr>
          <w:szCs w:val="20"/>
        </w:rPr>
        <w:t xml:space="preserve"> </w:t>
      </w:r>
      <w:r w:rsidRPr="009B4250">
        <w:rPr>
          <w:szCs w:val="20"/>
        </w:rPr>
        <w:t>specifically targeting specific project activities that are assessed as having moderate to high and social and environmental risks</w:t>
      </w:r>
      <w:r w:rsidRPr="00D777D0">
        <w:rPr>
          <w:szCs w:val="20"/>
        </w:rPr>
        <w:t>.</w:t>
      </w:r>
      <w:r>
        <w:rPr>
          <w:szCs w:val="20"/>
        </w:rPr>
        <w:t xml:space="preserve"> Activities specific to the </w:t>
      </w:r>
      <w:r w:rsidRPr="00D86A6D">
        <w:rPr>
          <w:b/>
          <w:szCs w:val="20"/>
        </w:rPr>
        <w:t>preparation of the ESMP</w:t>
      </w:r>
      <w:r>
        <w:rPr>
          <w:szCs w:val="20"/>
        </w:rPr>
        <w:t xml:space="preserve"> are the following:</w:t>
      </w:r>
    </w:p>
    <w:p w14:paraId="6699F122" w14:textId="0B73F3F0" w:rsidR="00580E65" w:rsidRDefault="00580E65" w:rsidP="00C46720">
      <w:pPr>
        <w:numPr>
          <w:ilvl w:val="1"/>
          <w:numId w:val="60"/>
        </w:numPr>
        <w:shd w:val="clear" w:color="auto" w:fill="FFFFFF"/>
        <w:spacing w:after="0"/>
        <w:rPr>
          <w:color w:val="333333"/>
          <w:szCs w:val="20"/>
        </w:rPr>
      </w:pPr>
      <w:r w:rsidRPr="00D86A6D">
        <w:rPr>
          <w:color w:val="333333"/>
          <w:szCs w:val="20"/>
        </w:rPr>
        <w:t>Review the template</w:t>
      </w:r>
      <w:r>
        <w:rPr>
          <w:color w:val="333333"/>
          <w:szCs w:val="20"/>
        </w:rPr>
        <w:t xml:space="preserve"> (outline provided)</w:t>
      </w:r>
      <w:r w:rsidRPr="00D86A6D">
        <w:rPr>
          <w:color w:val="333333"/>
          <w:szCs w:val="20"/>
        </w:rPr>
        <w:t xml:space="preserve"> and requirements of the</w:t>
      </w:r>
      <w:r>
        <w:rPr>
          <w:color w:val="333333"/>
          <w:szCs w:val="20"/>
        </w:rPr>
        <w:t xml:space="preserve"> </w:t>
      </w:r>
      <w:hyperlink r:id="rId45" w:history="1">
        <w:r w:rsidRPr="00D86A6D">
          <w:rPr>
            <w:rStyle w:val="Lienhypertexte"/>
            <w:color w:val="336699"/>
            <w:szCs w:val="20"/>
          </w:rPr>
          <w:t>UNDP Environment and Social Management Plan (ESMP) – Indicative Outline</w:t>
        </w:r>
      </w:hyperlink>
      <w:r w:rsidRPr="00D86A6D">
        <w:rPr>
          <w:color w:val="333333"/>
          <w:szCs w:val="20"/>
        </w:rPr>
        <w:t>.</w:t>
      </w:r>
    </w:p>
    <w:p w14:paraId="1B77FC63" w14:textId="7DD16EF0" w:rsidR="00302BFE" w:rsidRPr="00D86A6D" w:rsidRDefault="00302BFE" w:rsidP="00C46720">
      <w:pPr>
        <w:numPr>
          <w:ilvl w:val="1"/>
          <w:numId w:val="60"/>
        </w:numPr>
        <w:shd w:val="clear" w:color="auto" w:fill="FFFFFF"/>
        <w:spacing w:after="0"/>
        <w:rPr>
          <w:color w:val="333333"/>
          <w:szCs w:val="20"/>
        </w:rPr>
      </w:pPr>
      <w:r w:rsidRPr="00D86A6D">
        <w:rPr>
          <w:color w:val="333333"/>
          <w:szCs w:val="20"/>
        </w:rPr>
        <w:t>Identify measures and actions in accordance with the mitigation hierarchy that avoid, or if avoidance not possible, reduce potentially significant adverse social and environmental impacts to acceptable levels.</w:t>
      </w:r>
    </w:p>
    <w:p w14:paraId="651A1E35" w14:textId="77777777" w:rsidR="00302BFE" w:rsidRPr="00D86A6D" w:rsidRDefault="00302BFE" w:rsidP="00C46720">
      <w:pPr>
        <w:numPr>
          <w:ilvl w:val="1"/>
          <w:numId w:val="60"/>
        </w:numPr>
        <w:shd w:val="clear" w:color="auto" w:fill="FFFFFF"/>
        <w:spacing w:after="0"/>
        <w:rPr>
          <w:color w:val="333333"/>
          <w:szCs w:val="20"/>
        </w:rPr>
      </w:pPr>
      <w:r w:rsidRPr="00D86A6D">
        <w:rPr>
          <w:color w:val="333333"/>
          <w:szCs w:val="20"/>
        </w:rPr>
        <w:t>Identify monitoring objectives and specify the type of monitoring with linkages to the impacts assessed in the environmental and social assessment and the mitigation measures described in the ESMP.</w:t>
      </w:r>
    </w:p>
    <w:p w14:paraId="3605B298" w14:textId="77777777" w:rsidR="00302BFE" w:rsidRPr="00D86A6D" w:rsidRDefault="00302BFE" w:rsidP="00C46720">
      <w:pPr>
        <w:numPr>
          <w:ilvl w:val="1"/>
          <w:numId w:val="60"/>
        </w:numPr>
        <w:shd w:val="clear" w:color="auto" w:fill="FFFFFF"/>
        <w:spacing w:after="0"/>
        <w:rPr>
          <w:color w:val="333333"/>
          <w:szCs w:val="20"/>
        </w:rPr>
      </w:pPr>
      <w:r w:rsidRPr="00D86A6D">
        <w:rPr>
          <w:color w:val="333333"/>
          <w:szCs w:val="20"/>
        </w:rPr>
        <w:t>Describe institutional arrangements, identify which party is responsible for carrying out the mitigation and monitoring measures, and, where support for strengthening social and environmental management capability is identified, recommend the establishment or expansion of the parties responsible, the training of staff and any additional measures that may be necessary to support implementation of mitigation measures and any other recommendations of the environmental and social assessment.</w:t>
      </w:r>
    </w:p>
    <w:p w14:paraId="13A134CF" w14:textId="77777777" w:rsidR="00302BFE" w:rsidRPr="00D86A6D" w:rsidRDefault="00302BFE" w:rsidP="00C46720">
      <w:pPr>
        <w:numPr>
          <w:ilvl w:val="1"/>
          <w:numId w:val="60"/>
        </w:numPr>
        <w:shd w:val="clear" w:color="auto" w:fill="FFFFFF"/>
        <w:spacing w:after="0"/>
        <w:rPr>
          <w:color w:val="333333"/>
          <w:szCs w:val="20"/>
        </w:rPr>
      </w:pPr>
      <w:r w:rsidRPr="00D86A6D">
        <w:rPr>
          <w:color w:val="333333"/>
          <w:szCs w:val="20"/>
        </w:rPr>
        <w:t xml:space="preserve">Outline measures to engage in meaningful, </w:t>
      </w:r>
      <w:proofErr w:type="gramStart"/>
      <w:r w:rsidRPr="00D86A6D">
        <w:rPr>
          <w:color w:val="333333"/>
          <w:szCs w:val="20"/>
        </w:rPr>
        <w:t>effective</w:t>
      </w:r>
      <w:proofErr w:type="gramEnd"/>
      <w:r w:rsidRPr="00D86A6D">
        <w:rPr>
          <w:color w:val="333333"/>
          <w:szCs w:val="20"/>
        </w:rPr>
        <w:t xml:space="preserve"> and informed consultations with affected stakeholders.</w:t>
      </w:r>
    </w:p>
    <w:p w14:paraId="2A739688" w14:textId="77777777" w:rsidR="00302BFE" w:rsidRPr="00D86A6D" w:rsidRDefault="00302BFE" w:rsidP="00C46720">
      <w:pPr>
        <w:numPr>
          <w:ilvl w:val="1"/>
          <w:numId w:val="60"/>
        </w:numPr>
        <w:shd w:val="clear" w:color="auto" w:fill="FFFFFF"/>
        <w:spacing w:after="0"/>
        <w:rPr>
          <w:color w:val="333333"/>
          <w:szCs w:val="20"/>
        </w:rPr>
      </w:pPr>
      <w:r w:rsidRPr="00D86A6D">
        <w:rPr>
          <w:color w:val="333333"/>
          <w:szCs w:val="20"/>
        </w:rPr>
        <w:t xml:space="preserve">For all four above aspects (mitigation, monitoring, capacity development, and stakeholder engagement), provide: a) an implementation schedule for measures that must be carried out as part of the MPSBEE project, showing phasing and coordination with overall project implementation plans; </w:t>
      </w:r>
      <w:proofErr w:type="gramStart"/>
      <w:r w:rsidRPr="00D86A6D">
        <w:rPr>
          <w:color w:val="333333"/>
          <w:szCs w:val="20"/>
        </w:rPr>
        <w:t>and,</w:t>
      </w:r>
      <w:proofErr w:type="gramEnd"/>
      <w:r w:rsidRPr="00D86A6D">
        <w:rPr>
          <w:color w:val="333333"/>
          <w:szCs w:val="20"/>
        </w:rPr>
        <w:t xml:space="preserve"> b) the capital and recurrent cost estimates and sources of funds for implementing the ESMP.</w:t>
      </w:r>
    </w:p>
    <w:p w14:paraId="2F62B520" w14:textId="530D6AC1" w:rsidR="00302BFE" w:rsidRPr="00204930" w:rsidRDefault="00204930" w:rsidP="00204930">
      <w:pPr>
        <w:spacing w:before="120" w:after="0"/>
        <w:rPr>
          <w:rFonts w:cs="Arial"/>
          <w:noProof/>
          <w:szCs w:val="20"/>
          <w:u w:val="single"/>
          <w:lang w:eastAsia="zh-CN"/>
        </w:rPr>
      </w:pPr>
      <w:r>
        <w:rPr>
          <w:rFonts w:cs="Arial"/>
          <w:noProof/>
          <w:szCs w:val="20"/>
          <w:u w:val="single"/>
          <w:lang w:eastAsia="zh-CN"/>
        </w:rPr>
        <w:t>Required skills and expertise</w:t>
      </w:r>
      <w:r w:rsidR="00302BFE" w:rsidRPr="00204930">
        <w:rPr>
          <w:rFonts w:cs="Arial"/>
          <w:noProof/>
          <w:szCs w:val="20"/>
          <w:u w:val="single"/>
          <w:lang w:eastAsia="zh-CN"/>
        </w:rPr>
        <w:t>:</w:t>
      </w:r>
    </w:p>
    <w:p w14:paraId="78CB5EAB"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University degree (or equivalent) in on Environmental Science, Environmental Studies, Environmental Engineering or a related field relevant to the tasks required.</w:t>
      </w:r>
    </w:p>
    <w:p w14:paraId="2CFBC25B"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Substantial, relevant and practical working experience in UNDP/GEF project development, including design.</w:t>
      </w:r>
    </w:p>
    <w:p w14:paraId="515BD6D4"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Detailed Understanding of UNDP, Burkina Faso and international environmental and social standards;</w:t>
      </w:r>
    </w:p>
    <w:p w14:paraId="4B4D5E94"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Fluency in French and English with excellent written communication skills, and strong experience in writing reports.</w:t>
      </w:r>
    </w:p>
    <w:p w14:paraId="72322C41" w14:textId="77777777" w:rsidR="00302BFE" w:rsidRPr="00580E65" w:rsidRDefault="00302BFE" w:rsidP="00C46720">
      <w:pPr>
        <w:numPr>
          <w:ilvl w:val="0"/>
          <w:numId w:val="59"/>
        </w:numPr>
        <w:spacing w:after="0"/>
        <w:ind w:left="284" w:hanging="294"/>
        <w:rPr>
          <w:rFonts w:cs="Arial"/>
          <w:noProof/>
          <w:szCs w:val="20"/>
          <w:lang w:eastAsia="zh-CN"/>
        </w:rPr>
      </w:pPr>
      <w:r w:rsidRPr="00580E65">
        <w:rPr>
          <w:rFonts w:cs="Arial"/>
          <w:noProof/>
          <w:szCs w:val="20"/>
          <w:lang w:eastAsia="zh-CN"/>
        </w:rPr>
        <w:t xml:space="preserve">Minimum 10 years of relevant and practical working experience with environmental and/or social impact assessments </w:t>
      </w:r>
    </w:p>
    <w:p w14:paraId="09D8A750" w14:textId="77777777" w:rsidR="00302BFE" w:rsidRPr="00204930" w:rsidRDefault="00302BFE" w:rsidP="00204930">
      <w:pPr>
        <w:spacing w:before="240" w:after="120"/>
        <w:rPr>
          <w:rFonts w:eastAsia="Times New Roman" w:cs="Arial"/>
          <w:b/>
          <w:bCs/>
          <w:color w:val="0055AA"/>
          <w:szCs w:val="20"/>
          <w:lang w:val="en-CA" w:eastAsia="fr-CA"/>
        </w:rPr>
      </w:pPr>
      <w:r w:rsidRPr="00204930">
        <w:rPr>
          <w:rFonts w:eastAsia="Times New Roman" w:cs="Arial"/>
          <w:b/>
          <w:bCs/>
          <w:color w:val="0055AA"/>
          <w:szCs w:val="20"/>
          <w:lang w:val="en-CA" w:eastAsia="fr-CA"/>
        </w:rPr>
        <w:t>Indicative outline of the Environmental and Social Management Plan</w:t>
      </w:r>
    </w:p>
    <w:p w14:paraId="5797588A" w14:textId="77777777" w:rsidR="00302BFE" w:rsidRPr="00356AE1" w:rsidRDefault="00302BFE" w:rsidP="00302BFE">
      <w:pPr>
        <w:rPr>
          <w:szCs w:val="20"/>
          <w:lang w:val="en-CA"/>
        </w:rPr>
      </w:pPr>
      <w:r w:rsidRPr="00356AE1">
        <w:rPr>
          <w:szCs w:val="20"/>
          <w:lang w:val="en-CA"/>
        </w:rPr>
        <w:t xml:space="preserve">The content of the ESMP should address the following sections: </w:t>
      </w:r>
    </w:p>
    <w:p w14:paraId="642C93FA" w14:textId="77777777" w:rsidR="00302BFE" w:rsidRPr="00425121" w:rsidRDefault="00302BFE" w:rsidP="00302BFE">
      <w:pPr>
        <w:spacing w:before="60"/>
        <w:rPr>
          <w:szCs w:val="20"/>
          <w:lang w:val="en-CA"/>
        </w:rPr>
      </w:pPr>
      <w:r>
        <w:rPr>
          <w:szCs w:val="20"/>
          <w:lang w:val="en-CA"/>
        </w:rPr>
        <w:t xml:space="preserve">1. </w:t>
      </w:r>
      <w:r w:rsidRPr="00425121">
        <w:rPr>
          <w:szCs w:val="20"/>
          <w:lang w:val="en-CA"/>
        </w:rPr>
        <w:t>Mitigation: Identifies measures and actions in accordance with the mitigation hierarchy that avoid, or if avoidance not possible, reduce potentially significant adverse social and environmental impacts to acceptable levels. Specifically, the ESMP:</w:t>
      </w:r>
    </w:p>
    <w:p w14:paraId="1D35C29A" w14:textId="77777777" w:rsidR="00302BFE" w:rsidRPr="00425121" w:rsidRDefault="00302BFE" w:rsidP="00C46720">
      <w:pPr>
        <w:numPr>
          <w:ilvl w:val="2"/>
          <w:numId w:val="48"/>
        </w:numPr>
        <w:spacing w:after="0"/>
        <w:ind w:left="426"/>
        <w:rPr>
          <w:szCs w:val="20"/>
          <w:lang w:val="en-CA"/>
        </w:rPr>
      </w:pPr>
      <w:r w:rsidRPr="00425121">
        <w:rPr>
          <w:szCs w:val="20"/>
          <w:lang w:val="en-CA"/>
        </w:rPr>
        <w:t xml:space="preserve">identifies and summarizes all anticipated significant adverse social and environmental </w:t>
      </w:r>
      <w:proofErr w:type="gramStart"/>
      <w:r w:rsidRPr="00425121">
        <w:rPr>
          <w:szCs w:val="20"/>
          <w:lang w:val="en-CA"/>
        </w:rPr>
        <w:t>impacts;</w:t>
      </w:r>
      <w:proofErr w:type="gramEnd"/>
      <w:r w:rsidRPr="00425121">
        <w:rPr>
          <w:szCs w:val="20"/>
          <w:lang w:val="en-CA"/>
        </w:rPr>
        <w:t xml:space="preserve"> </w:t>
      </w:r>
    </w:p>
    <w:p w14:paraId="32774D30" w14:textId="77777777" w:rsidR="00302BFE" w:rsidRPr="00425121" w:rsidRDefault="00302BFE" w:rsidP="00C46720">
      <w:pPr>
        <w:numPr>
          <w:ilvl w:val="2"/>
          <w:numId w:val="48"/>
        </w:numPr>
        <w:spacing w:after="0"/>
        <w:ind w:left="426"/>
        <w:rPr>
          <w:szCs w:val="20"/>
          <w:lang w:val="en-CA"/>
        </w:rPr>
      </w:pPr>
      <w:r w:rsidRPr="00425121">
        <w:rPr>
          <w:szCs w:val="20"/>
          <w:lang w:val="en-CA"/>
        </w:rPr>
        <w:t xml:space="preserve">describes – with technical details – each mitigation measure, including the type of impact to which it relates and the conditions under which it is required (e.g., continuously or in the event of contingencies), together with designs, equipment descriptions, and operating procedures, as </w:t>
      </w:r>
      <w:proofErr w:type="gramStart"/>
      <w:r w:rsidRPr="00425121">
        <w:rPr>
          <w:szCs w:val="20"/>
          <w:lang w:val="en-CA"/>
        </w:rPr>
        <w:t>appropriate;</w:t>
      </w:r>
      <w:proofErr w:type="gramEnd"/>
    </w:p>
    <w:p w14:paraId="25D8E99B" w14:textId="77777777" w:rsidR="00302BFE" w:rsidRPr="00425121" w:rsidRDefault="00302BFE" w:rsidP="00C46720">
      <w:pPr>
        <w:numPr>
          <w:ilvl w:val="2"/>
          <w:numId w:val="48"/>
        </w:numPr>
        <w:spacing w:after="0"/>
        <w:ind w:left="426"/>
        <w:rPr>
          <w:szCs w:val="20"/>
          <w:lang w:val="en-CA"/>
        </w:rPr>
      </w:pPr>
      <w:r w:rsidRPr="00425121">
        <w:rPr>
          <w:szCs w:val="20"/>
          <w:lang w:val="en-CA"/>
        </w:rPr>
        <w:t>estimates any potential social and environmental impacts of these measures and any residual impacts following mitigation; and</w:t>
      </w:r>
    </w:p>
    <w:p w14:paraId="0D869782" w14:textId="77777777" w:rsidR="00302BFE" w:rsidRPr="00425121" w:rsidRDefault="00302BFE" w:rsidP="00C46720">
      <w:pPr>
        <w:numPr>
          <w:ilvl w:val="2"/>
          <w:numId w:val="48"/>
        </w:numPr>
        <w:spacing w:after="0"/>
        <w:ind w:left="426"/>
        <w:rPr>
          <w:szCs w:val="20"/>
          <w:lang w:val="en-CA"/>
        </w:rPr>
      </w:pPr>
      <w:r w:rsidRPr="00425121">
        <w:rPr>
          <w:szCs w:val="20"/>
          <w:lang w:val="en-CA"/>
        </w:rPr>
        <w:t>takes into account, and is consistent with, other required mitigation plans (</w:t>
      </w:r>
      <w:proofErr w:type="gramStart"/>
      <w:r w:rsidRPr="00425121">
        <w:rPr>
          <w:szCs w:val="20"/>
          <w:lang w:val="en-CA"/>
        </w:rPr>
        <w:t>e.g.</w:t>
      </w:r>
      <w:proofErr w:type="gramEnd"/>
      <w:r w:rsidRPr="00425121">
        <w:rPr>
          <w:szCs w:val="20"/>
          <w:lang w:val="en-CA"/>
        </w:rPr>
        <w:t xml:space="preserve"> for displacement, indigenous peoples). </w:t>
      </w:r>
    </w:p>
    <w:p w14:paraId="7F6F128A" w14:textId="77777777" w:rsidR="00302BFE" w:rsidRPr="00425121" w:rsidRDefault="00302BFE" w:rsidP="00302BFE">
      <w:pPr>
        <w:spacing w:before="60"/>
        <w:rPr>
          <w:szCs w:val="20"/>
          <w:lang w:val="en-CA"/>
        </w:rPr>
      </w:pPr>
      <w:r>
        <w:rPr>
          <w:szCs w:val="20"/>
          <w:lang w:val="en-CA"/>
        </w:rPr>
        <w:t xml:space="preserve">2. </w:t>
      </w:r>
      <w:r w:rsidRPr="00425121">
        <w:rPr>
          <w:szCs w:val="20"/>
          <w:lang w:val="en-CA"/>
        </w:rPr>
        <w:t xml:space="preserve">Monitoring: Identifies monitoring objectives and specifies the type of monitoring, with linkages to the impacts assessed in the environmental and social assessment and the mitigation measures described in the ESMP. Specifically, the monitoring section of the ESMP provides </w:t>
      </w:r>
    </w:p>
    <w:p w14:paraId="632740CD" w14:textId="77777777" w:rsidR="00302BFE" w:rsidRPr="00425121" w:rsidRDefault="00302BFE" w:rsidP="00C46720">
      <w:pPr>
        <w:numPr>
          <w:ilvl w:val="0"/>
          <w:numId w:val="49"/>
        </w:numPr>
        <w:spacing w:after="0"/>
        <w:ind w:left="709"/>
        <w:rPr>
          <w:szCs w:val="20"/>
          <w:lang w:val="en-CA"/>
        </w:rPr>
      </w:pPr>
      <w:r w:rsidRPr="00425121">
        <w:rPr>
          <w:szCs w:val="20"/>
          <w:lang w:val="en-CA"/>
        </w:rPr>
        <w:lastRenderedPageBreak/>
        <w:t>a specific description, and technical details, of monitoring measures, including the parameters to be measured, methods to be used, sampling locations, frequency of measurements, detection limits (where appropriate), and definition of thresholds that will signal the need for corrective actions; and</w:t>
      </w:r>
    </w:p>
    <w:p w14:paraId="73EDDE4C" w14:textId="77777777" w:rsidR="00302BFE" w:rsidRPr="00425121" w:rsidRDefault="00302BFE" w:rsidP="00C46720">
      <w:pPr>
        <w:numPr>
          <w:ilvl w:val="0"/>
          <w:numId w:val="49"/>
        </w:numPr>
        <w:spacing w:after="0"/>
        <w:ind w:left="709"/>
        <w:rPr>
          <w:szCs w:val="20"/>
          <w:lang w:val="en-CA"/>
        </w:rPr>
      </w:pPr>
      <w:r w:rsidRPr="00425121">
        <w:rPr>
          <w:szCs w:val="20"/>
          <w:lang w:val="en-CA"/>
        </w:rPr>
        <w:t xml:space="preserve">monitoring and reporting procedures to (i) ensure early detection of conditions that necessitate </w:t>
      </w:r>
      <w:proofErr w:type="gramStart"/>
      <w:r w:rsidRPr="00425121">
        <w:rPr>
          <w:szCs w:val="20"/>
          <w:lang w:val="en-CA"/>
        </w:rPr>
        <w:t>particular mitigation</w:t>
      </w:r>
      <w:proofErr w:type="gramEnd"/>
      <w:r w:rsidRPr="00425121">
        <w:rPr>
          <w:szCs w:val="20"/>
          <w:lang w:val="en-CA"/>
        </w:rPr>
        <w:t xml:space="preserve"> measures, and (ii) furnish information on the progress and results of mitigation. </w:t>
      </w:r>
    </w:p>
    <w:p w14:paraId="0776040C" w14:textId="77777777" w:rsidR="00302BFE" w:rsidRPr="00425121" w:rsidRDefault="00302BFE" w:rsidP="00302BFE">
      <w:pPr>
        <w:spacing w:before="60"/>
        <w:rPr>
          <w:szCs w:val="20"/>
          <w:lang w:val="en-CA"/>
        </w:rPr>
      </w:pPr>
      <w:r>
        <w:rPr>
          <w:szCs w:val="20"/>
          <w:lang w:val="en-CA"/>
        </w:rPr>
        <w:t xml:space="preserve">3. </w:t>
      </w:r>
      <w:r w:rsidRPr="00425121">
        <w:rPr>
          <w:szCs w:val="20"/>
          <w:lang w:val="en-CA"/>
        </w:rPr>
        <w:t>Capacity development and training: To support timely and effective implementation of social and environmental project components and mitigation measures, the ESMP draws on the environmental and social assessment of the existence, role, and capability of responsible parties on site or at the agency and ministry level. Specifically, the ESMP provides a description of institutional arrangements, identifying which party is responsible for carrying out the mitigation and monitoring measures (</w:t>
      </w:r>
      <w:proofErr w:type="gramStart"/>
      <w:r w:rsidRPr="00425121">
        <w:rPr>
          <w:szCs w:val="20"/>
          <w:lang w:val="en-CA"/>
        </w:rPr>
        <w:t>e.g.</w:t>
      </w:r>
      <w:proofErr w:type="gramEnd"/>
      <w:r w:rsidRPr="00425121">
        <w:rPr>
          <w:szCs w:val="20"/>
          <w:lang w:val="en-CA"/>
        </w:rPr>
        <w:t xml:space="preserve"> for operation, supervision, enforcement, monitoring of implementation, remedial action, financing, reporting, and staff training). Where support for strengthening social and environmental management capability is identified, ESMP recommends the establishment or expansion of the parties responsible, the training of staff and any additional measures that may be necessary to support implementation of mitigation measures and any other recommendations of the environmental and social assessment. </w:t>
      </w:r>
    </w:p>
    <w:p w14:paraId="5585EC57" w14:textId="77777777" w:rsidR="00302BFE" w:rsidRPr="00425121" w:rsidRDefault="00302BFE" w:rsidP="00302BFE">
      <w:pPr>
        <w:spacing w:before="60"/>
        <w:rPr>
          <w:szCs w:val="20"/>
          <w:lang w:val="en-CA"/>
        </w:rPr>
      </w:pPr>
      <w:r>
        <w:rPr>
          <w:szCs w:val="20"/>
          <w:lang w:val="en-CA"/>
        </w:rPr>
        <w:t xml:space="preserve">4. </w:t>
      </w:r>
      <w:r w:rsidRPr="00425121">
        <w:rPr>
          <w:szCs w:val="20"/>
          <w:lang w:val="en-CA"/>
        </w:rPr>
        <w:t xml:space="preserve">Stakeholder Engagement: Outlines plan to engage in meaningful, </w:t>
      </w:r>
      <w:proofErr w:type="gramStart"/>
      <w:r w:rsidRPr="00425121">
        <w:rPr>
          <w:szCs w:val="20"/>
          <w:lang w:val="en-CA"/>
        </w:rPr>
        <w:t>effective</w:t>
      </w:r>
      <w:proofErr w:type="gramEnd"/>
      <w:r w:rsidRPr="00425121">
        <w:rPr>
          <w:szCs w:val="20"/>
          <w:lang w:val="en-CA"/>
        </w:rPr>
        <w:t xml:space="preserve"> and informed consultations with affected stakeholders. Includes information on </w:t>
      </w:r>
    </w:p>
    <w:p w14:paraId="0DC8B75A" w14:textId="77777777" w:rsidR="00302BFE" w:rsidRPr="00425121" w:rsidRDefault="00302BFE" w:rsidP="00C46720">
      <w:pPr>
        <w:numPr>
          <w:ilvl w:val="0"/>
          <w:numId w:val="50"/>
        </w:numPr>
        <w:spacing w:after="0"/>
        <w:ind w:left="709"/>
        <w:rPr>
          <w:szCs w:val="20"/>
          <w:lang w:val="en-CA"/>
        </w:rPr>
      </w:pPr>
      <w:r w:rsidRPr="00425121">
        <w:rPr>
          <w:szCs w:val="20"/>
          <w:lang w:val="en-CA"/>
        </w:rPr>
        <w:t xml:space="preserve">means used to inform and involve affected people in the assessment </w:t>
      </w:r>
      <w:proofErr w:type="gramStart"/>
      <w:r w:rsidRPr="00425121">
        <w:rPr>
          <w:szCs w:val="20"/>
          <w:lang w:val="en-CA"/>
        </w:rPr>
        <w:t>process;</w:t>
      </w:r>
      <w:proofErr w:type="gramEnd"/>
    </w:p>
    <w:p w14:paraId="682EA0D4" w14:textId="77777777" w:rsidR="00302BFE" w:rsidRPr="00425121" w:rsidRDefault="00302BFE" w:rsidP="00C46720">
      <w:pPr>
        <w:numPr>
          <w:ilvl w:val="0"/>
          <w:numId w:val="50"/>
        </w:numPr>
        <w:spacing w:after="0"/>
        <w:ind w:left="709"/>
        <w:rPr>
          <w:szCs w:val="20"/>
          <w:lang w:val="en-CA"/>
        </w:rPr>
      </w:pPr>
      <w:r w:rsidRPr="00425121">
        <w:rPr>
          <w:szCs w:val="20"/>
          <w:lang w:val="en-CA"/>
        </w:rPr>
        <w:t xml:space="preserve">summary of stakeholder engagement plan for meaningful, effective consultations during project implementation, including identification of milestones for consultations, information disclosure, and periodic reporting on progress on project implementation; and </w:t>
      </w:r>
    </w:p>
    <w:p w14:paraId="5FDCDA80" w14:textId="77777777" w:rsidR="00302BFE" w:rsidRPr="00425121" w:rsidRDefault="00302BFE" w:rsidP="00C46720">
      <w:pPr>
        <w:numPr>
          <w:ilvl w:val="0"/>
          <w:numId w:val="50"/>
        </w:numPr>
        <w:spacing w:after="0"/>
        <w:ind w:left="709"/>
        <w:rPr>
          <w:szCs w:val="20"/>
          <w:lang w:val="en-CA"/>
        </w:rPr>
      </w:pPr>
      <w:r w:rsidRPr="00425121">
        <w:rPr>
          <w:szCs w:val="20"/>
          <w:lang w:val="en-CA"/>
        </w:rPr>
        <w:t xml:space="preserve">description of effective processes for receiving and addressing stakeholder concerns and grievances regarding the project’s social and environmental performance. </w:t>
      </w:r>
    </w:p>
    <w:p w14:paraId="36B75983" w14:textId="77777777" w:rsidR="00302BFE" w:rsidRPr="00425121" w:rsidRDefault="00302BFE" w:rsidP="00302BFE">
      <w:pPr>
        <w:spacing w:before="60"/>
        <w:rPr>
          <w:szCs w:val="20"/>
          <w:lang w:val="en-CA"/>
        </w:rPr>
      </w:pPr>
      <w:r>
        <w:rPr>
          <w:szCs w:val="20"/>
          <w:lang w:val="en-CA"/>
        </w:rPr>
        <w:t xml:space="preserve">5. </w:t>
      </w:r>
      <w:r w:rsidRPr="00425121">
        <w:rPr>
          <w:szCs w:val="20"/>
          <w:lang w:val="en-CA"/>
        </w:rPr>
        <w:t>Implementation action plan (schedule and cost estimates): For all four above aspects (mitigation, monitoring, capacity development, and stakeholder engagement), ESMP provides</w:t>
      </w:r>
    </w:p>
    <w:p w14:paraId="32F1B77B" w14:textId="77777777" w:rsidR="00302BFE" w:rsidRPr="00425121" w:rsidRDefault="00302BFE" w:rsidP="00C46720">
      <w:pPr>
        <w:numPr>
          <w:ilvl w:val="0"/>
          <w:numId w:val="51"/>
        </w:numPr>
        <w:spacing w:after="0"/>
        <w:ind w:left="709"/>
        <w:rPr>
          <w:szCs w:val="20"/>
          <w:lang w:val="en-CA"/>
        </w:rPr>
      </w:pPr>
      <w:r w:rsidRPr="00425121">
        <w:rPr>
          <w:szCs w:val="20"/>
          <w:lang w:val="en-CA"/>
        </w:rPr>
        <w:t>an implementation schedule for measures that must be carried out as part of the project, showing phasing and coordination with overall project implementation plans; and</w:t>
      </w:r>
    </w:p>
    <w:p w14:paraId="7E18A8B2" w14:textId="77777777" w:rsidR="00302BFE" w:rsidRPr="00515180" w:rsidRDefault="00302BFE" w:rsidP="00C46720">
      <w:pPr>
        <w:numPr>
          <w:ilvl w:val="0"/>
          <w:numId w:val="51"/>
        </w:numPr>
        <w:spacing w:after="0"/>
        <w:ind w:left="709"/>
        <w:rPr>
          <w:szCs w:val="20"/>
          <w:lang w:val="en-CA"/>
        </w:rPr>
      </w:pPr>
      <w:r w:rsidRPr="00425121">
        <w:rPr>
          <w:szCs w:val="20"/>
          <w:lang w:val="en-CA"/>
        </w:rPr>
        <w:t>the capital and recurrent cost estimates and sources of funds for implementing the ESMP. These figures are also integrated into the total project cost tables. Each of the measures and actions to be implemented will be clearly specified and the costs of so doing will be integrated into the project's overall planning, design, budget, and implementation.</w:t>
      </w:r>
    </w:p>
    <w:p w14:paraId="130CABA7" w14:textId="77777777" w:rsidR="00302BFE" w:rsidRPr="003377E8" w:rsidRDefault="00302BFE" w:rsidP="00302BFE">
      <w:pPr>
        <w:spacing w:after="0" w:line="256" w:lineRule="auto"/>
        <w:jc w:val="left"/>
        <w:rPr>
          <w:szCs w:val="20"/>
          <w:lang w:val="en-CA"/>
        </w:rPr>
      </w:pPr>
    </w:p>
    <w:p w14:paraId="6821EA3A" w14:textId="77777777" w:rsidR="00302BFE" w:rsidRPr="006512C4" w:rsidRDefault="00302BFE" w:rsidP="00302BFE">
      <w:pPr>
        <w:pStyle w:val="Titre2"/>
        <w:ind w:left="0"/>
        <w:rPr>
          <w:rFonts w:ascii="Calibri" w:hAnsi="Calibri"/>
          <w:szCs w:val="22"/>
        </w:rPr>
      </w:pPr>
      <w:r>
        <w:rPr>
          <w:b w:val="0"/>
          <w:szCs w:val="22"/>
        </w:rPr>
        <w:br w:type="page"/>
      </w:r>
      <w:bookmarkStart w:id="61" w:name="_Toc9961804"/>
      <w:r w:rsidRPr="006512C4">
        <w:rPr>
          <w:rFonts w:ascii="Calibri" w:hAnsi="Calibri"/>
          <w:szCs w:val="22"/>
        </w:rPr>
        <w:lastRenderedPageBreak/>
        <w:t xml:space="preserve">Annex </w:t>
      </w:r>
      <w:r>
        <w:rPr>
          <w:rFonts w:ascii="Calibri" w:hAnsi="Calibri"/>
          <w:szCs w:val="22"/>
        </w:rPr>
        <w:t>D</w:t>
      </w:r>
      <w:r w:rsidRPr="006512C4">
        <w:rPr>
          <w:rFonts w:ascii="Calibri" w:hAnsi="Calibri"/>
          <w:szCs w:val="22"/>
        </w:rPr>
        <w:t xml:space="preserve">:  </w:t>
      </w:r>
      <w:r>
        <w:rPr>
          <w:rFonts w:ascii="Calibri" w:hAnsi="Calibri"/>
          <w:szCs w:val="22"/>
        </w:rPr>
        <w:t>UNDP Social and Environmental Screening Procedure (annexed as separate file)</w:t>
      </w:r>
      <w:bookmarkEnd w:id="61"/>
    </w:p>
    <w:p w14:paraId="782394A0" w14:textId="77777777" w:rsidR="00302BFE" w:rsidRDefault="00302BFE" w:rsidP="00302BFE">
      <w:pPr>
        <w:rPr>
          <w:b/>
          <w:szCs w:val="22"/>
        </w:rPr>
      </w:pPr>
    </w:p>
    <w:p w14:paraId="0809AB00" w14:textId="77777777" w:rsidR="00302BFE" w:rsidRDefault="00302BFE" w:rsidP="00302BFE">
      <w:pPr>
        <w:pStyle w:val="Titre2"/>
        <w:ind w:left="0"/>
        <w:rPr>
          <w:rFonts w:ascii="Calibri" w:hAnsi="Calibri"/>
          <w:szCs w:val="22"/>
        </w:rPr>
        <w:sectPr w:rsidR="00302BFE" w:rsidSect="00243B15">
          <w:pgSz w:w="12240" w:h="15840" w:code="1"/>
          <w:pgMar w:top="720" w:right="720" w:bottom="720" w:left="720" w:header="720" w:footer="720" w:gutter="0"/>
          <w:cols w:space="720"/>
          <w:docGrid w:linePitch="360"/>
        </w:sectPr>
      </w:pPr>
    </w:p>
    <w:p w14:paraId="75F1CFA0" w14:textId="77777777" w:rsidR="00302BFE" w:rsidRDefault="00302BFE" w:rsidP="00302BFE">
      <w:pPr>
        <w:pStyle w:val="Titre2"/>
        <w:ind w:left="0"/>
        <w:rPr>
          <w:rFonts w:ascii="Calibri" w:hAnsi="Calibri"/>
          <w:szCs w:val="22"/>
        </w:rPr>
      </w:pPr>
      <w:bookmarkStart w:id="62" w:name="_Toc9961805"/>
      <w:r w:rsidRPr="006512C4">
        <w:rPr>
          <w:rFonts w:ascii="Calibri" w:hAnsi="Calibri"/>
          <w:szCs w:val="22"/>
        </w:rPr>
        <w:lastRenderedPageBreak/>
        <w:t xml:space="preserve">Annex </w:t>
      </w:r>
      <w:r>
        <w:rPr>
          <w:rFonts w:ascii="Calibri" w:hAnsi="Calibri"/>
          <w:szCs w:val="22"/>
        </w:rPr>
        <w:t>E</w:t>
      </w:r>
      <w:r w:rsidRPr="006512C4">
        <w:rPr>
          <w:rFonts w:ascii="Calibri" w:hAnsi="Calibri"/>
          <w:szCs w:val="22"/>
        </w:rPr>
        <w:t xml:space="preserve">:  </w:t>
      </w:r>
      <w:r>
        <w:rPr>
          <w:rFonts w:ascii="Calibri" w:hAnsi="Calibri"/>
          <w:szCs w:val="22"/>
        </w:rPr>
        <w:t>Stakeholder Engagement Plan</w:t>
      </w:r>
      <w:bookmarkEnd w:id="62"/>
      <w:r>
        <w:rPr>
          <w:rFonts w:ascii="Calibri" w:hAnsi="Calibri"/>
          <w:szCs w:val="22"/>
        </w:rPr>
        <w:t xml:space="preserve"> </w:t>
      </w:r>
    </w:p>
    <w:p w14:paraId="58B728E8" w14:textId="77777777" w:rsidR="00302BFE" w:rsidRDefault="00302BFE" w:rsidP="00302BFE">
      <w:pPr>
        <w:spacing w:before="120" w:after="120"/>
      </w:pPr>
      <w:r>
        <w:t xml:space="preserve">The following stakeholder engagement plan is based on an extensive analysis of stakeholders’ interests, </w:t>
      </w:r>
      <w:r w:rsidRPr="00EB75D4">
        <w:t>areas of expertise, expectations and needs during the consultations as part of the development of the project document and available in a separate document.</w:t>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82"/>
        <w:gridCol w:w="3827"/>
        <w:gridCol w:w="6193"/>
        <w:gridCol w:w="1985"/>
        <w:gridCol w:w="850"/>
      </w:tblGrid>
      <w:tr w:rsidR="00302BFE" w:rsidRPr="00E379FD" w14:paraId="49666C69" w14:textId="77777777" w:rsidTr="00243B15">
        <w:trPr>
          <w:trHeight w:val="427"/>
          <w:tblHeader/>
          <w:jc w:val="center"/>
        </w:trPr>
        <w:tc>
          <w:tcPr>
            <w:tcW w:w="1882" w:type="dxa"/>
            <w:tcBorders>
              <w:top w:val="single" w:sz="4" w:space="0" w:color="auto"/>
              <w:left w:val="single" w:sz="4" w:space="0" w:color="auto"/>
              <w:bottom w:val="single" w:sz="4" w:space="0" w:color="auto"/>
              <w:right w:val="single" w:sz="4" w:space="0" w:color="auto"/>
            </w:tcBorders>
            <w:shd w:val="clear" w:color="auto" w:fill="FFF2CC"/>
            <w:vAlign w:val="center"/>
          </w:tcPr>
          <w:p w14:paraId="05A928D2" w14:textId="77777777" w:rsidR="00302BFE" w:rsidRPr="00E379FD" w:rsidRDefault="00302BFE" w:rsidP="00243B15">
            <w:pPr>
              <w:keepNext/>
              <w:autoSpaceDN w:val="0"/>
              <w:spacing w:after="0"/>
              <w:jc w:val="left"/>
              <w:rPr>
                <w:rStyle w:val="hpsalt-edited"/>
                <w:rFonts w:eastAsia="Cambria"/>
                <w:sz w:val="18"/>
                <w:szCs w:val="18"/>
                <w:lang w:val="fr-CA"/>
              </w:rPr>
            </w:pPr>
            <w:r>
              <w:rPr>
                <w:b/>
                <w:sz w:val="18"/>
                <w:szCs w:val="18"/>
                <w:lang w:val="fr-CA"/>
              </w:rPr>
              <w:t>Stakeholders</w:t>
            </w:r>
          </w:p>
        </w:tc>
        <w:tc>
          <w:tcPr>
            <w:tcW w:w="3827" w:type="dxa"/>
            <w:tcBorders>
              <w:top w:val="single" w:sz="4" w:space="0" w:color="auto"/>
              <w:left w:val="single" w:sz="4" w:space="0" w:color="auto"/>
              <w:bottom w:val="single" w:sz="4" w:space="0" w:color="auto"/>
              <w:right w:val="single" w:sz="4" w:space="0" w:color="auto"/>
            </w:tcBorders>
            <w:shd w:val="clear" w:color="auto" w:fill="FFF2CC"/>
            <w:vAlign w:val="center"/>
          </w:tcPr>
          <w:p w14:paraId="458FC047" w14:textId="77777777" w:rsidR="00302BFE" w:rsidRPr="00554ABE" w:rsidRDefault="00302BFE" w:rsidP="00243B15">
            <w:pPr>
              <w:keepNext/>
              <w:autoSpaceDN w:val="0"/>
              <w:spacing w:after="0"/>
              <w:jc w:val="left"/>
              <w:rPr>
                <w:rFonts w:eastAsia="Cambria"/>
                <w:b/>
                <w:sz w:val="18"/>
                <w:szCs w:val="18"/>
                <w:lang w:val="en-CA"/>
              </w:rPr>
            </w:pPr>
            <w:r w:rsidRPr="00554ABE">
              <w:rPr>
                <w:b/>
                <w:sz w:val="18"/>
                <w:szCs w:val="18"/>
                <w:lang w:val="en-CA"/>
              </w:rPr>
              <w:t>Expected roles and respons</w:t>
            </w:r>
            <w:r>
              <w:rPr>
                <w:b/>
                <w:sz w:val="18"/>
                <w:szCs w:val="18"/>
                <w:lang w:val="en-CA"/>
              </w:rPr>
              <w:t>i</w:t>
            </w:r>
            <w:r w:rsidRPr="00554ABE">
              <w:rPr>
                <w:b/>
                <w:sz w:val="18"/>
                <w:szCs w:val="18"/>
                <w:lang w:val="en-CA"/>
              </w:rPr>
              <w:t>bilities in project implementation</w:t>
            </w:r>
          </w:p>
        </w:tc>
        <w:tc>
          <w:tcPr>
            <w:tcW w:w="6193" w:type="dxa"/>
            <w:tcBorders>
              <w:top w:val="single" w:sz="4" w:space="0" w:color="auto"/>
              <w:left w:val="single" w:sz="4" w:space="0" w:color="auto"/>
              <w:bottom w:val="single" w:sz="4" w:space="0" w:color="auto"/>
              <w:right w:val="single" w:sz="4" w:space="0" w:color="auto"/>
            </w:tcBorders>
            <w:shd w:val="clear" w:color="auto" w:fill="FFF2CC"/>
            <w:vAlign w:val="center"/>
          </w:tcPr>
          <w:p w14:paraId="36D04247" w14:textId="77777777" w:rsidR="00302BFE" w:rsidRPr="00E379FD" w:rsidRDefault="00302BFE" w:rsidP="00243B15">
            <w:pPr>
              <w:keepNext/>
              <w:autoSpaceDN w:val="0"/>
              <w:spacing w:after="0"/>
              <w:jc w:val="left"/>
              <w:rPr>
                <w:b/>
                <w:sz w:val="18"/>
                <w:szCs w:val="18"/>
                <w:lang w:val="fr-CA"/>
              </w:rPr>
            </w:pPr>
            <w:proofErr w:type="spellStart"/>
            <w:r>
              <w:rPr>
                <w:b/>
                <w:sz w:val="18"/>
                <w:szCs w:val="18"/>
                <w:lang w:val="fr-CA"/>
              </w:rPr>
              <w:t>Activities</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FF2CC"/>
            <w:vAlign w:val="center"/>
          </w:tcPr>
          <w:p w14:paraId="6E8B7981" w14:textId="77777777" w:rsidR="00302BFE" w:rsidRPr="00E379FD" w:rsidRDefault="00302BFE" w:rsidP="00243B15">
            <w:pPr>
              <w:keepNext/>
              <w:autoSpaceDN w:val="0"/>
              <w:spacing w:after="0"/>
              <w:jc w:val="left"/>
              <w:rPr>
                <w:b/>
                <w:sz w:val="18"/>
                <w:szCs w:val="18"/>
                <w:lang w:val="fr-CA"/>
              </w:rPr>
            </w:pPr>
            <w:proofErr w:type="spellStart"/>
            <w:r w:rsidRPr="00E379FD">
              <w:rPr>
                <w:b/>
                <w:sz w:val="18"/>
                <w:szCs w:val="18"/>
                <w:lang w:val="fr-CA"/>
              </w:rPr>
              <w:t>R</w:t>
            </w:r>
            <w:r>
              <w:rPr>
                <w:b/>
                <w:sz w:val="18"/>
                <w:szCs w:val="18"/>
                <w:lang w:val="fr-CA"/>
              </w:rPr>
              <w:t>e</w:t>
            </w:r>
            <w:r w:rsidRPr="00E379FD">
              <w:rPr>
                <w:b/>
                <w:sz w:val="18"/>
                <w:szCs w:val="18"/>
                <w:lang w:val="fr-CA"/>
              </w:rPr>
              <w:t>sults</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2CC"/>
            <w:vAlign w:val="center"/>
          </w:tcPr>
          <w:p w14:paraId="77C1304A" w14:textId="77777777" w:rsidR="00302BFE" w:rsidRPr="00554ABE" w:rsidRDefault="00302BFE" w:rsidP="00243B15">
            <w:pPr>
              <w:keepNext/>
              <w:autoSpaceDN w:val="0"/>
              <w:spacing w:after="0"/>
              <w:jc w:val="left"/>
              <w:rPr>
                <w:b/>
                <w:sz w:val="16"/>
                <w:szCs w:val="16"/>
                <w:lang w:val="fr-CA"/>
              </w:rPr>
            </w:pPr>
            <w:proofErr w:type="spellStart"/>
            <w:r w:rsidRPr="00554ABE">
              <w:rPr>
                <w:b/>
                <w:sz w:val="16"/>
                <w:szCs w:val="16"/>
                <w:lang w:val="fr-CA"/>
              </w:rPr>
              <w:t>Comp</w:t>
            </w:r>
            <w:proofErr w:type="spellEnd"/>
            <w:r>
              <w:rPr>
                <w:b/>
                <w:sz w:val="16"/>
                <w:szCs w:val="16"/>
                <w:lang w:val="fr-CA"/>
              </w:rPr>
              <w:t>.</w:t>
            </w:r>
          </w:p>
        </w:tc>
      </w:tr>
      <w:tr w:rsidR="00302BFE" w:rsidRPr="00E379FD" w14:paraId="3867CCD4" w14:textId="77777777" w:rsidTr="00243B15">
        <w:trPr>
          <w:jc w:val="center"/>
        </w:trPr>
        <w:tc>
          <w:tcPr>
            <w:tcW w:w="5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959D6C7" w14:textId="77777777" w:rsidR="00302BFE" w:rsidRPr="005C25D0" w:rsidRDefault="00302BFE" w:rsidP="00243B15">
            <w:pPr>
              <w:autoSpaceDN w:val="0"/>
              <w:spacing w:after="0"/>
              <w:jc w:val="left"/>
              <w:rPr>
                <w:rFonts w:eastAsia="Cambria"/>
                <w:b/>
                <w:sz w:val="18"/>
                <w:szCs w:val="18"/>
                <w:lang w:val="fr-CA"/>
              </w:rPr>
            </w:pPr>
            <w:r w:rsidRPr="005C25D0">
              <w:rPr>
                <w:rStyle w:val="hps"/>
                <w:b/>
                <w:sz w:val="18"/>
                <w:szCs w:val="18"/>
                <w:lang w:val="fr-CA"/>
              </w:rPr>
              <w:t xml:space="preserve">Village </w:t>
            </w:r>
            <w:proofErr w:type="spellStart"/>
            <w:r w:rsidRPr="005C25D0">
              <w:rPr>
                <w:rStyle w:val="hps"/>
                <w:b/>
                <w:sz w:val="18"/>
                <w:szCs w:val="18"/>
                <w:lang w:val="fr-CA"/>
              </w:rPr>
              <w:t>communities</w:t>
            </w:r>
            <w:proofErr w:type="spellEnd"/>
            <w:r w:rsidRPr="005C25D0">
              <w:rPr>
                <w:rStyle w:val="hps"/>
                <w:b/>
                <w:sz w:val="18"/>
                <w:szCs w:val="18"/>
                <w:lang w:val="fr-CA"/>
              </w:rPr>
              <w:t xml:space="preserve"> </w:t>
            </w:r>
            <w:r>
              <w:rPr>
                <w:rStyle w:val="hps"/>
                <w:b/>
                <w:sz w:val="18"/>
                <w:szCs w:val="18"/>
                <w:lang w:val="fr-CA"/>
              </w:rPr>
              <w:t>adjacent to</w:t>
            </w:r>
            <w:r w:rsidRPr="005C25D0">
              <w:rPr>
                <w:rStyle w:val="hps"/>
                <w:b/>
                <w:sz w:val="18"/>
                <w:szCs w:val="18"/>
                <w:lang w:val="fr-CA"/>
              </w:rPr>
              <w:t xml:space="preserve"> </w:t>
            </w:r>
            <w:proofErr w:type="spellStart"/>
            <w:r w:rsidRPr="005C25D0">
              <w:rPr>
                <w:rStyle w:val="hps"/>
                <w:b/>
                <w:sz w:val="18"/>
                <w:szCs w:val="18"/>
                <w:lang w:val="fr-CA"/>
              </w:rPr>
              <w:t>PAs</w:t>
            </w:r>
            <w:proofErr w:type="spellEnd"/>
          </w:p>
        </w:tc>
        <w:tc>
          <w:tcPr>
            <w:tcW w:w="6193" w:type="dxa"/>
            <w:tcBorders>
              <w:top w:val="single" w:sz="4" w:space="0" w:color="auto"/>
              <w:left w:val="single" w:sz="4" w:space="0" w:color="auto"/>
              <w:bottom w:val="single" w:sz="4" w:space="0" w:color="auto"/>
              <w:right w:val="single" w:sz="4" w:space="0" w:color="auto"/>
            </w:tcBorders>
            <w:shd w:val="clear" w:color="auto" w:fill="E6E6E6"/>
            <w:vAlign w:val="center"/>
          </w:tcPr>
          <w:p w14:paraId="069179F2" w14:textId="77777777" w:rsidR="00302BFE" w:rsidRPr="00E379FD" w:rsidRDefault="00302BFE" w:rsidP="00243B15">
            <w:pPr>
              <w:autoSpaceDN w:val="0"/>
              <w:spacing w:after="0"/>
              <w:jc w:val="left"/>
              <w:rPr>
                <w:rStyle w:val="hps"/>
                <w:b/>
                <w:bCs/>
                <w:sz w:val="18"/>
                <w:szCs w:val="18"/>
                <w:lang w:val="fr-CA"/>
              </w:rPr>
            </w:pPr>
          </w:p>
        </w:tc>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15FFF0E3" w14:textId="77777777" w:rsidR="00302BFE" w:rsidRPr="00E379FD" w:rsidRDefault="00302BFE" w:rsidP="00243B15">
            <w:pPr>
              <w:autoSpaceDN w:val="0"/>
              <w:spacing w:after="0"/>
              <w:jc w:val="left"/>
              <w:rPr>
                <w:rStyle w:val="hps"/>
                <w:b/>
                <w:bCs/>
                <w:sz w:val="18"/>
                <w:szCs w:val="18"/>
                <w:lang w:val="fr-CA"/>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16C9023E" w14:textId="77777777" w:rsidR="00302BFE" w:rsidRPr="00E379FD" w:rsidRDefault="00302BFE" w:rsidP="00243B15">
            <w:pPr>
              <w:autoSpaceDN w:val="0"/>
              <w:spacing w:after="0"/>
              <w:jc w:val="left"/>
              <w:rPr>
                <w:rStyle w:val="hps"/>
                <w:b/>
                <w:bCs/>
                <w:sz w:val="18"/>
                <w:szCs w:val="18"/>
                <w:lang w:val="fr-CA"/>
              </w:rPr>
            </w:pPr>
          </w:p>
        </w:tc>
      </w:tr>
      <w:tr w:rsidR="00302BFE" w:rsidRPr="00E379FD" w14:paraId="059C6C3A"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0129C5B9" w14:textId="77777777" w:rsidR="00302BFE" w:rsidRPr="00EA1D6F" w:rsidRDefault="00302BFE" w:rsidP="00243B15">
            <w:pPr>
              <w:spacing w:after="0"/>
              <w:jc w:val="left"/>
              <w:rPr>
                <w:rStyle w:val="hps"/>
                <w:rFonts w:eastAsia="Cambria"/>
                <w:b/>
                <w:bCs/>
                <w:sz w:val="18"/>
                <w:szCs w:val="18"/>
                <w:lang w:val="en-CA"/>
              </w:rPr>
            </w:pPr>
            <w:r w:rsidRPr="00EA1D6F">
              <w:rPr>
                <w:sz w:val="18"/>
                <w:szCs w:val="18"/>
                <w:lang w:val="en-CA"/>
              </w:rPr>
              <w:t xml:space="preserve">Main users of the natural resources of PA sites </w:t>
            </w:r>
            <w:proofErr w:type="gramStart"/>
            <w:r w:rsidRPr="00EA1D6F">
              <w:rPr>
                <w:sz w:val="18"/>
                <w:szCs w:val="18"/>
                <w:lang w:val="en-CA"/>
              </w:rPr>
              <w:t>including:</w:t>
            </w:r>
            <w:proofErr w:type="gramEnd"/>
            <w:r w:rsidRPr="00EA1D6F">
              <w:rPr>
                <w:sz w:val="18"/>
                <w:szCs w:val="18"/>
                <w:lang w:val="en-CA"/>
              </w:rPr>
              <w:t xml:space="preserve"> Farmers, herders, loggers, coalmen, hunters, women users (NTFPs, firewood, medicinal plants), craftsmen, carpenters</w:t>
            </w:r>
          </w:p>
        </w:tc>
        <w:tc>
          <w:tcPr>
            <w:tcW w:w="3827" w:type="dxa"/>
            <w:tcBorders>
              <w:top w:val="single" w:sz="4" w:space="0" w:color="auto"/>
              <w:left w:val="single" w:sz="4" w:space="0" w:color="auto"/>
              <w:bottom w:val="single" w:sz="4" w:space="0" w:color="auto"/>
              <w:right w:val="single" w:sz="4" w:space="0" w:color="auto"/>
            </w:tcBorders>
            <w:vAlign w:val="center"/>
          </w:tcPr>
          <w:p w14:paraId="3A93027B" w14:textId="77777777" w:rsidR="00302BFE" w:rsidRPr="00EA1D6F" w:rsidRDefault="00302BFE" w:rsidP="00C46720">
            <w:pPr>
              <w:numPr>
                <w:ilvl w:val="0"/>
                <w:numId w:val="38"/>
              </w:numPr>
              <w:autoSpaceDN w:val="0"/>
              <w:spacing w:after="0"/>
              <w:jc w:val="left"/>
              <w:rPr>
                <w:sz w:val="18"/>
                <w:szCs w:val="18"/>
                <w:lang w:val="fr-CA"/>
              </w:rPr>
            </w:pPr>
            <w:r w:rsidRPr="00EA1D6F">
              <w:rPr>
                <w:sz w:val="18"/>
                <w:szCs w:val="18"/>
                <w:lang w:val="fr-CA"/>
              </w:rPr>
              <w:t xml:space="preserve">Actors and key </w:t>
            </w:r>
            <w:proofErr w:type="spellStart"/>
            <w:r w:rsidRPr="00EA1D6F">
              <w:rPr>
                <w:sz w:val="18"/>
                <w:szCs w:val="18"/>
                <w:lang w:val="fr-CA"/>
              </w:rPr>
              <w:t>beneficiaries</w:t>
            </w:r>
            <w:proofErr w:type="spellEnd"/>
          </w:p>
          <w:p w14:paraId="34D2EBF9" w14:textId="77777777" w:rsidR="00302BFE" w:rsidRPr="009F5ABC" w:rsidRDefault="00302BFE" w:rsidP="00C46720">
            <w:pPr>
              <w:numPr>
                <w:ilvl w:val="0"/>
                <w:numId w:val="38"/>
              </w:numPr>
              <w:autoSpaceDN w:val="0"/>
              <w:spacing w:after="0"/>
              <w:jc w:val="left"/>
              <w:rPr>
                <w:sz w:val="18"/>
                <w:szCs w:val="18"/>
                <w:lang w:val="en-CA"/>
              </w:rPr>
            </w:pPr>
            <w:r w:rsidRPr="009F5ABC">
              <w:rPr>
                <w:sz w:val="18"/>
                <w:szCs w:val="18"/>
                <w:lang w:val="en-CA"/>
              </w:rPr>
              <w:t>Permanent members (through representatives) of project teams during surveys and field missions</w:t>
            </w:r>
          </w:p>
          <w:p w14:paraId="1AB372BF" w14:textId="77777777" w:rsidR="00302BFE" w:rsidRPr="00EA1D6F" w:rsidRDefault="00302BFE" w:rsidP="00C46720">
            <w:pPr>
              <w:numPr>
                <w:ilvl w:val="0"/>
                <w:numId w:val="38"/>
              </w:numPr>
              <w:autoSpaceDN w:val="0"/>
              <w:spacing w:after="0"/>
              <w:jc w:val="left"/>
              <w:rPr>
                <w:rFonts w:eastAsia="Batang"/>
                <w:sz w:val="18"/>
                <w:szCs w:val="18"/>
                <w:lang w:val="en-CA" w:eastAsia="ko-KR"/>
              </w:rPr>
            </w:pPr>
            <w:r w:rsidRPr="009F5ABC">
              <w:rPr>
                <w:sz w:val="18"/>
                <w:szCs w:val="18"/>
                <w:lang w:val="en-CA"/>
              </w:rPr>
              <w:t>Community development organizations (associations, groups, cooperatives)</w:t>
            </w:r>
          </w:p>
        </w:tc>
        <w:tc>
          <w:tcPr>
            <w:tcW w:w="6193" w:type="dxa"/>
            <w:tcBorders>
              <w:top w:val="single" w:sz="4" w:space="0" w:color="auto"/>
              <w:left w:val="single" w:sz="4" w:space="0" w:color="auto"/>
              <w:bottom w:val="single" w:sz="4" w:space="0" w:color="auto"/>
              <w:right w:val="single" w:sz="4" w:space="0" w:color="auto"/>
            </w:tcBorders>
            <w:vAlign w:val="center"/>
          </w:tcPr>
          <w:p w14:paraId="7145C135" w14:textId="77777777" w:rsidR="00302BFE" w:rsidRPr="00EA1D6F" w:rsidRDefault="00302BFE" w:rsidP="00C46720">
            <w:pPr>
              <w:numPr>
                <w:ilvl w:val="0"/>
                <w:numId w:val="38"/>
              </w:numPr>
              <w:autoSpaceDN w:val="0"/>
              <w:spacing w:after="0"/>
              <w:jc w:val="left"/>
              <w:rPr>
                <w:rFonts w:eastAsia="Batang"/>
                <w:sz w:val="18"/>
                <w:szCs w:val="18"/>
                <w:lang w:val="en-CA" w:eastAsia="ko-KR"/>
              </w:rPr>
            </w:pPr>
            <w:r w:rsidRPr="00EA1D6F">
              <w:rPr>
                <w:rFonts w:eastAsia="Batang"/>
                <w:sz w:val="18"/>
                <w:szCs w:val="18"/>
                <w:lang w:val="en-CA" w:eastAsia="ko-KR"/>
              </w:rPr>
              <w:t>They will actively participate in the designation of community representatives on collaborative management committees (Output 2.2.2) and will be represented in the working sessions and negotiations regarding the definition of collaborative PA management arrangements for resource use. and monitoring in PAs (</w:t>
            </w:r>
            <w:r>
              <w:rPr>
                <w:sz w:val="18"/>
                <w:szCs w:val="18"/>
                <w:lang w:val="en-CA"/>
              </w:rPr>
              <w:t>output</w:t>
            </w:r>
            <w:r w:rsidRPr="00616C8C">
              <w:rPr>
                <w:sz w:val="18"/>
                <w:szCs w:val="18"/>
                <w:lang w:val="en-CA"/>
              </w:rPr>
              <w:t xml:space="preserve"> </w:t>
            </w:r>
            <w:r w:rsidRPr="00EA1D6F">
              <w:rPr>
                <w:rFonts w:eastAsia="Batang"/>
                <w:sz w:val="18"/>
                <w:szCs w:val="18"/>
                <w:lang w:val="en-CA" w:eastAsia="ko-KR"/>
              </w:rPr>
              <w:t>2.2.2</w:t>
            </w:r>
            <w:proofErr w:type="gramStart"/>
            <w:r w:rsidRPr="00EA1D6F">
              <w:rPr>
                <w:rFonts w:eastAsia="Batang"/>
                <w:sz w:val="18"/>
                <w:szCs w:val="18"/>
                <w:lang w:val="en-CA" w:eastAsia="ko-KR"/>
              </w:rPr>
              <w:t>);</w:t>
            </w:r>
            <w:proofErr w:type="gramEnd"/>
          </w:p>
          <w:p w14:paraId="1C11F475" w14:textId="77777777" w:rsidR="00302BFE" w:rsidRPr="00EA1D6F" w:rsidRDefault="00302BFE" w:rsidP="00C46720">
            <w:pPr>
              <w:numPr>
                <w:ilvl w:val="0"/>
                <w:numId w:val="38"/>
              </w:numPr>
              <w:autoSpaceDN w:val="0"/>
              <w:spacing w:after="0"/>
              <w:jc w:val="left"/>
              <w:rPr>
                <w:rFonts w:eastAsia="Calibri"/>
                <w:sz w:val="18"/>
                <w:szCs w:val="18"/>
                <w:lang w:val="en-CA"/>
              </w:rPr>
            </w:pPr>
            <w:r w:rsidRPr="00EA1D6F">
              <w:rPr>
                <w:rFonts w:eastAsia="Calibri"/>
                <w:sz w:val="18"/>
                <w:szCs w:val="18"/>
                <w:lang w:val="en-CA"/>
              </w:rPr>
              <w:t>Information and awareness activities will be carried out with local communities bordering protected areas in view of their participation (</w:t>
            </w:r>
            <w:r>
              <w:rPr>
                <w:sz w:val="18"/>
                <w:szCs w:val="18"/>
                <w:lang w:val="en-CA"/>
              </w:rPr>
              <w:t>output</w:t>
            </w:r>
            <w:r w:rsidRPr="00616C8C">
              <w:rPr>
                <w:sz w:val="18"/>
                <w:szCs w:val="18"/>
                <w:lang w:val="en-CA"/>
              </w:rPr>
              <w:t xml:space="preserve"> </w:t>
            </w:r>
            <w:r w:rsidRPr="00EA1D6F">
              <w:rPr>
                <w:rFonts w:eastAsia="Calibri"/>
                <w:sz w:val="18"/>
                <w:szCs w:val="18"/>
                <w:lang w:val="en-CA"/>
              </w:rPr>
              <w:t>2.2) in the following activities:</w:t>
            </w:r>
            <w:r w:rsidRPr="00EA1D6F">
              <w:rPr>
                <w:rFonts w:eastAsia="Calibri"/>
                <w:sz w:val="18"/>
                <w:szCs w:val="18"/>
                <w:lang w:val="en-CA"/>
              </w:rPr>
              <w:br/>
              <w:t>- signing of voluntary agreements concerning the establishment of PAs,</w:t>
            </w:r>
            <w:r w:rsidRPr="00EA1D6F">
              <w:rPr>
                <w:rFonts w:eastAsia="Calibri"/>
                <w:sz w:val="18"/>
                <w:szCs w:val="18"/>
                <w:lang w:val="en-CA"/>
              </w:rPr>
              <w:br/>
              <w:t>- participation in the work for the final delimitation of corridor # 2,</w:t>
            </w:r>
            <w:r>
              <w:rPr>
                <w:rFonts w:eastAsia="Calibri"/>
                <w:sz w:val="18"/>
                <w:szCs w:val="18"/>
                <w:lang w:val="en-CA"/>
              </w:rPr>
              <w:br/>
            </w:r>
            <w:r w:rsidRPr="00EA1D6F">
              <w:rPr>
                <w:rFonts w:eastAsia="Calibri"/>
                <w:sz w:val="18"/>
                <w:szCs w:val="18"/>
                <w:lang w:val="en-CA"/>
              </w:rPr>
              <w:t xml:space="preserve">- participation in regulatory negotiations (activities and permitted uses) within the different PA </w:t>
            </w:r>
            <w:proofErr w:type="gramStart"/>
            <w:r w:rsidRPr="00EA1D6F">
              <w:rPr>
                <w:rFonts w:eastAsia="Calibri"/>
                <w:sz w:val="18"/>
                <w:szCs w:val="18"/>
                <w:lang w:val="en-CA"/>
              </w:rPr>
              <w:t>zones;</w:t>
            </w:r>
            <w:proofErr w:type="gramEnd"/>
          </w:p>
          <w:p w14:paraId="77DBFD0C" w14:textId="77777777" w:rsidR="00302BFE" w:rsidRPr="00EA1D6F" w:rsidRDefault="00302BFE" w:rsidP="00C46720">
            <w:pPr>
              <w:numPr>
                <w:ilvl w:val="0"/>
                <w:numId w:val="38"/>
              </w:numPr>
              <w:autoSpaceDN w:val="0"/>
              <w:spacing w:after="0"/>
              <w:jc w:val="left"/>
              <w:rPr>
                <w:rFonts w:eastAsia="Batang"/>
                <w:sz w:val="18"/>
                <w:szCs w:val="18"/>
                <w:lang w:val="en-CA" w:eastAsia="ko-KR"/>
              </w:rPr>
            </w:pPr>
            <w:r w:rsidRPr="00EA1D6F">
              <w:rPr>
                <w:rFonts w:eastAsia="Batang"/>
                <w:sz w:val="18"/>
                <w:szCs w:val="18"/>
                <w:lang w:val="en-CA" w:eastAsia="ko-KR"/>
              </w:rPr>
              <w:t>Local workers will be hired primarily for development and restoration work within and around the PAs (Output 2.1.4)</w:t>
            </w:r>
          </w:p>
          <w:p w14:paraId="4D87BFAD" w14:textId="77777777" w:rsidR="00302BFE" w:rsidRPr="00EA1D6F" w:rsidRDefault="00302BFE" w:rsidP="00C46720">
            <w:pPr>
              <w:numPr>
                <w:ilvl w:val="0"/>
                <w:numId w:val="38"/>
              </w:numPr>
              <w:autoSpaceDN w:val="0"/>
              <w:spacing w:after="0"/>
              <w:jc w:val="left"/>
              <w:rPr>
                <w:rFonts w:eastAsia="Batang"/>
                <w:sz w:val="18"/>
                <w:szCs w:val="18"/>
                <w:lang w:val="en-CA" w:eastAsia="ko-KR"/>
              </w:rPr>
            </w:pPr>
            <w:r w:rsidRPr="00EA1D6F">
              <w:rPr>
                <w:rFonts w:eastAsia="Batang"/>
                <w:sz w:val="18"/>
                <w:szCs w:val="18"/>
                <w:lang w:val="en-CA" w:eastAsia="ko-KR"/>
              </w:rPr>
              <w:t>Local communities will be invited to participate in the development of NTFP-based value chains (Output 2.3) and the development of tourism activities related to PAs for the benefit of local communities (Output 2.4</w:t>
            </w:r>
            <w:proofErr w:type="gramStart"/>
            <w:r w:rsidRPr="00EA1D6F">
              <w:rPr>
                <w:rFonts w:eastAsia="Batang"/>
                <w:sz w:val="18"/>
                <w:szCs w:val="18"/>
                <w:lang w:val="en-CA" w:eastAsia="ko-KR"/>
              </w:rPr>
              <w:t>);</w:t>
            </w:r>
            <w:proofErr w:type="gramEnd"/>
          </w:p>
          <w:p w14:paraId="6BD135AC" w14:textId="77777777" w:rsidR="00302BFE" w:rsidRPr="00EA1D6F" w:rsidRDefault="00302BFE" w:rsidP="00C46720">
            <w:pPr>
              <w:numPr>
                <w:ilvl w:val="0"/>
                <w:numId w:val="38"/>
              </w:numPr>
              <w:autoSpaceDN w:val="0"/>
              <w:spacing w:after="0"/>
              <w:jc w:val="left"/>
              <w:rPr>
                <w:sz w:val="18"/>
                <w:szCs w:val="18"/>
                <w:lang w:val="en-CA"/>
              </w:rPr>
            </w:pPr>
            <w:r w:rsidRPr="00EA1D6F">
              <w:rPr>
                <w:sz w:val="18"/>
                <w:szCs w:val="18"/>
                <w:lang w:val="en-CA"/>
              </w:rPr>
              <w:t xml:space="preserve">Local communities / resource users will be invited to participate in PA management effectiveness assessments planned during project preparation, </w:t>
            </w:r>
            <w:proofErr w:type="gramStart"/>
            <w:r w:rsidRPr="00EA1D6F">
              <w:rPr>
                <w:sz w:val="18"/>
                <w:szCs w:val="18"/>
                <w:lang w:val="en-CA"/>
              </w:rPr>
              <w:t>mid-term</w:t>
            </w:r>
            <w:proofErr w:type="gramEnd"/>
            <w:r w:rsidRPr="00EA1D6F">
              <w:rPr>
                <w:sz w:val="18"/>
                <w:szCs w:val="18"/>
                <w:lang w:val="en-CA"/>
              </w:rPr>
              <w:t xml:space="preserve"> and end of project, and will participate in monitoring and participatory research programs on biodiversity and to assessment of the impact of project interventions (Output 4.2).</w:t>
            </w:r>
          </w:p>
        </w:tc>
        <w:tc>
          <w:tcPr>
            <w:tcW w:w="1985" w:type="dxa"/>
            <w:tcBorders>
              <w:top w:val="single" w:sz="4" w:space="0" w:color="auto"/>
              <w:left w:val="single" w:sz="4" w:space="0" w:color="auto"/>
              <w:bottom w:val="single" w:sz="4" w:space="0" w:color="auto"/>
              <w:right w:val="single" w:sz="4" w:space="0" w:color="auto"/>
            </w:tcBorders>
            <w:vAlign w:val="center"/>
          </w:tcPr>
          <w:p w14:paraId="540501EB" w14:textId="77777777" w:rsidR="00302BFE" w:rsidRPr="00EA1D6F" w:rsidRDefault="00302BFE" w:rsidP="00243B15">
            <w:pPr>
              <w:pStyle w:val="PrformatHTML"/>
              <w:shd w:val="clear" w:color="auto" w:fill="FFFFFF"/>
              <w:rPr>
                <w:rFonts w:ascii="Calibri" w:hAnsi="Calibri" w:cs="Times New Roman"/>
                <w:sz w:val="18"/>
                <w:szCs w:val="18"/>
                <w:lang w:val="en-CA"/>
              </w:rPr>
            </w:pPr>
            <w:r w:rsidRPr="00EA1D6F">
              <w:rPr>
                <w:rFonts w:ascii="Calibri" w:hAnsi="Calibri" w:cs="Times New Roman"/>
                <w:sz w:val="18"/>
                <w:szCs w:val="18"/>
                <w:lang w:val="en-CA"/>
              </w:rPr>
              <w:t>Local communities and agricultural producers have been consulted, informed, trained and benefit from the implementation of sustainable land management practices and rangeland management systems, as well as biodiversity conservation.</w:t>
            </w:r>
          </w:p>
        </w:tc>
        <w:tc>
          <w:tcPr>
            <w:tcW w:w="850" w:type="dxa"/>
            <w:tcBorders>
              <w:top w:val="single" w:sz="4" w:space="0" w:color="auto"/>
              <w:left w:val="single" w:sz="4" w:space="0" w:color="auto"/>
              <w:bottom w:val="single" w:sz="4" w:space="0" w:color="auto"/>
              <w:right w:val="single" w:sz="4" w:space="0" w:color="auto"/>
            </w:tcBorders>
            <w:vAlign w:val="center"/>
          </w:tcPr>
          <w:p w14:paraId="5F2766B7" w14:textId="77777777" w:rsidR="00302BFE" w:rsidRPr="00E379FD" w:rsidRDefault="00302BFE" w:rsidP="00243B15">
            <w:pPr>
              <w:autoSpaceDN w:val="0"/>
              <w:spacing w:after="0"/>
              <w:jc w:val="left"/>
              <w:rPr>
                <w:sz w:val="18"/>
                <w:szCs w:val="18"/>
                <w:lang w:val="fr-CA"/>
              </w:rPr>
            </w:pPr>
            <w:r w:rsidRPr="00E379FD">
              <w:rPr>
                <w:sz w:val="18"/>
                <w:szCs w:val="18"/>
                <w:lang w:val="fr-CA"/>
              </w:rPr>
              <w:t xml:space="preserve">1, 2, 3 </w:t>
            </w:r>
            <w:r>
              <w:rPr>
                <w:sz w:val="18"/>
                <w:szCs w:val="18"/>
                <w:lang w:val="fr-CA"/>
              </w:rPr>
              <w:t>and</w:t>
            </w:r>
            <w:r w:rsidRPr="00E379FD">
              <w:rPr>
                <w:sz w:val="18"/>
                <w:szCs w:val="18"/>
                <w:lang w:val="fr-CA"/>
              </w:rPr>
              <w:t xml:space="preserve"> 4</w:t>
            </w:r>
          </w:p>
        </w:tc>
      </w:tr>
      <w:tr w:rsidR="00302BFE" w:rsidRPr="00E379FD" w14:paraId="76C55580"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5CF09634" w14:textId="77777777" w:rsidR="00302BFE" w:rsidRPr="00CF4D08" w:rsidRDefault="00302BFE" w:rsidP="00243B15">
            <w:pPr>
              <w:spacing w:after="0"/>
              <w:jc w:val="left"/>
              <w:rPr>
                <w:rFonts w:eastAsia="Cambria"/>
                <w:sz w:val="18"/>
                <w:szCs w:val="18"/>
                <w:lang w:val="en-CA"/>
              </w:rPr>
            </w:pPr>
            <w:r w:rsidRPr="005C25D0">
              <w:rPr>
                <w:b/>
                <w:sz w:val="18"/>
                <w:szCs w:val="18"/>
                <w:lang w:val="en-CA"/>
              </w:rPr>
              <w:t>Community opinion leaders</w:t>
            </w:r>
            <w:r w:rsidRPr="00CF4D08">
              <w:rPr>
                <w:sz w:val="18"/>
                <w:szCs w:val="18"/>
                <w:lang w:val="en-CA"/>
              </w:rPr>
              <w:t xml:space="preserve">: village chiefs, religious leaders (Imam, priests, pastors), land chiefs </w:t>
            </w:r>
          </w:p>
        </w:tc>
        <w:tc>
          <w:tcPr>
            <w:tcW w:w="3827" w:type="dxa"/>
            <w:tcBorders>
              <w:top w:val="single" w:sz="4" w:space="0" w:color="auto"/>
              <w:left w:val="single" w:sz="4" w:space="0" w:color="auto"/>
              <w:bottom w:val="single" w:sz="4" w:space="0" w:color="auto"/>
              <w:right w:val="single" w:sz="4" w:space="0" w:color="auto"/>
            </w:tcBorders>
            <w:vAlign w:val="center"/>
          </w:tcPr>
          <w:p w14:paraId="14BF3E62" w14:textId="77777777" w:rsidR="00302BFE" w:rsidRPr="009F390C" w:rsidRDefault="00302BFE" w:rsidP="00243B15">
            <w:pPr>
              <w:autoSpaceDN w:val="0"/>
              <w:spacing w:after="0"/>
              <w:jc w:val="left"/>
              <w:rPr>
                <w:sz w:val="18"/>
                <w:szCs w:val="18"/>
                <w:lang w:val="en-CA"/>
              </w:rPr>
            </w:pPr>
            <w:r w:rsidRPr="009F390C">
              <w:rPr>
                <w:sz w:val="18"/>
                <w:szCs w:val="18"/>
                <w:lang w:val="en-CA"/>
              </w:rPr>
              <w:t>Village chiefs, land chiefs and religious and customary chiefs enjoy a very high degree of legitimacy. Highly respected, they are heard by the people and can play the role of transmitting information to even the most remote villages.</w:t>
            </w:r>
          </w:p>
          <w:p w14:paraId="07C8E1E3" w14:textId="77777777" w:rsidR="00302BFE" w:rsidRPr="009F390C" w:rsidRDefault="00302BFE" w:rsidP="00243B15">
            <w:pPr>
              <w:autoSpaceDN w:val="0"/>
              <w:spacing w:after="0"/>
              <w:jc w:val="left"/>
              <w:rPr>
                <w:rFonts w:eastAsia="Calibri"/>
                <w:sz w:val="18"/>
                <w:szCs w:val="18"/>
                <w:lang w:val="en-CA"/>
              </w:rPr>
            </w:pPr>
            <w:r w:rsidRPr="009F390C">
              <w:rPr>
                <w:sz w:val="18"/>
                <w:szCs w:val="18"/>
                <w:lang w:val="en-CA"/>
              </w:rPr>
              <w:t>Land chiefs are the ones who rule on land issues. They are also involved in conflict management in the same way as the other authorities mentioned above.</w:t>
            </w:r>
          </w:p>
        </w:tc>
        <w:tc>
          <w:tcPr>
            <w:tcW w:w="6193" w:type="dxa"/>
            <w:tcBorders>
              <w:top w:val="single" w:sz="4" w:space="0" w:color="auto"/>
              <w:left w:val="single" w:sz="4" w:space="0" w:color="auto"/>
              <w:bottom w:val="single" w:sz="4" w:space="0" w:color="auto"/>
              <w:right w:val="single" w:sz="4" w:space="0" w:color="auto"/>
            </w:tcBorders>
            <w:vAlign w:val="center"/>
          </w:tcPr>
          <w:p w14:paraId="408E825A" w14:textId="77777777" w:rsidR="00302BFE" w:rsidRPr="009F390C" w:rsidRDefault="00302BFE" w:rsidP="00C46720">
            <w:pPr>
              <w:numPr>
                <w:ilvl w:val="0"/>
                <w:numId w:val="38"/>
              </w:numPr>
              <w:autoSpaceDN w:val="0"/>
              <w:spacing w:after="0"/>
              <w:jc w:val="left"/>
              <w:rPr>
                <w:rFonts w:eastAsia="Calibri"/>
                <w:sz w:val="18"/>
                <w:szCs w:val="18"/>
                <w:lang w:val="en-CA"/>
              </w:rPr>
            </w:pPr>
            <w:r w:rsidRPr="009F390C">
              <w:rPr>
                <w:sz w:val="18"/>
                <w:szCs w:val="18"/>
                <w:lang w:val="en-CA"/>
              </w:rPr>
              <w:t>They will be invited to participate in the local information meetings on the process of setting up the PA, the negotiations on the use of resources to delimit the zones (</w:t>
            </w:r>
            <w:r>
              <w:rPr>
                <w:sz w:val="18"/>
                <w:szCs w:val="18"/>
                <w:lang w:val="en-CA"/>
              </w:rPr>
              <w:t>output</w:t>
            </w:r>
            <w:r w:rsidRPr="00616C8C">
              <w:rPr>
                <w:sz w:val="18"/>
                <w:szCs w:val="18"/>
                <w:lang w:val="en-CA"/>
              </w:rPr>
              <w:t xml:space="preserve"> </w:t>
            </w:r>
            <w:r w:rsidRPr="009F390C">
              <w:rPr>
                <w:sz w:val="18"/>
                <w:szCs w:val="18"/>
                <w:lang w:val="en-CA"/>
              </w:rPr>
              <w:t xml:space="preserve">1.3.2), to contribute to the preparation of the PA Management Plan (Output 2.1.3), and formalize important events and festivities related to </w:t>
            </w:r>
            <w:proofErr w:type="gramStart"/>
            <w:r w:rsidRPr="009F390C">
              <w:rPr>
                <w:sz w:val="18"/>
                <w:szCs w:val="18"/>
                <w:lang w:val="en-CA"/>
              </w:rPr>
              <w:t>PAs;</w:t>
            </w:r>
            <w:proofErr w:type="gramEnd"/>
          </w:p>
          <w:p w14:paraId="362B9C13" w14:textId="77777777" w:rsidR="00302BFE" w:rsidRPr="009F390C" w:rsidRDefault="00302BFE" w:rsidP="00C46720">
            <w:pPr>
              <w:numPr>
                <w:ilvl w:val="0"/>
                <w:numId w:val="38"/>
              </w:numPr>
              <w:autoSpaceDN w:val="0"/>
              <w:spacing w:after="0"/>
              <w:jc w:val="left"/>
              <w:rPr>
                <w:sz w:val="18"/>
                <w:szCs w:val="18"/>
                <w:lang w:val="en-CA"/>
              </w:rPr>
            </w:pPr>
            <w:r w:rsidRPr="009F390C">
              <w:rPr>
                <w:sz w:val="18"/>
                <w:szCs w:val="18"/>
                <w:lang w:val="en-CA"/>
              </w:rPr>
              <w:t>Religious leaders and notables will be invited to contribute to the identification of conflict management mechanisms (</w:t>
            </w:r>
            <w:r>
              <w:rPr>
                <w:sz w:val="18"/>
                <w:szCs w:val="18"/>
                <w:lang w:val="en-CA"/>
              </w:rPr>
              <w:t>output</w:t>
            </w:r>
            <w:r w:rsidRPr="00616C8C">
              <w:rPr>
                <w:sz w:val="18"/>
                <w:szCs w:val="18"/>
                <w:lang w:val="en-CA"/>
              </w:rPr>
              <w:t xml:space="preserve"> </w:t>
            </w:r>
            <w:r w:rsidRPr="009F390C">
              <w:rPr>
                <w:sz w:val="18"/>
                <w:szCs w:val="18"/>
                <w:lang w:val="en-CA"/>
              </w:rPr>
              <w:t>2.2), advise and intervene in conflict resolution regarding local resources related to PAs and their resources and, if necessary, in the application of the regulations.</w:t>
            </w:r>
          </w:p>
        </w:tc>
        <w:tc>
          <w:tcPr>
            <w:tcW w:w="1985" w:type="dxa"/>
            <w:tcBorders>
              <w:top w:val="single" w:sz="4" w:space="0" w:color="auto"/>
              <w:left w:val="single" w:sz="4" w:space="0" w:color="auto"/>
              <w:bottom w:val="single" w:sz="4" w:space="0" w:color="auto"/>
              <w:right w:val="single" w:sz="4" w:space="0" w:color="auto"/>
            </w:tcBorders>
            <w:vAlign w:val="center"/>
          </w:tcPr>
          <w:p w14:paraId="420F5586" w14:textId="77777777" w:rsidR="00302BFE" w:rsidRPr="00CF4D08" w:rsidRDefault="00302BFE" w:rsidP="00243B15">
            <w:pPr>
              <w:pStyle w:val="PrformatHTML"/>
              <w:shd w:val="clear" w:color="auto" w:fill="FFFFFF"/>
              <w:rPr>
                <w:rFonts w:ascii="Calibri" w:hAnsi="Calibri" w:cs="Times New Roman"/>
                <w:sz w:val="18"/>
                <w:szCs w:val="18"/>
                <w:lang w:val="en-CA"/>
              </w:rPr>
            </w:pPr>
            <w:r w:rsidRPr="00CF4D08">
              <w:rPr>
                <w:rFonts w:ascii="Calibri" w:hAnsi="Calibri" w:cs="Times New Roman"/>
                <w:sz w:val="18"/>
                <w:szCs w:val="18"/>
                <w:lang w:val="en-CA"/>
              </w:rPr>
              <w:t xml:space="preserve">Achieve project results and outputs through effective communication, </w:t>
            </w:r>
            <w:proofErr w:type="gramStart"/>
            <w:r w:rsidRPr="00CF4D08">
              <w:rPr>
                <w:rFonts w:ascii="Calibri" w:hAnsi="Calibri" w:cs="Times New Roman"/>
                <w:sz w:val="18"/>
                <w:szCs w:val="18"/>
                <w:lang w:val="en-CA"/>
              </w:rPr>
              <w:t>engagement</w:t>
            </w:r>
            <w:proofErr w:type="gramEnd"/>
            <w:r w:rsidRPr="00CF4D08">
              <w:rPr>
                <w:rFonts w:ascii="Calibri" w:hAnsi="Calibri" w:cs="Times New Roman"/>
                <w:sz w:val="18"/>
                <w:szCs w:val="18"/>
                <w:lang w:val="en-CA"/>
              </w:rPr>
              <w:t xml:space="preserve"> and coordination of stakeholders.</w:t>
            </w:r>
          </w:p>
        </w:tc>
        <w:tc>
          <w:tcPr>
            <w:tcW w:w="850" w:type="dxa"/>
            <w:tcBorders>
              <w:top w:val="single" w:sz="4" w:space="0" w:color="auto"/>
              <w:left w:val="single" w:sz="4" w:space="0" w:color="auto"/>
              <w:bottom w:val="single" w:sz="4" w:space="0" w:color="auto"/>
              <w:right w:val="single" w:sz="4" w:space="0" w:color="auto"/>
            </w:tcBorders>
            <w:vAlign w:val="center"/>
          </w:tcPr>
          <w:p w14:paraId="6150E09A" w14:textId="77777777" w:rsidR="00302BFE" w:rsidRPr="00E379FD" w:rsidRDefault="00302BFE" w:rsidP="00243B15">
            <w:pPr>
              <w:autoSpaceDN w:val="0"/>
              <w:spacing w:after="0"/>
              <w:jc w:val="left"/>
              <w:rPr>
                <w:sz w:val="18"/>
                <w:szCs w:val="18"/>
                <w:lang w:val="fr-CA"/>
              </w:rPr>
            </w:pPr>
            <w:r w:rsidRPr="00E379FD">
              <w:rPr>
                <w:sz w:val="18"/>
                <w:szCs w:val="18"/>
                <w:lang w:val="fr-CA"/>
              </w:rPr>
              <w:t>1, 2</w:t>
            </w:r>
          </w:p>
        </w:tc>
      </w:tr>
      <w:tr w:rsidR="00302BFE" w:rsidRPr="00E379FD" w14:paraId="637CB0D9"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0B6DFC60" w14:textId="77777777" w:rsidR="00302BFE" w:rsidRPr="005C25D0" w:rsidRDefault="00302BFE" w:rsidP="00243B15">
            <w:pPr>
              <w:spacing w:after="0"/>
              <w:jc w:val="left"/>
              <w:rPr>
                <w:sz w:val="18"/>
                <w:szCs w:val="18"/>
                <w:lang w:val="en-CA"/>
              </w:rPr>
            </w:pPr>
            <w:r w:rsidRPr="005C25D0">
              <w:rPr>
                <w:b/>
                <w:sz w:val="18"/>
                <w:szCs w:val="18"/>
                <w:lang w:val="en-CA"/>
              </w:rPr>
              <w:t xml:space="preserve">Community Organizations: </w:t>
            </w:r>
            <w:r w:rsidRPr="005C25D0">
              <w:rPr>
                <w:sz w:val="18"/>
                <w:szCs w:val="18"/>
                <w:lang w:val="en-CA"/>
              </w:rPr>
              <w:t xml:space="preserve">Village Development Councils (CVDs) in the riparian villages of the PAs, women's associations </w:t>
            </w:r>
            <w:r w:rsidRPr="005C25D0">
              <w:rPr>
                <w:sz w:val="18"/>
                <w:szCs w:val="18"/>
                <w:lang w:val="en-CA"/>
              </w:rPr>
              <w:lastRenderedPageBreak/>
              <w:t>and groups, farmers' organizations</w:t>
            </w:r>
          </w:p>
        </w:tc>
        <w:tc>
          <w:tcPr>
            <w:tcW w:w="3827" w:type="dxa"/>
            <w:tcBorders>
              <w:top w:val="single" w:sz="4" w:space="0" w:color="auto"/>
              <w:left w:val="single" w:sz="4" w:space="0" w:color="auto"/>
              <w:bottom w:val="single" w:sz="4" w:space="0" w:color="auto"/>
              <w:right w:val="single" w:sz="4" w:space="0" w:color="auto"/>
            </w:tcBorders>
            <w:vAlign w:val="center"/>
          </w:tcPr>
          <w:p w14:paraId="15779F82" w14:textId="77777777" w:rsidR="00302BFE" w:rsidRPr="009F390C" w:rsidRDefault="00302BFE" w:rsidP="00243B15">
            <w:pPr>
              <w:autoSpaceDN w:val="0"/>
              <w:spacing w:after="0"/>
              <w:jc w:val="left"/>
              <w:rPr>
                <w:sz w:val="18"/>
                <w:szCs w:val="18"/>
                <w:lang w:val="en-CA"/>
              </w:rPr>
            </w:pPr>
            <w:r w:rsidRPr="009F390C">
              <w:rPr>
                <w:sz w:val="18"/>
                <w:szCs w:val="18"/>
                <w:lang w:val="en-CA"/>
              </w:rPr>
              <w:lastRenderedPageBreak/>
              <w:t xml:space="preserve">CVDs are structures responsible for village development. As such, they will be represented in advisory bodies, contribute to the planning of development </w:t>
            </w:r>
            <w:proofErr w:type="gramStart"/>
            <w:r w:rsidRPr="009F390C">
              <w:rPr>
                <w:sz w:val="18"/>
                <w:szCs w:val="18"/>
                <w:lang w:val="en-CA"/>
              </w:rPr>
              <w:t>activities</w:t>
            </w:r>
            <w:proofErr w:type="gramEnd"/>
            <w:r w:rsidRPr="009F390C">
              <w:rPr>
                <w:sz w:val="18"/>
                <w:szCs w:val="18"/>
                <w:lang w:val="en-CA"/>
              </w:rPr>
              <w:t xml:space="preserve"> and will also serve as information relays. Women's associations and groups as well as farmers' organizations will </w:t>
            </w:r>
            <w:r w:rsidRPr="009F390C">
              <w:rPr>
                <w:sz w:val="18"/>
                <w:szCs w:val="18"/>
                <w:lang w:val="en-CA"/>
              </w:rPr>
              <w:lastRenderedPageBreak/>
              <w:t>serve as information relays and help mobilize their grassroots members.</w:t>
            </w:r>
          </w:p>
        </w:tc>
        <w:tc>
          <w:tcPr>
            <w:tcW w:w="6193" w:type="dxa"/>
            <w:tcBorders>
              <w:top w:val="single" w:sz="4" w:space="0" w:color="auto"/>
              <w:left w:val="single" w:sz="4" w:space="0" w:color="auto"/>
              <w:bottom w:val="single" w:sz="4" w:space="0" w:color="auto"/>
              <w:right w:val="single" w:sz="4" w:space="0" w:color="auto"/>
            </w:tcBorders>
            <w:vAlign w:val="center"/>
          </w:tcPr>
          <w:p w14:paraId="292EED49" w14:textId="77777777" w:rsidR="00302BFE" w:rsidRPr="00EB6A4B" w:rsidRDefault="00302BFE" w:rsidP="00243B15">
            <w:pPr>
              <w:autoSpaceDN w:val="0"/>
              <w:spacing w:after="0"/>
              <w:jc w:val="left"/>
              <w:rPr>
                <w:sz w:val="18"/>
                <w:szCs w:val="18"/>
                <w:lang w:val="en-CA"/>
              </w:rPr>
            </w:pPr>
            <w:r w:rsidRPr="00EB6A4B">
              <w:rPr>
                <w:sz w:val="18"/>
                <w:szCs w:val="18"/>
                <w:lang w:val="en-CA"/>
              </w:rPr>
              <w:lastRenderedPageBreak/>
              <w:t>Village Committees will be invited to participate</w:t>
            </w:r>
          </w:p>
          <w:p w14:paraId="0851BFB2" w14:textId="77777777" w:rsidR="00302BFE" w:rsidRPr="009F5ABC" w:rsidRDefault="00302BFE" w:rsidP="00C46720">
            <w:pPr>
              <w:numPr>
                <w:ilvl w:val="0"/>
                <w:numId w:val="38"/>
              </w:numPr>
              <w:tabs>
                <w:tab w:val="left" w:pos="436"/>
              </w:tabs>
              <w:autoSpaceDN w:val="0"/>
              <w:spacing w:after="0"/>
              <w:jc w:val="left"/>
              <w:rPr>
                <w:sz w:val="18"/>
                <w:szCs w:val="18"/>
                <w:lang w:val="en-CA"/>
              </w:rPr>
            </w:pPr>
            <w:r w:rsidRPr="009F5ABC">
              <w:rPr>
                <w:sz w:val="18"/>
                <w:szCs w:val="18"/>
                <w:lang w:val="en-CA"/>
              </w:rPr>
              <w:t>to trainings on co-management of PAs and their resources and on the role of community structures in the processes involved (</w:t>
            </w:r>
            <w:r>
              <w:rPr>
                <w:sz w:val="18"/>
                <w:szCs w:val="18"/>
                <w:lang w:val="en-CA"/>
              </w:rPr>
              <w:t>output</w:t>
            </w:r>
            <w:r w:rsidRPr="00616C8C">
              <w:rPr>
                <w:sz w:val="18"/>
                <w:szCs w:val="18"/>
                <w:lang w:val="en-CA"/>
              </w:rPr>
              <w:t xml:space="preserve"> </w:t>
            </w:r>
            <w:r w:rsidRPr="009F5ABC">
              <w:rPr>
                <w:sz w:val="18"/>
                <w:szCs w:val="18"/>
                <w:lang w:val="en-CA"/>
              </w:rPr>
              <w:t>1.2.2)</w:t>
            </w:r>
          </w:p>
          <w:p w14:paraId="4333CFA7" w14:textId="77777777" w:rsidR="00302BFE" w:rsidRPr="009F5ABC" w:rsidRDefault="00302BFE" w:rsidP="00C46720">
            <w:pPr>
              <w:numPr>
                <w:ilvl w:val="0"/>
                <w:numId w:val="38"/>
              </w:numPr>
              <w:tabs>
                <w:tab w:val="left" w:pos="436"/>
              </w:tabs>
              <w:autoSpaceDN w:val="0"/>
              <w:spacing w:after="0"/>
              <w:jc w:val="left"/>
              <w:rPr>
                <w:sz w:val="18"/>
                <w:szCs w:val="18"/>
                <w:lang w:val="en-CA"/>
              </w:rPr>
            </w:pPr>
            <w:r w:rsidRPr="009F5ABC">
              <w:rPr>
                <w:sz w:val="18"/>
                <w:szCs w:val="18"/>
                <w:lang w:val="en-CA"/>
              </w:rPr>
              <w:t>in the process of establishing PAs and co-management committees (outputs 1.3.2 and 2.1.6),</w:t>
            </w:r>
          </w:p>
          <w:p w14:paraId="35B21827" w14:textId="77777777" w:rsidR="00302BFE" w:rsidRPr="009F5ABC" w:rsidRDefault="00302BFE" w:rsidP="00C46720">
            <w:pPr>
              <w:numPr>
                <w:ilvl w:val="0"/>
                <w:numId w:val="38"/>
              </w:numPr>
              <w:tabs>
                <w:tab w:val="left" w:pos="436"/>
              </w:tabs>
              <w:autoSpaceDN w:val="0"/>
              <w:spacing w:after="0"/>
              <w:jc w:val="left"/>
              <w:rPr>
                <w:sz w:val="18"/>
                <w:szCs w:val="18"/>
                <w:lang w:val="en-CA"/>
              </w:rPr>
            </w:pPr>
            <w:r w:rsidRPr="009F5ABC">
              <w:rPr>
                <w:sz w:val="18"/>
                <w:szCs w:val="18"/>
                <w:lang w:val="en-CA"/>
              </w:rPr>
              <w:t>negotiations on the use of resources to define zoning (</w:t>
            </w:r>
            <w:r>
              <w:rPr>
                <w:sz w:val="18"/>
                <w:szCs w:val="18"/>
                <w:lang w:val="en-CA"/>
              </w:rPr>
              <w:t>output</w:t>
            </w:r>
            <w:r w:rsidRPr="00616C8C">
              <w:rPr>
                <w:sz w:val="18"/>
                <w:szCs w:val="18"/>
                <w:lang w:val="en-CA"/>
              </w:rPr>
              <w:t xml:space="preserve"> </w:t>
            </w:r>
            <w:r w:rsidRPr="009F5ABC">
              <w:rPr>
                <w:sz w:val="18"/>
                <w:szCs w:val="18"/>
                <w:lang w:val="en-CA"/>
              </w:rPr>
              <w:t>1.3.2),</w:t>
            </w:r>
          </w:p>
          <w:p w14:paraId="0C556BE2" w14:textId="77777777" w:rsidR="00302BFE" w:rsidRPr="009F5ABC" w:rsidRDefault="00302BFE" w:rsidP="00C46720">
            <w:pPr>
              <w:numPr>
                <w:ilvl w:val="0"/>
                <w:numId w:val="38"/>
              </w:numPr>
              <w:tabs>
                <w:tab w:val="left" w:pos="436"/>
              </w:tabs>
              <w:autoSpaceDN w:val="0"/>
              <w:spacing w:after="0"/>
              <w:jc w:val="left"/>
              <w:rPr>
                <w:sz w:val="18"/>
                <w:szCs w:val="18"/>
                <w:lang w:val="en-CA"/>
              </w:rPr>
            </w:pPr>
            <w:r w:rsidRPr="009F5ABC">
              <w:rPr>
                <w:sz w:val="18"/>
                <w:szCs w:val="18"/>
                <w:lang w:val="en-CA"/>
              </w:rPr>
              <w:t>to develop the PA Management Plan (Output 2.1.3),</w:t>
            </w:r>
          </w:p>
          <w:p w14:paraId="44187D2A" w14:textId="77777777" w:rsidR="00302BFE" w:rsidRPr="009F390C" w:rsidRDefault="00302BFE" w:rsidP="00C46720">
            <w:pPr>
              <w:numPr>
                <w:ilvl w:val="0"/>
                <w:numId w:val="38"/>
              </w:numPr>
              <w:tabs>
                <w:tab w:val="left" w:pos="436"/>
              </w:tabs>
              <w:autoSpaceDN w:val="0"/>
              <w:spacing w:after="0"/>
              <w:jc w:val="left"/>
              <w:rPr>
                <w:sz w:val="18"/>
                <w:szCs w:val="18"/>
                <w:lang w:val="fr-CA"/>
              </w:rPr>
            </w:pPr>
            <w:r w:rsidRPr="009F5ABC">
              <w:rPr>
                <w:sz w:val="18"/>
                <w:szCs w:val="18"/>
                <w:lang w:val="en-CA"/>
              </w:rPr>
              <w:lastRenderedPageBreak/>
              <w:t xml:space="preserve">community mobilization with women's associations / groups as well as farmers' organizations for development works in PAs (reforestation, protection of water and soil resources, etc.) </w:t>
            </w:r>
            <w:r w:rsidRPr="009F390C">
              <w:rPr>
                <w:sz w:val="18"/>
                <w:szCs w:val="18"/>
                <w:lang w:val="fr-CA"/>
              </w:rPr>
              <w:t>(</w:t>
            </w:r>
            <w:r>
              <w:rPr>
                <w:sz w:val="18"/>
                <w:szCs w:val="18"/>
                <w:lang w:val="en-CA"/>
              </w:rPr>
              <w:t>output</w:t>
            </w:r>
            <w:r w:rsidRPr="00616C8C">
              <w:rPr>
                <w:sz w:val="18"/>
                <w:szCs w:val="18"/>
                <w:lang w:val="en-CA"/>
              </w:rPr>
              <w:t xml:space="preserve"> </w:t>
            </w:r>
            <w:r w:rsidRPr="009F390C">
              <w:rPr>
                <w:sz w:val="18"/>
                <w:szCs w:val="18"/>
                <w:lang w:val="fr-CA"/>
              </w:rPr>
              <w:t>2.1.4)</w:t>
            </w:r>
          </w:p>
          <w:p w14:paraId="7A8699B5" w14:textId="77777777" w:rsidR="00302BFE" w:rsidRPr="009F5ABC" w:rsidRDefault="00302BFE" w:rsidP="00C46720">
            <w:pPr>
              <w:numPr>
                <w:ilvl w:val="0"/>
                <w:numId w:val="38"/>
              </w:numPr>
              <w:tabs>
                <w:tab w:val="left" w:pos="436"/>
              </w:tabs>
              <w:autoSpaceDN w:val="0"/>
              <w:spacing w:after="0"/>
              <w:jc w:val="left"/>
              <w:rPr>
                <w:sz w:val="18"/>
                <w:szCs w:val="18"/>
                <w:lang w:val="en-CA"/>
              </w:rPr>
            </w:pPr>
            <w:r w:rsidRPr="009F5ABC">
              <w:rPr>
                <w:sz w:val="18"/>
                <w:szCs w:val="18"/>
                <w:lang w:val="en-CA"/>
              </w:rPr>
              <w:t>to the land management board that will be installed</w:t>
            </w:r>
          </w:p>
          <w:p w14:paraId="18C3B2B6" w14:textId="77777777" w:rsidR="00302BFE" w:rsidRPr="009F5ABC" w:rsidRDefault="00302BFE" w:rsidP="00C46720">
            <w:pPr>
              <w:numPr>
                <w:ilvl w:val="0"/>
                <w:numId w:val="38"/>
              </w:numPr>
              <w:tabs>
                <w:tab w:val="left" w:pos="436"/>
              </w:tabs>
              <w:autoSpaceDN w:val="0"/>
              <w:spacing w:after="0"/>
              <w:jc w:val="left"/>
              <w:rPr>
                <w:sz w:val="18"/>
                <w:szCs w:val="18"/>
                <w:lang w:val="en-CA"/>
              </w:rPr>
            </w:pPr>
            <w:r w:rsidRPr="009F5ABC">
              <w:rPr>
                <w:sz w:val="18"/>
                <w:szCs w:val="18"/>
                <w:lang w:val="en-CA"/>
              </w:rPr>
              <w:t>assessments and territorial planning of biodiversity and livelihoods</w:t>
            </w:r>
          </w:p>
          <w:p w14:paraId="26ABB0A2" w14:textId="77777777" w:rsidR="00302BFE" w:rsidRPr="00EB6A4B" w:rsidRDefault="00302BFE" w:rsidP="00C46720">
            <w:pPr>
              <w:numPr>
                <w:ilvl w:val="0"/>
                <w:numId w:val="38"/>
              </w:numPr>
              <w:tabs>
                <w:tab w:val="left" w:pos="436"/>
              </w:tabs>
              <w:autoSpaceDN w:val="0"/>
              <w:spacing w:after="0"/>
              <w:jc w:val="left"/>
              <w:rPr>
                <w:sz w:val="18"/>
                <w:szCs w:val="18"/>
                <w:lang w:val="en-CA"/>
              </w:rPr>
            </w:pPr>
            <w:r w:rsidRPr="009F5ABC">
              <w:rPr>
                <w:sz w:val="18"/>
                <w:szCs w:val="18"/>
                <w:lang w:val="en-CA"/>
              </w:rPr>
              <w:t>the management of their terroir and their zone of influence</w:t>
            </w:r>
          </w:p>
        </w:tc>
        <w:tc>
          <w:tcPr>
            <w:tcW w:w="1985" w:type="dxa"/>
            <w:tcBorders>
              <w:top w:val="single" w:sz="4" w:space="0" w:color="auto"/>
              <w:left w:val="single" w:sz="4" w:space="0" w:color="auto"/>
              <w:bottom w:val="single" w:sz="4" w:space="0" w:color="auto"/>
              <w:right w:val="single" w:sz="4" w:space="0" w:color="auto"/>
            </w:tcBorders>
            <w:vAlign w:val="center"/>
          </w:tcPr>
          <w:p w14:paraId="23A3F964" w14:textId="77777777" w:rsidR="00302BFE" w:rsidRPr="00CF4D08" w:rsidRDefault="00302BFE" w:rsidP="00243B15">
            <w:pPr>
              <w:pStyle w:val="PrformatHTML"/>
              <w:shd w:val="clear" w:color="auto" w:fill="FFFFFF"/>
              <w:rPr>
                <w:rFonts w:ascii="Calibri" w:hAnsi="Calibri" w:cs="Times New Roman"/>
                <w:sz w:val="18"/>
                <w:szCs w:val="18"/>
                <w:lang w:val="en-CA"/>
              </w:rPr>
            </w:pPr>
            <w:r w:rsidRPr="00CF4D08">
              <w:rPr>
                <w:rFonts w:ascii="Calibri" w:hAnsi="Calibri" w:cs="Times New Roman"/>
                <w:sz w:val="18"/>
                <w:szCs w:val="18"/>
                <w:lang w:val="en-CA"/>
              </w:rPr>
              <w:lastRenderedPageBreak/>
              <w:t xml:space="preserve">Community organizations and producer associations have been consulted, </w:t>
            </w:r>
            <w:proofErr w:type="gramStart"/>
            <w:r w:rsidRPr="00CF4D08">
              <w:rPr>
                <w:rFonts w:ascii="Calibri" w:hAnsi="Calibri" w:cs="Times New Roman"/>
                <w:sz w:val="18"/>
                <w:szCs w:val="18"/>
                <w:lang w:val="en-CA"/>
              </w:rPr>
              <w:t>informed</w:t>
            </w:r>
            <w:proofErr w:type="gramEnd"/>
            <w:r w:rsidRPr="00CF4D08">
              <w:rPr>
                <w:rFonts w:ascii="Calibri" w:hAnsi="Calibri" w:cs="Times New Roman"/>
                <w:sz w:val="18"/>
                <w:szCs w:val="18"/>
                <w:lang w:val="en-CA"/>
              </w:rPr>
              <w:t xml:space="preserve"> and trained in order to facilitate better management of </w:t>
            </w:r>
            <w:r w:rsidRPr="00CF4D08">
              <w:rPr>
                <w:rFonts w:ascii="Calibri" w:hAnsi="Calibri" w:cs="Times New Roman"/>
                <w:sz w:val="18"/>
                <w:szCs w:val="18"/>
                <w:lang w:val="en-CA"/>
              </w:rPr>
              <w:lastRenderedPageBreak/>
              <w:t>protected areas and the conservation of biodiversity.</w:t>
            </w:r>
          </w:p>
        </w:tc>
        <w:tc>
          <w:tcPr>
            <w:tcW w:w="850" w:type="dxa"/>
            <w:tcBorders>
              <w:top w:val="single" w:sz="4" w:space="0" w:color="auto"/>
              <w:left w:val="single" w:sz="4" w:space="0" w:color="auto"/>
              <w:bottom w:val="single" w:sz="4" w:space="0" w:color="auto"/>
              <w:right w:val="single" w:sz="4" w:space="0" w:color="auto"/>
            </w:tcBorders>
            <w:vAlign w:val="center"/>
          </w:tcPr>
          <w:p w14:paraId="64A33031" w14:textId="77777777" w:rsidR="00302BFE" w:rsidRPr="00E379FD" w:rsidRDefault="00302BFE" w:rsidP="00243B15">
            <w:pPr>
              <w:autoSpaceDN w:val="0"/>
              <w:spacing w:after="0"/>
              <w:jc w:val="left"/>
              <w:rPr>
                <w:sz w:val="18"/>
                <w:szCs w:val="18"/>
                <w:lang w:val="fr-CA"/>
              </w:rPr>
            </w:pPr>
            <w:r w:rsidRPr="00E379FD">
              <w:rPr>
                <w:sz w:val="18"/>
                <w:szCs w:val="18"/>
                <w:lang w:val="fr-CA"/>
              </w:rPr>
              <w:lastRenderedPageBreak/>
              <w:t xml:space="preserve">1, 2, 3 </w:t>
            </w:r>
            <w:r>
              <w:rPr>
                <w:sz w:val="18"/>
                <w:szCs w:val="18"/>
                <w:lang w:val="fr-CA"/>
              </w:rPr>
              <w:t>and</w:t>
            </w:r>
            <w:r w:rsidRPr="00E379FD">
              <w:rPr>
                <w:sz w:val="18"/>
                <w:szCs w:val="18"/>
                <w:lang w:val="fr-CA"/>
              </w:rPr>
              <w:t xml:space="preserve"> 4</w:t>
            </w:r>
          </w:p>
        </w:tc>
      </w:tr>
      <w:tr w:rsidR="00302BFE" w:rsidRPr="00E379FD" w14:paraId="690117D7" w14:textId="77777777" w:rsidTr="00243B15">
        <w:trPr>
          <w:jc w:val="center"/>
        </w:trPr>
        <w:tc>
          <w:tcPr>
            <w:tcW w:w="5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19967FF" w14:textId="77777777" w:rsidR="00302BFE" w:rsidRPr="00E379FD" w:rsidRDefault="00302BFE" w:rsidP="00243B15">
            <w:pPr>
              <w:autoSpaceDN w:val="0"/>
              <w:spacing w:after="0"/>
              <w:jc w:val="left"/>
              <w:rPr>
                <w:rFonts w:eastAsia="Cambria"/>
                <w:sz w:val="18"/>
                <w:szCs w:val="18"/>
                <w:lang w:val="fr-CA"/>
              </w:rPr>
            </w:pPr>
            <w:r w:rsidRPr="00E379FD">
              <w:rPr>
                <w:b/>
                <w:sz w:val="18"/>
                <w:szCs w:val="18"/>
                <w:lang w:val="fr-CA"/>
              </w:rPr>
              <w:t>L</w:t>
            </w:r>
            <w:r>
              <w:rPr>
                <w:b/>
                <w:sz w:val="18"/>
                <w:szCs w:val="18"/>
                <w:lang w:val="fr-CA"/>
              </w:rPr>
              <w:t xml:space="preserve">ocal </w:t>
            </w:r>
            <w:proofErr w:type="spellStart"/>
            <w:r>
              <w:rPr>
                <w:b/>
                <w:sz w:val="18"/>
                <w:szCs w:val="18"/>
                <w:lang w:val="fr-CA"/>
              </w:rPr>
              <w:t>authorities</w:t>
            </w:r>
            <w:proofErr w:type="spellEnd"/>
          </w:p>
        </w:tc>
        <w:tc>
          <w:tcPr>
            <w:tcW w:w="6193" w:type="dxa"/>
            <w:tcBorders>
              <w:top w:val="single" w:sz="4" w:space="0" w:color="auto"/>
              <w:left w:val="single" w:sz="4" w:space="0" w:color="auto"/>
              <w:bottom w:val="single" w:sz="4" w:space="0" w:color="auto"/>
              <w:right w:val="single" w:sz="4" w:space="0" w:color="auto"/>
            </w:tcBorders>
            <w:shd w:val="clear" w:color="auto" w:fill="E6E6E6"/>
            <w:vAlign w:val="center"/>
          </w:tcPr>
          <w:p w14:paraId="35378272" w14:textId="77777777" w:rsidR="00302BFE" w:rsidRPr="00E379FD" w:rsidRDefault="00302BFE" w:rsidP="00243B15">
            <w:pPr>
              <w:autoSpaceDN w:val="0"/>
              <w:spacing w:after="0"/>
              <w:jc w:val="left"/>
              <w:rPr>
                <w:b/>
                <w:sz w:val="18"/>
                <w:szCs w:val="18"/>
                <w:lang w:val="fr-CA"/>
              </w:rPr>
            </w:pPr>
          </w:p>
        </w:tc>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2D941CF7" w14:textId="77777777" w:rsidR="00302BFE" w:rsidRPr="00E379FD" w:rsidRDefault="00302BFE" w:rsidP="00243B15">
            <w:pPr>
              <w:autoSpaceDN w:val="0"/>
              <w:spacing w:after="0"/>
              <w:jc w:val="left"/>
              <w:rPr>
                <w:b/>
                <w:sz w:val="18"/>
                <w:szCs w:val="18"/>
                <w:lang w:val="fr-CA"/>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628097F" w14:textId="77777777" w:rsidR="00302BFE" w:rsidRPr="00E379FD" w:rsidRDefault="00302BFE" w:rsidP="00243B15">
            <w:pPr>
              <w:autoSpaceDN w:val="0"/>
              <w:spacing w:after="0"/>
              <w:jc w:val="left"/>
              <w:rPr>
                <w:b/>
                <w:sz w:val="18"/>
                <w:szCs w:val="18"/>
                <w:lang w:val="fr-CA"/>
              </w:rPr>
            </w:pPr>
          </w:p>
        </w:tc>
      </w:tr>
      <w:tr w:rsidR="00302BFE" w:rsidRPr="00E379FD" w14:paraId="1D4897A2"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69FC709D" w14:textId="77777777" w:rsidR="00302BFE" w:rsidRPr="005C25D0" w:rsidRDefault="00302BFE" w:rsidP="00243B15">
            <w:pPr>
              <w:spacing w:after="0"/>
              <w:jc w:val="left"/>
              <w:rPr>
                <w:rFonts w:eastAsia="Cambria"/>
                <w:sz w:val="18"/>
                <w:szCs w:val="18"/>
                <w:lang w:val="en-CA"/>
              </w:rPr>
            </w:pPr>
            <w:r w:rsidRPr="005C25D0">
              <w:rPr>
                <w:sz w:val="18"/>
                <w:szCs w:val="18"/>
                <w:lang w:val="en-CA"/>
              </w:rPr>
              <w:t>Mayors and technical services of the communes concerned</w:t>
            </w:r>
          </w:p>
        </w:tc>
        <w:tc>
          <w:tcPr>
            <w:tcW w:w="3827" w:type="dxa"/>
            <w:tcBorders>
              <w:top w:val="single" w:sz="4" w:space="0" w:color="auto"/>
              <w:left w:val="single" w:sz="4" w:space="0" w:color="auto"/>
              <w:bottom w:val="single" w:sz="4" w:space="0" w:color="auto"/>
              <w:right w:val="single" w:sz="4" w:space="0" w:color="auto"/>
            </w:tcBorders>
            <w:vAlign w:val="center"/>
          </w:tcPr>
          <w:p w14:paraId="14792B40" w14:textId="77777777" w:rsidR="00302BFE" w:rsidRPr="009F390C" w:rsidRDefault="00302BFE" w:rsidP="00243B15">
            <w:pPr>
              <w:pStyle w:val="PrformatHTML"/>
              <w:shd w:val="clear" w:color="auto" w:fill="FFFFFF"/>
              <w:rPr>
                <w:rFonts w:ascii="Calibri" w:eastAsia="MS Mincho" w:hAnsi="Calibri" w:cs="Times New Roman"/>
                <w:sz w:val="18"/>
                <w:szCs w:val="18"/>
                <w:lang w:val="en-CA" w:eastAsia="ja-JP"/>
              </w:rPr>
            </w:pPr>
            <w:r w:rsidRPr="009F390C">
              <w:rPr>
                <w:rFonts w:ascii="Calibri" w:eastAsia="MS Mincho" w:hAnsi="Calibri" w:cs="Times New Roman"/>
                <w:sz w:val="18"/>
                <w:szCs w:val="18"/>
                <w:lang w:val="en-CA" w:eastAsia="ja-JP"/>
              </w:rPr>
              <w:t>The town halls manage the communes as local authorities. The town halls will participate in the co-financing through the implementation of the communal development plans (PCD).</w:t>
            </w:r>
          </w:p>
          <w:p w14:paraId="077D0587" w14:textId="77777777" w:rsidR="00302BFE" w:rsidRPr="009F390C" w:rsidRDefault="00302BFE" w:rsidP="00243B15">
            <w:pPr>
              <w:pStyle w:val="PrformatHTML"/>
              <w:shd w:val="clear" w:color="auto" w:fill="FFFFFF"/>
              <w:rPr>
                <w:rFonts w:ascii="Calibri" w:eastAsia="MS Mincho" w:hAnsi="Calibri" w:cs="Times New Roman"/>
                <w:sz w:val="18"/>
                <w:szCs w:val="18"/>
                <w:lang w:val="en-CA" w:eastAsia="ja-JP"/>
              </w:rPr>
            </w:pPr>
            <w:r w:rsidRPr="009F390C">
              <w:rPr>
                <w:rFonts w:ascii="Calibri" w:eastAsia="MS Mincho" w:hAnsi="Calibri" w:cs="Times New Roman"/>
                <w:sz w:val="18"/>
                <w:szCs w:val="18"/>
                <w:lang w:val="en-CA" w:eastAsia="ja-JP"/>
              </w:rPr>
              <w:t>They will also be able to contribute to the financing of integrated governance framework through dedicated budget lines.</w:t>
            </w:r>
          </w:p>
          <w:p w14:paraId="6249C643" w14:textId="77777777" w:rsidR="00302BFE" w:rsidRPr="009F390C" w:rsidRDefault="00302BFE" w:rsidP="00243B15">
            <w:pPr>
              <w:pStyle w:val="PrformatHTML"/>
              <w:shd w:val="clear" w:color="auto" w:fill="FFFFFF"/>
              <w:rPr>
                <w:rFonts w:ascii="Calibri" w:eastAsia="MS Mincho" w:hAnsi="Calibri" w:cs="Times New Roman"/>
                <w:sz w:val="18"/>
                <w:szCs w:val="18"/>
                <w:lang w:val="en-CA" w:eastAsia="ja-JP"/>
              </w:rPr>
            </w:pPr>
            <w:r w:rsidRPr="009F390C">
              <w:rPr>
                <w:rFonts w:ascii="Calibri" w:eastAsia="MS Mincho" w:hAnsi="Calibri" w:cs="Times New Roman"/>
                <w:sz w:val="18"/>
                <w:szCs w:val="18"/>
                <w:lang w:val="en-CA" w:eastAsia="ja-JP"/>
              </w:rPr>
              <w:t>Finally, town halls are competent to mobilize local communities and conduct advocacy on specific themes.</w:t>
            </w:r>
          </w:p>
        </w:tc>
        <w:tc>
          <w:tcPr>
            <w:tcW w:w="6193" w:type="dxa"/>
            <w:tcBorders>
              <w:top w:val="single" w:sz="4" w:space="0" w:color="auto"/>
              <w:left w:val="single" w:sz="4" w:space="0" w:color="auto"/>
              <w:bottom w:val="single" w:sz="4" w:space="0" w:color="auto"/>
              <w:right w:val="single" w:sz="4" w:space="0" w:color="auto"/>
            </w:tcBorders>
            <w:vAlign w:val="center"/>
          </w:tcPr>
          <w:p w14:paraId="4347D759" w14:textId="77777777" w:rsidR="00302BFE" w:rsidRPr="009F390C" w:rsidRDefault="00302BFE" w:rsidP="00C46720">
            <w:pPr>
              <w:numPr>
                <w:ilvl w:val="0"/>
                <w:numId w:val="38"/>
              </w:numPr>
              <w:tabs>
                <w:tab w:val="left" w:pos="436"/>
              </w:tabs>
              <w:autoSpaceDN w:val="0"/>
              <w:spacing w:after="0"/>
              <w:jc w:val="left"/>
              <w:rPr>
                <w:rFonts w:eastAsia="Cambria"/>
                <w:sz w:val="18"/>
                <w:szCs w:val="18"/>
                <w:lang w:val="en-CA"/>
              </w:rPr>
            </w:pPr>
            <w:r w:rsidRPr="009F390C">
              <w:rPr>
                <w:sz w:val="18"/>
                <w:szCs w:val="18"/>
                <w:lang w:val="en-CA"/>
              </w:rPr>
              <w:t>Local elected representatives will be invited to receive training on the collaborative management of PAs (</w:t>
            </w:r>
            <w:r>
              <w:rPr>
                <w:sz w:val="18"/>
                <w:szCs w:val="18"/>
                <w:lang w:val="en-CA"/>
              </w:rPr>
              <w:t>output</w:t>
            </w:r>
            <w:r w:rsidRPr="00616C8C">
              <w:rPr>
                <w:sz w:val="18"/>
                <w:szCs w:val="18"/>
                <w:lang w:val="en-CA"/>
              </w:rPr>
              <w:t xml:space="preserve"> </w:t>
            </w:r>
            <w:r w:rsidRPr="009F390C">
              <w:rPr>
                <w:sz w:val="18"/>
                <w:szCs w:val="18"/>
                <w:lang w:val="en-CA"/>
              </w:rPr>
              <w:t>2.1.1), and to get involved in negotiations on:</w:t>
            </w:r>
          </w:p>
          <w:p w14:paraId="361D5776" w14:textId="77777777" w:rsidR="00302BFE" w:rsidRPr="006458DA" w:rsidRDefault="00302BFE" w:rsidP="00C46720">
            <w:pPr>
              <w:numPr>
                <w:ilvl w:val="0"/>
                <w:numId w:val="39"/>
              </w:numPr>
              <w:tabs>
                <w:tab w:val="left" w:pos="436"/>
              </w:tabs>
              <w:autoSpaceDN w:val="0"/>
              <w:spacing w:after="0"/>
              <w:jc w:val="left"/>
              <w:rPr>
                <w:rFonts w:eastAsia="Calibri"/>
                <w:sz w:val="18"/>
                <w:szCs w:val="18"/>
                <w:lang w:val="en-CA"/>
              </w:rPr>
            </w:pPr>
            <w:r w:rsidRPr="006458DA">
              <w:rPr>
                <w:rFonts w:eastAsia="Calibri"/>
                <w:sz w:val="18"/>
                <w:szCs w:val="18"/>
                <w:lang w:val="en-CA"/>
              </w:rPr>
              <w:t>the delimitation and zoning of protected areas, corridors and ZOVICs (Output 2.2.1, 2.3.1),</w:t>
            </w:r>
          </w:p>
          <w:p w14:paraId="1EB11373" w14:textId="77777777" w:rsidR="00302BFE" w:rsidRPr="006458DA" w:rsidRDefault="00302BFE" w:rsidP="00C46720">
            <w:pPr>
              <w:numPr>
                <w:ilvl w:val="0"/>
                <w:numId w:val="39"/>
              </w:numPr>
              <w:tabs>
                <w:tab w:val="left" w:pos="436"/>
              </w:tabs>
              <w:autoSpaceDN w:val="0"/>
              <w:spacing w:after="0"/>
              <w:jc w:val="left"/>
              <w:rPr>
                <w:rFonts w:eastAsia="Calibri"/>
                <w:sz w:val="18"/>
                <w:szCs w:val="18"/>
                <w:lang w:val="en-CA"/>
              </w:rPr>
            </w:pPr>
            <w:r w:rsidRPr="006458DA">
              <w:rPr>
                <w:rFonts w:eastAsia="Calibri"/>
                <w:sz w:val="18"/>
                <w:szCs w:val="18"/>
                <w:lang w:val="en-CA"/>
              </w:rPr>
              <w:t>the definition and application of regulations in PAs and their resources, the use of resources and the sharing of benefits derived from them (product 2.2.2),</w:t>
            </w:r>
          </w:p>
          <w:p w14:paraId="0A43E47E" w14:textId="77777777" w:rsidR="00302BFE" w:rsidRPr="006458DA" w:rsidRDefault="00302BFE" w:rsidP="00C46720">
            <w:pPr>
              <w:numPr>
                <w:ilvl w:val="0"/>
                <w:numId w:val="39"/>
              </w:numPr>
              <w:tabs>
                <w:tab w:val="left" w:pos="436"/>
              </w:tabs>
              <w:autoSpaceDN w:val="0"/>
              <w:spacing w:after="0"/>
              <w:jc w:val="left"/>
              <w:rPr>
                <w:rFonts w:eastAsia="Calibri"/>
                <w:sz w:val="18"/>
                <w:szCs w:val="18"/>
                <w:lang w:val="en-CA"/>
              </w:rPr>
            </w:pPr>
            <w:r w:rsidRPr="006458DA">
              <w:rPr>
                <w:rFonts w:eastAsia="Calibri"/>
                <w:sz w:val="18"/>
                <w:szCs w:val="18"/>
                <w:lang w:val="en-CA"/>
              </w:rPr>
              <w:t>clarification of land and resource use rights (</w:t>
            </w:r>
            <w:r>
              <w:rPr>
                <w:sz w:val="18"/>
                <w:szCs w:val="18"/>
                <w:lang w:val="en-CA"/>
              </w:rPr>
              <w:t>output</w:t>
            </w:r>
            <w:r w:rsidRPr="00616C8C">
              <w:rPr>
                <w:sz w:val="18"/>
                <w:szCs w:val="18"/>
                <w:lang w:val="en-CA"/>
              </w:rPr>
              <w:t xml:space="preserve"> </w:t>
            </w:r>
            <w:r w:rsidRPr="006458DA">
              <w:rPr>
                <w:rFonts w:eastAsia="Calibri"/>
                <w:sz w:val="18"/>
                <w:szCs w:val="18"/>
                <w:lang w:val="en-CA"/>
              </w:rPr>
              <w:t>3.2.1),</w:t>
            </w:r>
          </w:p>
          <w:p w14:paraId="69A174B6" w14:textId="77777777" w:rsidR="00302BFE" w:rsidRPr="009F5ABC" w:rsidRDefault="00302BFE" w:rsidP="00C46720">
            <w:pPr>
              <w:numPr>
                <w:ilvl w:val="0"/>
                <w:numId w:val="39"/>
              </w:numPr>
              <w:tabs>
                <w:tab w:val="left" w:pos="436"/>
              </w:tabs>
              <w:autoSpaceDN w:val="0"/>
              <w:spacing w:after="0"/>
              <w:jc w:val="left"/>
              <w:rPr>
                <w:sz w:val="18"/>
                <w:szCs w:val="18"/>
                <w:lang w:val="en-CA"/>
              </w:rPr>
            </w:pPr>
            <w:r w:rsidRPr="009F5ABC">
              <w:rPr>
                <w:rFonts w:eastAsia="Calibri"/>
                <w:sz w:val="18"/>
                <w:szCs w:val="18"/>
                <w:lang w:val="en-CA"/>
              </w:rPr>
              <w:t>and identification of landscape-level conflict management mechanisms (</w:t>
            </w:r>
            <w:r>
              <w:rPr>
                <w:sz w:val="18"/>
                <w:szCs w:val="18"/>
                <w:lang w:val="en-CA"/>
              </w:rPr>
              <w:t>output</w:t>
            </w:r>
            <w:r w:rsidRPr="00616C8C">
              <w:rPr>
                <w:sz w:val="18"/>
                <w:szCs w:val="18"/>
                <w:lang w:val="en-CA"/>
              </w:rPr>
              <w:t xml:space="preserve"> </w:t>
            </w:r>
            <w:r w:rsidRPr="009F5ABC">
              <w:rPr>
                <w:rFonts w:eastAsia="Calibri"/>
                <w:sz w:val="18"/>
                <w:szCs w:val="18"/>
                <w:lang w:val="en-CA"/>
              </w:rPr>
              <w:t>1.5.4)</w:t>
            </w:r>
          </w:p>
          <w:p w14:paraId="72075A22" w14:textId="77777777" w:rsidR="00302BFE" w:rsidRPr="006458DA" w:rsidRDefault="00302BFE" w:rsidP="00C46720">
            <w:pPr>
              <w:numPr>
                <w:ilvl w:val="0"/>
                <w:numId w:val="38"/>
              </w:numPr>
              <w:autoSpaceDN w:val="0"/>
              <w:spacing w:after="0"/>
              <w:jc w:val="left"/>
              <w:rPr>
                <w:sz w:val="18"/>
                <w:szCs w:val="18"/>
                <w:lang w:val="fr-CA"/>
              </w:rPr>
            </w:pPr>
            <w:r w:rsidRPr="006458DA">
              <w:rPr>
                <w:sz w:val="18"/>
                <w:szCs w:val="18"/>
                <w:lang w:val="en-CA"/>
              </w:rPr>
              <w:t xml:space="preserve">They will participate in the planning and implementation of interventions at the local level, including the selection of intervention sites at local and community level (Output 3. </w:t>
            </w:r>
            <w:r w:rsidRPr="006458DA">
              <w:rPr>
                <w:sz w:val="18"/>
                <w:szCs w:val="18"/>
                <w:lang w:val="fr-CA"/>
              </w:rPr>
              <w:t>1.2);</w:t>
            </w:r>
          </w:p>
          <w:p w14:paraId="1F19B966" w14:textId="77777777" w:rsidR="00302BFE" w:rsidRPr="006458DA" w:rsidRDefault="00302BFE" w:rsidP="00C46720">
            <w:pPr>
              <w:numPr>
                <w:ilvl w:val="0"/>
                <w:numId w:val="38"/>
              </w:numPr>
              <w:autoSpaceDN w:val="0"/>
              <w:spacing w:after="0"/>
              <w:jc w:val="left"/>
              <w:rPr>
                <w:sz w:val="18"/>
                <w:szCs w:val="18"/>
                <w:lang w:val="en-CA"/>
              </w:rPr>
            </w:pPr>
            <w:r w:rsidRPr="006458DA">
              <w:rPr>
                <w:sz w:val="18"/>
                <w:szCs w:val="18"/>
                <w:lang w:val="en-CA"/>
              </w:rPr>
              <w:t>They will contribute to conflict management for issues related to project implementation, especially for potential conflicts over rights to use resources and land areas (</w:t>
            </w:r>
            <w:r>
              <w:rPr>
                <w:sz w:val="18"/>
                <w:szCs w:val="18"/>
                <w:lang w:val="en-CA"/>
              </w:rPr>
              <w:t>output</w:t>
            </w:r>
            <w:r w:rsidRPr="00616C8C">
              <w:rPr>
                <w:sz w:val="18"/>
                <w:szCs w:val="18"/>
                <w:lang w:val="en-CA"/>
              </w:rPr>
              <w:t xml:space="preserve"> </w:t>
            </w:r>
            <w:r w:rsidRPr="006458DA">
              <w:rPr>
                <w:sz w:val="18"/>
                <w:szCs w:val="18"/>
                <w:lang w:val="en-CA"/>
              </w:rPr>
              <w:t>1.5.4).</w:t>
            </w:r>
          </w:p>
          <w:p w14:paraId="38EA3906" w14:textId="77777777" w:rsidR="00302BFE" w:rsidRPr="006458DA" w:rsidRDefault="00302BFE" w:rsidP="00C46720">
            <w:pPr>
              <w:numPr>
                <w:ilvl w:val="0"/>
                <w:numId w:val="38"/>
              </w:numPr>
              <w:autoSpaceDN w:val="0"/>
              <w:spacing w:after="0"/>
              <w:jc w:val="left"/>
              <w:rPr>
                <w:sz w:val="18"/>
                <w:szCs w:val="18"/>
                <w:lang w:val="en-CA"/>
              </w:rPr>
            </w:pPr>
            <w:r w:rsidRPr="006458DA">
              <w:rPr>
                <w:sz w:val="18"/>
                <w:szCs w:val="18"/>
                <w:lang w:val="en-CA"/>
              </w:rPr>
              <w:t>They contribute to the identification and the provision of plots for the installation of production units for the benefit of women's cooperatives</w:t>
            </w:r>
          </w:p>
          <w:p w14:paraId="0C9A7326" w14:textId="77777777" w:rsidR="00302BFE" w:rsidRPr="006458DA" w:rsidRDefault="00302BFE" w:rsidP="00C46720">
            <w:pPr>
              <w:numPr>
                <w:ilvl w:val="0"/>
                <w:numId w:val="38"/>
              </w:numPr>
              <w:autoSpaceDN w:val="0"/>
              <w:spacing w:after="0"/>
              <w:jc w:val="left"/>
              <w:rPr>
                <w:sz w:val="18"/>
                <w:szCs w:val="18"/>
                <w:lang w:val="en-CA"/>
              </w:rPr>
            </w:pPr>
            <w:r w:rsidRPr="006458DA">
              <w:rPr>
                <w:sz w:val="18"/>
                <w:szCs w:val="18"/>
                <w:lang w:val="en-CA"/>
              </w:rPr>
              <w:t>They contribute to the development of production units</w:t>
            </w:r>
          </w:p>
        </w:tc>
        <w:tc>
          <w:tcPr>
            <w:tcW w:w="1985" w:type="dxa"/>
            <w:tcBorders>
              <w:top w:val="single" w:sz="4" w:space="0" w:color="auto"/>
              <w:left w:val="single" w:sz="4" w:space="0" w:color="auto"/>
              <w:bottom w:val="single" w:sz="4" w:space="0" w:color="auto"/>
              <w:right w:val="single" w:sz="4" w:space="0" w:color="auto"/>
            </w:tcBorders>
            <w:vAlign w:val="center"/>
          </w:tcPr>
          <w:p w14:paraId="1C4035B9" w14:textId="77777777" w:rsidR="00302BFE" w:rsidRPr="00CF4D08" w:rsidRDefault="00302BFE" w:rsidP="00243B15">
            <w:pPr>
              <w:pStyle w:val="PrformatHTML"/>
              <w:shd w:val="clear" w:color="auto" w:fill="FFFFFF"/>
              <w:rPr>
                <w:rFonts w:ascii="Calibri" w:hAnsi="Calibri" w:cs="Times New Roman"/>
                <w:sz w:val="18"/>
                <w:szCs w:val="18"/>
                <w:lang w:val="en-CA"/>
              </w:rPr>
            </w:pPr>
            <w:r w:rsidRPr="00CF4D08">
              <w:rPr>
                <w:rFonts w:ascii="Calibri" w:hAnsi="Calibri" w:cs="Times New Roman"/>
                <w:sz w:val="18"/>
                <w:szCs w:val="18"/>
                <w:lang w:val="en-CA"/>
              </w:rPr>
              <w:t xml:space="preserve">Achieve project results and outputs through better communication, information, </w:t>
            </w:r>
            <w:proofErr w:type="gramStart"/>
            <w:r w:rsidRPr="00CF4D08">
              <w:rPr>
                <w:rFonts w:ascii="Calibri" w:hAnsi="Calibri" w:cs="Times New Roman"/>
                <w:sz w:val="18"/>
                <w:szCs w:val="18"/>
                <w:lang w:val="en-CA"/>
              </w:rPr>
              <w:t>awareness</w:t>
            </w:r>
            <w:proofErr w:type="gramEnd"/>
            <w:r w:rsidRPr="00CF4D08">
              <w:rPr>
                <w:rFonts w:ascii="Calibri" w:hAnsi="Calibri" w:cs="Times New Roman"/>
                <w:sz w:val="18"/>
                <w:szCs w:val="18"/>
                <w:lang w:val="en-CA"/>
              </w:rPr>
              <w:t xml:space="preserve"> and meaningful stakeholder engagement</w:t>
            </w:r>
          </w:p>
        </w:tc>
        <w:tc>
          <w:tcPr>
            <w:tcW w:w="850" w:type="dxa"/>
            <w:tcBorders>
              <w:top w:val="single" w:sz="4" w:space="0" w:color="auto"/>
              <w:left w:val="single" w:sz="4" w:space="0" w:color="auto"/>
              <w:bottom w:val="single" w:sz="4" w:space="0" w:color="auto"/>
              <w:right w:val="single" w:sz="4" w:space="0" w:color="auto"/>
            </w:tcBorders>
            <w:vAlign w:val="center"/>
          </w:tcPr>
          <w:p w14:paraId="6659C788" w14:textId="77777777" w:rsidR="00302BFE" w:rsidRPr="00E379FD" w:rsidRDefault="00302BFE" w:rsidP="00243B15">
            <w:pPr>
              <w:autoSpaceDN w:val="0"/>
              <w:spacing w:after="0"/>
              <w:jc w:val="left"/>
              <w:rPr>
                <w:sz w:val="18"/>
                <w:szCs w:val="18"/>
                <w:lang w:val="fr-CA"/>
              </w:rPr>
            </w:pPr>
            <w:r w:rsidRPr="00E379FD">
              <w:rPr>
                <w:sz w:val="18"/>
                <w:szCs w:val="18"/>
                <w:lang w:val="fr-CA"/>
              </w:rPr>
              <w:t xml:space="preserve">1, 2, 3 </w:t>
            </w:r>
            <w:r>
              <w:rPr>
                <w:sz w:val="18"/>
                <w:szCs w:val="18"/>
                <w:lang w:val="fr-CA"/>
              </w:rPr>
              <w:t>and</w:t>
            </w:r>
            <w:r w:rsidRPr="00E379FD">
              <w:rPr>
                <w:sz w:val="18"/>
                <w:szCs w:val="18"/>
                <w:lang w:val="fr-CA"/>
              </w:rPr>
              <w:t xml:space="preserve"> 4</w:t>
            </w:r>
          </w:p>
        </w:tc>
      </w:tr>
      <w:tr w:rsidR="00302BFE" w:rsidRPr="00E379FD" w14:paraId="169523A0" w14:textId="77777777" w:rsidTr="00243B15">
        <w:trPr>
          <w:jc w:val="center"/>
        </w:trPr>
        <w:tc>
          <w:tcPr>
            <w:tcW w:w="570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4EDD28F" w14:textId="77777777" w:rsidR="00302BFE" w:rsidRPr="00E379FD" w:rsidRDefault="00302BFE" w:rsidP="00243B15">
            <w:pPr>
              <w:autoSpaceDN w:val="0"/>
              <w:spacing w:after="0"/>
              <w:jc w:val="left"/>
              <w:rPr>
                <w:sz w:val="18"/>
                <w:szCs w:val="18"/>
                <w:lang w:val="fr-CA"/>
              </w:rPr>
            </w:pPr>
            <w:r>
              <w:rPr>
                <w:b/>
                <w:sz w:val="18"/>
                <w:szCs w:val="18"/>
                <w:lang w:val="fr-CA"/>
              </w:rPr>
              <w:t>Civil</w:t>
            </w:r>
            <w:r w:rsidRPr="00E379FD">
              <w:rPr>
                <w:b/>
                <w:sz w:val="18"/>
                <w:szCs w:val="18"/>
                <w:lang w:val="fr-CA"/>
              </w:rPr>
              <w:t xml:space="preserve"> soci</w:t>
            </w:r>
            <w:r>
              <w:rPr>
                <w:b/>
                <w:sz w:val="18"/>
                <w:szCs w:val="18"/>
                <w:lang w:val="fr-CA"/>
              </w:rPr>
              <w:t>e</w:t>
            </w:r>
            <w:r w:rsidRPr="00E379FD">
              <w:rPr>
                <w:b/>
                <w:sz w:val="18"/>
                <w:szCs w:val="18"/>
                <w:lang w:val="fr-CA"/>
              </w:rPr>
              <w:t>t</w:t>
            </w:r>
            <w:r>
              <w:rPr>
                <w:b/>
                <w:sz w:val="18"/>
                <w:szCs w:val="18"/>
                <w:lang w:val="fr-CA"/>
              </w:rPr>
              <w:t>y</w:t>
            </w:r>
          </w:p>
        </w:tc>
        <w:tc>
          <w:tcPr>
            <w:tcW w:w="6193" w:type="dxa"/>
            <w:tcBorders>
              <w:top w:val="single" w:sz="4" w:space="0" w:color="auto"/>
              <w:left w:val="single" w:sz="4" w:space="0" w:color="auto"/>
              <w:bottom w:val="single" w:sz="4" w:space="0" w:color="auto"/>
              <w:right w:val="single" w:sz="4" w:space="0" w:color="auto"/>
            </w:tcBorders>
            <w:shd w:val="clear" w:color="auto" w:fill="D9D9D9"/>
            <w:vAlign w:val="center"/>
          </w:tcPr>
          <w:p w14:paraId="32B36DF9" w14:textId="77777777" w:rsidR="00302BFE" w:rsidRPr="00E379FD" w:rsidRDefault="00302BFE" w:rsidP="00243B15">
            <w:pPr>
              <w:autoSpaceDN w:val="0"/>
              <w:spacing w:after="0"/>
              <w:jc w:val="left"/>
              <w:rPr>
                <w:b/>
                <w:sz w:val="18"/>
                <w:szCs w:val="18"/>
                <w:lang w:val="fr-CA"/>
              </w:rPr>
            </w:pPr>
          </w:p>
        </w:tc>
        <w:tc>
          <w:tcPr>
            <w:tcW w:w="1985" w:type="dxa"/>
            <w:tcBorders>
              <w:top w:val="single" w:sz="4" w:space="0" w:color="auto"/>
              <w:left w:val="single" w:sz="4" w:space="0" w:color="auto"/>
              <w:bottom w:val="single" w:sz="4" w:space="0" w:color="auto"/>
              <w:right w:val="single" w:sz="4" w:space="0" w:color="auto"/>
            </w:tcBorders>
            <w:shd w:val="clear" w:color="auto" w:fill="D9D9D9"/>
            <w:vAlign w:val="center"/>
          </w:tcPr>
          <w:p w14:paraId="288EC1E0" w14:textId="77777777" w:rsidR="00302BFE" w:rsidRPr="00E379FD" w:rsidRDefault="00302BFE" w:rsidP="00243B15">
            <w:pPr>
              <w:autoSpaceDN w:val="0"/>
              <w:spacing w:after="0"/>
              <w:jc w:val="left"/>
              <w:rPr>
                <w:b/>
                <w:sz w:val="18"/>
                <w:szCs w:val="18"/>
                <w:lang w:val="fr-CA"/>
              </w:rPr>
            </w:pP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tcPr>
          <w:p w14:paraId="07B06EBE" w14:textId="77777777" w:rsidR="00302BFE" w:rsidRPr="00E379FD" w:rsidRDefault="00302BFE" w:rsidP="00243B15">
            <w:pPr>
              <w:autoSpaceDN w:val="0"/>
              <w:spacing w:after="0"/>
              <w:jc w:val="left"/>
              <w:rPr>
                <w:b/>
                <w:sz w:val="18"/>
                <w:szCs w:val="18"/>
                <w:lang w:val="fr-CA"/>
              </w:rPr>
            </w:pPr>
          </w:p>
        </w:tc>
      </w:tr>
      <w:tr w:rsidR="00302BFE" w:rsidRPr="00E379FD" w14:paraId="7BC0D13F" w14:textId="77777777" w:rsidTr="00243B15">
        <w:trPr>
          <w:jc w:val="center"/>
        </w:trPr>
        <w:tc>
          <w:tcPr>
            <w:tcW w:w="5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284783B" w14:textId="77777777" w:rsidR="00302BFE" w:rsidRPr="00E379FD" w:rsidRDefault="00302BFE" w:rsidP="00243B15">
            <w:pPr>
              <w:autoSpaceDN w:val="0"/>
              <w:spacing w:after="0"/>
              <w:jc w:val="left"/>
              <w:rPr>
                <w:rFonts w:eastAsia="Cambria"/>
                <w:sz w:val="18"/>
                <w:szCs w:val="18"/>
                <w:lang w:val="fr-CA"/>
              </w:rPr>
            </w:pPr>
            <w:proofErr w:type="spellStart"/>
            <w:r w:rsidRPr="005C25D0">
              <w:rPr>
                <w:b/>
                <w:sz w:val="18"/>
                <w:szCs w:val="18"/>
                <w:lang w:val="fr-CA"/>
              </w:rPr>
              <w:t>NGOs</w:t>
            </w:r>
            <w:proofErr w:type="spellEnd"/>
            <w:r w:rsidRPr="005C25D0">
              <w:rPr>
                <w:b/>
                <w:sz w:val="18"/>
                <w:szCs w:val="18"/>
                <w:lang w:val="fr-CA"/>
              </w:rPr>
              <w:t xml:space="preserve"> and local </w:t>
            </w:r>
            <w:proofErr w:type="spellStart"/>
            <w:r w:rsidRPr="005C25D0">
              <w:rPr>
                <w:b/>
                <w:sz w:val="18"/>
                <w:szCs w:val="18"/>
                <w:lang w:val="fr-CA"/>
              </w:rPr>
              <w:t>environmental</w:t>
            </w:r>
            <w:proofErr w:type="spellEnd"/>
            <w:r w:rsidRPr="005C25D0">
              <w:rPr>
                <w:b/>
                <w:sz w:val="18"/>
                <w:szCs w:val="18"/>
                <w:lang w:val="fr-CA"/>
              </w:rPr>
              <w:t xml:space="preserve"> associations</w:t>
            </w:r>
          </w:p>
        </w:tc>
        <w:tc>
          <w:tcPr>
            <w:tcW w:w="6193" w:type="dxa"/>
            <w:tcBorders>
              <w:top w:val="single" w:sz="4" w:space="0" w:color="auto"/>
              <w:left w:val="single" w:sz="4" w:space="0" w:color="auto"/>
              <w:bottom w:val="single" w:sz="4" w:space="0" w:color="auto"/>
              <w:right w:val="single" w:sz="4" w:space="0" w:color="auto"/>
            </w:tcBorders>
            <w:shd w:val="clear" w:color="auto" w:fill="E6E6E6"/>
            <w:vAlign w:val="center"/>
          </w:tcPr>
          <w:p w14:paraId="5F0557BB" w14:textId="77777777" w:rsidR="00302BFE" w:rsidRPr="00E379FD" w:rsidRDefault="00302BFE" w:rsidP="00243B15">
            <w:pPr>
              <w:autoSpaceDN w:val="0"/>
              <w:spacing w:after="0"/>
              <w:jc w:val="left"/>
              <w:rPr>
                <w:b/>
                <w:sz w:val="18"/>
                <w:szCs w:val="18"/>
                <w:lang w:val="fr-CA"/>
              </w:rPr>
            </w:pPr>
          </w:p>
        </w:tc>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6B039B24" w14:textId="77777777" w:rsidR="00302BFE" w:rsidRPr="00E379FD" w:rsidRDefault="00302BFE" w:rsidP="00243B15">
            <w:pPr>
              <w:autoSpaceDN w:val="0"/>
              <w:spacing w:after="0"/>
              <w:jc w:val="left"/>
              <w:rPr>
                <w:b/>
                <w:sz w:val="18"/>
                <w:szCs w:val="18"/>
                <w:lang w:val="fr-CA"/>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046397BD" w14:textId="77777777" w:rsidR="00302BFE" w:rsidRPr="00E379FD" w:rsidRDefault="00302BFE" w:rsidP="00243B15">
            <w:pPr>
              <w:autoSpaceDN w:val="0"/>
              <w:spacing w:after="0"/>
              <w:jc w:val="left"/>
              <w:rPr>
                <w:b/>
                <w:sz w:val="18"/>
                <w:szCs w:val="18"/>
                <w:lang w:val="fr-CA"/>
              </w:rPr>
            </w:pPr>
          </w:p>
        </w:tc>
      </w:tr>
      <w:tr w:rsidR="00302BFE" w:rsidRPr="00E379FD" w14:paraId="7CFCC543"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2F2868CE" w14:textId="77777777" w:rsidR="00302BFE" w:rsidRPr="00E379FD" w:rsidRDefault="00302BFE" w:rsidP="00243B15">
            <w:pPr>
              <w:spacing w:after="0"/>
              <w:jc w:val="left"/>
              <w:rPr>
                <w:rFonts w:eastAsia="Cambria"/>
                <w:sz w:val="18"/>
                <w:szCs w:val="18"/>
              </w:rPr>
            </w:pPr>
            <w:r w:rsidRPr="00E379FD">
              <w:rPr>
                <w:rFonts w:eastAsia="Cambria"/>
                <w:sz w:val="18"/>
                <w:szCs w:val="18"/>
                <w:lang w:val="fr-CA"/>
              </w:rPr>
              <w:t xml:space="preserve">NATURAMA, </w:t>
            </w:r>
            <w:proofErr w:type="spellStart"/>
            <w:r w:rsidRPr="00E379FD">
              <w:rPr>
                <w:rFonts w:eastAsia="Cambria"/>
                <w:sz w:val="18"/>
                <w:szCs w:val="18"/>
                <w:lang w:val="fr-CA"/>
              </w:rPr>
              <w:t>Natudev</w:t>
            </w:r>
            <w:proofErr w:type="spellEnd"/>
            <w:r w:rsidRPr="00E379FD">
              <w:rPr>
                <w:rFonts w:eastAsia="Cambria"/>
                <w:sz w:val="18"/>
                <w:szCs w:val="18"/>
                <w:lang w:val="fr-CA"/>
              </w:rPr>
              <w:t xml:space="preserve">, </w:t>
            </w:r>
            <w:proofErr w:type="spellStart"/>
            <w:r w:rsidRPr="00E379FD">
              <w:rPr>
                <w:rFonts w:eastAsia="Cambria"/>
                <w:sz w:val="18"/>
                <w:szCs w:val="18"/>
                <w:lang w:val="fr-CA"/>
              </w:rPr>
              <w:t>Tree</w:t>
            </w:r>
            <w:proofErr w:type="spellEnd"/>
            <w:r w:rsidRPr="00E379FD">
              <w:rPr>
                <w:rFonts w:eastAsia="Cambria"/>
                <w:sz w:val="18"/>
                <w:szCs w:val="18"/>
                <w:lang w:val="fr-CA"/>
              </w:rPr>
              <w:t xml:space="preserve"> </w:t>
            </w:r>
            <w:proofErr w:type="spellStart"/>
            <w:r w:rsidRPr="00E379FD">
              <w:rPr>
                <w:rFonts w:eastAsia="Cambria"/>
                <w:sz w:val="18"/>
                <w:szCs w:val="18"/>
                <w:lang w:val="fr-CA"/>
              </w:rPr>
              <w:t>Aid</w:t>
            </w:r>
            <w:proofErr w:type="spellEnd"/>
            <w:r w:rsidRPr="00E379FD">
              <w:rPr>
                <w:rFonts w:eastAsia="Cambria"/>
                <w:sz w:val="18"/>
                <w:szCs w:val="18"/>
                <w:lang w:val="fr-CA"/>
              </w:rPr>
              <w:t xml:space="preserve">, Ga Mo </w:t>
            </w:r>
            <w:proofErr w:type="spellStart"/>
            <w:r w:rsidRPr="00E379FD">
              <w:rPr>
                <w:rFonts w:eastAsia="Cambria"/>
                <w:sz w:val="18"/>
                <w:szCs w:val="18"/>
                <w:lang w:val="fr-CA"/>
              </w:rPr>
              <w:t>Wigna</w:t>
            </w:r>
            <w:proofErr w:type="spellEnd"/>
            <w:r w:rsidRPr="00E379FD">
              <w:rPr>
                <w:rFonts w:eastAsia="Cambria"/>
                <w:sz w:val="18"/>
                <w:szCs w:val="18"/>
                <w:lang w:val="fr-CA"/>
              </w:rPr>
              <w:t xml:space="preserve">; </w:t>
            </w:r>
            <w:proofErr w:type="spellStart"/>
            <w:r w:rsidRPr="00E379FD">
              <w:rPr>
                <w:rFonts w:eastAsia="Cambria"/>
                <w:sz w:val="18"/>
                <w:szCs w:val="18"/>
                <w:lang w:val="fr-CA"/>
              </w:rPr>
              <w:t>Yékouma</w:t>
            </w:r>
            <w:proofErr w:type="spellEnd"/>
            <w:r w:rsidRPr="00E379FD">
              <w:rPr>
                <w:rFonts w:eastAsia="Cambria"/>
                <w:sz w:val="18"/>
                <w:szCs w:val="18"/>
                <w:lang w:val="fr-CA"/>
              </w:rPr>
              <w:t xml:space="preserve"> </w:t>
            </w:r>
            <w:proofErr w:type="spellStart"/>
            <w:r w:rsidRPr="00E379FD">
              <w:rPr>
                <w:rFonts w:eastAsia="Cambria"/>
                <w:sz w:val="18"/>
                <w:szCs w:val="18"/>
                <w:lang w:val="fr-CA"/>
              </w:rPr>
              <w:t>Dakoupa</w:t>
            </w:r>
            <w:proofErr w:type="spellEnd"/>
            <w:r w:rsidRPr="00E379FD">
              <w:rPr>
                <w:rFonts w:eastAsia="Cambria"/>
                <w:sz w:val="18"/>
                <w:szCs w:val="18"/>
                <w:lang w:val="fr-CA"/>
              </w:rPr>
              <w:t xml:space="preserve"> Association (AYDA)</w:t>
            </w:r>
          </w:p>
        </w:tc>
        <w:tc>
          <w:tcPr>
            <w:tcW w:w="3827" w:type="dxa"/>
            <w:tcBorders>
              <w:top w:val="single" w:sz="4" w:space="0" w:color="auto"/>
              <w:left w:val="single" w:sz="4" w:space="0" w:color="auto"/>
              <w:bottom w:val="single" w:sz="4" w:space="0" w:color="auto"/>
              <w:right w:val="single" w:sz="4" w:space="0" w:color="auto"/>
            </w:tcBorders>
            <w:vAlign w:val="center"/>
          </w:tcPr>
          <w:p w14:paraId="3C4977AF" w14:textId="77777777" w:rsidR="00302BFE" w:rsidRPr="009F390C" w:rsidRDefault="00302BFE" w:rsidP="00243B15">
            <w:pPr>
              <w:autoSpaceDN w:val="0"/>
              <w:spacing w:after="0"/>
              <w:jc w:val="left"/>
              <w:rPr>
                <w:rFonts w:eastAsia="Cambria"/>
                <w:sz w:val="18"/>
                <w:szCs w:val="18"/>
                <w:lang w:val="en-CA"/>
              </w:rPr>
            </w:pPr>
            <w:r w:rsidRPr="009F390C">
              <w:rPr>
                <w:rFonts w:eastAsia="Cambria"/>
                <w:sz w:val="18"/>
                <w:szCs w:val="18"/>
                <w:lang w:val="en-CA"/>
              </w:rPr>
              <w:t>The NGOs and environmental associations in the project will be mainly involved in capacity building activities (training), IEC activities (information, education, communication) and community mobilization. They are also competent to implement actions to improve the livelihoods of communities through the development of promising value chains. They will also contribute to the co-financing of the project</w:t>
            </w:r>
          </w:p>
        </w:tc>
        <w:tc>
          <w:tcPr>
            <w:tcW w:w="6193" w:type="dxa"/>
            <w:tcBorders>
              <w:top w:val="single" w:sz="4" w:space="0" w:color="auto"/>
              <w:left w:val="single" w:sz="4" w:space="0" w:color="auto"/>
              <w:bottom w:val="single" w:sz="4" w:space="0" w:color="auto"/>
              <w:right w:val="single" w:sz="4" w:space="0" w:color="auto"/>
            </w:tcBorders>
            <w:vAlign w:val="center"/>
          </w:tcPr>
          <w:p w14:paraId="69814E09" w14:textId="77777777" w:rsidR="00302BFE" w:rsidRPr="006458DA" w:rsidRDefault="00302BFE" w:rsidP="00C46720">
            <w:pPr>
              <w:numPr>
                <w:ilvl w:val="0"/>
                <w:numId w:val="38"/>
              </w:numPr>
              <w:autoSpaceDN w:val="0"/>
              <w:spacing w:after="0"/>
              <w:jc w:val="left"/>
              <w:rPr>
                <w:sz w:val="18"/>
                <w:szCs w:val="18"/>
                <w:lang w:val="en-CA"/>
              </w:rPr>
            </w:pPr>
            <w:r w:rsidRPr="006458DA">
              <w:rPr>
                <w:sz w:val="18"/>
                <w:szCs w:val="18"/>
                <w:lang w:val="en-CA"/>
              </w:rPr>
              <w:t>Invited to get involved in information and awareness actions on PA co-management and community mobilization for development work in PAs (restoration and protection of water and soil resources) (</w:t>
            </w:r>
            <w:r>
              <w:rPr>
                <w:sz w:val="18"/>
                <w:szCs w:val="18"/>
                <w:lang w:val="en-CA"/>
              </w:rPr>
              <w:t>output</w:t>
            </w:r>
            <w:r w:rsidRPr="00616C8C">
              <w:rPr>
                <w:sz w:val="18"/>
                <w:szCs w:val="18"/>
                <w:lang w:val="en-CA"/>
              </w:rPr>
              <w:t xml:space="preserve"> </w:t>
            </w:r>
            <w:r w:rsidRPr="006458DA">
              <w:rPr>
                <w:sz w:val="18"/>
                <w:szCs w:val="18"/>
                <w:lang w:val="en-CA"/>
              </w:rPr>
              <w:t>2.1.1)</w:t>
            </w:r>
          </w:p>
          <w:p w14:paraId="209BAAD4" w14:textId="77777777" w:rsidR="00302BFE" w:rsidRPr="006458DA" w:rsidRDefault="00302BFE" w:rsidP="00C46720">
            <w:pPr>
              <w:numPr>
                <w:ilvl w:val="0"/>
                <w:numId w:val="38"/>
              </w:numPr>
              <w:autoSpaceDN w:val="0"/>
              <w:spacing w:after="0"/>
              <w:jc w:val="left"/>
              <w:rPr>
                <w:sz w:val="18"/>
                <w:szCs w:val="18"/>
                <w:lang w:val="en-CA"/>
              </w:rPr>
            </w:pPr>
            <w:r w:rsidRPr="006458DA">
              <w:rPr>
                <w:sz w:val="18"/>
                <w:szCs w:val="18"/>
                <w:lang w:val="en-CA"/>
              </w:rPr>
              <w:t>Participation in monitoring on biodiversity (</w:t>
            </w:r>
            <w:r>
              <w:rPr>
                <w:sz w:val="18"/>
                <w:szCs w:val="18"/>
                <w:lang w:val="en-CA"/>
              </w:rPr>
              <w:t>output</w:t>
            </w:r>
            <w:r w:rsidRPr="00616C8C">
              <w:rPr>
                <w:sz w:val="18"/>
                <w:szCs w:val="18"/>
                <w:lang w:val="en-CA"/>
              </w:rPr>
              <w:t xml:space="preserve"> </w:t>
            </w:r>
            <w:r w:rsidRPr="006458DA">
              <w:rPr>
                <w:sz w:val="18"/>
                <w:szCs w:val="18"/>
                <w:lang w:val="en-CA"/>
              </w:rPr>
              <w:t>2.2.3)</w:t>
            </w:r>
          </w:p>
          <w:p w14:paraId="0EF54EA7" w14:textId="77777777" w:rsidR="00302BFE" w:rsidRPr="006458DA" w:rsidRDefault="00302BFE" w:rsidP="00C46720">
            <w:pPr>
              <w:numPr>
                <w:ilvl w:val="0"/>
                <w:numId w:val="38"/>
              </w:numPr>
              <w:autoSpaceDN w:val="0"/>
              <w:spacing w:after="0"/>
              <w:jc w:val="left"/>
              <w:rPr>
                <w:sz w:val="18"/>
                <w:szCs w:val="18"/>
                <w:lang w:val="en-CA"/>
              </w:rPr>
            </w:pPr>
            <w:r w:rsidRPr="006458DA">
              <w:rPr>
                <w:sz w:val="18"/>
                <w:szCs w:val="18"/>
                <w:lang w:val="en-CA"/>
              </w:rPr>
              <w:t>Participation in PA management effectiveness assessments planned during project preparation, mid-term and end of project and impact assessment of project interventions in PA sites (Output 2.2.4)</w:t>
            </w:r>
          </w:p>
          <w:p w14:paraId="73D702A7" w14:textId="77777777" w:rsidR="00302BFE" w:rsidRPr="006458DA" w:rsidRDefault="00302BFE" w:rsidP="00C46720">
            <w:pPr>
              <w:numPr>
                <w:ilvl w:val="0"/>
                <w:numId w:val="38"/>
              </w:numPr>
              <w:autoSpaceDN w:val="0"/>
              <w:spacing w:after="0"/>
              <w:jc w:val="left"/>
              <w:rPr>
                <w:sz w:val="18"/>
                <w:szCs w:val="18"/>
                <w:lang w:val="en-CA"/>
              </w:rPr>
            </w:pPr>
            <w:r w:rsidRPr="006458DA">
              <w:rPr>
                <w:sz w:val="18"/>
                <w:szCs w:val="18"/>
                <w:lang w:val="en-CA"/>
              </w:rPr>
              <w:t xml:space="preserve">Contribution to </w:t>
            </w:r>
            <w:r>
              <w:rPr>
                <w:sz w:val="18"/>
                <w:szCs w:val="18"/>
                <w:lang w:val="en-CA"/>
              </w:rPr>
              <w:t>awareness</w:t>
            </w:r>
            <w:r w:rsidRPr="006458DA">
              <w:rPr>
                <w:sz w:val="18"/>
                <w:szCs w:val="18"/>
                <w:lang w:val="en-CA"/>
              </w:rPr>
              <w:t xml:space="preserve"> and community mobilization for all project interventions (Output 1.1.3</w:t>
            </w:r>
            <w:proofErr w:type="gramStart"/>
            <w:r w:rsidRPr="006458DA">
              <w:rPr>
                <w:sz w:val="18"/>
                <w:szCs w:val="18"/>
                <w:lang w:val="en-CA"/>
              </w:rPr>
              <w:t>);</w:t>
            </w:r>
            <w:proofErr w:type="gramEnd"/>
          </w:p>
          <w:p w14:paraId="1A8DC465" w14:textId="77777777" w:rsidR="00302BFE" w:rsidRPr="006458DA" w:rsidRDefault="00302BFE" w:rsidP="00C46720">
            <w:pPr>
              <w:numPr>
                <w:ilvl w:val="0"/>
                <w:numId w:val="38"/>
              </w:numPr>
              <w:autoSpaceDN w:val="0"/>
              <w:spacing w:after="0"/>
              <w:jc w:val="left"/>
              <w:rPr>
                <w:sz w:val="18"/>
                <w:szCs w:val="18"/>
                <w:lang w:val="en-CA"/>
              </w:rPr>
            </w:pPr>
            <w:r w:rsidRPr="006458DA">
              <w:rPr>
                <w:sz w:val="18"/>
                <w:szCs w:val="18"/>
                <w:lang w:val="en-CA"/>
              </w:rPr>
              <w:t xml:space="preserve">Environmental NGOs working in the PONASI area can contribute to capacity development for PA management actors and share best practices for biodiversity inventories, long-term </w:t>
            </w:r>
            <w:proofErr w:type="gramStart"/>
            <w:r w:rsidRPr="006458DA">
              <w:rPr>
                <w:sz w:val="18"/>
                <w:szCs w:val="18"/>
                <w:lang w:val="en-CA"/>
              </w:rPr>
              <w:t>monitoring</w:t>
            </w:r>
            <w:proofErr w:type="gramEnd"/>
            <w:r w:rsidRPr="006458DA">
              <w:rPr>
                <w:sz w:val="18"/>
                <w:szCs w:val="18"/>
                <w:lang w:val="en-CA"/>
              </w:rPr>
              <w:t xml:space="preserve"> and conservation activities (Output 2.1.2).</w:t>
            </w:r>
          </w:p>
        </w:tc>
        <w:tc>
          <w:tcPr>
            <w:tcW w:w="1985" w:type="dxa"/>
            <w:tcBorders>
              <w:top w:val="single" w:sz="4" w:space="0" w:color="auto"/>
              <w:left w:val="single" w:sz="4" w:space="0" w:color="auto"/>
              <w:bottom w:val="single" w:sz="4" w:space="0" w:color="auto"/>
              <w:right w:val="single" w:sz="4" w:space="0" w:color="auto"/>
            </w:tcBorders>
            <w:vAlign w:val="center"/>
          </w:tcPr>
          <w:p w14:paraId="4BB416C1" w14:textId="77777777" w:rsidR="00302BFE" w:rsidRPr="00CF4D08" w:rsidRDefault="00302BFE" w:rsidP="00243B15">
            <w:pPr>
              <w:pStyle w:val="PrformatHTML"/>
              <w:shd w:val="clear" w:color="auto" w:fill="FFFFFF"/>
              <w:rPr>
                <w:rFonts w:ascii="Calibri" w:hAnsi="Calibri" w:cs="Times New Roman"/>
                <w:sz w:val="18"/>
                <w:szCs w:val="18"/>
                <w:lang w:val="en-CA"/>
              </w:rPr>
            </w:pPr>
            <w:r w:rsidRPr="00CF4D08">
              <w:rPr>
                <w:rFonts w:ascii="Calibri" w:hAnsi="Calibri" w:cs="Times New Roman"/>
                <w:sz w:val="18"/>
                <w:szCs w:val="18"/>
                <w:lang w:val="en-CA"/>
              </w:rPr>
              <w:t xml:space="preserve">Achieve project results and outputs through better communication, information, </w:t>
            </w:r>
            <w:proofErr w:type="gramStart"/>
            <w:r w:rsidRPr="00CF4D08">
              <w:rPr>
                <w:rFonts w:ascii="Calibri" w:hAnsi="Calibri" w:cs="Times New Roman"/>
                <w:sz w:val="18"/>
                <w:szCs w:val="18"/>
                <w:lang w:val="en-CA"/>
              </w:rPr>
              <w:t>awareness</w:t>
            </w:r>
            <w:proofErr w:type="gramEnd"/>
            <w:r w:rsidRPr="00CF4D08">
              <w:rPr>
                <w:rFonts w:ascii="Calibri" w:hAnsi="Calibri" w:cs="Times New Roman"/>
                <w:sz w:val="18"/>
                <w:szCs w:val="18"/>
                <w:lang w:val="en-CA"/>
              </w:rPr>
              <w:t xml:space="preserve"> and meaningful stakeholder engagement</w:t>
            </w:r>
          </w:p>
        </w:tc>
        <w:tc>
          <w:tcPr>
            <w:tcW w:w="850" w:type="dxa"/>
            <w:tcBorders>
              <w:top w:val="single" w:sz="4" w:space="0" w:color="auto"/>
              <w:left w:val="single" w:sz="4" w:space="0" w:color="auto"/>
              <w:bottom w:val="single" w:sz="4" w:space="0" w:color="auto"/>
              <w:right w:val="single" w:sz="4" w:space="0" w:color="auto"/>
            </w:tcBorders>
            <w:vAlign w:val="center"/>
          </w:tcPr>
          <w:p w14:paraId="56D9CF91" w14:textId="77777777" w:rsidR="00302BFE" w:rsidRPr="00E379FD" w:rsidRDefault="00302BFE" w:rsidP="00243B15">
            <w:pPr>
              <w:autoSpaceDN w:val="0"/>
              <w:spacing w:after="0"/>
              <w:jc w:val="left"/>
              <w:rPr>
                <w:sz w:val="18"/>
                <w:szCs w:val="18"/>
                <w:lang w:val="fr-CA"/>
              </w:rPr>
            </w:pPr>
            <w:r w:rsidRPr="00E379FD">
              <w:rPr>
                <w:sz w:val="18"/>
                <w:szCs w:val="18"/>
                <w:lang w:val="fr-CA"/>
              </w:rPr>
              <w:t xml:space="preserve">1, 2, 3 </w:t>
            </w:r>
            <w:r>
              <w:rPr>
                <w:sz w:val="18"/>
                <w:szCs w:val="18"/>
                <w:lang w:val="fr-CA"/>
              </w:rPr>
              <w:t>and</w:t>
            </w:r>
            <w:r w:rsidRPr="00E379FD">
              <w:rPr>
                <w:sz w:val="18"/>
                <w:szCs w:val="18"/>
                <w:lang w:val="fr-CA"/>
              </w:rPr>
              <w:t xml:space="preserve"> 4</w:t>
            </w:r>
          </w:p>
        </w:tc>
      </w:tr>
      <w:tr w:rsidR="00302BFE" w:rsidRPr="00E379FD" w14:paraId="59A1C304" w14:textId="77777777" w:rsidTr="00243B15">
        <w:trPr>
          <w:jc w:val="center"/>
        </w:trPr>
        <w:tc>
          <w:tcPr>
            <w:tcW w:w="5709"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0828A882" w14:textId="77777777" w:rsidR="00302BFE" w:rsidRPr="00E379FD" w:rsidRDefault="00302BFE" w:rsidP="00243B15">
            <w:pPr>
              <w:autoSpaceDN w:val="0"/>
              <w:spacing w:after="0"/>
              <w:jc w:val="left"/>
              <w:rPr>
                <w:sz w:val="18"/>
                <w:szCs w:val="18"/>
                <w:lang w:val="fr-CA"/>
              </w:rPr>
            </w:pPr>
            <w:r>
              <w:rPr>
                <w:b/>
                <w:sz w:val="18"/>
                <w:szCs w:val="18"/>
                <w:lang w:val="fr-CA"/>
              </w:rPr>
              <w:t>I</w:t>
            </w:r>
            <w:r w:rsidRPr="00E379FD">
              <w:rPr>
                <w:b/>
                <w:sz w:val="18"/>
                <w:szCs w:val="18"/>
                <w:lang w:val="fr-CA"/>
              </w:rPr>
              <w:t xml:space="preserve">nternational </w:t>
            </w:r>
            <w:proofErr w:type="spellStart"/>
            <w:r>
              <w:rPr>
                <w:b/>
                <w:sz w:val="18"/>
                <w:szCs w:val="18"/>
                <w:lang w:val="fr-CA"/>
              </w:rPr>
              <w:t>NG</w:t>
            </w:r>
            <w:r w:rsidRPr="00E379FD">
              <w:rPr>
                <w:b/>
                <w:sz w:val="18"/>
                <w:szCs w:val="18"/>
                <w:lang w:val="fr-CA"/>
              </w:rPr>
              <w:t>Os</w:t>
            </w:r>
            <w:proofErr w:type="spellEnd"/>
            <w:r w:rsidRPr="00E379FD">
              <w:rPr>
                <w:b/>
                <w:sz w:val="18"/>
                <w:szCs w:val="18"/>
                <w:lang w:val="fr-CA"/>
              </w:rPr>
              <w:t xml:space="preserve"> </w:t>
            </w:r>
            <w:r>
              <w:rPr>
                <w:b/>
                <w:sz w:val="18"/>
                <w:szCs w:val="18"/>
                <w:lang w:val="fr-CA"/>
              </w:rPr>
              <w:t xml:space="preserve">and </w:t>
            </w:r>
            <w:proofErr w:type="spellStart"/>
            <w:r w:rsidRPr="00E379FD">
              <w:rPr>
                <w:b/>
                <w:sz w:val="18"/>
                <w:szCs w:val="18"/>
                <w:lang w:val="fr-CA"/>
              </w:rPr>
              <w:t>environmental</w:t>
            </w:r>
            <w:proofErr w:type="spellEnd"/>
            <w:r w:rsidRPr="00E379FD">
              <w:rPr>
                <w:b/>
                <w:sz w:val="18"/>
                <w:szCs w:val="18"/>
                <w:lang w:val="fr-CA"/>
              </w:rPr>
              <w:t xml:space="preserve"> associations </w:t>
            </w:r>
          </w:p>
        </w:tc>
        <w:tc>
          <w:tcPr>
            <w:tcW w:w="6193" w:type="dxa"/>
            <w:tcBorders>
              <w:top w:val="single" w:sz="4" w:space="0" w:color="auto"/>
              <w:left w:val="single" w:sz="4" w:space="0" w:color="auto"/>
              <w:bottom w:val="single" w:sz="4" w:space="0" w:color="auto"/>
              <w:right w:val="single" w:sz="4" w:space="0" w:color="auto"/>
            </w:tcBorders>
            <w:shd w:val="clear" w:color="auto" w:fill="E7E6E6"/>
            <w:vAlign w:val="center"/>
          </w:tcPr>
          <w:p w14:paraId="1AD53ECC" w14:textId="77777777" w:rsidR="00302BFE" w:rsidRPr="00E379FD" w:rsidRDefault="00302BFE" w:rsidP="00243B15">
            <w:pPr>
              <w:autoSpaceDN w:val="0"/>
              <w:spacing w:after="0"/>
              <w:jc w:val="left"/>
              <w:rPr>
                <w:b/>
                <w:sz w:val="18"/>
                <w:szCs w:val="18"/>
                <w:lang w:val="fr-CA"/>
              </w:rPr>
            </w:pPr>
          </w:p>
        </w:tc>
        <w:tc>
          <w:tcPr>
            <w:tcW w:w="1985" w:type="dxa"/>
            <w:tcBorders>
              <w:top w:val="single" w:sz="4" w:space="0" w:color="auto"/>
              <w:left w:val="single" w:sz="4" w:space="0" w:color="auto"/>
              <w:bottom w:val="single" w:sz="4" w:space="0" w:color="auto"/>
              <w:right w:val="single" w:sz="4" w:space="0" w:color="auto"/>
            </w:tcBorders>
            <w:shd w:val="clear" w:color="auto" w:fill="E7E6E6"/>
            <w:vAlign w:val="center"/>
          </w:tcPr>
          <w:p w14:paraId="01D6DB19" w14:textId="77777777" w:rsidR="00302BFE" w:rsidRPr="00E379FD" w:rsidRDefault="00302BFE" w:rsidP="00243B15">
            <w:pPr>
              <w:autoSpaceDN w:val="0"/>
              <w:spacing w:after="0"/>
              <w:jc w:val="left"/>
              <w:rPr>
                <w:b/>
                <w:sz w:val="18"/>
                <w:szCs w:val="18"/>
                <w:lang w:val="fr-CA"/>
              </w:rPr>
            </w:pPr>
          </w:p>
        </w:tc>
        <w:tc>
          <w:tcPr>
            <w:tcW w:w="850" w:type="dxa"/>
            <w:tcBorders>
              <w:top w:val="single" w:sz="4" w:space="0" w:color="auto"/>
              <w:left w:val="single" w:sz="4" w:space="0" w:color="auto"/>
              <w:bottom w:val="single" w:sz="4" w:space="0" w:color="auto"/>
              <w:right w:val="single" w:sz="4" w:space="0" w:color="auto"/>
            </w:tcBorders>
            <w:shd w:val="clear" w:color="auto" w:fill="E7E6E6"/>
            <w:vAlign w:val="center"/>
          </w:tcPr>
          <w:p w14:paraId="2AA01065" w14:textId="77777777" w:rsidR="00302BFE" w:rsidRPr="00E379FD" w:rsidRDefault="00302BFE" w:rsidP="00243B15">
            <w:pPr>
              <w:autoSpaceDN w:val="0"/>
              <w:spacing w:after="0"/>
              <w:jc w:val="left"/>
              <w:rPr>
                <w:b/>
                <w:sz w:val="18"/>
                <w:szCs w:val="18"/>
                <w:lang w:val="fr-CA"/>
              </w:rPr>
            </w:pPr>
          </w:p>
        </w:tc>
      </w:tr>
      <w:tr w:rsidR="00302BFE" w:rsidRPr="00E379FD" w14:paraId="0B6F92C0"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2DC35682" w14:textId="77777777" w:rsidR="00302BFE" w:rsidRPr="00E379FD" w:rsidRDefault="00302BFE" w:rsidP="00243B15">
            <w:pPr>
              <w:spacing w:after="0"/>
              <w:jc w:val="left"/>
              <w:rPr>
                <w:sz w:val="18"/>
                <w:szCs w:val="18"/>
                <w:lang w:val="fr-CA"/>
              </w:rPr>
            </w:pPr>
            <w:r>
              <w:rPr>
                <w:sz w:val="18"/>
                <w:szCs w:val="18"/>
                <w:lang w:val="fr-CA"/>
              </w:rPr>
              <w:lastRenderedPageBreak/>
              <w:t>IUCN</w:t>
            </w:r>
          </w:p>
        </w:tc>
        <w:tc>
          <w:tcPr>
            <w:tcW w:w="3827" w:type="dxa"/>
            <w:tcBorders>
              <w:top w:val="single" w:sz="4" w:space="0" w:color="auto"/>
              <w:left w:val="single" w:sz="4" w:space="0" w:color="auto"/>
              <w:bottom w:val="single" w:sz="4" w:space="0" w:color="auto"/>
              <w:right w:val="single" w:sz="4" w:space="0" w:color="auto"/>
            </w:tcBorders>
            <w:vAlign w:val="center"/>
          </w:tcPr>
          <w:p w14:paraId="39DA7BD7" w14:textId="77777777" w:rsidR="00302BFE" w:rsidRPr="009F390C" w:rsidRDefault="00302BFE" w:rsidP="00243B15">
            <w:pPr>
              <w:autoSpaceDN w:val="0"/>
              <w:spacing w:after="0"/>
              <w:jc w:val="left"/>
              <w:rPr>
                <w:sz w:val="18"/>
                <w:szCs w:val="18"/>
                <w:lang w:val="en-CA"/>
              </w:rPr>
            </w:pPr>
            <w:r w:rsidRPr="009F390C">
              <w:rPr>
                <w:sz w:val="18"/>
                <w:szCs w:val="18"/>
                <w:lang w:val="en-CA"/>
              </w:rPr>
              <w:t>IUCN will participate in the co-financing of the project. It will also participate in technical support and training</w:t>
            </w:r>
          </w:p>
        </w:tc>
        <w:tc>
          <w:tcPr>
            <w:tcW w:w="6193" w:type="dxa"/>
            <w:tcBorders>
              <w:top w:val="single" w:sz="4" w:space="0" w:color="auto"/>
              <w:left w:val="single" w:sz="4" w:space="0" w:color="auto"/>
              <w:bottom w:val="single" w:sz="4" w:space="0" w:color="auto"/>
              <w:right w:val="single" w:sz="4" w:space="0" w:color="auto"/>
            </w:tcBorders>
            <w:vAlign w:val="center"/>
          </w:tcPr>
          <w:p w14:paraId="0DCDACF1" w14:textId="77777777" w:rsidR="00302BFE" w:rsidRPr="006458DA" w:rsidRDefault="00302BFE" w:rsidP="00C46720">
            <w:pPr>
              <w:numPr>
                <w:ilvl w:val="0"/>
                <w:numId w:val="38"/>
              </w:numPr>
              <w:autoSpaceDN w:val="0"/>
              <w:spacing w:after="0"/>
              <w:jc w:val="left"/>
              <w:rPr>
                <w:sz w:val="18"/>
                <w:szCs w:val="18"/>
                <w:lang w:val="en-CA"/>
              </w:rPr>
            </w:pPr>
            <w:r w:rsidRPr="006458DA">
              <w:rPr>
                <w:sz w:val="18"/>
                <w:szCs w:val="18"/>
                <w:lang w:val="en-CA"/>
              </w:rPr>
              <w:t>The project will seek to develop partnerships between the PONASI PA complex and IUCN to primarily support the capacity building of conservation stakeholders and the development of biodiversity knowledge for conservation and sustainable management (Output 2.1.2).</w:t>
            </w:r>
          </w:p>
          <w:p w14:paraId="2670581E" w14:textId="77777777" w:rsidR="00302BFE" w:rsidRPr="006458DA" w:rsidRDefault="00302BFE" w:rsidP="00C46720">
            <w:pPr>
              <w:numPr>
                <w:ilvl w:val="0"/>
                <w:numId w:val="38"/>
              </w:numPr>
              <w:autoSpaceDN w:val="0"/>
              <w:spacing w:after="0"/>
              <w:jc w:val="left"/>
              <w:rPr>
                <w:sz w:val="18"/>
                <w:szCs w:val="18"/>
                <w:lang w:val="en-CA"/>
              </w:rPr>
            </w:pPr>
            <w:r w:rsidRPr="006458DA">
              <w:rPr>
                <w:sz w:val="18"/>
                <w:szCs w:val="18"/>
                <w:lang w:val="en-CA"/>
              </w:rPr>
              <w:t>IUCN will also contribute to the development of transboundary agreements, elaboration of texts and the study on elephant movement (Output 2.2.4)</w:t>
            </w:r>
          </w:p>
        </w:tc>
        <w:tc>
          <w:tcPr>
            <w:tcW w:w="1985" w:type="dxa"/>
            <w:tcBorders>
              <w:top w:val="single" w:sz="4" w:space="0" w:color="auto"/>
              <w:left w:val="single" w:sz="4" w:space="0" w:color="auto"/>
              <w:bottom w:val="single" w:sz="4" w:space="0" w:color="auto"/>
              <w:right w:val="single" w:sz="4" w:space="0" w:color="auto"/>
            </w:tcBorders>
            <w:vAlign w:val="center"/>
          </w:tcPr>
          <w:p w14:paraId="3EF14413" w14:textId="77777777" w:rsidR="00302BFE" w:rsidRPr="00CF4D08" w:rsidRDefault="00302BFE" w:rsidP="00243B15">
            <w:pPr>
              <w:pStyle w:val="PrformatHTML"/>
              <w:shd w:val="clear" w:color="auto" w:fill="FFFFFF"/>
              <w:rPr>
                <w:rFonts w:ascii="Calibri" w:hAnsi="Calibri" w:cs="Times New Roman"/>
                <w:sz w:val="18"/>
                <w:szCs w:val="18"/>
                <w:lang w:val="en-CA"/>
              </w:rPr>
            </w:pPr>
            <w:r w:rsidRPr="00CF4D08">
              <w:rPr>
                <w:rFonts w:ascii="Calibri" w:hAnsi="Calibri" w:cs="Times New Roman"/>
                <w:sz w:val="18"/>
                <w:szCs w:val="18"/>
                <w:lang w:val="en-CA"/>
              </w:rPr>
              <w:t>Better implementation of actions related to the protection of biodiversity and the management of the elephant</w:t>
            </w:r>
          </w:p>
        </w:tc>
        <w:tc>
          <w:tcPr>
            <w:tcW w:w="850" w:type="dxa"/>
            <w:tcBorders>
              <w:top w:val="single" w:sz="4" w:space="0" w:color="auto"/>
              <w:left w:val="single" w:sz="4" w:space="0" w:color="auto"/>
              <w:bottom w:val="single" w:sz="4" w:space="0" w:color="auto"/>
              <w:right w:val="single" w:sz="4" w:space="0" w:color="auto"/>
            </w:tcBorders>
            <w:vAlign w:val="center"/>
          </w:tcPr>
          <w:p w14:paraId="48CD6A30" w14:textId="77777777" w:rsidR="00302BFE" w:rsidRPr="00E379FD" w:rsidRDefault="00302BFE" w:rsidP="00243B15">
            <w:pPr>
              <w:autoSpaceDN w:val="0"/>
              <w:spacing w:after="0"/>
              <w:jc w:val="left"/>
              <w:rPr>
                <w:sz w:val="18"/>
                <w:szCs w:val="18"/>
                <w:lang w:val="fr-CA"/>
              </w:rPr>
            </w:pPr>
            <w:r w:rsidRPr="00E379FD">
              <w:rPr>
                <w:sz w:val="18"/>
                <w:szCs w:val="18"/>
                <w:lang w:val="fr-CA"/>
              </w:rPr>
              <w:t>1, 2</w:t>
            </w:r>
          </w:p>
        </w:tc>
      </w:tr>
      <w:tr w:rsidR="00302BFE" w:rsidRPr="00E379FD" w14:paraId="7F4F4F73"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525D8506" w14:textId="77777777" w:rsidR="00302BFE" w:rsidRPr="00E379FD" w:rsidRDefault="00302BFE" w:rsidP="00243B15">
            <w:pPr>
              <w:spacing w:after="0"/>
              <w:jc w:val="left"/>
              <w:rPr>
                <w:sz w:val="18"/>
                <w:szCs w:val="18"/>
                <w:lang w:val="fr-CA"/>
              </w:rPr>
            </w:pPr>
            <w:r w:rsidRPr="00E379FD">
              <w:rPr>
                <w:sz w:val="18"/>
                <w:szCs w:val="18"/>
                <w:lang w:val="fr-CA"/>
              </w:rPr>
              <w:t>WWF</w:t>
            </w:r>
          </w:p>
        </w:tc>
        <w:tc>
          <w:tcPr>
            <w:tcW w:w="3827" w:type="dxa"/>
            <w:tcBorders>
              <w:top w:val="single" w:sz="4" w:space="0" w:color="auto"/>
              <w:left w:val="single" w:sz="4" w:space="0" w:color="auto"/>
              <w:bottom w:val="single" w:sz="4" w:space="0" w:color="auto"/>
              <w:right w:val="single" w:sz="4" w:space="0" w:color="auto"/>
            </w:tcBorders>
            <w:vAlign w:val="center"/>
          </w:tcPr>
          <w:p w14:paraId="68C516A3" w14:textId="77777777" w:rsidR="00302BFE" w:rsidRPr="009F390C" w:rsidRDefault="00302BFE" w:rsidP="00243B15">
            <w:pPr>
              <w:autoSpaceDN w:val="0"/>
              <w:spacing w:after="0"/>
              <w:jc w:val="left"/>
              <w:rPr>
                <w:sz w:val="18"/>
                <w:szCs w:val="18"/>
                <w:lang w:val="en-CA"/>
              </w:rPr>
            </w:pPr>
            <w:r w:rsidRPr="009F390C">
              <w:rPr>
                <w:sz w:val="18"/>
                <w:szCs w:val="18"/>
                <w:lang w:val="en-CA"/>
              </w:rPr>
              <w:t>WWF will play the role of coaching, technical support and will train the target actors in the project</w:t>
            </w:r>
          </w:p>
        </w:tc>
        <w:tc>
          <w:tcPr>
            <w:tcW w:w="6193" w:type="dxa"/>
            <w:tcBorders>
              <w:top w:val="single" w:sz="4" w:space="0" w:color="auto"/>
              <w:left w:val="single" w:sz="4" w:space="0" w:color="auto"/>
              <w:bottom w:val="single" w:sz="4" w:space="0" w:color="auto"/>
              <w:right w:val="single" w:sz="4" w:space="0" w:color="auto"/>
            </w:tcBorders>
            <w:vAlign w:val="center"/>
          </w:tcPr>
          <w:p w14:paraId="6C0254C9" w14:textId="77777777" w:rsidR="00302BFE" w:rsidRPr="006458DA" w:rsidRDefault="00302BFE" w:rsidP="00C46720">
            <w:pPr>
              <w:numPr>
                <w:ilvl w:val="0"/>
                <w:numId w:val="38"/>
              </w:numPr>
              <w:autoSpaceDN w:val="0"/>
              <w:spacing w:after="0"/>
              <w:jc w:val="left"/>
              <w:rPr>
                <w:sz w:val="18"/>
                <w:szCs w:val="18"/>
                <w:lang w:val="en-CA"/>
              </w:rPr>
            </w:pPr>
            <w:r w:rsidRPr="006458DA">
              <w:rPr>
                <w:sz w:val="18"/>
                <w:szCs w:val="18"/>
                <w:lang w:val="en-CA"/>
              </w:rPr>
              <w:t>Support and supervision of the application of the SAFE Systems approach to design and implement an action plan to prevent and mitigate human-wildlife conflicts within the PONASI landscape (</w:t>
            </w:r>
            <w:r>
              <w:rPr>
                <w:sz w:val="18"/>
                <w:szCs w:val="18"/>
                <w:lang w:val="en-CA"/>
              </w:rPr>
              <w:t>output</w:t>
            </w:r>
            <w:r w:rsidRPr="00616C8C">
              <w:rPr>
                <w:sz w:val="18"/>
                <w:szCs w:val="18"/>
                <w:lang w:val="en-CA"/>
              </w:rPr>
              <w:t xml:space="preserve"> </w:t>
            </w:r>
            <w:r w:rsidRPr="006458DA">
              <w:rPr>
                <w:sz w:val="18"/>
                <w:szCs w:val="18"/>
                <w:lang w:val="en-CA"/>
              </w:rPr>
              <w:t>2.4.1)</w:t>
            </w:r>
          </w:p>
        </w:tc>
        <w:tc>
          <w:tcPr>
            <w:tcW w:w="1985" w:type="dxa"/>
            <w:tcBorders>
              <w:top w:val="single" w:sz="4" w:space="0" w:color="auto"/>
              <w:left w:val="single" w:sz="4" w:space="0" w:color="auto"/>
              <w:bottom w:val="single" w:sz="4" w:space="0" w:color="auto"/>
              <w:right w:val="single" w:sz="4" w:space="0" w:color="auto"/>
            </w:tcBorders>
            <w:vAlign w:val="center"/>
          </w:tcPr>
          <w:p w14:paraId="307BA09A" w14:textId="77777777" w:rsidR="00302BFE" w:rsidRPr="00CF4D08" w:rsidRDefault="00302BFE" w:rsidP="00243B15">
            <w:pPr>
              <w:pStyle w:val="PrformatHTML"/>
              <w:shd w:val="clear" w:color="auto" w:fill="FFFFFF"/>
              <w:rPr>
                <w:rFonts w:ascii="Calibri" w:hAnsi="Calibri" w:cs="Times New Roman"/>
                <w:sz w:val="18"/>
                <w:szCs w:val="18"/>
                <w:lang w:val="en-CA"/>
              </w:rPr>
            </w:pPr>
            <w:r w:rsidRPr="00CF4D08">
              <w:rPr>
                <w:rFonts w:ascii="Calibri" w:hAnsi="Calibri" w:cs="Times New Roman"/>
                <w:sz w:val="18"/>
                <w:szCs w:val="18"/>
                <w:lang w:val="en-CA"/>
              </w:rPr>
              <w:t>Achieving project results and products through better human-wildlife conflict management</w:t>
            </w:r>
          </w:p>
        </w:tc>
        <w:tc>
          <w:tcPr>
            <w:tcW w:w="850" w:type="dxa"/>
            <w:tcBorders>
              <w:top w:val="single" w:sz="4" w:space="0" w:color="auto"/>
              <w:left w:val="single" w:sz="4" w:space="0" w:color="auto"/>
              <w:bottom w:val="single" w:sz="4" w:space="0" w:color="auto"/>
              <w:right w:val="single" w:sz="4" w:space="0" w:color="auto"/>
            </w:tcBorders>
            <w:vAlign w:val="center"/>
          </w:tcPr>
          <w:p w14:paraId="11CCF7E9" w14:textId="77777777" w:rsidR="00302BFE" w:rsidRPr="00E379FD" w:rsidRDefault="00302BFE" w:rsidP="00243B15">
            <w:pPr>
              <w:autoSpaceDN w:val="0"/>
              <w:spacing w:after="0"/>
              <w:jc w:val="left"/>
              <w:rPr>
                <w:sz w:val="18"/>
                <w:szCs w:val="18"/>
                <w:lang w:val="fr-CA"/>
              </w:rPr>
            </w:pPr>
            <w:r w:rsidRPr="00E379FD">
              <w:rPr>
                <w:sz w:val="18"/>
                <w:szCs w:val="18"/>
                <w:lang w:val="fr-CA"/>
              </w:rPr>
              <w:t>2</w:t>
            </w:r>
          </w:p>
        </w:tc>
      </w:tr>
      <w:tr w:rsidR="00302BFE" w:rsidRPr="00E379FD" w14:paraId="791AD3F9" w14:textId="77777777" w:rsidTr="00243B15">
        <w:trPr>
          <w:jc w:val="center"/>
        </w:trPr>
        <w:tc>
          <w:tcPr>
            <w:tcW w:w="5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0A7FC9E" w14:textId="77777777" w:rsidR="00302BFE" w:rsidRPr="00E379FD" w:rsidRDefault="00302BFE" w:rsidP="00243B15">
            <w:pPr>
              <w:autoSpaceDN w:val="0"/>
              <w:spacing w:after="0"/>
              <w:jc w:val="left"/>
              <w:rPr>
                <w:rFonts w:eastAsia="Cambria"/>
                <w:sz w:val="18"/>
                <w:szCs w:val="18"/>
                <w:lang w:val="fr-CA"/>
              </w:rPr>
            </w:pPr>
            <w:r w:rsidRPr="005C25D0">
              <w:rPr>
                <w:b/>
                <w:sz w:val="18"/>
                <w:szCs w:val="18"/>
                <w:lang w:val="fr-CA"/>
              </w:rPr>
              <w:t>Professional associations and unions</w:t>
            </w:r>
          </w:p>
        </w:tc>
        <w:tc>
          <w:tcPr>
            <w:tcW w:w="6193" w:type="dxa"/>
            <w:tcBorders>
              <w:top w:val="single" w:sz="4" w:space="0" w:color="auto"/>
              <w:left w:val="single" w:sz="4" w:space="0" w:color="auto"/>
              <w:bottom w:val="single" w:sz="4" w:space="0" w:color="auto"/>
              <w:right w:val="single" w:sz="4" w:space="0" w:color="auto"/>
            </w:tcBorders>
            <w:shd w:val="clear" w:color="auto" w:fill="E6E6E6"/>
            <w:vAlign w:val="center"/>
          </w:tcPr>
          <w:p w14:paraId="67930D64" w14:textId="77777777" w:rsidR="00302BFE" w:rsidRPr="00E379FD" w:rsidRDefault="00302BFE" w:rsidP="00243B15">
            <w:pPr>
              <w:autoSpaceDN w:val="0"/>
              <w:spacing w:after="0"/>
              <w:jc w:val="left"/>
              <w:rPr>
                <w:b/>
                <w:sz w:val="18"/>
                <w:szCs w:val="18"/>
                <w:lang w:val="fr-CA"/>
              </w:rPr>
            </w:pPr>
          </w:p>
        </w:tc>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0F75A6EC" w14:textId="77777777" w:rsidR="00302BFE" w:rsidRPr="00E379FD" w:rsidRDefault="00302BFE" w:rsidP="00243B15">
            <w:pPr>
              <w:autoSpaceDN w:val="0"/>
              <w:spacing w:after="0"/>
              <w:jc w:val="left"/>
              <w:rPr>
                <w:b/>
                <w:sz w:val="18"/>
                <w:szCs w:val="18"/>
                <w:lang w:val="fr-CA"/>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F916D4C" w14:textId="77777777" w:rsidR="00302BFE" w:rsidRPr="00E379FD" w:rsidRDefault="00302BFE" w:rsidP="00243B15">
            <w:pPr>
              <w:autoSpaceDN w:val="0"/>
              <w:spacing w:after="0"/>
              <w:jc w:val="left"/>
              <w:rPr>
                <w:b/>
                <w:sz w:val="18"/>
                <w:szCs w:val="18"/>
                <w:lang w:val="fr-CA"/>
              </w:rPr>
            </w:pPr>
          </w:p>
        </w:tc>
      </w:tr>
      <w:tr w:rsidR="00302BFE" w:rsidRPr="00E379FD" w14:paraId="04627BC0"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1542EFB8" w14:textId="77777777" w:rsidR="00302BFE" w:rsidRPr="005C25D0" w:rsidRDefault="00302BFE" w:rsidP="00243B15">
            <w:pPr>
              <w:pBdr>
                <w:top w:val="single" w:sz="4" w:space="1" w:color="auto"/>
              </w:pBdr>
              <w:autoSpaceDN w:val="0"/>
              <w:spacing w:after="0"/>
              <w:jc w:val="left"/>
              <w:rPr>
                <w:rFonts w:eastAsia="Times New Roman"/>
                <w:sz w:val="18"/>
                <w:szCs w:val="18"/>
                <w:lang w:val="en-CA"/>
              </w:rPr>
            </w:pPr>
            <w:r w:rsidRPr="005C25D0">
              <w:rPr>
                <w:sz w:val="18"/>
                <w:szCs w:val="18"/>
                <w:lang w:val="en-CA"/>
              </w:rPr>
              <w:t>Tourism Associations: Assoc</w:t>
            </w:r>
            <w:r>
              <w:rPr>
                <w:sz w:val="18"/>
                <w:szCs w:val="18"/>
                <w:lang w:val="en-CA"/>
              </w:rPr>
              <w:t>.</w:t>
            </w:r>
            <w:r w:rsidRPr="005C25D0">
              <w:rPr>
                <w:sz w:val="18"/>
                <w:szCs w:val="18"/>
                <w:lang w:val="en-CA"/>
              </w:rPr>
              <w:t xml:space="preserve"> of National Tourist Guides; Assoc</w:t>
            </w:r>
            <w:r>
              <w:rPr>
                <w:sz w:val="18"/>
                <w:szCs w:val="18"/>
                <w:lang w:val="en-CA"/>
              </w:rPr>
              <w:t>.</w:t>
            </w:r>
            <w:r w:rsidRPr="005C25D0">
              <w:rPr>
                <w:sz w:val="18"/>
                <w:szCs w:val="18"/>
                <w:lang w:val="en-CA"/>
              </w:rPr>
              <w:t xml:space="preserve"> of Travel and Tourism Professionals; Assoc</w:t>
            </w:r>
            <w:r>
              <w:rPr>
                <w:sz w:val="18"/>
                <w:szCs w:val="18"/>
                <w:lang w:val="en-CA"/>
              </w:rPr>
              <w:t>.</w:t>
            </w:r>
            <w:r w:rsidRPr="005C25D0">
              <w:rPr>
                <w:sz w:val="18"/>
                <w:szCs w:val="18"/>
                <w:lang w:val="en-CA"/>
              </w:rPr>
              <w:t xml:space="preserve"> of Guides of Culture and Tourism</w:t>
            </w:r>
          </w:p>
        </w:tc>
        <w:tc>
          <w:tcPr>
            <w:tcW w:w="3827" w:type="dxa"/>
            <w:tcBorders>
              <w:top w:val="single" w:sz="4" w:space="0" w:color="auto"/>
              <w:left w:val="single" w:sz="4" w:space="0" w:color="auto"/>
              <w:bottom w:val="single" w:sz="4" w:space="0" w:color="auto"/>
              <w:right w:val="single" w:sz="4" w:space="0" w:color="auto"/>
            </w:tcBorders>
            <w:vAlign w:val="center"/>
          </w:tcPr>
          <w:p w14:paraId="43F32DDA" w14:textId="77777777" w:rsidR="00302BFE" w:rsidRPr="005C25D0" w:rsidRDefault="00302BFE" w:rsidP="00243B15">
            <w:pPr>
              <w:autoSpaceDN w:val="0"/>
              <w:spacing w:after="0"/>
              <w:jc w:val="left"/>
              <w:rPr>
                <w:rFonts w:eastAsia="Cambria"/>
                <w:sz w:val="18"/>
                <w:szCs w:val="18"/>
                <w:lang w:val="en-CA"/>
              </w:rPr>
            </w:pPr>
            <w:r w:rsidRPr="005C25D0">
              <w:rPr>
                <w:sz w:val="18"/>
                <w:szCs w:val="18"/>
                <w:lang w:val="en-CA"/>
              </w:rPr>
              <w:t xml:space="preserve">Tourism associations will play a role of coaching, technical </w:t>
            </w:r>
            <w:proofErr w:type="gramStart"/>
            <w:r w:rsidRPr="005C25D0">
              <w:rPr>
                <w:sz w:val="18"/>
                <w:szCs w:val="18"/>
                <w:lang w:val="en-CA"/>
              </w:rPr>
              <w:t>support</w:t>
            </w:r>
            <w:proofErr w:type="gramEnd"/>
            <w:r w:rsidRPr="005C25D0">
              <w:rPr>
                <w:sz w:val="18"/>
                <w:szCs w:val="18"/>
                <w:lang w:val="en-CA"/>
              </w:rPr>
              <w:t xml:space="preserve"> and training</w:t>
            </w:r>
          </w:p>
        </w:tc>
        <w:tc>
          <w:tcPr>
            <w:tcW w:w="6193" w:type="dxa"/>
            <w:tcBorders>
              <w:top w:val="single" w:sz="4" w:space="0" w:color="auto"/>
              <w:left w:val="single" w:sz="4" w:space="0" w:color="auto"/>
              <w:bottom w:val="single" w:sz="4" w:space="0" w:color="auto"/>
              <w:right w:val="single" w:sz="4" w:space="0" w:color="auto"/>
            </w:tcBorders>
            <w:vAlign w:val="center"/>
          </w:tcPr>
          <w:p w14:paraId="6332CD06" w14:textId="77777777" w:rsidR="00302BFE" w:rsidRPr="006458DA" w:rsidRDefault="00302BFE" w:rsidP="00C46720">
            <w:pPr>
              <w:numPr>
                <w:ilvl w:val="0"/>
                <w:numId w:val="38"/>
              </w:numPr>
              <w:autoSpaceDN w:val="0"/>
              <w:spacing w:after="0"/>
              <w:jc w:val="left"/>
              <w:rPr>
                <w:rFonts w:eastAsia="Calibri"/>
                <w:sz w:val="18"/>
                <w:szCs w:val="18"/>
                <w:lang w:val="en-CA"/>
              </w:rPr>
            </w:pPr>
            <w:r w:rsidRPr="006458DA">
              <w:rPr>
                <w:rFonts w:eastAsia="Calibri"/>
                <w:sz w:val="18"/>
                <w:szCs w:val="18"/>
                <w:lang w:val="en-CA"/>
              </w:rPr>
              <w:t>Invitation to participate in the promotion of tourism in relation to protected areas (product 2.4), the development of economic activities and resource development of PA sites for the benefit of communities bordering PAs (</w:t>
            </w:r>
            <w:r>
              <w:rPr>
                <w:sz w:val="18"/>
                <w:szCs w:val="18"/>
                <w:lang w:val="en-CA"/>
              </w:rPr>
              <w:t>output</w:t>
            </w:r>
            <w:r w:rsidRPr="00616C8C">
              <w:rPr>
                <w:sz w:val="18"/>
                <w:szCs w:val="18"/>
                <w:lang w:val="en-CA"/>
              </w:rPr>
              <w:t xml:space="preserve"> </w:t>
            </w:r>
            <w:r w:rsidRPr="006458DA">
              <w:rPr>
                <w:rFonts w:eastAsia="Calibri"/>
                <w:sz w:val="18"/>
                <w:szCs w:val="18"/>
                <w:lang w:val="en-CA"/>
              </w:rPr>
              <w:t>2.4).</w:t>
            </w:r>
          </w:p>
        </w:tc>
        <w:tc>
          <w:tcPr>
            <w:tcW w:w="1985" w:type="dxa"/>
            <w:tcBorders>
              <w:top w:val="single" w:sz="4" w:space="0" w:color="auto"/>
              <w:left w:val="single" w:sz="4" w:space="0" w:color="auto"/>
              <w:bottom w:val="single" w:sz="4" w:space="0" w:color="auto"/>
              <w:right w:val="single" w:sz="4" w:space="0" w:color="auto"/>
            </w:tcBorders>
            <w:vAlign w:val="center"/>
          </w:tcPr>
          <w:p w14:paraId="2EF04E4D" w14:textId="77777777" w:rsidR="00302BFE" w:rsidRPr="00CF4D08" w:rsidRDefault="00302BFE" w:rsidP="00243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eastAsia="Calibri"/>
                <w:sz w:val="18"/>
                <w:szCs w:val="18"/>
                <w:lang w:val="en-CA"/>
              </w:rPr>
            </w:pPr>
            <w:r w:rsidRPr="00CF4D08">
              <w:rPr>
                <w:rFonts w:eastAsia="Calibri"/>
                <w:sz w:val="18"/>
                <w:szCs w:val="18"/>
                <w:lang w:val="en-CA"/>
              </w:rPr>
              <w:t>Achieve results and products related to the development of community tourism and the development of community livelihoods from tourism</w:t>
            </w:r>
          </w:p>
        </w:tc>
        <w:tc>
          <w:tcPr>
            <w:tcW w:w="850" w:type="dxa"/>
            <w:tcBorders>
              <w:top w:val="single" w:sz="4" w:space="0" w:color="auto"/>
              <w:left w:val="single" w:sz="4" w:space="0" w:color="auto"/>
              <w:bottom w:val="single" w:sz="4" w:space="0" w:color="auto"/>
              <w:right w:val="single" w:sz="4" w:space="0" w:color="auto"/>
            </w:tcBorders>
            <w:vAlign w:val="center"/>
          </w:tcPr>
          <w:p w14:paraId="53F8A1C2" w14:textId="77777777" w:rsidR="00302BFE" w:rsidRPr="00E379FD" w:rsidRDefault="00302BFE" w:rsidP="00243B15">
            <w:pPr>
              <w:autoSpaceDN w:val="0"/>
              <w:spacing w:after="0"/>
              <w:jc w:val="left"/>
              <w:rPr>
                <w:rFonts w:eastAsia="Calibri"/>
                <w:sz w:val="18"/>
                <w:szCs w:val="18"/>
                <w:lang w:val="fr-CA"/>
              </w:rPr>
            </w:pPr>
            <w:r w:rsidRPr="00E379FD">
              <w:rPr>
                <w:rFonts w:eastAsia="Calibri"/>
                <w:sz w:val="18"/>
                <w:szCs w:val="18"/>
                <w:lang w:val="fr-CA"/>
              </w:rPr>
              <w:t>2; 3</w:t>
            </w:r>
          </w:p>
        </w:tc>
      </w:tr>
      <w:tr w:rsidR="00302BFE" w:rsidRPr="00E379FD" w14:paraId="6A213BFA" w14:textId="77777777" w:rsidTr="00243B15">
        <w:trPr>
          <w:jc w:val="center"/>
        </w:trPr>
        <w:tc>
          <w:tcPr>
            <w:tcW w:w="5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1323A48" w14:textId="77777777" w:rsidR="00302BFE" w:rsidRPr="00E379FD" w:rsidRDefault="00302BFE" w:rsidP="00243B15">
            <w:pPr>
              <w:autoSpaceDN w:val="0"/>
              <w:spacing w:after="0"/>
              <w:jc w:val="left"/>
              <w:rPr>
                <w:rFonts w:eastAsia="Cambria"/>
                <w:sz w:val="18"/>
                <w:szCs w:val="18"/>
                <w:lang w:val="fr-CA"/>
              </w:rPr>
            </w:pPr>
            <w:r w:rsidRPr="00E379FD">
              <w:rPr>
                <w:b/>
                <w:sz w:val="18"/>
                <w:szCs w:val="18"/>
                <w:lang w:val="fr-CA"/>
              </w:rPr>
              <w:t>Media</w:t>
            </w:r>
          </w:p>
        </w:tc>
        <w:tc>
          <w:tcPr>
            <w:tcW w:w="6193" w:type="dxa"/>
            <w:tcBorders>
              <w:top w:val="single" w:sz="4" w:space="0" w:color="auto"/>
              <w:left w:val="single" w:sz="4" w:space="0" w:color="auto"/>
              <w:bottom w:val="single" w:sz="4" w:space="0" w:color="auto"/>
              <w:right w:val="single" w:sz="4" w:space="0" w:color="auto"/>
            </w:tcBorders>
            <w:shd w:val="clear" w:color="auto" w:fill="E6E6E6"/>
            <w:vAlign w:val="center"/>
          </w:tcPr>
          <w:p w14:paraId="0EF2CB94" w14:textId="77777777" w:rsidR="00302BFE" w:rsidRPr="00E379FD" w:rsidRDefault="00302BFE" w:rsidP="00243B15">
            <w:pPr>
              <w:autoSpaceDN w:val="0"/>
              <w:spacing w:after="0"/>
              <w:jc w:val="left"/>
              <w:rPr>
                <w:b/>
                <w:sz w:val="18"/>
                <w:szCs w:val="18"/>
                <w:lang w:val="fr-CA"/>
              </w:rPr>
            </w:pPr>
          </w:p>
        </w:tc>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1378A411" w14:textId="77777777" w:rsidR="00302BFE" w:rsidRPr="00E379FD" w:rsidRDefault="00302BFE" w:rsidP="00243B15">
            <w:pPr>
              <w:autoSpaceDN w:val="0"/>
              <w:spacing w:after="0"/>
              <w:jc w:val="left"/>
              <w:rPr>
                <w:b/>
                <w:sz w:val="18"/>
                <w:szCs w:val="18"/>
                <w:lang w:val="fr-CA"/>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163AD59A" w14:textId="77777777" w:rsidR="00302BFE" w:rsidRPr="00E379FD" w:rsidRDefault="00302BFE" w:rsidP="00243B15">
            <w:pPr>
              <w:autoSpaceDN w:val="0"/>
              <w:spacing w:after="0"/>
              <w:jc w:val="left"/>
              <w:rPr>
                <w:b/>
                <w:sz w:val="18"/>
                <w:szCs w:val="18"/>
                <w:lang w:val="fr-CA"/>
              </w:rPr>
            </w:pPr>
          </w:p>
        </w:tc>
      </w:tr>
      <w:tr w:rsidR="00302BFE" w:rsidRPr="00E379FD" w14:paraId="531D1F32"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1806C728" w14:textId="77777777" w:rsidR="00302BFE" w:rsidRPr="005C25D0" w:rsidRDefault="00302BFE" w:rsidP="00243B15">
            <w:pPr>
              <w:spacing w:after="0"/>
              <w:jc w:val="left"/>
              <w:rPr>
                <w:rFonts w:eastAsia="Cambria"/>
                <w:b/>
                <w:sz w:val="18"/>
                <w:szCs w:val="18"/>
                <w:lang w:val="en-CA"/>
              </w:rPr>
            </w:pPr>
            <w:r w:rsidRPr="005C25D0">
              <w:rPr>
                <w:rFonts w:eastAsia="Cambria"/>
                <w:b/>
                <w:sz w:val="18"/>
                <w:szCs w:val="18"/>
                <w:lang w:val="en-CA"/>
              </w:rPr>
              <w:t xml:space="preserve">Local and national radio and television </w:t>
            </w:r>
            <w:r w:rsidRPr="005C25D0">
              <w:rPr>
                <w:rFonts w:eastAsia="Cambria"/>
                <w:sz w:val="18"/>
                <w:szCs w:val="18"/>
                <w:lang w:val="en-CA"/>
              </w:rPr>
              <w:t>broadcasting in the project's intervention areas, including electronic newspapers and the</w:t>
            </w:r>
            <w:r w:rsidRPr="005C25D0">
              <w:rPr>
                <w:rFonts w:eastAsia="Cambria"/>
                <w:b/>
                <w:sz w:val="18"/>
                <w:szCs w:val="18"/>
                <w:lang w:val="en-CA"/>
              </w:rPr>
              <w:t xml:space="preserve"> written press</w:t>
            </w:r>
          </w:p>
        </w:tc>
        <w:tc>
          <w:tcPr>
            <w:tcW w:w="3827" w:type="dxa"/>
            <w:tcBorders>
              <w:top w:val="single" w:sz="4" w:space="0" w:color="auto"/>
              <w:left w:val="single" w:sz="4" w:space="0" w:color="auto"/>
              <w:bottom w:val="single" w:sz="4" w:space="0" w:color="auto"/>
              <w:right w:val="single" w:sz="4" w:space="0" w:color="auto"/>
            </w:tcBorders>
            <w:vAlign w:val="center"/>
          </w:tcPr>
          <w:p w14:paraId="5712FB22" w14:textId="77777777" w:rsidR="00302BFE" w:rsidRPr="005C25D0" w:rsidRDefault="00302BFE" w:rsidP="00243B15">
            <w:pPr>
              <w:autoSpaceDN w:val="0"/>
              <w:spacing w:after="0"/>
              <w:jc w:val="left"/>
              <w:rPr>
                <w:rFonts w:eastAsia="Cambria"/>
                <w:sz w:val="18"/>
                <w:szCs w:val="18"/>
                <w:lang w:val="en-CA"/>
              </w:rPr>
            </w:pPr>
            <w:r w:rsidRPr="005C25D0">
              <w:rPr>
                <w:rFonts w:eastAsia="Cambria"/>
                <w:sz w:val="18"/>
                <w:szCs w:val="18"/>
                <w:lang w:val="en-CA"/>
              </w:rPr>
              <w:t>The media will be useful for informing, raising awareness and communicating the project's actions</w:t>
            </w:r>
          </w:p>
        </w:tc>
        <w:tc>
          <w:tcPr>
            <w:tcW w:w="6193" w:type="dxa"/>
            <w:tcBorders>
              <w:top w:val="single" w:sz="4" w:space="0" w:color="auto"/>
              <w:left w:val="single" w:sz="4" w:space="0" w:color="auto"/>
              <w:bottom w:val="single" w:sz="4" w:space="0" w:color="auto"/>
              <w:right w:val="single" w:sz="4" w:space="0" w:color="auto"/>
            </w:tcBorders>
            <w:vAlign w:val="center"/>
          </w:tcPr>
          <w:p w14:paraId="0E392AA3" w14:textId="77777777" w:rsidR="00302BFE" w:rsidRPr="006458DA" w:rsidRDefault="00302BFE" w:rsidP="00C46720">
            <w:pPr>
              <w:numPr>
                <w:ilvl w:val="0"/>
                <w:numId w:val="38"/>
              </w:numPr>
              <w:autoSpaceDN w:val="0"/>
              <w:spacing w:after="0"/>
              <w:jc w:val="left"/>
              <w:rPr>
                <w:rFonts w:eastAsia="Cambria"/>
                <w:sz w:val="18"/>
                <w:szCs w:val="18"/>
                <w:lang w:val="en-CA"/>
              </w:rPr>
            </w:pPr>
            <w:r w:rsidRPr="006458DA">
              <w:rPr>
                <w:rFonts w:eastAsia="Calibri"/>
                <w:sz w:val="18"/>
                <w:szCs w:val="18"/>
                <w:lang w:val="en-CA"/>
              </w:rPr>
              <w:t xml:space="preserve">Invitation to contribute to awareness campaigns and information on the major issues of the project, </w:t>
            </w:r>
            <w:proofErr w:type="spellStart"/>
            <w:proofErr w:type="gramStart"/>
            <w:r w:rsidRPr="006458DA">
              <w:rPr>
                <w:rFonts w:eastAsia="Calibri"/>
                <w:sz w:val="18"/>
                <w:szCs w:val="18"/>
                <w:lang w:val="en-CA"/>
              </w:rPr>
              <w:t>ie</w:t>
            </w:r>
            <w:proofErr w:type="spellEnd"/>
            <w:proofErr w:type="gramEnd"/>
            <w:r w:rsidRPr="006458DA">
              <w:rPr>
                <w:rFonts w:eastAsia="Calibri"/>
                <w:sz w:val="18"/>
                <w:szCs w:val="18"/>
                <w:lang w:val="en-CA"/>
              </w:rPr>
              <w:t xml:space="preserve"> the importance of biodiversity and ecosystem services for the livelihoods of local residents of PAs and all populations within the PONASI landscape, on the responsibility of ordinary citizens for the protection of the environment (</w:t>
            </w:r>
            <w:r>
              <w:rPr>
                <w:sz w:val="18"/>
                <w:szCs w:val="18"/>
                <w:lang w:val="en-CA"/>
              </w:rPr>
              <w:t>output</w:t>
            </w:r>
            <w:r w:rsidRPr="00616C8C">
              <w:rPr>
                <w:sz w:val="18"/>
                <w:szCs w:val="18"/>
                <w:lang w:val="en-CA"/>
              </w:rPr>
              <w:t xml:space="preserve"> </w:t>
            </w:r>
            <w:r w:rsidRPr="006458DA">
              <w:rPr>
                <w:rFonts w:eastAsia="Calibri"/>
                <w:sz w:val="18"/>
                <w:szCs w:val="18"/>
                <w:lang w:val="en-CA"/>
              </w:rPr>
              <w:t>1.5.3);</w:t>
            </w:r>
          </w:p>
          <w:p w14:paraId="4225562E" w14:textId="77777777" w:rsidR="00302BFE" w:rsidRPr="006458DA" w:rsidRDefault="00302BFE" w:rsidP="00C46720">
            <w:pPr>
              <w:numPr>
                <w:ilvl w:val="0"/>
                <w:numId w:val="38"/>
              </w:numPr>
              <w:autoSpaceDN w:val="0"/>
              <w:spacing w:after="0"/>
              <w:jc w:val="left"/>
              <w:rPr>
                <w:rFonts w:eastAsia="Calibri"/>
                <w:sz w:val="18"/>
                <w:szCs w:val="18"/>
                <w:lang w:val="en-CA"/>
              </w:rPr>
            </w:pPr>
            <w:r w:rsidRPr="006458DA">
              <w:rPr>
                <w:rFonts w:eastAsia="Calibri"/>
                <w:sz w:val="18"/>
                <w:szCs w:val="18"/>
                <w:lang w:val="en-CA"/>
              </w:rPr>
              <w:t>Dissemination of the main events of the project and according to the communication plan: launching of the project, formal approval of the creation text of corridor # 2, ceremonies and festivities related to PAs and biodiversity Burkina Faso, (</w:t>
            </w:r>
            <w:proofErr w:type="spellStart"/>
            <w:r w:rsidRPr="006458DA">
              <w:rPr>
                <w:rFonts w:eastAsia="Calibri"/>
                <w:sz w:val="18"/>
                <w:szCs w:val="18"/>
                <w:lang w:val="en-CA"/>
              </w:rPr>
              <w:t>eg</w:t>
            </w:r>
            <w:proofErr w:type="spellEnd"/>
            <w:r w:rsidRPr="006458DA">
              <w:rPr>
                <w:rFonts w:eastAsia="Calibri"/>
                <w:sz w:val="18"/>
                <w:szCs w:val="18"/>
                <w:lang w:val="en-CA"/>
              </w:rPr>
              <w:t xml:space="preserve"> Environment Day, etc.), information on the progress and key results of the project, invitations to tender and job offers, public encouragement to participate in biodiversity and environmental activities, broadcasting of programs, chronicles and thematic articles (</w:t>
            </w:r>
            <w:r>
              <w:rPr>
                <w:sz w:val="18"/>
                <w:szCs w:val="18"/>
                <w:lang w:val="en-CA"/>
              </w:rPr>
              <w:t>output</w:t>
            </w:r>
            <w:r w:rsidRPr="00616C8C">
              <w:rPr>
                <w:sz w:val="18"/>
                <w:szCs w:val="18"/>
                <w:lang w:val="en-CA"/>
              </w:rPr>
              <w:t xml:space="preserve"> </w:t>
            </w:r>
            <w:r w:rsidRPr="006458DA">
              <w:rPr>
                <w:rFonts w:eastAsia="Calibri"/>
                <w:sz w:val="18"/>
                <w:szCs w:val="18"/>
                <w:lang w:val="en-CA"/>
              </w:rPr>
              <w:t>4.3).</w:t>
            </w:r>
          </w:p>
        </w:tc>
        <w:tc>
          <w:tcPr>
            <w:tcW w:w="1985" w:type="dxa"/>
            <w:tcBorders>
              <w:top w:val="single" w:sz="4" w:space="0" w:color="auto"/>
              <w:left w:val="single" w:sz="4" w:space="0" w:color="auto"/>
              <w:bottom w:val="single" w:sz="4" w:space="0" w:color="auto"/>
              <w:right w:val="single" w:sz="4" w:space="0" w:color="auto"/>
            </w:tcBorders>
            <w:vAlign w:val="center"/>
          </w:tcPr>
          <w:p w14:paraId="2D67E792" w14:textId="77777777" w:rsidR="00302BFE" w:rsidRPr="00CF4D08" w:rsidRDefault="00302BFE" w:rsidP="00243B15">
            <w:pPr>
              <w:pStyle w:val="PrformatHTML"/>
              <w:shd w:val="clear" w:color="auto" w:fill="FFFFFF"/>
              <w:rPr>
                <w:rFonts w:ascii="Calibri" w:hAnsi="Calibri" w:cs="Times New Roman"/>
                <w:sz w:val="18"/>
                <w:szCs w:val="18"/>
                <w:lang w:val="en-CA"/>
              </w:rPr>
            </w:pPr>
            <w:r w:rsidRPr="00CF4D08">
              <w:rPr>
                <w:rFonts w:ascii="Calibri" w:hAnsi="Calibri" w:cs="Times New Roman"/>
                <w:sz w:val="18"/>
                <w:szCs w:val="18"/>
                <w:lang w:val="en-CA"/>
              </w:rPr>
              <w:t xml:space="preserve">Achieve project results and outputs through better communication, information, </w:t>
            </w:r>
            <w:proofErr w:type="gramStart"/>
            <w:r w:rsidRPr="00CF4D08">
              <w:rPr>
                <w:rFonts w:ascii="Calibri" w:hAnsi="Calibri" w:cs="Times New Roman"/>
                <w:sz w:val="18"/>
                <w:szCs w:val="18"/>
                <w:lang w:val="en-CA"/>
              </w:rPr>
              <w:t>awareness</w:t>
            </w:r>
            <w:proofErr w:type="gramEnd"/>
            <w:r w:rsidRPr="00CF4D08">
              <w:rPr>
                <w:rFonts w:ascii="Calibri" w:hAnsi="Calibri" w:cs="Times New Roman"/>
                <w:sz w:val="18"/>
                <w:szCs w:val="18"/>
                <w:lang w:val="en-CA"/>
              </w:rPr>
              <w:t xml:space="preserve"> and meaningful stakeholder engagement</w:t>
            </w:r>
          </w:p>
        </w:tc>
        <w:tc>
          <w:tcPr>
            <w:tcW w:w="850" w:type="dxa"/>
            <w:tcBorders>
              <w:top w:val="single" w:sz="4" w:space="0" w:color="auto"/>
              <w:left w:val="single" w:sz="4" w:space="0" w:color="auto"/>
              <w:bottom w:val="single" w:sz="4" w:space="0" w:color="auto"/>
              <w:right w:val="single" w:sz="4" w:space="0" w:color="auto"/>
            </w:tcBorders>
            <w:vAlign w:val="center"/>
          </w:tcPr>
          <w:p w14:paraId="062BA31C" w14:textId="77777777" w:rsidR="00302BFE" w:rsidRPr="00E379FD" w:rsidRDefault="00302BFE" w:rsidP="00243B15">
            <w:pPr>
              <w:autoSpaceDN w:val="0"/>
              <w:spacing w:after="0"/>
              <w:jc w:val="left"/>
              <w:rPr>
                <w:rFonts w:eastAsia="Calibri"/>
                <w:sz w:val="18"/>
                <w:szCs w:val="18"/>
                <w:lang w:val="fr-CA"/>
              </w:rPr>
            </w:pPr>
            <w:r w:rsidRPr="00E379FD">
              <w:rPr>
                <w:sz w:val="18"/>
                <w:szCs w:val="18"/>
                <w:lang w:val="fr-CA"/>
              </w:rPr>
              <w:t xml:space="preserve">1, 2, 3 </w:t>
            </w:r>
            <w:r>
              <w:rPr>
                <w:sz w:val="18"/>
                <w:szCs w:val="18"/>
                <w:lang w:val="fr-CA"/>
              </w:rPr>
              <w:t>and</w:t>
            </w:r>
            <w:r w:rsidRPr="00E379FD">
              <w:rPr>
                <w:sz w:val="18"/>
                <w:szCs w:val="18"/>
                <w:lang w:val="fr-CA"/>
              </w:rPr>
              <w:t xml:space="preserve"> 4</w:t>
            </w:r>
          </w:p>
        </w:tc>
      </w:tr>
      <w:tr w:rsidR="00302BFE" w:rsidRPr="00E379FD" w14:paraId="6CC24580" w14:textId="77777777" w:rsidTr="00243B15">
        <w:trPr>
          <w:jc w:val="center"/>
        </w:trPr>
        <w:tc>
          <w:tcPr>
            <w:tcW w:w="5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F429995" w14:textId="77777777" w:rsidR="00302BFE" w:rsidRPr="00E379FD" w:rsidRDefault="00302BFE" w:rsidP="00243B15">
            <w:pPr>
              <w:autoSpaceDN w:val="0"/>
              <w:spacing w:after="0"/>
              <w:jc w:val="left"/>
              <w:rPr>
                <w:sz w:val="18"/>
                <w:szCs w:val="18"/>
                <w:lang w:val="fr-CA"/>
              </w:rPr>
            </w:pPr>
            <w:r>
              <w:rPr>
                <w:b/>
                <w:sz w:val="18"/>
                <w:szCs w:val="18"/>
                <w:lang w:val="fr-CA"/>
              </w:rPr>
              <w:t xml:space="preserve">Academic and </w:t>
            </w:r>
            <w:proofErr w:type="spellStart"/>
            <w:r>
              <w:rPr>
                <w:b/>
                <w:sz w:val="18"/>
                <w:szCs w:val="18"/>
                <w:lang w:val="fr-CA"/>
              </w:rPr>
              <w:t>scientific</w:t>
            </w:r>
            <w:proofErr w:type="spellEnd"/>
            <w:r>
              <w:rPr>
                <w:b/>
                <w:sz w:val="18"/>
                <w:szCs w:val="18"/>
                <w:lang w:val="fr-CA"/>
              </w:rPr>
              <w:t xml:space="preserve"> i</w:t>
            </w:r>
            <w:r w:rsidRPr="00E379FD">
              <w:rPr>
                <w:b/>
                <w:sz w:val="18"/>
                <w:szCs w:val="18"/>
                <w:lang w:val="fr-CA"/>
              </w:rPr>
              <w:t>nstitutions</w:t>
            </w:r>
          </w:p>
        </w:tc>
        <w:tc>
          <w:tcPr>
            <w:tcW w:w="6193" w:type="dxa"/>
            <w:tcBorders>
              <w:top w:val="single" w:sz="4" w:space="0" w:color="auto"/>
              <w:left w:val="single" w:sz="4" w:space="0" w:color="auto"/>
              <w:bottom w:val="single" w:sz="4" w:space="0" w:color="auto"/>
              <w:right w:val="single" w:sz="4" w:space="0" w:color="auto"/>
            </w:tcBorders>
            <w:shd w:val="clear" w:color="auto" w:fill="E6E6E6"/>
            <w:vAlign w:val="center"/>
          </w:tcPr>
          <w:p w14:paraId="590AA97E" w14:textId="77777777" w:rsidR="00302BFE" w:rsidRPr="00E379FD" w:rsidRDefault="00302BFE" w:rsidP="00243B15">
            <w:pPr>
              <w:autoSpaceDN w:val="0"/>
              <w:spacing w:after="0"/>
              <w:jc w:val="left"/>
              <w:rPr>
                <w:b/>
                <w:sz w:val="18"/>
                <w:szCs w:val="18"/>
                <w:lang w:val="fr-CA"/>
              </w:rPr>
            </w:pPr>
          </w:p>
        </w:tc>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091521BD" w14:textId="77777777" w:rsidR="00302BFE" w:rsidRPr="00E379FD" w:rsidRDefault="00302BFE" w:rsidP="00243B15">
            <w:pPr>
              <w:autoSpaceDN w:val="0"/>
              <w:spacing w:after="0"/>
              <w:jc w:val="left"/>
              <w:rPr>
                <w:b/>
                <w:sz w:val="18"/>
                <w:szCs w:val="18"/>
                <w:lang w:val="fr-CA"/>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0ABC16C5" w14:textId="77777777" w:rsidR="00302BFE" w:rsidRPr="00E379FD" w:rsidRDefault="00302BFE" w:rsidP="00243B15">
            <w:pPr>
              <w:autoSpaceDN w:val="0"/>
              <w:spacing w:after="0"/>
              <w:jc w:val="left"/>
              <w:rPr>
                <w:b/>
                <w:sz w:val="18"/>
                <w:szCs w:val="18"/>
                <w:lang w:val="fr-CA"/>
              </w:rPr>
            </w:pPr>
          </w:p>
        </w:tc>
      </w:tr>
      <w:tr w:rsidR="00302BFE" w:rsidRPr="00E379FD" w14:paraId="3A3E5647"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73F139B5" w14:textId="77777777" w:rsidR="00302BFE" w:rsidRPr="005C25D0" w:rsidRDefault="00302BFE" w:rsidP="00243B15">
            <w:pPr>
              <w:spacing w:after="0"/>
              <w:jc w:val="left"/>
              <w:rPr>
                <w:sz w:val="18"/>
                <w:szCs w:val="18"/>
                <w:lang w:val="en-CA"/>
              </w:rPr>
            </w:pPr>
            <w:r w:rsidRPr="005C25D0">
              <w:rPr>
                <w:rFonts w:eastAsia="Cambria"/>
                <w:sz w:val="18"/>
                <w:szCs w:val="18"/>
                <w:lang w:val="en-CA"/>
              </w:rPr>
              <w:t>University Professor Joseph Ki-Zerbo (Former University of Ouagadougou): UFR SVT</w:t>
            </w:r>
          </w:p>
        </w:tc>
        <w:tc>
          <w:tcPr>
            <w:tcW w:w="3827" w:type="dxa"/>
            <w:tcBorders>
              <w:top w:val="single" w:sz="4" w:space="0" w:color="auto"/>
              <w:left w:val="single" w:sz="4" w:space="0" w:color="auto"/>
              <w:bottom w:val="single" w:sz="4" w:space="0" w:color="auto"/>
              <w:right w:val="single" w:sz="4" w:space="0" w:color="auto"/>
            </w:tcBorders>
            <w:vAlign w:val="center"/>
          </w:tcPr>
          <w:p w14:paraId="083FB87D" w14:textId="77777777" w:rsidR="00302BFE" w:rsidRPr="005C25D0" w:rsidRDefault="00302BFE" w:rsidP="00243B15">
            <w:pPr>
              <w:autoSpaceDN w:val="0"/>
              <w:spacing w:after="0"/>
              <w:jc w:val="left"/>
              <w:rPr>
                <w:rFonts w:eastAsia="Cambria"/>
                <w:sz w:val="18"/>
                <w:szCs w:val="18"/>
                <w:lang w:val="en-CA"/>
              </w:rPr>
            </w:pPr>
            <w:r w:rsidRPr="005C25D0">
              <w:rPr>
                <w:rFonts w:eastAsia="Cambria"/>
                <w:sz w:val="18"/>
                <w:szCs w:val="18"/>
                <w:lang w:val="en-CA"/>
              </w:rPr>
              <w:t>The university will provide scientific support for research activities on the movement and estimation of elephant populations</w:t>
            </w:r>
          </w:p>
        </w:tc>
        <w:tc>
          <w:tcPr>
            <w:tcW w:w="6193" w:type="dxa"/>
            <w:tcBorders>
              <w:top w:val="single" w:sz="4" w:space="0" w:color="auto"/>
              <w:left w:val="single" w:sz="4" w:space="0" w:color="auto"/>
              <w:bottom w:val="single" w:sz="4" w:space="0" w:color="auto"/>
              <w:right w:val="single" w:sz="4" w:space="0" w:color="auto"/>
            </w:tcBorders>
            <w:vAlign w:val="center"/>
          </w:tcPr>
          <w:p w14:paraId="0F953DE6" w14:textId="77777777" w:rsidR="00302BFE" w:rsidRPr="006458DA" w:rsidRDefault="00302BFE" w:rsidP="00C46720">
            <w:pPr>
              <w:numPr>
                <w:ilvl w:val="0"/>
                <w:numId w:val="38"/>
              </w:numPr>
              <w:autoSpaceDN w:val="0"/>
              <w:spacing w:after="0"/>
              <w:jc w:val="left"/>
              <w:rPr>
                <w:sz w:val="18"/>
                <w:szCs w:val="18"/>
                <w:lang w:val="en-CA"/>
              </w:rPr>
            </w:pPr>
            <w:r w:rsidRPr="006458DA">
              <w:rPr>
                <w:rFonts w:eastAsia="Calibri"/>
                <w:sz w:val="18"/>
                <w:szCs w:val="18"/>
                <w:lang w:val="en-CA"/>
              </w:rPr>
              <w:t>The University will be involved in the development and conduct of a targeted research project to document elephant movements within and around the PONASI PA complex, including transboundary movements to northern Ghana (Output 2.4.2</w:t>
            </w:r>
            <w:proofErr w:type="gramStart"/>
            <w:r w:rsidRPr="006458DA">
              <w:rPr>
                <w:rFonts w:eastAsia="Calibri"/>
                <w:sz w:val="18"/>
                <w:szCs w:val="18"/>
                <w:lang w:val="en-CA"/>
              </w:rPr>
              <w:t>);</w:t>
            </w:r>
            <w:proofErr w:type="gramEnd"/>
          </w:p>
          <w:p w14:paraId="6B7453A7" w14:textId="77777777" w:rsidR="00302BFE" w:rsidRPr="006458DA" w:rsidRDefault="00302BFE" w:rsidP="00C46720">
            <w:pPr>
              <w:numPr>
                <w:ilvl w:val="0"/>
                <w:numId w:val="38"/>
              </w:numPr>
              <w:autoSpaceDN w:val="0"/>
              <w:spacing w:after="0"/>
              <w:jc w:val="left"/>
              <w:rPr>
                <w:rFonts w:eastAsia="Cambria"/>
                <w:sz w:val="18"/>
                <w:szCs w:val="18"/>
                <w:lang w:val="en-CA"/>
              </w:rPr>
            </w:pPr>
            <w:r w:rsidRPr="006458DA">
              <w:rPr>
                <w:rFonts w:eastAsia="Calibri"/>
                <w:sz w:val="18"/>
                <w:szCs w:val="18"/>
                <w:lang w:val="en-CA"/>
              </w:rPr>
              <w:t xml:space="preserve">The University will contribute to the development of the capacity of </w:t>
            </w:r>
            <w:proofErr w:type="spellStart"/>
            <w:r w:rsidRPr="006458DA">
              <w:rPr>
                <w:rFonts w:eastAsia="Calibri"/>
                <w:sz w:val="18"/>
                <w:szCs w:val="18"/>
                <w:lang w:val="en-CA"/>
              </w:rPr>
              <w:t>ecoguards</w:t>
            </w:r>
            <w:proofErr w:type="spellEnd"/>
            <w:r w:rsidRPr="006458DA">
              <w:rPr>
                <w:rFonts w:eastAsia="Calibri"/>
                <w:sz w:val="18"/>
                <w:szCs w:val="18"/>
                <w:lang w:val="en-CA"/>
              </w:rPr>
              <w:t xml:space="preserve"> and rangers to monitor elephant populations as part of the establishment of a long-term ecological monitoring system (</w:t>
            </w:r>
            <w:r>
              <w:rPr>
                <w:sz w:val="18"/>
                <w:szCs w:val="18"/>
                <w:lang w:val="en-CA"/>
              </w:rPr>
              <w:t>output</w:t>
            </w:r>
            <w:r w:rsidRPr="00616C8C">
              <w:rPr>
                <w:sz w:val="18"/>
                <w:szCs w:val="18"/>
                <w:lang w:val="en-CA"/>
              </w:rPr>
              <w:t xml:space="preserve"> </w:t>
            </w:r>
            <w:r w:rsidRPr="006458DA">
              <w:rPr>
                <w:rFonts w:eastAsia="Calibri"/>
                <w:sz w:val="18"/>
                <w:szCs w:val="18"/>
                <w:lang w:val="en-CA"/>
              </w:rPr>
              <w:t>2.2.4)</w:t>
            </w:r>
          </w:p>
          <w:p w14:paraId="68BA2939" w14:textId="77777777" w:rsidR="00302BFE" w:rsidRPr="006458DA" w:rsidRDefault="00302BFE" w:rsidP="00C46720">
            <w:pPr>
              <w:numPr>
                <w:ilvl w:val="0"/>
                <w:numId w:val="38"/>
              </w:numPr>
              <w:autoSpaceDN w:val="0"/>
              <w:spacing w:after="0"/>
              <w:jc w:val="left"/>
              <w:rPr>
                <w:rFonts w:eastAsia="Calibri"/>
                <w:sz w:val="18"/>
                <w:szCs w:val="18"/>
                <w:lang w:val="en-CA"/>
              </w:rPr>
            </w:pPr>
            <w:r w:rsidRPr="006458DA">
              <w:rPr>
                <w:rFonts w:eastAsia="Calibri"/>
                <w:sz w:val="18"/>
                <w:szCs w:val="18"/>
                <w:lang w:val="en-CA"/>
              </w:rPr>
              <w:t>The University will support efforts to renew transboundary collaboration agreements with Ghana for elephant conservation, including a joint monitoring and anti-poaching program (Output 2.2.4)</w:t>
            </w:r>
          </w:p>
        </w:tc>
        <w:tc>
          <w:tcPr>
            <w:tcW w:w="1985" w:type="dxa"/>
            <w:tcBorders>
              <w:top w:val="single" w:sz="4" w:space="0" w:color="auto"/>
              <w:left w:val="single" w:sz="4" w:space="0" w:color="auto"/>
              <w:bottom w:val="single" w:sz="4" w:space="0" w:color="auto"/>
              <w:right w:val="single" w:sz="4" w:space="0" w:color="auto"/>
            </w:tcBorders>
            <w:vAlign w:val="center"/>
          </w:tcPr>
          <w:p w14:paraId="48CC5DC7" w14:textId="77777777" w:rsidR="00302BFE" w:rsidRPr="00CF4D08" w:rsidRDefault="00302BFE" w:rsidP="00243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eastAsia="Cambria"/>
                <w:sz w:val="18"/>
                <w:szCs w:val="18"/>
                <w:lang w:val="en-CA"/>
              </w:rPr>
            </w:pPr>
            <w:r w:rsidRPr="00CF4D08">
              <w:rPr>
                <w:rFonts w:eastAsia="Cambria"/>
                <w:sz w:val="18"/>
                <w:szCs w:val="18"/>
                <w:lang w:val="en-CA"/>
              </w:rPr>
              <w:t>Research activities and products using different approaches and methods on movement and estimation of elephant populations</w:t>
            </w:r>
          </w:p>
        </w:tc>
        <w:tc>
          <w:tcPr>
            <w:tcW w:w="850" w:type="dxa"/>
            <w:tcBorders>
              <w:top w:val="single" w:sz="4" w:space="0" w:color="auto"/>
              <w:left w:val="single" w:sz="4" w:space="0" w:color="auto"/>
              <w:bottom w:val="single" w:sz="4" w:space="0" w:color="auto"/>
              <w:right w:val="single" w:sz="4" w:space="0" w:color="auto"/>
            </w:tcBorders>
            <w:vAlign w:val="center"/>
          </w:tcPr>
          <w:p w14:paraId="63366E9D" w14:textId="77777777" w:rsidR="00302BFE" w:rsidRPr="00E379FD" w:rsidRDefault="00302BFE" w:rsidP="00243B15">
            <w:pPr>
              <w:autoSpaceDN w:val="0"/>
              <w:spacing w:after="0"/>
              <w:jc w:val="left"/>
              <w:rPr>
                <w:rFonts w:eastAsia="Calibri"/>
                <w:sz w:val="18"/>
                <w:szCs w:val="18"/>
                <w:lang w:val="fr-CA"/>
              </w:rPr>
            </w:pPr>
            <w:r w:rsidRPr="00E379FD">
              <w:rPr>
                <w:rFonts w:eastAsia="Calibri"/>
                <w:sz w:val="18"/>
                <w:szCs w:val="18"/>
                <w:lang w:val="fr-CA"/>
              </w:rPr>
              <w:t>2</w:t>
            </w:r>
          </w:p>
        </w:tc>
      </w:tr>
      <w:tr w:rsidR="00302BFE" w:rsidRPr="00E379FD" w14:paraId="4C3982E2"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0480A216" w14:textId="77777777" w:rsidR="00302BFE" w:rsidRPr="005C25D0" w:rsidRDefault="00302BFE" w:rsidP="00243B15">
            <w:pPr>
              <w:spacing w:after="0"/>
              <w:jc w:val="left"/>
              <w:rPr>
                <w:sz w:val="18"/>
                <w:szCs w:val="18"/>
                <w:lang w:val="en-CA"/>
              </w:rPr>
            </w:pPr>
            <w:r w:rsidRPr="005C25D0">
              <w:rPr>
                <w:sz w:val="18"/>
                <w:szCs w:val="18"/>
                <w:lang w:val="en-CA"/>
              </w:rPr>
              <w:lastRenderedPageBreak/>
              <w:t xml:space="preserve">Center for Initiation and Vocational Training in Catering, </w:t>
            </w:r>
            <w:proofErr w:type="spellStart"/>
            <w:r w:rsidRPr="005C25D0">
              <w:rPr>
                <w:sz w:val="18"/>
                <w:szCs w:val="18"/>
                <w:lang w:val="en-CA"/>
              </w:rPr>
              <w:t>Valba</w:t>
            </w:r>
            <w:proofErr w:type="spellEnd"/>
            <w:r w:rsidRPr="005C25D0">
              <w:rPr>
                <w:sz w:val="18"/>
                <w:szCs w:val="18"/>
                <w:lang w:val="en-CA"/>
              </w:rPr>
              <w:t xml:space="preserve"> Vocational Training Center, Vocational School for Tourism, Cooking and Hospitality (Product 3.4.3)</w:t>
            </w:r>
          </w:p>
        </w:tc>
        <w:tc>
          <w:tcPr>
            <w:tcW w:w="3827" w:type="dxa"/>
            <w:tcBorders>
              <w:top w:val="single" w:sz="4" w:space="0" w:color="auto"/>
              <w:left w:val="single" w:sz="4" w:space="0" w:color="auto"/>
              <w:bottom w:val="single" w:sz="4" w:space="0" w:color="auto"/>
              <w:right w:val="single" w:sz="4" w:space="0" w:color="auto"/>
            </w:tcBorders>
            <w:vAlign w:val="center"/>
          </w:tcPr>
          <w:p w14:paraId="55D6D39F" w14:textId="77777777" w:rsidR="00302BFE" w:rsidRPr="005C25D0" w:rsidRDefault="00302BFE" w:rsidP="00243B15">
            <w:pPr>
              <w:autoSpaceDN w:val="0"/>
              <w:spacing w:after="0"/>
              <w:jc w:val="left"/>
              <w:rPr>
                <w:rFonts w:eastAsia="Cambria"/>
                <w:sz w:val="18"/>
                <w:szCs w:val="18"/>
                <w:lang w:val="en-CA"/>
              </w:rPr>
            </w:pPr>
            <w:r w:rsidRPr="005C25D0">
              <w:rPr>
                <w:rFonts w:eastAsia="Cambria"/>
                <w:sz w:val="18"/>
                <w:szCs w:val="18"/>
                <w:lang w:val="en-CA"/>
              </w:rPr>
              <w:t>Hotel training centers and schools will play the roles of coaching, technical support and will train the target actors in the project</w:t>
            </w:r>
          </w:p>
        </w:tc>
        <w:tc>
          <w:tcPr>
            <w:tcW w:w="6193" w:type="dxa"/>
            <w:tcBorders>
              <w:top w:val="single" w:sz="4" w:space="0" w:color="auto"/>
              <w:left w:val="single" w:sz="4" w:space="0" w:color="auto"/>
              <w:bottom w:val="single" w:sz="4" w:space="0" w:color="auto"/>
              <w:right w:val="single" w:sz="4" w:space="0" w:color="auto"/>
            </w:tcBorders>
            <w:vAlign w:val="center"/>
          </w:tcPr>
          <w:p w14:paraId="2D816C5B" w14:textId="77777777" w:rsidR="00302BFE" w:rsidRPr="006458DA" w:rsidRDefault="00302BFE" w:rsidP="00C46720">
            <w:pPr>
              <w:numPr>
                <w:ilvl w:val="0"/>
                <w:numId w:val="38"/>
              </w:numPr>
              <w:autoSpaceDN w:val="0"/>
              <w:spacing w:after="0"/>
              <w:jc w:val="left"/>
              <w:rPr>
                <w:rFonts w:eastAsia="Calibri"/>
                <w:sz w:val="18"/>
                <w:szCs w:val="18"/>
                <w:lang w:val="en-CA"/>
              </w:rPr>
            </w:pPr>
            <w:r w:rsidRPr="005C25D0">
              <w:rPr>
                <w:rFonts w:eastAsia="Cambria"/>
                <w:sz w:val="18"/>
                <w:szCs w:val="18"/>
                <w:lang w:val="en-CA"/>
              </w:rPr>
              <w:t xml:space="preserve"> </w:t>
            </w:r>
            <w:r w:rsidRPr="006458DA">
              <w:rPr>
                <w:rFonts w:eastAsia="Cambria"/>
                <w:sz w:val="18"/>
                <w:szCs w:val="18"/>
                <w:lang w:val="en-CA"/>
              </w:rPr>
              <w:t xml:space="preserve">The centers and schools of training in the hotel industry will frame the tourist reception centers in the tourist sites that will be developed in hotels, </w:t>
            </w:r>
            <w:proofErr w:type="gramStart"/>
            <w:r w:rsidRPr="006458DA">
              <w:rPr>
                <w:rFonts w:eastAsia="Cambria"/>
                <w:sz w:val="18"/>
                <w:szCs w:val="18"/>
                <w:lang w:val="en-CA"/>
              </w:rPr>
              <w:t>hygiene</w:t>
            </w:r>
            <w:proofErr w:type="gramEnd"/>
            <w:r w:rsidRPr="006458DA">
              <w:rPr>
                <w:rFonts w:eastAsia="Cambria"/>
                <w:sz w:val="18"/>
                <w:szCs w:val="18"/>
                <w:lang w:val="en-CA"/>
              </w:rPr>
              <w:t xml:space="preserve"> and sanitation. Technical support will also cover topics such as reception and management of guest houses (</w:t>
            </w:r>
            <w:r>
              <w:rPr>
                <w:sz w:val="18"/>
                <w:szCs w:val="18"/>
                <w:lang w:val="en-CA"/>
              </w:rPr>
              <w:t>output</w:t>
            </w:r>
            <w:r w:rsidRPr="00616C8C">
              <w:rPr>
                <w:sz w:val="18"/>
                <w:szCs w:val="18"/>
                <w:lang w:val="en-CA"/>
              </w:rPr>
              <w:t xml:space="preserve"> </w:t>
            </w:r>
            <w:r w:rsidRPr="006458DA">
              <w:rPr>
                <w:rFonts w:eastAsia="Cambria"/>
                <w:sz w:val="18"/>
                <w:szCs w:val="18"/>
                <w:lang w:val="en-CA"/>
              </w:rPr>
              <w:t>3.4.3)</w:t>
            </w:r>
          </w:p>
        </w:tc>
        <w:tc>
          <w:tcPr>
            <w:tcW w:w="1985" w:type="dxa"/>
            <w:tcBorders>
              <w:top w:val="single" w:sz="4" w:space="0" w:color="auto"/>
              <w:left w:val="single" w:sz="4" w:space="0" w:color="auto"/>
              <w:bottom w:val="single" w:sz="4" w:space="0" w:color="auto"/>
              <w:right w:val="single" w:sz="4" w:space="0" w:color="auto"/>
            </w:tcBorders>
            <w:vAlign w:val="center"/>
          </w:tcPr>
          <w:p w14:paraId="5926A09F" w14:textId="77777777" w:rsidR="00302BFE" w:rsidRPr="00CF4D08" w:rsidRDefault="00302BFE" w:rsidP="00243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eastAsia="Times New Roman"/>
                <w:sz w:val="18"/>
                <w:szCs w:val="18"/>
                <w:lang w:val="en-CA" w:eastAsia="fr-FR"/>
              </w:rPr>
            </w:pPr>
            <w:r w:rsidRPr="00CF4D08">
              <w:rPr>
                <w:sz w:val="18"/>
                <w:szCs w:val="18"/>
                <w:lang w:val="en-CA" w:eastAsia="fr-FR"/>
              </w:rPr>
              <w:t>Training activities and products using different learning approaches and different levels of literacy.</w:t>
            </w:r>
          </w:p>
        </w:tc>
        <w:tc>
          <w:tcPr>
            <w:tcW w:w="850" w:type="dxa"/>
            <w:tcBorders>
              <w:top w:val="single" w:sz="4" w:space="0" w:color="auto"/>
              <w:left w:val="single" w:sz="4" w:space="0" w:color="auto"/>
              <w:bottom w:val="single" w:sz="4" w:space="0" w:color="auto"/>
              <w:right w:val="single" w:sz="4" w:space="0" w:color="auto"/>
            </w:tcBorders>
            <w:vAlign w:val="center"/>
          </w:tcPr>
          <w:p w14:paraId="39ECCB21" w14:textId="77777777" w:rsidR="00302BFE" w:rsidRPr="00E379FD" w:rsidRDefault="00302BFE" w:rsidP="00243B15">
            <w:pPr>
              <w:autoSpaceDN w:val="0"/>
              <w:spacing w:after="0"/>
              <w:jc w:val="left"/>
              <w:rPr>
                <w:rFonts w:eastAsia="Calibri"/>
                <w:sz w:val="18"/>
                <w:szCs w:val="18"/>
                <w:lang w:val="fr-CA"/>
              </w:rPr>
            </w:pPr>
            <w:r w:rsidRPr="00E379FD">
              <w:rPr>
                <w:rFonts w:eastAsia="Calibri"/>
                <w:sz w:val="18"/>
                <w:szCs w:val="18"/>
                <w:lang w:val="fr-CA"/>
              </w:rPr>
              <w:t>3</w:t>
            </w:r>
          </w:p>
        </w:tc>
      </w:tr>
      <w:tr w:rsidR="00302BFE" w:rsidRPr="00E379FD" w14:paraId="6655772F" w14:textId="77777777" w:rsidTr="00243B15">
        <w:trPr>
          <w:jc w:val="center"/>
        </w:trPr>
        <w:tc>
          <w:tcPr>
            <w:tcW w:w="570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55F0665" w14:textId="77777777" w:rsidR="00302BFE" w:rsidRPr="00D45B3D" w:rsidRDefault="00302BFE" w:rsidP="00243B15">
            <w:pPr>
              <w:autoSpaceDN w:val="0"/>
              <w:spacing w:after="0"/>
              <w:jc w:val="left"/>
              <w:rPr>
                <w:sz w:val="18"/>
                <w:szCs w:val="18"/>
                <w:lang w:val="fr-CA"/>
              </w:rPr>
            </w:pPr>
            <w:r w:rsidRPr="00D45B3D">
              <w:rPr>
                <w:b/>
                <w:bCs/>
                <w:sz w:val="18"/>
                <w:szCs w:val="18"/>
                <w:lang w:val="fr-CA"/>
              </w:rPr>
              <w:t xml:space="preserve">Public </w:t>
            </w:r>
            <w:proofErr w:type="spellStart"/>
            <w:r w:rsidRPr="00D45B3D">
              <w:rPr>
                <w:b/>
                <w:bCs/>
                <w:sz w:val="18"/>
                <w:szCs w:val="18"/>
                <w:lang w:val="fr-CA"/>
              </w:rPr>
              <w:t>sector</w:t>
            </w:r>
            <w:proofErr w:type="spellEnd"/>
          </w:p>
        </w:tc>
        <w:tc>
          <w:tcPr>
            <w:tcW w:w="6193" w:type="dxa"/>
            <w:tcBorders>
              <w:top w:val="single" w:sz="4" w:space="0" w:color="auto"/>
              <w:left w:val="single" w:sz="4" w:space="0" w:color="auto"/>
              <w:bottom w:val="single" w:sz="4" w:space="0" w:color="auto"/>
              <w:right w:val="single" w:sz="4" w:space="0" w:color="auto"/>
            </w:tcBorders>
            <w:shd w:val="clear" w:color="auto" w:fill="D9D9D9"/>
            <w:vAlign w:val="center"/>
          </w:tcPr>
          <w:p w14:paraId="398538EB" w14:textId="77777777" w:rsidR="00302BFE" w:rsidRPr="00D45B3D" w:rsidRDefault="00302BFE" w:rsidP="00243B15">
            <w:pPr>
              <w:autoSpaceDN w:val="0"/>
              <w:spacing w:after="0"/>
              <w:jc w:val="left"/>
              <w:rPr>
                <w:b/>
                <w:bCs/>
                <w:sz w:val="18"/>
                <w:szCs w:val="18"/>
                <w:lang w:val="fr-CA"/>
              </w:rPr>
            </w:pPr>
          </w:p>
        </w:tc>
        <w:tc>
          <w:tcPr>
            <w:tcW w:w="1985" w:type="dxa"/>
            <w:tcBorders>
              <w:top w:val="single" w:sz="4" w:space="0" w:color="auto"/>
              <w:left w:val="single" w:sz="4" w:space="0" w:color="auto"/>
              <w:bottom w:val="single" w:sz="4" w:space="0" w:color="auto"/>
              <w:right w:val="single" w:sz="4" w:space="0" w:color="auto"/>
            </w:tcBorders>
            <w:shd w:val="clear" w:color="auto" w:fill="D9D9D9"/>
            <w:vAlign w:val="center"/>
          </w:tcPr>
          <w:p w14:paraId="46E55C3F" w14:textId="77777777" w:rsidR="00302BFE" w:rsidRPr="00D45B3D" w:rsidRDefault="00302BFE" w:rsidP="00243B15">
            <w:pPr>
              <w:autoSpaceDN w:val="0"/>
              <w:spacing w:after="0"/>
              <w:jc w:val="left"/>
              <w:rPr>
                <w:b/>
                <w:bCs/>
                <w:sz w:val="18"/>
                <w:szCs w:val="18"/>
                <w:lang w:val="fr-CA"/>
              </w:rPr>
            </w:pP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tcPr>
          <w:p w14:paraId="6810C4A9" w14:textId="77777777" w:rsidR="00302BFE" w:rsidRPr="00E379FD" w:rsidRDefault="00302BFE" w:rsidP="00243B15">
            <w:pPr>
              <w:autoSpaceDN w:val="0"/>
              <w:spacing w:after="0"/>
              <w:jc w:val="left"/>
              <w:rPr>
                <w:b/>
                <w:bCs/>
                <w:sz w:val="18"/>
                <w:szCs w:val="18"/>
                <w:lang w:val="fr-CA"/>
              </w:rPr>
            </w:pPr>
          </w:p>
        </w:tc>
      </w:tr>
      <w:tr w:rsidR="00302BFE" w:rsidRPr="00E379FD" w14:paraId="5A2E70EB" w14:textId="77777777" w:rsidTr="00243B15">
        <w:trPr>
          <w:jc w:val="center"/>
        </w:trPr>
        <w:tc>
          <w:tcPr>
            <w:tcW w:w="5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7CA4693" w14:textId="77777777" w:rsidR="00302BFE" w:rsidRPr="00D45B3D" w:rsidRDefault="00302BFE" w:rsidP="00243B15">
            <w:pPr>
              <w:autoSpaceDN w:val="0"/>
              <w:spacing w:after="0"/>
              <w:jc w:val="left"/>
              <w:rPr>
                <w:sz w:val="18"/>
                <w:szCs w:val="18"/>
                <w:lang w:val="fr-CA"/>
              </w:rPr>
            </w:pPr>
            <w:proofErr w:type="spellStart"/>
            <w:r w:rsidRPr="00D45B3D">
              <w:rPr>
                <w:b/>
                <w:sz w:val="18"/>
                <w:szCs w:val="18"/>
                <w:lang w:val="fr-CA"/>
              </w:rPr>
              <w:t>Government</w:t>
            </w:r>
            <w:proofErr w:type="spellEnd"/>
            <w:r w:rsidRPr="00D45B3D">
              <w:rPr>
                <w:b/>
                <w:sz w:val="18"/>
                <w:szCs w:val="18"/>
                <w:lang w:val="fr-CA"/>
              </w:rPr>
              <w:t xml:space="preserve"> Institutions</w:t>
            </w:r>
          </w:p>
        </w:tc>
        <w:tc>
          <w:tcPr>
            <w:tcW w:w="6193" w:type="dxa"/>
            <w:tcBorders>
              <w:top w:val="single" w:sz="4" w:space="0" w:color="auto"/>
              <w:left w:val="single" w:sz="4" w:space="0" w:color="auto"/>
              <w:bottom w:val="single" w:sz="4" w:space="0" w:color="auto"/>
              <w:right w:val="single" w:sz="4" w:space="0" w:color="auto"/>
            </w:tcBorders>
            <w:shd w:val="clear" w:color="auto" w:fill="E6E6E6"/>
            <w:vAlign w:val="center"/>
          </w:tcPr>
          <w:p w14:paraId="260262F3" w14:textId="77777777" w:rsidR="00302BFE" w:rsidRPr="00D45B3D" w:rsidRDefault="00302BFE" w:rsidP="00243B15">
            <w:pPr>
              <w:autoSpaceDN w:val="0"/>
              <w:spacing w:after="0"/>
              <w:jc w:val="left"/>
              <w:rPr>
                <w:b/>
                <w:sz w:val="18"/>
                <w:szCs w:val="18"/>
                <w:lang w:val="fr-CA"/>
              </w:rPr>
            </w:pPr>
          </w:p>
        </w:tc>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449ACD55" w14:textId="77777777" w:rsidR="00302BFE" w:rsidRPr="00D45B3D" w:rsidRDefault="00302BFE" w:rsidP="00243B15">
            <w:pPr>
              <w:autoSpaceDN w:val="0"/>
              <w:spacing w:after="0"/>
              <w:jc w:val="left"/>
              <w:rPr>
                <w:b/>
                <w:sz w:val="18"/>
                <w:szCs w:val="18"/>
                <w:lang w:val="fr-CA"/>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01C4138B" w14:textId="77777777" w:rsidR="00302BFE" w:rsidRPr="00E379FD" w:rsidRDefault="00302BFE" w:rsidP="00243B15">
            <w:pPr>
              <w:autoSpaceDN w:val="0"/>
              <w:spacing w:after="0"/>
              <w:jc w:val="left"/>
              <w:rPr>
                <w:b/>
                <w:sz w:val="18"/>
                <w:szCs w:val="18"/>
                <w:lang w:val="fr-CA"/>
              </w:rPr>
            </w:pPr>
          </w:p>
        </w:tc>
      </w:tr>
      <w:tr w:rsidR="004E072E" w:rsidRPr="00E379FD" w14:paraId="371CCC4B" w14:textId="77777777" w:rsidTr="00C756F3">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721595B2" w14:textId="77777777" w:rsidR="004E072E" w:rsidRPr="00D45B3D" w:rsidRDefault="004E072E" w:rsidP="00C756F3">
            <w:pPr>
              <w:shd w:val="clear" w:color="auto" w:fill="FFFFFF"/>
              <w:spacing w:after="0"/>
              <w:jc w:val="left"/>
              <w:rPr>
                <w:b/>
                <w:bCs/>
                <w:sz w:val="18"/>
                <w:szCs w:val="18"/>
                <w:lang w:val="en-CA"/>
              </w:rPr>
            </w:pPr>
            <w:r w:rsidRPr="00D45B3D">
              <w:rPr>
                <w:b/>
                <w:bCs/>
                <w:sz w:val="18"/>
                <w:szCs w:val="18"/>
                <w:lang w:val="en-CA"/>
              </w:rPr>
              <w:t>Permanent Secretariat of the National Council for Sustainable Development (SP/CNDD) / MEGECC</w:t>
            </w:r>
          </w:p>
        </w:tc>
        <w:tc>
          <w:tcPr>
            <w:tcW w:w="3827" w:type="dxa"/>
            <w:tcBorders>
              <w:top w:val="single" w:sz="4" w:space="0" w:color="auto"/>
              <w:left w:val="single" w:sz="4" w:space="0" w:color="auto"/>
              <w:bottom w:val="single" w:sz="4" w:space="0" w:color="auto"/>
              <w:right w:val="single" w:sz="4" w:space="0" w:color="auto"/>
            </w:tcBorders>
            <w:vAlign w:val="center"/>
          </w:tcPr>
          <w:p w14:paraId="0C24967C" w14:textId="77777777" w:rsidR="004E072E" w:rsidRPr="00D45B3D" w:rsidRDefault="004E072E" w:rsidP="00C46720">
            <w:pPr>
              <w:numPr>
                <w:ilvl w:val="0"/>
                <w:numId w:val="38"/>
              </w:numPr>
              <w:autoSpaceDN w:val="0"/>
              <w:spacing w:after="0"/>
              <w:jc w:val="left"/>
              <w:rPr>
                <w:sz w:val="18"/>
                <w:szCs w:val="18"/>
                <w:lang w:val="en-CA"/>
              </w:rPr>
            </w:pPr>
            <w:r w:rsidRPr="00D45B3D">
              <w:rPr>
                <w:rFonts w:eastAsia="Cambria"/>
                <w:sz w:val="18"/>
                <w:szCs w:val="18"/>
                <w:lang w:val="en-CA"/>
              </w:rPr>
              <w:t>As the official coordinator of the proposed PONASI Landscape Management Board, it has a pivotal role in implementing the landscape approach.</w:t>
            </w:r>
          </w:p>
          <w:p w14:paraId="411CB4EB" w14:textId="1273FE71" w:rsidR="00F9302E" w:rsidRPr="00D45B3D" w:rsidRDefault="00F9302E" w:rsidP="00C46720">
            <w:pPr>
              <w:numPr>
                <w:ilvl w:val="0"/>
                <w:numId w:val="38"/>
              </w:numPr>
              <w:autoSpaceDN w:val="0"/>
              <w:spacing w:after="0"/>
              <w:jc w:val="left"/>
              <w:rPr>
                <w:sz w:val="18"/>
                <w:szCs w:val="18"/>
                <w:lang w:val="en-CA"/>
              </w:rPr>
            </w:pPr>
            <w:r w:rsidRPr="00D45B3D">
              <w:rPr>
                <w:rFonts w:eastAsia="Cambria"/>
                <w:sz w:val="18"/>
                <w:szCs w:val="18"/>
                <w:lang w:val="en-CA"/>
              </w:rPr>
              <w:t xml:space="preserve">The </w:t>
            </w:r>
            <w:proofErr w:type="spellStart"/>
            <w:r w:rsidR="001265F0" w:rsidRPr="001265F0">
              <w:rPr>
                <w:rFonts w:eastAsia="Cambria"/>
                <w:sz w:val="18"/>
                <w:szCs w:val="18"/>
                <w:highlight w:val="green"/>
              </w:rPr>
              <w:t>Ministère</w:t>
            </w:r>
            <w:proofErr w:type="spellEnd"/>
            <w:r w:rsidR="001265F0" w:rsidRPr="001265F0">
              <w:rPr>
                <w:rFonts w:eastAsia="Cambria"/>
                <w:sz w:val="18"/>
                <w:szCs w:val="18"/>
                <w:highlight w:val="green"/>
              </w:rPr>
              <w:t xml:space="preserve"> de </w:t>
            </w:r>
            <w:proofErr w:type="spellStart"/>
            <w:r w:rsidR="001265F0" w:rsidRPr="001265F0">
              <w:rPr>
                <w:rFonts w:eastAsia="Cambria"/>
                <w:sz w:val="18"/>
                <w:szCs w:val="18"/>
                <w:highlight w:val="green"/>
              </w:rPr>
              <w:t>l'environnement</w:t>
            </w:r>
            <w:proofErr w:type="spellEnd"/>
            <w:r w:rsidR="001265F0" w:rsidRPr="001265F0">
              <w:rPr>
                <w:rFonts w:eastAsia="Cambria"/>
                <w:sz w:val="18"/>
                <w:szCs w:val="18"/>
                <w:highlight w:val="green"/>
              </w:rPr>
              <w:t xml:space="preserve">, de </w:t>
            </w:r>
            <w:proofErr w:type="spellStart"/>
            <w:r w:rsidR="001265F0" w:rsidRPr="001265F0">
              <w:rPr>
                <w:rFonts w:eastAsia="Cambria"/>
                <w:sz w:val="18"/>
                <w:szCs w:val="18"/>
                <w:highlight w:val="green"/>
              </w:rPr>
              <w:t>l'eau</w:t>
            </w:r>
            <w:proofErr w:type="spellEnd"/>
            <w:r w:rsidR="001265F0" w:rsidRPr="001265F0">
              <w:rPr>
                <w:rFonts w:eastAsia="Cambria"/>
                <w:sz w:val="18"/>
                <w:szCs w:val="18"/>
                <w:highlight w:val="green"/>
              </w:rPr>
              <w:t xml:space="preserve"> et de </w:t>
            </w:r>
            <w:proofErr w:type="spellStart"/>
            <w:r w:rsidR="001265F0" w:rsidRPr="001265F0">
              <w:rPr>
                <w:rFonts w:eastAsia="Cambria"/>
                <w:sz w:val="18"/>
                <w:szCs w:val="18"/>
                <w:highlight w:val="green"/>
              </w:rPr>
              <w:t>l’Assainissement</w:t>
            </w:r>
            <w:proofErr w:type="spellEnd"/>
            <w:r w:rsidR="00DD5BA3" w:rsidRPr="00D45B3D">
              <w:rPr>
                <w:rFonts w:eastAsia="Cambria"/>
                <w:sz w:val="18"/>
                <w:szCs w:val="18"/>
              </w:rPr>
              <w:t xml:space="preserve"> </w:t>
            </w:r>
            <w:r w:rsidRPr="00D45B3D">
              <w:rPr>
                <w:rFonts w:eastAsia="Cambria"/>
                <w:sz w:val="18"/>
                <w:szCs w:val="18"/>
              </w:rPr>
              <w:t>is also the national designated authority for the Ramsar Convention and therefore the key institution to ensure the effective integration of the project’s landscape management approach with the ongoing efforts to sustainably develop</w:t>
            </w:r>
            <w:r w:rsidR="002B1FCA" w:rsidRPr="00D45B3D">
              <w:rPr>
                <w:rFonts w:eastAsia="Cambria"/>
                <w:sz w:val="18"/>
                <w:szCs w:val="18"/>
              </w:rPr>
              <w:t>, monitor</w:t>
            </w:r>
            <w:r w:rsidRPr="00D45B3D">
              <w:rPr>
                <w:rFonts w:eastAsia="Cambria"/>
                <w:sz w:val="18"/>
                <w:szCs w:val="18"/>
              </w:rPr>
              <w:t xml:space="preserve"> and conserve the PONASI Ramsar site. </w:t>
            </w:r>
          </w:p>
        </w:tc>
        <w:tc>
          <w:tcPr>
            <w:tcW w:w="6193" w:type="dxa"/>
            <w:tcBorders>
              <w:top w:val="single" w:sz="4" w:space="0" w:color="auto"/>
              <w:left w:val="single" w:sz="4" w:space="0" w:color="auto"/>
              <w:bottom w:val="single" w:sz="4" w:space="0" w:color="auto"/>
              <w:right w:val="single" w:sz="4" w:space="0" w:color="auto"/>
            </w:tcBorders>
            <w:vAlign w:val="center"/>
          </w:tcPr>
          <w:p w14:paraId="1BE6B69C" w14:textId="319EBE40" w:rsidR="004E072E" w:rsidRPr="00D45B3D" w:rsidRDefault="004E072E" w:rsidP="00C46720">
            <w:pPr>
              <w:numPr>
                <w:ilvl w:val="0"/>
                <w:numId w:val="38"/>
              </w:numPr>
              <w:autoSpaceDN w:val="0"/>
              <w:spacing w:after="0"/>
              <w:jc w:val="left"/>
              <w:rPr>
                <w:sz w:val="18"/>
                <w:szCs w:val="18"/>
                <w:lang w:val="en-CA"/>
              </w:rPr>
            </w:pPr>
            <w:r w:rsidRPr="00D45B3D">
              <w:rPr>
                <w:rFonts w:eastAsia="Cambria"/>
                <w:sz w:val="18"/>
                <w:szCs w:val="18"/>
                <w:lang w:val="en-CA"/>
              </w:rPr>
              <w:t xml:space="preserve">As the project implementation agency, </w:t>
            </w:r>
            <w:proofErr w:type="spellStart"/>
            <w:r w:rsidR="001265F0" w:rsidRPr="001265F0">
              <w:rPr>
                <w:rFonts w:eastAsia="Cambria"/>
                <w:sz w:val="18"/>
                <w:szCs w:val="18"/>
                <w:highlight w:val="green"/>
              </w:rPr>
              <w:t>Ministère</w:t>
            </w:r>
            <w:proofErr w:type="spellEnd"/>
            <w:r w:rsidR="001265F0" w:rsidRPr="001265F0">
              <w:rPr>
                <w:rFonts w:eastAsia="Cambria"/>
                <w:sz w:val="18"/>
                <w:szCs w:val="18"/>
                <w:highlight w:val="green"/>
              </w:rPr>
              <w:t xml:space="preserve"> de </w:t>
            </w:r>
            <w:proofErr w:type="spellStart"/>
            <w:r w:rsidR="001265F0" w:rsidRPr="001265F0">
              <w:rPr>
                <w:rFonts w:eastAsia="Cambria"/>
                <w:sz w:val="18"/>
                <w:szCs w:val="18"/>
                <w:highlight w:val="green"/>
              </w:rPr>
              <w:t>l'environnement</w:t>
            </w:r>
            <w:proofErr w:type="spellEnd"/>
            <w:r w:rsidR="001265F0" w:rsidRPr="001265F0">
              <w:rPr>
                <w:rFonts w:eastAsia="Cambria"/>
                <w:sz w:val="18"/>
                <w:szCs w:val="18"/>
                <w:highlight w:val="green"/>
              </w:rPr>
              <w:t xml:space="preserve">, de </w:t>
            </w:r>
            <w:proofErr w:type="spellStart"/>
            <w:r w:rsidR="001265F0" w:rsidRPr="001265F0">
              <w:rPr>
                <w:rFonts w:eastAsia="Cambria"/>
                <w:sz w:val="18"/>
                <w:szCs w:val="18"/>
                <w:highlight w:val="green"/>
              </w:rPr>
              <w:t>l'eau</w:t>
            </w:r>
            <w:proofErr w:type="spellEnd"/>
            <w:r w:rsidR="001265F0" w:rsidRPr="001265F0">
              <w:rPr>
                <w:rFonts w:eastAsia="Cambria"/>
                <w:sz w:val="18"/>
                <w:szCs w:val="18"/>
                <w:highlight w:val="green"/>
              </w:rPr>
              <w:t xml:space="preserve"> et de </w:t>
            </w:r>
            <w:proofErr w:type="spellStart"/>
            <w:r w:rsidR="001265F0" w:rsidRPr="001265F0">
              <w:rPr>
                <w:rFonts w:eastAsia="Cambria"/>
                <w:sz w:val="18"/>
                <w:szCs w:val="18"/>
                <w:highlight w:val="green"/>
              </w:rPr>
              <w:t>l’Assainissement</w:t>
            </w:r>
            <w:proofErr w:type="spellEnd"/>
            <w:r w:rsidR="00DD5BA3" w:rsidRPr="00D45B3D">
              <w:rPr>
                <w:rFonts w:eastAsia="Cambria"/>
                <w:sz w:val="18"/>
                <w:szCs w:val="18"/>
                <w:lang w:val="en-CA"/>
              </w:rPr>
              <w:t xml:space="preserve"> </w:t>
            </w:r>
            <w:r w:rsidRPr="00D45B3D">
              <w:rPr>
                <w:rFonts w:eastAsia="Cambria"/>
                <w:sz w:val="18"/>
                <w:szCs w:val="18"/>
                <w:lang w:val="en-CA"/>
              </w:rPr>
              <w:t xml:space="preserve">will be ultimately responsible and accountable for the results of the project and for the efficient use of the project resources in collaboration with counterparts at the regional and local levels, Senior Beneficiaries and UNDP; it will sit on the Review Committee, contribute to monitoring and evaluation of project interventions, and allocate adequate </w:t>
            </w:r>
            <w:proofErr w:type="gramStart"/>
            <w:r w:rsidRPr="00D45B3D">
              <w:rPr>
                <w:rFonts w:eastAsia="Cambria"/>
                <w:sz w:val="18"/>
                <w:szCs w:val="18"/>
                <w:lang w:val="en-CA"/>
              </w:rPr>
              <w:t>work space</w:t>
            </w:r>
            <w:proofErr w:type="gramEnd"/>
            <w:r w:rsidRPr="00D45B3D">
              <w:rPr>
                <w:rFonts w:eastAsia="Cambria"/>
                <w:sz w:val="18"/>
                <w:szCs w:val="18"/>
                <w:lang w:val="en-CA"/>
              </w:rPr>
              <w:t xml:space="preserve"> for the project management team.</w:t>
            </w:r>
          </w:p>
          <w:p w14:paraId="055565EE" w14:textId="57540625" w:rsidR="00ED1ADA" w:rsidRPr="00D45B3D" w:rsidRDefault="00F9302E" w:rsidP="00C46720">
            <w:pPr>
              <w:numPr>
                <w:ilvl w:val="0"/>
                <w:numId w:val="38"/>
              </w:numPr>
              <w:autoSpaceDN w:val="0"/>
              <w:spacing w:after="0"/>
              <w:jc w:val="left"/>
              <w:rPr>
                <w:sz w:val="18"/>
                <w:szCs w:val="18"/>
                <w:lang w:val="en-CA"/>
              </w:rPr>
            </w:pPr>
            <w:r w:rsidRPr="00D45B3D">
              <w:rPr>
                <w:rFonts w:eastAsia="Cambria"/>
                <w:sz w:val="18"/>
                <w:szCs w:val="18"/>
                <w:lang w:val="en-CA"/>
              </w:rPr>
              <w:t xml:space="preserve">The </w:t>
            </w:r>
            <w:proofErr w:type="spellStart"/>
            <w:r w:rsidR="001265F0" w:rsidRPr="001265F0">
              <w:rPr>
                <w:rFonts w:eastAsia="Cambria"/>
                <w:sz w:val="18"/>
                <w:szCs w:val="18"/>
                <w:highlight w:val="green"/>
              </w:rPr>
              <w:t>Ministère</w:t>
            </w:r>
            <w:proofErr w:type="spellEnd"/>
            <w:r w:rsidR="001265F0" w:rsidRPr="001265F0">
              <w:rPr>
                <w:rFonts w:eastAsia="Cambria"/>
                <w:sz w:val="18"/>
                <w:szCs w:val="18"/>
                <w:highlight w:val="green"/>
              </w:rPr>
              <w:t xml:space="preserve"> de </w:t>
            </w:r>
            <w:proofErr w:type="spellStart"/>
            <w:r w:rsidR="001265F0" w:rsidRPr="001265F0">
              <w:rPr>
                <w:rFonts w:eastAsia="Cambria"/>
                <w:sz w:val="18"/>
                <w:szCs w:val="18"/>
                <w:highlight w:val="green"/>
              </w:rPr>
              <w:t>l'environnement</w:t>
            </w:r>
            <w:proofErr w:type="spellEnd"/>
            <w:r w:rsidR="001265F0" w:rsidRPr="001265F0">
              <w:rPr>
                <w:rFonts w:eastAsia="Cambria"/>
                <w:sz w:val="18"/>
                <w:szCs w:val="18"/>
                <w:highlight w:val="green"/>
              </w:rPr>
              <w:t xml:space="preserve">, de </w:t>
            </w:r>
            <w:proofErr w:type="spellStart"/>
            <w:r w:rsidR="001265F0" w:rsidRPr="001265F0">
              <w:rPr>
                <w:rFonts w:eastAsia="Cambria"/>
                <w:sz w:val="18"/>
                <w:szCs w:val="18"/>
                <w:highlight w:val="green"/>
              </w:rPr>
              <w:t>l'eau</w:t>
            </w:r>
            <w:proofErr w:type="spellEnd"/>
            <w:r w:rsidR="001265F0" w:rsidRPr="001265F0">
              <w:rPr>
                <w:rFonts w:eastAsia="Cambria"/>
                <w:sz w:val="18"/>
                <w:szCs w:val="18"/>
                <w:highlight w:val="green"/>
              </w:rPr>
              <w:t xml:space="preserve"> et de </w:t>
            </w:r>
            <w:proofErr w:type="spellStart"/>
            <w:r w:rsidR="001265F0" w:rsidRPr="001265F0">
              <w:rPr>
                <w:rFonts w:eastAsia="Cambria"/>
                <w:sz w:val="18"/>
                <w:szCs w:val="18"/>
                <w:highlight w:val="green"/>
              </w:rPr>
              <w:t>l’Assainissement</w:t>
            </w:r>
            <w:proofErr w:type="spellEnd"/>
            <w:r w:rsidR="001265F0" w:rsidRPr="001265F0">
              <w:rPr>
                <w:rFonts w:eastAsia="Cambria"/>
                <w:sz w:val="18"/>
                <w:szCs w:val="18"/>
              </w:rPr>
              <w:t xml:space="preserve"> </w:t>
            </w:r>
            <w:r w:rsidRPr="00D45B3D">
              <w:rPr>
                <w:rFonts w:eastAsia="Cambria"/>
                <w:sz w:val="18"/>
                <w:szCs w:val="18"/>
              </w:rPr>
              <w:t xml:space="preserve">will ensure the effective integration of project activities with the protection of the PONASI Ramsar site, thereby ensuring that the project contributes to the advancement of Burkina Faso’s commitments under the Ramsar Convention. </w:t>
            </w:r>
            <w:r w:rsidR="002B1FCA" w:rsidRPr="00D45B3D">
              <w:rPr>
                <w:rFonts w:eastAsia="Cambria"/>
                <w:sz w:val="18"/>
                <w:szCs w:val="18"/>
              </w:rPr>
              <w:t xml:space="preserve">It will also ensure that relevant developments will be communicated to the Ramsar Secretariate, in line with the Convention. </w:t>
            </w:r>
            <w:r w:rsidRPr="00D45B3D">
              <w:rPr>
                <w:rFonts w:eastAsia="Cambria"/>
                <w:sz w:val="18"/>
                <w:szCs w:val="18"/>
              </w:rPr>
              <w:t xml:space="preserve">A representative of </w:t>
            </w:r>
            <w:proofErr w:type="spellStart"/>
            <w:r w:rsidR="001265F0" w:rsidRPr="001265F0">
              <w:rPr>
                <w:rFonts w:eastAsia="Cambria"/>
                <w:sz w:val="18"/>
                <w:szCs w:val="18"/>
                <w:highlight w:val="green"/>
              </w:rPr>
              <w:t>Ministère</w:t>
            </w:r>
            <w:proofErr w:type="spellEnd"/>
            <w:r w:rsidR="001265F0" w:rsidRPr="001265F0">
              <w:rPr>
                <w:rFonts w:eastAsia="Cambria"/>
                <w:sz w:val="18"/>
                <w:szCs w:val="18"/>
                <w:highlight w:val="green"/>
              </w:rPr>
              <w:t xml:space="preserve"> de </w:t>
            </w:r>
            <w:proofErr w:type="spellStart"/>
            <w:r w:rsidR="001265F0" w:rsidRPr="001265F0">
              <w:rPr>
                <w:rFonts w:eastAsia="Cambria"/>
                <w:sz w:val="18"/>
                <w:szCs w:val="18"/>
                <w:highlight w:val="green"/>
              </w:rPr>
              <w:t>l'environnement</w:t>
            </w:r>
            <w:proofErr w:type="spellEnd"/>
            <w:r w:rsidR="001265F0" w:rsidRPr="001265F0">
              <w:rPr>
                <w:rFonts w:eastAsia="Cambria"/>
                <w:sz w:val="18"/>
                <w:szCs w:val="18"/>
                <w:highlight w:val="green"/>
              </w:rPr>
              <w:t xml:space="preserve">, de </w:t>
            </w:r>
            <w:proofErr w:type="spellStart"/>
            <w:r w:rsidR="001265F0" w:rsidRPr="001265F0">
              <w:rPr>
                <w:rFonts w:eastAsia="Cambria"/>
                <w:sz w:val="18"/>
                <w:szCs w:val="18"/>
                <w:highlight w:val="green"/>
              </w:rPr>
              <w:t>l'eau</w:t>
            </w:r>
            <w:proofErr w:type="spellEnd"/>
            <w:r w:rsidR="001265F0" w:rsidRPr="001265F0">
              <w:rPr>
                <w:rFonts w:eastAsia="Cambria"/>
                <w:sz w:val="18"/>
                <w:szCs w:val="18"/>
                <w:highlight w:val="green"/>
              </w:rPr>
              <w:t xml:space="preserve"> et de </w:t>
            </w:r>
            <w:proofErr w:type="spellStart"/>
            <w:r w:rsidR="001265F0" w:rsidRPr="001265F0">
              <w:rPr>
                <w:rFonts w:eastAsia="Cambria"/>
                <w:sz w:val="18"/>
                <w:szCs w:val="18"/>
                <w:highlight w:val="green"/>
              </w:rPr>
              <w:t>l’Assainissement</w:t>
            </w:r>
            <w:proofErr w:type="spellEnd"/>
            <w:r w:rsidR="00DD5BA3" w:rsidRPr="00D45B3D">
              <w:rPr>
                <w:rFonts w:eastAsia="Cambria"/>
                <w:sz w:val="18"/>
                <w:szCs w:val="18"/>
              </w:rPr>
              <w:t xml:space="preserve"> </w:t>
            </w:r>
            <w:r w:rsidRPr="00D45B3D">
              <w:rPr>
                <w:rFonts w:eastAsia="Cambria"/>
                <w:sz w:val="18"/>
                <w:szCs w:val="18"/>
              </w:rPr>
              <w:t xml:space="preserve">in charge of the Ramsar Convention will be appointed as a member of the co-governance mechanism for the PONASI landscape (see paragraph 110 a) to ensure this integration also at site level. </w:t>
            </w:r>
          </w:p>
        </w:tc>
        <w:tc>
          <w:tcPr>
            <w:tcW w:w="1985" w:type="dxa"/>
            <w:tcBorders>
              <w:top w:val="single" w:sz="4" w:space="0" w:color="auto"/>
              <w:left w:val="single" w:sz="4" w:space="0" w:color="auto"/>
              <w:bottom w:val="single" w:sz="4" w:space="0" w:color="auto"/>
              <w:right w:val="single" w:sz="4" w:space="0" w:color="auto"/>
            </w:tcBorders>
            <w:vAlign w:val="center"/>
          </w:tcPr>
          <w:p w14:paraId="383404AC" w14:textId="2D80C233" w:rsidR="004E072E" w:rsidRPr="00D45B3D" w:rsidRDefault="004E072E" w:rsidP="00C756F3">
            <w:pPr>
              <w:pStyle w:val="PrformatHTML"/>
              <w:shd w:val="clear" w:color="auto" w:fill="FFFFFF"/>
              <w:rPr>
                <w:rFonts w:ascii="Calibri" w:hAnsi="Calibri" w:cs="Times New Roman"/>
                <w:sz w:val="18"/>
                <w:szCs w:val="18"/>
                <w:lang w:val="en-CA"/>
              </w:rPr>
            </w:pPr>
            <w:r w:rsidRPr="00D45B3D">
              <w:rPr>
                <w:rFonts w:ascii="Calibri" w:hAnsi="Calibri" w:cs="Times New Roman"/>
                <w:sz w:val="18"/>
                <w:szCs w:val="18"/>
                <w:lang w:val="en-CA"/>
              </w:rPr>
              <w:t>Achieve project outcomes and outputs through better coordination and implementation of project actions</w:t>
            </w:r>
            <w:r w:rsidR="00F9302E" w:rsidRPr="00D45B3D">
              <w:rPr>
                <w:rFonts w:ascii="Calibri" w:hAnsi="Calibri" w:cs="Times New Roman"/>
                <w:sz w:val="18"/>
                <w:szCs w:val="18"/>
                <w:lang w:val="en-CA"/>
              </w:rPr>
              <w:t>, including with activities under the Ramsar Convention</w:t>
            </w:r>
          </w:p>
        </w:tc>
        <w:tc>
          <w:tcPr>
            <w:tcW w:w="850" w:type="dxa"/>
            <w:tcBorders>
              <w:top w:val="single" w:sz="4" w:space="0" w:color="auto"/>
              <w:left w:val="single" w:sz="4" w:space="0" w:color="auto"/>
              <w:bottom w:val="single" w:sz="4" w:space="0" w:color="auto"/>
              <w:right w:val="single" w:sz="4" w:space="0" w:color="auto"/>
            </w:tcBorders>
            <w:vAlign w:val="center"/>
          </w:tcPr>
          <w:p w14:paraId="3EA41094" w14:textId="02932B56" w:rsidR="004E072E" w:rsidRPr="00E379FD" w:rsidRDefault="004E072E" w:rsidP="00C756F3">
            <w:pPr>
              <w:autoSpaceDN w:val="0"/>
              <w:spacing w:after="0"/>
              <w:jc w:val="left"/>
              <w:rPr>
                <w:sz w:val="18"/>
                <w:szCs w:val="18"/>
                <w:lang w:val="fr-CA"/>
              </w:rPr>
            </w:pPr>
            <w:r w:rsidRPr="00E379FD">
              <w:rPr>
                <w:sz w:val="18"/>
                <w:szCs w:val="18"/>
                <w:lang w:val="fr-CA"/>
              </w:rPr>
              <w:t>1, 2, 3</w:t>
            </w:r>
            <w:r w:rsidR="00F9302E">
              <w:rPr>
                <w:sz w:val="18"/>
                <w:szCs w:val="18"/>
                <w:lang w:val="fr-CA"/>
              </w:rPr>
              <w:t>,</w:t>
            </w:r>
            <w:r w:rsidRPr="00E379FD">
              <w:rPr>
                <w:sz w:val="18"/>
                <w:szCs w:val="18"/>
                <w:lang w:val="fr-CA"/>
              </w:rPr>
              <w:t xml:space="preserve"> 4</w:t>
            </w:r>
          </w:p>
        </w:tc>
      </w:tr>
      <w:tr w:rsidR="00302BFE" w:rsidRPr="00E379FD" w14:paraId="3AE0F8DC"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4BB0C2C5" w14:textId="68BEB670" w:rsidR="00343111" w:rsidRPr="00D45B3D" w:rsidRDefault="00343111" w:rsidP="00243B15">
            <w:pPr>
              <w:shd w:val="clear" w:color="auto" w:fill="FFFFFF"/>
              <w:spacing w:after="0"/>
              <w:jc w:val="left"/>
              <w:rPr>
                <w:b/>
                <w:bCs/>
                <w:sz w:val="18"/>
                <w:szCs w:val="18"/>
              </w:rPr>
            </w:pPr>
            <w:r w:rsidRPr="00D45B3D">
              <w:rPr>
                <w:b/>
                <w:bCs/>
                <w:sz w:val="18"/>
                <w:szCs w:val="18"/>
              </w:rPr>
              <w:t xml:space="preserve">Ramsar </w:t>
            </w:r>
            <w:r w:rsidR="002B1FCA" w:rsidRPr="00D45B3D">
              <w:rPr>
                <w:b/>
                <w:bCs/>
                <w:sz w:val="18"/>
                <w:szCs w:val="18"/>
              </w:rPr>
              <w:t>S</w:t>
            </w:r>
            <w:r w:rsidRPr="00D45B3D">
              <w:rPr>
                <w:b/>
                <w:bCs/>
                <w:sz w:val="18"/>
                <w:szCs w:val="18"/>
              </w:rPr>
              <w:t xml:space="preserve">ite </w:t>
            </w:r>
            <w:r w:rsidR="002B1FCA" w:rsidRPr="00D45B3D">
              <w:rPr>
                <w:b/>
                <w:bCs/>
                <w:sz w:val="18"/>
                <w:szCs w:val="18"/>
              </w:rPr>
              <w:t>M</w:t>
            </w:r>
            <w:r w:rsidRPr="00D45B3D">
              <w:rPr>
                <w:b/>
                <w:bCs/>
                <w:sz w:val="18"/>
                <w:szCs w:val="18"/>
              </w:rPr>
              <w:t>anager</w:t>
            </w:r>
          </w:p>
          <w:p w14:paraId="42AED4C5" w14:textId="14A65252" w:rsidR="00302BFE" w:rsidRPr="00D45B3D" w:rsidRDefault="00CD48B7" w:rsidP="00243B15">
            <w:pPr>
              <w:shd w:val="clear" w:color="auto" w:fill="FFFFFF"/>
              <w:spacing w:after="0"/>
              <w:jc w:val="left"/>
              <w:rPr>
                <w:b/>
                <w:bCs/>
                <w:sz w:val="18"/>
                <w:szCs w:val="18"/>
                <w:lang w:val="en-CA"/>
              </w:rPr>
            </w:pPr>
            <w:r w:rsidRPr="00D45B3D">
              <w:rPr>
                <w:b/>
                <w:bCs/>
                <w:sz w:val="18"/>
                <w:szCs w:val="18"/>
              </w:rPr>
              <w:t xml:space="preserve"> </w:t>
            </w:r>
          </w:p>
        </w:tc>
        <w:tc>
          <w:tcPr>
            <w:tcW w:w="3827" w:type="dxa"/>
            <w:tcBorders>
              <w:top w:val="single" w:sz="4" w:space="0" w:color="auto"/>
              <w:left w:val="single" w:sz="4" w:space="0" w:color="auto"/>
              <w:bottom w:val="single" w:sz="4" w:space="0" w:color="auto"/>
              <w:right w:val="single" w:sz="4" w:space="0" w:color="auto"/>
            </w:tcBorders>
            <w:vAlign w:val="center"/>
          </w:tcPr>
          <w:p w14:paraId="48255B8A" w14:textId="6F9CB52B" w:rsidR="00302BFE" w:rsidRPr="00D45B3D" w:rsidRDefault="002B1FCA" w:rsidP="00C46720">
            <w:pPr>
              <w:numPr>
                <w:ilvl w:val="0"/>
                <w:numId w:val="38"/>
              </w:numPr>
              <w:autoSpaceDN w:val="0"/>
              <w:spacing w:after="0"/>
              <w:jc w:val="left"/>
              <w:rPr>
                <w:rFonts w:eastAsia="Cambria"/>
                <w:sz w:val="18"/>
                <w:szCs w:val="18"/>
                <w:lang w:val="en-CA"/>
              </w:rPr>
            </w:pPr>
            <w:r w:rsidRPr="00D45B3D">
              <w:rPr>
                <w:rFonts w:eastAsia="Cambria"/>
                <w:sz w:val="18"/>
                <w:szCs w:val="18"/>
                <w:lang w:val="en-CA"/>
              </w:rPr>
              <w:t xml:space="preserve">The Ramsar Site Manager is responsible for creating the conditions for exchange, sharing of knowledge and experiences at the local and national level in the fields of conservation, </w:t>
            </w:r>
            <w:proofErr w:type="gramStart"/>
            <w:r w:rsidRPr="00D45B3D">
              <w:rPr>
                <w:rFonts w:eastAsia="Cambria"/>
                <w:sz w:val="18"/>
                <w:szCs w:val="18"/>
                <w:lang w:val="en-CA"/>
              </w:rPr>
              <w:t>management</w:t>
            </w:r>
            <w:proofErr w:type="gramEnd"/>
            <w:r w:rsidRPr="00D45B3D">
              <w:rPr>
                <w:rFonts w:eastAsia="Cambria"/>
                <w:sz w:val="18"/>
                <w:szCs w:val="18"/>
                <w:lang w:val="en-CA"/>
              </w:rPr>
              <w:t xml:space="preserve"> and restoration of the wetland heritage in connection with the activities carried out at the site</w:t>
            </w:r>
          </w:p>
        </w:tc>
        <w:tc>
          <w:tcPr>
            <w:tcW w:w="6193" w:type="dxa"/>
            <w:tcBorders>
              <w:top w:val="single" w:sz="4" w:space="0" w:color="auto"/>
              <w:left w:val="single" w:sz="4" w:space="0" w:color="auto"/>
              <w:bottom w:val="single" w:sz="4" w:space="0" w:color="auto"/>
              <w:right w:val="single" w:sz="4" w:space="0" w:color="auto"/>
            </w:tcBorders>
            <w:vAlign w:val="center"/>
          </w:tcPr>
          <w:p w14:paraId="1D888731" w14:textId="444B59D9" w:rsidR="00302BFE" w:rsidRPr="00D45B3D" w:rsidRDefault="002B1FCA" w:rsidP="001265F0">
            <w:pPr>
              <w:numPr>
                <w:ilvl w:val="0"/>
                <w:numId w:val="38"/>
              </w:numPr>
              <w:autoSpaceDN w:val="0"/>
              <w:spacing w:after="0"/>
              <w:jc w:val="center"/>
              <w:rPr>
                <w:sz w:val="18"/>
                <w:szCs w:val="18"/>
                <w:lang w:val="en-CA"/>
              </w:rPr>
            </w:pPr>
            <w:r w:rsidRPr="00D45B3D">
              <w:rPr>
                <w:rFonts w:eastAsia="Cambria"/>
                <w:sz w:val="18"/>
                <w:szCs w:val="18"/>
                <w:lang w:val="en-CA"/>
              </w:rPr>
              <w:t>The Site Manager will m</w:t>
            </w:r>
            <w:r w:rsidR="00ED1ADA" w:rsidRPr="00D45B3D">
              <w:rPr>
                <w:rFonts w:eastAsia="Cambria"/>
                <w:sz w:val="18"/>
                <w:szCs w:val="18"/>
                <w:lang w:val="en-CA"/>
              </w:rPr>
              <w:t xml:space="preserve">onitor the activities carried out </w:t>
            </w:r>
            <w:r w:rsidRPr="00D45B3D">
              <w:rPr>
                <w:rFonts w:eastAsia="Cambria"/>
                <w:sz w:val="18"/>
                <w:szCs w:val="18"/>
                <w:lang w:val="en-CA"/>
              </w:rPr>
              <w:t>at</w:t>
            </w:r>
            <w:r w:rsidR="00ED1ADA" w:rsidRPr="00D45B3D">
              <w:rPr>
                <w:rFonts w:eastAsia="Cambria"/>
                <w:sz w:val="18"/>
                <w:szCs w:val="18"/>
                <w:lang w:val="en-CA"/>
              </w:rPr>
              <w:t xml:space="preserve"> the site </w:t>
            </w:r>
            <w:proofErr w:type="gramStart"/>
            <w:r w:rsidR="00ED1ADA" w:rsidRPr="00D45B3D">
              <w:rPr>
                <w:rFonts w:eastAsia="Cambria"/>
                <w:sz w:val="18"/>
                <w:szCs w:val="18"/>
                <w:lang w:val="en-CA"/>
              </w:rPr>
              <w:t>in order to</w:t>
            </w:r>
            <w:proofErr w:type="gramEnd"/>
            <w:r w:rsidR="00ED1ADA" w:rsidRPr="00D45B3D">
              <w:rPr>
                <w:rFonts w:eastAsia="Cambria"/>
                <w:sz w:val="18"/>
                <w:szCs w:val="18"/>
                <w:lang w:val="en-CA"/>
              </w:rPr>
              <w:t xml:space="preserve"> be informed of any changes in ecological character and to report them to the </w:t>
            </w:r>
            <w:r w:rsidRPr="00D45B3D">
              <w:rPr>
                <w:rFonts w:eastAsia="Cambria"/>
                <w:sz w:val="18"/>
                <w:szCs w:val="18"/>
                <w:lang w:val="en-CA"/>
              </w:rPr>
              <w:t>designated authority (</w:t>
            </w:r>
            <w:r w:rsidR="001265F0" w:rsidRPr="001265F0">
              <w:rPr>
                <w:rFonts w:eastAsia="Cambria"/>
                <w:sz w:val="18"/>
                <w:szCs w:val="18"/>
                <w:highlight w:val="green"/>
                <w:lang w:val="en-CA"/>
              </w:rPr>
              <w:t>MEEA</w:t>
            </w:r>
            <w:r w:rsidRPr="00D45B3D">
              <w:rPr>
                <w:rFonts w:eastAsia="Cambria"/>
                <w:sz w:val="18"/>
                <w:szCs w:val="18"/>
                <w:lang w:val="en-CA"/>
              </w:rPr>
              <w:t xml:space="preserve">) which would communicate them to the Ramsar </w:t>
            </w:r>
            <w:r w:rsidR="00ED1ADA" w:rsidRPr="00D45B3D">
              <w:rPr>
                <w:rFonts w:eastAsia="Cambria"/>
                <w:sz w:val="18"/>
                <w:szCs w:val="18"/>
                <w:lang w:val="en-CA"/>
              </w:rPr>
              <w:t>Secretariat in accordance with Article 3.2 of the Convention.</w:t>
            </w:r>
          </w:p>
          <w:p w14:paraId="5C358C08" w14:textId="56B8A88A" w:rsidR="00ED1ADA" w:rsidRPr="00D45B3D" w:rsidRDefault="002B1FCA" w:rsidP="00C46720">
            <w:pPr>
              <w:numPr>
                <w:ilvl w:val="0"/>
                <w:numId w:val="38"/>
              </w:numPr>
              <w:autoSpaceDN w:val="0"/>
              <w:spacing w:after="0"/>
              <w:jc w:val="left"/>
              <w:rPr>
                <w:sz w:val="18"/>
                <w:szCs w:val="18"/>
                <w:lang w:val="en-CA"/>
              </w:rPr>
            </w:pPr>
            <w:r w:rsidRPr="00D45B3D">
              <w:rPr>
                <w:rFonts w:eastAsia="Cambria"/>
                <w:sz w:val="18"/>
                <w:szCs w:val="18"/>
                <w:lang w:val="en-CA"/>
              </w:rPr>
              <w:t>He/she will be engaged in all decisions and activities of the project at the site, but specifically c</w:t>
            </w:r>
            <w:r w:rsidR="00ED1ADA" w:rsidRPr="00D45B3D">
              <w:rPr>
                <w:rFonts w:eastAsia="Cambria"/>
                <w:sz w:val="18"/>
                <w:szCs w:val="18"/>
                <w:lang w:val="en-CA"/>
              </w:rPr>
              <w:t xml:space="preserve">ontribute to the development and implementation of education, training, </w:t>
            </w:r>
            <w:proofErr w:type="gramStart"/>
            <w:r w:rsidR="00ED1ADA" w:rsidRPr="00D45B3D">
              <w:rPr>
                <w:rFonts w:eastAsia="Cambria"/>
                <w:sz w:val="18"/>
                <w:szCs w:val="18"/>
                <w:lang w:val="en-CA"/>
              </w:rPr>
              <w:t>awareness</w:t>
            </w:r>
            <w:proofErr w:type="gramEnd"/>
            <w:r w:rsidR="00ED1ADA" w:rsidRPr="00D45B3D">
              <w:rPr>
                <w:rFonts w:eastAsia="Cambria"/>
                <w:sz w:val="18"/>
                <w:szCs w:val="18"/>
                <w:lang w:val="en-CA"/>
              </w:rPr>
              <w:t xml:space="preserve"> and public participation programs in environmental matters within the framework of the project under its Component 4.</w:t>
            </w:r>
          </w:p>
        </w:tc>
        <w:tc>
          <w:tcPr>
            <w:tcW w:w="1985" w:type="dxa"/>
            <w:tcBorders>
              <w:top w:val="single" w:sz="4" w:space="0" w:color="auto"/>
              <w:left w:val="single" w:sz="4" w:space="0" w:color="auto"/>
              <w:bottom w:val="single" w:sz="4" w:space="0" w:color="auto"/>
              <w:right w:val="single" w:sz="4" w:space="0" w:color="auto"/>
            </w:tcBorders>
            <w:vAlign w:val="center"/>
          </w:tcPr>
          <w:p w14:paraId="0D49F304" w14:textId="36DDAD8E" w:rsidR="00302BFE" w:rsidRPr="00D45B3D" w:rsidRDefault="002B1FCA" w:rsidP="00243B15">
            <w:pPr>
              <w:pStyle w:val="PrformatHTML"/>
              <w:shd w:val="clear" w:color="auto" w:fill="FFFFFF"/>
              <w:rPr>
                <w:rFonts w:ascii="Calibri" w:hAnsi="Calibri" w:cs="Times New Roman"/>
                <w:sz w:val="18"/>
                <w:szCs w:val="18"/>
                <w:lang w:val="en-CA"/>
              </w:rPr>
            </w:pPr>
            <w:r w:rsidRPr="00D45B3D">
              <w:rPr>
                <w:rFonts w:ascii="Calibri" w:hAnsi="Calibri" w:cs="Times New Roman"/>
                <w:sz w:val="18"/>
                <w:szCs w:val="18"/>
                <w:lang w:val="en-CA"/>
              </w:rPr>
              <w:t>Achieve project outcomes and outputs through better coordination and implementation of project actions, including with activities under the Ramsar Convention</w:t>
            </w:r>
          </w:p>
        </w:tc>
        <w:tc>
          <w:tcPr>
            <w:tcW w:w="850" w:type="dxa"/>
            <w:tcBorders>
              <w:top w:val="single" w:sz="4" w:space="0" w:color="auto"/>
              <w:left w:val="single" w:sz="4" w:space="0" w:color="auto"/>
              <w:bottom w:val="single" w:sz="4" w:space="0" w:color="auto"/>
              <w:right w:val="single" w:sz="4" w:space="0" w:color="auto"/>
            </w:tcBorders>
            <w:vAlign w:val="center"/>
          </w:tcPr>
          <w:p w14:paraId="68FC8757" w14:textId="57DB7182" w:rsidR="00302BFE" w:rsidRPr="00E379FD" w:rsidRDefault="00302BFE" w:rsidP="00243B15">
            <w:pPr>
              <w:autoSpaceDN w:val="0"/>
              <w:spacing w:after="0"/>
              <w:jc w:val="left"/>
              <w:rPr>
                <w:sz w:val="18"/>
                <w:szCs w:val="18"/>
                <w:lang w:val="fr-CA"/>
              </w:rPr>
            </w:pPr>
            <w:r w:rsidRPr="00E379FD">
              <w:rPr>
                <w:sz w:val="18"/>
                <w:szCs w:val="18"/>
                <w:lang w:val="fr-CA"/>
              </w:rPr>
              <w:t>1, 2, 3</w:t>
            </w:r>
            <w:r w:rsidR="002B1FCA">
              <w:rPr>
                <w:sz w:val="18"/>
                <w:szCs w:val="18"/>
                <w:lang w:val="fr-CA"/>
              </w:rPr>
              <w:t>,</w:t>
            </w:r>
            <w:r w:rsidRPr="00E379FD">
              <w:rPr>
                <w:sz w:val="18"/>
                <w:szCs w:val="18"/>
                <w:lang w:val="fr-CA"/>
              </w:rPr>
              <w:t xml:space="preserve"> 4</w:t>
            </w:r>
          </w:p>
        </w:tc>
      </w:tr>
      <w:tr w:rsidR="00302BFE" w:rsidRPr="00E379FD" w14:paraId="44030873"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63B7EB1C" w14:textId="77777777" w:rsidR="00302BFE" w:rsidRPr="00D45B3D" w:rsidRDefault="00302BFE" w:rsidP="00243B15">
            <w:pPr>
              <w:shd w:val="clear" w:color="auto" w:fill="FFFFFF"/>
              <w:spacing w:after="0"/>
              <w:jc w:val="left"/>
              <w:rPr>
                <w:b/>
                <w:bCs/>
                <w:iCs/>
                <w:sz w:val="18"/>
                <w:szCs w:val="18"/>
                <w:lang w:val="en-CA"/>
              </w:rPr>
            </w:pPr>
            <w:r w:rsidRPr="00D45B3D">
              <w:rPr>
                <w:b/>
                <w:bCs/>
                <w:iCs/>
                <w:sz w:val="18"/>
                <w:szCs w:val="18"/>
                <w:lang w:val="en-CA"/>
              </w:rPr>
              <w:t>Directorate General of Waters and Forests (DGEF) / MEGECC</w:t>
            </w:r>
          </w:p>
        </w:tc>
        <w:tc>
          <w:tcPr>
            <w:tcW w:w="3827" w:type="dxa"/>
            <w:tcBorders>
              <w:top w:val="single" w:sz="4" w:space="0" w:color="auto"/>
              <w:left w:val="single" w:sz="4" w:space="0" w:color="auto"/>
              <w:bottom w:val="single" w:sz="4" w:space="0" w:color="auto"/>
              <w:right w:val="single" w:sz="4" w:space="0" w:color="auto"/>
            </w:tcBorders>
            <w:vAlign w:val="center"/>
          </w:tcPr>
          <w:p w14:paraId="21C36D30" w14:textId="77777777" w:rsidR="00302BFE" w:rsidRPr="00D45B3D" w:rsidRDefault="00302BFE" w:rsidP="00C46720">
            <w:pPr>
              <w:numPr>
                <w:ilvl w:val="0"/>
                <w:numId w:val="38"/>
              </w:numPr>
              <w:autoSpaceDN w:val="0"/>
              <w:spacing w:after="0"/>
              <w:jc w:val="left"/>
              <w:rPr>
                <w:rFonts w:eastAsia="Cambria"/>
                <w:sz w:val="18"/>
                <w:szCs w:val="18"/>
                <w:lang w:val="fr-CA"/>
              </w:rPr>
            </w:pPr>
            <w:r w:rsidRPr="00D45B3D">
              <w:rPr>
                <w:sz w:val="18"/>
                <w:szCs w:val="18"/>
                <w:lang w:val="en-CA"/>
              </w:rPr>
              <w:t xml:space="preserve">The mission of the DGEF is to design and coordinate the implementation of the national forest and wildlife policy. It ensures the application of the paramilitary status to which forest officers are subject and ensures the organization of the body as well as issues </w:t>
            </w:r>
            <w:r w:rsidRPr="00D45B3D">
              <w:rPr>
                <w:sz w:val="18"/>
                <w:szCs w:val="18"/>
                <w:lang w:val="en-CA"/>
              </w:rPr>
              <w:lastRenderedPageBreak/>
              <w:t xml:space="preserve">related to the equipment and military training of forestry agents. </w:t>
            </w:r>
            <w:r w:rsidRPr="00D45B3D">
              <w:rPr>
                <w:sz w:val="18"/>
                <w:szCs w:val="18"/>
                <w:lang w:val="fr-CA"/>
              </w:rPr>
              <w:t xml:space="preserve">It </w:t>
            </w:r>
            <w:proofErr w:type="spellStart"/>
            <w:r w:rsidRPr="00D45B3D">
              <w:rPr>
                <w:sz w:val="18"/>
                <w:szCs w:val="18"/>
                <w:lang w:val="fr-CA"/>
              </w:rPr>
              <w:t>will</w:t>
            </w:r>
            <w:proofErr w:type="spellEnd"/>
            <w:r w:rsidRPr="00D45B3D">
              <w:rPr>
                <w:sz w:val="18"/>
                <w:szCs w:val="18"/>
                <w:lang w:val="fr-CA"/>
              </w:rPr>
              <w:t xml:space="preserve"> :</w:t>
            </w:r>
          </w:p>
          <w:p w14:paraId="61408002" w14:textId="77777777" w:rsidR="00302BFE" w:rsidRPr="00D45B3D" w:rsidRDefault="00302BFE" w:rsidP="00C46720">
            <w:pPr>
              <w:numPr>
                <w:ilvl w:val="0"/>
                <w:numId w:val="38"/>
              </w:numPr>
              <w:autoSpaceDN w:val="0"/>
              <w:spacing w:after="0"/>
              <w:jc w:val="left"/>
              <w:rPr>
                <w:rFonts w:eastAsia="Cambria"/>
                <w:sz w:val="18"/>
                <w:szCs w:val="18"/>
                <w:lang w:val="en-CA"/>
              </w:rPr>
            </w:pPr>
            <w:r w:rsidRPr="00D45B3D">
              <w:rPr>
                <w:rFonts w:eastAsia="Cambria"/>
                <w:sz w:val="18"/>
                <w:szCs w:val="18"/>
                <w:lang w:val="en-CA"/>
              </w:rPr>
              <w:t>Responsible for reviewing technical reports, project progress and evaluation</w:t>
            </w:r>
          </w:p>
          <w:p w14:paraId="027BC810" w14:textId="77777777" w:rsidR="00302BFE" w:rsidRPr="00D45B3D" w:rsidRDefault="00302BFE" w:rsidP="00C46720">
            <w:pPr>
              <w:numPr>
                <w:ilvl w:val="0"/>
                <w:numId w:val="38"/>
              </w:numPr>
              <w:autoSpaceDN w:val="0"/>
              <w:spacing w:after="0"/>
              <w:jc w:val="left"/>
              <w:rPr>
                <w:sz w:val="18"/>
                <w:szCs w:val="18"/>
                <w:lang w:val="en-CA"/>
              </w:rPr>
            </w:pPr>
            <w:r w:rsidRPr="00D45B3D">
              <w:rPr>
                <w:sz w:val="18"/>
                <w:szCs w:val="18"/>
                <w:lang w:val="en-CA"/>
              </w:rPr>
              <w:t>Contribute to project monitoring and evaluation, be responsible for technical and financial reporting to UNDP and for incorporating lessons learned into knowledge sharing networks</w:t>
            </w:r>
          </w:p>
          <w:p w14:paraId="61B6C08A" w14:textId="77777777" w:rsidR="00302BFE" w:rsidRPr="00D45B3D" w:rsidRDefault="00302BFE" w:rsidP="00C46720">
            <w:pPr>
              <w:numPr>
                <w:ilvl w:val="0"/>
                <w:numId w:val="38"/>
              </w:numPr>
              <w:autoSpaceDN w:val="0"/>
              <w:spacing w:after="0"/>
              <w:jc w:val="left"/>
              <w:rPr>
                <w:sz w:val="18"/>
                <w:szCs w:val="18"/>
                <w:lang w:val="en-CA"/>
              </w:rPr>
            </w:pPr>
            <w:r w:rsidRPr="00D45B3D">
              <w:rPr>
                <w:sz w:val="18"/>
                <w:szCs w:val="18"/>
                <w:lang w:val="en-CA"/>
              </w:rPr>
              <w:t>Participate in the development and implementation of the monitoring and evaluation plan, including a contribution to the preparation of the Project Implementation Report (PIR).</w:t>
            </w:r>
          </w:p>
        </w:tc>
        <w:tc>
          <w:tcPr>
            <w:tcW w:w="6193" w:type="dxa"/>
            <w:tcBorders>
              <w:top w:val="single" w:sz="4" w:space="0" w:color="auto"/>
              <w:left w:val="single" w:sz="4" w:space="0" w:color="auto"/>
              <w:bottom w:val="single" w:sz="4" w:space="0" w:color="auto"/>
              <w:right w:val="single" w:sz="4" w:space="0" w:color="auto"/>
            </w:tcBorders>
            <w:vAlign w:val="center"/>
          </w:tcPr>
          <w:p w14:paraId="3B0546DA" w14:textId="77777777" w:rsidR="00302BFE" w:rsidRPr="00D45B3D" w:rsidRDefault="00302BFE" w:rsidP="00C46720">
            <w:pPr>
              <w:numPr>
                <w:ilvl w:val="0"/>
                <w:numId w:val="38"/>
              </w:numPr>
              <w:autoSpaceDN w:val="0"/>
              <w:spacing w:after="0"/>
              <w:jc w:val="left"/>
              <w:rPr>
                <w:sz w:val="18"/>
                <w:szCs w:val="18"/>
                <w:lang w:val="en-CA"/>
              </w:rPr>
            </w:pPr>
            <w:r w:rsidRPr="00D45B3D">
              <w:rPr>
                <w:sz w:val="18"/>
                <w:szCs w:val="18"/>
                <w:lang w:val="en-CA"/>
              </w:rPr>
              <w:lastRenderedPageBreak/>
              <w:t xml:space="preserve">DGEF will be kept informed of the activities and progress of the project on an ongoing </w:t>
            </w:r>
            <w:proofErr w:type="gramStart"/>
            <w:r w:rsidRPr="00D45B3D">
              <w:rPr>
                <w:sz w:val="18"/>
                <w:szCs w:val="18"/>
                <w:lang w:val="en-CA"/>
              </w:rPr>
              <w:t>basis;</w:t>
            </w:r>
            <w:proofErr w:type="gramEnd"/>
          </w:p>
          <w:p w14:paraId="547BE612" w14:textId="77777777" w:rsidR="00302BFE" w:rsidRPr="00D45B3D" w:rsidRDefault="00302BFE" w:rsidP="00C46720">
            <w:pPr>
              <w:numPr>
                <w:ilvl w:val="0"/>
                <w:numId w:val="38"/>
              </w:numPr>
              <w:autoSpaceDN w:val="0"/>
              <w:spacing w:after="0"/>
              <w:jc w:val="left"/>
              <w:rPr>
                <w:sz w:val="18"/>
                <w:szCs w:val="18"/>
                <w:lang w:val="en-CA"/>
              </w:rPr>
            </w:pPr>
            <w:r w:rsidRPr="00D45B3D">
              <w:rPr>
                <w:sz w:val="18"/>
                <w:szCs w:val="18"/>
                <w:lang w:val="en-CA"/>
              </w:rPr>
              <w:t>The DGEF will lead the institutional changes related to the management of the PAs of the PONASI complex (output 2.1.1)</w:t>
            </w:r>
          </w:p>
          <w:p w14:paraId="30362851" w14:textId="77777777" w:rsidR="00302BFE" w:rsidRPr="00D45B3D" w:rsidRDefault="00302BFE" w:rsidP="00C46720">
            <w:pPr>
              <w:numPr>
                <w:ilvl w:val="0"/>
                <w:numId w:val="38"/>
              </w:numPr>
              <w:autoSpaceDN w:val="0"/>
              <w:spacing w:after="0"/>
              <w:jc w:val="left"/>
              <w:rPr>
                <w:sz w:val="18"/>
                <w:szCs w:val="18"/>
                <w:lang w:val="en-CA"/>
              </w:rPr>
            </w:pPr>
            <w:r w:rsidRPr="00D45B3D">
              <w:rPr>
                <w:sz w:val="18"/>
                <w:szCs w:val="18"/>
                <w:lang w:val="en-CA"/>
              </w:rPr>
              <w:t>The DGEF will coordinate sustainable management actions of protected areas including the KTFN, forest resources and biodiversity</w:t>
            </w:r>
          </w:p>
          <w:p w14:paraId="28B574DB" w14:textId="77777777" w:rsidR="00302BFE" w:rsidRPr="00D45B3D" w:rsidRDefault="00302BFE" w:rsidP="00C46720">
            <w:pPr>
              <w:numPr>
                <w:ilvl w:val="0"/>
                <w:numId w:val="38"/>
              </w:numPr>
              <w:autoSpaceDN w:val="0"/>
              <w:spacing w:after="0"/>
              <w:jc w:val="left"/>
              <w:rPr>
                <w:sz w:val="18"/>
                <w:szCs w:val="18"/>
                <w:lang w:val="en-CA"/>
              </w:rPr>
            </w:pPr>
            <w:r w:rsidRPr="00D45B3D">
              <w:rPr>
                <w:sz w:val="18"/>
                <w:szCs w:val="18"/>
                <w:lang w:val="en-CA"/>
              </w:rPr>
              <w:t>It will be responsible for management actions in the PNKT</w:t>
            </w:r>
          </w:p>
          <w:p w14:paraId="5450CFB2" w14:textId="77777777" w:rsidR="00302BFE" w:rsidRPr="00D45B3D" w:rsidRDefault="00302BFE" w:rsidP="00C46720">
            <w:pPr>
              <w:numPr>
                <w:ilvl w:val="0"/>
                <w:numId w:val="38"/>
              </w:numPr>
              <w:autoSpaceDN w:val="0"/>
              <w:spacing w:after="0"/>
              <w:jc w:val="left"/>
              <w:rPr>
                <w:sz w:val="18"/>
                <w:szCs w:val="18"/>
                <w:lang w:val="en-CA"/>
              </w:rPr>
            </w:pPr>
            <w:r w:rsidRPr="00D45B3D">
              <w:rPr>
                <w:sz w:val="18"/>
                <w:szCs w:val="18"/>
                <w:lang w:val="en-CA"/>
              </w:rPr>
              <w:lastRenderedPageBreak/>
              <w:t xml:space="preserve">The DGEF will contribute to the identification of the production sites for the NTFP sectors which will be developed in particular </w:t>
            </w:r>
            <w:proofErr w:type="gramStart"/>
            <w:r w:rsidRPr="00D45B3D">
              <w:rPr>
                <w:sz w:val="18"/>
                <w:szCs w:val="18"/>
                <w:lang w:val="en-CA"/>
              </w:rPr>
              <w:t>with regard to</w:t>
            </w:r>
            <w:proofErr w:type="gramEnd"/>
            <w:r w:rsidRPr="00D45B3D">
              <w:rPr>
                <w:sz w:val="18"/>
                <w:szCs w:val="18"/>
                <w:lang w:val="en-CA"/>
              </w:rPr>
              <w:t xml:space="preserve"> shea through the evaluation of the potential (output 3.3.5)</w:t>
            </w:r>
          </w:p>
          <w:p w14:paraId="3B3CCD36" w14:textId="77777777" w:rsidR="00302BFE" w:rsidRPr="00D45B3D" w:rsidRDefault="00302BFE" w:rsidP="00C46720">
            <w:pPr>
              <w:numPr>
                <w:ilvl w:val="0"/>
                <w:numId w:val="38"/>
              </w:numPr>
              <w:autoSpaceDN w:val="0"/>
              <w:spacing w:after="0"/>
              <w:jc w:val="left"/>
              <w:rPr>
                <w:rFonts w:eastAsia="Cambria"/>
                <w:sz w:val="18"/>
                <w:szCs w:val="18"/>
                <w:lang w:val="en-CA"/>
              </w:rPr>
            </w:pPr>
            <w:r w:rsidRPr="00D45B3D">
              <w:rPr>
                <w:sz w:val="18"/>
                <w:szCs w:val="18"/>
                <w:lang w:val="en-CA"/>
              </w:rPr>
              <w:t>It will coordinate anti-poaching actions (output 2.2.5)</w:t>
            </w:r>
          </w:p>
        </w:tc>
        <w:tc>
          <w:tcPr>
            <w:tcW w:w="1985" w:type="dxa"/>
            <w:tcBorders>
              <w:top w:val="single" w:sz="4" w:space="0" w:color="auto"/>
              <w:left w:val="single" w:sz="4" w:space="0" w:color="auto"/>
              <w:bottom w:val="single" w:sz="4" w:space="0" w:color="auto"/>
              <w:right w:val="single" w:sz="4" w:space="0" w:color="auto"/>
            </w:tcBorders>
            <w:vAlign w:val="center"/>
          </w:tcPr>
          <w:p w14:paraId="26995986" w14:textId="77777777" w:rsidR="00302BFE" w:rsidRPr="00D45B3D" w:rsidRDefault="00302BFE" w:rsidP="00243B15">
            <w:pPr>
              <w:pStyle w:val="PrformatHTML"/>
              <w:shd w:val="clear" w:color="auto" w:fill="FFFFFF"/>
              <w:rPr>
                <w:rFonts w:ascii="Calibri" w:hAnsi="Calibri" w:cs="Times New Roman"/>
                <w:sz w:val="18"/>
                <w:szCs w:val="18"/>
                <w:lang w:val="en-CA"/>
              </w:rPr>
            </w:pPr>
            <w:r w:rsidRPr="00D45B3D">
              <w:rPr>
                <w:rFonts w:ascii="Calibri" w:hAnsi="Calibri" w:cs="Times New Roman"/>
                <w:sz w:val="18"/>
                <w:szCs w:val="18"/>
                <w:lang w:val="en-CA"/>
              </w:rPr>
              <w:lastRenderedPageBreak/>
              <w:t>Achieve project results and outputs through better coordination and implementation of protected area management actions</w:t>
            </w:r>
          </w:p>
        </w:tc>
        <w:tc>
          <w:tcPr>
            <w:tcW w:w="850" w:type="dxa"/>
            <w:tcBorders>
              <w:top w:val="single" w:sz="4" w:space="0" w:color="auto"/>
              <w:left w:val="single" w:sz="4" w:space="0" w:color="auto"/>
              <w:bottom w:val="single" w:sz="4" w:space="0" w:color="auto"/>
              <w:right w:val="single" w:sz="4" w:space="0" w:color="auto"/>
            </w:tcBorders>
            <w:vAlign w:val="center"/>
          </w:tcPr>
          <w:p w14:paraId="640C3967" w14:textId="77777777" w:rsidR="00302BFE" w:rsidRPr="00E379FD" w:rsidRDefault="00302BFE" w:rsidP="00243B15">
            <w:pPr>
              <w:autoSpaceDN w:val="0"/>
              <w:spacing w:after="0"/>
              <w:jc w:val="left"/>
              <w:rPr>
                <w:sz w:val="18"/>
                <w:szCs w:val="18"/>
                <w:lang w:val="fr-CA"/>
              </w:rPr>
            </w:pPr>
            <w:r w:rsidRPr="00E379FD">
              <w:rPr>
                <w:sz w:val="18"/>
                <w:szCs w:val="18"/>
                <w:lang w:val="fr-CA"/>
              </w:rPr>
              <w:t>1, 2, 3; 4</w:t>
            </w:r>
          </w:p>
        </w:tc>
      </w:tr>
      <w:tr w:rsidR="00302BFE" w:rsidRPr="00E379FD" w14:paraId="3E504404"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4367EA0F" w14:textId="77777777" w:rsidR="00302BFE" w:rsidRPr="00D45B3D" w:rsidRDefault="00302BFE" w:rsidP="00243B15">
            <w:pPr>
              <w:shd w:val="clear" w:color="auto" w:fill="FFFFFF"/>
              <w:spacing w:after="0"/>
              <w:jc w:val="left"/>
              <w:rPr>
                <w:rStyle w:val="hps"/>
                <w:rFonts w:eastAsia="Cambria"/>
                <w:sz w:val="18"/>
                <w:szCs w:val="18"/>
                <w:lang w:val="en-CA"/>
              </w:rPr>
            </w:pPr>
            <w:bookmarkStart w:id="63" w:name="_Hlk8924170"/>
            <w:r w:rsidRPr="00D45B3D">
              <w:rPr>
                <w:rFonts w:eastAsia="Calibri"/>
                <w:b/>
                <w:sz w:val="18"/>
                <w:szCs w:val="18"/>
                <w:lang w:val="en-CA"/>
              </w:rPr>
              <w:t xml:space="preserve">National Office of Protected Areas </w:t>
            </w:r>
            <w:bookmarkEnd w:id="63"/>
            <w:r w:rsidRPr="00D45B3D">
              <w:rPr>
                <w:rFonts w:eastAsia="Calibri"/>
                <w:b/>
                <w:sz w:val="18"/>
                <w:szCs w:val="18"/>
                <w:lang w:val="en-CA"/>
              </w:rPr>
              <w:t>(OFINAP)</w:t>
            </w:r>
            <w:r w:rsidRPr="00D45B3D">
              <w:rPr>
                <w:rFonts w:eastAsia="Calibri"/>
                <w:sz w:val="18"/>
                <w:szCs w:val="18"/>
                <w:lang w:val="en-CA"/>
              </w:rPr>
              <w:t xml:space="preserve"> / </w:t>
            </w:r>
            <w:r w:rsidRPr="00D45B3D">
              <w:rPr>
                <w:rFonts w:eastAsia="Calibri"/>
                <w:b/>
                <w:sz w:val="18"/>
                <w:szCs w:val="18"/>
                <w:lang w:val="en-CA"/>
              </w:rPr>
              <w:t>MEGECC</w:t>
            </w:r>
          </w:p>
        </w:tc>
        <w:tc>
          <w:tcPr>
            <w:tcW w:w="3827" w:type="dxa"/>
            <w:tcBorders>
              <w:top w:val="single" w:sz="4" w:space="0" w:color="auto"/>
              <w:left w:val="single" w:sz="4" w:space="0" w:color="auto"/>
              <w:bottom w:val="single" w:sz="4" w:space="0" w:color="auto"/>
              <w:right w:val="single" w:sz="4" w:space="0" w:color="auto"/>
            </w:tcBorders>
            <w:vAlign w:val="center"/>
          </w:tcPr>
          <w:p w14:paraId="048B29D4" w14:textId="77777777" w:rsidR="00302BFE" w:rsidRPr="00D45B3D" w:rsidRDefault="00302BFE" w:rsidP="00243B15">
            <w:pPr>
              <w:spacing w:after="0"/>
              <w:ind w:firstLine="15"/>
              <w:jc w:val="left"/>
              <w:rPr>
                <w:sz w:val="18"/>
                <w:szCs w:val="18"/>
                <w:lang w:val="en-CA"/>
              </w:rPr>
            </w:pPr>
            <w:r w:rsidRPr="00D45B3D">
              <w:rPr>
                <w:sz w:val="18"/>
                <w:szCs w:val="18"/>
                <w:lang w:val="en-CA"/>
              </w:rPr>
              <w:t xml:space="preserve">OFINAP is responsible for the sustainable management of State forests and territorial communities; strengthen participatory management of natural and wildlife resources; to develop the partnership between the State, local authorities, civil society organizations and the private sector; promote all types of forest and wildlife resource management activities that can sustainably combat poverty; to set up a financing system adapted to conservation missions. In the project area, the </w:t>
            </w:r>
            <w:proofErr w:type="spellStart"/>
            <w:r w:rsidRPr="00D45B3D">
              <w:rPr>
                <w:sz w:val="18"/>
                <w:szCs w:val="18"/>
                <w:lang w:val="en-CA"/>
              </w:rPr>
              <w:t>Nazinga</w:t>
            </w:r>
            <w:proofErr w:type="spellEnd"/>
            <w:r w:rsidRPr="00D45B3D">
              <w:rPr>
                <w:sz w:val="18"/>
                <w:szCs w:val="18"/>
                <w:lang w:val="en-CA"/>
              </w:rPr>
              <w:t xml:space="preserve"> Game Ranch is under his responsibility.</w:t>
            </w:r>
          </w:p>
          <w:p w14:paraId="69D05E77" w14:textId="77777777" w:rsidR="00302BFE" w:rsidRPr="00D45B3D" w:rsidRDefault="00302BFE" w:rsidP="00243B15">
            <w:pPr>
              <w:autoSpaceDN w:val="0"/>
              <w:spacing w:after="0"/>
              <w:jc w:val="left"/>
              <w:rPr>
                <w:rFonts w:eastAsia="Cambria"/>
                <w:sz w:val="18"/>
                <w:szCs w:val="18"/>
                <w:lang w:val="en-CA"/>
              </w:rPr>
            </w:pPr>
            <w:r w:rsidRPr="00D45B3D">
              <w:rPr>
                <w:sz w:val="18"/>
                <w:szCs w:val="18"/>
                <w:lang w:val="en-CA"/>
              </w:rPr>
              <w:t>In this project it will:</w:t>
            </w:r>
          </w:p>
          <w:p w14:paraId="79C4DAC3" w14:textId="77777777" w:rsidR="00302BFE" w:rsidRPr="00D45B3D" w:rsidRDefault="00302BFE" w:rsidP="00C46720">
            <w:pPr>
              <w:numPr>
                <w:ilvl w:val="0"/>
                <w:numId w:val="38"/>
              </w:numPr>
              <w:autoSpaceDN w:val="0"/>
              <w:spacing w:after="0"/>
              <w:jc w:val="left"/>
              <w:rPr>
                <w:rFonts w:eastAsia="Cambria"/>
                <w:sz w:val="18"/>
                <w:szCs w:val="18"/>
                <w:lang w:val="en-CA"/>
              </w:rPr>
            </w:pPr>
            <w:r w:rsidRPr="00D45B3D">
              <w:rPr>
                <w:rFonts w:eastAsia="Cambria"/>
                <w:sz w:val="18"/>
                <w:szCs w:val="18"/>
                <w:lang w:val="en-CA"/>
              </w:rPr>
              <w:t xml:space="preserve">Contribute to the review of project technical, progress and evaluation </w:t>
            </w:r>
            <w:proofErr w:type="gramStart"/>
            <w:r w:rsidRPr="00D45B3D">
              <w:rPr>
                <w:rFonts w:eastAsia="Cambria"/>
                <w:sz w:val="18"/>
                <w:szCs w:val="18"/>
                <w:lang w:val="en-CA"/>
              </w:rPr>
              <w:t>reports;</w:t>
            </w:r>
            <w:proofErr w:type="gramEnd"/>
          </w:p>
          <w:p w14:paraId="10095B63" w14:textId="77777777" w:rsidR="00302BFE" w:rsidRPr="00D45B3D" w:rsidRDefault="00302BFE" w:rsidP="00C46720">
            <w:pPr>
              <w:numPr>
                <w:ilvl w:val="0"/>
                <w:numId w:val="38"/>
              </w:numPr>
              <w:autoSpaceDN w:val="0"/>
              <w:spacing w:after="0"/>
              <w:jc w:val="left"/>
              <w:rPr>
                <w:rFonts w:eastAsia="Cambria"/>
                <w:sz w:val="18"/>
                <w:szCs w:val="18"/>
                <w:lang w:val="en-CA"/>
              </w:rPr>
            </w:pPr>
            <w:r w:rsidRPr="00D45B3D">
              <w:rPr>
                <w:rFonts w:eastAsia="Cambria"/>
                <w:sz w:val="18"/>
                <w:szCs w:val="18"/>
                <w:lang w:val="en-CA"/>
              </w:rPr>
              <w:t>Contribute to the monitoring and evaluation of the project,</w:t>
            </w:r>
          </w:p>
          <w:p w14:paraId="520391D9" w14:textId="77777777" w:rsidR="00302BFE" w:rsidRPr="00D45B3D" w:rsidRDefault="00302BFE" w:rsidP="00C46720">
            <w:pPr>
              <w:numPr>
                <w:ilvl w:val="0"/>
                <w:numId w:val="38"/>
              </w:numPr>
              <w:autoSpaceDN w:val="0"/>
              <w:spacing w:after="0"/>
              <w:jc w:val="left"/>
              <w:rPr>
                <w:sz w:val="18"/>
                <w:szCs w:val="18"/>
                <w:lang w:val="en-CA"/>
              </w:rPr>
            </w:pPr>
            <w:r w:rsidRPr="00D45B3D">
              <w:rPr>
                <w:rFonts w:eastAsia="Cambria"/>
                <w:sz w:val="18"/>
                <w:szCs w:val="18"/>
                <w:lang w:val="en-CA"/>
              </w:rPr>
              <w:t>Participate in the development and implementation of the monitoring and evaluation plan, including a contribution to the preparation of the Annual Project Implementation Report</w:t>
            </w:r>
          </w:p>
        </w:tc>
        <w:tc>
          <w:tcPr>
            <w:tcW w:w="6193" w:type="dxa"/>
            <w:tcBorders>
              <w:top w:val="single" w:sz="4" w:space="0" w:color="auto"/>
              <w:left w:val="single" w:sz="4" w:space="0" w:color="auto"/>
              <w:bottom w:val="single" w:sz="4" w:space="0" w:color="auto"/>
              <w:right w:val="single" w:sz="4" w:space="0" w:color="auto"/>
            </w:tcBorders>
            <w:vAlign w:val="center"/>
          </w:tcPr>
          <w:p w14:paraId="6DFF041A" w14:textId="77777777" w:rsidR="00302BFE" w:rsidRPr="00D45B3D" w:rsidRDefault="00302BFE" w:rsidP="00C46720">
            <w:pPr>
              <w:numPr>
                <w:ilvl w:val="0"/>
                <w:numId w:val="38"/>
              </w:numPr>
              <w:autoSpaceDN w:val="0"/>
              <w:spacing w:after="0"/>
              <w:jc w:val="left"/>
              <w:rPr>
                <w:sz w:val="18"/>
                <w:szCs w:val="18"/>
                <w:lang w:val="en-CA"/>
              </w:rPr>
            </w:pPr>
            <w:r w:rsidRPr="00D45B3D">
              <w:rPr>
                <w:sz w:val="18"/>
                <w:szCs w:val="18"/>
                <w:lang w:val="en-CA"/>
              </w:rPr>
              <w:t xml:space="preserve">OFINAP will contribute to sustainable management actions of protected areas and coordinate actions at </w:t>
            </w:r>
            <w:proofErr w:type="spellStart"/>
            <w:r w:rsidRPr="00D45B3D">
              <w:rPr>
                <w:sz w:val="18"/>
                <w:szCs w:val="18"/>
                <w:lang w:val="en-CA"/>
              </w:rPr>
              <w:t>Nazinga</w:t>
            </w:r>
            <w:proofErr w:type="spellEnd"/>
            <w:r w:rsidRPr="00D45B3D">
              <w:rPr>
                <w:sz w:val="18"/>
                <w:szCs w:val="18"/>
                <w:lang w:val="en-CA"/>
              </w:rPr>
              <w:t xml:space="preserve"> (output 2.1.1)</w:t>
            </w:r>
          </w:p>
          <w:p w14:paraId="6B4D4437" w14:textId="77777777" w:rsidR="00302BFE" w:rsidRPr="00D45B3D" w:rsidRDefault="00302BFE" w:rsidP="00C46720">
            <w:pPr>
              <w:numPr>
                <w:ilvl w:val="0"/>
                <w:numId w:val="38"/>
              </w:numPr>
              <w:autoSpaceDN w:val="0"/>
              <w:spacing w:after="0"/>
              <w:jc w:val="left"/>
              <w:rPr>
                <w:sz w:val="18"/>
                <w:szCs w:val="18"/>
                <w:lang w:val="en-CA"/>
              </w:rPr>
            </w:pPr>
            <w:r w:rsidRPr="00D45B3D">
              <w:rPr>
                <w:sz w:val="18"/>
                <w:szCs w:val="18"/>
                <w:lang w:val="en-CA"/>
              </w:rPr>
              <w:t>OFINAP will contribute to anti-poaching actions (LAB) (output 2.2.5)</w:t>
            </w:r>
          </w:p>
          <w:p w14:paraId="0E3EEC0B" w14:textId="77777777" w:rsidR="00302BFE" w:rsidRPr="00D45B3D" w:rsidRDefault="00302BFE" w:rsidP="00C46720">
            <w:pPr>
              <w:numPr>
                <w:ilvl w:val="0"/>
                <w:numId w:val="38"/>
              </w:numPr>
              <w:autoSpaceDN w:val="0"/>
              <w:spacing w:after="0"/>
              <w:jc w:val="left"/>
              <w:rPr>
                <w:sz w:val="18"/>
                <w:szCs w:val="18"/>
                <w:lang w:val="en-CA"/>
              </w:rPr>
            </w:pPr>
            <w:r w:rsidRPr="00D45B3D">
              <w:rPr>
                <w:sz w:val="18"/>
                <w:szCs w:val="18"/>
                <w:lang w:val="en-CA"/>
              </w:rPr>
              <w:t>The Office will also contribute to the development of transboundary agreements, elaboration of texts and study on elephant movement (output 2.4.2)</w:t>
            </w:r>
          </w:p>
          <w:p w14:paraId="1EF2116E" w14:textId="77777777" w:rsidR="00302BFE" w:rsidRPr="00D45B3D" w:rsidRDefault="00302BFE" w:rsidP="00C46720">
            <w:pPr>
              <w:numPr>
                <w:ilvl w:val="0"/>
                <w:numId w:val="38"/>
              </w:numPr>
              <w:autoSpaceDN w:val="0"/>
              <w:spacing w:after="0"/>
              <w:jc w:val="left"/>
              <w:rPr>
                <w:rFonts w:eastAsia="Times New Roman"/>
                <w:sz w:val="18"/>
                <w:szCs w:val="18"/>
                <w:lang w:val="en-CA"/>
              </w:rPr>
            </w:pPr>
            <w:r w:rsidRPr="00D45B3D">
              <w:rPr>
                <w:sz w:val="18"/>
                <w:szCs w:val="18"/>
                <w:lang w:val="en-CA"/>
              </w:rPr>
              <w:t>OFINAP will sit on the Review Committee.</w:t>
            </w:r>
          </w:p>
        </w:tc>
        <w:tc>
          <w:tcPr>
            <w:tcW w:w="1985" w:type="dxa"/>
            <w:tcBorders>
              <w:top w:val="single" w:sz="4" w:space="0" w:color="auto"/>
              <w:left w:val="single" w:sz="4" w:space="0" w:color="auto"/>
              <w:bottom w:val="single" w:sz="4" w:space="0" w:color="auto"/>
              <w:right w:val="single" w:sz="4" w:space="0" w:color="auto"/>
            </w:tcBorders>
            <w:vAlign w:val="center"/>
          </w:tcPr>
          <w:p w14:paraId="47935B9D" w14:textId="77777777" w:rsidR="00302BFE" w:rsidRPr="00D45B3D" w:rsidRDefault="00302BFE" w:rsidP="00243B15">
            <w:pPr>
              <w:pStyle w:val="PrformatHTML"/>
              <w:shd w:val="clear" w:color="auto" w:fill="FFFFFF"/>
              <w:rPr>
                <w:rFonts w:ascii="Calibri" w:hAnsi="Calibri" w:cs="Times New Roman"/>
                <w:sz w:val="18"/>
                <w:szCs w:val="18"/>
                <w:lang w:val="en-CA"/>
              </w:rPr>
            </w:pPr>
            <w:r w:rsidRPr="00D45B3D">
              <w:rPr>
                <w:rFonts w:ascii="Calibri" w:hAnsi="Calibri" w:cs="Times New Roman"/>
                <w:sz w:val="18"/>
                <w:szCs w:val="18"/>
                <w:lang w:val="en-CA"/>
              </w:rPr>
              <w:t>Achieve project results and outputs through better coordination and implementation of protected area management actions</w:t>
            </w:r>
          </w:p>
        </w:tc>
        <w:tc>
          <w:tcPr>
            <w:tcW w:w="850" w:type="dxa"/>
            <w:tcBorders>
              <w:top w:val="single" w:sz="4" w:space="0" w:color="auto"/>
              <w:left w:val="single" w:sz="4" w:space="0" w:color="auto"/>
              <w:bottom w:val="single" w:sz="4" w:space="0" w:color="auto"/>
              <w:right w:val="single" w:sz="4" w:space="0" w:color="auto"/>
            </w:tcBorders>
            <w:vAlign w:val="center"/>
          </w:tcPr>
          <w:p w14:paraId="7B2E67C7" w14:textId="77777777" w:rsidR="00302BFE" w:rsidRPr="00E379FD" w:rsidRDefault="00302BFE" w:rsidP="00243B15">
            <w:pPr>
              <w:autoSpaceDN w:val="0"/>
              <w:spacing w:after="0"/>
              <w:jc w:val="left"/>
              <w:rPr>
                <w:rFonts w:eastAsia="Cambria"/>
                <w:sz w:val="18"/>
                <w:szCs w:val="18"/>
                <w:lang w:val="fr-CA"/>
              </w:rPr>
            </w:pPr>
            <w:r w:rsidRPr="00E379FD">
              <w:rPr>
                <w:sz w:val="18"/>
                <w:szCs w:val="18"/>
                <w:lang w:val="fr-CA"/>
              </w:rPr>
              <w:t>1; 2; 3; 4</w:t>
            </w:r>
          </w:p>
        </w:tc>
      </w:tr>
      <w:tr w:rsidR="00302BFE" w:rsidRPr="00276A8C" w14:paraId="2AF3EC84"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284E17B5" w14:textId="77777777" w:rsidR="00302BFE" w:rsidRPr="00D45B3D" w:rsidRDefault="00302BFE" w:rsidP="00243B15">
            <w:pPr>
              <w:shd w:val="clear" w:color="auto" w:fill="FFFFFF"/>
              <w:spacing w:after="0"/>
              <w:jc w:val="left"/>
              <w:rPr>
                <w:rFonts w:eastAsia="Calibri"/>
                <w:b/>
                <w:sz w:val="18"/>
                <w:szCs w:val="18"/>
                <w:lang w:val="en-CA"/>
              </w:rPr>
            </w:pPr>
            <w:r w:rsidRPr="00D45B3D">
              <w:rPr>
                <w:rFonts w:eastAsia="Calibri"/>
                <w:b/>
                <w:sz w:val="18"/>
                <w:szCs w:val="18"/>
                <w:lang w:val="en-CA"/>
              </w:rPr>
              <w:t>National School of Water and Forests (ENEF) / MEGECC</w:t>
            </w:r>
          </w:p>
        </w:tc>
        <w:tc>
          <w:tcPr>
            <w:tcW w:w="3827" w:type="dxa"/>
            <w:tcBorders>
              <w:top w:val="single" w:sz="4" w:space="0" w:color="auto"/>
              <w:left w:val="single" w:sz="4" w:space="0" w:color="auto"/>
              <w:bottom w:val="single" w:sz="4" w:space="0" w:color="auto"/>
              <w:right w:val="single" w:sz="4" w:space="0" w:color="auto"/>
            </w:tcBorders>
            <w:vAlign w:val="center"/>
          </w:tcPr>
          <w:p w14:paraId="56F054D1" w14:textId="77777777" w:rsidR="00302BFE" w:rsidRPr="00D45B3D" w:rsidRDefault="00302BFE" w:rsidP="00243B15">
            <w:pPr>
              <w:spacing w:after="0"/>
              <w:ind w:firstLine="15"/>
              <w:jc w:val="left"/>
              <w:rPr>
                <w:sz w:val="18"/>
                <w:szCs w:val="18"/>
                <w:lang w:val="en-CA"/>
              </w:rPr>
            </w:pPr>
            <w:r w:rsidRPr="00D45B3D">
              <w:rPr>
                <w:sz w:val="18"/>
                <w:szCs w:val="18"/>
                <w:lang w:val="en-CA"/>
              </w:rPr>
              <w:t xml:space="preserve">ENEF offers theoretical training programs organized in modules covering topics relevant to the training required in the project, the study of the natural environment, farming systems, development economics, pastoralism, forestry, and environment, develops research / development and experimentation in training units on topics including </w:t>
            </w:r>
            <w:proofErr w:type="spellStart"/>
            <w:r w:rsidRPr="00D45B3D">
              <w:rPr>
                <w:sz w:val="18"/>
                <w:szCs w:val="18"/>
                <w:lang w:val="en-CA"/>
              </w:rPr>
              <w:t>agro</w:t>
            </w:r>
            <w:proofErr w:type="spellEnd"/>
            <w:r w:rsidRPr="00D45B3D">
              <w:rPr>
                <w:sz w:val="18"/>
                <w:szCs w:val="18"/>
                <w:lang w:val="en-CA"/>
              </w:rPr>
              <w:t xml:space="preserve">-forestry, </w:t>
            </w:r>
            <w:r w:rsidRPr="00D45B3D">
              <w:rPr>
                <w:sz w:val="18"/>
                <w:szCs w:val="18"/>
                <w:lang w:val="en-CA"/>
              </w:rPr>
              <w:lastRenderedPageBreak/>
              <w:t xml:space="preserve">apiculture, fruit production and </w:t>
            </w:r>
            <w:proofErr w:type="spellStart"/>
            <w:r w:rsidRPr="00D45B3D">
              <w:rPr>
                <w:sz w:val="18"/>
                <w:szCs w:val="18"/>
                <w:lang w:val="en-CA"/>
              </w:rPr>
              <w:t>agro</w:t>
            </w:r>
            <w:proofErr w:type="spellEnd"/>
            <w:r w:rsidRPr="00D45B3D">
              <w:rPr>
                <w:sz w:val="18"/>
                <w:szCs w:val="18"/>
                <w:lang w:val="en-CA"/>
              </w:rPr>
              <w:t>-</w:t>
            </w:r>
            <w:proofErr w:type="spellStart"/>
            <w:r w:rsidRPr="00D45B3D">
              <w:rPr>
                <w:sz w:val="18"/>
                <w:szCs w:val="18"/>
                <w:lang w:val="en-CA"/>
              </w:rPr>
              <w:t>silvo</w:t>
            </w:r>
            <w:proofErr w:type="spellEnd"/>
            <w:r w:rsidRPr="00D45B3D">
              <w:rPr>
                <w:sz w:val="18"/>
                <w:szCs w:val="18"/>
                <w:lang w:val="en-CA"/>
              </w:rPr>
              <w:t>-pastoralism, and practical training in school infrastructure (agroforestry experimental field, plant nursery, beekeeping unit).</w:t>
            </w:r>
          </w:p>
        </w:tc>
        <w:tc>
          <w:tcPr>
            <w:tcW w:w="6193" w:type="dxa"/>
            <w:tcBorders>
              <w:top w:val="single" w:sz="4" w:space="0" w:color="auto"/>
              <w:left w:val="single" w:sz="4" w:space="0" w:color="auto"/>
              <w:bottom w:val="single" w:sz="4" w:space="0" w:color="auto"/>
              <w:right w:val="single" w:sz="4" w:space="0" w:color="auto"/>
            </w:tcBorders>
            <w:vAlign w:val="center"/>
          </w:tcPr>
          <w:p w14:paraId="5CF2BC80" w14:textId="77777777" w:rsidR="00302BFE" w:rsidRPr="00D45B3D" w:rsidRDefault="00302BFE" w:rsidP="00243B15">
            <w:pPr>
              <w:autoSpaceDN w:val="0"/>
              <w:spacing w:after="0"/>
              <w:jc w:val="left"/>
              <w:rPr>
                <w:sz w:val="18"/>
                <w:szCs w:val="18"/>
                <w:lang w:val="en-CA"/>
              </w:rPr>
            </w:pPr>
            <w:r w:rsidRPr="00D45B3D">
              <w:rPr>
                <w:sz w:val="18"/>
                <w:szCs w:val="18"/>
                <w:lang w:val="en-CA"/>
              </w:rPr>
              <w:lastRenderedPageBreak/>
              <w:t>The project will collaborate with ENEF for several trainings planned under the outputs 3.1, 3.2 and 3.3 where the expertise of the school will greatly benefit local community members, more specifically:</w:t>
            </w:r>
          </w:p>
          <w:p w14:paraId="67366DE3" w14:textId="77777777" w:rsidR="00302BFE" w:rsidRPr="00D45B3D" w:rsidRDefault="00302BFE" w:rsidP="00C46720">
            <w:pPr>
              <w:numPr>
                <w:ilvl w:val="0"/>
                <w:numId w:val="38"/>
              </w:numPr>
              <w:autoSpaceDN w:val="0"/>
              <w:spacing w:after="0"/>
              <w:jc w:val="left"/>
              <w:rPr>
                <w:sz w:val="18"/>
                <w:szCs w:val="18"/>
                <w:lang w:val="en-CA"/>
              </w:rPr>
            </w:pPr>
            <w:r w:rsidRPr="00D45B3D">
              <w:rPr>
                <w:sz w:val="18"/>
                <w:szCs w:val="18"/>
                <w:lang w:val="en-CA"/>
              </w:rPr>
              <w:t xml:space="preserve">trainings and development of training material and the establishment of demonstration sites as part of output 3.1.3 to support producers and groups in </w:t>
            </w:r>
            <w:proofErr w:type="spellStart"/>
            <w:r w:rsidRPr="00D45B3D">
              <w:rPr>
                <w:sz w:val="18"/>
                <w:szCs w:val="18"/>
                <w:lang w:val="en-CA"/>
              </w:rPr>
              <w:t>agro</w:t>
            </w:r>
            <w:proofErr w:type="spellEnd"/>
            <w:r w:rsidRPr="00D45B3D">
              <w:rPr>
                <w:sz w:val="18"/>
                <w:szCs w:val="18"/>
                <w:lang w:val="en-CA"/>
              </w:rPr>
              <w:t xml:space="preserve">-forestry and </w:t>
            </w:r>
            <w:proofErr w:type="spellStart"/>
            <w:r w:rsidRPr="00D45B3D">
              <w:rPr>
                <w:sz w:val="18"/>
                <w:szCs w:val="18"/>
                <w:lang w:val="en-CA"/>
              </w:rPr>
              <w:t>agro</w:t>
            </w:r>
            <w:proofErr w:type="spellEnd"/>
            <w:r w:rsidRPr="00D45B3D">
              <w:rPr>
                <w:sz w:val="18"/>
                <w:szCs w:val="18"/>
                <w:lang w:val="en-CA"/>
              </w:rPr>
              <w:t>-</w:t>
            </w:r>
            <w:proofErr w:type="spellStart"/>
            <w:r w:rsidRPr="00D45B3D">
              <w:rPr>
                <w:sz w:val="18"/>
                <w:szCs w:val="18"/>
                <w:lang w:val="en-CA"/>
              </w:rPr>
              <w:t>silvo</w:t>
            </w:r>
            <w:proofErr w:type="spellEnd"/>
            <w:r w:rsidRPr="00D45B3D">
              <w:rPr>
                <w:sz w:val="18"/>
                <w:szCs w:val="18"/>
                <w:lang w:val="en-CA"/>
              </w:rPr>
              <w:t>-pastoralism,</w:t>
            </w:r>
          </w:p>
          <w:p w14:paraId="2E22932E" w14:textId="77777777" w:rsidR="00302BFE" w:rsidRPr="00D45B3D" w:rsidRDefault="00302BFE" w:rsidP="00C46720">
            <w:pPr>
              <w:numPr>
                <w:ilvl w:val="0"/>
                <w:numId w:val="38"/>
              </w:numPr>
              <w:autoSpaceDN w:val="0"/>
              <w:spacing w:after="0"/>
              <w:jc w:val="left"/>
              <w:rPr>
                <w:sz w:val="18"/>
                <w:szCs w:val="18"/>
                <w:lang w:val="en-CA"/>
              </w:rPr>
            </w:pPr>
            <w:r w:rsidRPr="00D45B3D">
              <w:rPr>
                <w:sz w:val="18"/>
                <w:szCs w:val="18"/>
                <w:lang w:val="en-CA"/>
              </w:rPr>
              <w:t>trainings on improved practices for rangeland and pasture management as part of output 3.2.2,</w:t>
            </w:r>
          </w:p>
          <w:p w14:paraId="7F750CE5" w14:textId="77777777" w:rsidR="00302BFE" w:rsidRPr="00D45B3D" w:rsidRDefault="00302BFE" w:rsidP="00C46720">
            <w:pPr>
              <w:numPr>
                <w:ilvl w:val="0"/>
                <w:numId w:val="38"/>
              </w:numPr>
              <w:autoSpaceDN w:val="0"/>
              <w:spacing w:after="0"/>
              <w:jc w:val="left"/>
              <w:rPr>
                <w:sz w:val="18"/>
                <w:szCs w:val="18"/>
                <w:lang w:val="en-CA"/>
              </w:rPr>
            </w:pPr>
            <w:r w:rsidRPr="00D45B3D">
              <w:rPr>
                <w:sz w:val="18"/>
                <w:szCs w:val="18"/>
                <w:lang w:val="en-CA"/>
              </w:rPr>
              <w:lastRenderedPageBreak/>
              <w:t>trainings on the sustainable use of non-timber forest products and on beekeeping as part of output 3.3.5.</w:t>
            </w:r>
          </w:p>
        </w:tc>
        <w:tc>
          <w:tcPr>
            <w:tcW w:w="1985" w:type="dxa"/>
            <w:tcBorders>
              <w:top w:val="single" w:sz="4" w:space="0" w:color="auto"/>
              <w:left w:val="single" w:sz="4" w:space="0" w:color="auto"/>
              <w:bottom w:val="single" w:sz="4" w:space="0" w:color="auto"/>
              <w:right w:val="single" w:sz="4" w:space="0" w:color="auto"/>
            </w:tcBorders>
            <w:vAlign w:val="center"/>
          </w:tcPr>
          <w:p w14:paraId="487CAE71" w14:textId="77777777" w:rsidR="00302BFE" w:rsidRPr="00D45B3D" w:rsidRDefault="00302BFE" w:rsidP="00243B15">
            <w:pPr>
              <w:pStyle w:val="PrformatHTML"/>
              <w:shd w:val="clear" w:color="auto" w:fill="FFFFFF"/>
              <w:rPr>
                <w:rFonts w:ascii="Calibri" w:hAnsi="Calibri" w:cs="Times New Roman"/>
                <w:sz w:val="18"/>
                <w:szCs w:val="18"/>
                <w:lang w:val="en-CA"/>
              </w:rPr>
            </w:pPr>
            <w:r w:rsidRPr="00D45B3D">
              <w:rPr>
                <w:rFonts w:ascii="Calibri" w:hAnsi="Calibri" w:cs="Times New Roman"/>
                <w:sz w:val="18"/>
                <w:szCs w:val="18"/>
                <w:lang w:val="en-CA"/>
              </w:rPr>
              <w:lastRenderedPageBreak/>
              <w:t>More sustainable capacity development as training modules improved through the project will be integrated in the curriculum of the school.</w:t>
            </w:r>
          </w:p>
        </w:tc>
        <w:tc>
          <w:tcPr>
            <w:tcW w:w="850" w:type="dxa"/>
            <w:tcBorders>
              <w:top w:val="single" w:sz="4" w:space="0" w:color="auto"/>
              <w:left w:val="single" w:sz="4" w:space="0" w:color="auto"/>
              <w:bottom w:val="single" w:sz="4" w:space="0" w:color="auto"/>
              <w:right w:val="single" w:sz="4" w:space="0" w:color="auto"/>
            </w:tcBorders>
            <w:vAlign w:val="center"/>
          </w:tcPr>
          <w:p w14:paraId="723D0BA0" w14:textId="77777777" w:rsidR="00302BFE" w:rsidRPr="00276A8C" w:rsidRDefault="00302BFE" w:rsidP="00243B15">
            <w:pPr>
              <w:autoSpaceDN w:val="0"/>
              <w:spacing w:after="0"/>
              <w:jc w:val="left"/>
              <w:rPr>
                <w:sz w:val="18"/>
                <w:szCs w:val="18"/>
                <w:lang w:val="en-CA"/>
              </w:rPr>
            </w:pPr>
            <w:r w:rsidRPr="00276A8C">
              <w:rPr>
                <w:sz w:val="18"/>
                <w:szCs w:val="18"/>
                <w:lang w:val="en-CA"/>
              </w:rPr>
              <w:t>3, 4</w:t>
            </w:r>
          </w:p>
        </w:tc>
      </w:tr>
      <w:tr w:rsidR="00302BFE" w:rsidRPr="00E379FD" w14:paraId="31ADBA2F"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6AC5534D" w14:textId="77777777" w:rsidR="00302BFE" w:rsidRPr="00D45B3D" w:rsidRDefault="00302BFE" w:rsidP="00243B15">
            <w:pPr>
              <w:shd w:val="clear" w:color="auto" w:fill="FFFFFF"/>
              <w:spacing w:after="0"/>
              <w:jc w:val="left"/>
              <w:rPr>
                <w:rStyle w:val="hps"/>
                <w:rFonts w:eastAsia="Cambria"/>
                <w:sz w:val="18"/>
                <w:szCs w:val="18"/>
                <w:lang w:val="en-CA"/>
              </w:rPr>
            </w:pPr>
            <w:r w:rsidRPr="00D45B3D">
              <w:rPr>
                <w:rStyle w:val="hps"/>
                <w:sz w:val="18"/>
                <w:szCs w:val="18"/>
                <w:lang w:val="en-CA"/>
              </w:rPr>
              <w:t>National Observatory of the Environment and Sustainable Development / MEGECC</w:t>
            </w:r>
          </w:p>
        </w:tc>
        <w:tc>
          <w:tcPr>
            <w:tcW w:w="3827" w:type="dxa"/>
            <w:tcBorders>
              <w:top w:val="single" w:sz="4" w:space="0" w:color="auto"/>
              <w:left w:val="single" w:sz="4" w:space="0" w:color="auto"/>
              <w:bottom w:val="single" w:sz="4" w:space="0" w:color="auto"/>
              <w:right w:val="single" w:sz="4" w:space="0" w:color="auto"/>
            </w:tcBorders>
            <w:vAlign w:val="center"/>
          </w:tcPr>
          <w:p w14:paraId="2F199886" w14:textId="77777777" w:rsidR="00302BFE" w:rsidRPr="00D45B3D" w:rsidRDefault="00302BFE" w:rsidP="00243B15">
            <w:pPr>
              <w:pStyle w:val="NormalWeb"/>
              <w:spacing w:before="0" w:beforeAutospacing="0" w:after="0" w:afterAutospacing="0"/>
              <w:jc w:val="left"/>
              <w:rPr>
                <w:rFonts w:ascii="Calibri" w:hAnsi="Calibri"/>
                <w:sz w:val="18"/>
                <w:szCs w:val="18"/>
                <w:lang w:val="en-CA"/>
              </w:rPr>
            </w:pPr>
            <w:r w:rsidRPr="00D45B3D">
              <w:rPr>
                <w:rFonts w:ascii="Calibri" w:hAnsi="Calibri"/>
                <w:sz w:val="18"/>
                <w:szCs w:val="18"/>
                <w:lang w:val="en-CA"/>
              </w:rPr>
              <w:t>ONEDD is a mechanism providing support to the SP-CNDD and its various divisions (DPCIE, DPE and DCIME) in terms of surveillance and monitoring-evaluation of the environment and sustainable development.</w:t>
            </w:r>
          </w:p>
          <w:p w14:paraId="03FD27B9" w14:textId="77777777" w:rsidR="00302BFE" w:rsidRPr="00D45B3D" w:rsidRDefault="00302BFE" w:rsidP="00243B15">
            <w:pPr>
              <w:pStyle w:val="NormalWeb"/>
              <w:spacing w:before="0" w:beforeAutospacing="0" w:after="0" w:afterAutospacing="0"/>
              <w:jc w:val="left"/>
              <w:rPr>
                <w:rFonts w:ascii="Calibri" w:hAnsi="Calibri"/>
                <w:sz w:val="18"/>
                <w:szCs w:val="18"/>
                <w:lang w:val="fr-CA"/>
              </w:rPr>
            </w:pPr>
            <w:r w:rsidRPr="00D45B3D">
              <w:rPr>
                <w:rFonts w:ascii="Calibri" w:hAnsi="Calibri"/>
                <w:sz w:val="18"/>
                <w:szCs w:val="18"/>
                <w:lang w:val="en-CA"/>
              </w:rPr>
              <w:t xml:space="preserve">As part of the project, ONEDD will provide direct support for monitoring and evaluation, support for the development of data collection tools and data capitalization. </w:t>
            </w:r>
            <w:proofErr w:type="spellStart"/>
            <w:r w:rsidRPr="00D45B3D">
              <w:rPr>
                <w:rFonts w:ascii="Calibri" w:hAnsi="Calibri"/>
                <w:sz w:val="18"/>
                <w:szCs w:val="18"/>
                <w:lang w:val="fr-CA"/>
              </w:rPr>
              <w:t>Its</w:t>
            </w:r>
            <w:proofErr w:type="spellEnd"/>
            <w:r w:rsidRPr="00D45B3D">
              <w:rPr>
                <w:rFonts w:ascii="Calibri" w:hAnsi="Calibri"/>
                <w:sz w:val="18"/>
                <w:szCs w:val="18"/>
                <w:lang w:val="fr-CA"/>
              </w:rPr>
              <w:t xml:space="preserve"> </w:t>
            </w:r>
            <w:proofErr w:type="spellStart"/>
            <w:r w:rsidRPr="00D45B3D">
              <w:rPr>
                <w:rFonts w:ascii="Calibri" w:hAnsi="Calibri"/>
                <w:sz w:val="18"/>
                <w:szCs w:val="18"/>
                <w:lang w:val="fr-CA"/>
              </w:rPr>
              <w:t>role</w:t>
            </w:r>
            <w:proofErr w:type="spellEnd"/>
            <w:r w:rsidRPr="00D45B3D">
              <w:rPr>
                <w:rFonts w:ascii="Calibri" w:hAnsi="Calibri"/>
                <w:sz w:val="18"/>
                <w:szCs w:val="18"/>
                <w:lang w:val="fr-CA"/>
              </w:rPr>
              <w:t xml:space="preserve"> </w:t>
            </w:r>
            <w:proofErr w:type="spellStart"/>
            <w:r w:rsidRPr="00D45B3D">
              <w:rPr>
                <w:rFonts w:ascii="Calibri" w:hAnsi="Calibri"/>
                <w:sz w:val="18"/>
                <w:szCs w:val="18"/>
                <w:lang w:val="fr-CA"/>
              </w:rPr>
              <w:t>will</w:t>
            </w:r>
            <w:proofErr w:type="spellEnd"/>
            <w:r w:rsidRPr="00D45B3D">
              <w:rPr>
                <w:rFonts w:ascii="Calibri" w:hAnsi="Calibri"/>
                <w:sz w:val="18"/>
                <w:szCs w:val="18"/>
                <w:lang w:val="fr-CA"/>
              </w:rPr>
              <w:t xml:space="preserve"> </w:t>
            </w:r>
            <w:proofErr w:type="spellStart"/>
            <w:r w:rsidRPr="00D45B3D">
              <w:rPr>
                <w:rFonts w:ascii="Calibri" w:hAnsi="Calibri"/>
                <w:sz w:val="18"/>
                <w:szCs w:val="18"/>
                <w:lang w:val="fr-CA"/>
              </w:rPr>
              <w:t>be</w:t>
            </w:r>
            <w:proofErr w:type="spellEnd"/>
            <w:r w:rsidRPr="00D45B3D">
              <w:rPr>
                <w:rFonts w:ascii="Calibri" w:hAnsi="Calibri"/>
                <w:sz w:val="18"/>
                <w:szCs w:val="18"/>
                <w:lang w:val="fr-CA"/>
              </w:rPr>
              <w:t xml:space="preserve"> coaching, </w:t>
            </w:r>
            <w:proofErr w:type="spellStart"/>
            <w:r w:rsidRPr="00D45B3D">
              <w:rPr>
                <w:rFonts w:ascii="Calibri" w:hAnsi="Calibri"/>
                <w:sz w:val="18"/>
                <w:szCs w:val="18"/>
                <w:lang w:val="fr-CA"/>
              </w:rPr>
              <w:t>technical</w:t>
            </w:r>
            <w:proofErr w:type="spellEnd"/>
            <w:r w:rsidRPr="00D45B3D">
              <w:rPr>
                <w:rFonts w:ascii="Calibri" w:hAnsi="Calibri"/>
                <w:sz w:val="18"/>
                <w:szCs w:val="18"/>
                <w:lang w:val="fr-CA"/>
              </w:rPr>
              <w:t xml:space="preserve"> support and training.</w:t>
            </w:r>
          </w:p>
        </w:tc>
        <w:tc>
          <w:tcPr>
            <w:tcW w:w="6193" w:type="dxa"/>
            <w:tcBorders>
              <w:top w:val="single" w:sz="4" w:space="0" w:color="auto"/>
              <w:left w:val="single" w:sz="4" w:space="0" w:color="auto"/>
              <w:bottom w:val="single" w:sz="4" w:space="0" w:color="auto"/>
              <w:right w:val="single" w:sz="4" w:space="0" w:color="auto"/>
            </w:tcBorders>
            <w:vAlign w:val="center"/>
          </w:tcPr>
          <w:p w14:paraId="21E98BEC" w14:textId="77777777" w:rsidR="00302BFE" w:rsidRPr="00D45B3D" w:rsidRDefault="00302BFE" w:rsidP="00C46720">
            <w:pPr>
              <w:numPr>
                <w:ilvl w:val="0"/>
                <w:numId w:val="38"/>
              </w:numPr>
              <w:autoSpaceDN w:val="0"/>
              <w:spacing w:after="0"/>
              <w:jc w:val="left"/>
              <w:rPr>
                <w:sz w:val="18"/>
                <w:szCs w:val="18"/>
                <w:lang w:val="fr-CA"/>
              </w:rPr>
            </w:pPr>
            <w:r w:rsidRPr="00D45B3D">
              <w:rPr>
                <w:sz w:val="18"/>
                <w:szCs w:val="18"/>
                <w:lang w:val="en-CA"/>
              </w:rPr>
              <w:t xml:space="preserve">Participation in the project by sharing lessons learned on the development and management of a decision support system, and by providing data and technical inputs to the landscape information system (output 1.2) and baselines. </w:t>
            </w:r>
            <w:r w:rsidRPr="00D45B3D">
              <w:rPr>
                <w:sz w:val="18"/>
                <w:szCs w:val="18"/>
                <w:lang w:val="fr-CA"/>
              </w:rPr>
              <w:t>GIS data for the PONASI PA system (</w:t>
            </w:r>
            <w:r w:rsidRPr="00D45B3D">
              <w:rPr>
                <w:sz w:val="18"/>
                <w:szCs w:val="18"/>
                <w:lang w:val="en-CA"/>
              </w:rPr>
              <w:t xml:space="preserve">output </w:t>
            </w:r>
            <w:r w:rsidRPr="00D45B3D">
              <w:rPr>
                <w:sz w:val="18"/>
                <w:szCs w:val="18"/>
                <w:lang w:val="fr-CA"/>
              </w:rPr>
              <w:t>2. 1.2)</w:t>
            </w:r>
          </w:p>
        </w:tc>
        <w:tc>
          <w:tcPr>
            <w:tcW w:w="1985" w:type="dxa"/>
            <w:tcBorders>
              <w:top w:val="single" w:sz="4" w:space="0" w:color="auto"/>
              <w:left w:val="single" w:sz="4" w:space="0" w:color="auto"/>
              <w:bottom w:val="single" w:sz="4" w:space="0" w:color="auto"/>
              <w:right w:val="single" w:sz="4" w:space="0" w:color="auto"/>
            </w:tcBorders>
            <w:vAlign w:val="center"/>
          </w:tcPr>
          <w:p w14:paraId="17A99A8E" w14:textId="77777777" w:rsidR="00302BFE" w:rsidRPr="00D45B3D" w:rsidRDefault="00302BFE" w:rsidP="00243B15">
            <w:pPr>
              <w:pStyle w:val="PrformatHTML"/>
              <w:shd w:val="clear" w:color="auto" w:fill="FFFFFF"/>
              <w:rPr>
                <w:rFonts w:ascii="Calibri" w:hAnsi="Calibri" w:cs="Times New Roman"/>
                <w:sz w:val="18"/>
                <w:szCs w:val="18"/>
                <w:lang w:val="en-CA"/>
              </w:rPr>
            </w:pPr>
            <w:r w:rsidRPr="00D45B3D">
              <w:rPr>
                <w:rFonts w:ascii="Calibri" w:hAnsi="Calibri" w:cs="Times New Roman"/>
                <w:sz w:val="18"/>
                <w:szCs w:val="18"/>
                <w:lang w:val="en-CA"/>
              </w:rPr>
              <w:t>Achieve project results and outputs through improved information availability to facilitate decision-making</w:t>
            </w:r>
          </w:p>
        </w:tc>
        <w:tc>
          <w:tcPr>
            <w:tcW w:w="850" w:type="dxa"/>
            <w:tcBorders>
              <w:top w:val="single" w:sz="4" w:space="0" w:color="auto"/>
              <w:left w:val="single" w:sz="4" w:space="0" w:color="auto"/>
              <w:bottom w:val="single" w:sz="4" w:space="0" w:color="auto"/>
              <w:right w:val="single" w:sz="4" w:space="0" w:color="auto"/>
            </w:tcBorders>
            <w:vAlign w:val="center"/>
          </w:tcPr>
          <w:p w14:paraId="609AE771" w14:textId="77777777" w:rsidR="00302BFE" w:rsidRPr="00E379FD" w:rsidRDefault="00302BFE" w:rsidP="00243B15">
            <w:pPr>
              <w:autoSpaceDN w:val="0"/>
              <w:spacing w:after="0"/>
              <w:jc w:val="left"/>
              <w:rPr>
                <w:sz w:val="18"/>
                <w:szCs w:val="18"/>
                <w:lang w:val="fr-CA"/>
              </w:rPr>
            </w:pPr>
            <w:r w:rsidRPr="00E379FD">
              <w:rPr>
                <w:sz w:val="18"/>
                <w:szCs w:val="18"/>
                <w:lang w:val="fr-CA"/>
              </w:rPr>
              <w:t>1; 2; 3; 4</w:t>
            </w:r>
          </w:p>
        </w:tc>
      </w:tr>
      <w:tr w:rsidR="00302BFE" w:rsidRPr="00E379FD" w14:paraId="21C8A095"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70CC78A2" w14:textId="77777777" w:rsidR="00302BFE" w:rsidRPr="00B960B4" w:rsidRDefault="00302BFE" w:rsidP="00243B15">
            <w:pPr>
              <w:spacing w:after="0"/>
              <w:jc w:val="left"/>
              <w:rPr>
                <w:rStyle w:val="hps"/>
                <w:rFonts w:eastAsia="Calibri"/>
                <w:iCs/>
                <w:sz w:val="18"/>
                <w:szCs w:val="18"/>
                <w:lang w:val="en-CA"/>
              </w:rPr>
            </w:pPr>
            <w:r w:rsidRPr="00B960B4">
              <w:rPr>
                <w:rFonts w:eastAsia="Calibri"/>
                <w:sz w:val="18"/>
                <w:szCs w:val="18"/>
                <w:lang w:val="en-CA"/>
              </w:rPr>
              <w:t>National Directorate of Tourism, National Office of Tourism / Ministry of Culture and Tourism</w:t>
            </w:r>
          </w:p>
        </w:tc>
        <w:tc>
          <w:tcPr>
            <w:tcW w:w="3827" w:type="dxa"/>
            <w:tcBorders>
              <w:top w:val="single" w:sz="4" w:space="0" w:color="auto"/>
              <w:left w:val="single" w:sz="4" w:space="0" w:color="auto"/>
              <w:bottom w:val="single" w:sz="4" w:space="0" w:color="auto"/>
              <w:right w:val="single" w:sz="4" w:space="0" w:color="auto"/>
            </w:tcBorders>
            <w:vAlign w:val="center"/>
          </w:tcPr>
          <w:p w14:paraId="6F3CDDB4" w14:textId="77777777" w:rsidR="00302BFE" w:rsidRPr="00B960B4" w:rsidRDefault="00302BFE" w:rsidP="00243B15">
            <w:pPr>
              <w:autoSpaceDN w:val="0"/>
              <w:spacing w:after="0"/>
              <w:jc w:val="left"/>
              <w:rPr>
                <w:rFonts w:eastAsia="Cambria"/>
                <w:sz w:val="18"/>
                <w:szCs w:val="18"/>
                <w:lang w:val="en-CA"/>
              </w:rPr>
            </w:pPr>
            <w:r w:rsidRPr="00B960B4">
              <w:rPr>
                <w:rFonts w:eastAsia="Calibri"/>
                <w:sz w:val="18"/>
                <w:szCs w:val="18"/>
                <w:lang w:val="en-CA"/>
              </w:rPr>
              <w:t>The National Directorate of Tourism and the National Tourist Office will play the roles of supervision and technical support for the development of ecotourism</w:t>
            </w:r>
          </w:p>
        </w:tc>
        <w:tc>
          <w:tcPr>
            <w:tcW w:w="6193" w:type="dxa"/>
            <w:tcBorders>
              <w:top w:val="single" w:sz="4" w:space="0" w:color="auto"/>
              <w:left w:val="single" w:sz="4" w:space="0" w:color="auto"/>
              <w:bottom w:val="single" w:sz="4" w:space="0" w:color="auto"/>
              <w:right w:val="single" w:sz="4" w:space="0" w:color="auto"/>
            </w:tcBorders>
            <w:vAlign w:val="center"/>
          </w:tcPr>
          <w:p w14:paraId="0D12302A" w14:textId="77777777" w:rsidR="00302BFE" w:rsidRPr="00232D5D" w:rsidRDefault="00302BFE" w:rsidP="00243B15">
            <w:pPr>
              <w:autoSpaceDN w:val="0"/>
              <w:spacing w:after="0"/>
              <w:jc w:val="left"/>
              <w:rPr>
                <w:sz w:val="18"/>
                <w:szCs w:val="18"/>
                <w:lang w:val="en-CA"/>
              </w:rPr>
            </w:pPr>
            <w:r w:rsidRPr="00232D5D">
              <w:rPr>
                <w:sz w:val="18"/>
                <w:szCs w:val="18"/>
                <w:lang w:val="en-CA"/>
              </w:rPr>
              <w:t>Contribution to the planning and implementation of ecotourism activities related to PAs (</w:t>
            </w:r>
            <w:r>
              <w:rPr>
                <w:sz w:val="18"/>
                <w:szCs w:val="18"/>
                <w:lang w:val="en-CA"/>
              </w:rPr>
              <w:t>output</w:t>
            </w:r>
            <w:r w:rsidRPr="00616C8C">
              <w:rPr>
                <w:sz w:val="18"/>
                <w:szCs w:val="18"/>
                <w:lang w:val="en-CA"/>
              </w:rPr>
              <w:t xml:space="preserve"> </w:t>
            </w:r>
            <w:r w:rsidRPr="00232D5D">
              <w:rPr>
                <w:sz w:val="18"/>
                <w:szCs w:val="18"/>
                <w:lang w:val="en-CA"/>
              </w:rPr>
              <w:t>3.4.3).</w:t>
            </w:r>
          </w:p>
        </w:tc>
        <w:tc>
          <w:tcPr>
            <w:tcW w:w="1985" w:type="dxa"/>
            <w:tcBorders>
              <w:top w:val="single" w:sz="4" w:space="0" w:color="auto"/>
              <w:left w:val="single" w:sz="4" w:space="0" w:color="auto"/>
              <w:bottom w:val="single" w:sz="4" w:space="0" w:color="auto"/>
              <w:right w:val="single" w:sz="4" w:space="0" w:color="auto"/>
            </w:tcBorders>
            <w:vAlign w:val="center"/>
          </w:tcPr>
          <w:p w14:paraId="0DCE72C8" w14:textId="77777777" w:rsidR="00302BFE" w:rsidRPr="00CF4D08" w:rsidRDefault="00302BFE" w:rsidP="00243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eastAsia="Calibri"/>
                <w:sz w:val="18"/>
                <w:szCs w:val="18"/>
                <w:lang w:val="en-CA"/>
              </w:rPr>
            </w:pPr>
            <w:r w:rsidRPr="00CF4D08">
              <w:rPr>
                <w:rFonts w:eastAsia="Calibri"/>
                <w:sz w:val="18"/>
                <w:szCs w:val="18"/>
                <w:lang w:val="en-CA"/>
              </w:rPr>
              <w:t>Achieve results and products related to ecotourism development and livelihood development of communities from tourism</w:t>
            </w:r>
          </w:p>
        </w:tc>
        <w:tc>
          <w:tcPr>
            <w:tcW w:w="850" w:type="dxa"/>
            <w:tcBorders>
              <w:top w:val="single" w:sz="4" w:space="0" w:color="auto"/>
              <w:left w:val="single" w:sz="4" w:space="0" w:color="auto"/>
              <w:bottom w:val="single" w:sz="4" w:space="0" w:color="auto"/>
              <w:right w:val="single" w:sz="4" w:space="0" w:color="auto"/>
            </w:tcBorders>
            <w:vAlign w:val="center"/>
          </w:tcPr>
          <w:p w14:paraId="44162CFC" w14:textId="77777777" w:rsidR="00302BFE" w:rsidRPr="00E379FD" w:rsidRDefault="00302BFE" w:rsidP="00243B15">
            <w:pPr>
              <w:autoSpaceDN w:val="0"/>
              <w:spacing w:after="0"/>
              <w:jc w:val="left"/>
              <w:rPr>
                <w:sz w:val="18"/>
                <w:szCs w:val="18"/>
                <w:lang w:val="fr-CA"/>
              </w:rPr>
            </w:pPr>
            <w:r w:rsidRPr="00E379FD">
              <w:rPr>
                <w:rFonts w:eastAsia="Calibri"/>
                <w:sz w:val="18"/>
                <w:szCs w:val="18"/>
                <w:lang w:val="fr-CA"/>
              </w:rPr>
              <w:t>2; 3</w:t>
            </w:r>
          </w:p>
        </w:tc>
      </w:tr>
      <w:tr w:rsidR="00302BFE" w:rsidRPr="00E379FD" w14:paraId="5558198B"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28C53039" w14:textId="77777777" w:rsidR="00302BFE" w:rsidRPr="00B960B4" w:rsidRDefault="00302BFE" w:rsidP="00243B15">
            <w:pPr>
              <w:shd w:val="clear" w:color="auto" w:fill="FFFFFF"/>
              <w:spacing w:after="0"/>
              <w:jc w:val="left"/>
              <w:rPr>
                <w:b/>
                <w:iCs/>
                <w:sz w:val="18"/>
                <w:szCs w:val="18"/>
                <w:lang w:val="en-CA"/>
              </w:rPr>
            </w:pPr>
            <w:r w:rsidRPr="00B960B4">
              <w:rPr>
                <w:sz w:val="18"/>
                <w:szCs w:val="18"/>
                <w:shd w:val="clear" w:color="auto" w:fill="FFFFFF"/>
                <w:lang w:val="en-CA"/>
              </w:rPr>
              <w:t xml:space="preserve">Regional directorates of agriculture and hydro-agricultural development for the South Center, East </w:t>
            </w:r>
            <w:proofErr w:type="gramStart"/>
            <w:r w:rsidRPr="00B960B4">
              <w:rPr>
                <w:sz w:val="18"/>
                <w:szCs w:val="18"/>
                <w:shd w:val="clear" w:color="auto" w:fill="FFFFFF"/>
                <w:lang w:val="en-CA"/>
              </w:rPr>
              <w:t>Center</w:t>
            </w:r>
            <w:proofErr w:type="gramEnd"/>
            <w:r w:rsidRPr="00B960B4">
              <w:rPr>
                <w:sz w:val="18"/>
                <w:szCs w:val="18"/>
                <w:shd w:val="clear" w:color="auto" w:fill="FFFFFF"/>
                <w:lang w:val="en-CA"/>
              </w:rPr>
              <w:t xml:space="preserve"> and West Center regions</w:t>
            </w:r>
          </w:p>
        </w:tc>
        <w:tc>
          <w:tcPr>
            <w:tcW w:w="3827" w:type="dxa"/>
            <w:tcBorders>
              <w:top w:val="single" w:sz="4" w:space="0" w:color="auto"/>
              <w:left w:val="single" w:sz="4" w:space="0" w:color="auto"/>
              <w:bottom w:val="single" w:sz="4" w:space="0" w:color="auto"/>
              <w:right w:val="single" w:sz="4" w:space="0" w:color="auto"/>
            </w:tcBorders>
            <w:vAlign w:val="center"/>
          </w:tcPr>
          <w:p w14:paraId="2FD7C81C" w14:textId="77777777" w:rsidR="00302BFE" w:rsidRPr="00B960B4" w:rsidRDefault="00302BFE" w:rsidP="00C46720">
            <w:pPr>
              <w:numPr>
                <w:ilvl w:val="0"/>
                <w:numId w:val="38"/>
              </w:numPr>
              <w:autoSpaceDN w:val="0"/>
              <w:spacing w:after="0"/>
              <w:jc w:val="left"/>
              <w:rPr>
                <w:sz w:val="18"/>
                <w:szCs w:val="18"/>
                <w:lang w:val="en-CA"/>
              </w:rPr>
            </w:pPr>
            <w:r w:rsidRPr="00B960B4">
              <w:rPr>
                <w:sz w:val="18"/>
                <w:szCs w:val="18"/>
                <w:lang w:val="en-CA"/>
              </w:rPr>
              <w:t>The Directorates in charge of agriculture will be members of the Project Review Committee</w:t>
            </w:r>
          </w:p>
          <w:p w14:paraId="0424A601" w14:textId="77777777" w:rsidR="00302BFE" w:rsidRPr="00B960B4" w:rsidRDefault="00302BFE" w:rsidP="00C46720">
            <w:pPr>
              <w:numPr>
                <w:ilvl w:val="0"/>
                <w:numId w:val="38"/>
              </w:numPr>
              <w:autoSpaceDN w:val="0"/>
              <w:spacing w:after="0"/>
              <w:jc w:val="left"/>
              <w:rPr>
                <w:sz w:val="18"/>
                <w:szCs w:val="18"/>
                <w:lang w:val="en-CA"/>
              </w:rPr>
            </w:pPr>
            <w:r w:rsidRPr="00B960B4">
              <w:rPr>
                <w:sz w:val="18"/>
                <w:szCs w:val="18"/>
                <w:lang w:val="en-CA"/>
              </w:rPr>
              <w:t>They will play the roles of coaching and technical support and training</w:t>
            </w:r>
          </w:p>
        </w:tc>
        <w:tc>
          <w:tcPr>
            <w:tcW w:w="6193" w:type="dxa"/>
            <w:tcBorders>
              <w:top w:val="single" w:sz="4" w:space="0" w:color="auto"/>
              <w:left w:val="single" w:sz="4" w:space="0" w:color="auto"/>
              <w:bottom w:val="single" w:sz="4" w:space="0" w:color="auto"/>
              <w:right w:val="single" w:sz="4" w:space="0" w:color="auto"/>
            </w:tcBorders>
            <w:vAlign w:val="center"/>
          </w:tcPr>
          <w:p w14:paraId="0D0120F3" w14:textId="77777777" w:rsidR="00302BFE" w:rsidRPr="00232D5D" w:rsidRDefault="00302BFE" w:rsidP="00C46720">
            <w:pPr>
              <w:numPr>
                <w:ilvl w:val="0"/>
                <w:numId w:val="38"/>
              </w:numPr>
              <w:autoSpaceDN w:val="0"/>
              <w:spacing w:after="0"/>
              <w:jc w:val="left"/>
              <w:rPr>
                <w:rStyle w:val="hps"/>
                <w:sz w:val="18"/>
                <w:szCs w:val="18"/>
                <w:lang w:val="en-CA"/>
              </w:rPr>
            </w:pPr>
            <w:r w:rsidRPr="00232D5D">
              <w:rPr>
                <w:rStyle w:val="hps"/>
                <w:sz w:val="18"/>
                <w:szCs w:val="18"/>
                <w:lang w:val="en-CA"/>
              </w:rPr>
              <w:t>The regional directorates responsible for agriculture will provide local support for producers (</w:t>
            </w:r>
            <w:r>
              <w:rPr>
                <w:sz w:val="18"/>
                <w:szCs w:val="18"/>
                <w:lang w:val="en-CA"/>
              </w:rPr>
              <w:t>output</w:t>
            </w:r>
            <w:r w:rsidRPr="00616C8C">
              <w:rPr>
                <w:sz w:val="18"/>
                <w:szCs w:val="18"/>
                <w:lang w:val="en-CA"/>
              </w:rPr>
              <w:t xml:space="preserve"> </w:t>
            </w:r>
            <w:r w:rsidRPr="00232D5D">
              <w:rPr>
                <w:rStyle w:val="hps"/>
                <w:sz w:val="18"/>
                <w:szCs w:val="18"/>
                <w:lang w:val="en-CA"/>
              </w:rPr>
              <w:t>3.1.3). They will contribute to planning activities related to SLM, community livelihoods development and monitoring and evaluation.</w:t>
            </w:r>
          </w:p>
          <w:p w14:paraId="7F59C0AC" w14:textId="77777777" w:rsidR="00302BFE" w:rsidRPr="00232D5D" w:rsidRDefault="00302BFE" w:rsidP="00C46720">
            <w:pPr>
              <w:numPr>
                <w:ilvl w:val="0"/>
                <w:numId w:val="38"/>
              </w:numPr>
              <w:autoSpaceDN w:val="0"/>
              <w:spacing w:after="0"/>
              <w:jc w:val="left"/>
              <w:rPr>
                <w:rStyle w:val="hps"/>
                <w:sz w:val="18"/>
                <w:szCs w:val="18"/>
                <w:lang w:val="en-CA"/>
              </w:rPr>
            </w:pPr>
            <w:r w:rsidRPr="00232D5D">
              <w:rPr>
                <w:rStyle w:val="hps"/>
                <w:sz w:val="18"/>
                <w:szCs w:val="18"/>
                <w:lang w:val="en-CA"/>
              </w:rPr>
              <w:t xml:space="preserve">The Regional Directorates of Agriculture will be kept informed of the activities and progress of the project on an ongoing </w:t>
            </w:r>
            <w:proofErr w:type="gramStart"/>
            <w:r w:rsidRPr="00232D5D">
              <w:rPr>
                <w:rStyle w:val="hps"/>
                <w:sz w:val="18"/>
                <w:szCs w:val="18"/>
                <w:lang w:val="en-CA"/>
              </w:rPr>
              <w:t>basis;</w:t>
            </w:r>
            <w:proofErr w:type="gramEnd"/>
          </w:p>
          <w:p w14:paraId="314181BE" w14:textId="77777777" w:rsidR="00302BFE" w:rsidRPr="00232D5D" w:rsidRDefault="00302BFE" w:rsidP="00C46720">
            <w:pPr>
              <w:numPr>
                <w:ilvl w:val="0"/>
                <w:numId w:val="38"/>
              </w:numPr>
              <w:autoSpaceDN w:val="0"/>
              <w:spacing w:after="0"/>
              <w:jc w:val="left"/>
              <w:rPr>
                <w:sz w:val="18"/>
                <w:szCs w:val="18"/>
                <w:lang w:val="en-CA"/>
              </w:rPr>
            </w:pPr>
            <w:r w:rsidRPr="00232D5D">
              <w:rPr>
                <w:rStyle w:val="hps"/>
                <w:sz w:val="18"/>
                <w:szCs w:val="18"/>
                <w:lang w:val="en-CA"/>
              </w:rPr>
              <w:t>The Regional Directorates of Agriculture will be invited to receive training under component 1 for capacity building to lead the processes of planning, consultation, conflict management, negotiation (</w:t>
            </w:r>
            <w:r>
              <w:rPr>
                <w:sz w:val="18"/>
                <w:szCs w:val="18"/>
                <w:lang w:val="en-CA"/>
              </w:rPr>
              <w:t>output</w:t>
            </w:r>
            <w:r w:rsidRPr="00616C8C">
              <w:rPr>
                <w:sz w:val="18"/>
                <w:szCs w:val="18"/>
                <w:lang w:val="en-CA"/>
              </w:rPr>
              <w:t xml:space="preserve"> </w:t>
            </w:r>
            <w:r w:rsidRPr="00232D5D">
              <w:rPr>
                <w:rStyle w:val="hps"/>
                <w:sz w:val="18"/>
                <w:szCs w:val="18"/>
                <w:lang w:val="en-CA"/>
              </w:rPr>
              <w:t>1.1.3), Collaborative management of PAs (</w:t>
            </w:r>
            <w:r>
              <w:rPr>
                <w:sz w:val="18"/>
                <w:szCs w:val="18"/>
                <w:lang w:val="en-CA"/>
              </w:rPr>
              <w:t>output</w:t>
            </w:r>
            <w:r w:rsidRPr="00616C8C">
              <w:rPr>
                <w:sz w:val="18"/>
                <w:szCs w:val="18"/>
                <w:lang w:val="en-CA"/>
              </w:rPr>
              <w:t xml:space="preserve"> </w:t>
            </w:r>
            <w:r w:rsidRPr="00232D5D">
              <w:rPr>
                <w:rStyle w:val="hps"/>
                <w:sz w:val="18"/>
                <w:szCs w:val="18"/>
                <w:lang w:val="en-CA"/>
              </w:rPr>
              <w:t xml:space="preserve">2.1.1), and to get involved in planning negotiations, negotiations for the development of the PONASI Landscape Management Master </w:t>
            </w:r>
            <w:proofErr w:type="spellStart"/>
            <w:r w:rsidRPr="00232D5D">
              <w:rPr>
                <w:rStyle w:val="hps"/>
                <w:sz w:val="18"/>
                <w:szCs w:val="18"/>
                <w:lang w:val="en-CA"/>
              </w:rPr>
              <w:t>Plan.They</w:t>
            </w:r>
            <w:proofErr w:type="spellEnd"/>
            <w:r w:rsidRPr="00232D5D">
              <w:rPr>
                <w:rStyle w:val="hps"/>
                <w:sz w:val="18"/>
                <w:szCs w:val="18"/>
                <w:lang w:val="en-CA"/>
              </w:rPr>
              <w:t xml:space="preserve"> will participate in the planning and implementation of interventions at local level (</w:t>
            </w:r>
            <w:r>
              <w:rPr>
                <w:sz w:val="18"/>
                <w:szCs w:val="18"/>
                <w:lang w:val="en-CA"/>
              </w:rPr>
              <w:t>output</w:t>
            </w:r>
            <w:r w:rsidRPr="00616C8C">
              <w:rPr>
                <w:sz w:val="18"/>
                <w:szCs w:val="18"/>
                <w:lang w:val="en-CA"/>
              </w:rPr>
              <w:t xml:space="preserve"> </w:t>
            </w:r>
            <w:r w:rsidRPr="00232D5D">
              <w:rPr>
                <w:rStyle w:val="hps"/>
                <w:sz w:val="18"/>
                <w:szCs w:val="18"/>
                <w:lang w:val="en-CA"/>
              </w:rPr>
              <w:t>3.1.1)</w:t>
            </w:r>
          </w:p>
        </w:tc>
        <w:tc>
          <w:tcPr>
            <w:tcW w:w="1985" w:type="dxa"/>
            <w:tcBorders>
              <w:top w:val="single" w:sz="4" w:space="0" w:color="auto"/>
              <w:left w:val="single" w:sz="4" w:space="0" w:color="auto"/>
              <w:bottom w:val="single" w:sz="4" w:space="0" w:color="auto"/>
              <w:right w:val="single" w:sz="4" w:space="0" w:color="auto"/>
            </w:tcBorders>
            <w:vAlign w:val="center"/>
          </w:tcPr>
          <w:p w14:paraId="391B2838" w14:textId="77777777" w:rsidR="00302BFE" w:rsidRPr="00CF4D08" w:rsidRDefault="00302BFE" w:rsidP="00243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eastAsia="Calibri"/>
                <w:sz w:val="18"/>
                <w:szCs w:val="18"/>
                <w:lang w:val="en-CA"/>
              </w:rPr>
            </w:pPr>
            <w:r w:rsidRPr="00CF4D08">
              <w:rPr>
                <w:rFonts w:eastAsia="Calibri"/>
                <w:sz w:val="18"/>
                <w:szCs w:val="18"/>
                <w:lang w:val="en-CA"/>
              </w:rPr>
              <w:t>Reaching results and products related to SLM and livelihood development of communities from agriculture</w:t>
            </w:r>
          </w:p>
        </w:tc>
        <w:tc>
          <w:tcPr>
            <w:tcW w:w="850" w:type="dxa"/>
            <w:tcBorders>
              <w:top w:val="single" w:sz="4" w:space="0" w:color="auto"/>
              <w:left w:val="single" w:sz="4" w:space="0" w:color="auto"/>
              <w:bottom w:val="single" w:sz="4" w:space="0" w:color="auto"/>
              <w:right w:val="single" w:sz="4" w:space="0" w:color="auto"/>
            </w:tcBorders>
            <w:vAlign w:val="center"/>
          </w:tcPr>
          <w:p w14:paraId="61E2D026" w14:textId="77777777" w:rsidR="00302BFE" w:rsidRPr="00E379FD" w:rsidRDefault="00302BFE" w:rsidP="00243B15">
            <w:pPr>
              <w:autoSpaceDN w:val="0"/>
              <w:spacing w:after="0"/>
              <w:jc w:val="left"/>
              <w:rPr>
                <w:sz w:val="18"/>
                <w:szCs w:val="18"/>
                <w:lang w:val="fr-CA"/>
              </w:rPr>
            </w:pPr>
            <w:r w:rsidRPr="00E379FD">
              <w:rPr>
                <w:sz w:val="18"/>
                <w:szCs w:val="18"/>
                <w:lang w:val="fr-CA"/>
              </w:rPr>
              <w:t xml:space="preserve">3 </w:t>
            </w:r>
          </w:p>
        </w:tc>
      </w:tr>
      <w:tr w:rsidR="00302BFE" w:rsidRPr="00E379FD" w14:paraId="6DFE262C"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2FD8DE3C" w14:textId="77777777" w:rsidR="00302BFE" w:rsidRPr="00B960B4" w:rsidRDefault="00302BFE" w:rsidP="00243B15">
            <w:pPr>
              <w:shd w:val="clear" w:color="auto" w:fill="FFFFFF"/>
              <w:spacing w:after="0"/>
              <w:jc w:val="left"/>
              <w:rPr>
                <w:rFonts w:eastAsia="Calibri"/>
                <w:sz w:val="18"/>
                <w:szCs w:val="18"/>
                <w:lang w:val="en-CA"/>
              </w:rPr>
            </w:pPr>
            <w:r w:rsidRPr="00B960B4">
              <w:rPr>
                <w:rFonts w:eastAsia="Calibri"/>
                <w:sz w:val="18"/>
                <w:szCs w:val="18"/>
                <w:lang w:val="en-CA"/>
              </w:rPr>
              <w:t xml:space="preserve">Regional Directorate for Livestock and Fishery Resources for the South Center, East </w:t>
            </w:r>
            <w:proofErr w:type="gramStart"/>
            <w:r w:rsidRPr="00B960B4">
              <w:rPr>
                <w:rFonts w:eastAsia="Calibri"/>
                <w:sz w:val="18"/>
                <w:szCs w:val="18"/>
                <w:lang w:val="en-CA"/>
              </w:rPr>
              <w:t>Center</w:t>
            </w:r>
            <w:proofErr w:type="gramEnd"/>
            <w:r w:rsidRPr="00B960B4">
              <w:rPr>
                <w:rFonts w:eastAsia="Calibri"/>
                <w:sz w:val="18"/>
                <w:szCs w:val="18"/>
                <w:lang w:val="en-CA"/>
              </w:rPr>
              <w:t xml:space="preserve"> and West Center Regions</w:t>
            </w:r>
          </w:p>
        </w:tc>
        <w:tc>
          <w:tcPr>
            <w:tcW w:w="3827" w:type="dxa"/>
            <w:tcBorders>
              <w:top w:val="single" w:sz="4" w:space="0" w:color="auto"/>
              <w:left w:val="single" w:sz="4" w:space="0" w:color="auto"/>
              <w:bottom w:val="single" w:sz="4" w:space="0" w:color="auto"/>
              <w:right w:val="single" w:sz="4" w:space="0" w:color="auto"/>
            </w:tcBorders>
            <w:vAlign w:val="center"/>
          </w:tcPr>
          <w:p w14:paraId="2DD27D7D" w14:textId="77777777" w:rsidR="00302BFE" w:rsidRPr="00B960B4" w:rsidRDefault="00302BFE" w:rsidP="00C46720">
            <w:pPr>
              <w:numPr>
                <w:ilvl w:val="0"/>
                <w:numId w:val="38"/>
              </w:numPr>
              <w:autoSpaceDN w:val="0"/>
              <w:spacing w:after="0"/>
              <w:jc w:val="left"/>
              <w:rPr>
                <w:sz w:val="18"/>
                <w:szCs w:val="18"/>
                <w:lang w:val="en-CA"/>
              </w:rPr>
            </w:pPr>
            <w:r w:rsidRPr="00B960B4">
              <w:rPr>
                <w:sz w:val="18"/>
                <w:szCs w:val="18"/>
                <w:lang w:val="en-CA"/>
              </w:rPr>
              <w:t>The directorates responsible for livestock and fishery resources will be members of the Project Review Committee</w:t>
            </w:r>
          </w:p>
          <w:p w14:paraId="7F24E824" w14:textId="77777777" w:rsidR="00302BFE" w:rsidRPr="00B960B4" w:rsidRDefault="00302BFE" w:rsidP="00C46720">
            <w:pPr>
              <w:numPr>
                <w:ilvl w:val="0"/>
                <w:numId w:val="38"/>
              </w:numPr>
              <w:autoSpaceDN w:val="0"/>
              <w:spacing w:after="0"/>
              <w:jc w:val="left"/>
              <w:rPr>
                <w:sz w:val="18"/>
                <w:szCs w:val="18"/>
                <w:lang w:val="en-CA"/>
              </w:rPr>
            </w:pPr>
            <w:r w:rsidRPr="00B960B4">
              <w:rPr>
                <w:sz w:val="18"/>
                <w:szCs w:val="18"/>
                <w:lang w:val="en-CA"/>
              </w:rPr>
              <w:t>They will play the roles of coaching and technical support and training</w:t>
            </w:r>
          </w:p>
        </w:tc>
        <w:tc>
          <w:tcPr>
            <w:tcW w:w="6193" w:type="dxa"/>
            <w:tcBorders>
              <w:top w:val="single" w:sz="4" w:space="0" w:color="auto"/>
              <w:left w:val="single" w:sz="4" w:space="0" w:color="auto"/>
              <w:bottom w:val="single" w:sz="4" w:space="0" w:color="auto"/>
              <w:right w:val="single" w:sz="4" w:space="0" w:color="auto"/>
            </w:tcBorders>
            <w:vAlign w:val="center"/>
          </w:tcPr>
          <w:p w14:paraId="45EAB513" w14:textId="77777777" w:rsidR="00302BFE" w:rsidRPr="00243B15" w:rsidRDefault="00302BFE" w:rsidP="00C46720">
            <w:pPr>
              <w:numPr>
                <w:ilvl w:val="0"/>
                <w:numId w:val="38"/>
              </w:numPr>
              <w:autoSpaceDN w:val="0"/>
              <w:spacing w:after="0"/>
              <w:jc w:val="left"/>
              <w:rPr>
                <w:rFonts w:eastAsia="Cambria"/>
                <w:sz w:val="18"/>
                <w:szCs w:val="18"/>
                <w:lang w:val="en-CA"/>
              </w:rPr>
            </w:pPr>
            <w:r w:rsidRPr="00232D5D">
              <w:rPr>
                <w:sz w:val="18"/>
                <w:szCs w:val="18"/>
                <w:lang w:val="en-CA" w:eastAsia="de-DE" w:bidi="as-IN"/>
              </w:rPr>
              <w:t>The regional directorates responsible for livestock and fishery resources will provide local support for herders (</w:t>
            </w:r>
            <w:r>
              <w:rPr>
                <w:sz w:val="18"/>
                <w:szCs w:val="18"/>
                <w:lang w:val="en-CA"/>
              </w:rPr>
              <w:t>output</w:t>
            </w:r>
            <w:r w:rsidRPr="00616C8C">
              <w:rPr>
                <w:sz w:val="18"/>
                <w:szCs w:val="18"/>
                <w:lang w:val="en-CA"/>
              </w:rPr>
              <w:t xml:space="preserve"> </w:t>
            </w:r>
            <w:r w:rsidRPr="00232D5D">
              <w:rPr>
                <w:sz w:val="18"/>
                <w:szCs w:val="18"/>
                <w:lang w:val="en-CA" w:eastAsia="de-DE" w:bidi="as-IN"/>
              </w:rPr>
              <w:t xml:space="preserve">3.1.3). </w:t>
            </w:r>
            <w:r w:rsidRPr="00243B15">
              <w:rPr>
                <w:sz w:val="18"/>
                <w:szCs w:val="18"/>
                <w:lang w:val="en-CA" w:eastAsia="de-DE" w:bidi="as-IN"/>
              </w:rPr>
              <w:t>They will contribute to planning activities related to SLM, community livelihoods development and monitoring and evaluation.</w:t>
            </w:r>
          </w:p>
          <w:p w14:paraId="58316774" w14:textId="77777777" w:rsidR="00302BFE" w:rsidRPr="00232D5D" w:rsidRDefault="00302BFE" w:rsidP="00C46720">
            <w:pPr>
              <w:numPr>
                <w:ilvl w:val="0"/>
                <w:numId w:val="38"/>
              </w:numPr>
              <w:autoSpaceDN w:val="0"/>
              <w:spacing w:after="0"/>
              <w:jc w:val="left"/>
              <w:rPr>
                <w:rStyle w:val="hps"/>
                <w:sz w:val="18"/>
                <w:szCs w:val="18"/>
                <w:lang w:val="en-CA"/>
              </w:rPr>
            </w:pPr>
            <w:r w:rsidRPr="00232D5D">
              <w:rPr>
                <w:rStyle w:val="hps"/>
                <w:sz w:val="18"/>
                <w:szCs w:val="18"/>
                <w:lang w:val="en-CA"/>
              </w:rPr>
              <w:t xml:space="preserve">The Regional Directorates responsible for livestock and fishery resources will be kept informed of the activities and progress of the project on an ongoing </w:t>
            </w:r>
            <w:proofErr w:type="gramStart"/>
            <w:r w:rsidRPr="00232D5D">
              <w:rPr>
                <w:rStyle w:val="hps"/>
                <w:sz w:val="18"/>
                <w:szCs w:val="18"/>
                <w:lang w:val="en-CA"/>
              </w:rPr>
              <w:t>basis;</w:t>
            </w:r>
            <w:proofErr w:type="gramEnd"/>
          </w:p>
          <w:p w14:paraId="7A5AA6E7" w14:textId="77777777" w:rsidR="00302BFE" w:rsidRPr="00232D5D" w:rsidRDefault="00302BFE" w:rsidP="00C46720">
            <w:pPr>
              <w:numPr>
                <w:ilvl w:val="0"/>
                <w:numId w:val="38"/>
              </w:numPr>
              <w:autoSpaceDN w:val="0"/>
              <w:spacing w:after="0"/>
              <w:jc w:val="left"/>
              <w:rPr>
                <w:sz w:val="18"/>
                <w:szCs w:val="18"/>
                <w:lang w:val="en-CA"/>
              </w:rPr>
            </w:pPr>
            <w:r w:rsidRPr="00232D5D">
              <w:rPr>
                <w:rStyle w:val="hps"/>
                <w:sz w:val="18"/>
                <w:szCs w:val="18"/>
                <w:lang w:val="en-CA"/>
              </w:rPr>
              <w:t>The Regional Directorates responsible for livestock and fish resources will be invited to benefit from training under component 1 for capacity building to lead the planning, consultation, conflict management and negotiation processes (</w:t>
            </w:r>
            <w:r>
              <w:rPr>
                <w:sz w:val="18"/>
                <w:szCs w:val="18"/>
                <w:lang w:val="en-CA"/>
              </w:rPr>
              <w:t>output</w:t>
            </w:r>
            <w:r w:rsidRPr="00616C8C">
              <w:rPr>
                <w:sz w:val="18"/>
                <w:szCs w:val="18"/>
                <w:lang w:val="en-CA"/>
              </w:rPr>
              <w:t xml:space="preserve"> </w:t>
            </w:r>
            <w:r w:rsidRPr="00232D5D">
              <w:rPr>
                <w:rStyle w:val="hps"/>
                <w:sz w:val="18"/>
                <w:szCs w:val="18"/>
                <w:lang w:val="en-CA"/>
              </w:rPr>
              <w:t>1.1.3), collaborative management of PAs (</w:t>
            </w:r>
            <w:r>
              <w:rPr>
                <w:sz w:val="18"/>
                <w:szCs w:val="18"/>
                <w:lang w:val="en-CA"/>
              </w:rPr>
              <w:t>output</w:t>
            </w:r>
            <w:r w:rsidRPr="00616C8C">
              <w:rPr>
                <w:sz w:val="18"/>
                <w:szCs w:val="18"/>
                <w:lang w:val="en-CA"/>
              </w:rPr>
              <w:t xml:space="preserve"> </w:t>
            </w:r>
            <w:r w:rsidRPr="00232D5D">
              <w:rPr>
                <w:rStyle w:val="hps"/>
                <w:sz w:val="18"/>
                <w:szCs w:val="18"/>
                <w:lang w:val="en-CA"/>
              </w:rPr>
              <w:t xml:space="preserve">2.1.1), and </w:t>
            </w:r>
            <w:r w:rsidRPr="00232D5D">
              <w:rPr>
                <w:rStyle w:val="hps"/>
                <w:sz w:val="18"/>
                <w:szCs w:val="18"/>
                <w:lang w:val="en-CA"/>
              </w:rPr>
              <w:lastRenderedPageBreak/>
              <w:t>involvement in planning negotiations, negotiations for the development of the PONASI Landscape Management Master Plan, and will participate in planning and the implementation of interventions at local level (</w:t>
            </w:r>
            <w:r>
              <w:rPr>
                <w:sz w:val="18"/>
                <w:szCs w:val="18"/>
                <w:lang w:val="en-CA"/>
              </w:rPr>
              <w:t>output</w:t>
            </w:r>
            <w:r w:rsidRPr="00616C8C">
              <w:rPr>
                <w:sz w:val="18"/>
                <w:szCs w:val="18"/>
                <w:lang w:val="en-CA"/>
              </w:rPr>
              <w:t xml:space="preserve"> </w:t>
            </w:r>
            <w:r w:rsidRPr="00232D5D">
              <w:rPr>
                <w:rStyle w:val="hps"/>
                <w:sz w:val="18"/>
                <w:szCs w:val="18"/>
                <w:lang w:val="en-CA"/>
              </w:rPr>
              <w:t>3.1.1)</w:t>
            </w:r>
          </w:p>
        </w:tc>
        <w:tc>
          <w:tcPr>
            <w:tcW w:w="1985" w:type="dxa"/>
            <w:tcBorders>
              <w:top w:val="single" w:sz="4" w:space="0" w:color="auto"/>
              <w:left w:val="single" w:sz="4" w:space="0" w:color="auto"/>
              <w:bottom w:val="single" w:sz="4" w:space="0" w:color="auto"/>
              <w:right w:val="single" w:sz="4" w:space="0" w:color="auto"/>
            </w:tcBorders>
            <w:vAlign w:val="center"/>
          </w:tcPr>
          <w:p w14:paraId="02C1DCFD" w14:textId="77777777" w:rsidR="00302BFE" w:rsidRPr="00CF4D08" w:rsidRDefault="00302BFE" w:rsidP="00243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eastAsia="Calibri"/>
                <w:sz w:val="18"/>
                <w:szCs w:val="18"/>
                <w:lang w:val="en-CA"/>
              </w:rPr>
            </w:pPr>
            <w:r w:rsidRPr="00CF4D08">
              <w:rPr>
                <w:rFonts w:eastAsia="Calibri"/>
                <w:sz w:val="18"/>
                <w:szCs w:val="18"/>
                <w:lang w:val="en-CA"/>
              </w:rPr>
              <w:lastRenderedPageBreak/>
              <w:t>Achieving results and products related to SLM and development of livelihoods of communities from livestock</w:t>
            </w:r>
          </w:p>
        </w:tc>
        <w:tc>
          <w:tcPr>
            <w:tcW w:w="850" w:type="dxa"/>
            <w:tcBorders>
              <w:top w:val="single" w:sz="4" w:space="0" w:color="auto"/>
              <w:left w:val="single" w:sz="4" w:space="0" w:color="auto"/>
              <w:bottom w:val="single" w:sz="4" w:space="0" w:color="auto"/>
              <w:right w:val="single" w:sz="4" w:space="0" w:color="auto"/>
            </w:tcBorders>
            <w:vAlign w:val="center"/>
          </w:tcPr>
          <w:p w14:paraId="62478D21" w14:textId="77777777" w:rsidR="00302BFE" w:rsidRPr="00E379FD" w:rsidRDefault="00302BFE" w:rsidP="00243B15">
            <w:pPr>
              <w:autoSpaceDN w:val="0"/>
              <w:spacing w:after="0"/>
              <w:jc w:val="left"/>
              <w:rPr>
                <w:sz w:val="18"/>
                <w:szCs w:val="18"/>
                <w:lang w:val="fr-CA"/>
              </w:rPr>
            </w:pPr>
            <w:r w:rsidRPr="00E379FD">
              <w:rPr>
                <w:sz w:val="18"/>
                <w:szCs w:val="18"/>
                <w:lang w:val="fr-CA"/>
              </w:rPr>
              <w:t xml:space="preserve">3 </w:t>
            </w:r>
          </w:p>
        </w:tc>
      </w:tr>
      <w:tr w:rsidR="00302BFE" w:rsidRPr="00E379FD" w14:paraId="43F466C4"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4A0B4824" w14:textId="77777777" w:rsidR="00302BFE" w:rsidRPr="00B960B4" w:rsidRDefault="00302BFE" w:rsidP="00243B15">
            <w:pPr>
              <w:spacing w:after="0"/>
              <w:jc w:val="left"/>
              <w:rPr>
                <w:rStyle w:val="hps"/>
                <w:sz w:val="18"/>
                <w:szCs w:val="18"/>
                <w:lang w:val="en-CA"/>
              </w:rPr>
            </w:pPr>
            <w:r w:rsidRPr="00B960B4">
              <w:rPr>
                <w:rStyle w:val="hps"/>
                <w:sz w:val="18"/>
                <w:szCs w:val="18"/>
                <w:lang w:val="en-CA"/>
              </w:rPr>
              <w:t>The Regional Directo</w:t>
            </w:r>
            <w:r w:rsidR="00A66078">
              <w:rPr>
                <w:rStyle w:val="hps"/>
                <w:sz w:val="18"/>
                <w:szCs w:val="18"/>
                <w:lang w:val="en-CA"/>
              </w:rPr>
              <w:t>rate</w:t>
            </w:r>
            <w:r w:rsidRPr="00B960B4">
              <w:rPr>
                <w:rStyle w:val="hps"/>
                <w:sz w:val="18"/>
                <w:szCs w:val="18"/>
                <w:lang w:val="en-CA"/>
              </w:rPr>
              <w:t xml:space="preserve">s of Environment, Green Economy and Climate Change for the South Center, East </w:t>
            </w:r>
            <w:proofErr w:type="gramStart"/>
            <w:r w:rsidRPr="00B960B4">
              <w:rPr>
                <w:rStyle w:val="hps"/>
                <w:sz w:val="18"/>
                <w:szCs w:val="18"/>
                <w:lang w:val="en-CA"/>
              </w:rPr>
              <w:t>Center</w:t>
            </w:r>
            <w:proofErr w:type="gramEnd"/>
            <w:r w:rsidRPr="00B960B4">
              <w:rPr>
                <w:rStyle w:val="hps"/>
                <w:sz w:val="18"/>
                <w:szCs w:val="18"/>
                <w:lang w:val="en-CA"/>
              </w:rPr>
              <w:t xml:space="preserve"> and West Center</w:t>
            </w:r>
            <w:r w:rsidR="00A66078" w:rsidRPr="00B960B4">
              <w:rPr>
                <w:rStyle w:val="hps"/>
                <w:sz w:val="18"/>
                <w:szCs w:val="18"/>
                <w:lang w:val="en-CA"/>
              </w:rPr>
              <w:t xml:space="preserve"> regions</w:t>
            </w:r>
          </w:p>
        </w:tc>
        <w:tc>
          <w:tcPr>
            <w:tcW w:w="3827" w:type="dxa"/>
            <w:tcBorders>
              <w:top w:val="single" w:sz="4" w:space="0" w:color="auto"/>
              <w:left w:val="single" w:sz="4" w:space="0" w:color="auto"/>
              <w:bottom w:val="single" w:sz="4" w:space="0" w:color="auto"/>
              <w:right w:val="single" w:sz="4" w:space="0" w:color="auto"/>
            </w:tcBorders>
            <w:vAlign w:val="center"/>
          </w:tcPr>
          <w:p w14:paraId="2DDB651F" w14:textId="77777777" w:rsidR="00302BFE" w:rsidRPr="00B960B4" w:rsidRDefault="00302BFE" w:rsidP="00C46720">
            <w:pPr>
              <w:numPr>
                <w:ilvl w:val="0"/>
                <w:numId w:val="38"/>
              </w:numPr>
              <w:autoSpaceDN w:val="0"/>
              <w:spacing w:after="0"/>
              <w:jc w:val="left"/>
              <w:rPr>
                <w:sz w:val="18"/>
                <w:szCs w:val="18"/>
                <w:lang w:val="en-CA"/>
              </w:rPr>
            </w:pPr>
            <w:r w:rsidRPr="00B960B4">
              <w:rPr>
                <w:sz w:val="18"/>
                <w:szCs w:val="18"/>
                <w:lang w:val="en-CA"/>
              </w:rPr>
              <w:t>The directorates responsible for livestock and fishery resources will be members of the Project Review Committee</w:t>
            </w:r>
          </w:p>
          <w:p w14:paraId="54C31A25" w14:textId="77777777" w:rsidR="00302BFE" w:rsidRPr="00B960B4" w:rsidRDefault="00302BFE" w:rsidP="00C46720">
            <w:pPr>
              <w:numPr>
                <w:ilvl w:val="0"/>
                <w:numId w:val="38"/>
              </w:numPr>
              <w:autoSpaceDN w:val="0"/>
              <w:spacing w:after="0"/>
              <w:jc w:val="left"/>
              <w:rPr>
                <w:rFonts w:eastAsia="Cambria"/>
                <w:sz w:val="18"/>
                <w:szCs w:val="18"/>
                <w:lang w:val="en-CA"/>
              </w:rPr>
            </w:pPr>
            <w:r w:rsidRPr="00B960B4">
              <w:rPr>
                <w:sz w:val="18"/>
                <w:szCs w:val="18"/>
                <w:lang w:val="en-CA"/>
              </w:rPr>
              <w:t>They will play the roles of coaching and technical support and training</w:t>
            </w:r>
          </w:p>
        </w:tc>
        <w:tc>
          <w:tcPr>
            <w:tcW w:w="6193" w:type="dxa"/>
            <w:tcBorders>
              <w:top w:val="single" w:sz="4" w:space="0" w:color="auto"/>
              <w:left w:val="single" w:sz="4" w:space="0" w:color="auto"/>
              <w:bottom w:val="single" w:sz="4" w:space="0" w:color="auto"/>
              <w:right w:val="single" w:sz="4" w:space="0" w:color="auto"/>
            </w:tcBorders>
            <w:vAlign w:val="center"/>
          </w:tcPr>
          <w:p w14:paraId="5BCEED02" w14:textId="77777777" w:rsidR="00302BFE" w:rsidRPr="00F22DCA" w:rsidRDefault="00302BFE" w:rsidP="00C46720">
            <w:pPr>
              <w:numPr>
                <w:ilvl w:val="0"/>
                <w:numId w:val="38"/>
              </w:numPr>
              <w:autoSpaceDN w:val="0"/>
              <w:spacing w:after="0"/>
              <w:jc w:val="left"/>
              <w:rPr>
                <w:rStyle w:val="hps"/>
                <w:sz w:val="18"/>
                <w:szCs w:val="18"/>
                <w:lang w:val="en-CA"/>
              </w:rPr>
            </w:pPr>
            <w:r w:rsidRPr="00F22DCA">
              <w:rPr>
                <w:rStyle w:val="hps"/>
                <w:sz w:val="18"/>
                <w:szCs w:val="18"/>
                <w:lang w:val="en-CA"/>
              </w:rPr>
              <w:t xml:space="preserve">The Regional Departments of the Environment will be kept informed of the activities and progress of the project on an ongoing </w:t>
            </w:r>
            <w:proofErr w:type="gramStart"/>
            <w:r w:rsidRPr="00F22DCA">
              <w:rPr>
                <w:rStyle w:val="hps"/>
                <w:sz w:val="18"/>
                <w:szCs w:val="18"/>
                <w:lang w:val="en-CA"/>
              </w:rPr>
              <w:t>basis;</w:t>
            </w:r>
            <w:proofErr w:type="gramEnd"/>
          </w:p>
          <w:p w14:paraId="2C675153" w14:textId="77777777" w:rsidR="00302BFE" w:rsidRDefault="00302BFE" w:rsidP="00C46720">
            <w:pPr>
              <w:numPr>
                <w:ilvl w:val="0"/>
                <w:numId w:val="38"/>
              </w:numPr>
              <w:autoSpaceDN w:val="0"/>
              <w:spacing w:after="0"/>
              <w:jc w:val="left"/>
              <w:rPr>
                <w:rStyle w:val="hps"/>
                <w:sz w:val="18"/>
                <w:szCs w:val="18"/>
                <w:lang w:val="en-CA"/>
              </w:rPr>
            </w:pPr>
            <w:r w:rsidRPr="00F22DCA">
              <w:rPr>
                <w:rStyle w:val="hps"/>
                <w:sz w:val="18"/>
                <w:szCs w:val="18"/>
                <w:lang w:val="en-CA"/>
              </w:rPr>
              <w:t>The Regional Departments of the Environment will be invited to benefit from training under component 1 for the development of capacities to lead the planning, consultation, conflict management and negotiation processes (</w:t>
            </w:r>
            <w:r>
              <w:rPr>
                <w:sz w:val="18"/>
                <w:szCs w:val="18"/>
                <w:lang w:val="en-CA"/>
              </w:rPr>
              <w:t>output</w:t>
            </w:r>
            <w:r w:rsidRPr="00616C8C">
              <w:rPr>
                <w:sz w:val="18"/>
                <w:szCs w:val="18"/>
                <w:lang w:val="en-CA"/>
              </w:rPr>
              <w:t xml:space="preserve"> </w:t>
            </w:r>
            <w:r w:rsidRPr="00F22DCA">
              <w:rPr>
                <w:rStyle w:val="hps"/>
                <w:sz w:val="18"/>
                <w:szCs w:val="18"/>
                <w:lang w:val="en-CA"/>
              </w:rPr>
              <w:t>1.1.3), in collaborative management of PAs (</w:t>
            </w:r>
            <w:r>
              <w:rPr>
                <w:sz w:val="18"/>
                <w:szCs w:val="18"/>
                <w:lang w:val="en-CA"/>
              </w:rPr>
              <w:t>output</w:t>
            </w:r>
            <w:r w:rsidRPr="00616C8C">
              <w:rPr>
                <w:sz w:val="18"/>
                <w:szCs w:val="18"/>
                <w:lang w:val="en-CA"/>
              </w:rPr>
              <w:t xml:space="preserve"> </w:t>
            </w:r>
            <w:r w:rsidRPr="00F22DCA">
              <w:rPr>
                <w:rStyle w:val="hps"/>
                <w:sz w:val="18"/>
                <w:szCs w:val="18"/>
                <w:lang w:val="en-CA"/>
              </w:rPr>
              <w:t>2.1.1.), and to engage in negotiations on:</w:t>
            </w:r>
          </w:p>
          <w:p w14:paraId="12A7B0B3" w14:textId="77777777" w:rsidR="00302BFE" w:rsidRPr="00616C8C" w:rsidRDefault="00302BFE" w:rsidP="00C46720">
            <w:pPr>
              <w:numPr>
                <w:ilvl w:val="0"/>
                <w:numId w:val="39"/>
              </w:numPr>
              <w:autoSpaceDN w:val="0"/>
              <w:spacing w:after="0"/>
              <w:jc w:val="left"/>
              <w:rPr>
                <w:rFonts w:eastAsia="Calibri"/>
                <w:sz w:val="18"/>
                <w:szCs w:val="18"/>
                <w:lang w:val="en-CA"/>
              </w:rPr>
            </w:pPr>
            <w:r w:rsidRPr="00616C8C">
              <w:rPr>
                <w:rFonts w:eastAsia="Calibri"/>
                <w:sz w:val="18"/>
                <w:szCs w:val="18"/>
                <w:lang w:val="en-CA"/>
              </w:rPr>
              <w:t>Planning, negotiations for the development of the PONASI Landscape Management Master Plan</w:t>
            </w:r>
          </w:p>
          <w:p w14:paraId="46328ACF" w14:textId="77777777" w:rsidR="00302BFE" w:rsidRPr="00616C8C" w:rsidRDefault="00302BFE" w:rsidP="00C46720">
            <w:pPr>
              <w:numPr>
                <w:ilvl w:val="0"/>
                <w:numId w:val="39"/>
              </w:numPr>
              <w:autoSpaceDN w:val="0"/>
              <w:spacing w:after="0"/>
              <w:jc w:val="left"/>
              <w:rPr>
                <w:rFonts w:eastAsia="Calibri"/>
                <w:sz w:val="18"/>
                <w:szCs w:val="18"/>
                <w:lang w:val="en-CA"/>
              </w:rPr>
            </w:pPr>
            <w:r w:rsidRPr="00616C8C">
              <w:rPr>
                <w:rFonts w:eastAsia="Calibri"/>
                <w:sz w:val="18"/>
                <w:szCs w:val="18"/>
                <w:lang w:val="en-CA"/>
              </w:rPr>
              <w:t>changes in the delineation of the GNR and zoning of protected areas (</w:t>
            </w:r>
            <w:r>
              <w:rPr>
                <w:sz w:val="18"/>
                <w:szCs w:val="18"/>
                <w:lang w:val="en-CA"/>
              </w:rPr>
              <w:t>output</w:t>
            </w:r>
            <w:r w:rsidRPr="00616C8C">
              <w:rPr>
                <w:sz w:val="18"/>
                <w:szCs w:val="18"/>
                <w:lang w:val="en-CA"/>
              </w:rPr>
              <w:t xml:space="preserve"> </w:t>
            </w:r>
            <w:r w:rsidRPr="00616C8C">
              <w:rPr>
                <w:rFonts w:eastAsia="Calibri"/>
                <w:sz w:val="18"/>
                <w:szCs w:val="18"/>
                <w:lang w:val="en-CA"/>
              </w:rPr>
              <w:t>2.2.1),</w:t>
            </w:r>
          </w:p>
          <w:p w14:paraId="1C04017E" w14:textId="77777777" w:rsidR="00302BFE" w:rsidRPr="00616C8C" w:rsidRDefault="00302BFE" w:rsidP="00C46720">
            <w:pPr>
              <w:numPr>
                <w:ilvl w:val="0"/>
                <w:numId w:val="39"/>
              </w:numPr>
              <w:autoSpaceDN w:val="0"/>
              <w:spacing w:after="0"/>
              <w:jc w:val="left"/>
              <w:rPr>
                <w:rFonts w:eastAsia="Calibri"/>
                <w:sz w:val="18"/>
                <w:szCs w:val="18"/>
                <w:lang w:val="en-CA"/>
              </w:rPr>
            </w:pPr>
            <w:r w:rsidRPr="00616C8C">
              <w:rPr>
                <w:rFonts w:eastAsia="Calibri"/>
                <w:sz w:val="18"/>
                <w:szCs w:val="18"/>
                <w:lang w:val="en-CA"/>
              </w:rPr>
              <w:t>the definition and application of regulations in PAs and their resources, the use of resources and the sharing of benefits derived from them (Output 2.2.3),</w:t>
            </w:r>
          </w:p>
          <w:p w14:paraId="60B9ED87" w14:textId="77777777" w:rsidR="00302BFE" w:rsidRPr="00B80B69" w:rsidRDefault="00302BFE" w:rsidP="00C46720">
            <w:pPr>
              <w:numPr>
                <w:ilvl w:val="0"/>
                <w:numId w:val="39"/>
              </w:numPr>
              <w:autoSpaceDN w:val="0"/>
              <w:spacing w:after="0"/>
              <w:jc w:val="left"/>
              <w:rPr>
                <w:sz w:val="18"/>
                <w:szCs w:val="18"/>
                <w:lang w:val="en-CA"/>
              </w:rPr>
            </w:pPr>
            <w:r w:rsidRPr="00B80B69">
              <w:rPr>
                <w:rFonts w:eastAsia="Calibri"/>
                <w:sz w:val="18"/>
                <w:szCs w:val="18"/>
                <w:lang w:val="en-CA"/>
              </w:rPr>
              <w:t>and identification of conflict management mechanisms (</w:t>
            </w:r>
            <w:r>
              <w:rPr>
                <w:sz w:val="18"/>
                <w:szCs w:val="18"/>
                <w:lang w:val="en-CA"/>
              </w:rPr>
              <w:t>output</w:t>
            </w:r>
            <w:r w:rsidRPr="00616C8C">
              <w:rPr>
                <w:sz w:val="18"/>
                <w:szCs w:val="18"/>
                <w:lang w:val="en-CA"/>
              </w:rPr>
              <w:t xml:space="preserve"> </w:t>
            </w:r>
            <w:r w:rsidRPr="00B80B69">
              <w:rPr>
                <w:rFonts w:eastAsia="Calibri"/>
                <w:sz w:val="18"/>
                <w:szCs w:val="18"/>
                <w:lang w:val="en-CA"/>
              </w:rPr>
              <w:t>1.5.4).</w:t>
            </w:r>
          </w:p>
          <w:p w14:paraId="57DA3B11" w14:textId="77777777" w:rsidR="00302BFE" w:rsidRPr="00616C8C" w:rsidRDefault="00302BFE" w:rsidP="00C46720">
            <w:pPr>
              <w:numPr>
                <w:ilvl w:val="0"/>
                <w:numId w:val="38"/>
              </w:numPr>
              <w:autoSpaceDN w:val="0"/>
              <w:spacing w:after="0"/>
              <w:jc w:val="left"/>
              <w:rPr>
                <w:sz w:val="18"/>
                <w:szCs w:val="18"/>
                <w:lang w:val="en-CA"/>
              </w:rPr>
            </w:pPr>
            <w:r w:rsidRPr="00616C8C">
              <w:rPr>
                <w:sz w:val="18"/>
                <w:szCs w:val="18"/>
                <w:lang w:val="en-CA"/>
              </w:rPr>
              <w:t>They will participate in the planning and implementation of interventions at the local level (product (</w:t>
            </w:r>
            <w:r>
              <w:rPr>
                <w:sz w:val="18"/>
                <w:szCs w:val="18"/>
                <w:lang w:val="en-CA"/>
              </w:rPr>
              <w:t>output</w:t>
            </w:r>
            <w:r w:rsidRPr="00616C8C">
              <w:rPr>
                <w:sz w:val="18"/>
                <w:szCs w:val="18"/>
                <w:lang w:val="en-CA"/>
              </w:rPr>
              <w:t xml:space="preserve"> 3.1.1)</w:t>
            </w:r>
          </w:p>
          <w:p w14:paraId="6A18F203" w14:textId="77777777" w:rsidR="00302BFE" w:rsidRPr="00616C8C" w:rsidRDefault="00302BFE" w:rsidP="00C46720">
            <w:pPr>
              <w:numPr>
                <w:ilvl w:val="0"/>
                <w:numId w:val="38"/>
              </w:numPr>
              <w:autoSpaceDN w:val="0"/>
              <w:spacing w:after="0"/>
              <w:jc w:val="left"/>
              <w:rPr>
                <w:sz w:val="18"/>
                <w:szCs w:val="18"/>
                <w:lang w:val="en-CA"/>
              </w:rPr>
            </w:pPr>
            <w:r w:rsidRPr="00616C8C">
              <w:rPr>
                <w:sz w:val="18"/>
                <w:szCs w:val="18"/>
                <w:lang w:val="en-CA"/>
              </w:rPr>
              <w:t>They will be involved in the identification of production areas for the development of NTFP sectors and their management (</w:t>
            </w:r>
            <w:r>
              <w:rPr>
                <w:sz w:val="18"/>
                <w:szCs w:val="18"/>
                <w:lang w:val="en-CA"/>
              </w:rPr>
              <w:t>output</w:t>
            </w:r>
            <w:r w:rsidRPr="00616C8C">
              <w:rPr>
                <w:sz w:val="18"/>
                <w:szCs w:val="18"/>
                <w:lang w:val="en-CA"/>
              </w:rPr>
              <w:t xml:space="preserve"> 3.3.5)</w:t>
            </w:r>
          </w:p>
          <w:p w14:paraId="5A093A13" w14:textId="77777777" w:rsidR="00302BFE" w:rsidRPr="00616C8C" w:rsidRDefault="00302BFE" w:rsidP="00C46720">
            <w:pPr>
              <w:numPr>
                <w:ilvl w:val="0"/>
                <w:numId w:val="38"/>
              </w:numPr>
              <w:autoSpaceDN w:val="0"/>
              <w:spacing w:after="0"/>
              <w:jc w:val="left"/>
              <w:rPr>
                <w:rStyle w:val="hps"/>
                <w:sz w:val="18"/>
                <w:szCs w:val="18"/>
                <w:lang w:val="en-CA"/>
              </w:rPr>
            </w:pPr>
            <w:r w:rsidRPr="00616C8C">
              <w:rPr>
                <w:sz w:val="18"/>
                <w:szCs w:val="18"/>
                <w:lang w:val="en-CA"/>
              </w:rPr>
              <w:t>They will be involved in the definition of tourist routes and the management of these routes (</w:t>
            </w:r>
            <w:r>
              <w:rPr>
                <w:sz w:val="18"/>
                <w:szCs w:val="18"/>
                <w:lang w:val="en-CA"/>
              </w:rPr>
              <w:t>output</w:t>
            </w:r>
            <w:r w:rsidRPr="00616C8C">
              <w:rPr>
                <w:sz w:val="18"/>
                <w:szCs w:val="18"/>
                <w:lang w:val="en-CA"/>
              </w:rPr>
              <w:t xml:space="preserve"> 3.4.1)</w:t>
            </w:r>
          </w:p>
        </w:tc>
        <w:tc>
          <w:tcPr>
            <w:tcW w:w="1985" w:type="dxa"/>
            <w:tcBorders>
              <w:top w:val="single" w:sz="4" w:space="0" w:color="auto"/>
              <w:left w:val="single" w:sz="4" w:space="0" w:color="auto"/>
              <w:bottom w:val="single" w:sz="4" w:space="0" w:color="auto"/>
              <w:right w:val="single" w:sz="4" w:space="0" w:color="auto"/>
            </w:tcBorders>
            <w:vAlign w:val="center"/>
          </w:tcPr>
          <w:p w14:paraId="2F05D4B4" w14:textId="77777777" w:rsidR="00302BFE" w:rsidRPr="00CF4D08" w:rsidRDefault="00302BFE" w:rsidP="00243B15">
            <w:pPr>
              <w:pStyle w:val="PrformatHTML"/>
              <w:shd w:val="clear" w:color="auto" w:fill="FFFFFF"/>
              <w:rPr>
                <w:rStyle w:val="hps"/>
                <w:rFonts w:ascii="Calibri" w:hAnsi="Calibri" w:cs="Times New Roman"/>
                <w:sz w:val="18"/>
                <w:szCs w:val="18"/>
                <w:lang w:val="en-CA"/>
              </w:rPr>
            </w:pPr>
            <w:r w:rsidRPr="00CF4D08">
              <w:rPr>
                <w:rFonts w:ascii="Calibri" w:hAnsi="Calibri" w:cs="Times New Roman"/>
                <w:sz w:val="18"/>
                <w:szCs w:val="18"/>
                <w:lang w:val="en-CA"/>
              </w:rPr>
              <w:t>Achieve project results and outputs through better coordination and implementation of protected area management actions</w:t>
            </w:r>
          </w:p>
        </w:tc>
        <w:tc>
          <w:tcPr>
            <w:tcW w:w="850" w:type="dxa"/>
            <w:tcBorders>
              <w:top w:val="single" w:sz="4" w:space="0" w:color="auto"/>
              <w:left w:val="single" w:sz="4" w:space="0" w:color="auto"/>
              <w:bottom w:val="single" w:sz="4" w:space="0" w:color="auto"/>
              <w:right w:val="single" w:sz="4" w:space="0" w:color="auto"/>
            </w:tcBorders>
            <w:vAlign w:val="center"/>
          </w:tcPr>
          <w:p w14:paraId="0DBDC327" w14:textId="77777777" w:rsidR="00302BFE" w:rsidRPr="00E379FD" w:rsidRDefault="00302BFE" w:rsidP="00243B15">
            <w:pPr>
              <w:autoSpaceDN w:val="0"/>
              <w:spacing w:after="0"/>
              <w:jc w:val="left"/>
              <w:rPr>
                <w:rStyle w:val="hps"/>
                <w:sz w:val="18"/>
                <w:szCs w:val="18"/>
                <w:lang w:val="fr-CA"/>
              </w:rPr>
            </w:pPr>
            <w:r w:rsidRPr="00E379FD">
              <w:rPr>
                <w:rStyle w:val="hps"/>
                <w:sz w:val="18"/>
                <w:szCs w:val="18"/>
                <w:lang w:val="fr-CA"/>
              </w:rPr>
              <w:t>1</w:t>
            </w:r>
            <w:r>
              <w:rPr>
                <w:rStyle w:val="hps"/>
                <w:sz w:val="18"/>
                <w:szCs w:val="18"/>
                <w:lang w:val="fr-CA"/>
              </w:rPr>
              <w:t>,</w:t>
            </w:r>
            <w:r w:rsidRPr="00E379FD">
              <w:rPr>
                <w:rStyle w:val="hps"/>
                <w:sz w:val="18"/>
                <w:szCs w:val="18"/>
                <w:lang w:val="fr-CA"/>
              </w:rPr>
              <w:t xml:space="preserve"> 2</w:t>
            </w:r>
            <w:r>
              <w:rPr>
                <w:rStyle w:val="hps"/>
                <w:sz w:val="18"/>
                <w:szCs w:val="18"/>
                <w:lang w:val="fr-CA"/>
              </w:rPr>
              <w:t>,</w:t>
            </w:r>
            <w:r w:rsidRPr="00E379FD">
              <w:rPr>
                <w:rStyle w:val="hps"/>
                <w:sz w:val="18"/>
                <w:szCs w:val="18"/>
                <w:lang w:val="fr-CA"/>
              </w:rPr>
              <w:t xml:space="preserve"> 3</w:t>
            </w:r>
            <w:r>
              <w:rPr>
                <w:rStyle w:val="hps"/>
                <w:sz w:val="18"/>
                <w:szCs w:val="18"/>
                <w:lang w:val="fr-CA"/>
              </w:rPr>
              <w:t>,</w:t>
            </w:r>
            <w:r w:rsidRPr="00E379FD">
              <w:rPr>
                <w:rStyle w:val="hps"/>
                <w:sz w:val="18"/>
                <w:szCs w:val="18"/>
                <w:lang w:val="fr-CA"/>
              </w:rPr>
              <w:t xml:space="preserve"> 4</w:t>
            </w:r>
          </w:p>
        </w:tc>
      </w:tr>
      <w:tr w:rsidR="00302BFE" w:rsidRPr="00CF4D08" w14:paraId="0C0502EF"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12173E81" w14:textId="77777777" w:rsidR="00302BFE" w:rsidRPr="00B960B4" w:rsidRDefault="00302BFE" w:rsidP="00243B15">
            <w:pPr>
              <w:spacing w:after="0"/>
              <w:jc w:val="left"/>
              <w:rPr>
                <w:rFonts w:eastAsia="Times New Roman"/>
                <w:sz w:val="18"/>
                <w:szCs w:val="18"/>
                <w:lang w:val="en-CA"/>
              </w:rPr>
            </w:pPr>
            <w:r w:rsidRPr="00B960B4">
              <w:rPr>
                <w:sz w:val="18"/>
                <w:szCs w:val="18"/>
                <w:lang w:val="en-CA"/>
              </w:rPr>
              <w:t>Directorate General of Budget / Ministry of Economy, Finance and Development</w:t>
            </w:r>
          </w:p>
        </w:tc>
        <w:tc>
          <w:tcPr>
            <w:tcW w:w="3827" w:type="dxa"/>
            <w:tcBorders>
              <w:top w:val="single" w:sz="4" w:space="0" w:color="auto"/>
              <w:left w:val="single" w:sz="4" w:space="0" w:color="auto"/>
              <w:bottom w:val="single" w:sz="4" w:space="0" w:color="auto"/>
              <w:right w:val="single" w:sz="4" w:space="0" w:color="auto"/>
            </w:tcBorders>
            <w:vAlign w:val="center"/>
          </w:tcPr>
          <w:p w14:paraId="20C5916A" w14:textId="77777777" w:rsidR="00302BFE" w:rsidRPr="00B960B4" w:rsidRDefault="00302BFE" w:rsidP="00243B15">
            <w:pPr>
              <w:autoSpaceDN w:val="0"/>
              <w:spacing w:after="0"/>
              <w:jc w:val="left"/>
              <w:rPr>
                <w:sz w:val="18"/>
                <w:szCs w:val="18"/>
                <w:lang w:val="en-CA"/>
              </w:rPr>
            </w:pPr>
            <w:r w:rsidRPr="00B960B4">
              <w:rPr>
                <w:sz w:val="18"/>
                <w:szCs w:val="18"/>
                <w:lang w:val="en-CA"/>
              </w:rPr>
              <w:t>Project budget management related to the program</w:t>
            </w:r>
          </w:p>
        </w:tc>
        <w:tc>
          <w:tcPr>
            <w:tcW w:w="6193" w:type="dxa"/>
            <w:tcBorders>
              <w:top w:val="single" w:sz="4" w:space="0" w:color="auto"/>
              <w:left w:val="single" w:sz="4" w:space="0" w:color="auto"/>
              <w:bottom w:val="single" w:sz="4" w:space="0" w:color="auto"/>
              <w:right w:val="single" w:sz="4" w:space="0" w:color="auto"/>
            </w:tcBorders>
            <w:vAlign w:val="center"/>
          </w:tcPr>
          <w:p w14:paraId="56684BF9" w14:textId="77777777" w:rsidR="00302BFE" w:rsidRPr="00232D5D" w:rsidRDefault="00302BFE" w:rsidP="00C46720">
            <w:pPr>
              <w:numPr>
                <w:ilvl w:val="0"/>
                <w:numId w:val="38"/>
              </w:numPr>
              <w:autoSpaceDN w:val="0"/>
              <w:spacing w:after="0"/>
              <w:jc w:val="left"/>
              <w:rPr>
                <w:sz w:val="18"/>
                <w:szCs w:val="18"/>
                <w:lang w:val="en-CA"/>
              </w:rPr>
            </w:pPr>
            <w:r w:rsidRPr="00232D5D">
              <w:rPr>
                <w:sz w:val="18"/>
                <w:szCs w:val="18"/>
                <w:lang w:val="en-CA"/>
              </w:rPr>
              <w:t>The Directorates and Services involved in the mobilization of in-kind contributions as co-financing of the project will be duly informed of the activities and progress of the project on an ongoing basis</w:t>
            </w:r>
          </w:p>
        </w:tc>
        <w:tc>
          <w:tcPr>
            <w:tcW w:w="1985" w:type="dxa"/>
            <w:tcBorders>
              <w:top w:val="single" w:sz="4" w:space="0" w:color="auto"/>
              <w:left w:val="single" w:sz="4" w:space="0" w:color="auto"/>
              <w:bottom w:val="single" w:sz="4" w:space="0" w:color="auto"/>
              <w:right w:val="single" w:sz="4" w:space="0" w:color="auto"/>
            </w:tcBorders>
            <w:vAlign w:val="center"/>
          </w:tcPr>
          <w:p w14:paraId="7A377FB2" w14:textId="77777777" w:rsidR="00302BFE" w:rsidRPr="00CF4D08" w:rsidRDefault="00302BFE" w:rsidP="00243B15">
            <w:pPr>
              <w:autoSpaceDN w:val="0"/>
              <w:spacing w:after="0"/>
              <w:jc w:val="left"/>
              <w:rPr>
                <w:sz w:val="18"/>
                <w:szCs w:val="18"/>
                <w:lang w:val="en-CA"/>
              </w:rPr>
            </w:pPr>
            <w:r w:rsidRPr="00CF4D08">
              <w:rPr>
                <w:sz w:val="18"/>
                <w:szCs w:val="18"/>
                <w:lang w:val="en-CA"/>
              </w:rPr>
              <w:t>Ensure budget management of the project</w:t>
            </w:r>
          </w:p>
        </w:tc>
        <w:tc>
          <w:tcPr>
            <w:tcW w:w="850" w:type="dxa"/>
            <w:tcBorders>
              <w:top w:val="single" w:sz="4" w:space="0" w:color="auto"/>
              <w:left w:val="single" w:sz="4" w:space="0" w:color="auto"/>
              <w:bottom w:val="single" w:sz="4" w:space="0" w:color="auto"/>
              <w:right w:val="single" w:sz="4" w:space="0" w:color="auto"/>
            </w:tcBorders>
            <w:vAlign w:val="center"/>
          </w:tcPr>
          <w:p w14:paraId="3E2AD39D" w14:textId="77777777" w:rsidR="00302BFE" w:rsidRPr="00CF4D08" w:rsidRDefault="00302BFE" w:rsidP="00243B15">
            <w:pPr>
              <w:autoSpaceDN w:val="0"/>
              <w:spacing w:after="0"/>
              <w:ind w:left="170"/>
              <w:jc w:val="left"/>
              <w:rPr>
                <w:sz w:val="18"/>
                <w:szCs w:val="18"/>
                <w:lang w:val="en-CA"/>
              </w:rPr>
            </w:pPr>
          </w:p>
        </w:tc>
      </w:tr>
      <w:tr w:rsidR="00302BFE" w:rsidRPr="009F390C" w14:paraId="3FAF7F8E" w14:textId="77777777" w:rsidTr="00243B15">
        <w:trPr>
          <w:jc w:val="center"/>
        </w:trPr>
        <w:tc>
          <w:tcPr>
            <w:tcW w:w="5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74E3695" w14:textId="77777777" w:rsidR="00302BFE" w:rsidRPr="009F390C" w:rsidRDefault="00302BFE" w:rsidP="00243B15">
            <w:pPr>
              <w:autoSpaceDN w:val="0"/>
              <w:spacing w:after="0"/>
              <w:jc w:val="left"/>
              <w:rPr>
                <w:sz w:val="18"/>
                <w:szCs w:val="18"/>
                <w:lang w:val="en-CA"/>
              </w:rPr>
            </w:pPr>
            <w:r w:rsidRPr="009F390C">
              <w:rPr>
                <w:b/>
                <w:bCs/>
                <w:sz w:val="18"/>
                <w:szCs w:val="18"/>
                <w:lang w:val="en-CA"/>
              </w:rPr>
              <w:t xml:space="preserve">National private sector: </w:t>
            </w:r>
            <w:r w:rsidRPr="009F390C">
              <w:rPr>
                <w:bCs/>
                <w:sz w:val="18"/>
                <w:szCs w:val="18"/>
                <w:lang w:val="en-CA"/>
              </w:rPr>
              <w:t>Private companies and investors</w:t>
            </w:r>
          </w:p>
        </w:tc>
        <w:tc>
          <w:tcPr>
            <w:tcW w:w="6193" w:type="dxa"/>
            <w:tcBorders>
              <w:top w:val="single" w:sz="4" w:space="0" w:color="auto"/>
              <w:left w:val="single" w:sz="4" w:space="0" w:color="auto"/>
              <w:bottom w:val="single" w:sz="4" w:space="0" w:color="auto"/>
              <w:right w:val="single" w:sz="4" w:space="0" w:color="auto"/>
            </w:tcBorders>
            <w:shd w:val="clear" w:color="auto" w:fill="E6E6E6"/>
            <w:vAlign w:val="center"/>
          </w:tcPr>
          <w:p w14:paraId="4E90CEF7" w14:textId="77777777" w:rsidR="00302BFE" w:rsidRPr="009F390C" w:rsidRDefault="00302BFE" w:rsidP="00243B15">
            <w:pPr>
              <w:autoSpaceDN w:val="0"/>
              <w:spacing w:after="0"/>
              <w:jc w:val="left"/>
              <w:rPr>
                <w:b/>
                <w:bCs/>
                <w:sz w:val="18"/>
                <w:szCs w:val="18"/>
                <w:lang w:val="en-CA"/>
              </w:rPr>
            </w:pPr>
          </w:p>
        </w:tc>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2460B598" w14:textId="77777777" w:rsidR="00302BFE" w:rsidRPr="009F390C" w:rsidRDefault="00302BFE" w:rsidP="00243B15">
            <w:pPr>
              <w:autoSpaceDN w:val="0"/>
              <w:spacing w:after="0"/>
              <w:jc w:val="left"/>
              <w:rPr>
                <w:b/>
                <w:bCs/>
                <w:sz w:val="18"/>
                <w:szCs w:val="18"/>
                <w:lang w:val="en-CA"/>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D235638" w14:textId="77777777" w:rsidR="00302BFE" w:rsidRPr="009F390C" w:rsidRDefault="00302BFE" w:rsidP="00243B15">
            <w:pPr>
              <w:autoSpaceDN w:val="0"/>
              <w:spacing w:after="0"/>
              <w:jc w:val="left"/>
              <w:rPr>
                <w:b/>
                <w:bCs/>
                <w:sz w:val="18"/>
                <w:szCs w:val="18"/>
                <w:lang w:val="en-CA"/>
              </w:rPr>
            </w:pPr>
          </w:p>
        </w:tc>
      </w:tr>
      <w:tr w:rsidR="00302BFE" w:rsidRPr="00E379FD" w14:paraId="0AE943CE"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4ABD42ED" w14:textId="77777777" w:rsidR="00302BFE" w:rsidRPr="00243B15" w:rsidRDefault="00302BFE" w:rsidP="00243B15">
            <w:pPr>
              <w:spacing w:after="0"/>
              <w:jc w:val="left"/>
              <w:rPr>
                <w:sz w:val="18"/>
                <w:szCs w:val="18"/>
                <w:lang w:val="en-CA"/>
              </w:rPr>
            </w:pPr>
            <w:r w:rsidRPr="00243B15">
              <w:rPr>
                <w:sz w:val="18"/>
                <w:szCs w:val="18"/>
                <w:lang w:val="en-CA"/>
              </w:rPr>
              <w:t xml:space="preserve">Hunting and Tourism </w:t>
            </w:r>
            <w:proofErr w:type="spellStart"/>
            <w:r w:rsidRPr="00243B15">
              <w:rPr>
                <w:sz w:val="18"/>
                <w:szCs w:val="18"/>
                <w:lang w:val="en-CA"/>
              </w:rPr>
              <w:t>Concessionnaires</w:t>
            </w:r>
            <w:proofErr w:type="spellEnd"/>
            <w:r w:rsidRPr="00243B15">
              <w:rPr>
                <w:sz w:val="18"/>
                <w:szCs w:val="18"/>
                <w:lang w:val="en-CA"/>
              </w:rPr>
              <w:t>:</w:t>
            </w:r>
          </w:p>
          <w:p w14:paraId="59BD5DDB" w14:textId="77777777" w:rsidR="00302BFE" w:rsidRPr="00243B15" w:rsidRDefault="00302BFE" w:rsidP="00243B15">
            <w:pPr>
              <w:spacing w:after="0"/>
              <w:jc w:val="left"/>
              <w:rPr>
                <w:rFonts w:eastAsia="Cambria"/>
                <w:bCs/>
                <w:sz w:val="18"/>
                <w:szCs w:val="18"/>
                <w:lang w:val="en-CA"/>
              </w:rPr>
            </w:pPr>
            <w:proofErr w:type="spellStart"/>
            <w:r w:rsidRPr="00243B15">
              <w:rPr>
                <w:sz w:val="18"/>
                <w:szCs w:val="18"/>
                <w:lang w:val="en-CA"/>
              </w:rPr>
              <w:t>Nahouri</w:t>
            </w:r>
            <w:proofErr w:type="spellEnd"/>
            <w:r w:rsidRPr="00243B15">
              <w:rPr>
                <w:sz w:val="18"/>
                <w:szCs w:val="18"/>
                <w:lang w:val="en-CA"/>
              </w:rPr>
              <w:t xml:space="preserve"> Safari, </w:t>
            </w:r>
            <w:proofErr w:type="spellStart"/>
            <w:r w:rsidRPr="00243B15">
              <w:rPr>
                <w:sz w:val="18"/>
                <w:szCs w:val="18"/>
                <w:lang w:val="en-CA"/>
              </w:rPr>
              <w:t>Sissili</w:t>
            </w:r>
            <w:proofErr w:type="spellEnd"/>
            <w:r w:rsidRPr="00243B15">
              <w:rPr>
                <w:sz w:val="18"/>
                <w:szCs w:val="18"/>
                <w:lang w:val="en-CA"/>
              </w:rPr>
              <w:t xml:space="preserve"> safari</w:t>
            </w:r>
          </w:p>
        </w:tc>
        <w:tc>
          <w:tcPr>
            <w:tcW w:w="3827" w:type="dxa"/>
            <w:tcBorders>
              <w:top w:val="single" w:sz="4" w:space="0" w:color="auto"/>
              <w:left w:val="single" w:sz="4" w:space="0" w:color="auto"/>
              <w:bottom w:val="single" w:sz="4" w:space="0" w:color="auto"/>
              <w:right w:val="single" w:sz="4" w:space="0" w:color="auto"/>
            </w:tcBorders>
            <w:vAlign w:val="center"/>
          </w:tcPr>
          <w:p w14:paraId="50C679A4" w14:textId="77777777" w:rsidR="00302BFE" w:rsidRPr="009F390C" w:rsidRDefault="00302BFE" w:rsidP="00243B15">
            <w:pPr>
              <w:autoSpaceDN w:val="0"/>
              <w:spacing w:after="0"/>
              <w:jc w:val="left"/>
              <w:rPr>
                <w:rFonts w:eastAsia="Cambria"/>
                <w:sz w:val="18"/>
                <w:szCs w:val="18"/>
                <w:lang w:val="en-CA"/>
              </w:rPr>
            </w:pPr>
            <w:r w:rsidRPr="009F390C">
              <w:rPr>
                <w:sz w:val="18"/>
                <w:szCs w:val="18"/>
                <w:lang w:val="en-CA" w:eastAsia="de-DE" w:bidi="as-IN"/>
              </w:rPr>
              <w:t>Their role is coaching, training and supervision</w:t>
            </w:r>
          </w:p>
        </w:tc>
        <w:tc>
          <w:tcPr>
            <w:tcW w:w="6193" w:type="dxa"/>
            <w:tcBorders>
              <w:top w:val="single" w:sz="4" w:space="0" w:color="auto"/>
              <w:left w:val="single" w:sz="4" w:space="0" w:color="auto"/>
              <w:bottom w:val="single" w:sz="4" w:space="0" w:color="auto"/>
              <w:right w:val="single" w:sz="4" w:space="0" w:color="auto"/>
            </w:tcBorders>
            <w:vAlign w:val="center"/>
          </w:tcPr>
          <w:p w14:paraId="693575AC" w14:textId="77777777" w:rsidR="00302BFE" w:rsidRPr="00E379FD" w:rsidRDefault="00302BFE" w:rsidP="00243B15">
            <w:pPr>
              <w:autoSpaceDN w:val="0"/>
              <w:spacing w:after="0"/>
              <w:jc w:val="left"/>
              <w:rPr>
                <w:sz w:val="18"/>
                <w:szCs w:val="18"/>
                <w:lang w:val="fr-CA"/>
              </w:rPr>
            </w:pPr>
            <w:r w:rsidRPr="00232D5D">
              <w:rPr>
                <w:sz w:val="18"/>
                <w:szCs w:val="18"/>
                <w:lang w:val="en-CA" w:eastAsia="de-DE" w:bidi="as-IN"/>
              </w:rPr>
              <w:t xml:space="preserve">Hunting and tourism </w:t>
            </w:r>
            <w:proofErr w:type="spellStart"/>
            <w:r w:rsidRPr="00232D5D">
              <w:rPr>
                <w:sz w:val="18"/>
                <w:szCs w:val="18"/>
                <w:lang w:val="en-CA" w:eastAsia="de-DE" w:bidi="as-IN"/>
              </w:rPr>
              <w:t>concessionnaires</w:t>
            </w:r>
            <w:proofErr w:type="spellEnd"/>
            <w:r w:rsidRPr="00232D5D">
              <w:rPr>
                <w:sz w:val="18"/>
                <w:szCs w:val="18"/>
                <w:lang w:val="en-CA" w:eastAsia="de-DE" w:bidi="as-IN"/>
              </w:rPr>
              <w:t xml:space="preserve"> will train and supervise </w:t>
            </w:r>
            <w:proofErr w:type="spellStart"/>
            <w:r w:rsidRPr="00232D5D">
              <w:rPr>
                <w:sz w:val="18"/>
                <w:szCs w:val="18"/>
                <w:lang w:val="en-CA" w:eastAsia="de-DE" w:bidi="as-IN"/>
              </w:rPr>
              <w:t>ecoguards</w:t>
            </w:r>
            <w:proofErr w:type="spellEnd"/>
            <w:r w:rsidRPr="00232D5D">
              <w:rPr>
                <w:sz w:val="18"/>
                <w:szCs w:val="18"/>
                <w:lang w:val="en-CA" w:eastAsia="de-DE" w:bidi="as-IN"/>
              </w:rPr>
              <w:t xml:space="preserve"> and trackers in protected areas. They will organize surveillance and anti-poaching actions in collaboration with other stakeholders. They will also be responsible for the organization of tourism in the project area. </w:t>
            </w:r>
            <w:r w:rsidRPr="00232D5D">
              <w:rPr>
                <w:sz w:val="18"/>
                <w:szCs w:val="18"/>
                <w:lang w:val="fr-FR" w:eastAsia="de-DE" w:bidi="as-IN"/>
              </w:rPr>
              <w:t>(</w:t>
            </w:r>
            <w:proofErr w:type="gramStart"/>
            <w:r>
              <w:rPr>
                <w:sz w:val="18"/>
                <w:szCs w:val="18"/>
                <w:lang w:val="en-CA"/>
              </w:rPr>
              <w:t>output</w:t>
            </w:r>
            <w:proofErr w:type="gramEnd"/>
            <w:r w:rsidRPr="00616C8C">
              <w:rPr>
                <w:sz w:val="18"/>
                <w:szCs w:val="18"/>
                <w:lang w:val="en-CA"/>
              </w:rPr>
              <w:t xml:space="preserve"> </w:t>
            </w:r>
            <w:r w:rsidRPr="00232D5D">
              <w:rPr>
                <w:sz w:val="18"/>
                <w:szCs w:val="18"/>
                <w:lang w:val="fr-FR" w:eastAsia="de-DE" w:bidi="as-IN"/>
              </w:rPr>
              <w:t>2.2.5)</w:t>
            </w:r>
          </w:p>
        </w:tc>
        <w:tc>
          <w:tcPr>
            <w:tcW w:w="1985" w:type="dxa"/>
            <w:tcBorders>
              <w:top w:val="single" w:sz="4" w:space="0" w:color="auto"/>
              <w:left w:val="single" w:sz="4" w:space="0" w:color="auto"/>
              <w:bottom w:val="single" w:sz="4" w:space="0" w:color="auto"/>
              <w:right w:val="single" w:sz="4" w:space="0" w:color="auto"/>
            </w:tcBorders>
            <w:vAlign w:val="center"/>
          </w:tcPr>
          <w:p w14:paraId="42F0334E" w14:textId="77777777" w:rsidR="00302BFE" w:rsidRPr="00CF4D08" w:rsidRDefault="00302BFE" w:rsidP="00243B15">
            <w:pPr>
              <w:autoSpaceDN w:val="0"/>
              <w:spacing w:after="0"/>
              <w:jc w:val="left"/>
              <w:rPr>
                <w:sz w:val="18"/>
                <w:szCs w:val="18"/>
                <w:lang w:val="en-CA"/>
              </w:rPr>
            </w:pPr>
            <w:r w:rsidRPr="00CF4D08">
              <w:rPr>
                <w:sz w:val="18"/>
                <w:szCs w:val="18"/>
                <w:lang w:val="en-CA"/>
              </w:rPr>
              <w:t>Ensure better conservation of wildlife biodiversity and a better tourist destination</w:t>
            </w:r>
          </w:p>
        </w:tc>
        <w:tc>
          <w:tcPr>
            <w:tcW w:w="850" w:type="dxa"/>
            <w:tcBorders>
              <w:top w:val="single" w:sz="4" w:space="0" w:color="auto"/>
              <w:left w:val="single" w:sz="4" w:space="0" w:color="auto"/>
              <w:bottom w:val="single" w:sz="4" w:space="0" w:color="auto"/>
              <w:right w:val="single" w:sz="4" w:space="0" w:color="auto"/>
            </w:tcBorders>
            <w:vAlign w:val="center"/>
          </w:tcPr>
          <w:p w14:paraId="13ED1FCA" w14:textId="77777777" w:rsidR="00302BFE" w:rsidRPr="00E379FD" w:rsidRDefault="00302BFE" w:rsidP="00243B15">
            <w:pPr>
              <w:autoSpaceDN w:val="0"/>
              <w:spacing w:after="0"/>
              <w:jc w:val="left"/>
              <w:rPr>
                <w:sz w:val="18"/>
                <w:szCs w:val="18"/>
                <w:lang w:val="fr-CA"/>
              </w:rPr>
            </w:pPr>
            <w:r w:rsidRPr="00E379FD">
              <w:rPr>
                <w:sz w:val="18"/>
                <w:szCs w:val="18"/>
                <w:lang w:val="fr-CA"/>
              </w:rPr>
              <w:t>1</w:t>
            </w:r>
            <w:r>
              <w:rPr>
                <w:sz w:val="18"/>
                <w:szCs w:val="18"/>
                <w:lang w:val="fr-CA"/>
              </w:rPr>
              <w:t>,</w:t>
            </w:r>
            <w:r w:rsidRPr="00E379FD">
              <w:rPr>
                <w:sz w:val="18"/>
                <w:szCs w:val="18"/>
                <w:lang w:val="fr-CA"/>
              </w:rPr>
              <w:t xml:space="preserve"> 2</w:t>
            </w:r>
            <w:r>
              <w:rPr>
                <w:sz w:val="18"/>
                <w:szCs w:val="18"/>
                <w:lang w:val="fr-CA"/>
              </w:rPr>
              <w:t>,</w:t>
            </w:r>
            <w:r w:rsidRPr="00E379FD">
              <w:rPr>
                <w:sz w:val="18"/>
                <w:szCs w:val="18"/>
                <w:lang w:val="fr-CA"/>
              </w:rPr>
              <w:t xml:space="preserve"> 3</w:t>
            </w:r>
          </w:p>
        </w:tc>
      </w:tr>
      <w:tr w:rsidR="00302BFE" w:rsidRPr="00E379FD" w14:paraId="1F2E305B"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31DAEAE3" w14:textId="77777777" w:rsidR="00302BFE" w:rsidRPr="009F390C" w:rsidRDefault="00302BFE" w:rsidP="00243B15">
            <w:pPr>
              <w:spacing w:after="0"/>
              <w:jc w:val="left"/>
              <w:rPr>
                <w:sz w:val="18"/>
                <w:szCs w:val="18"/>
                <w:lang w:val="en-CA"/>
              </w:rPr>
            </w:pPr>
            <w:r w:rsidRPr="009F390C">
              <w:rPr>
                <w:sz w:val="18"/>
                <w:szCs w:val="18"/>
                <w:lang w:val="en-CA"/>
              </w:rPr>
              <w:t>Tourism operators and agencies</w:t>
            </w:r>
          </w:p>
          <w:p w14:paraId="3671D105" w14:textId="77777777" w:rsidR="00302BFE" w:rsidRPr="009F390C" w:rsidRDefault="00302BFE" w:rsidP="00243B15">
            <w:pPr>
              <w:spacing w:after="0"/>
              <w:jc w:val="left"/>
              <w:rPr>
                <w:sz w:val="18"/>
                <w:szCs w:val="18"/>
                <w:lang w:val="en-CA"/>
              </w:rPr>
            </w:pPr>
            <w:r w:rsidRPr="009F390C">
              <w:rPr>
                <w:sz w:val="18"/>
                <w:szCs w:val="18"/>
                <w:lang w:val="en-CA"/>
              </w:rPr>
              <w:t>Hotels and bungalows within and around PA sites</w:t>
            </w:r>
          </w:p>
        </w:tc>
        <w:tc>
          <w:tcPr>
            <w:tcW w:w="3827" w:type="dxa"/>
            <w:tcBorders>
              <w:top w:val="single" w:sz="4" w:space="0" w:color="auto"/>
              <w:left w:val="single" w:sz="4" w:space="0" w:color="auto"/>
              <w:bottom w:val="single" w:sz="4" w:space="0" w:color="auto"/>
              <w:right w:val="single" w:sz="4" w:space="0" w:color="auto"/>
            </w:tcBorders>
            <w:vAlign w:val="center"/>
          </w:tcPr>
          <w:p w14:paraId="476C7C64" w14:textId="77777777" w:rsidR="00302BFE" w:rsidRPr="009F390C" w:rsidRDefault="00302BFE" w:rsidP="00243B15">
            <w:pPr>
              <w:autoSpaceDN w:val="0"/>
              <w:spacing w:after="0"/>
              <w:jc w:val="left"/>
              <w:rPr>
                <w:rFonts w:eastAsia="Cambria"/>
                <w:sz w:val="18"/>
                <w:szCs w:val="18"/>
                <w:lang w:val="en-CA"/>
              </w:rPr>
            </w:pPr>
            <w:r w:rsidRPr="009F390C">
              <w:rPr>
                <w:rFonts w:eastAsia="Cambria"/>
                <w:sz w:val="18"/>
                <w:szCs w:val="18"/>
                <w:lang w:val="en-CA"/>
              </w:rPr>
              <w:t>Their role is to ensure a better reception for tourists</w:t>
            </w:r>
          </w:p>
        </w:tc>
        <w:tc>
          <w:tcPr>
            <w:tcW w:w="6193" w:type="dxa"/>
            <w:tcBorders>
              <w:top w:val="single" w:sz="4" w:space="0" w:color="auto"/>
              <w:left w:val="single" w:sz="4" w:space="0" w:color="auto"/>
              <w:bottom w:val="single" w:sz="4" w:space="0" w:color="auto"/>
              <w:right w:val="single" w:sz="4" w:space="0" w:color="auto"/>
            </w:tcBorders>
            <w:vAlign w:val="center"/>
          </w:tcPr>
          <w:p w14:paraId="27ECDE6C" w14:textId="77777777" w:rsidR="00302BFE" w:rsidRPr="00232D5D" w:rsidRDefault="00302BFE" w:rsidP="00C46720">
            <w:pPr>
              <w:numPr>
                <w:ilvl w:val="0"/>
                <w:numId w:val="38"/>
              </w:numPr>
              <w:autoSpaceDN w:val="0"/>
              <w:spacing w:after="0"/>
              <w:jc w:val="left"/>
              <w:rPr>
                <w:rFonts w:eastAsia="Cambria"/>
                <w:sz w:val="18"/>
                <w:szCs w:val="18"/>
                <w:lang w:val="en-CA"/>
              </w:rPr>
            </w:pPr>
            <w:r w:rsidRPr="00232D5D">
              <w:rPr>
                <w:sz w:val="18"/>
                <w:szCs w:val="18"/>
                <w:lang w:val="en-CA"/>
              </w:rPr>
              <w:t>Specific information and awareness-raising activities (</w:t>
            </w:r>
            <w:r>
              <w:rPr>
                <w:sz w:val="18"/>
                <w:szCs w:val="18"/>
                <w:lang w:val="en-CA"/>
              </w:rPr>
              <w:t>output</w:t>
            </w:r>
            <w:r w:rsidRPr="00616C8C">
              <w:rPr>
                <w:sz w:val="18"/>
                <w:szCs w:val="18"/>
                <w:lang w:val="en-CA"/>
              </w:rPr>
              <w:t xml:space="preserve"> </w:t>
            </w:r>
            <w:r w:rsidRPr="00232D5D">
              <w:rPr>
                <w:sz w:val="18"/>
                <w:szCs w:val="18"/>
                <w:lang w:val="en-CA"/>
              </w:rPr>
              <w:t>3.4.2) will target companies and private investors operating in or likely to settle in PA sites, with a view to improving their services, mitigating the impacts of their activities on PAs and their resources and develop activities that respect PAs.</w:t>
            </w:r>
          </w:p>
          <w:p w14:paraId="451DA3C2" w14:textId="77777777" w:rsidR="00302BFE" w:rsidRPr="00232D5D" w:rsidRDefault="00302BFE" w:rsidP="00C46720">
            <w:pPr>
              <w:numPr>
                <w:ilvl w:val="0"/>
                <w:numId w:val="38"/>
              </w:numPr>
              <w:autoSpaceDN w:val="0"/>
              <w:spacing w:after="0"/>
              <w:jc w:val="left"/>
              <w:rPr>
                <w:sz w:val="18"/>
                <w:szCs w:val="18"/>
                <w:lang w:val="en-CA"/>
              </w:rPr>
            </w:pPr>
            <w:r w:rsidRPr="00232D5D">
              <w:rPr>
                <w:sz w:val="18"/>
                <w:szCs w:val="18"/>
                <w:lang w:val="en-CA"/>
              </w:rPr>
              <w:t>Tourism operators will be involved in consultations leading to the development of a strategy for the development of ecotourism in relation to PAs and will participate in its implementation (</w:t>
            </w:r>
            <w:r>
              <w:rPr>
                <w:sz w:val="18"/>
                <w:szCs w:val="18"/>
                <w:lang w:val="en-CA"/>
              </w:rPr>
              <w:t>output</w:t>
            </w:r>
            <w:r w:rsidRPr="00616C8C">
              <w:rPr>
                <w:sz w:val="18"/>
                <w:szCs w:val="18"/>
                <w:lang w:val="en-CA"/>
              </w:rPr>
              <w:t xml:space="preserve"> </w:t>
            </w:r>
            <w:r w:rsidRPr="00232D5D">
              <w:rPr>
                <w:sz w:val="18"/>
                <w:szCs w:val="18"/>
                <w:lang w:val="en-CA"/>
              </w:rPr>
              <w:t>3.4.1)</w:t>
            </w:r>
          </w:p>
        </w:tc>
        <w:tc>
          <w:tcPr>
            <w:tcW w:w="1985" w:type="dxa"/>
            <w:tcBorders>
              <w:top w:val="single" w:sz="4" w:space="0" w:color="auto"/>
              <w:left w:val="single" w:sz="4" w:space="0" w:color="auto"/>
              <w:bottom w:val="single" w:sz="4" w:space="0" w:color="auto"/>
              <w:right w:val="single" w:sz="4" w:space="0" w:color="auto"/>
            </w:tcBorders>
            <w:vAlign w:val="center"/>
          </w:tcPr>
          <w:p w14:paraId="1D20311B" w14:textId="77777777" w:rsidR="00302BFE" w:rsidRPr="00CF4D08" w:rsidRDefault="00302BFE" w:rsidP="00243B15">
            <w:pPr>
              <w:autoSpaceDN w:val="0"/>
              <w:spacing w:after="0"/>
              <w:jc w:val="left"/>
              <w:rPr>
                <w:sz w:val="18"/>
                <w:szCs w:val="18"/>
                <w:lang w:val="en-CA"/>
              </w:rPr>
            </w:pPr>
            <w:r w:rsidRPr="00CF4D08">
              <w:rPr>
                <w:sz w:val="18"/>
                <w:szCs w:val="18"/>
                <w:lang w:val="en-CA"/>
              </w:rPr>
              <w:t>Ensure a better tourist destination for the PONASI complex</w:t>
            </w:r>
          </w:p>
        </w:tc>
        <w:tc>
          <w:tcPr>
            <w:tcW w:w="850" w:type="dxa"/>
            <w:tcBorders>
              <w:top w:val="single" w:sz="4" w:space="0" w:color="auto"/>
              <w:left w:val="single" w:sz="4" w:space="0" w:color="auto"/>
              <w:bottom w:val="single" w:sz="4" w:space="0" w:color="auto"/>
              <w:right w:val="single" w:sz="4" w:space="0" w:color="auto"/>
            </w:tcBorders>
            <w:vAlign w:val="center"/>
          </w:tcPr>
          <w:p w14:paraId="7708944C" w14:textId="77777777" w:rsidR="00302BFE" w:rsidRPr="00E379FD" w:rsidRDefault="00302BFE" w:rsidP="00243B15">
            <w:pPr>
              <w:autoSpaceDN w:val="0"/>
              <w:spacing w:after="0"/>
              <w:jc w:val="left"/>
              <w:rPr>
                <w:sz w:val="18"/>
                <w:szCs w:val="18"/>
                <w:lang w:val="fr-CA"/>
              </w:rPr>
            </w:pPr>
            <w:r w:rsidRPr="00E379FD">
              <w:rPr>
                <w:sz w:val="18"/>
                <w:szCs w:val="18"/>
                <w:lang w:val="fr-CA"/>
              </w:rPr>
              <w:t>3</w:t>
            </w:r>
          </w:p>
        </w:tc>
      </w:tr>
      <w:tr w:rsidR="00302BFE" w:rsidRPr="00E379FD" w14:paraId="3E677FE4" w14:textId="77777777" w:rsidTr="00243B15">
        <w:trPr>
          <w:jc w:val="center"/>
        </w:trPr>
        <w:tc>
          <w:tcPr>
            <w:tcW w:w="1882" w:type="dxa"/>
            <w:tcBorders>
              <w:top w:val="single" w:sz="4" w:space="0" w:color="auto"/>
              <w:left w:val="single" w:sz="4" w:space="0" w:color="auto"/>
              <w:bottom w:val="single" w:sz="4" w:space="0" w:color="auto"/>
              <w:right w:val="single" w:sz="4" w:space="0" w:color="auto"/>
            </w:tcBorders>
            <w:vAlign w:val="center"/>
          </w:tcPr>
          <w:p w14:paraId="4A01D991" w14:textId="77777777" w:rsidR="00302BFE" w:rsidRPr="00E379FD" w:rsidRDefault="00302BFE" w:rsidP="00243B15">
            <w:pPr>
              <w:spacing w:after="0"/>
              <w:jc w:val="left"/>
              <w:rPr>
                <w:sz w:val="18"/>
                <w:szCs w:val="18"/>
                <w:lang w:val="fr-CA"/>
              </w:rPr>
            </w:pPr>
            <w:proofErr w:type="spellStart"/>
            <w:r>
              <w:rPr>
                <w:sz w:val="18"/>
                <w:szCs w:val="18"/>
                <w:lang w:val="fr-CA"/>
              </w:rPr>
              <w:lastRenderedPageBreak/>
              <w:t>A</w:t>
            </w:r>
            <w:r w:rsidRPr="00E379FD">
              <w:rPr>
                <w:sz w:val="18"/>
                <w:szCs w:val="18"/>
                <w:lang w:val="fr-CA"/>
              </w:rPr>
              <w:t>gr</w:t>
            </w:r>
            <w:r>
              <w:rPr>
                <w:sz w:val="18"/>
                <w:szCs w:val="18"/>
                <w:lang w:val="fr-CA"/>
              </w:rPr>
              <w:t>o</w:t>
            </w:r>
            <w:r w:rsidRPr="00E379FD">
              <w:rPr>
                <w:sz w:val="18"/>
                <w:szCs w:val="18"/>
                <w:lang w:val="fr-CA"/>
              </w:rPr>
              <w:t>businessmen</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44046698" w14:textId="77777777" w:rsidR="00302BFE" w:rsidRPr="009F390C" w:rsidRDefault="00302BFE" w:rsidP="00243B15">
            <w:pPr>
              <w:autoSpaceDN w:val="0"/>
              <w:spacing w:after="0"/>
              <w:jc w:val="left"/>
              <w:rPr>
                <w:rFonts w:eastAsia="Cambria"/>
                <w:sz w:val="18"/>
                <w:szCs w:val="18"/>
                <w:lang w:val="en-CA"/>
              </w:rPr>
            </w:pPr>
            <w:r w:rsidRPr="009F390C">
              <w:rPr>
                <w:rFonts w:eastAsia="Cambria"/>
                <w:sz w:val="18"/>
                <w:szCs w:val="18"/>
                <w:lang w:val="en-CA"/>
              </w:rPr>
              <w:t>Application of experiences and teaching on sustainable land management</w:t>
            </w:r>
          </w:p>
        </w:tc>
        <w:tc>
          <w:tcPr>
            <w:tcW w:w="6193" w:type="dxa"/>
            <w:tcBorders>
              <w:top w:val="single" w:sz="4" w:space="0" w:color="auto"/>
              <w:left w:val="single" w:sz="4" w:space="0" w:color="auto"/>
              <w:bottom w:val="single" w:sz="4" w:space="0" w:color="auto"/>
              <w:right w:val="single" w:sz="4" w:space="0" w:color="auto"/>
            </w:tcBorders>
            <w:vAlign w:val="center"/>
          </w:tcPr>
          <w:p w14:paraId="77E0A3AA" w14:textId="77777777" w:rsidR="00302BFE" w:rsidRPr="00232D5D" w:rsidRDefault="00302BFE" w:rsidP="00243B15">
            <w:pPr>
              <w:autoSpaceDN w:val="0"/>
              <w:spacing w:after="0"/>
              <w:ind w:left="170"/>
              <w:jc w:val="left"/>
              <w:rPr>
                <w:sz w:val="18"/>
                <w:szCs w:val="18"/>
                <w:lang w:val="en-CA"/>
              </w:rPr>
            </w:pPr>
            <w:r w:rsidRPr="00232D5D">
              <w:rPr>
                <w:sz w:val="18"/>
                <w:szCs w:val="18"/>
                <w:lang w:val="en-CA"/>
              </w:rPr>
              <w:t xml:space="preserve">Agribusinessmen will </w:t>
            </w:r>
            <w:proofErr w:type="gramStart"/>
            <w:r w:rsidRPr="00232D5D">
              <w:rPr>
                <w:sz w:val="18"/>
                <w:szCs w:val="18"/>
                <w:lang w:val="en-CA"/>
              </w:rPr>
              <w:t>be in charge of</w:t>
            </w:r>
            <w:proofErr w:type="gramEnd"/>
            <w:r w:rsidRPr="00232D5D">
              <w:rPr>
                <w:sz w:val="18"/>
                <w:szCs w:val="18"/>
                <w:lang w:val="en-CA"/>
              </w:rPr>
              <w:t xml:space="preserve"> implementing SLM actions initiated throughout the PONASI landscape (</w:t>
            </w:r>
            <w:r>
              <w:rPr>
                <w:sz w:val="18"/>
                <w:szCs w:val="18"/>
                <w:lang w:val="en-CA"/>
              </w:rPr>
              <w:t>output</w:t>
            </w:r>
            <w:r w:rsidRPr="00616C8C">
              <w:rPr>
                <w:sz w:val="18"/>
                <w:szCs w:val="18"/>
                <w:lang w:val="en-CA"/>
              </w:rPr>
              <w:t xml:space="preserve"> </w:t>
            </w:r>
            <w:r w:rsidRPr="00232D5D">
              <w:rPr>
                <w:sz w:val="18"/>
                <w:szCs w:val="18"/>
                <w:lang w:val="en-CA"/>
              </w:rPr>
              <w:t>3.1.2)</w:t>
            </w:r>
          </w:p>
        </w:tc>
        <w:tc>
          <w:tcPr>
            <w:tcW w:w="1985" w:type="dxa"/>
            <w:tcBorders>
              <w:top w:val="single" w:sz="4" w:space="0" w:color="auto"/>
              <w:left w:val="single" w:sz="4" w:space="0" w:color="auto"/>
              <w:bottom w:val="single" w:sz="4" w:space="0" w:color="auto"/>
              <w:right w:val="single" w:sz="4" w:space="0" w:color="auto"/>
            </w:tcBorders>
            <w:vAlign w:val="center"/>
          </w:tcPr>
          <w:p w14:paraId="7FF3B7C6" w14:textId="77777777" w:rsidR="00302BFE" w:rsidRPr="00CF4D08" w:rsidRDefault="00302BFE" w:rsidP="00243B15">
            <w:pPr>
              <w:autoSpaceDN w:val="0"/>
              <w:spacing w:after="0"/>
              <w:jc w:val="left"/>
              <w:rPr>
                <w:sz w:val="18"/>
                <w:szCs w:val="18"/>
                <w:lang w:val="en-CA"/>
              </w:rPr>
            </w:pPr>
            <w:r w:rsidRPr="00CF4D08">
              <w:rPr>
                <w:sz w:val="18"/>
                <w:szCs w:val="18"/>
                <w:lang w:val="en-CA"/>
              </w:rPr>
              <w:t>Agribusinessmen who apply sustainable farming practices.</w:t>
            </w:r>
          </w:p>
        </w:tc>
        <w:tc>
          <w:tcPr>
            <w:tcW w:w="850" w:type="dxa"/>
            <w:tcBorders>
              <w:top w:val="single" w:sz="4" w:space="0" w:color="auto"/>
              <w:left w:val="single" w:sz="4" w:space="0" w:color="auto"/>
              <w:bottom w:val="single" w:sz="4" w:space="0" w:color="auto"/>
              <w:right w:val="single" w:sz="4" w:space="0" w:color="auto"/>
            </w:tcBorders>
            <w:vAlign w:val="center"/>
          </w:tcPr>
          <w:p w14:paraId="43DE336C" w14:textId="77777777" w:rsidR="00302BFE" w:rsidRPr="00E379FD" w:rsidRDefault="00302BFE" w:rsidP="00243B15">
            <w:pPr>
              <w:autoSpaceDN w:val="0"/>
              <w:spacing w:after="0"/>
              <w:jc w:val="left"/>
              <w:rPr>
                <w:sz w:val="18"/>
                <w:szCs w:val="18"/>
                <w:lang w:val="fr-CA"/>
              </w:rPr>
            </w:pPr>
            <w:r w:rsidRPr="00E379FD">
              <w:rPr>
                <w:sz w:val="18"/>
                <w:szCs w:val="18"/>
                <w:lang w:val="fr-FR" w:eastAsia="de-DE" w:bidi="as-IN"/>
              </w:rPr>
              <w:t>1 ; 2 ; 3</w:t>
            </w:r>
          </w:p>
        </w:tc>
      </w:tr>
    </w:tbl>
    <w:p w14:paraId="23A21683" w14:textId="77777777" w:rsidR="00302BFE" w:rsidRDefault="00302BFE" w:rsidP="00302BFE"/>
    <w:p w14:paraId="1C465A69" w14:textId="77777777" w:rsidR="00302BFE" w:rsidRDefault="00302BFE" w:rsidP="00302BFE">
      <w:pPr>
        <w:pStyle w:val="Titre2"/>
        <w:ind w:left="0"/>
        <w:sectPr w:rsidR="00302BFE" w:rsidSect="00243B15">
          <w:pgSz w:w="15840" w:h="12240" w:orient="landscape" w:code="1"/>
          <w:pgMar w:top="720" w:right="720" w:bottom="720" w:left="720" w:header="720" w:footer="720" w:gutter="0"/>
          <w:cols w:space="720"/>
          <w:docGrid w:linePitch="360"/>
        </w:sectPr>
      </w:pPr>
    </w:p>
    <w:p w14:paraId="5207382C" w14:textId="77777777" w:rsidR="00302BFE" w:rsidRDefault="00302BFE" w:rsidP="00302BFE">
      <w:pPr>
        <w:pStyle w:val="Titre2"/>
        <w:ind w:left="0"/>
        <w:rPr>
          <w:rFonts w:ascii="Calibri" w:hAnsi="Calibri"/>
          <w:szCs w:val="22"/>
        </w:rPr>
      </w:pPr>
      <w:bookmarkStart w:id="64" w:name="_Toc9961806"/>
      <w:r w:rsidRPr="00B16682">
        <w:rPr>
          <w:rFonts w:ascii="Calibri" w:hAnsi="Calibri"/>
          <w:szCs w:val="22"/>
        </w:rPr>
        <w:lastRenderedPageBreak/>
        <w:t xml:space="preserve">Annex </w:t>
      </w:r>
      <w:r>
        <w:rPr>
          <w:rFonts w:ascii="Calibri" w:hAnsi="Calibri"/>
          <w:szCs w:val="22"/>
        </w:rPr>
        <w:t>F</w:t>
      </w:r>
      <w:r w:rsidRPr="00B16682">
        <w:rPr>
          <w:rFonts w:ascii="Calibri" w:hAnsi="Calibri"/>
          <w:szCs w:val="22"/>
        </w:rPr>
        <w:t>: Gender Analysis and Action Plan</w:t>
      </w:r>
      <w:bookmarkEnd w:id="64"/>
    </w:p>
    <w:p w14:paraId="7A02DB81" w14:textId="77777777" w:rsidR="00302BFE" w:rsidRPr="00BA18F6" w:rsidRDefault="00302BFE" w:rsidP="00302BFE">
      <w:pPr>
        <w:spacing w:before="120" w:after="120"/>
        <w:rPr>
          <w:b/>
          <w:szCs w:val="20"/>
          <w:lang w:val="en-CA"/>
        </w:rPr>
      </w:pPr>
      <w:r w:rsidRPr="00BA18F6">
        <w:rPr>
          <w:b/>
          <w:szCs w:val="20"/>
          <w:lang w:val="en-CA"/>
        </w:rPr>
        <w:t>GENDER CONTEXT IN BURKINA FASO</w:t>
      </w:r>
    </w:p>
    <w:p w14:paraId="5AABD6CD" w14:textId="77777777" w:rsidR="00302BFE" w:rsidRPr="00BA18F6" w:rsidRDefault="00302BFE" w:rsidP="00302BFE">
      <w:pPr>
        <w:spacing w:before="120" w:after="120"/>
        <w:rPr>
          <w:szCs w:val="20"/>
          <w:lang w:val="en-CA"/>
        </w:rPr>
      </w:pPr>
      <w:r w:rsidRPr="00226A87">
        <w:rPr>
          <w:szCs w:val="20"/>
          <w:lang w:val="en-CA"/>
        </w:rPr>
        <w:t>According to surveys of living conditions of households conducted in 2014 by the National Institute of Statistics and Demography (INSD, 2014), women have poor access and low control of production factors and resources. The low level of human capital development in the country is much more pronounced for women, reducing their productivity at work, including in the agricultural sector, which is a source of employment and income for nearly 80% of the labor force (National Gender Policy, 2009).</w:t>
      </w:r>
    </w:p>
    <w:p w14:paraId="0D5C68E4" w14:textId="77777777" w:rsidR="00302BFE" w:rsidRPr="00BA18F6" w:rsidRDefault="00302BFE" w:rsidP="00302BFE">
      <w:pPr>
        <w:spacing w:before="120" w:after="120"/>
        <w:rPr>
          <w:szCs w:val="20"/>
          <w:lang w:val="en-CA"/>
        </w:rPr>
      </w:pPr>
      <w:r w:rsidRPr="00B35F30">
        <w:rPr>
          <w:szCs w:val="20"/>
          <w:lang w:val="en-CA"/>
        </w:rPr>
        <w:t>The cultural and religious context in Burkina Faso includes factors that strongly influence and determine the access and control of men and women to resources, basic social services, activities in public and private life, and their participation in spheres of decision.</w:t>
      </w:r>
      <w:r>
        <w:rPr>
          <w:szCs w:val="20"/>
          <w:lang w:val="en-CA"/>
        </w:rPr>
        <w:t xml:space="preserve"> </w:t>
      </w:r>
      <w:bookmarkStart w:id="65" w:name="_Hlk534534418"/>
      <w:r w:rsidRPr="00B35F30">
        <w:rPr>
          <w:szCs w:val="20"/>
          <w:lang w:val="en-CA"/>
        </w:rPr>
        <w:t xml:space="preserve">Despite favorable legal provisions and policy measures for equal rights between men and women, the status of women has not fundamentally changed </w:t>
      </w:r>
      <w:r w:rsidRPr="00BA18F6">
        <w:rPr>
          <w:szCs w:val="20"/>
          <w:lang w:val="en-CA"/>
        </w:rPr>
        <w:t>(Tree Aid, 201</w:t>
      </w:r>
      <w:bookmarkEnd w:id="65"/>
      <w:r w:rsidRPr="00BA18F6">
        <w:rPr>
          <w:szCs w:val="20"/>
          <w:lang w:val="en-CA"/>
        </w:rPr>
        <w:t xml:space="preserve">7). </w:t>
      </w:r>
      <w:r w:rsidRPr="00B35F30">
        <w:rPr>
          <w:szCs w:val="20"/>
          <w:lang w:val="en-CA"/>
        </w:rPr>
        <w:t xml:space="preserve">The roles and responsibilities of men and women in societies, which are fixed in advance by traditional culture and reinforced by certain religious beliefs, are used to </w:t>
      </w:r>
      <w:proofErr w:type="gramStart"/>
      <w:r w:rsidRPr="00B35F30">
        <w:rPr>
          <w:szCs w:val="20"/>
          <w:lang w:val="en-CA"/>
        </w:rPr>
        <w:t>explain</w:t>
      </w:r>
      <w:proofErr w:type="gramEnd"/>
      <w:r w:rsidRPr="00B35F30">
        <w:rPr>
          <w:szCs w:val="20"/>
          <w:lang w:val="en-CA"/>
        </w:rPr>
        <w:t xml:space="preserve"> and legitimize the existing inequalities and disparities between men and women qualified by some as normal, natural, even divine </w:t>
      </w:r>
      <w:r w:rsidRPr="00BA18F6">
        <w:rPr>
          <w:szCs w:val="20"/>
          <w:lang w:val="en-CA"/>
        </w:rPr>
        <w:t>(Tree Aid, 2016).</w:t>
      </w:r>
    </w:p>
    <w:p w14:paraId="2D30B451" w14:textId="77777777" w:rsidR="00302BFE" w:rsidRPr="00BA18F6" w:rsidRDefault="00302BFE" w:rsidP="00302BFE">
      <w:pPr>
        <w:spacing w:before="120" w:after="120"/>
        <w:rPr>
          <w:szCs w:val="20"/>
          <w:lang w:val="en-CA"/>
        </w:rPr>
      </w:pPr>
      <w:r w:rsidRPr="00B35F30">
        <w:rPr>
          <w:szCs w:val="20"/>
          <w:lang w:val="en-CA"/>
        </w:rPr>
        <w:t>These inequalities at the socio-cultural and religious level mainly concern</w:t>
      </w:r>
      <w:r w:rsidRPr="00BA18F6">
        <w:rPr>
          <w:szCs w:val="20"/>
          <w:lang w:val="en-CA"/>
        </w:rPr>
        <w:t xml:space="preserve">:  </w:t>
      </w:r>
    </w:p>
    <w:p w14:paraId="408257D3" w14:textId="77777777" w:rsidR="00302BFE" w:rsidRPr="00BA18F6" w:rsidRDefault="00302BFE" w:rsidP="00C46720">
      <w:pPr>
        <w:pStyle w:val="Paragraphedeliste"/>
        <w:numPr>
          <w:ilvl w:val="0"/>
          <w:numId w:val="44"/>
        </w:numPr>
        <w:ind w:left="426" w:hanging="153"/>
        <w:contextualSpacing/>
        <w:jc w:val="both"/>
        <w:rPr>
          <w:rFonts w:ascii="Calibri" w:hAnsi="Calibri"/>
          <w:sz w:val="20"/>
          <w:szCs w:val="20"/>
          <w:lang w:val="en-CA"/>
        </w:rPr>
      </w:pPr>
      <w:r w:rsidRPr="00BA18F6">
        <w:rPr>
          <w:rFonts w:ascii="Calibri" w:hAnsi="Calibri"/>
          <w:sz w:val="20"/>
          <w:szCs w:val="20"/>
          <w:lang w:val="en-CA"/>
        </w:rPr>
        <w:t xml:space="preserve">the persistence of the precedence of the boy over the girl in the choice of births, the right of succession and the right of </w:t>
      </w:r>
      <w:proofErr w:type="gramStart"/>
      <w:r w:rsidRPr="00BA18F6">
        <w:rPr>
          <w:rFonts w:ascii="Calibri" w:hAnsi="Calibri"/>
          <w:sz w:val="20"/>
          <w:szCs w:val="20"/>
          <w:lang w:val="en-CA"/>
        </w:rPr>
        <w:t>property;</w:t>
      </w:r>
      <w:proofErr w:type="gramEnd"/>
    </w:p>
    <w:p w14:paraId="63700FAB" w14:textId="77777777" w:rsidR="00302BFE" w:rsidRPr="00BA18F6" w:rsidRDefault="00302BFE" w:rsidP="00C46720">
      <w:pPr>
        <w:pStyle w:val="Paragraphedeliste"/>
        <w:numPr>
          <w:ilvl w:val="0"/>
          <w:numId w:val="44"/>
        </w:numPr>
        <w:ind w:left="426" w:hanging="153"/>
        <w:jc w:val="both"/>
        <w:rPr>
          <w:rFonts w:ascii="Calibri" w:hAnsi="Calibri"/>
          <w:sz w:val="20"/>
          <w:szCs w:val="20"/>
          <w:lang w:val="en-CA"/>
        </w:rPr>
      </w:pPr>
      <w:r w:rsidRPr="00BA18F6">
        <w:rPr>
          <w:rFonts w:ascii="Calibri" w:hAnsi="Calibri"/>
          <w:sz w:val="20"/>
          <w:szCs w:val="20"/>
          <w:lang w:val="en-CA"/>
        </w:rPr>
        <w:t xml:space="preserve">inequalities and disparities in the sexual division of labor that give more workload to the woman over the man, the girl against the boy, with damaging effects on their health, productivity, leisure time and their reinvestment in human </w:t>
      </w:r>
      <w:proofErr w:type="gramStart"/>
      <w:r w:rsidRPr="00BA18F6">
        <w:rPr>
          <w:rFonts w:ascii="Calibri" w:hAnsi="Calibri"/>
          <w:sz w:val="20"/>
          <w:szCs w:val="20"/>
          <w:lang w:val="en-CA"/>
        </w:rPr>
        <w:t>capital;</w:t>
      </w:r>
      <w:proofErr w:type="gramEnd"/>
    </w:p>
    <w:p w14:paraId="5D16010A" w14:textId="77777777" w:rsidR="00302BFE" w:rsidRPr="00BA18F6" w:rsidRDefault="00302BFE" w:rsidP="00C46720">
      <w:pPr>
        <w:pStyle w:val="Paragraphedeliste"/>
        <w:numPr>
          <w:ilvl w:val="0"/>
          <w:numId w:val="44"/>
        </w:numPr>
        <w:ind w:left="426" w:hanging="153"/>
        <w:jc w:val="both"/>
        <w:rPr>
          <w:rFonts w:ascii="Calibri" w:hAnsi="Calibri"/>
          <w:sz w:val="20"/>
          <w:szCs w:val="20"/>
          <w:lang w:val="en-CA"/>
        </w:rPr>
      </w:pPr>
      <w:r w:rsidRPr="00BA18F6">
        <w:rPr>
          <w:rFonts w:ascii="Calibri" w:hAnsi="Calibri"/>
          <w:sz w:val="20"/>
          <w:szCs w:val="20"/>
          <w:lang w:val="en-CA"/>
        </w:rPr>
        <w:t xml:space="preserve">the existence and perpetuation of traditional practices harmful to women (levirate, excision, caning, sorority, polygamy imposed on the first wife, early and forced marriage ...) and sometimes to </w:t>
      </w:r>
      <w:proofErr w:type="gramStart"/>
      <w:r w:rsidRPr="00BA18F6">
        <w:rPr>
          <w:rFonts w:ascii="Calibri" w:hAnsi="Calibri"/>
          <w:sz w:val="20"/>
          <w:szCs w:val="20"/>
          <w:lang w:val="en-CA"/>
        </w:rPr>
        <w:t>man;</w:t>
      </w:r>
      <w:proofErr w:type="gramEnd"/>
    </w:p>
    <w:p w14:paraId="3032C862" w14:textId="77777777" w:rsidR="00302BFE" w:rsidRPr="00BA18F6" w:rsidRDefault="00302BFE" w:rsidP="00C46720">
      <w:pPr>
        <w:pStyle w:val="Paragraphedeliste"/>
        <w:numPr>
          <w:ilvl w:val="0"/>
          <w:numId w:val="44"/>
        </w:numPr>
        <w:ind w:left="426" w:hanging="153"/>
        <w:jc w:val="both"/>
        <w:rPr>
          <w:rFonts w:ascii="Calibri" w:hAnsi="Calibri"/>
          <w:sz w:val="20"/>
          <w:szCs w:val="20"/>
          <w:lang w:val="en-CA"/>
        </w:rPr>
      </w:pPr>
      <w:r w:rsidRPr="00BA18F6">
        <w:rPr>
          <w:rFonts w:ascii="Calibri" w:hAnsi="Calibri"/>
          <w:sz w:val="20"/>
          <w:szCs w:val="20"/>
          <w:lang w:val="en-CA"/>
        </w:rPr>
        <w:t xml:space="preserve">sexual violence such as rape, sexual harassment, sexual assault and abuse, sexual exploitation of </w:t>
      </w:r>
      <w:proofErr w:type="gramStart"/>
      <w:r w:rsidRPr="00BA18F6">
        <w:rPr>
          <w:rFonts w:ascii="Calibri" w:hAnsi="Calibri"/>
          <w:sz w:val="20"/>
          <w:szCs w:val="20"/>
          <w:lang w:val="en-CA"/>
        </w:rPr>
        <w:t>girls;</w:t>
      </w:r>
      <w:proofErr w:type="gramEnd"/>
    </w:p>
    <w:p w14:paraId="273E12B9" w14:textId="77777777" w:rsidR="00302BFE" w:rsidRPr="00BA18F6" w:rsidRDefault="00302BFE" w:rsidP="00C46720">
      <w:pPr>
        <w:pStyle w:val="Paragraphedeliste"/>
        <w:numPr>
          <w:ilvl w:val="0"/>
          <w:numId w:val="44"/>
        </w:numPr>
        <w:ind w:left="426" w:hanging="153"/>
        <w:jc w:val="both"/>
        <w:rPr>
          <w:rFonts w:ascii="Calibri" w:hAnsi="Calibri"/>
          <w:sz w:val="20"/>
          <w:szCs w:val="20"/>
          <w:lang w:val="en-CA"/>
        </w:rPr>
      </w:pPr>
      <w:r w:rsidRPr="00BA18F6">
        <w:rPr>
          <w:rFonts w:ascii="Calibri" w:hAnsi="Calibri"/>
          <w:sz w:val="20"/>
          <w:szCs w:val="20"/>
          <w:lang w:val="en-CA"/>
        </w:rPr>
        <w:t>inequalities in access to, or the continuation of, processes of social exclusion or self-exclusion, and particularly of women and children (girls and boys) from decision-making spheres.</w:t>
      </w:r>
    </w:p>
    <w:p w14:paraId="136102C0" w14:textId="77777777" w:rsidR="00302BFE" w:rsidRPr="00BA18F6" w:rsidRDefault="00302BFE" w:rsidP="00302BFE">
      <w:pPr>
        <w:spacing w:before="120" w:after="120"/>
        <w:rPr>
          <w:szCs w:val="20"/>
          <w:lang w:val="en-CA"/>
        </w:rPr>
      </w:pPr>
      <w:r w:rsidRPr="00CD1660">
        <w:rPr>
          <w:szCs w:val="20"/>
          <w:lang w:val="en-CA"/>
        </w:rPr>
        <w:t xml:space="preserve">Concerned by the inequalities between men and women in the development process and particularly by valuing the active role of women in this process, Burkina Faso adopted in 2009 a National Gender Policy. This policy reflects the concern for national authorities and development partners for whom the issue of equity and gender equality in civil, civil, political, </w:t>
      </w:r>
      <w:proofErr w:type="gramStart"/>
      <w:r w:rsidRPr="00CD1660">
        <w:rPr>
          <w:szCs w:val="20"/>
          <w:lang w:val="en-CA"/>
        </w:rPr>
        <w:t>economic</w:t>
      </w:r>
      <w:proofErr w:type="gramEnd"/>
      <w:r w:rsidRPr="00CD1660">
        <w:rPr>
          <w:szCs w:val="20"/>
          <w:lang w:val="en-CA"/>
        </w:rPr>
        <w:t xml:space="preserve"> and social rights is a central focus in decisive processes and development management.</w:t>
      </w:r>
      <w:r w:rsidRPr="00BA18F6">
        <w:rPr>
          <w:szCs w:val="20"/>
          <w:lang w:val="en-CA"/>
        </w:rPr>
        <w:t xml:space="preserve"> </w:t>
      </w:r>
    </w:p>
    <w:p w14:paraId="0BB3346E" w14:textId="77777777" w:rsidR="00302BFE" w:rsidRPr="00BA18F6" w:rsidRDefault="00302BFE" w:rsidP="00302BFE">
      <w:pPr>
        <w:spacing w:before="120" w:after="120"/>
        <w:rPr>
          <w:szCs w:val="20"/>
        </w:rPr>
      </w:pPr>
      <w:r w:rsidRPr="00560C8F">
        <w:rPr>
          <w:szCs w:val="20"/>
          <w:lang w:val="en-CA"/>
        </w:rPr>
        <w:t xml:space="preserve">Gender mainstreaming is now adopted in all development policy documents and action plans in Burkina Faso. </w:t>
      </w:r>
      <w:r w:rsidRPr="00560C8F">
        <w:rPr>
          <w:szCs w:val="20"/>
        </w:rPr>
        <w:t xml:space="preserve">Thus, the following </w:t>
      </w:r>
      <w:r>
        <w:rPr>
          <w:szCs w:val="20"/>
        </w:rPr>
        <w:t xml:space="preserve">legislative </w:t>
      </w:r>
      <w:r w:rsidRPr="00560C8F">
        <w:rPr>
          <w:szCs w:val="20"/>
        </w:rPr>
        <w:t>texts reflect this integration:</w:t>
      </w:r>
    </w:p>
    <w:p w14:paraId="74EF07AC" w14:textId="77777777" w:rsidR="00302BFE" w:rsidRPr="00BA18F6" w:rsidRDefault="00302BFE" w:rsidP="00C46720">
      <w:pPr>
        <w:pStyle w:val="Paragraphedeliste"/>
        <w:numPr>
          <w:ilvl w:val="0"/>
          <w:numId w:val="44"/>
        </w:numPr>
        <w:ind w:left="426" w:hanging="153"/>
        <w:jc w:val="both"/>
        <w:rPr>
          <w:rFonts w:ascii="Calibri" w:hAnsi="Calibri"/>
          <w:sz w:val="20"/>
          <w:szCs w:val="20"/>
          <w:lang w:val="en-CA"/>
        </w:rPr>
      </w:pPr>
      <w:r w:rsidRPr="00BA18F6">
        <w:rPr>
          <w:rFonts w:ascii="Calibri" w:hAnsi="Calibri"/>
          <w:sz w:val="20"/>
          <w:szCs w:val="20"/>
          <w:lang w:val="en-CA"/>
        </w:rPr>
        <w:t xml:space="preserve">The Constitution of 2 June 1991 states in its first article the freedom and equality of all Burkinabe, their equal right to enjoy all rights and all freedoms guaranteed by the Constitution, and the prohibition of discrimination of all kinds, particularly those based on race, ethnicity, region, color, sex, language, religion, caste, political opinion, </w:t>
      </w:r>
      <w:proofErr w:type="gramStart"/>
      <w:r w:rsidRPr="00BA18F6">
        <w:rPr>
          <w:rFonts w:ascii="Calibri" w:hAnsi="Calibri"/>
          <w:sz w:val="20"/>
          <w:szCs w:val="20"/>
          <w:lang w:val="en-CA"/>
        </w:rPr>
        <w:t>wealth</w:t>
      </w:r>
      <w:proofErr w:type="gramEnd"/>
      <w:r w:rsidRPr="00BA18F6">
        <w:rPr>
          <w:rFonts w:ascii="Calibri" w:hAnsi="Calibri"/>
          <w:sz w:val="20"/>
          <w:szCs w:val="20"/>
          <w:lang w:val="en-CA"/>
        </w:rPr>
        <w:t xml:space="preserve"> and birth.</w:t>
      </w:r>
    </w:p>
    <w:p w14:paraId="110635AB" w14:textId="77777777" w:rsidR="00302BFE" w:rsidRPr="00BA18F6" w:rsidRDefault="00302BFE" w:rsidP="00C46720">
      <w:pPr>
        <w:pStyle w:val="Paragraphedeliste"/>
        <w:numPr>
          <w:ilvl w:val="0"/>
          <w:numId w:val="44"/>
        </w:numPr>
        <w:ind w:left="426" w:hanging="153"/>
        <w:jc w:val="both"/>
        <w:rPr>
          <w:rFonts w:ascii="Calibri" w:hAnsi="Calibri"/>
          <w:color w:val="000000"/>
          <w:sz w:val="20"/>
          <w:szCs w:val="20"/>
          <w:lang w:val="en-CA"/>
        </w:rPr>
      </w:pPr>
      <w:r w:rsidRPr="00BA18F6">
        <w:rPr>
          <w:rFonts w:ascii="Calibri" w:hAnsi="Calibri"/>
          <w:color w:val="000000"/>
          <w:sz w:val="20"/>
          <w:szCs w:val="20"/>
          <w:lang w:val="en-CA"/>
        </w:rPr>
        <w:t>The 1988 Individual and Family Code, which aims to improve the legal status and social protection of women and children, lays the legal foundations for social justice in the family.</w:t>
      </w:r>
    </w:p>
    <w:p w14:paraId="36458F0E" w14:textId="77777777" w:rsidR="00302BFE" w:rsidRPr="00BA18F6" w:rsidRDefault="00302BFE" w:rsidP="00C46720">
      <w:pPr>
        <w:pStyle w:val="Paragraphedeliste"/>
        <w:numPr>
          <w:ilvl w:val="0"/>
          <w:numId w:val="44"/>
        </w:numPr>
        <w:ind w:left="426" w:hanging="153"/>
        <w:jc w:val="both"/>
        <w:rPr>
          <w:rFonts w:ascii="Calibri" w:hAnsi="Calibri"/>
          <w:color w:val="000000"/>
          <w:sz w:val="20"/>
          <w:szCs w:val="20"/>
          <w:lang w:val="en-CA"/>
        </w:rPr>
      </w:pPr>
      <w:r w:rsidRPr="00BA18F6">
        <w:rPr>
          <w:rFonts w:ascii="Calibri" w:hAnsi="Calibri"/>
          <w:color w:val="000000"/>
          <w:sz w:val="20"/>
          <w:szCs w:val="20"/>
          <w:lang w:val="en-CA"/>
        </w:rPr>
        <w:t>Land and agrarian reorganization texts give men and women the same rights of access and enjoyment to the land.</w:t>
      </w:r>
    </w:p>
    <w:p w14:paraId="258DCCD3" w14:textId="77777777" w:rsidR="00302BFE" w:rsidRPr="00BA18F6" w:rsidRDefault="00302BFE" w:rsidP="00C46720">
      <w:pPr>
        <w:pStyle w:val="Paragraphedeliste"/>
        <w:numPr>
          <w:ilvl w:val="0"/>
          <w:numId w:val="44"/>
        </w:numPr>
        <w:ind w:left="426" w:hanging="153"/>
        <w:jc w:val="both"/>
        <w:rPr>
          <w:rFonts w:ascii="Calibri" w:hAnsi="Calibri"/>
          <w:color w:val="000000"/>
          <w:sz w:val="20"/>
          <w:szCs w:val="20"/>
          <w:lang w:val="en-CA"/>
        </w:rPr>
      </w:pPr>
      <w:r w:rsidRPr="00BA18F6">
        <w:rPr>
          <w:rFonts w:ascii="Calibri" w:hAnsi="Calibri"/>
          <w:color w:val="000000"/>
          <w:sz w:val="20"/>
          <w:szCs w:val="20"/>
          <w:lang w:val="en-CA"/>
        </w:rPr>
        <w:t>The Labor Code and the Penal Code incorporate measures to promote gender equality and social justice.</w:t>
      </w:r>
    </w:p>
    <w:p w14:paraId="4BF79218" w14:textId="77777777" w:rsidR="00302BFE" w:rsidRPr="00BA18F6" w:rsidRDefault="00302BFE" w:rsidP="00C46720">
      <w:pPr>
        <w:pStyle w:val="Paragraphedeliste"/>
        <w:numPr>
          <w:ilvl w:val="0"/>
          <w:numId w:val="44"/>
        </w:numPr>
        <w:ind w:left="426" w:hanging="153"/>
        <w:jc w:val="both"/>
        <w:rPr>
          <w:rFonts w:ascii="Calibri" w:hAnsi="Calibri"/>
          <w:color w:val="000000"/>
          <w:sz w:val="20"/>
          <w:szCs w:val="20"/>
          <w:lang w:val="en-CA"/>
        </w:rPr>
      </w:pPr>
      <w:r w:rsidRPr="00BA18F6">
        <w:rPr>
          <w:rFonts w:ascii="Calibri" w:hAnsi="Calibri"/>
          <w:color w:val="000000"/>
          <w:sz w:val="20"/>
          <w:szCs w:val="20"/>
          <w:lang w:val="en-CA"/>
        </w:rPr>
        <w:t>The General Code of Territorial Communities gives men and women the same rights to participate in civic action and in the management of local affairs.</w:t>
      </w:r>
    </w:p>
    <w:p w14:paraId="73AC7B95" w14:textId="77777777" w:rsidR="00302BFE" w:rsidRPr="00BA18F6" w:rsidRDefault="00302BFE" w:rsidP="00302BFE">
      <w:pPr>
        <w:spacing w:before="120" w:after="120"/>
        <w:rPr>
          <w:szCs w:val="20"/>
          <w:lang w:val="en-CA"/>
        </w:rPr>
      </w:pPr>
      <w:bookmarkStart w:id="66" w:name="_Hlk534535719"/>
      <w:r w:rsidRPr="003A327D">
        <w:rPr>
          <w:szCs w:val="20"/>
          <w:lang w:val="en-CA"/>
        </w:rPr>
        <w:t>Several national policies integrate the issue of gender equality and equity: the Strategic Framework for the Fight against Poverty, the Decentralized Rural Development Policy Letter, the National Population Policy, the Policy and Plan of Action and Orientation document for the Promotion and Protection of Human Rights, the National Policy for Social Action and the National Program for Economic and Social Development.</w:t>
      </w:r>
    </w:p>
    <w:bookmarkEnd w:id="66"/>
    <w:p w14:paraId="3B0DED4E" w14:textId="77777777" w:rsidR="00302BFE" w:rsidRPr="00BA18F6" w:rsidRDefault="00302BFE" w:rsidP="00302BFE">
      <w:pPr>
        <w:spacing w:before="120" w:after="120"/>
        <w:rPr>
          <w:szCs w:val="20"/>
          <w:lang w:val="en-CA"/>
        </w:rPr>
      </w:pPr>
      <w:r w:rsidRPr="003A327D">
        <w:rPr>
          <w:szCs w:val="20"/>
          <w:lang w:val="en-CA"/>
        </w:rPr>
        <w:t>At the institutional and operational level, Burkina Faso has taken into account the gender dimension at all levels of social, economic and political life through the creation of the Ministry for the Promotion of Women in June 1997 and the Ministry for the Promotion of Human Rights in 2002, the development in 2004 of a manual on mainstreaming gender in development policies, programs and projects, as well as gender mainstreaming in sectoral policies and the creation of focal points and cells in the basic sectors.</w:t>
      </w:r>
      <w:r w:rsidRPr="00BA18F6">
        <w:rPr>
          <w:szCs w:val="20"/>
          <w:lang w:val="en-CA"/>
        </w:rPr>
        <w:t xml:space="preserve"> </w:t>
      </w:r>
    </w:p>
    <w:p w14:paraId="20558BA6" w14:textId="77777777" w:rsidR="00302BFE" w:rsidRPr="00BA18F6" w:rsidRDefault="00302BFE" w:rsidP="00302BFE">
      <w:pPr>
        <w:spacing w:before="120" w:after="120"/>
        <w:rPr>
          <w:szCs w:val="20"/>
          <w:lang w:val="en-CA"/>
        </w:rPr>
      </w:pPr>
      <w:r w:rsidRPr="003A327D">
        <w:rPr>
          <w:szCs w:val="20"/>
          <w:lang w:val="en-CA"/>
        </w:rPr>
        <w:t>Despite this national position in favor of gender and efforts, inequalities and disparities between men and women are still very present in Burkina Faso society. They are partly explained by the resistance to gender both at national and local level, the persistence of the patriarchal system that advocates and ensures the domination of men over women, the difficulty of enforcing the laws, the tenacious sociocultural constraints that determine the low participation or marginalization of women in economic and public life.</w:t>
      </w:r>
      <w:r w:rsidRPr="00BA18F6">
        <w:rPr>
          <w:szCs w:val="20"/>
          <w:lang w:val="en-CA"/>
        </w:rPr>
        <w:t xml:space="preserve">  </w:t>
      </w:r>
    </w:p>
    <w:p w14:paraId="0CDB2FA2" w14:textId="77777777" w:rsidR="00302BFE" w:rsidRDefault="00302BFE" w:rsidP="00302BFE">
      <w:pPr>
        <w:spacing w:before="120" w:after="120"/>
        <w:rPr>
          <w:b/>
          <w:szCs w:val="20"/>
          <w:lang w:val="en-CA"/>
        </w:rPr>
      </w:pPr>
      <w:r>
        <w:rPr>
          <w:b/>
          <w:szCs w:val="20"/>
          <w:lang w:val="en-CA"/>
        </w:rPr>
        <w:t>METHODOLOGY OF THE GENDER ANALYSIS</w:t>
      </w:r>
    </w:p>
    <w:p w14:paraId="4FBF0289" w14:textId="77777777" w:rsidR="00302BFE" w:rsidRPr="00BA18F6" w:rsidRDefault="00302BFE" w:rsidP="00302BFE">
      <w:pPr>
        <w:spacing w:before="120" w:after="120"/>
        <w:rPr>
          <w:szCs w:val="20"/>
          <w:lang w:val="en-CA"/>
        </w:rPr>
      </w:pPr>
      <w:r w:rsidRPr="006D2576">
        <w:rPr>
          <w:b/>
          <w:szCs w:val="20"/>
          <w:lang w:val="en-CA"/>
        </w:rPr>
        <w:lastRenderedPageBreak/>
        <w:t>Field data collection</w:t>
      </w:r>
      <w:r>
        <w:rPr>
          <w:b/>
          <w:szCs w:val="20"/>
          <w:lang w:val="en-CA"/>
        </w:rPr>
        <w:t xml:space="preserve">. </w:t>
      </w:r>
      <w:r w:rsidRPr="00BA18F6">
        <w:rPr>
          <w:szCs w:val="20"/>
          <w:lang w:val="en-CA"/>
        </w:rPr>
        <w:t>The information and data were collected in the 15 selected pilot villages in the 9 communes included in the PONASI landscape, following the Active Participatory Research Method (APM) applied in focus groups or in individual interviews.</w:t>
      </w:r>
    </w:p>
    <w:p w14:paraId="6DD133CF" w14:textId="77777777" w:rsidR="00302BFE" w:rsidRPr="00BA18F6" w:rsidRDefault="00302BFE" w:rsidP="00302BFE">
      <w:pPr>
        <w:autoSpaceDE w:val="0"/>
        <w:autoSpaceDN w:val="0"/>
        <w:adjustRightInd w:val="0"/>
        <w:spacing w:before="120" w:after="120"/>
        <w:rPr>
          <w:color w:val="000000"/>
          <w:szCs w:val="20"/>
          <w:lang w:val="en-CA"/>
        </w:rPr>
      </w:pPr>
      <w:r w:rsidRPr="006D2576">
        <w:rPr>
          <w:b/>
          <w:szCs w:val="20"/>
          <w:lang w:val="en-CA"/>
        </w:rPr>
        <w:t>Literature search</w:t>
      </w:r>
      <w:r>
        <w:rPr>
          <w:b/>
          <w:szCs w:val="20"/>
          <w:lang w:val="en-CA"/>
        </w:rPr>
        <w:t xml:space="preserve">. </w:t>
      </w:r>
      <w:r w:rsidRPr="006D2576">
        <w:rPr>
          <w:rFonts w:eastAsia="Times New Roman"/>
          <w:szCs w:val="20"/>
          <w:lang w:val="en-CA" w:eastAsia="fr-FR"/>
        </w:rPr>
        <w:t xml:space="preserve">The desk review focused on current policies, strategic directions, </w:t>
      </w:r>
      <w:proofErr w:type="gramStart"/>
      <w:r w:rsidRPr="006D2576">
        <w:rPr>
          <w:rFonts w:eastAsia="Times New Roman"/>
          <w:szCs w:val="20"/>
          <w:lang w:val="en-CA" w:eastAsia="fr-FR"/>
        </w:rPr>
        <w:t>projects</w:t>
      </w:r>
      <w:proofErr w:type="gramEnd"/>
      <w:r w:rsidRPr="006D2576">
        <w:rPr>
          <w:rFonts w:eastAsia="Times New Roman"/>
          <w:szCs w:val="20"/>
          <w:lang w:val="en-CA" w:eastAsia="fr-FR"/>
        </w:rPr>
        <w:t xml:space="preserve"> and programs, as well as various reports on gender mainstreaming in the area of local forest resource governance, to better understand and analyze project issues related to gender depending on its context and to guide the survey questions to the communities.</w:t>
      </w:r>
    </w:p>
    <w:p w14:paraId="0DBD7793" w14:textId="77777777" w:rsidR="00302BFE" w:rsidRPr="00BA18F6" w:rsidRDefault="00302BFE" w:rsidP="00302BFE">
      <w:pPr>
        <w:spacing w:before="120" w:after="120"/>
        <w:rPr>
          <w:b/>
          <w:szCs w:val="20"/>
          <w:lang w:val="en-CA"/>
        </w:rPr>
      </w:pPr>
      <w:r w:rsidRPr="006D2576">
        <w:rPr>
          <w:b/>
          <w:szCs w:val="20"/>
          <w:lang w:val="en-CA"/>
        </w:rPr>
        <w:t xml:space="preserve">SOCIO-ECONOMIC SITUATION OF WOMEN IN </w:t>
      </w:r>
      <w:r>
        <w:rPr>
          <w:b/>
          <w:szCs w:val="20"/>
          <w:lang w:val="en-CA"/>
        </w:rPr>
        <w:t>THE PONASI LANDSCAPE</w:t>
      </w:r>
    </w:p>
    <w:p w14:paraId="38A1011E" w14:textId="77777777" w:rsidR="00302BFE" w:rsidRPr="00BA18F6" w:rsidRDefault="00302BFE" w:rsidP="00302BFE">
      <w:pPr>
        <w:spacing w:before="120" w:after="120"/>
        <w:rPr>
          <w:szCs w:val="20"/>
          <w:lang w:val="en-CA"/>
        </w:rPr>
      </w:pPr>
      <w:r w:rsidRPr="006D2576">
        <w:rPr>
          <w:szCs w:val="20"/>
          <w:lang w:val="en-CA"/>
        </w:rPr>
        <w:t xml:space="preserve">According to the demography assessment in pilot project communes, women represent 52.78% of the total population. Although women make an important contribution to </w:t>
      </w:r>
      <w:proofErr w:type="spellStart"/>
      <w:r w:rsidRPr="006D2576">
        <w:rPr>
          <w:szCs w:val="20"/>
          <w:lang w:val="en-CA"/>
        </w:rPr>
        <w:t>agro</w:t>
      </w:r>
      <w:proofErr w:type="spellEnd"/>
      <w:r w:rsidRPr="006D2576">
        <w:rPr>
          <w:szCs w:val="20"/>
          <w:lang w:val="en-CA"/>
        </w:rPr>
        <w:t>-</w:t>
      </w:r>
      <w:proofErr w:type="spellStart"/>
      <w:r w:rsidRPr="006D2576">
        <w:rPr>
          <w:szCs w:val="20"/>
          <w:lang w:val="en-CA"/>
        </w:rPr>
        <w:t>silvo</w:t>
      </w:r>
      <w:proofErr w:type="spellEnd"/>
      <w:r w:rsidRPr="006D2576">
        <w:rPr>
          <w:szCs w:val="20"/>
          <w:lang w:val="en-CA"/>
        </w:rPr>
        <w:t>-pastoral production in the landscape area of the PONASI complex, their standard of living remains low in all surveyed sites. The benefits derived from the different production systems are not sufficient to support real development from which they could benefit.</w:t>
      </w:r>
    </w:p>
    <w:p w14:paraId="13B4B704" w14:textId="77777777" w:rsidR="00302BFE" w:rsidRPr="00BA18F6" w:rsidRDefault="00302BFE" w:rsidP="00302BFE">
      <w:pPr>
        <w:spacing w:before="120" w:after="120"/>
        <w:ind w:left="720"/>
        <w:rPr>
          <w:rFonts w:eastAsia="Calibri"/>
          <w:b/>
          <w:szCs w:val="20"/>
          <w:lang w:val="en-CA"/>
        </w:rPr>
      </w:pPr>
      <w:r w:rsidRPr="006F3446">
        <w:rPr>
          <w:b/>
          <w:szCs w:val="20"/>
          <w:lang w:val="en-CA"/>
        </w:rPr>
        <w:t>Factors contributing to the improvement of the standard of living of women in PONASI</w:t>
      </w:r>
    </w:p>
    <w:p w14:paraId="16DDC323" w14:textId="77777777" w:rsidR="00302BFE" w:rsidRPr="00BA18F6" w:rsidRDefault="00302BFE" w:rsidP="00302BFE">
      <w:pPr>
        <w:spacing w:before="120" w:after="120"/>
        <w:rPr>
          <w:rFonts w:eastAsia="Calibri"/>
          <w:szCs w:val="20"/>
          <w:lang w:val="en-CA"/>
        </w:rPr>
      </w:pPr>
      <w:r w:rsidRPr="006F3446">
        <w:rPr>
          <w:szCs w:val="20"/>
          <w:lang w:val="en-CA"/>
        </w:rPr>
        <w:t>Field surveys in the PONASI complex landscape have identified a range of factors that determine women's well-being, the most important of which include: i) basic needs coverage (health, clothing, jewellery); (ii) Childcare (education, health, clothing); (iii) Practicing an income-generating activity (based on forest resources, livestock, agriculture); iv) Contribution to household expenses (food, health); v) Contribution to social affairs (baptisms, engagements, weddings, funerals ...)</w:t>
      </w:r>
    </w:p>
    <w:p w14:paraId="5493CF69" w14:textId="77777777" w:rsidR="00302BFE" w:rsidRPr="00BA18F6" w:rsidRDefault="00302BFE" w:rsidP="00302BFE">
      <w:pPr>
        <w:pStyle w:val="Paragraphedeliste"/>
        <w:widowControl w:val="0"/>
        <w:autoSpaceDE w:val="0"/>
        <w:autoSpaceDN w:val="0"/>
        <w:adjustRightInd w:val="0"/>
        <w:spacing w:before="120" w:after="120"/>
        <w:ind w:left="0"/>
        <w:jc w:val="both"/>
        <w:textAlignment w:val="baseline"/>
        <w:rPr>
          <w:rFonts w:ascii="Calibri" w:hAnsi="Calibri"/>
          <w:sz w:val="20"/>
          <w:szCs w:val="20"/>
          <w:lang w:val="en-CA"/>
        </w:rPr>
      </w:pPr>
      <w:r w:rsidRPr="00BA18F6">
        <w:rPr>
          <w:rFonts w:ascii="Calibri" w:hAnsi="Calibri"/>
          <w:sz w:val="20"/>
          <w:szCs w:val="20"/>
          <w:shd w:val="clear" w:color="auto" w:fill="FFFFFF"/>
          <w:lang w:val="en-CA"/>
        </w:rPr>
        <w:t xml:space="preserve">The appreciation of the standard of living of women in the intervention zone is linked to their ability to meet their basic needs, to meet those of their children, to contribute to household expenses, and to be able to participate in social events. Other types of needs, including food, are covered by the household production under the responsibility of the family head, who is also in charge of housing. Now, the ability of women to contribute to these needs depends on the possibility of exercising an income generating activity (IGA). </w:t>
      </w:r>
      <w:r w:rsidRPr="00BA18F6">
        <w:rPr>
          <w:rFonts w:ascii="Calibri" w:hAnsi="Calibri"/>
          <w:sz w:val="20"/>
          <w:szCs w:val="20"/>
          <w:lang w:val="en-CA"/>
        </w:rPr>
        <w:t>However, the revenues generated by these IGAs are low, for lack of investment and know-how for most of them. Women are mainly involved in IGAs in the fields of agriculture, livestock farming and the exploitation of forest resources including wood and non-wood products.</w:t>
      </w:r>
    </w:p>
    <w:p w14:paraId="4588C3BD" w14:textId="77777777" w:rsidR="00302BFE" w:rsidRPr="00BA18F6" w:rsidRDefault="00302BFE" w:rsidP="00302BFE">
      <w:pPr>
        <w:pStyle w:val="Paragraphedeliste"/>
        <w:widowControl w:val="0"/>
        <w:autoSpaceDE w:val="0"/>
        <w:autoSpaceDN w:val="0"/>
        <w:adjustRightInd w:val="0"/>
        <w:spacing w:before="120" w:after="120"/>
        <w:ind w:left="0"/>
        <w:jc w:val="both"/>
        <w:textAlignment w:val="baseline"/>
        <w:rPr>
          <w:rFonts w:ascii="Calibri" w:hAnsi="Calibri"/>
          <w:sz w:val="20"/>
          <w:szCs w:val="20"/>
          <w:shd w:val="clear" w:color="auto" w:fill="FFFFFF"/>
          <w:lang w:val="en-CA"/>
        </w:rPr>
      </w:pPr>
      <w:r w:rsidRPr="00BA18F6">
        <w:rPr>
          <w:rFonts w:ascii="Calibri" w:hAnsi="Calibri"/>
          <w:sz w:val="20"/>
          <w:szCs w:val="20"/>
          <w:shd w:val="clear" w:color="auto" w:fill="FFFFFF"/>
          <w:lang w:val="en-CA"/>
        </w:rPr>
        <w:t xml:space="preserve">According to criteria defined by households and related to their </w:t>
      </w:r>
      <w:proofErr w:type="spellStart"/>
      <w:r w:rsidRPr="00BA18F6">
        <w:rPr>
          <w:rFonts w:ascii="Calibri" w:hAnsi="Calibri"/>
          <w:sz w:val="20"/>
          <w:szCs w:val="20"/>
          <w:shd w:val="clear" w:color="auto" w:fill="FFFFFF"/>
          <w:lang w:val="en-CA"/>
        </w:rPr>
        <w:t>agro</w:t>
      </w:r>
      <w:proofErr w:type="spellEnd"/>
      <w:r w:rsidRPr="00BA18F6">
        <w:rPr>
          <w:rFonts w:ascii="Calibri" w:hAnsi="Calibri"/>
          <w:sz w:val="20"/>
          <w:szCs w:val="20"/>
          <w:shd w:val="clear" w:color="auto" w:fill="FFFFFF"/>
          <w:lang w:val="en-CA"/>
        </w:rPr>
        <w:t xml:space="preserve">-pastoral production capacities, </w:t>
      </w:r>
      <w:proofErr w:type="gramStart"/>
      <w:r w:rsidRPr="00BA18F6">
        <w:rPr>
          <w:rFonts w:ascii="Calibri" w:hAnsi="Calibri"/>
          <w:sz w:val="20"/>
          <w:szCs w:val="20"/>
          <w:shd w:val="clear" w:color="auto" w:fill="FFFFFF"/>
          <w:lang w:val="en-CA"/>
        </w:rPr>
        <w:t>the majority of</w:t>
      </w:r>
      <w:proofErr w:type="gramEnd"/>
      <w:r w:rsidRPr="00BA18F6">
        <w:rPr>
          <w:rFonts w:ascii="Calibri" w:hAnsi="Calibri"/>
          <w:sz w:val="20"/>
          <w:szCs w:val="20"/>
          <w:shd w:val="clear" w:color="auto" w:fill="FFFFFF"/>
          <w:lang w:val="en-CA"/>
        </w:rPr>
        <w:t xml:space="preserve"> women come from households with a low standard of living. Women feel their standard of living reflects the household to which they belong. As illustrated in the figure below, the majority (61%) perceive their standard of living as low and 30%, as average. </w:t>
      </w:r>
    </w:p>
    <w:p w14:paraId="2ACA0646" w14:textId="77777777" w:rsidR="00302BFE" w:rsidRPr="00BA18F6" w:rsidRDefault="00302BFE" w:rsidP="00302BFE">
      <w:pPr>
        <w:pStyle w:val="Lgende"/>
        <w:spacing w:before="120" w:after="120"/>
        <w:jc w:val="both"/>
        <w:rPr>
          <w:rFonts w:ascii="Calibri" w:hAnsi="Calibri"/>
          <w:sz w:val="20"/>
          <w:szCs w:val="20"/>
          <w:lang w:val="en-CA"/>
        </w:rPr>
      </w:pPr>
      <w:bookmarkStart w:id="67" w:name="_Toc7382355"/>
      <w:r w:rsidRPr="00BA18F6">
        <w:rPr>
          <w:rFonts w:ascii="Calibri" w:hAnsi="Calibri"/>
          <w:sz w:val="20"/>
          <w:szCs w:val="20"/>
          <w:lang w:val="en-CA"/>
        </w:rPr>
        <w:t xml:space="preserve">Figure 1: </w:t>
      </w:r>
      <w:bookmarkEnd w:id="67"/>
      <w:r w:rsidRPr="00BA18F6">
        <w:rPr>
          <w:rFonts w:ascii="Calibri" w:hAnsi="Calibri"/>
          <w:sz w:val="20"/>
          <w:szCs w:val="20"/>
          <w:lang w:val="en-CA"/>
        </w:rPr>
        <w:t xml:space="preserve">Proportion of households in the different categories of standard of living as perceived by women in the PONASI complex. </w:t>
      </w:r>
      <w:r w:rsidRPr="00BA18F6">
        <w:rPr>
          <w:rFonts w:ascii="Calibri" w:hAnsi="Calibri"/>
          <w:b w:val="0"/>
          <w:sz w:val="20"/>
          <w:szCs w:val="20"/>
          <w:lang w:val="en-CA"/>
        </w:rPr>
        <w:t>Source: Survey data, present study, 2018</w:t>
      </w:r>
    </w:p>
    <w:p w14:paraId="235F7264" w14:textId="77777777" w:rsidR="00302BFE" w:rsidRPr="00BA18F6" w:rsidRDefault="00302BFE" w:rsidP="00302BFE">
      <w:pPr>
        <w:spacing w:before="120" w:after="120"/>
        <w:jc w:val="center"/>
        <w:rPr>
          <w:szCs w:val="20"/>
        </w:rPr>
      </w:pPr>
      <w:r w:rsidRPr="00BA18F6">
        <w:rPr>
          <w:noProof/>
          <w:szCs w:val="20"/>
        </w:rPr>
        <w:drawing>
          <wp:inline distT="0" distB="0" distL="0" distR="0" wp14:anchorId="4EC91F13" wp14:editId="14B9F525">
            <wp:extent cx="3895090" cy="2019935"/>
            <wp:effectExtent l="0" t="0" r="10160" b="18415"/>
            <wp:docPr id="10" name="Graphique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FB41A55" w14:textId="77777777" w:rsidR="00302BFE" w:rsidRPr="00BA18F6" w:rsidRDefault="00302BFE" w:rsidP="00302BFE">
      <w:pPr>
        <w:widowControl w:val="0"/>
        <w:adjustRightInd w:val="0"/>
        <w:spacing w:before="120" w:after="120"/>
        <w:jc w:val="center"/>
        <w:textAlignment w:val="baseline"/>
        <w:rPr>
          <w:b/>
          <w:szCs w:val="20"/>
          <w:shd w:val="clear" w:color="auto" w:fill="FFFFFF"/>
        </w:rPr>
      </w:pPr>
    </w:p>
    <w:p w14:paraId="5B62E49A" w14:textId="77777777" w:rsidR="00302BFE" w:rsidRPr="00BA18F6" w:rsidRDefault="00302BFE" w:rsidP="00302BFE">
      <w:pPr>
        <w:widowControl w:val="0"/>
        <w:adjustRightInd w:val="0"/>
        <w:spacing w:before="120" w:after="120"/>
        <w:textAlignment w:val="baseline"/>
        <w:rPr>
          <w:szCs w:val="20"/>
          <w:shd w:val="clear" w:color="auto" w:fill="FFFFFF"/>
          <w:lang w:val="en-CA"/>
        </w:rPr>
      </w:pPr>
      <w:r w:rsidRPr="0085452C">
        <w:rPr>
          <w:szCs w:val="20"/>
          <w:lang w:val="en-CA"/>
        </w:rPr>
        <w:t xml:space="preserve">The values published by the INSD (2016 national statistical yearbook) on the incidence of poverty in the 3 regions covered by the project are 40.5% in South Central, 51.6% in Central West and 36.1% in Central East, highlighting significant differences between perceptions and official values. </w:t>
      </w:r>
      <w:r w:rsidRPr="0085452C">
        <w:rPr>
          <w:szCs w:val="20"/>
          <w:shd w:val="clear" w:color="auto" w:fill="FFFFFF"/>
          <w:lang w:val="en-CA"/>
        </w:rPr>
        <w:t>These differences can also be explained by the fact that the INSD values include urban populations where the poverty rate is lower and that they are based on the measurement of three indicators based on age at death, illiteracy , and living conditions (access to drinking water, health services and underweight rate of children under five), while the local communities surveyed focused on agricultural production access to factors of production and basic social services (health, education for children) as well as the social.</w:t>
      </w:r>
    </w:p>
    <w:p w14:paraId="7BE8CAD9" w14:textId="77777777" w:rsidR="00302BFE" w:rsidRPr="00BA18F6" w:rsidRDefault="00302BFE" w:rsidP="00302BFE">
      <w:pPr>
        <w:spacing w:before="120" w:after="120"/>
        <w:ind w:left="720"/>
        <w:rPr>
          <w:rFonts w:eastAsia="Calibri"/>
          <w:b/>
          <w:szCs w:val="20"/>
          <w:lang w:val="en-CA"/>
        </w:rPr>
      </w:pPr>
      <w:r w:rsidRPr="00D0399F">
        <w:rPr>
          <w:b/>
          <w:szCs w:val="20"/>
          <w:lang w:val="en-CA"/>
        </w:rPr>
        <w:t>Impact of household poverty on women</w:t>
      </w:r>
    </w:p>
    <w:p w14:paraId="2CBADE0B" w14:textId="77777777" w:rsidR="00302BFE" w:rsidRPr="00BA18F6" w:rsidRDefault="00302BFE" w:rsidP="00302BFE">
      <w:pPr>
        <w:widowControl w:val="0"/>
        <w:adjustRightInd w:val="0"/>
        <w:spacing w:before="120" w:after="120"/>
        <w:textAlignment w:val="baseline"/>
        <w:rPr>
          <w:rFonts w:eastAsia="Calibri"/>
          <w:szCs w:val="20"/>
          <w:shd w:val="clear" w:color="auto" w:fill="FFFFFF"/>
          <w:lang w:val="en-CA"/>
        </w:rPr>
      </w:pPr>
      <w:r w:rsidRPr="00D0399F">
        <w:rPr>
          <w:szCs w:val="20"/>
          <w:shd w:val="clear" w:color="auto" w:fill="FFFFFF"/>
          <w:lang w:val="en-CA"/>
        </w:rPr>
        <w:lastRenderedPageBreak/>
        <w:t xml:space="preserve">Believing that, based on the benefits of their own activities, they </w:t>
      </w:r>
      <w:proofErr w:type="gramStart"/>
      <w:r w:rsidRPr="00D0399F">
        <w:rPr>
          <w:szCs w:val="20"/>
          <w:shd w:val="clear" w:color="auto" w:fill="FFFFFF"/>
          <w:lang w:val="en-CA"/>
        </w:rPr>
        <w:t>have to</w:t>
      </w:r>
      <w:proofErr w:type="gramEnd"/>
      <w:r w:rsidRPr="00D0399F">
        <w:rPr>
          <w:szCs w:val="20"/>
          <w:shd w:val="clear" w:color="auto" w:fill="FFFFFF"/>
          <w:lang w:val="en-CA"/>
        </w:rPr>
        <w:t xml:space="preserve"> cope with the needs of the household when their production does not allow it, women identify with the general standard of living of the household. One of the women interviewed said: "If there is poverty in the household, it is the woman who goes out to look for NTFPs in the bush to sell or who carries out contractual activities (daily paid agricultural labor force) that the man is ashamed to do, to meet the needs of the household".</w:t>
      </w:r>
      <w:r>
        <w:rPr>
          <w:szCs w:val="20"/>
          <w:shd w:val="clear" w:color="auto" w:fill="FFFFFF"/>
          <w:lang w:val="en-CA"/>
        </w:rPr>
        <w:t xml:space="preserve"> </w:t>
      </w:r>
      <w:r w:rsidRPr="00D0399F">
        <w:rPr>
          <w:szCs w:val="20"/>
          <w:shd w:val="clear" w:color="auto" w:fill="FFFFFF"/>
          <w:lang w:val="en-CA"/>
        </w:rPr>
        <w:t xml:space="preserve">In </w:t>
      </w:r>
      <w:proofErr w:type="spellStart"/>
      <w:r w:rsidRPr="00D0399F">
        <w:rPr>
          <w:szCs w:val="20"/>
          <w:shd w:val="clear" w:color="auto" w:fill="FFFFFF"/>
          <w:lang w:val="en-CA"/>
        </w:rPr>
        <w:t>Toebanega</w:t>
      </w:r>
      <w:proofErr w:type="spellEnd"/>
      <w:r w:rsidRPr="00D0399F">
        <w:rPr>
          <w:szCs w:val="20"/>
          <w:shd w:val="clear" w:color="auto" w:fill="FFFFFF"/>
          <w:lang w:val="en-CA"/>
        </w:rPr>
        <w:t xml:space="preserve"> (commune of </w:t>
      </w:r>
      <w:proofErr w:type="spellStart"/>
      <w:r w:rsidRPr="00D0399F">
        <w:rPr>
          <w:szCs w:val="20"/>
          <w:shd w:val="clear" w:color="auto" w:fill="FFFFFF"/>
          <w:lang w:val="en-CA"/>
        </w:rPr>
        <w:t>Doulougou</w:t>
      </w:r>
      <w:proofErr w:type="spellEnd"/>
      <w:r w:rsidRPr="00D0399F">
        <w:rPr>
          <w:szCs w:val="20"/>
          <w:shd w:val="clear" w:color="auto" w:fill="FFFFFF"/>
          <w:lang w:val="en-CA"/>
        </w:rPr>
        <w:t>), the women reported that three of them have already given birth in the buffer zone, in search of NWFP, thus illustrating the critical situation in which they had to be to meet the needs of their household.</w:t>
      </w:r>
    </w:p>
    <w:p w14:paraId="17E5258A" w14:textId="77777777" w:rsidR="00302BFE" w:rsidRPr="00BA18F6" w:rsidRDefault="00302BFE" w:rsidP="00302BFE">
      <w:pPr>
        <w:widowControl w:val="0"/>
        <w:adjustRightInd w:val="0"/>
        <w:spacing w:before="120" w:after="120"/>
        <w:textAlignment w:val="baseline"/>
        <w:rPr>
          <w:szCs w:val="20"/>
          <w:shd w:val="clear" w:color="auto" w:fill="FFFFFF"/>
          <w:lang w:val="en-CA"/>
        </w:rPr>
      </w:pPr>
      <w:r w:rsidRPr="00D0399F">
        <w:rPr>
          <w:szCs w:val="20"/>
          <w:shd w:val="clear" w:color="auto" w:fill="FFFFFF"/>
          <w:lang w:val="en-CA"/>
        </w:rPr>
        <w:t xml:space="preserve">When the woman is poor, children also suffer from it. Indeed, many </w:t>
      </w:r>
      <w:r>
        <w:rPr>
          <w:szCs w:val="20"/>
          <w:shd w:val="clear" w:color="auto" w:fill="FFFFFF"/>
          <w:lang w:val="en-CA"/>
        </w:rPr>
        <w:t xml:space="preserve">women </w:t>
      </w:r>
      <w:r w:rsidRPr="00D0399F">
        <w:rPr>
          <w:szCs w:val="20"/>
          <w:shd w:val="clear" w:color="auto" w:fill="FFFFFF"/>
          <w:lang w:val="en-CA"/>
        </w:rPr>
        <w:t xml:space="preserve">are responsible for the well-being of children (education, clothing, food) despite the presence of a man. In addition, when the </w:t>
      </w:r>
      <w:r>
        <w:rPr>
          <w:szCs w:val="20"/>
          <w:shd w:val="clear" w:color="auto" w:fill="FFFFFF"/>
          <w:lang w:val="en-CA"/>
        </w:rPr>
        <w:t>children’s</w:t>
      </w:r>
      <w:r w:rsidRPr="00D0399F">
        <w:rPr>
          <w:szCs w:val="20"/>
          <w:shd w:val="clear" w:color="auto" w:fill="FFFFFF"/>
          <w:lang w:val="en-CA"/>
        </w:rPr>
        <w:t xml:space="preserve"> school is away from the village, so that </w:t>
      </w:r>
      <w:r>
        <w:rPr>
          <w:szCs w:val="20"/>
          <w:shd w:val="clear" w:color="auto" w:fill="FFFFFF"/>
          <w:lang w:val="en-CA"/>
        </w:rPr>
        <w:t>they</w:t>
      </w:r>
      <w:r w:rsidRPr="00D0399F">
        <w:rPr>
          <w:szCs w:val="20"/>
          <w:shd w:val="clear" w:color="auto" w:fill="FFFFFF"/>
          <w:lang w:val="en-CA"/>
        </w:rPr>
        <w:t xml:space="preserve"> cannot </w:t>
      </w:r>
      <w:r>
        <w:rPr>
          <w:szCs w:val="20"/>
          <w:shd w:val="clear" w:color="auto" w:fill="FFFFFF"/>
          <w:lang w:val="en-CA"/>
        </w:rPr>
        <w:t>return home</w:t>
      </w:r>
      <w:r w:rsidRPr="00D0399F">
        <w:rPr>
          <w:szCs w:val="20"/>
          <w:shd w:val="clear" w:color="auto" w:fill="FFFFFF"/>
          <w:lang w:val="en-CA"/>
        </w:rPr>
        <w:t xml:space="preserve"> for lunch, it is the mother who is concerned to find money for </w:t>
      </w:r>
      <w:r>
        <w:rPr>
          <w:szCs w:val="20"/>
          <w:shd w:val="clear" w:color="auto" w:fill="FFFFFF"/>
          <w:lang w:val="en-CA"/>
        </w:rPr>
        <w:t>their</w:t>
      </w:r>
      <w:r w:rsidRPr="00D0399F">
        <w:rPr>
          <w:szCs w:val="20"/>
          <w:shd w:val="clear" w:color="auto" w:fill="FFFFFF"/>
          <w:lang w:val="en-CA"/>
        </w:rPr>
        <w:t xml:space="preserve"> meal. It is therefore imperative that women always have </w:t>
      </w:r>
      <w:r>
        <w:rPr>
          <w:szCs w:val="20"/>
          <w:shd w:val="clear" w:color="auto" w:fill="FFFFFF"/>
          <w:lang w:val="en-CA"/>
        </w:rPr>
        <w:t xml:space="preserve">access to </w:t>
      </w:r>
      <w:r w:rsidRPr="00D0399F">
        <w:rPr>
          <w:szCs w:val="20"/>
          <w:shd w:val="clear" w:color="auto" w:fill="FFFFFF"/>
          <w:lang w:val="en-CA"/>
        </w:rPr>
        <w:t>money.</w:t>
      </w:r>
    </w:p>
    <w:p w14:paraId="4CDDD4EE" w14:textId="77777777" w:rsidR="00302BFE" w:rsidRPr="00BA18F6" w:rsidRDefault="00302BFE" w:rsidP="00302BFE">
      <w:pPr>
        <w:spacing w:before="120" w:after="120"/>
        <w:ind w:left="720"/>
        <w:rPr>
          <w:b/>
          <w:szCs w:val="20"/>
        </w:rPr>
      </w:pPr>
      <w:r w:rsidRPr="00D0399F">
        <w:rPr>
          <w:b/>
          <w:szCs w:val="20"/>
        </w:rPr>
        <w:t>Livelihoods / Income</w:t>
      </w:r>
    </w:p>
    <w:p w14:paraId="753E9855" w14:textId="77777777" w:rsidR="00302BFE" w:rsidRDefault="00302BFE" w:rsidP="00302BFE">
      <w:pPr>
        <w:spacing w:before="120" w:after="120"/>
        <w:rPr>
          <w:color w:val="000000"/>
          <w:szCs w:val="20"/>
          <w:lang w:val="en-CA"/>
        </w:rPr>
      </w:pPr>
      <w:r w:rsidRPr="008E0B4F">
        <w:rPr>
          <w:szCs w:val="20"/>
          <w:lang w:val="en-CA"/>
        </w:rPr>
        <w:t xml:space="preserve">Women in the PONASI landscape derive most of their income from livestock products, agricultural </w:t>
      </w:r>
      <w:proofErr w:type="gramStart"/>
      <w:r w:rsidRPr="008E0B4F">
        <w:rPr>
          <w:szCs w:val="20"/>
          <w:lang w:val="en-CA"/>
        </w:rPr>
        <w:t>products</w:t>
      </w:r>
      <w:proofErr w:type="gramEnd"/>
      <w:r w:rsidRPr="008E0B4F">
        <w:rPr>
          <w:szCs w:val="20"/>
          <w:lang w:val="en-CA"/>
        </w:rPr>
        <w:t xml:space="preserve"> and forest resources.</w:t>
      </w:r>
      <w:r>
        <w:rPr>
          <w:szCs w:val="20"/>
          <w:lang w:val="en-CA"/>
        </w:rPr>
        <w:t xml:space="preserve"> </w:t>
      </w:r>
      <w:r w:rsidRPr="008E0B4F">
        <w:rPr>
          <w:szCs w:val="20"/>
          <w:lang w:val="en-CA"/>
        </w:rPr>
        <w:t xml:space="preserve">The types of animals kept by women are sheep, goats, pigs, poultry and to some extent, </w:t>
      </w:r>
      <w:proofErr w:type="spellStart"/>
      <w:r w:rsidRPr="008E0B4F">
        <w:rPr>
          <w:szCs w:val="20"/>
          <w:lang w:val="en-CA"/>
        </w:rPr>
        <w:t>asins</w:t>
      </w:r>
      <w:proofErr w:type="spellEnd"/>
      <w:r w:rsidRPr="008E0B4F">
        <w:rPr>
          <w:szCs w:val="20"/>
          <w:lang w:val="en-CA"/>
        </w:rPr>
        <w:t xml:space="preserve">. </w:t>
      </w:r>
      <w:r>
        <w:rPr>
          <w:szCs w:val="20"/>
          <w:lang w:val="en-CA"/>
        </w:rPr>
        <w:t>M</w:t>
      </w:r>
      <w:r w:rsidRPr="008E0B4F">
        <w:rPr>
          <w:szCs w:val="20"/>
          <w:lang w:val="en-CA"/>
        </w:rPr>
        <w:t xml:space="preserve">ilk </w:t>
      </w:r>
      <w:r>
        <w:rPr>
          <w:szCs w:val="20"/>
          <w:lang w:val="en-CA"/>
        </w:rPr>
        <w:t>is</w:t>
      </w:r>
      <w:r w:rsidRPr="008E0B4F">
        <w:rPr>
          <w:szCs w:val="20"/>
          <w:lang w:val="en-CA"/>
        </w:rPr>
        <w:t xml:space="preserve"> mainly marketed by women from the Peul community. </w:t>
      </w:r>
      <w:r>
        <w:rPr>
          <w:szCs w:val="20"/>
          <w:lang w:val="en-CA"/>
        </w:rPr>
        <w:t>A</w:t>
      </w:r>
      <w:r w:rsidRPr="008E0B4F">
        <w:rPr>
          <w:szCs w:val="20"/>
          <w:lang w:val="en-CA"/>
        </w:rPr>
        <w:t xml:space="preserve">nimals, which are also a savings for them, are </w:t>
      </w:r>
      <w:r>
        <w:rPr>
          <w:szCs w:val="20"/>
          <w:lang w:val="en-CA"/>
        </w:rPr>
        <w:t>sold</w:t>
      </w:r>
      <w:r w:rsidRPr="008E0B4F">
        <w:rPr>
          <w:szCs w:val="20"/>
          <w:lang w:val="en-CA"/>
        </w:rPr>
        <w:t xml:space="preserve"> according to the need</w:t>
      </w:r>
      <w:r>
        <w:rPr>
          <w:szCs w:val="20"/>
          <w:lang w:val="en-CA"/>
        </w:rPr>
        <w:t>s</w:t>
      </w:r>
      <w:r w:rsidRPr="008E0B4F">
        <w:rPr>
          <w:szCs w:val="20"/>
          <w:lang w:val="en-CA"/>
        </w:rPr>
        <w:t>.</w:t>
      </w:r>
      <w:r>
        <w:rPr>
          <w:szCs w:val="20"/>
          <w:lang w:val="en-CA"/>
        </w:rPr>
        <w:t xml:space="preserve"> </w:t>
      </w:r>
      <w:r w:rsidRPr="009E699F">
        <w:rPr>
          <w:color w:val="000000"/>
          <w:szCs w:val="20"/>
          <w:lang w:val="en-CA"/>
        </w:rPr>
        <w:t xml:space="preserve">The following agricultural products are also sources of income for women in the pilot sites of the project: cowpeas, groundnuts, groundnut, rice, sesame, red sorghum, </w:t>
      </w:r>
      <w:proofErr w:type="gramStart"/>
      <w:r w:rsidRPr="009E699F">
        <w:rPr>
          <w:color w:val="000000"/>
          <w:szCs w:val="20"/>
          <w:lang w:val="en-CA"/>
        </w:rPr>
        <w:t>soybeans</w:t>
      </w:r>
      <w:proofErr w:type="gramEnd"/>
      <w:r w:rsidRPr="009E699F">
        <w:rPr>
          <w:color w:val="000000"/>
          <w:szCs w:val="20"/>
          <w:lang w:val="en-CA"/>
        </w:rPr>
        <w:t xml:space="preserve"> and market garden products such as onions, spinach, lettuce, cabbage, tomato, chilli, zucchini, local eggplant, carrot. The quantities harvested, however, are not all intended for marketing since between one third and one half is kept for food and as seeds.</w:t>
      </w:r>
    </w:p>
    <w:p w14:paraId="7D66E7F7" w14:textId="77777777" w:rsidR="00302BFE" w:rsidRPr="00BA18F6" w:rsidRDefault="00302BFE" w:rsidP="00302BFE">
      <w:pPr>
        <w:spacing w:before="120" w:after="120"/>
        <w:rPr>
          <w:szCs w:val="20"/>
          <w:lang w:val="en-CA"/>
        </w:rPr>
      </w:pPr>
      <w:r w:rsidRPr="009E699F">
        <w:rPr>
          <w:szCs w:val="20"/>
          <w:lang w:val="en-CA"/>
        </w:rPr>
        <w:t xml:space="preserve">According to the women, for about five years, the areas dedicated to the production of </w:t>
      </w:r>
      <w:r>
        <w:rPr>
          <w:szCs w:val="20"/>
          <w:lang w:val="en-CA"/>
        </w:rPr>
        <w:t>ground</w:t>
      </w:r>
      <w:r w:rsidRPr="009E699F">
        <w:rPr>
          <w:szCs w:val="20"/>
          <w:lang w:val="en-CA"/>
        </w:rPr>
        <w:t xml:space="preserve">nuts have gradually been reduced to the benefit of sesame. They say yields are falling because of soil infertility and the effects of climate change. According to them, the market garden production in the developed sites </w:t>
      </w:r>
      <w:proofErr w:type="gramStart"/>
      <w:r w:rsidRPr="009E699F">
        <w:rPr>
          <w:szCs w:val="20"/>
          <w:lang w:val="en-CA"/>
        </w:rPr>
        <w:t>are</w:t>
      </w:r>
      <w:proofErr w:type="gramEnd"/>
      <w:r w:rsidRPr="009E699F">
        <w:rPr>
          <w:szCs w:val="20"/>
          <w:lang w:val="en-CA"/>
        </w:rPr>
        <w:t xml:space="preserve"> financially profitable but wells built for watering dry up early (as early as January-February) and do not allow a continuous production.</w:t>
      </w:r>
    </w:p>
    <w:p w14:paraId="6FDDEEEE" w14:textId="12970167" w:rsidR="00302BFE" w:rsidRPr="00BA18F6" w:rsidRDefault="00302BFE" w:rsidP="00302BFE">
      <w:pPr>
        <w:spacing w:before="120" w:after="120"/>
        <w:rPr>
          <w:rFonts w:eastAsia="Times New Roman"/>
          <w:color w:val="000000"/>
          <w:szCs w:val="20"/>
          <w:lang w:val="en-CA" w:eastAsia="fr-FR"/>
        </w:rPr>
      </w:pPr>
      <w:r w:rsidRPr="00460534">
        <w:rPr>
          <w:szCs w:val="20"/>
          <w:lang w:val="en-CA"/>
        </w:rPr>
        <w:t xml:space="preserve">In relation to protected areas and adjacent terroirs, women also derive income from timber and non-timber forest products. Wood products include charcoal and wood energy. Carbonization (by women) is more pronounced in the villages of </w:t>
      </w:r>
      <w:proofErr w:type="spellStart"/>
      <w:r w:rsidRPr="00460534">
        <w:rPr>
          <w:szCs w:val="20"/>
          <w:lang w:val="en-CA"/>
        </w:rPr>
        <w:t>Kapori</w:t>
      </w:r>
      <w:proofErr w:type="spellEnd"/>
      <w:r w:rsidRPr="00460534">
        <w:rPr>
          <w:szCs w:val="20"/>
          <w:lang w:val="en-CA"/>
        </w:rPr>
        <w:t xml:space="preserve"> and </w:t>
      </w:r>
      <w:proofErr w:type="spellStart"/>
      <w:r w:rsidRPr="00460534">
        <w:rPr>
          <w:szCs w:val="20"/>
          <w:lang w:val="en-CA"/>
        </w:rPr>
        <w:t>Mantiongo</w:t>
      </w:r>
      <w:proofErr w:type="spellEnd"/>
      <w:r w:rsidRPr="00460534">
        <w:rPr>
          <w:szCs w:val="20"/>
          <w:lang w:val="en-CA"/>
        </w:rPr>
        <w:t xml:space="preserve"> in the commune of Po. Revenues can range </w:t>
      </w:r>
      <w:r w:rsidRPr="008C5F92">
        <w:rPr>
          <w:szCs w:val="20"/>
          <w:lang w:val="en-CA"/>
        </w:rPr>
        <w:t xml:space="preserve">from 100,000 </w:t>
      </w:r>
      <w:r w:rsidR="005E13EB" w:rsidRPr="008C5F92">
        <w:rPr>
          <w:szCs w:val="20"/>
          <w:lang w:val="en-CA"/>
        </w:rPr>
        <w:t>CFA francs</w:t>
      </w:r>
      <w:r w:rsidRPr="008C5F92">
        <w:rPr>
          <w:szCs w:val="20"/>
          <w:lang w:val="en-CA"/>
        </w:rPr>
        <w:t xml:space="preserve"> / year in </w:t>
      </w:r>
      <w:proofErr w:type="spellStart"/>
      <w:r w:rsidRPr="008C5F92">
        <w:rPr>
          <w:szCs w:val="20"/>
          <w:lang w:val="en-CA"/>
        </w:rPr>
        <w:t>Kapori</w:t>
      </w:r>
      <w:proofErr w:type="spellEnd"/>
      <w:r w:rsidRPr="008C5F92">
        <w:rPr>
          <w:szCs w:val="20"/>
          <w:lang w:val="en-CA"/>
        </w:rPr>
        <w:t xml:space="preserve"> to 300,000</w:t>
      </w:r>
      <w:r w:rsidR="008C5F92" w:rsidRPr="008C5F92">
        <w:rPr>
          <w:rStyle w:val="Appelnotedebasdep"/>
          <w:szCs w:val="20"/>
          <w:lang w:val="en-CA"/>
        </w:rPr>
        <w:footnoteReference w:id="82"/>
      </w:r>
      <w:r w:rsidRPr="008C5F92">
        <w:rPr>
          <w:szCs w:val="20"/>
          <w:lang w:val="en-CA"/>
        </w:rPr>
        <w:t xml:space="preserve"> </w:t>
      </w:r>
      <w:r w:rsidR="005E13EB" w:rsidRPr="008C5F92">
        <w:rPr>
          <w:szCs w:val="20"/>
          <w:lang w:val="en-CA"/>
        </w:rPr>
        <w:t>CFA francs</w:t>
      </w:r>
      <w:r w:rsidRPr="008C5F92">
        <w:rPr>
          <w:szCs w:val="20"/>
          <w:lang w:val="en-CA"/>
        </w:rPr>
        <w:t xml:space="preserve"> / year in </w:t>
      </w:r>
      <w:proofErr w:type="spellStart"/>
      <w:r w:rsidRPr="008C5F92">
        <w:rPr>
          <w:szCs w:val="20"/>
          <w:lang w:val="en-CA"/>
        </w:rPr>
        <w:t>Mantiongo</w:t>
      </w:r>
      <w:proofErr w:type="spellEnd"/>
      <w:r w:rsidRPr="008C5F92">
        <w:rPr>
          <w:szCs w:val="20"/>
          <w:lang w:val="en-CA"/>
        </w:rPr>
        <w:t xml:space="preserve">. The commercialization of firewood by women has been reported mainly in the villages of </w:t>
      </w:r>
      <w:proofErr w:type="spellStart"/>
      <w:r w:rsidRPr="008C5F92">
        <w:rPr>
          <w:szCs w:val="20"/>
          <w:lang w:val="en-CA"/>
        </w:rPr>
        <w:t>Toebanega</w:t>
      </w:r>
      <w:proofErr w:type="spellEnd"/>
      <w:r w:rsidRPr="008C5F92">
        <w:rPr>
          <w:szCs w:val="20"/>
          <w:lang w:val="en-CA"/>
        </w:rPr>
        <w:t xml:space="preserve"> (commune of </w:t>
      </w:r>
      <w:proofErr w:type="spellStart"/>
      <w:r w:rsidRPr="008C5F92">
        <w:rPr>
          <w:szCs w:val="20"/>
          <w:lang w:val="en-CA"/>
        </w:rPr>
        <w:t>Doulougou</w:t>
      </w:r>
      <w:proofErr w:type="spellEnd"/>
      <w:r w:rsidRPr="008C5F92">
        <w:rPr>
          <w:szCs w:val="20"/>
          <w:lang w:val="en-CA"/>
        </w:rPr>
        <w:t xml:space="preserve">) and </w:t>
      </w:r>
      <w:proofErr w:type="spellStart"/>
      <w:r w:rsidRPr="008C5F92">
        <w:rPr>
          <w:szCs w:val="20"/>
          <w:lang w:val="en-CA"/>
        </w:rPr>
        <w:t>Nebou</w:t>
      </w:r>
      <w:proofErr w:type="spellEnd"/>
      <w:r w:rsidRPr="008C5F92">
        <w:rPr>
          <w:szCs w:val="20"/>
          <w:lang w:val="en-CA"/>
        </w:rPr>
        <w:t xml:space="preserve"> (as of </w:t>
      </w:r>
      <w:proofErr w:type="spellStart"/>
      <w:r w:rsidRPr="008C5F92">
        <w:rPr>
          <w:szCs w:val="20"/>
          <w:lang w:val="en-CA"/>
        </w:rPr>
        <w:t>Biéha</w:t>
      </w:r>
      <w:proofErr w:type="spellEnd"/>
      <w:r w:rsidRPr="008C5F92">
        <w:rPr>
          <w:szCs w:val="20"/>
          <w:lang w:val="en-CA"/>
        </w:rPr>
        <w:t xml:space="preserve">) and generate annual revenues ranging from </w:t>
      </w:r>
      <w:r w:rsidR="008C5F92" w:rsidRPr="008C5F92">
        <w:rPr>
          <w:szCs w:val="20"/>
          <w:lang w:val="en-CA"/>
        </w:rPr>
        <w:t xml:space="preserve">48,000 </w:t>
      </w:r>
      <w:r w:rsidRPr="008C5F92">
        <w:rPr>
          <w:szCs w:val="20"/>
          <w:lang w:val="en-CA"/>
        </w:rPr>
        <w:t xml:space="preserve">to </w:t>
      </w:r>
      <w:r w:rsidR="008C5F92" w:rsidRPr="008C5F92">
        <w:rPr>
          <w:szCs w:val="20"/>
          <w:lang w:val="en-CA"/>
        </w:rPr>
        <w:t xml:space="preserve">144,000 </w:t>
      </w:r>
      <w:r w:rsidR="005E13EB" w:rsidRPr="008C5F92">
        <w:rPr>
          <w:szCs w:val="20"/>
          <w:lang w:val="en-CA"/>
        </w:rPr>
        <w:t>CFA</w:t>
      </w:r>
      <w:r w:rsidR="005E13EB">
        <w:rPr>
          <w:szCs w:val="20"/>
          <w:lang w:val="en-CA"/>
        </w:rPr>
        <w:t xml:space="preserve"> francs</w:t>
      </w:r>
      <w:r w:rsidR="008C5F92">
        <w:rPr>
          <w:rStyle w:val="Appelnotedebasdep"/>
          <w:szCs w:val="20"/>
          <w:lang w:val="en-CA"/>
        </w:rPr>
        <w:footnoteReference w:id="83"/>
      </w:r>
      <w:r w:rsidRPr="00460534">
        <w:rPr>
          <w:szCs w:val="20"/>
          <w:lang w:val="en-CA"/>
        </w:rPr>
        <w:t>.</w:t>
      </w:r>
      <w:r>
        <w:rPr>
          <w:szCs w:val="20"/>
          <w:lang w:val="en-CA"/>
        </w:rPr>
        <w:t xml:space="preserve"> </w:t>
      </w:r>
      <w:r w:rsidRPr="00460534">
        <w:rPr>
          <w:szCs w:val="20"/>
          <w:lang w:val="en-CA"/>
        </w:rPr>
        <w:t xml:space="preserve">NTFPs most exploited for commercial purposes include shea butter, soumbala (spice </w:t>
      </w:r>
      <w:r>
        <w:rPr>
          <w:szCs w:val="20"/>
          <w:lang w:val="en-CA"/>
        </w:rPr>
        <w:t>made from</w:t>
      </w:r>
      <w:r w:rsidRPr="00460534">
        <w:rPr>
          <w:szCs w:val="20"/>
          <w:lang w:val="en-CA"/>
        </w:rPr>
        <w:t xml:space="preserve"> </w:t>
      </w:r>
      <w:proofErr w:type="spellStart"/>
      <w:r w:rsidRPr="00460534">
        <w:rPr>
          <w:szCs w:val="20"/>
          <w:lang w:val="en-CA"/>
        </w:rPr>
        <w:t>néré</w:t>
      </w:r>
      <w:proofErr w:type="spellEnd"/>
      <w:r w:rsidRPr="00460534">
        <w:rPr>
          <w:szCs w:val="20"/>
          <w:lang w:val="en-CA"/>
        </w:rPr>
        <w:t xml:space="preserve"> seeds), shea almonds, tamarind, </w:t>
      </w:r>
      <w:proofErr w:type="spellStart"/>
      <w:r w:rsidRPr="00460534">
        <w:rPr>
          <w:szCs w:val="20"/>
          <w:lang w:val="en-CA"/>
        </w:rPr>
        <w:t>detarium</w:t>
      </w:r>
      <w:proofErr w:type="spellEnd"/>
      <w:r w:rsidRPr="00460534">
        <w:rPr>
          <w:szCs w:val="20"/>
          <w:lang w:val="en-CA"/>
        </w:rPr>
        <w:t xml:space="preserve">, </w:t>
      </w:r>
      <w:proofErr w:type="spellStart"/>
      <w:r w:rsidRPr="00460534">
        <w:rPr>
          <w:szCs w:val="20"/>
          <w:lang w:val="en-CA"/>
        </w:rPr>
        <w:t>liane</w:t>
      </w:r>
      <w:proofErr w:type="spellEnd"/>
      <w:r w:rsidRPr="00460534">
        <w:rPr>
          <w:szCs w:val="20"/>
          <w:lang w:val="en-CA"/>
        </w:rPr>
        <w:t xml:space="preserve"> </w:t>
      </w:r>
      <w:proofErr w:type="spellStart"/>
      <w:r w:rsidRPr="00460534">
        <w:rPr>
          <w:szCs w:val="20"/>
          <w:lang w:val="en-CA"/>
        </w:rPr>
        <w:t>go</w:t>
      </w:r>
      <w:r w:rsidR="005E13EB">
        <w:rPr>
          <w:szCs w:val="20"/>
          <w:lang w:val="en-CA"/>
        </w:rPr>
        <w:t>i</w:t>
      </w:r>
      <w:r w:rsidRPr="00460534">
        <w:rPr>
          <w:szCs w:val="20"/>
          <w:lang w:val="en-CA"/>
        </w:rPr>
        <w:t>ne</w:t>
      </w:r>
      <w:proofErr w:type="spellEnd"/>
      <w:r w:rsidRPr="00460534">
        <w:rPr>
          <w:szCs w:val="20"/>
          <w:lang w:val="en-CA"/>
        </w:rPr>
        <w:t xml:space="preserve">, </w:t>
      </w:r>
      <w:proofErr w:type="spellStart"/>
      <w:r w:rsidRPr="00460534">
        <w:rPr>
          <w:szCs w:val="20"/>
          <w:lang w:val="en-CA"/>
        </w:rPr>
        <w:t>balanites</w:t>
      </w:r>
      <w:proofErr w:type="spellEnd"/>
      <w:r w:rsidRPr="00460534">
        <w:rPr>
          <w:szCs w:val="20"/>
          <w:lang w:val="en-CA"/>
        </w:rPr>
        <w:t xml:space="preserve">, </w:t>
      </w:r>
      <w:proofErr w:type="spellStart"/>
      <w:r w:rsidRPr="00460534">
        <w:rPr>
          <w:szCs w:val="20"/>
          <w:lang w:val="en-CA"/>
        </w:rPr>
        <w:t>néré</w:t>
      </w:r>
      <w:proofErr w:type="spellEnd"/>
      <w:r w:rsidRPr="00460534">
        <w:rPr>
          <w:szCs w:val="20"/>
          <w:lang w:val="en-CA"/>
        </w:rPr>
        <w:t xml:space="preserve"> seeds and the flour of the pulp of </w:t>
      </w:r>
      <w:proofErr w:type="spellStart"/>
      <w:r w:rsidRPr="00460534">
        <w:rPr>
          <w:szCs w:val="20"/>
          <w:lang w:val="en-CA"/>
        </w:rPr>
        <w:t>néré</w:t>
      </w:r>
      <w:proofErr w:type="spellEnd"/>
      <w:r w:rsidRPr="00460534">
        <w:rPr>
          <w:szCs w:val="20"/>
          <w:lang w:val="en-CA"/>
        </w:rPr>
        <w:t>.</w:t>
      </w:r>
    </w:p>
    <w:p w14:paraId="30241893" w14:textId="6BEC585D" w:rsidR="00302BFE" w:rsidRPr="00BA18F6" w:rsidRDefault="00302BFE" w:rsidP="00302BFE">
      <w:pPr>
        <w:widowControl w:val="0"/>
        <w:autoSpaceDE w:val="0"/>
        <w:autoSpaceDN w:val="0"/>
        <w:adjustRightInd w:val="0"/>
        <w:spacing w:before="120" w:after="120"/>
        <w:textAlignment w:val="baseline"/>
        <w:rPr>
          <w:szCs w:val="20"/>
          <w:lang w:val="en-CA"/>
        </w:rPr>
      </w:pPr>
      <w:r w:rsidRPr="00460534">
        <w:rPr>
          <w:szCs w:val="20"/>
          <w:lang w:val="en-CA"/>
        </w:rPr>
        <w:t xml:space="preserve">Shea butter is produced in all villages and yields an average of </w:t>
      </w:r>
      <w:r w:rsidRPr="00013DAF">
        <w:rPr>
          <w:szCs w:val="20"/>
          <w:lang w:val="en-CA"/>
        </w:rPr>
        <w:t>61,800</w:t>
      </w:r>
      <w:r w:rsidRPr="00460534">
        <w:rPr>
          <w:szCs w:val="20"/>
          <w:lang w:val="en-CA"/>
        </w:rPr>
        <w:t xml:space="preserve"> </w:t>
      </w:r>
      <w:r w:rsidR="005E13EB">
        <w:rPr>
          <w:szCs w:val="20"/>
          <w:lang w:val="en-CA"/>
        </w:rPr>
        <w:t>CFA francs</w:t>
      </w:r>
      <w:r w:rsidR="008C5F92">
        <w:rPr>
          <w:rStyle w:val="Appelnotedebasdep"/>
          <w:szCs w:val="20"/>
          <w:lang w:val="en-CA"/>
        </w:rPr>
        <w:footnoteReference w:id="84"/>
      </w:r>
      <w:r w:rsidRPr="00460534">
        <w:rPr>
          <w:szCs w:val="20"/>
          <w:lang w:val="en-CA"/>
        </w:rPr>
        <w:t xml:space="preserve"> per production cycle (shea nuts are collected between June and August). </w:t>
      </w:r>
      <w:proofErr w:type="spellStart"/>
      <w:r w:rsidRPr="00460534">
        <w:rPr>
          <w:szCs w:val="20"/>
          <w:lang w:val="en-CA"/>
        </w:rPr>
        <w:t>Néré</w:t>
      </w:r>
      <w:proofErr w:type="spellEnd"/>
      <w:r w:rsidRPr="00460534">
        <w:rPr>
          <w:szCs w:val="20"/>
          <w:lang w:val="en-CA"/>
        </w:rPr>
        <w:t xml:space="preserve"> seeds are much more produced in the </w:t>
      </w:r>
      <w:proofErr w:type="spellStart"/>
      <w:r w:rsidRPr="00460534">
        <w:rPr>
          <w:szCs w:val="20"/>
          <w:lang w:val="en-CA"/>
        </w:rPr>
        <w:t>Sissili</w:t>
      </w:r>
      <w:proofErr w:type="spellEnd"/>
      <w:r w:rsidRPr="00460534">
        <w:rPr>
          <w:szCs w:val="20"/>
          <w:lang w:val="en-CA"/>
        </w:rPr>
        <w:t xml:space="preserve"> classified forest, generating revenues of up to 80,000 </w:t>
      </w:r>
      <w:r w:rsidR="005E13EB">
        <w:rPr>
          <w:szCs w:val="20"/>
          <w:lang w:val="en-CA"/>
        </w:rPr>
        <w:t>CFA francs</w:t>
      </w:r>
      <w:r w:rsidRPr="00460534">
        <w:rPr>
          <w:szCs w:val="20"/>
          <w:lang w:val="en-CA"/>
        </w:rPr>
        <w:t xml:space="preserve"> per farmer and per production cycle. The average income per </w:t>
      </w:r>
      <w:r>
        <w:rPr>
          <w:szCs w:val="20"/>
          <w:lang w:val="en-CA"/>
        </w:rPr>
        <w:t>woman</w:t>
      </w:r>
      <w:r w:rsidRPr="00460534">
        <w:rPr>
          <w:szCs w:val="20"/>
          <w:lang w:val="en-CA"/>
        </w:rPr>
        <w:t xml:space="preserve"> is shown in the table below.</w:t>
      </w:r>
    </w:p>
    <w:p w14:paraId="73CF7978" w14:textId="77777777" w:rsidR="00302BFE" w:rsidRPr="00BA18F6" w:rsidRDefault="00302BFE" w:rsidP="00302BFE">
      <w:pPr>
        <w:pStyle w:val="Lgende"/>
        <w:spacing w:before="120" w:after="120"/>
        <w:jc w:val="both"/>
        <w:rPr>
          <w:rFonts w:ascii="Calibri" w:hAnsi="Calibri"/>
          <w:sz w:val="20"/>
          <w:szCs w:val="20"/>
          <w:lang w:val="en-CA"/>
        </w:rPr>
      </w:pPr>
      <w:bookmarkStart w:id="68" w:name="_Toc7382332"/>
      <w:r w:rsidRPr="00BA18F6">
        <w:rPr>
          <w:rFonts w:ascii="Calibri" w:hAnsi="Calibri"/>
          <w:sz w:val="20"/>
          <w:szCs w:val="20"/>
          <w:lang w:val="en-CA"/>
        </w:rPr>
        <w:t xml:space="preserve">Table 1: </w:t>
      </w:r>
      <w:bookmarkEnd w:id="68"/>
      <w:r w:rsidRPr="00BA18F6">
        <w:rPr>
          <w:rFonts w:ascii="Calibri" w:hAnsi="Calibri"/>
          <w:sz w:val="20"/>
          <w:szCs w:val="20"/>
          <w:lang w:val="en-CA"/>
        </w:rPr>
        <w:t>Average income from NTFP marketing and processing by women in PONASI</w:t>
      </w:r>
    </w:p>
    <w:tbl>
      <w:tblPr>
        <w:tblW w:w="8075" w:type="dxa"/>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835"/>
        <w:gridCol w:w="1894"/>
        <w:gridCol w:w="3346"/>
      </w:tblGrid>
      <w:tr w:rsidR="00302BFE" w:rsidRPr="00BA18F6" w14:paraId="2C635B97" w14:textId="77777777" w:rsidTr="00243B15">
        <w:trPr>
          <w:trHeight w:val="312"/>
          <w:jc w:val="center"/>
        </w:trPr>
        <w:tc>
          <w:tcPr>
            <w:tcW w:w="2835" w:type="dxa"/>
            <w:tcBorders>
              <w:top w:val="single" w:sz="4" w:space="0" w:color="B4C6E7"/>
              <w:left w:val="single" w:sz="4" w:space="0" w:color="B4C6E7"/>
              <w:bottom w:val="single" w:sz="12" w:space="0" w:color="8EAADB"/>
              <w:right w:val="single" w:sz="4" w:space="0" w:color="B4C6E7"/>
            </w:tcBorders>
            <w:shd w:val="clear" w:color="auto" w:fill="auto"/>
            <w:noWrap/>
            <w:hideMark/>
          </w:tcPr>
          <w:p w14:paraId="7973E807" w14:textId="77777777" w:rsidR="00302BFE" w:rsidRPr="00BA18F6" w:rsidRDefault="00302BFE" w:rsidP="00243B15">
            <w:pPr>
              <w:spacing w:after="0"/>
              <w:rPr>
                <w:rFonts w:eastAsia="Times New Roman"/>
                <w:b/>
                <w:bCs/>
                <w:color w:val="000000"/>
                <w:szCs w:val="20"/>
                <w:lang w:eastAsia="fr-FR"/>
              </w:rPr>
            </w:pPr>
            <w:r w:rsidRPr="00BA18F6">
              <w:rPr>
                <w:rFonts w:eastAsia="Times New Roman"/>
                <w:b/>
                <w:bCs/>
                <w:color w:val="000000"/>
                <w:szCs w:val="20"/>
                <w:lang w:eastAsia="fr-FR"/>
              </w:rPr>
              <w:t>NTFP</w:t>
            </w:r>
          </w:p>
        </w:tc>
        <w:tc>
          <w:tcPr>
            <w:tcW w:w="1894" w:type="dxa"/>
            <w:tcBorders>
              <w:top w:val="single" w:sz="4" w:space="0" w:color="B4C6E7"/>
              <w:left w:val="single" w:sz="4" w:space="0" w:color="B4C6E7"/>
              <w:bottom w:val="single" w:sz="12" w:space="0" w:color="8EAADB"/>
              <w:right w:val="single" w:sz="4" w:space="0" w:color="B4C6E7"/>
            </w:tcBorders>
            <w:shd w:val="clear" w:color="auto" w:fill="auto"/>
            <w:hideMark/>
          </w:tcPr>
          <w:p w14:paraId="6E99430F" w14:textId="77777777" w:rsidR="00302BFE" w:rsidRPr="00BA18F6" w:rsidRDefault="00302BFE" w:rsidP="00243B15">
            <w:pPr>
              <w:spacing w:after="0"/>
              <w:rPr>
                <w:rFonts w:eastAsia="Times New Roman"/>
                <w:b/>
                <w:bCs/>
                <w:color w:val="000000"/>
                <w:szCs w:val="20"/>
                <w:lang w:eastAsia="fr-FR"/>
              </w:rPr>
            </w:pPr>
            <w:r w:rsidRPr="00BA18F6">
              <w:rPr>
                <w:rFonts w:eastAsia="Times New Roman"/>
                <w:b/>
                <w:bCs/>
                <w:color w:val="000000"/>
                <w:szCs w:val="20"/>
                <w:lang w:eastAsia="fr-FR"/>
              </w:rPr>
              <w:t>Type of product</w:t>
            </w:r>
          </w:p>
        </w:tc>
        <w:tc>
          <w:tcPr>
            <w:tcW w:w="3346" w:type="dxa"/>
            <w:tcBorders>
              <w:top w:val="single" w:sz="4" w:space="0" w:color="B4C6E7"/>
              <w:left w:val="single" w:sz="4" w:space="0" w:color="B4C6E7"/>
              <w:bottom w:val="single" w:sz="12" w:space="0" w:color="8EAADB"/>
              <w:right w:val="single" w:sz="4" w:space="0" w:color="B4C6E7"/>
            </w:tcBorders>
            <w:shd w:val="clear" w:color="auto" w:fill="auto"/>
            <w:noWrap/>
            <w:hideMark/>
          </w:tcPr>
          <w:p w14:paraId="08AE93A8" w14:textId="7FC0A245" w:rsidR="00302BFE" w:rsidRPr="00BA18F6" w:rsidRDefault="00302BFE" w:rsidP="00243B15">
            <w:pPr>
              <w:spacing w:after="0"/>
              <w:rPr>
                <w:rFonts w:eastAsia="Times New Roman"/>
                <w:b/>
                <w:bCs/>
                <w:color w:val="000000"/>
                <w:szCs w:val="20"/>
                <w:lang w:val="en-CA" w:eastAsia="fr-FR"/>
              </w:rPr>
            </w:pPr>
            <w:r w:rsidRPr="00BA18F6">
              <w:rPr>
                <w:rFonts w:eastAsia="Times New Roman"/>
                <w:b/>
                <w:bCs/>
                <w:color w:val="000000"/>
                <w:szCs w:val="20"/>
                <w:lang w:val="en-CA" w:eastAsia="fr-FR"/>
              </w:rPr>
              <w:t>Average gross income per woman and per production cycle (</w:t>
            </w:r>
            <w:r w:rsidR="005E13EB">
              <w:rPr>
                <w:rFonts w:eastAsia="Times New Roman"/>
                <w:b/>
                <w:bCs/>
                <w:color w:val="000000"/>
                <w:szCs w:val="20"/>
                <w:lang w:val="en-CA" w:eastAsia="fr-FR"/>
              </w:rPr>
              <w:t>CFA francs</w:t>
            </w:r>
            <w:r w:rsidRPr="00BA18F6">
              <w:rPr>
                <w:rFonts w:eastAsia="Times New Roman"/>
                <w:b/>
                <w:bCs/>
                <w:color w:val="000000"/>
                <w:szCs w:val="20"/>
                <w:lang w:val="en-CA" w:eastAsia="fr-FR"/>
              </w:rPr>
              <w:t>)</w:t>
            </w:r>
          </w:p>
        </w:tc>
      </w:tr>
      <w:tr w:rsidR="00302BFE" w:rsidRPr="00BA18F6" w14:paraId="20CB5498" w14:textId="77777777" w:rsidTr="00243B15">
        <w:trPr>
          <w:trHeight w:val="288"/>
          <w:jc w:val="center"/>
        </w:trPr>
        <w:tc>
          <w:tcPr>
            <w:tcW w:w="2835" w:type="dxa"/>
            <w:tcBorders>
              <w:top w:val="single" w:sz="4" w:space="0" w:color="B4C6E7"/>
              <w:left w:val="single" w:sz="4" w:space="0" w:color="B4C6E7"/>
              <w:bottom w:val="single" w:sz="4" w:space="0" w:color="B4C6E7"/>
              <w:right w:val="single" w:sz="4" w:space="0" w:color="B4C6E7"/>
            </w:tcBorders>
            <w:shd w:val="clear" w:color="auto" w:fill="auto"/>
            <w:hideMark/>
          </w:tcPr>
          <w:p w14:paraId="7ABD753C" w14:textId="77777777" w:rsidR="00302BFE" w:rsidRPr="00BA18F6" w:rsidRDefault="00302BFE" w:rsidP="00243B15">
            <w:pPr>
              <w:spacing w:after="0"/>
              <w:rPr>
                <w:rFonts w:eastAsia="Times New Roman"/>
                <w:bCs/>
                <w:color w:val="000000"/>
                <w:szCs w:val="20"/>
                <w:lang w:eastAsia="fr-FR"/>
              </w:rPr>
            </w:pPr>
            <w:proofErr w:type="spellStart"/>
            <w:r w:rsidRPr="00BA18F6">
              <w:rPr>
                <w:rFonts w:eastAsia="Calibri"/>
                <w:b/>
                <w:bCs/>
                <w:szCs w:val="20"/>
                <w:lang w:val="en-CA"/>
              </w:rPr>
              <w:t>Néré</w:t>
            </w:r>
            <w:proofErr w:type="spellEnd"/>
            <w:r w:rsidRPr="00BA18F6">
              <w:rPr>
                <w:rFonts w:eastAsia="Calibri"/>
                <w:b/>
                <w:bCs/>
                <w:szCs w:val="20"/>
                <w:lang w:val="en-CA"/>
              </w:rPr>
              <w:t xml:space="preserve"> </w:t>
            </w:r>
            <w:r w:rsidRPr="00BA18F6">
              <w:rPr>
                <w:rFonts w:eastAsia="Times New Roman"/>
                <w:b/>
                <w:bCs/>
                <w:color w:val="000000"/>
                <w:szCs w:val="20"/>
                <w:lang w:eastAsia="fr-FR"/>
              </w:rPr>
              <w:t>seeds</w:t>
            </w:r>
          </w:p>
        </w:tc>
        <w:tc>
          <w:tcPr>
            <w:tcW w:w="1894" w:type="dxa"/>
            <w:tcBorders>
              <w:top w:val="single" w:sz="4" w:space="0" w:color="B4C6E7"/>
              <w:left w:val="single" w:sz="4" w:space="0" w:color="B4C6E7"/>
              <w:bottom w:val="single" w:sz="4" w:space="0" w:color="B4C6E7"/>
              <w:right w:val="single" w:sz="4" w:space="0" w:color="B4C6E7"/>
            </w:tcBorders>
            <w:shd w:val="clear" w:color="auto" w:fill="auto"/>
            <w:hideMark/>
          </w:tcPr>
          <w:p w14:paraId="514786A4"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Processed</w:t>
            </w:r>
          </w:p>
        </w:tc>
        <w:tc>
          <w:tcPr>
            <w:tcW w:w="3346" w:type="dxa"/>
            <w:tcBorders>
              <w:top w:val="single" w:sz="4" w:space="0" w:color="B4C6E7"/>
              <w:left w:val="single" w:sz="4" w:space="0" w:color="B4C6E7"/>
              <w:bottom w:val="single" w:sz="4" w:space="0" w:color="B4C6E7"/>
              <w:right w:val="single" w:sz="4" w:space="0" w:color="B4C6E7"/>
            </w:tcBorders>
            <w:shd w:val="clear" w:color="auto" w:fill="auto"/>
            <w:noWrap/>
            <w:hideMark/>
          </w:tcPr>
          <w:p w14:paraId="4005278E"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80,000</w:t>
            </w:r>
          </w:p>
        </w:tc>
      </w:tr>
      <w:tr w:rsidR="00302BFE" w:rsidRPr="00BA18F6" w14:paraId="00A941E9" w14:textId="77777777" w:rsidTr="00243B15">
        <w:trPr>
          <w:trHeight w:val="288"/>
          <w:jc w:val="center"/>
        </w:trPr>
        <w:tc>
          <w:tcPr>
            <w:tcW w:w="2835" w:type="dxa"/>
            <w:tcBorders>
              <w:top w:val="single" w:sz="4" w:space="0" w:color="B4C6E7"/>
              <w:left w:val="single" w:sz="4" w:space="0" w:color="B4C6E7"/>
              <w:bottom w:val="single" w:sz="4" w:space="0" w:color="B4C6E7"/>
              <w:right w:val="single" w:sz="4" w:space="0" w:color="B4C6E7"/>
            </w:tcBorders>
            <w:shd w:val="clear" w:color="auto" w:fill="auto"/>
            <w:noWrap/>
            <w:hideMark/>
          </w:tcPr>
          <w:p w14:paraId="3379152D" w14:textId="77777777" w:rsidR="00302BFE" w:rsidRPr="00BA18F6" w:rsidRDefault="00302BFE" w:rsidP="00243B15">
            <w:pPr>
              <w:spacing w:after="0"/>
              <w:rPr>
                <w:rFonts w:eastAsia="Times New Roman"/>
                <w:b/>
                <w:bCs/>
                <w:color w:val="000000"/>
                <w:szCs w:val="20"/>
                <w:lang w:val="en-CA" w:eastAsia="fr-FR"/>
              </w:rPr>
            </w:pPr>
            <w:r w:rsidRPr="00BA18F6">
              <w:rPr>
                <w:rFonts w:eastAsia="Times New Roman"/>
                <w:b/>
                <w:bCs/>
                <w:color w:val="000000"/>
                <w:szCs w:val="20"/>
                <w:lang w:val="en-CA" w:eastAsia="fr-FR"/>
              </w:rPr>
              <w:t>Soumbala (</w:t>
            </w:r>
            <w:r w:rsidRPr="00BA18F6">
              <w:rPr>
                <w:rFonts w:eastAsia="Calibri"/>
                <w:b/>
                <w:bCs/>
                <w:szCs w:val="20"/>
                <w:lang w:val="en-CA"/>
              </w:rPr>
              <w:t xml:space="preserve">spice made from </w:t>
            </w:r>
            <w:proofErr w:type="spellStart"/>
            <w:r w:rsidRPr="00BA18F6">
              <w:rPr>
                <w:rFonts w:eastAsia="Calibri"/>
                <w:b/>
                <w:bCs/>
                <w:szCs w:val="20"/>
                <w:lang w:val="en-CA"/>
              </w:rPr>
              <w:t>néré</w:t>
            </w:r>
            <w:proofErr w:type="spellEnd"/>
            <w:r w:rsidRPr="00BA18F6">
              <w:rPr>
                <w:rFonts w:eastAsia="Calibri"/>
                <w:b/>
                <w:bCs/>
                <w:szCs w:val="20"/>
                <w:lang w:val="en-CA"/>
              </w:rPr>
              <w:t xml:space="preserve"> seeds</w:t>
            </w:r>
            <w:r w:rsidRPr="00BA18F6">
              <w:rPr>
                <w:rFonts w:eastAsia="Times New Roman"/>
                <w:b/>
                <w:bCs/>
                <w:color w:val="000000"/>
                <w:szCs w:val="20"/>
                <w:lang w:val="en-CA" w:eastAsia="fr-FR"/>
              </w:rPr>
              <w:t xml:space="preserve">) </w:t>
            </w:r>
          </w:p>
        </w:tc>
        <w:tc>
          <w:tcPr>
            <w:tcW w:w="1894" w:type="dxa"/>
            <w:tcBorders>
              <w:top w:val="single" w:sz="4" w:space="0" w:color="B4C6E7"/>
              <w:left w:val="single" w:sz="4" w:space="0" w:color="B4C6E7"/>
              <w:bottom w:val="single" w:sz="4" w:space="0" w:color="B4C6E7"/>
              <w:right w:val="single" w:sz="4" w:space="0" w:color="B4C6E7"/>
            </w:tcBorders>
            <w:shd w:val="clear" w:color="auto" w:fill="auto"/>
            <w:hideMark/>
          </w:tcPr>
          <w:p w14:paraId="472E1D8A"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Processed</w:t>
            </w:r>
          </w:p>
        </w:tc>
        <w:tc>
          <w:tcPr>
            <w:tcW w:w="3346" w:type="dxa"/>
            <w:tcBorders>
              <w:top w:val="single" w:sz="4" w:space="0" w:color="B4C6E7"/>
              <w:left w:val="single" w:sz="4" w:space="0" w:color="B4C6E7"/>
              <w:bottom w:val="single" w:sz="4" w:space="0" w:color="B4C6E7"/>
              <w:right w:val="single" w:sz="4" w:space="0" w:color="B4C6E7"/>
            </w:tcBorders>
            <w:shd w:val="clear" w:color="auto" w:fill="auto"/>
            <w:noWrap/>
            <w:hideMark/>
          </w:tcPr>
          <w:p w14:paraId="4F3007D4"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72,000</w:t>
            </w:r>
          </w:p>
        </w:tc>
      </w:tr>
      <w:tr w:rsidR="00302BFE" w:rsidRPr="00BA18F6" w14:paraId="3C8F5106" w14:textId="77777777" w:rsidTr="00243B15">
        <w:trPr>
          <w:trHeight w:val="312"/>
          <w:jc w:val="center"/>
        </w:trPr>
        <w:tc>
          <w:tcPr>
            <w:tcW w:w="2835" w:type="dxa"/>
            <w:tcBorders>
              <w:top w:val="single" w:sz="4" w:space="0" w:color="B4C6E7"/>
              <w:left w:val="single" w:sz="4" w:space="0" w:color="B4C6E7"/>
              <w:bottom w:val="single" w:sz="4" w:space="0" w:color="B4C6E7"/>
              <w:right w:val="single" w:sz="4" w:space="0" w:color="B4C6E7"/>
            </w:tcBorders>
            <w:shd w:val="clear" w:color="auto" w:fill="auto"/>
            <w:noWrap/>
            <w:hideMark/>
          </w:tcPr>
          <w:p w14:paraId="78523EB7" w14:textId="77777777" w:rsidR="00302BFE" w:rsidRPr="00BA18F6" w:rsidRDefault="00302BFE" w:rsidP="00243B15">
            <w:pPr>
              <w:spacing w:after="0"/>
              <w:rPr>
                <w:rFonts w:eastAsia="Times New Roman"/>
                <w:b/>
                <w:bCs/>
                <w:color w:val="000000"/>
                <w:szCs w:val="20"/>
                <w:lang w:eastAsia="fr-FR"/>
              </w:rPr>
            </w:pPr>
            <w:r w:rsidRPr="00BA18F6">
              <w:rPr>
                <w:rFonts w:eastAsia="Calibri"/>
                <w:b/>
                <w:bCs/>
                <w:szCs w:val="20"/>
                <w:lang w:val="en-CA"/>
              </w:rPr>
              <w:t>Shea butter</w:t>
            </w:r>
          </w:p>
        </w:tc>
        <w:tc>
          <w:tcPr>
            <w:tcW w:w="1894" w:type="dxa"/>
            <w:tcBorders>
              <w:top w:val="single" w:sz="4" w:space="0" w:color="B4C6E7"/>
              <w:left w:val="single" w:sz="4" w:space="0" w:color="B4C6E7"/>
              <w:bottom w:val="single" w:sz="4" w:space="0" w:color="B4C6E7"/>
              <w:right w:val="single" w:sz="4" w:space="0" w:color="B4C6E7"/>
            </w:tcBorders>
            <w:shd w:val="clear" w:color="auto" w:fill="auto"/>
            <w:hideMark/>
          </w:tcPr>
          <w:p w14:paraId="063CDFBB"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Processed</w:t>
            </w:r>
          </w:p>
        </w:tc>
        <w:tc>
          <w:tcPr>
            <w:tcW w:w="3346" w:type="dxa"/>
            <w:tcBorders>
              <w:top w:val="single" w:sz="4" w:space="0" w:color="B4C6E7"/>
              <w:left w:val="single" w:sz="4" w:space="0" w:color="B4C6E7"/>
              <w:bottom w:val="single" w:sz="4" w:space="0" w:color="B4C6E7"/>
              <w:right w:val="single" w:sz="4" w:space="0" w:color="B4C6E7"/>
            </w:tcBorders>
            <w:shd w:val="clear" w:color="auto" w:fill="auto"/>
            <w:noWrap/>
            <w:hideMark/>
          </w:tcPr>
          <w:p w14:paraId="685FC181"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61,800</w:t>
            </w:r>
          </w:p>
        </w:tc>
      </w:tr>
      <w:tr w:rsidR="00302BFE" w:rsidRPr="00BA18F6" w14:paraId="3FE243DA" w14:textId="77777777" w:rsidTr="00243B15">
        <w:trPr>
          <w:trHeight w:val="288"/>
          <w:jc w:val="center"/>
        </w:trPr>
        <w:tc>
          <w:tcPr>
            <w:tcW w:w="2835" w:type="dxa"/>
            <w:tcBorders>
              <w:top w:val="single" w:sz="4" w:space="0" w:color="B4C6E7"/>
              <w:left w:val="single" w:sz="4" w:space="0" w:color="B4C6E7"/>
              <w:bottom w:val="single" w:sz="4" w:space="0" w:color="B4C6E7"/>
              <w:right w:val="single" w:sz="4" w:space="0" w:color="B4C6E7"/>
            </w:tcBorders>
            <w:shd w:val="clear" w:color="auto" w:fill="auto"/>
            <w:noWrap/>
            <w:hideMark/>
          </w:tcPr>
          <w:p w14:paraId="612420E1" w14:textId="77777777" w:rsidR="00302BFE" w:rsidRPr="00BA18F6" w:rsidRDefault="00302BFE" w:rsidP="00243B15">
            <w:pPr>
              <w:spacing w:after="0"/>
              <w:rPr>
                <w:rFonts w:eastAsia="Times New Roman"/>
                <w:b/>
                <w:bCs/>
                <w:color w:val="000000"/>
                <w:szCs w:val="20"/>
                <w:lang w:eastAsia="fr-FR"/>
              </w:rPr>
            </w:pPr>
            <w:r w:rsidRPr="00BA18F6">
              <w:rPr>
                <w:rFonts w:eastAsia="Calibri"/>
                <w:b/>
                <w:bCs/>
                <w:szCs w:val="20"/>
                <w:lang w:val="en-CA"/>
              </w:rPr>
              <w:t>Shea almonds</w:t>
            </w:r>
          </w:p>
        </w:tc>
        <w:tc>
          <w:tcPr>
            <w:tcW w:w="1894" w:type="dxa"/>
            <w:tcBorders>
              <w:top w:val="single" w:sz="4" w:space="0" w:color="B4C6E7"/>
              <w:left w:val="single" w:sz="4" w:space="0" w:color="B4C6E7"/>
              <w:bottom w:val="single" w:sz="4" w:space="0" w:color="B4C6E7"/>
              <w:right w:val="single" w:sz="4" w:space="0" w:color="B4C6E7"/>
            </w:tcBorders>
            <w:shd w:val="clear" w:color="auto" w:fill="auto"/>
            <w:hideMark/>
          </w:tcPr>
          <w:p w14:paraId="420E3F70"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 xml:space="preserve">Raw </w:t>
            </w:r>
          </w:p>
        </w:tc>
        <w:tc>
          <w:tcPr>
            <w:tcW w:w="3346" w:type="dxa"/>
            <w:tcBorders>
              <w:top w:val="single" w:sz="4" w:space="0" w:color="B4C6E7"/>
              <w:left w:val="single" w:sz="4" w:space="0" w:color="B4C6E7"/>
              <w:bottom w:val="single" w:sz="4" w:space="0" w:color="B4C6E7"/>
              <w:right w:val="single" w:sz="4" w:space="0" w:color="B4C6E7"/>
            </w:tcBorders>
            <w:shd w:val="clear" w:color="auto" w:fill="auto"/>
            <w:noWrap/>
            <w:hideMark/>
          </w:tcPr>
          <w:p w14:paraId="37A49483"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32,500</w:t>
            </w:r>
          </w:p>
        </w:tc>
      </w:tr>
      <w:tr w:rsidR="00302BFE" w:rsidRPr="00BA18F6" w14:paraId="4B60FC46" w14:textId="77777777" w:rsidTr="00243B15">
        <w:trPr>
          <w:trHeight w:val="288"/>
          <w:jc w:val="center"/>
        </w:trPr>
        <w:tc>
          <w:tcPr>
            <w:tcW w:w="2835" w:type="dxa"/>
            <w:tcBorders>
              <w:top w:val="single" w:sz="4" w:space="0" w:color="B4C6E7"/>
              <w:left w:val="single" w:sz="4" w:space="0" w:color="B4C6E7"/>
              <w:bottom w:val="single" w:sz="4" w:space="0" w:color="B4C6E7"/>
              <w:right w:val="single" w:sz="4" w:space="0" w:color="B4C6E7"/>
            </w:tcBorders>
            <w:shd w:val="clear" w:color="auto" w:fill="auto"/>
            <w:hideMark/>
          </w:tcPr>
          <w:p w14:paraId="6651C900" w14:textId="77777777" w:rsidR="00302BFE" w:rsidRPr="00BA18F6" w:rsidRDefault="00302BFE" w:rsidP="00243B15">
            <w:pPr>
              <w:spacing w:after="0"/>
              <w:rPr>
                <w:rFonts w:eastAsia="Times New Roman"/>
                <w:b/>
                <w:bCs/>
                <w:color w:val="000000"/>
                <w:szCs w:val="20"/>
                <w:lang w:eastAsia="fr-FR"/>
              </w:rPr>
            </w:pPr>
            <w:r w:rsidRPr="00BA18F6">
              <w:rPr>
                <w:rFonts w:eastAsia="Times New Roman"/>
                <w:b/>
                <w:bCs/>
                <w:color w:val="000000"/>
                <w:szCs w:val="20"/>
                <w:lang w:eastAsia="fr-FR"/>
              </w:rPr>
              <w:t>Tamarind</w:t>
            </w:r>
          </w:p>
        </w:tc>
        <w:tc>
          <w:tcPr>
            <w:tcW w:w="1894" w:type="dxa"/>
            <w:tcBorders>
              <w:top w:val="single" w:sz="4" w:space="0" w:color="B4C6E7"/>
              <w:left w:val="single" w:sz="4" w:space="0" w:color="B4C6E7"/>
              <w:bottom w:val="single" w:sz="4" w:space="0" w:color="B4C6E7"/>
              <w:right w:val="single" w:sz="4" w:space="0" w:color="B4C6E7"/>
            </w:tcBorders>
            <w:shd w:val="clear" w:color="auto" w:fill="auto"/>
            <w:hideMark/>
          </w:tcPr>
          <w:p w14:paraId="6A98F7CA"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Raw</w:t>
            </w:r>
          </w:p>
        </w:tc>
        <w:tc>
          <w:tcPr>
            <w:tcW w:w="3346" w:type="dxa"/>
            <w:tcBorders>
              <w:top w:val="single" w:sz="4" w:space="0" w:color="B4C6E7"/>
              <w:left w:val="single" w:sz="4" w:space="0" w:color="B4C6E7"/>
              <w:bottom w:val="single" w:sz="4" w:space="0" w:color="B4C6E7"/>
              <w:right w:val="single" w:sz="4" w:space="0" w:color="B4C6E7"/>
            </w:tcBorders>
            <w:shd w:val="clear" w:color="auto" w:fill="auto"/>
            <w:noWrap/>
            <w:hideMark/>
          </w:tcPr>
          <w:p w14:paraId="0966E4B7"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28,000</w:t>
            </w:r>
          </w:p>
        </w:tc>
      </w:tr>
      <w:tr w:rsidR="00302BFE" w:rsidRPr="00BA18F6" w14:paraId="7D806EAC" w14:textId="77777777" w:rsidTr="00243B15">
        <w:trPr>
          <w:trHeight w:val="288"/>
          <w:jc w:val="center"/>
        </w:trPr>
        <w:tc>
          <w:tcPr>
            <w:tcW w:w="2835" w:type="dxa"/>
            <w:tcBorders>
              <w:top w:val="single" w:sz="4" w:space="0" w:color="B4C6E7"/>
              <w:left w:val="single" w:sz="4" w:space="0" w:color="B4C6E7"/>
              <w:bottom w:val="single" w:sz="4" w:space="0" w:color="B4C6E7"/>
              <w:right w:val="single" w:sz="4" w:space="0" w:color="B4C6E7"/>
            </w:tcBorders>
            <w:shd w:val="clear" w:color="auto" w:fill="auto"/>
            <w:hideMark/>
          </w:tcPr>
          <w:p w14:paraId="62BAE152" w14:textId="77777777" w:rsidR="00302BFE" w:rsidRPr="00BA18F6" w:rsidRDefault="00302BFE" w:rsidP="00243B15">
            <w:pPr>
              <w:spacing w:after="0"/>
              <w:rPr>
                <w:rFonts w:eastAsia="Times New Roman"/>
                <w:b/>
                <w:bCs/>
                <w:color w:val="000000"/>
                <w:szCs w:val="20"/>
                <w:lang w:eastAsia="fr-FR"/>
              </w:rPr>
            </w:pPr>
            <w:proofErr w:type="spellStart"/>
            <w:r w:rsidRPr="00BA18F6">
              <w:rPr>
                <w:rFonts w:eastAsia="Times New Roman"/>
                <w:b/>
                <w:bCs/>
                <w:color w:val="000000"/>
                <w:szCs w:val="20"/>
                <w:lang w:eastAsia="fr-FR"/>
              </w:rPr>
              <w:t>Detarium</w:t>
            </w:r>
            <w:proofErr w:type="spellEnd"/>
          </w:p>
        </w:tc>
        <w:tc>
          <w:tcPr>
            <w:tcW w:w="1894" w:type="dxa"/>
            <w:tcBorders>
              <w:top w:val="single" w:sz="4" w:space="0" w:color="B4C6E7"/>
              <w:left w:val="single" w:sz="4" w:space="0" w:color="B4C6E7"/>
              <w:bottom w:val="single" w:sz="4" w:space="0" w:color="B4C6E7"/>
              <w:right w:val="single" w:sz="4" w:space="0" w:color="B4C6E7"/>
            </w:tcBorders>
            <w:shd w:val="clear" w:color="auto" w:fill="auto"/>
            <w:hideMark/>
          </w:tcPr>
          <w:p w14:paraId="3662E31A"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Raw</w:t>
            </w:r>
          </w:p>
        </w:tc>
        <w:tc>
          <w:tcPr>
            <w:tcW w:w="3346" w:type="dxa"/>
            <w:tcBorders>
              <w:top w:val="single" w:sz="4" w:space="0" w:color="B4C6E7"/>
              <w:left w:val="single" w:sz="4" w:space="0" w:color="B4C6E7"/>
              <w:bottom w:val="single" w:sz="4" w:space="0" w:color="B4C6E7"/>
              <w:right w:val="single" w:sz="4" w:space="0" w:color="B4C6E7"/>
            </w:tcBorders>
            <w:shd w:val="clear" w:color="auto" w:fill="auto"/>
            <w:noWrap/>
            <w:hideMark/>
          </w:tcPr>
          <w:p w14:paraId="0AAF2DE5"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3,000</w:t>
            </w:r>
          </w:p>
        </w:tc>
      </w:tr>
      <w:tr w:rsidR="00302BFE" w:rsidRPr="00BA18F6" w14:paraId="1D95F6F5" w14:textId="77777777" w:rsidTr="00243B15">
        <w:trPr>
          <w:trHeight w:val="288"/>
          <w:jc w:val="center"/>
        </w:trPr>
        <w:tc>
          <w:tcPr>
            <w:tcW w:w="2835" w:type="dxa"/>
            <w:tcBorders>
              <w:top w:val="single" w:sz="4" w:space="0" w:color="B4C6E7"/>
              <w:left w:val="single" w:sz="4" w:space="0" w:color="B4C6E7"/>
              <w:bottom w:val="single" w:sz="4" w:space="0" w:color="B4C6E7"/>
              <w:right w:val="single" w:sz="4" w:space="0" w:color="B4C6E7"/>
            </w:tcBorders>
            <w:shd w:val="clear" w:color="auto" w:fill="auto"/>
            <w:hideMark/>
          </w:tcPr>
          <w:p w14:paraId="4322BD70" w14:textId="77777777" w:rsidR="00302BFE" w:rsidRPr="00BA18F6" w:rsidRDefault="00302BFE" w:rsidP="00243B15">
            <w:pPr>
              <w:spacing w:after="0"/>
              <w:rPr>
                <w:rFonts w:eastAsia="Times New Roman"/>
                <w:b/>
                <w:bCs/>
                <w:color w:val="000000"/>
                <w:szCs w:val="20"/>
                <w:lang w:eastAsia="fr-FR"/>
              </w:rPr>
            </w:pPr>
            <w:r w:rsidRPr="00BA18F6">
              <w:rPr>
                <w:rFonts w:eastAsia="Calibri"/>
                <w:b/>
                <w:bCs/>
                <w:szCs w:val="20"/>
                <w:lang w:val="en-CA"/>
              </w:rPr>
              <w:t xml:space="preserve">Liane </w:t>
            </w:r>
            <w:proofErr w:type="spellStart"/>
            <w:r w:rsidRPr="00BA18F6">
              <w:rPr>
                <w:rFonts w:eastAsia="Calibri"/>
                <w:b/>
                <w:bCs/>
                <w:szCs w:val="20"/>
                <w:lang w:val="en-CA"/>
              </w:rPr>
              <w:t>goïne</w:t>
            </w:r>
            <w:proofErr w:type="spellEnd"/>
          </w:p>
        </w:tc>
        <w:tc>
          <w:tcPr>
            <w:tcW w:w="1894" w:type="dxa"/>
            <w:tcBorders>
              <w:top w:val="single" w:sz="4" w:space="0" w:color="B4C6E7"/>
              <w:left w:val="single" w:sz="4" w:space="0" w:color="B4C6E7"/>
              <w:bottom w:val="single" w:sz="4" w:space="0" w:color="B4C6E7"/>
              <w:right w:val="single" w:sz="4" w:space="0" w:color="B4C6E7"/>
            </w:tcBorders>
            <w:shd w:val="clear" w:color="auto" w:fill="auto"/>
            <w:hideMark/>
          </w:tcPr>
          <w:p w14:paraId="26CA3C65"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 xml:space="preserve">Raw </w:t>
            </w:r>
          </w:p>
        </w:tc>
        <w:tc>
          <w:tcPr>
            <w:tcW w:w="3346" w:type="dxa"/>
            <w:tcBorders>
              <w:top w:val="single" w:sz="4" w:space="0" w:color="B4C6E7"/>
              <w:left w:val="single" w:sz="4" w:space="0" w:color="B4C6E7"/>
              <w:bottom w:val="single" w:sz="4" w:space="0" w:color="B4C6E7"/>
              <w:right w:val="single" w:sz="4" w:space="0" w:color="B4C6E7"/>
            </w:tcBorders>
            <w:shd w:val="clear" w:color="auto" w:fill="auto"/>
            <w:noWrap/>
            <w:hideMark/>
          </w:tcPr>
          <w:p w14:paraId="377BA5D7"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2,250</w:t>
            </w:r>
          </w:p>
        </w:tc>
      </w:tr>
      <w:tr w:rsidR="00302BFE" w:rsidRPr="00BA18F6" w14:paraId="05B5793C" w14:textId="77777777" w:rsidTr="00243B15">
        <w:trPr>
          <w:trHeight w:val="288"/>
          <w:jc w:val="center"/>
        </w:trPr>
        <w:tc>
          <w:tcPr>
            <w:tcW w:w="2835" w:type="dxa"/>
            <w:tcBorders>
              <w:top w:val="single" w:sz="4" w:space="0" w:color="B4C6E7"/>
              <w:left w:val="single" w:sz="4" w:space="0" w:color="B4C6E7"/>
              <w:bottom w:val="single" w:sz="4" w:space="0" w:color="B4C6E7"/>
              <w:right w:val="single" w:sz="4" w:space="0" w:color="B4C6E7"/>
            </w:tcBorders>
            <w:shd w:val="clear" w:color="auto" w:fill="auto"/>
            <w:hideMark/>
          </w:tcPr>
          <w:p w14:paraId="1D2FE448" w14:textId="77777777" w:rsidR="00302BFE" w:rsidRPr="00BA18F6" w:rsidRDefault="00302BFE" w:rsidP="00243B15">
            <w:pPr>
              <w:spacing w:after="0"/>
              <w:rPr>
                <w:rFonts w:eastAsia="Times New Roman"/>
                <w:bCs/>
                <w:color w:val="000000"/>
                <w:szCs w:val="20"/>
                <w:lang w:eastAsia="fr-FR"/>
              </w:rPr>
            </w:pPr>
            <w:r w:rsidRPr="00BA18F6">
              <w:rPr>
                <w:rFonts w:eastAsia="Times New Roman"/>
                <w:b/>
                <w:bCs/>
                <w:color w:val="000000"/>
                <w:szCs w:val="20"/>
                <w:lang w:eastAsia="fr-FR"/>
              </w:rPr>
              <w:t>Balanites</w:t>
            </w:r>
          </w:p>
        </w:tc>
        <w:tc>
          <w:tcPr>
            <w:tcW w:w="1894" w:type="dxa"/>
            <w:tcBorders>
              <w:top w:val="single" w:sz="4" w:space="0" w:color="B4C6E7"/>
              <w:left w:val="single" w:sz="4" w:space="0" w:color="B4C6E7"/>
              <w:bottom w:val="single" w:sz="4" w:space="0" w:color="B4C6E7"/>
              <w:right w:val="single" w:sz="4" w:space="0" w:color="B4C6E7"/>
            </w:tcBorders>
            <w:shd w:val="clear" w:color="auto" w:fill="auto"/>
            <w:hideMark/>
          </w:tcPr>
          <w:p w14:paraId="51555860"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Raw</w:t>
            </w:r>
          </w:p>
        </w:tc>
        <w:tc>
          <w:tcPr>
            <w:tcW w:w="3346" w:type="dxa"/>
            <w:tcBorders>
              <w:top w:val="single" w:sz="4" w:space="0" w:color="B4C6E7"/>
              <w:left w:val="single" w:sz="4" w:space="0" w:color="B4C6E7"/>
              <w:bottom w:val="single" w:sz="4" w:space="0" w:color="B4C6E7"/>
              <w:right w:val="single" w:sz="4" w:space="0" w:color="B4C6E7"/>
            </w:tcBorders>
            <w:shd w:val="clear" w:color="auto" w:fill="auto"/>
            <w:noWrap/>
            <w:hideMark/>
          </w:tcPr>
          <w:p w14:paraId="522C39E2"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5,000</w:t>
            </w:r>
          </w:p>
        </w:tc>
      </w:tr>
      <w:tr w:rsidR="00302BFE" w:rsidRPr="00BA18F6" w14:paraId="35F12EF8" w14:textId="77777777" w:rsidTr="00243B15">
        <w:trPr>
          <w:trHeight w:val="288"/>
          <w:jc w:val="center"/>
        </w:trPr>
        <w:tc>
          <w:tcPr>
            <w:tcW w:w="2835" w:type="dxa"/>
            <w:tcBorders>
              <w:top w:val="single" w:sz="4" w:space="0" w:color="B4C6E7"/>
              <w:left w:val="single" w:sz="4" w:space="0" w:color="B4C6E7"/>
              <w:bottom w:val="single" w:sz="4" w:space="0" w:color="B4C6E7"/>
              <w:right w:val="single" w:sz="4" w:space="0" w:color="B4C6E7"/>
            </w:tcBorders>
            <w:shd w:val="clear" w:color="auto" w:fill="auto"/>
            <w:noWrap/>
            <w:hideMark/>
          </w:tcPr>
          <w:p w14:paraId="1DF89604" w14:textId="77777777" w:rsidR="00302BFE" w:rsidRPr="00BA18F6" w:rsidRDefault="00302BFE" w:rsidP="00243B15">
            <w:pPr>
              <w:spacing w:after="0"/>
              <w:rPr>
                <w:rFonts w:eastAsia="Times New Roman"/>
                <w:bCs/>
                <w:color w:val="000000"/>
                <w:szCs w:val="20"/>
                <w:lang w:eastAsia="fr-FR"/>
              </w:rPr>
            </w:pPr>
            <w:proofErr w:type="spellStart"/>
            <w:r w:rsidRPr="00BA18F6">
              <w:rPr>
                <w:rFonts w:eastAsia="Calibri"/>
                <w:b/>
                <w:bCs/>
                <w:szCs w:val="20"/>
                <w:lang w:val="en-CA"/>
              </w:rPr>
              <w:t>Néré</w:t>
            </w:r>
            <w:proofErr w:type="spellEnd"/>
            <w:r w:rsidRPr="00BA18F6">
              <w:rPr>
                <w:rFonts w:eastAsia="Calibri"/>
                <w:b/>
                <w:bCs/>
                <w:szCs w:val="20"/>
                <w:lang w:val="en-CA"/>
              </w:rPr>
              <w:t xml:space="preserve"> flour</w:t>
            </w:r>
          </w:p>
        </w:tc>
        <w:tc>
          <w:tcPr>
            <w:tcW w:w="1894" w:type="dxa"/>
            <w:tcBorders>
              <w:top w:val="single" w:sz="4" w:space="0" w:color="B4C6E7"/>
              <w:left w:val="single" w:sz="4" w:space="0" w:color="B4C6E7"/>
              <w:bottom w:val="single" w:sz="4" w:space="0" w:color="B4C6E7"/>
              <w:right w:val="single" w:sz="4" w:space="0" w:color="B4C6E7"/>
            </w:tcBorders>
            <w:shd w:val="clear" w:color="auto" w:fill="auto"/>
            <w:hideMark/>
          </w:tcPr>
          <w:p w14:paraId="649FD92A"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Processed</w:t>
            </w:r>
          </w:p>
        </w:tc>
        <w:tc>
          <w:tcPr>
            <w:tcW w:w="3346" w:type="dxa"/>
            <w:tcBorders>
              <w:top w:val="single" w:sz="4" w:space="0" w:color="B4C6E7"/>
              <w:left w:val="single" w:sz="4" w:space="0" w:color="B4C6E7"/>
              <w:bottom w:val="single" w:sz="4" w:space="0" w:color="B4C6E7"/>
              <w:right w:val="single" w:sz="4" w:space="0" w:color="B4C6E7"/>
            </w:tcBorders>
            <w:shd w:val="clear" w:color="auto" w:fill="auto"/>
            <w:noWrap/>
            <w:hideMark/>
          </w:tcPr>
          <w:p w14:paraId="635B058F" w14:textId="77777777" w:rsidR="00302BFE" w:rsidRPr="00BA18F6" w:rsidRDefault="00302BFE" w:rsidP="00243B15">
            <w:pPr>
              <w:spacing w:after="0"/>
              <w:rPr>
                <w:rFonts w:eastAsia="Times New Roman"/>
                <w:color w:val="000000"/>
                <w:szCs w:val="20"/>
                <w:lang w:eastAsia="fr-FR"/>
              </w:rPr>
            </w:pPr>
            <w:r w:rsidRPr="00BA18F6">
              <w:rPr>
                <w:rFonts w:eastAsia="Times New Roman"/>
                <w:color w:val="000000"/>
                <w:szCs w:val="20"/>
                <w:lang w:eastAsia="fr-FR"/>
              </w:rPr>
              <w:t>7,200</w:t>
            </w:r>
          </w:p>
        </w:tc>
      </w:tr>
    </w:tbl>
    <w:p w14:paraId="00A3A8C7" w14:textId="77777777" w:rsidR="00302BFE" w:rsidRPr="009F4594" w:rsidRDefault="00302BFE" w:rsidP="00302BFE">
      <w:pPr>
        <w:spacing w:before="120" w:after="120"/>
        <w:rPr>
          <w:rFonts w:eastAsia="Times New Roman"/>
          <w:szCs w:val="20"/>
          <w:lang w:val="en-CA" w:eastAsia="fr-FR"/>
        </w:rPr>
      </w:pPr>
      <w:r w:rsidRPr="009F4594">
        <w:rPr>
          <w:rFonts w:eastAsia="Times New Roman"/>
          <w:szCs w:val="20"/>
          <w:lang w:val="en-CA" w:eastAsia="fr-FR"/>
        </w:rPr>
        <w:t xml:space="preserve">The product availability period is 3 months on average. If the raw products are most often marketed during the collection periods, those processed (soumbala, shea butter, </w:t>
      </w:r>
      <w:proofErr w:type="spellStart"/>
      <w:r w:rsidRPr="009F4594">
        <w:rPr>
          <w:rFonts w:eastAsia="Times New Roman"/>
          <w:szCs w:val="20"/>
          <w:lang w:val="en-CA" w:eastAsia="fr-FR"/>
        </w:rPr>
        <w:t>néré</w:t>
      </w:r>
      <w:proofErr w:type="spellEnd"/>
      <w:r w:rsidRPr="009F4594">
        <w:rPr>
          <w:rFonts w:eastAsia="Times New Roman"/>
          <w:szCs w:val="20"/>
          <w:lang w:val="en-CA" w:eastAsia="fr-FR"/>
        </w:rPr>
        <w:t xml:space="preserve"> flour) are produced and marketed after the period of field work. The rest of the time, </w:t>
      </w:r>
      <w:r w:rsidRPr="009F4594">
        <w:rPr>
          <w:rFonts w:eastAsia="Times New Roman"/>
          <w:szCs w:val="20"/>
          <w:lang w:val="en-CA" w:eastAsia="fr-FR"/>
        </w:rPr>
        <w:lastRenderedPageBreak/>
        <w:t>starting in November, women work on family farms. The sale of raw products helps support the purchase of food during the lean season and to buy production inputs.</w:t>
      </w:r>
    </w:p>
    <w:p w14:paraId="218E951D" w14:textId="384DA112" w:rsidR="00302BFE" w:rsidRPr="00BA18F6" w:rsidRDefault="00302BFE" w:rsidP="00302BFE">
      <w:pPr>
        <w:spacing w:before="120" w:after="120"/>
        <w:rPr>
          <w:rFonts w:eastAsia="Times New Roman"/>
          <w:szCs w:val="20"/>
          <w:lang w:val="en-CA" w:eastAsia="fr-FR"/>
        </w:rPr>
      </w:pPr>
      <w:r w:rsidRPr="009F4594">
        <w:rPr>
          <w:rFonts w:eastAsia="Times New Roman"/>
          <w:szCs w:val="20"/>
          <w:lang w:val="en-CA" w:eastAsia="fr-FR"/>
        </w:rPr>
        <w:t>Processed products are produced by women's groups that are generally involved in several products (shea butter, shea butter soap, soumbala). Overall, processed products are those that generate the highest incomes. However, the means of transformation are artisanal (only a few groups that have benefited from the support of some NGOs have a semi-mechanized production system).</w:t>
      </w:r>
      <w:r>
        <w:rPr>
          <w:rFonts w:eastAsia="Times New Roman"/>
          <w:szCs w:val="20"/>
          <w:lang w:val="en-CA" w:eastAsia="fr-FR"/>
        </w:rPr>
        <w:t xml:space="preserve"> </w:t>
      </w:r>
      <w:r w:rsidRPr="009F4594">
        <w:rPr>
          <w:rFonts w:eastAsia="Times New Roman"/>
          <w:szCs w:val="20"/>
          <w:lang w:val="en-CA" w:eastAsia="fr-FR"/>
        </w:rPr>
        <w:t xml:space="preserve">With better equipment, the development of these IGAs could be more beneficial for women. In 2016, for example, the gross revenue from honey production was 1,650,000 </w:t>
      </w:r>
      <w:r w:rsidR="005E13EB">
        <w:rPr>
          <w:rFonts w:eastAsia="Times New Roman"/>
          <w:szCs w:val="20"/>
          <w:lang w:val="en-CA" w:eastAsia="fr-FR"/>
        </w:rPr>
        <w:t>CFA francs</w:t>
      </w:r>
      <w:r w:rsidRPr="009F4594">
        <w:rPr>
          <w:rFonts w:eastAsia="Times New Roman"/>
          <w:szCs w:val="20"/>
          <w:lang w:val="en-CA" w:eastAsia="fr-FR"/>
        </w:rPr>
        <w:t xml:space="preserve"> / year for 5 forest enterprises supported by the NGO Tree Aid in the honey sector (</w:t>
      </w:r>
      <w:proofErr w:type="spellStart"/>
      <w:r w:rsidRPr="009F4594">
        <w:rPr>
          <w:rFonts w:eastAsia="Times New Roman"/>
          <w:szCs w:val="20"/>
          <w:lang w:val="en-CA" w:eastAsia="fr-FR"/>
        </w:rPr>
        <w:t>Pô</w:t>
      </w:r>
      <w:proofErr w:type="spellEnd"/>
      <w:r w:rsidRPr="009F4594">
        <w:rPr>
          <w:rFonts w:eastAsia="Times New Roman"/>
          <w:szCs w:val="20"/>
          <w:lang w:val="en-CA" w:eastAsia="fr-FR"/>
        </w:rPr>
        <w:t xml:space="preserve"> commune), with an average income of 247,000 </w:t>
      </w:r>
      <w:r w:rsidR="005E13EB">
        <w:rPr>
          <w:rFonts w:eastAsia="Times New Roman"/>
          <w:szCs w:val="20"/>
          <w:lang w:val="en-CA" w:eastAsia="fr-FR"/>
        </w:rPr>
        <w:t>CFA francs</w:t>
      </w:r>
      <w:r w:rsidRPr="009F4594">
        <w:rPr>
          <w:rFonts w:eastAsia="Times New Roman"/>
          <w:szCs w:val="20"/>
          <w:lang w:val="en-CA" w:eastAsia="fr-FR"/>
        </w:rPr>
        <w:t xml:space="preserve"> / year for each member (Tree Aid, 2016), while in 2012 the average income per member was estimated at 7,860 </w:t>
      </w:r>
      <w:r w:rsidR="005E13EB">
        <w:rPr>
          <w:rFonts w:eastAsia="Times New Roman"/>
          <w:szCs w:val="20"/>
          <w:lang w:val="en-CA" w:eastAsia="fr-FR"/>
        </w:rPr>
        <w:t>CFA francs</w:t>
      </w:r>
      <w:r w:rsidRPr="009F4594">
        <w:rPr>
          <w:rFonts w:eastAsia="Times New Roman"/>
          <w:szCs w:val="20"/>
          <w:lang w:val="en-CA" w:eastAsia="fr-FR"/>
        </w:rPr>
        <w:t xml:space="preserve"> (Tree Aid, 2012). </w:t>
      </w:r>
      <w:r>
        <w:rPr>
          <w:rFonts w:eastAsia="Times New Roman"/>
          <w:szCs w:val="20"/>
          <w:lang w:val="en-CA" w:eastAsia="fr-FR"/>
        </w:rPr>
        <w:t>It must be n</w:t>
      </w:r>
      <w:r w:rsidRPr="009F4594">
        <w:rPr>
          <w:rFonts w:eastAsia="Times New Roman"/>
          <w:szCs w:val="20"/>
          <w:lang w:val="en-CA" w:eastAsia="fr-FR"/>
        </w:rPr>
        <w:t>ote</w:t>
      </w:r>
      <w:r>
        <w:rPr>
          <w:rFonts w:eastAsia="Times New Roman"/>
          <w:szCs w:val="20"/>
          <w:lang w:val="en-CA" w:eastAsia="fr-FR"/>
        </w:rPr>
        <w:t>d</w:t>
      </w:r>
      <w:r w:rsidRPr="009F4594">
        <w:rPr>
          <w:rFonts w:eastAsia="Times New Roman"/>
          <w:szCs w:val="20"/>
          <w:lang w:val="en-CA" w:eastAsia="fr-FR"/>
        </w:rPr>
        <w:t xml:space="preserve"> that in 2012, these enterprises did not yet benefit from substantial support.</w:t>
      </w:r>
    </w:p>
    <w:p w14:paraId="75FB4390" w14:textId="77777777" w:rsidR="00302BFE" w:rsidRPr="00BA18F6" w:rsidRDefault="00302BFE" w:rsidP="00302BFE">
      <w:pPr>
        <w:spacing w:before="120" w:after="120"/>
        <w:rPr>
          <w:rFonts w:eastAsia="Times New Roman"/>
          <w:szCs w:val="20"/>
          <w:lang w:val="en-CA" w:eastAsia="fr-FR"/>
        </w:rPr>
      </w:pPr>
      <w:bookmarkStart w:id="69" w:name="_Hlk535429263"/>
      <w:r w:rsidRPr="00F11563">
        <w:rPr>
          <w:rFonts w:eastAsia="Times New Roman"/>
          <w:szCs w:val="20"/>
          <w:lang w:val="en-CA" w:eastAsia="fr-FR"/>
        </w:rPr>
        <w:t xml:space="preserve">The products are mainly sold in local </w:t>
      </w:r>
      <w:proofErr w:type="gramStart"/>
      <w:r w:rsidRPr="00F11563">
        <w:rPr>
          <w:rFonts w:eastAsia="Times New Roman"/>
          <w:szCs w:val="20"/>
          <w:lang w:val="en-CA" w:eastAsia="fr-FR"/>
        </w:rPr>
        <w:t>markets</w:t>
      </w:r>
      <w:proofErr w:type="gramEnd"/>
      <w:r w:rsidRPr="00F11563">
        <w:rPr>
          <w:rFonts w:eastAsia="Times New Roman"/>
          <w:szCs w:val="20"/>
          <w:lang w:val="en-CA" w:eastAsia="fr-FR"/>
        </w:rPr>
        <w:t xml:space="preserve"> but exporters are also potential customers, especially for </w:t>
      </w:r>
      <w:proofErr w:type="spellStart"/>
      <w:r w:rsidRPr="00F11563">
        <w:rPr>
          <w:rFonts w:eastAsia="Times New Roman"/>
          <w:szCs w:val="20"/>
          <w:lang w:val="en-CA" w:eastAsia="fr-FR"/>
        </w:rPr>
        <w:t>néré</w:t>
      </w:r>
      <w:proofErr w:type="spellEnd"/>
      <w:r w:rsidRPr="00F11563">
        <w:rPr>
          <w:rFonts w:eastAsia="Times New Roman"/>
          <w:szCs w:val="20"/>
          <w:lang w:val="en-CA" w:eastAsia="fr-FR"/>
        </w:rPr>
        <w:t xml:space="preserve"> seeds, shea butter, shea kernels and tamarind. The fruits of the vine </w:t>
      </w:r>
      <w:proofErr w:type="spellStart"/>
      <w:r w:rsidRPr="00F11563">
        <w:rPr>
          <w:rFonts w:eastAsia="Times New Roman"/>
          <w:szCs w:val="20"/>
          <w:lang w:val="en-CA" w:eastAsia="fr-FR"/>
        </w:rPr>
        <w:t>goïne</w:t>
      </w:r>
      <w:proofErr w:type="spellEnd"/>
      <w:r w:rsidRPr="00F11563">
        <w:rPr>
          <w:rFonts w:eastAsia="Times New Roman"/>
          <w:szCs w:val="20"/>
          <w:lang w:val="en-CA" w:eastAsia="fr-FR"/>
        </w:rPr>
        <w:t xml:space="preserve"> supply the juice production units at the national level. Shea butter and almonds are exported to Europe, </w:t>
      </w:r>
      <w:proofErr w:type="gramStart"/>
      <w:r w:rsidRPr="00F11563">
        <w:rPr>
          <w:rFonts w:eastAsia="Times New Roman"/>
          <w:szCs w:val="20"/>
          <w:lang w:val="en-CA" w:eastAsia="fr-FR"/>
        </w:rPr>
        <w:t>Asia</w:t>
      </w:r>
      <w:proofErr w:type="gramEnd"/>
      <w:r w:rsidRPr="00F11563">
        <w:rPr>
          <w:rFonts w:eastAsia="Times New Roman"/>
          <w:szCs w:val="20"/>
          <w:lang w:val="en-CA" w:eastAsia="fr-FR"/>
        </w:rPr>
        <w:t xml:space="preserve"> and America. </w:t>
      </w:r>
      <w:bookmarkEnd w:id="69"/>
      <w:r w:rsidRPr="00F11563">
        <w:rPr>
          <w:rFonts w:eastAsia="Times New Roman"/>
          <w:szCs w:val="20"/>
          <w:lang w:val="en-CA" w:eastAsia="fr-FR"/>
        </w:rPr>
        <w:t>Burkina Faso was ranked the world's sixth largest exporter of shea almonds in 2016, with a market share of 4.5%. The main recipient countries were Denmark (67.7%), Ghana (20.2%) and France (6.9%)</w:t>
      </w:r>
      <w:r>
        <w:rPr>
          <w:rStyle w:val="Appelnotedebasdep"/>
          <w:rFonts w:eastAsia="Times New Roman"/>
          <w:szCs w:val="20"/>
          <w:lang w:val="en-CA" w:eastAsia="fr-FR"/>
        </w:rPr>
        <w:footnoteReference w:id="85"/>
      </w:r>
      <w:r w:rsidRPr="00F11563">
        <w:rPr>
          <w:rFonts w:eastAsia="Times New Roman"/>
          <w:szCs w:val="20"/>
          <w:lang w:val="en-CA" w:eastAsia="fr-FR"/>
        </w:rPr>
        <w:t xml:space="preserve">. In the same year, France was the main recipient country of Burkina shea butter with 38.1% of the quantities exported, followed by the Netherlands (24.8%), Malaysia (15.4%), the United Arab Emirates. Germany (12.8%) and Ghana (7.3%). </w:t>
      </w:r>
      <w:r w:rsidRPr="00F11563">
        <w:rPr>
          <w:szCs w:val="20"/>
          <w:lang w:val="en-CA"/>
        </w:rPr>
        <w:t>Tamarind is exported to the subregion (Senegal, Mali, Niger, Ivory Coast).</w:t>
      </w:r>
    </w:p>
    <w:p w14:paraId="435BE256" w14:textId="77777777" w:rsidR="00302BFE" w:rsidRPr="00F11563" w:rsidRDefault="00302BFE" w:rsidP="00302BFE">
      <w:pPr>
        <w:spacing w:before="120" w:after="120"/>
        <w:ind w:left="720"/>
        <w:rPr>
          <w:b/>
          <w:szCs w:val="20"/>
          <w:lang w:val="en-CA"/>
        </w:rPr>
      </w:pPr>
      <w:r w:rsidRPr="00F11563">
        <w:rPr>
          <w:b/>
          <w:szCs w:val="20"/>
          <w:lang w:val="en-CA"/>
        </w:rPr>
        <w:t>Framework for exploitation of N</w:t>
      </w:r>
      <w:r>
        <w:rPr>
          <w:b/>
          <w:szCs w:val="20"/>
          <w:lang w:val="en-CA"/>
        </w:rPr>
        <w:t>T</w:t>
      </w:r>
      <w:r w:rsidRPr="00F11563">
        <w:rPr>
          <w:b/>
          <w:szCs w:val="20"/>
          <w:lang w:val="en-CA"/>
        </w:rPr>
        <w:t>FPs by women in PONASI</w:t>
      </w:r>
    </w:p>
    <w:p w14:paraId="3706D895" w14:textId="77777777" w:rsidR="00302BFE" w:rsidRPr="00BA18F6" w:rsidRDefault="00302BFE" w:rsidP="00302BFE">
      <w:pPr>
        <w:spacing w:before="120" w:after="120"/>
        <w:rPr>
          <w:rFonts w:eastAsia="Calibri"/>
          <w:szCs w:val="20"/>
          <w:lang w:val="en-CA"/>
        </w:rPr>
      </w:pPr>
      <w:r w:rsidRPr="00F11563">
        <w:rPr>
          <w:szCs w:val="20"/>
          <w:lang w:val="en-CA"/>
        </w:rPr>
        <w:t>Despite this favorable environment, the exploitation and marketing activities of NWFPs by women in PONASI provide little benefit compared to the available potential.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5"/>
        <w:gridCol w:w="5258"/>
      </w:tblGrid>
      <w:tr w:rsidR="00302BFE" w:rsidRPr="00BA18F6" w14:paraId="1629332E" w14:textId="77777777" w:rsidTr="00243B15">
        <w:trPr>
          <w:jc w:val="center"/>
        </w:trPr>
        <w:tc>
          <w:tcPr>
            <w:tcW w:w="10303" w:type="dxa"/>
            <w:gridSpan w:val="2"/>
            <w:shd w:val="clear" w:color="auto" w:fill="auto"/>
          </w:tcPr>
          <w:p w14:paraId="1CAF8FB7" w14:textId="77777777" w:rsidR="00302BFE" w:rsidRPr="00BA18F6" w:rsidRDefault="00302BFE" w:rsidP="00243B15">
            <w:pPr>
              <w:spacing w:after="0"/>
              <w:jc w:val="center"/>
              <w:rPr>
                <w:b/>
                <w:sz w:val="18"/>
                <w:szCs w:val="18"/>
                <w:lang w:val="en-CA"/>
              </w:rPr>
            </w:pPr>
            <w:r w:rsidRPr="00BA18F6">
              <w:rPr>
                <w:b/>
                <w:sz w:val="18"/>
                <w:szCs w:val="18"/>
                <w:lang w:val="en-CA"/>
              </w:rPr>
              <w:t>Possibilities for development of sustainable and promising NWFP value chains</w:t>
            </w:r>
          </w:p>
        </w:tc>
      </w:tr>
      <w:tr w:rsidR="00302BFE" w:rsidRPr="00BA18F6" w14:paraId="01E7B994" w14:textId="77777777" w:rsidTr="00243B15">
        <w:trPr>
          <w:jc w:val="center"/>
        </w:trPr>
        <w:tc>
          <w:tcPr>
            <w:tcW w:w="5045" w:type="dxa"/>
            <w:shd w:val="clear" w:color="auto" w:fill="auto"/>
          </w:tcPr>
          <w:p w14:paraId="459D1B11" w14:textId="77777777" w:rsidR="00302BFE" w:rsidRPr="00BA18F6" w:rsidRDefault="00302BFE" w:rsidP="00243B15">
            <w:pPr>
              <w:spacing w:after="0"/>
              <w:rPr>
                <w:b/>
                <w:sz w:val="18"/>
                <w:szCs w:val="18"/>
                <w:lang w:val="en-CA"/>
              </w:rPr>
            </w:pPr>
            <w:r w:rsidRPr="00BA18F6">
              <w:rPr>
                <w:b/>
                <w:sz w:val="18"/>
                <w:szCs w:val="18"/>
                <w:lang w:val="en-CA"/>
              </w:rPr>
              <w:t>Favorable factors</w:t>
            </w:r>
          </w:p>
        </w:tc>
        <w:tc>
          <w:tcPr>
            <w:tcW w:w="5258" w:type="dxa"/>
            <w:shd w:val="clear" w:color="auto" w:fill="auto"/>
          </w:tcPr>
          <w:p w14:paraId="37242D39" w14:textId="77777777" w:rsidR="00302BFE" w:rsidRPr="00BA18F6" w:rsidRDefault="00302BFE" w:rsidP="00243B15">
            <w:pPr>
              <w:spacing w:after="0"/>
              <w:rPr>
                <w:b/>
                <w:sz w:val="18"/>
                <w:szCs w:val="18"/>
                <w:lang w:val="en-CA"/>
              </w:rPr>
            </w:pPr>
            <w:r w:rsidRPr="00BA18F6">
              <w:rPr>
                <w:b/>
                <w:sz w:val="18"/>
                <w:szCs w:val="18"/>
                <w:lang w:val="en-CA"/>
              </w:rPr>
              <w:t>Unfavorable factors</w:t>
            </w:r>
          </w:p>
        </w:tc>
      </w:tr>
      <w:tr w:rsidR="00302BFE" w:rsidRPr="00BA18F6" w14:paraId="0760CB98" w14:textId="77777777" w:rsidTr="00243B15">
        <w:trPr>
          <w:jc w:val="center"/>
        </w:trPr>
        <w:tc>
          <w:tcPr>
            <w:tcW w:w="5045" w:type="dxa"/>
            <w:shd w:val="clear" w:color="auto" w:fill="auto"/>
          </w:tcPr>
          <w:p w14:paraId="31C71C63" w14:textId="77777777" w:rsidR="00302BFE" w:rsidRPr="00BA18F6" w:rsidRDefault="00302BFE" w:rsidP="00243B15">
            <w:pPr>
              <w:spacing w:after="0"/>
              <w:rPr>
                <w:sz w:val="18"/>
                <w:szCs w:val="18"/>
                <w:lang w:val="en-CA"/>
              </w:rPr>
            </w:pPr>
            <w:r w:rsidRPr="00BA18F6">
              <w:rPr>
                <w:sz w:val="18"/>
                <w:szCs w:val="18"/>
                <w:lang w:val="en-CA"/>
              </w:rPr>
              <w:t>Existence of local forest resource management organizations</w:t>
            </w:r>
          </w:p>
        </w:tc>
        <w:tc>
          <w:tcPr>
            <w:tcW w:w="5258" w:type="dxa"/>
            <w:shd w:val="clear" w:color="auto" w:fill="auto"/>
          </w:tcPr>
          <w:p w14:paraId="3E98CF98" w14:textId="77777777" w:rsidR="00302BFE" w:rsidRPr="00BA18F6" w:rsidRDefault="00302BFE" w:rsidP="00243B15">
            <w:pPr>
              <w:spacing w:after="0"/>
              <w:rPr>
                <w:sz w:val="18"/>
                <w:szCs w:val="18"/>
                <w:lang w:val="en-CA"/>
              </w:rPr>
            </w:pPr>
            <w:r w:rsidRPr="00BA18F6">
              <w:rPr>
                <w:sz w:val="18"/>
                <w:szCs w:val="18"/>
                <w:lang w:val="en-CA"/>
              </w:rPr>
              <w:t xml:space="preserve">Low organization of women's groups </w:t>
            </w:r>
          </w:p>
        </w:tc>
      </w:tr>
      <w:tr w:rsidR="00302BFE" w:rsidRPr="00BA18F6" w14:paraId="286AB0FB" w14:textId="77777777" w:rsidTr="00243B15">
        <w:trPr>
          <w:jc w:val="center"/>
        </w:trPr>
        <w:tc>
          <w:tcPr>
            <w:tcW w:w="5045" w:type="dxa"/>
            <w:shd w:val="clear" w:color="auto" w:fill="auto"/>
          </w:tcPr>
          <w:p w14:paraId="276F43BD" w14:textId="77777777" w:rsidR="00302BFE" w:rsidRPr="00BA18F6" w:rsidRDefault="00302BFE" w:rsidP="00243B15">
            <w:pPr>
              <w:spacing w:after="0"/>
              <w:rPr>
                <w:sz w:val="18"/>
                <w:szCs w:val="18"/>
                <w:lang w:val="en-CA"/>
              </w:rPr>
            </w:pPr>
            <w:r w:rsidRPr="00BA18F6">
              <w:rPr>
                <w:sz w:val="18"/>
                <w:szCs w:val="18"/>
                <w:lang w:val="en-CA"/>
              </w:rPr>
              <w:t xml:space="preserve">Increasing demand for NTFPs at national, </w:t>
            </w:r>
            <w:proofErr w:type="gramStart"/>
            <w:r w:rsidRPr="00BA18F6">
              <w:rPr>
                <w:sz w:val="18"/>
                <w:szCs w:val="18"/>
                <w:lang w:val="en-CA"/>
              </w:rPr>
              <w:t>subregional</w:t>
            </w:r>
            <w:proofErr w:type="gramEnd"/>
            <w:r w:rsidRPr="00BA18F6">
              <w:rPr>
                <w:sz w:val="18"/>
                <w:szCs w:val="18"/>
                <w:lang w:val="en-CA"/>
              </w:rPr>
              <w:t xml:space="preserve"> and international levels</w:t>
            </w:r>
          </w:p>
        </w:tc>
        <w:tc>
          <w:tcPr>
            <w:tcW w:w="5258" w:type="dxa"/>
            <w:shd w:val="clear" w:color="auto" w:fill="auto"/>
          </w:tcPr>
          <w:p w14:paraId="72866201" w14:textId="77777777" w:rsidR="00302BFE" w:rsidRPr="00BA18F6" w:rsidRDefault="00302BFE" w:rsidP="00243B15">
            <w:pPr>
              <w:spacing w:after="0"/>
              <w:rPr>
                <w:sz w:val="18"/>
                <w:szCs w:val="18"/>
                <w:lang w:val="en-CA"/>
              </w:rPr>
            </w:pPr>
            <w:r w:rsidRPr="00BA18F6">
              <w:rPr>
                <w:sz w:val="18"/>
                <w:szCs w:val="18"/>
                <w:lang w:val="en-CA"/>
              </w:rPr>
              <w:t xml:space="preserve">Low market access </w:t>
            </w:r>
          </w:p>
        </w:tc>
      </w:tr>
      <w:tr w:rsidR="00302BFE" w:rsidRPr="00BA18F6" w14:paraId="4A7C8626" w14:textId="77777777" w:rsidTr="00243B15">
        <w:trPr>
          <w:jc w:val="center"/>
        </w:trPr>
        <w:tc>
          <w:tcPr>
            <w:tcW w:w="5045" w:type="dxa"/>
            <w:shd w:val="clear" w:color="auto" w:fill="auto"/>
          </w:tcPr>
          <w:p w14:paraId="20146753" w14:textId="77777777" w:rsidR="00302BFE" w:rsidRPr="00BA18F6" w:rsidRDefault="00302BFE" w:rsidP="00243B15">
            <w:pPr>
              <w:spacing w:after="0"/>
              <w:rPr>
                <w:sz w:val="18"/>
                <w:szCs w:val="18"/>
                <w:lang w:val="en-CA"/>
              </w:rPr>
            </w:pPr>
            <w:r w:rsidRPr="00BA18F6">
              <w:rPr>
                <w:sz w:val="18"/>
                <w:szCs w:val="18"/>
                <w:lang w:val="en-CA"/>
              </w:rPr>
              <w:t>Availability and accessibility of forest resources</w:t>
            </w:r>
          </w:p>
        </w:tc>
        <w:tc>
          <w:tcPr>
            <w:tcW w:w="5258" w:type="dxa"/>
            <w:shd w:val="clear" w:color="auto" w:fill="auto"/>
          </w:tcPr>
          <w:p w14:paraId="49CCA255" w14:textId="77777777" w:rsidR="00302BFE" w:rsidRPr="00BA18F6" w:rsidRDefault="00302BFE" w:rsidP="00243B15">
            <w:pPr>
              <w:spacing w:after="0"/>
              <w:rPr>
                <w:sz w:val="18"/>
                <w:szCs w:val="18"/>
                <w:lang w:val="en-CA"/>
              </w:rPr>
            </w:pPr>
            <w:r w:rsidRPr="00BA18F6">
              <w:rPr>
                <w:sz w:val="18"/>
                <w:szCs w:val="18"/>
                <w:lang w:val="en-CA"/>
              </w:rPr>
              <w:t>Inadequate management of the resource</w:t>
            </w:r>
          </w:p>
        </w:tc>
      </w:tr>
      <w:tr w:rsidR="00302BFE" w:rsidRPr="00BA18F6" w14:paraId="3994C930" w14:textId="77777777" w:rsidTr="00243B15">
        <w:trPr>
          <w:jc w:val="center"/>
        </w:trPr>
        <w:tc>
          <w:tcPr>
            <w:tcW w:w="5045" w:type="dxa"/>
            <w:shd w:val="clear" w:color="auto" w:fill="auto"/>
          </w:tcPr>
          <w:p w14:paraId="26332F88" w14:textId="77777777" w:rsidR="00302BFE" w:rsidRPr="00BA18F6" w:rsidRDefault="00302BFE" w:rsidP="00243B15">
            <w:pPr>
              <w:spacing w:after="0"/>
              <w:rPr>
                <w:sz w:val="18"/>
                <w:szCs w:val="18"/>
                <w:lang w:val="en-CA"/>
              </w:rPr>
            </w:pPr>
            <w:r w:rsidRPr="00BA18F6">
              <w:rPr>
                <w:sz w:val="18"/>
                <w:szCs w:val="18"/>
                <w:lang w:val="en-CA"/>
              </w:rPr>
              <w:t>Availability of technical and financial partners to support the development of NWFP value chains</w:t>
            </w:r>
          </w:p>
        </w:tc>
        <w:tc>
          <w:tcPr>
            <w:tcW w:w="5258" w:type="dxa"/>
            <w:shd w:val="clear" w:color="auto" w:fill="auto"/>
          </w:tcPr>
          <w:p w14:paraId="14B33213" w14:textId="77777777" w:rsidR="00302BFE" w:rsidRPr="00BA18F6" w:rsidRDefault="00302BFE" w:rsidP="00243B15">
            <w:pPr>
              <w:spacing w:after="0"/>
              <w:rPr>
                <w:sz w:val="18"/>
                <w:szCs w:val="18"/>
                <w:lang w:val="en-CA"/>
              </w:rPr>
            </w:pPr>
            <w:r w:rsidRPr="00BA18F6">
              <w:rPr>
                <w:sz w:val="18"/>
                <w:szCs w:val="18"/>
                <w:lang w:val="en-CA"/>
              </w:rPr>
              <w:t>Insufficient equipment and material for processing NTFPs</w:t>
            </w:r>
          </w:p>
        </w:tc>
      </w:tr>
      <w:tr w:rsidR="00302BFE" w:rsidRPr="00BA18F6" w14:paraId="3E563664" w14:textId="77777777" w:rsidTr="00243B15">
        <w:trPr>
          <w:jc w:val="center"/>
        </w:trPr>
        <w:tc>
          <w:tcPr>
            <w:tcW w:w="5045" w:type="dxa"/>
            <w:shd w:val="clear" w:color="auto" w:fill="auto"/>
          </w:tcPr>
          <w:p w14:paraId="1BF6F874" w14:textId="77777777" w:rsidR="00302BFE" w:rsidRPr="00BA18F6" w:rsidRDefault="00302BFE" w:rsidP="00243B15">
            <w:pPr>
              <w:spacing w:after="0"/>
              <w:rPr>
                <w:sz w:val="18"/>
                <w:szCs w:val="18"/>
                <w:lang w:val="en-CA"/>
              </w:rPr>
            </w:pPr>
            <w:r w:rsidRPr="00BA18F6">
              <w:rPr>
                <w:sz w:val="18"/>
                <w:szCs w:val="18"/>
                <w:lang w:val="en-CA"/>
              </w:rPr>
              <w:t>Favorable legislative and regulatory framework</w:t>
            </w:r>
          </w:p>
        </w:tc>
        <w:tc>
          <w:tcPr>
            <w:tcW w:w="5258" w:type="dxa"/>
            <w:shd w:val="clear" w:color="auto" w:fill="auto"/>
          </w:tcPr>
          <w:p w14:paraId="6CA62E97" w14:textId="77777777" w:rsidR="00302BFE" w:rsidRPr="00BA18F6" w:rsidRDefault="00302BFE" w:rsidP="00243B15">
            <w:pPr>
              <w:spacing w:after="0"/>
              <w:rPr>
                <w:sz w:val="18"/>
                <w:szCs w:val="18"/>
                <w:lang w:val="en-CA"/>
              </w:rPr>
            </w:pPr>
            <w:r w:rsidRPr="00BA18F6">
              <w:rPr>
                <w:sz w:val="18"/>
                <w:szCs w:val="18"/>
                <w:lang w:val="en-CA"/>
              </w:rPr>
              <w:t>Lack of commercial strategy</w:t>
            </w:r>
          </w:p>
        </w:tc>
      </w:tr>
      <w:tr w:rsidR="00302BFE" w:rsidRPr="00BA18F6" w14:paraId="478B7861" w14:textId="77777777" w:rsidTr="00243B15">
        <w:trPr>
          <w:jc w:val="center"/>
        </w:trPr>
        <w:tc>
          <w:tcPr>
            <w:tcW w:w="5045" w:type="dxa"/>
            <w:shd w:val="clear" w:color="auto" w:fill="auto"/>
          </w:tcPr>
          <w:p w14:paraId="0C716496" w14:textId="77777777" w:rsidR="00302BFE" w:rsidRPr="00BA18F6" w:rsidRDefault="00302BFE" w:rsidP="00243B15">
            <w:pPr>
              <w:spacing w:after="0"/>
              <w:rPr>
                <w:sz w:val="18"/>
                <w:szCs w:val="18"/>
                <w:lang w:val="en-CA"/>
              </w:rPr>
            </w:pPr>
            <w:r w:rsidRPr="00BA18F6">
              <w:rPr>
                <w:sz w:val="18"/>
                <w:szCs w:val="18"/>
                <w:lang w:val="en-CA"/>
              </w:rPr>
              <w:t>Favorable political environment</w:t>
            </w:r>
          </w:p>
        </w:tc>
        <w:tc>
          <w:tcPr>
            <w:tcW w:w="5258" w:type="dxa"/>
            <w:shd w:val="clear" w:color="auto" w:fill="auto"/>
          </w:tcPr>
          <w:p w14:paraId="752C8231" w14:textId="77777777" w:rsidR="00302BFE" w:rsidRPr="00BA18F6" w:rsidRDefault="00302BFE" w:rsidP="00243B15">
            <w:pPr>
              <w:spacing w:after="0"/>
              <w:rPr>
                <w:sz w:val="18"/>
                <w:szCs w:val="18"/>
                <w:lang w:val="en-CA"/>
              </w:rPr>
            </w:pPr>
            <w:r w:rsidRPr="00BA18F6">
              <w:rPr>
                <w:sz w:val="18"/>
                <w:szCs w:val="18"/>
                <w:lang w:val="en-CA"/>
              </w:rPr>
              <w:t>Low access to finance</w:t>
            </w:r>
          </w:p>
        </w:tc>
      </w:tr>
      <w:tr w:rsidR="00302BFE" w:rsidRPr="00BA18F6" w14:paraId="2F1E222A" w14:textId="77777777" w:rsidTr="00243B15">
        <w:trPr>
          <w:jc w:val="center"/>
        </w:trPr>
        <w:tc>
          <w:tcPr>
            <w:tcW w:w="5045" w:type="dxa"/>
            <w:shd w:val="clear" w:color="auto" w:fill="auto"/>
          </w:tcPr>
          <w:p w14:paraId="4C95EE57" w14:textId="77777777" w:rsidR="00302BFE" w:rsidRPr="00BA18F6" w:rsidRDefault="00302BFE" w:rsidP="00243B15">
            <w:pPr>
              <w:spacing w:after="0"/>
              <w:rPr>
                <w:sz w:val="18"/>
                <w:szCs w:val="18"/>
                <w:lang w:val="en-CA"/>
              </w:rPr>
            </w:pPr>
            <w:r w:rsidRPr="00BA18F6">
              <w:rPr>
                <w:sz w:val="18"/>
                <w:szCs w:val="18"/>
                <w:lang w:val="en-CA"/>
              </w:rPr>
              <w:t>Regulatory role ensured through the forest service</w:t>
            </w:r>
          </w:p>
        </w:tc>
        <w:tc>
          <w:tcPr>
            <w:tcW w:w="5258" w:type="dxa"/>
            <w:shd w:val="clear" w:color="auto" w:fill="auto"/>
          </w:tcPr>
          <w:p w14:paraId="2EE555ED" w14:textId="77777777" w:rsidR="00302BFE" w:rsidRPr="00BA18F6" w:rsidRDefault="00302BFE" w:rsidP="00243B15">
            <w:pPr>
              <w:spacing w:after="0"/>
              <w:rPr>
                <w:sz w:val="18"/>
                <w:szCs w:val="18"/>
                <w:lang w:val="en-CA"/>
              </w:rPr>
            </w:pPr>
            <w:r w:rsidRPr="00BA18F6">
              <w:rPr>
                <w:sz w:val="18"/>
                <w:szCs w:val="18"/>
                <w:lang w:val="en-CA"/>
              </w:rPr>
              <w:t xml:space="preserve">No processing of certain products such as </w:t>
            </w:r>
            <w:proofErr w:type="spellStart"/>
            <w:r w:rsidRPr="00BA18F6">
              <w:rPr>
                <w:sz w:val="18"/>
                <w:szCs w:val="18"/>
                <w:lang w:val="en-CA"/>
              </w:rPr>
              <w:t>goine</w:t>
            </w:r>
            <w:proofErr w:type="spellEnd"/>
            <w:r w:rsidRPr="00BA18F6">
              <w:rPr>
                <w:sz w:val="18"/>
                <w:szCs w:val="18"/>
                <w:lang w:val="en-CA"/>
              </w:rPr>
              <w:t xml:space="preserve"> liana and </w:t>
            </w:r>
            <w:proofErr w:type="spellStart"/>
            <w:r w:rsidRPr="00BA18F6">
              <w:rPr>
                <w:sz w:val="18"/>
                <w:szCs w:val="18"/>
                <w:lang w:val="en-CA"/>
              </w:rPr>
              <w:t>detarium</w:t>
            </w:r>
            <w:proofErr w:type="spellEnd"/>
          </w:p>
        </w:tc>
      </w:tr>
      <w:tr w:rsidR="00302BFE" w:rsidRPr="00BA18F6" w14:paraId="1047A86E" w14:textId="77777777" w:rsidTr="00243B15">
        <w:trPr>
          <w:jc w:val="center"/>
        </w:trPr>
        <w:tc>
          <w:tcPr>
            <w:tcW w:w="5045" w:type="dxa"/>
            <w:shd w:val="clear" w:color="auto" w:fill="auto"/>
          </w:tcPr>
          <w:p w14:paraId="32118086" w14:textId="77777777" w:rsidR="00302BFE" w:rsidRPr="00BA18F6" w:rsidRDefault="00302BFE" w:rsidP="00243B15">
            <w:pPr>
              <w:spacing w:after="0"/>
              <w:rPr>
                <w:sz w:val="18"/>
                <w:szCs w:val="18"/>
                <w:lang w:val="en-CA"/>
              </w:rPr>
            </w:pPr>
          </w:p>
        </w:tc>
        <w:tc>
          <w:tcPr>
            <w:tcW w:w="5258" w:type="dxa"/>
            <w:shd w:val="clear" w:color="auto" w:fill="auto"/>
          </w:tcPr>
          <w:p w14:paraId="647C514B" w14:textId="77777777" w:rsidR="00302BFE" w:rsidRPr="00BA18F6" w:rsidRDefault="00302BFE" w:rsidP="00243B15">
            <w:pPr>
              <w:spacing w:after="0"/>
              <w:rPr>
                <w:sz w:val="18"/>
                <w:szCs w:val="18"/>
                <w:lang w:val="en-CA"/>
              </w:rPr>
            </w:pPr>
            <w:r w:rsidRPr="00BA18F6">
              <w:rPr>
                <w:sz w:val="18"/>
                <w:szCs w:val="18"/>
                <w:lang w:val="en-CA"/>
              </w:rPr>
              <w:t>Low local demand for raw products because local people use the same production areas as those who make it a commercial activity</w:t>
            </w:r>
          </w:p>
        </w:tc>
      </w:tr>
    </w:tbl>
    <w:p w14:paraId="281532F1" w14:textId="77777777" w:rsidR="00302BFE" w:rsidRPr="00BA18F6" w:rsidRDefault="00302BFE" w:rsidP="00302BFE">
      <w:pPr>
        <w:pStyle w:val="Lgende"/>
        <w:spacing w:before="120" w:after="120"/>
        <w:rPr>
          <w:rFonts w:ascii="Calibri" w:hAnsi="Calibri"/>
          <w:sz w:val="20"/>
          <w:szCs w:val="20"/>
          <w:lang w:val="en-CA"/>
        </w:rPr>
      </w:pPr>
      <w:bookmarkStart w:id="70" w:name="_Toc7382356"/>
      <w:r w:rsidRPr="00BA18F6">
        <w:rPr>
          <w:rFonts w:ascii="Calibri" w:hAnsi="Calibri"/>
          <w:sz w:val="20"/>
          <w:szCs w:val="20"/>
          <w:lang w:val="en-CA"/>
        </w:rPr>
        <w:t xml:space="preserve">Figure 2: </w:t>
      </w:r>
      <w:bookmarkEnd w:id="70"/>
      <w:r w:rsidRPr="00BA18F6">
        <w:rPr>
          <w:rFonts w:ascii="Calibri" w:hAnsi="Calibri"/>
          <w:sz w:val="20"/>
          <w:szCs w:val="20"/>
          <w:lang w:val="en-CA"/>
        </w:rPr>
        <w:t>Framework for exploitation of NWFPs by women in PONASI</w:t>
      </w:r>
    </w:p>
    <w:p w14:paraId="50501D1E" w14:textId="3370A02B" w:rsidR="00302BFE" w:rsidRPr="00BA18F6" w:rsidRDefault="00580E65" w:rsidP="00302BFE">
      <w:pPr>
        <w:spacing w:before="120" w:after="120"/>
        <w:jc w:val="center"/>
        <w:rPr>
          <w:szCs w:val="20"/>
        </w:rPr>
      </w:pPr>
      <w:r w:rsidRPr="00BB5BB0">
        <w:rPr>
          <w:rFonts w:eastAsia="Calibri"/>
          <w:szCs w:val="20"/>
          <w:lang w:val="fr-FR"/>
        </w:rPr>
        <w:object w:dxaOrig="8586" w:dyaOrig="6457" w14:anchorId="3CFE4CBB">
          <v:shape id="_x0000_i1026" type="#_x0000_t75" style="width:345.3pt;height:211.4pt" o:ole="">
            <v:imagedata r:id="rId47" o:title=""/>
          </v:shape>
          <o:OLEObject Type="Embed" ProgID="PowerPoint.Slide.12" ShapeID="_x0000_i1026" DrawAspect="Content" ObjectID="_1752046050" r:id="rId48"/>
        </w:object>
      </w:r>
    </w:p>
    <w:p w14:paraId="2C79F260" w14:textId="77777777" w:rsidR="00302BFE" w:rsidRDefault="00302BFE" w:rsidP="00302BFE">
      <w:pPr>
        <w:spacing w:before="120" w:after="120"/>
        <w:rPr>
          <w:szCs w:val="20"/>
          <w:lang w:val="en-CA"/>
        </w:rPr>
      </w:pPr>
      <w:r w:rsidRPr="00A8014E">
        <w:rPr>
          <w:szCs w:val="20"/>
          <w:lang w:val="en-CA"/>
        </w:rPr>
        <w:lastRenderedPageBreak/>
        <w:t xml:space="preserve">In villages supported by projects and structures such as Tree Aid, </w:t>
      </w:r>
      <w:proofErr w:type="spellStart"/>
      <w:r w:rsidRPr="00A8014E">
        <w:rPr>
          <w:szCs w:val="20"/>
          <w:lang w:val="en-CA"/>
        </w:rPr>
        <w:t>Natudev</w:t>
      </w:r>
      <w:proofErr w:type="spellEnd"/>
      <w:r w:rsidRPr="00A8014E">
        <w:rPr>
          <w:szCs w:val="20"/>
          <w:lang w:val="en-CA"/>
        </w:rPr>
        <w:t xml:space="preserve">, </w:t>
      </w:r>
      <w:proofErr w:type="spellStart"/>
      <w:r w:rsidRPr="00A8014E">
        <w:rPr>
          <w:szCs w:val="20"/>
          <w:lang w:val="en-CA"/>
        </w:rPr>
        <w:t>Naturama</w:t>
      </w:r>
      <w:proofErr w:type="spellEnd"/>
      <w:r w:rsidRPr="00A8014E">
        <w:rPr>
          <w:szCs w:val="20"/>
          <w:lang w:val="en-CA"/>
        </w:rPr>
        <w:t xml:space="preserve">, the Program of Economic Growth in the Agricultural Sector, and the Support Program for </w:t>
      </w:r>
      <w:proofErr w:type="spellStart"/>
      <w:r w:rsidRPr="00A8014E">
        <w:rPr>
          <w:szCs w:val="20"/>
          <w:lang w:val="en-CA"/>
        </w:rPr>
        <w:t>Agro</w:t>
      </w:r>
      <w:proofErr w:type="spellEnd"/>
      <w:r w:rsidRPr="00A8014E">
        <w:rPr>
          <w:szCs w:val="20"/>
          <w:lang w:val="en-CA"/>
        </w:rPr>
        <w:t>-</w:t>
      </w:r>
      <w:proofErr w:type="spellStart"/>
      <w:r w:rsidRPr="00A8014E">
        <w:rPr>
          <w:szCs w:val="20"/>
          <w:lang w:val="en-CA"/>
        </w:rPr>
        <w:t>Sylvo</w:t>
      </w:r>
      <w:proofErr w:type="spellEnd"/>
      <w:r w:rsidRPr="00A8014E">
        <w:rPr>
          <w:szCs w:val="20"/>
          <w:lang w:val="en-CA"/>
        </w:rPr>
        <w:t xml:space="preserve">-Pastoral Divisions, there is a better development of supervised groups. </w:t>
      </w:r>
      <w:proofErr w:type="gramStart"/>
      <w:r w:rsidRPr="00A8014E">
        <w:rPr>
          <w:szCs w:val="20"/>
          <w:lang w:val="en-CA"/>
        </w:rPr>
        <w:t>Despite the fact that</w:t>
      </w:r>
      <w:proofErr w:type="gramEnd"/>
      <w:r w:rsidRPr="00A8014E">
        <w:rPr>
          <w:szCs w:val="20"/>
          <w:lang w:val="en-CA"/>
        </w:rPr>
        <w:t xml:space="preserve"> the landscaped area of the PONASI complex offers development possibilities for products that can fit into niche markets, including organic, fair trade and fair trade, overall, few women's organizations have benefited from structural support actions by NGOs, projects and programs.</w:t>
      </w:r>
    </w:p>
    <w:p w14:paraId="5D54049F" w14:textId="77777777" w:rsidR="00302BFE" w:rsidRPr="00BA18F6" w:rsidRDefault="00302BFE" w:rsidP="00302BFE">
      <w:pPr>
        <w:spacing w:before="120" w:after="120"/>
        <w:rPr>
          <w:rFonts w:eastAsia="Calibri"/>
          <w:b/>
          <w:szCs w:val="20"/>
          <w:lang w:val="en-CA"/>
        </w:rPr>
      </w:pPr>
      <w:r w:rsidRPr="00A8014E">
        <w:rPr>
          <w:b/>
          <w:szCs w:val="20"/>
          <w:lang w:val="en-CA"/>
        </w:rPr>
        <w:t>ACCESS / CONTROL / INFORMATION / DECISION MAKING</w:t>
      </w:r>
    </w:p>
    <w:p w14:paraId="7B4226FE" w14:textId="77777777" w:rsidR="00302BFE" w:rsidRPr="00BA18F6" w:rsidRDefault="00302BFE" w:rsidP="00302BFE">
      <w:pPr>
        <w:spacing w:before="120" w:after="120"/>
        <w:rPr>
          <w:b/>
          <w:szCs w:val="20"/>
          <w:lang w:val="en-CA"/>
        </w:rPr>
      </w:pPr>
      <w:r w:rsidRPr="00A8014E">
        <w:rPr>
          <w:b/>
          <w:szCs w:val="20"/>
          <w:lang w:val="en-CA"/>
        </w:rPr>
        <w:t>Women and land in the PONASI complex</w:t>
      </w:r>
    </w:p>
    <w:p w14:paraId="33DED94F" w14:textId="77777777" w:rsidR="00302BFE" w:rsidRPr="00BA18F6" w:rsidRDefault="00302BFE" w:rsidP="00302BFE">
      <w:pPr>
        <w:spacing w:before="120" w:after="120"/>
        <w:rPr>
          <w:szCs w:val="20"/>
          <w:lang w:val="en-CA"/>
        </w:rPr>
      </w:pPr>
      <w:r w:rsidRPr="00A8014E">
        <w:rPr>
          <w:szCs w:val="20"/>
          <w:lang w:val="en-CA"/>
        </w:rPr>
        <w:t>The laws and regulations on land management in Burkina Faso (including the land and land reform and the law 034 on rural land tenure), promote access to land for all social strata, regardless of gender or socio-professional categories.</w:t>
      </w:r>
    </w:p>
    <w:p w14:paraId="07436912" w14:textId="77777777" w:rsidR="00302BFE" w:rsidRPr="00BA18F6" w:rsidRDefault="00302BFE" w:rsidP="00302BFE">
      <w:pPr>
        <w:spacing w:before="120" w:after="120"/>
        <w:rPr>
          <w:szCs w:val="20"/>
          <w:lang w:val="en-CA"/>
        </w:rPr>
      </w:pPr>
      <w:r w:rsidRPr="00366041">
        <w:rPr>
          <w:szCs w:val="20"/>
          <w:lang w:val="en-CA"/>
        </w:rPr>
        <w:t xml:space="preserve">In PONASI, women generally benefit from land plots granted by the head of </w:t>
      </w:r>
      <w:proofErr w:type="gramStart"/>
      <w:r w:rsidRPr="00366041">
        <w:rPr>
          <w:szCs w:val="20"/>
          <w:lang w:val="en-CA"/>
        </w:rPr>
        <w:t>household on household</w:t>
      </w:r>
      <w:proofErr w:type="gramEnd"/>
      <w:r w:rsidRPr="00366041">
        <w:rPr>
          <w:szCs w:val="20"/>
          <w:lang w:val="en-CA"/>
        </w:rPr>
        <w:t xml:space="preserve"> land. </w:t>
      </w:r>
      <w:r w:rsidRPr="00622449">
        <w:rPr>
          <w:szCs w:val="20"/>
          <w:lang w:val="en-CA"/>
        </w:rPr>
        <w:t>These plots exceptionally reach a hectare.</w:t>
      </w:r>
      <w:r>
        <w:rPr>
          <w:szCs w:val="20"/>
          <w:lang w:val="en-CA"/>
        </w:rPr>
        <w:t xml:space="preserve"> </w:t>
      </w:r>
      <w:r w:rsidRPr="00366041">
        <w:rPr>
          <w:szCs w:val="20"/>
          <w:lang w:val="en-CA"/>
        </w:rPr>
        <w:t>However, since the household's fields are a priority, they do not have enough time to devote to their own field. Promoting improved seeds, with a short production cycle, could be promoted to women to allow them to harvest earlier and have more time to devote to household cropping fields.</w:t>
      </w:r>
      <w:r w:rsidRPr="00BA18F6">
        <w:rPr>
          <w:szCs w:val="20"/>
          <w:lang w:val="en-CA"/>
        </w:rPr>
        <w:t xml:space="preserve"> </w:t>
      </w:r>
    </w:p>
    <w:p w14:paraId="402281F3" w14:textId="77777777" w:rsidR="00302BFE" w:rsidRPr="00811F2C" w:rsidRDefault="00302BFE" w:rsidP="00302BFE">
      <w:pPr>
        <w:spacing w:before="120" w:after="120"/>
        <w:rPr>
          <w:szCs w:val="20"/>
          <w:lang w:val="en-CA"/>
        </w:rPr>
      </w:pPr>
      <w:r w:rsidRPr="00811F2C">
        <w:rPr>
          <w:szCs w:val="20"/>
          <w:lang w:val="en-CA"/>
        </w:rPr>
        <w:t xml:space="preserve">At local level, the issue of access to land is not particularly acute for women in different communities. Indeed, according to the system of social representation that characterizes the communities, the well-being of the woman, and therefore of the household, is the responsibility of the man as head of the household. What is brought home by the woman is perceived as a "plus" except for the vegetables that she is required to cultivate for cooking. In the village of </w:t>
      </w:r>
      <w:proofErr w:type="spellStart"/>
      <w:r w:rsidRPr="00811F2C">
        <w:rPr>
          <w:szCs w:val="20"/>
          <w:lang w:val="en-CA"/>
        </w:rPr>
        <w:t>Mantiongo</w:t>
      </w:r>
      <w:proofErr w:type="spellEnd"/>
      <w:r w:rsidRPr="00811F2C">
        <w:rPr>
          <w:szCs w:val="20"/>
          <w:lang w:val="en-CA"/>
        </w:rPr>
        <w:t>, a producer says that a man who would allow his wife to be the sole owner of land would be giving him freedom, in other words, to mean rejection. This point of view is shared in virtually all the communities visited. From this perspective, it is understandable that women are not eager to claim land for their own use and that they do not complain about the plot of land they have.</w:t>
      </w:r>
    </w:p>
    <w:p w14:paraId="06E019C7" w14:textId="77777777" w:rsidR="00302BFE" w:rsidRPr="00BA18F6" w:rsidRDefault="00302BFE" w:rsidP="00302BFE">
      <w:pPr>
        <w:spacing w:before="120" w:after="120"/>
        <w:rPr>
          <w:szCs w:val="20"/>
          <w:lang w:val="en-CA"/>
        </w:rPr>
      </w:pPr>
      <w:r w:rsidRPr="00B4585F">
        <w:rPr>
          <w:szCs w:val="20"/>
          <w:lang w:val="en-CA" w:eastAsia="en-GB"/>
        </w:rPr>
        <w:t>If general accessibility to land by women is not seen as a particular problem, it is different for sites developed for the purpose of intensive production. It was not possible to obtain data at the commune level, but in the Central-East region in 2016, women accounted for 40% of beneficiaries who had access to developed lowlands, compared with 60% for men. In the South</w:t>
      </w:r>
      <w:r>
        <w:rPr>
          <w:szCs w:val="20"/>
          <w:lang w:val="en-CA" w:eastAsia="en-GB"/>
        </w:rPr>
        <w:t>-</w:t>
      </w:r>
      <w:r w:rsidRPr="00B4585F">
        <w:rPr>
          <w:szCs w:val="20"/>
          <w:lang w:val="en-CA" w:eastAsia="en-GB"/>
        </w:rPr>
        <w:t>Central region, this distribution was 35% women and 65% men. In the Center-West region in 2016, only 27.8 irrigated perimeters were allocated to women compared to 72.2% to men.</w:t>
      </w:r>
    </w:p>
    <w:p w14:paraId="5E499A3E" w14:textId="77777777" w:rsidR="00302BFE" w:rsidRPr="00BA18F6" w:rsidRDefault="00302BFE" w:rsidP="00302BFE">
      <w:pPr>
        <w:spacing w:before="120" w:after="120"/>
        <w:rPr>
          <w:szCs w:val="20"/>
          <w:lang w:val="en-CA" w:eastAsia="en-GB"/>
        </w:rPr>
      </w:pPr>
      <w:r w:rsidRPr="00B4585F">
        <w:rPr>
          <w:szCs w:val="20"/>
          <w:lang w:val="en-CA" w:eastAsia="en-GB"/>
        </w:rPr>
        <w:t xml:space="preserve">In addition, the factors of production are not controlled by women and are often inaccessible to them. For example, production techniques and technologies (CES/DRS techniques, improved seeds) are less practiced in female-owned plots. Plows, </w:t>
      </w:r>
      <w:proofErr w:type="gramStart"/>
      <w:r w:rsidRPr="00B4585F">
        <w:rPr>
          <w:szCs w:val="20"/>
          <w:lang w:val="en-CA" w:eastAsia="en-GB"/>
        </w:rPr>
        <w:t>carts</w:t>
      </w:r>
      <w:proofErr w:type="gramEnd"/>
      <w:r w:rsidRPr="00B4585F">
        <w:rPr>
          <w:szCs w:val="20"/>
          <w:lang w:val="en-CA" w:eastAsia="en-GB"/>
        </w:rPr>
        <w:t xml:space="preserve"> and other production tools when they are available in the household, are mostly used on family farms.</w:t>
      </w:r>
    </w:p>
    <w:p w14:paraId="48AF2A25" w14:textId="77777777" w:rsidR="00302BFE" w:rsidRPr="00BA18F6" w:rsidRDefault="00302BFE" w:rsidP="00302BFE">
      <w:pPr>
        <w:pStyle w:val="Rappniebepuce1"/>
        <w:numPr>
          <w:ilvl w:val="0"/>
          <w:numId w:val="0"/>
        </w:numPr>
        <w:tabs>
          <w:tab w:val="left" w:pos="708"/>
        </w:tabs>
        <w:spacing w:before="120" w:after="120" w:line="240" w:lineRule="auto"/>
        <w:rPr>
          <w:rFonts w:ascii="Calibri" w:hAnsi="Calibri"/>
          <w:sz w:val="20"/>
          <w:szCs w:val="20"/>
          <w:lang w:val="en-CA"/>
        </w:rPr>
      </w:pPr>
      <w:r w:rsidRPr="00BA18F6">
        <w:rPr>
          <w:rFonts w:ascii="Calibri" w:hAnsi="Calibri"/>
          <w:sz w:val="20"/>
          <w:szCs w:val="20"/>
          <w:lang w:val="en-CA"/>
        </w:rPr>
        <w:t>All in all, if women can not be fully mobilized in the winter season because of work on family farms, it would be important to focus on creating jobs for them in the dry season, a period during which rural populations are generally underemployed or even idle.</w:t>
      </w:r>
    </w:p>
    <w:p w14:paraId="02F09D52" w14:textId="77777777" w:rsidR="00302BFE" w:rsidRPr="00BA18F6" w:rsidRDefault="00302BFE" w:rsidP="00302BFE">
      <w:pPr>
        <w:spacing w:before="120" w:after="120"/>
        <w:rPr>
          <w:szCs w:val="20"/>
          <w:lang w:val="en-CA" w:eastAsia="en-GB"/>
        </w:rPr>
      </w:pPr>
      <w:r w:rsidRPr="00B4585F">
        <w:rPr>
          <w:szCs w:val="20"/>
          <w:lang w:val="en-CA" w:eastAsia="en-GB"/>
        </w:rPr>
        <w:t xml:space="preserve">Under these conditions, support could be directed towards the development of forest value chains where they are leaders, and the support to women's cooperatives for the acquisition of plots of land (dedicated to cooperatives), that will be developed and exploited by them. The crops to be promoted will be cash crops (such as sesame, rice, </w:t>
      </w:r>
      <w:proofErr w:type="spellStart"/>
      <w:r w:rsidRPr="00B4585F">
        <w:rPr>
          <w:szCs w:val="20"/>
          <w:lang w:val="en-CA" w:eastAsia="en-GB"/>
        </w:rPr>
        <w:t>fonio</w:t>
      </w:r>
      <w:proofErr w:type="spellEnd"/>
      <w:r w:rsidRPr="00B4585F">
        <w:rPr>
          <w:szCs w:val="20"/>
          <w:lang w:val="en-CA" w:eastAsia="en-GB"/>
        </w:rPr>
        <w:t>). Revenues from these productions could be used to invest in other production sites and will also serve as a base for micro-credits between them.</w:t>
      </w:r>
    </w:p>
    <w:p w14:paraId="63CFF807" w14:textId="77777777" w:rsidR="00302BFE" w:rsidRPr="00BA18F6" w:rsidRDefault="00302BFE" w:rsidP="00302BFE">
      <w:pPr>
        <w:spacing w:before="120" w:after="120"/>
        <w:ind w:left="720"/>
        <w:rPr>
          <w:b/>
          <w:szCs w:val="20"/>
          <w:lang w:val="en-CA"/>
        </w:rPr>
      </w:pPr>
      <w:r w:rsidRPr="00771352">
        <w:rPr>
          <w:b/>
          <w:szCs w:val="20"/>
          <w:lang w:val="en-CA"/>
        </w:rPr>
        <w:t>Women and access to forest resources</w:t>
      </w:r>
    </w:p>
    <w:p w14:paraId="3C6B08F3" w14:textId="77777777" w:rsidR="00302BFE" w:rsidRPr="00BA18F6" w:rsidRDefault="00302BFE" w:rsidP="00302BFE">
      <w:pPr>
        <w:spacing w:before="120" w:after="120"/>
        <w:rPr>
          <w:szCs w:val="20"/>
          <w:lang w:val="en-CA"/>
        </w:rPr>
      </w:pPr>
      <w:r w:rsidRPr="00771352">
        <w:rPr>
          <w:szCs w:val="20"/>
          <w:lang w:val="en-CA"/>
        </w:rPr>
        <w:t xml:space="preserve">Women in PONASI benefit from the ecosystem services provided by forest resources in protected areas, </w:t>
      </w:r>
      <w:proofErr w:type="gramStart"/>
      <w:r w:rsidRPr="00771352">
        <w:rPr>
          <w:szCs w:val="20"/>
          <w:lang w:val="en-CA"/>
        </w:rPr>
        <w:t>village</w:t>
      </w:r>
      <w:proofErr w:type="gramEnd"/>
      <w:r w:rsidRPr="00771352">
        <w:rPr>
          <w:szCs w:val="20"/>
          <w:lang w:val="en-CA"/>
        </w:rPr>
        <w:t xml:space="preserve"> and communal forests and in other wooded areas (fields and fallows). Access to resources in fields and fallows is free for members of the household owner. In the field of others, the access requires the authorization of the owner. In areas rented for agricultural production or in the case of sharecropping, fruit trees are under the control of the landowner. However, women and men do not have equitable access to certain species even if they </w:t>
      </w:r>
      <w:proofErr w:type="gramStart"/>
      <w:r w:rsidRPr="00771352">
        <w:rPr>
          <w:szCs w:val="20"/>
          <w:lang w:val="en-CA"/>
        </w:rPr>
        <w:t>are located in</w:t>
      </w:r>
      <w:proofErr w:type="gramEnd"/>
      <w:r w:rsidRPr="00771352">
        <w:rPr>
          <w:szCs w:val="20"/>
          <w:lang w:val="en-CA"/>
        </w:rPr>
        <w:t xml:space="preserve"> the family field, especially shea and </w:t>
      </w:r>
      <w:proofErr w:type="spellStart"/>
      <w:r w:rsidRPr="00771352">
        <w:rPr>
          <w:szCs w:val="20"/>
          <w:lang w:val="en-CA"/>
        </w:rPr>
        <w:t>néré</w:t>
      </w:r>
      <w:proofErr w:type="spellEnd"/>
      <w:r w:rsidRPr="00771352">
        <w:rPr>
          <w:szCs w:val="20"/>
          <w:lang w:val="en-CA"/>
        </w:rPr>
        <w:t xml:space="preserve"> whose products processed and marketed generate higher incomes.</w:t>
      </w:r>
    </w:p>
    <w:p w14:paraId="71432C0A" w14:textId="77777777" w:rsidR="00302BFE" w:rsidRPr="00E753C7" w:rsidRDefault="00302BFE" w:rsidP="00302BFE">
      <w:pPr>
        <w:spacing w:before="120" w:after="120"/>
        <w:rPr>
          <w:szCs w:val="20"/>
          <w:lang w:val="en-CA"/>
        </w:rPr>
      </w:pPr>
      <w:r w:rsidRPr="00E753C7">
        <w:rPr>
          <w:szCs w:val="20"/>
          <w:lang w:val="en-CA"/>
        </w:rPr>
        <w:t xml:space="preserve">In protected areas, only the use of products for subsistence purposes is permitted; exploitation for commercial purposes is prohibited. In other wooded areas (parks, village forests, communal forests), access is free for any user. However, management and exploitation rules regulate accessibility in areas managed by forest management groups. This is the case, for example, of the buffer zones of </w:t>
      </w:r>
      <w:proofErr w:type="spellStart"/>
      <w:r w:rsidRPr="00E753C7">
        <w:rPr>
          <w:szCs w:val="20"/>
          <w:lang w:val="en-CA"/>
        </w:rPr>
        <w:t>Bourou</w:t>
      </w:r>
      <w:proofErr w:type="spellEnd"/>
      <w:r w:rsidRPr="00E753C7">
        <w:rPr>
          <w:szCs w:val="20"/>
          <w:lang w:val="en-CA"/>
        </w:rPr>
        <w:t xml:space="preserve"> and Kampala in the PNKT (commune of </w:t>
      </w:r>
      <w:proofErr w:type="spellStart"/>
      <w:r w:rsidRPr="00E753C7">
        <w:rPr>
          <w:szCs w:val="20"/>
          <w:lang w:val="en-CA"/>
        </w:rPr>
        <w:t>Pô</w:t>
      </w:r>
      <w:proofErr w:type="spellEnd"/>
      <w:r w:rsidRPr="00E753C7">
        <w:rPr>
          <w:szCs w:val="20"/>
          <w:lang w:val="en-CA"/>
        </w:rPr>
        <w:t xml:space="preserve">) and the buffer zones of </w:t>
      </w:r>
      <w:proofErr w:type="spellStart"/>
      <w:r w:rsidRPr="00E753C7">
        <w:rPr>
          <w:szCs w:val="20"/>
          <w:lang w:val="en-CA"/>
        </w:rPr>
        <w:t>Barsé</w:t>
      </w:r>
      <w:proofErr w:type="spellEnd"/>
      <w:r w:rsidRPr="00E753C7">
        <w:rPr>
          <w:szCs w:val="20"/>
          <w:lang w:val="en-CA"/>
        </w:rPr>
        <w:t xml:space="preserve"> and </w:t>
      </w:r>
      <w:proofErr w:type="spellStart"/>
      <w:r w:rsidRPr="00E753C7">
        <w:rPr>
          <w:szCs w:val="20"/>
          <w:lang w:val="en-CA"/>
        </w:rPr>
        <w:t>Soulougré</w:t>
      </w:r>
      <w:proofErr w:type="spellEnd"/>
      <w:r w:rsidRPr="00E753C7">
        <w:rPr>
          <w:szCs w:val="20"/>
          <w:lang w:val="en-CA"/>
        </w:rPr>
        <w:t xml:space="preserve"> in the commune of </w:t>
      </w:r>
      <w:proofErr w:type="spellStart"/>
      <w:r w:rsidRPr="00E753C7">
        <w:rPr>
          <w:szCs w:val="20"/>
          <w:lang w:val="en-CA"/>
        </w:rPr>
        <w:t>Nobéré</w:t>
      </w:r>
      <w:proofErr w:type="spellEnd"/>
      <w:r w:rsidRPr="00E753C7">
        <w:rPr>
          <w:szCs w:val="20"/>
          <w:lang w:val="en-CA"/>
        </w:rPr>
        <w:t xml:space="preserve"> whose support for management is provided by the project " Local Forest Resources Governance "implemented by the NGO Tree Aid.</w:t>
      </w:r>
      <w:r w:rsidRPr="00BA18F6">
        <w:rPr>
          <w:szCs w:val="20"/>
          <w:lang w:val="en-CA"/>
        </w:rPr>
        <w:t xml:space="preserve"> </w:t>
      </w:r>
      <w:r w:rsidRPr="00E753C7">
        <w:rPr>
          <w:szCs w:val="20"/>
          <w:lang w:val="en-CA"/>
        </w:rPr>
        <w:t>In summary, the collection sites to which access is the least restrictive for women are the fields and fallow but the majority (73%) of collections of NTFPs take place in the fields. Being privately owned, these places are better controlled and more accessible. Outside the fields, village hunting areas (12%) and village forests (10%) are also important sites for collecting NTFPs. Other sites used to a lesser extent are fallow (4%) and forest in Kaboré-</w:t>
      </w:r>
      <w:proofErr w:type="spellStart"/>
      <w:r w:rsidRPr="00E753C7">
        <w:rPr>
          <w:szCs w:val="20"/>
          <w:lang w:val="en-CA"/>
        </w:rPr>
        <w:t>Tambi</w:t>
      </w:r>
      <w:proofErr w:type="spellEnd"/>
      <w:r w:rsidRPr="00E753C7">
        <w:rPr>
          <w:szCs w:val="20"/>
          <w:lang w:val="en-CA"/>
        </w:rPr>
        <w:t xml:space="preserve"> National Park (1%).</w:t>
      </w:r>
    </w:p>
    <w:p w14:paraId="38FD6CB3" w14:textId="77777777" w:rsidR="00302BFE" w:rsidRPr="00BA18F6" w:rsidRDefault="00302BFE" w:rsidP="00302BFE">
      <w:pPr>
        <w:widowControl w:val="0"/>
        <w:autoSpaceDE w:val="0"/>
        <w:autoSpaceDN w:val="0"/>
        <w:adjustRightInd w:val="0"/>
        <w:spacing w:before="120" w:after="120"/>
        <w:textAlignment w:val="baseline"/>
        <w:rPr>
          <w:szCs w:val="20"/>
          <w:lang w:val="en-CA"/>
        </w:rPr>
      </w:pPr>
      <w:r w:rsidRPr="00816E8E">
        <w:rPr>
          <w:szCs w:val="20"/>
          <w:lang w:val="en-CA"/>
        </w:rPr>
        <w:lastRenderedPageBreak/>
        <w:t xml:space="preserve">Resources providing NTFPs are therefore primarily exploited on family farms, whereas in these areas they are less diversified. In the fields, these resources are more diversified, such as shea, </w:t>
      </w:r>
      <w:proofErr w:type="spellStart"/>
      <w:r w:rsidRPr="00816E8E">
        <w:rPr>
          <w:szCs w:val="20"/>
          <w:lang w:val="en-CA"/>
        </w:rPr>
        <w:t>néré</w:t>
      </w:r>
      <w:proofErr w:type="spellEnd"/>
      <w:r w:rsidRPr="00816E8E">
        <w:rPr>
          <w:szCs w:val="20"/>
          <w:lang w:val="en-CA"/>
        </w:rPr>
        <w:t xml:space="preserve">, baobab and </w:t>
      </w:r>
      <w:proofErr w:type="spellStart"/>
      <w:r w:rsidRPr="00816E8E">
        <w:rPr>
          <w:szCs w:val="20"/>
          <w:lang w:val="en-CA"/>
        </w:rPr>
        <w:t>kapokier</w:t>
      </w:r>
      <w:proofErr w:type="spellEnd"/>
      <w:r w:rsidRPr="00816E8E">
        <w:rPr>
          <w:szCs w:val="20"/>
          <w:lang w:val="en-CA"/>
        </w:rPr>
        <w:t xml:space="preserve"> with red flowers. In addition to these species, forests and other wooded areas abound with other NTFP species such as </w:t>
      </w:r>
      <w:proofErr w:type="spellStart"/>
      <w:r w:rsidRPr="00816E8E">
        <w:rPr>
          <w:szCs w:val="20"/>
          <w:lang w:val="en-CA"/>
        </w:rPr>
        <w:t>goine</w:t>
      </w:r>
      <w:proofErr w:type="spellEnd"/>
      <w:r w:rsidRPr="00816E8E">
        <w:rPr>
          <w:szCs w:val="20"/>
          <w:lang w:val="en-CA"/>
        </w:rPr>
        <w:t xml:space="preserve"> vine, </w:t>
      </w:r>
      <w:proofErr w:type="spellStart"/>
      <w:r w:rsidRPr="00816E8E">
        <w:rPr>
          <w:szCs w:val="20"/>
          <w:lang w:val="en-CA"/>
        </w:rPr>
        <w:t>balanites</w:t>
      </w:r>
      <w:proofErr w:type="spellEnd"/>
      <w:r w:rsidRPr="00816E8E">
        <w:rPr>
          <w:szCs w:val="20"/>
          <w:lang w:val="en-CA"/>
        </w:rPr>
        <w:t xml:space="preserve">, </w:t>
      </w:r>
      <w:r w:rsidRPr="00816E8E">
        <w:rPr>
          <w:i/>
          <w:szCs w:val="20"/>
          <w:lang w:val="en-CA"/>
        </w:rPr>
        <w:t xml:space="preserve">Acacia </w:t>
      </w:r>
      <w:proofErr w:type="spellStart"/>
      <w:r w:rsidRPr="00816E8E">
        <w:rPr>
          <w:i/>
          <w:szCs w:val="20"/>
          <w:lang w:val="en-CA"/>
        </w:rPr>
        <w:t>macrostachya</w:t>
      </w:r>
      <w:proofErr w:type="spellEnd"/>
      <w:r w:rsidRPr="00816E8E">
        <w:rPr>
          <w:szCs w:val="20"/>
          <w:lang w:val="en-CA"/>
        </w:rPr>
        <w:t xml:space="preserve">, tamarind, </w:t>
      </w:r>
      <w:proofErr w:type="spellStart"/>
      <w:r w:rsidRPr="00816E8E">
        <w:rPr>
          <w:szCs w:val="20"/>
          <w:lang w:val="en-CA"/>
        </w:rPr>
        <w:t>detarium</w:t>
      </w:r>
      <w:proofErr w:type="spellEnd"/>
      <w:r w:rsidRPr="00816E8E">
        <w:rPr>
          <w:szCs w:val="20"/>
          <w:lang w:val="en-CA"/>
        </w:rPr>
        <w:t>, grapes. In addition to edible NTFPs, plants for traditional medicine are used much more often by women to care for children.</w:t>
      </w:r>
    </w:p>
    <w:p w14:paraId="6D3FEC9C" w14:textId="77777777" w:rsidR="00302BFE" w:rsidRPr="00BA18F6" w:rsidRDefault="00302BFE" w:rsidP="00302BFE">
      <w:pPr>
        <w:widowControl w:val="0"/>
        <w:autoSpaceDE w:val="0"/>
        <w:autoSpaceDN w:val="0"/>
        <w:adjustRightInd w:val="0"/>
        <w:spacing w:before="120" w:after="120"/>
        <w:textAlignment w:val="baseline"/>
        <w:rPr>
          <w:szCs w:val="20"/>
          <w:lang w:val="en-CA"/>
        </w:rPr>
      </w:pPr>
      <w:r w:rsidRPr="00771352">
        <w:rPr>
          <w:szCs w:val="20"/>
          <w:lang w:val="en-CA"/>
        </w:rPr>
        <w:t>Due to the progress of the agricultural front (extension of agricultural fields, creation of new fields), production areas of NTFPs are becoming more and more distant and it is often necessary to travel long distances to obtain them. This situation is detrimental to women who no longer feel safe because they are then exposed to all types of dangers (assaults of all kinds), in addition to significant distances to travel.</w:t>
      </w:r>
    </w:p>
    <w:p w14:paraId="486517DB" w14:textId="77777777" w:rsidR="00302BFE" w:rsidRPr="00BA18F6" w:rsidRDefault="00302BFE" w:rsidP="00302BFE">
      <w:pPr>
        <w:spacing w:before="120" w:after="120"/>
        <w:ind w:left="720"/>
        <w:rPr>
          <w:b/>
          <w:szCs w:val="20"/>
          <w:lang w:val="en-CA"/>
        </w:rPr>
      </w:pPr>
      <w:r w:rsidRPr="00E51B3A">
        <w:rPr>
          <w:b/>
          <w:szCs w:val="20"/>
          <w:lang w:val="en-CA"/>
        </w:rPr>
        <w:t>Women, information, and contribution to forest resource management</w:t>
      </w:r>
    </w:p>
    <w:p w14:paraId="6950F7B6" w14:textId="77777777" w:rsidR="00302BFE" w:rsidRPr="00BA18F6" w:rsidRDefault="00302BFE" w:rsidP="00302BFE">
      <w:pPr>
        <w:spacing w:before="120" w:after="120"/>
        <w:rPr>
          <w:szCs w:val="20"/>
          <w:lang w:val="en-CA"/>
        </w:rPr>
      </w:pPr>
      <w:r w:rsidRPr="00E51B3A">
        <w:rPr>
          <w:szCs w:val="20"/>
          <w:lang w:val="en-CA"/>
        </w:rPr>
        <w:t xml:space="preserve">The communication strategies of some partners to transmit information in the PONASI complex usually involve information meetings, posters / posters, </w:t>
      </w:r>
      <w:proofErr w:type="gramStart"/>
      <w:r w:rsidRPr="00E51B3A">
        <w:rPr>
          <w:szCs w:val="20"/>
          <w:lang w:val="en-CA"/>
        </w:rPr>
        <w:t>signs</w:t>
      </w:r>
      <w:proofErr w:type="gramEnd"/>
      <w:r w:rsidRPr="00E51B3A">
        <w:rPr>
          <w:szCs w:val="20"/>
          <w:lang w:val="en-CA"/>
        </w:rPr>
        <w:t xml:space="preserve"> and local radios. The people interviewed, however, noted the limitations of these strategies because of (i) illiteracy, especially at the level of women for whom written documents are often inaccessible, and (ii) organization of information meetings and dissemination of radio broadcasts at times when women are not available, so that they reach only a small proportion of women in the communities.</w:t>
      </w:r>
    </w:p>
    <w:p w14:paraId="623BE213" w14:textId="77777777" w:rsidR="00302BFE" w:rsidRPr="00BA18F6" w:rsidRDefault="00302BFE" w:rsidP="00302BFE">
      <w:pPr>
        <w:spacing w:before="120" w:after="120"/>
        <w:rPr>
          <w:rFonts w:eastAsia="Calibri"/>
          <w:szCs w:val="20"/>
          <w:lang w:val="en-CA"/>
        </w:rPr>
      </w:pPr>
      <w:r w:rsidRPr="00314086">
        <w:rPr>
          <w:szCs w:val="20"/>
          <w:lang w:val="en-CA"/>
        </w:rPr>
        <w:t>In addition to management by the forest administration, forest management initiatives are undertaken at the local level by the communities. Management rules are developed by consensus by forest management groups and customary and religious authorities, including village chiefs and land chiefs, to regulate access to resources. The prohibitions concern: (i) the cutting of green wood; (ii) the excessive removal of plant roots; (iii) ignition of fire in or near forests; iv) picking immature fruits; (v) the exploitation of trees in sacred woods; vi) grazing in forests.</w:t>
      </w:r>
    </w:p>
    <w:p w14:paraId="2E5CCE64" w14:textId="4ACEF73B" w:rsidR="00302BFE" w:rsidRDefault="00302BFE" w:rsidP="00302BFE">
      <w:pPr>
        <w:autoSpaceDE w:val="0"/>
        <w:autoSpaceDN w:val="0"/>
        <w:adjustRightInd w:val="0"/>
        <w:spacing w:before="120" w:after="120"/>
        <w:rPr>
          <w:szCs w:val="20"/>
          <w:lang w:val="en-CA"/>
        </w:rPr>
      </w:pPr>
      <w:r w:rsidRPr="00E51B3A">
        <w:rPr>
          <w:szCs w:val="20"/>
          <w:lang w:val="en-CA" w:eastAsia="fr-FR"/>
        </w:rPr>
        <w:t>The authorities responsible for compliance are, in order of importance, the village chief / chief of land, the forest service, the forest management organizations, the monitoring committee, the Village Development Committees.</w:t>
      </w:r>
      <w:r>
        <w:rPr>
          <w:szCs w:val="20"/>
          <w:lang w:val="en-CA" w:eastAsia="fr-FR"/>
        </w:rPr>
        <w:t xml:space="preserve"> </w:t>
      </w:r>
      <w:r w:rsidRPr="00E51B3A">
        <w:rPr>
          <w:szCs w:val="20"/>
          <w:lang w:val="en-CA" w:eastAsia="fr-FR"/>
        </w:rPr>
        <w:t>Violations of the rules are subject to the following sanctions: warning, blame, prohibition of access to the forest, payment of fines ranging from 2000 to 50</w:t>
      </w:r>
      <w:r>
        <w:rPr>
          <w:szCs w:val="20"/>
          <w:lang w:val="en-CA" w:eastAsia="fr-FR"/>
        </w:rPr>
        <w:t>,</w:t>
      </w:r>
      <w:r w:rsidRPr="00E51B3A">
        <w:rPr>
          <w:szCs w:val="20"/>
          <w:lang w:val="en-CA" w:eastAsia="fr-FR"/>
        </w:rPr>
        <w:t xml:space="preserve">000 </w:t>
      </w:r>
      <w:r w:rsidR="005E13EB">
        <w:rPr>
          <w:szCs w:val="20"/>
          <w:lang w:val="en-CA" w:eastAsia="fr-FR"/>
        </w:rPr>
        <w:t>CFA francs</w:t>
      </w:r>
      <w:r>
        <w:rPr>
          <w:rStyle w:val="Appelnotedebasdep"/>
          <w:szCs w:val="20"/>
          <w:lang w:val="en-CA" w:eastAsia="fr-FR"/>
        </w:rPr>
        <w:footnoteReference w:id="86"/>
      </w:r>
      <w:r w:rsidR="005E13EB">
        <w:rPr>
          <w:szCs w:val="20"/>
          <w:lang w:val="en-CA" w:eastAsia="fr-FR"/>
        </w:rPr>
        <w:t xml:space="preserve"> (approx. 3.40 to 85 US$). </w:t>
      </w:r>
      <w:r w:rsidRPr="00E51B3A">
        <w:rPr>
          <w:bCs/>
          <w:szCs w:val="20"/>
          <w:lang w:val="en-CA" w:eastAsia="fr-FR"/>
        </w:rPr>
        <w:t>However, these rules are poorly respected and the abusive exploitation of forest resources (</w:t>
      </w:r>
      <w:proofErr w:type="gramStart"/>
      <w:r w:rsidR="005E13EB" w:rsidRPr="00E51B3A">
        <w:rPr>
          <w:bCs/>
          <w:szCs w:val="20"/>
          <w:lang w:val="en-CA" w:eastAsia="fr-FR"/>
        </w:rPr>
        <w:t>e.g.</w:t>
      </w:r>
      <w:proofErr w:type="gramEnd"/>
      <w:r w:rsidRPr="00E51B3A">
        <w:rPr>
          <w:bCs/>
          <w:szCs w:val="20"/>
          <w:lang w:val="en-CA" w:eastAsia="fr-FR"/>
        </w:rPr>
        <w:t xml:space="preserve"> overcutting of green wood, harvesting of immature fruits, grazing of animals in protected areas) persists in the PONASI complex. Women explain these practices by the high dependence of communities on forest resources. Indeed, the population uses these forests to generate the necessary financial resources to meet basic needs (housing, clothing, schooling of children, health care).</w:t>
      </w:r>
      <w:r>
        <w:rPr>
          <w:bCs/>
          <w:szCs w:val="20"/>
          <w:lang w:val="en-CA" w:eastAsia="fr-FR"/>
        </w:rPr>
        <w:t xml:space="preserve"> </w:t>
      </w:r>
      <w:r w:rsidRPr="00E51B3A">
        <w:rPr>
          <w:szCs w:val="20"/>
          <w:lang w:val="en-CA"/>
        </w:rPr>
        <w:t xml:space="preserve">According to a woman from </w:t>
      </w:r>
      <w:proofErr w:type="spellStart"/>
      <w:r w:rsidRPr="00E51B3A">
        <w:rPr>
          <w:szCs w:val="20"/>
          <w:lang w:val="en-CA"/>
        </w:rPr>
        <w:t>Kapori</w:t>
      </w:r>
      <w:proofErr w:type="spellEnd"/>
      <w:r w:rsidRPr="00E51B3A">
        <w:rPr>
          <w:szCs w:val="20"/>
          <w:lang w:val="en-CA"/>
        </w:rPr>
        <w:t>: "It's better to fly in the forest than to covet the good of others!</w:t>
      </w:r>
      <w:r>
        <w:rPr>
          <w:szCs w:val="20"/>
          <w:lang w:val="en-CA"/>
        </w:rPr>
        <w:t>”</w:t>
      </w:r>
      <w:r w:rsidRPr="00E51B3A">
        <w:rPr>
          <w:szCs w:val="20"/>
          <w:lang w:val="en-CA"/>
        </w:rPr>
        <w:t xml:space="preserve"> Other harmful practices include inappropriate harvesting techniques (pruning of branches, inappropriate removal of bark and roots) and continued clearing of new land for agricultural expansion that contributes to the destruction of vegetation cover.</w:t>
      </w:r>
      <w:r>
        <w:rPr>
          <w:szCs w:val="20"/>
          <w:lang w:val="en-CA"/>
        </w:rPr>
        <w:t xml:space="preserve"> </w:t>
      </w:r>
    </w:p>
    <w:p w14:paraId="3966A3DA" w14:textId="02BD55F6" w:rsidR="00302BFE" w:rsidRPr="00BA18F6" w:rsidRDefault="00302BFE" w:rsidP="00302BFE">
      <w:pPr>
        <w:autoSpaceDE w:val="0"/>
        <w:autoSpaceDN w:val="0"/>
        <w:adjustRightInd w:val="0"/>
        <w:spacing w:before="120" w:after="120"/>
        <w:rPr>
          <w:color w:val="000000"/>
          <w:szCs w:val="20"/>
          <w:lang w:val="en-CA"/>
        </w:rPr>
      </w:pPr>
      <w:r w:rsidRPr="00A740A4">
        <w:rPr>
          <w:szCs w:val="20"/>
          <w:lang w:val="en-CA"/>
        </w:rPr>
        <w:t xml:space="preserve">Unsustainable practices mainly attributable to women are the collection of immature fruits (shea, </w:t>
      </w:r>
      <w:proofErr w:type="spellStart"/>
      <w:r w:rsidRPr="00A740A4">
        <w:rPr>
          <w:szCs w:val="20"/>
          <w:lang w:val="en-CA"/>
        </w:rPr>
        <w:t>néré</w:t>
      </w:r>
      <w:proofErr w:type="spellEnd"/>
      <w:r w:rsidRPr="00A740A4">
        <w:rPr>
          <w:szCs w:val="20"/>
          <w:lang w:val="en-CA"/>
        </w:rPr>
        <w:t xml:space="preserve">), the pruning of the branches of certain species such as </w:t>
      </w:r>
      <w:proofErr w:type="spellStart"/>
      <w:r w:rsidRPr="00A740A4">
        <w:rPr>
          <w:szCs w:val="20"/>
          <w:lang w:val="en-CA"/>
        </w:rPr>
        <w:t>kapokier</w:t>
      </w:r>
      <w:proofErr w:type="spellEnd"/>
      <w:r w:rsidRPr="00A740A4">
        <w:rPr>
          <w:szCs w:val="20"/>
          <w:lang w:val="en-CA"/>
        </w:rPr>
        <w:t>, baobab and grapes for the collection of fruits or leaves for food or commercial purposes and inappropriate removal of bark and roots from medicinal plants. These practices take place when they are not able to access the desired products.</w:t>
      </w:r>
      <w:r>
        <w:rPr>
          <w:szCs w:val="20"/>
          <w:lang w:val="en-CA"/>
        </w:rPr>
        <w:t xml:space="preserve"> </w:t>
      </w:r>
      <w:r w:rsidRPr="00E8571F">
        <w:rPr>
          <w:szCs w:val="20"/>
          <w:lang w:val="en-CA"/>
        </w:rPr>
        <w:t>However, they play an active role in the rational management of natural resources through community actions, especially reforestation, especially with the support of development partners. Through this support, community-based organizations that involve women have been established or revitalized for the protection and sound management of some forests.</w:t>
      </w:r>
      <w:r w:rsidRPr="00BA18F6">
        <w:rPr>
          <w:szCs w:val="20"/>
          <w:lang w:val="en-CA"/>
        </w:rPr>
        <w:t xml:space="preserve"> </w:t>
      </w:r>
      <w:r w:rsidRPr="00E8571F">
        <w:rPr>
          <w:szCs w:val="20"/>
          <w:lang w:val="en-CA"/>
        </w:rPr>
        <w:t xml:space="preserve">In the commune of Po, the NGO Tree Aid helped organize the actors around the buffer zones of </w:t>
      </w:r>
      <w:proofErr w:type="spellStart"/>
      <w:r w:rsidRPr="00E8571F">
        <w:rPr>
          <w:szCs w:val="20"/>
          <w:lang w:val="en-CA"/>
        </w:rPr>
        <w:t>Bourou</w:t>
      </w:r>
      <w:proofErr w:type="spellEnd"/>
      <w:r w:rsidRPr="00E8571F">
        <w:rPr>
          <w:szCs w:val="20"/>
          <w:lang w:val="en-CA"/>
        </w:rPr>
        <w:t xml:space="preserve"> and Kampala in the PNKT as well as in the commune of </w:t>
      </w:r>
      <w:proofErr w:type="spellStart"/>
      <w:r w:rsidRPr="00E8571F">
        <w:rPr>
          <w:szCs w:val="20"/>
          <w:lang w:val="en-CA"/>
        </w:rPr>
        <w:t>Nobéré</w:t>
      </w:r>
      <w:proofErr w:type="spellEnd"/>
      <w:r w:rsidRPr="00E8571F">
        <w:rPr>
          <w:szCs w:val="20"/>
          <w:lang w:val="en-CA"/>
        </w:rPr>
        <w:t xml:space="preserve"> around the buffer zones of </w:t>
      </w:r>
      <w:proofErr w:type="spellStart"/>
      <w:r w:rsidRPr="00E8571F">
        <w:rPr>
          <w:szCs w:val="20"/>
          <w:lang w:val="en-CA"/>
        </w:rPr>
        <w:t>Barsé</w:t>
      </w:r>
      <w:proofErr w:type="spellEnd"/>
      <w:r w:rsidRPr="00E8571F">
        <w:rPr>
          <w:szCs w:val="20"/>
          <w:lang w:val="en-CA"/>
        </w:rPr>
        <w:t xml:space="preserve"> and </w:t>
      </w:r>
      <w:proofErr w:type="spellStart"/>
      <w:r w:rsidRPr="00E8571F">
        <w:rPr>
          <w:szCs w:val="20"/>
          <w:lang w:val="en-CA"/>
        </w:rPr>
        <w:t>Soulougré</w:t>
      </w:r>
      <w:proofErr w:type="spellEnd"/>
      <w:r w:rsidRPr="00E8571F">
        <w:rPr>
          <w:szCs w:val="20"/>
          <w:lang w:val="en-CA"/>
        </w:rPr>
        <w:t>. Organized into forest management groups, these organizations have created specific commissions for better management of these entities (commissions for reforestation, bushfires, firewood, NWFP management, monitoring, and conflict management).</w:t>
      </w:r>
    </w:p>
    <w:p w14:paraId="31A8ADA6" w14:textId="77777777" w:rsidR="00302BFE" w:rsidRPr="00BA18F6" w:rsidRDefault="00302BFE" w:rsidP="00302BFE">
      <w:pPr>
        <w:spacing w:before="120" w:after="120"/>
        <w:rPr>
          <w:szCs w:val="20"/>
          <w:lang w:val="en-CA"/>
        </w:rPr>
      </w:pPr>
      <w:r w:rsidRPr="00E8571F">
        <w:rPr>
          <w:szCs w:val="20"/>
          <w:lang w:val="en-CA"/>
        </w:rPr>
        <w:t>Management tools have been developed, including local management agreements revised in local management charters and forest management and management plans accompanied by action plans. Forest management groups have received training in environmental protection, particularly in the areas of tree maintenance, reforestation and assisted natural regeneration.</w:t>
      </w:r>
      <w:r>
        <w:rPr>
          <w:szCs w:val="20"/>
          <w:lang w:val="en-CA"/>
        </w:rPr>
        <w:t xml:space="preserve"> </w:t>
      </w:r>
    </w:p>
    <w:p w14:paraId="2F1A8FC6" w14:textId="77777777" w:rsidR="00302BFE" w:rsidRPr="00BA18F6" w:rsidRDefault="00302BFE" w:rsidP="00302BFE">
      <w:pPr>
        <w:spacing w:before="120" w:after="120"/>
        <w:rPr>
          <w:szCs w:val="20"/>
          <w:lang w:val="en-CA"/>
        </w:rPr>
      </w:pPr>
      <w:r w:rsidRPr="00E8571F">
        <w:rPr>
          <w:szCs w:val="20"/>
          <w:lang w:val="en-CA"/>
        </w:rPr>
        <w:t xml:space="preserve">However, although women are present on these committees (24 out of 66 members of the </w:t>
      </w:r>
      <w:proofErr w:type="spellStart"/>
      <w:r w:rsidRPr="00E8571F">
        <w:rPr>
          <w:szCs w:val="20"/>
          <w:lang w:val="en-CA"/>
        </w:rPr>
        <w:t>Bourou</w:t>
      </w:r>
      <w:proofErr w:type="spellEnd"/>
      <w:r w:rsidRPr="00E8571F">
        <w:rPr>
          <w:szCs w:val="20"/>
          <w:lang w:val="en-CA"/>
        </w:rPr>
        <w:t xml:space="preserve"> and Kampala Buffer Zone Management Committees are women), they are poorly represented in the governing bodies of committees and other forest management structures. </w:t>
      </w:r>
      <w:r w:rsidRPr="00E51B3A">
        <w:rPr>
          <w:szCs w:val="20"/>
          <w:lang w:val="en-CA"/>
        </w:rPr>
        <w:t xml:space="preserve">When they are members of these structures, they occupy positions considered to be of little importance (cash, assistant positions). This situation does not favor a real inclusion of women in the management and local governance of forest resources and the </w:t>
      </w:r>
      <w:proofErr w:type="gramStart"/>
      <w:r w:rsidRPr="00E51B3A">
        <w:rPr>
          <w:szCs w:val="20"/>
          <w:lang w:val="en-CA"/>
        </w:rPr>
        <w:t>taking into account</w:t>
      </w:r>
      <w:proofErr w:type="gramEnd"/>
      <w:r w:rsidRPr="00E51B3A">
        <w:rPr>
          <w:szCs w:val="20"/>
          <w:lang w:val="en-CA"/>
        </w:rPr>
        <w:t xml:space="preserve"> of their priorities. In view of the strong mobilization they demonstrate in community forest protection activities, according to the opinions gathered in the field, their presence in decision-making bodies should be strengthened.</w:t>
      </w:r>
    </w:p>
    <w:p w14:paraId="2EFD53E8" w14:textId="77777777" w:rsidR="00580E65" w:rsidRDefault="00580E65">
      <w:pPr>
        <w:spacing w:after="160" w:line="259" w:lineRule="auto"/>
        <w:jc w:val="left"/>
        <w:rPr>
          <w:b/>
          <w:szCs w:val="20"/>
          <w:lang w:val="en-CA"/>
        </w:rPr>
      </w:pPr>
      <w:r>
        <w:rPr>
          <w:b/>
          <w:szCs w:val="20"/>
          <w:lang w:val="en-CA"/>
        </w:rPr>
        <w:br w:type="page"/>
      </w:r>
    </w:p>
    <w:p w14:paraId="290A69EF" w14:textId="349764A8" w:rsidR="00302BFE" w:rsidRPr="00BA18F6" w:rsidRDefault="00302BFE" w:rsidP="00302BFE">
      <w:pPr>
        <w:spacing w:before="120" w:after="120"/>
        <w:rPr>
          <w:rFonts w:eastAsia="Calibri"/>
          <w:b/>
          <w:szCs w:val="20"/>
          <w:lang w:val="en-CA"/>
        </w:rPr>
      </w:pPr>
      <w:r>
        <w:rPr>
          <w:b/>
          <w:szCs w:val="20"/>
          <w:lang w:val="en-CA"/>
        </w:rPr>
        <w:lastRenderedPageBreak/>
        <w:t>G</w:t>
      </w:r>
      <w:r w:rsidRPr="00816E8E">
        <w:rPr>
          <w:b/>
          <w:szCs w:val="20"/>
          <w:lang w:val="en-CA"/>
        </w:rPr>
        <w:t>ENDER</w:t>
      </w:r>
      <w:r>
        <w:rPr>
          <w:b/>
          <w:szCs w:val="20"/>
          <w:lang w:val="en-CA"/>
        </w:rPr>
        <w:t>-</w:t>
      </w:r>
      <w:r w:rsidRPr="00816E8E">
        <w:rPr>
          <w:b/>
          <w:szCs w:val="20"/>
          <w:lang w:val="en-CA"/>
        </w:rPr>
        <w:t xml:space="preserve">RELATED </w:t>
      </w:r>
      <w:r>
        <w:rPr>
          <w:b/>
          <w:szCs w:val="20"/>
          <w:lang w:val="en-CA"/>
        </w:rPr>
        <w:t>C</w:t>
      </w:r>
      <w:r w:rsidRPr="00816E8E">
        <w:rPr>
          <w:b/>
          <w:szCs w:val="20"/>
          <w:lang w:val="en-CA"/>
        </w:rPr>
        <w:t>HALLENGES I</w:t>
      </w:r>
      <w:r>
        <w:rPr>
          <w:b/>
          <w:szCs w:val="20"/>
          <w:lang w:val="en-CA"/>
        </w:rPr>
        <w:t>N THE PONASI LANDSCAPE</w:t>
      </w:r>
    </w:p>
    <w:p w14:paraId="0F8EC8D9" w14:textId="77777777" w:rsidR="00302BFE" w:rsidRPr="00BA18F6" w:rsidRDefault="00302BFE" w:rsidP="00302BFE">
      <w:pPr>
        <w:spacing w:before="120" w:after="120"/>
        <w:rPr>
          <w:rFonts w:eastAsia="Times New Roman"/>
          <w:szCs w:val="20"/>
          <w:lang w:val="en-CA" w:eastAsia="fr-FR"/>
        </w:rPr>
      </w:pPr>
      <w:r w:rsidRPr="00314086">
        <w:rPr>
          <w:rFonts w:eastAsia="Times New Roman"/>
          <w:szCs w:val="20"/>
          <w:lang w:val="en-CA" w:eastAsia="fr-FR"/>
        </w:rPr>
        <w:t>The gender-related challenges facing the PONASI complex today are related to (i) a low level of women's organization into profitable economic units; (ii) poor control over factors of production by women; (iii) the low representation of women in decision-making positions in the structures responsible for managing forest resources; iv) a low level of understanding of gender in the project area.</w:t>
      </w:r>
    </w:p>
    <w:p w14:paraId="73BBEA32" w14:textId="77777777" w:rsidR="00302BFE" w:rsidRPr="00BA18F6" w:rsidRDefault="00302BFE" w:rsidP="00302BFE">
      <w:pPr>
        <w:spacing w:before="120" w:after="120"/>
        <w:rPr>
          <w:rFonts w:eastAsia="Times New Roman"/>
          <w:szCs w:val="20"/>
          <w:lang w:val="en-CA" w:eastAsia="fr-FR"/>
        </w:rPr>
      </w:pPr>
      <w:r w:rsidRPr="00314086">
        <w:rPr>
          <w:rFonts w:eastAsia="Times New Roman"/>
          <w:szCs w:val="20"/>
          <w:lang w:val="en-CA" w:eastAsia="fr-FR"/>
        </w:rPr>
        <w:t>Possible solutions include: (i) the organization of women in cooperatives that maintain profitable economic units capable of creating more benefits through the exploitation of forest resources; ii) contribution to the development of enterprises producing and processing niche products (organic, bio-equitable products, etc.) around forest areas managed by cooperatives; iii) the acceptance of women in positions of responsibility and decision-making in forest management structures; iv) avoidance of the globalizing approach that hides disparities and inequalities between men and women; v) awareness of gender bias towards women's success (in general terms, a woman who generates more income than her husband will no longer be subject to it). These solutions are integrated into each component of the project.</w:t>
      </w:r>
    </w:p>
    <w:p w14:paraId="0B14774E" w14:textId="77777777" w:rsidR="00302BFE" w:rsidRPr="00BA18F6" w:rsidRDefault="00302BFE" w:rsidP="00302BFE">
      <w:pPr>
        <w:pStyle w:val="Lgende"/>
        <w:spacing w:before="120" w:after="120"/>
        <w:jc w:val="both"/>
        <w:rPr>
          <w:rFonts w:ascii="Calibri" w:eastAsia="Times New Roman" w:hAnsi="Calibri"/>
          <w:b w:val="0"/>
          <w:bCs w:val="0"/>
          <w:sz w:val="20"/>
          <w:szCs w:val="20"/>
          <w:lang w:val="en-CA" w:eastAsia="fr-FR"/>
        </w:rPr>
      </w:pPr>
      <w:r w:rsidRPr="00BA18F6">
        <w:rPr>
          <w:rFonts w:ascii="Calibri" w:eastAsia="Times New Roman" w:hAnsi="Calibri"/>
          <w:b w:val="0"/>
          <w:bCs w:val="0"/>
          <w:sz w:val="20"/>
          <w:szCs w:val="20"/>
          <w:lang w:val="en-CA" w:eastAsia="fr-FR"/>
        </w:rPr>
        <w:t>In summary, the factors influencing the external context of the project's gender approach can be summarized in the table below.</w:t>
      </w:r>
    </w:p>
    <w:p w14:paraId="2B31979F" w14:textId="77777777" w:rsidR="00302BFE" w:rsidRPr="00BA18F6" w:rsidRDefault="00302BFE" w:rsidP="00302BFE">
      <w:pPr>
        <w:pStyle w:val="Lgende"/>
        <w:spacing w:before="120" w:after="120"/>
        <w:rPr>
          <w:rFonts w:ascii="Calibri" w:eastAsia="Calibri" w:hAnsi="Calibri"/>
          <w:color w:val="4472C4"/>
          <w:sz w:val="20"/>
          <w:szCs w:val="20"/>
          <w:lang w:val="en-CA" w:eastAsia="fr-FR"/>
        </w:rPr>
      </w:pPr>
      <w:bookmarkStart w:id="71" w:name="_Toc7382333"/>
      <w:r w:rsidRPr="00BA18F6">
        <w:rPr>
          <w:rFonts w:ascii="Calibri" w:hAnsi="Calibri"/>
          <w:sz w:val="20"/>
          <w:szCs w:val="20"/>
          <w:lang w:val="en-CA" w:eastAsia="fr-FR"/>
        </w:rPr>
        <w:t xml:space="preserve">Table </w:t>
      </w:r>
      <w:r w:rsidRPr="00BA18F6">
        <w:rPr>
          <w:rFonts w:ascii="Calibri" w:hAnsi="Calibri"/>
          <w:sz w:val="20"/>
          <w:szCs w:val="20"/>
          <w:lang w:val="en-CA"/>
        </w:rPr>
        <w:t>2</w:t>
      </w:r>
      <w:r w:rsidRPr="00BA18F6">
        <w:rPr>
          <w:rFonts w:ascii="Calibri" w:hAnsi="Calibri"/>
          <w:sz w:val="20"/>
          <w:szCs w:val="20"/>
          <w:lang w:val="en-CA" w:eastAsia="fr-FR"/>
        </w:rPr>
        <w:t xml:space="preserve">: </w:t>
      </w:r>
      <w:bookmarkEnd w:id="71"/>
      <w:r w:rsidRPr="00BA18F6">
        <w:rPr>
          <w:rFonts w:ascii="Calibri" w:hAnsi="Calibri"/>
          <w:sz w:val="20"/>
          <w:szCs w:val="20"/>
          <w:lang w:val="en-CA" w:eastAsia="fr-FR"/>
        </w:rPr>
        <w:t>Factors influencing adoption of a gender-sensitive approach</w:t>
      </w:r>
      <w:r>
        <w:rPr>
          <w:rFonts w:ascii="Calibri" w:hAnsi="Calibri"/>
          <w:sz w:val="20"/>
          <w:szCs w:val="20"/>
          <w:lang w:val="en-CA" w:eastAsia="fr-FR"/>
        </w:rPr>
        <w:t xml:space="preserve"> in the </w:t>
      </w:r>
      <w:r w:rsidRPr="00BA18F6">
        <w:rPr>
          <w:rFonts w:ascii="Calibri" w:hAnsi="Calibri"/>
          <w:sz w:val="20"/>
          <w:szCs w:val="20"/>
          <w:lang w:val="en-CA" w:eastAsia="fr-FR"/>
        </w:rPr>
        <w:t>project (</w:t>
      </w:r>
      <w:r w:rsidRPr="00BA18F6">
        <w:rPr>
          <w:rFonts w:ascii="Calibri" w:eastAsia="Times New Roman" w:hAnsi="Calibri"/>
          <w:b w:val="0"/>
          <w:sz w:val="20"/>
          <w:szCs w:val="20"/>
          <w:lang w:val="en-CA" w:eastAsia="fr-FR"/>
        </w:rPr>
        <w:t>adapted from Tree Aid 2018)</w:t>
      </w:r>
    </w:p>
    <w:tbl>
      <w:tblPr>
        <w:tblW w:w="10632" w:type="dxa"/>
        <w:jc w:val="center"/>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ook w:val="04A0" w:firstRow="1" w:lastRow="0" w:firstColumn="1" w:lastColumn="0" w:noHBand="0" w:noVBand="1"/>
      </w:tblPr>
      <w:tblGrid>
        <w:gridCol w:w="1647"/>
        <w:gridCol w:w="4444"/>
        <w:gridCol w:w="4541"/>
      </w:tblGrid>
      <w:tr w:rsidR="00302BFE" w:rsidRPr="00BA18F6" w14:paraId="206BE317" w14:textId="77777777" w:rsidTr="00243B15">
        <w:trPr>
          <w:tblHeader/>
          <w:jc w:val="center"/>
        </w:trPr>
        <w:tc>
          <w:tcPr>
            <w:tcW w:w="1647" w:type="dxa"/>
            <w:tcBorders>
              <w:top w:val="single" w:sz="4" w:space="0" w:color="C5E0B3"/>
              <w:left w:val="single" w:sz="4" w:space="0" w:color="C5E0B3"/>
              <w:bottom w:val="single" w:sz="12" w:space="0" w:color="A8D08D"/>
              <w:right w:val="single" w:sz="4" w:space="0" w:color="C5E0B3"/>
            </w:tcBorders>
            <w:shd w:val="clear" w:color="auto" w:fill="auto"/>
            <w:vAlign w:val="center"/>
            <w:hideMark/>
          </w:tcPr>
          <w:p w14:paraId="28926FA7" w14:textId="77777777" w:rsidR="00302BFE" w:rsidRPr="00BA18F6" w:rsidRDefault="00302BFE" w:rsidP="00243B15">
            <w:pPr>
              <w:spacing w:after="0"/>
              <w:rPr>
                <w:rFonts w:eastAsia="Times New Roman"/>
                <w:b/>
                <w:bCs/>
                <w:sz w:val="18"/>
                <w:szCs w:val="18"/>
                <w:lang w:eastAsia="fr-FR"/>
              </w:rPr>
            </w:pPr>
            <w:r w:rsidRPr="00BA18F6">
              <w:rPr>
                <w:rFonts w:eastAsia="Times New Roman"/>
                <w:b/>
                <w:bCs/>
                <w:sz w:val="18"/>
                <w:szCs w:val="18"/>
                <w:lang w:eastAsia="fr-FR"/>
              </w:rPr>
              <w:t xml:space="preserve">Factors </w:t>
            </w:r>
          </w:p>
        </w:tc>
        <w:tc>
          <w:tcPr>
            <w:tcW w:w="4444" w:type="dxa"/>
            <w:tcBorders>
              <w:top w:val="single" w:sz="4" w:space="0" w:color="C5E0B3"/>
              <w:left w:val="single" w:sz="4" w:space="0" w:color="C5E0B3"/>
              <w:bottom w:val="single" w:sz="12" w:space="0" w:color="A8D08D"/>
              <w:right w:val="single" w:sz="4" w:space="0" w:color="C5E0B3"/>
            </w:tcBorders>
            <w:shd w:val="clear" w:color="auto" w:fill="auto"/>
            <w:vAlign w:val="center"/>
            <w:hideMark/>
          </w:tcPr>
          <w:p w14:paraId="14D218B0" w14:textId="77777777" w:rsidR="00302BFE" w:rsidRPr="00BA18F6" w:rsidRDefault="00302BFE" w:rsidP="00243B15">
            <w:pPr>
              <w:spacing w:after="0"/>
              <w:rPr>
                <w:rFonts w:eastAsia="Times New Roman"/>
                <w:b/>
                <w:bCs/>
                <w:sz w:val="18"/>
                <w:szCs w:val="18"/>
                <w:lang w:eastAsia="fr-FR"/>
              </w:rPr>
            </w:pPr>
            <w:r w:rsidRPr="00BA18F6">
              <w:rPr>
                <w:rFonts w:eastAsia="Times New Roman"/>
                <w:b/>
                <w:bCs/>
                <w:sz w:val="18"/>
                <w:szCs w:val="18"/>
                <w:lang w:eastAsia="fr-FR"/>
              </w:rPr>
              <w:t>Favorable to gender sensitivity</w:t>
            </w:r>
          </w:p>
        </w:tc>
        <w:tc>
          <w:tcPr>
            <w:tcW w:w="4541" w:type="dxa"/>
            <w:tcBorders>
              <w:top w:val="single" w:sz="4" w:space="0" w:color="C5E0B3"/>
              <w:left w:val="single" w:sz="4" w:space="0" w:color="C5E0B3"/>
              <w:bottom w:val="single" w:sz="12" w:space="0" w:color="A8D08D"/>
              <w:right w:val="single" w:sz="4" w:space="0" w:color="C5E0B3"/>
            </w:tcBorders>
            <w:shd w:val="clear" w:color="auto" w:fill="auto"/>
            <w:vAlign w:val="center"/>
            <w:hideMark/>
          </w:tcPr>
          <w:p w14:paraId="5B09C232" w14:textId="77777777" w:rsidR="00302BFE" w:rsidRPr="00BA18F6" w:rsidRDefault="00302BFE" w:rsidP="00243B15">
            <w:pPr>
              <w:spacing w:after="0"/>
              <w:rPr>
                <w:rFonts w:eastAsia="Times New Roman"/>
                <w:b/>
                <w:bCs/>
                <w:sz w:val="18"/>
                <w:szCs w:val="18"/>
                <w:lang w:eastAsia="fr-FR"/>
              </w:rPr>
            </w:pPr>
            <w:r w:rsidRPr="00BA18F6">
              <w:rPr>
                <w:rFonts w:eastAsia="Times New Roman"/>
                <w:b/>
                <w:bCs/>
                <w:sz w:val="18"/>
                <w:szCs w:val="18"/>
                <w:lang w:eastAsia="fr-FR"/>
              </w:rPr>
              <w:t>Unfavorable to gender sensitivity</w:t>
            </w:r>
          </w:p>
        </w:tc>
      </w:tr>
      <w:tr w:rsidR="00302BFE" w:rsidRPr="00BA18F6" w14:paraId="5286A5A5" w14:textId="77777777" w:rsidTr="00243B15">
        <w:trPr>
          <w:jc w:val="center"/>
        </w:trPr>
        <w:tc>
          <w:tcPr>
            <w:tcW w:w="1647"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65F3A48C" w14:textId="77777777" w:rsidR="00302BFE" w:rsidRPr="00BA18F6" w:rsidRDefault="00302BFE" w:rsidP="00243B15">
            <w:pPr>
              <w:spacing w:after="0"/>
              <w:rPr>
                <w:rFonts w:eastAsia="Times New Roman"/>
                <w:b/>
                <w:bCs/>
                <w:sz w:val="18"/>
                <w:szCs w:val="18"/>
                <w:lang w:eastAsia="fr-FR"/>
              </w:rPr>
            </w:pPr>
            <w:r w:rsidRPr="00BA18F6">
              <w:rPr>
                <w:rFonts w:eastAsia="Times New Roman"/>
                <w:b/>
                <w:bCs/>
                <w:sz w:val="18"/>
                <w:szCs w:val="18"/>
                <w:lang w:eastAsia="fr-FR"/>
              </w:rPr>
              <w:t xml:space="preserve">Political </w:t>
            </w:r>
          </w:p>
        </w:tc>
        <w:tc>
          <w:tcPr>
            <w:tcW w:w="4444"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4EFC7BBB"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Existence of a national gender policy (PNG</w:t>
            </w:r>
            <w:proofErr w:type="gramStart"/>
            <w:r w:rsidRPr="00BA18F6">
              <w:rPr>
                <w:rFonts w:ascii="Calibri" w:eastAsia="Times New Roman" w:hAnsi="Calibri"/>
                <w:sz w:val="18"/>
                <w:szCs w:val="18"/>
                <w:lang w:val="en-CA" w:eastAsia="fr-FR"/>
              </w:rPr>
              <w:t>);</w:t>
            </w:r>
            <w:proofErr w:type="gramEnd"/>
            <w:r w:rsidRPr="00BA18F6">
              <w:rPr>
                <w:rFonts w:ascii="Calibri" w:eastAsia="Times New Roman" w:hAnsi="Calibri"/>
                <w:sz w:val="18"/>
                <w:szCs w:val="18"/>
                <w:lang w:val="en-CA" w:eastAsia="fr-FR"/>
              </w:rPr>
              <w:t xml:space="preserve"> </w:t>
            </w:r>
          </w:p>
          <w:p w14:paraId="47238BDA"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 xml:space="preserve">Existence of a National Council for the Promotion of </w:t>
            </w:r>
            <w:proofErr w:type="gramStart"/>
            <w:r w:rsidRPr="00BA18F6">
              <w:rPr>
                <w:rFonts w:ascii="Calibri" w:eastAsia="Times New Roman" w:hAnsi="Calibri"/>
                <w:sz w:val="18"/>
                <w:szCs w:val="18"/>
                <w:lang w:val="en-CA" w:eastAsia="fr-FR"/>
              </w:rPr>
              <w:t>Gender;</w:t>
            </w:r>
            <w:proofErr w:type="gramEnd"/>
            <w:r w:rsidRPr="00BA18F6">
              <w:rPr>
                <w:rFonts w:ascii="Calibri" w:eastAsia="Times New Roman" w:hAnsi="Calibri"/>
                <w:sz w:val="18"/>
                <w:szCs w:val="18"/>
                <w:lang w:val="en-CA" w:eastAsia="fr-FR"/>
              </w:rPr>
              <w:t xml:space="preserve"> </w:t>
            </w:r>
          </w:p>
          <w:p w14:paraId="39B8F8A5"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 xml:space="preserve">Existence of a Regional Council for the Promotion of </w:t>
            </w:r>
            <w:proofErr w:type="gramStart"/>
            <w:r w:rsidRPr="00BA18F6">
              <w:rPr>
                <w:rFonts w:ascii="Calibri" w:eastAsia="Times New Roman" w:hAnsi="Calibri"/>
                <w:sz w:val="18"/>
                <w:szCs w:val="18"/>
                <w:lang w:val="en-CA" w:eastAsia="fr-FR"/>
              </w:rPr>
              <w:t>Gender;</w:t>
            </w:r>
            <w:proofErr w:type="gramEnd"/>
            <w:r w:rsidRPr="00BA18F6">
              <w:rPr>
                <w:rFonts w:ascii="Calibri" w:eastAsia="Times New Roman" w:hAnsi="Calibri"/>
                <w:sz w:val="18"/>
                <w:szCs w:val="18"/>
                <w:lang w:val="en-CA" w:eastAsia="fr-FR"/>
              </w:rPr>
              <w:t xml:space="preserve"> </w:t>
            </w:r>
          </w:p>
          <w:p w14:paraId="0827B29A"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 xml:space="preserve">Existence of a City Council for the Promotion of </w:t>
            </w:r>
            <w:proofErr w:type="gramStart"/>
            <w:r w:rsidRPr="00BA18F6">
              <w:rPr>
                <w:rFonts w:ascii="Calibri" w:eastAsia="Times New Roman" w:hAnsi="Calibri"/>
                <w:sz w:val="18"/>
                <w:szCs w:val="18"/>
                <w:lang w:val="en-CA" w:eastAsia="fr-FR"/>
              </w:rPr>
              <w:t>Gender;</w:t>
            </w:r>
            <w:proofErr w:type="gramEnd"/>
            <w:r w:rsidRPr="00BA18F6">
              <w:rPr>
                <w:rFonts w:ascii="Calibri" w:eastAsia="Times New Roman" w:hAnsi="Calibri"/>
                <w:sz w:val="18"/>
                <w:szCs w:val="18"/>
                <w:lang w:val="en-CA" w:eastAsia="fr-FR"/>
              </w:rPr>
              <w:t xml:space="preserve"> </w:t>
            </w:r>
          </w:p>
          <w:p w14:paraId="75FB7D8E"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Institutional policies of technical and financial partners integrating the consideration and promotion of gender </w:t>
            </w:r>
          </w:p>
        </w:tc>
        <w:tc>
          <w:tcPr>
            <w:tcW w:w="4541"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4C0CB8F4"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Poor application of PNG</w:t>
            </w:r>
          </w:p>
          <w:p w14:paraId="1F2058F6"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 xml:space="preserve">Poor functioning of the deconcentrated structures responsible for the implementation of PNG (regional and </w:t>
            </w:r>
            <w:r w:rsidR="009363D6">
              <w:rPr>
                <w:rFonts w:ascii="Calibri" w:eastAsia="Times New Roman" w:hAnsi="Calibri"/>
                <w:sz w:val="18"/>
                <w:szCs w:val="18"/>
                <w:lang w:val="en-CA" w:eastAsia="fr-FR"/>
              </w:rPr>
              <w:t>communal</w:t>
            </w:r>
            <w:r w:rsidRPr="00BA18F6">
              <w:rPr>
                <w:rFonts w:ascii="Calibri" w:eastAsia="Times New Roman" w:hAnsi="Calibri"/>
                <w:sz w:val="18"/>
                <w:szCs w:val="18"/>
                <w:lang w:val="en-CA" w:eastAsia="fr-FR"/>
              </w:rPr>
              <w:t xml:space="preserve"> councils on gender)</w:t>
            </w:r>
          </w:p>
          <w:p w14:paraId="3701938F"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 xml:space="preserve">Lack of mechanism for monitoring and evaluation of gender practices of technical and financial partners at local level  </w:t>
            </w:r>
          </w:p>
        </w:tc>
      </w:tr>
      <w:tr w:rsidR="00302BFE" w:rsidRPr="00BA18F6" w14:paraId="43DB33EA" w14:textId="77777777" w:rsidTr="00243B15">
        <w:trPr>
          <w:jc w:val="center"/>
        </w:trPr>
        <w:tc>
          <w:tcPr>
            <w:tcW w:w="1647"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128D9CD6" w14:textId="77777777" w:rsidR="00302BFE" w:rsidRPr="00BA18F6" w:rsidRDefault="00302BFE" w:rsidP="00243B15">
            <w:pPr>
              <w:spacing w:after="0"/>
              <w:rPr>
                <w:rFonts w:eastAsia="Times New Roman"/>
                <w:b/>
                <w:bCs/>
                <w:sz w:val="18"/>
                <w:szCs w:val="18"/>
                <w:lang w:eastAsia="fr-FR"/>
              </w:rPr>
            </w:pPr>
            <w:r w:rsidRPr="00BA18F6">
              <w:rPr>
                <w:rFonts w:eastAsia="Times New Roman"/>
                <w:b/>
                <w:bCs/>
                <w:sz w:val="18"/>
                <w:szCs w:val="18"/>
                <w:lang w:eastAsia="fr-FR"/>
              </w:rPr>
              <w:t xml:space="preserve">Economic </w:t>
            </w:r>
          </w:p>
        </w:tc>
        <w:tc>
          <w:tcPr>
            <w:tcW w:w="4444"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5DC674D0"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Existence of a potential for exploiting forest resources (non-timber forest products, firewood)</w:t>
            </w:r>
          </w:p>
          <w:p w14:paraId="217C3CCF"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Commitment of technical and financial partners to support the development of forest value chains</w:t>
            </w:r>
          </w:p>
          <w:p w14:paraId="3635A498"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Opportunities to develop value chains of viable non-wood forest products</w:t>
            </w:r>
          </w:p>
          <w:p w14:paraId="42F83B6D"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Existence of a national strategy and action plan for the promotion and valorisation of NWFPs</w:t>
            </w:r>
          </w:p>
          <w:p w14:paraId="480CA721"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Development of a National NWFP Commercialization Strategy and Action Plan (under development)</w:t>
            </w:r>
          </w:p>
        </w:tc>
        <w:tc>
          <w:tcPr>
            <w:tcW w:w="4541"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2874715C" w14:textId="77777777" w:rsidR="00302BFE" w:rsidRPr="00BA18F6" w:rsidRDefault="00302BFE" w:rsidP="00243B15">
            <w:pPr>
              <w:pStyle w:val="Paragraphedeliste"/>
              <w:ind w:left="0"/>
              <w:jc w:val="both"/>
              <w:rPr>
                <w:rFonts w:ascii="Calibri" w:eastAsia="Times New Roman" w:hAnsi="Calibri"/>
                <w:sz w:val="18"/>
                <w:szCs w:val="18"/>
                <w:lang w:val="en-CA" w:eastAsia="fr-FR"/>
              </w:rPr>
            </w:pPr>
            <w:bookmarkStart w:id="72" w:name="_Hlk708556"/>
            <w:r w:rsidRPr="00BA18F6">
              <w:rPr>
                <w:rFonts w:ascii="Calibri" w:eastAsia="Times New Roman" w:hAnsi="Calibri"/>
                <w:sz w:val="18"/>
                <w:szCs w:val="18"/>
                <w:lang w:val="en-CA" w:eastAsia="fr-FR"/>
              </w:rPr>
              <w:t>Women's monetary poverty and poor access of women to financial services for lack of guarantee</w:t>
            </w:r>
          </w:p>
          <w:p w14:paraId="162D9E22"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Low control of forest resources by women</w:t>
            </w:r>
          </w:p>
          <w:p w14:paraId="6F182B4E"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Inadequate and unstable financial support from technical and financial partners to support and enhance the gender-sensitive management of forest resources</w:t>
            </w:r>
          </w:p>
          <w:p w14:paraId="0D424EF1"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 xml:space="preserve">Degradation and removal of plant and wildlife resources  </w:t>
            </w:r>
            <w:bookmarkEnd w:id="72"/>
          </w:p>
        </w:tc>
      </w:tr>
      <w:tr w:rsidR="00302BFE" w:rsidRPr="00BA18F6" w14:paraId="0886ECDE" w14:textId="77777777" w:rsidTr="00243B15">
        <w:trPr>
          <w:jc w:val="center"/>
        </w:trPr>
        <w:tc>
          <w:tcPr>
            <w:tcW w:w="1647"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4B6372F8" w14:textId="77777777" w:rsidR="00302BFE" w:rsidRPr="00BA18F6" w:rsidRDefault="00302BFE" w:rsidP="00243B15">
            <w:pPr>
              <w:spacing w:after="0"/>
              <w:rPr>
                <w:rFonts w:eastAsia="Times New Roman"/>
                <w:b/>
                <w:bCs/>
                <w:sz w:val="18"/>
                <w:szCs w:val="18"/>
                <w:lang w:eastAsia="fr-FR"/>
              </w:rPr>
            </w:pPr>
            <w:r w:rsidRPr="00BA18F6">
              <w:rPr>
                <w:rFonts w:eastAsia="Times New Roman"/>
                <w:b/>
                <w:bCs/>
                <w:sz w:val="18"/>
                <w:szCs w:val="18"/>
                <w:lang w:eastAsia="fr-FR"/>
              </w:rPr>
              <w:t>Sociocultural</w:t>
            </w:r>
          </w:p>
        </w:tc>
        <w:tc>
          <w:tcPr>
            <w:tcW w:w="4444" w:type="dxa"/>
            <w:tcBorders>
              <w:top w:val="single" w:sz="4" w:space="0" w:color="C5E0B3"/>
              <w:left w:val="single" w:sz="4" w:space="0" w:color="C5E0B3"/>
              <w:bottom w:val="single" w:sz="4" w:space="0" w:color="C5E0B3"/>
              <w:right w:val="single" w:sz="4" w:space="0" w:color="C5E0B3"/>
            </w:tcBorders>
            <w:shd w:val="clear" w:color="auto" w:fill="auto"/>
            <w:vAlign w:val="center"/>
          </w:tcPr>
          <w:p w14:paraId="413E8190"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Access of women and men to forest resources</w:t>
            </w:r>
          </w:p>
          <w:p w14:paraId="15FD599E"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Men and women trained and available for the protection of the environment: reforestation, maintenance</w:t>
            </w:r>
          </w:p>
          <w:p w14:paraId="3363AFE2"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Exploitation of forest products by women for decoction, childcare and traditional medicine</w:t>
            </w:r>
          </w:p>
        </w:tc>
        <w:tc>
          <w:tcPr>
            <w:tcW w:w="4541"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125F2E65"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Persistent confusion over the true meaning of the gender concept</w:t>
            </w:r>
          </w:p>
          <w:p w14:paraId="6883A27E" w14:textId="77777777" w:rsidR="00302BFE" w:rsidRPr="00BA18F6" w:rsidRDefault="00302BFE" w:rsidP="00243B15">
            <w:pPr>
              <w:spacing w:after="0"/>
              <w:rPr>
                <w:rFonts w:eastAsia="Times New Roman"/>
                <w:sz w:val="18"/>
                <w:szCs w:val="18"/>
                <w:lang w:val="en-CA" w:eastAsia="fr-FR"/>
              </w:rPr>
            </w:pPr>
            <w:r w:rsidRPr="00BA18F6">
              <w:rPr>
                <w:rFonts w:eastAsia="Times New Roman"/>
                <w:sz w:val="18"/>
                <w:szCs w:val="18"/>
                <w:lang w:val="en-CA" w:eastAsia="fr-FR"/>
              </w:rPr>
              <w:t>Low representation of women in forest resources coordination and management bodies</w:t>
            </w:r>
          </w:p>
          <w:p w14:paraId="1CFDB8C2" w14:textId="77777777" w:rsidR="00302BFE" w:rsidRPr="00BA18F6" w:rsidRDefault="00302BFE" w:rsidP="00243B15">
            <w:pPr>
              <w:spacing w:after="0"/>
              <w:rPr>
                <w:rFonts w:eastAsia="Times New Roman"/>
                <w:sz w:val="18"/>
                <w:szCs w:val="18"/>
                <w:lang w:val="en-CA" w:eastAsia="fr-FR"/>
              </w:rPr>
            </w:pPr>
            <w:r w:rsidRPr="00BA18F6">
              <w:rPr>
                <w:rFonts w:eastAsia="Times New Roman"/>
                <w:sz w:val="18"/>
                <w:szCs w:val="18"/>
                <w:lang w:val="en-CA" w:eastAsia="fr-FR"/>
              </w:rPr>
              <w:t>More pronounced illiteracy among women</w:t>
            </w:r>
          </w:p>
          <w:p w14:paraId="4CA59D0D"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Priority reinvestment of women's incomes in the household to cover social charges (health, education, food, clothing ...)</w:t>
            </w:r>
          </w:p>
        </w:tc>
      </w:tr>
      <w:tr w:rsidR="00302BFE" w:rsidRPr="00BA18F6" w14:paraId="48885358" w14:textId="77777777" w:rsidTr="00243B15">
        <w:trPr>
          <w:jc w:val="center"/>
        </w:trPr>
        <w:tc>
          <w:tcPr>
            <w:tcW w:w="1647"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3B39BEC4" w14:textId="77777777" w:rsidR="00302BFE" w:rsidRPr="00BA18F6" w:rsidRDefault="00302BFE" w:rsidP="00243B15">
            <w:pPr>
              <w:spacing w:after="0"/>
              <w:rPr>
                <w:rFonts w:eastAsia="Times New Roman"/>
                <w:b/>
                <w:bCs/>
                <w:sz w:val="18"/>
                <w:szCs w:val="18"/>
                <w:lang w:eastAsia="fr-FR"/>
              </w:rPr>
            </w:pPr>
            <w:r w:rsidRPr="00BA18F6">
              <w:rPr>
                <w:rFonts w:eastAsia="Times New Roman"/>
                <w:b/>
                <w:bCs/>
                <w:sz w:val="18"/>
                <w:szCs w:val="18"/>
                <w:lang w:eastAsia="fr-FR"/>
              </w:rPr>
              <w:t>Technological</w:t>
            </w:r>
          </w:p>
        </w:tc>
        <w:tc>
          <w:tcPr>
            <w:tcW w:w="4444"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31582EEF" w14:textId="77777777" w:rsidR="00302BFE" w:rsidRPr="00BA18F6" w:rsidRDefault="00302BFE" w:rsidP="00243B15">
            <w:pPr>
              <w:spacing w:after="0"/>
              <w:rPr>
                <w:rFonts w:eastAsia="Times New Roman"/>
                <w:sz w:val="18"/>
                <w:szCs w:val="18"/>
                <w:lang w:val="en-CA" w:eastAsia="fr-FR"/>
              </w:rPr>
            </w:pPr>
            <w:r w:rsidRPr="00BA18F6">
              <w:rPr>
                <w:rFonts w:eastAsia="Times New Roman"/>
                <w:sz w:val="18"/>
                <w:szCs w:val="18"/>
                <w:lang w:val="en-CA" w:eastAsia="fr-FR"/>
              </w:rPr>
              <w:t>Existence of new environmentally friendly processing and conservation technologies that can be used in non-timber forest products (NTFPs) processing units most often held by women's groups</w:t>
            </w:r>
          </w:p>
          <w:p w14:paraId="1F0D567A"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Facilitating communication with new information and communication technologies</w:t>
            </w:r>
          </w:p>
        </w:tc>
        <w:tc>
          <w:tcPr>
            <w:tcW w:w="4541"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5DBB3D04" w14:textId="77777777" w:rsidR="00302BFE" w:rsidRPr="00BA18F6" w:rsidRDefault="00302BFE" w:rsidP="00243B15">
            <w:pPr>
              <w:spacing w:after="0"/>
              <w:rPr>
                <w:rFonts w:eastAsia="Times New Roman"/>
                <w:sz w:val="18"/>
                <w:szCs w:val="18"/>
                <w:lang w:val="en-CA" w:eastAsia="fr-FR"/>
              </w:rPr>
            </w:pPr>
            <w:r w:rsidRPr="00BA18F6">
              <w:rPr>
                <w:rFonts w:eastAsia="Times New Roman"/>
                <w:sz w:val="18"/>
                <w:szCs w:val="18"/>
                <w:lang w:val="en-CA" w:eastAsia="fr-FR"/>
              </w:rPr>
              <w:t>Economic constraints for access to new NTFP processing and development technologies in enterprises operated by women's groups</w:t>
            </w:r>
          </w:p>
          <w:p w14:paraId="7320B338"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Limited access of women to ICTs due to their level of education</w:t>
            </w:r>
          </w:p>
        </w:tc>
      </w:tr>
      <w:tr w:rsidR="00302BFE" w:rsidRPr="00BA18F6" w14:paraId="1A9C9EAF" w14:textId="77777777" w:rsidTr="00243B15">
        <w:trPr>
          <w:jc w:val="center"/>
        </w:trPr>
        <w:tc>
          <w:tcPr>
            <w:tcW w:w="1647"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30F2354E" w14:textId="77777777" w:rsidR="00302BFE" w:rsidRPr="00BA18F6" w:rsidRDefault="00302BFE" w:rsidP="00243B15">
            <w:pPr>
              <w:spacing w:after="0"/>
              <w:rPr>
                <w:rFonts w:eastAsia="Times New Roman"/>
                <w:b/>
                <w:bCs/>
                <w:sz w:val="18"/>
                <w:szCs w:val="18"/>
                <w:lang w:eastAsia="fr-FR"/>
              </w:rPr>
            </w:pPr>
            <w:proofErr w:type="spellStart"/>
            <w:r w:rsidRPr="00BA18F6">
              <w:rPr>
                <w:rFonts w:eastAsia="Times New Roman"/>
                <w:b/>
                <w:bCs/>
                <w:sz w:val="18"/>
                <w:szCs w:val="18"/>
                <w:lang w:eastAsia="fr-FR"/>
              </w:rPr>
              <w:t>Environnemental</w:t>
            </w:r>
            <w:proofErr w:type="spellEnd"/>
          </w:p>
        </w:tc>
        <w:tc>
          <w:tcPr>
            <w:tcW w:w="4444"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56F3BF1C" w14:textId="77777777" w:rsidR="00302BFE" w:rsidRPr="00BA18F6" w:rsidRDefault="00302BFE" w:rsidP="00243B15">
            <w:pPr>
              <w:spacing w:after="0"/>
              <w:rPr>
                <w:rFonts w:eastAsia="Times New Roman"/>
                <w:sz w:val="18"/>
                <w:szCs w:val="18"/>
                <w:lang w:val="en-CA" w:eastAsia="fr-FR"/>
              </w:rPr>
            </w:pPr>
            <w:r w:rsidRPr="00BA18F6">
              <w:rPr>
                <w:rFonts w:eastAsia="Times New Roman"/>
                <w:sz w:val="18"/>
                <w:szCs w:val="18"/>
                <w:lang w:val="en-CA" w:eastAsia="fr-FR"/>
              </w:rPr>
              <w:t>Availability of exploitable resources by men and women in target areas</w:t>
            </w:r>
          </w:p>
          <w:p w14:paraId="5FF783D7" w14:textId="77777777" w:rsidR="00302BFE" w:rsidRPr="00BA18F6" w:rsidRDefault="00302BFE" w:rsidP="00243B15">
            <w:pPr>
              <w:spacing w:after="0"/>
              <w:rPr>
                <w:rFonts w:eastAsia="Times New Roman"/>
                <w:sz w:val="18"/>
                <w:szCs w:val="18"/>
                <w:lang w:val="en-CA" w:eastAsia="fr-FR"/>
              </w:rPr>
            </w:pPr>
            <w:r w:rsidRPr="00BA18F6">
              <w:rPr>
                <w:rFonts w:eastAsia="Times New Roman"/>
                <w:sz w:val="18"/>
                <w:szCs w:val="18"/>
                <w:lang w:val="en-CA" w:eastAsia="fr-FR"/>
              </w:rPr>
              <w:t xml:space="preserve">Initiatives to protect plant and wildlife resources observable at community level with the involvement of state services, </w:t>
            </w:r>
            <w:proofErr w:type="gramStart"/>
            <w:r w:rsidRPr="00BA18F6">
              <w:rPr>
                <w:rFonts w:eastAsia="Times New Roman"/>
                <w:sz w:val="18"/>
                <w:szCs w:val="18"/>
                <w:lang w:val="en-CA" w:eastAsia="fr-FR"/>
              </w:rPr>
              <w:t>men</w:t>
            </w:r>
            <w:proofErr w:type="gramEnd"/>
            <w:r w:rsidRPr="00BA18F6">
              <w:rPr>
                <w:rFonts w:eastAsia="Times New Roman"/>
                <w:sz w:val="18"/>
                <w:szCs w:val="18"/>
                <w:lang w:val="en-CA" w:eastAsia="fr-FR"/>
              </w:rPr>
              <w:t xml:space="preserve"> and women</w:t>
            </w:r>
          </w:p>
          <w:p w14:paraId="3589B3CF" w14:textId="77777777" w:rsidR="00302BFE" w:rsidRPr="00BA18F6" w:rsidRDefault="00302BFE" w:rsidP="00243B15">
            <w:pPr>
              <w:spacing w:after="0"/>
              <w:rPr>
                <w:rFonts w:eastAsia="Times New Roman"/>
                <w:sz w:val="18"/>
                <w:szCs w:val="18"/>
                <w:lang w:val="en-CA" w:eastAsia="fr-FR"/>
              </w:rPr>
            </w:pPr>
            <w:r w:rsidRPr="00BA18F6">
              <w:rPr>
                <w:rFonts w:eastAsia="Times New Roman"/>
                <w:sz w:val="18"/>
                <w:szCs w:val="18"/>
                <w:lang w:val="en-CA" w:eastAsia="fr-FR"/>
              </w:rPr>
              <w:t>Strong ability of women to mobilize for the protection of forest resources</w:t>
            </w:r>
          </w:p>
          <w:p w14:paraId="7EC3EAD5"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Strong involvement of women in capacity building actions</w:t>
            </w:r>
          </w:p>
        </w:tc>
        <w:tc>
          <w:tcPr>
            <w:tcW w:w="4541"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3D14D707"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Land pressure linked to the extension of agricultural areas and reducing areas dedicated to the production of forest resources including NTFPs, which are the forest products most exploited by women</w:t>
            </w:r>
          </w:p>
          <w:p w14:paraId="638A05E0"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Degradation of floristic resources</w:t>
            </w:r>
          </w:p>
          <w:p w14:paraId="41105684"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Removal of forest resource exploitation sites from settlements</w:t>
            </w:r>
          </w:p>
          <w:p w14:paraId="2AD3CE43"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Climate change pressure, bush fires, abusive cuts</w:t>
            </w:r>
          </w:p>
        </w:tc>
      </w:tr>
      <w:tr w:rsidR="00302BFE" w:rsidRPr="00BA18F6" w14:paraId="3FC6BE67" w14:textId="77777777" w:rsidTr="00243B15">
        <w:trPr>
          <w:jc w:val="center"/>
        </w:trPr>
        <w:tc>
          <w:tcPr>
            <w:tcW w:w="1647"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058057D9" w14:textId="77777777" w:rsidR="00302BFE" w:rsidRPr="00BA18F6" w:rsidRDefault="00302BFE" w:rsidP="00243B15">
            <w:pPr>
              <w:spacing w:after="0"/>
              <w:rPr>
                <w:rFonts w:eastAsia="Times New Roman"/>
                <w:b/>
                <w:bCs/>
                <w:sz w:val="18"/>
                <w:szCs w:val="18"/>
                <w:lang w:eastAsia="fr-FR"/>
              </w:rPr>
            </w:pPr>
            <w:r w:rsidRPr="00BA18F6">
              <w:rPr>
                <w:rFonts w:eastAsia="Times New Roman"/>
                <w:b/>
                <w:bCs/>
                <w:sz w:val="18"/>
                <w:szCs w:val="18"/>
                <w:lang w:eastAsia="fr-FR"/>
              </w:rPr>
              <w:t xml:space="preserve">Legal </w:t>
            </w:r>
          </w:p>
        </w:tc>
        <w:tc>
          <w:tcPr>
            <w:tcW w:w="4444" w:type="dxa"/>
            <w:tcBorders>
              <w:top w:val="single" w:sz="4" w:space="0" w:color="C5E0B3"/>
              <w:left w:val="single" w:sz="4" w:space="0" w:color="C5E0B3"/>
              <w:bottom w:val="single" w:sz="4" w:space="0" w:color="C5E0B3"/>
              <w:right w:val="single" w:sz="4" w:space="0" w:color="C5E0B3"/>
            </w:tcBorders>
            <w:shd w:val="clear" w:color="auto" w:fill="auto"/>
            <w:vAlign w:val="center"/>
            <w:hideMark/>
          </w:tcPr>
          <w:p w14:paraId="27B6E31F"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Existence of traditional regulations for the protection of forest resources (sacred wood, tacit charter of protection and exploitation)</w:t>
            </w:r>
          </w:p>
          <w:p w14:paraId="2E33D416"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lastRenderedPageBreak/>
              <w:t>National Gender Policy favorable to the involvement and valorization of the contribution of the woman for the exploitation and the fair management of the income</w:t>
            </w:r>
          </w:p>
          <w:p w14:paraId="155C0FD6" w14:textId="77777777" w:rsidR="00302BFE" w:rsidRPr="00BA18F6" w:rsidRDefault="00302BFE" w:rsidP="00243B15">
            <w:pPr>
              <w:pStyle w:val="Paragraphedeliste"/>
              <w:ind w:left="0"/>
              <w:jc w:val="both"/>
              <w:rPr>
                <w:rFonts w:ascii="Calibri" w:eastAsia="Times New Roman" w:hAnsi="Calibri"/>
                <w:sz w:val="18"/>
                <w:szCs w:val="18"/>
                <w:lang w:val="en-CA" w:eastAsia="fr-FR"/>
              </w:rPr>
            </w:pPr>
            <w:r w:rsidRPr="00BA18F6">
              <w:rPr>
                <w:rFonts w:ascii="Calibri" w:eastAsia="Times New Roman" w:hAnsi="Calibri"/>
                <w:sz w:val="18"/>
                <w:szCs w:val="18"/>
                <w:lang w:val="en-CA" w:eastAsia="fr-FR"/>
              </w:rPr>
              <w:t>Existence of an enabling legislative framework: the environmental code, forest code, the mining code, the rural land law that affirms the equal access to environmental resources.</w:t>
            </w:r>
          </w:p>
        </w:tc>
        <w:tc>
          <w:tcPr>
            <w:tcW w:w="4541" w:type="dxa"/>
            <w:tcBorders>
              <w:top w:val="single" w:sz="4" w:space="0" w:color="C5E0B3"/>
              <w:left w:val="single" w:sz="4" w:space="0" w:color="C5E0B3"/>
              <w:bottom w:val="single" w:sz="4" w:space="0" w:color="C5E0B3"/>
              <w:right w:val="single" w:sz="4" w:space="0" w:color="C5E0B3"/>
            </w:tcBorders>
            <w:shd w:val="clear" w:color="auto" w:fill="auto"/>
            <w:vAlign w:val="center"/>
          </w:tcPr>
          <w:p w14:paraId="07D82EEE" w14:textId="77777777" w:rsidR="00302BFE" w:rsidRPr="00BA18F6" w:rsidRDefault="00302BFE" w:rsidP="00243B15">
            <w:pPr>
              <w:pStyle w:val="Paragraphedeliste"/>
              <w:ind w:left="0"/>
              <w:jc w:val="both"/>
              <w:rPr>
                <w:rFonts w:ascii="Calibri" w:eastAsia="Times New Roman" w:hAnsi="Calibri"/>
                <w:sz w:val="18"/>
                <w:szCs w:val="18"/>
                <w:lang w:eastAsia="fr-FR"/>
              </w:rPr>
            </w:pPr>
            <w:r w:rsidRPr="00BA18F6">
              <w:rPr>
                <w:rFonts w:ascii="Calibri" w:eastAsia="Times New Roman" w:hAnsi="Calibri"/>
                <w:sz w:val="18"/>
                <w:szCs w:val="18"/>
                <w:lang w:eastAsia="fr-FR"/>
              </w:rPr>
              <w:lastRenderedPageBreak/>
              <w:t>Traditional restrictions as prohibitions for women / girls (socio-cultural constraints)</w:t>
            </w:r>
          </w:p>
          <w:p w14:paraId="0B8D1E0E" w14:textId="77777777" w:rsidR="00302BFE" w:rsidRPr="00BA18F6" w:rsidRDefault="00302BFE" w:rsidP="00243B15">
            <w:pPr>
              <w:pStyle w:val="Paragraphedeliste"/>
              <w:ind w:left="0"/>
              <w:jc w:val="both"/>
              <w:rPr>
                <w:rFonts w:ascii="Calibri" w:eastAsia="Times New Roman" w:hAnsi="Calibri"/>
                <w:sz w:val="18"/>
                <w:szCs w:val="18"/>
                <w:lang w:eastAsia="fr-FR"/>
              </w:rPr>
            </w:pPr>
          </w:p>
        </w:tc>
      </w:tr>
    </w:tbl>
    <w:p w14:paraId="46833B8D" w14:textId="77777777" w:rsidR="00302BFE" w:rsidRPr="00BA18F6" w:rsidRDefault="00302BFE" w:rsidP="00302BFE">
      <w:pPr>
        <w:spacing w:before="120" w:after="120"/>
        <w:rPr>
          <w:rStyle w:val="A0"/>
          <w:rFonts w:ascii="Calibri" w:hAnsi="Calibri"/>
          <w:lang w:val="en-CA"/>
        </w:rPr>
      </w:pPr>
      <w:r w:rsidRPr="00BA18F6">
        <w:rPr>
          <w:b/>
          <w:szCs w:val="20"/>
          <w:lang w:val="en-CA"/>
        </w:rPr>
        <w:t>Access to agricultural resources</w:t>
      </w:r>
      <w:r>
        <w:rPr>
          <w:b/>
          <w:szCs w:val="20"/>
          <w:lang w:val="en-CA"/>
        </w:rPr>
        <w:t xml:space="preserve">. </w:t>
      </w:r>
      <w:r w:rsidRPr="00BA18F6">
        <w:rPr>
          <w:rStyle w:val="A0"/>
          <w:rFonts w:ascii="Calibri" w:hAnsi="Calibri"/>
          <w:lang w:val="en-CA"/>
        </w:rPr>
        <w:t>Women are disproportionately affected by access to the factors of production and land resources on which they depend for their livelihoods and living conditions because of the inequalities related to their accessibility. For example, for sites set up for intensive production, the number of women beneficiaries is much lower than that of men.</w:t>
      </w:r>
    </w:p>
    <w:p w14:paraId="33906AAA" w14:textId="77777777" w:rsidR="00302BFE" w:rsidRPr="00BA18F6" w:rsidRDefault="00302BFE" w:rsidP="00302BFE">
      <w:pPr>
        <w:spacing w:before="120" w:after="120"/>
        <w:rPr>
          <w:rStyle w:val="A0"/>
          <w:rFonts w:ascii="Calibri" w:hAnsi="Calibri"/>
          <w:lang w:val="en-CA"/>
        </w:rPr>
      </w:pPr>
      <w:r w:rsidRPr="00BA18F6">
        <w:rPr>
          <w:b/>
          <w:szCs w:val="20"/>
          <w:lang w:val="en-CA"/>
        </w:rPr>
        <w:t>Livestock</w:t>
      </w:r>
      <w:r>
        <w:rPr>
          <w:b/>
          <w:szCs w:val="20"/>
          <w:lang w:val="en-CA"/>
        </w:rPr>
        <w:t xml:space="preserve">. </w:t>
      </w:r>
      <w:r w:rsidRPr="00BA18F6">
        <w:rPr>
          <w:rStyle w:val="A0"/>
          <w:rFonts w:ascii="Calibri" w:hAnsi="Calibri"/>
          <w:lang w:val="en-CA"/>
        </w:rPr>
        <w:t>Women are mainly involved in the breeding of small ruminants (sheep, goats), in pig breeding and in poultry farming, following an extensive breeding method. For small ruminants and pigs, they practice much more breeding. Fattening is almost non-existent, although this mode of production generates more income.</w:t>
      </w:r>
    </w:p>
    <w:p w14:paraId="4658B873" w14:textId="77777777" w:rsidR="00302BFE" w:rsidRPr="00BA18F6" w:rsidRDefault="00302BFE" w:rsidP="00302BFE">
      <w:pPr>
        <w:spacing w:before="120" w:after="120"/>
        <w:rPr>
          <w:b/>
          <w:color w:val="4472C4"/>
          <w:szCs w:val="20"/>
          <w:lang w:val="en-CA"/>
        </w:rPr>
      </w:pPr>
      <w:bookmarkStart w:id="73" w:name="_Toc7382325"/>
      <w:r w:rsidRPr="00BA18F6">
        <w:rPr>
          <w:b/>
          <w:color w:val="4472C4"/>
          <w:szCs w:val="20"/>
          <w:lang w:val="en-CA"/>
        </w:rPr>
        <w:t>CONCLUSION</w:t>
      </w:r>
      <w:bookmarkEnd w:id="73"/>
      <w:r w:rsidRPr="00BA18F6">
        <w:rPr>
          <w:b/>
          <w:color w:val="4472C4"/>
          <w:szCs w:val="20"/>
          <w:lang w:val="en-CA"/>
        </w:rPr>
        <w:t xml:space="preserve"> </w:t>
      </w:r>
    </w:p>
    <w:p w14:paraId="54A8F290" w14:textId="225985F0" w:rsidR="00302BFE" w:rsidRDefault="00580E65" w:rsidP="00302BFE">
      <w:pPr>
        <w:spacing w:before="120" w:after="120"/>
        <w:rPr>
          <w:szCs w:val="20"/>
          <w:lang w:val="en-CA"/>
        </w:rPr>
      </w:pPr>
      <w:proofErr w:type="gramStart"/>
      <w:r w:rsidRPr="00430A7A">
        <w:rPr>
          <w:szCs w:val="20"/>
          <w:lang w:val="en-CA"/>
        </w:rPr>
        <w:t>Similar</w:t>
      </w:r>
      <w:r w:rsidR="00302BFE" w:rsidRPr="00430A7A">
        <w:rPr>
          <w:szCs w:val="20"/>
          <w:lang w:val="en-CA"/>
        </w:rPr>
        <w:t xml:space="preserve"> </w:t>
      </w:r>
      <w:r>
        <w:rPr>
          <w:szCs w:val="20"/>
          <w:lang w:val="en-CA"/>
        </w:rPr>
        <w:t>to</w:t>
      </w:r>
      <w:proofErr w:type="gramEnd"/>
      <w:r>
        <w:rPr>
          <w:szCs w:val="20"/>
          <w:lang w:val="en-CA"/>
        </w:rPr>
        <w:t xml:space="preserve"> </w:t>
      </w:r>
      <w:r w:rsidR="00302BFE" w:rsidRPr="00430A7A">
        <w:rPr>
          <w:szCs w:val="20"/>
          <w:lang w:val="en-CA"/>
        </w:rPr>
        <w:t>the social systems that characterize Burkinabe societies in general, the traditional distribution of gender roles is at the origin of gender-differentiated behavior in production activities (processing and marketing activities) in the landscaped area of the PONASI complex.</w:t>
      </w:r>
      <w:r w:rsidR="00302BFE">
        <w:rPr>
          <w:szCs w:val="20"/>
          <w:lang w:val="en-CA"/>
        </w:rPr>
        <w:t xml:space="preserve"> </w:t>
      </w:r>
      <w:r w:rsidR="00302BFE" w:rsidRPr="00430A7A">
        <w:rPr>
          <w:szCs w:val="20"/>
          <w:lang w:val="en-CA"/>
        </w:rPr>
        <w:t>Production systems are dominated and dictated by a predominant patriarchal system where women and children are simply considered productive assets or simply unpaid labor and not involved in decision-making.</w:t>
      </w:r>
      <w:r w:rsidR="00302BFE" w:rsidRPr="00BA18F6">
        <w:rPr>
          <w:szCs w:val="20"/>
          <w:lang w:val="en-CA"/>
        </w:rPr>
        <w:t xml:space="preserve"> </w:t>
      </w:r>
      <w:r w:rsidR="00302BFE" w:rsidRPr="00430A7A">
        <w:rPr>
          <w:szCs w:val="20"/>
          <w:lang w:val="en-CA"/>
        </w:rPr>
        <w:t xml:space="preserve">In </w:t>
      </w:r>
      <w:r w:rsidR="00302BFE">
        <w:rPr>
          <w:szCs w:val="20"/>
          <w:lang w:val="en-CA"/>
        </w:rPr>
        <w:t xml:space="preserve">the </w:t>
      </w:r>
      <w:r w:rsidR="00302BFE" w:rsidRPr="00430A7A">
        <w:rPr>
          <w:szCs w:val="20"/>
          <w:lang w:val="en-CA"/>
        </w:rPr>
        <w:t>PONASI</w:t>
      </w:r>
      <w:r w:rsidR="00302BFE">
        <w:rPr>
          <w:szCs w:val="20"/>
          <w:lang w:val="en-CA"/>
        </w:rPr>
        <w:t xml:space="preserve"> landscape</w:t>
      </w:r>
      <w:r w:rsidR="00302BFE" w:rsidRPr="00430A7A">
        <w:rPr>
          <w:szCs w:val="20"/>
          <w:lang w:val="en-CA"/>
        </w:rPr>
        <w:t xml:space="preserve">, inequalities and gender disparities contribute to the structural weakness of the economy and the feminization of poverty. Women, the main actors in the exploitation and management of forest resources, do not currently derive significant benefits from the resources exploited. Thus, the project will aim at improving the accessibility of women to factors of production, information, and contributing to the development of value chains that will benefit them, </w:t>
      </w:r>
      <w:proofErr w:type="gramStart"/>
      <w:r w:rsidR="00302BFE" w:rsidRPr="00430A7A">
        <w:rPr>
          <w:szCs w:val="20"/>
          <w:lang w:val="en-CA"/>
        </w:rPr>
        <w:t>in order to</w:t>
      </w:r>
      <w:proofErr w:type="gramEnd"/>
      <w:r w:rsidR="00302BFE" w:rsidRPr="00430A7A">
        <w:rPr>
          <w:szCs w:val="20"/>
          <w:lang w:val="en-CA"/>
        </w:rPr>
        <w:t xml:space="preserve"> facilitate their contribution to the management of protected areas and conservation of biodiversity in the project area.</w:t>
      </w:r>
    </w:p>
    <w:p w14:paraId="706E4F88" w14:textId="77777777" w:rsidR="00302BFE" w:rsidRDefault="00302BFE" w:rsidP="00302BFE">
      <w:pPr>
        <w:spacing w:before="120" w:after="120"/>
        <w:rPr>
          <w:szCs w:val="20"/>
          <w:lang w:val="en-CA"/>
        </w:rPr>
        <w:sectPr w:rsidR="00302BFE" w:rsidSect="00243B15">
          <w:pgSz w:w="12240" w:h="15840" w:code="1"/>
          <w:pgMar w:top="720" w:right="720" w:bottom="720" w:left="720" w:header="720" w:footer="720" w:gutter="0"/>
          <w:cols w:space="720"/>
          <w:docGrid w:linePitch="360"/>
        </w:sectPr>
      </w:pPr>
    </w:p>
    <w:p w14:paraId="52EE10B6" w14:textId="77777777" w:rsidR="00302BFE" w:rsidRPr="00BA18F6" w:rsidRDefault="00302BFE" w:rsidP="00302BFE">
      <w:pPr>
        <w:spacing w:before="120" w:after="120"/>
        <w:rPr>
          <w:b/>
          <w:szCs w:val="20"/>
          <w:lang w:val="en-CA"/>
        </w:rPr>
      </w:pPr>
      <w:r w:rsidRPr="00BA18F6">
        <w:rPr>
          <w:b/>
          <w:szCs w:val="20"/>
          <w:lang w:val="en-CA"/>
        </w:rPr>
        <w:lastRenderedPageBreak/>
        <w:t>Gender Action Plan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8"/>
        <w:gridCol w:w="3433"/>
        <w:gridCol w:w="1741"/>
        <w:gridCol w:w="1744"/>
        <w:gridCol w:w="20"/>
        <w:gridCol w:w="884"/>
        <w:gridCol w:w="3013"/>
        <w:gridCol w:w="17"/>
      </w:tblGrid>
      <w:tr w:rsidR="00302BFE" w:rsidRPr="00B43F59" w14:paraId="25B9A282" w14:textId="77777777" w:rsidTr="00243B15">
        <w:trPr>
          <w:gridAfter w:val="1"/>
          <w:wAfter w:w="6" w:type="pct"/>
          <w:cantSplit/>
          <w:trHeight w:val="327"/>
          <w:tblHeader/>
          <w:jc w:val="center"/>
        </w:trPr>
        <w:tc>
          <w:tcPr>
            <w:tcW w:w="1229" w:type="pct"/>
            <w:shd w:val="clear" w:color="auto" w:fill="auto"/>
            <w:vAlign w:val="center"/>
          </w:tcPr>
          <w:p w14:paraId="1203FD26" w14:textId="77777777" w:rsidR="00302BFE" w:rsidRPr="00B43F59" w:rsidRDefault="00302BFE" w:rsidP="00243B15">
            <w:pPr>
              <w:spacing w:after="0"/>
              <w:jc w:val="left"/>
              <w:rPr>
                <w:b/>
                <w:sz w:val="18"/>
                <w:szCs w:val="18"/>
              </w:rPr>
            </w:pPr>
            <w:bookmarkStart w:id="74" w:name="_Hlk8832300"/>
            <w:r w:rsidRPr="00B43F59">
              <w:rPr>
                <w:b/>
                <w:sz w:val="18"/>
                <w:szCs w:val="18"/>
              </w:rPr>
              <w:t>Gender-related activity</w:t>
            </w:r>
          </w:p>
        </w:tc>
        <w:tc>
          <w:tcPr>
            <w:tcW w:w="1193" w:type="pct"/>
            <w:shd w:val="clear" w:color="auto" w:fill="auto"/>
            <w:vAlign w:val="center"/>
          </w:tcPr>
          <w:p w14:paraId="3E1344EA" w14:textId="77777777" w:rsidR="00302BFE" w:rsidRPr="00B43F59" w:rsidRDefault="00302BFE" w:rsidP="00243B15">
            <w:pPr>
              <w:spacing w:after="0"/>
              <w:jc w:val="left"/>
              <w:rPr>
                <w:b/>
                <w:sz w:val="18"/>
                <w:szCs w:val="18"/>
              </w:rPr>
            </w:pPr>
            <w:r w:rsidRPr="00B43F59">
              <w:rPr>
                <w:b/>
                <w:sz w:val="18"/>
                <w:szCs w:val="18"/>
              </w:rPr>
              <w:t>Indicator</w:t>
            </w:r>
          </w:p>
        </w:tc>
        <w:tc>
          <w:tcPr>
            <w:tcW w:w="605" w:type="pct"/>
            <w:shd w:val="clear" w:color="auto" w:fill="auto"/>
            <w:vAlign w:val="center"/>
          </w:tcPr>
          <w:p w14:paraId="0447A1FF" w14:textId="77777777" w:rsidR="00302BFE" w:rsidRPr="00B43F59" w:rsidRDefault="00302BFE" w:rsidP="00243B15">
            <w:pPr>
              <w:spacing w:after="0"/>
              <w:jc w:val="left"/>
              <w:rPr>
                <w:b/>
                <w:sz w:val="18"/>
                <w:szCs w:val="18"/>
              </w:rPr>
            </w:pPr>
            <w:r w:rsidRPr="00B43F59">
              <w:rPr>
                <w:b/>
                <w:sz w:val="18"/>
                <w:szCs w:val="18"/>
              </w:rPr>
              <w:t>Target</w:t>
            </w:r>
          </w:p>
        </w:tc>
        <w:tc>
          <w:tcPr>
            <w:tcW w:w="606" w:type="pct"/>
            <w:shd w:val="clear" w:color="auto" w:fill="auto"/>
            <w:vAlign w:val="center"/>
          </w:tcPr>
          <w:p w14:paraId="4B1E7712" w14:textId="77777777" w:rsidR="00302BFE" w:rsidRPr="00B43F59" w:rsidRDefault="00302BFE" w:rsidP="00243B15">
            <w:pPr>
              <w:spacing w:after="0"/>
              <w:jc w:val="left"/>
              <w:rPr>
                <w:b/>
                <w:sz w:val="18"/>
                <w:szCs w:val="18"/>
              </w:rPr>
            </w:pPr>
            <w:r w:rsidRPr="00B43F59">
              <w:rPr>
                <w:b/>
                <w:sz w:val="18"/>
                <w:szCs w:val="18"/>
              </w:rPr>
              <w:t>Baseline</w:t>
            </w:r>
          </w:p>
        </w:tc>
        <w:tc>
          <w:tcPr>
            <w:tcW w:w="314" w:type="pct"/>
            <w:gridSpan w:val="2"/>
            <w:shd w:val="clear" w:color="auto" w:fill="auto"/>
            <w:vAlign w:val="center"/>
          </w:tcPr>
          <w:p w14:paraId="6ACAD9A9" w14:textId="77777777" w:rsidR="00302BFE" w:rsidRPr="00B43F59" w:rsidRDefault="00302BFE" w:rsidP="00243B15">
            <w:pPr>
              <w:spacing w:after="0"/>
              <w:jc w:val="left"/>
              <w:rPr>
                <w:b/>
                <w:sz w:val="18"/>
                <w:szCs w:val="18"/>
              </w:rPr>
            </w:pPr>
            <w:r w:rsidRPr="00B43F59">
              <w:rPr>
                <w:b/>
                <w:sz w:val="18"/>
                <w:szCs w:val="18"/>
              </w:rPr>
              <w:t>Timeline</w:t>
            </w:r>
          </w:p>
        </w:tc>
        <w:tc>
          <w:tcPr>
            <w:tcW w:w="1047" w:type="pct"/>
            <w:shd w:val="clear" w:color="auto" w:fill="auto"/>
            <w:vAlign w:val="center"/>
          </w:tcPr>
          <w:p w14:paraId="030D065C" w14:textId="77777777" w:rsidR="00302BFE" w:rsidRPr="00B43F59" w:rsidRDefault="00302BFE" w:rsidP="00243B15">
            <w:pPr>
              <w:spacing w:after="0"/>
              <w:jc w:val="left"/>
              <w:rPr>
                <w:b/>
                <w:sz w:val="18"/>
                <w:szCs w:val="18"/>
              </w:rPr>
            </w:pPr>
            <w:r w:rsidRPr="00B43F59">
              <w:rPr>
                <w:b/>
                <w:sz w:val="18"/>
                <w:szCs w:val="18"/>
              </w:rPr>
              <w:t>Responsibility</w:t>
            </w:r>
          </w:p>
        </w:tc>
      </w:tr>
      <w:tr w:rsidR="00302BFE" w:rsidRPr="00B43F59" w14:paraId="48934CB5" w14:textId="77777777" w:rsidTr="00243B15">
        <w:trPr>
          <w:trHeight w:val="327"/>
          <w:jc w:val="center"/>
        </w:trPr>
        <w:tc>
          <w:tcPr>
            <w:tcW w:w="5000" w:type="pct"/>
            <w:gridSpan w:val="8"/>
            <w:shd w:val="clear" w:color="auto" w:fill="FBE4D5"/>
          </w:tcPr>
          <w:p w14:paraId="5D9C19B6" w14:textId="77777777" w:rsidR="00302BFE" w:rsidRPr="00B43F59" w:rsidRDefault="00302BFE" w:rsidP="00243B15">
            <w:pPr>
              <w:spacing w:after="0"/>
              <w:jc w:val="left"/>
              <w:rPr>
                <w:b/>
                <w:sz w:val="18"/>
                <w:szCs w:val="18"/>
                <w:lang w:val="en-CA"/>
              </w:rPr>
            </w:pPr>
            <w:r w:rsidRPr="00B43F59">
              <w:rPr>
                <w:b/>
                <w:sz w:val="18"/>
                <w:szCs w:val="18"/>
                <w:lang w:val="en-GB"/>
              </w:rPr>
              <w:t>Component 1. Framework for Integrated Landscape Management of PONASI with sustainable financing for its operation</w:t>
            </w:r>
          </w:p>
        </w:tc>
      </w:tr>
      <w:tr w:rsidR="00302BFE" w:rsidRPr="00B43F59" w14:paraId="587E2193" w14:textId="77777777" w:rsidTr="00243B15">
        <w:trPr>
          <w:trHeight w:val="327"/>
          <w:jc w:val="center"/>
        </w:trPr>
        <w:tc>
          <w:tcPr>
            <w:tcW w:w="5000" w:type="pct"/>
            <w:gridSpan w:val="8"/>
            <w:shd w:val="clear" w:color="auto" w:fill="auto"/>
            <w:vAlign w:val="center"/>
          </w:tcPr>
          <w:p w14:paraId="55F2A3AE" w14:textId="77777777" w:rsidR="00302BFE" w:rsidRPr="00B43F59" w:rsidRDefault="00302BFE" w:rsidP="00243B15">
            <w:pPr>
              <w:spacing w:after="0"/>
              <w:jc w:val="left"/>
              <w:rPr>
                <w:b/>
                <w:sz w:val="18"/>
                <w:szCs w:val="18"/>
                <w:lang w:val="en-CA"/>
              </w:rPr>
            </w:pPr>
            <w:r w:rsidRPr="00B43F59">
              <w:rPr>
                <w:b/>
                <w:sz w:val="18"/>
                <w:szCs w:val="18"/>
                <w:lang w:val="en-GB"/>
              </w:rPr>
              <w:t xml:space="preserve">Output 1.1 The "PONASI Landscape Co-Governance Mechanism" is updated, </w:t>
            </w:r>
            <w:proofErr w:type="gramStart"/>
            <w:r w:rsidRPr="00B43F59">
              <w:rPr>
                <w:b/>
                <w:sz w:val="18"/>
                <w:szCs w:val="18"/>
                <w:lang w:val="en-GB"/>
              </w:rPr>
              <w:t>strengthened</w:t>
            </w:r>
            <w:proofErr w:type="gramEnd"/>
            <w:r w:rsidRPr="00B43F59">
              <w:rPr>
                <w:b/>
                <w:sz w:val="18"/>
                <w:szCs w:val="18"/>
                <w:lang w:val="en-GB"/>
              </w:rPr>
              <w:t xml:space="preserve"> and operationalized</w:t>
            </w:r>
          </w:p>
        </w:tc>
      </w:tr>
      <w:tr w:rsidR="00302BFE" w:rsidRPr="00B43F59" w14:paraId="2A865F1F" w14:textId="77777777" w:rsidTr="00243B15">
        <w:trPr>
          <w:gridAfter w:val="1"/>
          <w:wAfter w:w="6" w:type="pct"/>
          <w:trHeight w:val="277"/>
          <w:jc w:val="center"/>
        </w:trPr>
        <w:tc>
          <w:tcPr>
            <w:tcW w:w="1229" w:type="pct"/>
            <w:vMerge w:val="restart"/>
            <w:shd w:val="clear" w:color="auto" w:fill="auto"/>
            <w:vAlign w:val="center"/>
          </w:tcPr>
          <w:p w14:paraId="79DAFCA9" w14:textId="77777777" w:rsidR="00302BFE" w:rsidRPr="00B43F59" w:rsidRDefault="00302BFE" w:rsidP="00243B15">
            <w:pPr>
              <w:spacing w:after="0"/>
              <w:contextualSpacing/>
              <w:jc w:val="left"/>
              <w:rPr>
                <w:sz w:val="18"/>
                <w:szCs w:val="18"/>
                <w:lang w:val="en-CA"/>
              </w:rPr>
            </w:pPr>
            <w:r w:rsidRPr="00B43F59">
              <w:rPr>
                <w:sz w:val="18"/>
                <w:szCs w:val="18"/>
                <w:lang w:val="en-CA"/>
              </w:rPr>
              <w:t>Ensure the integration of regional and communal councils for the promotion of gender in the PONASI landscape co-governance mechanism through awareness raising (output 1.1.3)</w:t>
            </w:r>
          </w:p>
        </w:tc>
        <w:tc>
          <w:tcPr>
            <w:tcW w:w="1193" w:type="pct"/>
            <w:shd w:val="clear" w:color="auto" w:fill="auto"/>
            <w:vAlign w:val="center"/>
          </w:tcPr>
          <w:p w14:paraId="611BCDB0" w14:textId="77777777" w:rsidR="00302BFE" w:rsidRPr="00B43F59" w:rsidRDefault="00302BFE" w:rsidP="00243B15">
            <w:pPr>
              <w:spacing w:after="0"/>
              <w:jc w:val="left"/>
              <w:rPr>
                <w:sz w:val="18"/>
                <w:szCs w:val="18"/>
                <w:lang w:val="en-CA"/>
              </w:rPr>
            </w:pPr>
            <w:r w:rsidRPr="00B43F59">
              <w:rPr>
                <w:sz w:val="18"/>
                <w:szCs w:val="18"/>
                <w:lang w:val="en-CA"/>
              </w:rPr>
              <w:t>Number of regional gender promotion councils participating in the PONASI landscape co-governance mechanism</w:t>
            </w:r>
          </w:p>
        </w:tc>
        <w:tc>
          <w:tcPr>
            <w:tcW w:w="605" w:type="pct"/>
            <w:shd w:val="clear" w:color="auto" w:fill="auto"/>
            <w:vAlign w:val="center"/>
          </w:tcPr>
          <w:p w14:paraId="02AEC12B" w14:textId="77777777" w:rsidR="00302BFE" w:rsidRPr="00B43F59" w:rsidRDefault="00302BFE" w:rsidP="00243B15">
            <w:pPr>
              <w:spacing w:after="0"/>
              <w:jc w:val="left"/>
              <w:rPr>
                <w:sz w:val="18"/>
                <w:szCs w:val="18"/>
              </w:rPr>
            </w:pPr>
            <w:r w:rsidRPr="00B43F59">
              <w:rPr>
                <w:sz w:val="18"/>
                <w:szCs w:val="18"/>
              </w:rPr>
              <w:t>3</w:t>
            </w:r>
          </w:p>
        </w:tc>
        <w:tc>
          <w:tcPr>
            <w:tcW w:w="606" w:type="pct"/>
            <w:vMerge w:val="restart"/>
            <w:shd w:val="clear" w:color="auto" w:fill="auto"/>
            <w:vAlign w:val="center"/>
          </w:tcPr>
          <w:p w14:paraId="05353523" w14:textId="77777777" w:rsidR="00302BFE" w:rsidRPr="00B43F59" w:rsidRDefault="00302BFE" w:rsidP="00243B15">
            <w:pPr>
              <w:spacing w:after="0"/>
              <w:jc w:val="left"/>
              <w:rPr>
                <w:sz w:val="18"/>
                <w:szCs w:val="18"/>
              </w:rPr>
            </w:pPr>
            <w:r w:rsidRPr="00B43F59">
              <w:rPr>
                <w:sz w:val="18"/>
                <w:szCs w:val="18"/>
              </w:rPr>
              <w:t>0</w:t>
            </w:r>
          </w:p>
        </w:tc>
        <w:tc>
          <w:tcPr>
            <w:tcW w:w="314" w:type="pct"/>
            <w:gridSpan w:val="2"/>
            <w:shd w:val="clear" w:color="auto" w:fill="auto"/>
            <w:vAlign w:val="center"/>
          </w:tcPr>
          <w:p w14:paraId="65444121" w14:textId="77777777" w:rsidR="00302BFE" w:rsidRPr="00B43F59" w:rsidRDefault="00302BFE" w:rsidP="00243B15">
            <w:pPr>
              <w:spacing w:after="0"/>
              <w:jc w:val="left"/>
              <w:rPr>
                <w:sz w:val="18"/>
                <w:szCs w:val="18"/>
              </w:rPr>
            </w:pPr>
            <w:r w:rsidRPr="00B43F59">
              <w:rPr>
                <w:sz w:val="18"/>
                <w:szCs w:val="18"/>
              </w:rPr>
              <w:t>Year 1</w:t>
            </w:r>
          </w:p>
        </w:tc>
        <w:tc>
          <w:tcPr>
            <w:tcW w:w="1047" w:type="pct"/>
            <w:vMerge w:val="restart"/>
            <w:shd w:val="clear" w:color="auto" w:fill="auto"/>
            <w:vAlign w:val="center"/>
          </w:tcPr>
          <w:p w14:paraId="06836F6A" w14:textId="77777777" w:rsidR="00302BFE" w:rsidRPr="00B43F59" w:rsidRDefault="00302BFE" w:rsidP="00243B15">
            <w:pPr>
              <w:pStyle w:val="Paragraphedeliste"/>
              <w:ind w:left="0"/>
              <w:contextualSpacing/>
              <w:rPr>
                <w:rFonts w:ascii="Calibri" w:hAnsi="Calibri"/>
                <w:sz w:val="18"/>
                <w:szCs w:val="18"/>
                <w:lang w:val="en-CA"/>
              </w:rPr>
            </w:pPr>
            <w:r w:rsidRPr="00B43F59">
              <w:rPr>
                <w:rFonts w:ascii="Calibri" w:hAnsi="Calibri"/>
                <w:sz w:val="18"/>
                <w:szCs w:val="18"/>
                <w:lang w:val="en-CA"/>
              </w:rPr>
              <w:t>Project Gender Expert</w:t>
            </w:r>
          </w:p>
          <w:p w14:paraId="7B55F74B" w14:textId="77777777" w:rsidR="00302BFE" w:rsidRPr="00B43F59" w:rsidRDefault="00302BFE" w:rsidP="00243B15">
            <w:pPr>
              <w:pStyle w:val="Paragraphedeliste"/>
              <w:ind w:left="0"/>
              <w:contextualSpacing/>
              <w:rPr>
                <w:rFonts w:ascii="Calibri" w:hAnsi="Calibri"/>
                <w:sz w:val="18"/>
                <w:szCs w:val="18"/>
                <w:lang w:val="en-CA"/>
              </w:rPr>
            </w:pPr>
            <w:r w:rsidRPr="00B43F59">
              <w:rPr>
                <w:rFonts w:ascii="Calibri" w:hAnsi="Calibri"/>
                <w:sz w:val="18"/>
                <w:szCs w:val="18"/>
              </w:rPr>
              <w:fldChar w:fldCharType="begin"/>
            </w:r>
            <w:r w:rsidRPr="00B43F59">
              <w:rPr>
                <w:rFonts w:ascii="Calibri" w:hAnsi="Calibri"/>
                <w:sz w:val="18"/>
                <w:szCs w:val="18"/>
                <w:lang w:val="en-CA"/>
              </w:rPr>
              <w:instrText xml:space="preserve"> HYPERLINK "http://lefaso.net/spip.php?article87367" </w:instrText>
            </w:r>
            <w:r w:rsidRPr="00B43F59">
              <w:rPr>
                <w:rFonts w:ascii="Calibri" w:hAnsi="Calibri"/>
                <w:sz w:val="18"/>
                <w:szCs w:val="18"/>
              </w:rPr>
              <w:fldChar w:fldCharType="separate"/>
            </w:r>
            <w:r w:rsidRPr="00B43F59">
              <w:rPr>
                <w:rFonts w:ascii="Calibri" w:hAnsi="Calibri"/>
                <w:sz w:val="18"/>
                <w:szCs w:val="18"/>
                <w:lang w:val="en-CA"/>
              </w:rPr>
              <w:t>Ministry of Women, National Solidarity and Family</w:t>
            </w:r>
          </w:p>
          <w:p w14:paraId="2BFCE485" w14:textId="77777777" w:rsidR="00302BFE" w:rsidRPr="00B43F59" w:rsidRDefault="00302BFE" w:rsidP="00243B15">
            <w:pPr>
              <w:pStyle w:val="Paragraphedeliste"/>
              <w:ind w:left="0"/>
              <w:contextualSpacing/>
              <w:rPr>
                <w:rFonts w:ascii="Calibri" w:hAnsi="Calibri"/>
                <w:sz w:val="18"/>
                <w:szCs w:val="18"/>
                <w:lang w:val="en-CA"/>
              </w:rPr>
            </w:pPr>
            <w:r w:rsidRPr="00B43F59">
              <w:rPr>
                <w:rFonts w:ascii="Calibri" w:hAnsi="Calibri"/>
                <w:sz w:val="18"/>
                <w:szCs w:val="18"/>
              </w:rPr>
              <w:fldChar w:fldCharType="end"/>
            </w:r>
            <w:r w:rsidRPr="00B43F59">
              <w:rPr>
                <w:rFonts w:ascii="Calibri" w:hAnsi="Calibri"/>
                <w:sz w:val="18"/>
                <w:szCs w:val="18"/>
                <w:lang w:val="en-CA"/>
              </w:rPr>
              <w:t xml:space="preserve">Permanent Secretariat of the National Council for the Promotion of Gender </w:t>
            </w:r>
            <w:r w:rsidRPr="00B43F59">
              <w:rPr>
                <w:rFonts w:ascii="Calibri" w:hAnsi="Calibri"/>
                <w:sz w:val="18"/>
                <w:szCs w:val="18"/>
                <w:lang w:val="en-CA" w:eastAsia="fr-CA"/>
              </w:rPr>
              <w:t xml:space="preserve">(SP/CONEP </w:t>
            </w:r>
            <w:r w:rsidRPr="00B43F59">
              <w:rPr>
                <w:rFonts w:ascii="Calibri" w:hAnsi="Calibri"/>
                <w:sz w:val="18"/>
                <w:szCs w:val="18"/>
                <w:lang w:val="en-CA"/>
              </w:rPr>
              <w:t>gender</w:t>
            </w:r>
            <w:r w:rsidRPr="00B43F59">
              <w:rPr>
                <w:rFonts w:ascii="Calibri" w:hAnsi="Calibri"/>
                <w:sz w:val="18"/>
                <w:szCs w:val="18"/>
                <w:lang w:val="en-CA" w:eastAsia="fr-CA"/>
              </w:rPr>
              <w:t>)</w:t>
            </w:r>
          </w:p>
          <w:p w14:paraId="1FD787ED" w14:textId="77777777" w:rsidR="00302BFE" w:rsidRPr="00B43F59" w:rsidRDefault="00302BFE" w:rsidP="00243B15">
            <w:pPr>
              <w:pStyle w:val="Paragraphedeliste"/>
              <w:ind w:left="0"/>
              <w:contextualSpacing/>
              <w:rPr>
                <w:rFonts w:ascii="Calibri" w:hAnsi="Calibri"/>
                <w:sz w:val="18"/>
                <w:szCs w:val="18"/>
              </w:rPr>
            </w:pPr>
            <w:r w:rsidRPr="00F45B1B">
              <w:rPr>
                <w:rFonts w:ascii="Calibri" w:hAnsi="Calibri"/>
                <w:sz w:val="18"/>
                <w:szCs w:val="18"/>
              </w:rPr>
              <w:t>Housing, and Community Development</w:t>
            </w:r>
          </w:p>
        </w:tc>
      </w:tr>
      <w:tr w:rsidR="00302BFE" w:rsidRPr="00B43F59" w14:paraId="1C060757" w14:textId="77777777" w:rsidTr="00243B15">
        <w:trPr>
          <w:gridAfter w:val="1"/>
          <w:wAfter w:w="6" w:type="pct"/>
          <w:trHeight w:val="883"/>
          <w:jc w:val="center"/>
        </w:trPr>
        <w:tc>
          <w:tcPr>
            <w:tcW w:w="1229" w:type="pct"/>
            <w:vMerge/>
            <w:shd w:val="clear" w:color="auto" w:fill="auto"/>
            <w:vAlign w:val="center"/>
          </w:tcPr>
          <w:p w14:paraId="7FFC01CC" w14:textId="77777777" w:rsidR="00302BFE" w:rsidRPr="00B43F59" w:rsidRDefault="00302BFE" w:rsidP="00243B15">
            <w:pPr>
              <w:spacing w:after="0"/>
              <w:contextualSpacing/>
              <w:jc w:val="left"/>
              <w:rPr>
                <w:sz w:val="18"/>
                <w:szCs w:val="18"/>
              </w:rPr>
            </w:pPr>
          </w:p>
        </w:tc>
        <w:tc>
          <w:tcPr>
            <w:tcW w:w="1193" w:type="pct"/>
            <w:shd w:val="clear" w:color="auto" w:fill="auto"/>
            <w:vAlign w:val="center"/>
          </w:tcPr>
          <w:p w14:paraId="01DDF1A3" w14:textId="77777777" w:rsidR="00302BFE" w:rsidRPr="00B43F59" w:rsidRDefault="00302BFE" w:rsidP="00243B15">
            <w:pPr>
              <w:spacing w:after="0"/>
              <w:jc w:val="left"/>
              <w:rPr>
                <w:sz w:val="18"/>
                <w:szCs w:val="18"/>
                <w:lang w:val="en-CA"/>
              </w:rPr>
            </w:pPr>
            <w:r w:rsidRPr="00B43F59">
              <w:rPr>
                <w:sz w:val="18"/>
                <w:szCs w:val="18"/>
                <w:lang w:val="en-CA"/>
              </w:rPr>
              <w:t xml:space="preserve">Number of </w:t>
            </w:r>
            <w:r w:rsidR="009363D6">
              <w:rPr>
                <w:sz w:val="18"/>
                <w:szCs w:val="18"/>
                <w:lang w:val="en-CA"/>
              </w:rPr>
              <w:t>communal</w:t>
            </w:r>
            <w:r w:rsidRPr="00B43F59">
              <w:rPr>
                <w:sz w:val="18"/>
                <w:szCs w:val="18"/>
                <w:lang w:val="en-CA"/>
              </w:rPr>
              <w:t xml:space="preserve"> councils promoting gender that are part of the PONASI landscape co-governance mechanism</w:t>
            </w:r>
          </w:p>
        </w:tc>
        <w:tc>
          <w:tcPr>
            <w:tcW w:w="605" w:type="pct"/>
            <w:shd w:val="clear" w:color="auto" w:fill="auto"/>
            <w:vAlign w:val="center"/>
          </w:tcPr>
          <w:p w14:paraId="3A8BBDE0" w14:textId="77777777" w:rsidR="00302BFE" w:rsidRPr="00B43F59" w:rsidRDefault="00302BFE" w:rsidP="00243B15">
            <w:pPr>
              <w:spacing w:after="0"/>
              <w:jc w:val="left"/>
              <w:rPr>
                <w:sz w:val="18"/>
                <w:szCs w:val="18"/>
              </w:rPr>
            </w:pPr>
            <w:r w:rsidRPr="00B43F59">
              <w:rPr>
                <w:sz w:val="18"/>
                <w:szCs w:val="18"/>
              </w:rPr>
              <w:t>9</w:t>
            </w:r>
          </w:p>
        </w:tc>
        <w:tc>
          <w:tcPr>
            <w:tcW w:w="606" w:type="pct"/>
            <w:vMerge/>
            <w:shd w:val="clear" w:color="auto" w:fill="auto"/>
            <w:vAlign w:val="center"/>
          </w:tcPr>
          <w:p w14:paraId="1E00150B" w14:textId="77777777" w:rsidR="00302BFE" w:rsidRPr="00B43F59" w:rsidRDefault="00302BFE" w:rsidP="00243B15">
            <w:pPr>
              <w:spacing w:after="0"/>
              <w:jc w:val="left"/>
              <w:rPr>
                <w:sz w:val="18"/>
                <w:szCs w:val="18"/>
              </w:rPr>
            </w:pPr>
          </w:p>
        </w:tc>
        <w:tc>
          <w:tcPr>
            <w:tcW w:w="314" w:type="pct"/>
            <w:gridSpan w:val="2"/>
            <w:shd w:val="clear" w:color="auto" w:fill="auto"/>
            <w:vAlign w:val="center"/>
          </w:tcPr>
          <w:p w14:paraId="0434093D" w14:textId="77777777" w:rsidR="00302BFE" w:rsidRPr="00B43F59" w:rsidRDefault="00302BFE" w:rsidP="00243B15">
            <w:pPr>
              <w:spacing w:after="0"/>
              <w:jc w:val="left"/>
              <w:rPr>
                <w:sz w:val="18"/>
                <w:szCs w:val="18"/>
              </w:rPr>
            </w:pPr>
            <w:r w:rsidRPr="00B43F59">
              <w:rPr>
                <w:sz w:val="18"/>
                <w:szCs w:val="18"/>
              </w:rPr>
              <w:t>Year 1</w:t>
            </w:r>
          </w:p>
        </w:tc>
        <w:tc>
          <w:tcPr>
            <w:tcW w:w="1047" w:type="pct"/>
            <w:vMerge/>
            <w:shd w:val="clear" w:color="auto" w:fill="auto"/>
            <w:vAlign w:val="center"/>
          </w:tcPr>
          <w:p w14:paraId="5B530C26" w14:textId="77777777" w:rsidR="00302BFE" w:rsidRPr="00B43F59" w:rsidRDefault="00302BFE" w:rsidP="00243B15">
            <w:pPr>
              <w:spacing w:after="0"/>
              <w:jc w:val="left"/>
              <w:rPr>
                <w:sz w:val="18"/>
                <w:szCs w:val="18"/>
              </w:rPr>
            </w:pPr>
          </w:p>
        </w:tc>
      </w:tr>
      <w:tr w:rsidR="00302BFE" w:rsidRPr="00B43F59" w14:paraId="429B239E" w14:textId="77777777" w:rsidTr="00243B15">
        <w:trPr>
          <w:gridAfter w:val="1"/>
          <w:wAfter w:w="6" w:type="pct"/>
          <w:trHeight w:val="901"/>
          <w:jc w:val="center"/>
        </w:trPr>
        <w:tc>
          <w:tcPr>
            <w:tcW w:w="1229" w:type="pct"/>
            <w:vMerge w:val="restart"/>
            <w:shd w:val="clear" w:color="auto" w:fill="auto"/>
            <w:vAlign w:val="center"/>
          </w:tcPr>
          <w:p w14:paraId="2E545FE9" w14:textId="77777777" w:rsidR="00302BFE" w:rsidRPr="00B43F59" w:rsidRDefault="00302BFE" w:rsidP="00243B15">
            <w:pPr>
              <w:spacing w:after="0"/>
              <w:contextualSpacing/>
              <w:jc w:val="left"/>
              <w:rPr>
                <w:sz w:val="18"/>
                <w:szCs w:val="18"/>
                <w:lang w:val="en-CA"/>
              </w:rPr>
            </w:pPr>
            <w:r w:rsidRPr="00B43F59">
              <w:rPr>
                <w:sz w:val="18"/>
                <w:szCs w:val="18"/>
                <w:lang w:val="en-CA"/>
              </w:rPr>
              <w:t>Train regional and commune councils to master the gender concept and their role in the implementation of the national gender policy (output 1.1.3)</w:t>
            </w:r>
          </w:p>
        </w:tc>
        <w:tc>
          <w:tcPr>
            <w:tcW w:w="1193" w:type="pct"/>
            <w:shd w:val="clear" w:color="auto" w:fill="auto"/>
            <w:vAlign w:val="center"/>
          </w:tcPr>
          <w:p w14:paraId="75F0362C" w14:textId="77777777" w:rsidR="00302BFE" w:rsidRPr="00B43F59" w:rsidRDefault="00302BFE" w:rsidP="00243B15">
            <w:pPr>
              <w:spacing w:after="0"/>
              <w:jc w:val="left"/>
              <w:rPr>
                <w:sz w:val="18"/>
                <w:szCs w:val="18"/>
                <w:lang w:val="en-CA"/>
              </w:rPr>
            </w:pPr>
            <w:r w:rsidRPr="00B43F59">
              <w:rPr>
                <w:sz w:val="18"/>
                <w:szCs w:val="18"/>
                <w:lang w:val="en-CA"/>
              </w:rPr>
              <w:t>Number of regional councils trained in mastering the gender concept and their role in the implementation of the national gender policy</w:t>
            </w:r>
          </w:p>
        </w:tc>
        <w:tc>
          <w:tcPr>
            <w:tcW w:w="605" w:type="pct"/>
            <w:shd w:val="clear" w:color="auto" w:fill="auto"/>
            <w:vAlign w:val="center"/>
          </w:tcPr>
          <w:p w14:paraId="1B5B2F98" w14:textId="77777777" w:rsidR="00302BFE" w:rsidRPr="00B43F59" w:rsidRDefault="00302BFE" w:rsidP="00243B15">
            <w:pPr>
              <w:spacing w:after="0"/>
              <w:jc w:val="left"/>
              <w:rPr>
                <w:sz w:val="18"/>
                <w:szCs w:val="18"/>
              </w:rPr>
            </w:pPr>
            <w:r w:rsidRPr="00B43F59">
              <w:rPr>
                <w:sz w:val="18"/>
                <w:szCs w:val="18"/>
              </w:rPr>
              <w:t>3</w:t>
            </w:r>
          </w:p>
        </w:tc>
        <w:tc>
          <w:tcPr>
            <w:tcW w:w="606" w:type="pct"/>
            <w:vMerge w:val="restart"/>
            <w:shd w:val="clear" w:color="auto" w:fill="auto"/>
            <w:vAlign w:val="center"/>
          </w:tcPr>
          <w:p w14:paraId="143DAC91" w14:textId="77777777" w:rsidR="00302BFE" w:rsidRPr="00B43F59" w:rsidRDefault="00302BFE" w:rsidP="00243B15">
            <w:pPr>
              <w:spacing w:after="0"/>
              <w:jc w:val="left"/>
              <w:rPr>
                <w:sz w:val="18"/>
                <w:szCs w:val="18"/>
                <w:lang w:val="en-CA"/>
              </w:rPr>
            </w:pPr>
            <w:r w:rsidRPr="00B43F59">
              <w:rPr>
                <w:sz w:val="18"/>
                <w:szCs w:val="18"/>
                <w:lang w:val="en-CA"/>
              </w:rPr>
              <w:t>0 (regional and communal councils have not yet been trained on gender and do not really control their role in the implementation of the national gender policy)</w:t>
            </w:r>
          </w:p>
        </w:tc>
        <w:tc>
          <w:tcPr>
            <w:tcW w:w="314" w:type="pct"/>
            <w:gridSpan w:val="2"/>
            <w:shd w:val="clear" w:color="auto" w:fill="auto"/>
            <w:vAlign w:val="center"/>
          </w:tcPr>
          <w:p w14:paraId="1D12020E"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56E5A295" w14:textId="77777777" w:rsidR="00302BFE" w:rsidRPr="00B43F59" w:rsidRDefault="00302BFE" w:rsidP="00243B15">
            <w:pPr>
              <w:spacing w:after="0"/>
              <w:jc w:val="left"/>
              <w:rPr>
                <w:sz w:val="18"/>
                <w:szCs w:val="18"/>
              </w:rPr>
            </w:pPr>
            <w:r w:rsidRPr="00B43F59">
              <w:rPr>
                <w:sz w:val="18"/>
                <w:szCs w:val="18"/>
              </w:rPr>
              <w:t>Project Gender Expert</w:t>
            </w:r>
          </w:p>
        </w:tc>
      </w:tr>
      <w:tr w:rsidR="00302BFE" w:rsidRPr="00B43F59" w14:paraId="0DB59D61" w14:textId="77777777" w:rsidTr="00243B15">
        <w:trPr>
          <w:gridAfter w:val="1"/>
          <w:wAfter w:w="6" w:type="pct"/>
          <w:trHeight w:val="863"/>
          <w:jc w:val="center"/>
        </w:trPr>
        <w:tc>
          <w:tcPr>
            <w:tcW w:w="1229" w:type="pct"/>
            <w:vMerge/>
            <w:shd w:val="clear" w:color="auto" w:fill="auto"/>
            <w:vAlign w:val="center"/>
          </w:tcPr>
          <w:p w14:paraId="54B2370B" w14:textId="77777777" w:rsidR="00302BFE" w:rsidRPr="00B43F59" w:rsidRDefault="00302BFE" w:rsidP="00243B15">
            <w:pPr>
              <w:spacing w:after="0"/>
              <w:contextualSpacing/>
              <w:jc w:val="left"/>
              <w:rPr>
                <w:sz w:val="18"/>
                <w:szCs w:val="18"/>
              </w:rPr>
            </w:pPr>
          </w:p>
        </w:tc>
        <w:tc>
          <w:tcPr>
            <w:tcW w:w="1193" w:type="pct"/>
            <w:shd w:val="clear" w:color="auto" w:fill="auto"/>
            <w:vAlign w:val="center"/>
          </w:tcPr>
          <w:p w14:paraId="53F6883F" w14:textId="77777777" w:rsidR="00302BFE" w:rsidRPr="00B43F59" w:rsidRDefault="00302BFE" w:rsidP="00243B15">
            <w:pPr>
              <w:spacing w:after="0"/>
              <w:jc w:val="left"/>
              <w:rPr>
                <w:sz w:val="18"/>
                <w:szCs w:val="18"/>
                <w:lang w:val="en-CA"/>
              </w:rPr>
            </w:pPr>
            <w:r w:rsidRPr="00B43F59">
              <w:rPr>
                <w:sz w:val="18"/>
                <w:szCs w:val="18"/>
                <w:lang w:val="en-CA"/>
              </w:rPr>
              <w:t xml:space="preserve">Number of </w:t>
            </w:r>
            <w:r w:rsidR="009363D6">
              <w:rPr>
                <w:sz w:val="18"/>
                <w:szCs w:val="18"/>
                <w:lang w:val="en-CA"/>
              </w:rPr>
              <w:t>communal</w:t>
            </w:r>
            <w:r w:rsidR="009363D6" w:rsidRPr="00B43F59">
              <w:rPr>
                <w:sz w:val="18"/>
                <w:szCs w:val="18"/>
                <w:lang w:val="en-CA"/>
              </w:rPr>
              <w:t xml:space="preserve"> </w:t>
            </w:r>
            <w:r w:rsidRPr="00B43F59">
              <w:rPr>
                <w:sz w:val="18"/>
                <w:szCs w:val="18"/>
                <w:lang w:val="en-CA"/>
              </w:rPr>
              <w:t>councils trained in the mastery of the gender concept and their role in the implementation of the national gender policy</w:t>
            </w:r>
          </w:p>
        </w:tc>
        <w:tc>
          <w:tcPr>
            <w:tcW w:w="605" w:type="pct"/>
            <w:shd w:val="clear" w:color="auto" w:fill="auto"/>
            <w:vAlign w:val="center"/>
          </w:tcPr>
          <w:p w14:paraId="33D5BE44" w14:textId="77777777" w:rsidR="00302BFE" w:rsidRPr="00B43F59" w:rsidRDefault="00302BFE" w:rsidP="00243B15">
            <w:pPr>
              <w:spacing w:after="0"/>
              <w:jc w:val="left"/>
              <w:rPr>
                <w:sz w:val="18"/>
                <w:szCs w:val="18"/>
              </w:rPr>
            </w:pPr>
            <w:r w:rsidRPr="00B43F59">
              <w:rPr>
                <w:sz w:val="18"/>
                <w:szCs w:val="18"/>
              </w:rPr>
              <w:t>9</w:t>
            </w:r>
          </w:p>
        </w:tc>
        <w:tc>
          <w:tcPr>
            <w:tcW w:w="606" w:type="pct"/>
            <w:vMerge/>
            <w:shd w:val="clear" w:color="auto" w:fill="auto"/>
            <w:vAlign w:val="center"/>
          </w:tcPr>
          <w:p w14:paraId="29F10754" w14:textId="77777777" w:rsidR="00302BFE" w:rsidRPr="00B43F59" w:rsidRDefault="00302BFE" w:rsidP="00243B15">
            <w:pPr>
              <w:spacing w:after="0"/>
              <w:jc w:val="left"/>
              <w:rPr>
                <w:sz w:val="18"/>
                <w:szCs w:val="18"/>
              </w:rPr>
            </w:pPr>
          </w:p>
        </w:tc>
        <w:tc>
          <w:tcPr>
            <w:tcW w:w="314" w:type="pct"/>
            <w:gridSpan w:val="2"/>
            <w:shd w:val="clear" w:color="auto" w:fill="auto"/>
            <w:vAlign w:val="center"/>
          </w:tcPr>
          <w:p w14:paraId="1EB2E614"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50314875" w14:textId="77777777" w:rsidR="00302BFE" w:rsidRPr="00B43F59" w:rsidRDefault="00302BFE" w:rsidP="00243B15">
            <w:pPr>
              <w:spacing w:after="0"/>
              <w:jc w:val="left"/>
              <w:rPr>
                <w:sz w:val="18"/>
                <w:szCs w:val="18"/>
              </w:rPr>
            </w:pPr>
            <w:r w:rsidRPr="00B43F59">
              <w:rPr>
                <w:sz w:val="18"/>
                <w:szCs w:val="18"/>
              </w:rPr>
              <w:t>Project Gender Expert</w:t>
            </w:r>
          </w:p>
        </w:tc>
      </w:tr>
      <w:tr w:rsidR="00302BFE" w:rsidRPr="00B43F59" w14:paraId="43ABE180" w14:textId="77777777" w:rsidTr="00243B15">
        <w:trPr>
          <w:gridAfter w:val="1"/>
          <w:wAfter w:w="6" w:type="pct"/>
          <w:trHeight w:val="590"/>
          <w:jc w:val="center"/>
        </w:trPr>
        <w:tc>
          <w:tcPr>
            <w:tcW w:w="1229" w:type="pct"/>
            <w:vMerge w:val="restart"/>
            <w:shd w:val="clear" w:color="auto" w:fill="auto"/>
            <w:vAlign w:val="center"/>
          </w:tcPr>
          <w:p w14:paraId="0B6342CC" w14:textId="77777777" w:rsidR="00302BFE" w:rsidRPr="00B43F59" w:rsidRDefault="00302BFE" w:rsidP="00243B15">
            <w:pPr>
              <w:spacing w:after="0"/>
              <w:contextualSpacing/>
              <w:jc w:val="left"/>
              <w:rPr>
                <w:sz w:val="18"/>
                <w:szCs w:val="18"/>
                <w:lang w:val="en-CA"/>
              </w:rPr>
            </w:pPr>
            <w:r w:rsidRPr="00B43F59">
              <w:rPr>
                <w:sz w:val="18"/>
                <w:szCs w:val="18"/>
                <w:lang w:val="en-CA"/>
              </w:rPr>
              <w:t xml:space="preserve">Train regional and </w:t>
            </w:r>
            <w:r w:rsidR="009363D6">
              <w:rPr>
                <w:sz w:val="18"/>
                <w:szCs w:val="18"/>
                <w:lang w:val="en-CA"/>
              </w:rPr>
              <w:t>communal</w:t>
            </w:r>
            <w:r w:rsidRPr="00B43F59">
              <w:rPr>
                <w:sz w:val="18"/>
                <w:szCs w:val="18"/>
                <w:lang w:val="en-CA"/>
              </w:rPr>
              <w:t xml:space="preserve"> councils in gender and development (output 1.1.3)</w:t>
            </w:r>
          </w:p>
        </w:tc>
        <w:tc>
          <w:tcPr>
            <w:tcW w:w="1193" w:type="pct"/>
            <w:shd w:val="clear" w:color="auto" w:fill="auto"/>
            <w:vAlign w:val="center"/>
          </w:tcPr>
          <w:p w14:paraId="7A063431" w14:textId="77777777" w:rsidR="00302BFE" w:rsidRPr="00B43F59" w:rsidRDefault="00302BFE" w:rsidP="00243B15">
            <w:pPr>
              <w:spacing w:after="0"/>
              <w:jc w:val="left"/>
              <w:rPr>
                <w:sz w:val="18"/>
                <w:szCs w:val="18"/>
                <w:lang w:val="en-CA"/>
              </w:rPr>
            </w:pPr>
            <w:r w:rsidRPr="00B43F59">
              <w:rPr>
                <w:sz w:val="18"/>
                <w:szCs w:val="18"/>
                <w:lang w:val="en-CA"/>
              </w:rPr>
              <w:t>Number of regional councils trained in gender and development</w:t>
            </w:r>
          </w:p>
        </w:tc>
        <w:tc>
          <w:tcPr>
            <w:tcW w:w="605" w:type="pct"/>
            <w:shd w:val="clear" w:color="auto" w:fill="auto"/>
            <w:vAlign w:val="center"/>
          </w:tcPr>
          <w:p w14:paraId="5B0D42D2" w14:textId="77777777" w:rsidR="00302BFE" w:rsidRPr="00B43F59" w:rsidRDefault="00302BFE" w:rsidP="00243B15">
            <w:pPr>
              <w:spacing w:after="0"/>
              <w:jc w:val="left"/>
              <w:rPr>
                <w:sz w:val="18"/>
                <w:szCs w:val="18"/>
              </w:rPr>
            </w:pPr>
            <w:r w:rsidRPr="00B43F59">
              <w:rPr>
                <w:sz w:val="18"/>
                <w:szCs w:val="18"/>
              </w:rPr>
              <w:t>3</w:t>
            </w:r>
          </w:p>
        </w:tc>
        <w:tc>
          <w:tcPr>
            <w:tcW w:w="606" w:type="pct"/>
            <w:vMerge w:val="restart"/>
            <w:shd w:val="clear" w:color="auto" w:fill="auto"/>
            <w:vAlign w:val="center"/>
          </w:tcPr>
          <w:p w14:paraId="26C9586B" w14:textId="77777777" w:rsidR="00302BFE" w:rsidRPr="00B43F59" w:rsidRDefault="00302BFE" w:rsidP="00243B15">
            <w:pPr>
              <w:spacing w:after="0"/>
              <w:jc w:val="left"/>
              <w:rPr>
                <w:sz w:val="18"/>
                <w:szCs w:val="18"/>
                <w:lang w:val="en-CA"/>
              </w:rPr>
            </w:pPr>
            <w:r w:rsidRPr="00B43F59">
              <w:rPr>
                <w:sz w:val="18"/>
                <w:szCs w:val="18"/>
                <w:lang w:val="en-CA"/>
              </w:rPr>
              <w:t>0 (regional and communal councils are not yet trained in gender and development for better local ownership of the issue)</w:t>
            </w:r>
          </w:p>
        </w:tc>
        <w:tc>
          <w:tcPr>
            <w:tcW w:w="314" w:type="pct"/>
            <w:gridSpan w:val="2"/>
            <w:shd w:val="clear" w:color="auto" w:fill="auto"/>
            <w:vAlign w:val="center"/>
          </w:tcPr>
          <w:p w14:paraId="1551CA74"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7DD085D9" w14:textId="77777777" w:rsidR="00302BFE" w:rsidRPr="00B43F59" w:rsidRDefault="00302BFE" w:rsidP="00243B15">
            <w:pPr>
              <w:spacing w:after="0"/>
              <w:jc w:val="left"/>
              <w:rPr>
                <w:sz w:val="18"/>
                <w:szCs w:val="18"/>
              </w:rPr>
            </w:pPr>
            <w:r w:rsidRPr="00B43F59">
              <w:rPr>
                <w:sz w:val="18"/>
                <w:szCs w:val="18"/>
              </w:rPr>
              <w:t>Project Gender Expert</w:t>
            </w:r>
          </w:p>
        </w:tc>
      </w:tr>
      <w:tr w:rsidR="00302BFE" w:rsidRPr="00B43F59" w14:paraId="3FF3DC61" w14:textId="77777777" w:rsidTr="00243B15">
        <w:trPr>
          <w:gridAfter w:val="1"/>
          <w:wAfter w:w="6" w:type="pct"/>
          <w:trHeight w:val="572"/>
          <w:jc w:val="center"/>
        </w:trPr>
        <w:tc>
          <w:tcPr>
            <w:tcW w:w="1229" w:type="pct"/>
            <w:vMerge/>
            <w:shd w:val="clear" w:color="auto" w:fill="auto"/>
            <w:vAlign w:val="center"/>
          </w:tcPr>
          <w:p w14:paraId="33F6B528" w14:textId="77777777" w:rsidR="00302BFE" w:rsidRPr="00B43F59" w:rsidRDefault="00302BFE" w:rsidP="00243B15">
            <w:pPr>
              <w:spacing w:after="0"/>
              <w:contextualSpacing/>
              <w:jc w:val="left"/>
              <w:rPr>
                <w:sz w:val="18"/>
                <w:szCs w:val="18"/>
              </w:rPr>
            </w:pPr>
          </w:p>
        </w:tc>
        <w:tc>
          <w:tcPr>
            <w:tcW w:w="1193" w:type="pct"/>
            <w:shd w:val="clear" w:color="auto" w:fill="auto"/>
            <w:vAlign w:val="center"/>
          </w:tcPr>
          <w:p w14:paraId="1A908837" w14:textId="77777777" w:rsidR="00302BFE" w:rsidRPr="00B43F59" w:rsidRDefault="00302BFE" w:rsidP="00243B15">
            <w:pPr>
              <w:spacing w:after="0"/>
              <w:jc w:val="left"/>
              <w:rPr>
                <w:sz w:val="18"/>
                <w:szCs w:val="18"/>
                <w:lang w:val="en-CA"/>
              </w:rPr>
            </w:pPr>
            <w:r w:rsidRPr="00B43F59">
              <w:rPr>
                <w:sz w:val="18"/>
                <w:szCs w:val="18"/>
                <w:lang w:val="en-CA"/>
              </w:rPr>
              <w:t xml:space="preserve">Number of </w:t>
            </w:r>
            <w:r w:rsidR="009363D6">
              <w:rPr>
                <w:sz w:val="18"/>
                <w:szCs w:val="18"/>
                <w:lang w:val="en-CA"/>
              </w:rPr>
              <w:t>communal</w:t>
            </w:r>
            <w:r w:rsidR="009363D6" w:rsidRPr="00B43F59">
              <w:rPr>
                <w:sz w:val="18"/>
                <w:szCs w:val="18"/>
                <w:lang w:val="en-CA"/>
              </w:rPr>
              <w:t xml:space="preserve"> </w:t>
            </w:r>
            <w:r w:rsidRPr="00B43F59">
              <w:rPr>
                <w:sz w:val="18"/>
                <w:szCs w:val="18"/>
                <w:lang w:val="en-CA"/>
              </w:rPr>
              <w:t>councils trained in gender and development</w:t>
            </w:r>
          </w:p>
        </w:tc>
        <w:tc>
          <w:tcPr>
            <w:tcW w:w="605" w:type="pct"/>
            <w:shd w:val="clear" w:color="auto" w:fill="auto"/>
            <w:vAlign w:val="center"/>
          </w:tcPr>
          <w:p w14:paraId="35C660CD" w14:textId="77777777" w:rsidR="00302BFE" w:rsidRPr="00B43F59" w:rsidRDefault="00302BFE" w:rsidP="00243B15">
            <w:pPr>
              <w:spacing w:after="0"/>
              <w:jc w:val="left"/>
              <w:rPr>
                <w:sz w:val="18"/>
                <w:szCs w:val="18"/>
              </w:rPr>
            </w:pPr>
            <w:r w:rsidRPr="00B43F59">
              <w:rPr>
                <w:sz w:val="18"/>
                <w:szCs w:val="18"/>
              </w:rPr>
              <w:t>9</w:t>
            </w:r>
          </w:p>
        </w:tc>
        <w:tc>
          <w:tcPr>
            <w:tcW w:w="606" w:type="pct"/>
            <w:vMerge/>
            <w:shd w:val="clear" w:color="auto" w:fill="auto"/>
            <w:vAlign w:val="center"/>
          </w:tcPr>
          <w:p w14:paraId="167C6281" w14:textId="77777777" w:rsidR="00302BFE" w:rsidRPr="00B43F59" w:rsidRDefault="00302BFE" w:rsidP="00243B15">
            <w:pPr>
              <w:spacing w:after="0"/>
              <w:jc w:val="left"/>
              <w:rPr>
                <w:sz w:val="18"/>
                <w:szCs w:val="18"/>
              </w:rPr>
            </w:pPr>
          </w:p>
        </w:tc>
        <w:tc>
          <w:tcPr>
            <w:tcW w:w="314" w:type="pct"/>
            <w:gridSpan w:val="2"/>
            <w:shd w:val="clear" w:color="auto" w:fill="auto"/>
            <w:vAlign w:val="center"/>
          </w:tcPr>
          <w:p w14:paraId="3CDBB406"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539616C1" w14:textId="77777777" w:rsidR="00302BFE" w:rsidRPr="00B43F59" w:rsidRDefault="00302BFE" w:rsidP="00243B15">
            <w:pPr>
              <w:spacing w:after="0"/>
              <w:jc w:val="left"/>
              <w:rPr>
                <w:sz w:val="18"/>
                <w:szCs w:val="18"/>
              </w:rPr>
            </w:pPr>
            <w:r w:rsidRPr="00B43F59">
              <w:rPr>
                <w:sz w:val="18"/>
                <w:szCs w:val="18"/>
              </w:rPr>
              <w:t>Project Gender Expert</w:t>
            </w:r>
          </w:p>
        </w:tc>
      </w:tr>
      <w:tr w:rsidR="00302BFE" w:rsidRPr="00B43F59" w14:paraId="1C7837E2" w14:textId="77777777" w:rsidTr="00243B15">
        <w:trPr>
          <w:gridAfter w:val="1"/>
          <w:wAfter w:w="6" w:type="pct"/>
          <w:jc w:val="center"/>
        </w:trPr>
        <w:tc>
          <w:tcPr>
            <w:tcW w:w="1229" w:type="pct"/>
            <w:shd w:val="clear" w:color="auto" w:fill="auto"/>
            <w:vAlign w:val="center"/>
          </w:tcPr>
          <w:p w14:paraId="095A4F28" w14:textId="77777777" w:rsidR="00302BFE" w:rsidRPr="00B43F59" w:rsidRDefault="00302BFE" w:rsidP="00243B15">
            <w:pPr>
              <w:spacing w:after="0"/>
              <w:contextualSpacing/>
              <w:jc w:val="left"/>
              <w:rPr>
                <w:sz w:val="18"/>
                <w:szCs w:val="18"/>
              </w:rPr>
            </w:pPr>
            <w:r w:rsidRPr="00B43F59">
              <w:rPr>
                <w:sz w:val="18"/>
                <w:szCs w:val="18"/>
              </w:rPr>
              <w:t>Conduct training for the collection and analysis of gender specific data to build national and local capacity to mainstream gender issues in the environmental land use planning process for the PONASI landscape (output 1.1.3)</w:t>
            </w:r>
          </w:p>
        </w:tc>
        <w:tc>
          <w:tcPr>
            <w:tcW w:w="1193" w:type="pct"/>
            <w:shd w:val="clear" w:color="auto" w:fill="auto"/>
            <w:vAlign w:val="center"/>
          </w:tcPr>
          <w:p w14:paraId="689B63CE" w14:textId="77777777" w:rsidR="00302BFE" w:rsidRPr="00B43F59" w:rsidRDefault="00302BFE" w:rsidP="00243B15">
            <w:pPr>
              <w:spacing w:after="0"/>
              <w:jc w:val="left"/>
              <w:rPr>
                <w:sz w:val="18"/>
                <w:szCs w:val="18"/>
              </w:rPr>
            </w:pPr>
            <w:r w:rsidRPr="00B43F59">
              <w:rPr>
                <w:sz w:val="18"/>
                <w:szCs w:val="18"/>
              </w:rPr>
              <w:t xml:space="preserve">Number of training sessions for the collection of gender specific data in support of project activities </w:t>
            </w:r>
          </w:p>
        </w:tc>
        <w:tc>
          <w:tcPr>
            <w:tcW w:w="605" w:type="pct"/>
            <w:shd w:val="clear" w:color="auto" w:fill="auto"/>
            <w:vAlign w:val="center"/>
          </w:tcPr>
          <w:p w14:paraId="2C50D178" w14:textId="77777777" w:rsidR="00302BFE" w:rsidRPr="00B43F59" w:rsidRDefault="00302BFE" w:rsidP="00243B15">
            <w:pPr>
              <w:spacing w:after="0"/>
              <w:jc w:val="left"/>
              <w:rPr>
                <w:sz w:val="18"/>
                <w:szCs w:val="18"/>
              </w:rPr>
            </w:pPr>
            <w:r w:rsidRPr="00B43F59">
              <w:rPr>
                <w:sz w:val="18"/>
                <w:szCs w:val="18"/>
              </w:rPr>
              <w:t>At least 4 training events: 2 national level (</w:t>
            </w:r>
            <w:proofErr w:type="gramStart"/>
            <w:r w:rsidRPr="00B43F59">
              <w:rPr>
                <w:sz w:val="18"/>
                <w:szCs w:val="18"/>
              </w:rPr>
              <w:t>e.g.</w:t>
            </w:r>
            <w:proofErr w:type="gramEnd"/>
            <w:r w:rsidRPr="00B43F59">
              <w:rPr>
                <w:sz w:val="18"/>
                <w:szCs w:val="18"/>
              </w:rPr>
              <w:t xml:space="preserve"> ministries in charge of Agriculture and the Environment) and 3 at the local level (1 in each region)</w:t>
            </w:r>
          </w:p>
        </w:tc>
        <w:tc>
          <w:tcPr>
            <w:tcW w:w="606" w:type="pct"/>
            <w:shd w:val="clear" w:color="auto" w:fill="auto"/>
            <w:vAlign w:val="center"/>
          </w:tcPr>
          <w:p w14:paraId="3380B732" w14:textId="77777777" w:rsidR="00302BFE" w:rsidRPr="00B43F59" w:rsidRDefault="00302BFE" w:rsidP="00243B15">
            <w:pPr>
              <w:spacing w:after="0"/>
              <w:jc w:val="left"/>
              <w:rPr>
                <w:sz w:val="18"/>
                <w:szCs w:val="18"/>
              </w:rPr>
            </w:pPr>
            <w:r w:rsidRPr="00B43F59">
              <w:rPr>
                <w:sz w:val="18"/>
                <w:szCs w:val="18"/>
              </w:rPr>
              <w:t>0</w:t>
            </w:r>
          </w:p>
        </w:tc>
        <w:tc>
          <w:tcPr>
            <w:tcW w:w="314" w:type="pct"/>
            <w:gridSpan w:val="2"/>
            <w:shd w:val="clear" w:color="auto" w:fill="auto"/>
            <w:vAlign w:val="center"/>
          </w:tcPr>
          <w:p w14:paraId="6C00C164"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74081D6D" w14:textId="77777777" w:rsidR="00302BFE" w:rsidRPr="00B43F59" w:rsidRDefault="00302BFE" w:rsidP="00243B15">
            <w:pPr>
              <w:spacing w:after="0"/>
              <w:jc w:val="left"/>
              <w:rPr>
                <w:sz w:val="18"/>
                <w:szCs w:val="18"/>
              </w:rPr>
            </w:pPr>
            <w:r w:rsidRPr="00B43F59">
              <w:rPr>
                <w:sz w:val="18"/>
                <w:szCs w:val="18"/>
              </w:rPr>
              <w:t>Gender Expert</w:t>
            </w:r>
          </w:p>
          <w:p w14:paraId="765DC16D" w14:textId="77777777" w:rsidR="00302BFE" w:rsidRPr="00C3579E" w:rsidRDefault="00302BFE" w:rsidP="00243B15">
            <w:pPr>
              <w:spacing w:after="0"/>
              <w:jc w:val="left"/>
              <w:rPr>
                <w:sz w:val="18"/>
                <w:szCs w:val="18"/>
              </w:rPr>
            </w:pPr>
            <w:r w:rsidRPr="00C3579E">
              <w:rPr>
                <w:sz w:val="18"/>
                <w:szCs w:val="18"/>
              </w:rPr>
              <w:t>Gender Bureau,</w:t>
            </w:r>
          </w:p>
          <w:p w14:paraId="05D262EB" w14:textId="77777777" w:rsidR="00302BFE" w:rsidRPr="00C3579E" w:rsidRDefault="00302BFE" w:rsidP="00243B15">
            <w:pPr>
              <w:spacing w:after="0"/>
              <w:jc w:val="left"/>
              <w:rPr>
                <w:sz w:val="18"/>
                <w:szCs w:val="18"/>
              </w:rPr>
            </w:pPr>
            <w:r w:rsidRPr="00C3579E">
              <w:rPr>
                <w:sz w:val="18"/>
                <w:szCs w:val="18"/>
              </w:rPr>
              <w:t>Division of Gender and Family Affairs</w:t>
            </w:r>
          </w:p>
          <w:p w14:paraId="73298FA2" w14:textId="77777777" w:rsidR="00302BFE" w:rsidRPr="00B43F59" w:rsidRDefault="00302BFE" w:rsidP="00243B15">
            <w:pPr>
              <w:spacing w:after="0"/>
              <w:jc w:val="left"/>
              <w:rPr>
                <w:sz w:val="18"/>
                <w:szCs w:val="18"/>
              </w:rPr>
            </w:pPr>
            <w:r w:rsidRPr="00C3579E">
              <w:rPr>
                <w:sz w:val="18"/>
                <w:szCs w:val="18"/>
              </w:rPr>
              <w:t>Ministry of Social Development, Housing, and Community Development</w:t>
            </w:r>
          </w:p>
        </w:tc>
      </w:tr>
      <w:tr w:rsidR="00302BFE" w:rsidRPr="00B43F59" w14:paraId="041A2C19" w14:textId="77777777" w:rsidTr="00243B15">
        <w:trPr>
          <w:gridAfter w:val="1"/>
          <w:wAfter w:w="6" w:type="pct"/>
          <w:trHeight w:val="677"/>
          <w:jc w:val="center"/>
        </w:trPr>
        <w:tc>
          <w:tcPr>
            <w:tcW w:w="1229" w:type="pct"/>
            <w:vMerge w:val="restart"/>
            <w:shd w:val="clear" w:color="auto" w:fill="auto"/>
            <w:vAlign w:val="center"/>
          </w:tcPr>
          <w:p w14:paraId="4B04A0A8" w14:textId="77777777" w:rsidR="00302BFE" w:rsidRPr="00B43F59" w:rsidRDefault="00302BFE" w:rsidP="00243B15">
            <w:pPr>
              <w:spacing w:after="0"/>
              <w:contextualSpacing/>
              <w:jc w:val="left"/>
              <w:rPr>
                <w:sz w:val="18"/>
                <w:szCs w:val="18"/>
                <w:lang w:val="en-CA"/>
              </w:rPr>
            </w:pPr>
            <w:r w:rsidRPr="00B43F59">
              <w:rPr>
                <w:sz w:val="18"/>
                <w:szCs w:val="18"/>
                <w:lang w:val="en-CA"/>
              </w:rPr>
              <w:t xml:space="preserve">Train regional and local councils to use the tools or reflection matrices designed to </w:t>
            </w:r>
            <w:proofErr w:type="gramStart"/>
            <w:r w:rsidRPr="00B43F59">
              <w:rPr>
                <w:sz w:val="18"/>
                <w:szCs w:val="18"/>
                <w:lang w:val="en-CA"/>
              </w:rPr>
              <w:t xml:space="preserve">take </w:t>
            </w:r>
            <w:r w:rsidRPr="00B43F59">
              <w:rPr>
                <w:sz w:val="18"/>
                <w:szCs w:val="18"/>
                <w:lang w:val="en-CA"/>
              </w:rPr>
              <w:lastRenderedPageBreak/>
              <w:t>into account</w:t>
            </w:r>
            <w:proofErr w:type="gramEnd"/>
            <w:r w:rsidRPr="00B43F59">
              <w:rPr>
                <w:sz w:val="18"/>
                <w:szCs w:val="18"/>
                <w:lang w:val="en-CA"/>
              </w:rPr>
              <w:t xml:space="preserve"> the gender dimension in the project (output 1.1.3)</w:t>
            </w:r>
          </w:p>
        </w:tc>
        <w:tc>
          <w:tcPr>
            <w:tcW w:w="1193" w:type="pct"/>
            <w:shd w:val="clear" w:color="auto" w:fill="auto"/>
            <w:vAlign w:val="center"/>
          </w:tcPr>
          <w:p w14:paraId="0B9438C8" w14:textId="77777777" w:rsidR="00302BFE" w:rsidRPr="00B43F59" w:rsidRDefault="00302BFE" w:rsidP="00243B15">
            <w:pPr>
              <w:spacing w:after="0"/>
              <w:jc w:val="left"/>
              <w:rPr>
                <w:sz w:val="18"/>
                <w:szCs w:val="18"/>
                <w:lang w:val="en-CA"/>
              </w:rPr>
            </w:pPr>
            <w:r w:rsidRPr="00B43F59">
              <w:rPr>
                <w:sz w:val="18"/>
                <w:szCs w:val="18"/>
                <w:lang w:val="en-CA"/>
              </w:rPr>
              <w:lastRenderedPageBreak/>
              <w:t xml:space="preserve">Number of regional councils trained on the use of tools or reflection matrices designed to </w:t>
            </w:r>
            <w:proofErr w:type="gramStart"/>
            <w:r w:rsidRPr="00B43F59">
              <w:rPr>
                <w:sz w:val="18"/>
                <w:szCs w:val="18"/>
                <w:lang w:val="en-CA"/>
              </w:rPr>
              <w:t>take into account</w:t>
            </w:r>
            <w:proofErr w:type="gramEnd"/>
            <w:r w:rsidRPr="00B43F59">
              <w:rPr>
                <w:sz w:val="18"/>
                <w:szCs w:val="18"/>
                <w:lang w:val="en-CA"/>
              </w:rPr>
              <w:t xml:space="preserve"> the gender dimension</w:t>
            </w:r>
          </w:p>
        </w:tc>
        <w:tc>
          <w:tcPr>
            <w:tcW w:w="605" w:type="pct"/>
            <w:shd w:val="clear" w:color="auto" w:fill="auto"/>
            <w:vAlign w:val="center"/>
          </w:tcPr>
          <w:p w14:paraId="50530BC6" w14:textId="77777777" w:rsidR="00302BFE" w:rsidRPr="00B43F59" w:rsidRDefault="00302BFE" w:rsidP="00243B15">
            <w:pPr>
              <w:spacing w:after="0"/>
              <w:jc w:val="left"/>
              <w:rPr>
                <w:sz w:val="18"/>
                <w:szCs w:val="18"/>
              </w:rPr>
            </w:pPr>
            <w:r w:rsidRPr="00B43F59">
              <w:rPr>
                <w:sz w:val="18"/>
                <w:szCs w:val="18"/>
              </w:rPr>
              <w:t>3</w:t>
            </w:r>
          </w:p>
        </w:tc>
        <w:tc>
          <w:tcPr>
            <w:tcW w:w="606" w:type="pct"/>
            <w:shd w:val="clear" w:color="auto" w:fill="auto"/>
            <w:vAlign w:val="center"/>
          </w:tcPr>
          <w:p w14:paraId="1CF790D6" w14:textId="77777777" w:rsidR="00302BFE" w:rsidRPr="00B43F59" w:rsidRDefault="00302BFE" w:rsidP="00243B15">
            <w:pPr>
              <w:spacing w:after="0"/>
              <w:jc w:val="left"/>
              <w:rPr>
                <w:sz w:val="18"/>
                <w:szCs w:val="18"/>
              </w:rPr>
            </w:pPr>
            <w:r w:rsidRPr="00B43F59">
              <w:rPr>
                <w:sz w:val="18"/>
                <w:szCs w:val="18"/>
              </w:rPr>
              <w:t>0</w:t>
            </w:r>
          </w:p>
        </w:tc>
        <w:tc>
          <w:tcPr>
            <w:tcW w:w="314" w:type="pct"/>
            <w:gridSpan w:val="2"/>
            <w:shd w:val="clear" w:color="auto" w:fill="auto"/>
            <w:vAlign w:val="center"/>
          </w:tcPr>
          <w:p w14:paraId="607C166A"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1374D4F3" w14:textId="77777777" w:rsidR="00302BFE" w:rsidRPr="00B43F59" w:rsidRDefault="00302BFE" w:rsidP="00243B15">
            <w:pPr>
              <w:spacing w:after="0"/>
              <w:jc w:val="left"/>
              <w:rPr>
                <w:sz w:val="18"/>
                <w:szCs w:val="18"/>
              </w:rPr>
            </w:pPr>
            <w:r w:rsidRPr="00B43F59">
              <w:rPr>
                <w:sz w:val="18"/>
                <w:szCs w:val="18"/>
              </w:rPr>
              <w:t>Project Gender Expert</w:t>
            </w:r>
          </w:p>
        </w:tc>
      </w:tr>
      <w:tr w:rsidR="00302BFE" w:rsidRPr="00B43F59" w14:paraId="63A063C6" w14:textId="77777777" w:rsidTr="00243B15">
        <w:trPr>
          <w:gridAfter w:val="1"/>
          <w:wAfter w:w="6" w:type="pct"/>
          <w:trHeight w:val="967"/>
          <w:jc w:val="center"/>
        </w:trPr>
        <w:tc>
          <w:tcPr>
            <w:tcW w:w="1229" w:type="pct"/>
            <w:vMerge/>
            <w:shd w:val="clear" w:color="auto" w:fill="auto"/>
            <w:vAlign w:val="center"/>
          </w:tcPr>
          <w:p w14:paraId="7B1A68EF" w14:textId="77777777" w:rsidR="00302BFE" w:rsidRPr="00B43F59" w:rsidRDefault="00302BFE" w:rsidP="00243B15">
            <w:pPr>
              <w:spacing w:after="0"/>
              <w:contextualSpacing/>
              <w:jc w:val="left"/>
              <w:rPr>
                <w:sz w:val="18"/>
                <w:szCs w:val="18"/>
              </w:rPr>
            </w:pPr>
          </w:p>
        </w:tc>
        <w:tc>
          <w:tcPr>
            <w:tcW w:w="1193" w:type="pct"/>
            <w:shd w:val="clear" w:color="auto" w:fill="auto"/>
            <w:vAlign w:val="center"/>
          </w:tcPr>
          <w:p w14:paraId="3F389F52" w14:textId="77777777" w:rsidR="00302BFE" w:rsidRPr="00B43F59" w:rsidRDefault="00302BFE" w:rsidP="00243B15">
            <w:pPr>
              <w:spacing w:after="0"/>
              <w:jc w:val="left"/>
              <w:rPr>
                <w:sz w:val="18"/>
                <w:szCs w:val="18"/>
                <w:lang w:val="en-CA"/>
              </w:rPr>
            </w:pPr>
            <w:r w:rsidRPr="00B43F59">
              <w:rPr>
                <w:sz w:val="18"/>
                <w:szCs w:val="18"/>
                <w:lang w:val="en-CA"/>
              </w:rPr>
              <w:t xml:space="preserve">Number of </w:t>
            </w:r>
            <w:r w:rsidR="009363D6">
              <w:rPr>
                <w:sz w:val="18"/>
                <w:szCs w:val="18"/>
                <w:lang w:val="en-CA"/>
              </w:rPr>
              <w:t>communal</w:t>
            </w:r>
            <w:r w:rsidRPr="00B43F59">
              <w:rPr>
                <w:sz w:val="18"/>
                <w:szCs w:val="18"/>
                <w:lang w:val="en-CA"/>
              </w:rPr>
              <w:t xml:space="preserve"> councils trained on the use of tools or reflection matrices designed to </w:t>
            </w:r>
            <w:proofErr w:type="gramStart"/>
            <w:r w:rsidRPr="00B43F59">
              <w:rPr>
                <w:sz w:val="18"/>
                <w:szCs w:val="18"/>
                <w:lang w:val="en-CA"/>
              </w:rPr>
              <w:t>take into account</w:t>
            </w:r>
            <w:proofErr w:type="gramEnd"/>
            <w:r w:rsidRPr="00B43F59">
              <w:rPr>
                <w:sz w:val="18"/>
                <w:szCs w:val="18"/>
                <w:lang w:val="en-CA"/>
              </w:rPr>
              <w:t xml:space="preserve"> the gender dimension</w:t>
            </w:r>
          </w:p>
        </w:tc>
        <w:tc>
          <w:tcPr>
            <w:tcW w:w="605" w:type="pct"/>
            <w:shd w:val="clear" w:color="auto" w:fill="auto"/>
            <w:vAlign w:val="center"/>
          </w:tcPr>
          <w:p w14:paraId="7A44E86C" w14:textId="77777777" w:rsidR="00302BFE" w:rsidRPr="00B43F59" w:rsidRDefault="00302BFE" w:rsidP="00243B15">
            <w:pPr>
              <w:spacing w:after="0"/>
              <w:jc w:val="left"/>
              <w:rPr>
                <w:sz w:val="18"/>
                <w:szCs w:val="18"/>
              </w:rPr>
            </w:pPr>
            <w:r w:rsidRPr="00B43F59">
              <w:rPr>
                <w:sz w:val="18"/>
                <w:szCs w:val="18"/>
              </w:rPr>
              <w:t>9</w:t>
            </w:r>
          </w:p>
        </w:tc>
        <w:tc>
          <w:tcPr>
            <w:tcW w:w="606" w:type="pct"/>
            <w:shd w:val="clear" w:color="auto" w:fill="auto"/>
            <w:vAlign w:val="center"/>
          </w:tcPr>
          <w:p w14:paraId="40957D0E" w14:textId="77777777" w:rsidR="00302BFE" w:rsidRPr="00B43F59" w:rsidRDefault="00302BFE" w:rsidP="00243B15">
            <w:pPr>
              <w:spacing w:after="0"/>
              <w:jc w:val="left"/>
              <w:rPr>
                <w:sz w:val="18"/>
                <w:szCs w:val="18"/>
              </w:rPr>
            </w:pPr>
            <w:r w:rsidRPr="00B43F59">
              <w:rPr>
                <w:sz w:val="18"/>
                <w:szCs w:val="18"/>
              </w:rPr>
              <w:t>0</w:t>
            </w:r>
          </w:p>
        </w:tc>
        <w:tc>
          <w:tcPr>
            <w:tcW w:w="314" w:type="pct"/>
            <w:gridSpan w:val="2"/>
            <w:shd w:val="clear" w:color="auto" w:fill="auto"/>
            <w:vAlign w:val="center"/>
          </w:tcPr>
          <w:p w14:paraId="41EB6BCF"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7F93C959" w14:textId="77777777" w:rsidR="00302BFE" w:rsidRPr="00B43F59" w:rsidRDefault="00302BFE" w:rsidP="00243B15">
            <w:pPr>
              <w:spacing w:after="0"/>
              <w:jc w:val="left"/>
              <w:rPr>
                <w:sz w:val="18"/>
                <w:szCs w:val="18"/>
              </w:rPr>
            </w:pPr>
            <w:r w:rsidRPr="00B43F59">
              <w:rPr>
                <w:sz w:val="18"/>
                <w:szCs w:val="18"/>
              </w:rPr>
              <w:t>Project Gender Expert</w:t>
            </w:r>
          </w:p>
        </w:tc>
      </w:tr>
      <w:tr w:rsidR="00302BFE" w:rsidRPr="00B43F59" w14:paraId="4CCBF049" w14:textId="77777777" w:rsidTr="00243B15">
        <w:trPr>
          <w:jc w:val="center"/>
        </w:trPr>
        <w:tc>
          <w:tcPr>
            <w:tcW w:w="5000" w:type="pct"/>
            <w:gridSpan w:val="8"/>
            <w:shd w:val="clear" w:color="auto" w:fill="auto"/>
            <w:vAlign w:val="center"/>
          </w:tcPr>
          <w:p w14:paraId="1B209A4B" w14:textId="77777777" w:rsidR="00302BFE" w:rsidRPr="00B43F59" w:rsidRDefault="00302BFE" w:rsidP="00243B15">
            <w:pPr>
              <w:spacing w:after="0"/>
              <w:jc w:val="left"/>
              <w:rPr>
                <w:b/>
                <w:sz w:val="18"/>
                <w:szCs w:val="18"/>
                <w:lang w:val="en-CA"/>
              </w:rPr>
            </w:pPr>
            <w:r w:rsidRPr="00B43F59">
              <w:rPr>
                <w:b/>
                <w:sz w:val="18"/>
                <w:szCs w:val="18"/>
                <w:lang w:val="en-GB"/>
              </w:rPr>
              <w:t>Output 1.2 The territorial planning tool is adopted as a spatial planning methodology</w:t>
            </w:r>
          </w:p>
        </w:tc>
      </w:tr>
      <w:tr w:rsidR="00302BFE" w:rsidRPr="00B43F59" w14:paraId="6CF146D6" w14:textId="77777777" w:rsidTr="00243B15">
        <w:trPr>
          <w:gridAfter w:val="1"/>
          <w:wAfter w:w="6" w:type="pct"/>
          <w:trHeight w:val="844"/>
          <w:jc w:val="center"/>
        </w:trPr>
        <w:tc>
          <w:tcPr>
            <w:tcW w:w="1229" w:type="pct"/>
            <w:shd w:val="clear" w:color="auto" w:fill="auto"/>
            <w:vAlign w:val="center"/>
          </w:tcPr>
          <w:p w14:paraId="46CDED79" w14:textId="77777777" w:rsidR="00302BFE" w:rsidRPr="00B43F59" w:rsidRDefault="00302BFE" w:rsidP="00243B15">
            <w:pPr>
              <w:spacing w:after="0"/>
              <w:contextualSpacing/>
              <w:jc w:val="left"/>
              <w:rPr>
                <w:sz w:val="18"/>
                <w:szCs w:val="18"/>
              </w:rPr>
            </w:pPr>
            <w:r w:rsidRPr="00B43F59">
              <w:rPr>
                <w:sz w:val="18"/>
                <w:szCs w:val="18"/>
              </w:rPr>
              <w:t xml:space="preserve">Conduct a participatory gender responsive analysis of land use, biodiversity, natural resources management and ecosystem services use in project intervention areas </w:t>
            </w:r>
          </w:p>
        </w:tc>
        <w:tc>
          <w:tcPr>
            <w:tcW w:w="1193" w:type="pct"/>
            <w:shd w:val="clear" w:color="auto" w:fill="auto"/>
            <w:vAlign w:val="center"/>
          </w:tcPr>
          <w:p w14:paraId="651C0356" w14:textId="77777777" w:rsidR="00302BFE" w:rsidRPr="00B43F59" w:rsidRDefault="00302BFE" w:rsidP="00243B15">
            <w:pPr>
              <w:spacing w:after="0"/>
              <w:jc w:val="left"/>
              <w:rPr>
                <w:sz w:val="18"/>
                <w:szCs w:val="18"/>
              </w:rPr>
            </w:pPr>
            <w:r w:rsidRPr="00B43F59">
              <w:rPr>
                <w:sz w:val="18"/>
                <w:szCs w:val="18"/>
              </w:rPr>
              <w:t>Conducting a study of gender responsive analysis completed of land use, biodiversity, natural resources management and ecosystems services benefits in project area</w:t>
            </w:r>
          </w:p>
        </w:tc>
        <w:tc>
          <w:tcPr>
            <w:tcW w:w="605" w:type="pct"/>
            <w:shd w:val="clear" w:color="auto" w:fill="auto"/>
            <w:vAlign w:val="center"/>
          </w:tcPr>
          <w:p w14:paraId="7EB8E5E9" w14:textId="77777777" w:rsidR="00302BFE" w:rsidRPr="00B43F59" w:rsidRDefault="00302BFE" w:rsidP="00243B15">
            <w:pPr>
              <w:spacing w:after="0"/>
              <w:jc w:val="left"/>
              <w:rPr>
                <w:sz w:val="18"/>
                <w:szCs w:val="18"/>
              </w:rPr>
            </w:pPr>
            <w:r w:rsidRPr="00B43F59">
              <w:rPr>
                <w:sz w:val="18"/>
                <w:szCs w:val="18"/>
              </w:rPr>
              <w:t>One (1)</w:t>
            </w:r>
          </w:p>
        </w:tc>
        <w:tc>
          <w:tcPr>
            <w:tcW w:w="606" w:type="pct"/>
            <w:shd w:val="clear" w:color="auto" w:fill="auto"/>
            <w:vAlign w:val="center"/>
          </w:tcPr>
          <w:p w14:paraId="16591C86" w14:textId="77777777" w:rsidR="00302BFE" w:rsidRPr="00B43F59" w:rsidRDefault="00302BFE" w:rsidP="00243B15">
            <w:pPr>
              <w:spacing w:after="0"/>
              <w:jc w:val="left"/>
              <w:rPr>
                <w:sz w:val="18"/>
                <w:szCs w:val="18"/>
              </w:rPr>
            </w:pPr>
            <w:r w:rsidRPr="00B43F59">
              <w:rPr>
                <w:sz w:val="18"/>
                <w:szCs w:val="18"/>
              </w:rPr>
              <w:t>Gender responsive analysis does not exist on the project area</w:t>
            </w:r>
          </w:p>
        </w:tc>
        <w:tc>
          <w:tcPr>
            <w:tcW w:w="314" w:type="pct"/>
            <w:gridSpan w:val="2"/>
            <w:shd w:val="clear" w:color="auto" w:fill="auto"/>
            <w:vAlign w:val="center"/>
          </w:tcPr>
          <w:p w14:paraId="73A80456"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0FBB5846" w14:textId="77777777" w:rsidR="00302BFE" w:rsidRPr="00D822D1" w:rsidRDefault="00302BFE" w:rsidP="00243B15">
            <w:pPr>
              <w:spacing w:after="0"/>
              <w:jc w:val="left"/>
              <w:rPr>
                <w:sz w:val="18"/>
                <w:szCs w:val="18"/>
                <w:lang w:val="en-CA"/>
              </w:rPr>
            </w:pPr>
            <w:r w:rsidRPr="00D822D1">
              <w:rPr>
                <w:sz w:val="18"/>
                <w:szCs w:val="18"/>
                <w:lang w:val="en-CA"/>
              </w:rPr>
              <w:t>Gender Expert</w:t>
            </w:r>
          </w:p>
          <w:p w14:paraId="213620D1" w14:textId="77777777" w:rsidR="00302BFE" w:rsidRPr="00F45B1B" w:rsidRDefault="00302BFE" w:rsidP="00243B15">
            <w:pPr>
              <w:spacing w:after="0"/>
              <w:jc w:val="left"/>
              <w:rPr>
                <w:sz w:val="18"/>
                <w:szCs w:val="18"/>
                <w:lang w:val="en-CA"/>
              </w:rPr>
            </w:pPr>
            <w:r w:rsidRPr="00F45B1B">
              <w:rPr>
                <w:color w:val="212121"/>
                <w:sz w:val="18"/>
                <w:szCs w:val="18"/>
                <w:lang w:val="en"/>
              </w:rPr>
              <w:t>Ministry of Agriculture and Hydro-Agricultural Development (MAAH)</w:t>
            </w:r>
          </w:p>
          <w:p w14:paraId="3495ABEC" w14:textId="77777777" w:rsidR="00302BFE" w:rsidRPr="00B43F59" w:rsidRDefault="00302BFE" w:rsidP="00243B15">
            <w:pPr>
              <w:spacing w:after="0"/>
              <w:jc w:val="left"/>
              <w:rPr>
                <w:sz w:val="18"/>
                <w:szCs w:val="18"/>
              </w:rPr>
            </w:pPr>
            <w:r w:rsidRPr="00B43F59">
              <w:rPr>
                <w:sz w:val="18"/>
                <w:szCs w:val="18"/>
              </w:rPr>
              <w:t>OFINAP, DGEF, DREEVCC</w:t>
            </w:r>
            <w:r>
              <w:rPr>
                <w:sz w:val="18"/>
                <w:szCs w:val="18"/>
              </w:rPr>
              <w:t xml:space="preserve"> / MEGECC</w:t>
            </w:r>
          </w:p>
        </w:tc>
      </w:tr>
      <w:tr w:rsidR="00302BFE" w:rsidRPr="00F45B1B" w14:paraId="1DB4E6C6" w14:textId="77777777" w:rsidTr="00243B15">
        <w:trPr>
          <w:gridAfter w:val="1"/>
          <w:wAfter w:w="6" w:type="pct"/>
          <w:trHeight w:val="1297"/>
          <w:jc w:val="center"/>
        </w:trPr>
        <w:tc>
          <w:tcPr>
            <w:tcW w:w="1229" w:type="pct"/>
            <w:shd w:val="clear" w:color="auto" w:fill="auto"/>
            <w:vAlign w:val="center"/>
          </w:tcPr>
          <w:p w14:paraId="7F37723B" w14:textId="77777777" w:rsidR="00302BFE" w:rsidRPr="00B43F59" w:rsidDel="00C76B70" w:rsidRDefault="00302BFE" w:rsidP="00243B15">
            <w:pPr>
              <w:spacing w:after="0"/>
              <w:contextualSpacing/>
              <w:jc w:val="left"/>
              <w:rPr>
                <w:sz w:val="18"/>
                <w:szCs w:val="18"/>
              </w:rPr>
            </w:pPr>
            <w:r w:rsidRPr="00B43F59">
              <w:rPr>
                <w:sz w:val="18"/>
                <w:szCs w:val="18"/>
              </w:rPr>
              <w:t>Include sex disaggregated data for the nine prioritized communes into the project supported information management database (output 1.2)</w:t>
            </w:r>
          </w:p>
        </w:tc>
        <w:tc>
          <w:tcPr>
            <w:tcW w:w="1193" w:type="pct"/>
            <w:shd w:val="clear" w:color="auto" w:fill="auto"/>
            <w:vAlign w:val="center"/>
          </w:tcPr>
          <w:p w14:paraId="0D263042" w14:textId="77777777" w:rsidR="00302BFE" w:rsidRPr="00B43F59" w:rsidRDefault="00302BFE" w:rsidP="00243B15">
            <w:pPr>
              <w:spacing w:after="0"/>
              <w:jc w:val="left"/>
              <w:rPr>
                <w:sz w:val="18"/>
                <w:szCs w:val="18"/>
              </w:rPr>
            </w:pPr>
            <w:r w:rsidRPr="00B43F59">
              <w:rPr>
                <w:sz w:val="18"/>
                <w:szCs w:val="18"/>
              </w:rPr>
              <w:t xml:space="preserve">Percent of sex disaggregated data by sage, diversity of women and men, community, income levels, social status, cultural factors, land tenure, natural resources and ecosystem uses </w:t>
            </w:r>
          </w:p>
        </w:tc>
        <w:tc>
          <w:tcPr>
            <w:tcW w:w="605" w:type="pct"/>
            <w:shd w:val="clear" w:color="auto" w:fill="auto"/>
            <w:vAlign w:val="center"/>
          </w:tcPr>
          <w:p w14:paraId="0D15F9F8" w14:textId="77777777" w:rsidR="00302BFE" w:rsidRPr="00B43F59" w:rsidRDefault="00302BFE" w:rsidP="00243B15">
            <w:pPr>
              <w:spacing w:after="0"/>
              <w:jc w:val="left"/>
              <w:rPr>
                <w:sz w:val="18"/>
                <w:szCs w:val="18"/>
              </w:rPr>
            </w:pPr>
            <w:r w:rsidRPr="00B43F59">
              <w:rPr>
                <w:sz w:val="18"/>
                <w:szCs w:val="18"/>
              </w:rPr>
              <w:t>100% of data</w:t>
            </w:r>
          </w:p>
        </w:tc>
        <w:tc>
          <w:tcPr>
            <w:tcW w:w="606" w:type="pct"/>
            <w:shd w:val="clear" w:color="auto" w:fill="auto"/>
            <w:vAlign w:val="center"/>
          </w:tcPr>
          <w:p w14:paraId="1F235618" w14:textId="77777777" w:rsidR="00302BFE" w:rsidRPr="00B43F59" w:rsidRDefault="00302BFE" w:rsidP="00243B15">
            <w:pPr>
              <w:spacing w:after="0"/>
              <w:jc w:val="left"/>
              <w:rPr>
                <w:sz w:val="18"/>
                <w:szCs w:val="18"/>
              </w:rPr>
            </w:pPr>
            <w:r w:rsidRPr="00B43F59">
              <w:rPr>
                <w:sz w:val="18"/>
                <w:szCs w:val="18"/>
              </w:rPr>
              <w:t>0% (information management database has not been developed)</w:t>
            </w:r>
          </w:p>
        </w:tc>
        <w:tc>
          <w:tcPr>
            <w:tcW w:w="314" w:type="pct"/>
            <w:gridSpan w:val="2"/>
            <w:shd w:val="clear" w:color="auto" w:fill="auto"/>
            <w:vAlign w:val="center"/>
          </w:tcPr>
          <w:p w14:paraId="29AA96A2"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10619C5F" w14:textId="77777777" w:rsidR="00302BFE" w:rsidRPr="00381E15" w:rsidRDefault="00302BFE" w:rsidP="00243B15">
            <w:pPr>
              <w:spacing w:after="0"/>
              <w:jc w:val="left"/>
              <w:rPr>
                <w:sz w:val="18"/>
                <w:szCs w:val="18"/>
              </w:rPr>
            </w:pPr>
            <w:r w:rsidRPr="00381E15">
              <w:rPr>
                <w:sz w:val="18"/>
                <w:szCs w:val="18"/>
              </w:rPr>
              <w:t>Gender Expert</w:t>
            </w:r>
          </w:p>
          <w:p w14:paraId="0BB8A1FC" w14:textId="77777777" w:rsidR="00302BFE" w:rsidRPr="00F45B1B" w:rsidRDefault="00302BFE" w:rsidP="00243B15">
            <w:pPr>
              <w:pStyle w:val="PrformatHTML"/>
              <w:shd w:val="clear" w:color="auto" w:fill="FFFFFF"/>
              <w:rPr>
                <w:rFonts w:ascii="Calibri" w:hAnsi="Calibri"/>
                <w:color w:val="212121"/>
                <w:sz w:val="18"/>
                <w:szCs w:val="18"/>
                <w:lang w:val="en-CA"/>
              </w:rPr>
            </w:pPr>
            <w:r w:rsidRPr="00F45B1B">
              <w:rPr>
                <w:rFonts w:ascii="Calibri" w:hAnsi="Calibri"/>
                <w:color w:val="212121"/>
                <w:sz w:val="18"/>
                <w:szCs w:val="18"/>
                <w:lang w:val="en"/>
              </w:rPr>
              <w:t>Ministry of Agriculture and Hydro-Agricultural Development (MAAH)</w:t>
            </w:r>
          </w:p>
          <w:p w14:paraId="452B003C" w14:textId="77777777" w:rsidR="00302BFE" w:rsidRPr="00F45B1B" w:rsidRDefault="00302BFE" w:rsidP="00243B15">
            <w:pPr>
              <w:spacing w:after="0"/>
              <w:jc w:val="left"/>
              <w:rPr>
                <w:sz w:val="18"/>
                <w:szCs w:val="18"/>
                <w:lang w:val="en-CA"/>
              </w:rPr>
            </w:pPr>
            <w:r w:rsidRPr="00F45B1B">
              <w:rPr>
                <w:sz w:val="18"/>
                <w:szCs w:val="18"/>
                <w:lang w:val="en-CA"/>
              </w:rPr>
              <w:t>OFINAP, DGEF, DREEVCC</w:t>
            </w:r>
            <w:r>
              <w:rPr>
                <w:sz w:val="18"/>
                <w:szCs w:val="18"/>
                <w:lang w:val="en-CA"/>
              </w:rPr>
              <w:t>/ MEGECC</w:t>
            </w:r>
          </w:p>
        </w:tc>
      </w:tr>
      <w:tr w:rsidR="00302BFE" w:rsidRPr="00B43F59" w14:paraId="20B03D1A" w14:textId="77777777" w:rsidTr="00243B15">
        <w:trPr>
          <w:gridAfter w:val="1"/>
          <w:wAfter w:w="6" w:type="pct"/>
          <w:trHeight w:val="1427"/>
          <w:jc w:val="center"/>
        </w:trPr>
        <w:tc>
          <w:tcPr>
            <w:tcW w:w="1229" w:type="pct"/>
            <w:shd w:val="clear" w:color="auto" w:fill="auto"/>
            <w:vAlign w:val="center"/>
          </w:tcPr>
          <w:p w14:paraId="4005FFC3" w14:textId="77777777" w:rsidR="00302BFE" w:rsidRPr="00B43F59" w:rsidRDefault="00302BFE" w:rsidP="00243B15">
            <w:pPr>
              <w:spacing w:after="0"/>
              <w:contextualSpacing/>
              <w:jc w:val="left"/>
              <w:rPr>
                <w:sz w:val="18"/>
                <w:szCs w:val="18"/>
              </w:rPr>
            </w:pPr>
            <w:r w:rsidRPr="00B43F59">
              <w:rPr>
                <w:sz w:val="18"/>
                <w:szCs w:val="18"/>
              </w:rPr>
              <w:t>Develop gender responsive tools for the collection of relevant gender-specific data on land use, biodiversity, natural resources management and ecosystem services use in project intervention areas to inform a gender responsive analysis (output 1.2)</w:t>
            </w:r>
          </w:p>
        </w:tc>
        <w:tc>
          <w:tcPr>
            <w:tcW w:w="1193" w:type="pct"/>
            <w:shd w:val="clear" w:color="auto" w:fill="auto"/>
            <w:vAlign w:val="center"/>
          </w:tcPr>
          <w:p w14:paraId="4131C0C5" w14:textId="77777777" w:rsidR="00302BFE" w:rsidRPr="00B43F59" w:rsidRDefault="00302BFE" w:rsidP="00243B15">
            <w:pPr>
              <w:spacing w:after="0"/>
              <w:jc w:val="left"/>
              <w:rPr>
                <w:sz w:val="18"/>
                <w:szCs w:val="18"/>
              </w:rPr>
            </w:pPr>
            <w:r w:rsidRPr="00B43F59">
              <w:rPr>
                <w:sz w:val="18"/>
                <w:szCs w:val="18"/>
              </w:rPr>
              <w:t xml:space="preserve">Availability of gender responsive tools for the collection of data </w:t>
            </w:r>
          </w:p>
        </w:tc>
        <w:tc>
          <w:tcPr>
            <w:tcW w:w="605" w:type="pct"/>
            <w:shd w:val="clear" w:color="auto" w:fill="auto"/>
            <w:vAlign w:val="center"/>
          </w:tcPr>
          <w:p w14:paraId="2CBD12BE" w14:textId="77777777" w:rsidR="00302BFE" w:rsidRPr="00B43F59" w:rsidRDefault="00302BFE" w:rsidP="00243B15">
            <w:pPr>
              <w:spacing w:after="0"/>
              <w:jc w:val="left"/>
              <w:rPr>
                <w:sz w:val="18"/>
                <w:szCs w:val="18"/>
              </w:rPr>
            </w:pPr>
            <w:r w:rsidRPr="00B43F59">
              <w:rPr>
                <w:sz w:val="18"/>
                <w:szCs w:val="18"/>
              </w:rPr>
              <w:t>A suite of gender responsive data collection tools developed</w:t>
            </w:r>
          </w:p>
        </w:tc>
        <w:tc>
          <w:tcPr>
            <w:tcW w:w="606" w:type="pct"/>
            <w:shd w:val="clear" w:color="auto" w:fill="auto"/>
            <w:vAlign w:val="center"/>
          </w:tcPr>
          <w:p w14:paraId="6C84E04F" w14:textId="77777777" w:rsidR="00302BFE" w:rsidRPr="00B43F59" w:rsidRDefault="00302BFE" w:rsidP="00243B15">
            <w:pPr>
              <w:spacing w:after="0"/>
              <w:jc w:val="left"/>
              <w:rPr>
                <w:sz w:val="18"/>
                <w:szCs w:val="18"/>
              </w:rPr>
            </w:pPr>
            <w:r w:rsidRPr="00B43F59">
              <w:rPr>
                <w:sz w:val="18"/>
                <w:szCs w:val="18"/>
              </w:rPr>
              <w:t>No tool has yet been developed</w:t>
            </w:r>
          </w:p>
        </w:tc>
        <w:tc>
          <w:tcPr>
            <w:tcW w:w="314" w:type="pct"/>
            <w:gridSpan w:val="2"/>
            <w:shd w:val="clear" w:color="auto" w:fill="auto"/>
            <w:vAlign w:val="center"/>
          </w:tcPr>
          <w:p w14:paraId="409E1602"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0BBF265E" w14:textId="77777777" w:rsidR="00302BFE" w:rsidRPr="00B43F59" w:rsidRDefault="00302BFE" w:rsidP="00243B15">
            <w:pPr>
              <w:spacing w:after="0"/>
              <w:jc w:val="left"/>
              <w:rPr>
                <w:sz w:val="18"/>
                <w:szCs w:val="18"/>
              </w:rPr>
            </w:pPr>
            <w:r w:rsidRPr="00B43F59">
              <w:rPr>
                <w:sz w:val="18"/>
                <w:szCs w:val="18"/>
              </w:rPr>
              <w:t>Gender Expert</w:t>
            </w:r>
          </w:p>
          <w:p w14:paraId="3F2F9D3F" w14:textId="77777777" w:rsidR="00302BFE" w:rsidRPr="00B43F59" w:rsidRDefault="00302BFE" w:rsidP="00243B15">
            <w:pPr>
              <w:spacing w:after="0"/>
              <w:jc w:val="left"/>
              <w:rPr>
                <w:sz w:val="18"/>
                <w:szCs w:val="18"/>
              </w:rPr>
            </w:pPr>
            <w:r w:rsidRPr="00C3579E">
              <w:rPr>
                <w:sz w:val="18"/>
                <w:szCs w:val="18"/>
              </w:rPr>
              <w:t>Land Use Division, Ministry of Agriculture</w:t>
            </w:r>
            <w:r w:rsidRPr="00B43F59">
              <w:rPr>
                <w:sz w:val="18"/>
                <w:szCs w:val="18"/>
              </w:rPr>
              <w:t xml:space="preserve"> </w:t>
            </w:r>
          </w:p>
        </w:tc>
      </w:tr>
      <w:tr w:rsidR="00302BFE" w:rsidRPr="00B43F59" w14:paraId="30CBB0EF" w14:textId="77777777" w:rsidTr="00243B15">
        <w:trPr>
          <w:trHeight w:val="298"/>
          <w:jc w:val="center"/>
        </w:trPr>
        <w:tc>
          <w:tcPr>
            <w:tcW w:w="5000" w:type="pct"/>
            <w:gridSpan w:val="8"/>
            <w:shd w:val="clear" w:color="auto" w:fill="auto"/>
            <w:vAlign w:val="center"/>
          </w:tcPr>
          <w:p w14:paraId="2424BF4D" w14:textId="77777777" w:rsidR="00302BFE" w:rsidRPr="00B43F59" w:rsidRDefault="00302BFE" w:rsidP="00243B15">
            <w:pPr>
              <w:spacing w:after="0"/>
              <w:jc w:val="left"/>
              <w:rPr>
                <w:b/>
                <w:sz w:val="18"/>
                <w:szCs w:val="18"/>
                <w:lang w:val="en-CA"/>
              </w:rPr>
            </w:pPr>
            <w:r w:rsidRPr="00B43F59">
              <w:rPr>
                <w:b/>
                <w:sz w:val="18"/>
                <w:szCs w:val="18"/>
                <w:lang w:val="en-GB"/>
              </w:rPr>
              <w:t>Output 1.4 Development of the PONASI Landscape Management Master Plan to guide the management of the PONASI landscape over the next 15 years</w:t>
            </w:r>
          </w:p>
        </w:tc>
      </w:tr>
      <w:tr w:rsidR="00302BFE" w:rsidRPr="00B43F59" w14:paraId="0FE4AD6C" w14:textId="77777777" w:rsidTr="00243B15">
        <w:trPr>
          <w:gridAfter w:val="1"/>
          <w:wAfter w:w="6" w:type="pct"/>
          <w:trHeight w:val="1172"/>
          <w:jc w:val="center"/>
        </w:trPr>
        <w:tc>
          <w:tcPr>
            <w:tcW w:w="1229" w:type="pct"/>
            <w:shd w:val="clear" w:color="auto" w:fill="auto"/>
            <w:vAlign w:val="center"/>
          </w:tcPr>
          <w:p w14:paraId="114F9100" w14:textId="77777777" w:rsidR="00302BFE" w:rsidRPr="00B43F59" w:rsidRDefault="00302BFE" w:rsidP="00243B15">
            <w:pPr>
              <w:pStyle w:val="PrformatHTML"/>
              <w:shd w:val="clear" w:color="auto" w:fill="FFFFFF"/>
              <w:rPr>
                <w:rFonts w:ascii="Calibri" w:hAnsi="Calibri" w:cs="Times New Roman"/>
                <w:sz w:val="18"/>
                <w:szCs w:val="18"/>
                <w:lang w:val="en-CA"/>
              </w:rPr>
            </w:pPr>
            <w:r w:rsidRPr="00B43F59">
              <w:rPr>
                <w:rFonts w:ascii="Calibri" w:hAnsi="Calibri" w:cs="Times New Roman"/>
                <w:sz w:val="18"/>
                <w:szCs w:val="18"/>
                <w:lang w:val="en-CA"/>
              </w:rPr>
              <w:t>Input gender responsive socioeconomic indicators into the environmental land use planning process (output 1.4.1)</w:t>
            </w:r>
          </w:p>
        </w:tc>
        <w:tc>
          <w:tcPr>
            <w:tcW w:w="1193" w:type="pct"/>
            <w:shd w:val="clear" w:color="auto" w:fill="auto"/>
            <w:vAlign w:val="center"/>
          </w:tcPr>
          <w:p w14:paraId="347A6E1D" w14:textId="77777777" w:rsidR="00302BFE" w:rsidRPr="00B43F59" w:rsidRDefault="00302BFE" w:rsidP="00243B15">
            <w:pPr>
              <w:spacing w:after="0"/>
              <w:jc w:val="left"/>
              <w:rPr>
                <w:sz w:val="18"/>
                <w:szCs w:val="18"/>
              </w:rPr>
            </w:pPr>
            <w:r w:rsidRPr="00B43F59">
              <w:rPr>
                <w:sz w:val="18"/>
                <w:szCs w:val="18"/>
              </w:rPr>
              <w:t xml:space="preserve">Gender responsive </w:t>
            </w:r>
            <w:r w:rsidRPr="00B43F59">
              <w:rPr>
                <w:sz w:val="18"/>
                <w:szCs w:val="18"/>
                <w:lang w:val="en-CA"/>
              </w:rPr>
              <w:t>Territorial Planning Tool</w:t>
            </w:r>
            <w:r w:rsidRPr="00B43F59">
              <w:rPr>
                <w:sz w:val="18"/>
                <w:szCs w:val="18"/>
              </w:rPr>
              <w:t xml:space="preserve"> addresses the different needs and vulnerabilities of women and men and with mechanism to promote their participation in its implementation</w:t>
            </w:r>
          </w:p>
        </w:tc>
        <w:tc>
          <w:tcPr>
            <w:tcW w:w="605" w:type="pct"/>
            <w:shd w:val="clear" w:color="auto" w:fill="auto"/>
            <w:vAlign w:val="center"/>
          </w:tcPr>
          <w:p w14:paraId="57DF2274" w14:textId="77777777" w:rsidR="00302BFE" w:rsidRPr="00B43F59" w:rsidRDefault="00302BFE" w:rsidP="00243B15">
            <w:pPr>
              <w:spacing w:after="0"/>
              <w:jc w:val="left"/>
              <w:rPr>
                <w:sz w:val="18"/>
                <w:szCs w:val="18"/>
              </w:rPr>
            </w:pPr>
            <w:r w:rsidRPr="00B43F59">
              <w:rPr>
                <w:sz w:val="18"/>
                <w:szCs w:val="18"/>
              </w:rPr>
              <w:t>One</w:t>
            </w:r>
            <w:r w:rsidRPr="00B43F59">
              <w:rPr>
                <w:sz w:val="18"/>
                <w:szCs w:val="18"/>
                <w:lang w:val="en-CA"/>
              </w:rPr>
              <w:t xml:space="preserve"> tool</w:t>
            </w:r>
          </w:p>
        </w:tc>
        <w:tc>
          <w:tcPr>
            <w:tcW w:w="606" w:type="pct"/>
            <w:shd w:val="clear" w:color="auto" w:fill="auto"/>
            <w:vAlign w:val="center"/>
          </w:tcPr>
          <w:p w14:paraId="2639A6C4" w14:textId="77777777" w:rsidR="00302BFE" w:rsidRPr="00B43F59" w:rsidRDefault="00302BFE" w:rsidP="00243B15">
            <w:pPr>
              <w:spacing w:after="0"/>
              <w:jc w:val="left"/>
              <w:rPr>
                <w:sz w:val="18"/>
                <w:szCs w:val="18"/>
              </w:rPr>
            </w:pPr>
            <w:r w:rsidRPr="00B43F59">
              <w:rPr>
                <w:sz w:val="18"/>
                <w:szCs w:val="18"/>
                <w:lang w:val="en-CA"/>
              </w:rPr>
              <w:t>Territorial Planning Tool</w:t>
            </w:r>
            <w:r w:rsidRPr="00B43F59">
              <w:rPr>
                <w:sz w:val="18"/>
                <w:szCs w:val="18"/>
              </w:rPr>
              <w:t xml:space="preserve"> has not been developed</w:t>
            </w:r>
          </w:p>
        </w:tc>
        <w:tc>
          <w:tcPr>
            <w:tcW w:w="314" w:type="pct"/>
            <w:gridSpan w:val="2"/>
            <w:shd w:val="clear" w:color="auto" w:fill="auto"/>
            <w:vAlign w:val="center"/>
          </w:tcPr>
          <w:p w14:paraId="0CBF72E4"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27A74575" w14:textId="77777777" w:rsidR="00302BFE" w:rsidRPr="00B43F59" w:rsidRDefault="00302BFE" w:rsidP="00243B15">
            <w:pPr>
              <w:spacing w:after="0"/>
              <w:jc w:val="left"/>
              <w:rPr>
                <w:sz w:val="18"/>
                <w:szCs w:val="18"/>
              </w:rPr>
            </w:pPr>
            <w:r w:rsidRPr="00B43F59">
              <w:rPr>
                <w:sz w:val="18"/>
                <w:szCs w:val="18"/>
              </w:rPr>
              <w:t>Gender Expert</w:t>
            </w:r>
          </w:p>
          <w:p w14:paraId="57206EEC" w14:textId="77777777" w:rsidR="00302BFE" w:rsidRPr="00B43F59" w:rsidRDefault="00302BFE" w:rsidP="00243B15">
            <w:pPr>
              <w:spacing w:after="0"/>
              <w:jc w:val="left"/>
              <w:rPr>
                <w:sz w:val="18"/>
                <w:szCs w:val="18"/>
              </w:rPr>
            </w:pPr>
            <w:r w:rsidRPr="00B43F59">
              <w:rPr>
                <w:sz w:val="18"/>
                <w:szCs w:val="18"/>
              </w:rPr>
              <w:t>DGEF, DREEVCC</w:t>
            </w:r>
            <w:r>
              <w:rPr>
                <w:sz w:val="18"/>
                <w:szCs w:val="18"/>
              </w:rPr>
              <w:t xml:space="preserve"> / MEGECC</w:t>
            </w:r>
          </w:p>
          <w:p w14:paraId="124C3046" w14:textId="77777777" w:rsidR="00302BFE" w:rsidRPr="00B43F59" w:rsidRDefault="00302BFE" w:rsidP="00243B15">
            <w:pPr>
              <w:spacing w:after="0"/>
              <w:jc w:val="left"/>
              <w:rPr>
                <w:sz w:val="18"/>
                <w:szCs w:val="18"/>
              </w:rPr>
            </w:pPr>
            <w:r w:rsidRPr="00B43F59">
              <w:rPr>
                <w:sz w:val="18"/>
                <w:szCs w:val="18"/>
              </w:rPr>
              <w:t>PA Planning Expert</w:t>
            </w:r>
          </w:p>
        </w:tc>
      </w:tr>
      <w:tr w:rsidR="00302BFE" w:rsidRPr="00B43F59" w14:paraId="54A5095A" w14:textId="77777777" w:rsidTr="00243B15">
        <w:trPr>
          <w:gridAfter w:val="1"/>
          <w:wAfter w:w="6" w:type="pct"/>
          <w:trHeight w:val="1278"/>
          <w:jc w:val="center"/>
        </w:trPr>
        <w:tc>
          <w:tcPr>
            <w:tcW w:w="1229" w:type="pct"/>
            <w:vMerge w:val="restart"/>
            <w:shd w:val="clear" w:color="auto" w:fill="auto"/>
            <w:vAlign w:val="center"/>
          </w:tcPr>
          <w:p w14:paraId="52DDC05B" w14:textId="77777777" w:rsidR="00302BFE" w:rsidRPr="00B43F59" w:rsidRDefault="00302BFE" w:rsidP="00243B15">
            <w:pPr>
              <w:spacing w:after="0"/>
              <w:jc w:val="left"/>
              <w:rPr>
                <w:sz w:val="18"/>
                <w:szCs w:val="18"/>
              </w:rPr>
            </w:pPr>
            <w:r w:rsidRPr="00B43F59">
              <w:rPr>
                <w:sz w:val="18"/>
                <w:szCs w:val="18"/>
              </w:rPr>
              <w:t>Include gender considerations and gender sensitive indicators in the PONASI Landscape Master Plan and related instruments (output 1.4.1)</w:t>
            </w:r>
          </w:p>
        </w:tc>
        <w:tc>
          <w:tcPr>
            <w:tcW w:w="1193" w:type="pct"/>
            <w:shd w:val="clear" w:color="auto" w:fill="auto"/>
            <w:vAlign w:val="center"/>
          </w:tcPr>
          <w:p w14:paraId="20293EC6" w14:textId="77777777" w:rsidR="00302BFE" w:rsidRPr="00B43F59" w:rsidRDefault="00302BFE" w:rsidP="00243B15">
            <w:pPr>
              <w:spacing w:after="0"/>
              <w:jc w:val="left"/>
              <w:rPr>
                <w:sz w:val="18"/>
                <w:szCs w:val="18"/>
              </w:rPr>
            </w:pPr>
            <w:r w:rsidRPr="00B43F59">
              <w:rPr>
                <w:sz w:val="18"/>
                <w:szCs w:val="18"/>
              </w:rPr>
              <w:t>Gender responsive Master Plan for the PONASI Landscape</w:t>
            </w:r>
          </w:p>
        </w:tc>
        <w:tc>
          <w:tcPr>
            <w:tcW w:w="605" w:type="pct"/>
            <w:shd w:val="clear" w:color="auto" w:fill="auto"/>
            <w:vAlign w:val="center"/>
          </w:tcPr>
          <w:p w14:paraId="6959F1FE" w14:textId="77777777" w:rsidR="00302BFE" w:rsidRPr="00B43F59" w:rsidRDefault="00302BFE" w:rsidP="00243B15">
            <w:pPr>
              <w:spacing w:after="0"/>
              <w:jc w:val="left"/>
              <w:rPr>
                <w:sz w:val="18"/>
                <w:szCs w:val="18"/>
              </w:rPr>
            </w:pPr>
            <w:r w:rsidRPr="00B43F59">
              <w:rPr>
                <w:sz w:val="18"/>
                <w:szCs w:val="18"/>
              </w:rPr>
              <w:t>Gender responsive Master Plan for the PONASI Landscape developed</w:t>
            </w:r>
          </w:p>
        </w:tc>
        <w:tc>
          <w:tcPr>
            <w:tcW w:w="606" w:type="pct"/>
            <w:shd w:val="clear" w:color="auto" w:fill="auto"/>
            <w:vAlign w:val="center"/>
          </w:tcPr>
          <w:p w14:paraId="3AA582BA" w14:textId="77777777" w:rsidR="00302BFE" w:rsidRPr="00B43F59" w:rsidRDefault="00302BFE" w:rsidP="00243B15">
            <w:pPr>
              <w:spacing w:after="0"/>
              <w:jc w:val="left"/>
              <w:rPr>
                <w:sz w:val="18"/>
                <w:szCs w:val="18"/>
              </w:rPr>
            </w:pPr>
            <w:r w:rsidRPr="00B43F59">
              <w:rPr>
                <w:sz w:val="18"/>
                <w:szCs w:val="18"/>
              </w:rPr>
              <w:t>Master Plan for the PONASI Landscape and related instruments ha</w:t>
            </w:r>
            <w:r>
              <w:rPr>
                <w:sz w:val="18"/>
                <w:szCs w:val="18"/>
              </w:rPr>
              <w:t>s</w:t>
            </w:r>
            <w:r w:rsidRPr="00B43F59">
              <w:rPr>
                <w:sz w:val="18"/>
                <w:szCs w:val="18"/>
              </w:rPr>
              <w:t xml:space="preserve"> not been developed</w:t>
            </w:r>
          </w:p>
        </w:tc>
        <w:tc>
          <w:tcPr>
            <w:tcW w:w="314" w:type="pct"/>
            <w:gridSpan w:val="2"/>
            <w:shd w:val="clear" w:color="auto" w:fill="auto"/>
            <w:vAlign w:val="center"/>
          </w:tcPr>
          <w:p w14:paraId="7A94F129" w14:textId="77777777" w:rsidR="00302BFE" w:rsidRPr="00B43F59" w:rsidRDefault="00302BFE" w:rsidP="00243B15">
            <w:pPr>
              <w:spacing w:after="0"/>
              <w:jc w:val="left"/>
              <w:rPr>
                <w:sz w:val="18"/>
                <w:szCs w:val="18"/>
              </w:rPr>
            </w:pPr>
            <w:r w:rsidRPr="00B43F59">
              <w:rPr>
                <w:sz w:val="18"/>
                <w:szCs w:val="18"/>
              </w:rPr>
              <w:t>Years 1 and 2</w:t>
            </w:r>
          </w:p>
        </w:tc>
        <w:tc>
          <w:tcPr>
            <w:tcW w:w="1047" w:type="pct"/>
            <w:shd w:val="clear" w:color="auto" w:fill="auto"/>
            <w:vAlign w:val="center"/>
          </w:tcPr>
          <w:p w14:paraId="3EF498B2" w14:textId="77777777" w:rsidR="00302BFE" w:rsidRDefault="00302BFE" w:rsidP="00243B15">
            <w:pPr>
              <w:spacing w:after="0"/>
              <w:jc w:val="left"/>
              <w:rPr>
                <w:sz w:val="18"/>
                <w:szCs w:val="18"/>
                <w:lang w:val="fr-CA"/>
              </w:rPr>
            </w:pPr>
            <w:proofErr w:type="spellStart"/>
            <w:r w:rsidRPr="00B43F59">
              <w:rPr>
                <w:sz w:val="18"/>
                <w:szCs w:val="18"/>
                <w:lang w:val="fr-CA"/>
              </w:rPr>
              <w:t>Gender</w:t>
            </w:r>
            <w:proofErr w:type="spellEnd"/>
            <w:r w:rsidRPr="00B43F59">
              <w:rPr>
                <w:sz w:val="18"/>
                <w:szCs w:val="18"/>
                <w:lang w:val="fr-CA"/>
              </w:rPr>
              <w:t xml:space="preserve"> Expert</w:t>
            </w:r>
          </w:p>
          <w:p w14:paraId="4892C698" w14:textId="77777777" w:rsidR="00302BFE" w:rsidRPr="00C3579E" w:rsidRDefault="00302BFE" w:rsidP="00243B15">
            <w:pPr>
              <w:spacing w:after="0"/>
              <w:jc w:val="left"/>
              <w:rPr>
                <w:sz w:val="18"/>
                <w:szCs w:val="18"/>
                <w:lang w:val="en-CA"/>
              </w:rPr>
            </w:pPr>
            <w:r w:rsidRPr="00C3579E">
              <w:rPr>
                <w:sz w:val="18"/>
                <w:szCs w:val="18"/>
                <w:lang w:val="en-CA"/>
              </w:rPr>
              <w:t>MAAH</w:t>
            </w:r>
          </w:p>
          <w:p w14:paraId="41D99E91" w14:textId="77777777" w:rsidR="00302BFE" w:rsidRPr="00B43F59" w:rsidRDefault="00302BFE" w:rsidP="00243B15">
            <w:pPr>
              <w:spacing w:after="0"/>
              <w:jc w:val="left"/>
              <w:rPr>
                <w:sz w:val="18"/>
                <w:szCs w:val="18"/>
              </w:rPr>
            </w:pPr>
            <w:r w:rsidRPr="00B43F59">
              <w:rPr>
                <w:sz w:val="18"/>
                <w:szCs w:val="18"/>
              </w:rPr>
              <w:t>OFINAP, DGEF, DREEVCC</w:t>
            </w:r>
            <w:r>
              <w:rPr>
                <w:sz w:val="18"/>
                <w:szCs w:val="18"/>
              </w:rPr>
              <w:t xml:space="preserve"> / MEGECC</w:t>
            </w:r>
          </w:p>
        </w:tc>
      </w:tr>
      <w:tr w:rsidR="00302BFE" w:rsidRPr="00B43F59" w14:paraId="48E96D69" w14:textId="77777777" w:rsidTr="00243B15">
        <w:trPr>
          <w:gridAfter w:val="1"/>
          <w:wAfter w:w="6" w:type="pct"/>
          <w:jc w:val="center"/>
        </w:trPr>
        <w:tc>
          <w:tcPr>
            <w:tcW w:w="1229" w:type="pct"/>
            <w:vMerge/>
            <w:shd w:val="clear" w:color="auto" w:fill="auto"/>
            <w:vAlign w:val="center"/>
          </w:tcPr>
          <w:p w14:paraId="5A649204" w14:textId="77777777" w:rsidR="00302BFE" w:rsidRPr="00B43F59" w:rsidRDefault="00302BFE" w:rsidP="00243B15">
            <w:pPr>
              <w:spacing w:after="0"/>
              <w:ind w:right="26"/>
              <w:jc w:val="left"/>
              <w:rPr>
                <w:sz w:val="18"/>
                <w:szCs w:val="18"/>
              </w:rPr>
            </w:pPr>
          </w:p>
        </w:tc>
        <w:tc>
          <w:tcPr>
            <w:tcW w:w="1193" w:type="pct"/>
            <w:shd w:val="clear" w:color="auto" w:fill="auto"/>
            <w:vAlign w:val="center"/>
          </w:tcPr>
          <w:p w14:paraId="5F4298DD" w14:textId="77777777" w:rsidR="00302BFE" w:rsidRPr="00B43F59" w:rsidRDefault="00302BFE" w:rsidP="00243B15">
            <w:pPr>
              <w:spacing w:after="0"/>
              <w:jc w:val="left"/>
              <w:rPr>
                <w:sz w:val="18"/>
                <w:szCs w:val="18"/>
              </w:rPr>
            </w:pPr>
            <w:r w:rsidRPr="00B43F59">
              <w:rPr>
                <w:sz w:val="18"/>
                <w:szCs w:val="18"/>
              </w:rPr>
              <w:t>Number of management plans for prioritized protected areas which address women and men, and other socially vulnerable groups’ needs, and with mechanisms to promote women’s participation (output 2.2.2)</w:t>
            </w:r>
          </w:p>
        </w:tc>
        <w:tc>
          <w:tcPr>
            <w:tcW w:w="605" w:type="pct"/>
            <w:shd w:val="clear" w:color="auto" w:fill="auto"/>
            <w:vAlign w:val="center"/>
          </w:tcPr>
          <w:p w14:paraId="18EF4854" w14:textId="77777777" w:rsidR="00302BFE" w:rsidRPr="00B43F59" w:rsidRDefault="00302BFE" w:rsidP="00243B15">
            <w:pPr>
              <w:spacing w:after="0"/>
              <w:jc w:val="left"/>
              <w:rPr>
                <w:sz w:val="18"/>
                <w:szCs w:val="18"/>
              </w:rPr>
            </w:pPr>
            <w:r w:rsidRPr="00B43F59">
              <w:rPr>
                <w:sz w:val="18"/>
                <w:szCs w:val="18"/>
              </w:rPr>
              <w:t>One (1) gender-responsive protected area management plans</w:t>
            </w:r>
          </w:p>
        </w:tc>
        <w:tc>
          <w:tcPr>
            <w:tcW w:w="606" w:type="pct"/>
            <w:shd w:val="clear" w:color="auto" w:fill="auto"/>
            <w:vAlign w:val="center"/>
          </w:tcPr>
          <w:p w14:paraId="2EB68387" w14:textId="77777777" w:rsidR="00302BFE" w:rsidRPr="00B43F59" w:rsidRDefault="00302BFE" w:rsidP="00243B15">
            <w:pPr>
              <w:spacing w:after="0"/>
              <w:jc w:val="left"/>
              <w:rPr>
                <w:sz w:val="18"/>
                <w:szCs w:val="18"/>
              </w:rPr>
            </w:pPr>
            <w:r w:rsidRPr="00B43F59">
              <w:rPr>
                <w:bCs/>
                <w:iCs/>
                <w:sz w:val="18"/>
                <w:szCs w:val="18"/>
                <w:bdr w:val="none" w:sz="0" w:space="0" w:color="auto" w:frame="1"/>
              </w:rPr>
              <w:t>0 (</w:t>
            </w:r>
            <w:r w:rsidRPr="00B43F59">
              <w:rPr>
                <w:sz w:val="18"/>
                <w:szCs w:val="18"/>
              </w:rPr>
              <w:t xml:space="preserve">protected area </w:t>
            </w:r>
            <w:r w:rsidRPr="00B43F59">
              <w:rPr>
                <w:bCs/>
                <w:iCs/>
                <w:sz w:val="18"/>
                <w:szCs w:val="18"/>
                <w:bdr w:val="none" w:sz="0" w:space="0" w:color="auto" w:frame="1"/>
              </w:rPr>
              <w:t xml:space="preserve">management plans have not been developed) </w:t>
            </w:r>
          </w:p>
        </w:tc>
        <w:tc>
          <w:tcPr>
            <w:tcW w:w="314" w:type="pct"/>
            <w:gridSpan w:val="2"/>
            <w:shd w:val="clear" w:color="auto" w:fill="auto"/>
            <w:vAlign w:val="center"/>
          </w:tcPr>
          <w:p w14:paraId="2AE090AF" w14:textId="77777777" w:rsidR="00302BFE" w:rsidRPr="00B43F59" w:rsidRDefault="00302BFE" w:rsidP="00243B15">
            <w:pPr>
              <w:spacing w:after="0"/>
              <w:jc w:val="left"/>
              <w:rPr>
                <w:sz w:val="18"/>
                <w:szCs w:val="18"/>
              </w:rPr>
            </w:pPr>
            <w:r w:rsidRPr="00B43F59">
              <w:rPr>
                <w:sz w:val="18"/>
                <w:szCs w:val="18"/>
              </w:rPr>
              <w:t>Years 1 and 2</w:t>
            </w:r>
          </w:p>
        </w:tc>
        <w:tc>
          <w:tcPr>
            <w:tcW w:w="1047" w:type="pct"/>
            <w:shd w:val="clear" w:color="auto" w:fill="auto"/>
            <w:vAlign w:val="center"/>
          </w:tcPr>
          <w:p w14:paraId="041B5DB9" w14:textId="77777777" w:rsidR="00302BFE" w:rsidRPr="00B43F59" w:rsidRDefault="00302BFE" w:rsidP="00243B15">
            <w:pPr>
              <w:spacing w:after="0"/>
              <w:jc w:val="left"/>
              <w:rPr>
                <w:sz w:val="18"/>
                <w:szCs w:val="18"/>
                <w:lang w:val="fr-CA"/>
              </w:rPr>
            </w:pPr>
            <w:proofErr w:type="spellStart"/>
            <w:r w:rsidRPr="00B43F59">
              <w:rPr>
                <w:sz w:val="18"/>
                <w:szCs w:val="18"/>
                <w:lang w:val="fr-CA"/>
              </w:rPr>
              <w:t>Gender</w:t>
            </w:r>
            <w:proofErr w:type="spellEnd"/>
            <w:r w:rsidRPr="00B43F59">
              <w:rPr>
                <w:sz w:val="18"/>
                <w:szCs w:val="18"/>
                <w:lang w:val="fr-CA"/>
              </w:rPr>
              <w:t xml:space="preserve"> Expert</w:t>
            </w:r>
          </w:p>
          <w:p w14:paraId="28E73503" w14:textId="77777777" w:rsidR="00302BFE" w:rsidRPr="00B43F59" w:rsidRDefault="00302BFE" w:rsidP="00243B15">
            <w:pPr>
              <w:spacing w:after="0"/>
              <w:jc w:val="left"/>
              <w:rPr>
                <w:sz w:val="18"/>
                <w:szCs w:val="18"/>
                <w:lang w:val="fr-CA"/>
              </w:rPr>
            </w:pPr>
            <w:r w:rsidRPr="00B43F59">
              <w:rPr>
                <w:sz w:val="18"/>
                <w:szCs w:val="18"/>
                <w:lang w:val="fr-CA"/>
              </w:rPr>
              <w:t>OFINAP, DGEF, DREEVCC</w:t>
            </w:r>
            <w:r>
              <w:rPr>
                <w:sz w:val="18"/>
                <w:szCs w:val="18"/>
                <w:lang w:val="fr-CA"/>
              </w:rPr>
              <w:t xml:space="preserve"> </w:t>
            </w:r>
            <w:r>
              <w:rPr>
                <w:sz w:val="18"/>
                <w:szCs w:val="18"/>
              </w:rPr>
              <w:t>/ MEGECC</w:t>
            </w:r>
          </w:p>
        </w:tc>
      </w:tr>
      <w:tr w:rsidR="00302BFE" w:rsidRPr="00B43F59" w14:paraId="3C521B4E" w14:textId="77777777" w:rsidTr="00243B15">
        <w:trPr>
          <w:gridAfter w:val="1"/>
          <w:wAfter w:w="6" w:type="pct"/>
          <w:trHeight w:val="627"/>
          <w:jc w:val="center"/>
        </w:trPr>
        <w:tc>
          <w:tcPr>
            <w:tcW w:w="1229" w:type="pct"/>
            <w:shd w:val="clear" w:color="auto" w:fill="auto"/>
            <w:vAlign w:val="center"/>
          </w:tcPr>
          <w:p w14:paraId="3E172D43" w14:textId="77777777" w:rsidR="00302BFE" w:rsidRPr="00B43F59" w:rsidRDefault="00302BFE" w:rsidP="00243B15">
            <w:pPr>
              <w:spacing w:after="0"/>
              <w:ind w:right="26"/>
              <w:jc w:val="left"/>
              <w:rPr>
                <w:sz w:val="18"/>
                <w:szCs w:val="18"/>
                <w:lang w:val="en-CA"/>
              </w:rPr>
            </w:pPr>
            <w:r w:rsidRPr="00B43F59">
              <w:rPr>
                <w:sz w:val="18"/>
                <w:szCs w:val="18"/>
                <w:lang w:val="en-CA"/>
              </w:rPr>
              <w:lastRenderedPageBreak/>
              <w:t xml:space="preserve">Integrate </w:t>
            </w:r>
            <w:r w:rsidRPr="002E46A2">
              <w:rPr>
                <w:szCs w:val="20"/>
                <w:lang w:val="en-GB"/>
              </w:rPr>
              <w:t>NTFP</w:t>
            </w:r>
            <w:r w:rsidRPr="00B43F59">
              <w:rPr>
                <w:sz w:val="18"/>
                <w:szCs w:val="18"/>
                <w:lang w:val="en-CA"/>
              </w:rPr>
              <w:t xml:space="preserve"> production spaces dedicated to women's cooperatives into pilot sites (output 1.4.1)</w:t>
            </w:r>
          </w:p>
        </w:tc>
        <w:tc>
          <w:tcPr>
            <w:tcW w:w="1193" w:type="pct"/>
            <w:shd w:val="clear" w:color="auto" w:fill="auto"/>
            <w:vAlign w:val="center"/>
          </w:tcPr>
          <w:p w14:paraId="1A302E32" w14:textId="77777777" w:rsidR="00302BFE" w:rsidRPr="00B43F59" w:rsidRDefault="00302BFE" w:rsidP="00243B15">
            <w:pPr>
              <w:spacing w:after="0"/>
              <w:jc w:val="left"/>
              <w:rPr>
                <w:sz w:val="18"/>
                <w:szCs w:val="18"/>
                <w:lang w:val="en-CA"/>
              </w:rPr>
            </w:pPr>
            <w:r w:rsidRPr="00B43F59">
              <w:rPr>
                <w:sz w:val="18"/>
                <w:szCs w:val="18"/>
                <w:lang w:val="en-CA"/>
              </w:rPr>
              <w:t>Area of sites dedicated primarily to the exploitation of NTFPs for the benefit of women's cooperatives</w:t>
            </w:r>
          </w:p>
        </w:tc>
        <w:tc>
          <w:tcPr>
            <w:tcW w:w="605" w:type="pct"/>
            <w:shd w:val="clear" w:color="auto" w:fill="auto"/>
            <w:vAlign w:val="center"/>
          </w:tcPr>
          <w:p w14:paraId="4568F93F" w14:textId="77777777" w:rsidR="00302BFE" w:rsidRPr="00B43F59" w:rsidRDefault="00302BFE" w:rsidP="00243B15">
            <w:pPr>
              <w:spacing w:after="0"/>
              <w:jc w:val="left"/>
              <w:rPr>
                <w:sz w:val="18"/>
                <w:szCs w:val="18"/>
                <w:lang w:val="fr-CA"/>
              </w:rPr>
            </w:pPr>
            <w:r w:rsidRPr="00B43F59">
              <w:rPr>
                <w:sz w:val="18"/>
                <w:szCs w:val="18"/>
                <w:lang w:val="fr-CA"/>
              </w:rPr>
              <w:t xml:space="preserve">200 ha </w:t>
            </w:r>
          </w:p>
        </w:tc>
        <w:tc>
          <w:tcPr>
            <w:tcW w:w="606" w:type="pct"/>
            <w:shd w:val="clear" w:color="auto" w:fill="auto"/>
            <w:vAlign w:val="center"/>
          </w:tcPr>
          <w:p w14:paraId="672ED1DB" w14:textId="77777777" w:rsidR="00302BFE" w:rsidRPr="00B43F59" w:rsidRDefault="00302BFE" w:rsidP="00243B15">
            <w:pPr>
              <w:spacing w:after="0"/>
              <w:jc w:val="left"/>
              <w:rPr>
                <w:sz w:val="18"/>
                <w:szCs w:val="18"/>
              </w:rPr>
            </w:pPr>
            <w:r w:rsidRPr="00B43F59">
              <w:rPr>
                <w:sz w:val="18"/>
                <w:szCs w:val="18"/>
              </w:rPr>
              <w:t>0</w:t>
            </w:r>
          </w:p>
        </w:tc>
        <w:tc>
          <w:tcPr>
            <w:tcW w:w="314" w:type="pct"/>
            <w:gridSpan w:val="2"/>
            <w:shd w:val="clear" w:color="auto" w:fill="auto"/>
            <w:vAlign w:val="center"/>
          </w:tcPr>
          <w:p w14:paraId="0A35B4F3" w14:textId="77777777" w:rsidR="00302BFE" w:rsidRPr="00B43F59" w:rsidRDefault="00302BFE" w:rsidP="00243B15">
            <w:pPr>
              <w:spacing w:after="0"/>
              <w:jc w:val="left"/>
              <w:rPr>
                <w:sz w:val="18"/>
                <w:szCs w:val="18"/>
              </w:rPr>
            </w:pPr>
            <w:r w:rsidRPr="00B43F59">
              <w:rPr>
                <w:sz w:val="18"/>
                <w:szCs w:val="18"/>
              </w:rPr>
              <w:t>Year 2</w:t>
            </w:r>
          </w:p>
        </w:tc>
        <w:tc>
          <w:tcPr>
            <w:tcW w:w="1047" w:type="pct"/>
            <w:shd w:val="clear" w:color="auto" w:fill="auto"/>
            <w:vAlign w:val="center"/>
          </w:tcPr>
          <w:p w14:paraId="496B8174" w14:textId="77777777" w:rsidR="00302BFE" w:rsidRPr="00B43F59" w:rsidRDefault="00302BFE" w:rsidP="00243B15">
            <w:pPr>
              <w:spacing w:after="0"/>
              <w:jc w:val="left"/>
              <w:rPr>
                <w:sz w:val="18"/>
                <w:szCs w:val="18"/>
              </w:rPr>
            </w:pPr>
            <w:r w:rsidRPr="00B43F59">
              <w:rPr>
                <w:sz w:val="18"/>
                <w:szCs w:val="18"/>
              </w:rPr>
              <w:t>DGEF, DREEVCC</w:t>
            </w:r>
          </w:p>
        </w:tc>
      </w:tr>
      <w:tr w:rsidR="00302BFE" w:rsidRPr="00B43F59" w14:paraId="33874B8F" w14:textId="77777777" w:rsidTr="00243B15">
        <w:trPr>
          <w:trHeight w:val="278"/>
          <w:jc w:val="center"/>
        </w:trPr>
        <w:tc>
          <w:tcPr>
            <w:tcW w:w="5000" w:type="pct"/>
            <w:gridSpan w:val="8"/>
            <w:shd w:val="clear" w:color="auto" w:fill="auto"/>
            <w:vAlign w:val="center"/>
          </w:tcPr>
          <w:p w14:paraId="34EE42D9" w14:textId="77777777" w:rsidR="00302BFE" w:rsidRPr="00B43F59" w:rsidRDefault="00302BFE" w:rsidP="00243B15">
            <w:pPr>
              <w:spacing w:after="0"/>
              <w:jc w:val="left"/>
              <w:rPr>
                <w:b/>
                <w:sz w:val="18"/>
                <w:szCs w:val="18"/>
                <w:lang w:val="en-CA"/>
              </w:rPr>
            </w:pPr>
            <w:r w:rsidRPr="00B43F59">
              <w:rPr>
                <w:b/>
                <w:sz w:val="18"/>
                <w:szCs w:val="18"/>
                <w:lang w:val="en-CA"/>
              </w:rPr>
              <w:t>Output 1.5 Management requirements for the units of the territory, support the implementation of the PONASI Landscape Management Master Plan</w:t>
            </w:r>
          </w:p>
        </w:tc>
      </w:tr>
      <w:tr w:rsidR="00302BFE" w:rsidRPr="00B43F59" w14:paraId="59C1C50E" w14:textId="77777777" w:rsidTr="00243B15">
        <w:trPr>
          <w:jc w:val="center"/>
        </w:trPr>
        <w:tc>
          <w:tcPr>
            <w:tcW w:w="5000" w:type="pct"/>
            <w:gridSpan w:val="8"/>
            <w:shd w:val="clear" w:color="auto" w:fill="FBE4D5"/>
            <w:vAlign w:val="center"/>
          </w:tcPr>
          <w:p w14:paraId="686A86C9" w14:textId="77777777" w:rsidR="00302BFE" w:rsidRPr="00B43F59" w:rsidRDefault="00302BFE" w:rsidP="00243B15">
            <w:pPr>
              <w:spacing w:after="0"/>
              <w:jc w:val="left"/>
              <w:rPr>
                <w:b/>
                <w:sz w:val="18"/>
                <w:szCs w:val="18"/>
                <w:lang w:val="en-CA"/>
              </w:rPr>
            </w:pPr>
            <w:r w:rsidRPr="00B43F59">
              <w:rPr>
                <w:b/>
                <w:sz w:val="18"/>
                <w:szCs w:val="18"/>
                <w:lang w:val="en-GB"/>
              </w:rPr>
              <w:t>Component 2. Strengthening the PONASI Protected Area System</w:t>
            </w:r>
            <w:r w:rsidRPr="00B43F59">
              <w:rPr>
                <w:b/>
                <w:sz w:val="18"/>
                <w:szCs w:val="18"/>
                <w:lang w:val="en-CA"/>
              </w:rPr>
              <w:t xml:space="preserve"> </w:t>
            </w:r>
          </w:p>
        </w:tc>
      </w:tr>
      <w:tr w:rsidR="00302BFE" w:rsidRPr="00B43F59" w14:paraId="2A0DAD8C" w14:textId="77777777" w:rsidTr="00243B15">
        <w:trPr>
          <w:jc w:val="center"/>
        </w:trPr>
        <w:tc>
          <w:tcPr>
            <w:tcW w:w="5000" w:type="pct"/>
            <w:gridSpan w:val="8"/>
            <w:shd w:val="clear" w:color="auto" w:fill="auto"/>
            <w:vAlign w:val="center"/>
          </w:tcPr>
          <w:p w14:paraId="79B18379" w14:textId="77777777" w:rsidR="00302BFE" w:rsidRPr="00B43F59" w:rsidRDefault="00302BFE" w:rsidP="00243B15">
            <w:pPr>
              <w:pStyle w:val="Sinespaciado1"/>
              <w:rPr>
                <w:b/>
                <w:sz w:val="18"/>
                <w:szCs w:val="18"/>
                <w:lang w:val="en-CA"/>
              </w:rPr>
            </w:pPr>
            <w:r w:rsidRPr="00B43F59">
              <w:rPr>
                <w:b/>
                <w:sz w:val="18"/>
                <w:szCs w:val="18"/>
                <w:lang w:val="en-CA"/>
              </w:rPr>
              <w:t xml:space="preserve">Output 2.1 Institutional and individual capacities within PA agencies are enhanced through targeted capacity building interventions </w:t>
            </w:r>
          </w:p>
        </w:tc>
      </w:tr>
      <w:tr w:rsidR="00302BFE" w:rsidRPr="00B43F59" w14:paraId="0AE8AC8D" w14:textId="77777777" w:rsidTr="00243B15">
        <w:trPr>
          <w:gridAfter w:val="1"/>
          <w:wAfter w:w="6" w:type="pct"/>
          <w:trHeight w:val="1427"/>
          <w:jc w:val="center"/>
        </w:trPr>
        <w:tc>
          <w:tcPr>
            <w:tcW w:w="1229" w:type="pct"/>
            <w:shd w:val="clear" w:color="auto" w:fill="auto"/>
            <w:vAlign w:val="center"/>
          </w:tcPr>
          <w:p w14:paraId="69C79F9C" w14:textId="77777777" w:rsidR="00302BFE" w:rsidRPr="00B43F59" w:rsidRDefault="00302BFE" w:rsidP="00243B15">
            <w:pPr>
              <w:spacing w:after="0"/>
              <w:ind w:right="26"/>
              <w:jc w:val="left"/>
              <w:rPr>
                <w:bCs/>
                <w:iCs/>
                <w:sz w:val="18"/>
                <w:szCs w:val="18"/>
                <w:bdr w:val="none" w:sz="0" w:space="0" w:color="auto" w:frame="1"/>
              </w:rPr>
            </w:pPr>
            <w:r w:rsidRPr="00B43F59">
              <w:rPr>
                <w:bCs/>
                <w:iCs/>
                <w:sz w:val="18"/>
                <w:szCs w:val="18"/>
                <w:bdr w:val="none" w:sz="0" w:space="0" w:color="auto" w:frame="1"/>
              </w:rPr>
              <w:t>Ensure adequate women representation when establishing the collaborative management committees for PAs. (</w:t>
            </w:r>
            <w:proofErr w:type="gramStart"/>
            <w:r w:rsidRPr="00B43F59">
              <w:rPr>
                <w:bCs/>
                <w:iCs/>
                <w:sz w:val="18"/>
                <w:szCs w:val="18"/>
                <w:bdr w:val="none" w:sz="0" w:space="0" w:color="auto" w:frame="1"/>
              </w:rPr>
              <w:t>output</w:t>
            </w:r>
            <w:proofErr w:type="gramEnd"/>
            <w:r w:rsidRPr="00B43F59">
              <w:rPr>
                <w:bCs/>
                <w:iCs/>
                <w:sz w:val="18"/>
                <w:szCs w:val="18"/>
                <w:bdr w:val="none" w:sz="0" w:space="0" w:color="auto" w:frame="1"/>
              </w:rPr>
              <w:t xml:space="preserve"> 2.1.1)</w:t>
            </w:r>
          </w:p>
        </w:tc>
        <w:tc>
          <w:tcPr>
            <w:tcW w:w="1193" w:type="pct"/>
            <w:shd w:val="clear" w:color="auto" w:fill="auto"/>
            <w:vAlign w:val="center"/>
          </w:tcPr>
          <w:p w14:paraId="2A431604" w14:textId="77777777" w:rsidR="00302BFE" w:rsidRPr="00B43F59" w:rsidRDefault="00302BFE" w:rsidP="00243B15">
            <w:pPr>
              <w:spacing w:after="0"/>
              <w:jc w:val="left"/>
              <w:rPr>
                <w:sz w:val="18"/>
                <w:szCs w:val="18"/>
              </w:rPr>
            </w:pPr>
            <w:r w:rsidRPr="00B43F59">
              <w:rPr>
                <w:sz w:val="18"/>
                <w:szCs w:val="18"/>
              </w:rPr>
              <w:t xml:space="preserve">Level of women participation in </w:t>
            </w:r>
            <w:r w:rsidRPr="00B43F59">
              <w:rPr>
                <w:bCs/>
                <w:iCs/>
                <w:sz w:val="18"/>
                <w:szCs w:val="18"/>
                <w:bdr w:val="none" w:sz="0" w:space="0" w:color="auto" w:frame="1"/>
              </w:rPr>
              <w:t xml:space="preserve">collaborative management committees </w:t>
            </w:r>
          </w:p>
        </w:tc>
        <w:tc>
          <w:tcPr>
            <w:tcW w:w="605" w:type="pct"/>
            <w:shd w:val="clear" w:color="auto" w:fill="auto"/>
            <w:vAlign w:val="center"/>
          </w:tcPr>
          <w:p w14:paraId="6AB051F8" w14:textId="77777777" w:rsidR="00302BFE" w:rsidRPr="00B43F59" w:rsidRDefault="00302BFE" w:rsidP="00243B15">
            <w:pPr>
              <w:spacing w:after="0"/>
              <w:jc w:val="left"/>
              <w:rPr>
                <w:sz w:val="18"/>
                <w:szCs w:val="18"/>
              </w:rPr>
            </w:pPr>
            <w:r w:rsidRPr="00B43F59">
              <w:rPr>
                <w:sz w:val="18"/>
                <w:szCs w:val="18"/>
              </w:rPr>
              <w:t>A minimum of 60% female membership and female participation in leadership in protected area-level committees</w:t>
            </w:r>
          </w:p>
        </w:tc>
        <w:tc>
          <w:tcPr>
            <w:tcW w:w="606" w:type="pct"/>
            <w:shd w:val="clear" w:color="auto" w:fill="auto"/>
            <w:vAlign w:val="center"/>
          </w:tcPr>
          <w:p w14:paraId="094591FB" w14:textId="77777777" w:rsidR="00302BFE" w:rsidRPr="00B43F59" w:rsidRDefault="00302BFE" w:rsidP="00243B15">
            <w:pPr>
              <w:spacing w:after="0"/>
              <w:jc w:val="left"/>
              <w:rPr>
                <w:bCs/>
                <w:iCs/>
                <w:sz w:val="18"/>
                <w:szCs w:val="18"/>
                <w:bdr w:val="none" w:sz="0" w:space="0" w:color="auto" w:frame="1"/>
                <w:lang w:val="en-CA"/>
              </w:rPr>
            </w:pPr>
            <w:r w:rsidRPr="00B43F59">
              <w:rPr>
                <w:sz w:val="18"/>
                <w:szCs w:val="18"/>
                <w:lang w:val="en-CA"/>
              </w:rPr>
              <w:t>Existing management committees (</w:t>
            </w:r>
            <w:proofErr w:type="spellStart"/>
            <w:r w:rsidRPr="00B43F59">
              <w:rPr>
                <w:sz w:val="18"/>
                <w:szCs w:val="18"/>
                <w:lang w:val="en-CA"/>
              </w:rPr>
              <w:t>Zovic</w:t>
            </w:r>
            <w:proofErr w:type="spellEnd"/>
            <w:r w:rsidRPr="00B43F59">
              <w:rPr>
                <w:sz w:val="18"/>
                <w:szCs w:val="18"/>
                <w:lang w:val="en-CA"/>
              </w:rPr>
              <w:t xml:space="preserve">, CAF, village forests) do not </w:t>
            </w:r>
            <w:proofErr w:type="gramStart"/>
            <w:r w:rsidRPr="00B43F59">
              <w:rPr>
                <w:sz w:val="18"/>
                <w:szCs w:val="18"/>
                <w:lang w:val="en-CA"/>
              </w:rPr>
              <w:t>take into account</w:t>
            </w:r>
            <w:proofErr w:type="gramEnd"/>
            <w:r w:rsidRPr="00B43F59">
              <w:rPr>
                <w:sz w:val="18"/>
                <w:szCs w:val="18"/>
                <w:lang w:val="en-CA"/>
              </w:rPr>
              <w:t xml:space="preserve"> gender</w:t>
            </w:r>
          </w:p>
        </w:tc>
        <w:tc>
          <w:tcPr>
            <w:tcW w:w="314" w:type="pct"/>
            <w:gridSpan w:val="2"/>
            <w:shd w:val="clear" w:color="auto" w:fill="auto"/>
            <w:vAlign w:val="center"/>
          </w:tcPr>
          <w:p w14:paraId="4CFDF976" w14:textId="77777777" w:rsidR="00302BFE" w:rsidRPr="00B43F59" w:rsidRDefault="00302BFE" w:rsidP="00243B15">
            <w:pPr>
              <w:spacing w:after="0"/>
              <w:jc w:val="left"/>
              <w:rPr>
                <w:sz w:val="18"/>
                <w:szCs w:val="18"/>
              </w:rPr>
            </w:pPr>
            <w:r w:rsidRPr="00B43F59">
              <w:rPr>
                <w:sz w:val="18"/>
                <w:szCs w:val="18"/>
              </w:rPr>
              <w:t>Year 2</w:t>
            </w:r>
          </w:p>
        </w:tc>
        <w:tc>
          <w:tcPr>
            <w:tcW w:w="1047" w:type="pct"/>
            <w:shd w:val="clear" w:color="auto" w:fill="auto"/>
            <w:vAlign w:val="center"/>
          </w:tcPr>
          <w:p w14:paraId="4658154F" w14:textId="77777777" w:rsidR="00302BFE" w:rsidRPr="00B43F59" w:rsidRDefault="00302BFE" w:rsidP="00243B15">
            <w:pPr>
              <w:spacing w:after="0"/>
              <w:jc w:val="left"/>
              <w:rPr>
                <w:sz w:val="18"/>
                <w:szCs w:val="18"/>
                <w:lang w:val="fr-CA"/>
              </w:rPr>
            </w:pPr>
            <w:proofErr w:type="spellStart"/>
            <w:r w:rsidRPr="00B43F59">
              <w:rPr>
                <w:sz w:val="18"/>
                <w:szCs w:val="18"/>
                <w:lang w:val="fr-CA"/>
              </w:rPr>
              <w:t>Gender</w:t>
            </w:r>
            <w:proofErr w:type="spellEnd"/>
            <w:r w:rsidRPr="00B43F59">
              <w:rPr>
                <w:sz w:val="18"/>
                <w:szCs w:val="18"/>
                <w:lang w:val="fr-CA"/>
              </w:rPr>
              <w:t xml:space="preserve"> Expert</w:t>
            </w:r>
          </w:p>
          <w:p w14:paraId="3C3651B0" w14:textId="77777777" w:rsidR="00302BFE" w:rsidRPr="00B43F59" w:rsidRDefault="00302BFE" w:rsidP="00243B15">
            <w:pPr>
              <w:spacing w:after="0"/>
              <w:jc w:val="left"/>
              <w:rPr>
                <w:sz w:val="18"/>
                <w:szCs w:val="18"/>
                <w:lang w:val="fr-CA"/>
              </w:rPr>
            </w:pPr>
            <w:r w:rsidRPr="00B43F59">
              <w:rPr>
                <w:sz w:val="18"/>
                <w:szCs w:val="18"/>
                <w:lang w:val="fr-CA"/>
              </w:rPr>
              <w:t>OFINAP, DGEF, DREEVCC</w:t>
            </w:r>
            <w:r>
              <w:rPr>
                <w:sz w:val="18"/>
                <w:szCs w:val="18"/>
                <w:lang w:val="fr-CA"/>
              </w:rPr>
              <w:t xml:space="preserve"> </w:t>
            </w:r>
            <w:r>
              <w:rPr>
                <w:sz w:val="18"/>
                <w:szCs w:val="18"/>
              </w:rPr>
              <w:t>/ MEGECC</w:t>
            </w:r>
          </w:p>
        </w:tc>
      </w:tr>
      <w:tr w:rsidR="00302BFE" w:rsidRPr="00B43F59" w14:paraId="480375A2" w14:textId="77777777" w:rsidTr="00243B15">
        <w:trPr>
          <w:gridAfter w:val="1"/>
          <w:wAfter w:w="6" w:type="pct"/>
          <w:jc w:val="center"/>
        </w:trPr>
        <w:tc>
          <w:tcPr>
            <w:tcW w:w="1229" w:type="pct"/>
            <w:shd w:val="clear" w:color="auto" w:fill="auto"/>
            <w:vAlign w:val="center"/>
          </w:tcPr>
          <w:p w14:paraId="1B304802" w14:textId="77777777" w:rsidR="00302BFE" w:rsidRPr="00B43F59" w:rsidRDefault="00302BFE" w:rsidP="00243B15">
            <w:pPr>
              <w:pStyle w:val="Paragraphedeliste"/>
              <w:tabs>
                <w:tab w:val="left" w:pos="284"/>
              </w:tabs>
              <w:ind w:left="0"/>
              <w:rPr>
                <w:rFonts w:ascii="Calibri" w:hAnsi="Calibri"/>
                <w:sz w:val="18"/>
                <w:szCs w:val="18"/>
                <w:lang w:val="en-CA"/>
              </w:rPr>
            </w:pPr>
            <w:r w:rsidRPr="00B43F59">
              <w:rPr>
                <w:rFonts w:ascii="Calibri" w:hAnsi="Calibri"/>
                <w:sz w:val="18"/>
                <w:szCs w:val="18"/>
                <w:lang w:val="en-CA"/>
              </w:rPr>
              <w:t>Support the development and implementation of a gender-sensitive capacity development plan (Output 2.1.3)</w:t>
            </w:r>
          </w:p>
        </w:tc>
        <w:tc>
          <w:tcPr>
            <w:tcW w:w="1193" w:type="pct"/>
            <w:shd w:val="clear" w:color="auto" w:fill="auto"/>
            <w:vAlign w:val="center"/>
          </w:tcPr>
          <w:p w14:paraId="264743B4" w14:textId="77777777" w:rsidR="00302BFE" w:rsidRPr="00B43F59" w:rsidRDefault="00302BFE" w:rsidP="00243B15">
            <w:pPr>
              <w:spacing w:after="0"/>
              <w:jc w:val="left"/>
              <w:rPr>
                <w:sz w:val="18"/>
                <w:szCs w:val="18"/>
                <w:lang w:val="en-CA"/>
              </w:rPr>
            </w:pPr>
            <w:r w:rsidRPr="00B43F59">
              <w:rPr>
                <w:sz w:val="18"/>
                <w:szCs w:val="18"/>
                <w:lang w:val="en-CA"/>
              </w:rPr>
              <w:t>Existence of a gender-sensitive capacity development plan</w:t>
            </w:r>
          </w:p>
        </w:tc>
        <w:tc>
          <w:tcPr>
            <w:tcW w:w="605" w:type="pct"/>
            <w:shd w:val="clear" w:color="auto" w:fill="auto"/>
            <w:vAlign w:val="center"/>
          </w:tcPr>
          <w:p w14:paraId="16FD151A" w14:textId="77777777" w:rsidR="00302BFE" w:rsidRPr="00B43F59" w:rsidRDefault="00302BFE" w:rsidP="00243B15">
            <w:pPr>
              <w:spacing w:after="0"/>
              <w:jc w:val="left"/>
              <w:rPr>
                <w:sz w:val="18"/>
                <w:szCs w:val="18"/>
              </w:rPr>
            </w:pPr>
            <w:r w:rsidRPr="00B43F59">
              <w:rPr>
                <w:sz w:val="18"/>
                <w:szCs w:val="18"/>
              </w:rPr>
              <w:t>1 plan</w:t>
            </w:r>
          </w:p>
        </w:tc>
        <w:tc>
          <w:tcPr>
            <w:tcW w:w="606" w:type="pct"/>
            <w:shd w:val="clear" w:color="auto" w:fill="auto"/>
            <w:vAlign w:val="center"/>
          </w:tcPr>
          <w:p w14:paraId="061F4F94" w14:textId="77777777" w:rsidR="00302BFE" w:rsidRPr="00B43F59" w:rsidRDefault="00302BFE" w:rsidP="00243B15">
            <w:pPr>
              <w:spacing w:after="0"/>
              <w:jc w:val="left"/>
              <w:rPr>
                <w:sz w:val="18"/>
                <w:szCs w:val="18"/>
                <w:lang w:val="en-CA"/>
              </w:rPr>
            </w:pPr>
            <w:r w:rsidRPr="00B43F59">
              <w:rPr>
                <w:sz w:val="18"/>
                <w:szCs w:val="18"/>
                <w:lang w:val="en-CA"/>
              </w:rPr>
              <w:t>0 (there is not yet a gender-sensitive capacity development plan in the project area)</w:t>
            </w:r>
          </w:p>
        </w:tc>
        <w:tc>
          <w:tcPr>
            <w:tcW w:w="314" w:type="pct"/>
            <w:gridSpan w:val="2"/>
            <w:shd w:val="clear" w:color="auto" w:fill="auto"/>
            <w:vAlign w:val="center"/>
          </w:tcPr>
          <w:p w14:paraId="7A3C9F07"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02ADCD94" w14:textId="77777777" w:rsidR="00302BFE" w:rsidRPr="00B43F59" w:rsidRDefault="00302BFE" w:rsidP="00243B15">
            <w:pPr>
              <w:pStyle w:val="Paragraphedeliste"/>
              <w:ind w:left="0"/>
              <w:contextualSpacing/>
              <w:rPr>
                <w:rFonts w:ascii="Calibri" w:hAnsi="Calibri"/>
                <w:sz w:val="18"/>
                <w:szCs w:val="18"/>
                <w:lang w:val="en-CA"/>
              </w:rPr>
            </w:pPr>
            <w:r w:rsidRPr="00B43F59">
              <w:rPr>
                <w:rFonts w:ascii="Calibri" w:hAnsi="Calibri"/>
                <w:sz w:val="18"/>
                <w:szCs w:val="18"/>
                <w:lang w:val="en-CA"/>
              </w:rPr>
              <w:t>Project Gender Expert</w:t>
            </w:r>
          </w:p>
          <w:p w14:paraId="60B447F5" w14:textId="77777777" w:rsidR="00302BFE" w:rsidRPr="00B43F59" w:rsidRDefault="00302BFE" w:rsidP="00243B15">
            <w:pPr>
              <w:pStyle w:val="Paragraphedeliste"/>
              <w:ind w:left="0"/>
              <w:contextualSpacing/>
              <w:rPr>
                <w:rFonts w:ascii="Calibri" w:hAnsi="Calibri"/>
                <w:sz w:val="18"/>
                <w:szCs w:val="18"/>
                <w:lang w:val="en-CA"/>
              </w:rPr>
            </w:pPr>
            <w:r w:rsidRPr="00B43F59">
              <w:rPr>
                <w:rFonts w:ascii="Calibri" w:hAnsi="Calibri"/>
                <w:sz w:val="18"/>
                <w:szCs w:val="18"/>
              </w:rPr>
              <w:fldChar w:fldCharType="begin"/>
            </w:r>
            <w:r w:rsidRPr="00B43F59">
              <w:rPr>
                <w:rFonts w:ascii="Calibri" w:hAnsi="Calibri"/>
                <w:sz w:val="18"/>
                <w:szCs w:val="18"/>
                <w:lang w:val="en-CA"/>
              </w:rPr>
              <w:instrText xml:space="preserve"> HYPERLINK "http://lefaso.net/spip.php?article87367" </w:instrText>
            </w:r>
            <w:r w:rsidRPr="00B43F59">
              <w:rPr>
                <w:rFonts w:ascii="Calibri" w:hAnsi="Calibri"/>
                <w:sz w:val="18"/>
                <w:szCs w:val="18"/>
              </w:rPr>
              <w:fldChar w:fldCharType="separate"/>
            </w:r>
            <w:r w:rsidRPr="00B43F59">
              <w:rPr>
                <w:rFonts w:ascii="Calibri" w:hAnsi="Calibri"/>
                <w:sz w:val="18"/>
                <w:szCs w:val="18"/>
                <w:lang w:val="en-CA"/>
              </w:rPr>
              <w:t>Ministry of Women, National Solidarity and Family</w:t>
            </w:r>
          </w:p>
          <w:p w14:paraId="7F396DC0" w14:textId="77777777" w:rsidR="00302BFE" w:rsidRPr="00B43F59" w:rsidRDefault="00302BFE" w:rsidP="00243B15">
            <w:pPr>
              <w:pStyle w:val="Paragraphedeliste"/>
              <w:ind w:left="0"/>
              <w:contextualSpacing/>
              <w:rPr>
                <w:rFonts w:ascii="Calibri" w:hAnsi="Calibri"/>
                <w:sz w:val="18"/>
                <w:szCs w:val="18"/>
                <w:lang w:val="en-CA"/>
              </w:rPr>
            </w:pPr>
            <w:r w:rsidRPr="00B43F59">
              <w:rPr>
                <w:rFonts w:ascii="Calibri" w:hAnsi="Calibri"/>
                <w:sz w:val="18"/>
                <w:szCs w:val="18"/>
              </w:rPr>
              <w:fldChar w:fldCharType="end"/>
            </w:r>
            <w:r w:rsidRPr="00B43F59">
              <w:rPr>
                <w:rFonts w:ascii="Calibri" w:hAnsi="Calibri"/>
                <w:sz w:val="18"/>
                <w:szCs w:val="18"/>
                <w:lang w:val="en-CA"/>
              </w:rPr>
              <w:t xml:space="preserve">Permanent Secretariat of the National Council for the Promotion of Gender </w:t>
            </w:r>
            <w:r w:rsidRPr="00B43F59">
              <w:rPr>
                <w:rFonts w:ascii="Calibri" w:hAnsi="Calibri"/>
                <w:sz w:val="18"/>
                <w:szCs w:val="18"/>
                <w:lang w:val="en-CA" w:eastAsia="fr-CA"/>
              </w:rPr>
              <w:t xml:space="preserve">(SP/CONEP </w:t>
            </w:r>
            <w:r w:rsidRPr="00B43F59">
              <w:rPr>
                <w:rFonts w:ascii="Calibri" w:hAnsi="Calibri"/>
                <w:sz w:val="18"/>
                <w:szCs w:val="18"/>
                <w:lang w:val="en-CA"/>
              </w:rPr>
              <w:t>gender</w:t>
            </w:r>
            <w:r w:rsidRPr="00B43F59">
              <w:rPr>
                <w:rFonts w:ascii="Calibri" w:hAnsi="Calibri"/>
                <w:sz w:val="18"/>
                <w:szCs w:val="18"/>
                <w:lang w:val="en-CA" w:eastAsia="fr-CA"/>
              </w:rPr>
              <w:t>)</w:t>
            </w:r>
          </w:p>
          <w:p w14:paraId="5934573C" w14:textId="77777777" w:rsidR="00302BFE" w:rsidRPr="00B43F59" w:rsidRDefault="00302BFE" w:rsidP="00243B15">
            <w:pPr>
              <w:pStyle w:val="Paragraphedeliste"/>
              <w:ind w:left="0"/>
              <w:contextualSpacing/>
              <w:rPr>
                <w:rFonts w:ascii="Calibri" w:hAnsi="Calibri"/>
                <w:sz w:val="18"/>
                <w:szCs w:val="18"/>
              </w:rPr>
            </w:pPr>
            <w:r w:rsidRPr="00C3579E">
              <w:rPr>
                <w:rFonts w:ascii="Calibri" w:hAnsi="Calibri"/>
                <w:sz w:val="18"/>
                <w:szCs w:val="18"/>
              </w:rPr>
              <w:t>Housing, and Community Development</w:t>
            </w:r>
          </w:p>
        </w:tc>
      </w:tr>
      <w:tr w:rsidR="00302BFE" w:rsidRPr="00B43F59" w14:paraId="61AED0CE" w14:textId="77777777" w:rsidTr="00243B15">
        <w:trPr>
          <w:gridAfter w:val="1"/>
          <w:wAfter w:w="6" w:type="pct"/>
          <w:jc w:val="center"/>
        </w:trPr>
        <w:tc>
          <w:tcPr>
            <w:tcW w:w="1229" w:type="pct"/>
            <w:shd w:val="clear" w:color="auto" w:fill="auto"/>
            <w:vAlign w:val="center"/>
          </w:tcPr>
          <w:p w14:paraId="47C4A3B7" w14:textId="77777777" w:rsidR="00302BFE" w:rsidRPr="00B43F59" w:rsidRDefault="00302BFE" w:rsidP="00243B15">
            <w:pPr>
              <w:pStyle w:val="Paragraphedeliste"/>
              <w:tabs>
                <w:tab w:val="left" w:pos="284"/>
              </w:tabs>
              <w:ind w:left="0"/>
              <w:rPr>
                <w:rFonts w:ascii="Calibri" w:hAnsi="Calibri"/>
                <w:sz w:val="18"/>
                <w:szCs w:val="18"/>
                <w:lang w:val="en-CA"/>
              </w:rPr>
            </w:pPr>
            <w:r w:rsidRPr="00B43F59">
              <w:rPr>
                <w:rFonts w:ascii="Calibri" w:hAnsi="Calibri"/>
                <w:sz w:val="18"/>
                <w:szCs w:val="18"/>
                <w:lang w:val="en-CA"/>
              </w:rPr>
              <w:t>Support the development of a gender-sensitive communication strategy (output 2.1.2)</w:t>
            </w:r>
          </w:p>
        </w:tc>
        <w:tc>
          <w:tcPr>
            <w:tcW w:w="1193" w:type="pct"/>
            <w:shd w:val="clear" w:color="auto" w:fill="auto"/>
            <w:vAlign w:val="center"/>
          </w:tcPr>
          <w:p w14:paraId="5DC9717B" w14:textId="77777777" w:rsidR="00302BFE" w:rsidRPr="00B43F59" w:rsidRDefault="00302BFE" w:rsidP="00243B15">
            <w:pPr>
              <w:spacing w:after="0"/>
              <w:jc w:val="left"/>
              <w:rPr>
                <w:sz w:val="18"/>
                <w:szCs w:val="18"/>
                <w:lang w:val="en-CA"/>
              </w:rPr>
            </w:pPr>
            <w:r w:rsidRPr="00B43F59">
              <w:rPr>
                <w:sz w:val="18"/>
                <w:szCs w:val="18"/>
                <w:lang w:val="en-CA"/>
              </w:rPr>
              <w:t>Existence of a gender-sensitive communication strategy in the project area</w:t>
            </w:r>
          </w:p>
        </w:tc>
        <w:tc>
          <w:tcPr>
            <w:tcW w:w="605" w:type="pct"/>
            <w:shd w:val="clear" w:color="auto" w:fill="auto"/>
            <w:vAlign w:val="center"/>
          </w:tcPr>
          <w:p w14:paraId="141358E6" w14:textId="77777777" w:rsidR="00302BFE" w:rsidRPr="00B43F59" w:rsidRDefault="00302BFE" w:rsidP="00243B15">
            <w:pPr>
              <w:spacing w:after="0"/>
              <w:jc w:val="left"/>
              <w:rPr>
                <w:sz w:val="18"/>
                <w:szCs w:val="18"/>
              </w:rPr>
            </w:pPr>
            <w:r w:rsidRPr="00B43F59">
              <w:rPr>
                <w:sz w:val="18"/>
                <w:szCs w:val="18"/>
              </w:rPr>
              <w:t>1 plan</w:t>
            </w:r>
          </w:p>
        </w:tc>
        <w:tc>
          <w:tcPr>
            <w:tcW w:w="606" w:type="pct"/>
            <w:shd w:val="clear" w:color="auto" w:fill="auto"/>
            <w:vAlign w:val="center"/>
          </w:tcPr>
          <w:p w14:paraId="45462188" w14:textId="77777777" w:rsidR="00302BFE" w:rsidRPr="00B43F59" w:rsidRDefault="00302BFE" w:rsidP="00243B15">
            <w:pPr>
              <w:spacing w:after="0"/>
              <w:jc w:val="left"/>
              <w:rPr>
                <w:sz w:val="18"/>
                <w:szCs w:val="18"/>
                <w:lang w:val="en-CA"/>
              </w:rPr>
            </w:pPr>
            <w:r w:rsidRPr="00B43F59">
              <w:rPr>
                <w:sz w:val="18"/>
                <w:szCs w:val="18"/>
                <w:lang w:val="en-CA"/>
              </w:rPr>
              <w:t>0 (there is not yet a gender-sensitive communication plan in the project area)</w:t>
            </w:r>
          </w:p>
        </w:tc>
        <w:tc>
          <w:tcPr>
            <w:tcW w:w="314" w:type="pct"/>
            <w:gridSpan w:val="2"/>
            <w:shd w:val="clear" w:color="auto" w:fill="auto"/>
            <w:vAlign w:val="center"/>
          </w:tcPr>
          <w:p w14:paraId="2E813E2A"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2F3AB058" w14:textId="77777777" w:rsidR="00302BFE" w:rsidRPr="00B43F59" w:rsidRDefault="00302BFE" w:rsidP="00243B15">
            <w:pPr>
              <w:pStyle w:val="Paragraphedeliste"/>
              <w:ind w:left="0"/>
              <w:contextualSpacing/>
              <w:rPr>
                <w:rFonts w:ascii="Calibri" w:hAnsi="Calibri"/>
                <w:sz w:val="18"/>
                <w:szCs w:val="18"/>
                <w:lang w:val="en-CA"/>
              </w:rPr>
            </w:pPr>
            <w:r w:rsidRPr="00B43F59">
              <w:rPr>
                <w:rFonts w:ascii="Calibri" w:hAnsi="Calibri"/>
                <w:sz w:val="18"/>
                <w:szCs w:val="18"/>
                <w:lang w:val="en-CA"/>
              </w:rPr>
              <w:t>Project Gender Expert</w:t>
            </w:r>
          </w:p>
          <w:p w14:paraId="798BE6B3" w14:textId="77777777" w:rsidR="00302BFE" w:rsidRPr="00B43F59" w:rsidRDefault="00302BFE" w:rsidP="00243B15">
            <w:pPr>
              <w:pStyle w:val="Paragraphedeliste"/>
              <w:ind w:left="0"/>
              <w:contextualSpacing/>
              <w:rPr>
                <w:rFonts w:ascii="Calibri" w:hAnsi="Calibri"/>
                <w:sz w:val="18"/>
                <w:szCs w:val="18"/>
                <w:lang w:val="en-CA"/>
              </w:rPr>
            </w:pPr>
            <w:r w:rsidRPr="00B43F59">
              <w:rPr>
                <w:rFonts w:ascii="Calibri" w:hAnsi="Calibri"/>
                <w:sz w:val="18"/>
                <w:szCs w:val="18"/>
              </w:rPr>
              <w:fldChar w:fldCharType="begin"/>
            </w:r>
            <w:r w:rsidRPr="00B43F59">
              <w:rPr>
                <w:rFonts w:ascii="Calibri" w:hAnsi="Calibri"/>
                <w:sz w:val="18"/>
                <w:szCs w:val="18"/>
                <w:lang w:val="en-CA"/>
              </w:rPr>
              <w:instrText xml:space="preserve"> HYPERLINK "http://lefaso.net/spip.php?article87367" </w:instrText>
            </w:r>
            <w:r w:rsidRPr="00B43F59">
              <w:rPr>
                <w:rFonts w:ascii="Calibri" w:hAnsi="Calibri"/>
                <w:sz w:val="18"/>
                <w:szCs w:val="18"/>
              </w:rPr>
              <w:fldChar w:fldCharType="separate"/>
            </w:r>
            <w:r w:rsidRPr="00B43F59">
              <w:rPr>
                <w:rFonts w:ascii="Calibri" w:hAnsi="Calibri"/>
                <w:sz w:val="18"/>
                <w:szCs w:val="18"/>
                <w:lang w:val="en-CA"/>
              </w:rPr>
              <w:t>Ministry of Women, National Solidarity and Family</w:t>
            </w:r>
          </w:p>
          <w:p w14:paraId="071E4CDA" w14:textId="77777777" w:rsidR="00302BFE" w:rsidRPr="00B43F59" w:rsidRDefault="00302BFE" w:rsidP="00243B15">
            <w:pPr>
              <w:pStyle w:val="Paragraphedeliste"/>
              <w:ind w:left="0"/>
              <w:contextualSpacing/>
              <w:rPr>
                <w:rFonts w:ascii="Calibri" w:hAnsi="Calibri"/>
                <w:sz w:val="18"/>
                <w:szCs w:val="18"/>
                <w:lang w:val="en-CA"/>
              </w:rPr>
            </w:pPr>
            <w:r w:rsidRPr="00B43F59">
              <w:rPr>
                <w:rFonts w:ascii="Calibri" w:hAnsi="Calibri"/>
                <w:sz w:val="18"/>
                <w:szCs w:val="18"/>
              </w:rPr>
              <w:fldChar w:fldCharType="end"/>
            </w:r>
            <w:r w:rsidRPr="00B43F59">
              <w:rPr>
                <w:rFonts w:ascii="Calibri" w:hAnsi="Calibri"/>
                <w:sz w:val="18"/>
                <w:szCs w:val="18"/>
                <w:lang w:val="en-CA"/>
              </w:rPr>
              <w:t xml:space="preserve">Permanent Secretariat of the National Council for the Promotion of Gender </w:t>
            </w:r>
            <w:r w:rsidRPr="00B43F59">
              <w:rPr>
                <w:rFonts w:ascii="Calibri" w:hAnsi="Calibri"/>
                <w:sz w:val="18"/>
                <w:szCs w:val="18"/>
                <w:lang w:val="en-CA" w:eastAsia="fr-CA"/>
              </w:rPr>
              <w:t xml:space="preserve">(SP/CONEP </w:t>
            </w:r>
            <w:r w:rsidRPr="00B43F59">
              <w:rPr>
                <w:rFonts w:ascii="Calibri" w:hAnsi="Calibri"/>
                <w:sz w:val="18"/>
                <w:szCs w:val="18"/>
                <w:lang w:val="en-CA"/>
              </w:rPr>
              <w:t>gender</w:t>
            </w:r>
            <w:r w:rsidRPr="00B43F59">
              <w:rPr>
                <w:rFonts w:ascii="Calibri" w:hAnsi="Calibri"/>
                <w:sz w:val="18"/>
                <w:szCs w:val="18"/>
                <w:lang w:val="en-CA" w:eastAsia="fr-CA"/>
              </w:rPr>
              <w:t>)</w:t>
            </w:r>
          </w:p>
          <w:p w14:paraId="3077095C" w14:textId="77777777" w:rsidR="00302BFE" w:rsidRPr="00B43F59" w:rsidRDefault="00302BFE" w:rsidP="00243B15">
            <w:pPr>
              <w:pStyle w:val="Paragraphedeliste"/>
              <w:ind w:left="0"/>
              <w:contextualSpacing/>
              <w:rPr>
                <w:rFonts w:ascii="Calibri" w:hAnsi="Calibri"/>
                <w:sz w:val="18"/>
                <w:szCs w:val="18"/>
              </w:rPr>
            </w:pPr>
            <w:r w:rsidRPr="00C3579E">
              <w:rPr>
                <w:rFonts w:ascii="Calibri" w:hAnsi="Calibri"/>
                <w:sz w:val="18"/>
                <w:szCs w:val="18"/>
              </w:rPr>
              <w:t>Housing, and Community Development</w:t>
            </w:r>
          </w:p>
        </w:tc>
      </w:tr>
      <w:tr w:rsidR="00302BFE" w:rsidRPr="00B43F59" w14:paraId="0DA68F6A" w14:textId="77777777" w:rsidTr="00243B15">
        <w:trPr>
          <w:gridAfter w:val="1"/>
          <w:wAfter w:w="6" w:type="pct"/>
          <w:jc w:val="center"/>
        </w:trPr>
        <w:tc>
          <w:tcPr>
            <w:tcW w:w="1229" w:type="pct"/>
            <w:shd w:val="clear" w:color="auto" w:fill="auto"/>
            <w:vAlign w:val="center"/>
          </w:tcPr>
          <w:p w14:paraId="0A8D6C7F" w14:textId="77777777" w:rsidR="00302BFE" w:rsidRPr="00B43F59" w:rsidRDefault="00302BFE" w:rsidP="00243B15">
            <w:pPr>
              <w:spacing w:after="0"/>
              <w:jc w:val="left"/>
              <w:rPr>
                <w:rFonts w:eastAsia="Cambria"/>
                <w:sz w:val="18"/>
                <w:szCs w:val="18"/>
                <w:lang w:val="en-CA"/>
              </w:rPr>
            </w:pPr>
            <w:r w:rsidRPr="00B43F59">
              <w:rPr>
                <w:rFonts w:eastAsia="Batang"/>
                <w:sz w:val="18"/>
                <w:szCs w:val="18"/>
                <w:lang w:val="en-CA" w:eastAsia="ko-KR"/>
              </w:rPr>
              <w:t xml:space="preserve">Strengthen the technical capacities of women's cooperatives in the management of </w:t>
            </w:r>
            <w:r w:rsidRPr="002E46A2">
              <w:rPr>
                <w:szCs w:val="20"/>
                <w:lang w:val="en-GB"/>
              </w:rPr>
              <w:t>NTFP</w:t>
            </w:r>
            <w:r w:rsidRPr="00B43F59">
              <w:rPr>
                <w:rFonts w:eastAsia="Batang"/>
                <w:sz w:val="18"/>
                <w:szCs w:val="18"/>
                <w:lang w:val="en-CA" w:eastAsia="ko-KR"/>
              </w:rPr>
              <w:t xml:space="preserve"> production areas that will be delimited and granted for sustainable exploitation and management (output 2.1.2)</w:t>
            </w:r>
          </w:p>
        </w:tc>
        <w:tc>
          <w:tcPr>
            <w:tcW w:w="1193" w:type="pct"/>
            <w:shd w:val="clear" w:color="auto" w:fill="auto"/>
            <w:vAlign w:val="center"/>
          </w:tcPr>
          <w:p w14:paraId="6E87E8B3" w14:textId="77777777" w:rsidR="00302BFE" w:rsidRPr="00B43F59" w:rsidRDefault="00302BFE" w:rsidP="00243B15">
            <w:pPr>
              <w:spacing w:after="0"/>
              <w:rPr>
                <w:rFonts w:eastAsia="Times New Roman"/>
                <w:bCs/>
                <w:sz w:val="18"/>
                <w:szCs w:val="18"/>
                <w:lang w:val="en-CA" w:eastAsia="fr-FR"/>
              </w:rPr>
            </w:pPr>
            <w:r w:rsidRPr="00B43F59">
              <w:rPr>
                <w:rFonts w:eastAsia="Times New Roman"/>
                <w:bCs/>
                <w:sz w:val="18"/>
                <w:szCs w:val="18"/>
                <w:lang w:val="en-CA" w:eastAsia="fr-FR"/>
              </w:rPr>
              <w:t>Number of training sessions conducted for the benefit of cooperatives on planting techniques and maintenance of plants in certified areas</w:t>
            </w:r>
          </w:p>
          <w:p w14:paraId="6EF70D71" w14:textId="77777777" w:rsidR="00302BFE" w:rsidRPr="00B43F59" w:rsidRDefault="00302BFE" w:rsidP="00243B15">
            <w:pPr>
              <w:spacing w:after="0"/>
              <w:jc w:val="left"/>
              <w:rPr>
                <w:sz w:val="18"/>
                <w:szCs w:val="18"/>
                <w:lang w:val="en-CA"/>
              </w:rPr>
            </w:pPr>
            <w:r w:rsidRPr="00B43F59">
              <w:rPr>
                <w:rFonts w:eastAsia="Times New Roman"/>
                <w:bCs/>
                <w:sz w:val="18"/>
                <w:szCs w:val="18"/>
                <w:lang w:val="en-CA" w:eastAsia="fr-FR"/>
              </w:rPr>
              <w:t>Number of participants in training sessions</w:t>
            </w:r>
          </w:p>
        </w:tc>
        <w:tc>
          <w:tcPr>
            <w:tcW w:w="605" w:type="pct"/>
            <w:shd w:val="clear" w:color="auto" w:fill="auto"/>
            <w:vAlign w:val="center"/>
          </w:tcPr>
          <w:p w14:paraId="16CB8FFB" w14:textId="77777777" w:rsidR="00302BFE" w:rsidRPr="00B43F59" w:rsidRDefault="00302BFE" w:rsidP="00243B15">
            <w:pPr>
              <w:spacing w:after="0"/>
              <w:jc w:val="left"/>
              <w:rPr>
                <w:sz w:val="18"/>
                <w:szCs w:val="18"/>
                <w:lang w:val="fr-CA"/>
              </w:rPr>
            </w:pPr>
            <w:r w:rsidRPr="00B43F59">
              <w:rPr>
                <w:sz w:val="18"/>
                <w:szCs w:val="18"/>
                <w:lang w:val="fr-CA"/>
              </w:rPr>
              <w:t xml:space="preserve">04 training sessions for 04 </w:t>
            </w:r>
            <w:proofErr w:type="spellStart"/>
            <w:r w:rsidRPr="00B43F59">
              <w:rPr>
                <w:sz w:val="18"/>
                <w:szCs w:val="18"/>
                <w:lang w:val="fr-CA"/>
              </w:rPr>
              <w:t>cooperatives</w:t>
            </w:r>
            <w:proofErr w:type="spellEnd"/>
          </w:p>
        </w:tc>
        <w:tc>
          <w:tcPr>
            <w:tcW w:w="606" w:type="pct"/>
            <w:shd w:val="clear" w:color="auto" w:fill="auto"/>
            <w:vAlign w:val="center"/>
          </w:tcPr>
          <w:p w14:paraId="1A5F4144" w14:textId="77777777" w:rsidR="00302BFE" w:rsidRPr="00B43F59" w:rsidRDefault="00302BFE" w:rsidP="00243B15">
            <w:pPr>
              <w:spacing w:after="0"/>
              <w:jc w:val="left"/>
              <w:rPr>
                <w:sz w:val="18"/>
                <w:szCs w:val="18"/>
              </w:rPr>
            </w:pPr>
            <w:r w:rsidRPr="00B43F59">
              <w:rPr>
                <w:sz w:val="18"/>
                <w:szCs w:val="18"/>
              </w:rPr>
              <w:t>0</w:t>
            </w:r>
          </w:p>
        </w:tc>
        <w:tc>
          <w:tcPr>
            <w:tcW w:w="314" w:type="pct"/>
            <w:gridSpan w:val="2"/>
            <w:shd w:val="clear" w:color="auto" w:fill="auto"/>
            <w:vAlign w:val="center"/>
          </w:tcPr>
          <w:p w14:paraId="53578034" w14:textId="77777777" w:rsidR="00302BFE" w:rsidRPr="00B43F59" w:rsidRDefault="00302BFE" w:rsidP="00243B15">
            <w:pPr>
              <w:spacing w:after="0"/>
              <w:jc w:val="left"/>
              <w:rPr>
                <w:sz w:val="18"/>
                <w:szCs w:val="18"/>
              </w:rPr>
            </w:pPr>
            <w:r w:rsidRPr="00B43F59">
              <w:rPr>
                <w:sz w:val="18"/>
                <w:szCs w:val="18"/>
              </w:rPr>
              <w:t>Year 2-3</w:t>
            </w:r>
          </w:p>
        </w:tc>
        <w:tc>
          <w:tcPr>
            <w:tcW w:w="1047" w:type="pct"/>
            <w:shd w:val="clear" w:color="auto" w:fill="auto"/>
            <w:vAlign w:val="center"/>
          </w:tcPr>
          <w:p w14:paraId="5EDE3510" w14:textId="77777777" w:rsidR="00302BFE" w:rsidRPr="00B43F59" w:rsidRDefault="00302BFE" w:rsidP="00243B15">
            <w:pPr>
              <w:spacing w:after="0"/>
              <w:jc w:val="left"/>
              <w:rPr>
                <w:sz w:val="18"/>
                <w:szCs w:val="18"/>
              </w:rPr>
            </w:pPr>
            <w:r w:rsidRPr="00B43F59">
              <w:rPr>
                <w:sz w:val="18"/>
                <w:szCs w:val="18"/>
              </w:rPr>
              <w:t>Forest Service</w:t>
            </w:r>
          </w:p>
        </w:tc>
      </w:tr>
      <w:tr w:rsidR="00302BFE" w:rsidRPr="00B43F59" w14:paraId="2120D5AB" w14:textId="77777777" w:rsidTr="00243B15">
        <w:trPr>
          <w:gridAfter w:val="1"/>
          <w:wAfter w:w="6" w:type="pct"/>
          <w:jc w:val="center"/>
        </w:trPr>
        <w:tc>
          <w:tcPr>
            <w:tcW w:w="1229" w:type="pct"/>
            <w:shd w:val="clear" w:color="auto" w:fill="auto"/>
            <w:vAlign w:val="center"/>
          </w:tcPr>
          <w:p w14:paraId="49D89EDD" w14:textId="77777777" w:rsidR="00302BFE" w:rsidRPr="00B43F59" w:rsidRDefault="00302BFE" w:rsidP="00243B15">
            <w:pPr>
              <w:spacing w:after="0"/>
              <w:jc w:val="left"/>
              <w:rPr>
                <w:rFonts w:eastAsia="Batang"/>
                <w:sz w:val="18"/>
                <w:szCs w:val="18"/>
                <w:lang w:val="en-CA" w:eastAsia="ko-KR"/>
              </w:rPr>
            </w:pPr>
            <w:r w:rsidRPr="00B43F59">
              <w:rPr>
                <w:rFonts w:eastAsia="Batang"/>
                <w:sz w:val="18"/>
                <w:szCs w:val="18"/>
                <w:lang w:val="en-CA" w:eastAsia="ko-KR"/>
              </w:rPr>
              <w:t>Involve women who run restaurants that sell wild meat in anti-poaching (output 2.1.2)</w:t>
            </w:r>
          </w:p>
        </w:tc>
        <w:tc>
          <w:tcPr>
            <w:tcW w:w="1193" w:type="pct"/>
            <w:shd w:val="clear" w:color="auto" w:fill="auto"/>
            <w:vAlign w:val="center"/>
          </w:tcPr>
          <w:p w14:paraId="16535775" w14:textId="77777777" w:rsidR="00302BFE" w:rsidRPr="00B43F59" w:rsidRDefault="00302BFE" w:rsidP="00243B15">
            <w:pPr>
              <w:spacing w:after="0"/>
              <w:jc w:val="left"/>
              <w:rPr>
                <w:sz w:val="18"/>
                <w:szCs w:val="18"/>
                <w:lang w:val="en-CA"/>
              </w:rPr>
            </w:pPr>
            <w:r w:rsidRPr="00B43F59">
              <w:rPr>
                <w:sz w:val="18"/>
                <w:szCs w:val="18"/>
                <w:lang w:val="en-CA"/>
              </w:rPr>
              <w:t xml:space="preserve">Number of </w:t>
            </w:r>
            <w:r w:rsidRPr="00B43F59">
              <w:rPr>
                <w:rFonts w:eastAsia="Batang"/>
                <w:sz w:val="18"/>
                <w:szCs w:val="18"/>
                <w:lang w:val="en-CA" w:eastAsia="ko-KR"/>
              </w:rPr>
              <w:t>women who run restaurants that sell wild meat involved in anti-poaching (output 2.1.2)</w:t>
            </w:r>
          </w:p>
        </w:tc>
        <w:tc>
          <w:tcPr>
            <w:tcW w:w="605" w:type="pct"/>
            <w:shd w:val="clear" w:color="auto" w:fill="auto"/>
            <w:vAlign w:val="center"/>
          </w:tcPr>
          <w:p w14:paraId="164EEECF" w14:textId="77777777" w:rsidR="00302BFE" w:rsidRPr="00B43F59" w:rsidRDefault="00302BFE" w:rsidP="00243B15">
            <w:pPr>
              <w:spacing w:after="0"/>
              <w:jc w:val="left"/>
              <w:rPr>
                <w:sz w:val="18"/>
                <w:szCs w:val="18"/>
              </w:rPr>
            </w:pPr>
            <w:r w:rsidRPr="00B43F59">
              <w:rPr>
                <w:sz w:val="18"/>
                <w:szCs w:val="18"/>
              </w:rPr>
              <w:t>At least 50% of the women who run such restaurants</w:t>
            </w:r>
          </w:p>
        </w:tc>
        <w:tc>
          <w:tcPr>
            <w:tcW w:w="606" w:type="pct"/>
            <w:shd w:val="clear" w:color="auto" w:fill="auto"/>
            <w:vAlign w:val="center"/>
          </w:tcPr>
          <w:p w14:paraId="6D2C43BA" w14:textId="77777777" w:rsidR="00302BFE" w:rsidRPr="00B43F59" w:rsidRDefault="00302BFE" w:rsidP="00243B15">
            <w:pPr>
              <w:spacing w:after="0"/>
              <w:jc w:val="left"/>
              <w:rPr>
                <w:sz w:val="18"/>
                <w:szCs w:val="18"/>
              </w:rPr>
            </w:pPr>
            <w:r w:rsidRPr="00B43F59">
              <w:rPr>
                <w:sz w:val="18"/>
                <w:szCs w:val="18"/>
              </w:rPr>
              <w:t>0</w:t>
            </w:r>
          </w:p>
        </w:tc>
        <w:tc>
          <w:tcPr>
            <w:tcW w:w="314" w:type="pct"/>
            <w:gridSpan w:val="2"/>
            <w:shd w:val="clear" w:color="auto" w:fill="auto"/>
            <w:vAlign w:val="center"/>
          </w:tcPr>
          <w:p w14:paraId="562F302E" w14:textId="77777777" w:rsidR="00302BFE" w:rsidRPr="00B43F59" w:rsidRDefault="00302BFE" w:rsidP="00243B15">
            <w:pPr>
              <w:spacing w:after="0"/>
              <w:jc w:val="left"/>
              <w:rPr>
                <w:sz w:val="18"/>
                <w:szCs w:val="18"/>
              </w:rPr>
            </w:pPr>
            <w:r w:rsidRPr="00B43F59">
              <w:rPr>
                <w:sz w:val="18"/>
                <w:szCs w:val="18"/>
              </w:rPr>
              <w:t>Year 4-6</w:t>
            </w:r>
          </w:p>
        </w:tc>
        <w:tc>
          <w:tcPr>
            <w:tcW w:w="1047" w:type="pct"/>
            <w:shd w:val="clear" w:color="auto" w:fill="auto"/>
            <w:vAlign w:val="center"/>
          </w:tcPr>
          <w:p w14:paraId="6B58270E" w14:textId="77777777" w:rsidR="00302BFE" w:rsidRPr="00B43F59" w:rsidRDefault="00302BFE" w:rsidP="00243B15">
            <w:pPr>
              <w:spacing w:after="0"/>
              <w:rPr>
                <w:sz w:val="18"/>
                <w:szCs w:val="18"/>
              </w:rPr>
            </w:pPr>
            <w:r w:rsidRPr="00B43F59">
              <w:rPr>
                <w:sz w:val="18"/>
                <w:szCs w:val="18"/>
              </w:rPr>
              <w:t>Project Gender Expert</w:t>
            </w:r>
          </w:p>
          <w:p w14:paraId="2FDF35D4" w14:textId="77777777" w:rsidR="00302BFE" w:rsidRPr="00B43F59" w:rsidRDefault="00302BFE" w:rsidP="00243B15">
            <w:pPr>
              <w:tabs>
                <w:tab w:val="left" w:pos="228"/>
              </w:tabs>
              <w:spacing w:after="0"/>
              <w:rPr>
                <w:sz w:val="18"/>
                <w:szCs w:val="18"/>
              </w:rPr>
            </w:pPr>
            <w:r w:rsidRPr="00B43F59">
              <w:rPr>
                <w:sz w:val="18"/>
                <w:szCs w:val="18"/>
              </w:rPr>
              <w:t>Forest Service</w:t>
            </w:r>
          </w:p>
        </w:tc>
      </w:tr>
      <w:tr w:rsidR="00302BFE" w:rsidRPr="00B43F59" w14:paraId="53E5BDB1" w14:textId="77777777" w:rsidTr="00243B15">
        <w:trPr>
          <w:jc w:val="center"/>
        </w:trPr>
        <w:tc>
          <w:tcPr>
            <w:tcW w:w="5000" w:type="pct"/>
            <w:gridSpan w:val="8"/>
            <w:shd w:val="clear" w:color="auto" w:fill="auto"/>
            <w:vAlign w:val="center"/>
          </w:tcPr>
          <w:p w14:paraId="03B1B7D3" w14:textId="77777777" w:rsidR="00302BFE" w:rsidRPr="00B43F59" w:rsidRDefault="00302BFE" w:rsidP="00243B15">
            <w:pPr>
              <w:spacing w:after="0"/>
              <w:jc w:val="left"/>
              <w:rPr>
                <w:b/>
                <w:sz w:val="18"/>
                <w:szCs w:val="18"/>
                <w:lang w:val="en-CA"/>
              </w:rPr>
            </w:pPr>
            <w:r w:rsidRPr="00B43F59">
              <w:rPr>
                <w:b/>
                <w:sz w:val="18"/>
                <w:szCs w:val="18"/>
                <w:lang w:val="en-GB"/>
              </w:rPr>
              <w:t>Output 2.2 The management effectiveness of the State-managed PAs of the PONASI complex - Kabore-</w:t>
            </w:r>
            <w:proofErr w:type="spellStart"/>
            <w:r w:rsidRPr="00B43F59">
              <w:rPr>
                <w:b/>
                <w:sz w:val="18"/>
                <w:szCs w:val="18"/>
                <w:lang w:val="en-GB"/>
              </w:rPr>
              <w:t>Tambi</w:t>
            </w:r>
            <w:proofErr w:type="spellEnd"/>
            <w:r w:rsidRPr="00B43F59">
              <w:rPr>
                <w:b/>
                <w:sz w:val="18"/>
                <w:szCs w:val="18"/>
                <w:lang w:val="en-GB"/>
              </w:rPr>
              <w:t xml:space="preserve">, </w:t>
            </w:r>
            <w:proofErr w:type="spellStart"/>
            <w:r w:rsidRPr="00B43F59">
              <w:rPr>
                <w:b/>
                <w:sz w:val="18"/>
                <w:szCs w:val="18"/>
                <w:lang w:val="en-GB"/>
              </w:rPr>
              <w:t>Nazinga</w:t>
            </w:r>
            <w:proofErr w:type="spellEnd"/>
            <w:r w:rsidRPr="00B43F59">
              <w:rPr>
                <w:b/>
                <w:sz w:val="18"/>
                <w:szCs w:val="18"/>
                <w:lang w:val="en-GB"/>
              </w:rPr>
              <w:t xml:space="preserve"> and </w:t>
            </w:r>
            <w:proofErr w:type="spellStart"/>
            <w:r w:rsidRPr="00B43F59">
              <w:rPr>
                <w:b/>
                <w:sz w:val="18"/>
                <w:szCs w:val="18"/>
                <w:lang w:val="en-GB"/>
              </w:rPr>
              <w:t>Sissili</w:t>
            </w:r>
            <w:proofErr w:type="spellEnd"/>
            <w:r w:rsidRPr="00B43F59">
              <w:rPr>
                <w:b/>
                <w:sz w:val="18"/>
                <w:szCs w:val="18"/>
                <w:lang w:val="en-GB"/>
              </w:rPr>
              <w:t>, including corridors # 1 and # 2 is reinforced by a series of technical support</w:t>
            </w:r>
          </w:p>
        </w:tc>
      </w:tr>
      <w:tr w:rsidR="00302BFE" w:rsidRPr="00B43F59" w14:paraId="4EA90407" w14:textId="77777777" w:rsidTr="00243B15">
        <w:trPr>
          <w:gridAfter w:val="1"/>
          <w:wAfter w:w="6" w:type="pct"/>
          <w:jc w:val="center"/>
        </w:trPr>
        <w:tc>
          <w:tcPr>
            <w:tcW w:w="1229" w:type="pct"/>
            <w:shd w:val="clear" w:color="auto" w:fill="auto"/>
            <w:vAlign w:val="center"/>
          </w:tcPr>
          <w:p w14:paraId="2FAB174D" w14:textId="77777777" w:rsidR="00302BFE" w:rsidRPr="00B43F59" w:rsidRDefault="00302BFE" w:rsidP="00243B15">
            <w:pPr>
              <w:spacing w:after="0"/>
              <w:jc w:val="left"/>
              <w:rPr>
                <w:sz w:val="18"/>
                <w:szCs w:val="18"/>
              </w:rPr>
            </w:pPr>
            <w:r w:rsidRPr="00B43F59">
              <w:rPr>
                <w:sz w:val="18"/>
                <w:szCs w:val="18"/>
              </w:rPr>
              <w:t xml:space="preserve">Include gender considerations into the templates for management plans, collaborative management agreements, to ensure gender considerations will be </w:t>
            </w:r>
            <w:r w:rsidRPr="00B43F59">
              <w:rPr>
                <w:sz w:val="18"/>
                <w:szCs w:val="18"/>
              </w:rPr>
              <w:lastRenderedPageBreak/>
              <w:t>integrated in the protected area management plans and especially in the village collaborative management agreements (output 2.2.2)</w:t>
            </w:r>
          </w:p>
        </w:tc>
        <w:tc>
          <w:tcPr>
            <w:tcW w:w="1193" w:type="pct"/>
            <w:shd w:val="clear" w:color="auto" w:fill="auto"/>
            <w:vAlign w:val="center"/>
          </w:tcPr>
          <w:p w14:paraId="51A9C34E" w14:textId="77777777" w:rsidR="00302BFE" w:rsidRPr="00B43F59" w:rsidRDefault="00302BFE" w:rsidP="00243B15">
            <w:pPr>
              <w:spacing w:after="0"/>
              <w:jc w:val="left"/>
              <w:rPr>
                <w:sz w:val="18"/>
                <w:szCs w:val="18"/>
              </w:rPr>
            </w:pPr>
            <w:r w:rsidRPr="00B43F59">
              <w:rPr>
                <w:sz w:val="18"/>
                <w:szCs w:val="18"/>
              </w:rPr>
              <w:lastRenderedPageBreak/>
              <w:t xml:space="preserve">Number of PA management plans and of village collaborative management agreements that address women and other socially vulnerable groups’ needs, and with </w:t>
            </w:r>
            <w:r w:rsidRPr="00B43F59">
              <w:rPr>
                <w:sz w:val="18"/>
                <w:szCs w:val="18"/>
              </w:rPr>
              <w:lastRenderedPageBreak/>
              <w:t>mechanisms to promote women’s participation and the sustainable use and conservation of forests</w:t>
            </w:r>
          </w:p>
        </w:tc>
        <w:tc>
          <w:tcPr>
            <w:tcW w:w="605" w:type="pct"/>
            <w:shd w:val="clear" w:color="auto" w:fill="auto"/>
            <w:vAlign w:val="center"/>
          </w:tcPr>
          <w:p w14:paraId="78B67B79" w14:textId="77777777" w:rsidR="00302BFE" w:rsidRPr="00B43F59" w:rsidRDefault="00302BFE" w:rsidP="00243B15">
            <w:pPr>
              <w:spacing w:after="0"/>
              <w:jc w:val="left"/>
              <w:rPr>
                <w:sz w:val="18"/>
                <w:szCs w:val="18"/>
              </w:rPr>
            </w:pPr>
            <w:r w:rsidRPr="00B43F59">
              <w:rPr>
                <w:sz w:val="18"/>
                <w:szCs w:val="18"/>
              </w:rPr>
              <w:lastRenderedPageBreak/>
              <w:t>One (1)</w:t>
            </w:r>
          </w:p>
        </w:tc>
        <w:tc>
          <w:tcPr>
            <w:tcW w:w="606" w:type="pct"/>
            <w:shd w:val="clear" w:color="auto" w:fill="auto"/>
            <w:vAlign w:val="center"/>
          </w:tcPr>
          <w:p w14:paraId="0BABBFA1" w14:textId="77777777" w:rsidR="00302BFE" w:rsidRPr="00B43F59" w:rsidRDefault="00302BFE" w:rsidP="00243B15">
            <w:pPr>
              <w:spacing w:after="0"/>
              <w:jc w:val="left"/>
              <w:rPr>
                <w:sz w:val="18"/>
                <w:szCs w:val="18"/>
              </w:rPr>
            </w:pPr>
            <w:r w:rsidRPr="00B43F59">
              <w:rPr>
                <w:sz w:val="18"/>
                <w:szCs w:val="18"/>
              </w:rPr>
              <w:t xml:space="preserve">No template for PA management plans and for village collaborative </w:t>
            </w:r>
            <w:r w:rsidRPr="00B43F59">
              <w:rPr>
                <w:sz w:val="18"/>
                <w:szCs w:val="18"/>
              </w:rPr>
              <w:lastRenderedPageBreak/>
              <w:t>management agreement have yet been developed</w:t>
            </w:r>
          </w:p>
        </w:tc>
        <w:tc>
          <w:tcPr>
            <w:tcW w:w="314" w:type="pct"/>
            <w:gridSpan w:val="2"/>
            <w:shd w:val="clear" w:color="auto" w:fill="auto"/>
            <w:vAlign w:val="center"/>
          </w:tcPr>
          <w:p w14:paraId="56E341E7" w14:textId="77777777" w:rsidR="00302BFE" w:rsidRPr="00B43F59" w:rsidRDefault="00302BFE" w:rsidP="00243B15">
            <w:pPr>
              <w:spacing w:after="0"/>
              <w:jc w:val="left"/>
              <w:rPr>
                <w:sz w:val="18"/>
                <w:szCs w:val="18"/>
              </w:rPr>
            </w:pPr>
            <w:r w:rsidRPr="00B43F59">
              <w:rPr>
                <w:sz w:val="18"/>
                <w:szCs w:val="18"/>
              </w:rPr>
              <w:lastRenderedPageBreak/>
              <w:t>Years 1 and 2</w:t>
            </w:r>
          </w:p>
        </w:tc>
        <w:tc>
          <w:tcPr>
            <w:tcW w:w="1047" w:type="pct"/>
            <w:shd w:val="clear" w:color="auto" w:fill="auto"/>
            <w:vAlign w:val="center"/>
          </w:tcPr>
          <w:p w14:paraId="67642085" w14:textId="77777777" w:rsidR="00302BFE" w:rsidRPr="00B43F59" w:rsidRDefault="00302BFE" w:rsidP="00243B15">
            <w:pPr>
              <w:spacing w:after="0"/>
              <w:jc w:val="left"/>
              <w:rPr>
                <w:sz w:val="18"/>
                <w:szCs w:val="18"/>
              </w:rPr>
            </w:pPr>
            <w:r w:rsidRPr="00B43F59">
              <w:rPr>
                <w:sz w:val="18"/>
                <w:szCs w:val="18"/>
              </w:rPr>
              <w:t>Gender Expert</w:t>
            </w:r>
          </w:p>
          <w:p w14:paraId="074073D9" w14:textId="77777777" w:rsidR="00302BFE" w:rsidRPr="00B43F59" w:rsidRDefault="00302BFE" w:rsidP="00243B15">
            <w:pPr>
              <w:spacing w:after="0"/>
              <w:jc w:val="left"/>
              <w:rPr>
                <w:sz w:val="18"/>
                <w:szCs w:val="18"/>
              </w:rPr>
            </w:pPr>
            <w:r w:rsidRPr="00B43F59">
              <w:rPr>
                <w:sz w:val="18"/>
                <w:szCs w:val="18"/>
              </w:rPr>
              <w:t>OFINAP, DGEF, DREEVCC</w:t>
            </w:r>
            <w:r>
              <w:rPr>
                <w:sz w:val="18"/>
                <w:szCs w:val="18"/>
              </w:rPr>
              <w:t xml:space="preserve"> / MEGECC</w:t>
            </w:r>
          </w:p>
        </w:tc>
      </w:tr>
      <w:tr w:rsidR="00302BFE" w:rsidRPr="00B43F59" w14:paraId="3E57F443" w14:textId="77777777" w:rsidTr="00243B15">
        <w:trPr>
          <w:gridAfter w:val="1"/>
          <w:wAfter w:w="6" w:type="pct"/>
          <w:jc w:val="center"/>
        </w:trPr>
        <w:tc>
          <w:tcPr>
            <w:tcW w:w="1229" w:type="pct"/>
            <w:shd w:val="clear" w:color="auto" w:fill="auto"/>
            <w:vAlign w:val="center"/>
          </w:tcPr>
          <w:p w14:paraId="450C6339" w14:textId="77777777" w:rsidR="00302BFE" w:rsidRPr="00B43F59" w:rsidRDefault="00302BFE" w:rsidP="00243B15">
            <w:pPr>
              <w:spacing w:after="0"/>
              <w:jc w:val="left"/>
              <w:rPr>
                <w:sz w:val="18"/>
                <w:szCs w:val="18"/>
              </w:rPr>
            </w:pPr>
            <w:r w:rsidRPr="00B43F59">
              <w:rPr>
                <w:sz w:val="18"/>
                <w:szCs w:val="18"/>
              </w:rPr>
              <w:t xml:space="preserve">Identify and develop gender indicators to monitor women’s participation in the development and implementation of the management plans for </w:t>
            </w:r>
            <w:proofErr w:type="spellStart"/>
            <w:r w:rsidRPr="00B43F59">
              <w:rPr>
                <w:sz w:val="18"/>
                <w:szCs w:val="18"/>
              </w:rPr>
              <w:t>Nazinga</w:t>
            </w:r>
            <w:proofErr w:type="spellEnd"/>
            <w:r w:rsidRPr="00B43F59">
              <w:rPr>
                <w:sz w:val="18"/>
                <w:szCs w:val="18"/>
              </w:rPr>
              <w:t xml:space="preserve">, PNKT and </w:t>
            </w:r>
            <w:proofErr w:type="spellStart"/>
            <w:r w:rsidRPr="00B43F59">
              <w:rPr>
                <w:sz w:val="18"/>
                <w:szCs w:val="18"/>
              </w:rPr>
              <w:t>Sissili</w:t>
            </w:r>
            <w:proofErr w:type="spellEnd"/>
            <w:r w:rsidRPr="00B43F59">
              <w:rPr>
                <w:sz w:val="18"/>
                <w:szCs w:val="18"/>
              </w:rPr>
              <w:t xml:space="preserve"> PAS, corridors #1 and #2, and for ZOVICs as well as for monitoring impact on women (output 2.2.2)</w:t>
            </w:r>
          </w:p>
        </w:tc>
        <w:tc>
          <w:tcPr>
            <w:tcW w:w="1193" w:type="pct"/>
            <w:shd w:val="clear" w:color="auto" w:fill="auto"/>
            <w:vAlign w:val="center"/>
          </w:tcPr>
          <w:p w14:paraId="07476404" w14:textId="77777777" w:rsidR="00302BFE" w:rsidRPr="00B43F59" w:rsidRDefault="00302BFE" w:rsidP="00243B15">
            <w:pPr>
              <w:spacing w:after="0"/>
              <w:jc w:val="left"/>
              <w:rPr>
                <w:sz w:val="18"/>
                <w:szCs w:val="18"/>
              </w:rPr>
            </w:pPr>
            <w:r w:rsidRPr="00B43F59">
              <w:rPr>
                <w:sz w:val="18"/>
                <w:szCs w:val="18"/>
              </w:rPr>
              <w:t>Number of management plans with gender responsive indicators</w:t>
            </w:r>
          </w:p>
        </w:tc>
        <w:tc>
          <w:tcPr>
            <w:tcW w:w="605" w:type="pct"/>
            <w:shd w:val="clear" w:color="auto" w:fill="auto"/>
            <w:vAlign w:val="center"/>
          </w:tcPr>
          <w:p w14:paraId="58D4ACEB" w14:textId="77777777" w:rsidR="00302BFE" w:rsidRPr="00B43F59" w:rsidRDefault="00302BFE" w:rsidP="00243B15">
            <w:pPr>
              <w:spacing w:after="0"/>
              <w:jc w:val="left"/>
              <w:rPr>
                <w:sz w:val="18"/>
                <w:szCs w:val="18"/>
              </w:rPr>
            </w:pPr>
            <w:r w:rsidRPr="00B43F59">
              <w:rPr>
                <w:sz w:val="18"/>
                <w:szCs w:val="18"/>
              </w:rPr>
              <w:t>Three (3) for state PAs (</w:t>
            </w:r>
            <w:proofErr w:type="spellStart"/>
            <w:r w:rsidRPr="00B43F59">
              <w:rPr>
                <w:sz w:val="18"/>
                <w:szCs w:val="18"/>
              </w:rPr>
              <w:t>Nazinga</w:t>
            </w:r>
            <w:proofErr w:type="spellEnd"/>
            <w:r w:rsidRPr="00B43F59">
              <w:rPr>
                <w:sz w:val="18"/>
                <w:szCs w:val="18"/>
              </w:rPr>
              <w:t xml:space="preserve"> Game Ranch, </w:t>
            </w:r>
            <w:proofErr w:type="spellStart"/>
            <w:r w:rsidRPr="00B43F59">
              <w:rPr>
                <w:sz w:val="18"/>
                <w:szCs w:val="18"/>
              </w:rPr>
              <w:t>Sissili</w:t>
            </w:r>
            <w:proofErr w:type="spellEnd"/>
            <w:r w:rsidRPr="00B43F59">
              <w:rPr>
                <w:sz w:val="18"/>
                <w:szCs w:val="18"/>
              </w:rPr>
              <w:t xml:space="preserve"> Classified Forest, Kaboré-</w:t>
            </w:r>
            <w:proofErr w:type="spellStart"/>
            <w:r w:rsidRPr="00B43F59">
              <w:rPr>
                <w:sz w:val="18"/>
                <w:szCs w:val="18"/>
              </w:rPr>
              <w:t>Tambi</w:t>
            </w:r>
            <w:proofErr w:type="spellEnd"/>
            <w:r w:rsidRPr="00B43F59">
              <w:rPr>
                <w:sz w:val="18"/>
                <w:szCs w:val="18"/>
              </w:rPr>
              <w:t xml:space="preserve"> National Park), and at least 50% of village collaborative management agreements are gender-responsive</w:t>
            </w:r>
          </w:p>
        </w:tc>
        <w:tc>
          <w:tcPr>
            <w:tcW w:w="606" w:type="pct"/>
            <w:shd w:val="clear" w:color="auto" w:fill="auto"/>
            <w:vAlign w:val="center"/>
          </w:tcPr>
          <w:p w14:paraId="71FA8770" w14:textId="77777777" w:rsidR="00302BFE" w:rsidRPr="00B43F59" w:rsidRDefault="00302BFE" w:rsidP="00243B15">
            <w:pPr>
              <w:spacing w:after="0"/>
              <w:jc w:val="left"/>
              <w:rPr>
                <w:sz w:val="18"/>
                <w:szCs w:val="18"/>
              </w:rPr>
            </w:pPr>
            <w:proofErr w:type="spellStart"/>
            <w:r w:rsidRPr="00B43F59">
              <w:rPr>
                <w:sz w:val="18"/>
                <w:szCs w:val="18"/>
              </w:rPr>
              <w:t>Exisiting</w:t>
            </w:r>
            <w:proofErr w:type="spellEnd"/>
            <w:r w:rsidRPr="00B43F59">
              <w:rPr>
                <w:sz w:val="18"/>
                <w:szCs w:val="18"/>
              </w:rPr>
              <w:t xml:space="preserve"> management plans for </w:t>
            </w:r>
            <w:proofErr w:type="spellStart"/>
            <w:r w:rsidRPr="00B43F59">
              <w:rPr>
                <w:sz w:val="18"/>
                <w:szCs w:val="18"/>
              </w:rPr>
              <w:t>Nazinga</w:t>
            </w:r>
            <w:proofErr w:type="spellEnd"/>
            <w:r w:rsidRPr="00B43F59">
              <w:rPr>
                <w:sz w:val="18"/>
                <w:szCs w:val="18"/>
              </w:rPr>
              <w:t xml:space="preserve"> Game Ranch and the Kaboré-</w:t>
            </w:r>
            <w:proofErr w:type="spellStart"/>
            <w:r w:rsidRPr="00B43F59">
              <w:rPr>
                <w:sz w:val="18"/>
                <w:szCs w:val="18"/>
              </w:rPr>
              <w:t>Tambi</w:t>
            </w:r>
            <w:proofErr w:type="spellEnd"/>
            <w:r w:rsidRPr="00B43F59">
              <w:rPr>
                <w:sz w:val="18"/>
                <w:szCs w:val="18"/>
              </w:rPr>
              <w:t xml:space="preserve"> National Park are not gender responsive and no village collaborative management agreement has yet been developed</w:t>
            </w:r>
          </w:p>
        </w:tc>
        <w:tc>
          <w:tcPr>
            <w:tcW w:w="314" w:type="pct"/>
            <w:gridSpan w:val="2"/>
            <w:shd w:val="clear" w:color="auto" w:fill="auto"/>
            <w:vAlign w:val="center"/>
          </w:tcPr>
          <w:p w14:paraId="332ACC40" w14:textId="77777777" w:rsidR="00302BFE" w:rsidRPr="00B43F59" w:rsidRDefault="00302BFE" w:rsidP="00243B15">
            <w:pPr>
              <w:spacing w:after="0"/>
              <w:jc w:val="left"/>
              <w:rPr>
                <w:sz w:val="18"/>
                <w:szCs w:val="18"/>
              </w:rPr>
            </w:pPr>
            <w:r w:rsidRPr="00B43F59">
              <w:rPr>
                <w:sz w:val="18"/>
                <w:szCs w:val="18"/>
              </w:rPr>
              <w:t>Years 1 and 2</w:t>
            </w:r>
          </w:p>
        </w:tc>
        <w:tc>
          <w:tcPr>
            <w:tcW w:w="1047" w:type="pct"/>
            <w:shd w:val="clear" w:color="auto" w:fill="auto"/>
            <w:vAlign w:val="center"/>
          </w:tcPr>
          <w:p w14:paraId="0BEA70C5" w14:textId="77777777" w:rsidR="00302BFE" w:rsidRPr="00B43F59" w:rsidRDefault="00302BFE" w:rsidP="00243B15">
            <w:pPr>
              <w:spacing w:after="0"/>
              <w:jc w:val="left"/>
              <w:rPr>
                <w:sz w:val="18"/>
                <w:szCs w:val="18"/>
              </w:rPr>
            </w:pPr>
            <w:r w:rsidRPr="00B43F59">
              <w:rPr>
                <w:sz w:val="18"/>
                <w:szCs w:val="18"/>
              </w:rPr>
              <w:t>Gender Expert</w:t>
            </w:r>
          </w:p>
          <w:p w14:paraId="3BF4EDEA" w14:textId="77777777" w:rsidR="00302BFE" w:rsidRPr="00B43F59" w:rsidRDefault="00302BFE" w:rsidP="00243B15">
            <w:pPr>
              <w:spacing w:after="0"/>
              <w:jc w:val="left"/>
              <w:rPr>
                <w:sz w:val="18"/>
                <w:szCs w:val="18"/>
              </w:rPr>
            </w:pPr>
            <w:r w:rsidRPr="00B43F59">
              <w:rPr>
                <w:sz w:val="18"/>
                <w:szCs w:val="18"/>
              </w:rPr>
              <w:t>OFINAP, DGEF, DREEVCC</w:t>
            </w:r>
            <w:r>
              <w:rPr>
                <w:sz w:val="18"/>
                <w:szCs w:val="18"/>
              </w:rPr>
              <w:t xml:space="preserve"> / MEGECC</w:t>
            </w:r>
          </w:p>
        </w:tc>
      </w:tr>
      <w:tr w:rsidR="00302BFE" w:rsidRPr="00B43F59" w14:paraId="4677BDFF" w14:textId="77777777" w:rsidTr="00243B15">
        <w:trPr>
          <w:trHeight w:val="340"/>
          <w:jc w:val="center"/>
        </w:trPr>
        <w:tc>
          <w:tcPr>
            <w:tcW w:w="5000" w:type="pct"/>
            <w:gridSpan w:val="8"/>
            <w:shd w:val="clear" w:color="auto" w:fill="FBE4D5"/>
            <w:vAlign w:val="center"/>
          </w:tcPr>
          <w:p w14:paraId="4F428867" w14:textId="77777777" w:rsidR="00302BFE" w:rsidRPr="00B43F59" w:rsidRDefault="00302BFE" w:rsidP="00243B15">
            <w:pPr>
              <w:spacing w:after="0"/>
              <w:jc w:val="left"/>
              <w:rPr>
                <w:b/>
                <w:sz w:val="18"/>
                <w:szCs w:val="18"/>
                <w:lang w:val="en-GB"/>
              </w:rPr>
            </w:pPr>
            <w:r w:rsidRPr="00B43F59">
              <w:rPr>
                <w:b/>
                <w:sz w:val="18"/>
                <w:szCs w:val="18"/>
                <w:lang w:val="en-GB"/>
              </w:rPr>
              <w:t>Component 3. Sustainable Land and Resources Management and Diversification of Livelihoods</w:t>
            </w:r>
          </w:p>
        </w:tc>
      </w:tr>
      <w:tr w:rsidR="00302BFE" w:rsidRPr="00B43F59" w14:paraId="4CACC51B" w14:textId="77777777" w:rsidTr="00243B15">
        <w:trPr>
          <w:trHeight w:val="273"/>
          <w:jc w:val="center"/>
        </w:trPr>
        <w:tc>
          <w:tcPr>
            <w:tcW w:w="5000" w:type="pct"/>
            <w:gridSpan w:val="8"/>
            <w:shd w:val="clear" w:color="auto" w:fill="auto"/>
            <w:vAlign w:val="center"/>
          </w:tcPr>
          <w:p w14:paraId="7AC0ACA9" w14:textId="77777777" w:rsidR="00302BFE" w:rsidRPr="00B43F59" w:rsidRDefault="00302BFE" w:rsidP="00243B15">
            <w:pPr>
              <w:spacing w:after="0"/>
              <w:jc w:val="left"/>
              <w:rPr>
                <w:b/>
                <w:sz w:val="18"/>
                <w:szCs w:val="18"/>
                <w:lang w:val="en-CA"/>
              </w:rPr>
            </w:pPr>
            <w:r w:rsidRPr="00B43F59">
              <w:rPr>
                <w:b/>
                <w:sz w:val="18"/>
                <w:szCs w:val="18"/>
                <w:lang w:val="en-CA"/>
              </w:rPr>
              <w:t>Output 3.1 Sustainable Land Management (SLM) practices are implemented by communities within the PONASI landscape</w:t>
            </w:r>
          </w:p>
        </w:tc>
      </w:tr>
      <w:tr w:rsidR="00302BFE" w:rsidRPr="00B43F59" w14:paraId="474D800D" w14:textId="77777777" w:rsidTr="00243B15">
        <w:trPr>
          <w:gridAfter w:val="1"/>
          <w:wAfter w:w="6" w:type="pct"/>
          <w:trHeight w:val="980"/>
          <w:jc w:val="center"/>
        </w:trPr>
        <w:tc>
          <w:tcPr>
            <w:tcW w:w="1229" w:type="pct"/>
            <w:shd w:val="clear" w:color="auto" w:fill="auto"/>
            <w:vAlign w:val="center"/>
          </w:tcPr>
          <w:p w14:paraId="1B128470" w14:textId="77777777" w:rsidR="00302BFE" w:rsidRPr="00B43F59" w:rsidRDefault="00302BFE" w:rsidP="00243B15">
            <w:pPr>
              <w:spacing w:after="0"/>
              <w:jc w:val="left"/>
              <w:rPr>
                <w:sz w:val="18"/>
                <w:szCs w:val="18"/>
                <w:lang w:val="en-CA"/>
              </w:rPr>
            </w:pPr>
            <w:r w:rsidRPr="00B43F59">
              <w:rPr>
                <w:sz w:val="18"/>
                <w:szCs w:val="18"/>
                <w:lang w:val="en-CA"/>
              </w:rPr>
              <w:t>Advocate for better representation of beneficiary women in the sites developed for agricultural production (output 3.1.3)</w:t>
            </w:r>
          </w:p>
        </w:tc>
        <w:tc>
          <w:tcPr>
            <w:tcW w:w="1193" w:type="pct"/>
            <w:shd w:val="clear" w:color="auto" w:fill="auto"/>
            <w:vAlign w:val="center"/>
          </w:tcPr>
          <w:p w14:paraId="306F782F" w14:textId="77777777" w:rsidR="00302BFE" w:rsidRPr="00B43F59" w:rsidRDefault="00302BFE" w:rsidP="00243B15">
            <w:pPr>
              <w:pStyle w:val="Commentaire"/>
              <w:spacing w:after="0"/>
              <w:jc w:val="left"/>
              <w:rPr>
                <w:sz w:val="18"/>
                <w:szCs w:val="18"/>
                <w:lang w:val="en-CA"/>
              </w:rPr>
            </w:pPr>
            <w:r w:rsidRPr="00B43F59">
              <w:rPr>
                <w:sz w:val="18"/>
                <w:szCs w:val="18"/>
                <w:lang w:val="en-CA"/>
              </w:rPr>
              <w:t>Rate of women beneficiaries of production plots in developed sites</w:t>
            </w:r>
          </w:p>
        </w:tc>
        <w:tc>
          <w:tcPr>
            <w:tcW w:w="605" w:type="pct"/>
            <w:shd w:val="clear" w:color="auto" w:fill="auto"/>
            <w:vAlign w:val="center"/>
          </w:tcPr>
          <w:p w14:paraId="3F625F18" w14:textId="77777777" w:rsidR="00302BFE" w:rsidRPr="00B43F59" w:rsidRDefault="00302BFE" w:rsidP="00243B15">
            <w:pPr>
              <w:spacing w:after="0"/>
              <w:jc w:val="left"/>
              <w:rPr>
                <w:sz w:val="18"/>
                <w:szCs w:val="18"/>
                <w:lang w:val="en-CA"/>
              </w:rPr>
            </w:pPr>
            <w:r w:rsidRPr="00B43F59">
              <w:rPr>
                <w:sz w:val="18"/>
                <w:szCs w:val="18"/>
                <w:lang w:val="en-CA"/>
              </w:rPr>
              <w:t>At least 50% of the beneficiaries are women</w:t>
            </w:r>
          </w:p>
        </w:tc>
        <w:tc>
          <w:tcPr>
            <w:tcW w:w="606" w:type="pct"/>
            <w:shd w:val="clear" w:color="auto" w:fill="auto"/>
            <w:vAlign w:val="center"/>
          </w:tcPr>
          <w:p w14:paraId="3BE6E227" w14:textId="77777777" w:rsidR="00302BFE" w:rsidRPr="00B43F59" w:rsidRDefault="00302BFE" w:rsidP="00243B15">
            <w:pPr>
              <w:spacing w:after="0"/>
              <w:rPr>
                <w:sz w:val="18"/>
                <w:szCs w:val="18"/>
                <w:lang w:val="en-CA"/>
              </w:rPr>
            </w:pPr>
            <w:r w:rsidRPr="00B43F59">
              <w:rPr>
                <w:sz w:val="18"/>
                <w:szCs w:val="18"/>
                <w:lang w:val="en-CA"/>
              </w:rPr>
              <w:t xml:space="preserve">40% of women had access to lowlands developed in 2016 in Central </w:t>
            </w:r>
            <w:proofErr w:type="gramStart"/>
            <w:r w:rsidRPr="00B43F59">
              <w:rPr>
                <w:sz w:val="18"/>
                <w:szCs w:val="18"/>
                <w:lang w:val="en-CA"/>
              </w:rPr>
              <w:t>East;</w:t>
            </w:r>
            <w:proofErr w:type="gramEnd"/>
          </w:p>
          <w:p w14:paraId="237EC21E" w14:textId="77777777" w:rsidR="00302BFE" w:rsidRPr="00B43F59" w:rsidRDefault="00302BFE" w:rsidP="00243B15">
            <w:pPr>
              <w:spacing w:after="0"/>
              <w:rPr>
                <w:sz w:val="18"/>
                <w:szCs w:val="18"/>
                <w:lang w:val="en-CA"/>
              </w:rPr>
            </w:pPr>
            <w:r w:rsidRPr="00B43F59">
              <w:rPr>
                <w:sz w:val="18"/>
                <w:szCs w:val="18"/>
                <w:lang w:val="en-CA"/>
              </w:rPr>
              <w:t>35% in the South Center; 27.8% in Central West</w:t>
            </w:r>
          </w:p>
        </w:tc>
        <w:tc>
          <w:tcPr>
            <w:tcW w:w="314" w:type="pct"/>
            <w:gridSpan w:val="2"/>
            <w:shd w:val="clear" w:color="auto" w:fill="auto"/>
            <w:vAlign w:val="center"/>
          </w:tcPr>
          <w:p w14:paraId="50E9CB78" w14:textId="77777777" w:rsidR="00302BFE" w:rsidRPr="00B43F59" w:rsidRDefault="00302BFE" w:rsidP="00243B15">
            <w:pPr>
              <w:spacing w:after="0"/>
              <w:jc w:val="left"/>
              <w:rPr>
                <w:sz w:val="18"/>
                <w:szCs w:val="18"/>
                <w:lang w:val="en-CA"/>
              </w:rPr>
            </w:pPr>
          </w:p>
        </w:tc>
        <w:tc>
          <w:tcPr>
            <w:tcW w:w="1047" w:type="pct"/>
            <w:shd w:val="clear" w:color="auto" w:fill="auto"/>
            <w:vAlign w:val="center"/>
          </w:tcPr>
          <w:p w14:paraId="342F9AE1" w14:textId="77777777" w:rsidR="00302BFE" w:rsidRPr="00C3579E" w:rsidRDefault="00302BFE" w:rsidP="00243B15">
            <w:pPr>
              <w:spacing w:after="0"/>
              <w:jc w:val="left"/>
              <w:rPr>
                <w:sz w:val="18"/>
                <w:szCs w:val="18"/>
                <w:lang w:val="en-CA"/>
              </w:rPr>
            </w:pPr>
            <w:r w:rsidRPr="00C3579E">
              <w:rPr>
                <w:sz w:val="18"/>
                <w:szCs w:val="18"/>
                <w:lang w:val="en-CA"/>
              </w:rPr>
              <w:t>Project Gender Expert</w:t>
            </w:r>
          </w:p>
          <w:p w14:paraId="21556CE0" w14:textId="77777777" w:rsidR="00302BFE" w:rsidRPr="00C3579E" w:rsidRDefault="00302BFE" w:rsidP="00243B15">
            <w:pPr>
              <w:spacing w:after="0"/>
              <w:jc w:val="left"/>
              <w:rPr>
                <w:sz w:val="18"/>
                <w:szCs w:val="18"/>
                <w:lang w:val="en-CA"/>
              </w:rPr>
            </w:pPr>
            <w:r w:rsidRPr="00C3579E">
              <w:rPr>
                <w:sz w:val="18"/>
                <w:szCs w:val="18"/>
                <w:lang w:val="fr-CA"/>
              </w:rPr>
              <w:fldChar w:fldCharType="begin"/>
            </w:r>
            <w:r w:rsidRPr="00C3579E">
              <w:rPr>
                <w:sz w:val="18"/>
                <w:szCs w:val="18"/>
                <w:lang w:val="en-CA"/>
              </w:rPr>
              <w:instrText xml:space="preserve"> HYPERLINK "http://lefaso.net/spip.php?article87367" </w:instrText>
            </w:r>
            <w:r w:rsidRPr="00C3579E">
              <w:rPr>
                <w:sz w:val="18"/>
                <w:szCs w:val="18"/>
                <w:lang w:val="fr-CA"/>
              </w:rPr>
              <w:fldChar w:fldCharType="separate"/>
            </w:r>
            <w:r w:rsidRPr="00C3579E">
              <w:rPr>
                <w:sz w:val="18"/>
                <w:szCs w:val="18"/>
                <w:lang w:val="en-CA"/>
              </w:rPr>
              <w:t>Ministry of Women, National Solidarity and Family</w:t>
            </w:r>
          </w:p>
          <w:p w14:paraId="653E9D9F" w14:textId="77777777" w:rsidR="00302BFE" w:rsidRPr="00C3579E" w:rsidRDefault="00302BFE" w:rsidP="00243B15">
            <w:pPr>
              <w:spacing w:after="0"/>
              <w:jc w:val="left"/>
              <w:rPr>
                <w:sz w:val="18"/>
                <w:szCs w:val="18"/>
                <w:lang w:val="en-CA"/>
              </w:rPr>
            </w:pPr>
            <w:r w:rsidRPr="00C3579E">
              <w:rPr>
                <w:sz w:val="18"/>
                <w:szCs w:val="18"/>
                <w:lang w:val="fr-CA"/>
              </w:rPr>
              <w:fldChar w:fldCharType="end"/>
            </w:r>
            <w:r w:rsidRPr="00C3579E">
              <w:rPr>
                <w:sz w:val="18"/>
                <w:szCs w:val="18"/>
                <w:lang w:val="en-CA" w:eastAsia="fr-CA"/>
              </w:rPr>
              <w:t xml:space="preserve">SP/CONEP </w:t>
            </w:r>
            <w:r w:rsidRPr="00C3579E">
              <w:rPr>
                <w:sz w:val="18"/>
                <w:szCs w:val="18"/>
                <w:lang w:val="en-CA"/>
              </w:rPr>
              <w:t>gender</w:t>
            </w:r>
          </w:p>
          <w:p w14:paraId="2E31CB35" w14:textId="77777777" w:rsidR="00302BFE" w:rsidRPr="00B43F59" w:rsidRDefault="00302BFE" w:rsidP="00243B15">
            <w:pPr>
              <w:spacing w:after="0"/>
              <w:jc w:val="left"/>
              <w:rPr>
                <w:sz w:val="18"/>
                <w:szCs w:val="18"/>
              </w:rPr>
            </w:pPr>
            <w:r w:rsidRPr="00D822D1">
              <w:rPr>
                <w:sz w:val="18"/>
                <w:szCs w:val="18"/>
                <w:lang w:val="en-CA"/>
              </w:rPr>
              <w:t>Housing, and Community Development</w:t>
            </w:r>
          </w:p>
        </w:tc>
      </w:tr>
      <w:tr w:rsidR="00302BFE" w:rsidRPr="00B43F59" w14:paraId="70C78F46" w14:textId="77777777" w:rsidTr="00243B15">
        <w:trPr>
          <w:gridAfter w:val="1"/>
          <w:wAfter w:w="6" w:type="pct"/>
          <w:trHeight w:val="980"/>
          <w:jc w:val="center"/>
        </w:trPr>
        <w:tc>
          <w:tcPr>
            <w:tcW w:w="1229" w:type="pct"/>
            <w:shd w:val="clear" w:color="auto" w:fill="auto"/>
            <w:vAlign w:val="center"/>
          </w:tcPr>
          <w:p w14:paraId="03365DB9" w14:textId="77777777" w:rsidR="00302BFE" w:rsidRPr="00B43F59" w:rsidRDefault="00302BFE" w:rsidP="00243B15">
            <w:pPr>
              <w:spacing w:after="0"/>
              <w:jc w:val="left"/>
              <w:rPr>
                <w:sz w:val="18"/>
                <w:szCs w:val="18"/>
              </w:rPr>
            </w:pPr>
            <w:r w:rsidRPr="00B43F59">
              <w:rPr>
                <w:sz w:val="18"/>
                <w:szCs w:val="18"/>
              </w:rPr>
              <w:t>Provide training and outreach in communities that is conducive to women’s participation (output 3.1.3)</w:t>
            </w:r>
          </w:p>
        </w:tc>
        <w:tc>
          <w:tcPr>
            <w:tcW w:w="1193" w:type="pct"/>
            <w:shd w:val="clear" w:color="auto" w:fill="auto"/>
            <w:vAlign w:val="center"/>
          </w:tcPr>
          <w:p w14:paraId="57B6445E" w14:textId="77777777" w:rsidR="00302BFE" w:rsidRPr="00B43F59" w:rsidRDefault="00302BFE" w:rsidP="00243B15">
            <w:pPr>
              <w:spacing w:after="0"/>
              <w:jc w:val="left"/>
              <w:rPr>
                <w:sz w:val="18"/>
                <w:szCs w:val="18"/>
              </w:rPr>
            </w:pPr>
            <w:r w:rsidRPr="00B43F59">
              <w:rPr>
                <w:sz w:val="18"/>
                <w:szCs w:val="18"/>
              </w:rPr>
              <w:t xml:space="preserve">Percent of training events in communities with </w:t>
            </w:r>
            <w:proofErr w:type="gramStart"/>
            <w:r w:rsidRPr="00B43F59">
              <w:rPr>
                <w:sz w:val="18"/>
                <w:szCs w:val="18"/>
              </w:rPr>
              <w:t>child care</w:t>
            </w:r>
            <w:proofErr w:type="gramEnd"/>
            <w:r w:rsidRPr="00B43F59">
              <w:rPr>
                <w:sz w:val="18"/>
                <w:szCs w:val="18"/>
              </w:rPr>
              <w:t xml:space="preserve"> assistance being provided if needed</w:t>
            </w:r>
          </w:p>
        </w:tc>
        <w:tc>
          <w:tcPr>
            <w:tcW w:w="605" w:type="pct"/>
            <w:shd w:val="clear" w:color="auto" w:fill="auto"/>
            <w:vAlign w:val="center"/>
          </w:tcPr>
          <w:p w14:paraId="0669B2E8" w14:textId="77777777" w:rsidR="00302BFE" w:rsidRPr="00B43F59" w:rsidRDefault="00302BFE" w:rsidP="00243B15">
            <w:pPr>
              <w:spacing w:after="0"/>
              <w:jc w:val="left"/>
              <w:rPr>
                <w:sz w:val="18"/>
                <w:szCs w:val="18"/>
              </w:rPr>
            </w:pPr>
            <w:r w:rsidRPr="00B43F59">
              <w:rPr>
                <w:sz w:val="18"/>
                <w:szCs w:val="18"/>
              </w:rPr>
              <w:t>A minimum of 50% of the training conducted in communities with childcare assistance if needed</w:t>
            </w:r>
          </w:p>
        </w:tc>
        <w:tc>
          <w:tcPr>
            <w:tcW w:w="606" w:type="pct"/>
            <w:shd w:val="clear" w:color="auto" w:fill="auto"/>
            <w:vAlign w:val="center"/>
          </w:tcPr>
          <w:p w14:paraId="20010FDA" w14:textId="77777777" w:rsidR="00302BFE" w:rsidRDefault="00302BFE" w:rsidP="00243B15">
            <w:pPr>
              <w:spacing w:after="0"/>
              <w:jc w:val="left"/>
              <w:rPr>
                <w:sz w:val="18"/>
                <w:szCs w:val="18"/>
              </w:rPr>
            </w:pPr>
            <w:r w:rsidRPr="00B43F59">
              <w:rPr>
                <w:sz w:val="18"/>
                <w:szCs w:val="18"/>
              </w:rPr>
              <w:t xml:space="preserve">Training not </w:t>
            </w:r>
            <w:r>
              <w:rPr>
                <w:sz w:val="18"/>
                <w:szCs w:val="18"/>
              </w:rPr>
              <w:t>started</w:t>
            </w:r>
          </w:p>
          <w:p w14:paraId="63C9E00E" w14:textId="77777777" w:rsidR="00302BFE" w:rsidRPr="00B43F59" w:rsidRDefault="00302BFE" w:rsidP="00243B15">
            <w:pPr>
              <w:spacing w:after="0"/>
              <w:jc w:val="left"/>
              <w:rPr>
                <w:sz w:val="18"/>
                <w:szCs w:val="18"/>
              </w:rPr>
            </w:pPr>
          </w:p>
        </w:tc>
        <w:tc>
          <w:tcPr>
            <w:tcW w:w="314" w:type="pct"/>
            <w:gridSpan w:val="2"/>
            <w:shd w:val="clear" w:color="auto" w:fill="auto"/>
            <w:vAlign w:val="center"/>
          </w:tcPr>
          <w:p w14:paraId="52A56C53" w14:textId="77777777" w:rsidR="00302BFE" w:rsidRPr="00B43F59" w:rsidRDefault="00302BFE" w:rsidP="00243B15">
            <w:pPr>
              <w:spacing w:after="0"/>
              <w:jc w:val="left"/>
              <w:rPr>
                <w:sz w:val="18"/>
                <w:szCs w:val="18"/>
              </w:rPr>
            </w:pPr>
            <w:r w:rsidRPr="00B43F59">
              <w:rPr>
                <w:sz w:val="18"/>
                <w:szCs w:val="18"/>
              </w:rPr>
              <w:t>Years 1 to 3</w:t>
            </w:r>
          </w:p>
        </w:tc>
        <w:tc>
          <w:tcPr>
            <w:tcW w:w="1047" w:type="pct"/>
            <w:shd w:val="clear" w:color="auto" w:fill="auto"/>
            <w:vAlign w:val="center"/>
          </w:tcPr>
          <w:p w14:paraId="2F3993EE" w14:textId="77777777" w:rsidR="00302BFE" w:rsidRPr="009E7670" w:rsidRDefault="00302BFE" w:rsidP="00243B15">
            <w:pPr>
              <w:spacing w:after="0"/>
              <w:jc w:val="left"/>
              <w:rPr>
                <w:sz w:val="18"/>
                <w:szCs w:val="18"/>
              </w:rPr>
            </w:pPr>
            <w:r w:rsidRPr="009E7670">
              <w:rPr>
                <w:sz w:val="18"/>
                <w:szCs w:val="18"/>
              </w:rPr>
              <w:t>Project Team</w:t>
            </w:r>
          </w:p>
          <w:p w14:paraId="4EECDAE4" w14:textId="77777777" w:rsidR="00302BFE" w:rsidRPr="009E7670" w:rsidRDefault="00302BFE" w:rsidP="00243B15">
            <w:pPr>
              <w:spacing w:after="0"/>
              <w:jc w:val="left"/>
              <w:rPr>
                <w:sz w:val="18"/>
                <w:szCs w:val="18"/>
              </w:rPr>
            </w:pPr>
            <w:r w:rsidRPr="009E7670">
              <w:rPr>
                <w:sz w:val="18"/>
                <w:szCs w:val="18"/>
              </w:rPr>
              <w:t xml:space="preserve">Gender Expert </w:t>
            </w:r>
          </w:p>
          <w:p w14:paraId="6F9636F7" w14:textId="77777777" w:rsidR="00302BFE" w:rsidRPr="009E7670" w:rsidRDefault="00302BFE" w:rsidP="00243B15">
            <w:pPr>
              <w:spacing w:after="0"/>
              <w:jc w:val="left"/>
              <w:rPr>
                <w:sz w:val="18"/>
                <w:szCs w:val="18"/>
              </w:rPr>
            </w:pPr>
            <w:r w:rsidRPr="009E7670">
              <w:rPr>
                <w:sz w:val="18"/>
                <w:szCs w:val="18"/>
              </w:rPr>
              <w:t>Ministry of Culture, Arts and Tourism</w:t>
            </w:r>
          </w:p>
        </w:tc>
      </w:tr>
      <w:tr w:rsidR="00302BFE" w:rsidRPr="00B43F59" w14:paraId="756A88CF" w14:textId="77777777" w:rsidTr="00243B15">
        <w:trPr>
          <w:gridAfter w:val="1"/>
          <w:wAfter w:w="6" w:type="pct"/>
          <w:trHeight w:val="980"/>
          <w:jc w:val="center"/>
        </w:trPr>
        <w:tc>
          <w:tcPr>
            <w:tcW w:w="1229" w:type="pct"/>
            <w:shd w:val="clear" w:color="auto" w:fill="auto"/>
            <w:vAlign w:val="center"/>
          </w:tcPr>
          <w:p w14:paraId="32D05FD9" w14:textId="77777777" w:rsidR="00302BFE" w:rsidRPr="00B43F59" w:rsidRDefault="00302BFE" w:rsidP="00243B15">
            <w:pPr>
              <w:spacing w:after="0"/>
              <w:jc w:val="left"/>
              <w:rPr>
                <w:sz w:val="18"/>
                <w:szCs w:val="18"/>
                <w:lang w:val="en-CA"/>
              </w:rPr>
            </w:pPr>
            <w:r w:rsidRPr="00B43F59">
              <w:rPr>
                <w:sz w:val="18"/>
                <w:szCs w:val="18"/>
                <w:lang w:val="en-CA"/>
              </w:rPr>
              <w:t>Adopt a transformative gender approach to reduce women's workloads, enabling them to participate effectively in the project, such as access to improved seeds and small production equipment to alleviate their work in their own field</w:t>
            </w:r>
            <w:r>
              <w:rPr>
                <w:sz w:val="18"/>
                <w:szCs w:val="18"/>
                <w:lang w:val="en-CA"/>
              </w:rPr>
              <w:t xml:space="preserve"> (output 3.1)</w:t>
            </w:r>
          </w:p>
        </w:tc>
        <w:tc>
          <w:tcPr>
            <w:tcW w:w="1193" w:type="pct"/>
            <w:shd w:val="clear" w:color="auto" w:fill="auto"/>
            <w:vAlign w:val="center"/>
          </w:tcPr>
          <w:p w14:paraId="7EF9E590" w14:textId="77777777" w:rsidR="00302BFE" w:rsidRPr="00B43F59" w:rsidRDefault="00302BFE" w:rsidP="00243B15">
            <w:pPr>
              <w:spacing w:after="0"/>
              <w:jc w:val="left"/>
              <w:rPr>
                <w:sz w:val="18"/>
                <w:szCs w:val="18"/>
                <w:lang w:val="en-CA"/>
              </w:rPr>
            </w:pPr>
            <w:r w:rsidRPr="00B43F59">
              <w:rPr>
                <w:sz w:val="18"/>
                <w:szCs w:val="18"/>
                <w:lang w:val="en-CA"/>
              </w:rPr>
              <w:t>Percentage of women reporting being alleviated in their housework and field work</w:t>
            </w:r>
          </w:p>
        </w:tc>
        <w:tc>
          <w:tcPr>
            <w:tcW w:w="605" w:type="pct"/>
            <w:shd w:val="clear" w:color="auto" w:fill="auto"/>
            <w:vAlign w:val="center"/>
          </w:tcPr>
          <w:p w14:paraId="53E8CE6E" w14:textId="77777777" w:rsidR="00302BFE" w:rsidRPr="00B43F59" w:rsidRDefault="00302BFE" w:rsidP="00243B15">
            <w:pPr>
              <w:spacing w:after="0"/>
              <w:jc w:val="left"/>
              <w:rPr>
                <w:sz w:val="18"/>
                <w:szCs w:val="18"/>
                <w:lang w:val="en-CA"/>
              </w:rPr>
            </w:pPr>
            <w:r w:rsidRPr="00B43F59">
              <w:rPr>
                <w:sz w:val="18"/>
                <w:szCs w:val="18"/>
                <w:lang w:val="en-CA"/>
              </w:rPr>
              <w:t>More than 75% of women say they spend less time on firewood and water collection tasks</w:t>
            </w:r>
          </w:p>
        </w:tc>
        <w:tc>
          <w:tcPr>
            <w:tcW w:w="606" w:type="pct"/>
            <w:shd w:val="clear" w:color="auto" w:fill="auto"/>
            <w:vAlign w:val="center"/>
          </w:tcPr>
          <w:p w14:paraId="25443B63" w14:textId="77777777" w:rsidR="00302BFE" w:rsidRPr="00B43F59" w:rsidRDefault="00302BFE" w:rsidP="00243B15">
            <w:pPr>
              <w:spacing w:after="0"/>
              <w:jc w:val="left"/>
              <w:rPr>
                <w:sz w:val="18"/>
                <w:szCs w:val="18"/>
                <w:lang w:val="en-CA"/>
              </w:rPr>
            </w:pPr>
            <w:r w:rsidRPr="00B43F59">
              <w:rPr>
                <w:sz w:val="18"/>
                <w:szCs w:val="18"/>
                <w:lang w:val="en-CA"/>
              </w:rPr>
              <w:t>Almost all women in the PONASI complex devote a lot of time to household chores, field work and do not have access to equipment and production inputs</w:t>
            </w:r>
          </w:p>
        </w:tc>
        <w:tc>
          <w:tcPr>
            <w:tcW w:w="314" w:type="pct"/>
            <w:gridSpan w:val="2"/>
            <w:shd w:val="clear" w:color="auto" w:fill="auto"/>
            <w:vAlign w:val="center"/>
          </w:tcPr>
          <w:p w14:paraId="45A70E3F" w14:textId="77777777" w:rsidR="00302BFE" w:rsidRPr="00B43F59" w:rsidRDefault="00302BFE" w:rsidP="00243B15">
            <w:pPr>
              <w:spacing w:after="0"/>
              <w:jc w:val="left"/>
              <w:rPr>
                <w:sz w:val="18"/>
                <w:szCs w:val="18"/>
              </w:rPr>
            </w:pPr>
            <w:r w:rsidRPr="00B43F59">
              <w:rPr>
                <w:sz w:val="18"/>
                <w:szCs w:val="18"/>
              </w:rPr>
              <w:t>Year 2 - Year 4</w:t>
            </w:r>
          </w:p>
        </w:tc>
        <w:tc>
          <w:tcPr>
            <w:tcW w:w="1047" w:type="pct"/>
            <w:shd w:val="clear" w:color="auto" w:fill="auto"/>
            <w:vAlign w:val="center"/>
          </w:tcPr>
          <w:p w14:paraId="34DA5317" w14:textId="77777777" w:rsidR="00302BFE" w:rsidRPr="00B43F59" w:rsidRDefault="00302BFE" w:rsidP="00243B15">
            <w:pPr>
              <w:spacing w:after="0"/>
              <w:jc w:val="left"/>
              <w:rPr>
                <w:sz w:val="18"/>
                <w:szCs w:val="18"/>
              </w:rPr>
            </w:pPr>
            <w:r w:rsidRPr="00B43F59">
              <w:rPr>
                <w:sz w:val="18"/>
                <w:szCs w:val="18"/>
              </w:rPr>
              <w:t>Communication and Knowledge Management Expert</w:t>
            </w:r>
          </w:p>
          <w:p w14:paraId="36B268C8" w14:textId="77777777" w:rsidR="00302BFE" w:rsidRPr="00B43F59" w:rsidRDefault="00302BFE" w:rsidP="00243B15">
            <w:pPr>
              <w:spacing w:after="0"/>
              <w:jc w:val="left"/>
              <w:rPr>
                <w:sz w:val="18"/>
                <w:szCs w:val="18"/>
              </w:rPr>
            </w:pPr>
            <w:r w:rsidRPr="00B43F59">
              <w:rPr>
                <w:sz w:val="18"/>
                <w:szCs w:val="18"/>
              </w:rPr>
              <w:t>Gender Expert</w:t>
            </w:r>
          </w:p>
        </w:tc>
      </w:tr>
      <w:tr w:rsidR="00302BFE" w:rsidRPr="00B43F59" w14:paraId="563526C9" w14:textId="77777777" w:rsidTr="00243B15">
        <w:trPr>
          <w:gridAfter w:val="1"/>
          <w:wAfter w:w="6" w:type="pct"/>
          <w:trHeight w:val="980"/>
          <w:jc w:val="center"/>
        </w:trPr>
        <w:tc>
          <w:tcPr>
            <w:tcW w:w="1229" w:type="pct"/>
            <w:shd w:val="clear" w:color="auto" w:fill="auto"/>
            <w:vAlign w:val="center"/>
          </w:tcPr>
          <w:p w14:paraId="130F6A55" w14:textId="77777777" w:rsidR="00302BFE" w:rsidRPr="00B43F59" w:rsidRDefault="00302BFE" w:rsidP="00243B15">
            <w:pPr>
              <w:spacing w:after="0"/>
              <w:jc w:val="left"/>
              <w:rPr>
                <w:sz w:val="18"/>
                <w:szCs w:val="18"/>
              </w:rPr>
            </w:pPr>
            <w:r w:rsidRPr="00B43F59">
              <w:rPr>
                <w:sz w:val="18"/>
                <w:szCs w:val="18"/>
              </w:rPr>
              <w:lastRenderedPageBreak/>
              <w:t>Ensure the attendance of women in the demonstration activities as part of the support to producers (output 3.1.3)</w:t>
            </w:r>
          </w:p>
        </w:tc>
        <w:tc>
          <w:tcPr>
            <w:tcW w:w="1193" w:type="pct"/>
            <w:shd w:val="clear" w:color="auto" w:fill="auto"/>
            <w:vAlign w:val="center"/>
          </w:tcPr>
          <w:p w14:paraId="516EFF8B" w14:textId="77777777" w:rsidR="00302BFE" w:rsidRPr="00B43F59" w:rsidRDefault="00302BFE" w:rsidP="00243B15">
            <w:pPr>
              <w:spacing w:after="0"/>
              <w:jc w:val="left"/>
              <w:rPr>
                <w:sz w:val="18"/>
                <w:szCs w:val="18"/>
              </w:rPr>
            </w:pPr>
            <w:r w:rsidRPr="00B43F59">
              <w:rPr>
                <w:sz w:val="18"/>
                <w:szCs w:val="18"/>
              </w:rPr>
              <w:t>Number of women benefiting annually from demonstration activities and supply of climate-resilient crop varieties</w:t>
            </w:r>
          </w:p>
        </w:tc>
        <w:tc>
          <w:tcPr>
            <w:tcW w:w="605" w:type="pct"/>
            <w:shd w:val="clear" w:color="auto" w:fill="auto"/>
            <w:vAlign w:val="center"/>
          </w:tcPr>
          <w:p w14:paraId="2A4E47F9" w14:textId="77777777" w:rsidR="00302BFE" w:rsidRPr="00B43F59" w:rsidRDefault="00302BFE" w:rsidP="00243B15">
            <w:pPr>
              <w:spacing w:after="0"/>
              <w:jc w:val="left"/>
              <w:rPr>
                <w:sz w:val="18"/>
                <w:szCs w:val="18"/>
              </w:rPr>
            </w:pPr>
            <w:r w:rsidRPr="00B43F59">
              <w:rPr>
                <w:sz w:val="18"/>
                <w:szCs w:val="18"/>
              </w:rPr>
              <w:t xml:space="preserve">200 </w:t>
            </w:r>
          </w:p>
        </w:tc>
        <w:tc>
          <w:tcPr>
            <w:tcW w:w="606" w:type="pct"/>
            <w:shd w:val="clear" w:color="auto" w:fill="auto"/>
            <w:vAlign w:val="center"/>
          </w:tcPr>
          <w:p w14:paraId="182BD215" w14:textId="77777777" w:rsidR="00302BFE" w:rsidRPr="00B43F59" w:rsidRDefault="00302BFE" w:rsidP="00243B15">
            <w:pPr>
              <w:spacing w:after="0"/>
              <w:jc w:val="left"/>
              <w:rPr>
                <w:sz w:val="18"/>
                <w:szCs w:val="18"/>
              </w:rPr>
            </w:pPr>
            <w:r w:rsidRPr="00B43F59">
              <w:rPr>
                <w:sz w:val="18"/>
                <w:szCs w:val="18"/>
              </w:rPr>
              <w:t>Training not started</w:t>
            </w:r>
          </w:p>
        </w:tc>
        <w:tc>
          <w:tcPr>
            <w:tcW w:w="314" w:type="pct"/>
            <w:gridSpan w:val="2"/>
            <w:shd w:val="clear" w:color="auto" w:fill="auto"/>
            <w:vAlign w:val="center"/>
          </w:tcPr>
          <w:p w14:paraId="64273310" w14:textId="77777777" w:rsidR="00302BFE" w:rsidRPr="00B43F59" w:rsidRDefault="00302BFE" w:rsidP="00243B15">
            <w:pPr>
              <w:spacing w:after="0"/>
              <w:jc w:val="left"/>
              <w:rPr>
                <w:sz w:val="18"/>
                <w:szCs w:val="18"/>
              </w:rPr>
            </w:pPr>
            <w:r w:rsidRPr="00B43F59">
              <w:rPr>
                <w:sz w:val="18"/>
                <w:szCs w:val="18"/>
              </w:rPr>
              <w:t>Years 1 to 3</w:t>
            </w:r>
          </w:p>
        </w:tc>
        <w:tc>
          <w:tcPr>
            <w:tcW w:w="1047" w:type="pct"/>
            <w:shd w:val="clear" w:color="auto" w:fill="auto"/>
            <w:vAlign w:val="center"/>
          </w:tcPr>
          <w:p w14:paraId="4EDED8EF" w14:textId="77777777" w:rsidR="00302BFE" w:rsidRPr="00B43F59" w:rsidRDefault="00302BFE" w:rsidP="00243B15">
            <w:pPr>
              <w:spacing w:after="0"/>
              <w:jc w:val="left"/>
              <w:rPr>
                <w:sz w:val="18"/>
                <w:szCs w:val="18"/>
              </w:rPr>
            </w:pPr>
            <w:r w:rsidRPr="00C3579E">
              <w:rPr>
                <w:sz w:val="18"/>
                <w:szCs w:val="18"/>
              </w:rPr>
              <w:t>MAAH</w:t>
            </w:r>
          </w:p>
        </w:tc>
      </w:tr>
      <w:tr w:rsidR="00302BFE" w:rsidRPr="00B43F59" w14:paraId="201B0657" w14:textId="77777777" w:rsidTr="00243B15">
        <w:trPr>
          <w:trHeight w:val="290"/>
          <w:jc w:val="center"/>
        </w:trPr>
        <w:tc>
          <w:tcPr>
            <w:tcW w:w="5000" w:type="pct"/>
            <w:gridSpan w:val="8"/>
            <w:shd w:val="clear" w:color="auto" w:fill="auto"/>
            <w:vAlign w:val="center"/>
          </w:tcPr>
          <w:p w14:paraId="501DBE51" w14:textId="77777777" w:rsidR="00302BFE" w:rsidRPr="00B43F59" w:rsidRDefault="00302BFE" w:rsidP="00243B15">
            <w:pPr>
              <w:spacing w:after="0"/>
              <w:jc w:val="left"/>
              <w:rPr>
                <w:b/>
                <w:sz w:val="18"/>
                <w:szCs w:val="18"/>
                <w:lang w:val="en-CA"/>
              </w:rPr>
            </w:pPr>
            <w:r w:rsidRPr="00B43F59">
              <w:rPr>
                <w:b/>
                <w:sz w:val="18"/>
                <w:szCs w:val="18"/>
                <w:lang w:val="en-CA"/>
              </w:rPr>
              <w:t>Output 3.2 The management of natural resources in forests and community pastoral areas is improved</w:t>
            </w:r>
          </w:p>
        </w:tc>
      </w:tr>
      <w:tr w:rsidR="00302BFE" w:rsidRPr="00B43F59" w14:paraId="2F4E0B5E" w14:textId="77777777" w:rsidTr="00243B15">
        <w:trPr>
          <w:gridAfter w:val="1"/>
          <w:wAfter w:w="6" w:type="pct"/>
          <w:trHeight w:val="980"/>
          <w:jc w:val="center"/>
        </w:trPr>
        <w:tc>
          <w:tcPr>
            <w:tcW w:w="1229" w:type="pct"/>
            <w:shd w:val="clear" w:color="auto" w:fill="auto"/>
            <w:vAlign w:val="center"/>
          </w:tcPr>
          <w:p w14:paraId="47CEF413" w14:textId="77777777" w:rsidR="00302BFE" w:rsidRPr="00B43F59" w:rsidRDefault="00302BFE" w:rsidP="00243B15">
            <w:pPr>
              <w:spacing w:after="0"/>
              <w:jc w:val="left"/>
              <w:rPr>
                <w:sz w:val="18"/>
                <w:szCs w:val="18"/>
                <w:lang w:val="en-CA"/>
              </w:rPr>
            </w:pPr>
            <w:r w:rsidRPr="00B43F59">
              <w:rPr>
                <w:sz w:val="18"/>
                <w:szCs w:val="18"/>
                <w:lang w:val="en-CA"/>
              </w:rPr>
              <w:t>Capitalize and popularize women's know-how in environmental resource management</w:t>
            </w:r>
          </w:p>
        </w:tc>
        <w:tc>
          <w:tcPr>
            <w:tcW w:w="1193" w:type="pct"/>
            <w:shd w:val="clear" w:color="auto" w:fill="auto"/>
            <w:vAlign w:val="center"/>
          </w:tcPr>
          <w:p w14:paraId="697646C8" w14:textId="77777777" w:rsidR="00302BFE" w:rsidRPr="00B43F59" w:rsidRDefault="00302BFE" w:rsidP="00243B15">
            <w:pPr>
              <w:pStyle w:val="Commentaire"/>
              <w:spacing w:after="0"/>
              <w:jc w:val="left"/>
              <w:rPr>
                <w:sz w:val="18"/>
                <w:szCs w:val="18"/>
                <w:lang w:val="en-CA"/>
              </w:rPr>
            </w:pPr>
            <w:r w:rsidRPr="00B43F59">
              <w:rPr>
                <w:sz w:val="18"/>
                <w:szCs w:val="18"/>
                <w:lang w:val="en-CA"/>
              </w:rPr>
              <w:t>Existence of a compendium of women's know-how in the management of environmental resources</w:t>
            </w:r>
          </w:p>
        </w:tc>
        <w:tc>
          <w:tcPr>
            <w:tcW w:w="605" w:type="pct"/>
            <w:shd w:val="clear" w:color="auto" w:fill="auto"/>
            <w:vAlign w:val="center"/>
          </w:tcPr>
          <w:p w14:paraId="7986443D" w14:textId="77777777" w:rsidR="00302BFE" w:rsidRPr="00B43F59" w:rsidRDefault="00302BFE" w:rsidP="00243B15">
            <w:pPr>
              <w:spacing w:after="0"/>
              <w:jc w:val="left"/>
              <w:rPr>
                <w:sz w:val="18"/>
                <w:szCs w:val="18"/>
                <w:lang w:val="en-CA"/>
              </w:rPr>
            </w:pPr>
            <w:r w:rsidRPr="00B43F59">
              <w:rPr>
                <w:sz w:val="18"/>
                <w:szCs w:val="18"/>
                <w:lang w:val="en-CA"/>
              </w:rPr>
              <w:t>01 compendium of women's know-how in the management of environmental resources</w:t>
            </w:r>
          </w:p>
        </w:tc>
        <w:tc>
          <w:tcPr>
            <w:tcW w:w="606" w:type="pct"/>
            <w:shd w:val="clear" w:color="auto" w:fill="auto"/>
            <w:vAlign w:val="center"/>
          </w:tcPr>
          <w:p w14:paraId="2EF4D358" w14:textId="77777777" w:rsidR="00302BFE" w:rsidRPr="00B43F59" w:rsidRDefault="00302BFE" w:rsidP="00243B15">
            <w:pPr>
              <w:spacing w:after="0"/>
              <w:jc w:val="left"/>
              <w:rPr>
                <w:sz w:val="18"/>
                <w:szCs w:val="18"/>
              </w:rPr>
            </w:pPr>
            <w:r w:rsidRPr="00B43F59">
              <w:rPr>
                <w:sz w:val="18"/>
                <w:szCs w:val="18"/>
              </w:rPr>
              <w:t>0</w:t>
            </w:r>
          </w:p>
        </w:tc>
        <w:tc>
          <w:tcPr>
            <w:tcW w:w="314" w:type="pct"/>
            <w:gridSpan w:val="2"/>
            <w:shd w:val="clear" w:color="auto" w:fill="auto"/>
            <w:vAlign w:val="center"/>
          </w:tcPr>
          <w:p w14:paraId="015CA220" w14:textId="77777777" w:rsidR="00302BFE" w:rsidRPr="00B43F59" w:rsidRDefault="00302BFE" w:rsidP="00243B15">
            <w:pPr>
              <w:spacing w:after="0"/>
              <w:jc w:val="left"/>
              <w:rPr>
                <w:sz w:val="18"/>
                <w:szCs w:val="18"/>
              </w:rPr>
            </w:pPr>
            <w:r w:rsidRPr="00B43F59">
              <w:rPr>
                <w:sz w:val="18"/>
                <w:szCs w:val="18"/>
              </w:rPr>
              <w:t>Year 4-6</w:t>
            </w:r>
          </w:p>
        </w:tc>
        <w:tc>
          <w:tcPr>
            <w:tcW w:w="1047" w:type="pct"/>
            <w:shd w:val="clear" w:color="auto" w:fill="auto"/>
            <w:vAlign w:val="center"/>
          </w:tcPr>
          <w:p w14:paraId="59C46038" w14:textId="77777777" w:rsidR="00302BFE" w:rsidRPr="00B43F59" w:rsidRDefault="00302BFE" w:rsidP="00243B15">
            <w:pPr>
              <w:spacing w:after="0"/>
              <w:jc w:val="left"/>
              <w:rPr>
                <w:sz w:val="18"/>
                <w:szCs w:val="18"/>
              </w:rPr>
            </w:pPr>
            <w:r w:rsidRPr="00B43F59">
              <w:rPr>
                <w:sz w:val="18"/>
                <w:szCs w:val="18"/>
              </w:rPr>
              <w:t>Project Gender Expert</w:t>
            </w:r>
          </w:p>
          <w:p w14:paraId="5DAC1FD5" w14:textId="77777777" w:rsidR="00302BFE" w:rsidRPr="00B43F59" w:rsidRDefault="00302BFE" w:rsidP="00243B15">
            <w:pPr>
              <w:spacing w:after="0"/>
              <w:jc w:val="left"/>
              <w:rPr>
                <w:sz w:val="18"/>
                <w:szCs w:val="18"/>
                <w:lang w:eastAsia="fr-CA"/>
              </w:rPr>
            </w:pPr>
            <w:r w:rsidRPr="00B43F59">
              <w:rPr>
                <w:sz w:val="18"/>
                <w:szCs w:val="18"/>
              </w:rPr>
              <w:t>Forest Service</w:t>
            </w:r>
          </w:p>
        </w:tc>
      </w:tr>
      <w:tr w:rsidR="00302BFE" w:rsidRPr="00B43F59" w14:paraId="677FB840" w14:textId="77777777" w:rsidTr="00243B15">
        <w:trPr>
          <w:trHeight w:val="295"/>
          <w:jc w:val="center"/>
        </w:trPr>
        <w:tc>
          <w:tcPr>
            <w:tcW w:w="5000" w:type="pct"/>
            <w:gridSpan w:val="8"/>
            <w:shd w:val="clear" w:color="auto" w:fill="auto"/>
            <w:vAlign w:val="center"/>
          </w:tcPr>
          <w:p w14:paraId="6016D895" w14:textId="77777777" w:rsidR="00302BFE" w:rsidRPr="00B43F59" w:rsidRDefault="00302BFE" w:rsidP="00243B15">
            <w:pPr>
              <w:spacing w:after="0"/>
              <w:jc w:val="left"/>
              <w:rPr>
                <w:b/>
                <w:sz w:val="18"/>
                <w:szCs w:val="18"/>
                <w:lang w:val="en-CA"/>
              </w:rPr>
            </w:pPr>
            <w:r w:rsidRPr="00B43F59">
              <w:rPr>
                <w:b/>
                <w:sz w:val="18"/>
                <w:szCs w:val="18"/>
                <w:lang w:val="en-CA"/>
              </w:rPr>
              <w:t>Output 3.3 Sustainable local forest products processing enterprises are established</w:t>
            </w:r>
          </w:p>
        </w:tc>
      </w:tr>
      <w:tr w:rsidR="00302BFE" w:rsidRPr="00B43F59" w14:paraId="032482D9" w14:textId="77777777" w:rsidTr="00243B15">
        <w:trPr>
          <w:gridAfter w:val="1"/>
          <w:wAfter w:w="6" w:type="pct"/>
          <w:trHeight w:val="670"/>
          <w:jc w:val="center"/>
        </w:trPr>
        <w:tc>
          <w:tcPr>
            <w:tcW w:w="1229" w:type="pct"/>
            <w:shd w:val="clear" w:color="auto" w:fill="auto"/>
            <w:vAlign w:val="center"/>
          </w:tcPr>
          <w:p w14:paraId="29CC4D36" w14:textId="77777777" w:rsidR="00302BFE" w:rsidRPr="00B43F59" w:rsidRDefault="00302BFE" w:rsidP="00243B15">
            <w:pPr>
              <w:pStyle w:val="Paragraphedeliste"/>
              <w:tabs>
                <w:tab w:val="left" w:pos="284"/>
              </w:tabs>
              <w:ind w:left="0"/>
              <w:rPr>
                <w:rFonts w:ascii="Calibri" w:hAnsi="Calibri"/>
                <w:sz w:val="18"/>
                <w:szCs w:val="18"/>
                <w:lang w:val="en-CA"/>
              </w:rPr>
            </w:pPr>
            <w:r w:rsidRPr="00B43F59">
              <w:rPr>
                <w:rFonts w:ascii="Calibri" w:hAnsi="Calibri"/>
                <w:sz w:val="18"/>
                <w:szCs w:val="18"/>
                <w:lang w:val="en-CA"/>
              </w:rPr>
              <w:t>Support the establishment of 04 women's or predominantly women's cooperatives for the exploitation of NTFP value chains</w:t>
            </w:r>
            <w:r>
              <w:rPr>
                <w:rFonts w:ascii="Calibri" w:hAnsi="Calibri"/>
                <w:sz w:val="18"/>
                <w:szCs w:val="18"/>
                <w:lang w:val="en-CA"/>
              </w:rPr>
              <w:t xml:space="preserve"> (output 3.3)</w:t>
            </w:r>
          </w:p>
        </w:tc>
        <w:tc>
          <w:tcPr>
            <w:tcW w:w="1193" w:type="pct"/>
            <w:shd w:val="clear" w:color="auto" w:fill="auto"/>
            <w:vAlign w:val="center"/>
          </w:tcPr>
          <w:p w14:paraId="1DBAE1EB" w14:textId="77777777" w:rsidR="00302BFE" w:rsidRPr="00B43F59" w:rsidRDefault="00302BFE" w:rsidP="00243B15">
            <w:pPr>
              <w:pStyle w:val="Commentaire"/>
              <w:spacing w:after="0"/>
              <w:jc w:val="left"/>
              <w:rPr>
                <w:sz w:val="18"/>
                <w:szCs w:val="18"/>
                <w:lang w:val="en-CA"/>
              </w:rPr>
            </w:pPr>
            <w:r w:rsidRPr="00B43F59">
              <w:rPr>
                <w:sz w:val="18"/>
                <w:szCs w:val="18"/>
                <w:lang w:val="en-CA"/>
              </w:rPr>
              <w:t xml:space="preserve">Existence of (1) cooperative for producing </w:t>
            </w:r>
            <w:proofErr w:type="spellStart"/>
            <w:r>
              <w:rPr>
                <w:sz w:val="18"/>
                <w:szCs w:val="18"/>
                <w:lang w:val="en-CA"/>
              </w:rPr>
              <w:t>liane</w:t>
            </w:r>
            <w:proofErr w:type="spellEnd"/>
            <w:r w:rsidRPr="00B43F59">
              <w:rPr>
                <w:sz w:val="18"/>
                <w:szCs w:val="18"/>
                <w:lang w:val="en-CA"/>
              </w:rPr>
              <w:t xml:space="preserve"> </w:t>
            </w:r>
            <w:proofErr w:type="spellStart"/>
            <w:r w:rsidRPr="00B43F59">
              <w:rPr>
                <w:sz w:val="18"/>
                <w:szCs w:val="18"/>
                <w:lang w:val="en-CA"/>
              </w:rPr>
              <w:t>goïne</w:t>
            </w:r>
            <w:proofErr w:type="spellEnd"/>
            <w:r w:rsidRPr="00B43F59">
              <w:rPr>
                <w:sz w:val="18"/>
                <w:szCs w:val="18"/>
                <w:lang w:val="en-CA"/>
              </w:rPr>
              <w:t xml:space="preserve"> juice in the commune of </w:t>
            </w:r>
            <w:proofErr w:type="spellStart"/>
            <w:r w:rsidRPr="00B43F59">
              <w:rPr>
                <w:sz w:val="18"/>
                <w:szCs w:val="18"/>
                <w:lang w:val="en-CA"/>
              </w:rPr>
              <w:t>Nobéré</w:t>
            </w:r>
            <w:proofErr w:type="spellEnd"/>
            <w:r w:rsidRPr="00B43F59">
              <w:rPr>
                <w:sz w:val="18"/>
                <w:szCs w:val="18"/>
                <w:lang w:val="en-CA"/>
              </w:rPr>
              <w:t xml:space="preserve">, one (1) cooperative </w:t>
            </w:r>
            <w:proofErr w:type="gramStart"/>
            <w:r w:rsidRPr="00B43F59">
              <w:rPr>
                <w:sz w:val="18"/>
                <w:szCs w:val="18"/>
                <w:lang w:val="en-CA"/>
              </w:rPr>
              <w:t>for the production of</w:t>
            </w:r>
            <w:proofErr w:type="gramEnd"/>
            <w:r w:rsidRPr="00B43F59">
              <w:rPr>
                <w:sz w:val="18"/>
                <w:szCs w:val="18"/>
                <w:lang w:val="en-CA"/>
              </w:rPr>
              <w:t xml:space="preserve"> honey in the PONASI landscape area, and two (2) cooperatives for producing shea butter in the communes of </w:t>
            </w:r>
            <w:proofErr w:type="spellStart"/>
            <w:r w:rsidRPr="00B43F59">
              <w:rPr>
                <w:sz w:val="18"/>
                <w:szCs w:val="18"/>
                <w:lang w:val="en-CA"/>
              </w:rPr>
              <w:t>Guiaro</w:t>
            </w:r>
            <w:proofErr w:type="spellEnd"/>
            <w:r w:rsidRPr="00B43F59">
              <w:rPr>
                <w:sz w:val="18"/>
                <w:szCs w:val="18"/>
                <w:lang w:val="en-CA"/>
              </w:rPr>
              <w:t xml:space="preserve"> and </w:t>
            </w:r>
            <w:proofErr w:type="spellStart"/>
            <w:r w:rsidRPr="00B43F59">
              <w:rPr>
                <w:sz w:val="18"/>
                <w:szCs w:val="18"/>
                <w:lang w:val="en-CA"/>
              </w:rPr>
              <w:t>Zabré-Zoaga</w:t>
            </w:r>
            <w:proofErr w:type="spellEnd"/>
            <w:r w:rsidRPr="00B43F59">
              <w:rPr>
                <w:sz w:val="18"/>
                <w:szCs w:val="18"/>
                <w:lang w:val="en-CA"/>
              </w:rPr>
              <w:t>, and proportion of women members of these cooperatives</w:t>
            </w:r>
          </w:p>
        </w:tc>
        <w:tc>
          <w:tcPr>
            <w:tcW w:w="605" w:type="pct"/>
            <w:shd w:val="clear" w:color="auto" w:fill="auto"/>
            <w:vAlign w:val="center"/>
          </w:tcPr>
          <w:p w14:paraId="2579AAEC" w14:textId="77777777" w:rsidR="00302BFE" w:rsidRPr="00B43F59" w:rsidRDefault="00302BFE" w:rsidP="00243B15">
            <w:pPr>
              <w:spacing w:after="0"/>
              <w:jc w:val="left"/>
              <w:rPr>
                <w:sz w:val="18"/>
                <w:szCs w:val="18"/>
              </w:rPr>
            </w:pPr>
            <w:r w:rsidRPr="00B43F59">
              <w:rPr>
                <w:sz w:val="18"/>
                <w:szCs w:val="18"/>
              </w:rPr>
              <w:t>04 cooperatives</w:t>
            </w:r>
          </w:p>
        </w:tc>
        <w:tc>
          <w:tcPr>
            <w:tcW w:w="606" w:type="pct"/>
            <w:shd w:val="clear" w:color="auto" w:fill="auto"/>
            <w:vAlign w:val="center"/>
          </w:tcPr>
          <w:p w14:paraId="479EDC34" w14:textId="77777777" w:rsidR="00302BFE" w:rsidRPr="00B43F59" w:rsidRDefault="00302BFE" w:rsidP="00243B15">
            <w:pPr>
              <w:spacing w:after="0"/>
              <w:jc w:val="left"/>
              <w:rPr>
                <w:sz w:val="18"/>
                <w:szCs w:val="18"/>
                <w:lang w:val="en-CA"/>
              </w:rPr>
            </w:pPr>
            <w:r w:rsidRPr="00B43F59">
              <w:rPr>
                <w:sz w:val="18"/>
                <w:szCs w:val="18"/>
                <w:lang w:val="en-CA"/>
              </w:rPr>
              <w:t>0 (the groups of women encountered in the communes are not organized into cooperatives)</w:t>
            </w:r>
          </w:p>
        </w:tc>
        <w:tc>
          <w:tcPr>
            <w:tcW w:w="314" w:type="pct"/>
            <w:gridSpan w:val="2"/>
            <w:shd w:val="clear" w:color="auto" w:fill="auto"/>
            <w:vAlign w:val="center"/>
          </w:tcPr>
          <w:p w14:paraId="347280C5" w14:textId="77777777" w:rsidR="00302BFE" w:rsidRPr="00B43F59" w:rsidRDefault="00302BFE" w:rsidP="00243B15">
            <w:pPr>
              <w:spacing w:after="0"/>
              <w:jc w:val="left"/>
              <w:rPr>
                <w:sz w:val="18"/>
                <w:szCs w:val="18"/>
              </w:rPr>
            </w:pPr>
            <w:r w:rsidRPr="00B43F59">
              <w:rPr>
                <w:sz w:val="18"/>
                <w:szCs w:val="18"/>
              </w:rPr>
              <w:t>Year 2-3</w:t>
            </w:r>
          </w:p>
        </w:tc>
        <w:tc>
          <w:tcPr>
            <w:tcW w:w="1047" w:type="pct"/>
            <w:shd w:val="clear" w:color="auto" w:fill="auto"/>
            <w:vAlign w:val="center"/>
          </w:tcPr>
          <w:p w14:paraId="27C2E327" w14:textId="77777777" w:rsidR="00302BFE" w:rsidRPr="00B43F59" w:rsidRDefault="00302BFE" w:rsidP="00243B15">
            <w:pPr>
              <w:spacing w:after="0"/>
              <w:jc w:val="left"/>
              <w:rPr>
                <w:sz w:val="18"/>
                <w:szCs w:val="18"/>
              </w:rPr>
            </w:pPr>
            <w:r w:rsidRPr="00B43F59">
              <w:rPr>
                <w:sz w:val="18"/>
                <w:szCs w:val="18"/>
              </w:rPr>
              <w:t>Community Development Expert</w:t>
            </w:r>
          </w:p>
          <w:p w14:paraId="7A9123FC" w14:textId="77777777" w:rsidR="00302BFE" w:rsidRPr="009E7670" w:rsidRDefault="00302BFE" w:rsidP="00243B15">
            <w:pPr>
              <w:spacing w:after="0"/>
              <w:jc w:val="left"/>
              <w:rPr>
                <w:sz w:val="18"/>
                <w:szCs w:val="18"/>
              </w:rPr>
            </w:pPr>
            <w:r w:rsidRPr="009E7670">
              <w:rPr>
                <w:sz w:val="18"/>
                <w:szCs w:val="18"/>
              </w:rPr>
              <w:t>Permanent Secretariat of the National Council for the Promotion of Gender (SP/CONEP gender)</w:t>
            </w:r>
          </w:p>
          <w:p w14:paraId="2D1E6C11" w14:textId="77777777" w:rsidR="00302BFE" w:rsidRPr="00B43F59" w:rsidRDefault="00302BFE" w:rsidP="00243B15">
            <w:pPr>
              <w:spacing w:after="0"/>
              <w:jc w:val="left"/>
              <w:rPr>
                <w:sz w:val="18"/>
                <w:szCs w:val="18"/>
                <w:lang w:eastAsia="fr-CA"/>
              </w:rPr>
            </w:pPr>
            <w:r w:rsidRPr="00C3579E">
              <w:rPr>
                <w:sz w:val="18"/>
                <w:szCs w:val="18"/>
              </w:rPr>
              <w:t>Housing, and Community Development</w:t>
            </w:r>
          </w:p>
        </w:tc>
      </w:tr>
      <w:tr w:rsidR="00302BFE" w:rsidRPr="00B43F59" w14:paraId="5BD8D952" w14:textId="77777777" w:rsidTr="00243B15">
        <w:trPr>
          <w:gridAfter w:val="1"/>
          <w:wAfter w:w="6" w:type="pct"/>
          <w:trHeight w:val="980"/>
          <w:jc w:val="center"/>
        </w:trPr>
        <w:tc>
          <w:tcPr>
            <w:tcW w:w="1229" w:type="pct"/>
            <w:shd w:val="clear" w:color="auto" w:fill="auto"/>
            <w:vAlign w:val="center"/>
          </w:tcPr>
          <w:p w14:paraId="2ABC7AED" w14:textId="77777777" w:rsidR="00302BFE" w:rsidRPr="00B43F59" w:rsidRDefault="00302BFE" w:rsidP="00243B15">
            <w:pPr>
              <w:spacing w:after="0"/>
              <w:jc w:val="left"/>
              <w:rPr>
                <w:sz w:val="18"/>
                <w:szCs w:val="18"/>
                <w:lang w:val="en-CA"/>
              </w:rPr>
            </w:pPr>
            <w:r w:rsidRPr="00B43F59">
              <w:rPr>
                <w:sz w:val="18"/>
                <w:szCs w:val="18"/>
                <w:lang w:val="en-CA"/>
              </w:rPr>
              <w:t>Support the organic and fair certification of production spaces and shea products managed by women's cooperatives (output 3.3)</w:t>
            </w:r>
          </w:p>
        </w:tc>
        <w:tc>
          <w:tcPr>
            <w:tcW w:w="1193" w:type="pct"/>
            <w:shd w:val="clear" w:color="auto" w:fill="auto"/>
            <w:vAlign w:val="center"/>
          </w:tcPr>
          <w:p w14:paraId="1BC4A381" w14:textId="77777777" w:rsidR="00302BFE" w:rsidRPr="00B43F59" w:rsidRDefault="00302BFE" w:rsidP="00243B15">
            <w:pPr>
              <w:pStyle w:val="Commentaire"/>
              <w:spacing w:after="0"/>
              <w:jc w:val="left"/>
              <w:rPr>
                <w:sz w:val="18"/>
                <w:szCs w:val="18"/>
                <w:lang w:val="en-CA"/>
              </w:rPr>
            </w:pPr>
            <w:r w:rsidRPr="00B43F59">
              <w:rPr>
                <w:sz w:val="18"/>
                <w:szCs w:val="18"/>
                <w:lang w:val="en-CA"/>
              </w:rPr>
              <w:t>Area of shea production sites with organic and fair-trade certification</w:t>
            </w:r>
          </w:p>
        </w:tc>
        <w:tc>
          <w:tcPr>
            <w:tcW w:w="605" w:type="pct"/>
            <w:shd w:val="clear" w:color="auto" w:fill="auto"/>
            <w:vAlign w:val="center"/>
          </w:tcPr>
          <w:p w14:paraId="61C14854" w14:textId="77777777" w:rsidR="00302BFE" w:rsidRPr="00B43F59" w:rsidRDefault="00302BFE" w:rsidP="00243B15">
            <w:pPr>
              <w:spacing w:after="0"/>
              <w:jc w:val="left"/>
              <w:rPr>
                <w:sz w:val="18"/>
                <w:szCs w:val="18"/>
              </w:rPr>
            </w:pPr>
            <w:r w:rsidRPr="00B43F59">
              <w:rPr>
                <w:sz w:val="18"/>
                <w:szCs w:val="18"/>
              </w:rPr>
              <w:t>200 ha</w:t>
            </w:r>
          </w:p>
        </w:tc>
        <w:tc>
          <w:tcPr>
            <w:tcW w:w="606" w:type="pct"/>
            <w:shd w:val="clear" w:color="auto" w:fill="auto"/>
            <w:vAlign w:val="center"/>
          </w:tcPr>
          <w:p w14:paraId="4F00AEC2" w14:textId="77777777" w:rsidR="00302BFE" w:rsidRPr="00B43F59" w:rsidRDefault="00302BFE" w:rsidP="00243B15">
            <w:pPr>
              <w:spacing w:after="0"/>
              <w:jc w:val="left"/>
              <w:rPr>
                <w:sz w:val="18"/>
                <w:szCs w:val="18"/>
              </w:rPr>
            </w:pPr>
            <w:r w:rsidRPr="00B43F59">
              <w:rPr>
                <w:sz w:val="18"/>
                <w:szCs w:val="18"/>
              </w:rPr>
              <w:t>0</w:t>
            </w:r>
          </w:p>
        </w:tc>
        <w:tc>
          <w:tcPr>
            <w:tcW w:w="314" w:type="pct"/>
            <w:gridSpan w:val="2"/>
            <w:shd w:val="clear" w:color="auto" w:fill="auto"/>
            <w:vAlign w:val="center"/>
          </w:tcPr>
          <w:p w14:paraId="683D260F" w14:textId="77777777" w:rsidR="00302BFE" w:rsidRPr="00B43F59" w:rsidRDefault="00302BFE" w:rsidP="00243B15">
            <w:pPr>
              <w:spacing w:after="0"/>
              <w:jc w:val="left"/>
              <w:rPr>
                <w:sz w:val="18"/>
                <w:szCs w:val="18"/>
              </w:rPr>
            </w:pPr>
            <w:r w:rsidRPr="00B43F59">
              <w:rPr>
                <w:sz w:val="18"/>
                <w:szCs w:val="18"/>
              </w:rPr>
              <w:t>Year 2</w:t>
            </w:r>
          </w:p>
        </w:tc>
        <w:tc>
          <w:tcPr>
            <w:tcW w:w="1047" w:type="pct"/>
            <w:shd w:val="clear" w:color="auto" w:fill="auto"/>
            <w:vAlign w:val="center"/>
          </w:tcPr>
          <w:p w14:paraId="0CEA08A3" w14:textId="77777777" w:rsidR="00302BFE" w:rsidRPr="00B43F59" w:rsidRDefault="00302BFE" w:rsidP="00243B15">
            <w:pPr>
              <w:contextualSpacing/>
              <w:jc w:val="left"/>
              <w:rPr>
                <w:sz w:val="18"/>
                <w:szCs w:val="18"/>
                <w:lang w:eastAsia="fr-CA"/>
              </w:rPr>
            </w:pPr>
            <w:r w:rsidRPr="00B43F59">
              <w:rPr>
                <w:sz w:val="18"/>
                <w:szCs w:val="18"/>
              </w:rPr>
              <w:t>C</w:t>
            </w:r>
            <w:r w:rsidRPr="00B43F59">
              <w:rPr>
                <w:sz w:val="18"/>
                <w:szCs w:val="18"/>
                <w:lang w:eastAsia="fr-CA"/>
              </w:rPr>
              <w:t>ertification</w:t>
            </w:r>
            <w:r w:rsidRPr="00B43F59">
              <w:rPr>
                <w:sz w:val="18"/>
                <w:szCs w:val="18"/>
              </w:rPr>
              <w:t xml:space="preserve"> office</w:t>
            </w:r>
          </w:p>
          <w:p w14:paraId="0959FA02" w14:textId="77777777" w:rsidR="00302BFE" w:rsidRPr="00B43F59" w:rsidRDefault="00302BFE" w:rsidP="00243B15">
            <w:pPr>
              <w:contextualSpacing/>
              <w:jc w:val="left"/>
              <w:rPr>
                <w:sz w:val="18"/>
                <w:szCs w:val="18"/>
                <w:lang w:val="en-CA" w:eastAsia="fr-CA"/>
              </w:rPr>
            </w:pPr>
            <w:r w:rsidRPr="00B43F59">
              <w:rPr>
                <w:sz w:val="18"/>
                <w:szCs w:val="18"/>
                <w:lang w:val="en-CA" w:eastAsia="fr-CA"/>
              </w:rPr>
              <w:t>Permanent Secretariat of the National Council for the Promotion of Gender (SP/CONEP gender)</w:t>
            </w:r>
          </w:p>
        </w:tc>
      </w:tr>
      <w:tr w:rsidR="00302BFE" w:rsidRPr="00B43F59" w14:paraId="6FD36B8F" w14:textId="77777777" w:rsidTr="00243B15">
        <w:trPr>
          <w:gridAfter w:val="1"/>
          <w:wAfter w:w="6" w:type="pct"/>
          <w:trHeight w:val="860"/>
          <w:jc w:val="center"/>
        </w:trPr>
        <w:tc>
          <w:tcPr>
            <w:tcW w:w="1229" w:type="pct"/>
            <w:shd w:val="clear" w:color="auto" w:fill="auto"/>
            <w:vAlign w:val="center"/>
          </w:tcPr>
          <w:p w14:paraId="2915FA47" w14:textId="77777777" w:rsidR="00302BFE" w:rsidRPr="00B43F59" w:rsidRDefault="00302BFE" w:rsidP="00243B15">
            <w:pPr>
              <w:pStyle w:val="Paragraphedeliste"/>
              <w:tabs>
                <w:tab w:val="left" w:pos="284"/>
              </w:tabs>
              <w:ind w:left="0"/>
              <w:rPr>
                <w:rFonts w:ascii="Calibri" w:hAnsi="Calibri"/>
                <w:sz w:val="18"/>
                <w:szCs w:val="18"/>
                <w:lang w:val="en-CA"/>
              </w:rPr>
            </w:pPr>
            <w:r w:rsidRPr="00B43F59">
              <w:rPr>
                <w:rFonts w:ascii="Calibri" w:hAnsi="Calibri"/>
                <w:sz w:val="18"/>
                <w:szCs w:val="18"/>
                <w:lang w:val="en-CA"/>
              </w:rPr>
              <w:t xml:space="preserve">Strengthen the technical and entrepreneurial capacities of women beneficiaries through training adapted to women and meeting their aspirations and needs, as appropriate fruit collection practices, prevention of adverse environmental impacts; good practices for reducing post-harvest and storage losses; processing techniques; health aspects, standards of quality and hygiene; equitable value chains, </w:t>
            </w:r>
            <w:proofErr w:type="gramStart"/>
            <w:r w:rsidRPr="00B43F59">
              <w:rPr>
                <w:rFonts w:ascii="Calibri" w:hAnsi="Calibri"/>
                <w:sz w:val="18"/>
                <w:szCs w:val="18"/>
                <w:lang w:val="en-CA"/>
              </w:rPr>
              <w:t>savings</w:t>
            </w:r>
            <w:proofErr w:type="gramEnd"/>
            <w:r w:rsidRPr="00B43F59">
              <w:rPr>
                <w:rFonts w:ascii="Calibri" w:hAnsi="Calibri"/>
                <w:sz w:val="18"/>
                <w:szCs w:val="18"/>
                <w:lang w:val="en-CA"/>
              </w:rPr>
              <w:t xml:space="preserve"> and microenterprise management (output 3.3.4)</w:t>
            </w:r>
          </w:p>
        </w:tc>
        <w:tc>
          <w:tcPr>
            <w:tcW w:w="1193" w:type="pct"/>
            <w:shd w:val="clear" w:color="auto" w:fill="auto"/>
            <w:vAlign w:val="center"/>
          </w:tcPr>
          <w:p w14:paraId="4B2F4751" w14:textId="77777777" w:rsidR="00302BFE" w:rsidRPr="00B43F59" w:rsidRDefault="00302BFE" w:rsidP="00243B15">
            <w:pPr>
              <w:pStyle w:val="Commentaire"/>
              <w:spacing w:after="0"/>
              <w:jc w:val="left"/>
              <w:rPr>
                <w:sz w:val="18"/>
                <w:szCs w:val="18"/>
                <w:lang w:val="en-CA"/>
              </w:rPr>
            </w:pPr>
            <w:r w:rsidRPr="00B43F59">
              <w:rPr>
                <w:sz w:val="18"/>
                <w:szCs w:val="18"/>
                <w:lang w:val="en-CA"/>
              </w:rPr>
              <w:t>Nature of technical training provided</w:t>
            </w:r>
          </w:p>
          <w:p w14:paraId="6FCFB9E0" w14:textId="77777777" w:rsidR="00302BFE" w:rsidRPr="00B43F59" w:rsidRDefault="00302BFE" w:rsidP="00243B15">
            <w:pPr>
              <w:pStyle w:val="Commentaire"/>
              <w:spacing w:after="0"/>
              <w:jc w:val="left"/>
              <w:rPr>
                <w:sz w:val="18"/>
                <w:szCs w:val="18"/>
                <w:lang w:val="en-CA"/>
              </w:rPr>
            </w:pPr>
            <w:r w:rsidRPr="00B43F59">
              <w:rPr>
                <w:sz w:val="18"/>
                <w:szCs w:val="18"/>
                <w:lang w:val="en-CA"/>
              </w:rPr>
              <w:t>Number of beneficiaries</w:t>
            </w:r>
          </w:p>
        </w:tc>
        <w:tc>
          <w:tcPr>
            <w:tcW w:w="605" w:type="pct"/>
            <w:shd w:val="clear" w:color="auto" w:fill="auto"/>
            <w:vAlign w:val="center"/>
          </w:tcPr>
          <w:p w14:paraId="0F1AC335" w14:textId="77777777" w:rsidR="00302BFE" w:rsidRPr="00B43F59" w:rsidRDefault="00302BFE" w:rsidP="00243B15">
            <w:pPr>
              <w:spacing w:after="0"/>
              <w:rPr>
                <w:sz w:val="18"/>
                <w:szCs w:val="18"/>
                <w:lang w:val="en-CA"/>
              </w:rPr>
            </w:pPr>
            <w:r w:rsidRPr="00B43F59">
              <w:rPr>
                <w:sz w:val="18"/>
                <w:szCs w:val="18"/>
                <w:lang w:val="en-CA"/>
              </w:rPr>
              <w:t>At least 75% of the beneficiaries master the training provided</w:t>
            </w:r>
          </w:p>
          <w:p w14:paraId="10BF9369" w14:textId="77777777" w:rsidR="00302BFE" w:rsidRPr="00B43F59" w:rsidRDefault="00302BFE" w:rsidP="00243B15">
            <w:pPr>
              <w:spacing w:after="0"/>
              <w:rPr>
                <w:sz w:val="18"/>
                <w:szCs w:val="18"/>
                <w:lang w:val="en-CA"/>
              </w:rPr>
            </w:pPr>
            <w:r w:rsidRPr="00B43F59">
              <w:rPr>
                <w:sz w:val="18"/>
                <w:szCs w:val="18"/>
                <w:lang w:val="en-CA"/>
              </w:rPr>
              <w:t>At least 90% of beneficiaries have been trained</w:t>
            </w:r>
          </w:p>
        </w:tc>
        <w:tc>
          <w:tcPr>
            <w:tcW w:w="606" w:type="pct"/>
            <w:shd w:val="clear" w:color="auto" w:fill="auto"/>
            <w:vAlign w:val="center"/>
          </w:tcPr>
          <w:p w14:paraId="2086DDBE" w14:textId="77777777" w:rsidR="00302BFE" w:rsidRPr="00B43F59" w:rsidRDefault="00302BFE" w:rsidP="00243B15">
            <w:pPr>
              <w:spacing w:after="0"/>
              <w:jc w:val="left"/>
              <w:rPr>
                <w:sz w:val="18"/>
                <w:szCs w:val="18"/>
                <w:lang w:val="en-CA"/>
              </w:rPr>
            </w:pPr>
          </w:p>
        </w:tc>
        <w:tc>
          <w:tcPr>
            <w:tcW w:w="314" w:type="pct"/>
            <w:gridSpan w:val="2"/>
            <w:shd w:val="clear" w:color="auto" w:fill="auto"/>
            <w:vAlign w:val="center"/>
          </w:tcPr>
          <w:p w14:paraId="70F57725" w14:textId="77777777" w:rsidR="00302BFE" w:rsidRPr="00B43F59" w:rsidRDefault="00302BFE" w:rsidP="00243B15">
            <w:pPr>
              <w:spacing w:after="0"/>
              <w:jc w:val="left"/>
              <w:rPr>
                <w:sz w:val="18"/>
                <w:szCs w:val="18"/>
              </w:rPr>
            </w:pPr>
            <w:r w:rsidRPr="00B43F59">
              <w:rPr>
                <w:sz w:val="18"/>
                <w:szCs w:val="18"/>
              </w:rPr>
              <w:t>Year 2</w:t>
            </w:r>
          </w:p>
        </w:tc>
        <w:tc>
          <w:tcPr>
            <w:tcW w:w="1047" w:type="pct"/>
            <w:shd w:val="clear" w:color="auto" w:fill="auto"/>
            <w:vAlign w:val="center"/>
          </w:tcPr>
          <w:p w14:paraId="13E8BE54" w14:textId="77777777" w:rsidR="00302BFE" w:rsidRPr="00B43F59" w:rsidRDefault="00302BFE" w:rsidP="00243B15">
            <w:pPr>
              <w:spacing w:after="0"/>
              <w:jc w:val="left"/>
              <w:rPr>
                <w:sz w:val="18"/>
                <w:szCs w:val="18"/>
              </w:rPr>
            </w:pPr>
            <w:r w:rsidRPr="00B43F59">
              <w:rPr>
                <w:sz w:val="18"/>
                <w:szCs w:val="18"/>
              </w:rPr>
              <w:t>Project Gender Expert</w:t>
            </w:r>
          </w:p>
          <w:p w14:paraId="62DA67F7" w14:textId="77777777" w:rsidR="00302BFE" w:rsidRPr="00B43F59" w:rsidRDefault="00302BFE" w:rsidP="00243B15">
            <w:pPr>
              <w:spacing w:after="0"/>
              <w:jc w:val="left"/>
              <w:rPr>
                <w:sz w:val="18"/>
                <w:szCs w:val="18"/>
                <w:lang w:val="en-CA" w:eastAsia="fr-CA"/>
              </w:rPr>
            </w:pPr>
            <w:r w:rsidRPr="009E7670">
              <w:rPr>
                <w:sz w:val="18"/>
                <w:szCs w:val="18"/>
              </w:rPr>
              <w:t>Permanent Secretariat of the National Council for the Promotion of Gender (SP/CONEP gender)</w:t>
            </w:r>
          </w:p>
        </w:tc>
      </w:tr>
      <w:tr w:rsidR="00302BFE" w:rsidRPr="00B43F59" w14:paraId="39015FC4" w14:textId="77777777" w:rsidTr="00243B15">
        <w:trPr>
          <w:gridAfter w:val="1"/>
          <w:wAfter w:w="6" w:type="pct"/>
          <w:trHeight w:val="550"/>
          <w:jc w:val="center"/>
        </w:trPr>
        <w:tc>
          <w:tcPr>
            <w:tcW w:w="1229" w:type="pct"/>
            <w:shd w:val="clear" w:color="auto" w:fill="auto"/>
            <w:vAlign w:val="center"/>
          </w:tcPr>
          <w:p w14:paraId="1CD23E51" w14:textId="77777777" w:rsidR="00302BFE" w:rsidRPr="00B43F59" w:rsidRDefault="00302BFE" w:rsidP="00243B15">
            <w:pPr>
              <w:pStyle w:val="Paragraphedeliste"/>
              <w:tabs>
                <w:tab w:val="left" w:pos="284"/>
              </w:tabs>
              <w:ind w:left="0"/>
              <w:rPr>
                <w:rFonts w:ascii="Calibri" w:hAnsi="Calibri"/>
                <w:sz w:val="18"/>
                <w:szCs w:val="18"/>
                <w:lang w:val="en-CA"/>
              </w:rPr>
            </w:pPr>
            <w:r w:rsidRPr="00B43F59">
              <w:rPr>
                <w:rFonts w:ascii="Calibri" w:hAnsi="Calibri"/>
                <w:sz w:val="18"/>
                <w:szCs w:val="18"/>
                <w:lang w:val="en-CA"/>
              </w:rPr>
              <w:t>Ensure that the establishment of production units (buildings and equipment) (output 3.3.6) is adapted to the women who will use them and take their needs into account</w:t>
            </w:r>
          </w:p>
        </w:tc>
        <w:tc>
          <w:tcPr>
            <w:tcW w:w="1193" w:type="pct"/>
            <w:shd w:val="clear" w:color="auto" w:fill="auto"/>
            <w:vAlign w:val="center"/>
          </w:tcPr>
          <w:p w14:paraId="48AD7C85" w14:textId="77777777" w:rsidR="00302BFE" w:rsidRPr="00B43F59" w:rsidRDefault="00302BFE" w:rsidP="00243B15">
            <w:pPr>
              <w:pStyle w:val="Commentaire"/>
              <w:spacing w:after="0"/>
              <w:jc w:val="left"/>
              <w:rPr>
                <w:sz w:val="18"/>
                <w:szCs w:val="18"/>
                <w:lang w:val="en-CA"/>
              </w:rPr>
            </w:pPr>
            <w:r w:rsidRPr="00B43F59">
              <w:rPr>
                <w:sz w:val="18"/>
                <w:szCs w:val="18"/>
                <w:lang w:val="en-CA"/>
              </w:rPr>
              <w:t>Number of production units installed</w:t>
            </w:r>
          </w:p>
        </w:tc>
        <w:tc>
          <w:tcPr>
            <w:tcW w:w="605" w:type="pct"/>
            <w:shd w:val="clear" w:color="auto" w:fill="auto"/>
            <w:vAlign w:val="center"/>
          </w:tcPr>
          <w:p w14:paraId="428EE504" w14:textId="77777777" w:rsidR="00302BFE" w:rsidRPr="00B43F59" w:rsidRDefault="00302BFE" w:rsidP="00243B15">
            <w:pPr>
              <w:spacing w:after="0"/>
              <w:jc w:val="left"/>
              <w:rPr>
                <w:sz w:val="18"/>
                <w:szCs w:val="18"/>
              </w:rPr>
            </w:pPr>
            <w:r w:rsidRPr="00B43F59">
              <w:rPr>
                <w:sz w:val="18"/>
                <w:szCs w:val="18"/>
              </w:rPr>
              <w:t>04</w:t>
            </w:r>
          </w:p>
        </w:tc>
        <w:tc>
          <w:tcPr>
            <w:tcW w:w="606" w:type="pct"/>
            <w:shd w:val="clear" w:color="auto" w:fill="auto"/>
            <w:vAlign w:val="center"/>
          </w:tcPr>
          <w:p w14:paraId="7EF4971A" w14:textId="77777777" w:rsidR="00302BFE" w:rsidRPr="00B43F59" w:rsidRDefault="00302BFE" w:rsidP="00243B15">
            <w:pPr>
              <w:spacing w:after="0"/>
              <w:jc w:val="left"/>
              <w:rPr>
                <w:sz w:val="18"/>
                <w:szCs w:val="18"/>
                <w:lang w:val="en-CA"/>
              </w:rPr>
            </w:pPr>
            <w:r w:rsidRPr="00B43F59">
              <w:rPr>
                <w:sz w:val="18"/>
                <w:szCs w:val="18"/>
                <w:lang w:val="en-CA"/>
              </w:rPr>
              <w:t xml:space="preserve">No production unit for organic shea butter or </w:t>
            </w:r>
            <w:proofErr w:type="spellStart"/>
            <w:r w:rsidRPr="00B43F59">
              <w:rPr>
                <w:sz w:val="18"/>
                <w:szCs w:val="18"/>
                <w:lang w:val="en-CA"/>
              </w:rPr>
              <w:t>goine</w:t>
            </w:r>
            <w:proofErr w:type="spellEnd"/>
            <w:r w:rsidRPr="00B43F59">
              <w:rPr>
                <w:sz w:val="18"/>
                <w:szCs w:val="18"/>
                <w:lang w:val="en-CA"/>
              </w:rPr>
              <w:t xml:space="preserve"> liana juice production unit</w:t>
            </w:r>
          </w:p>
        </w:tc>
        <w:tc>
          <w:tcPr>
            <w:tcW w:w="314" w:type="pct"/>
            <w:gridSpan w:val="2"/>
            <w:shd w:val="clear" w:color="auto" w:fill="auto"/>
            <w:vAlign w:val="center"/>
          </w:tcPr>
          <w:p w14:paraId="0855B9AF" w14:textId="77777777" w:rsidR="00302BFE" w:rsidRPr="00B43F59" w:rsidRDefault="00302BFE" w:rsidP="00243B15">
            <w:pPr>
              <w:spacing w:after="0"/>
              <w:jc w:val="left"/>
              <w:rPr>
                <w:sz w:val="18"/>
                <w:szCs w:val="18"/>
              </w:rPr>
            </w:pPr>
            <w:r w:rsidRPr="00B43F59">
              <w:rPr>
                <w:sz w:val="18"/>
                <w:szCs w:val="18"/>
              </w:rPr>
              <w:t>Year 2</w:t>
            </w:r>
          </w:p>
        </w:tc>
        <w:tc>
          <w:tcPr>
            <w:tcW w:w="1047" w:type="pct"/>
            <w:shd w:val="clear" w:color="auto" w:fill="auto"/>
            <w:vAlign w:val="center"/>
          </w:tcPr>
          <w:p w14:paraId="5BC11E27" w14:textId="77777777" w:rsidR="00302BFE" w:rsidRPr="00B43F59" w:rsidRDefault="00302BFE" w:rsidP="00243B15">
            <w:pPr>
              <w:contextualSpacing/>
              <w:rPr>
                <w:sz w:val="18"/>
                <w:szCs w:val="18"/>
                <w:lang w:eastAsia="fr-CA"/>
              </w:rPr>
            </w:pPr>
            <w:r w:rsidRPr="00B43F59">
              <w:rPr>
                <w:sz w:val="18"/>
                <w:szCs w:val="18"/>
              </w:rPr>
              <w:t>Expert in entrepreneurship</w:t>
            </w:r>
          </w:p>
          <w:p w14:paraId="1AAEA51F" w14:textId="77777777" w:rsidR="00302BFE" w:rsidRPr="00B43F59" w:rsidRDefault="00302BFE" w:rsidP="00243B15">
            <w:pPr>
              <w:tabs>
                <w:tab w:val="left" w:pos="185"/>
              </w:tabs>
              <w:contextualSpacing/>
              <w:rPr>
                <w:sz w:val="18"/>
                <w:szCs w:val="18"/>
                <w:lang w:val="en-CA" w:eastAsia="fr-CA"/>
              </w:rPr>
            </w:pPr>
            <w:r w:rsidRPr="00B43F59">
              <w:rPr>
                <w:sz w:val="18"/>
                <w:szCs w:val="18"/>
                <w:lang w:val="en-CA"/>
              </w:rPr>
              <w:t xml:space="preserve">Permanent Secretariat of the National Council for the Promotion of Gender </w:t>
            </w:r>
            <w:r w:rsidRPr="00B43F59">
              <w:rPr>
                <w:sz w:val="18"/>
                <w:szCs w:val="18"/>
                <w:lang w:val="en-CA" w:eastAsia="fr-CA"/>
              </w:rPr>
              <w:t xml:space="preserve">(SP/CONEP </w:t>
            </w:r>
            <w:r w:rsidRPr="00B43F59">
              <w:rPr>
                <w:sz w:val="18"/>
                <w:szCs w:val="18"/>
                <w:lang w:val="en-CA"/>
              </w:rPr>
              <w:t>gender</w:t>
            </w:r>
            <w:r w:rsidRPr="00B43F59">
              <w:rPr>
                <w:sz w:val="18"/>
                <w:szCs w:val="18"/>
                <w:lang w:val="en-CA" w:eastAsia="fr-CA"/>
              </w:rPr>
              <w:t>)</w:t>
            </w:r>
          </w:p>
        </w:tc>
      </w:tr>
      <w:tr w:rsidR="00302BFE" w:rsidRPr="00B43F59" w14:paraId="5E7684D9" w14:textId="77777777" w:rsidTr="00243B15">
        <w:trPr>
          <w:gridAfter w:val="1"/>
          <w:wAfter w:w="6" w:type="pct"/>
          <w:trHeight w:val="980"/>
          <w:jc w:val="center"/>
        </w:trPr>
        <w:tc>
          <w:tcPr>
            <w:tcW w:w="1229" w:type="pct"/>
            <w:shd w:val="clear" w:color="auto" w:fill="auto"/>
            <w:vAlign w:val="center"/>
          </w:tcPr>
          <w:p w14:paraId="04C3C350" w14:textId="77777777" w:rsidR="00302BFE" w:rsidRPr="00B43F59" w:rsidRDefault="00302BFE" w:rsidP="00243B15">
            <w:pPr>
              <w:pStyle w:val="Paragraphedeliste"/>
              <w:tabs>
                <w:tab w:val="left" w:pos="284"/>
              </w:tabs>
              <w:ind w:left="0"/>
              <w:rPr>
                <w:rFonts w:ascii="Calibri" w:hAnsi="Calibri"/>
                <w:sz w:val="18"/>
                <w:szCs w:val="18"/>
                <w:lang w:val="en-CA"/>
              </w:rPr>
            </w:pPr>
            <w:r w:rsidRPr="00B43F59">
              <w:rPr>
                <w:rFonts w:ascii="Calibri" w:hAnsi="Calibri"/>
                <w:sz w:val="18"/>
                <w:szCs w:val="18"/>
                <w:lang w:val="en-CA"/>
              </w:rPr>
              <w:t xml:space="preserve">Ensure that the partnership with a microfinance institution in the PONASI region does not discriminate against women </w:t>
            </w:r>
            <w:proofErr w:type="gramStart"/>
            <w:r w:rsidRPr="00B43F59">
              <w:rPr>
                <w:rFonts w:ascii="Calibri" w:hAnsi="Calibri"/>
                <w:sz w:val="18"/>
                <w:szCs w:val="18"/>
                <w:lang w:val="en-CA"/>
              </w:rPr>
              <w:t>in order to</w:t>
            </w:r>
            <w:proofErr w:type="gramEnd"/>
            <w:r w:rsidRPr="00B43F59">
              <w:rPr>
                <w:rFonts w:ascii="Calibri" w:hAnsi="Calibri"/>
                <w:sz w:val="18"/>
                <w:szCs w:val="18"/>
                <w:lang w:val="en-CA"/>
              </w:rPr>
              <w:t xml:space="preserve"> ensure that financial products </w:t>
            </w:r>
            <w:r w:rsidRPr="00B43F59">
              <w:rPr>
                <w:rFonts w:ascii="Calibri" w:hAnsi="Calibri"/>
                <w:sz w:val="18"/>
                <w:szCs w:val="18"/>
                <w:lang w:val="en-CA"/>
              </w:rPr>
              <w:lastRenderedPageBreak/>
              <w:t>and services are adapted to the needs of women in production units and processing enterprises (output 3.3.6)</w:t>
            </w:r>
          </w:p>
        </w:tc>
        <w:tc>
          <w:tcPr>
            <w:tcW w:w="1193" w:type="pct"/>
            <w:shd w:val="clear" w:color="auto" w:fill="auto"/>
            <w:vAlign w:val="center"/>
          </w:tcPr>
          <w:p w14:paraId="6528971F" w14:textId="77777777" w:rsidR="00302BFE" w:rsidRPr="00B43F59" w:rsidRDefault="00302BFE" w:rsidP="00243B15">
            <w:pPr>
              <w:pStyle w:val="Commentaire"/>
              <w:spacing w:after="0"/>
              <w:jc w:val="left"/>
              <w:rPr>
                <w:sz w:val="18"/>
                <w:szCs w:val="18"/>
                <w:lang w:val="en-CA"/>
              </w:rPr>
            </w:pPr>
            <w:r w:rsidRPr="00B43F59">
              <w:rPr>
                <w:sz w:val="18"/>
                <w:szCs w:val="18"/>
                <w:lang w:val="en-CA"/>
              </w:rPr>
              <w:lastRenderedPageBreak/>
              <w:t xml:space="preserve">Existence of a partnership with a microfinance institution offering innovative financial products and services tailored to </w:t>
            </w:r>
            <w:r w:rsidRPr="00B43F59">
              <w:rPr>
                <w:sz w:val="18"/>
                <w:szCs w:val="18"/>
                <w:lang w:val="en-CA"/>
              </w:rPr>
              <w:lastRenderedPageBreak/>
              <w:t>the needs of women in production units and processing enterprises</w:t>
            </w:r>
          </w:p>
        </w:tc>
        <w:tc>
          <w:tcPr>
            <w:tcW w:w="605" w:type="pct"/>
            <w:shd w:val="clear" w:color="auto" w:fill="auto"/>
            <w:vAlign w:val="center"/>
          </w:tcPr>
          <w:p w14:paraId="613A6FE7" w14:textId="77777777" w:rsidR="00302BFE" w:rsidRPr="00B43F59" w:rsidRDefault="00302BFE" w:rsidP="00243B15">
            <w:pPr>
              <w:spacing w:after="0"/>
              <w:jc w:val="left"/>
              <w:rPr>
                <w:sz w:val="18"/>
                <w:szCs w:val="18"/>
              </w:rPr>
            </w:pPr>
            <w:r w:rsidRPr="00B43F59">
              <w:rPr>
                <w:sz w:val="18"/>
                <w:szCs w:val="18"/>
              </w:rPr>
              <w:lastRenderedPageBreak/>
              <w:t>01</w:t>
            </w:r>
          </w:p>
        </w:tc>
        <w:tc>
          <w:tcPr>
            <w:tcW w:w="606" w:type="pct"/>
            <w:shd w:val="clear" w:color="auto" w:fill="auto"/>
            <w:vAlign w:val="center"/>
          </w:tcPr>
          <w:p w14:paraId="19E3E37C" w14:textId="77777777" w:rsidR="00302BFE" w:rsidRPr="00B43F59" w:rsidRDefault="00302BFE" w:rsidP="00243B15">
            <w:pPr>
              <w:spacing w:after="0"/>
              <w:jc w:val="left"/>
              <w:rPr>
                <w:sz w:val="18"/>
                <w:szCs w:val="18"/>
              </w:rPr>
            </w:pPr>
            <w:r w:rsidRPr="00B43F59">
              <w:rPr>
                <w:sz w:val="18"/>
                <w:szCs w:val="18"/>
              </w:rPr>
              <w:t>0</w:t>
            </w:r>
          </w:p>
        </w:tc>
        <w:tc>
          <w:tcPr>
            <w:tcW w:w="314" w:type="pct"/>
            <w:gridSpan w:val="2"/>
            <w:shd w:val="clear" w:color="auto" w:fill="auto"/>
            <w:vAlign w:val="center"/>
          </w:tcPr>
          <w:p w14:paraId="569ADB78" w14:textId="77777777" w:rsidR="00302BFE" w:rsidRPr="00B43F59" w:rsidRDefault="00302BFE" w:rsidP="00243B15">
            <w:pPr>
              <w:spacing w:after="0"/>
              <w:jc w:val="left"/>
              <w:rPr>
                <w:sz w:val="18"/>
                <w:szCs w:val="18"/>
              </w:rPr>
            </w:pPr>
            <w:r w:rsidRPr="00B43F59">
              <w:rPr>
                <w:sz w:val="18"/>
                <w:szCs w:val="18"/>
              </w:rPr>
              <w:t>Year 2</w:t>
            </w:r>
          </w:p>
        </w:tc>
        <w:tc>
          <w:tcPr>
            <w:tcW w:w="1047" w:type="pct"/>
            <w:shd w:val="clear" w:color="auto" w:fill="auto"/>
            <w:vAlign w:val="center"/>
          </w:tcPr>
          <w:p w14:paraId="0DE2791E" w14:textId="77777777" w:rsidR="00302BFE" w:rsidRPr="00B43F59" w:rsidRDefault="00302BFE" w:rsidP="00243B15">
            <w:pPr>
              <w:spacing w:after="0"/>
              <w:jc w:val="left"/>
              <w:rPr>
                <w:sz w:val="18"/>
                <w:szCs w:val="18"/>
                <w:lang w:val="en-CA"/>
              </w:rPr>
            </w:pPr>
            <w:r w:rsidRPr="00B43F59">
              <w:rPr>
                <w:sz w:val="18"/>
                <w:szCs w:val="18"/>
                <w:lang w:val="en-CA"/>
              </w:rPr>
              <w:t>Financial Expert</w:t>
            </w:r>
          </w:p>
          <w:p w14:paraId="444D244D" w14:textId="77777777" w:rsidR="00302BFE" w:rsidRPr="00B43F59" w:rsidRDefault="00302BFE" w:rsidP="00243B15">
            <w:pPr>
              <w:spacing w:after="0"/>
              <w:jc w:val="left"/>
              <w:rPr>
                <w:sz w:val="18"/>
                <w:szCs w:val="18"/>
                <w:lang w:val="en-CA"/>
              </w:rPr>
            </w:pPr>
            <w:r w:rsidRPr="00B43F59">
              <w:rPr>
                <w:sz w:val="18"/>
                <w:szCs w:val="18"/>
                <w:lang w:val="en-CA"/>
              </w:rPr>
              <w:t xml:space="preserve">Permanent Secretariat of the National Council for the Promotion of Gender </w:t>
            </w:r>
            <w:r w:rsidRPr="00B43F59">
              <w:rPr>
                <w:sz w:val="18"/>
                <w:szCs w:val="18"/>
                <w:lang w:val="en-CA" w:eastAsia="fr-CA"/>
              </w:rPr>
              <w:t xml:space="preserve">(SP/CONEP </w:t>
            </w:r>
            <w:r w:rsidRPr="00B43F59">
              <w:rPr>
                <w:sz w:val="18"/>
                <w:szCs w:val="18"/>
                <w:lang w:val="en-CA"/>
              </w:rPr>
              <w:t>gender</w:t>
            </w:r>
            <w:r w:rsidRPr="00B43F59">
              <w:rPr>
                <w:sz w:val="18"/>
                <w:szCs w:val="18"/>
                <w:lang w:val="en-CA" w:eastAsia="fr-CA"/>
              </w:rPr>
              <w:t>)</w:t>
            </w:r>
          </w:p>
        </w:tc>
      </w:tr>
      <w:tr w:rsidR="00302BFE" w:rsidRPr="00B43F59" w14:paraId="35641F43" w14:textId="77777777" w:rsidTr="00243B15">
        <w:trPr>
          <w:gridAfter w:val="1"/>
          <w:wAfter w:w="6" w:type="pct"/>
          <w:trHeight w:val="980"/>
          <w:jc w:val="center"/>
        </w:trPr>
        <w:tc>
          <w:tcPr>
            <w:tcW w:w="1229" w:type="pct"/>
            <w:shd w:val="clear" w:color="auto" w:fill="auto"/>
            <w:vAlign w:val="center"/>
          </w:tcPr>
          <w:p w14:paraId="03D361BC" w14:textId="77777777" w:rsidR="00302BFE" w:rsidRPr="00B43F59" w:rsidRDefault="00302BFE" w:rsidP="00243B15">
            <w:pPr>
              <w:spacing w:after="0"/>
              <w:jc w:val="left"/>
              <w:rPr>
                <w:sz w:val="18"/>
                <w:szCs w:val="18"/>
              </w:rPr>
            </w:pPr>
            <w:r w:rsidRPr="00B43F59">
              <w:rPr>
                <w:sz w:val="18"/>
                <w:szCs w:val="18"/>
              </w:rPr>
              <w:t>Provide training to men and women in microcredit and microenterprise development (output 3.3.4)</w:t>
            </w:r>
          </w:p>
        </w:tc>
        <w:tc>
          <w:tcPr>
            <w:tcW w:w="1193" w:type="pct"/>
            <w:shd w:val="clear" w:color="auto" w:fill="auto"/>
            <w:vAlign w:val="center"/>
          </w:tcPr>
          <w:p w14:paraId="5F592829" w14:textId="77777777" w:rsidR="00302BFE" w:rsidRPr="00B43F59" w:rsidRDefault="00302BFE" w:rsidP="00243B15">
            <w:pPr>
              <w:spacing w:after="0"/>
              <w:jc w:val="left"/>
              <w:rPr>
                <w:sz w:val="18"/>
                <w:szCs w:val="18"/>
              </w:rPr>
            </w:pPr>
            <w:r w:rsidRPr="00B43F59">
              <w:rPr>
                <w:sz w:val="18"/>
                <w:szCs w:val="18"/>
              </w:rPr>
              <w:t>Percent of women benefiting from training</w:t>
            </w:r>
          </w:p>
        </w:tc>
        <w:tc>
          <w:tcPr>
            <w:tcW w:w="605" w:type="pct"/>
            <w:shd w:val="clear" w:color="auto" w:fill="auto"/>
            <w:vAlign w:val="center"/>
          </w:tcPr>
          <w:p w14:paraId="7A6695F1" w14:textId="77777777" w:rsidR="00302BFE" w:rsidRPr="00B43F59" w:rsidRDefault="00302BFE" w:rsidP="00243B15">
            <w:pPr>
              <w:spacing w:after="0"/>
              <w:jc w:val="left"/>
              <w:rPr>
                <w:sz w:val="18"/>
                <w:szCs w:val="18"/>
                <w:lang w:val="en-CA"/>
              </w:rPr>
            </w:pPr>
            <w:r w:rsidRPr="00B43F59">
              <w:rPr>
                <w:bCs/>
                <w:sz w:val="18"/>
                <w:szCs w:val="18"/>
                <w:lang w:val="en-CA"/>
              </w:rPr>
              <w:t>75% of beneficiaries of trainings in microcredit and microenterprise development are women</w:t>
            </w:r>
          </w:p>
        </w:tc>
        <w:tc>
          <w:tcPr>
            <w:tcW w:w="606" w:type="pct"/>
            <w:shd w:val="clear" w:color="auto" w:fill="auto"/>
            <w:vAlign w:val="center"/>
          </w:tcPr>
          <w:p w14:paraId="4C9331B7" w14:textId="77777777" w:rsidR="00302BFE" w:rsidRPr="00B43F59" w:rsidRDefault="00302BFE" w:rsidP="00243B15">
            <w:pPr>
              <w:spacing w:after="0"/>
              <w:jc w:val="left"/>
              <w:rPr>
                <w:sz w:val="18"/>
                <w:szCs w:val="18"/>
              </w:rPr>
            </w:pPr>
            <w:r w:rsidRPr="00B43F59">
              <w:rPr>
                <w:sz w:val="18"/>
                <w:szCs w:val="18"/>
              </w:rPr>
              <w:t>Training not started</w:t>
            </w:r>
          </w:p>
        </w:tc>
        <w:tc>
          <w:tcPr>
            <w:tcW w:w="314" w:type="pct"/>
            <w:gridSpan w:val="2"/>
            <w:shd w:val="clear" w:color="auto" w:fill="auto"/>
            <w:vAlign w:val="center"/>
          </w:tcPr>
          <w:p w14:paraId="45E71A5D" w14:textId="77777777" w:rsidR="00302BFE" w:rsidRPr="00B43F59" w:rsidRDefault="00302BFE" w:rsidP="00243B15">
            <w:pPr>
              <w:spacing w:after="0"/>
              <w:jc w:val="left"/>
              <w:rPr>
                <w:sz w:val="18"/>
                <w:szCs w:val="18"/>
              </w:rPr>
            </w:pPr>
            <w:r w:rsidRPr="00B43F59">
              <w:rPr>
                <w:sz w:val="18"/>
                <w:szCs w:val="18"/>
              </w:rPr>
              <w:t>Years 1 to 3</w:t>
            </w:r>
          </w:p>
        </w:tc>
        <w:tc>
          <w:tcPr>
            <w:tcW w:w="1047" w:type="pct"/>
            <w:shd w:val="clear" w:color="auto" w:fill="auto"/>
            <w:vAlign w:val="center"/>
          </w:tcPr>
          <w:p w14:paraId="4DEB364E" w14:textId="77777777" w:rsidR="00302BFE" w:rsidRPr="00B43F59" w:rsidRDefault="00302BFE" w:rsidP="00243B15">
            <w:pPr>
              <w:spacing w:after="0"/>
              <w:jc w:val="left"/>
              <w:rPr>
                <w:sz w:val="18"/>
                <w:szCs w:val="18"/>
              </w:rPr>
            </w:pPr>
            <w:r w:rsidRPr="00B43F59">
              <w:rPr>
                <w:sz w:val="18"/>
                <w:szCs w:val="18"/>
              </w:rPr>
              <w:t xml:space="preserve">Company providing training services with support from project </w:t>
            </w:r>
          </w:p>
          <w:p w14:paraId="538F23FA" w14:textId="77777777" w:rsidR="00302BFE" w:rsidRPr="00B43F59" w:rsidRDefault="00302BFE" w:rsidP="00243B15">
            <w:pPr>
              <w:spacing w:after="0"/>
              <w:jc w:val="left"/>
              <w:rPr>
                <w:sz w:val="18"/>
                <w:szCs w:val="18"/>
              </w:rPr>
            </w:pPr>
            <w:r w:rsidRPr="00B43F59">
              <w:rPr>
                <w:sz w:val="18"/>
                <w:szCs w:val="18"/>
              </w:rPr>
              <w:t>Gender Expert</w:t>
            </w:r>
          </w:p>
        </w:tc>
      </w:tr>
      <w:tr w:rsidR="00302BFE" w:rsidRPr="00B43F59" w14:paraId="27084225" w14:textId="77777777" w:rsidTr="00243B15">
        <w:trPr>
          <w:gridAfter w:val="1"/>
          <w:wAfter w:w="6" w:type="pct"/>
          <w:trHeight w:val="692"/>
          <w:jc w:val="center"/>
        </w:trPr>
        <w:tc>
          <w:tcPr>
            <w:tcW w:w="1229" w:type="pct"/>
            <w:shd w:val="clear" w:color="auto" w:fill="auto"/>
            <w:vAlign w:val="center"/>
          </w:tcPr>
          <w:p w14:paraId="5D102754" w14:textId="77777777" w:rsidR="00302BFE" w:rsidRPr="00B43F59" w:rsidRDefault="00302BFE" w:rsidP="00243B15">
            <w:pPr>
              <w:spacing w:after="0"/>
              <w:jc w:val="left"/>
              <w:rPr>
                <w:sz w:val="18"/>
                <w:szCs w:val="18"/>
                <w:lang w:val="en-CA"/>
              </w:rPr>
            </w:pPr>
            <w:r w:rsidRPr="00B43F59">
              <w:rPr>
                <w:sz w:val="18"/>
                <w:szCs w:val="18"/>
                <w:lang w:val="en-CA"/>
              </w:rPr>
              <w:t xml:space="preserve">Support the implementation of a gender-sensitive communication strategy related to the marketing of the various products of </w:t>
            </w:r>
            <w:proofErr w:type="spellStart"/>
            <w:r w:rsidRPr="00B43F59">
              <w:rPr>
                <w:sz w:val="18"/>
                <w:szCs w:val="18"/>
                <w:lang w:val="en-CA"/>
              </w:rPr>
              <w:t>goine</w:t>
            </w:r>
            <w:proofErr w:type="spellEnd"/>
            <w:r w:rsidRPr="00B43F59">
              <w:rPr>
                <w:sz w:val="18"/>
                <w:szCs w:val="18"/>
                <w:lang w:val="en-CA"/>
              </w:rPr>
              <w:t xml:space="preserve"> liana juice, quality honey, shea butter and support the participation of cooperatives in fairs and other national events promoting </w:t>
            </w:r>
            <w:r w:rsidRPr="00896B92">
              <w:rPr>
                <w:szCs w:val="20"/>
                <w:lang w:val="en-GB"/>
              </w:rPr>
              <w:t>NTFP</w:t>
            </w:r>
            <w:r w:rsidRPr="00B43F59">
              <w:rPr>
                <w:sz w:val="18"/>
                <w:szCs w:val="18"/>
                <w:lang w:val="en-CA"/>
              </w:rPr>
              <w:t xml:space="preserve"> (output 3.3.4)</w:t>
            </w:r>
          </w:p>
        </w:tc>
        <w:tc>
          <w:tcPr>
            <w:tcW w:w="1193" w:type="pct"/>
            <w:shd w:val="clear" w:color="auto" w:fill="auto"/>
            <w:vAlign w:val="center"/>
          </w:tcPr>
          <w:p w14:paraId="4FC1A120" w14:textId="77777777" w:rsidR="00302BFE" w:rsidRPr="00B43F59" w:rsidRDefault="00302BFE" w:rsidP="00243B15">
            <w:pPr>
              <w:pStyle w:val="Commentaire"/>
              <w:spacing w:after="0"/>
              <w:jc w:val="left"/>
              <w:rPr>
                <w:sz w:val="18"/>
                <w:szCs w:val="18"/>
                <w:lang w:val="en-CA"/>
              </w:rPr>
            </w:pPr>
            <w:r w:rsidRPr="00B43F59">
              <w:rPr>
                <w:sz w:val="18"/>
                <w:szCs w:val="18"/>
                <w:lang w:val="en-CA"/>
              </w:rPr>
              <w:t xml:space="preserve">Existence of a gender-sensitive communication strategy in connection with the marketing of the different products of </w:t>
            </w:r>
            <w:proofErr w:type="spellStart"/>
            <w:r w:rsidRPr="00B43F59">
              <w:rPr>
                <w:sz w:val="18"/>
                <w:szCs w:val="18"/>
                <w:lang w:val="en-CA"/>
              </w:rPr>
              <w:t>goine</w:t>
            </w:r>
            <w:proofErr w:type="spellEnd"/>
            <w:r w:rsidRPr="00B43F59">
              <w:rPr>
                <w:sz w:val="18"/>
                <w:szCs w:val="18"/>
                <w:lang w:val="en-CA"/>
              </w:rPr>
              <w:t xml:space="preserve"> liana juice, quality honey, shea butter, which highlights the participation of women in these sectors</w:t>
            </w:r>
          </w:p>
          <w:p w14:paraId="524F19C6" w14:textId="77777777" w:rsidR="00302BFE" w:rsidRPr="00B43F59" w:rsidRDefault="00302BFE" w:rsidP="00243B15">
            <w:pPr>
              <w:pStyle w:val="Commentaire"/>
              <w:spacing w:after="0"/>
              <w:jc w:val="left"/>
              <w:rPr>
                <w:sz w:val="18"/>
                <w:szCs w:val="18"/>
                <w:lang w:val="en-CA"/>
              </w:rPr>
            </w:pPr>
          </w:p>
          <w:p w14:paraId="3F9C8FE8" w14:textId="77777777" w:rsidR="00302BFE" w:rsidRPr="00B43F59" w:rsidRDefault="00302BFE" w:rsidP="00243B15">
            <w:pPr>
              <w:pStyle w:val="Commentaire"/>
              <w:spacing w:after="0"/>
              <w:jc w:val="left"/>
              <w:rPr>
                <w:sz w:val="18"/>
                <w:szCs w:val="18"/>
                <w:lang w:val="en-CA"/>
              </w:rPr>
            </w:pPr>
            <w:r w:rsidRPr="00B43F59">
              <w:rPr>
                <w:sz w:val="18"/>
                <w:szCs w:val="18"/>
                <w:lang w:val="en-CA"/>
              </w:rPr>
              <w:t xml:space="preserve">Number of women's cooperatives participating in fairs and other national events promoting </w:t>
            </w:r>
            <w:r w:rsidRPr="00896B92">
              <w:rPr>
                <w:lang w:val="en-GB"/>
              </w:rPr>
              <w:t>NTFP</w:t>
            </w:r>
            <w:r w:rsidRPr="00B43F59">
              <w:rPr>
                <w:sz w:val="18"/>
                <w:szCs w:val="18"/>
                <w:lang w:val="en-CA"/>
              </w:rPr>
              <w:t xml:space="preserve"> s</w:t>
            </w:r>
          </w:p>
        </w:tc>
        <w:tc>
          <w:tcPr>
            <w:tcW w:w="605" w:type="pct"/>
            <w:shd w:val="clear" w:color="auto" w:fill="auto"/>
            <w:vAlign w:val="center"/>
          </w:tcPr>
          <w:p w14:paraId="74497BFD" w14:textId="77777777" w:rsidR="00302BFE" w:rsidRPr="00B43F59" w:rsidRDefault="00302BFE" w:rsidP="00243B15">
            <w:pPr>
              <w:spacing w:after="0"/>
              <w:jc w:val="left"/>
              <w:rPr>
                <w:sz w:val="18"/>
                <w:szCs w:val="18"/>
              </w:rPr>
            </w:pPr>
            <w:r w:rsidRPr="00B43F59">
              <w:rPr>
                <w:sz w:val="18"/>
                <w:szCs w:val="18"/>
              </w:rPr>
              <w:t>One study</w:t>
            </w:r>
          </w:p>
          <w:p w14:paraId="42268867" w14:textId="77777777" w:rsidR="00302BFE" w:rsidRPr="00B43F59" w:rsidRDefault="00302BFE" w:rsidP="00243B15">
            <w:pPr>
              <w:spacing w:after="0"/>
              <w:jc w:val="left"/>
              <w:rPr>
                <w:sz w:val="18"/>
                <w:szCs w:val="18"/>
              </w:rPr>
            </w:pPr>
          </w:p>
          <w:p w14:paraId="5B4BBC0C" w14:textId="77777777" w:rsidR="00302BFE" w:rsidRPr="00B43F59" w:rsidRDefault="00302BFE" w:rsidP="00243B15">
            <w:pPr>
              <w:spacing w:after="0"/>
              <w:jc w:val="left"/>
              <w:rPr>
                <w:sz w:val="18"/>
                <w:szCs w:val="18"/>
              </w:rPr>
            </w:pPr>
          </w:p>
          <w:p w14:paraId="0379F008" w14:textId="77777777" w:rsidR="00302BFE" w:rsidRPr="00B43F59" w:rsidRDefault="00302BFE" w:rsidP="00243B15">
            <w:pPr>
              <w:spacing w:after="0"/>
              <w:jc w:val="left"/>
              <w:rPr>
                <w:sz w:val="18"/>
                <w:szCs w:val="18"/>
              </w:rPr>
            </w:pPr>
          </w:p>
          <w:p w14:paraId="77FA03F2" w14:textId="77777777" w:rsidR="00302BFE" w:rsidRPr="00B43F59" w:rsidRDefault="00302BFE" w:rsidP="00243B15">
            <w:pPr>
              <w:spacing w:after="0"/>
              <w:jc w:val="left"/>
              <w:rPr>
                <w:sz w:val="18"/>
                <w:szCs w:val="18"/>
              </w:rPr>
            </w:pPr>
          </w:p>
          <w:p w14:paraId="4D765F16" w14:textId="77777777" w:rsidR="00302BFE" w:rsidRPr="00B43F59" w:rsidRDefault="00302BFE" w:rsidP="00243B15">
            <w:pPr>
              <w:spacing w:after="0"/>
              <w:jc w:val="left"/>
              <w:rPr>
                <w:sz w:val="18"/>
                <w:szCs w:val="18"/>
              </w:rPr>
            </w:pPr>
            <w:r w:rsidRPr="00B43F59">
              <w:rPr>
                <w:sz w:val="18"/>
                <w:szCs w:val="18"/>
              </w:rPr>
              <w:t>04</w:t>
            </w:r>
          </w:p>
        </w:tc>
        <w:tc>
          <w:tcPr>
            <w:tcW w:w="606" w:type="pct"/>
            <w:shd w:val="clear" w:color="auto" w:fill="auto"/>
            <w:vAlign w:val="center"/>
          </w:tcPr>
          <w:p w14:paraId="512AB8B7" w14:textId="77777777" w:rsidR="00302BFE" w:rsidRPr="00B43F59" w:rsidRDefault="00302BFE" w:rsidP="00243B15">
            <w:pPr>
              <w:spacing w:after="0"/>
              <w:jc w:val="left"/>
              <w:rPr>
                <w:sz w:val="18"/>
                <w:szCs w:val="18"/>
              </w:rPr>
            </w:pPr>
            <w:r w:rsidRPr="00B43F59">
              <w:rPr>
                <w:sz w:val="18"/>
                <w:szCs w:val="18"/>
              </w:rPr>
              <w:t>0</w:t>
            </w:r>
          </w:p>
          <w:p w14:paraId="6EFD29A2" w14:textId="77777777" w:rsidR="00302BFE" w:rsidRPr="00B43F59" w:rsidRDefault="00302BFE" w:rsidP="00243B15">
            <w:pPr>
              <w:spacing w:after="0"/>
              <w:jc w:val="left"/>
              <w:rPr>
                <w:sz w:val="18"/>
                <w:szCs w:val="18"/>
              </w:rPr>
            </w:pPr>
          </w:p>
          <w:p w14:paraId="01330DF0" w14:textId="77777777" w:rsidR="00302BFE" w:rsidRPr="00B43F59" w:rsidRDefault="00302BFE" w:rsidP="00243B15">
            <w:pPr>
              <w:spacing w:after="0"/>
              <w:jc w:val="left"/>
              <w:rPr>
                <w:sz w:val="18"/>
                <w:szCs w:val="18"/>
              </w:rPr>
            </w:pPr>
          </w:p>
        </w:tc>
        <w:tc>
          <w:tcPr>
            <w:tcW w:w="314" w:type="pct"/>
            <w:gridSpan w:val="2"/>
            <w:shd w:val="clear" w:color="auto" w:fill="auto"/>
            <w:vAlign w:val="center"/>
          </w:tcPr>
          <w:p w14:paraId="1EAA5AD3" w14:textId="77777777" w:rsidR="00302BFE" w:rsidRPr="00B43F59" w:rsidRDefault="00302BFE" w:rsidP="00243B15">
            <w:pPr>
              <w:spacing w:after="0"/>
              <w:jc w:val="left"/>
              <w:rPr>
                <w:sz w:val="18"/>
                <w:szCs w:val="18"/>
              </w:rPr>
            </w:pPr>
            <w:r w:rsidRPr="00B43F59">
              <w:rPr>
                <w:sz w:val="18"/>
                <w:szCs w:val="18"/>
              </w:rPr>
              <w:t>Year 4</w:t>
            </w:r>
          </w:p>
        </w:tc>
        <w:tc>
          <w:tcPr>
            <w:tcW w:w="1047" w:type="pct"/>
            <w:shd w:val="clear" w:color="auto" w:fill="auto"/>
            <w:vAlign w:val="center"/>
          </w:tcPr>
          <w:p w14:paraId="086B11B2" w14:textId="77777777" w:rsidR="00302BFE" w:rsidRPr="00B43F59" w:rsidRDefault="00302BFE" w:rsidP="00243B15">
            <w:pPr>
              <w:contextualSpacing/>
              <w:rPr>
                <w:sz w:val="18"/>
                <w:szCs w:val="18"/>
                <w:lang w:val="en-CA" w:eastAsia="fr-CA"/>
              </w:rPr>
            </w:pPr>
            <w:r w:rsidRPr="00B43F59">
              <w:rPr>
                <w:sz w:val="18"/>
                <w:szCs w:val="18"/>
                <w:lang w:val="en-CA" w:eastAsia="fr-CA"/>
              </w:rPr>
              <w:t xml:space="preserve">Expert </w:t>
            </w:r>
            <w:r w:rsidRPr="00B43F59">
              <w:rPr>
                <w:sz w:val="18"/>
                <w:szCs w:val="18"/>
                <w:lang w:val="en-CA"/>
              </w:rPr>
              <w:t>in marketing of forest products</w:t>
            </w:r>
          </w:p>
          <w:p w14:paraId="0E928BC2" w14:textId="77777777" w:rsidR="00302BFE" w:rsidRPr="00B43F59" w:rsidRDefault="00302BFE" w:rsidP="00243B15">
            <w:pPr>
              <w:contextualSpacing/>
              <w:rPr>
                <w:sz w:val="18"/>
                <w:szCs w:val="18"/>
                <w:lang w:val="en-CA" w:eastAsia="fr-CA"/>
              </w:rPr>
            </w:pPr>
            <w:r w:rsidRPr="00B43F59">
              <w:rPr>
                <w:sz w:val="18"/>
                <w:szCs w:val="18"/>
                <w:lang w:val="en-CA"/>
              </w:rPr>
              <w:t xml:space="preserve">Permanent Secretariat of the National Council for the Promotion of Gender </w:t>
            </w:r>
            <w:r w:rsidRPr="00B43F59">
              <w:rPr>
                <w:sz w:val="18"/>
                <w:szCs w:val="18"/>
                <w:lang w:val="en-CA" w:eastAsia="fr-CA"/>
              </w:rPr>
              <w:t xml:space="preserve">(SP/CONEP </w:t>
            </w:r>
            <w:r w:rsidRPr="00B43F59">
              <w:rPr>
                <w:sz w:val="18"/>
                <w:szCs w:val="18"/>
                <w:lang w:val="en-CA"/>
              </w:rPr>
              <w:t>gender</w:t>
            </w:r>
            <w:r w:rsidRPr="00B43F59">
              <w:rPr>
                <w:sz w:val="18"/>
                <w:szCs w:val="18"/>
                <w:lang w:val="en-CA" w:eastAsia="fr-CA"/>
              </w:rPr>
              <w:t>)</w:t>
            </w:r>
          </w:p>
        </w:tc>
      </w:tr>
      <w:tr w:rsidR="00302BFE" w:rsidRPr="00B43F59" w14:paraId="37DE802A" w14:textId="77777777" w:rsidTr="00243B15">
        <w:trPr>
          <w:gridAfter w:val="1"/>
          <w:wAfter w:w="6" w:type="pct"/>
          <w:trHeight w:val="151"/>
          <w:jc w:val="center"/>
        </w:trPr>
        <w:tc>
          <w:tcPr>
            <w:tcW w:w="1229" w:type="pct"/>
            <w:shd w:val="clear" w:color="auto" w:fill="auto"/>
            <w:vAlign w:val="center"/>
          </w:tcPr>
          <w:p w14:paraId="02DE4B2B" w14:textId="77777777" w:rsidR="00302BFE" w:rsidRPr="00B43F59" w:rsidRDefault="00302BFE" w:rsidP="00243B15">
            <w:pPr>
              <w:spacing w:after="0"/>
              <w:jc w:val="left"/>
              <w:rPr>
                <w:sz w:val="18"/>
                <w:szCs w:val="18"/>
              </w:rPr>
            </w:pPr>
            <w:r w:rsidRPr="00B43F59">
              <w:rPr>
                <w:sz w:val="18"/>
                <w:szCs w:val="18"/>
              </w:rPr>
              <w:t>Conduct a market analysis and develop an action plan to ensure that women have access to incentives to promote sustainable forestry practices, including collection of NTFP (output 3.3.7)</w:t>
            </w:r>
          </w:p>
        </w:tc>
        <w:tc>
          <w:tcPr>
            <w:tcW w:w="1193" w:type="pct"/>
            <w:shd w:val="clear" w:color="auto" w:fill="auto"/>
            <w:vAlign w:val="center"/>
          </w:tcPr>
          <w:p w14:paraId="24F6518E" w14:textId="77777777" w:rsidR="00302BFE" w:rsidRPr="00B43F59" w:rsidRDefault="00302BFE" w:rsidP="00243B15">
            <w:pPr>
              <w:pStyle w:val="Commentaire"/>
              <w:spacing w:after="0"/>
              <w:jc w:val="left"/>
              <w:rPr>
                <w:sz w:val="18"/>
                <w:szCs w:val="18"/>
              </w:rPr>
            </w:pPr>
            <w:r w:rsidRPr="00B43F59">
              <w:rPr>
                <w:sz w:val="18"/>
                <w:szCs w:val="18"/>
              </w:rPr>
              <w:t>Proportion of women with access to microcredit, and markets</w:t>
            </w:r>
          </w:p>
          <w:p w14:paraId="18A374C4" w14:textId="77777777" w:rsidR="00302BFE" w:rsidRPr="00B43F59" w:rsidRDefault="00302BFE" w:rsidP="00243B15">
            <w:pPr>
              <w:spacing w:after="0"/>
              <w:jc w:val="left"/>
              <w:rPr>
                <w:sz w:val="18"/>
                <w:szCs w:val="18"/>
              </w:rPr>
            </w:pPr>
          </w:p>
        </w:tc>
        <w:tc>
          <w:tcPr>
            <w:tcW w:w="605" w:type="pct"/>
            <w:shd w:val="clear" w:color="auto" w:fill="auto"/>
            <w:vAlign w:val="center"/>
          </w:tcPr>
          <w:p w14:paraId="51C35091" w14:textId="77777777" w:rsidR="00302BFE" w:rsidRPr="00B43F59" w:rsidRDefault="00302BFE" w:rsidP="00243B15">
            <w:pPr>
              <w:spacing w:after="0"/>
              <w:jc w:val="left"/>
              <w:rPr>
                <w:sz w:val="18"/>
                <w:szCs w:val="18"/>
              </w:rPr>
            </w:pPr>
            <w:r w:rsidRPr="00B43F59">
              <w:rPr>
                <w:sz w:val="18"/>
                <w:szCs w:val="18"/>
              </w:rPr>
              <w:t>Minimum of 40% of beneficiaries of incentives and access to markets to promote NTFP, and conservation-oriented agriculture practices are women</w:t>
            </w:r>
          </w:p>
        </w:tc>
        <w:tc>
          <w:tcPr>
            <w:tcW w:w="606" w:type="pct"/>
            <w:shd w:val="clear" w:color="auto" w:fill="auto"/>
            <w:vAlign w:val="center"/>
          </w:tcPr>
          <w:p w14:paraId="4CF6A633" w14:textId="77777777" w:rsidR="00302BFE" w:rsidRPr="00B43F59" w:rsidRDefault="00302BFE" w:rsidP="00243B15">
            <w:pPr>
              <w:spacing w:after="0"/>
              <w:jc w:val="left"/>
              <w:rPr>
                <w:sz w:val="18"/>
                <w:szCs w:val="18"/>
              </w:rPr>
            </w:pPr>
            <w:r w:rsidRPr="00B43F59">
              <w:rPr>
                <w:sz w:val="18"/>
                <w:szCs w:val="18"/>
              </w:rPr>
              <w:t xml:space="preserve">Access to incentives and markets for NTFP </w:t>
            </w:r>
            <w:proofErr w:type="gramStart"/>
            <w:r w:rsidRPr="00B43F59">
              <w:rPr>
                <w:sz w:val="18"/>
                <w:szCs w:val="18"/>
              </w:rPr>
              <w:t>as a result of</w:t>
            </w:r>
            <w:proofErr w:type="gramEnd"/>
            <w:r w:rsidRPr="00B43F59">
              <w:rPr>
                <w:sz w:val="18"/>
                <w:szCs w:val="18"/>
              </w:rPr>
              <w:t xml:space="preserve"> the project yet to commence</w:t>
            </w:r>
          </w:p>
        </w:tc>
        <w:tc>
          <w:tcPr>
            <w:tcW w:w="314" w:type="pct"/>
            <w:gridSpan w:val="2"/>
            <w:shd w:val="clear" w:color="auto" w:fill="auto"/>
            <w:vAlign w:val="center"/>
          </w:tcPr>
          <w:p w14:paraId="2D52DAAE" w14:textId="77777777" w:rsidR="00302BFE" w:rsidRPr="00B43F59" w:rsidRDefault="00302BFE" w:rsidP="00243B15">
            <w:pPr>
              <w:spacing w:after="0"/>
              <w:jc w:val="left"/>
              <w:rPr>
                <w:sz w:val="18"/>
                <w:szCs w:val="18"/>
              </w:rPr>
            </w:pPr>
            <w:r w:rsidRPr="00B43F59">
              <w:rPr>
                <w:sz w:val="18"/>
                <w:szCs w:val="18"/>
              </w:rPr>
              <w:t>Years 2 to 4</w:t>
            </w:r>
          </w:p>
        </w:tc>
        <w:tc>
          <w:tcPr>
            <w:tcW w:w="1047" w:type="pct"/>
            <w:shd w:val="clear" w:color="auto" w:fill="auto"/>
            <w:vAlign w:val="center"/>
          </w:tcPr>
          <w:p w14:paraId="5E9C0B1E" w14:textId="77777777" w:rsidR="00302BFE" w:rsidRPr="00B43F59" w:rsidRDefault="00302BFE" w:rsidP="00243B15">
            <w:pPr>
              <w:spacing w:after="0"/>
              <w:jc w:val="left"/>
              <w:rPr>
                <w:sz w:val="18"/>
                <w:szCs w:val="18"/>
              </w:rPr>
            </w:pPr>
            <w:r w:rsidRPr="00B43F59">
              <w:rPr>
                <w:sz w:val="18"/>
                <w:szCs w:val="18"/>
              </w:rPr>
              <w:t>Company providing certification-related services</w:t>
            </w:r>
          </w:p>
          <w:p w14:paraId="236369CC" w14:textId="77777777" w:rsidR="00302BFE" w:rsidRPr="00B43F59" w:rsidRDefault="00302BFE" w:rsidP="00243B15">
            <w:pPr>
              <w:spacing w:after="0"/>
              <w:jc w:val="left"/>
              <w:rPr>
                <w:sz w:val="18"/>
                <w:szCs w:val="18"/>
              </w:rPr>
            </w:pPr>
            <w:r w:rsidRPr="00B43F59">
              <w:rPr>
                <w:sz w:val="18"/>
                <w:szCs w:val="18"/>
              </w:rPr>
              <w:t>Financial Expert</w:t>
            </w:r>
          </w:p>
        </w:tc>
      </w:tr>
      <w:tr w:rsidR="00302BFE" w:rsidRPr="00B43F59" w14:paraId="2A89FCD0" w14:textId="77777777" w:rsidTr="00243B15">
        <w:trPr>
          <w:gridAfter w:val="1"/>
          <w:wAfter w:w="6" w:type="pct"/>
          <w:trHeight w:val="980"/>
          <w:jc w:val="center"/>
        </w:trPr>
        <w:tc>
          <w:tcPr>
            <w:tcW w:w="1229" w:type="pct"/>
            <w:shd w:val="clear" w:color="auto" w:fill="auto"/>
            <w:vAlign w:val="center"/>
          </w:tcPr>
          <w:p w14:paraId="6DE7A8EA" w14:textId="77777777" w:rsidR="00302BFE" w:rsidRPr="00B43F59" w:rsidRDefault="00302BFE" w:rsidP="00243B15">
            <w:pPr>
              <w:spacing w:after="0"/>
              <w:jc w:val="left"/>
              <w:rPr>
                <w:sz w:val="18"/>
                <w:szCs w:val="18"/>
              </w:rPr>
            </w:pPr>
            <w:r w:rsidRPr="00B43F59">
              <w:rPr>
                <w:sz w:val="18"/>
                <w:szCs w:val="18"/>
              </w:rPr>
              <w:t>Provide training to men and women in microcredit and microenterprise development (output 3.3.4)</w:t>
            </w:r>
          </w:p>
        </w:tc>
        <w:tc>
          <w:tcPr>
            <w:tcW w:w="1193" w:type="pct"/>
            <w:shd w:val="clear" w:color="auto" w:fill="auto"/>
            <w:vAlign w:val="center"/>
          </w:tcPr>
          <w:p w14:paraId="6B481B28" w14:textId="77777777" w:rsidR="00302BFE" w:rsidRPr="00B43F59" w:rsidRDefault="00302BFE" w:rsidP="00243B15">
            <w:pPr>
              <w:spacing w:after="0"/>
              <w:jc w:val="left"/>
              <w:rPr>
                <w:sz w:val="18"/>
                <w:szCs w:val="18"/>
              </w:rPr>
            </w:pPr>
            <w:r w:rsidRPr="00B43F59">
              <w:rPr>
                <w:sz w:val="18"/>
                <w:szCs w:val="18"/>
              </w:rPr>
              <w:t>Percent of women benefiting from training</w:t>
            </w:r>
          </w:p>
        </w:tc>
        <w:tc>
          <w:tcPr>
            <w:tcW w:w="605" w:type="pct"/>
            <w:shd w:val="clear" w:color="auto" w:fill="auto"/>
            <w:vAlign w:val="center"/>
          </w:tcPr>
          <w:p w14:paraId="4846BB00" w14:textId="77777777" w:rsidR="00302BFE" w:rsidRPr="00B43F59" w:rsidRDefault="00302BFE" w:rsidP="00243B15">
            <w:pPr>
              <w:spacing w:after="0"/>
              <w:jc w:val="left"/>
              <w:rPr>
                <w:sz w:val="18"/>
                <w:szCs w:val="18"/>
                <w:lang w:val="en-CA"/>
              </w:rPr>
            </w:pPr>
            <w:r w:rsidRPr="00B43F59">
              <w:rPr>
                <w:bCs/>
                <w:sz w:val="18"/>
                <w:szCs w:val="18"/>
                <w:lang w:val="en-CA"/>
              </w:rPr>
              <w:t>At least 75% of beneficiaries of trainings in microcredit and microenterprise development are women</w:t>
            </w:r>
          </w:p>
        </w:tc>
        <w:tc>
          <w:tcPr>
            <w:tcW w:w="606" w:type="pct"/>
            <w:shd w:val="clear" w:color="auto" w:fill="auto"/>
            <w:vAlign w:val="center"/>
          </w:tcPr>
          <w:p w14:paraId="5C80D760" w14:textId="77777777" w:rsidR="00302BFE" w:rsidRPr="00B43F59" w:rsidRDefault="00302BFE" w:rsidP="00243B15">
            <w:pPr>
              <w:spacing w:after="0"/>
              <w:jc w:val="left"/>
              <w:rPr>
                <w:sz w:val="18"/>
                <w:szCs w:val="18"/>
              </w:rPr>
            </w:pPr>
            <w:r w:rsidRPr="00B43F59">
              <w:rPr>
                <w:sz w:val="18"/>
                <w:szCs w:val="18"/>
              </w:rPr>
              <w:t>Training not started</w:t>
            </w:r>
          </w:p>
        </w:tc>
        <w:tc>
          <w:tcPr>
            <w:tcW w:w="314" w:type="pct"/>
            <w:gridSpan w:val="2"/>
            <w:shd w:val="clear" w:color="auto" w:fill="auto"/>
            <w:vAlign w:val="center"/>
          </w:tcPr>
          <w:p w14:paraId="55D358B0" w14:textId="77777777" w:rsidR="00302BFE" w:rsidRPr="00B43F59" w:rsidRDefault="00302BFE" w:rsidP="00243B15">
            <w:pPr>
              <w:spacing w:after="0"/>
              <w:jc w:val="left"/>
              <w:rPr>
                <w:sz w:val="18"/>
                <w:szCs w:val="18"/>
              </w:rPr>
            </w:pPr>
            <w:r w:rsidRPr="00B43F59">
              <w:rPr>
                <w:sz w:val="18"/>
                <w:szCs w:val="18"/>
              </w:rPr>
              <w:t>Years 1 to 3</w:t>
            </w:r>
          </w:p>
        </w:tc>
        <w:tc>
          <w:tcPr>
            <w:tcW w:w="1047" w:type="pct"/>
            <w:shd w:val="clear" w:color="auto" w:fill="auto"/>
            <w:vAlign w:val="center"/>
          </w:tcPr>
          <w:p w14:paraId="27FE3779" w14:textId="77777777" w:rsidR="00302BFE" w:rsidRPr="00B43F59" w:rsidRDefault="00302BFE" w:rsidP="00243B15">
            <w:pPr>
              <w:spacing w:after="0"/>
              <w:jc w:val="left"/>
              <w:rPr>
                <w:sz w:val="18"/>
                <w:szCs w:val="18"/>
              </w:rPr>
            </w:pPr>
            <w:r w:rsidRPr="00B43F59">
              <w:rPr>
                <w:sz w:val="18"/>
                <w:szCs w:val="18"/>
              </w:rPr>
              <w:t xml:space="preserve">Company providing training services with support from project </w:t>
            </w:r>
          </w:p>
          <w:p w14:paraId="5EA2E722" w14:textId="77777777" w:rsidR="00302BFE" w:rsidRPr="00B43F59" w:rsidRDefault="00302BFE" w:rsidP="00243B15">
            <w:pPr>
              <w:spacing w:after="0"/>
              <w:jc w:val="left"/>
              <w:rPr>
                <w:sz w:val="18"/>
                <w:szCs w:val="18"/>
              </w:rPr>
            </w:pPr>
            <w:r w:rsidRPr="00B43F59">
              <w:rPr>
                <w:sz w:val="18"/>
                <w:szCs w:val="18"/>
              </w:rPr>
              <w:t>Gender Expert</w:t>
            </w:r>
          </w:p>
        </w:tc>
      </w:tr>
      <w:tr w:rsidR="00302BFE" w:rsidRPr="00B43F59" w14:paraId="02D85722" w14:textId="77777777" w:rsidTr="00243B15">
        <w:trPr>
          <w:gridAfter w:val="1"/>
          <w:wAfter w:w="6" w:type="pct"/>
          <w:trHeight w:val="980"/>
          <w:jc w:val="center"/>
        </w:trPr>
        <w:tc>
          <w:tcPr>
            <w:tcW w:w="1229" w:type="pct"/>
            <w:shd w:val="clear" w:color="auto" w:fill="auto"/>
            <w:vAlign w:val="center"/>
          </w:tcPr>
          <w:p w14:paraId="0AB47BE7" w14:textId="77777777" w:rsidR="00302BFE" w:rsidRPr="00B43F59" w:rsidRDefault="00302BFE" w:rsidP="00243B15">
            <w:pPr>
              <w:spacing w:after="0"/>
              <w:jc w:val="left"/>
              <w:rPr>
                <w:sz w:val="18"/>
                <w:szCs w:val="18"/>
              </w:rPr>
            </w:pPr>
            <w:r w:rsidRPr="00B43F59">
              <w:rPr>
                <w:sz w:val="18"/>
                <w:szCs w:val="18"/>
              </w:rPr>
              <w:t xml:space="preserve">Capacity building and support for </w:t>
            </w:r>
            <w:proofErr w:type="gramStart"/>
            <w:r w:rsidRPr="00B43F59">
              <w:rPr>
                <w:sz w:val="18"/>
                <w:szCs w:val="18"/>
              </w:rPr>
              <w:t>women-owned</w:t>
            </w:r>
            <w:proofErr w:type="gramEnd"/>
            <w:r w:rsidRPr="00B43F59">
              <w:rPr>
                <w:sz w:val="18"/>
                <w:szCs w:val="18"/>
              </w:rPr>
              <w:t xml:space="preserve"> NTFP processing and ecotourism small business receiving technical assistance in production, labeling, and marketing (output 3.3.4)</w:t>
            </w:r>
          </w:p>
        </w:tc>
        <w:tc>
          <w:tcPr>
            <w:tcW w:w="1193" w:type="pct"/>
            <w:shd w:val="clear" w:color="auto" w:fill="auto"/>
            <w:vAlign w:val="center"/>
          </w:tcPr>
          <w:p w14:paraId="4901F335" w14:textId="77777777" w:rsidR="00302BFE" w:rsidRPr="00B43F59" w:rsidRDefault="00302BFE" w:rsidP="00243B15">
            <w:pPr>
              <w:spacing w:after="0"/>
              <w:jc w:val="left"/>
              <w:rPr>
                <w:sz w:val="18"/>
                <w:szCs w:val="18"/>
              </w:rPr>
            </w:pPr>
            <w:r w:rsidRPr="00B43F59">
              <w:rPr>
                <w:sz w:val="18"/>
                <w:szCs w:val="18"/>
              </w:rPr>
              <w:t xml:space="preserve">Number of </w:t>
            </w:r>
            <w:proofErr w:type="gramStart"/>
            <w:r w:rsidRPr="00B43F59">
              <w:rPr>
                <w:sz w:val="18"/>
                <w:szCs w:val="18"/>
              </w:rPr>
              <w:t>women-owned</w:t>
            </w:r>
            <w:proofErr w:type="gramEnd"/>
            <w:r w:rsidRPr="00B43F59">
              <w:rPr>
                <w:sz w:val="18"/>
                <w:szCs w:val="18"/>
              </w:rPr>
              <w:t xml:space="preserve"> NTFP processing and ecotourism small business receiving technical assistance</w:t>
            </w:r>
          </w:p>
        </w:tc>
        <w:tc>
          <w:tcPr>
            <w:tcW w:w="605" w:type="pct"/>
            <w:shd w:val="clear" w:color="auto" w:fill="auto"/>
            <w:vAlign w:val="center"/>
          </w:tcPr>
          <w:p w14:paraId="6ADC0B1F" w14:textId="77777777" w:rsidR="00302BFE" w:rsidRPr="00B43F59" w:rsidDel="00743055" w:rsidRDefault="00302BFE" w:rsidP="00243B15">
            <w:pPr>
              <w:spacing w:after="0"/>
              <w:jc w:val="left"/>
              <w:rPr>
                <w:sz w:val="18"/>
                <w:szCs w:val="18"/>
              </w:rPr>
            </w:pPr>
            <w:r w:rsidRPr="00B43F59">
              <w:rPr>
                <w:sz w:val="18"/>
                <w:szCs w:val="18"/>
              </w:rPr>
              <w:t>4</w:t>
            </w:r>
          </w:p>
        </w:tc>
        <w:tc>
          <w:tcPr>
            <w:tcW w:w="606" w:type="pct"/>
            <w:shd w:val="clear" w:color="auto" w:fill="auto"/>
            <w:vAlign w:val="center"/>
          </w:tcPr>
          <w:p w14:paraId="16A3A06C" w14:textId="77777777" w:rsidR="00302BFE" w:rsidRPr="00B43F59" w:rsidRDefault="00302BFE" w:rsidP="00243B15">
            <w:pPr>
              <w:spacing w:after="0"/>
              <w:jc w:val="left"/>
              <w:rPr>
                <w:sz w:val="18"/>
                <w:szCs w:val="18"/>
              </w:rPr>
            </w:pPr>
            <w:r w:rsidRPr="00B43F59">
              <w:rPr>
                <w:sz w:val="18"/>
                <w:szCs w:val="18"/>
              </w:rPr>
              <w:t xml:space="preserve">0 </w:t>
            </w:r>
          </w:p>
        </w:tc>
        <w:tc>
          <w:tcPr>
            <w:tcW w:w="314" w:type="pct"/>
            <w:gridSpan w:val="2"/>
            <w:shd w:val="clear" w:color="auto" w:fill="auto"/>
            <w:vAlign w:val="center"/>
          </w:tcPr>
          <w:p w14:paraId="1E4E01F7" w14:textId="77777777" w:rsidR="00302BFE" w:rsidRPr="00B43F59" w:rsidRDefault="00302BFE" w:rsidP="00243B15">
            <w:pPr>
              <w:spacing w:after="0"/>
              <w:jc w:val="left"/>
              <w:rPr>
                <w:sz w:val="18"/>
                <w:szCs w:val="18"/>
              </w:rPr>
            </w:pPr>
            <w:r w:rsidRPr="00B43F59">
              <w:rPr>
                <w:sz w:val="18"/>
                <w:szCs w:val="18"/>
              </w:rPr>
              <w:t>Years 1 to 4</w:t>
            </w:r>
          </w:p>
        </w:tc>
        <w:tc>
          <w:tcPr>
            <w:tcW w:w="1047" w:type="pct"/>
            <w:shd w:val="clear" w:color="auto" w:fill="auto"/>
            <w:vAlign w:val="center"/>
          </w:tcPr>
          <w:p w14:paraId="31AE1315" w14:textId="77777777" w:rsidR="00302BFE" w:rsidRPr="00B43F59" w:rsidRDefault="00302BFE" w:rsidP="00243B15">
            <w:pPr>
              <w:spacing w:after="0"/>
              <w:jc w:val="left"/>
              <w:rPr>
                <w:sz w:val="18"/>
                <w:szCs w:val="18"/>
              </w:rPr>
            </w:pPr>
            <w:r w:rsidRPr="00B43F59">
              <w:rPr>
                <w:sz w:val="18"/>
                <w:szCs w:val="18"/>
              </w:rPr>
              <w:t>Company to improve the competitiveness of small community-based businesses</w:t>
            </w:r>
          </w:p>
          <w:p w14:paraId="7E1EE8DD" w14:textId="77777777" w:rsidR="00302BFE" w:rsidRPr="00B43F59" w:rsidRDefault="00302BFE" w:rsidP="00243B15">
            <w:pPr>
              <w:spacing w:after="0"/>
              <w:jc w:val="left"/>
              <w:rPr>
                <w:sz w:val="18"/>
                <w:szCs w:val="18"/>
              </w:rPr>
            </w:pPr>
            <w:r w:rsidRPr="00B43F59">
              <w:rPr>
                <w:sz w:val="18"/>
                <w:szCs w:val="18"/>
              </w:rPr>
              <w:t>Gender Expert</w:t>
            </w:r>
          </w:p>
        </w:tc>
      </w:tr>
      <w:tr w:rsidR="00302BFE" w:rsidRPr="00B43F59" w14:paraId="6F4D422C" w14:textId="77777777" w:rsidTr="00243B15">
        <w:trPr>
          <w:jc w:val="center"/>
        </w:trPr>
        <w:tc>
          <w:tcPr>
            <w:tcW w:w="5000" w:type="pct"/>
            <w:gridSpan w:val="8"/>
            <w:shd w:val="clear" w:color="auto" w:fill="auto"/>
            <w:vAlign w:val="center"/>
          </w:tcPr>
          <w:p w14:paraId="409355BE" w14:textId="77777777" w:rsidR="00302BFE" w:rsidRPr="00363257" w:rsidRDefault="00302BFE" w:rsidP="00243B15">
            <w:pPr>
              <w:spacing w:after="0"/>
              <w:jc w:val="left"/>
              <w:rPr>
                <w:b/>
                <w:sz w:val="18"/>
                <w:szCs w:val="18"/>
                <w:lang w:val="en-CA"/>
              </w:rPr>
            </w:pPr>
            <w:r w:rsidRPr="00363257">
              <w:rPr>
                <w:b/>
                <w:sz w:val="18"/>
                <w:szCs w:val="18"/>
                <w:lang w:val="en-CA"/>
              </w:rPr>
              <w:t>Output 3.4 Strengthened capacities for better sharing of tourism benefits with local communities in the PONASI landscape</w:t>
            </w:r>
          </w:p>
        </w:tc>
      </w:tr>
      <w:tr w:rsidR="00302BFE" w:rsidRPr="00B43F59" w14:paraId="6E3E86D6" w14:textId="77777777" w:rsidTr="00243B15">
        <w:trPr>
          <w:gridAfter w:val="1"/>
          <w:wAfter w:w="6" w:type="pct"/>
          <w:jc w:val="center"/>
        </w:trPr>
        <w:tc>
          <w:tcPr>
            <w:tcW w:w="1229" w:type="pct"/>
            <w:shd w:val="clear" w:color="auto" w:fill="auto"/>
            <w:vAlign w:val="center"/>
          </w:tcPr>
          <w:p w14:paraId="01F09543" w14:textId="77777777" w:rsidR="00302BFE" w:rsidRPr="00B43F59" w:rsidRDefault="00302BFE" w:rsidP="00243B15">
            <w:pPr>
              <w:spacing w:after="0"/>
              <w:jc w:val="left"/>
              <w:rPr>
                <w:sz w:val="18"/>
                <w:szCs w:val="18"/>
                <w:lang w:val="en-CA"/>
              </w:rPr>
            </w:pPr>
            <w:r w:rsidRPr="00B43F59">
              <w:rPr>
                <w:sz w:val="18"/>
                <w:szCs w:val="18"/>
                <w:lang w:val="en-CA"/>
              </w:rPr>
              <w:lastRenderedPageBreak/>
              <w:t>Establish a gender-sensitive sustainable tourism development strategy for the PONASI landscape (output 3.4.1)</w:t>
            </w:r>
          </w:p>
        </w:tc>
        <w:tc>
          <w:tcPr>
            <w:tcW w:w="1193" w:type="pct"/>
            <w:shd w:val="clear" w:color="auto" w:fill="auto"/>
            <w:vAlign w:val="center"/>
          </w:tcPr>
          <w:p w14:paraId="059AE7D0" w14:textId="77777777" w:rsidR="00302BFE" w:rsidRPr="00B43F59" w:rsidRDefault="00302BFE" w:rsidP="00243B15">
            <w:pPr>
              <w:spacing w:after="0"/>
              <w:jc w:val="left"/>
              <w:rPr>
                <w:sz w:val="18"/>
                <w:szCs w:val="18"/>
                <w:lang w:val="en-CA"/>
              </w:rPr>
            </w:pPr>
            <w:r w:rsidRPr="00B43F59">
              <w:rPr>
                <w:sz w:val="18"/>
                <w:szCs w:val="18"/>
                <w:lang w:val="en-CA"/>
              </w:rPr>
              <w:t>Existence of a gender-sensitive sustainable tourism development strategy for the PONASI landscape</w:t>
            </w:r>
          </w:p>
        </w:tc>
        <w:tc>
          <w:tcPr>
            <w:tcW w:w="605" w:type="pct"/>
            <w:shd w:val="clear" w:color="auto" w:fill="auto"/>
            <w:vAlign w:val="center"/>
          </w:tcPr>
          <w:p w14:paraId="22BBBA15" w14:textId="77777777" w:rsidR="00302BFE" w:rsidRPr="00B43F59" w:rsidRDefault="00302BFE" w:rsidP="00243B15">
            <w:pPr>
              <w:spacing w:after="0"/>
              <w:jc w:val="left"/>
              <w:rPr>
                <w:sz w:val="18"/>
                <w:szCs w:val="18"/>
              </w:rPr>
            </w:pPr>
            <w:r w:rsidRPr="00B43F59">
              <w:rPr>
                <w:sz w:val="18"/>
                <w:szCs w:val="18"/>
              </w:rPr>
              <w:t xml:space="preserve">01 strategy </w:t>
            </w:r>
          </w:p>
        </w:tc>
        <w:tc>
          <w:tcPr>
            <w:tcW w:w="606" w:type="pct"/>
            <w:shd w:val="clear" w:color="auto" w:fill="auto"/>
            <w:vAlign w:val="center"/>
          </w:tcPr>
          <w:p w14:paraId="16DE85D9" w14:textId="77777777" w:rsidR="00302BFE" w:rsidRPr="00B43F59" w:rsidRDefault="00302BFE" w:rsidP="00243B15">
            <w:pPr>
              <w:spacing w:after="0"/>
              <w:jc w:val="left"/>
              <w:rPr>
                <w:sz w:val="18"/>
                <w:szCs w:val="18"/>
              </w:rPr>
            </w:pPr>
            <w:r w:rsidRPr="00B43F59">
              <w:rPr>
                <w:sz w:val="18"/>
                <w:szCs w:val="18"/>
              </w:rPr>
              <w:t>0</w:t>
            </w:r>
          </w:p>
        </w:tc>
        <w:tc>
          <w:tcPr>
            <w:tcW w:w="314" w:type="pct"/>
            <w:gridSpan w:val="2"/>
            <w:shd w:val="clear" w:color="auto" w:fill="auto"/>
            <w:vAlign w:val="center"/>
          </w:tcPr>
          <w:p w14:paraId="71C19255" w14:textId="77777777" w:rsidR="00302BFE" w:rsidRPr="00B43F59" w:rsidRDefault="00302BFE" w:rsidP="00243B15">
            <w:pPr>
              <w:spacing w:after="0"/>
              <w:jc w:val="left"/>
              <w:rPr>
                <w:sz w:val="18"/>
                <w:szCs w:val="18"/>
              </w:rPr>
            </w:pPr>
            <w:r w:rsidRPr="00B43F59">
              <w:rPr>
                <w:sz w:val="18"/>
                <w:szCs w:val="18"/>
              </w:rPr>
              <w:t>Years 2 to 3</w:t>
            </w:r>
          </w:p>
        </w:tc>
        <w:tc>
          <w:tcPr>
            <w:tcW w:w="1047" w:type="pct"/>
            <w:shd w:val="clear" w:color="auto" w:fill="auto"/>
            <w:vAlign w:val="center"/>
          </w:tcPr>
          <w:p w14:paraId="2A17CDCA" w14:textId="77777777" w:rsidR="00302BFE" w:rsidRPr="009E7670" w:rsidRDefault="00302BFE" w:rsidP="00243B15">
            <w:pPr>
              <w:spacing w:after="0"/>
              <w:jc w:val="left"/>
              <w:rPr>
                <w:sz w:val="18"/>
                <w:szCs w:val="18"/>
              </w:rPr>
            </w:pPr>
            <w:r w:rsidRPr="009E7670">
              <w:rPr>
                <w:sz w:val="18"/>
                <w:szCs w:val="18"/>
              </w:rPr>
              <w:t>Ministry of Culture, Arts and Tourism</w:t>
            </w:r>
          </w:p>
        </w:tc>
      </w:tr>
      <w:tr w:rsidR="00302BFE" w:rsidRPr="00B43F59" w14:paraId="04C4E81C" w14:textId="77777777" w:rsidTr="00243B15">
        <w:trPr>
          <w:gridAfter w:val="1"/>
          <w:wAfter w:w="6" w:type="pct"/>
          <w:jc w:val="center"/>
        </w:trPr>
        <w:tc>
          <w:tcPr>
            <w:tcW w:w="1229" w:type="pct"/>
            <w:shd w:val="clear" w:color="auto" w:fill="auto"/>
            <w:vAlign w:val="center"/>
          </w:tcPr>
          <w:p w14:paraId="6FC7B261" w14:textId="77777777" w:rsidR="00302BFE" w:rsidRPr="00B43F59" w:rsidRDefault="00302BFE" w:rsidP="00243B15">
            <w:pPr>
              <w:spacing w:after="0"/>
              <w:jc w:val="left"/>
              <w:rPr>
                <w:sz w:val="18"/>
                <w:szCs w:val="18"/>
                <w:lang w:val="en-CA"/>
              </w:rPr>
            </w:pPr>
            <w:r w:rsidRPr="00B43F59">
              <w:rPr>
                <w:sz w:val="18"/>
                <w:szCs w:val="18"/>
                <w:lang w:val="en-CA"/>
              </w:rPr>
              <w:t>Develop a gender-sensitive capacity building and training program in tourism and hospitality (output 3.4.3)</w:t>
            </w:r>
          </w:p>
        </w:tc>
        <w:tc>
          <w:tcPr>
            <w:tcW w:w="1193" w:type="pct"/>
            <w:shd w:val="clear" w:color="auto" w:fill="auto"/>
            <w:vAlign w:val="center"/>
          </w:tcPr>
          <w:p w14:paraId="5B133024" w14:textId="77777777" w:rsidR="00302BFE" w:rsidRPr="00B43F59" w:rsidRDefault="00302BFE" w:rsidP="00243B15">
            <w:pPr>
              <w:spacing w:after="0"/>
              <w:jc w:val="left"/>
              <w:rPr>
                <w:sz w:val="18"/>
                <w:szCs w:val="18"/>
                <w:lang w:val="en-CA"/>
              </w:rPr>
            </w:pPr>
            <w:r w:rsidRPr="00B43F59">
              <w:rPr>
                <w:sz w:val="18"/>
                <w:szCs w:val="18"/>
                <w:lang w:val="en-CA"/>
              </w:rPr>
              <w:t>Existence of a gender-sensitive capacity building and training program in tourism and hospitality</w:t>
            </w:r>
          </w:p>
        </w:tc>
        <w:tc>
          <w:tcPr>
            <w:tcW w:w="605" w:type="pct"/>
            <w:shd w:val="clear" w:color="auto" w:fill="auto"/>
            <w:vAlign w:val="center"/>
          </w:tcPr>
          <w:p w14:paraId="0A2ACD7E" w14:textId="77777777" w:rsidR="00302BFE" w:rsidRPr="00B43F59" w:rsidRDefault="00302BFE" w:rsidP="00243B15">
            <w:pPr>
              <w:spacing w:after="0"/>
              <w:jc w:val="left"/>
              <w:rPr>
                <w:sz w:val="18"/>
                <w:szCs w:val="18"/>
              </w:rPr>
            </w:pPr>
            <w:r w:rsidRPr="00B43F59">
              <w:rPr>
                <w:sz w:val="18"/>
                <w:szCs w:val="18"/>
              </w:rPr>
              <w:t>01 strategy</w:t>
            </w:r>
          </w:p>
        </w:tc>
        <w:tc>
          <w:tcPr>
            <w:tcW w:w="606" w:type="pct"/>
            <w:shd w:val="clear" w:color="auto" w:fill="auto"/>
            <w:vAlign w:val="center"/>
          </w:tcPr>
          <w:p w14:paraId="271A0A48" w14:textId="77777777" w:rsidR="00302BFE" w:rsidRPr="00B43F59" w:rsidRDefault="00302BFE" w:rsidP="00243B15">
            <w:pPr>
              <w:spacing w:after="0"/>
              <w:jc w:val="left"/>
              <w:rPr>
                <w:sz w:val="18"/>
                <w:szCs w:val="18"/>
              </w:rPr>
            </w:pPr>
            <w:r w:rsidRPr="00B43F59">
              <w:rPr>
                <w:sz w:val="18"/>
                <w:szCs w:val="18"/>
              </w:rPr>
              <w:t>0</w:t>
            </w:r>
          </w:p>
        </w:tc>
        <w:tc>
          <w:tcPr>
            <w:tcW w:w="314" w:type="pct"/>
            <w:gridSpan w:val="2"/>
            <w:shd w:val="clear" w:color="auto" w:fill="auto"/>
            <w:vAlign w:val="center"/>
          </w:tcPr>
          <w:p w14:paraId="2D0925C7" w14:textId="77777777" w:rsidR="00302BFE" w:rsidRPr="00B43F59" w:rsidRDefault="00302BFE" w:rsidP="00243B15">
            <w:pPr>
              <w:spacing w:after="0"/>
              <w:jc w:val="left"/>
              <w:rPr>
                <w:sz w:val="18"/>
                <w:szCs w:val="18"/>
              </w:rPr>
            </w:pPr>
            <w:r w:rsidRPr="00B43F59">
              <w:rPr>
                <w:sz w:val="18"/>
                <w:szCs w:val="18"/>
              </w:rPr>
              <w:t>Years 2 to 3</w:t>
            </w:r>
          </w:p>
        </w:tc>
        <w:tc>
          <w:tcPr>
            <w:tcW w:w="1047" w:type="pct"/>
            <w:shd w:val="clear" w:color="auto" w:fill="auto"/>
            <w:vAlign w:val="center"/>
          </w:tcPr>
          <w:p w14:paraId="52FB10EB" w14:textId="77777777" w:rsidR="00302BFE" w:rsidRPr="009E7670" w:rsidRDefault="00302BFE" w:rsidP="00243B15">
            <w:pPr>
              <w:spacing w:after="0"/>
              <w:jc w:val="left"/>
              <w:rPr>
                <w:sz w:val="18"/>
                <w:szCs w:val="18"/>
              </w:rPr>
            </w:pPr>
            <w:r w:rsidRPr="009E7670">
              <w:rPr>
                <w:sz w:val="18"/>
                <w:szCs w:val="18"/>
              </w:rPr>
              <w:t>Ministry of Culture, Arts and Tourism</w:t>
            </w:r>
          </w:p>
        </w:tc>
      </w:tr>
      <w:tr w:rsidR="00302BFE" w:rsidRPr="00B43F59" w14:paraId="7F976090" w14:textId="77777777" w:rsidTr="00243B15">
        <w:trPr>
          <w:gridAfter w:val="1"/>
          <w:wAfter w:w="6" w:type="pct"/>
          <w:trHeight w:val="621"/>
          <w:jc w:val="center"/>
        </w:trPr>
        <w:tc>
          <w:tcPr>
            <w:tcW w:w="1229" w:type="pct"/>
            <w:shd w:val="clear" w:color="auto" w:fill="auto"/>
            <w:vAlign w:val="center"/>
          </w:tcPr>
          <w:p w14:paraId="11091A65" w14:textId="77777777" w:rsidR="00302BFE" w:rsidRPr="00B43F59" w:rsidRDefault="00302BFE" w:rsidP="00243B15">
            <w:pPr>
              <w:spacing w:after="0"/>
              <w:jc w:val="left"/>
              <w:rPr>
                <w:sz w:val="18"/>
                <w:szCs w:val="18"/>
              </w:rPr>
            </w:pPr>
            <w:r w:rsidRPr="009E7670">
              <w:rPr>
                <w:sz w:val="18"/>
                <w:szCs w:val="18"/>
                <w:lang w:val="en-CA"/>
              </w:rPr>
              <w:t>Grants are allocated to tourism-related small and micro-businesses owned by women (output 3.4.4)</w:t>
            </w:r>
          </w:p>
        </w:tc>
        <w:tc>
          <w:tcPr>
            <w:tcW w:w="1193" w:type="pct"/>
            <w:shd w:val="clear" w:color="auto" w:fill="auto"/>
            <w:vAlign w:val="center"/>
          </w:tcPr>
          <w:p w14:paraId="25464C37" w14:textId="77777777" w:rsidR="00302BFE" w:rsidRPr="00B43F59" w:rsidRDefault="00302BFE" w:rsidP="00243B15">
            <w:pPr>
              <w:keepNext/>
              <w:keepLines/>
              <w:spacing w:after="0"/>
              <w:jc w:val="left"/>
              <w:outlineLvl w:val="6"/>
              <w:rPr>
                <w:sz w:val="18"/>
                <w:szCs w:val="18"/>
              </w:rPr>
            </w:pPr>
            <w:r w:rsidRPr="00B43F59">
              <w:rPr>
                <w:sz w:val="18"/>
                <w:szCs w:val="18"/>
              </w:rPr>
              <w:t xml:space="preserve">Proportion of grant beneficiaries who are women </w:t>
            </w:r>
          </w:p>
        </w:tc>
        <w:tc>
          <w:tcPr>
            <w:tcW w:w="605" w:type="pct"/>
            <w:shd w:val="clear" w:color="auto" w:fill="auto"/>
            <w:vAlign w:val="center"/>
          </w:tcPr>
          <w:p w14:paraId="14E6A450" w14:textId="77777777" w:rsidR="00302BFE" w:rsidRPr="00B43F59" w:rsidRDefault="00302BFE" w:rsidP="00243B15">
            <w:pPr>
              <w:spacing w:after="0"/>
              <w:jc w:val="left"/>
              <w:rPr>
                <w:sz w:val="18"/>
                <w:szCs w:val="18"/>
              </w:rPr>
            </w:pPr>
            <w:r w:rsidRPr="00B43F59">
              <w:rPr>
                <w:sz w:val="18"/>
                <w:szCs w:val="18"/>
              </w:rPr>
              <w:t>75%</w:t>
            </w:r>
          </w:p>
          <w:p w14:paraId="6F3A4BBB" w14:textId="77777777" w:rsidR="00302BFE" w:rsidRPr="00B43F59" w:rsidRDefault="00302BFE" w:rsidP="00243B15">
            <w:pPr>
              <w:spacing w:after="0"/>
              <w:jc w:val="left"/>
              <w:rPr>
                <w:sz w:val="18"/>
                <w:szCs w:val="18"/>
              </w:rPr>
            </w:pPr>
          </w:p>
        </w:tc>
        <w:tc>
          <w:tcPr>
            <w:tcW w:w="606" w:type="pct"/>
            <w:shd w:val="clear" w:color="auto" w:fill="auto"/>
            <w:vAlign w:val="center"/>
          </w:tcPr>
          <w:p w14:paraId="2A782764" w14:textId="77777777" w:rsidR="00302BFE" w:rsidRPr="00B43F59" w:rsidRDefault="00302BFE" w:rsidP="00243B15">
            <w:pPr>
              <w:spacing w:after="0"/>
              <w:jc w:val="left"/>
              <w:rPr>
                <w:sz w:val="18"/>
                <w:szCs w:val="18"/>
              </w:rPr>
            </w:pPr>
            <w:r w:rsidRPr="00B43F59">
              <w:rPr>
                <w:sz w:val="18"/>
                <w:szCs w:val="18"/>
              </w:rPr>
              <w:t xml:space="preserve">0 </w:t>
            </w:r>
          </w:p>
        </w:tc>
        <w:tc>
          <w:tcPr>
            <w:tcW w:w="314" w:type="pct"/>
            <w:gridSpan w:val="2"/>
            <w:shd w:val="clear" w:color="auto" w:fill="auto"/>
            <w:vAlign w:val="center"/>
          </w:tcPr>
          <w:p w14:paraId="5E8BF4E1" w14:textId="77777777" w:rsidR="00302BFE" w:rsidRPr="00B43F59" w:rsidRDefault="00302BFE" w:rsidP="00243B15">
            <w:pPr>
              <w:spacing w:after="0"/>
              <w:jc w:val="left"/>
              <w:rPr>
                <w:sz w:val="18"/>
                <w:szCs w:val="18"/>
              </w:rPr>
            </w:pPr>
            <w:r w:rsidRPr="00B43F59">
              <w:rPr>
                <w:sz w:val="18"/>
                <w:szCs w:val="18"/>
              </w:rPr>
              <w:t>Years 1 to 3</w:t>
            </w:r>
          </w:p>
        </w:tc>
        <w:tc>
          <w:tcPr>
            <w:tcW w:w="1047" w:type="pct"/>
            <w:shd w:val="clear" w:color="auto" w:fill="auto"/>
            <w:vAlign w:val="center"/>
          </w:tcPr>
          <w:p w14:paraId="3A3E3581" w14:textId="77777777" w:rsidR="00302BFE" w:rsidRPr="00B43F59" w:rsidRDefault="00302BFE" w:rsidP="00243B15">
            <w:pPr>
              <w:spacing w:after="0"/>
              <w:jc w:val="left"/>
              <w:rPr>
                <w:sz w:val="18"/>
                <w:szCs w:val="18"/>
              </w:rPr>
            </w:pPr>
            <w:r w:rsidRPr="00B43F59">
              <w:rPr>
                <w:sz w:val="18"/>
                <w:szCs w:val="18"/>
              </w:rPr>
              <w:t>Multi-stakeholder group selection committee</w:t>
            </w:r>
          </w:p>
        </w:tc>
      </w:tr>
      <w:tr w:rsidR="00302BFE" w:rsidRPr="00B43F59" w14:paraId="3CC427B0" w14:textId="77777777" w:rsidTr="00243B15">
        <w:trPr>
          <w:gridAfter w:val="1"/>
          <w:wAfter w:w="6" w:type="pct"/>
          <w:jc w:val="center"/>
        </w:trPr>
        <w:tc>
          <w:tcPr>
            <w:tcW w:w="1229" w:type="pct"/>
            <w:shd w:val="clear" w:color="auto" w:fill="auto"/>
            <w:vAlign w:val="center"/>
          </w:tcPr>
          <w:p w14:paraId="6D60782F" w14:textId="77777777" w:rsidR="00302BFE" w:rsidRPr="00B43F59" w:rsidRDefault="00302BFE" w:rsidP="00243B15">
            <w:pPr>
              <w:spacing w:after="0"/>
              <w:jc w:val="left"/>
              <w:rPr>
                <w:sz w:val="18"/>
                <w:szCs w:val="18"/>
              </w:rPr>
            </w:pPr>
            <w:r w:rsidRPr="00B43F59">
              <w:rPr>
                <w:sz w:val="18"/>
                <w:szCs w:val="18"/>
              </w:rPr>
              <w:t>Ensure that the selection of attendees for tourism training includes women (output 3.4.3)</w:t>
            </w:r>
          </w:p>
        </w:tc>
        <w:tc>
          <w:tcPr>
            <w:tcW w:w="1193" w:type="pct"/>
            <w:shd w:val="clear" w:color="auto" w:fill="auto"/>
            <w:vAlign w:val="center"/>
          </w:tcPr>
          <w:p w14:paraId="28EF974A" w14:textId="77777777" w:rsidR="00302BFE" w:rsidRPr="00B43F59" w:rsidRDefault="00302BFE" w:rsidP="00243B15">
            <w:pPr>
              <w:spacing w:after="0"/>
              <w:jc w:val="left"/>
              <w:rPr>
                <w:sz w:val="18"/>
                <w:szCs w:val="18"/>
              </w:rPr>
            </w:pPr>
            <w:r w:rsidRPr="00B43F59">
              <w:rPr>
                <w:sz w:val="18"/>
                <w:szCs w:val="18"/>
              </w:rPr>
              <w:t>Percent of women participation in all training</w:t>
            </w:r>
          </w:p>
        </w:tc>
        <w:tc>
          <w:tcPr>
            <w:tcW w:w="605" w:type="pct"/>
            <w:shd w:val="clear" w:color="auto" w:fill="auto"/>
            <w:vAlign w:val="center"/>
          </w:tcPr>
          <w:p w14:paraId="0A8BC13C" w14:textId="77777777" w:rsidR="00302BFE" w:rsidRPr="00B43F59" w:rsidRDefault="00302BFE" w:rsidP="00243B15">
            <w:pPr>
              <w:spacing w:after="0"/>
              <w:jc w:val="left"/>
              <w:rPr>
                <w:sz w:val="18"/>
                <w:szCs w:val="18"/>
              </w:rPr>
            </w:pPr>
            <w:r w:rsidRPr="00B43F59">
              <w:rPr>
                <w:sz w:val="18"/>
                <w:szCs w:val="18"/>
              </w:rPr>
              <w:t>70% of the training recipients are women</w:t>
            </w:r>
          </w:p>
        </w:tc>
        <w:tc>
          <w:tcPr>
            <w:tcW w:w="606" w:type="pct"/>
            <w:shd w:val="clear" w:color="auto" w:fill="auto"/>
            <w:vAlign w:val="center"/>
          </w:tcPr>
          <w:p w14:paraId="2E80DBFC" w14:textId="77777777" w:rsidR="00302BFE" w:rsidRPr="00B43F59" w:rsidRDefault="00302BFE" w:rsidP="00243B15">
            <w:pPr>
              <w:spacing w:after="0"/>
              <w:jc w:val="left"/>
              <w:rPr>
                <w:sz w:val="18"/>
                <w:szCs w:val="18"/>
              </w:rPr>
            </w:pPr>
            <w:r w:rsidRPr="00B43F59">
              <w:rPr>
                <w:sz w:val="18"/>
                <w:szCs w:val="18"/>
              </w:rPr>
              <w:t xml:space="preserve">Recipients not yet selected </w:t>
            </w:r>
          </w:p>
        </w:tc>
        <w:tc>
          <w:tcPr>
            <w:tcW w:w="314" w:type="pct"/>
            <w:gridSpan w:val="2"/>
            <w:shd w:val="clear" w:color="auto" w:fill="auto"/>
            <w:vAlign w:val="center"/>
          </w:tcPr>
          <w:p w14:paraId="20842D70"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09CFE1D4" w14:textId="77777777" w:rsidR="00302BFE" w:rsidRPr="009E7670" w:rsidRDefault="00302BFE" w:rsidP="00243B15">
            <w:pPr>
              <w:spacing w:after="0"/>
              <w:jc w:val="left"/>
              <w:rPr>
                <w:sz w:val="18"/>
                <w:szCs w:val="18"/>
              </w:rPr>
            </w:pPr>
            <w:r w:rsidRPr="009E7670">
              <w:rPr>
                <w:sz w:val="18"/>
                <w:szCs w:val="18"/>
              </w:rPr>
              <w:t>Project Team</w:t>
            </w:r>
          </w:p>
          <w:p w14:paraId="07174814" w14:textId="77777777" w:rsidR="00302BFE" w:rsidRPr="009E7670" w:rsidRDefault="00302BFE" w:rsidP="00243B15">
            <w:pPr>
              <w:spacing w:after="0"/>
              <w:jc w:val="left"/>
              <w:rPr>
                <w:sz w:val="18"/>
                <w:szCs w:val="18"/>
              </w:rPr>
            </w:pPr>
            <w:r w:rsidRPr="009E7670">
              <w:rPr>
                <w:sz w:val="18"/>
                <w:szCs w:val="18"/>
              </w:rPr>
              <w:t>Gender Expert</w:t>
            </w:r>
          </w:p>
          <w:p w14:paraId="2334D460" w14:textId="77777777" w:rsidR="00302BFE" w:rsidRPr="009E7670" w:rsidRDefault="00302BFE" w:rsidP="00243B15">
            <w:pPr>
              <w:spacing w:after="0"/>
              <w:jc w:val="left"/>
              <w:rPr>
                <w:sz w:val="18"/>
                <w:szCs w:val="18"/>
              </w:rPr>
            </w:pPr>
            <w:r w:rsidRPr="00B43F59">
              <w:rPr>
                <w:sz w:val="18"/>
                <w:szCs w:val="18"/>
              </w:rPr>
              <w:t>Ministry of Culture, Arts and Tourism</w:t>
            </w:r>
          </w:p>
        </w:tc>
      </w:tr>
      <w:tr w:rsidR="00302BFE" w:rsidRPr="00B43F59" w14:paraId="6B5D5013" w14:textId="77777777" w:rsidTr="00243B15">
        <w:trPr>
          <w:jc w:val="center"/>
        </w:trPr>
        <w:tc>
          <w:tcPr>
            <w:tcW w:w="5000" w:type="pct"/>
            <w:gridSpan w:val="8"/>
            <w:shd w:val="clear" w:color="auto" w:fill="FBE4D5"/>
            <w:vAlign w:val="center"/>
          </w:tcPr>
          <w:p w14:paraId="4C336959" w14:textId="77777777" w:rsidR="00302BFE" w:rsidRPr="00B43F59" w:rsidRDefault="00302BFE" w:rsidP="00243B15">
            <w:pPr>
              <w:spacing w:after="0"/>
              <w:jc w:val="left"/>
              <w:rPr>
                <w:b/>
                <w:sz w:val="18"/>
                <w:szCs w:val="18"/>
                <w:lang w:val="en-CA"/>
              </w:rPr>
            </w:pPr>
            <w:r w:rsidRPr="00B43F59">
              <w:rPr>
                <w:b/>
                <w:sz w:val="18"/>
                <w:szCs w:val="18"/>
                <w:lang w:val="en-GB"/>
              </w:rPr>
              <w:t>Component 4: Gender mainstreaming, and knowledge and learning management</w:t>
            </w:r>
          </w:p>
        </w:tc>
      </w:tr>
      <w:tr w:rsidR="00302BFE" w:rsidRPr="00B43F59" w14:paraId="3C8EB77D" w14:textId="77777777" w:rsidTr="00243B15">
        <w:trPr>
          <w:jc w:val="center"/>
        </w:trPr>
        <w:tc>
          <w:tcPr>
            <w:tcW w:w="3640" w:type="pct"/>
            <w:gridSpan w:val="5"/>
            <w:shd w:val="clear" w:color="auto" w:fill="auto"/>
          </w:tcPr>
          <w:p w14:paraId="75D5D373" w14:textId="77777777" w:rsidR="00302BFE" w:rsidRPr="00B43F59" w:rsidRDefault="00302BFE" w:rsidP="00243B15">
            <w:pPr>
              <w:spacing w:after="0"/>
              <w:jc w:val="left"/>
              <w:rPr>
                <w:b/>
                <w:sz w:val="18"/>
                <w:szCs w:val="18"/>
                <w:lang w:val="en-CA"/>
              </w:rPr>
            </w:pPr>
            <w:r w:rsidRPr="00B43F59">
              <w:rPr>
                <w:b/>
                <w:sz w:val="18"/>
                <w:szCs w:val="18"/>
                <w:lang w:val="en-CA"/>
              </w:rPr>
              <w:t xml:space="preserve">Output 4.1 Gender Action plan implemented, </w:t>
            </w:r>
            <w:proofErr w:type="gramStart"/>
            <w:r w:rsidRPr="00B43F59">
              <w:rPr>
                <w:b/>
                <w:sz w:val="18"/>
                <w:szCs w:val="18"/>
                <w:lang w:val="en-CA"/>
              </w:rPr>
              <w:t>monitored</w:t>
            </w:r>
            <w:proofErr w:type="gramEnd"/>
            <w:r w:rsidRPr="00B43F59">
              <w:rPr>
                <w:b/>
                <w:sz w:val="18"/>
                <w:szCs w:val="18"/>
                <w:lang w:val="en-CA"/>
              </w:rPr>
              <w:t xml:space="preserve"> and evaluated</w:t>
            </w:r>
          </w:p>
        </w:tc>
        <w:tc>
          <w:tcPr>
            <w:tcW w:w="1360" w:type="pct"/>
            <w:gridSpan w:val="3"/>
            <w:shd w:val="clear" w:color="auto" w:fill="auto"/>
          </w:tcPr>
          <w:p w14:paraId="271DC802" w14:textId="77777777" w:rsidR="00302BFE" w:rsidRPr="00B43F59" w:rsidRDefault="00302BFE" w:rsidP="00243B15">
            <w:pPr>
              <w:spacing w:after="0"/>
              <w:jc w:val="left"/>
              <w:rPr>
                <w:b/>
                <w:sz w:val="18"/>
                <w:szCs w:val="18"/>
                <w:lang w:val="en-CA"/>
              </w:rPr>
            </w:pPr>
          </w:p>
        </w:tc>
      </w:tr>
      <w:tr w:rsidR="00302BFE" w:rsidRPr="00B43F59" w14:paraId="7C08470C" w14:textId="77777777" w:rsidTr="00243B15">
        <w:trPr>
          <w:gridAfter w:val="1"/>
          <w:wAfter w:w="6" w:type="pct"/>
          <w:jc w:val="center"/>
        </w:trPr>
        <w:tc>
          <w:tcPr>
            <w:tcW w:w="1229" w:type="pct"/>
            <w:shd w:val="clear" w:color="auto" w:fill="auto"/>
            <w:vAlign w:val="center"/>
          </w:tcPr>
          <w:p w14:paraId="4A220A2E" w14:textId="77777777" w:rsidR="00302BFE" w:rsidRPr="00B43F59" w:rsidRDefault="00302BFE" w:rsidP="00243B15">
            <w:pPr>
              <w:spacing w:after="0"/>
              <w:jc w:val="left"/>
              <w:rPr>
                <w:sz w:val="18"/>
                <w:szCs w:val="18"/>
              </w:rPr>
            </w:pPr>
            <w:r w:rsidRPr="00B43F59">
              <w:rPr>
                <w:sz w:val="18"/>
                <w:szCs w:val="18"/>
              </w:rPr>
              <w:t>Integrate women’s experiences into knowledge products that will incorporate institutional strengthening and capacity building initiatives, for continued institutional and private sector learning and activity implementation</w:t>
            </w:r>
          </w:p>
        </w:tc>
        <w:tc>
          <w:tcPr>
            <w:tcW w:w="1193" w:type="pct"/>
            <w:shd w:val="clear" w:color="auto" w:fill="auto"/>
            <w:vAlign w:val="center"/>
          </w:tcPr>
          <w:p w14:paraId="16ED6366" w14:textId="77777777" w:rsidR="00302BFE" w:rsidRPr="00B43F59" w:rsidRDefault="00302BFE" w:rsidP="00243B15">
            <w:pPr>
              <w:spacing w:after="0"/>
              <w:jc w:val="left"/>
              <w:rPr>
                <w:sz w:val="18"/>
                <w:szCs w:val="18"/>
              </w:rPr>
            </w:pPr>
            <w:r w:rsidRPr="00B43F59">
              <w:rPr>
                <w:sz w:val="18"/>
                <w:szCs w:val="18"/>
              </w:rPr>
              <w:t xml:space="preserve">Percent of knowledge products reflecting women’s portrayal and lessons learnt featuring women’s experiences </w:t>
            </w:r>
          </w:p>
        </w:tc>
        <w:tc>
          <w:tcPr>
            <w:tcW w:w="605" w:type="pct"/>
            <w:shd w:val="clear" w:color="auto" w:fill="auto"/>
            <w:vAlign w:val="center"/>
          </w:tcPr>
          <w:p w14:paraId="2C0B0DFB" w14:textId="77777777" w:rsidR="00302BFE" w:rsidRPr="00B43F59" w:rsidRDefault="00302BFE" w:rsidP="00243B15">
            <w:pPr>
              <w:spacing w:after="0"/>
              <w:jc w:val="left"/>
              <w:rPr>
                <w:sz w:val="18"/>
                <w:szCs w:val="18"/>
              </w:rPr>
            </w:pPr>
            <w:r w:rsidRPr="00B43F59">
              <w:rPr>
                <w:sz w:val="18"/>
                <w:szCs w:val="18"/>
              </w:rPr>
              <w:t>100%</w:t>
            </w:r>
          </w:p>
        </w:tc>
        <w:tc>
          <w:tcPr>
            <w:tcW w:w="606" w:type="pct"/>
            <w:shd w:val="clear" w:color="auto" w:fill="auto"/>
            <w:vAlign w:val="center"/>
          </w:tcPr>
          <w:p w14:paraId="3F242C6D" w14:textId="77777777" w:rsidR="00302BFE" w:rsidRPr="00B43F59" w:rsidRDefault="00302BFE" w:rsidP="00243B15">
            <w:pPr>
              <w:spacing w:after="0"/>
              <w:jc w:val="left"/>
              <w:rPr>
                <w:sz w:val="18"/>
                <w:szCs w:val="18"/>
              </w:rPr>
            </w:pPr>
            <w:r w:rsidRPr="00B43F59">
              <w:rPr>
                <w:sz w:val="18"/>
                <w:szCs w:val="18"/>
              </w:rPr>
              <w:t>No knowledge products developed</w:t>
            </w:r>
          </w:p>
        </w:tc>
        <w:tc>
          <w:tcPr>
            <w:tcW w:w="314" w:type="pct"/>
            <w:gridSpan w:val="2"/>
            <w:shd w:val="clear" w:color="auto" w:fill="auto"/>
            <w:vAlign w:val="center"/>
          </w:tcPr>
          <w:p w14:paraId="69C92E0F" w14:textId="77777777" w:rsidR="00302BFE" w:rsidRPr="00B43F59" w:rsidRDefault="00302BFE" w:rsidP="00243B15">
            <w:pPr>
              <w:spacing w:after="0"/>
              <w:jc w:val="left"/>
              <w:rPr>
                <w:sz w:val="18"/>
                <w:szCs w:val="18"/>
              </w:rPr>
            </w:pPr>
            <w:r w:rsidRPr="00B43F59">
              <w:rPr>
                <w:sz w:val="18"/>
                <w:szCs w:val="18"/>
              </w:rPr>
              <w:t>Years 1 to 4</w:t>
            </w:r>
          </w:p>
        </w:tc>
        <w:tc>
          <w:tcPr>
            <w:tcW w:w="1047" w:type="pct"/>
            <w:shd w:val="clear" w:color="auto" w:fill="auto"/>
            <w:vAlign w:val="center"/>
          </w:tcPr>
          <w:p w14:paraId="65F8D4D5" w14:textId="77777777" w:rsidR="00302BFE" w:rsidRPr="00B43F59" w:rsidRDefault="00302BFE" w:rsidP="00243B15">
            <w:pPr>
              <w:spacing w:after="0"/>
              <w:jc w:val="left"/>
              <w:rPr>
                <w:sz w:val="18"/>
                <w:szCs w:val="18"/>
              </w:rPr>
            </w:pPr>
            <w:r w:rsidRPr="00B43F59">
              <w:rPr>
                <w:sz w:val="18"/>
                <w:szCs w:val="18"/>
              </w:rPr>
              <w:t>Communication and Knowledge Management Expert</w:t>
            </w:r>
          </w:p>
          <w:p w14:paraId="1609D1FD" w14:textId="77777777" w:rsidR="00302BFE" w:rsidRPr="00B43F59" w:rsidRDefault="00302BFE" w:rsidP="00243B15">
            <w:pPr>
              <w:spacing w:after="0"/>
              <w:jc w:val="left"/>
              <w:rPr>
                <w:sz w:val="18"/>
                <w:szCs w:val="18"/>
              </w:rPr>
            </w:pPr>
          </w:p>
          <w:p w14:paraId="11C98BE3" w14:textId="77777777" w:rsidR="00302BFE" w:rsidRPr="00B43F59" w:rsidRDefault="00302BFE" w:rsidP="00243B15">
            <w:pPr>
              <w:spacing w:after="0"/>
              <w:jc w:val="left"/>
              <w:rPr>
                <w:sz w:val="18"/>
                <w:szCs w:val="18"/>
              </w:rPr>
            </w:pPr>
            <w:r w:rsidRPr="00B43F59">
              <w:rPr>
                <w:sz w:val="18"/>
                <w:szCs w:val="18"/>
              </w:rPr>
              <w:t>Gender Expert</w:t>
            </w:r>
          </w:p>
        </w:tc>
      </w:tr>
      <w:tr w:rsidR="00302BFE" w:rsidRPr="00B43F59" w14:paraId="177368AE" w14:textId="77777777" w:rsidTr="00243B15">
        <w:trPr>
          <w:gridAfter w:val="1"/>
          <w:wAfter w:w="6" w:type="pct"/>
          <w:jc w:val="center"/>
        </w:trPr>
        <w:tc>
          <w:tcPr>
            <w:tcW w:w="1229" w:type="pct"/>
            <w:shd w:val="clear" w:color="auto" w:fill="auto"/>
            <w:vAlign w:val="center"/>
          </w:tcPr>
          <w:p w14:paraId="649A916A" w14:textId="77777777" w:rsidR="00302BFE" w:rsidRPr="00B43F59" w:rsidRDefault="00302BFE" w:rsidP="00243B15">
            <w:pPr>
              <w:spacing w:after="0"/>
              <w:jc w:val="left"/>
              <w:rPr>
                <w:sz w:val="18"/>
                <w:szCs w:val="18"/>
              </w:rPr>
            </w:pPr>
            <w:r w:rsidRPr="00B43F59">
              <w:rPr>
                <w:sz w:val="18"/>
                <w:szCs w:val="18"/>
              </w:rPr>
              <w:t xml:space="preserve">Establish a monitoring system to learn from the SLM, CSA, and biodiversity conservation interventions, including gender-based indicators </w:t>
            </w:r>
          </w:p>
        </w:tc>
        <w:tc>
          <w:tcPr>
            <w:tcW w:w="1193" w:type="pct"/>
            <w:shd w:val="clear" w:color="auto" w:fill="auto"/>
            <w:vAlign w:val="center"/>
          </w:tcPr>
          <w:p w14:paraId="18C98BAB" w14:textId="77777777" w:rsidR="00302BFE" w:rsidRPr="00B43F59" w:rsidRDefault="00302BFE" w:rsidP="00243B15">
            <w:pPr>
              <w:spacing w:after="0"/>
              <w:jc w:val="left"/>
              <w:rPr>
                <w:sz w:val="18"/>
                <w:szCs w:val="18"/>
              </w:rPr>
            </w:pPr>
            <w:r w:rsidRPr="00B43F59">
              <w:rPr>
                <w:sz w:val="18"/>
                <w:szCs w:val="18"/>
              </w:rPr>
              <w:t>Monitoring system to learn from the SLM, CSA, and biodiversity conservation interventions</w:t>
            </w:r>
          </w:p>
        </w:tc>
        <w:tc>
          <w:tcPr>
            <w:tcW w:w="605" w:type="pct"/>
            <w:shd w:val="clear" w:color="auto" w:fill="auto"/>
            <w:vAlign w:val="center"/>
          </w:tcPr>
          <w:p w14:paraId="06FFD1C7" w14:textId="77777777" w:rsidR="00302BFE" w:rsidRPr="00B43F59" w:rsidRDefault="00302BFE" w:rsidP="00243B15">
            <w:pPr>
              <w:spacing w:after="0"/>
              <w:jc w:val="left"/>
              <w:rPr>
                <w:sz w:val="18"/>
                <w:szCs w:val="18"/>
              </w:rPr>
            </w:pPr>
            <w:r w:rsidRPr="00B43F59">
              <w:rPr>
                <w:sz w:val="18"/>
                <w:szCs w:val="18"/>
              </w:rPr>
              <w:t>Monitoring system includes gender-based/SMART indicators</w:t>
            </w:r>
          </w:p>
        </w:tc>
        <w:tc>
          <w:tcPr>
            <w:tcW w:w="606" w:type="pct"/>
            <w:shd w:val="clear" w:color="auto" w:fill="auto"/>
            <w:vAlign w:val="center"/>
          </w:tcPr>
          <w:p w14:paraId="1F1F6AAE" w14:textId="77777777" w:rsidR="00302BFE" w:rsidRPr="00B43F59" w:rsidRDefault="00302BFE" w:rsidP="00243B15">
            <w:pPr>
              <w:spacing w:after="0"/>
              <w:jc w:val="left"/>
              <w:rPr>
                <w:sz w:val="18"/>
                <w:szCs w:val="18"/>
              </w:rPr>
            </w:pPr>
            <w:r w:rsidRPr="00B43F59">
              <w:rPr>
                <w:sz w:val="18"/>
                <w:szCs w:val="18"/>
              </w:rPr>
              <w:t>Monitoring system not developed</w:t>
            </w:r>
          </w:p>
        </w:tc>
        <w:tc>
          <w:tcPr>
            <w:tcW w:w="314" w:type="pct"/>
            <w:gridSpan w:val="2"/>
            <w:shd w:val="clear" w:color="auto" w:fill="auto"/>
            <w:vAlign w:val="center"/>
          </w:tcPr>
          <w:p w14:paraId="134C4F35"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71876E5B" w14:textId="77777777" w:rsidR="00302BFE" w:rsidRPr="00B43F59" w:rsidRDefault="00302BFE" w:rsidP="00243B15">
            <w:pPr>
              <w:spacing w:after="0"/>
              <w:jc w:val="left"/>
              <w:rPr>
                <w:sz w:val="18"/>
                <w:szCs w:val="18"/>
              </w:rPr>
            </w:pPr>
            <w:r w:rsidRPr="00B43F59">
              <w:rPr>
                <w:sz w:val="18"/>
                <w:szCs w:val="18"/>
              </w:rPr>
              <w:t>Communication and Knowledge Management Expert</w:t>
            </w:r>
          </w:p>
          <w:p w14:paraId="73A18B8C" w14:textId="77777777" w:rsidR="00302BFE" w:rsidRPr="00B43F59" w:rsidRDefault="00302BFE" w:rsidP="00243B15">
            <w:pPr>
              <w:spacing w:after="0"/>
              <w:jc w:val="left"/>
              <w:rPr>
                <w:sz w:val="18"/>
                <w:szCs w:val="18"/>
              </w:rPr>
            </w:pPr>
            <w:r w:rsidRPr="00B43F59">
              <w:rPr>
                <w:sz w:val="18"/>
                <w:szCs w:val="18"/>
              </w:rPr>
              <w:t>Gender Expert</w:t>
            </w:r>
          </w:p>
        </w:tc>
      </w:tr>
      <w:tr w:rsidR="00302BFE" w:rsidRPr="00B43F59" w14:paraId="39B84BAF" w14:textId="77777777" w:rsidTr="00243B15">
        <w:trPr>
          <w:gridAfter w:val="1"/>
          <w:wAfter w:w="6" w:type="pct"/>
          <w:jc w:val="center"/>
        </w:trPr>
        <w:tc>
          <w:tcPr>
            <w:tcW w:w="1229" w:type="pct"/>
            <w:shd w:val="clear" w:color="auto" w:fill="auto"/>
            <w:vAlign w:val="center"/>
          </w:tcPr>
          <w:p w14:paraId="4183A790" w14:textId="77777777" w:rsidR="00302BFE" w:rsidRPr="00B43F59" w:rsidRDefault="00302BFE" w:rsidP="00243B15">
            <w:pPr>
              <w:spacing w:after="0"/>
              <w:ind w:right="26"/>
              <w:jc w:val="left"/>
              <w:rPr>
                <w:sz w:val="18"/>
                <w:szCs w:val="18"/>
              </w:rPr>
            </w:pPr>
            <w:r w:rsidRPr="00B43F59">
              <w:rPr>
                <w:sz w:val="18"/>
                <w:szCs w:val="18"/>
              </w:rPr>
              <w:t>Develop materials to document women experiences and to raise public awareness about women/s needs expectations regarding SLM, biodiversity conservation and CSA (output 4.1)</w:t>
            </w:r>
          </w:p>
        </w:tc>
        <w:tc>
          <w:tcPr>
            <w:tcW w:w="1193" w:type="pct"/>
            <w:shd w:val="clear" w:color="auto" w:fill="auto"/>
            <w:vAlign w:val="center"/>
          </w:tcPr>
          <w:p w14:paraId="72C01CAC" w14:textId="77777777" w:rsidR="00302BFE" w:rsidRPr="00B43F59" w:rsidRDefault="00302BFE" w:rsidP="00243B15">
            <w:pPr>
              <w:spacing w:after="0"/>
              <w:ind w:right="26"/>
              <w:jc w:val="left"/>
              <w:rPr>
                <w:sz w:val="18"/>
                <w:szCs w:val="18"/>
              </w:rPr>
            </w:pPr>
            <w:r w:rsidRPr="00B43F59">
              <w:rPr>
                <w:sz w:val="18"/>
                <w:szCs w:val="18"/>
              </w:rPr>
              <w:t>Percent of training and public awareness materials and curricula produced that include women’s experiences and information disaggregated by gender</w:t>
            </w:r>
          </w:p>
        </w:tc>
        <w:tc>
          <w:tcPr>
            <w:tcW w:w="605" w:type="pct"/>
            <w:shd w:val="clear" w:color="auto" w:fill="auto"/>
            <w:vAlign w:val="center"/>
          </w:tcPr>
          <w:p w14:paraId="4F18D8C3" w14:textId="77777777" w:rsidR="00302BFE" w:rsidRPr="00B43F59" w:rsidRDefault="00302BFE" w:rsidP="00243B15">
            <w:pPr>
              <w:spacing w:after="0"/>
              <w:ind w:right="26"/>
              <w:jc w:val="left"/>
              <w:rPr>
                <w:sz w:val="18"/>
                <w:szCs w:val="18"/>
              </w:rPr>
            </w:pPr>
            <w:r w:rsidRPr="00B43F59">
              <w:rPr>
                <w:sz w:val="18"/>
                <w:szCs w:val="18"/>
              </w:rPr>
              <w:t xml:space="preserve">A minimum of 80% of all training materials, public awareness materials, and curricula developed in SLM, </w:t>
            </w:r>
            <w:r>
              <w:rPr>
                <w:sz w:val="18"/>
                <w:szCs w:val="18"/>
              </w:rPr>
              <w:t>BD</w:t>
            </w:r>
            <w:r w:rsidRPr="00B43F59">
              <w:rPr>
                <w:sz w:val="18"/>
                <w:szCs w:val="18"/>
              </w:rPr>
              <w:t xml:space="preserve"> conservation, and CSA include women experiences </w:t>
            </w:r>
            <w:r>
              <w:rPr>
                <w:sz w:val="18"/>
                <w:szCs w:val="18"/>
              </w:rPr>
              <w:t xml:space="preserve">and gender sensitive </w:t>
            </w:r>
            <w:r w:rsidRPr="00B43F59">
              <w:rPr>
                <w:sz w:val="18"/>
                <w:szCs w:val="18"/>
              </w:rPr>
              <w:t>information</w:t>
            </w:r>
          </w:p>
        </w:tc>
        <w:tc>
          <w:tcPr>
            <w:tcW w:w="606" w:type="pct"/>
            <w:shd w:val="clear" w:color="auto" w:fill="auto"/>
            <w:vAlign w:val="center"/>
          </w:tcPr>
          <w:p w14:paraId="0740886F" w14:textId="77777777" w:rsidR="00302BFE" w:rsidRPr="00B43F59" w:rsidRDefault="00302BFE" w:rsidP="00243B15">
            <w:pPr>
              <w:spacing w:after="0"/>
              <w:jc w:val="left"/>
              <w:rPr>
                <w:sz w:val="18"/>
                <w:szCs w:val="18"/>
              </w:rPr>
            </w:pPr>
            <w:r w:rsidRPr="00B43F59">
              <w:rPr>
                <w:sz w:val="18"/>
                <w:szCs w:val="18"/>
              </w:rPr>
              <w:t>Training materials not yet developed</w:t>
            </w:r>
          </w:p>
        </w:tc>
        <w:tc>
          <w:tcPr>
            <w:tcW w:w="314" w:type="pct"/>
            <w:gridSpan w:val="2"/>
            <w:shd w:val="clear" w:color="auto" w:fill="auto"/>
            <w:vAlign w:val="center"/>
          </w:tcPr>
          <w:p w14:paraId="51BECAC3"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1F757CC6" w14:textId="77777777" w:rsidR="00302BFE" w:rsidRPr="00B43F59" w:rsidRDefault="00302BFE" w:rsidP="00243B15">
            <w:pPr>
              <w:spacing w:after="0"/>
              <w:jc w:val="left"/>
              <w:rPr>
                <w:sz w:val="18"/>
                <w:szCs w:val="18"/>
              </w:rPr>
            </w:pPr>
            <w:r w:rsidRPr="00B43F59">
              <w:rPr>
                <w:sz w:val="18"/>
                <w:szCs w:val="18"/>
              </w:rPr>
              <w:t>Communication and Knowledge Management Expert</w:t>
            </w:r>
          </w:p>
          <w:p w14:paraId="79407AEA" w14:textId="77777777" w:rsidR="00302BFE" w:rsidRPr="00B43F59" w:rsidRDefault="00302BFE" w:rsidP="00243B15">
            <w:pPr>
              <w:spacing w:after="0"/>
              <w:jc w:val="left"/>
              <w:rPr>
                <w:sz w:val="18"/>
                <w:szCs w:val="18"/>
              </w:rPr>
            </w:pPr>
            <w:r w:rsidRPr="00B43F59">
              <w:rPr>
                <w:sz w:val="18"/>
                <w:szCs w:val="18"/>
              </w:rPr>
              <w:t>Gender Expert</w:t>
            </w:r>
          </w:p>
        </w:tc>
      </w:tr>
      <w:tr w:rsidR="00302BFE" w:rsidRPr="00B43F59" w14:paraId="3F45E78A" w14:textId="77777777" w:rsidTr="00243B15">
        <w:trPr>
          <w:gridAfter w:val="1"/>
          <w:wAfter w:w="6" w:type="pct"/>
          <w:jc w:val="center"/>
        </w:trPr>
        <w:tc>
          <w:tcPr>
            <w:tcW w:w="1229" w:type="pct"/>
            <w:shd w:val="clear" w:color="auto" w:fill="auto"/>
            <w:vAlign w:val="center"/>
          </w:tcPr>
          <w:p w14:paraId="6E3C48F8" w14:textId="77777777" w:rsidR="00302BFE" w:rsidRPr="00B43F59" w:rsidRDefault="00302BFE" w:rsidP="00243B15">
            <w:pPr>
              <w:spacing w:after="0"/>
              <w:contextualSpacing/>
              <w:jc w:val="left"/>
              <w:rPr>
                <w:sz w:val="18"/>
                <w:szCs w:val="18"/>
              </w:rPr>
            </w:pPr>
            <w:r w:rsidRPr="00B43F59">
              <w:rPr>
                <w:sz w:val="18"/>
                <w:szCs w:val="18"/>
              </w:rPr>
              <w:t xml:space="preserve">Provide Gender equality sensitization training to major project stakeholders including regional and commune-levels authorities and </w:t>
            </w:r>
            <w:proofErr w:type="spellStart"/>
            <w:r w:rsidRPr="00B43F59">
              <w:rPr>
                <w:sz w:val="18"/>
                <w:szCs w:val="18"/>
              </w:rPr>
              <w:t>and</w:t>
            </w:r>
            <w:proofErr w:type="spellEnd"/>
            <w:r w:rsidRPr="00B43F59">
              <w:rPr>
                <w:sz w:val="18"/>
                <w:szCs w:val="18"/>
              </w:rPr>
              <w:t xml:space="preserve"> local level stakeholders for gender mainstreaming in the project (output 4.1).</w:t>
            </w:r>
          </w:p>
        </w:tc>
        <w:tc>
          <w:tcPr>
            <w:tcW w:w="1193" w:type="pct"/>
            <w:shd w:val="clear" w:color="auto" w:fill="auto"/>
            <w:vAlign w:val="center"/>
          </w:tcPr>
          <w:p w14:paraId="19C84E7A" w14:textId="77777777" w:rsidR="00302BFE" w:rsidRPr="00B43F59" w:rsidRDefault="00302BFE" w:rsidP="00243B15">
            <w:pPr>
              <w:spacing w:after="0"/>
              <w:jc w:val="left"/>
              <w:rPr>
                <w:sz w:val="18"/>
                <w:szCs w:val="18"/>
              </w:rPr>
            </w:pPr>
            <w:r w:rsidRPr="00B43F59">
              <w:rPr>
                <w:sz w:val="18"/>
                <w:szCs w:val="18"/>
              </w:rPr>
              <w:t xml:space="preserve">Level of understanding among regional and commune-levels authorities and local level stakeholders of gender issues </w:t>
            </w:r>
          </w:p>
          <w:p w14:paraId="347765E1" w14:textId="77777777" w:rsidR="00302BFE" w:rsidRPr="00B43F59" w:rsidRDefault="00302BFE" w:rsidP="00243B15">
            <w:pPr>
              <w:spacing w:after="0"/>
              <w:jc w:val="left"/>
              <w:rPr>
                <w:sz w:val="18"/>
                <w:szCs w:val="18"/>
              </w:rPr>
            </w:pPr>
          </w:p>
        </w:tc>
        <w:tc>
          <w:tcPr>
            <w:tcW w:w="605" w:type="pct"/>
            <w:shd w:val="clear" w:color="auto" w:fill="auto"/>
            <w:vAlign w:val="center"/>
          </w:tcPr>
          <w:p w14:paraId="638C2E1F" w14:textId="77777777" w:rsidR="00302BFE" w:rsidRPr="00B43F59" w:rsidRDefault="00302BFE" w:rsidP="00243B15">
            <w:pPr>
              <w:spacing w:after="0"/>
              <w:jc w:val="left"/>
              <w:rPr>
                <w:sz w:val="18"/>
                <w:szCs w:val="18"/>
              </w:rPr>
            </w:pPr>
            <w:r w:rsidRPr="00B43F59">
              <w:rPr>
                <w:sz w:val="18"/>
                <w:szCs w:val="18"/>
              </w:rPr>
              <w:t xml:space="preserve">100% of participants achieve a 75% score in the post training test as a demonstration of their understanding of gender aspects of land and </w:t>
            </w:r>
            <w:r>
              <w:rPr>
                <w:sz w:val="18"/>
                <w:szCs w:val="18"/>
              </w:rPr>
              <w:t>NRM</w:t>
            </w:r>
            <w:r w:rsidRPr="00B43F59">
              <w:rPr>
                <w:sz w:val="18"/>
                <w:szCs w:val="18"/>
              </w:rPr>
              <w:t xml:space="preserve"> and </w:t>
            </w:r>
            <w:r w:rsidRPr="00B43F59">
              <w:rPr>
                <w:sz w:val="18"/>
                <w:szCs w:val="18"/>
              </w:rPr>
              <w:lastRenderedPageBreak/>
              <w:t xml:space="preserve">conservation of </w:t>
            </w:r>
            <w:r>
              <w:rPr>
                <w:sz w:val="18"/>
                <w:szCs w:val="18"/>
              </w:rPr>
              <w:t>BD</w:t>
            </w:r>
            <w:r w:rsidRPr="00B43F59">
              <w:rPr>
                <w:sz w:val="18"/>
                <w:szCs w:val="18"/>
              </w:rPr>
              <w:t xml:space="preserve"> and </w:t>
            </w:r>
            <w:r>
              <w:rPr>
                <w:sz w:val="18"/>
                <w:szCs w:val="18"/>
              </w:rPr>
              <w:t>ES</w:t>
            </w:r>
          </w:p>
        </w:tc>
        <w:tc>
          <w:tcPr>
            <w:tcW w:w="606" w:type="pct"/>
            <w:shd w:val="clear" w:color="auto" w:fill="auto"/>
            <w:vAlign w:val="center"/>
          </w:tcPr>
          <w:p w14:paraId="13D23CBF" w14:textId="77777777" w:rsidR="00302BFE" w:rsidRPr="00B43F59" w:rsidRDefault="00302BFE" w:rsidP="00243B15">
            <w:pPr>
              <w:spacing w:after="0"/>
              <w:jc w:val="left"/>
              <w:rPr>
                <w:sz w:val="18"/>
                <w:szCs w:val="18"/>
              </w:rPr>
            </w:pPr>
            <w:r w:rsidRPr="00B43F59">
              <w:rPr>
                <w:sz w:val="18"/>
                <w:szCs w:val="18"/>
              </w:rPr>
              <w:lastRenderedPageBreak/>
              <w:t>0%</w:t>
            </w:r>
          </w:p>
        </w:tc>
        <w:tc>
          <w:tcPr>
            <w:tcW w:w="314" w:type="pct"/>
            <w:gridSpan w:val="2"/>
            <w:shd w:val="clear" w:color="auto" w:fill="auto"/>
            <w:vAlign w:val="center"/>
          </w:tcPr>
          <w:p w14:paraId="03712AEE" w14:textId="77777777" w:rsidR="00302BFE" w:rsidRPr="00B43F59" w:rsidRDefault="00302BFE" w:rsidP="00243B15">
            <w:pPr>
              <w:spacing w:after="0"/>
              <w:jc w:val="left"/>
              <w:rPr>
                <w:sz w:val="18"/>
                <w:szCs w:val="18"/>
              </w:rPr>
            </w:pPr>
            <w:r w:rsidRPr="00B43F59">
              <w:rPr>
                <w:sz w:val="18"/>
                <w:szCs w:val="18"/>
              </w:rPr>
              <w:t>Year 1</w:t>
            </w:r>
          </w:p>
        </w:tc>
        <w:tc>
          <w:tcPr>
            <w:tcW w:w="1047" w:type="pct"/>
            <w:shd w:val="clear" w:color="auto" w:fill="auto"/>
            <w:vAlign w:val="center"/>
          </w:tcPr>
          <w:p w14:paraId="2788A123" w14:textId="77777777" w:rsidR="00302BFE" w:rsidRPr="00B43F59" w:rsidRDefault="00302BFE" w:rsidP="00243B15">
            <w:pPr>
              <w:contextualSpacing/>
              <w:jc w:val="left"/>
              <w:rPr>
                <w:sz w:val="18"/>
                <w:szCs w:val="18"/>
                <w:lang w:eastAsia="fr-CA"/>
              </w:rPr>
            </w:pPr>
            <w:r w:rsidRPr="00B43F59">
              <w:rPr>
                <w:sz w:val="18"/>
                <w:szCs w:val="18"/>
                <w:lang w:eastAsia="fr-CA"/>
              </w:rPr>
              <w:t>Project Gender Expert</w:t>
            </w:r>
          </w:p>
          <w:p w14:paraId="3F9A89CA" w14:textId="77777777" w:rsidR="00302BFE" w:rsidRPr="00B43F59" w:rsidRDefault="00302BFE" w:rsidP="00243B15">
            <w:pPr>
              <w:contextualSpacing/>
              <w:jc w:val="left"/>
              <w:rPr>
                <w:sz w:val="18"/>
                <w:szCs w:val="18"/>
                <w:lang w:val="en-CA" w:eastAsia="fr-CA"/>
              </w:rPr>
            </w:pPr>
            <w:r w:rsidRPr="00484E9D">
              <w:rPr>
                <w:sz w:val="18"/>
                <w:szCs w:val="18"/>
                <w:lang w:eastAsia="fr-CA"/>
              </w:rPr>
              <w:fldChar w:fldCharType="begin"/>
            </w:r>
            <w:r w:rsidRPr="00B43F59">
              <w:rPr>
                <w:sz w:val="18"/>
                <w:szCs w:val="18"/>
                <w:lang w:val="en-CA" w:eastAsia="fr-CA"/>
              </w:rPr>
              <w:instrText xml:space="preserve"> HYPERLINK "http://lefaso.net/spip.php?article87367" </w:instrText>
            </w:r>
            <w:r w:rsidRPr="00484E9D">
              <w:rPr>
                <w:sz w:val="18"/>
                <w:szCs w:val="18"/>
                <w:lang w:eastAsia="fr-CA"/>
              </w:rPr>
              <w:fldChar w:fldCharType="separate"/>
            </w:r>
            <w:r w:rsidRPr="00B43F59">
              <w:rPr>
                <w:sz w:val="18"/>
                <w:szCs w:val="18"/>
                <w:lang w:val="en-CA"/>
              </w:rPr>
              <w:t>Ministry of Women, National Solidarity and Family</w:t>
            </w:r>
          </w:p>
          <w:p w14:paraId="26A4EE90" w14:textId="77777777" w:rsidR="00302BFE" w:rsidRPr="00B43F59" w:rsidRDefault="00302BFE" w:rsidP="00243B15">
            <w:pPr>
              <w:spacing w:after="0"/>
              <w:jc w:val="left"/>
              <w:rPr>
                <w:sz w:val="18"/>
                <w:szCs w:val="18"/>
              </w:rPr>
            </w:pPr>
            <w:r w:rsidRPr="00484E9D">
              <w:fldChar w:fldCharType="end"/>
            </w:r>
            <w:r w:rsidRPr="00B43F59">
              <w:rPr>
                <w:sz w:val="18"/>
                <w:szCs w:val="18"/>
              </w:rPr>
              <w:t>Permanent Secretariat of the National Council for the Promotion of Gender (SP/CONEP gender)</w:t>
            </w:r>
          </w:p>
          <w:p w14:paraId="2060DE89" w14:textId="77777777" w:rsidR="00302BFE" w:rsidRPr="00B43F59" w:rsidRDefault="00302BFE" w:rsidP="00243B15">
            <w:pPr>
              <w:contextualSpacing/>
              <w:jc w:val="left"/>
              <w:rPr>
                <w:sz w:val="18"/>
                <w:szCs w:val="18"/>
                <w:lang w:eastAsia="fr-CA"/>
              </w:rPr>
            </w:pPr>
            <w:r w:rsidRPr="00381E15">
              <w:rPr>
                <w:sz w:val="18"/>
                <w:szCs w:val="18"/>
                <w:lang w:eastAsia="fr-CA"/>
              </w:rPr>
              <w:t>Housing, and Community Development</w:t>
            </w:r>
          </w:p>
        </w:tc>
      </w:tr>
      <w:tr w:rsidR="00302BFE" w:rsidRPr="00B43F59" w14:paraId="1319A928" w14:textId="77777777" w:rsidTr="00243B15">
        <w:trPr>
          <w:gridAfter w:val="1"/>
          <w:wAfter w:w="6" w:type="pct"/>
          <w:jc w:val="center"/>
        </w:trPr>
        <w:tc>
          <w:tcPr>
            <w:tcW w:w="4994" w:type="pct"/>
            <w:gridSpan w:val="7"/>
            <w:shd w:val="clear" w:color="auto" w:fill="auto"/>
            <w:vAlign w:val="center"/>
          </w:tcPr>
          <w:p w14:paraId="77D074B1" w14:textId="77777777" w:rsidR="00302BFE" w:rsidRPr="00B43F59" w:rsidRDefault="00302BFE" w:rsidP="00243B15">
            <w:pPr>
              <w:spacing w:after="0"/>
              <w:jc w:val="left"/>
              <w:rPr>
                <w:b/>
                <w:sz w:val="18"/>
                <w:szCs w:val="18"/>
                <w:lang w:val="en-CA"/>
              </w:rPr>
            </w:pPr>
            <w:r w:rsidRPr="00B43F59">
              <w:rPr>
                <w:b/>
                <w:sz w:val="18"/>
                <w:szCs w:val="18"/>
                <w:lang w:val="en-CA"/>
              </w:rPr>
              <w:t xml:space="preserve">Output 4.2: Technical knowledge and lessons learned from the project's experiences are compiled, </w:t>
            </w:r>
            <w:proofErr w:type="gramStart"/>
            <w:r w:rsidRPr="00B43F59">
              <w:rPr>
                <w:b/>
                <w:sz w:val="18"/>
                <w:szCs w:val="18"/>
                <w:lang w:val="en-CA"/>
              </w:rPr>
              <w:t>assessed</w:t>
            </w:r>
            <w:proofErr w:type="gramEnd"/>
            <w:r w:rsidRPr="00B43F59">
              <w:rPr>
                <w:b/>
                <w:sz w:val="18"/>
                <w:szCs w:val="18"/>
                <w:lang w:val="en-CA"/>
              </w:rPr>
              <w:t xml:space="preserve"> and translated into knowledge products</w:t>
            </w:r>
          </w:p>
        </w:tc>
      </w:tr>
      <w:tr w:rsidR="00302BFE" w:rsidRPr="00B43F59" w14:paraId="136C5C1E" w14:textId="77777777" w:rsidTr="00243B15">
        <w:trPr>
          <w:gridAfter w:val="1"/>
          <w:wAfter w:w="6" w:type="pct"/>
          <w:jc w:val="center"/>
        </w:trPr>
        <w:tc>
          <w:tcPr>
            <w:tcW w:w="1229" w:type="pct"/>
            <w:shd w:val="clear" w:color="auto" w:fill="auto"/>
            <w:vAlign w:val="center"/>
          </w:tcPr>
          <w:p w14:paraId="5A7B2AF0" w14:textId="77777777" w:rsidR="00302BFE" w:rsidRPr="00B43F59" w:rsidRDefault="00302BFE" w:rsidP="00243B15">
            <w:pPr>
              <w:spacing w:after="0"/>
              <w:jc w:val="left"/>
              <w:rPr>
                <w:sz w:val="18"/>
                <w:szCs w:val="18"/>
              </w:rPr>
            </w:pPr>
            <w:r w:rsidRPr="00B43F59">
              <w:rPr>
                <w:sz w:val="18"/>
                <w:szCs w:val="18"/>
              </w:rPr>
              <w:t>Monitor indicators in the project results framework, including gender related indicators data disaggregated for men and women (output 4.2)</w:t>
            </w:r>
          </w:p>
        </w:tc>
        <w:tc>
          <w:tcPr>
            <w:tcW w:w="1193" w:type="pct"/>
            <w:shd w:val="clear" w:color="auto" w:fill="auto"/>
            <w:vAlign w:val="center"/>
          </w:tcPr>
          <w:p w14:paraId="422B16FF" w14:textId="77777777" w:rsidR="00302BFE" w:rsidRPr="00B43F59" w:rsidRDefault="00302BFE" w:rsidP="00243B15">
            <w:pPr>
              <w:spacing w:after="0"/>
              <w:jc w:val="left"/>
              <w:rPr>
                <w:sz w:val="18"/>
                <w:szCs w:val="18"/>
              </w:rPr>
            </w:pPr>
            <w:r w:rsidRPr="00B43F59">
              <w:rPr>
                <w:sz w:val="18"/>
                <w:szCs w:val="18"/>
              </w:rPr>
              <w:t>Level of women participation in monitoring and evaluation activities</w:t>
            </w:r>
          </w:p>
        </w:tc>
        <w:tc>
          <w:tcPr>
            <w:tcW w:w="605" w:type="pct"/>
            <w:shd w:val="clear" w:color="auto" w:fill="auto"/>
            <w:vAlign w:val="center"/>
          </w:tcPr>
          <w:p w14:paraId="0A1E1E5D" w14:textId="77777777" w:rsidR="00302BFE" w:rsidRPr="00B43F59" w:rsidRDefault="00302BFE" w:rsidP="00243B15">
            <w:pPr>
              <w:spacing w:after="0"/>
              <w:jc w:val="left"/>
              <w:rPr>
                <w:sz w:val="18"/>
                <w:szCs w:val="18"/>
              </w:rPr>
            </w:pPr>
            <w:r w:rsidRPr="00B43F59">
              <w:rPr>
                <w:sz w:val="18"/>
                <w:szCs w:val="18"/>
              </w:rPr>
              <w:t>100 % of project M&amp; E activities with women participation</w:t>
            </w:r>
          </w:p>
        </w:tc>
        <w:tc>
          <w:tcPr>
            <w:tcW w:w="606" w:type="pct"/>
            <w:shd w:val="clear" w:color="auto" w:fill="auto"/>
            <w:vAlign w:val="center"/>
          </w:tcPr>
          <w:p w14:paraId="407F9493" w14:textId="77777777" w:rsidR="00302BFE" w:rsidRPr="00B43F59" w:rsidRDefault="00302BFE" w:rsidP="00243B15">
            <w:pPr>
              <w:spacing w:after="0"/>
              <w:jc w:val="left"/>
              <w:rPr>
                <w:sz w:val="18"/>
                <w:szCs w:val="18"/>
              </w:rPr>
            </w:pPr>
            <w:r w:rsidRPr="00B43F59">
              <w:rPr>
                <w:sz w:val="18"/>
                <w:szCs w:val="18"/>
              </w:rPr>
              <w:t>None, project M&amp;E activities have not started</w:t>
            </w:r>
          </w:p>
        </w:tc>
        <w:tc>
          <w:tcPr>
            <w:tcW w:w="314" w:type="pct"/>
            <w:gridSpan w:val="2"/>
            <w:shd w:val="clear" w:color="auto" w:fill="auto"/>
            <w:vAlign w:val="center"/>
          </w:tcPr>
          <w:p w14:paraId="7973AD7B" w14:textId="77777777" w:rsidR="00302BFE" w:rsidRPr="00B43F59" w:rsidRDefault="00302BFE" w:rsidP="00243B15">
            <w:pPr>
              <w:spacing w:after="0"/>
              <w:jc w:val="left"/>
              <w:rPr>
                <w:sz w:val="18"/>
                <w:szCs w:val="18"/>
              </w:rPr>
            </w:pPr>
            <w:r w:rsidRPr="00B43F59">
              <w:rPr>
                <w:sz w:val="18"/>
                <w:szCs w:val="18"/>
              </w:rPr>
              <w:t>Years 1 to 6</w:t>
            </w:r>
          </w:p>
        </w:tc>
        <w:tc>
          <w:tcPr>
            <w:tcW w:w="1047" w:type="pct"/>
            <w:shd w:val="clear" w:color="auto" w:fill="auto"/>
            <w:vAlign w:val="center"/>
          </w:tcPr>
          <w:p w14:paraId="65D33EF8" w14:textId="77777777" w:rsidR="00302BFE" w:rsidRPr="00B43F59" w:rsidRDefault="00302BFE" w:rsidP="00243B15">
            <w:pPr>
              <w:spacing w:after="0"/>
              <w:jc w:val="left"/>
              <w:rPr>
                <w:sz w:val="18"/>
                <w:szCs w:val="18"/>
              </w:rPr>
            </w:pPr>
            <w:r w:rsidRPr="00B43F59">
              <w:rPr>
                <w:sz w:val="18"/>
                <w:szCs w:val="18"/>
              </w:rPr>
              <w:t>Gender Expert</w:t>
            </w:r>
          </w:p>
          <w:p w14:paraId="74239086" w14:textId="77777777" w:rsidR="00302BFE" w:rsidRPr="00B43F59" w:rsidRDefault="00302BFE" w:rsidP="00243B15">
            <w:pPr>
              <w:spacing w:after="0"/>
              <w:jc w:val="left"/>
              <w:rPr>
                <w:sz w:val="18"/>
                <w:szCs w:val="18"/>
              </w:rPr>
            </w:pPr>
            <w:r w:rsidRPr="00B43F59">
              <w:rPr>
                <w:sz w:val="18"/>
                <w:szCs w:val="18"/>
              </w:rPr>
              <w:t>M&amp;E Expert</w:t>
            </w:r>
          </w:p>
        </w:tc>
      </w:tr>
      <w:tr w:rsidR="00302BFE" w:rsidRPr="00B43F59" w14:paraId="7E913A21" w14:textId="77777777" w:rsidTr="00243B15">
        <w:trPr>
          <w:gridAfter w:val="1"/>
          <w:wAfter w:w="6" w:type="pct"/>
          <w:jc w:val="center"/>
        </w:trPr>
        <w:tc>
          <w:tcPr>
            <w:tcW w:w="1229" w:type="pct"/>
            <w:shd w:val="clear" w:color="auto" w:fill="auto"/>
            <w:vAlign w:val="center"/>
          </w:tcPr>
          <w:p w14:paraId="3F16B30E" w14:textId="77777777" w:rsidR="00302BFE" w:rsidRPr="00B43F59" w:rsidRDefault="00302BFE" w:rsidP="00243B15">
            <w:pPr>
              <w:spacing w:after="0"/>
              <w:jc w:val="left"/>
              <w:rPr>
                <w:sz w:val="18"/>
                <w:szCs w:val="18"/>
              </w:rPr>
            </w:pPr>
            <w:r w:rsidRPr="00B43F59">
              <w:rPr>
                <w:sz w:val="18"/>
                <w:szCs w:val="18"/>
              </w:rPr>
              <w:t>Ensure a proportionate representation of women among respondents are included in the project surveys and baseline data collected (output 4.2)</w:t>
            </w:r>
          </w:p>
        </w:tc>
        <w:tc>
          <w:tcPr>
            <w:tcW w:w="1193" w:type="pct"/>
            <w:shd w:val="clear" w:color="auto" w:fill="auto"/>
            <w:vAlign w:val="center"/>
          </w:tcPr>
          <w:p w14:paraId="64DFF6DA" w14:textId="77777777" w:rsidR="00302BFE" w:rsidRPr="00B43F59" w:rsidRDefault="00302BFE" w:rsidP="00243B15">
            <w:pPr>
              <w:spacing w:after="0"/>
              <w:jc w:val="left"/>
              <w:rPr>
                <w:sz w:val="18"/>
                <w:szCs w:val="18"/>
              </w:rPr>
            </w:pPr>
            <w:r w:rsidRPr="00B43F59">
              <w:rPr>
                <w:sz w:val="18"/>
                <w:szCs w:val="18"/>
              </w:rPr>
              <w:t>Level of women participation in monitoring and evaluation activities</w:t>
            </w:r>
          </w:p>
        </w:tc>
        <w:tc>
          <w:tcPr>
            <w:tcW w:w="605" w:type="pct"/>
            <w:shd w:val="clear" w:color="auto" w:fill="auto"/>
            <w:vAlign w:val="center"/>
          </w:tcPr>
          <w:p w14:paraId="7F0DF011" w14:textId="77777777" w:rsidR="00302BFE" w:rsidRPr="00B43F59" w:rsidRDefault="00302BFE" w:rsidP="00243B15">
            <w:pPr>
              <w:spacing w:after="0"/>
              <w:jc w:val="left"/>
              <w:rPr>
                <w:sz w:val="18"/>
                <w:szCs w:val="18"/>
              </w:rPr>
            </w:pPr>
            <w:r w:rsidRPr="00B43F59">
              <w:rPr>
                <w:sz w:val="18"/>
                <w:szCs w:val="18"/>
              </w:rPr>
              <w:t>100 % of project M&amp; E activities with women participation</w:t>
            </w:r>
          </w:p>
        </w:tc>
        <w:tc>
          <w:tcPr>
            <w:tcW w:w="606" w:type="pct"/>
            <w:shd w:val="clear" w:color="auto" w:fill="auto"/>
            <w:vAlign w:val="center"/>
          </w:tcPr>
          <w:p w14:paraId="54BFCB70" w14:textId="77777777" w:rsidR="00302BFE" w:rsidRPr="00B43F59" w:rsidRDefault="00302BFE" w:rsidP="00243B15">
            <w:pPr>
              <w:spacing w:after="0"/>
              <w:jc w:val="left"/>
              <w:rPr>
                <w:sz w:val="18"/>
                <w:szCs w:val="18"/>
              </w:rPr>
            </w:pPr>
            <w:r w:rsidRPr="00B43F59">
              <w:rPr>
                <w:sz w:val="18"/>
                <w:szCs w:val="18"/>
              </w:rPr>
              <w:t>None, project M&amp;E activities have not started</w:t>
            </w:r>
          </w:p>
        </w:tc>
        <w:tc>
          <w:tcPr>
            <w:tcW w:w="314" w:type="pct"/>
            <w:gridSpan w:val="2"/>
            <w:shd w:val="clear" w:color="auto" w:fill="auto"/>
            <w:vAlign w:val="center"/>
          </w:tcPr>
          <w:p w14:paraId="5CEC6CEA" w14:textId="77777777" w:rsidR="00302BFE" w:rsidRPr="00B43F59" w:rsidRDefault="00302BFE" w:rsidP="00243B15">
            <w:pPr>
              <w:spacing w:after="0"/>
              <w:jc w:val="left"/>
              <w:rPr>
                <w:sz w:val="18"/>
                <w:szCs w:val="18"/>
              </w:rPr>
            </w:pPr>
            <w:r w:rsidRPr="00B43F59">
              <w:rPr>
                <w:sz w:val="18"/>
                <w:szCs w:val="18"/>
              </w:rPr>
              <w:t>Years 1 to 6</w:t>
            </w:r>
          </w:p>
        </w:tc>
        <w:tc>
          <w:tcPr>
            <w:tcW w:w="1047" w:type="pct"/>
            <w:shd w:val="clear" w:color="auto" w:fill="auto"/>
            <w:vAlign w:val="center"/>
          </w:tcPr>
          <w:p w14:paraId="751B360E" w14:textId="77777777" w:rsidR="00302BFE" w:rsidRPr="00B43F59" w:rsidRDefault="00302BFE" w:rsidP="00243B15">
            <w:pPr>
              <w:spacing w:after="0"/>
              <w:jc w:val="left"/>
              <w:rPr>
                <w:sz w:val="18"/>
                <w:szCs w:val="18"/>
              </w:rPr>
            </w:pPr>
            <w:r w:rsidRPr="00B43F59">
              <w:rPr>
                <w:sz w:val="18"/>
                <w:szCs w:val="18"/>
              </w:rPr>
              <w:t>Gender Expert</w:t>
            </w:r>
          </w:p>
          <w:p w14:paraId="2FF5AA41" w14:textId="77777777" w:rsidR="00302BFE" w:rsidRPr="00B43F59" w:rsidRDefault="00302BFE" w:rsidP="00243B15">
            <w:pPr>
              <w:spacing w:after="0"/>
              <w:jc w:val="left"/>
              <w:rPr>
                <w:sz w:val="18"/>
                <w:szCs w:val="18"/>
              </w:rPr>
            </w:pPr>
            <w:r w:rsidRPr="00B43F59">
              <w:rPr>
                <w:sz w:val="18"/>
                <w:szCs w:val="18"/>
              </w:rPr>
              <w:t>M&amp;E Expert</w:t>
            </w:r>
          </w:p>
        </w:tc>
      </w:tr>
      <w:tr w:rsidR="00302BFE" w:rsidRPr="00B43F59" w14:paraId="0F188969" w14:textId="77777777" w:rsidTr="00243B15">
        <w:trPr>
          <w:gridAfter w:val="1"/>
          <w:wAfter w:w="6" w:type="pct"/>
          <w:jc w:val="center"/>
        </w:trPr>
        <w:tc>
          <w:tcPr>
            <w:tcW w:w="1229" w:type="pct"/>
            <w:shd w:val="clear" w:color="auto" w:fill="auto"/>
            <w:vAlign w:val="center"/>
          </w:tcPr>
          <w:p w14:paraId="246FFEDF" w14:textId="77777777" w:rsidR="00302BFE" w:rsidRPr="00B43F59" w:rsidRDefault="00302BFE" w:rsidP="00243B15">
            <w:pPr>
              <w:spacing w:after="0"/>
              <w:jc w:val="left"/>
              <w:rPr>
                <w:sz w:val="18"/>
                <w:szCs w:val="18"/>
              </w:rPr>
            </w:pPr>
            <w:r w:rsidRPr="00B43F59">
              <w:rPr>
                <w:sz w:val="18"/>
                <w:szCs w:val="18"/>
              </w:rPr>
              <w:t>Establish during the mid-term and final evaluations and other M&amp;E activities, differentiated spaces for consultation and dialogue, only with female referents on the one hand and male referents on the other (output 4.2)</w:t>
            </w:r>
          </w:p>
        </w:tc>
        <w:tc>
          <w:tcPr>
            <w:tcW w:w="1193" w:type="pct"/>
            <w:shd w:val="clear" w:color="auto" w:fill="auto"/>
            <w:vAlign w:val="center"/>
          </w:tcPr>
          <w:p w14:paraId="779186A7" w14:textId="77777777" w:rsidR="00302BFE" w:rsidRPr="00B43F59" w:rsidRDefault="00302BFE" w:rsidP="00243B15">
            <w:pPr>
              <w:spacing w:after="0"/>
              <w:jc w:val="left"/>
              <w:rPr>
                <w:sz w:val="18"/>
                <w:szCs w:val="18"/>
              </w:rPr>
            </w:pPr>
            <w:r w:rsidRPr="00B43F59">
              <w:rPr>
                <w:sz w:val="18"/>
                <w:szCs w:val="18"/>
              </w:rPr>
              <w:t>Level of women participation in monitoring and evaluation activities</w:t>
            </w:r>
          </w:p>
        </w:tc>
        <w:tc>
          <w:tcPr>
            <w:tcW w:w="605" w:type="pct"/>
            <w:shd w:val="clear" w:color="auto" w:fill="auto"/>
            <w:vAlign w:val="center"/>
          </w:tcPr>
          <w:p w14:paraId="24E7A61D" w14:textId="77777777" w:rsidR="00302BFE" w:rsidRPr="00B43F59" w:rsidRDefault="00302BFE" w:rsidP="00243B15">
            <w:pPr>
              <w:spacing w:after="0"/>
              <w:jc w:val="left"/>
              <w:rPr>
                <w:sz w:val="18"/>
                <w:szCs w:val="18"/>
              </w:rPr>
            </w:pPr>
            <w:r w:rsidRPr="00B43F59">
              <w:rPr>
                <w:sz w:val="18"/>
                <w:szCs w:val="18"/>
              </w:rPr>
              <w:t>100 % of project M&amp; E activities with women participation</w:t>
            </w:r>
          </w:p>
        </w:tc>
        <w:tc>
          <w:tcPr>
            <w:tcW w:w="606" w:type="pct"/>
            <w:shd w:val="clear" w:color="auto" w:fill="auto"/>
            <w:vAlign w:val="center"/>
          </w:tcPr>
          <w:p w14:paraId="65DC5A4F" w14:textId="77777777" w:rsidR="00302BFE" w:rsidRPr="00B43F59" w:rsidRDefault="00302BFE" w:rsidP="00243B15">
            <w:pPr>
              <w:spacing w:after="0"/>
              <w:jc w:val="left"/>
              <w:rPr>
                <w:sz w:val="18"/>
                <w:szCs w:val="18"/>
              </w:rPr>
            </w:pPr>
            <w:r w:rsidRPr="00B43F59">
              <w:rPr>
                <w:sz w:val="18"/>
                <w:szCs w:val="18"/>
              </w:rPr>
              <w:t>None, project M&amp;E activities have not started</w:t>
            </w:r>
          </w:p>
        </w:tc>
        <w:tc>
          <w:tcPr>
            <w:tcW w:w="314" w:type="pct"/>
            <w:gridSpan w:val="2"/>
            <w:shd w:val="clear" w:color="auto" w:fill="auto"/>
            <w:vAlign w:val="center"/>
          </w:tcPr>
          <w:p w14:paraId="5181763E" w14:textId="77777777" w:rsidR="00302BFE" w:rsidRPr="00B43F59" w:rsidRDefault="00302BFE" w:rsidP="00243B15">
            <w:pPr>
              <w:spacing w:after="0"/>
              <w:jc w:val="left"/>
              <w:rPr>
                <w:sz w:val="18"/>
                <w:szCs w:val="18"/>
              </w:rPr>
            </w:pPr>
            <w:r w:rsidRPr="00B43F59">
              <w:rPr>
                <w:sz w:val="18"/>
                <w:szCs w:val="18"/>
              </w:rPr>
              <w:t>Years 1 to 6</w:t>
            </w:r>
          </w:p>
        </w:tc>
        <w:tc>
          <w:tcPr>
            <w:tcW w:w="1047" w:type="pct"/>
            <w:shd w:val="clear" w:color="auto" w:fill="auto"/>
            <w:vAlign w:val="center"/>
          </w:tcPr>
          <w:p w14:paraId="6EA217CA" w14:textId="77777777" w:rsidR="00302BFE" w:rsidRPr="00B43F59" w:rsidRDefault="00302BFE" w:rsidP="00243B15">
            <w:pPr>
              <w:spacing w:after="0"/>
              <w:jc w:val="left"/>
              <w:rPr>
                <w:sz w:val="18"/>
                <w:szCs w:val="18"/>
              </w:rPr>
            </w:pPr>
            <w:r w:rsidRPr="00B43F59">
              <w:rPr>
                <w:sz w:val="18"/>
                <w:szCs w:val="18"/>
              </w:rPr>
              <w:t>Gender Expert</w:t>
            </w:r>
          </w:p>
          <w:p w14:paraId="5B779678" w14:textId="77777777" w:rsidR="00302BFE" w:rsidRDefault="00302BFE" w:rsidP="00243B15">
            <w:pPr>
              <w:spacing w:after="0"/>
              <w:jc w:val="left"/>
              <w:rPr>
                <w:sz w:val="18"/>
                <w:szCs w:val="18"/>
              </w:rPr>
            </w:pPr>
            <w:r w:rsidRPr="00B43F59">
              <w:rPr>
                <w:sz w:val="18"/>
                <w:szCs w:val="18"/>
              </w:rPr>
              <w:t>M&amp;E Expert</w:t>
            </w:r>
          </w:p>
          <w:p w14:paraId="15D45DA0" w14:textId="77777777" w:rsidR="00302BFE" w:rsidRPr="00B43F59" w:rsidRDefault="00302BFE" w:rsidP="00243B15">
            <w:pPr>
              <w:spacing w:after="0"/>
              <w:jc w:val="left"/>
              <w:rPr>
                <w:sz w:val="18"/>
                <w:szCs w:val="18"/>
              </w:rPr>
            </w:pPr>
            <w:r w:rsidRPr="00B43F59">
              <w:rPr>
                <w:sz w:val="18"/>
                <w:szCs w:val="18"/>
              </w:rPr>
              <w:t>Independent Evaluators</w:t>
            </w:r>
          </w:p>
        </w:tc>
      </w:tr>
      <w:tr w:rsidR="00302BFE" w:rsidRPr="00B43F59" w14:paraId="5D893058" w14:textId="77777777" w:rsidTr="00243B15">
        <w:trPr>
          <w:jc w:val="center"/>
        </w:trPr>
        <w:tc>
          <w:tcPr>
            <w:tcW w:w="5000" w:type="pct"/>
            <w:gridSpan w:val="8"/>
            <w:shd w:val="clear" w:color="auto" w:fill="auto"/>
          </w:tcPr>
          <w:p w14:paraId="3B5C4328" w14:textId="77777777" w:rsidR="00302BFE" w:rsidRPr="00B43F59" w:rsidRDefault="00302BFE" w:rsidP="00243B15">
            <w:pPr>
              <w:spacing w:after="0"/>
              <w:jc w:val="left"/>
              <w:rPr>
                <w:b/>
                <w:sz w:val="18"/>
                <w:szCs w:val="18"/>
                <w:lang w:val="en-CA"/>
              </w:rPr>
            </w:pPr>
            <w:r w:rsidRPr="00B43F59">
              <w:rPr>
                <w:rFonts w:eastAsia="Calibri"/>
                <w:b/>
                <w:sz w:val="18"/>
                <w:szCs w:val="18"/>
                <w:lang w:val="en-CA"/>
              </w:rPr>
              <w:t>Output 4.3. Learnings are disseminated through the project communication plan to enable their widespread adoption</w:t>
            </w:r>
          </w:p>
        </w:tc>
      </w:tr>
      <w:tr w:rsidR="00302BFE" w:rsidRPr="00B43F59" w14:paraId="670D669B" w14:textId="77777777" w:rsidTr="00243B15">
        <w:trPr>
          <w:gridAfter w:val="1"/>
          <w:wAfter w:w="6" w:type="pct"/>
          <w:trHeight w:val="964"/>
          <w:jc w:val="center"/>
        </w:trPr>
        <w:tc>
          <w:tcPr>
            <w:tcW w:w="1229" w:type="pct"/>
            <w:shd w:val="clear" w:color="auto" w:fill="auto"/>
            <w:vAlign w:val="center"/>
          </w:tcPr>
          <w:p w14:paraId="73107F80" w14:textId="77777777" w:rsidR="00302BFE" w:rsidRPr="00B43F59" w:rsidRDefault="00302BFE" w:rsidP="00243B15">
            <w:pPr>
              <w:spacing w:after="0"/>
              <w:jc w:val="left"/>
              <w:rPr>
                <w:sz w:val="18"/>
                <w:szCs w:val="18"/>
              </w:rPr>
            </w:pPr>
            <w:r w:rsidRPr="00B43F59">
              <w:rPr>
                <w:sz w:val="18"/>
                <w:szCs w:val="18"/>
              </w:rPr>
              <w:t>Ensure that the materials produced encourage the use of inclusive gender-neutral language and that women are depicted (output 4.3)</w:t>
            </w:r>
          </w:p>
        </w:tc>
        <w:tc>
          <w:tcPr>
            <w:tcW w:w="1193" w:type="pct"/>
            <w:tcBorders>
              <w:bottom w:val="single" w:sz="4" w:space="0" w:color="auto"/>
            </w:tcBorders>
            <w:shd w:val="clear" w:color="auto" w:fill="auto"/>
            <w:vAlign w:val="center"/>
          </w:tcPr>
          <w:p w14:paraId="5AF8420A" w14:textId="77777777" w:rsidR="00302BFE" w:rsidRPr="00B43F59" w:rsidRDefault="00302BFE" w:rsidP="00243B15">
            <w:pPr>
              <w:spacing w:after="0"/>
              <w:jc w:val="left"/>
              <w:rPr>
                <w:sz w:val="18"/>
                <w:szCs w:val="18"/>
              </w:rPr>
            </w:pPr>
            <w:r w:rsidRPr="00B43F59">
              <w:rPr>
                <w:sz w:val="18"/>
                <w:szCs w:val="18"/>
              </w:rPr>
              <w:t>Percent of materials produced use inclusive language with depictions of women</w:t>
            </w:r>
          </w:p>
        </w:tc>
        <w:tc>
          <w:tcPr>
            <w:tcW w:w="605" w:type="pct"/>
            <w:tcBorders>
              <w:bottom w:val="single" w:sz="4" w:space="0" w:color="auto"/>
            </w:tcBorders>
            <w:shd w:val="clear" w:color="auto" w:fill="auto"/>
            <w:vAlign w:val="center"/>
          </w:tcPr>
          <w:p w14:paraId="010A733F" w14:textId="77777777" w:rsidR="00302BFE" w:rsidRPr="00B43F59" w:rsidRDefault="00302BFE" w:rsidP="00243B15">
            <w:pPr>
              <w:spacing w:after="0"/>
              <w:jc w:val="left"/>
              <w:rPr>
                <w:sz w:val="18"/>
                <w:szCs w:val="18"/>
              </w:rPr>
            </w:pPr>
            <w:r w:rsidRPr="00B43F59">
              <w:rPr>
                <w:sz w:val="18"/>
                <w:szCs w:val="18"/>
              </w:rPr>
              <w:t xml:space="preserve">100% </w:t>
            </w:r>
          </w:p>
        </w:tc>
        <w:tc>
          <w:tcPr>
            <w:tcW w:w="606" w:type="pct"/>
            <w:tcBorders>
              <w:bottom w:val="single" w:sz="4" w:space="0" w:color="auto"/>
            </w:tcBorders>
            <w:shd w:val="clear" w:color="auto" w:fill="auto"/>
            <w:vAlign w:val="center"/>
          </w:tcPr>
          <w:p w14:paraId="08F3E3CC" w14:textId="77777777" w:rsidR="00302BFE" w:rsidRPr="00B43F59" w:rsidRDefault="00302BFE" w:rsidP="00243B15">
            <w:pPr>
              <w:spacing w:after="0"/>
              <w:jc w:val="left"/>
              <w:rPr>
                <w:sz w:val="18"/>
                <w:szCs w:val="18"/>
              </w:rPr>
            </w:pPr>
            <w:r w:rsidRPr="00B43F59">
              <w:rPr>
                <w:sz w:val="18"/>
                <w:szCs w:val="18"/>
              </w:rPr>
              <w:t>Media products not produced</w:t>
            </w:r>
          </w:p>
        </w:tc>
        <w:tc>
          <w:tcPr>
            <w:tcW w:w="314" w:type="pct"/>
            <w:gridSpan w:val="2"/>
            <w:shd w:val="clear" w:color="auto" w:fill="auto"/>
            <w:vAlign w:val="center"/>
          </w:tcPr>
          <w:p w14:paraId="0F76CD86" w14:textId="77777777" w:rsidR="00302BFE" w:rsidRPr="00B43F59" w:rsidRDefault="00302BFE" w:rsidP="00243B15">
            <w:pPr>
              <w:spacing w:after="0"/>
              <w:jc w:val="left"/>
              <w:rPr>
                <w:sz w:val="18"/>
                <w:szCs w:val="18"/>
              </w:rPr>
            </w:pPr>
            <w:r w:rsidRPr="00B43F59">
              <w:rPr>
                <w:sz w:val="18"/>
                <w:szCs w:val="18"/>
              </w:rPr>
              <w:t>Years 1 to 4</w:t>
            </w:r>
          </w:p>
        </w:tc>
        <w:tc>
          <w:tcPr>
            <w:tcW w:w="1047" w:type="pct"/>
            <w:shd w:val="clear" w:color="auto" w:fill="auto"/>
            <w:vAlign w:val="center"/>
          </w:tcPr>
          <w:p w14:paraId="5BB74670" w14:textId="77777777" w:rsidR="00302BFE" w:rsidRPr="00B43F59" w:rsidRDefault="00302BFE" w:rsidP="00243B15">
            <w:pPr>
              <w:spacing w:after="0"/>
              <w:jc w:val="left"/>
              <w:rPr>
                <w:sz w:val="18"/>
                <w:szCs w:val="18"/>
              </w:rPr>
            </w:pPr>
            <w:r w:rsidRPr="00B43F59">
              <w:rPr>
                <w:sz w:val="18"/>
                <w:szCs w:val="18"/>
              </w:rPr>
              <w:t>Communication and Knowledge Management Expert</w:t>
            </w:r>
          </w:p>
          <w:p w14:paraId="21161416" w14:textId="77777777" w:rsidR="00302BFE" w:rsidRPr="00B43F59" w:rsidRDefault="00302BFE" w:rsidP="00243B15">
            <w:pPr>
              <w:spacing w:after="0"/>
              <w:jc w:val="left"/>
              <w:rPr>
                <w:sz w:val="18"/>
                <w:szCs w:val="18"/>
              </w:rPr>
            </w:pPr>
            <w:r w:rsidRPr="00B43F59">
              <w:rPr>
                <w:sz w:val="18"/>
                <w:szCs w:val="18"/>
              </w:rPr>
              <w:t>Gender Expert</w:t>
            </w:r>
          </w:p>
        </w:tc>
      </w:tr>
      <w:bookmarkEnd w:id="74"/>
    </w:tbl>
    <w:p w14:paraId="0826479E" w14:textId="77777777" w:rsidR="00302BFE" w:rsidRDefault="00302BFE" w:rsidP="00302BFE"/>
    <w:p w14:paraId="3F961CD0" w14:textId="77777777" w:rsidR="00302BFE" w:rsidRPr="00B16682" w:rsidRDefault="00302BFE" w:rsidP="00302BFE">
      <w:pPr>
        <w:pStyle w:val="Titre2"/>
        <w:spacing w:after="120"/>
        <w:ind w:left="0"/>
        <w:rPr>
          <w:rFonts w:ascii="Calibri" w:hAnsi="Calibri"/>
          <w:szCs w:val="22"/>
        </w:rPr>
      </w:pPr>
      <w:r>
        <w:br w:type="page"/>
      </w:r>
      <w:bookmarkStart w:id="75" w:name="_Toc9961807"/>
      <w:r w:rsidRPr="00B16682">
        <w:rPr>
          <w:rFonts w:ascii="Calibri" w:hAnsi="Calibri"/>
          <w:szCs w:val="22"/>
        </w:rPr>
        <w:lastRenderedPageBreak/>
        <w:t xml:space="preserve">Annex </w:t>
      </w:r>
      <w:r>
        <w:rPr>
          <w:rFonts w:ascii="Calibri" w:hAnsi="Calibri"/>
          <w:szCs w:val="22"/>
        </w:rPr>
        <w:t>G</w:t>
      </w:r>
      <w:r w:rsidRPr="00B16682">
        <w:rPr>
          <w:rFonts w:ascii="Calibri" w:hAnsi="Calibri"/>
          <w:szCs w:val="22"/>
        </w:rPr>
        <w:t>:  UNDP Risk Log</w:t>
      </w:r>
      <w:bookmarkEnd w:id="7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
        <w:gridCol w:w="3448"/>
        <w:gridCol w:w="833"/>
        <w:gridCol w:w="861"/>
        <w:gridCol w:w="1035"/>
        <w:gridCol w:w="4465"/>
        <w:gridCol w:w="852"/>
        <w:gridCol w:w="1044"/>
        <w:gridCol w:w="769"/>
        <w:gridCol w:w="684"/>
      </w:tblGrid>
      <w:tr w:rsidR="00302BFE" w:rsidRPr="00893DD1" w14:paraId="1C8BE0F4" w14:textId="77777777" w:rsidTr="00243B15">
        <w:trPr>
          <w:cantSplit/>
          <w:tblHeader/>
        </w:trPr>
        <w:tc>
          <w:tcPr>
            <w:tcW w:w="0" w:type="auto"/>
            <w:shd w:val="clear" w:color="auto" w:fill="FFCC00"/>
          </w:tcPr>
          <w:p w14:paraId="7CDC3C0A" w14:textId="77777777" w:rsidR="00302BFE" w:rsidRPr="00893DD1" w:rsidRDefault="00302BFE" w:rsidP="00243B15">
            <w:pPr>
              <w:spacing w:before="40" w:after="40"/>
              <w:jc w:val="left"/>
              <w:rPr>
                <w:rFonts w:eastAsia="Times New Roman" w:cs="Arial"/>
                <w:b/>
                <w:sz w:val="18"/>
                <w:szCs w:val="18"/>
                <w:lang w:val="en-GB"/>
              </w:rPr>
            </w:pPr>
            <w:r w:rsidRPr="00893DD1">
              <w:rPr>
                <w:rFonts w:eastAsia="Times New Roman" w:cs="Arial"/>
                <w:b/>
                <w:sz w:val="18"/>
                <w:szCs w:val="18"/>
                <w:lang w:val="en-GB"/>
              </w:rPr>
              <w:t>#</w:t>
            </w:r>
          </w:p>
        </w:tc>
        <w:tc>
          <w:tcPr>
            <w:tcW w:w="3537" w:type="dxa"/>
            <w:shd w:val="clear" w:color="auto" w:fill="FFCC00"/>
          </w:tcPr>
          <w:p w14:paraId="27F83BBA" w14:textId="77777777" w:rsidR="00302BFE" w:rsidRPr="00893DD1" w:rsidRDefault="00302BFE" w:rsidP="00243B15">
            <w:pPr>
              <w:spacing w:before="40" w:after="40"/>
              <w:jc w:val="left"/>
              <w:rPr>
                <w:rFonts w:eastAsia="Times New Roman" w:cs="Arial"/>
                <w:b/>
                <w:sz w:val="18"/>
                <w:szCs w:val="18"/>
                <w:lang w:val="en-GB"/>
              </w:rPr>
            </w:pPr>
            <w:r w:rsidRPr="00893DD1">
              <w:rPr>
                <w:rFonts w:eastAsia="Times New Roman" w:cs="Arial"/>
                <w:b/>
                <w:sz w:val="18"/>
                <w:szCs w:val="18"/>
                <w:lang w:val="en-GB"/>
              </w:rPr>
              <w:t>Description</w:t>
            </w:r>
          </w:p>
        </w:tc>
        <w:tc>
          <w:tcPr>
            <w:tcW w:w="838" w:type="dxa"/>
            <w:shd w:val="clear" w:color="auto" w:fill="FFCC00"/>
          </w:tcPr>
          <w:p w14:paraId="79181E37" w14:textId="77777777" w:rsidR="00302BFE" w:rsidRPr="00893DD1" w:rsidRDefault="00302BFE" w:rsidP="00243B15">
            <w:pPr>
              <w:spacing w:before="40" w:after="40"/>
              <w:jc w:val="left"/>
              <w:rPr>
                <w:rFonts w:eastAsia="Times New Roman" w:cs="Arial"/>
                <w:b/>
                <w:sz w:val="18"/>
                <w:szCs w:val="18"/>
                <w:lang w:val="en-GB"/>
              </w:rPr>
            </w:pPr>
            <w:r w:rsidRPr="00893DD1">
              <w:rPr>
                <w:rFonts w:eastAsia="Times New Roman" w:cs="Arial"/>
                <w:b/>
                <w:sz w:val="18"/>
                <w:szCs w:val="18"/>
                <w:lang w:val="en-GB"/>
              </w:rPr>
              <w:t xml:space="preserve">Date </w:t>
            </w:r>
            <w:proofErr w:type="spellStart"/>
            <w:r w:rsidRPr="00893DD1">
              <w:rPr>
                <w:rFonts w:eastAsia="Times New Roman" w:cs="Arial"/>
                <w:b/>
                <w:sz w:val="18"/>
                <w:szCs w:val="18"/>
                <w:lang w:val="en-GB"/>
              </w:rPr>
              <w:t>Identif</w:t>
            </w:r>
            <w:proofErr w:type="spellEnd"/>
          </w:p>
        </w:tc>
        <w:tc>
          <w:tcPr>
            <w:tcW w:w="861" w:type="dxa"/>
            <w:shd w:val="clear" w:color="auto" w:fill="FFCC00"/>
          </w:tcPr>
          <w:p w14:paraId="2D4C2768" w14:textId="77777777" w:rsidR="00302BFE" w:rsidRPr="00893DD1" w:rsidRDefault="00302BFE" w:rsidP="00243B15">
            <w:pPr>
              <w:spacing w:before="40" w:after="40"/>
              <w:jc w:val="left"/>
              <w:rPr>
                <w:rFonts w:eastAsia="Times New Roman" w:cs="Arial"/>
                <w:b/>
                <w:sz w:val="18"/>
                <w:szCs w:val="18"/>
                <w:lang w:val="en-GB"/>
              </w:rPr>
            </w:pPr>
            <w:r w:rsidRPr="00893DD1">
              <w:rPr>
                <w:rFonts w:eastAsia="Times New Roman" w:cs="Arial"/>
                <w:b/>
                <w:sz w:val="18"/>
                <w:szCs w:val="18"/>
                <w:lang w:val="en-GB"/>
              </w:rPr>
              <w:t>Type</w:t>
            </w:r>
          </w:p>
        </w:tc>
        <w:tc>
          <w:tcPr>
            <w:tcW w:w="1035" w:type="dxa"/>
            <w:shd w:val="clear" w:color="auto" w:fill="FFCC00"/>
          </w:tcPr>
          <w:p w14:paraId="5D908B55" w14:textId="77777777" w:rsidR="00302BFE" w:rsidRPr="00893DD1" w:rsidRDefault="00302BFE" w:rsidP="00243B15">
            <w:pPr>
              <w:spacing w:before="40" w:after="40"/>
              <w:jc w:val="left"/>
              <w:rPr>
                <w:rFonts w:eastAsia="Times New Roman" w:cs="Arial"/>
                <w:b/>
                <w:sz w:val="18"/>
                <w:szCs w:val="18"/>
                <w:lang w:val="en-GB"/>
              </w:rPr>
            </w:pPr>
            <w:r w:rsidRPr="00893DD1">
              <w:rPr>
                <w:rFonts w:eastAsia="Times New Roman" w:cs="Arial"/>
                <w:b/>
                <w:sz w:val="18"/>
                <w:szCs w:val="18"/>
                <w:lang w:val="en-GB"/>
              </w:rPr>
              <w:t>Impact &amp;</w:t>
            </w:r>
          </w:p>
          <w:p w14:paraId="0D3E31D2" w14:textId="77777777" w:rsidR="00302BFE" w:rsidRPr="00893DD1" w:rsidRDefault="00302BFE" w:rsidP="00243B15">
            <w:pPr>
              <w:spacing w:before="40" w:after="40"/>
              <w:jc w:val="left"/>
              <w:rPr>
                <w:rFonts w:eastAsia="Times New Roman" w:cs="Arial"/>
                <w:b/>
                <w:sz w:val="18"/>
                <w:szCs w:val="18"/>
                <w:lang w:val="en-GB"/>
              </w:rPr>
            </w:pPr>
            <w:r w:rsidRPr="00893DD1">
              <w:rPr>
                <w:rFonts w:eastAsia="Times New Roman" w:cs="Arial"/>
                <w:b/>
                <w:sz w:val="18"/>
                <w:szCs w:val="18"/>
                <w:lang w:val="en-GB"/>
              </w:rPr>
              <w:t>Probability</w:t>
            </w:r>
          </w:p>
        </w:tc>
        <w:tc>
          <w:tcPr>
            <w:tcW w:w="4597" w:type="dxa"/>
            <w:shd w:val="clear" w:color="auto" w:fill="FFCC00"/>
          </w:tcPr>
          <w:p w14:paraId="2609F505" w14:textId="77777777" w:rsidR="00302BFE" w:rsidRPr="00893DD1" w:rsidRDefault="00302BFE" w:rsidP="00243B15">
            <w:pPr>
              <w:spacing w:before="40" w:after="40"/>
              <w:jc w:val="left"/>
              <w:rPr>
                <w:rFonts w:eastAsia="Times New Roman" w:cs="Arial"/>
                <w:b/>
                <w:sz w:val="18"/>
                <w:szCs w:val="18"/>
                <w:lang w:val="en-GB"/>
              </w:rPr>
            </w:pPr>
            <w:r w:rsidRPr="00893DD1">
              <w:rPr>
                <w:rFonts w:eastAsia="Times New Roman" w:cs="Arial"/>
                <w:b/>
                <w:sz w:val="18"/>
                <w:szCs w:val="18"/>
                <w:lang w:val="en-GB"/>
              </w:rPr>
              <w:t>Management response</w:t>
            </w:r>
          </w:p>
        </w:tc>
        <w:tc>
          <w:tcPr>
            <w:tcW w:w="852" w:type="dxa"/>
            <w:shd w:val="clear" w:color="auto" w:fill="FFCC00"/>
          </w:tcPr>
          <w:p w14:paraId="67098F57" w14:textId="77777777" w:rsidR="00302BFE" w:rsidRPr="00893DD1" w:rsidRDefault="00302BFE" w:rsidP="00243B15">
            <w:pPr>
              <w:spacing w:before="40" w:after="40"/>
              <w:jc w:val="left"/>
              <w:rPr>
                <w:rFonts w:eastAsia="Times New Roman" w:cs="Arial"/>
                <w:b/>
                <w:sz w:val="18"/>
                <w:szCs w:val="18"/>
                <w:lang w:val="en-GB"/>
              </w:rPr>
            </w:pPr>
            <w:r w:rsidRPr="00893DD1">
              <w:rPr>
                <w:rFonts w:eastAsia="Times New Roman" w:cs="Arial"/>
                <w:b/>
                <w:sz w:val="18"/>
                <w:szCs w:val="18"/>
                <w:lang w:val="en-GB"/>
              </w:rPr>
              <w:t>Owner</w:t>
            </w:r>
          </w:p>
        </w:tc>
        <w:tc>
          <w:tcPr>
            <w:tcW w:w="1044" w:type="dxa"/>
            <w:shd w:val="clear" w:color="auto" w:fill="FFCC00"/>
          </w:tcPr>
          <w:p w14:paraId="74CCE43A" w14:textId="77777777" w:rsidR="00302BFE" w:rsidRPr="00893DD1" w:rsidRDefault="00302BFE" w:rsidP="00243B15">
            <w:pPr>
              <w:spacing w:before="40" w:after="40"/>
              <w:jc w:val="left"/>
              <w:rPr>
                <w:rFonts w:eastAsia="Times New Roman" w:cs="Arial"/>
                <w:b/>
                <w:sz w:val="18"/>
                <w:szCs w:val="18"/>
                <w:lang w:val="en-GB"/>
              </w:rPr>
            </w:pPr>
            <w:r w:rsidRPr="00893DD1">
              <w:rPr>
                <w:rFonts w:eastAsia="Times New Roman" w:cs="Arial"/>
                <w:b/>
                <w:sz w:val="18"/>
                <w:szCs w:val="18"/>
                <w:lang w:val="en-GB"/>
              </w:rPr>
              <w:t>Submitted, updated by</w:t>
            </w:r>
          </w:p>
        </w:tc>
        <w:tc>
          <w:tcPr>
            <w:tcW w:w="769" w:type="dxa"/>
            <w:shd w:val="clear" w:color="auto" w:fill="FFCC00"/>
          </w:tcPr>
          <w:p w14:paraId="735C8D4A" w14:textId="77777777" w:rsidR="00302BFE" w:rsidRPr="00893DD1" w:rsidRDefault="00302BFE" w:rsidP="00243B15">
            <w:pPr>
              <w:spacing w:before="40" w:after="40"/>
              <w:jc w:val="left"/>
              <w:rPr>
                <w:rFonts w:eastAsia="Times New Roman" w:cs="Arial"/>
                <w:b/>
                <w:sz w:val="18"/>
                <w:szCs w:val="18"/>
                <w:lang w:val="en-GB"/>
              </w:rPr>
            </w:pPr>
            <w:r w:rsidRPr="00893DD1">
              <w:rPr>
                <w:rFonts w:eastAsia="Times New Roman" w:cs="Arial"/>
                <w:b/>
                <w:sz w:val="18"/>
                <w:szCs w:val="18"/>
                <w:lang w:val="en-GB"/>
              </w:rPr>
              <w:t>Last Update</w:t>
            </w:r>
          </w:p>
        </w:tc>
        <w:tc>
          <w:tcPr>
            <w:tcW w:w="684" w:type="dxa"/>
            <w:shd w:val="clear" w:color="auto" w:fill="FFCC00"/>
          </w:tcPr>
          <w:p w14:paraId="40A5326A" w14:textId="77777777" w:rsidR="00302BFE" w:rsidRPr="00893DD1" w:rsidRDefault="00302BFE" w:rsidP="00243B15">
            <w:pPr>
              <w:spacing w:before="40" w:after="40"/>
              <w:jc w:val="left"/>
              <w:rPr>
                <w:rFonts w:eastAsia="Times New Roman" w:cs="Arial"/>
                <w:b/>
                <w:sz w:val="18"/>
                <w:szCs w:val="18"/>
                <w:lang w:val="en-GB"/>
              </w:rPr>
            </w:pPr>
            <w:r w:rsidRPr="00893DD1">
              <w:rPr>
                <w:rFonts w:eastAsia="Times New Roman" w:cs="Arial"/>
                <w:b/>
                <w:sz w:val="18"/>
                <w:szCs w:val="18"/>
                <w:lang w:val="en-GB"/>
              </w:rPr>
              <w:t>Status</w:t>
            </w:r>
          </w:p>
        </w:tc>
      </w:tr>
      <w:tr w:rsidR="00302BFE" w:rsidRPr="00893DD1" w14:paraId="37712C37" w14:textId="77777777" w:rsidTr="00243B15">
        <w:tc>
          <w:tcPr>
            <w:tcW w:w="0" w:type="auto"/>
          </w:tcPr>
          <w:p w14:paraId="3D41BF51"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1</w:t>
            </w:r>
          </w:p>
        </w:tc>
        <w:tc>
          <w:tcPr>
            <w:tcW w:w="3537" w:type="dxa"/>
          </w:tcPr>
          <w:p w14:paraId="1E5555A1"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Possibility of occurrence of terrorist attacks in the project implementing area. These terrorist attacks would lead fear and anxiety which will hinder the project effective implementation and the achievement of results.</w:t>
            </w:r>
            <w:r>
              <w:rPr>
                <w:rFonts w:eastAsia="Times New Roman" w:cs="Arial"/>
                <w:sz w:val="18"/>
                <w:szCs w:val="18"/>
              </w:rPr>
              <w:t xml:space="preserve"> </w:t>
            </w:r>
          </w:p>
        </w:tc>
        <w:tc>
          <w:tcPr>
            <w:tcW w:w="838" w:type="dxa"/>
          </w:tcPr>
          <w:p w14:paraId="4AC2B4BD" w14:textId="77777777" w:rsidR="00302BFE" w:rsidRPr="00893DD1" w:rsidRDefault="00302BFE" w:rsidP="00243B15">
            <w:pPr>
              <w:spacing w:before="40" w:after="40"/>
              <w:jc w:val="left"/>
              <w:rPr>
                <w:rFonts w:eastAsia="Times New Roman" w:cs="Arial"/>
                <w:i/>
                <w:sz w:val="18"/>
                <w:szCs w:val="18"/>
                <w:lang w:val="en-GB"/>
              </w:rPr>
            </w:pPr>
            <w:r w:rsidRPr="00893DD1">
              <w:rPr>
                <w:rFonts w:eastAsia="Times New Roman" w:cs="Arial"/>
                <w:sz w:val="18"/>
                <w:szCs w:val="18"/>
                <w:lang w:val="en-GB"/>
              </w:rPr>
              <w:t>May 23, 2019</w:t>
            </w:r>
          </w:p>
        </w:tc>
        <w:tc>
          <w:tcPr>
            <w:tcW w:w="861" w:type="dxa"/>
          </w:tcPr>
          <w:p w14:paraId="2A9C99CB" w14:textId="77777777" w:rsidR="00302BFE" w:rsidRPr="00893DD1" w:rsidRDefault="00302BFE" w:rsidP="00243B15">
            <w:pPr>
              <w:spacing w:before="40" w:after="40"/>
              <w:jc w:val="left"/>
              <w:rPr>
                <w:rFonts w:eastAsia="Times New Roman" w:cs="Arial"/>
                <w:i/>
                <w:sz w:val="18"/>
                <w:szCs w:val="18"/>
              </w:rPr>
            </w:pPr>
            <w:r w:rsidRPr="00893DD1">
              <w:rPr>
                <w:rFonts w:eastAsia="Times New Roman" w:cs="Arial"/>
                <w:sz w:val="18"/>
                <w:szCs w:val="18"/>
              </w:rPr>
              <w:t>Political</w:t>
            </w:r>
          </w:p>
        </w:tc>
        <w:tc>
          <w:tcPr>
            <w:tcW w:w="1035" w:type="dxa"/>
          </w:tcPr>
          <w:p w14:paraId="54C4C022"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P = 2</w:t>
            </w:r>
          </w:p>
          <w:p w14:paraId="1B0BCBD2"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I = 4</w:t>
            </w:r>
          </w:p>
          <w:p w14:paraId="2E96E73F" w14:textId="77777777" w:rsidR="00302BFE" w:rsidRPr="00893DD1" w:rsidRDefault="00302BFE" w:rsidP="00243B15">
            <w:pPr>
              <w:spacing w:before="40" w:after="40"/>
              <w:jc w:val="left"/>
              <w:rPr>
                <w:rFonts w:eastAsia="Times New Roman" w:cs="Arial"/>
                <w:sz w:val="18"/>
                <w:szCs w:val="18"/>
                <w:lang w:val="en-GB"/>
              </w:rPr>
            </w:pPr>
          </w:p>
          <w:p w14:paraId="6E3218F3"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Moderate</w:t>
            </w:r>
          </w:p>
        </w:tc>
        <w:tc>
          <w:tcPr>
            <w:tcW w:w="4597" w:type="dxa"/>
          </w:tcPr>
          <w:p w14:paraId="12F423E8" w14:textId="77777777" w:rsidR="00302BFE" w:rsidRPr="00363257" w:rsidRDefault="00302BFE" w:rsidP="00243B15">
            <w:pPr>
              <w:spacing w:before="40" w:after="40"/>
              <w:jc w:val="left"/>
              <w:rPr>
                <w:rFonts w:eastAsia="Times New Roman" w:cs="Arial"/>
                <w:sz w:val="18"/>
                <w:szCs w:val="18"/>
              </w:rPr>
            </w:pPr>
            <w:r w:rsidRPr="00363257">
              <w:rPr>
                <w:rFonts w:eastAsia="Times New Roman" w:cs="Arial"/>
                <w:sz w:val="18"/>
                <w:szCs w:val="18"/>
              </w:rPr>
              <w:t>- Train the project's key stakeholders on safety measures and the ways to operate in difficult security environments</w:t>
            </w:r>
          </w:p>
          <w:p w14:paraId="3B12380C" w14:textId="77777777" w:rsidR="00302BFE" w:rsidRPr="00363257" w:rsidRDefault="00302BFE" w:rsidP="00243B15">
            <w:pPr>
              <w:pStyle w:val="Commentaire"/>
              <w:rPr>
                <w:sz w:val="18"/>
                <w:szCs w:val="18"/>
                <w:lang w:val="en-CA"/>
              </w:rPr>
            </w:pPr>
            <w:r w:rsidRPr="00363257">
              <w:rPr>
                <w:sz w:val="18"/>
                <w:szCs w:val="18"/>
                <w:lang w:val="en-CA"/>
              </w:rPr>
              <w:t>- Because of security issues in some parts of the country which may deter international tourists, the project will initially look at domestic travel, including from expatriates, and business travelers from Ouagadougou and existing visitors (</w:t>
            </w:r>
            <w:proofErr w:type="gramStart"/>
            <w:r w:rsidRPr="00363257">
              <w:rPr>
                <w:sz w:val="18"/>
                <w:szCs w:val="18"/>
                <w:lang w:val="en-CA"/>
              </w:rPr>
              <w:t>e.g.</w:t>
            </w:r>
            <w:proofErr w:type="gramEnd"/>
            <w:r w:rsidRPr="00363257">
              <w:rPr>
                <w:sz w:val="18"/>
                <w:szCs w:val="18"/>
                <w:lang w:val="en-CA"/>
              </w:rPr>
              <w:t xml:space="preserve"> hunters and their entourage; people staying for elephant viewing). The project provides for the identification and assessment of local safety and security issues in the PONASI landscape as well as the need for additional support.</w:t>
            </w:r>
          </w:p>
          <w:p w14:paraId="44FD0A1D" w14:textId="77777777" w:rsidR="00302BFE" w:rsidRPr="00363257" w:rsidRDefault="00302BFE" w:rsidP="00243B15">
            <w:pPr>
              <w:spacing w:before="40" w:after="40"/>
              <w:jc w:val="left"/>
              <w:rPr>
                <w:rFonts w:eastAsia="Times New Roman" w:cs="Arial"/>
                <w:sz w:val="18"/>
                <w:szCs w:val="18"/>
              </w:rPr>
            </w:pPr>
            <w:r w:rsidRPr="00363257">
              <w:rPr>
                <w:rFonts w:eastAsia="Times New Roman" w:cs="Calibri"/>
                <w:sz w:val="18"/>
                <w:szCs w:val="18"/>
                <w:lang w:val="en-CA"/>
              </w:rPr>
              <w:t xml:space="preserve">- While the PONASI area has not seen any incident and is considered as being safe, the security situation in some areas of the country and in the region is a cause for concern and is likely to deter foreign tourists to travel to Burkina Faso. A new livelihood output is included and validated by the PRF validation workshop. This output aims at developing three promising value chains based on the sustainable use of NTFP, targeting mainly women as beneficiaries, and putting in place the conditions for sustainability: Output 3.3 </w:t>
            </w:r>
            <w:r w:rsidRPr="00363257">
              <w:rPr>
                <w:rFonts w:eastAsia="Times New Roman"/>
                <w:sz w:val="18"/>
                <w:szCs w:val="18"/>
                <w:lang w:val="en-GB"/>
              </w:rPr>
              <w:t xml:space="preserve">Sustainable local forest products processing enterprises are established, providing </w:t>
            </w:r>
            <w:proofErr w:type="gramStart"/>
            <w:r w:rsidRPr="00363257">
              <w:rPr>
                <w:rFonts w:eastAsia="Times New Roman"/>
                <w:sz w:val="18"/>
                <w:szCs w:val="18"/>
                <w:lang w:val="en-GB"/>
              </w:rPr>
              <w:t>livelihoods</w:t>
            </w:r>
            <w:proofErr w:type="gramEnd"/>
            <w:r w:rsidRPr="00363257">
              <w:rPr>
                <w:rFonts w:eastAsia="Times New Roman"/>
                <w:sz w:val="18"/>
                <w:szCs w:val="18"/>
                <w:lang w:val="en-GB"/>
              </w:rPr>
              <w:t xml:space="preserve"> and generating sustained income, especially for women and vulnerable people. </w:t>
            </w:r>
            <w:r w:rsidRPr="00363257">
              <w:rPr>
                <w:rFonts w:eastAsia="Times New Roman" w:cs="Calibri"/>
                <w:sz w:val="18"/>
                <w:szCs w:val="18"/>
                <w:lang w:val="en-CA"/>
              </w:rPr>
              <w:t>This addition allows to have a more diversified strategy for the development of sustainable livelihoods linked to PAs and to the sustainable use of forest products.</w:t>
            </w:r>
          </w:p>
        </w:tc>
        <w:tc>
          <w:tcPr>
            <w:tcW w:w="852" w:type="dxa"/>
          </w:tcPr>
          <w:p w14:paraId="3A79C7A3"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MEGECC</w:t>
            </w:r>
          </w:p>
        </w:tc>
        <w:tc>
          <w:tcPr>
            <w:tcW w:w="1044" w:type="dxa"/>
          </w:tcPr>
          <w:p w14:paraId="6CEC8E88" w14:textId="77777777" w:rsidR="00302BFE" w:rsidRPr="00893DD1" w:rsidRDefault="00302BFE" w:rsidP="00243B15">
            <w:pPr>
              <w:spacing w:before="40" w:after="40"/>
              <w:jc w:val="left"/>
              <w:rPr>
                <w:rFonts w:eastAsia="Times New Roman" w:cs="Arial"/>
                <w:i/>
                <w:sz w:val="18"/>
                <w:szCs w:val="18"/>
                <w:lang w:val="en-GB"/>
              </w:rPr>
            </w:pPr>
          </w:p>
        </w:tc>
        <w:tc>
          <w:tcPr>
            <w:tcW w:w="769" w:type="dxa"/>
          </w:tcPr>
          <w:p w14:paraId="4A24DAD6" w14:textId="77777777" w:rsidR="00302BFE" w:rsidRPr="00893DD1" w:rsidRDefault="00302BFE" w:rsidP="00243B15">
            <w:pPr>
              <w:spacing w:before="40" w:after="40"/>
              <w:rPr>
                <w:sz w:val="18"/>
                <w:szCs w:val="18"/>
              </w:rPr>
            </w:pPr>
          </w:p>
        </w:tc>
        <w:tc>
          <w:tcPr>
            <w:tcW w:w="684" w:type="dxa"/>
          </w:tcPr>
          <w:p w14:paraId="02EC1F15"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w:t>
            </w:r>
          </w:p>
        </w:tc>
      </w:tr>
      <w:tr w:rsidR="00302BFE" w:rsidRPr="00893DD1" w14:paraId="37A7EA9B" w14:textId="77777777" w:rsidTr="00243B15">
        <w:tc>
          <w:tcPr>
            <w:tcW w:w="0" w:type="auto"/>
          </w:tcPr>
          <w:p w14:paraId="0BBA0DAE"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2</w:t>
            </w:r>
          </w:p>
        </w:tc>
        <w:tc>
          <w:tcPr>
            <w:tcW w:w="3537" w:type="dxa"/>
          </w:tcPr>
          <w:p w14:paraId="7BAB9291"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Recurrence of social movements such as strikes. These social movements would reduce the availability of staff of the public administration (Environment and Finance) who are involved in some parts of the project implementation.</w:t>
            </w:r>
          </w:p>
        </w:tc>
        <w:tc>
          <w:tcPr>
            <w:tcW w:w="838" w:type="dxa"/>
          </w:tcPr>
          <w:p w14:paraId="0022B406" w14:textId="77777777" w:rsidR="00302BFE" w:rsidRPr="00893DD1" w:rsidRDefault="00302BFE" w:rsidP="00243B15">
            <w:pPr>
              <w:spacing w:before="40" w:after="40"/>
              <w:jc w:val="left"/>
              <w:rPr>
                <w:rFonts w:eastAsia="Times New Roman" w:cs="Arial"/>
                <w:sz w:val="18"/>
                <w:szCs w:val="18"/>
                <w:lang w:val="fr-FR"/>
              </w:rPr>
            </w:pPr>
            <w:r w:rsidRPr="00893DD1">
              <w:rPr>
                <w:rFonts w:eastAsia="Times New Roman" w:cs="Arial"/>
                <w:sz w:val="18"/>
                <w:szCs w:val="18"/>
                <w:lang w:val="fr-FR"/>
              </w:rPr>
              <w:t>May 23, 2019</w:t>
            </w:r>
          </w:p>
        </w:tc>
        <w:tc>
          <w:tcPr>
            <w:tcW w:w="861" w:type="dxa"/>
          </w:tcPr>
          <w:p w14:paraId="4E60FAA8"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Political</w:t>
            </w:r>
          </w:p>
        </w:tc>
        <w:tc>
          <w:tcPr>
            <w:tcW w:w="1035" w:type="dxa"/>
          </w:tcPr>
          <w:p w14:paraId="797CECE0"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P = 3</w:t>
            </w:r>
          </w:p>
          <w:p w14:paraId="4898408A"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I = 2</w:t>
            </w:r>
          </w:p>
          <w:p w14:paraId="13F0CF05" w14:textId="77777777" w:rsidR="00302BFE" w:rsidRPr="00893DD1" w:rsidRDefault="00302BFE" w:rsidP="00243B15">
            <w:pPr>
              <w:spacing w:before="40" w:after="40"/>
              <w:jc w:val="left"/>
              <w:rPr>
                <w:rFonts w:eastAsia="Times New Roman" w:cs="Arial"/>
                <w:sz w:val="18"/>
                <w:szCs w:val="18"/>
                <w:lang w:val="en-GB"/>
              </w:rPr>
            </w:pPr>
          </w:p>
          <w:p w14:paraId="1842A0FA"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Moderate</w:t>
            </w:r>
          </w:p>
        </w:tc>
        <w:tc>
          <w:tcPr>
            <w:tcW w:w="4597" w:type="dxa"/>
          </w:tcPr>
          <w:p w14:paraId="4F264619"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Open an account for the project in a commercial bank to facilitate the deblocking of project resources in case of blockage at the level of the Treasury</w:t>
            </w:r>
          </w:p>
        </w:tc>
        <w:tc>
          <w:tcPr>
            <w:tcW w:w="852" w:type="dxa"/>
          </w:tcPr>
          <w:p w14:paraId="0A5C1E87"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MEGECC</w:t>
            </w:r>
          </w:p>
        </w:tc>
        <w:tc>
          <w:tcPr>
            <w:tcW w:w="1044" w:type="dxa"/>
          </w:tcPr>
          <w:p w14:paraId="0B0BD4AC" w14:textId="77777777" w:rsidR="00302BFE" w:rsidRPr="00893DD1" w:rsidRDefault="00302BFE" w:rsidP="00243B15">
            <w:pPr>
              <w:spacing w:before="40" w:after="40"/>
              <w:jc w:val="left"/>
              <w:rPr>
                <w:rFonts w:eastAsia="Times New Roman" w:cs="Arial"/>
                <w:i/>
                <w:sz w:val="18"/>
                <w:szCs w:val="18"/>
                <w:lang w:val="en-GB"/>
              </w:rPr>
            </w:pPr>
          </w:p>
        </w:tc>
        <w:tc>
          <w:tcPr>
            <w:tcW w:w="769" w:type="dxa"/>
          </w:tcPr>
          <w:p w14:paraId="5FEA83BA" w14:textId="77777777" w:rsidR="00302BFE" w:rsidRPr="00893DD1" w:rsidRDefault="00302BFE" w:rsidP="00243B15">
            <w:pPr>
              <w:spacing w:before="40" w:after="40"/>
              <w:rPr>
                <w:sz w:val="18"/>
                <w:szCs w:val="18"/>
              </w:rPr>
            </w:pPr>
          </w:p>
        </w:tc>
        <w:tc>
          <w:tcPr>
            <w:tcW w:w="684" w:type="dxa"/>
          </w:tcPr>
          <w:p w14:paraId="42CC6E15"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w:t>
            </w:r>
          </w:p>
        </w:tc>
      </w:tr>
      <w:tr w:rsidR="00302BFE" w:rsidRPr="00893DD1" w14:paraId="642245FD" w14:textId="77777777" w:rsidTr="00243B15">
        <w:tc>
          <w:tcPr>
            <w:tcW w:w="0" w:type="auto"/>
          </w:tcPr>
          <w:p w14:paraId="3FE00105"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3</w:t>
            </w:r>
          </w:p>
        </w:tc>
        <w:tc>
          <w:tcPr>
            <w:tcW w:w="3537" w:type="dxa"/>
          </w:tcPr>
          <w:p w14:paraId="0F93E5F3"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Non-availability of the government contribution in funding this project might delay the implementation of project activities supported by the government resources</w:t>
            </w:r>
          </w:p>
        </w:tc>
        <w:tc>
          <w:tcPr>
            <w:tcW w:w="838" w:type="dxa"/>
          </w:tcPr>
          <w:p w14:paraId="37E9598B" w14:textId="77777777" w:rsidR="00302BFE" w:rsidRPr="00893DD1" w:rsidRDefault="00302BFE" w:rsidP="00243B15">
            <w:pPr>
              <w:spacing w:before="40" w:after="40"/>
              <w:jc w:val="left"/>
              <w:rPr>
                <w:rFonts w:eastAsia="Times New Roman" w:cs="Arial"/>
                <w:sz w:val="18"/>
                <w:szCs w:val="18"/>
                <w:lang w:val="fr-FR"/>
              </w:rPr>
            </w:pPr>
            <w:r w:rsidRPr="00893DD1">
              <w:rPr>
                <w:rFonts w:eastAsia="Times New Roman" w:cs="Arial"/>
                <w:sz w:val="18"/>
                <w:szCs w:val="18"/>
                <w:lang w:val="fr-FR"/>
              </w:rPr>
              <w:t>May 23, 2019</w:t>
            </w:r>
          </w:p>
        </w:tc>
        <w:tc>
          <w:tcPr>
            <w:tcW w:w="861" w:type="dxa"/>
          </w:tcPr>
          <w:p w14:paraId="0E1D012A"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Financial</w:t>
            </w:r>
          </w:p>
        </w:tc>
        <w:tc>
          <w:tcPr>
            <w:tcW w:w="1035" w:type="dxa"/>
          </w:tcPr>
          <w:p w14:paraId="09C26FAB"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P = 2</w:t>
            </w:r>
          </w:p>
          <w:p w14:paraId="0342AA92"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I = 1</w:t>
            </w:r>
          </w:p>
          <w:p w14:paraId="2F966667" w14:textId="77777777" w:rsidR="00302BFE" w:rsidRPr="00893DD1" w:rsidRDefault="00302BFE" w:rsidP="00243B15">
            <w:pPr>
              <w:spacing w:before="40" w:after="40"/>
              <w:jc w:val="left"/>
              <w:rPr>
                <w:rFonts w:eastAsia="Times New Roman" w:cs="Arial"/>
                <w:sz w:val="18"/>
                <w:szCs w:val="18"/>
                <w:lang w:val="en-GB"/>
              </w:rPr>
            </w:pPr>
          </w:p>
          <w:p w14:paraId="37E33C36"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Low</w:t>
            </w:r>
          </w:p>
        </w:tc>
        <w:tc>
          <w:tcPr>
            <w:tcW w:w="4597" w:type="dxa"/>
          </w:tcPr>
          <w:p w14:paraId="2389B657" w14:textId="77777777" w:rsidR="00302BFE" w:rsidRPr="00893DD1" w:rsidRDefault="00302BFE" w:rsidP="00243B15">
            <w:pPr>
              <w:spacing w:before="40" w:after="40"/>
              <w:jc w:val="left"/>
              <w:rPr>
                <w:rFonts w:eastAsia="Times New Roman" w:cs="Arial"/>
                <w:sz w:val="18"/>
                <w:szCs w:val="18"/>
                <w:lang w:eastAsia="ja-JP"/>
              </w:rPr>
            </w:pPr>
            <w:r w:rsidRPr="00893DD1">
              <w:rPr>
                <w:rFonts w:eastAsia="Times New Roman" w:cs="Arial"/>
                <w:sz w:val="18"/>
                <w:szCs w:val="18"/>
              </w:rPr>
              <w:t xml:space="preserve">Plan provisional resources on UNDP funds to pre-finance these activities. </w:t>
            </w:r>
          </w:p>
        </w:tc>
        <w:tc>
          <w:tcPr>
            <w:tcW w:w="852" w:type="dxa"/>
          </w:tcPr>
          <w:p w14:paraId="7524EF75"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UNDP CO</w:t>
            </w:r>
          </w:p>
        </w:tc>
        <w:tc>
          <w:tcPr>
            <w:tcW w:w="1044" w:type="dxa"/>
          </w:tcPr>
          <w:p w14:paraId="25036320" w14:textId="77777777" w:rsidR="00302BFE" w:rsidRPr="00893DD1" w:rsidRDefault="00302BFE" w:rsidP="00243B15">
            <w:pPr>
              <w:spacing w:before="40" w:after="40"/>
              <w:jc w:val="left"/>
              <w:rPr>
                <w:rFonts w:eastAsia="Times New Roman" w:cs="Arial"/>
                <w:i/>
                <w:sz w:val="18"/>
                <w:szCs w:val="18"/>
                <w:lang w:val="en-GB"/>
              </w:rPr>
            </w:pPr>
          </w:p>
        </w:tc>
        <w:tc>
          <w:tcPr>
            <w:tcW w:w="769" w:type="dxa"/>
          </w:tcPr>
          <w:p w14:paraId="0DFE93C7" w14:textId="77777777" w:rsidR="00302BFE" w:rsidRPr="00893DD1" w:rsidRDefault="00302BFE" w:rsidP="00243B15">
            <w:pPr>
              <w:spacing w:before="40" w:after="40"/>
              <w:jc w:val="left"/>
              <w:rPr>
                <w:rFonts w:eastAsia="Times New Roman" w:cs="Arial"/>
                <w:i/>
                <w:sz w:val="18"/>
                <w:szCs w:val="18"/>
                <w:lang w:val="en-GB"/>
              </w:rPr>
            </w:pPr>
          </w:p>
        </w:tc>
        <w:tc>
          <w:tcPr>
            <w:tcW w:w="684" w:type="dxa"/>
          </w:tcPr>
          <w:p w14:paraId="7A77E1E7"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w:t>
            </w:r>
          </w:p>
        </w:tc>
      </w:tr>
      <w:tr w:rsidR="00302BFE" w:rsidRPr="00893DD1" w14:paraId="644B2A04" w14:textId="77777777" w:rsidTr="00243B15">
        <w:tc>
          <w:tcPr>
            <w:tcW w:w="0" w:type="auto"/>
          </w:tcPr>
          <w:p w14:paraId="11E3EA7B"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lastRenderedPageBreak/>
              <w:t>4</w:t>
            </w:r>
          </w:p>
        </w:tc>
        <w:tc>
          <w:tcPr>
            <w:tcW w:w="3537" w:type="dxa"/>
          </w:tcPr>
          <w:p w14:paraId="6FA735EA"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 xml:space="preserve">Capacity building of </w:t>
            </w:r>
            <w:proofErr w:type="spellStart"/>
            <w:r w:rsidRPr="00893DD1">
              <w:rPr>
                <w:rFonts w:eastAsia="Times New Roman" w:cs="Arial"/>
                <w:sz w:val="18"/>
                <w:szCs w:val="18"/>
              </w:rPr>
              <w:t>ecoguards</w:t>
            </w:r>
            <w:proofErr w:type="spellEnd"/>
            <w:r w:rsidRPr="00893DD1">
              <w:rPr>
                <w:rFonts w:eastAsia="Times New Roman" w:cs="Arial"/>
                <w:sz w:val="18"/>
                <w:szCs w:val="18"/>
              </w:rPr>
              <w:t xml:space="preserve"> and rangers as part of the surveillance program for the protected areas of the PONASI complex to strengthen anti-poaching measures could possibly lead to human rights abuses against vulnerable local communities.</w:t>
            </w:r>
          </w:p>
        </w:tc>
        <w:tc>
          <w:tcPr>
            <w:tcW w:w="838" w:type="dxa"/>
          </w:tcPr>
          <w:p w14:paraId="7CCC4BEA" w14:textId="77777777" w:rsidR="00302BFE" w:rsidRPr="00893DD1" w:rsidRDefault="00302BFE" w:rsidP="00243B15">
            <w:pPr>
              <w:spacing w:before="40" w:after="40"/>
              <w:jc w:val="left"/>
              <w:rPr>
                <w:rFonts w:eastAsia="Times New Roman" w:cs="Arial"/>
                <w:sz w:val="18"/>
                <w:szCs w:val="18"/>
                <w:lang w:val="en-CA"/>
              </w:rPr>
            </w:pPr>
            <w:r w:rsidRPr="00893DD1">
              <w:rPr>
                <w:rFonts w:eastAsia="Times New Roman" w:cs="Arial"/>
                <w:sz w:val="18"/>
                <w:szCs w:val="18"/>
                <w:lang w:val="fr-FR"/>
              </w:rPr>
              <w:t>May 23, 2019</w:t>
            </w:r>
          </w:p>
        </w:tc>
        <w:tc>
          <w:tcPr>
            <w:tcW w:w="861" w:type="dxa"/>
          </w:tcPr>
          <w:p w14:paraId="44893E3A"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Social</w:t>
            </w:r>
          </w:p>
        </w:tc>
        <w:tc>
          <w:tcPr>
            <w:tcW w:w="1035" w:type="dxa"/>
          </w:tcPr>
          <w:p w14:paraId="60251867" w14:textId="77777777" w:rsidR="00302BFE" w:rsidRPr="00893DD1" w:rsidRDefault="00302BFE" w:rsidP="00243B15">
            <w:pPr>
              <w:spacing w:before="40" w:after="40"/>
              <w:rPr>
                <w:rFonts w:cs="Minion Pro"/>
                <w:sz w:val="18"/>
                <w:szCs w:val="18"/>
                <w:lang w:eastAsia="ja-JP"/>
              </w:rPr>
            </w:pPr>
            <w:r w:rsidRPr="00893DD1">
              <w:rPr>
                <w:rFonts w:cs="Minion Pro"/>
                <w:sz w:val="18"/>
                <w:szCs w:val="18"/>
              </w:rPr>
              <w:t>I = 3</w:t>
            </w:r>
          </w:p>
          <w:p w14:paraId="0A25FF63" w14:textId="77777777" w:rsidR="00302BFE" w:rsidRPr="00893DD1" w:rsidRDefault="00302BFE" w:rsidP="00243B15">
            <w:pPr>
              <w:spacing w:before="40" w:after="40"/>
              <w:jc w:val="left"/>
              <w:rPr>
                <w:rFonts w:cs="Minion Pro"/>
                <w:sz w:val="18"/>
                <w:szCs w:val="18"/>
              </w:rPr>
            </w:pPr>
            <w:r w:rsidRPr="00893DD1">
              <w:rPr>
                <w:rFonts w:cs="Minion Pro"/>
                <w:sz w:val="18"/>
                <w:szCs w:val="18"/>
              </w:rPr>
              <w:t>P = 3</w:t>
            </w:r>
          </w:p>
          <w:p w14:paraId="6EC335E1" w14:textId="77777777" w:rsidR="00302BFE" w:rsidRPr="00893DD1" w:rsidRDefault="00302BFE" w:rsidP="00243B15">
            <w:pPr>
              <w:spacing w:before="40" w:after="40"/>
              <w:jc w:val="left"/>
              <w:rPr>
                <w:rFonts w:eastAsia="Times New Roman" w:cs="Arial"/>
                <w:sz w:val="18"/>
                <w:szCs w:val="18"/>
              </w:rPr>
            </w:pPr>
          </w:p>
          <w:p w14:paraId="51F6EC6D" w14:textId="77777777" w:rsidR="00302BFE" w:rsidRPr="00893DD1" w:rsidRDefault="00302BFE" w:rsidP="00243B15">
            <w:pPr>
              <w:spacing w:before="40" w:after="40"/>
              <w:jc w:val="left"/>
              <w:rPr>
                <w:rFonts w:eastAsia="Times New Roman" w:cs="Arial"/>
                <w:sz w:val="18"/>
                <w:szCs w:val="18"/>
              </w:rPr>
            </w:pPr>
            <w:r w:rsidRPr="00893DD1">
              <w:rPr>
                <w:sz w:val="18"/>
                <w:szCs w:val="18"/>
              </w:rPr>
              <w:t>Moderate</w:t>
            </w:r>
          </w:p>
        </w:tc>
        <w:tc>
          <w:tcPr>
            <w:tcW w:w="4597" w:type="dxa"/>
          </w:tcPr>
          <w:p w14:paraId="08D8FCD3" w14:textId="77777777" w:rsidR="00302BFE" w:rsidRPr="00893DD1" w:rsidRDefault="00302BFE" w:rsidP="00243B15">
            <w:pPr>
              <w:spacing w:before="40" w:after="40"/>
              <w:jc w:val="left"/>
              <w:rPr>
                <w:rFonts w:eastAsia="Cambria"/>
                <w:sz w:val="18"/>
                <w:szCs w:val="18"/>
                <w:lang w:val="en-GB"/>
              </w:rPr>
            </w:pPr>
            <w:r w:rsidRPr="00893DD1">
              <w:rPr>
                <w:sz w:val="18"/>
                <w:szCs w:val="18"/>
                <w:lang w:val="en-CA"/>
              </w:rPr>
              <w:t xml:space="preserve">Include rules in the trainings (output 2.1.3) and in the enforcement guidance documents (output 2.2.5) to prevent abusive and unjustified use of force to control poaching. </w:t>
            </w:r>
            <w:r w:rsidRPr="00893DD1">
              <w:rPr>
                <w:rFonts w:eastAsia="Cambria"/>
                <w:sz w:val="18"/>
                <w:szCs w:val="18"/>
                <w:lang w:val="en-GB"/>
              </w:rPr>
              <w:t>Clear guidelines and procedures for enforcing regulations to be identified and communicated to all stakeholders involved in surveillance and enforcement of regulations for all PAs will include stringent rules on the violation of human rights to prevent any community member, eco-guard or ranger directly or indirectly involved in surveillance activities under the project from being implicated in a case of violence against vulnerable local populations.</w:t>
            </w:r>
          </w:p>
          <w:p w14:paraId="0767DB5C" w14:textId="77777777" w:rsidR="00302BFE" w:rsidRPr="00893DD1" w:rsidRDefault="00302BFE" w:rsidP="00243B15">
            <w:pPr>
              <w:spacing w:before="40" w:after="40"/>
              <w:jc w:val="left"/>
              <w:rPr>
                <w:sz w:val="18"/>
                <w:szCs w:val="18"/>
                <w:lang w:val="en-CA" w:eastAsia="fr-CA"/>
              </w:rPr>
            </w:pPr>
            <w:r w:rsidRPr="00893DD1">
              <w:rPr>
                <w:sz w:val="18"/>
                <w:szCs w:val="18"/>
                <w:lang w:val="en-CA"/>
              </w:rPr>
              <w:t xml:space="preserve">As part of establishing a mechanism to monitor compliance and prevent/manage conflicts (output 1.5.4), </w:t>
            </w:r>
            <w:r w:rsidRPr="00893DD1">
              <w:rPr>
                <w:sz w:val="18"/>
                <w:szCs w:val="18"/>
                <w:lang w:val="en-GB"/>
              </w:rPr>
              <w:t xml:space="preserve">establish a project-level Grievance Redress Mechanism (GRM), in line with mandatory Social and Environmental Standards (SES) </w:t>
            </w:r>
            <w:r w:rsidRPr="00893DD1">
              <w:rPr>
                <w:sz w:val="18"/>
                <w:szCs w:val="18"/>
                <w:lang w:val="en-CA"/>
              </w:rPr>
              <w:t xml:space="preserve">for collaborative problem solving, as a “first line” recourse for situations in which some stakeholders have a concern about the project’s potential impacts on them. </w:t>
            </w:r>
          </w:p>
        </w:tc>
        <w:tc>
          <w:tcPr>
            <w:tcW w:w="852" w:type="dxa"/>
          </w:tcPr>
          <w:p w14:paraId="36570E72"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MEGECC</w:t>
            </w:r>
          </w:p>
        </w:tc>
        <w:tc>
          <w:tcPr>
            <w:tcW w:w="1044" w:type="dxa"/>
          </w:tcPr>
          <w:p w14:paraId="44D203D4" w14:textId="77777777" w:rsidR="00302BFE" w:rsidRPr="00893DD1" w:rsidRDefault="00302BFE" w:rsidP="00243B15">
            <w:pPr>
              <w:spacing w:before="40" w:after="40"/>
              <w:jc w:val="left"/>
              <w:rPr>
                <w:rFonts w:eastAsia="Times New Roman" w:cs="Arial"/>
                <w:sz w:val="18"/>
                <w:szCs w:val="18"/>
                <w:lang w:val="en-GB"/>
              </w:rPr>
            </w:pPr>
          </w:p>
        </w:tc>
        <w:tc>
          <w:tcPr>
            <w:tcW w:w="769" w:type="dxa"/>
          </w:tcPr>
          <w:p w14:paraId="47E9C2BE" w14:textId="77777777" w:rsidR="00302BFE" w:rsidRPr="00893DD1" w:rsidRDefault="00302BFE" w:rsidP="00243B15">
            <w:pPr>
              <w:spacing w:before="40" w:after="40"/>
              <w:jc w:val="left"/>
              <w:rPr>
                <w:rFonts w:eastAsia="Times New Roman" w:cs="Arial"/>
                <w:sz w:val="18"/>
                <w:szCs w:val="18"/>
                <w:lang w:val="en-GB"/>
              </w:rPr>
            </w:pPr>
          </w:p>
        </w:tc>
        <w:tc>
          <w:tcPr>
            <w:tcW w:w="684" w:type="dxa"/>
          </w:tcPr>
          <w:p w14:paraId="6DE0CDFC" w14:textId="77777777" w:rsidR="00302BFE" w:rsidRPr="00893DD1" w:rsidRDefault="00302BFE" w:rsidP="00243B15">
            <w:pPr>
              <w:spacing w:before="40" w:after="40"/>
              <w:jc w:val="left"/>
              <w:rPr>
                <w:rFonts w:eastAsia="Times New Roman" w:cs="Arial"/>
                <w:sz w:val="18"/>
                <w:szCs w:val="18"/>
                <w:lang w:val="en-GB"/>
              </w:rPr>
            </w:pPr>
          </w:p>
        </w:tc>
      </w:tr>
      <w:tr w:rsidR="00302BFE" w:rsidRPr="00893DD1" w14:paraId="5AA0C9AF" w14:textId="77777777" w:rsidTr="00243B15">
        <w:tc>
          <w:tcPr>
            <w:tcW w:w="0" w:type="auto"/>
          </w:tcPr>
          <w:p w14:paraId="3297C3D4"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5</w:t>
            </w:r>
          </w:p>
        </w:tc>
        <w:tc>
          <w:tcPr>
            <w:tcW w:w="3537" w:type="dxa"/>
          </w:tcPr>
          <w:p w14:paraId="034076D5" w14:textId="77777777" w:rsidR="00302BFE" w:rsidRPr="00893DD1" w:rsidRDefault="00302BFE" w:rsidP="00243B15">
            <w:pPr>
              <w:spacing w:before="40" w:after="40"/>
              <w:jc w:val="left"/>
              <w:rPr>
                <w:sz w:val="18"/>
                <w:szCs w:val="18"/>
                <w:lang w:val="en-CA"/>
              </w:rPr>
            </w:pPr>
            <w:r w:rsidRPr="00893DD1">
              <w:rPr>
                <w:sz w:val="18"/>
                <w:szCs w:val="18"/>
                <w:lang w:val="en-CA"/>
              </w:rPr>
              <w:t>New techniques of agriculture, pastoralism or exploitation of forest products may affect communities in their natural resource use patterns, especially women.</w:t>
            </w:r>
          </w:p>
          <w:p w14:paraId="5B1B828C" w14:textId="77777777" w:rsidR="00302BFE" w:rsidRPr="00893DD1" w:rsidRDefault="00302BFE" w:rsidP="00243B15">
            <w:pPr>
              <w:spacing w:before="40" w:after="40"/>
              <w:jc w:val="left"/>
              <w:rPr>
                <w:rFonts w:eastAsia="Times New Roman" w:cs="Arial"/>
                <w:sz w:val="18"/>
                <w:szCs w:val="18"/>
              </w:rPr>
            </w:pPr>
            <w:r w:rsidRPr="00893DD1">
              <w:rPr>
                <w:sz w:val="18"/>
                <w:szCs w:val="18"/>
                <w:lang w:val="en-CA"/>
              </w:rPr>
              <w:t xml:space="preserve">Access to resources in the family plot is open for household members, </w:t>
            </w:r>
            <w:proofErr w:type="gramStart"/>
            <w:r w:rsidRPr="00893DD1">
              <w:rPr>
                <w:sz w:val="18"/>
                <w:szCs w:val="18"/>
                <w:lang w:val="en-CA"/>
              </w:rPr>
              <w:t>men</w:t>
            </w:r>
            <w:proofErr w:type="gramEnd"/>
            <w:r w:rsidRPr="00893DD1">
              <w:rPr>
                <w:sz w:val="18"/>
                <w:szCs w:val="18"/>
                <w:lang w:val="en-CA"/>
              </w:rPr>
              <w:t xml:space="preserve"> and women. In general, NWFPs are for women and young people, except for the </w:t>
            </w:r>
            <w:proofErr w:type="spellStart"/>
            <w:r w:rsidRPr="00893DD1">
              <w:rPr>
                <w:sz w:val="18"/>
                <w:szCs w:val="18"/>
                <w:lang w:val="en-CA"/>
              </w:rPr>
              <w:t>néré</w:t>
            </w:r>
            <w:proofErr w:type="spellEnd"/>
            <w:r w:rsidRPr="00893DD1">
              <w:rPr>
                <w:sz w:val="18"/>
                <w:szCs w:val="18"/>
                <w:lang w:val="en-CA"/>
              </w:rPr>
              <w:t xml:space="preserve"> that has social value and whose collection is supervised men. Anything that is outside of the family farm is open access. However, when profitable chains are developed, as planned under output 3.3, men are interested and compete with women. Shea has gained in value over the past 5 years and is now collected by men who bring them directly to the market. In some sites, this competition for collecting leads to the collection of immature fruits.</w:t>
            </w:r>
          </w:p>
        </w:tc>
        <w:tc>
          <w:tcPr>
            <w:tcW w:w="838" w:type="dxa"/>
          </w:tcPr>
          <w:p w14:paraId="496C2567" w14:textId="77777777" w:rsidR="00302BFE" w:rsidRPr="00893DD1" w:rsidRDefault="00302BFE" w:rsidP="00243B15">
            <w:pPr>
              <w:spacing w:before="40" w:after="40"/>
              <w:jc w:val="left"/>
              <w:rPr>
                <w:rFonts w:eastAsia="Times New Roman" w:cs="Arial"/>
                <w:sz w:val="18"/>
                <w:szCs w:val="18"/>
                <w:lang w:val="en-CA"/>
              </w:rPr>
            </w:pPr>
            <w:r w:rsidRPr="00893DD1">
              <w:rPr>
                <w:rFonts w:eastAsia="Times New Roman" w:cs="Arial"/>
                <w:sz w:val="18"/>
                <w:szCs w:val="18"/>
                <w:lang w:val="fr-FR"/>
              </w:rPr>
              <w:t>May 23, 2019</w:t>
            </w:r>
          </w:p>
        </w:tc>
        <w:tc>
          <w:tcPr>
            <w:tcW w:w="861" w:type="dxa"/>
          </w:tcPr>
          <w:p w14:paraId="54E3CA84"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Social</w:t>
            </w:r>
          </w:p>
        </w:tc>
        <w:tc>
          <w:tcPr>
            <w:tcW w:w="1035" w:type="dxa"/>
          </w:tcPr>
          <w:p w14:paraId="41DD0B96" w14:textId="77777777" w:rsidR="00302BFE" w:rsidRPr="00893DD1" w:rsidRDefault="00302BFE" w:rsidP="00243B15">
            <w:pPr>
              <w:spacing w:before="40" w:after="40"/>
              <w:rPr>
                <w:rFonts w:cs="Minion Pro"/>
                <w:sz w:val="18"/>
                <w:szCs w:val="18"/>
                <w:lang w:eastAsia="ja-JP"/>
              </w:rPr>
            </w:pPr>
            <w:r w:rsidRPr="00893DD1">
              <w:rPr>
                <w:rFonts w:cs="Minion Pro"/>
                <w:sz w:val="18"/>
                <w:szCs w:val="18"/>
              </w:rPr>
              <w:t>I = 3</w:t>
            </w:r>
          </w:p>
          <w:p w14:paraId="581246F8" w14:textId="77777777" w:rsidR="00302BFE" w:rsidRPr="00893DD1" w:rsidRDefault="00302BFE" w:rsidP="00243B15">
            <w:pPr>
              <w:spacing w:before="40" w:after="40"/>
              <w:jc w:val="left"/>
              <w:rPr>
                <w:rFonts w:cs="Minion Pro"/>
                <w:sz w:val="18"/>
                <w:szCs w:val="18"/>
              </w:rPr>
            </w:pPr>
            <w:r w:rsidRPr="00893DD1">
              <w:rPr>
                <w:rFonts w:cs="Minion Pro"/>
                <w:sz w:val="18"/>
                <w:szCs w:val="18"/>
              </w:rPr>
              <w:t>P = 3</w:t>
            </w:r>
          </w:p>
          <w:p w14:paraId="50396AE4" w14:textId="77777777" w:rsidR="00302BFE" w:rsidRPr="00893DD1" w:rsidRDefault="00302BFE" w:rsidP="00243B15">
            <w:pPr>
              <w:spacing w:before="40" w:after="40"/>
              <w:jc w:val="left"/>
              <w:rPr>
                <w:rFonts w:eastAsia="Times New Roman" w:cs="Arial"/>
                <w:sz w:val="18"/>
                <w:szCs w:val="18"/>
              </w:rPr>
            </w:pPr>
          </w:p>
          <w:p w14:paraId="45C67BA7" w14:textId="77777777" w:rsidR="00302BFE" w:rsidRPr="00893DD1" w:rsidRDefault="00302BFE" w:rsidP="00243B15">
            <w:pPr>
              <w:spacing w:before="40" w:after="40"/>
              <w:jc w:val="left"/>
              <w:rPr>
                <w:rFonts w:eastAsia="Times New Roman" w:cs="Arial"/>
                <w:sz w:val="18"/>
                <w:szCs w:val="18"/>
              </w:rPr>
            </w:pPr>
            <w:r w:rsidRPr="00893DD1">
              <w:rPr>
                <w:sz w:val="18"/>
                <w:szCs w:val="18"/>
              </w:rPr>
              <w:t>Moderate</w:t>
            </w:r>
          </w:p>
        </w:tc>
        <w:tc>
          <w:tcPr>
            <w:tcW w:w="4597" w:type="dxa"/>
          </w:tcPr>
          <w:p w14:paraId="6A8292CD" w14:textId="77777777" w:rsidR="00302BFE" w:rsidRPr="00893DD1" w:rsidRDefault="00302BFE" w:rsidP="00243B15">
            <w:pPr>
              <w:pStyle w:val="PIFPara"/>
              <w:numPr>
                <w:ilvl w:val="0"/>
                <w:numId w:val="0"/>
              </w:numPr>
              <w:spacing w:before="40" w:after="40"/>
              <w:jc w:val="left"/>
              <w:rPr>
                <w:rFonts w:ascii="Calibri" w:hAnsi="Calibri"/>
                <w:sz w:val="18"/>
                <w:szCs w:val="18"/>
                <w:lang w:val="en-CA" w:eastAsia="ja-JP"/>
              </w:rPr>
            </w:pPr>
            <w:r w:rsidRPr="00893DD1">
              <w:rPr>
                <w:rFonts w:ascii="Calibri" w:hAnsi="Calibri"/>
                <w:sz w:val="18"/>
                <w:szCs w:val="18"/>
                <w:lang w:val="en-CA" w:eastAsia="ja-JP"/>
              </w:rPr>
              <w:t>With the support of traditional authorities, identify those segments of the population who are negatively affected by project interventions, including the loss or reduction of access to resources through enhanced access rules to corridors and protected areas.</w:t>
            </w:r>
          </w:p>
          <w:p w14:paraId="2E46BA36" w14:textId="77777777" w:rsidR="00302BFE" w:rsidRPr="00893DD1" w:rsidRDefault="00302BFE" w:rsidP="00243B15">
            <w:pPr>
              <w:pStyle w:val="PIFPara"/>
              <w:numPr>
                <w:ilvl w:val="0"/>
                <w:numId w:val="0"/>
              </w:numPr>
              <w:spacing w:before="40" w:after="40"/>
              <w:jc w:val="left"/>
              <w:rPr>
                <w:rFonts w:ascii="Calibri" w:hAnsi="Calibri"/>
                <w:sz w:val="18"/>
                <w:szCs w:val="18"/>
                <w:lang w:val="en-CA" w:eastAsia="ja-JP"/>
              </w:rPr>
            </w:pPr>
            <w:r w:rsidRPr="00893DD1">
              <w:rPr>
                <w:rFonts w:ascii="Calibri" w:hAnsi="Calibri"/>
                <w:sz w:val="18"/>
                <w:szCs w:val="18"/>
                <w:lang w:val="en-CA" w:eastAsia="ja-JP"/>
              </w:rPr>
              <w:t xml:space="preserve">Areas in corridors 1 and 2 will be negotiated with the local authorities (village chief, chief of land), </w:t>
            </w:r>
            <w:proofErr w:type="gramStart"/>
            <w:r w:rsidRPr="00893DD1">
              <w:rPr>
                <w:rFonts w:ascii="Calibri" w:hAnsi="Calibri"/>
                <w:sz w:val="18"/>
                <w:szCs w:val="18"/>
                <w:lang w:val="en-CA" w:eastAsia="ja-JP"/>
              </w:rPr>
              <w:t>demarcated</w:t>
            </w:r>
            <w:proofErr w:type="gramEnd"/>
            <w:r w:rsidRPr="00893DD1">
              <w:rPr>
                <w:rFonts w:ascii="Calibri" w:hAnsi="Calibri"/>
                <w:sz w:val="18"/>
                <w:szCs w:val="18"/>
                <w:lang w:val="en-CA" w:eastAsia="ja-JP"/>
              </w:rPr>
              <w:t xml:space="preserve"> and certified for the production of organic shea for the benefit of the groups of women involved. These areas will be identified and delimitated as shea production areas and agreements and specifications will be developed to secure access to resources in these production areas for members of the women cooperative and supervise activities and ensure their sustainability. </w:t>
            </w:r>
          </w:p>
          <w:p w14:paraId="6A626722" w14:textId="77777777" w:rsidR="00302BFE" w:rsidRPr="00893DD1" w:rsidRDefault="00302BFE" w:rsidP="00243B15">
            <w:pPr>
              <w:pStyle w:val="PIFPara"/>
              <w:numPr>
                <w:ilvl w:val="0"/>
                <w:numId w:val="0"/>
              </w:numPr>
              <w:spacing w:before="40" w:after="40"/>
              <w:jc w:val="left"/>
              <w:rPr>
                <w:rFonts w:ascii="Calibri" w:hAnsi="Calibri"/>
                <w:sz w:val="18"/>
                <w:szCs w:val="18"/>
                <w:lang w:val="en-CA" w:eastAsia="ja-JP"/>
              </w:rPr>
            </w:pPr>
            <w:r w:rsidRPr="00893DD1">
              <w:rPr>
                <w:rFonts w:ascii="Calibri" w:hAnsi="Calibri"/>
                <w:sz w:val="18"/>
                <w:szCs w:val="18"/>
                <w:lang w:val="en-CA" w:eastAsia="ja-JP"/>
              </w:rPr>
              <w:t>Adopt a gender-sensitive approach to foster women participation in decision-making and planning processes supported by the project and ensure their representation and effective participation in the co-governance platform for the management of the PONASI landscape</w:t>
            </w:r>
          </w:p>
        </w:tc>
        <w:tc>
          <w:tcPr>
            <w:tcW w:w="852" w:type="dxa"/>
          </w:tcPr>
          <w:p w14:paraId="5C1B620F" w14:textId="77777777" w:rsidR="00302BFE" w:rsidRPr="00893DD1" w:rsidRDefault="00302BFE" w:rsidP="00243B15">
            <w:pPr>
              <w:spacing w:before="40" w:after="40"/>
              <w:jc w:val="left"/>
              <w:rPr>
                <w:rFonts w:eastAsia="Times New Roman" w:cs="Arial"/>
                <w:sz w:val="18"/>
                <w:szCs w:val="18"/>
                <w:lang w:val="en-GB"/>
              </w:rPr>
            </w:pPr>
            <w:r w:rsidRPr="00ED27AE">
              <w:rPr>
                <w:rFonts w:eastAsia="Times New Roman" w:cs="Arial"/>
                <w:sz w:val="18"/>
                <w:szCs w:val="18"/>
                <w:lang w:val="en-GB"/>
              </w:rPr>
              <w:t>MEGECC</w:t>
            </w:r>
          </w:p>
        </w:tc>
        <w:tc>
          <w:tcPr>
            <w:tcW w:w="1044" w:type="dxa"/>
          </w:tcPr>
          <w:p w14:paraId="218DCA12" w14:textId="77777777" w:rsidR="00302BFE" w:rsidRPr="00893DD1" w:rsidRDefault="00302BFE" w:rsidP="00243B15">
            <w:pPr>
              <w:spacing w:before="40" w:after="40"/>
              <w:jc w:val="left"/>
              <w:rPr>
                <w:rFonts w:eastAsia="Times New Roman" w:cs="Arial"/>
                <w:sz w:val="18"/>
                <w:szCs w:val="18"/>
                <w:lang w:val="en-GB"/>
              </w:rPr>
            </w:pPr>
          </w:p>
        </w:tc>
        <w:tc>
          <w:tcPr>
            <w:tcW w:w="769" w:type="dxa"/>
          </w:tcPr>
          <w:p w14:paraId="578DC83D" w14:textId="77777777" w:rsidR="00302BFE" w:rsidRPr="00893DD1" w:rsidRDefault="00302BFE" w:rsidP="00243B15">
            <w:pPr>
              <w:spacing w:before="40" w:after="40"/>
              <w:jc w:val="left"/>
              <w:rPr>
                <w:rFonts w:eastAsia="Times New Roman" w:cs="Arial"/>
                <w:sz w:val="18"/>
                <w:szCs w:val="18"/>
                <w:lang w:val="en-GB"/>
              </w:rPr>
            </w:pPr>
          </w:p>
        </w:tc>
        <w:tc>
          <w:tcPr>
            <w:tcW w:w="684" w:type="dxa"/>
          </w:tcPr>
          <w:p w14:paraId="7547B2BC" w14:textId="77777777" w:rsidR="00302BFE" w:rsidRPr="00893DD1" w:rsidRDefault="00302BFE" w:rsidP="00243B15">
            <w:pPr>
              <w:spacing w:before="40" w:after="40"/>
              <w:jc w:val="left"/>
              <w:rPr>
                <w:rFonts w:eastAsia="Times New Roman" w:cs="Arial"/>
                <w:sz w:val="18"/>
                <w:szCs w:val="18"/>
                <w:lang w:val="en-GB"/>
              </w:rPr>
            </w:pPr>
          </w:p>
        </w:tc>
      </w:tr>
      <w:tr w:rsidR="00302BFE" w:rsidRPr="00893DD1" w14:paraId="614DDC7A" w14:textId="77777777" w:rsidTr="00243B15">
        <w:tc>
          <w:tcPr>
            <w:tcW w:w="0" w:type="auto"/>
          </w:tcPr>
          <w:p w14:paraId="65663449"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6</w:t>
            </w:r>
          </w:p>
        </w:tc>
        <w:tc>
          <w:tcPr>
            <w:tcW w:w="3537" w:type="dxa"/>
          </w:tcPr>
          <w:p w14:paraId="1CF0BC13" w14:textId="77777777" w:rsidR="00302BFE" w:rsidRPr="00893DD1" w:rsidRDefault="00302BFE" w:rsidP="00243B15">
            <w:pPr>
              <w:spacing w:before="40" w:after="40"/>
              <w:jc w:val="left"/>
              <w:rPr>
                <w:sz w:val="18"/>
                <w:szCs w:val="18"/>
                <w:lang w:val="en-CA"/>
              </w:rPr>
            </w:pPr>
            <w:r w:rsidRPr="00893DD1">
              <w:rPr>
                <w:sz w:val="18"/>
                <w:szCs w:val="18"/>
                <w:lang w:val="en-CA"/>
              </w:rPr>
              <w:t xml:space="preserve">Proposed project activities </w:t>
            </w:r>
            <w:proofErr w:type="gramStart"/>
            <w:r w:rsidRPr="00893DD1">
              <w:rPr>
                <w:sz w:val="18"/>
                <w:szCs w:val="18"/>
                <w:lang w:val="en-CA"/>
              </w:rPr>
              <w:t>are located in</w:t>
            </w:r>
            <w:proofErr w:type="gramEnd"/>
            <w:r w:rsidRPr="00893DD1">
              <w:rPr>
                <w:sz w:val="18"/>
                <w:szCs w:val="18"/>
                <w:lang w:val="en-CA"/>
              </w:rPr>
              <w:t xml:space="preserve"> or near critical habitats and / or ecologically </w:t>
            </w:r>
            <w:r w:rsidRPr="00893DD1">
              <w:rPr>
                <w:sz w:val="18"/>
                <w:szCs w:val="18"/>
                <w:lang w:val="en-CA"/>
              </w:rPr>
              <w:lastRenderedPageBreak/>
              <w:t>sensitive areas, such as legally protected areas.</w:t>
            </w:r>
          </w:p>
          <w:p w14:paraId="5A6BD96D" w14:textId="77777777" w:rsidR="00302BFE" w:rsidRPr="00893DD1" w:rsidRDefault="00302BFE" w:rsidP="00243B15">
            <w:pPr>
              <w:spacing w:before="40" w:after="40"/>
              <w:jc w:val="left"/>
              <w:rPr>
                <w:rFonts w:eastAsia="Times New Roman" w:cs="Arial"/>
                <w:sz w:val="18"/>
                <w:szCs w:val="18"/>
              </w:rPr>
            </w:pPr>
            <w:r w:rsidRPr="00893DD1">
              <w:rPr>
                <w:sz w:val="18"/>
                <w:szCs w:val="18"/>
                <w:lang w:val="en-GB"/>
              </w:rPr>
              <w:t xml:space="preserve">A new building will be constructed to provide adequate space for the PNKT management unit offices, common </w:t>
            </w:r>
            <w:proofErr w:type="gramStart"/>
            <w:r w:rsidRPr="00893DD1">
              <w:rPr>
                <w:sz w:val="18"/>
                <w:szCs w:val="18"/>
                <w:lang w:val="en-GB"/>
              </w:rPr>
              <w:t>workspaces</w:t>
            </w:r>
            <w:proofErr w:type="gramEnd"/>
            <w:r w:rsidRPr="00893DD1">
              <w:rPr>
                <w:sz w:val="18"/>
                <w:szCs w:val="18"/>
                <w:lang w:val="en-GB"/>
              </w:rPr>
              <w:t xml:space="preserve"> </w:t>
            </w:r>
            <w:r w:rsidRPr="00893DD1">
              <w:rPr>
                <w:rFonts w:cs="Calibri Light"/>
                <w:sz w:val="18"/>
                <w:szCs w:val="18"/>
              </w:rPr>
              <w:t>and tourist facilities.</w:t>
            </w:r>
          </w:p>
        </w:tc>
        <w:tc>
          <w:tcPr>
            <w:tcW w:w="838" w:type="dxa"/>
          </w:tcPr>
          <w:p w14:paraId="76811119" w14:textId="77777777" w:rsidR="00302BFE" w:rsidRPr="00893DD1" w:rsidRDefault="00302BFE" w:rsidP="00243B15">
            <w:pPr>
              <w:spacing w:before="40" w:after="40"/>
              <w:jc w:val="left"/>
              <w:rPr>
                <w:rFonts w:eastAsia="Times New Roman" w:cs="Arial"/>
                <w:sz w:val="18"/>
                <w:szCs w:val="18"/>
                <w:lang w:val="en-CA"/>
              </w:rPr>
            </w:pPr>
            <w:r w:rsidRPr="00893DD1">
              <w:rPr>
                <w:rFonts w:eastAsia="Times New Roman" w:cs="Arial"/>
                <w:sz w:val="18"/>
                <w:szCs w:val="18"/>
                <w:lang w:val="fr-FR"/>
              </w:rPr>
              <w:lastRenderedPageBreak/>
              <w:t>May 23, 2019</w:t>
            </w:r>
          </w:p>
        </w:tc>
        <w:tc>
          <w:tcPr>
            <w:tcW w:w="861" w:type="dxa"/>
          </w:tcPr>
          <w:p w14:paraId="5079D881"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Environ-mental</w:t>
            </w:r>
          </w:p>
        </w:tc>
        <w:tc>
          <w:tcPr>
            <w:tcW w:w="1035" w:type="dxa"/>
          </w:tcPr>
          <w:p w14:paraId="6D73A068" w14:textId="77777777" w:rsidR="00302BFE" w:rsidRPr="00893DD1" w:rsidRDefault="00302BFE" w:rsidP="00243B15">
            <w:pPr>
              <w:spacing w:before="40" w:after="40"/>
              <w:rPr>
                <w:rFonts w:cs="Minion Pro"/>
                <w:sz w:val="18"/>
                <w:szCs w:val="18"/>
                <w:lang w:eastAsia="ja-JP"/>
              </w:rPr>
            </w:pPr>
            <w:r w:rsidRPr="00893DD1">
              <w:rPr>
                <w:rFonts w:cs="Minion Pro"/>
                <w:sz w:val="18"/>
                <w:szCs w:val="18"/>
              </w:rPr>
              <w:t>I = 2</w:t>
            </w:r>
          </w:p>
          <w:p w14:paraId="07DDA3EE" w14:textId="77777777" w:rsidR="00302BFE" w:rsidRPr="00893DD1" w:rsidRDefault="00302BFE" w:rsidP="00243B15">
            <w:pPr>
              <w:spacing w:before="40" w:after="40"/>
              <w:jc w:val="left"/>
              <w:rPr>
                <w:rFonts w:cs="Minion Pro"/>
                <w:sz w:val="18"/>
                <w:szCs w:val="18"/>
              </w:rPr>
            </w:pPr>
            <w:r w:rsidRPr="00893DD1">
              <w:rPr>
                <w:rFonts w:cs="Minion Pro"/>
                <w:sz w:val="18"/>
                <w:szCs w:val="18"/>
              </w:rPr>
              <w:lastRenderedPageBreak/>
              <w:t>P = 5</w:t>
            </w:r>
          </w:p>
          <w:p w14:paraId="5CE69589" w14:textId="77777777" w:rsidR="00302BFE" w:rsidRPr="00893DD1" w:rsidRDefault="00302BFE" w:rsidP="00243B15">
            <w:pPr>
              <w:spacing w:before="40" w:after="40"/>
              <w:jc w:val="left"/>
              <w:rPr>
                <w:rFonts w:eastAsia="Times New Roman" w:cs="Arial"/>
                <w:sz w:val="18"/>
                <w:szCs w:val="18"/>
              </w:rPr>
            </w:pPr>
          </w:p>
          <w:p w14:paraId="15038BD4" w14:textId="77777777" w:rsidR="00302BFE" w:rsidRPr="00893DD1" w:rsidRDefault="00302BFE" w:rsidP="00243B15">
            <w:pPr>
              <w:spacing w:before="40" w:after="40"/>
              <w:jc w:val="left"/>
              <w:rPr>
                <w:rFonts w:eastAsia="Times New Roman" w:cs="Arial"/>
                <w:sz w:val="18"/>
                <w:szCs w:val="18"/>
              </w:rPr>
            </w:pPr>
            <w:r w:rsidRPr="00893DD1">
              <w:rPr>
                <w:sz w:val="18"/>
                <w:szCs w:val="18"/>
              </w:rPr>
              <w:t>Moderate</w:t>
            </w:r>
          </w:p>
        </w:tc>
        <w:tc>
          <w:tcPr>
            <w:tcW w:w="4597" w:type="dxa"/>
          </w:tcPr>
          <w:p w14:paraId="4417FC70" w14:textId="77777777" w:rsidR="00302BFE" w:rsidRPr="00893DD1" w:rsidRDefault="00302BFE" w:rsidP="00243B15">
            <w:pPr>
              <w:spacing w:before="40" w:after="40"/>
              <w:jc w:val="left"/>
              <w:rPr>
                <w:rFonts w:eastAsia="Times New Roman" w:cs="Arial"/>
                <w:sz w:val="18"/>
                <w:szCs w:val="18"/>
              </w:rPr>
            </w:pPr>
            <w:r w:rsidRPr="00893DD1">
              <w:rPr>
                <w:sz w:val="18"/>
                <w:szCs w:val="18"/>
                <w:lang w:val="en-CA"/>
              </w:rPr>
              <w:lastRenderedPageBreak/>
              <w:t xml:space="preserve">All activities of component 2 will contribute to improve the effectiveness of their management in compliance </w:t>
            </w:r>
            <w:r w:rsidRPr="00893DD1">
              <w:rPr>
                <w:sz w:val="18"/>
                <w:szCs w:val="18"/>
                <w:lang w:val="en-CA"/>
              </w:rPr>
              <w:lastRenderedPageBreak/>
              <w:t xml:space="preserve">with the limitations prescribed by law, particularly the 2011 Forest Code. The interventions proposed in the project strictly avoid engaging in any activity likely to have adverse effects on the fauna and flora or on the integrity of protected areas. </w:t>
            </w:r>
            <w:r w:rsidRPr="00893DD1">
              <w:rPr>
                <w:sz w:val="18"/>
                <w:szCs w:val="18"/>
                <w:lang w:val="en-GB"/>
              </w:rPr>
              <w:t xml:space="preserve">To avoid negative impacts on the protected area and sensitive resources and </w:t>
            </w:r>
            <w:r w:rsidRPr="00893DD1">
              <w:rPr>
                <w:rFonts w:cs="Calibri Light"/>
                <w:sz w:val="18"/>
                <w:szCs w:val="18"/>
              </w:rPr>
              <w:t>to be consistent with legal constraints,</w:t>
            </w:r>
            <w:r w:rsidRPr="00893DD1">
              <w:rPr>
                <w:sz w:val="18"/>
                <w:szCs w:val="18"/>
                <w:lang w:val="en-GB"/>
              </w:rPr>
              <w:t xml:space="preserve"> the building will be located </w:t>
            </w:r>
            <w:r w:rsidRPr="00893DD1">
              <w:rPr>
                <w:rFonts w:cs="Calibri Light"/>
                <w:sz w:val="18"/>
                <w:szCs w:val="18"/>
              </w:rPr>
              <w:t xml:space="preserve">at the park entrance, </w:t>
            </w:r>
            <w:r w:rsidRPr="00893DD1">
              <w:rPr>
                <w:sz w:val="18"/>
                <w:szCs w:val="18"/>
                <w:lang w:val="en-GB"/>
              </w:rPr>
              <w:t xml:space="preserve">outside </w:t>
            </w:r>
            <w:r w:rsidRPr="00893DD1">
              <w:rPr>
                <w:rFonts w:cs="Calibri Light"/>
                <w:sz w:val="18"/>
                <w:szCs w:val="18"/>
              </w:rPr>
              <w:t>the park boundaries</w:t>
            </w:r>
            <w:r w:rsidRPr="00893DD1">
              <w:rPr>
                <w:sz w:val="18"/>
                <w:szCs w:val="18"/>
                <w:lang w:val="en-GB"/>
              </w:rPr>
              <w:t xml:space="preserve">. </w:t>
            </w:r>
            <w:r w:rsidRPr="00893DD1">
              <w:rPr>
                <w:rFonts w:cs="Calibri Light"/>
                <w:sz w:val="18"/>
                <w:szCs w:val="18"/>
              </w:rPr>
              <w:t>The building architecture and surrounding landscape will be designed following sustainable design principles. This will include electrification with solar panels and natural cooling systems, water provision including through water harvesting and grey-water recycling. The establishment of the visitor complex will be preceded by the elaboration of a feasibility study and a business plan – and if required an environmental impact assessment.</w:t>
            </w:r>
          </w:p>
        </w:tc>
        <w:tc>
          <w:tcPr>
            <w:tcW w:w="852" w:type="dxa"/>
          </w:tcPr>
          <w:p w14:paraId="673C25E8" w14:textId="77777777" w:rsidR="00302BFE" w:rsidRPr="00893DD1" w:rsidRDefault="00302BFE" w:rsidP="00243B15">
            <w:pPr>
              <w:spacing w:before="40" w:after="40"/>
              <w:jc w:val="left"/>
              <w:rPr>
                <w:rFonts w:eastAsia="Times New Roman" w:cs="Arial"/>
                <w:sz w:val="18"/>
                <w:szCs w:val="18"/>
                <w:lang w:val="en-GB"/>
              </w:rPr>
            </w:pPr>
            <w:r w:rsidRPr="00ED27AE">
              <w:rPr>
                <w:rFonts w:eastAsia="Times New Roman" w:cs="Arial"/>
                <w:sz w:val="18"/>
                <w:szCs w:val="18"/>
                <w:lang w:val="en-GB"/>
              </w:rPr>
              <w:lastRenderedPageBreak/>
              <w:t>MEGECC</w:t>
            </w:r>
          </w:p>
        </w:tc>
        <w:tc>
          <w:tcPr>
            <w:tcW w:w="1044" w:type="dxa"/>
          </w:tcPr>
          <w:p w14:paraId="09873197" w14:textId="77777777" w:rsidR="00302BFE" w:rsidRPr="00893DD1" w:rsidRDefault="00302BFE" w:rsidP="00243B15">
            <w:pPr>
              <w:spacing w:before="40" w:after="40"/>
              <w:jc w:val="left"/>
              <w:rPr>
                <w:rFonts w:eastAsia="Times New Roman" w:cs="Arial"/>
                <w:sz w:val="18"/>
                <w:szCs w:val="18"/>
                <w:lang w:val="en-GB"/>
              </w:rPr>
            </w:pPr>
          </w:p>
        </w:tc>
        <w:tc>
          <w:tcPr>
            <w:tcW w:w="769" w:type="dxa"/>
          </w:tcPr>
          <w:p w14:paraId="22862E72" w14:textId="77777777" w:rsidR="00302BFE" w:rsidRPr="00893DD1" w:rsidRDefault="00302BFE" w:rsidP="00243B15">
            <w:pPr>
              <w:spacing w:before="40" w:after="40"/>
              <w:jc w:val="left"/>
              <w:rPr>
                <w:rFonts w:eastAsia="Times New Roman" w:cs="Arial"/>
                <w:sz w:val="18"/>
                <w:szCs w:val="18"/>
                <w:lang w:val="en-GB"/>
              </w:rPr>
            </w:pPr>
          </w:p>
        </w:tc>
        <w:tc>
          <w:tcPr>
            <w:tcW w:w="684" w:type="dxa"/>
          </w:tcPr>
          <w:p w14:paraId="10B094EC" w14:textId="77777777" w:rsidR="00302BFE" w:rsidRPr="00893DD1" w:rsidRDefault="00302BFE" w:rsidP="00243B15">
            <w:pPr>
              <w:spacing w:before="40" w:after="40"/>
              <w:jc w:val="left"/>
              <w:rPr>
                <w:rFonts w:eastAsia="Times New Roman" w:cs="Arial"/>
                <w:sz w:val="18"/>
                <w:szCs w:val="18"/>
                <w:lang w:val="en-GB"/>
              </w:rPr>
            </w:pPr>
          </w:p>
        </w:tc>
      </w:tr>
      <w:tr w:rsidR="00302BFE" w:rsidRPr="00893DD1" w14:paraId="7110428C" w14:textId="77777777" w:rsidTr="00243B15">
        <w:tc>
          <w:tcPr>
            <w:tcW w:w="0" w:type="auto"/>
          </w:tcPr>
          <w:p w14:paraId="03101DC0"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7</w:t>
            </w:r>
          </w:p>
        </w:tc>
        <w:tc>
          <w:tcPr>
            <w:tcW w:w="3537" w:type="dxa"/>
          </w:tcPr>
          <w:p w14:paraId="1C51F1AB" w14:textId="77777777" w:rsidR="00302BFE" w:rsidRPr="00741FCF" w:rsidRDefault="00302BFE" w:rsidP="00243B15">
            <w:pPr>
              <w:spacing w:before="40" w:after="40"/>
              <w:jc w:val="left"/>
              <w:rPr>
                <w:sz w:val="18"/>
                <w:szCs w:val="18"/>
                <w:lang w:val="en-CA"/>
              </w:rPr>
            </w:pPr>
            <w:r w:rsidRPr="00741FCF">
              <w:rPr>
                <w:sz w:val="18"/>
                <w:szCs w:val="18"/>
                <w:lang w:val="en-CA"/>
              </w:rPr>
              <w:t xml:space="preserve">The project will support changes in land and resource use that can have adverse effects on livelihoods. </w:t>
            </w:r>
          </w:p>
          <w:p w14:paraId="0EB0F954" w14:textId="77777777" w:rsidR="00302BFE" w:rsidRPr="00741FCF" w:rsidRDefault="00302BFE" w:rsidP="00243B15">
            <w:pPr>
              <w:spacing w:before="40" w:after="40"/>
              <w:jc w:val="left"/>
              <w:rPr>
                <w:sz w:val="18"/>
                <w:szCs w:val="18"/>
                <w:lang w:val="en-CA"/>
              </w:rPr>
            </w:pPr>
            <w:r w:rsidRPr="00741FCF">
              <w:rPr>
                <w:sz w:val="18"/>
                <w:szCs w:val="18"/>
                <w:lang w:val="en-CA"/>
              </w:rPr>
              <w:t xml:space="preserve">In recent years, the Forestry Department has required the departure of farmers and ranchers from a portion of the </w:t>
            </w:r>
            <w:proofErr w:type="spellStart"/>
            <w:r w:rsidRPr="00741FCF">
              <w:rPr>
                <w:sz w:val="18"/>
                <w:szCs w:val="18"/>
                <w:lang w:val="en-CA"/>
              </w:rPr>
              <w:t>Sissili</w:t>
            </w:r>
            <w:proofErr w:type="spellEnd"/>
            <w:r w:rsidRPr="00741FCF">
              <w:rPr>
                <w:sz w:val="18"/>
                <w:szCs w:val="18"/>
                <w:lang w:val="en-CA"/>
              </w:rPr>
              <w:t xml:space="preserve"> classified forest that had undergone a conversion attempt into a pastoral zone. Though not requiring any population displacement, the project intervention will reinforce the Government’s message on the status of the CF and on permitted uses.</w:t>
            </w:r>
          </w:p>
          <w:p w14:paraId="26E59BD0" w14:textId="77777777" w:rsidR="00302BFE" w:rsidRPr="00741FCF" w:rsidRDefault="00302BFE" w:rsidP="00243B15">
            <w:pPr>
              <w:spacing w:before="40" w:after="40"/>
              <w:jc w:val="left"/>
              <w:rPr>
                <w:sz w:val="18"/>
                <w:szCs w:val="18"/>
                <w:lang w:val="en-CA"/>
              </w:rPr>
            </w:pPr>
            <w:r w:rsidRPr="00741FCF">
              <w:rPr>
                <w:rFonts w:eastAsia="Times New Roman" w:cs="Arial"/>
                <w:sz w:val="18"/>
                <w:szCs w:val="18"/>
                <w:lang w:val="en-CA"/>
              </w:rPr>
              <w:t xml:space="preserve">Also, the project will formalize the creation of a wildlife corridor that has been established through a previous project. </w:t>
            </w:r>
            <w:r w:rsidRPr="00741FCF">
              <w:rPr>
                <w:sz w:val="18"/>
                <w:szCs w:val="18"/>
                <w:lang w:val="en-CA"/>
              </w:rPr>
              <w:t>There is a risk that pastoralists have begun to re-invade the periphery of this corridor, in which case the project will have to increase awareness about boundaries and prohibited uses. Strengthening surveillance activities in the PNKT could limit access to herders who illegally encroach on its periphery.</w:t>
            </w:r>
          </w:p>
          <w:p w14:paraId="3659CB95" w14:textId="6C3C96F2" w:rsidR="003572F5" w:rsidRPr="00741FCF" w:rsidRDefault="003572F5" w:rsidP="00243B15">
            <w:pPr>
              <w:spacing w:before="40" w:after="40"/>
              <w:jc w:val="left"/>
              <w:rPr>
                <w:rFonts w:eastAsia="Times New Roman" w:cs="Arial"/>
                <w:sz w:val="18"/>
                <w:szCs w:val="18"/>
                <w:lang w:val="en-CA"/>
              </w:rPr>
            </w:pPr>
            <w:r w:rsidRPr="00741FCF">
              <w:rPr>
                <w:bCs/>
                <w:sz w:val="18"/>
                <w:szCs w:val="18"/>
                <w:lang w:val="en-CA"/>
              </w:rPr>
              <w:lastRenderedPageBreak/>
              <w:t xml:space="preserve">In addition, </w:t>
            </w:r>
            <w:r w:rsidRPr="00741FCF">
              <w:rPr>
                <w:rFonts w:cs="Segoe UI"/>
                <w:color w:val="000000"/>
                <w:sz w:val="18"/>
                <w:szCs w:val="18"/>
                <w:lang w:val="en-CA"/>
              </w:rPr>
              <w:t xml:space="preserve">the possibility of the temporary closure of hunting </w:t>
            </w:r>
            <w:r w:rsidRPr="00741FCF">
              <w:rPr>
                <w:sz w:val="18"/>
                <w:szCs w:val="18"/>
                <w:lang w:val="en-CA"/>
              </w:rPr>
              <w:t xml:space="preserve">in the RGN, </w:t>
            </w:r>
            <w:proofErr w:type="spellStart"/>
            <w:r w:rsidRPr="00741FCF">
              <w:rPr>
                <w:sz w:val="18"/>
                <w:szCs w:val="18"/>
                <w:lang w:val="en-CA"/>
              </w:rPr>
              <w:t>Sissili</w:t>
            </w:r>
            <w:proofErr w:type="spellEnd"/>
            <w:r w:rsidRPr="00741FCF">
              <w:rPr>
                <w:sz w:val="18"/>
                <w:szCs w:val="18"/>
                <w:lang w:val="en-CA"/>
              </w:rPr>
              <w:t xml:space="preserve"> CF and ZOVICs </w:t>
            </w:r>
            <w:r w:rsidRPr="00741FCF">
              <w:rPr>
                <w:rFonts w:cs="Segoe UI"/>
                <w:color w:val="000000"/>
                <w:sz w:val="18"/>
                <w:szCs w:val="18"/>
                <w:lang w:val="en-CA"/>
              </w:rPr>
              <w:t>will result in short-term loss of income for concessionaires and the Government and the temporary loss of a subsistence activity for the communities using ZOVICs for subsistence hunting and source of income for local communities who lease their ZOVIC to concessionaires for commercial small game hunting.</w:t>
            </w:r>
          </w:p>
        </w:tc>
        <w:tc>
          <w:tcPr>
            <w:tcW w:w="838" w:type="dxa"/>
          </w:tcPr>
          <w:p w14:paraId="2DE3D238" w14:textId="77777777" w:rsidR="00302BFE" w:rsidRPr="00741FCF" w:rsidRDefault="00302BFE" w:rsidP="00243B15">
            <w:pPr>
              <w:spacing w:before="40" w:after="40"/>
              <w:jc w:val="left"/>
              <w:rPr>
                <w:rFonts w:eastAsia="Times New Roman" w:cs="Arial"/>
                <w:sz w:val="18"/>
                <w:szCs w:val="18"/>
                <w:lang w:val="en-CA"/>
              </w:rPr>
            </w:pPr>
            <w:r w:rsidRPr="00741FCF">
              <w:rPr>
                <w:rFonts w:eastAsia="Times New Roman" w:cs="Arial"/>
                <w:sz w:val="18"/>
                <w:szCs w:val="18"/>
                <w:lang w:val="fr-FR"/>
              </w:rPr>
              <w:lastRenderedPageBreak/>
              <w:t>May 23, 2019</w:t>
            </w:r>
          </w:p>
        </w:tc>
        <w:tc>
          <w:tcPr>
            <w:tcW w:w="861" w:type="dxa"/>
          </w:tcPr>
          <w:p w14:paraId="180485F0" w14:textId="77777777" w:rsidR="00302BFE" w:rsidRPr="00741FCF" w:rsidRDefault="00302BFE" w:rsidP="00243B15">
            <w:pPr>
              <w:spacing w:before="40" w:after="40"/>
              <w:jc w:val="left"/>
              <w:rPr>
                <w:rFonts w:eastAsia="Times New Roman" w:cs="Arial"/>
                <w:sz w:val="18"/>
                <w:szCs w:val="18"/>
              </w:rPr>
            </w:pPr>
            <w:r w:rsidRPr="00741FCF">
              <w:rPr>
                <w:rFonts w:eastAsia="Times New Roman" w:cs="Arial"/>
                <w:sz w:val="18"/>
                <w:szCs w:val="18"/>
              </w:rPr>
              <w:t>Social</w:t>
            </w:r>
          </w:p>
        </w:tc>
        <w:tc>
          <w:tcPr>
            <w:tcW w:w="1035" w:type="dxa"/>
          </w:tcPr>
          <w:p w14:paraId="009308A1" w14:textId="77777777" w:rsidR="00302BFE" w:rsidRPr="00741FCF" w:rsidRDefault="00302BFE" w:rsidP="00243B15">
            <w:pPr>
              <w:spacing w:before="40" w:after="40"/>
              <w:rPr>
                <w:rFonts w:cs="Minion Pro"/>
                <w:sz w:val="18"/>
                <w:szCs w:val="18"/>
                <w:lang w:eastAsia="ja-JP"/>
              </w:rPr>
            </w:pPr>
            <w:r w:rsidRPr="00741FCF">
              <w:rPr>
                <w:rFonts w:cs="Minion Pro"/>
                <w:sz w:val="18"/>
                <w:szCs w:val="18"/>
              </w:rPr>
              <w:t>I = 2</w:t>
            </w:r>
          </w:p>
          <w:p w14:paraId="23BEC40F" w14:textId="64F85F2E" w:rsidR="00302BFE" w:rsidRPr="00741FCF" w:rsidRDefault="00302BFE" w:rsidP="00243B15">
            <w:pPr>
              <w:spacing w:before="40" w:after="40"/>
              <w:jc w:val="left"/>
              <w:rPr>
                <w:rFonts w:cs="Minion Pro"/>
                <w:sz w:val="18"/>
                <w:szCs w:val="18"/>
              </w:rPr>
            </w:pPr>
            <w:r w:rsidRPr="00741FCF">
              <w:rPr>
                <w:rFonts w:cs="Minion Pro"/>
                <w:sz w:val="18"/>
                <w:szCs w:val="18"/>
              </w:rPr>
              <w:t xml:space="preserve">P = </w:t>
            </w:r>
            <w:r w:rsidR="00F11854" w:rsidRPr="00741FCF">
              <w:rPr>
                <w:rFonts w:cs="Minion Pro"/>
                <w:sz w:val="18"/>
                <w:szCs w:val="18"/>
              </w:rPr>
              <w:t>4</w:t>
            </w:r>
          </w:p>
          <w:p w14:paraId="6874366F" w14:textId="77777777" w:rsidR="00302BFE" w:rsidRPr="00741FCF" w:rsidRDefault="00302BFE" w:rsidP="00243B15">
            <w:pPr>
              <w:spacing w:before="40" w:after="40"/>
              <w:jc w:val="left"/>
              <w:rPr>
                <w:rFonts w:eastAsia="Times New Roman" w:cs="Arial"/>
                <w:sz w:val="18"/>
                <w:szCs w:val="18"/>
              </w:rPr>
            </w:pPr>
          </w:p>
          <w:p w14:paraId="4D593480" w14:textId="77777777" w:rsidR="00302BFE" w:rsidRPr="00741FCF" w:rsidRDefault="00302BFE" w:rsidP="00243B15">
            <w:pPr>
              <w:spacing w:before="40" w:after="40"/>
              <w:jc w:val="left"/>
              <w:rPr>
                <w:rFonts w:eastAsia="Times New Roman" w:cs="Arial"/>
                <w:sz w:val="18"/>
                <w:szCs w:val="18"/>
              </w:rPr>
            </w:pPr>
            <w:r w:rsidRPr="00741FCF">
              <w:rPr>
                <w:sz w:val="18"/>
                <w:szCs w:val="18"/>
              </w:rPr>
              <w:t>Moderate</w:t>
            </w:r>
          </w:p>
        </w:tc>
        <w:tc>
          <w:tcPr>
            <w:tcW w:w="4597" w:type="dxa"/>
          </w:tcPr>
          <w:p w14:paraId="1F26748A" w14:textId="77777777" w:rsidR="00302BFE" w:rsidRPr="00741FCF" w:rsidRDefault="00302BFE" w:rsidP="00243B15">
            <w:pPr>
              <w:spacing w:before="40" w:after="40"/>
              <w:jc w:val="left"/>
              <w:rPr>
                <w:sz w:val="18"/>
                <w:szCs w:val="18"/>
                <w:lang w:val="en-CA"/>
              </w:rPr>
            </w:pPr>
            <w:r w:rsidRPr="00741FCF">
              <w:rPr>
                <w:sz w:val="18"/>
                <w:szCs w:val="18"/>
                <w:lang w:val="en-CA"/>
              </w:rPr>
              <w:t xml:space="preserve">If necessary, the project will support the Government in </w:t>
            </w:r>
            <w:proofErr w:type="gramStart"/>
            <w:r w:rsidRPr="00741FCF">
              <w:rPr>
                <w:sz w:val="18"/>
                <w:szCs w:val="18"/>
                <w:lang w:val="en-CA"/>
              </w:rPr>
              <w:t>taking into account</w:t>
            </w:r>
            <w:proofErr w:type="gramEnd"/>
            <w:r w:rsidRPr="00741FCF">
              <w:rPr>
                <w:sz w:val="18"/>
                <w:szCs w:val="18"/>
                <w:lang w:val="en-CA"/>
              </w:rPr>
              <w:t xml:space="preserve"> needs -even limited- for the displacement of populations or activities in protected areas and corridors. Given that protected areas and wildlife corridors are currently the subject of several interventions by the Government and its partners, at project inception, it will be necessary to clearly assess the risk of economic displacement of local populations due to limited access to land and resources, even without physical displacement, to provide a clear baseline situation and to devise measures to avoid or mitigate potential negative impacts related to the adoption and implementation of sustainable land and natural resources management. Improving the carrying capacity of grazing areas planned under the project will provide a viable and sustainable alternative that will allow pastoralists to continue their activity without prejudice.</w:t>
            </w:r>
          </w:p>
          <w:p w14:paraId="723FF182" w14:textId="12C3AF9A" w:rsidR="003572F5" w:rsidRPr="00741FCF" w:rsidRDefault="003572F5" w:rsidP="00243B15">
            <w:pPr>
              <w:spacing w:before="40" w:after="40"/>
              <w:jc w:val="left"/>
              <w:rPr>
                <w:rFonts w:eastAsia="Times New Roman" w:cs="Arial"/>
                <w:sz w:val="18"/>
                <w:szCs w:val="18"/>
              </w:rPr>
            </w:pPr>
            <w:r w:rsidRPr="00741FCF">
              <w:rPr>
                <w:sz w:val="18"/>
                <w:szCs w:val="18"/>
                <w:lang w:val="en-CA"/>
              </w:rPr>
              <w:t xml:space="preserve">Regarding the potential closure of hunting activities under Output 2.2.2, a comprehensive review of the management of wild game hunting in the RGN, </w:t>
            </w:r>
            <w:proofErr w:type="spellStart"/>
            <w:r w:rsidRPr="00741FCF">
              <w:rPr>
                <w:sz w:val="18"/>
                <w:szCs w:val="18"/>
                <w:lang w:val="en-CA"/>
              </w:rPr>
              <w:t>Sissili</w:t>
            </w:r>
            <w:proofErr w:type="spellEnd"/>
            <w:r w:rsidRPr="00741FCF">
              <w:rPr>
                <w:sz w:val="18"/>
                <w:szCs w:val="18"/>
                <w:lang w:val="en-CA"/>
              </w:rPr>
              <w:t xml:space="preserve"> CF and ZOVICs since their creation will document the socio-economic impacts and the status of game populations. This study will document the costs and benefits for the various stakeholders, </w:t>
            </w:r>
            <w:proofErr w:type="gramStart"/>
            <w:r w:rsidRPr="00741FCF">
              <w:rPr>
                <w:sz w:val="18"/>
                <w:szCs w:val="18"/>
                <w:lang w:val="en-CA"/>
              </w:rPr>
              <w:t>i.e.</w:t>
            </w:r>
            <w:proofErr w:type="gramEnd"/>
            <w:r w:rsidRPr="00741FCF">
              <w:rPr>
                <w:sz w:val="18"/>
                <w:szCs w:val="18"/>
                <w:lang w:val="en-CA"/>
              </w:rPr>
              <w:t xml:space="preserve"> the Government, the concessionaires and the local populations, and will thus </w:t>
            </w:r>
            <w:r w:rsidRPr="00741FCF">
              <w:rPr>
                <w:sz w:val="18"/>
                <w:szCs w:val="18"/>
                <w:lang w:val="en-CA"/>
              </w:rPr>
              <w:lastRenderedPageBreak/>
              <w:t>allow predicting the socio-economic consequences of a possible closure of hunting in these sites. The decision to close the hunting will be based on the recognition of the unsustainability of hunting as currently managed and the inability of game populations to withstand the pressure of hunting due to a worrying decline in populations. Observations in the last decade indicate that local communities now derive little benefits from hunting activities and would therefore experience little short-term impact from a hunting closure. A decrease in game populations will affect the revenues of the Government and the concessionaires in the medium and long term, so that the impact of the closure of the hunting will only negatively affect them in the short term, while all stakeholders will benefit from a medium-term closure by avoiding a permanent loss of the resources that support this activity. The project will support various projects that will allow a diversification of sources of income for local populations, which will help to alleviate the effects of the closure of hunting in ZOVICs.</w:t>
            </w:r>
          </w:p>
        </w:tc>
        <w:tc>
          <w:tcPr>
            <w:tcW w:w="852" w:type="dxa"/>
          </w:tcPr>
          <w:p w14:paraId="1A20EE5B" w14:textId="77777777" w:rsidR="00302BFE" w:rsidRDefault="00302BFE" w:rsidP="00243B15">
            <w:pPr>
              <w:spacing w:before="40" w:after="40"/>
              <w:jc w:val="left"/>
              <w:rPr>
                <w:rFonts w:eastAsia="Times New Roman" w:cs="Arial"/>
                <w:sz w:val="18"/>
                <w:szCs w:val="18"/>
                <w:lang w:val="en-GB"/>
              </w:rPr>
            </w:pPr>
            <w:r w:rsidRPr="00ED27AE">
              <w:rPr>
                <w:rFonts w:eastAsia="Times New Roman" w:cs="Arial"/>
                <w:sz w:val="18"/>
                <w:szCs w:val="18"/>
                <w:lang w:val="en-GB"/>
              </w:rPr>
              <w:lastRenderedPageBreak/>
              <w:t>MEGECC</w:t>
            </w:r>
          </w:p>
          <w:p w14:paraId="7C64E2B6" w14:textId="77777777" w:rsidR="00302BFE" w:rsidRPr="00893DD1" w:rsidRDefault="00302BFE" w:rsidP="00243B15">
            <w:pPr>
              <w:spacing w:before="40" w:after="40"/>
              <w:jc w:val="left"/>
              <w:rPr>
                <w:rFonts w:eastAsia="Times New Roman" w:cs="Arial"/>
                <w:sz w:val="18"/>
                <w:szCs w:val="18"/>
                <w:lang w:val="en-GB"/>
              </w:rPr>
            </w:pPr>
          </w:p>
        </w:tc>
        <w:tc>
          <w:tcPr>
            <w:tcW w:w="1044" w:type="dxa"/>
          </w:tcPr>
          <w:p w14:paraId="455A4F29" w14:textId="77777777" w:rsidR="00302BFE" w:rsidRPr="00893DD1" w:rsidRDefault="00302BFE" w:rsidP="00243B15">
            <w:pPr>
              <w:spacing w:before="40" w:after="40"/>
              <w:jc w:val="left"/>
              <w:rPr>
                <w:rFonts w:eastAsia="Times New Roman" w:cs="Arial"/>
                <w:sz w:val="18"/>
                <w:szCs w:val="18"/>
                <w:lang w:val="en-GB"/>
              </w:rPr>
            </w:pPr>
          </w:p>
        </w:tc>
        <w:tc>
          <w:tcPr>
            <w:tcW w:w="769" w:type="dxa"/>
          </w:tcPr>
          <w:p w14:paraId="349BB93A" w14:textId="77777777" w:rsidR="00302BFE" w:rsidRPr="00893DD1" w:rsidRDefault="00302BFE" w:rsidP="00243B15">
            <w:pPr>
              <w:spacing w:before="40" w:after="40"/>
              <w:jc w:val="left"/>
              <w:rPr>
                <w:rFonts w:eastAsia="Times New Roman" w:cs="Arial"/>
                <w:sz w:val="18"/>
                <w:szCs w:val="18"/>
                <w:lang w:val="en-GB"/>
              </w:rPr>
            </w:pPr>
          </w:p>
        </w:tc>
        <w:tc>
          <w:tcPr>
            <w:tcW w:w="684" w:type="dxa"/>
          </w:tcPr>
          <w:p w14:paraId="551DBE09" w14:textId="77777777" w:rsidR="00302BFE" w:rsidRPr="00893DD1" w:rsidRDefault="00302BFE" w:rsidP="00243B15">
            <w:pPr>
              <w:spacing w:before="40" w:after="40"/>
              <w:jc w:val="left"/>
              <w:rPr>
                <w:rFonts w:eastAsia="Times New Roman" w:cs="Arial"/>
                <w:sz w:val="18"/>
                <w:szCs w:val="18"/>
                <w:lang w:val="en-GB"/>
              </w:rPr>
            </w:pPr>
          </w:p>
        </w:tc>
      </w:tr>
      <w:tr w:rsidR="00302BFE" w:rsidRPr="00893DD1" w14:paraId="3DB1A487" w14:textId="77777777" w:rsidTr="00243B15">
        <w:tc>
          <w:tcPr>
            <w:tcW w:w="0" w:type="auto"/>
          </w:tcPr>
          <w:p w14:paraId="17D5E88D"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8</w:t>
            </w:r>
          </w:p>
        </w:tc>
        <w:tc>
          <w:tcPr>
            <w:tcW w:w="3537" w:type="dxa"/>
          </w:tcPr>
          <w:p w14:paraId="04472E16" w14:textId="77777777" w:rsidR="00302BFE" w:rsidRPr="00893DD1" w:rsidRDefault="00302BFE" w:rsidP="00243B15">
            <w:pPr>
              <w:spacing w:before="40" w:after="40"/>
              <w:jc w:val="left"/>
              <w:rPr>
                <w:rFonts w:eastAsia="Times New Roman" w:cs="Arial"/>
                <w:sz w:val="18"/>
                <w:szCs w:val="18"/>
              </w:rPr>
            </w:pPr>
            <w:r w:rsidRPr="00893DD1">
              <w:rPr>
                <w:sz w:val="18"/>
                <w:szCs w:val="18"/>
                <w:lang w:val="en-CA"/>
              </w:rPr>
              <w:t xml:space="preserve">The project may pose the risk of introducing invasive alien species as part of support to agroforestry systems </w:t>
            </w:r>
            <w:r w:rsidRPr="00893DD1">
              <w:rPr>
                <w:sz w:val="18"/>
                <w:szCs w:val="18"/>
                <w:lang w:val="en-GB"/>
              </w:rPr>
              <w:t xml:space="preserve">and introduction of climate adapted seed varieties </w:t>
            </w:r>
            <w:r w:rsidRPr="00893DD1">
              <w:rPr>
                <w:sz w:val="18"/>
                <w:szCs w:val="18"/>
                <w:lang w:val="en-CA"/>
              </w:rPr>
              <w:t xml:space="preserve">to restore </w:t>
            </w:r>
            <w:r w:rsidRPr="00893DD1">
              <w:rPr>
                <w:sz w:val="18"/>
                <w:szCs w:val="18"/>
                <w:lang w:val="en-GB"/>
              </w:rPr>
              <w:t xml:space="preserve">degraded </w:t>
            </w:r>
            <w:r w:rsidRPr="00893DD1">
              <w:rPr>
                <w:sz w:val="18"/>
                <w:szCs w:val="18"/>
                <w:lang w:val="en-CA"/>
              </w:rPr>
              <w:t xml:space="preserve">land resources in the village terroirs of the pilot sites. </w:t>
            </w:r>
          </w:p>
        </w:tc>
        <w:tc>
          <w:tcPr>
            <w:tcW w:w="838" w:type="dxa"/>
          </w:tcPr>
          <w:p w14:paraId="39BFB2B2" w14:textId="77777777" w:rsidR="00302BFE" w:rsidRPr="00893DD1" w:rsidRDefault="00302BFE" w:rsidP="00243B15">
            <w:pPr>
              <w:spacing w:before="40" w:after="40"/>
              <w:jc w:val="left"/>
              <w:rPr>
                <w:rFonts w:eastAsia="Times New Roman" w:cs="Arial"/>
                <w:sz w:val="18"/>
                <w:szCs w:val="18"/>
                <w:lang w:val="en-CA"/>
              </w:rPr>
            </w:pPr>
            <w:r w:rsidRPr="00893DD1">
              <w:rPr>
                <w:rFonts w:eastAsia="Times New Roman" w:cs="Arial"/>
                <w:sz w:val="18"/>
                <w:szCs w:val="18"/>
                <w:lang w:val="fr-FR"/>
              </w:rPr>
              <w:t>May 23, 2019</w:t>
            </w:r>
          </w:p>
        </w:tc>
        <w:tc>
          <w:tcPr>
            <w:tcW w:w="861" w:type="dxa"/>
          </w:tcPr>
          <w:p w14:paraId="0A37330E"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Environ-mental</w:t>
            </w:r>
          </w:p>
        </w:tc>
        <w:tc>
          <w:tcPr>
            <w:tcW w:w="1035" w:type="dxa"/>
          </w:tcPr>
          <w:p w14:paraId="02AE5224" w14:textId="77777777" w:rsidR="00302BFE" w:rsidRPr="00893DD1" w:rsidRDefault="00302BFE" w:rsidP="00243B15">
            <w:pPr>
              <w:spacing w:before="40" w:after="40"/>
              <w:jc w:val="left"/>
              <w:rPr>
                <w:rFonts w:cs="Minion Pro"/>
                <w:sz w:val="18"/>
                <w:szCs w:val="18"/>
                <w:lang w:eastAsia="ja-JP"/>
              </w:rPr>
            </w:pPr>
            <w:r w:rsidRPr="00893DD1">
              <w:rPr>
                <w:rFonts w:cs="Minion Pro"/>
                <w:sz w:val="18"/>
                <w:szCs w:val="18"/>
              </w:rPr>
              <w:t>I = 2</w:t>
            </w:r>
          </w:p>
          <w:p w14:paraId="7491EF70" w14:textId="77777777" w:rsidR="00302BFE" w:rsidRPr="00893DD1" w:rsidRDefault="00302BFE" w:rsidP="00243B15">
            <w:pPr>
              <w:spacing w:before="40" w:after="40"/>
              <w:jc w:val="left"/>
              <w:rPr>
                <w:rFonts w:cs="Minion Pro"/>
                <w:sz w:val="18"/>
                <w:szCs w:val="18"/>
              </w:rPr>
            </w:pPr>
            <w:r w:rsidRPr="00893DD1">
              <w:rPr>
                <w:rFonts w:cs="Minion Pro"/>
                <w:sz w:val="18"/>
                <w:szCs w:val="18"/>
              </w:rPr>
              <w:t>P = 2</w:t>
            </w:r>
          </w:p>
          <w:p w14:paraId="1D9B9D05" w14:textId="77777777" w:rsidR="00302BFE" w:rsidRPr="00893DD1" w:rsidRDefault="00302BFE" w:rsidP="00243B15">
            <w:pPr>
              <w:spacing w:before="40" w:after="40"/>
              <w:jc w:val="left"/>
              <w:rPr>
                <w:rFonts w:eastAsia="Times New Roman" w:cs="Arial"/>
                <w:sz w:val="18"/>
                <w:szCs w:val="18"/>
              </w:rPr>
            </w:pPr>
          </w:p>
          <w:p w14:paraId="75E380A3" w14:textId="77777777" w:rsidR="00302BFE" w:rsidRPr="00893DD1" w:rsidRDefault="00302BFE" w:rsidP="00243B15">
            <w:pPr>
              <w:spacing w:before="40" w:after="40"/>
              <w:jc w:val="left"/>
              <w:rPr>
                <w:rFonts w:eastAsia="Times New Roman" w:cs="Arial"/>
                <w:sz w:val="18"/>
                <w:szCs w:val="18"/>
              </w:rPr>
            </w:pPr>
            <w:r w:rsidRPr="00893DD1">
              <w:rPr>
                <w:sz w:val="18"/>
                <w:szCs w:val="18"/>
              </w:rPr>
              <w:t>Low</w:t>
            </w:r>
          </w:p>
        </w:tc>
        <w:tc>
          <w:tcPr>
            <w:tcW w:w="4597" w:type="dxa"/>
          </w:tcPr>
          <w:p w14:paraId="33CAD36B" w14:textId="77777777" w:rsidR="00302BFE" w:rsidRPr="00893DD1" w:rsidRDefault="00302BFE" w:rsidP="00243B15">
            <w:pPr>
              <w:spacing w:before="40" w:after="40"/>
              <w:jc w:val="left"/>
              <w:rPr>
                <w:rFonts w:eastAsia="Times New Roman" w:cs="Arial"/>
                <w:sz w:val="18"/>
                <w:szCs w:val="18"/>
              </w:rPr>
            </w:pPr>
            <w:bookmarkStart w:id="76" w:name="_Hlk9369933"/>
            <w:r w:rsidRPr="00893DD1">
              <w:rPr>
                <w:sz w:val="18"/>
                <w:szCs w:val="18"/>
                <w:lang w:val="en-GB"/>
              </w:rPr>
              <w:t>The project will use indigenous species and recruit a Forest Ecology Specialist to provide the required expertise to ensure that none of the selected agroforestry and climate-adapted species is likely to pose a risk as an invasive alien species.</w:t>
            </w:r>
            <w:bookmarkEnd w:id="76"/>
          </w:p>
        </w:tc>
        <w:tc>
          <w:tcPr>
            <w:tcW w:w="852" w:type="dxa"/>
          </w:tcPr>
          <w:p w14:paraId="071D806C" w14:textId="77777777" w:rsidR="00302BFE" w:rsidRPr="00893DD1" w:rsidRDefault="00302BFE" w:rsidP="00243B15">
            <w:pPr>
              <w:spacing w:before="40" w:after="40"/>
              <w:jc w:val="left"/>
              <w:rPr>
                <w:rFonts w:eastAsia="Times New Roman" w:cs="Arial"/>
                <w:sz w:val="18"/>
                <w:szCs w:val="18"/>
                <w:lang w:val="en-GB"/>
              </w:rPr>
            </w:pPr>
            <w:r w:rsidRPr="00ED27AE">
              <w:rPr>
                <w:rFonts w:eastAsia="Times New Roman" w:cs="Arial"/>
                <w:sz w:val="18"/>
                <w:szCs w:val="18"/>
                <w:lang w:val="en-GB"/>
              </w:rPr>
              <w:t>MEGECC</w:t>
            </w:r>
          </w:p>
        </w:tc>
        <w:tc>
          <w:tcPr>
            <w:tcW w:w="1044" w:type="dxa"/>
          </w:tcPr>
          <w:p w14:paraId="11D46CD4" w14:textId="77777777" w:rsidR="00302BFE" w:rsidRPr="00893DD1" w:rsidRDefault="00302BFE" w:rsidP="00243B15">
            <w:pPr>
              <w:spacing w:before="40" w:after="40"/>
              <w:jc w:val="left"/>
              <w:rPr>
                <w:rFonts w:eastAsia="Times New Roman" w:cs="Arial"/>
                <w:sz w:val="18"/>
                <w:szCs w:val="18"/>
                <w:lang w:val="en-GB"/>
              </w:rPr>
            </w:pPr>
          </w:p>
        </w:tc>
        <w:tc>
          <w:tcPr>
            <w:tcW w:w="769" w:type="dxa"/>
          </w:tcPr>
          <w:p w14:paraId="1D5FC055" w14:textId="77777777" w:rsidR="00302BFE" w:rsidRPr="00893DD1" w:rsidRDefault="00302BFE" w:rsidP="00243B15">
            <w:pPr>
              <w:spacing w:before="40" w:after="40"/>
              <w:jc w:val="left"/>
              <w:rPr>
                <w:rFonts w:eastAsia="Times New Roman" w:cs="Arial"/>
                <w:sz w:val="18"/>
                <w:szCs w:val="18"/>
                <w:lang w:val="en-GB"/>
              </w:rPr>
            </w:pPr>
          </w:p>
        </w:tc>
        <w:tc>
          <w:tcPr>
            <w:tcW w:w="684" w:type="dxa"/>
          </w:tcPr>
          <w:p w14:paraId="7D624302" w14:textId="77777777" w:rsidR="00302BFE" w:rsidRPr="00893DD1" w:rsidRDefault="00302BFE" w:rsidP="00243B15">
            <w:pPr>
              <w:spacing w:before="40" w:after="40"/>
              <w:jc w:val="left"/>
              <w:rPr>
                <w:rFonts w:eastAsia="Times New Roman" w:cs="Arial"/>
                <w:sz w:val="18"/>
                <w:szCs w:val="18"/>
                <w:lang w:val="en-GB"/>
              </w:rPr>
            </w:pPr>
          </w:p>
        </w:tc>
      </w:tr>
      <w:tr w:rsidR="00302BFE" w:rsidRPr="00893DD1" w14:paraId="11E96B6A" w14:textId="77777777" w:rsidTr="00243B15">
        <w:tc>
          <w:tcPr>
            <w:tcW w:w="0" w:type="auto"/>
          </w:tcPr>
          <w:p w14:paraId="6301B22C"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9</w:t>
            </w:r>
          </w:p>
        </w:tc>
        <w:tc>
          <w:tcPr>
            <w:tcW w:w="3537" w:type="dxa"/>
          </w:tcPr>
          <w:p w14:paraId="531D27BC" w14:textId="77777777" w:rsidR="00302BFE" w:rsidRPr="00893DD1" w:rsidRDefault="00302BFE" w:rsidP="00243B15">
            <w:pPr>
              <w:spacing w:before="40" w:after="40"/>
              <w:jc w:val="left"/>
              <w:rPr>
                <w:sz w:val="18"/>
                <w:szCs w:val="18"/>
                <w:lang w:val="en-CA"/>
              </w:rPr>
            </w:pPr>
            <w:r w:rsidRPr="00893DD1">
              <w:rPr>
                <w:sz w:val="18"/>
                <w:szCs w:val="18"/>
                <w:lang w:val="en-CA"/>
              </w:rPr>
              <w:t>The collection of non-timber products in natural forests to support the development of non-timber forest products value chains may pose a risk to the sustainability of those resources</w:t>
            </w:r>
          </w:p>
        </w:tc>
        <w:tc>
          <w:tcPr>
            <w:tcW w:w="838" w:type="dxa"/>
          </w:tcPr>
          <w:p w14:paraId="208A4AC3" w14:textId="77777777" w:rsidR="00302BFE" w:rsidRPr="00893DD1" w:rsidRDefault="00302BFE" w:rsidP="00243B15">
            <w:pPr>
              <w:spacing w:before="40" w:after="40"/>
              <w:jc w:val="left"/>
              <w:rPr>
                <w:rFonts w:eastAsia="Times New Roman" w:cs="Arial"/>
                <w:sz w:val="18"/>
                <w:szCs w:val="18"/>
                <w:lang w:val="en-CA"/>
              </w:rPr>
            </w:pPr>
            <w:r w:rsidRPr="00893DD1">
              <w:rPr>
                <w:rFonts w:eastAsia="Times New Roman" w:cs="Arial"/>
                <w:sz w:val="18"/>
                <w:szCs w:val="18"/>
                <w:lang w:val="fr-FR"/>
              </w:rPr>
              <w:t>May 23, 2019</w:t>
            </w:r>
          </w:p>
        </w:tc>
        <w:tc>
          <w:tcPr>
            <w:tcW w:w="861" w:type="dxa"/>
          </w:tcPr>
          <w:p w14:paraId="7462F128"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Environ-mental</w:t>
            </w:r>
          </w:p>
        </w:tc>
        <w:tc>
          <w:tcPr>
            <w:tcW w:w="1035" w:type="dxa"/>
          </w:tcPr>
          <w:p w14:paraId="12CA6EF7" w14:textId="77777777" w:rsidR="00302BFE" w:rsidRPr="00893DD1" w:rsidRDefault="00302BFE" w:rsidP="00243B15">
            <w:pPr>
              <w:spacing w:before="40" w:after="40"/>
              <w:rPr>
                <w:rFonts w:cs="Minion Pro"/>
                <w:sz w:val="18"/>
                <w:szCs w:val="18"/>
                <w:lang w:eastAsia="ja-JP"/>
              </w:rPr>
            </w:pPr>
            <w:r w:rsidRPr="00893DD1">
              <w:rPr>
                <w:rFonts w:cs="Minion Pro"/>
                <w:sz w:val="18"/>
                <w:szCs w:val="18"/>
              </w:rPr>
              <w:t>I = 2</w:t>
            </w:r>
          </w:p>
          <w:p w14:paraId="7B0FAEB4" w14:textId="77777777" w:rsidR="00302BFE" w:rsidRPr="00893DD1" w:rsidRDefault="00302BFE" w:rsidP="00243B15">
            <w:pPr>
              <w:spacing w:before="40" w:after="40"/>
              <w:jc w:val="left"/>
              <w:rPr>
                <w:rFonts w:cs="Minion Pro"/>
                <w:sz w:val="18"/>
                <w:szCs w:val="18"/>
              </w:rPr>
            </w:pPr>
            <w:r w:rsidRPr="00893DD1">
              <w:rPr>
                <w:rFonts w:cs="Minion Pro"/>
                <w:sz w:val="18"/>
                <w:szCs w:val="18"/>
              </w:rPr>
              <w:t>P = 5</w:t>
            </w:r>
          </w:p>
          <w:p w14:paraId="23AE1957" w14:textId="77777777" w:rsidR="00302BFE" w:rsidRPr="00893DD1" w:rsidRDefault="00302BFE" w:rsidP="00243B15">
            <w:pPr>
              <w:spacing w:before="40" w:after="40"/>
              <w:jc w:val="left"/>
              <w:rPr>
                <w:rFonts w:eastAsia="Times New Roman" w:cs="Arial"/>
                <w:sz w:val="18"/>
                <w:szCs w:val="18"/>
              </w:rPr>
            </w:pPr>
          </w:p>
          <w:p w14:paraId="690EF273" w14:textId="77777777" w:rsidR="00302BFE" w:rsidRPr="00893DD1" w:rsidRDefault="00302BFE" w:rsidP="00243B15">
            <w:pPr>
              <w:spacing w:before="40" w:after="40"/>
              <w:jc w:val="left"/>
              <w:rPr>
                <w:rFonts w:eastAsia="Times New Roman" w:cs="Arial"/>
                <w:sz w:val="18"/>
                <w:szCs w:val="18"/>
              </w:rPr>
            </w:pPr>
            <w:r w:rsidRPr="00893DD1">
              <w:rPr>
                <w:sz w:val="18"/>
                <w:szCs w:val="18"/>
              </w:rPr>
              <w:t>Moderate</w:t>
            </w:r>
          </w:p>
        </w:tc>
        <w:tc>
          <w:tcPr>
            <w:tcW w:w="4597" w:type="dxa"/>
          </w:tcPr>
          <w:p w14:paraId="7D78096E" w14:textId="77777777" w:rsidR="00302BFE" w:rsidRPr="00893DD1" w:rsidRDefault="00302BFE" w:rsidP="00243B15">
            <w:pPr>
              <w:spacing w:before="40" w:after="40"/>
              <w:jc w:val="left"/>
              <w:rPr>
                <w:rFonts w:eastAsia="Times New Roman" w:cs="Arial"/>
                <w:sz w:val="18"/>
                <w:szCs w:val="18"/>
              </w:rPr>
            </w:pPr>
            <w:r w:rsidRPr="00893DD1">
              <w:rPr>
                <w:rFonts w:cs="Calibri Light"/>
                <w:sz w:val="18"/>
                <w:szCs w:val="18"/>
                <w:lang w:val="en-CA"/>
              </w:rPr>
              <w:t>To ensure that the activities supported by the project will not result in the degradation or depletion of the natural resources that communities depend on for their livelihood and well-being, the project (i) provides for the collection of NTFPs in forests to be preceded by an assessment of the sustainable production capacity of the resource used, and (ii) will provide technical training to build the capacity of both male and female beneficiaries to ensure the sustainability of harvested resources. The project will raise awareness of members of local communities on the fact that the sustainability of their benefits will largely depend on the avoidance of potential adverse effects of value chain development on harvested biological resources. The planned trainings will include, among other things, good practices for fruit collection (</w:t>
            </w:r>
            <w:proofErr w:type="spellStart"/>
            <w:r w:rsidRPr="00893DD1">
              <w:rPr>
                <w:rFonts w:cs="Calibri Light"/>
                <w:sz w:val="18"/>
                <w:szCs w:val="18"/>
                <w:lang w:val="en-CA"/>
              </w:rPr>
              <w:t>liane</w:t>
            </w:r>
            <w:proofErr w:type="spellEnd"/>
            <w:r w:rsidRPr="00893DD1">
              <w:rPr>
                <w:rFonts w:cs="Calibri Light"/>
                <w:sz w:val="18"/>
                <w:szCs w:val="18"/>
                <w:lang w:val="en-CA"/>
              </w:rPr>
              <w:t xml:space="preserve"> </w:t>
            </w:r>
            <w:proofErr w:type="spellStart"/>
            <w:r w:rsidRPr="00893DD1">
              <w:rPr>
                <w:rFonts w:cs="Calibri Light"/>
                <w:sz w:val="18"/>
                <w:szCs w:val="18"/>
                <w:lang w:val="en-CA"/>
              </w:rPr>
              <w:t>goïne</w:t>
            </w:r>
            <w:proofErr w:type="spellEnd"/>
            <w:r w:rsidRPr="00893DD1">
              <w:rPr>
                <w:rFonts w:cs="Calibri Light"/>
                <w:sz w:val="18"/>
                <w:szCs w:val="18"/>
                <w:lang w:val="en-CA"/>
              </w:rPr>
              <w:t xml:space="preserve"> and shea) respectful of the resource and </w:t>
            </w:r>
            <w:r w:rsidRPr="00893DD1">
              <w:rPr>
                <w:rFonts w:cs="Calibri Light"/>
                <w:sz w:val="18"/>
                <w:szCs w:val="18"/>
                <w:lang w:val="en-CA"/>
              </w:rPr>
              <w:lastRenderedPageBreak/>
              <w:t xml:space="preserve">which does not compromise its regeneration in a natural environment; prevention of adverse environmental impacts; and compliance with laws, </w:t>
            </w:r>
            <w:proofErr w:type="gramStart"/>
            <w:r w:rsidRPr="00893DD1">
              <w:rPr>
                <w:rFonts w:cs="Calibri Light"/>
                <w:sz w:val="18"/>
                <w:szCs w:val="18"/>
                <w:lang w:val="en-CA"/>
              </w:rPr>
              <w:t>regulations</w:t>
            </w:r>
            <w:proofErr w:type="gramEnd"/>
            <w:r w:rsidRPr="00893DD1">
              <w:rPr>
                <w:rFonts w:cs="Calibri Light"/>
                <w:sz w:val="18"/>
                <w:szCs w:val="18"/>
                <w:lang w:val="en-CA"/>
              </w:rPr>
              <w:t xml:space="preserve"> and agreements regarding access to protected areas and the use of their resources.</w:t>
            </w:r>
          </w:p>
        </w:tc>
        <w:tc>
          <w:tcPr>
            <w:tcW w:w="852" w:type="dxa"/>
          </w:tcPr>
          <w:p w14:paraId="010EB122" w14:textId="77777777" w:rsidR="00302BFE" w:rsidRPr="00893DD1" w:rsidRDefault="00302BFE" w:rsidP="00243B15">
            <w:pPr>
              <w:spacing w:before="40" w:after="40"/>
              <w:jc w:val="left"/>
              <w:rPr>
                <w:rFonts w:eastAsia="Times New Roman" w:cs="Arial"/>
                <w:sz w:val="18"/>
                <w:szCs w:val="18"/>
                <w:lang w:val="en-GB"/>
              </w:rPr>
            </w:pPr>
            <w:r w:rsidRPr="00ED27AE">
              <w:rPr>
                <w:rFonts w:eastAsia="Times New Roman" w:cs="Arial"/>
                <w:sz w:val="18"/>
                <w:szCs w:val="18"/>
                <w:lang w:val="en-GB"/>
              </w:rPr>
              <w:lastRenderedPageBreak/>
              <w:t>MEGECC</w:t>
            </w:r>
          </w:p>
        </w:tc>
        <w:tc>
          <w:tcPr>
            <w:tcW w:w="1044" w:type="dxa"/>
          </w:tcPr>
          <w:p w14:paraId="2BAE15AF" w14:textId="77777777" w:rsidR="00302BFE" w:rsidRPr="00893DD1" w:rsidRDefault="00302BFE" w:rsidP="00243B15">
            <w:pPr>
              <w:spacing w:before="40" w:after="40"/>
              <w:jc w:val="left"/>
              <w:rPr>
                <w:rFonts w:eastAsia="Times New Roman" w:cs="Arial"/>
                <w:sz w:val="18"/>
                <w:szCs w:val="18"/>
                <w:lang w:val="en-GB"/>
              </w:rPr>
            </w:pPr>
          </w:p>
        </w:tc>
        <w:tc>
          <w:tcPr>
            <w:tcW w:w="769" w:type="dxa"/>
          </w:tcPr>
          <w:p w14:paraId="5082941F" w14:textId="77777777" w:rsidR="00302BFE" w:rsidRPr="00893DD1" w:rsidRDefault="00302BFE" w:rsidP="00243B15">
            <w:pPr>
              <w:spacing w:before="40" w:after="40"/>
              <w:jc w:val="left"/>
              <w:rPr>
                <w:rFonts w:eastAsia="Times New Roman" w:cs="Arial"/>
                <w:sz w:val="18"/>
                <w:szCs w:val="18"/>
                <w:lang w:val="en-GB"/>
              </w:rPr>
            </w:pPr>
          </w:p>
        </w:tc>
        <w:tc>
          <w:tcPr>
            <w:tcW w:w="684" w:type="dxa"/>
          </w:tcPr>
          <w:p w14:paraId="3C793B6C" w14:textId="77777777" w:rsidR="00302BFE" w:rsidRPr="00893DD1" w:rsidRDefault="00302BFE" w:rsidP="00243B15">
            <w:pPr>
              <w:spacing w:before="40" w:after="40"/>
              <w:jc w:val="left"/>
              <w:rPr>
                <w:rFonts w:eastAsia="Times New Roman" w:cs="Arial"/>
                <w:sz w:val="18"/>
                <w:szCs w:val="18"/>
                <w:lang w:val="en-GB"/>
              </w:rPr>
            </w:pPr>
          </w:p>
        </w:tc>
      </w:tr>
      <w:tr w:rsidR="00302BFE" w:rsidRPr="00893DD1" w14:paraId="72BBD880" w14:textId="77777777" w:rsidTr="00243B15">
        <w:tc>
          <w:tcPr>
            <w:tcW w:w="0" w:type="auto"/>
          </w:tcPr>
          <w:p w14:paraId="42CA786E"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10</w:t>
            </w:r>
          </w:p>
        </w:tc>
        <w:tc>
          <w:tcPr>
            <w:tcW w:w="3537" w:type="dxa"/>
          </w:tcPr>
          <w:p w14:paraId="6C7AF344" w14:textId="77777777" w:rsidR="00302BFE" w:rsidRPr="00893DD1" w:rsidRDefault="00302BFE" w:rsidP="00243B15">
            <w:pPr>
              <w:pStyle w:val="Commentaire"/>
              <w:spacing w:before="40" w:after="40"/>
              <w:jc w:val="left"/>
              <w:rPr>
                <w:sz w:val="18"/>
                <w:szCs w:val="18"/>
                <w:lang w:val="en-CA" w:eastAsia="ja-JP"/>
              </w:rPr>
            </w:pPr>
            <w:r w:rsidRPr="00893DD1">
              <w:rPr>
                <w:sz w:val="18"/>
                <w:szCs w:val="18"/>
                <w:lang w:val="en-CA"/>
              </w:rPr>
              <w:t xml:space="preserve">A few sacred forests are present in the PONASI landscape including the sacred groves in the </w:t>
            </w:r>
            <w:proofErr w:type="spellStart"/>
            <w:r w:rsidRPr="00893DD1">
              <w:rPr>
                <w:sz w:val="18"/>
                <w:szCs w:val="18"/>
                <w:lang w:val="en-CA"/>
              </w:rPr>
              <w:t>Sissili</w:t>
            </w:r>
            <w:proofErr w:type="spellEnd"/>
            <w:r w:rsidRPr="00893DD1">
              <w:rPr>
                <w:sz w:val="18"/>
                <w:szCs w:val="18"/>
                <w:lang w:val="en-CA"/>
              </w:rPr>
              <w:t xml:space="preserve"> classified forest, the sacred </w:t>
            </w:r>
            <w:proofErr w:type="gramStart"/>
            <w:r w:rsidRPr="00893DD1">
              <w:rPr>
                <w:sz w:val="18"/>
                <w:szCs w:val="18"/>
                <w:lang w:val="en-CA"/>
              </w:rPr>
              <w:t>hills</w:t>
            </w:r>
            <w:proofErr w:type="gramEnd"/>
            <w:r w:rsidRPr="00893DD1">
              <w:rPr>
                <w:sz w:val="18"/>
                <w:szCs w:val="18"/>
                <w:lang w:val="en-CA"/>
              </w:rPr>
              <w:t xml:space="preserve"> and sacred waterholes in the </w:t>
            </w:r>
            <w:proofErr w:type="spellStart"/>
            <w:r w:rsidRPr="00893DD1">
              <w:rPr>
                <w:sz w:val="18"/>
                <w:szCs w:val="18"/>
                <w:lang w:val="en-CA"/>
              </w:rPr>
              <w:t>Sissili</w:t>
            </w:r>
            <w:proofErr w:type="spellEnd"/>
            <w:r w:rsidRPr="00893DD1">
              <w:rPr>
                <w:sz w:val="18"/>
                <w:szCs w:val="18"/>
                <w:lang w:val="en-CA"/>
              </w:rPr>
              <w:t xml:space="preserve"> and in the </w:t>
            </w:r>
            <w:proofErr w:type="spellStart"/>
            <w:r w:rsidRPr="00893DD1">
              <w:rPr>
                <w:sz w:val="18"/>
                <w:szCs w:val="18"/>
                <w:lang w:val="en-CA"/>
              </w:rPr>
              <w:t>Nahouri</w:t>
            </w:r>
            <w:proofErr w:type="spellEnd"/>
            <w:r w:rsidRPr="00893DD1">
              <w:rPr>
                <w:sz w:val="18"/>
                <w:szCs w:val="18"/>
                <w:lang w:val="en-CA"/>
              </w:rPr>
              <w:t xml:space="preserve">. Although no specific intervention is foreseen in sacred forests or any sacred site, there is a possibility that measures to improve the preservation and management of village forests could affect them. </w:t>
            </w:r>
          </w:p>
        </w:tc>
        <w:tc>
          <w:tcPr>
            <w:tcW w:w="838" w:type="dxa"/>
          </w:tcPr>
          <w:p w14:paraId="43D379B4" w14:textId="77777777" w:rsidR="00302BFE" w:rsidRPr="00893DD1" w:rsidRDefault="00302BFE" w:rsidP="00243B15">
            <w:pPr>
              <w:spacing w:before="40" w:after="40"/>
              <w:jc w:val="left"/>
              <w:rPr>
                <w:rFonts w:eastAsia="Times New Roman" w:cs="Arial"/>
                <w:sz w:val="18"/>
                <w:szCs w:val="18"/>
                <w:lang w:val="en-CA"/>
              </w:rPr>
            </w:pPr>
            <w:r w:rsidRPr="00893DD1">
              <w:rPr>
                <w:rFonts w:eastAsia="Times New Roman" w:cs="Arial"/>
                <w:sz w:val="18"/>
                <w:szCs w:val="18"/>
                <w:lang w:val="fr-FR"/>
              </w:rPr>
              <w:t>May 23, 2019</w:t>
            </w:r>
          </w:p>
        </w:tc>
        <w:tc>
          <w:tcPr>
            <w:tcW w:w="861" w:type="dxa"/>
          </w:tcPr>
          <w:p w14:paraId="22F0CDED"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Environ-mental</w:t>
            </w:r>
          </w:p>
        </w:tc>
        <w:tc>
          <w:tcPr>
            <w:tcW w:w="1035" w:type="dxa"/>
          </w:tcPr>
          <w:p w14:paraId="0B18C748" w14:textId="77777777" w:rsidR="00302BFE" w:rsidRPr="00893DD1" w:rsidRDefault="00302BFE" w:rsidP="00243B15">
            <w:pPr>
              <w:spacing w:before="40" w:after="40"/>
              <w:rPr>
                <w:rFonts w:cs="Minion Pro"/>
                <w:sz w:val="18"/>
                <w:szCs w:val="18"/>
                <w:lang w:val="en-CA" w:eastAsia="ja-JP"/>
              </w:rPr>
            </w:pPr>
            <w:r w:rsidRPr="00893DD1">
              <w:rPr>
                <w:rFonts w:cs="Minion Pro"/>
                <w:sz w:val="18"/>
                <w:szCs w:val="18"/>
                <w:lang w:val="en-CA"/>
              </w:rPr>
              <w:t>I = 2</w:t>
            </w:r>
          </w:p>
          <w:p w14:paraId="50A1C1E3" w14:textId="77777777" w:rsidR="00302BFE" w:rsidRPr="00893DD1" w:rsidRDefault="00302BFE" w:rsidP="00243B15">
            <w:pPr>
              <w:spacing w:before="40" w:after="40"/>
              <w:jc w:val="left"/>
              <w:rPr>
                <w:rFonts w:cs="Minion Pro"/>
                <w:sz w:val="18"/>
                <w:szCs w:val="18"/>
                <w:lang w:val="en-CA"/>
              </w:rPr>
            </w:pPr>
            <w:r w:rsidRPr="00893DD1">
              <w:rPr>
                <w:rFonts w:cs="Minion Pro"/>
                <w:sz w:val="18"/>
                <w:szCs w:val="18"/>
                <w:lang w:val="en-CA"/>
              </w:rPr>
              <w:t>P =5</w:t>
            </w:r>
          </w:p>
          <w:p w14:paraId="68980C29" w14:textId="77777777" w:rsidR="00302BFE" w:rsidRPr="00893DD1" w:rsidRDefault="00302BFE" w:rsidP="00243B15">
            <w:pPr>
              <w:spacing w:before="40" w:after="40"/>
              <w:jc w:val="left"/>
              <w:rPr>
                <w:rFonts w:eastAsia="Times New Roman" w:cs="Arial"/>
                <w:sz w:val="18"/>
                <w:szCs w:val="18"/>
              </w:rPr>
            </w:pPr>
          </w:p>
          <w:p w14:paraId="2C1773E9" w14:textId="77777777" w:rsidR="00302BFE" w:rsidRPr="00893DD1" w:rsidRDefault="00302BFE" w:rsidP="00243B15">
            <w:pPr>
              <w:spacing w:before="40" w:after="40"/>
              <w:jc w:val="left"/>
              <w:rPr>
                <w:rFonts w:eastAsia="Times New Roman" w:cs="Arial"/>
                <w:sz w:val="18"/>
                <w:szCs w:val="18"/>
              </w:rPr>
            </w:pPr>
            <w:r w:rsidRPr="00893DD1">
              <w:rPr>
                <w:sz w:val="18"/>
                <w:szCs w:val="18"/>
                <w:lang w:val="en-CA"/>
              </w:rPr>
              <w:t>Low</w:t>
            </w:r>
          </w:p>
        </w:tc>
        <w:tc>
          <w:tcPr>
            <w:tcW w:w="4597" w:type="dxa"/>
          </w:tcPr>
          <w:p w14:paraId="1AC68485" w14:textId="77777777" w:rsidR="00302BFE" w:rsidRPr="00893DD1" w:rsidRDefault="00302BFE" w:rsidP="00243B15">
            <w:pPr>
              <w:spacing w:before="40" w:after="40"/>
              <w:jc w:val="left"/>
              <w:rPr>
                <w:rFonts w:eastAsia="Times New Roman" w:cs="Arial"/>
                <w:sz w:val="18"/>
                <w:szCs w:val="18"/>
              </w:rPr>
            </w:pPr>
            <w:r w:rsidRPr="00893DD1">
              <w:rPr>
                <w:sz w:val="18"/>
                <w:szCs w:val="18"/>
                <w:lang w:val="en-CA"/>
              </w:rPr>
              <w:t xml:space="preserve">In Burkina Faso, sacred forests are entrusted to the direct management of local communities. Forest management groups, customary and religious authorities, village chiefs and land chiefs develop consensus management rules, mainly prohibitions, to regulate access to resources, including the prohibition of cutting trees in sacred woods. To develop community forests zoning plans, the project will involve all stakeholders to agree on </w:t>
            </w:r>
            <w:r w:rsidRPr="00893DD1">
              <w:rPr>
                <w:sz w:val="18"/>
                <w:szCs w:val="18"/>
                <w:lang w:val="en-GB"/>
              </w:rPr>
              <w:t xml:space="preserve">simple rules for each zone and </w:t>
            </w:r>
            <w:r w:rsidRPr="00893DD1">
              <w:rPr>
                <w:sz w:val="18"/>
                <w:szCs w:val="18"/>
                <w:lang w:val="en-CA"/>
              </w:rPr>
              <w:t>will integrate the existing consensus management rules including those that protect sacred forests.</w:t>
            </w:r>
          </w:p>
        </w:tc>
        <w:tc>
          <w:tcPr>
            <w:tcW w:w="852" w:type="dxa"/>
          </w:tcPr>
          <w:p w14:paraId="4CD691BF" w14:textId="77777777" w:rsidR="00302BFE" w:rsidRPr="00893DD1" w:rsidRDefault="00302BFE" w:rsidP="00243B15">
            <w:pPr>
              <w:spacing w:before="40" w:after="40"/>
              <w:jc w:val="left"/>
              <w:rPr>
                <w:rFonts w:eastAsia="Times New Roman" w:cs="Arial"/>
                <w:sz w:val="18"/>
                <w:szCs w:val="18"/>
                <w:lang w:val="en-GB"/>
              </w:rPr>
            </w:pPr>
            <w:r w:rsidRPr="00ED27AE">
              <w:rPr>
                <w:rFonts w:eastAsia="Times New Roman" w:cs="Arial"/>
                <w:sz w:val="18"/>
                <w:szCs w:val="18"/>
                <w:lang w:val="en-GB"/>
              </w:rPr>
              <w:t>MEGECC</w:t>
            </w:r>
          </w:p>
        </w:tc>
        <w:tc>
          <w:tcPr>
            <w:tcW w:w="1044" w:type="dxa"/>
          </w:tcPr>
          <w:p w14:paraId="5EA22566" w14:textId="77777777" w:rsidR="00302BFE" w:rsidRPr="00893DD1" w:rsidRDefault="00302BFE" w:rsidP="00243B15">
            <w:pPr>
              <w:spacing w:before="40" w:after="40"/>
              <w:jc w:val="left"/>
              <w:rPr>
                <w:rFonts w:eastAsia="Times New Roman" w:cs="Arial"/>
                <w:sz w:val="18"/>
                <w:szCs w:val="18"/>
                <w:lang w:val="en-GB"/>
              </w:rPr>
            </w:pPr>
          </w:p>
        </w:tc>
        <w:tc>
          <w:tcPr>
            <w:tcW w:w="769" w:type="dxa"/>
          </w:tcPr>
          <w:p w14:paraId="0D81B22B" w14:textId="77777777" w:rsidR="00302BFE" w:rsidRPr="00893DD1" w:rsidRDefault="00302BFE" w:rsidP="00243B15">
            <w:pPr>
              <w:spacing w:before="40" w:after="40"/>
              <w:jc w:val="left"/>
              <w:rPr>
                <w:rFonts w:eastAsia="Times New Roman" w:cs="Arial"/>
                <w:sz w:val="18"/>
                <w:szCs w:val="18"/>
                <w:lang w:val="en-GB"/>
              </w:rPr>
            </w:pPr>
          </w:p>
        </w:tc>
        <w:tc>
          <w:tcPr>
            <w:tcW w:w="684" w:type="dxa"/>
          </w:tcPr>
          <w:p w14:paraId="439CD59E" w14:textId="77777777" w:rsidR="00302BFE" w:rsidRPr="00893DD1" w:rsidRDefault="00302BFE" w:rsidP="00243B15">
            <w:pPr>
              <w:spacing w:before="40" w:after="40"/>
              <w:jc w:val="left"/>
              <w:rPr>
                <w:rFonts w:eastAsia="Times New Roman" w:cs="Arial"/>
                <w:sz w:val="18"/>
                <w:szCs w:val="18"/>
                <w:lang w:val="en-GB"/>
              </w:rPr>
            </w:pPr>
          </w:p>
        </w:tc>
      </w:tr>
      <w:tr w:rsidR="00302BFE" w:rsidRPr="00893DD1" w14:paraId="25B920D5" w14:textId="77777777" w:rsidTr="00243B15">
        <w:tc>
          <w:tcPr>
            <w:tcW w:w="0" w:type="auto"/>
          </w:tcPr>
          <w:p w14:paraId="2B6D98FE"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11</w:t>
            </w:r>
          </w:p>
        </w:tc>
        <w:tc>
          <w:tcPr>
            <w:tcW w:w="3537" w:type="dxa"/>
          </w:tcPr>
          <w:p w14:paraId="269310BB" w14:textId="77777777" w:rsidR="00302BFE" w:rsidRPr="00893DD1" w:rsidRDefault="00302BFE" w:rsidP="00243B15">
            <w:pPr>
              <w:spacing w:before="40" w:after="40"/>
              <w:jc w:val="left"/>
              <w:rPr>
                <w:sz w:val="18"/>
                <w:szCs w:val="18"/>
                <w:lang w:val="en-CA"/>
              </w:rPr>
            </w:pPr>
            <w:r w:rsidRPr="00893DD1">
              <w:rPr>
                <w:sz w:val="18"/>
                <w:szCs w:val="18"/>
                <w:lang w:val="en-CA"/>
              </w:rPr>
              <w:t xml:space="preserve">The project will develop and implement zoning plans, improve pasture management, habitat restoration and enhancement that could affect land agreements and community property rights. </w:t>
            </w:r>
          </w:p>
        </w:tc>
        <w:tc>
          <w:tcPr>
            <w:tcW w:w="838" w:type="dxa"/>
          </w:tcPr>
          <w:p w14:paraId="72F5A235" w14:textId="77777777" w:rsidR="00302BFE" w:rsidRPr="00893DD1" w:rsidRDefault="00302BFE" w:rsidP="00243B15">
            <w:pPr>
              <w:spacing w:before="40" w:after="40"/>
              <w:jc w:val="left"/>
              <w:rPr>
                <w:rFonts w:eastAsia="Times New Roman" w:cs="Arial"/>
                <w:sz w:val="18"/>
                <w:szCs w:val="18"/>
                <w:lang w:val="en-CA"/>
              </w:rPr>
            </w:pPr>
            <w:r w:rsidRPr="00893DD1">
              <w:rPr>
                <w:rFonts w:eastAsia="Times New Roman" w:cs="Arial"/>
                <w:sz w:val="18"/>
                <w:szCs w:val="18"/>
                <w:lang w:val="fr-FR"/>
              </w:rPr>
              <w:t>May 23, 2019</w:t>
            </w:r>
          </w:p>
        </w:tc>
        <w:tc>
          <w:tcPr>
            <w:tcW w:w="861" w:type="dxa"/>
          </w:tcPr>
          <w:p w14:paraId="545CC802"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Social</w:t>
            </w:r>
          </w:p>
        </w:tc>
        <w:tc>
          <w:tcPr>
            <w:tcW w:w="1035" w:type="dxa"/>
          </w:tcPr>
          <w:p w14:paraId="0671DF34"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I = 2</w:t>
            </w:r>
          </w:p>
          <w:p w14:paraId="598C85A3"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P = 2</w:t>
            </w:r>
          </w:p>
          <w:p w14:paraId="7EEF9D72" w14:textId="77777777" w:rsidR="00302BFE" w:rsidRPr="00893DD1" w:rsidRDefault="00302BFE" w:rsidP="00243B15">
            <w:pPr>
              <w:spacing w:before="40" w:after="40"/>
              <w:jc w:val="left"/>
              <w:rPr>
                <w:rFonts w:eastAsia="Times New Roman" w:cs="Arial"/>
                <w:sz w:val="18"/>
                <w:szCs w:val="18"/>
              </w:rPr>
            </w:pPr>
          </w:p>
          <w:p w14:paraId="49781972" w14:textId="77777777" w:rsidR="00302BFE" w:rsidRPr="00893DD1" w:rsidRDefault="00302BFE" w:rsidP="00243B15">
            <w:pPr>
              <w:spacing w:before="40" w:after="40"/>
              <w:jc w:val="left"/>
              <w:rPr>
                <w:rFonts w:eastAsia="Times New Roman" w:cs="Arial"/>
                <w:sz w:val="18"/>
                <w:szCs w:val="18"/>
              </w:rPr>
            </w:pPr>
            <w:r w:rsidRPr="00893DD1">
              <w:rPr>
                <w:sz w:val="18"/>
                <w:szCs w:val="18"/>
              </w:rPr>
              <w:t>Low</w:t>
            </w:r>
          </w:p>
        </w:tc>
        <w:tc>
          <w:tcPr>
            <w:tcW w:w="4597" w:type="dxa"/>
          </w:tcPr>
          <w:p w14:paraId="1F750E25" w14:textId="77777777" w:rsidR="00302BFE" w:rsidRPr="00893DD1" w:rsidRDefault="00302BFE" w:rsidP="00243B15">
            <w:pPr>
              <w:spacing w:before="40" w:after="40"/>
              <w:jc w:val="left"/>
              <w:rPr>
                <w:rFonts w:eastAsia="Times New Roman" w:cs="Arial"/>
                <w:sz w:val="18"/>
                <w:szCs w:val="18"/>
              </w:rPr>
            </w:pPr>
            <w:r w:rsidRPr="00893DD1">
              <w:rPr>
                <w:sz w:val="18"/>
                <w:szCs w:val="18"/>
                <w:lang w:val="en-CA"/>
              </w:rPr>
              <w:t>The zoning plans will respect the community and individual ownership of land and natural resources and will be developed in line with regional planning schemes and communal development plans.</w:t>
            </w:r>
            <w:r w:rsidRPr="00893DD1">
              <w:rPr>
                <w:rFonts w:eastAsia="Calibri"/>
                <w:sz w:val="18"/>
                <w:szCs w:val="18"/>
                <w:lang w:val="en-CA"/>
              </w:rPr>
              <w:t xml:space="preserve"> To achieve the overall goal to improve land use within the PONASI complex, the project will pay particular attention to community engagement and ownership. A participatory approach will be adopted for all decisions. Although the project will avoid displacing any land and resource user, the participatory land use planning process in the PONASI landscape area to be implemented in Component 1, provides for compensation measures for land and resource access restrictions that would result from a new configuration or a new use of a portion of the landscape and will include the establishment of a conflict management mechanism.</w:t>
            </w:r>
          </w:p>
        </w:tc>
        <w:tc>
          <w:tcPr>
            <w:tcW w:w="852" w:type="dxa"/>
          </w:tcPr>
          <w:p w14:paraId="68AC7236" w14:textId="77777777" w:rsidR="00302BFE" w:rsidRPr="00893DD1" w:rsidRDefault="00302BFE" w:rsidP="00243B15">
            <w:pPr>
              <w:spacing w:before="40" w:after="40"/>
              <w:jc w:val="left"/>
              <w:rPr>
                <w:rFonts w:eastAsia="Times New Roman" w:cs="Arial"/>
                <w:sz w:val="18"/>
                <w:szCs w:val="18"/>
                <w:lang w:val="en-GB"/>
              </w:rPr>
            </w:pPr>
            <w:r w:rsidRPr="00ED27AE">
              <w:rPr>
                <w:rFonts w:eastAsia="Times New Roman" w:cs="Arial"/>
                <w:sz w:val="18"/>
                <w:szCs w:val="18"/>
                <w:lang w:val="en-GB"/>
              </w:rPr>
              <w:t>MEGECC</w:t>
            </w:r>
          </w:p>
        </w:tc>
        <w:tc>
          <w:tcPr>
            <w:tcW w:w="1044" w:type="dxa"/>
          </w:tcPr>
          <w:p w14:paraId="3AA67A7A" w14:textId="77777777" w:rsidR="00302BFE" w:rsidRPr="00893DD1" w:rsidRDefault="00302BFE" w:rsidP="00243B15">
            <w:pPr>
              <w:spacing w:before="40" w:after="40"/>
              <w:jc w:val="left"/>
              <w:rPr>
                <w:rFonts w:eastAsia="Times New Roman" w:cs="Arial"/>
                <w:sz w:val="18"/>
                <w:szCs w:val="18"/>
                <w:lang w:val="en-GB"/>
              </w:rPr>
            </w:pPr>
          </w:p>
        </w:tc>
        <w:tc>
          <w:tcPr>
            <w:tcW w:w="769" w:type="dxa"/>
          </w:tcPr>
          <w:p w14:paraId="1FB573A3" w14:textId="77777777" w:rsidR="00302BFE" w:rsidRPr="00893DD1" w:rsidRDefault="00302BFE" w:rsidP="00243B15">
            <w:pPr>
              <w:spacing w:before="40" w:after="40"/>
              <w:jc w:val="left"/>
              <w:rPr>
                <w:rFonts w:eastAsia="Times New Roman" w:cs="Arial"/>
                <w:sz w:val="18"/>
                <w:szCs w:val="18"/>
                <w:lang w:val="en-GB"/>
              </w:rPr>
            </w:pPr>
          </w:p>
        </w:tc>
        <w:tc>
          <w:tcPr>
            <w:tcW w:w="684" w:type="dxa"/>
          </w:tcPr>
          <w:p w14:paraId="0F21FB7A" w14:textId="77777777" w:rsidR="00302BFE" w:rsidRPr="00893DD1" w:rsidRDefault="00302BFE" w:rsidP="00243B15">
            <w:pPr>
              <w:spacing w:before="40" w:after="40"/>
              <w:jc w:val="left"/>
              <w:rPr>
                <w:rFonts w:eastAsia="Times New Roman" w:cs="Arial"/>
                <w:sz w:val="18"/>
                <w:szCs w:val="18"/>
                <w:lang w:val="en-GB"/>
              </w:rPr>
            </w:pPr>
          </w:p>
        </w:tc>
      </w:tr>
      <w:tr w:rsidR="00302BFE" w:rsidRPr="00893DD1" w14:paraId="31438840" w14:textId="77777777" w:rsidTr="00243B15">
        <w:tc>
          <w:tcPr>
            <w:tcW w:w="0" w:type="auto"/>
          </w:tcPr>
          <w:p w14:paraId="4A2D56FB"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12</w:t>
            </w:r>
          </w:p>
        </w:tc>
        <w:tc>
          <w:tcPr>
            <w:tcW w:w="3537" w:type="dxa"/>
          </w:tcPr>
          <w:p w14:paraId="486EBF96" w14:textId="77777777" w:rsidR="00302BFE" w:rsidRPr="00893DD1" w:rsidRDefault="00302BFE" w:rsidP="00243B15">
            <w:pPr>
              <w:spacing w:before="40" w:after="40"/>
              <w:jc w:val="left"/>
              <w:rPr>
                <w:rFonts w:eastAsia="Times New Roman" w:cs="Arial"/>
                <w:sz w:val="18"/>
                <w:szCs w:val="18"/>
                <w:lang w:val="en-GB"/>
              </w:rPr>
            </w:pPr>
            <w:r w:rsidRPr="00893DD1">
              <w:rPr>
                <w:sz w:val="18"/>
                <w:szCs w:val="18"/>
                <w:lang w:val="en-CA"/>
              </w:rPr>
              <w:t xml:space="preserve">The project could result in release of pollutants into the environment due to </w:t>
            </w:r>
            <w:r>
              <w:rPr>
                <w:sz w:val="18"/>
                <w:szCs w:val="18"/>
                <w:lang w:val="en-CA"/>
              </w:rPr>
              <w:t>support to</w:t>
            </w:r>
            <w:r w:rsidRPr="00231DB0">
              <w:rPr>
                <w:sz w:val="18"/>
                <w:szCs w:val="18"/>
                <w:lang w:val="en-CA"/>
              </w:rPr>
              <w:t xml:space="preserve"> </w:t>
            </w:r>
            <w:proofErr w:type="spellStart"/>
            <w:r w:rsidRPr="00231DB0">
              <w:rPr>
                <w:sz w:val="18"/>
                <w:szCs w:val="18"/>
                <w:lang w:val="en-CA"/>
              </w:rPr>
              <w:t>agro</w:t>
            </w:r>
            <w:proofErr w:type="spellEnd"/>
            <w:r w:rsidRPr="00231DB0">
              <w:rPr>
                <w:sz w:val="18"/>
                <w:szCs w:val="18"/>
                <w:lang w:val="en-CA"/>
              </w:rPr>
              <w:t>-</w:t>
            </w:r>
            <w:proofErr w:type="spellStart"/>
            <w:r w:rsidRPr="00231DB0">
              <w:rPr>
                <w:sz w:val="18"/>
                <w:szCs w:val="18"/>
                <w:lang w:val="en-CA"/>
              </w:rPr>
              <w:t>silvo</w:t>
            </w:r>
            <w:proofErr w:type="spellEnd"/>
            <w:r w:rsidRPr="00231DB0">
              <w:rPr>
                <w:sz w:val="18"/>
                <w:szCs w:val="18"/>
                <w:lang w:val="en-CA"/>
              </w:rPr>
              <w:t>-pastoral practices in terroirs within the PONASI landscape. Agriculture, as commonly practiced, uses herbicides and pesticides excessively</w:t>
            </w:r>
            <w:r>
              <w:rPr>
                <w:sz w:val="18"/>
                <w:szCs w:val="18"/>
                <w:lang w:val="en-CA"/>
              </w:rPr>
              <w:t xml:space="preserve"> to replace tillage and </w:t>
            </w:r>
            <w:r w:rsidRPr="00231DB0">
              <w:rPr>
                <w:sz w:val="18"/>
                <w:szCs w:val="18"/>
                <w:lang w:val="en-CA"/>
              </w:rPr>
              <w:t>weeding</w:t>
            </w:r>
            <w:r>
              <w:rPr>
                <w:sz w:val="18"/>
                <w:szCs w:val="18"/>
                <w:lang w:val="en-CA"/>
              </w:rPr>
              <w:t xml:space="preserve"> labour.</w:t>
            </w:r>
          </w:p>
        </w:tc>
        <w:tc>
          <w:tcPr>
            <w:tcW w:w="838" w:type="dxa"/>
          </w:tcPr>
          <w:p w14:paraId="5BB8C69D" w14:textId="77777777" w:rsidR="00302BFE" w:rsidRPr="00893DD1" w:rsidRDefault="00302BFE" w:rsidP="00243B15">
            <w:pPr>
              <w:spacing w:before="40" w:after="40"/>
              <w:jc w:val="left"/>
              <w:rPr>
                <w:rFonts w:eastAsia="Times New Roman" w:cs="Arial"/>
                <w:sz w:val="18"/>
                <w:szCs w:val="18"/>
                <w:lang w:val="en-CA"/>
              </w:rPr>
            </w:pPr>
            <w:r w:rsidRPr="00893DD1">
              <w:rPr>
                <w:rFonts w:eastAsia="Times New Roman" w:cs="Arial"/>
                <w:sz w:val="18"/>
                <w:szCs w:val="18"/>
                <w:lang w:val="fr-FR"/>
              </w:rPr>
              <w:t>May 23, 2019</w:t>
            </w:r>
          </w:p>
        </w:tc>
        <w:tc>
          <w:tcPr>
            <w:tcW w:w="861" w:type="dxa"/>
          </w:tcPr>
          <w:p w14:paraId="5AA86F2B" w14:textId="77777777" w:rsidR="00302BFE" w:rsidRPr="00893DD1" w:rsidRDefault="00302BFE" w:rsidP="00243B15">
            <w:pPr>
              <w:spacing w:before="40" w:after="40"/>
              <w:jc w:val="left"/>
              <w:rPr>
                <w:rFonts w:eastAsia="Times New Roman" w:cs="Arial"/>
                <w:sz w:val="18"/>
                <w:szCs w:val="18"/>
              </w:rPr>
            </w:pPr>
            <w:r w:rsidRPr="00893DD1">
              <w:rPr>
                <w:rFonts w:eastAsia="Times New Roman" w:cs="Arial"/>
                <w:sz w:val="18"/>
                <w:szCs w:val="18"/>
              </w:rPr>
              <w:t>Environ-mental</w:t>
            </w:r>
          </w:p>
        </w:tc>
        <w:tc>
          <w:tcPr>
            <w:tcW w:w="1035" w:type="dxa"/>
          </w:tcPr>
          <w:p w14:paraId="0ABDA150" w14:textId="77777777" w:rsidR="00302BFE" w:rsidRPr="00893DD1" w:rsidRDefault="00302BFE" w:rsidP="00243B15">
            <w:pPr>
              <w:spacing w:before="40" w:after="40"/>
              <w:rPr>
                <w:rFonts w:cs="Minion Pro"/>
                <w:sz w:val="18"/>
                <w:szCs w:val="18"/>
                <w:lang w:eastAsia="ja-JP"/>
              </w:rPr>
            </w:pPr>
            <w:r w:rsidRPr="00893DD1">
              <w:rPr>
                <w:rFonts w:cs="Minion Pro"/>
                <w:sz w:val="18"/>
                <w:szCs w:val="18"/>
              </w:rPr>
              <w:t>I = 2</w:t>
            </w:r>
          </w:p>
          <w:p w14:paraId="27E221A0" w14:textId="77777777" w:rsidR="00302BFE" w:rsidRPr="00893DD1" w:rsidRDefault="00302BFE" w:rsidP="00243B15">
            <w:pPr>
              <w:spacing w:before="40" w:after="40"/>
              <w:jc w:val="left"/>
              <w:rPr>
                <w:rFonts w:cs="Minion Pro"/>
                <w:sz w:val="18"/>
                <w:szCs w:val="18"/>
              </w:rPr>
            </w:pPr>
            <w:r w:rsidRPr="00893DD1">
              <w:rPr>
                <w:rFonts w:cs="Minion Pro"/>
                <w:sz w:val="18"/>
                <w:szCs w:val="18"/>
              </w:rPr>
              <w:t>P = 2</w:t>
            </w:r>
          </w:p>
          <w:p w14:paraId="2930CD5F" w14:textId="77777777" w:rsidR="00302BFE" w:rsidRPr="00893DD1" w:rsidRDefault="00302BFE" w:rsidP="00243B15">
            <w:pPr>
              <w:spacing w:before="40" w:after="40"/>
              <w:jc w:val="left"/>
              <w:rPr>
                <w:rFonts w:eastAsia="Times New Roman" w:cs="Arial"/>
                <w:sz w:val="18"/>
                <w:szCs w:val="18"/>
              </w:rPr>
            </w:pPr>
          </w:p>
          <w:p w14:paraId="50436B9C" w14:textId="77777777" w:rsidR="00302BFE" w:rsidRPr="00893DD1" w:rsidRDefault="00302BFE" w:rsidP="00243B15">
            <w:pPr>
              <w:spacing w:before="40" w:after="40"/>
              <w:jc w:val="left"/>
              <w:rPr>
                <w:rFonts w:eastAsia="Times New Roman" w:cs="Arial"/>
                <w:sz w:val="18"/>
                <w:szCs w:val="18"/>
              </w:rPr>
            </w:pPr>
            <w:r w:rsidRPr="00893DD1">
              <w:rPr>
                <w:sz w:val="18"/>
                <w:szCs w:val="18"/>
              </w:rPr>
              <w:t>Low</w:t>
            </w:r>
          </w:p>
        </w:tc>
        <w:tc>
          <w:tcPr>
            <w:tcW w:w="4597" w:type="dxa"/>
          </w:tcPr>
          <w:p w14:paraId="45841F0E" w14:textId="77777777" w:rsidR="00302BFE" w:rsidRPr="00893DD1" w:rsidRDefault="00302BFE" w:rsidP="00243B15">
            <w:pPr>
              <w:spacing w:before="40" w:after="40"/>
              <w:jc w:val="left"/>
              <w:rPr>
                <w:rFonts w:eastAsia="Times New Roman" w:cs="Arial"/>
                <w:sz w:val="18"/>
                <w:szCs w:val="18"/>
              </w:rPr>
            </w:pPr>
            <w:r w:rsidRPr="00893DD1">
              <w:rPr>
                <w:sz w:val="18"/>
                <w:szCs w:val="18"/>
                <w:lang w:val="en-CA"/>
              </w:rPr>
              <w:t xml:space="preserve">Project interventions will not increase agricultural activities and will aim to discourage producers from using chemical pesticides and herbicides by promoting organic agriculture, raising awareness of the environmental and human health impacts of herbicide and pesticide use and the impact on bee populations and honey production which is well established in the PONASI landscape. The project will promote models of sustainable agriculture </w:t>
            </w:r>
            <w:r w:rsidRPr="00893DD1">
              <w:rPr>
                <w:sz w:val="18"/>
                <w:szCs w:val="18"/>
                <w:lang w:val="en-CA"/>
              </w:rPr>
              <w:lastRenderedPageBreak/>
              <w:t>and tillage that do not rely on the use of chemical herbicides and pesticides.</w:t>
            </w:r>
          </w:p>
        </w:tc>
        <w:tc>
          <w:tcPr>
            <w:tcW w:w="852" w:type="dxa"/>
          </w:tcPr>
          <w:p w14:paraId="78A83EB0" w14:textId="77777777" w:rsidR="00302BFE" w:rsidRPr="00893DD1" w:rsidRDefault="00302BFE" w:rsidP="00243B15">
            <w:pPr>
              <w:spacing w:before="40" w:after="40"/>
              <w:jc w:val="left"/>
              <w:rPr>
                <w:rFonts w:eastAsia="Times New Roman" w:cs="Arial"/>
                <w:sz w:val="18"/>
                <w:szCs w:val="18"/>
                <w:lang w:val="en-GB"/>
              </w:rPr>
            </w:pPr>
            <w:r w:rsidRPr="00ED27AE">
              <w:rPr>
                <w:rFonts w:eastAsia="Times New Roman" w:cs="Arial"/>
                <w:sz w:val="18"/>
                <w:szCs w:val="18"/>
                <w:lang w:val="en-GB"/>
              </w:rPr>
              <w:lastRenderedPageBreak/>
              <w:t>MEGECC</w:t>
            </w:r>
          </w:p>
        </w:tc>
        <w:tc>
          <w:tcPr>
            <w:tcW w:w="1044" w:type="dxa"/>
          </w:tcPr>
          <w:p w14:paraId="6979E7A3" w14:textId="77777777" w:rsidR="00302BFE" w:rsidRPr="00893DD1" w:rsidRDefault="00302BFE" w:rsidP="00243B15">
            <w:pPr>
              <w:spacing w:before="40" w:after="40"/>
              <w:jc w:val="left"/>
              <w:rPr>
                <w:rFonts w:eastAsia="Times New Roman" w:cs="Arial"/>
                <w:sz w:val="18"/>
                <w:szCs w:val="18"/>
                <w:lang w:val="en-GB"/>
              </w:rPr>
            </w:pPr>
          </w:p>
        </w:tc>
        <w:tc>
          <w:tcPr>
            <w:tcW w:w="769" w:type="dxa"/>
          </w:tcPr>
          <w:p w14:paraId="04B8423E" w14:textId="77777777" w:rsidR="00302BFE" w:rsidRPr="00893DD1" w:rsidRDefault="00302BFE" w:rsidP="00243B15">
            <w:pPr>
              <w:spacing w:before="40" w:after="40"/>
              <w:jc w:val="left"/>
              <w:rPr>
                <w:rFonts w:eastAsia="Times New Roman" w:cs="Arial"/>
                <w:sz w:val="18"/>
                <w:szCs w:val="18"/>
                <w:lang w:val="en-GB"/>
              </w:rPr>
            </w:pPr>
          </w:p>
        </w:tc>
        <w:tc>
          <w:tcPr>
            <w:tcW w:w="684" w:type="dxa"/>
          </w:tcPr>
          <w:p w14:paraId="2BD1F8D3" w14:textId="77777777" w:rsidR="00302BFE" w:rsidRPr="00893DD1" w:rsidRDefault="00302BFE" w:rsidP="00243B15">
            <w:pPr>
              <w:spacing w:before="40" w:after="40"/>
              <w:jc w:val="left"/>
              <w:rPr>
                <w:rFonts w:eastAsia="Times New Roman" w:cs="Arial"/>
                <w:sz w:val="18"/>
                <w:szCs w:val="18"/>
                <w:lang w:val="en-GB"/>
              </w:rPr>
            </w:pPr>
          </w:p>
        </w:tc>
      </w:tr>
      <w:tr w:rsidR="00302BFE" w:rsidRPr="00893DD1" w14:paraId="600B9BD6" w14:textId="77777777" w:rsidTr="00243B15">
        <w:tc>
          <w:tcPr>
            <w:tcW w:w="0" w:type="auto"/>
          </w:tcPr>
          <w:p w14:paraId="06CED1AD" w14:textId="77777777" w:rsidR="00302BFE" w:rsidRPr="00893DD1" w:rsidRDefault="00302BFE" w:rsidP="00243B15">
            <w:pPr>
              <w:spacing w:before="40" w:after="40"/>
              <w:jc w:val="left"/>
              <w:rPr>
                <w:rFonts w:eastAsia="Times New Roman" w:cs="Arial"/>
                <w:sz w:val="18"/>
                <w:szCs w:val="18"/>
                <w:lang w:val="en-GB"/>
              </w:rPr>
            </w:pPr>
            <w:r w:rsidRPr="00893DD1">
              <w:rPr>
                <w:rFonts w:eastAsia="Times New Roman" w:cs="Arial"/>
                <w:sz w:val="18"/>
                <w:szCs w:val="18"/>
                <w:lang w:val="en-GB"/>
              </w:rPr>
              <w:t>13</w:t>
            </w:r>
          </w:p>
        </w:tc>
        <w:tc>
          <w:tcPr>
            <w:tcW w:w="3537" w:type="dxa"/>
          </w:tcPr>
          <w:p w14:paraId="474E85D5" w14:textId="77777777" w:rsidR="00302BFE" w:rsidRPr="00893DD1" w:rsidRDefault="00302BFE" w:rsidP="00243B15">
            <w:pPr>
              <w:spacing w:before="40" w:after="40"/>
              <w:jc w:val="left"/>
              <w:rPr>
                <w:sz w:val="18"/>
                <w:szCs w:val="18"/>
                <w:lang w:val="en-CA"/>
              </w:rPr>
            </w:pPr>
            <w:r w:rsidRPr="00893DD1">
              <w:rPr>
                <w:sz w:val="18"/>
                <w:szCs w:val="18"/>
                <w:lang w:val="en-CA"/>
              </w:rPr>
              <w:t xml:space="preserve">The proposed project would potentially lead to the production of non-hazardous waste by </w:t>
            </w:r>
            <w:r w:rsidRPr="00231DB0">
              <w:rPr>
                <w:sz w:val="18"/>
                <w:szCs w:val="18"/>
                <w:lang w:val="en-CA"/>
              </w:rPr>
              <w:t>support</w:t>
            </w:r>
            <w:r>
              <w:rPr>
                <w:sz w:val="18"/>
                <w:szCs w:val="18"/>
                <w:lang w:val="en-CA"/>
              </w:rPr>
              <w:t>ing</w:t>
            </w:r>
            <w:r w:rsidRPr="00231DB0">
              <w:rPr>
                <w:sz w:val="18"/>
                <w:szCs w:val="18"/>
                <w:lang w:val="en-CA"/>
              </w:rPr>
              <w:t xml:space="preserve"> the shea sector which produces as waste the hulls of shea kernels.</w:t>
            </w:r>
          </w:p>
        </w:tc>
        <w:tc>
          <w:tcPr>
            <w:tcW w:w="838" w:type="dxa"/>
          </w:tcPr>
          <w:p w14:paraId="2A7107C2" w14:textId="77777777" w:rsidR="00302BFE" w:rsidRPr="00893DD1" w:rsidRDefault="00302BFE" w:rsidP="00243B15">
            <w:pPr>
              <w:spacing w:before="40" w:after="40"/>
              <w:jc w:val="left"/>
              <w:rPr>
                <w:rFonts w:eastAsia="Times New Roman" w:cs="Arial"/>
                <w:sz w:val="18"/>
                <w:szCs w:val="18"/>
                <w:lang w:val="en-CA"/>
              </w:rPr>
            </w:pPr>
            <w:r w:rsidRPr="00231DB0">
              <w:rPr>
                <w:rFonts w:eastAsia="Times New Roman" w:cs="Arial"/>
                <w:sz w:val="18"/>
                <w:szCs w:val="18"/>
                <w:lang w:val="fr-FR"/>
              </w:rPr>
              <w:t>May 23, 2019</w:t>
            </w:r>
          </w:p>
        </w:tc>
        <w:tc>
          <w:tcPr>
            <w:tcW w:w="861" w:type="dxa"/>
          </w:tcPr>
          <w:p w14:paraId="4D436CFA" w14:textId="77777777" w:rsidR="00302BFE" w:rsidRPr="00893DD1" w:rsidRDefault="00302BFE" w:rsidP="00243B15">
            <w:pPr>
              <w:spacing w:before="40" w:after="40"/>
              <w:jc w:val="left"/>
              <w:rPr>
                <w:rFonts w:eastAsia="Times New Roman" w:cs="Arial"/>
                <w:sz w:val="18"/>
                <w:szCs w:val="18"/>
              </w:rPr>
            </w:pPr>
            <w:r w:rsidRPr="00ED27AE">
              <w:rPr>
                <w:rFonts w:eastAsia="Times New Roman" w:cs="Arial"/>
                <w:sz w:val="18"/>
                <w:szCs w:val="18"/>
              </w:rPr>
              <w:t>Environ-mental</w:t>
            </w:r>
          </w:p>
        </w:tc>
        <w:tc>
          <w:tcPr>
            <w:tcW w:w="1035" w:type="dxa"/>
          </w:tcPr>
          <w:p w14:paraId="2EB881F2" w14:textId="77777777" w:rsidR="00302BFE" w:rsidRPr="00893DD1" w:rsidRDefault="00302BFE" w:rsidP="00243B15">
            <w:pPr>
              <w:spacing w:before="40" w:after="40"/>
              <w:rPr>
                <w:rFonts w:cs="Minion Pro"/>
                <w:sz w:val="18"/>
                <w:szCs w:val="18"/>
                <w:lang w:eastAsia="ja-JP"/>
              </w:rPr>
            </w:pPr>
            <w:r w:rsidRPr="00893DD1">
              <w:rPr>
                <w:rFonts w:cs="Minion Pro"/>
                <w:sz w:val="18"/>
                <w:szCs w:val="18"/>
              </w:rPr>
              <w:t>I = 1</w:t>
            </w:r>
          </w:p>
          <w:p w14:paraId="775DF38F" w14:textId="77777777" w:rsidR="00302BFE" w:rsidRPr="00893DD1" w:rsidRDefault="00302BFE" w:rsidP="00243B15">
            <w:pPr>
              <w:spacing w:before="40" w:after="40"/>
              <w:rPr>
                <w:rFonts w:cs="Minion Pro"/>
                <w:sz w:val="18"/>
                <w:szCs w:val="18"/>
              </w:rPr>
            </w:pPr>
            <w:r w:rsidRPr="00893DD1">
              <w:rPr>
                <w:rFonts w:cs="Minion Pro"/>
                <w:sz w:val="18"/>
                <w:szCs w:val="18"/>
              </w:rPr>
              <w:t>P = 5</w:t>
            </w:r>
          </w:p>
          <w:p w14:paraId="6A559C33" w14:textId="77777777" w:rsidR="00302BFE" w:rsidRPr="00893DD1" w:rsidRDefault="00302BFE" w:rsidP="00243B15">
            <w:pPr>
              <w:spacing w:before="40" w:after="40"/>
              <w:rPr>
                <w:rFonts w:cs="Minion Pro"/>
                <w:sz w:val="18"/>
                <w:szCs w:val="18"/>
              </w:rPr>
            </w:pPr>
            <w:r w:rsidRPr="00893DD1">
              <w:rPr>
                <w:sz w:val="18"/>
                <w:szCs w:val="18"/>
                <w:lang w:val="fr-CA"/>
              </w:rPr>
              <w:t>Low</w:t>
            </w:r>
          </w:p>
        </w:tc>
        <w:tc>
          <w:tcPr>
            <w:tcW w:w="4597" w:type="dxa"/>
          </w:tcPr>
          <w:p w14:paraId="7156360D" w14:textId="77777777" w:rsidR="00302BFE" w:rsidRPr="00893DD1" w:rsidRDefault="00302BFE" w:rsidP="00243B15">
            <w:pPr>
              <w:spacing w:before="40" w:after="40"/>
              <w:jc w:val="left"/>
              <w:rPr>
                <w:sz w:val="18"/>
                <w:szCs w:val="18"/>
                <w:lang w:val="en-CA"/>
              </w:rPr>
            </w:pPr>
            <w:r w:rsidRPr="00893DD1">
              <w:rPr>
                <w:sz w:val="18"/>
                <w:szCs w:val="18"/>
                <w:lang w:val="en-CA"/>
              </w:rPr>
              <w:t>The project plans to use shea almond shells as biomass energy in pyrolysis furnaces to feed the shea nut processing process.</w:t>
            </w:r>
          </w:p>
        </w:tc>
        <w:tc>
          <w:tcPr>
            <w:tcW w:w="852" w:type="dxa"/>
          </w:tcPr>
          <w:p w14:paraId="136495A6" w14:textId="77777777" w:rsidR="00302BFE" w:rsidRPr="00893DD1" w:rsidRDefault="00302BFE" w:rsidP="00243B15">
            <w:pPr>
              <w:spacing w:before="40" w:after="40"/>
              <w:jc w:val="left"/>
              <w:rPr>
                <w:rFonts w:eastAsia="Times New Roman" w:cs="Arial"/>
                <w:sz w:val="18"/>
                <w:szCs w:val="18"/>
                <w:lang w:val="en-GB"/>
              </w:rPr>
            </w:pPr>
            <w:r w:rsidRPr="00ED27AE">
              <w:rPr>
                <w:rFonts w:eastAsia="Times New Roman" w:cs="Arial"/>
                <w:sz w:val="18"/>
                <w:szCs w:val="18"/>
                <w:lang w:val="en-GB"/>
              </w:rPr>
              <w:t>MEGECC</w:t>
            </w:r>
          </w:p>
        </w:tc>
        <w:tc>
          <w:tcPr>
            <w:tcW w:w="1044" w:type="dxa"/>
          </w:tcPr>
          <w:p w14:paraId="14CDBDC6" w14:textId="77777777" w:rsidR="00302BFE" w:rsidRPr="00893DD1" w:rsidRDefault="00302BFE" w:rsidP="00243B15">
            <w:pPr>
              <w:spacing w:before="40" w:after="40"/>
              <w:jc w:val="left"/>
              <w:rPr>
                <w:rFonts w:eastAsia="Times New Roman" w:cs="Arial"/>
                <w:sz w:val="18"/>
                <w:szCs w:val="18"/>
                <w:lang w:val="en-GB"/>
              </w:rPr>
            </w:pPr>
          </w:p>
        </w:tc>
        <w:tc>
          <w:tcPr>
            <w:tcW w:w="769" w:type="dxa"/>
          </w:tcPr>
          <w:p w14:paraId="33F61ECF" w14:textId="77777777" w:rsidR="00302BFE" w:rsidRPr="00893DD1" w:rsidRDefault="00302BFE" w:rsidP="00243B15">
            <w:pPr>
              <w:spacing w:before="40" w:after="40"/>
              <w:jc w:val="left"/>
              <w:rPr>
                <w:rFonts w:eastAsia="Times New Roman" w:cs="Arial"/>
                <w:sz w:val="18"/>
                <w:szCs w:val="18"/>
                <w:lang w:val="en-GB"/>
              </w:rPr>
            </w:pPr>
          </w:p>
        </w:tc>
        <w:tc>
          <w:tcPr>
            <w:tcW w:w="684" w:type="dxa"/>
          </w:tcPr>
          <w:p w14:paraId="0408C8CA" w14:textId="77777777" w:rsidR="00302BFE" w:rsidRPr="00893DD1" w:rsidRDefault="00302BFE" w:rsidP="00243B15">
            <w:pPr>
              <w:spacing w:before="40" w:after="40"/>
              <w:jc w:val="left"/>
              <w:rPr>
                <w:rFonts w:eastAsia="Times New Roman" w:cs="Arial"/>
                <w:sz w:val="18"/>
                <w:szCs w:val="18"/>
                <w:lang w:val="en-GB"/>
              </w:rPr>
            </w:pPr>
          </w:p>
        </w:tc>
      </w:tr>
    </w:tbl>
    <w:p w14:paraId="38665242" w14:textId="77777777" w:rsidR="00302BFE" w:rsidRPr="00937801" w:rsidRDefault="00302BFE" w:rsidP="00302BFE">
      <w:pPr>
        <w:spacing w:after="0"/>
        <w:rPr>
          <w:szCs w:val="20"/>
        </w:rPr>
      </w:pPr>
    </w:p>
    <w:p w14:paraId="486E8EEF" w14:textId="77777777" w:rsidR="00302BFE" w:rsidRDefault="00302BFE" w:rsidP="00302BFE">
      <w:pPr>
        <w:pStyle w:val="Titre2"/>
        <w:spacing w:after="240"/>
        <w:ind w:left="0"/>
        <w:rPr>
          <w:rFonts w:ascii="Calibri" w:hAnsi="Calibri"/>
        </w:rPr>
        <w:sectPr w:rsidR="00302BFE" w:rsidSect="00243B15">
          <w:pgSz w:w="15840" w:h="12240" w:orient="landscape" w:code="1"/>
          <w:pgMar w:top="720" w:right="720" w:bottom="720" w:left="720" w:header="720" w:footer="720" w:gutter="0"/>
          <w:cols w:space="720"/>
          <w:docGrid w:linePitch="360"/>
        </w:sectPr>
      </w:pPr>
    </w:p>
    <w:p w14:paraId="546E4250" w14:textId="7FC2E849" w:rsidR="00302BFE" w:rsidRPr="00B16682" w:rsidRDefault="00302BFE" w:rsidP="00302BFE">
      <w:pPr>
        <w:pStyle w:val="Titre2"/>
        <w:ind w:left="0"/>
        <w:rPr>
          <w:rFonts w:ascii="Calibri" w:hAnsi="Calibri"/>
          <w:szCs w:val="22"/>
        </w:rPr>
      </w:pPr>
      <w:bookmarkStart w:id="77" w:name="_Toc9961808"/>
      <w:r w:rsidRPr="00B16682">
        <w:rPr>
          <w:rFonts w:ascii="Calibri" w:hAnsi="Calibri"/>
          <w:szCs w:val="22"/>
        </w:rPr>
        <w:lastRenderedPageBreak/>
        <w:t xml:space="preserve">Annex </w:t>
      </w:r>
      <w:r>
        <w:rPr>
          <w:rFonts w:ascii="Calibri" w:hAnsi="Calibri"/>
          <w:szCs w:val="22"/>
        </w:rPr>
        <w:t>H</w:t>
      </w:r>
      <w:r w:rsidRPr="00B16682">
        <w:rPr>
          <w:rFonts w:ascii="Calibri" w:hAnsi="Calibri"/>
          <w:szCs w:val="22"/>
        </w:rPr>
        <w:t>: Additional agreements</w:t>
      </w:r>
      <w:r>
        <w:rPr>
          <w:rFonts w:ascii="Calibri" w:hAnsi="Calibri"/>
          <w:szCs w:val="22"/>
        </w:rPr>
        <w:t>: GEF OFP letter</w:t>
      </w:r>
      <w:bookmarkEnd w:id="77"/>
    </w:p>
    <w:p w14:paraId="24F2C896" w14:textId="77777777" w:rsidR="00302BFE" w:rsidRDefault="00302BFE" w:rsidP="00302BFE"/>
    <w:p w14:paraId="6E96D4B2" w14:textId="70912434" w:rsidR="00302BFE" w:rsidRPr="00D16E29" w:rsidRDefault="00302BFE" w:rsidP="00302BFE">
      <w:pPr>
        <w:rPr>
          <w:rFonts w:ascii="Arial" w:hAnsi="Arial" w:cs="Arial"/>
          <w:sz w:val="2"/>
          <w:szCs w:val="2"/>
          <w:lang w:val="fr-CA" w:eastAsia="fr-CA"/>
        </w:rPr>
      </w:pPr>
      <w:r w:rsidRPr="004C563A">
        <w:rPr>
          <w:noProof/>
        </w:rPr>
        <w:drawing>
          <wp:inline distT="0" distB="0" distL="0" distR="0" wp14:anchorId="02D275EF" wp14:editId="5F02F6B0">
            <wp:extent cx="5676265" cy="8021955"/>
            <wp:effectExtent l="0" t="0" r="63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76265" cy="8021955"/>
                    </a:xfrm>
                    <a:prstGeom prst="rect">
                      <a:avLst/>
                    </a:prstGeom>
                    <a:noFill/>
                    <a:ln>
                      <a:noFill/>
                    </a:ln>
                  </pic:spPr>
                </pic:pic>
              </a:graphicData>
            </a:graphic>
          </wp:inline>
        </w:drawing>
      </w:r>
    </w:p>
    <w:p w14:paraId="2B6AA6E7" w14:textId="3B26B31F" w:rsidR="00302BFE" w:rsidRDefault="00302BFE" w:rsidP="00302BFE">
      <w:r>
        <w:rPr>
          <w:noProof/>
        </w:rPr>
        <w:br w:type="page"/>
      </w:r>
    </w:p>
    <w:p w14:paraId="3591B7AC" w14:textId="0B26CEFD" w:rsidR="00302BFE" w:rsidRPr="008957ED" w:rsidRDefault="00302BFE" w:rsidP="00302BFE">
      <w:pPr>
        <w:pStyle w:val="Titre2"/>
        <w:ind w:left="0"/>
        <w:rPr>
          <w:rFonts w:ascii="Calibri" w:hAnsi="Calibri"/>
          <w:szCs w:val="22"/>
          <w:lang w:val="fr-CA"/>
        </w:rPr>
      </w:pPr>
      <w:bookmarkStart w:id="78" w:name="_Toc9961809"/>
      <w:r w:rsidRPr="008957ED">
        <w:rPr>
          <w:rFonts w:ascii="Calibri" w:hAnsi="Calibri"/>
          <w:szCs w:val="22"/>
          <w:lang w:val="fr-CA"/>
        </w:rPr>
        <w:lastRenderedPageBreak/>
        <w:t xml:space="preserve">Annex I. Target </w:t>
      </w:r>
      <w:proofErr w:type="spellStart"/>
      <w:r w:rsidRPr="008957ED">
        <w:rPr>
          <w:rFonts w:ascii="Calibri" w:hAnsi="Calibri"/>
          <w:szCs w:val="22"/>
          <w:lang w:val="fr-CA"/>
        </w:rPr>
        <w:t>landscape</w:t>
      </w:r>
      <w:proofErr w:type="spellEnd"/>
      <w:r w:rsidRPr="008957ED">
        <w:rPr>
          <w:rFonts w:ascii="Calibri" w:hAnsi="Calibri"/>
          <w:szCs w:val="22"/>
          <w:lang w:val="fr-CA"/>
        </w:rPr>
        <w:t xml:space="preserve"> profile</w:t>
      </w:r>
      <w:bookmarkEnd w:id="78"/>
    </w:p>
    <w:p w14:paraId="32400D76" w14:textId="77777777" w:rsidR="00302BFE" w:rsidRPr="00E96518" w:rsidRDefault="00302BFE" w:rsidP="00302BFE">
      <w:pPr>
        <w:spacing w:before="240" w:after="120"/>
        <w:rPr>
          <w:b/>
          <w:szCs w:val="20"/>
          <w:lang w:val="fr-CA"/>
        </w:rPr>
      </w:pPr>
      <w:r w:rsidRPr="00E96518">
        <w:rPr>
          <w:b/>
          <w:szCs w:val="20"/>
          <w:lang w:val="fr-CA"/>
        </w:rPr>
        <w:t xml:space="preserve">Ranch de </w:t>
      </w:r>
      <w:r>
        <w:rPr>
          <w:b/>
          <w:szCs w:val="20"/>
          <w:lang w:val="fr-CA"/>
        </w:rPr>
        <w:t>G</w:t>
      </w:r>
      <w:r w:rsidRPr="00E96518">
        <w:rPr>
          <w:b/>
          <w:szCs w:val="20"/>
          <w:lang w:val="fr-CA"/>
        </w:rPr>
        <w:t>ibier</w:t>
      </w:r>
      <w:r>
        <w:rPr>
          <w:b/>
          <w:szCs w:val="20"/>
          <w:lang w:val="fr-CA"/>
        </w:rPr>
        <w:t xml:space="preserve"> et Forêt Classée</w:t>
      </w:r>
      <w:r w:rsidRPr="00E96518">
        <w:rPr>
          <w:b/>
          <w:szCs w:val="20"/>
          <w:lang w:val="fr-CA"/>
        </w:rPr>
        <w:t xml:space="preserve"> de </w:t>
      </w:r>
      <w:proofErr w:type="spellStart"/>
      <w:r w:rsidRPr="00E96518">
        <w:rPr>
          <w:b/>
          <w:szCs w:val="20"/>
          <w:lang w:val="fr-CA"/>
        </w:rPr>
        <w:t>Nazinga</w:t>
      </w:r>
      <w:proofErr w:type="spellEnd"/>
    </w:p>
    <w:p w14:paraId="5E5148BF" w14:textId="5859BFA3" w:rsidR="00302BFE" w:rsidRPr="003824FD" w:rsidRDefault="00302BFE" w:rsidP="00302BFE">
      <w:pPr>
        <w:spacing w:before="120" w:after="120"/>
        <w:rPr>
          <w:szCs w:val="20"/>
          <w:lang w:val="fr-CA"/>
        </w:rPr>
      </w:pPr>
      <w:r w:rsidRPr="003824FD">
        <w:rPr>
          <w:szCs w:val="20"/>
          <w:lang w:val="fr-CA"/>
        </w:rPr>
        <w:t xml:space="preserve">Au Centre Sud du Burkina Faso, dans les provinces du Nahouri (à l’Est) et de la Sissili (à l’Ouest), la forêt de </w:t>
      </w:r>
      <w:proofErr w:type="spellStart"/>
      <w:r w:rsidRPr="003824FD">
        <w:rPr>
          <w:szCs w:val="20"/>
          <w:lang w:val="fr-CA"/>
        </w:rPr>
        <w:t>Nazinga</w:t>
      </w:r>
      <w:proofErr w:type="spellEnd"/>
      <w:r w:rsidRPr="003824FD">
        <w:rPr>
          <w:szCs w:val="20"/>
          <w:lang w:val="fr-CA"/>
        </w:rPr>
        <w:t xml:space="preserve"> a d’abord été classée par l’Arrêté n°8327/SE du 04/12/1953. Une ONG canadienne, l’</w:t>
      </w:r>
      <w:proofErr w:type="spellStart"/>
      <w:r w:rsidRPr="003824FD">
        <w:rPr>
          <w:szCs w:val="20"/>
          <w:lang w:val="fr-CA"/>
        </w:rPr>
        <w:t>African</w:t>
      </w:r>
      <w:proofErr w:type="spellEnd"/>
      <w:r w:rsidRPr="003824FD">
        <w:rPr>
          <w:szCs w:val="20"/>
          <w:lang w:val="fr-CA"/>
        </w:rPr>
        <w:t xml:space="preserve"> </w:t>
      </w:r>
      <w:proofErr w:type="spellStart"/>
      <w:r w:rsidRPr="003824FD">
        <w:rPr>
          <w:szCs w:val="20"/>
          <w:lang w:val="fr-CA"/>
        </w:rPr>
        <w:t>Wildlife</w:t>
      </w:r>
      <w:proofErr w:type="spellEnd"/>
      <w:r w:rsidRPr="003824FD">
        <w:rPr>
          <w:szCs w:val="20"/>
          <w:lang w:val="fr-CA"/>
        </w:rPr>
        <w:t xml:space="preserve"> </w:t>
      </w:r>
      <w:proofErr w:type="spellStart"/>
      <w:r w:rsidRPr="003824FD">
        <w:rPr>
          <w:szCs w:val="20"/>
          <w:lang w:val="fr-CA"/>
        </w:rPr>
        <w:t>Husbandry</w:t>
      </w:r>
      <w:proofErr w:type="spellEnd"/>
      <w:r w:rsidRPr="003824FD">
        <w:rPr>
          <w:szCs w:val="20"/>
          <w:lang w:val="fr-CA"/>
        </w:rPr>
        <w:t xml:space="preserve"> </w:t>
      </w:r>
      <w:proofErr w:type="spellStart"/>
      <w:r w:rsidRPr="003824FD">
        <w:rPr>
          <w:szCs w:val="20"/>
          <w:lang w:val="fr-CA"/>
        </w:rPr>
        <w:t>Development</w:t>
      </w:r>
      <w:proofErr w:type="spellEnd"/>
      <w:r w:rsidRPr="003824FD">
        <w:rPr>
          <w:szCs w:val="20"/>
          <w:lang w:val="fr-CA"/>
        </w:rPr>
        <w:t xml:space="preserve"> Association (AWHDA), a lancé le projet pilote de Ranch de Gibier de </w:t>
      </w:r>
      <w:proofErr w:type="spellStart"/>
      <w:r w:rsidRPr="003824FD">
        <w:rPr>
          <w:szCs w:val="20"/>
          <w:lang w:val="fr-CA"/>
        </w:rPr>
        <w:t>Nazinga</w:t>
      </w:r>
      <w:proofErr w:type="spellEnd"/>
      <w:r w:rsidRPr="003824FD">
        <w:rPr>
          <w:szCs w:val="20"/>
          <w:lang w:val="fr-CA"/>
        </w:rPr>
        <w:t xml:space="preserve"> en 1975 puis l’a cogéré sous les auspices du </w:t>
      </w:r>
      <w:proofErr w:type="gramStart"/>
      <w:r w:rsidRPr="003824FD">
        <w:rPr>
          <w:szCs w:val="20"/>
          <w:lang w:val="fr-CA"/>
        </w:rPr>
        <w:t>Ministère de l’Environnement</w:t>
      </w:r>
      <w:proofErr w:type="gramEnd"/>
      <w:r w:rsidRPr="003824FD">
        <w:rPr>
          <w:szCs w:val="20"/>
          <w:lang w:val="fr-CA"/>
        </w:rPr>
        <w:t xml:space="preserve"> de 1984 à 1990. Au moment de sa création, le projet visait la mise en place d'un ranch de la faune géré par des professionnels, non clôturé et entouré par des zones de chasse villageoises gérées par la communauté afin de créer un système de production autonome où les populations locales étaient des collaborateurs pour la gestion et le partage des bénéfices. Pour ce faire, la direction du ranch a développé de nombreuses activités de production d'animaux sauvages sur le ranch: observation de la faune, chasse safari internationale, chasse au gibier, et pêche traditionnelle et commerciale par la population locale, ainsi que chasse au safari d'oiseaux et de petit gibier dans les zones de chasse des villages périphériques</w:t>
      </w:r>
      <w:r w:rsidRPr="003824FD">
        <w:rPr>
          <w:rStyle w:val="Appelnotedebasdep"/>
          <w:szCs w:val="20"/>
          <w:lang w:val="en-CA"/>
        </w:rPr>
        <w:footnoteReference w:id="87"/>
      </w:r>
      <w:r w:rsidRPr="003824FD">
        <w:rPr>
          <w:szCs w:val="20"/>
          <w:lang w:val="fr-CA"/>
        </w:rPr>
        <w:t>.</w:t>
      </w:r>
    </w:p>
    <w:p w14:paraId="6F60C244" w14:textId="66BBA37D" w:rsidR="00302BFE" w:rsidRPr="00E96518" w:rsidRDefault="00302BFE" w:rsidP="00302BFE">
      <w:pPr>
        <w:spacing w:before="120" w:after="120"/>
        <w:rPr>
          <w:szCs w:val="20"/>
          <w:lang w:val="fr-CA"/>
        </w:rPr>
      </w:pPr>
      <w:r w:rsidRPr="00E96518">
        <w:rPr>
          <w:szCs w:val="20"/>
          <w:lang w:val="fr-CA"/>
        </w:rPr>
        <w:t xml:space="preserve">La Forêt classée et Ranch de Gibier de </w:t>
      </w:r>
      <w:proofErr w:type="spellStart"/>
      <w:r w:rsidRPr="00E96518">
        <w:rPr>
          <w:szCs w:val="20"/>
          <w:lang w:val="fr-CA"/>
        </w:rPr>
        <w:t>Nazinga</w:t>
      </w:r>
      <w:proofErr w:type="spellEnd"/>
      <w:r w:rsidRPr="00E96518">
        <w:rPr>
          <w:szCs w:val="20"/>
          <w:lang w:val="fr-CA"/>
        </w:rPr>
        <w:t xml:space="preserve"> (FC/</w:t>
      </w:r>
      <w:r w:rsidR="00F03A01">
        <w:rPr>
          <w:szCs w:val="20"/>
          <w:lang w:val="fr-CA"/>
        </w:rPr>
        <w:t>RGN</w:t>
      </w:r>
      <w:r w:rsidRPr="00E96518">
        <w:rPr>
          <w:szCs w:val="20"/>
          <w:lang w:val="fr-CA"/>
        </w:rPr>
        <w:t xml:space="preserve">) a plus tard été créé par le Décret N°2000-092/PRES/PM/MEE du 17 mars 2000 portant agrandissement de la forêt domaniale classée de </w:t>
      </w:r>
      <w:proofErr w:type="spellStart"/>
      <w:r w:rsidRPr="00E96518">
        <w:rPr>
          <w:szCs w:val="20"/>
          <w:lang w:val="fr-CA"/>
        </w:rPr>
        <w:t>Nazinga</w:t>
      </w:r>
      <w:proofErr w:type="spellEnd"/>
      <w:r w:rsidRPr="00E96518">
        <w:rPr>
          <w:szCs w:val="20"/>
          <w:lang w:val="fr-CA"/>
        </w:rPr>
        <w:t xml:space="preserve"> pour couvrir une superficie de 91 300 ha et par le Décret N°2000-093/PRES/PM/MEE du 17 mars 2000 relatif à sa transformation en Forêt Classée et Ranch de Gibier. Les objectifs spécifiques de cette aire protégée sont la contribution au maintien des équilibres écologiques, à l’optimisation de la diversité biologique et au bien-être des populations riveraines; la promotion de la recherche appliquée en vue d’identifier les formes de gestion durable de la faune sauvage; la production soutenue des ressources en faune sauvage et l‘organisation de toutes les formes d’utilisation durable de la faune.</w:t>
      </w:r>
    </w:p>
    <w:p w14:paraId="6E09A6B5" w14:textId="77777777" w:rsidR="00302BFE" w:rsidRPr="00E96518" w:rsidRDefault="00302BFE" w:rsidP="00302BFE">
      <w:pPr>
        <w:spacing w:before="120" w:after="120"/>
        <w:rPr>
          <w:szCs w:val="20"/>
          <w:lang w:val="fr-CA"/>
        </w:rPr>
      </w:pPr>
      <w:r w:rsidRPr="00E96518">
        <w:rPr>
          <w:szCs w:val="20"/>
          <w:u w:val="single"/>
          <w:lang w:val="fr-CA"/>
        </w:rPr>
        <w:t>Biodiversité</w:t>
      </w:r>
      <w:r w:rsidRPr="00E96518">
        <w:rPr>
          <w:szCs w:val="20"/>
          <w:lang w:val="fr-CA"/>
        </w:rPr>
        <w:t xml:space="preserve">. La zone est traversée par la rivière Sissili, principal affluent du </w:t>
      </w:r>
      <w:proofErr w:type="spellStart"/>
      <w:r w:rsidRPr="00E96518">
        <w:rPr>
          <w:szCs w:val="20"/>
          <w:lang w:val="fr-CA"/>
        </w:rPr>
        <w:t>Nazinon</w:t>
      </w:r>
      <w:proofErr w:type="spellEnd"/>
      <w:r w:rsidRPr="00E96518">
        <w:rPr>
          <w:szCs w:val="20"/>
          <w:lang w:val="fr-CA"/>
        </w:rPr>
        <w:t xml:space="preserve">. La végétation du ranch fait partie de la zone de forêts claires indifférenciées. Elle est typiquement soudanaise, avec un paysage de savanes aux herbes de grande taille, parsemées d’arbres et arbustes. Les grands types de savanes se rencontrent : îlots de forêts claires à </w:t>
      </w:r>
      <w:proofErr w:type="spellStart"/>
      <w:r w:rsidRPr="00E96518">
        <w:rPr>
          <w:i/>
          <w:szCs w:val="20"/>
          <w:lang w:val="fr-CA"/>
        </w:rPr>
        <w:t>Isoberlinia</w:t>
      </w:r>
      <w:proofErr w:type="spellEnd"/>
      <w:r w:rsidRPr="00E96518">
        <w:rPr>
          <w:i/>
          <w:szCs w:val="20"/>
          <w:lang w:val="fr-CA"/>
        </w:rPr>
        <w:t xml:space="preserve"> </w:t>
      </w:r>
      <w:proofErr w:type="spellStart"/>
      <w:r w:rsidRPr="00E96518">
        <w:rPr>
          <w:i/>
          <w:szCs w:val="20"/>
          <w:lang w:val="fr-CA"/>
        </w:rPr>
        <w:t>doka</w:t>
      </w:r>
      <w:proofErr w:type="spellEnd"/>
      <w:r w:rsidRPr="00E96518">
        <w:rPr>
          <w:szCs w:val="20"/>
          <w:lang w:val="fr-CA"/>
        </w:rPr>
        <w:t xml:space="preserve">, savanes boisées, arborées, arbustives et herbeuses, avec toutefois une nette prédominance des formations arbustives et boisées. Les espèces dominantes sont, pour les arbres, </w:t>
      </w:r>
      <w:proofErr w:type="spellStart"/>
      <w:r w:rsidRPr="00E96518">
        <w:rPr>
          <w:i/>
          <w:szCs w:val="20"/>
          <w:lang w:val="fr-CA"/>
        </w:rPr>
        <w:t>Vitellaria</w:t>
      </w:r>
      <w:proofErr w:type="spellEnd"/>
      <w:r w:rsidRPr="00E96518">
        <w:rPr>
          <w:i/>
          <w:szCs w:val="20"/>
          <w:lang w:val="fr-CA"/>
        </w:rPr>
        <w:t xml:space="preserve"> </w:t>
      </w:r>
      <w:proofErr w:type="spellStart"/>
      <w:r w:rsidRPr="00E96518">
        <w:rPr>
          <w:i/>
          <w:szCs w:val="20"/>
          <w:lang w:val="fr-CA"/>
        </w:rPr>
        <w:t>paradoxa</w:t>
      </w:r>
      <w:proofErr w:type="spellEnd"/>
      <w:r w:rsidRPr="00E96518">
        <w:rPr>
          <w:szCs w:val="20"/>
          <w:lang w:val="fr-CA"/>
        </w:rPr>
        <w:t xml:space="preserve">, </w:t>
      </w:r>
      <w:proofErr w:type="spellStart"/>
      <w:r w:rsidRPr="00E96518">
        <w:rPr>
          <w:i/>
          <w:szCs w:val="20"/>
          <w:lang w:val="fr-CA"/>
        </w:rPr>
        <w:t>Terminalia</w:t>
      </w:r>
      <w:proofErr w:type="spellEnd"/>
      <w:r w:rsidRPr="00E96518">
        <w:rPr>
          <w:szCs w:val="20"/>
          <w:lang w:val="fr-CA"/>
        </w:rPr>
        <w:t xml:space="preserve"> </w:t>
      </w:r>
      <w:proofErr w:type="spellStart"/>
      <w:r w:rsidRPr="00E96518">
        <w:rPr>
          <w:szCs w:val="20"/>
          <w:lang w:val="fr-CA"/>
        </w:rPr>
        <w:t>spp</w:t>
      </w:r>
      <w:proofErr w:type="spellEnd"/>
      <w:r w:rsidRPr="00E96518">
        <w:rPr>
          <w:szCs w:val="20"/>
          <w:lang w:val="fr-CA"/>
        </w:rPr>
        <w:t xml:space="preserve">, </w:t>
      </w:r>
      <w:proofErr w:type="spellStart"/>
      <w:r w:rsidRPr="00E96518">
        <w:rPr>
          <w:i/>
          <w:szCs w:val="20"/>
          <w:lang w:val="fr-CA"/>
        </w:rPr>
        <w:t>Combretum</w:t>
      </w:r>
      <w:proofErr w:type="spellEnd"/>
      <w:r w:rsidRPr="00E96518">
        <w:rPr>
          <w:szCs w:val="20"/>
          <w:lang w:val="fr-CA"/>
        </w:rPr>
        <w:t xml:space="preserve"> </w:t>
      </w:r>
      <w:proofErr w:type="spellStart"/>
      <w:r w:rsidRPr="00E96518">
        <w:rPr>
          <w:i/>
          <w:szCs w:val="20"/>
          <w:lang w:val="fr-CA"/>
        </w:rPr>
        <w:t>glutinosum</w:t>
      </w:r>
      <w:proofErr w:type="spellEnd"/>
      <w:r w:rsidRPr="00E96518">
        <w:rPr>
          <w:szCs w:val="20"/>
          <w:lang w:val="fr-CA"/>
        </w:rPr>
        <w:t xml:space="preserve">, </w:t>
      </w:r>
      <w:r w:rsidRPr="00E96518">
        <w:rPr>
          <w:i/>
          <w:szCs w:val="20"/>
          <w:lang w:val="fr-CA"/>
        </w:rPr>
        <w:t>Acacia</w:t>
      </w:r>
      <w:r w:rsidRPr="00E96518">
        <w:rPr>
          <w:szCs w:val="20"/>
          <w:lang w:val="fr-CA"/>
        </w:rPr>
        <w:t xml:space="preserve"> </w:t>
      </w:r>
      <w:proofErr w:type="spellStart"/>
      <w:r w:rsidRPr="00E96518">
        <w:rPr>
          <w:szCs w:val="20"/>
          <w:lang w:val="fr-CA"/>
        </w:rPr>
        <w:t>spp</w:t>
      </w:r>
      <w:proofErr w:type="spellEnd"/>
      <w:r w:rsidRPr="00E96518">
        <w:rPr>
          <w:szCs w:val="20"/>
          <w:lang w:val="fr-CA"/>
        </w:rPr>
        <w:t xml:space="preserve">. </w:t>
      </w:r>
      <w:proofErr w:type="gramStart"/>
      <w:r w:rsidRPr="00E96518">
        <w:rPr>
          <w:szCs w:val="20"/>
          <w:lang w:val="fr-CA"/>
        </w:rPr>
        <w:t>et</w:t>
      </w:r>
      <w:proofErr w:type="gramEnd"/>
      <w:r w:rsidRPr="00E96518">
        <w:rPr>
          <w:szCs w:val="20"/>
          <w:lang w:val="fr-CA"/>
        </w:rPr>
        <w:t xml:space="preserve"> </w:t>
      </w:r>
      <w:proofErr w:type="spellStart"/>
      <w:r w:rsidRPr="00E96518">
        <w:rPr>
          <w:i/>
          <w:szCs w:val="20"/>
          <w:lang w:val="fr-CA"/>
        </w:rPr>
        <w:t>Detarium</w:t>
      </w:r>
      <w:proofErr w:type="spellEnd"/>
      <w:r w:rsidRPr="00E96518">
        <w:rPr>
          <w:szCs w:val="20"/>
          <w:lang w:val="fr-CA"/>
        </w:rPr>
        <w:t xml:space="preserve"> </w:t>
      </w:r>
      <w:proofErr w:type="spellStart"/>
      <w:r w:rsidRPr="00E96518">
        <w:rPr>
          <w:i/>
          <w:szCs w:val="20"/>
          <w:lang w:val="fr-CA"/>
        </w:rPr>
        <w:t>microcarpum</w:t>
      </w:r>
      <w:proofErr w:type="spellEnd"/>
      <w:r w:rsidRPr="00E96518">
        <w:rPr>
          <w:szCs w:val="20"/>
          <w:lang w:val="fr-CA"/>
        </w:rPr>
        <w:t xml:space="preserve"> et, pour les graminées, </w:t>
      </w:r>
      <w:proofErr w:type="spellStart"/>
      <w:r w:rsidRPr="00E96518">
        <w:rPr>
          <w:i/>
          <w:szCs w:val="20"/>
          <w:lang w:val="fr-CA"/>
        </w:rPr>
        <w:t>Schizachyrium</w:t>
      </w:r>
      <w:proofErr w:type="spellEnd"/>
      <w:r w:rsidRPr="00E96518">
        <w:rPr>
          <w:szCs w:val="20"/>
          <w:lang w:val="fr-CA"/>
        </w:rPr>
        <w:t xml:space="preserve"> </w:t>
      </w:r>
      <w:proofErr w:type="spellStart"/>
      <w:r w:rsidRPr="00E96518">
        <w:rPr>
          <w:i/>
          <w:szCs w:val="20"/>
          <w:lang w:val="fr-CA"/>
        </w:rPr>
        <w:t>sanguineum</w:t>
      </w:r>
      <w:proofErr w:type="spellEnd"/>
      <w:r w:rsidRPr="00E96518">
        <w:rPr>
          <w:szCs w:val="20"/>
          <w:lang w:val="fr-CA"/>
        </w:rPr>
        <w:t xml:space="preserve"> et </w:t>
      </w:r>
      <w:r w:rsidRPr="00E96518">
        <w:rPr>
          <w:i/>
          <w:szCs w:val="20"/>
          <w:lang w:val="fr-CA"/>
        </w:rPr>
        <w:t>Andropogon</w:t>
      </w:r>
      <w:r w:rsidRPr="00E96518">
        <w:rPr>
          <w:szCs w:val="20"/>
          <w:lang w:val="fr-CA"/>
        </w:rPr>
        <w:t xml:space="preserve"> </w:t>
      </w:r>
      <w:proofErr w:type="spellStart"/>
      <w:r w:rsidRPr="00E96518">
        <w:rPr>
          <w:i/>
          <w:szCs w:val="20"/>
          <w:lang w:val="fr-CA"/>
        </w:rPr>
        <w:t>ascinoides</w:t>
      </w:r>
      <w:proofErr w:type="spellEnd"/>
      <w:r w:rsidRPr="00E96518">
        <w:rPr>
          <w:szCs w:val="20"/>
          <w:lang w:val="fr-CA"/>
        </w:rPr>
        <w:t xml:space="preserve">. </w:t>
      </w:r>
    </w:p>
    <w:p w14:paraId="034D5F46" w14:textId="77777777" w:rsidR="00302BFE" w:rsidRPr="00E96518" w:rsidRDefault="00302BFE" w:rsidP="00302BFE">
      <w:pPr>
        <w:spacing w:before="120" w:after="120"/>
        <w:rPr>
          <w:szCs w:val="20"/>
          <w:lang w:val="fr-CA"/>
        </w:rPr>
      </w:pPr>
      <w:r w:rsidRPr="00E96518">
        <w:rPr>
          <w:szCs w:val="20"/>
          <w:lang w:val="fr-CA"/>
        </w:rPr>
        <w:t xml:space="preserve">La faune de </w:t>
      </w:r>
      <w:proofErr w:type="spellStart"/>
      <w:r w:rsidRPr="00E96518">
        <w:rPr>
          <w:szCs w:val="20"/>
          <w:lang w:val="fr-CA"/>
        </w:rPr>
        <w:t>Nazinga</w:t>
      </w:r>
      <w:proofErr w:type="spellEnd"/>
      <w:r w:rsidRPr="00E96518">
        <w:rPr>
          <w:szCs w:val="20"/>
          <w:lang w:val="fr-CA"/>
        </w:rPr>
        <w:t xml:space="preserve"> se distingue par une densité relativement forte. On y trouve une douzaine d’espèces d’ongulés : le Buffle, l’Hippotrague, le Bubale, le Cobe </w:t>
      </w:r>
      <w:proofErr w:type="spellStart"/>
      <w:r w:rsidRPr="00E96518">
        <w:rPr>
          <w:szCs w:val="20"/>
          <w:lang w:val="fr-CA"/>
        </w:rPr>
        <w:t>defassa</w:t>
      </w:r>
      <w:proofErr w:type="spellEnd"/>
      <w:r w:rsidRPr="00E96518">
        <w:rPr>
          <w:szCs w:val="20"/>
          <w:lang w:val="fr-CA"/>
        </w:rPr>
        <w:t xml:space="preserve">, le Cobe de Buffon, le </w:t>
      </w:r>
      <w:proofErr w:type="spellStart"/>
      <w:r w:rsidRPr="00E96518">
        <w:rPr>
          <w:szCs w:val="20"/>
          <w:lang w:val="fr-CA"/>
        </w:rPr>
        <w:t>Rédunca</w:t>
      </w:r>
      <w:proofErr w:type="spellEnd"/>
      <w:r w:rsidRPr="00E96518">
        <w:rPr>
          <w:szCs w:val="20"/>
          <w:lang w:val="fr-CA"/>
        </w:rPr>
        <w:t xml:space="preserve">, le Guib harnaché, le Céphalophe de Grimm, le Céphalophe à flancs roux, l’Ourébi, le Phacochère. Les effectifs d’éléphants ont sensiblement augmenté. Les prédateurs sont représentés par </w:t>
      </w:r>
      <w:proofErr w:type="gramStart"/>
      <w:r w:rsidRPr="00E96518">
        <w:rPr>
          <w:szCs w:val="20"/>
          <w:lang w:val="fr-CA"/>
        </w:rPr>
        <w:t>la hyène</w:t>
      </w:r>
      <w:proofErr w:type="gramEnd"/>
      <w:r w:rsidRPr="00E96518">
        <w:rPr>
          <w:szCs w:val="20"/>
          <w:lang w:val="fr-CA"/>
        </w:rPr>
        <w:t xml:space="preserve"> tachetée (</w:t>
      </w:r>
      <w:proofErr w:type="spellStart"/>
      <w:r w:rsidRPr="00E96518">
        <w:rPr>
          <w:i/>
          <w:szCs w:val="20"/>
          <w:lang w:val="fr-CA"/>
        </w:rPr>
        <w:t>Crocuta</w:t>
      </w:r>
      <w:proofErr w:type="spellEnd"/>
      <w:r w:rsidRPr="00E96518">
        <w:rPr>
          <w:szCs w:val="20"/>
          <w:lang w:val="fr-CA"/>
        </w:rPr>
        <w:t xml:space="preserve"> </w:t>
      </w:r>
      <w:proofErr w:type="spellStart"/>
      <w:r w:rsidRPr="00E96518">
        <w:rPr>
          <w:i/>
          <w:szCs w:val="20"/>
          <w:lang w:val="fr-CA"/>
        </w:rPr>
        <w:t>crocuta</w:t>
      </w:r>
      <w:proofErr w:type="spellEnd"/>
      <w:r w:rsidRPr="00E96518">
        <w:rPr>
          <w:szCs w:val="20"/>
          <w:lang w:val="fr-CA"/>
        </w:rPr>
        <w:t>) et rayée (</w:t>
      </w:r>
      <w:proofErr w:type="spellStart"/>
      <w:r w:rsidRPr="00E96518">
        <w:rPr>
          <w:i/>
          <w:szCs w:val="20"/>
          <w:lang w:val="fr-CA"/>
        </w:rPr>
        <w:t>Hyaena</w:t>
      </w:r>
      <w:proofErr w:type="spellEnd"/>
      <w:r w:rsidRPr="00E96518">
        <w:rPr>
          <w:szCs w:val="20"/>
          <w:lang w:val="fr-CA"/>
        </w:rPr>
        <w:t xml:space="preserve"> </w:t>
      </w:r>
      <w:proofErr w:type="spellStart"/>
      <w:r w:rsidRPr="00E96518">
        <w:rPr>
          <w:i/>
          <w:szCs w:val="20"/>
          <w:lang w:val="fr-CA"/>
        </w:rPr>
        <w:t>hyaena</w:t>
      </w:r>
      <w:proofErr w:type="spellEnd"/>
      <w:r w:rsidRPr="00E96518">
        <w:rPr>
          <w:szCs w:val="20"/>
          <w:lang w:val="fr-CA"/>
        </w:rPr>
        <w:t>), le Serval (</w:t>
      </w:r>
      <w:proofErr w:type="spellStart"/>
      <w:r w:rsidRPr="00E96518">
        <w:rPr>
          <w:i/>
          <w:szCs w:val="20"/>
          <w:lang w:val="fr-CA"/>
        </w:rPr>
        <w:t>Leptailurus</w:t>
      </w:r>
      <w:proofErr w:type="spellEnd"/>
      <w:r w:rsidRPr="00E96518">
        <w:rPr>
          <w:szCs w:val="20"/>
          <w:lang w:val="fr-CA"/>
        </w:rPr>
        <w:t xml:space="preserve"> </w:t>
      </w:r>
      <w:r w:rsidRPr="00E96518">
        <w:rPr>
          <w:i/>
          <w:szCs w:val="20"/>
          <w:lang w:val="fr-CA"/>
        </w:rPr>
        <w:t>serval</w:t>
      </w:r>
      <w:r w:rsidRPr="00E96518">
        <w:rPr>
          <w:szCs w:val="20"/>
          <w:lang w:val="fr-CA"/>
        </w:rPr>
        <w:t>), le Caracal (</w:t>
      </w:r>
      <w:r w:rsidRPr="00E96518">
        <w:rPr>
          <w:i/>
          <w:szCs w:val="20"/>
          <w:lang w:val="fr-CA"/>
        </w:rPr>
        <w:t>Caracal</w:t>
      </w:r>
      <w:r w:rsidRPr="00E96518">
        <w:rPr>
          <w:szCs w:val="20"/>
          <w:lang w:val="fr-CA"/>
        </w:rPr>
        <w:t xml:space="preserve"> </w:t>
      </w:r>
      <w:proofErr w:type="spellStart"/>
      <w:r w:rsidRPr="00E96518">
        <w:rPr>
          <w:i/>
          <w:szCs w:val="20"/>
          <w:lang w:val="fr-CA"/>
        </w:rPr>
        <w:t>caracal</w:t>
      </w:r>
      <w:proofErr w:type="spellEnd"/>
      <w:r w:rsidRPr="00E96518">
        <w:rPr>
          <w:szCs w:val="20"/>
          <w:lang w:val="fr-CA"/>
        </w:rPr>
        <w:t xml:space="preserve">). Selon </w:t>
      </w:r>
      <w:proofErr w:type="spellStart"/>
      <w:r w:rsidRPr="00E96518">
        <w:rPr>
          <w:szCs w:val="20"/>
          <w:lang w:val="fr-CA"/>
        </w:rPr>
        <w:t>Birdlife</w:t>
      </w:r>
      <w:proofErr w:type="spellEnd"/>
      <w:r w:rsidRPr="00E96518">
        <w:rPr>
          <w:szCs w:val="20"/>
          <w:lang w:val="fr-CA"/>
        </w:rPr>
        <w:t xml:space="preserve"> International (datazone.birdlife.org/site/</w:t>
      </w:r>
      <w:proofErr w:type="spellStart"/>
      <w:r w:rsidRPr="00E96518">
        <w:rPr>
          <w:szCs w:val="20"/>
          <w:lang w:val="fr-CA"/>
        </w:rPr>
        <w:t>factsheet</w:t>
      </w:r>
      <w:proofErr w:type="spellEnd"/>
      <w:r w:rsidRPr="00E96518">
        <w:rPr>
          <w:szCs w:val="20"/>
          <w:lang w:val="fr-CA"/>
        </w:rPr>
        <w:t xml:space="preserve">/6028), 321 espèces d’oiseaux migrateurs et sédentaires ont été inventoriées jusqu’à maintenant dans le Ranch de Gibier de </w:t>
      </w:r>
      <w:proofErr w:type="spellStart"/>
      <w:r w:rsidRPr="00E96518">
        <w:rPr>
          <w:szCs w:val="20"/>
          <w:lang w:val="fr-CA"/>
        </w:rPr>
        <w:t>Nazinga</w:t>
      </w:r>
      <w:proofErr w:type="spellEnd"/>
      <w:r w:rsidRPr="00E96518">
        <w:rPr>
          <w:szCs w:val="20"/>
          <w:lang w:val="fr-CA"/>
        </w:rPr>
        <w:t xml:space="preserve"> qui est inclus dans la zone d’importance pour les oiseaux du complexe Kaboré </w:t>
      </w:r>
      <w:proofErr w:type="spellStart"/>
      <w:r w:rsidRPr="00E96518">
        <w:rPr>
          <w:szCs w:val="20"/>
          <w:lang w:val="fr-CA"/>
        </w:rPr>
        <w:t>Tambi</w:t>
      </w:r>
      <w:proofErr w:type="spellEnd"/>
      <w:r w:rsidRPr="00E96518">
        <w:rPr>
          <w:szCs w:val="20"/>
          <w:lang w:val="fr-CA"/>
        </w:rPr>
        <w:t xml:space="preserve">, </w:t>
      </w:r>
      <w:proofErr w:type="spellStart"/>
      <w:r w:rsidRPr="00E96518">
        <w:rPr>
          <w:szCs w:val="20"/>
          <w:lang w:val="fr-CA"/>
        </w:rPr>
        <w:t>Nazinga</w:t>
      </w:r>
      <w:proofErr w:type="spellEnd"/>
      <w:r w:rsidRPr="00E96518">
        <w:rPr>
          <w:szCs w:val="20"/>
          <w:lang w:val="fr-CA"/>
        </w:rPr>
        <w:t xml:space="preserve">, Sissili. Enfin, il y a plusieurs espèces de reptiles dont le crocodile du Nil, deux espèces de varans, des tortues, des serpents et des lézards, et 32 espèces de poissons. </w:t>
      </w:r>
    </w:p>
    <w:p w14:paraId="4A4CBB19" w14:textId="77777777" w:rsidR="00302BFE" w:rsidRPr="00E96518" w:rsidRDefault="00302BFE" w:rsidP="00302BFE">
      <w:pPr>
        <w:spacing w:before="120" w:after="120"/>
        <w:rPr>
          <w:szCs w:val="20"/>
          <w:lang w:val="fr-CA"/>
        </w:rPr>
      </w:pPr>
      <w:r w:rsidRPr="00E96518">
        <w:rPr>
          <w:szCs w:val="20"/>
          <w:u w:val="single"/>
          <w:lang w:val="fr-CA"/>
        </w:rPr>
        <w:t>Gestion</w:t>
      </w:r>
      <w:r w:rsidRPr="00E96518">
        <w:rPr>
          <w:szCs w:val="20"/>
          <w:lang w:val="fr-CA"/>
        </w:rPr>
        <w:t xml:space="preserve">. Le personnel compte 4 agents forestiers (y compris le chef de l’Unité de gestion du Ranch), six (6) pisteurs saisonniers et quatorze (14) pisteurs permanents. Les pisteurs, qui sont originaires des 11 villages riverains du Ranch, sont surtout rémunérés par la vente des produits du Ranch, dont la venaison qui en fait, devrait revenir aux communautés locales. Les écogardes ne sont pas reconnus par l’État comme des agents subalternes des forestiers. Quatre (4) postes forestiers sont situés autour du Ranch de Gibier de </w:t>
      </w:r>
      <w:proofErr w:type="spellStart"/>
      <w:r w:rsidRPr="00E96518">
        <w:rPr>
          <w:szCs w:val="20"/>
          <w:lang w:val="fr-CA"/>
        </w:rPr>
        <w:t>Nazinga</w:t>
      </w:r>
      <w:proofErr w:type="spellEnd"/>
      <w:r w:rsidRPr="00E96518">
        <w:rPr>
          <w:szCs w:val="20"/>
          <w:lang w:val="fr-CA"/>
        </w:rPr>
        <w:t xml:space="preserve"> : Sia, </w:t>
      </w:r>
      <w:proofErr w:type="spellStart"/>
      <w:r w:rsidRPr="00E96518">
        <w:rPr>
          <w:szCs w:val="20"/>
          <w:lang w:val="fr-CA"/>
        </w:rPr>
        <w:t>Walem</w:t>
      </w:r>
      <w:proofErr w:type="spellEnd"/>
      <w:r w:rsidRPr="00E96518">
        <w:rPr>
          <w:szCs w:val="20"/>
          <w:lang w:val="fr-CA"/>
        </w:rPr>
        <w:t xml:space="preserve">, Poste Central à l’intérieur du Ranch, et </w:t>
      </w:r>
      <w:proofErr w:type="spellStart"/>
      <w:r w:rsidRPr="00E96518">
        <w:rPr>
          <w:szCs w:val="20"/>
          <w:lang w:val="fr-CA"/>
        </w:rPr>
        <w:t>Kounou</w:t>
      </w:r>
      <w:proofErr w:type="spellEnd"/>
      <w:r w:rsidRPr="00E96518">
        <w:rPr>
          <w:szCs w:val="20"/>
          <w:lang w:val="fr-CA"/>
        </w:rPr>
        <w:t xml:space="preserve">. Seul le poste de </w:t>
      </w:r>
      <w:proofErr w:type="spellStart"/>
      <w:r w:rsidRPr="00E96518">
        <w:rPr>
          <w:szCs w:val="20"/>
          <w:lang w:val="fr-CA"/>
        </w:rPr>
        <w:t>Walem</w:t>
      </w:r>
      <w:proofErr w:type="spellEnd"/>
      <w:r w:rsidRPr="00E96518">
        <w:rPr>
          <w:szCs w:val="20"/>
          <w:lang w:val="fr-CA"/>
        </w:rPr>
        <w:t xml:space="preserve"> est fonctionnel et occupé en permanence. Le ranch dispose d’environ 11 motos (dont 2 en bon état) et d’un véhicule fonctionnel. </w:t>
      </w:r>
    </w:p>
    <w:p w14:paraId="7CB29089" w14:textId="77777777" w:rsidR="00302BFE" w:rsidRPr="00E96518" w:rsidRDefault="00302BFE" w:rsidP="00302BFE">
      <w:pPr>
        <w:spacing w:before="120" w:after="120"/>
        <w:rPr>
          <w:szCs w:val="20"/>
          <w:lang w:val="fr-CA"/>
        </w:rPr>
      </w:pPr>
      <w:r w:rsidRPr="00E96518">
        <w:rPr>
          <w:szCs w:val="20"/>
          <w:lang w:val="fr-CA"/>
        </w:rPr>
        <w:t xml:space="preserve">Treize zones Villageoises d’Intérêt Cynégétique (ZOVIC) ont été définies autour du Ranch </w:t>
      </w:r>
      <w:r>
        <w:rPr>
          <w:szCs w:val="20"/>
          <w:lang w:val="fr-CA"/>
        </w:rPr>
        <w:t>s</w:t>
      </w:r>
      <w:r w:rsidRPr="00E96518">
        <w:rPr>
          <w:szCs w:val="20"/>
          <w:lang w:val="fr-CA"/>
        </w:rPr>
        <w:t xml:space="preserve">ur une superficie de 54 300 ha, elles sont exploitées sous la surveillance des services techniques suivant un protocole établi entre les populations et un opérateur privé. </w:t>
      </w:r>
    </w:p>
    <w:p w14:paraId="695FE289" w14:textId="77777777" w:rsidR="00302BFE" w:rsidRPr="00E96518" w:rsidRDefault="00302BFE" w:rsidP="00302BFE">
      <w:pPr>
        <w:spacing w:before="120" w:after="120"/>
        <w:rPr>
          <w:szCs w:val="20"/>
          <w:lang w:val="fr-CA"/>
        </w:rPr>
      </w:pPr>
      <w:r w:rsidRPr="00E96518">
        <w:rPr>
          <w:szCs w:val="20"/>
          <w:u w:val="single"/>
          <w:lang w:val="fr-CA"/>
        </w:rPr>
        <w:t>Mise en valeur du RGN</w:t>
      </w:r>
      <w:r w:rsidRPr="00E96518">
        <w:rPr>
          <w:szCs w:val="20"/>
          <w:lang w:val="fr-CA"/>
        </w:rPr>
        <w:t xml:space="preserve">. La gestion du pâturage permet d’obtenir une grande production de biomasse herbacée pour les herbivores. Cependant ces herbes sont aussi convoitées en saison sèche par animaux domestiques en quête de pâturage et de points d’eau. Le risque d’envahissement de l’aire par les animaux domestiques des communautés locales et des transhumants s’accompagne du risque de transmission de maladies. Les pâturages sont menacés par la prolifération du </w:t>
      </w:r>
      <w:proofErr w:type="spellStart"/>
      <w:r w:rsidRPr="00E96518">
        <w:rPr>
          <w:i/>
          <w:szCs w:val="20"/>
          <w:lang w:val="fr-CA"/>
        </w:rPr>
        <w:t>Triompheta</w:t>
      </w:r>
      <w:proofErr w:type="spellEnd"/>
      <w:r w:rsidRPr="00E96518">
        <w:rPr>
          <w:i/>
          <w:szCs w:val="20"/>
          <w:lang w:val="fr-CA"/>
        </w:rPr>
        <w:t xml:space="preserve"> </w:t>
      </w:r>
      <w:proofErr w:type="spellStart"/>
      <w:r w:rsidRPr="00E96518">
        <w:rPr>
          <w:i/>
          <w:szCs w:val="20"/>
          <w:lang w:val="fr-CA"/>
        </w:rPr>
        <w:t>lepidota</w:t>
      </w:r>
      <w:proofErr w:type="spellEnd"/>
      <w:r w:rsidRPr="00E96518">
        <w:rPr>
          <w:szCs w:val="20"/>
          <w:lang w:val="fr-CA"/>
        </w:rPr>
        <w:t>, herbacée pérenne très envahissante, qui empêche les espèces appétées de se propager.</w:t>
      </w:r>
    </w:p>
    <w:p w14:paraId="1E828AE5" w14:textId="7D93F9F3" w:rsidR="00302BFE" w:rsidRPr="00E96518" w:rsidRDefault="00302BFE" w:rsidP="00302BFE">
      <w:pPr>
        <w:spacing w:before="120" w:after="120"/>
        <w:rPr>
          <w:szCs w:val="20"/>
          <w:lang w:val="fr-CA"/>
        </w:rPr>
      </w:pPr>
      <w:r w:rsidRPr="00E96518">
        <w:rPr>
          <w:szCs w:val="20"/>
          <w:lang w:val="fr-CA"/>
        </w:rPr>
        <w:t xml:space="preserve">Les barrages ont été concédés à des mareyeurs qui exploitent les retenues d’eau de </w:t>
      </w:r>
      <w:proofErr w:type="spellStart"/>
      <w:r w:rsidRPr="00E96518">
        <w:rPr>
          <w:szCs w:val="20"/>
          <w:lang w:val="fr-CA"/>
        </w:rPr>
        <w:t>Kalanga</w:t>
      </w:r>
      <w:proofErr w:type="spellEnd"/>
      <w:r w:rsidRPr="00E96518">
        <w:rPr>
          <w:szCs w:val="20"/>
          <w:lang w:val="fr-CA"/>
        </w:rPr>
        <w:t xml:space="preserve">, de </w:t>
      </w:r>
      <w:proofErr w:type="spellStart"/>
      <w:r w:rsidRPr="00E96518">
        <w:rPr>
          <w:szCs w:val="20"/>
          <w:lang w:val="fr-CA"/>
        </w:rPr>
        <w:t>Tanzougou</w:t>
      </w:r>
      <w:proofErr w:type="spellEnd"/>
      <w:r w:rsidRPr="00E96518">
        <w:rPr>
          <w:szCs w:val="20"/>
          <w:lang w:val="fr-CA"/>
        </w:rPr>
        <w:t xml:space="preserve"> et de </w:t>
      </w:r>
      <w:proofErr w:type="spellStart"/>
      <w:r w:rsidRPr="00E96518">
        <w:rPr>
          <w:szCs w:val="20"/>
          <w:lang w:val="fr-CA"/>
        </w:rPr>
        <w:t>Bodjéro</w:t>
      </w:r>
      <w:proofErr w:type="spellEnd"/>
      <w:r w:rsidRPr="00E96518">
        <w:rPr>
          <w:szCs w:val="20"/>
          <w:lang w:val="fr-CA"/>
        </w:rPr>
        <w:t xml:space="preserve">. Des guides de pêche sportive sont présents dans les retenues d’eau de </w:t>
      </w:r>
      <w:proofErr w:type="spellStart"/>
      <w:r w:rsidRPr="00E96518">
        <w:rPr>
          <w:szCs w:val="20"/>
          <w:lang w:val="fr-CA"/>
        </w:rPr>
        <w:t>Kalédougou</w:t>
      </w:r>
      <w:proofErr w:type="spellEnd"/>
      <w:r w:rsidRPr="00E96518">
        <w:rPr>
          <w:szCs w:val="20"/>
          <w:lang w:val="fr-CA"/>
        </w:rPr>
        <w:t xml:space="preserve">, </w:t>
      </w:r>
      <w:proofErr w:type="spellStart"/>
      <w:r w:rsidRPr="00E96518">
        <w:rPr>
          <w:szCs w:val="20"/>
          <w:lang w:val="fr-CA"/>
        </w:rPr>
        <w:t>Bodjéro</w:t>
      </w:r>
      <w:proofErr w:type="spellEnd"/>
      <w:r w:rsidRPr="00E96518">
        <w:rPr>
          <w:szCs w:val="20"/>
          <w:lang w:val="fr-CA"/>
        </w:rPr>
        <w:t xml:space="preserve"> et Barka. Les riverains qui souhaitent s’impliquer dans le mareyage des poissons ne maîtrisent pas les techniques de pêche et ne disposent pas de matériels adéquats pour pêcher, de </w:t>
      </w:r>
      <w:r w:rsidRPr="00E96518">
        <w:rPr>
          <w:szCs w:val="20"/>
          <w:lang w:val="fr-CA"/>
        </w:rPr>
        <w:lastRenderedPageBreak/>
        <w:t>telle sorte que la location des barrages ne leur est pas rentable (3 millions FCFA/an/retenue d’eau</w:t>
      </w:r>
      <w:r w:rsidR="005E13EB">
        <w:rPr>
          <w:szCs w:val="20"/>
          <w:lang w:val="fr-CA"/>
        </w:rPr>
        <w:t xml:space="preserve"> – approx 5 100 US$</w:t>
      </w:r>
      <w:r w:rsidRPr="00E96518">
        <w:rPr>
          <w:szCs w:val="20"/>
          <w:lang w:val="fr-CA"/>
        </w:rPr>
        <w:t>). La plupart des pêcheurs viennent de Ouagadougou ou de Léo. L’effort de pêche n’est pas limité, sauf la taille qui doit atteindre la taille règlementaire dite des « trois doigts ». La pêche n’est pas suivie par le personnel technique de l’Unité de gestion du RGN et les statistiques sont fournies par les mareyeurs. On estime la production à environ 40 tonnes/an mais cette quantité est possiblement sous-estimée.</w:t>
      </w:r>
    </w:p>
    <w:p w14:paraId="111746F7" w14:textId="77777777" w:rsidR="00302BFE" w:rsidRPr="00E96518" w:rsidRDefault="00302BFE" w:rsidP="00302BFE">
      <w:pPr>
        <w:spacing w:before="120" w:after="120"/>
        <w:rPr>
          <w:szCs w:val="20"/>
          <w:lang w:val="fr-CA"/>
        </w:rPr>
      </w:pPr>
      <w:r w:rsidRPr="00E96518">
        <w:rPr>
          <w:szCs w:val="20"/>
          <w:lang w:val="fr-CA"/>
        </w:rPr>
        <w:t xml:space="preserve">Les recettes de la mise en valeur du Ranch de Gibier de </w:t>
      </w:r>
      <w:proofErr w:type="spellStart"/>
      <w:r w:rsidRPr="00E96518">
        <w:rPr>
          <w:szCs w:val="20"/>
          <w:lang w:val="fr-CA"/>
        </w:rPr>
        <w:t>Nazinga</w:t>
      </w:r>
      <w:proofErr w:type="spellEnd"/>
      <w:r w:rsidRPr="00E96518">
        <w:rPr>
          <w:szCs w:val="20"/>
          <w:lang w:val="fr-CA"/>
        </w:rPr>
        <w:t xml:space="preserve"> sont reversées directement aux coffres de l’État qui les réutilise de manière globale selon ses priorités. Le budget qui est réaffecté au Ranch de Gibier de </w:t>
      </w:r>
      <w:proofErr w:type="spellStart"/>
      <w:r w:rsidRPr="00E96518">
        <w:rPr>
          <w:szCs w:val="20"/>
          <w:lang w:val="fr-CA"/>
        </w:rPr>
        <w:t>Nazinga</w:t>
      </w:r>
      <w:proofErr w:type="spellEnd"/>
      <w:r w:rsidRPr="00E96518">
        <w:rPr>
          <w:szCs w:val="20"/>
          <w:lang w:val="fr-CA"/>
        </w:rPr>
        <w:t xml:space="preserve"> est inférieur à ce qu’il a versé lors de l’année précédente, et ce budget est affecté à l’OFINAP qui a la charge de sept (7) aires protégées qui ne sont pas aussi rentables.</w:t>
      </w:r>
    </w:p>
    <w:p w14:paraId="450A280E" w14:textId="77777777" w:rsidR="00302BFE" w:rsidRPr="00E96518" w:rsidRDefault="00302BFE" w:rsidP="00302BFE">
      <w:pPr>
        <w:spacing w:before="120" w:after="120"/>
        <w:rPr>
          <w:szCs w:val="20"/>
          <w:lang w:val="fr-CA"/>
        </w:rPr>
      </w:pPr>
      <w:r w:rsidRPr="00E96518">
        <w:rPr>
          <w:szCs w:val="20"/>
          <w:u w:val="single"/>
          <w:lang w:val="fr-CA"/>
        </w:rPr>
        <w:t>Aménagements</w:t>
      </w:r>
      <w:r w:rsidRPr="00E96518">
        <w:rPr>
          <w:szCs w:val="20"/>
          <w:lang w:val="fr-CA"/>
        </w:rPr>
        <w:t>. Près de 700 km de pistes ont été réalisés; cependant certaines pistes doivent être entretenues pour améliorer les dessertes touristiques en toute saison.</w:t>
      </w:r>
    </w:p>
    <w:p w14:paraId="31AF6F03" w14:textId="77777777" w:rsidR="00302BFE" w:rsidRPr="00E96518" w:rsidRDefault="00302BFE" w:rsidP="00302BFE">
      <w:pPr>
        <w:spacing w:before="120" w:after="120"/>
        <w:rPr>
          <w:szCs w:val="20"/>
          <w:lang w:val="fr-CA"/>
        </w:rPr>
      </w:pPr>
      <w:r w:rsidRPr="00E96518">
        <w:rPr>
          <w:szCs w:val="20"/>
          <w:lang w:val="fr-CA"/>
        </w:rPr>
        <w:t xml:space="preserve">Le ranch de Gibier de </w:t>
      </w:r>
      <w:proofErr w:type="spellStart"/>
      <w:r w:rsidRPr="00E96518">
        <w:rPr>
          <w:szCs w:val="20"/>
          <w:lang w:val="fr-CA"/>
        </w:rPr>
        <w:t>Nazinga</w:t>
      </w:r>
      <w:proofErr w:type="spellEnd"/>
      <w:r w:rsidRPr="00E96518">
        <w:rPr>
          <w:szCs w:val="20"/>
          <w:lang w:val="fr-CA"/>
        </w:rPr>
        <w:t xml:space="preserve"> dispose onze barrages, ce qui lui confère un net avantage en saison sèche par rapport aux autres aires protégées. Cependant, la quasi-totalité des barrages sont affectés par de l’ensablement et la pollution par des ordures en provenance des terroirs agricoles adjacents.</w:t>
      </w:r>
    </w:p>
    <w:p w14:paraId="32429C55" w14:textId="77777777" w:rsidR="00302BFE" w:rsidRPr="00E96518" w:rsidRDefault="00302BFE" w:rsidP="00302BFE">
      <w:pPr>
        <w:spacing w:before="120" w:after="120"/>
        <w:rPr>
          <w:szCs w:val="20"/>
          <w:lang w:val="fr-CA"/>
        </w:rPr>
      </w:pPr>
      <w:r w:rsidRPr="00E96518">
        <w:rPr>
          <w:szCs w:val="20"/>
          <w:u w:val="single"/>
          <w:lang w:val="fr-CA"/>
        </w:rPr>
        <w:t>La Lutte anti-braconnage</w:t>
      </w:r>
      <w:r w:rsidRPr="00E96518">
        <w:rPr>
          <w:szCs w:val="20"/>
          <w:lang w:val="fr-CA"/>
        </w:rPr>
        <w:t>. Malgré la couverture du Ranch par les équipes de lutte anti-braconnage (LAB), les prélèvements illicites sont encore importants. En effet, la LAB est confrontée à bon nombre de difficultés : les premiers pisteurs, engagé à la fin des années 1990, sont maintenant trop âgés pour participer aux activités sur le terrain; les pisteurs utilisent des armes à feu, et/ou des armes non légales au regard de leur statut, ou encore sans permis de port d’armes; les tenues des pisteurs ne sont pas règlementaires, parce qu’elles sont des tenues militaires de l’État; les moyens de déplacement des pisteurs (souvent des vélos) ne sont pas adaptés, les braconniers utilisant des motos; certains pisteurs informent régulièrement les braconniers sur le terrain des activités de la LAB et des sorties des équipes LAB.</w:t>
      </w:r>
    </w:p>
    <w:p w14:paraId="40744557" w14:textId="77777777" w:rsidR="00302BFE" w:rsidRPr="00E96518" w:rsidRDefault="00302BFE" w:rsidP="00302BFE">
      <w:pPr>
        <w:spacing w:before="120" w:after="120"/>
        <w:rPr>
          <w:szCs w:val="20"/>
          <w:lang w:val="fr-CA"/>
        </w:rPr>
      </w:pPr>
      <w:r w:rsidRPr="00E96518">
        <w:rPr>
          <w:szCs w:val="20"/>
          <w:u w:val="single"/>
          <w:lang w:val="fr-CA"/>
        </w:rPr>
        <w:t>Appuis</w:t>
      </w:r>
      <w:r w:rsidRPr="00E96518">
        <w:rPr>
          <w:szCs w:val="20"/>
          <w:lang w:val="fr-CA"/>
        </w:rPr>
        <w:t xml:space="preserve">. Des travaux de recherche portant sur la faune et la végétation ont été réalisés depuis 1979 par des chercheurs burkinabé, américains et européens. Aujourd’hui, la recherche est effectuée par des étudiants d’écoles spécialisées et d’Universités nationales et internationales, mais malheureusement les thèmes de recherches sont élaborés par les enseignants et ne prennent pas nécessairement en compte les besoins du Ranch pour appuyer les décisions sur la gestion durable des ressources. Malgré les nombreuses études conduites dans le Ranch de Gibier de </w:t>
      </w:r>
      <w:proofErr w:type="spellStart"/>
      <w:r w:rsidRPr="00E96518">
        <w:rPr>
          <w:szCs w:val="20"/>
          <w:lang w:val="fr-CA"/>
        </w:rPr>
        <w:t>Nazinga</w:t>
      </w:r>
      <w:proofErr w:type="spellEnd"/>
      <w:r w:rsidRPr="00E96518">
        <w:rPr>
          <w:szCs w:val="20"/>
          <w:lang w:val="fr-CA"/>
        </w:rPr>
        <w:t>, sa bibliothèque est aujourd’hui pauvre, limitant ainsi la capitalisation des données. La recherche des documents, leur numérisation, et leur hébergement sur des sites WEB s’avèrent nécessaires.</w:t>
      </w:r>
    </w:p>
    <w:p w14:paraId="4794F9FD" w14:textId="77777777" w:rsidR="00302BFE" w:rsidRPr="00E96518" w:rsidRDefault="00302BFE" w:rsidP="00302BFE">
      <w:pPr>
        <w:spacing w:before="120" w:after="120"/>
        <w:rPr>
          <w:szCs w:val="20"/>
          <w:lang w:val="fr-CA"/>
        </w:rPr>
      </w:pPr>
      <w:r w:rsidRPr="00E96518">
        <w:rPr>
          <w:szCs w:val="20"/>
          <w:lang w:val="fr-CA"/>
        </w:rPr>
        <w:t xml:space="preserve">Le ranch de gibier de </w:t>
      </w:r>
      <w:proofErr w:type="spellStart"/>
      <w:r w:rsidRPr="00E96518">
        <w:rPr>
          <w:szCs w:val="20"/>
          <w:lang w:val="fr-CA"/>
        </w:rPr>
        <w:t>Nazinga</w:t>
      </w:r>
      <w:proofErr w:type="spellEnd"/>
      <w:r w:rsidRPr="00E96518">
        <w:rPr>
          <w:szCs w:val="20"/>
          <w:lang w:val="fr-CA"/>
        </w:rPr>
        <w:t xml:space="preserve"> a bénéficié de l’appui des bailleurs de fonds depuis plusieurs années : projet FEM/Banque Mondiale de 1992 à 1997 ainsi que de l’appui du PAGEN de 2003 à 2007 – et le PNGT2-3. </w:t>
      </w:r>
    </w:p>
    <w:p w14:paraId="39474184" w14:textId="77777777" w:rsidR="00302BFE" w:rsidRPr="00E96518" w:rsidRDefault="00302BFE" w:rsidP="00302BFE">
      <w:pPr>
        <w:rPr>
          <w:b/>
          <w:lang w:val="fr-CA"/>
        </w:rPr>
      </w:pPr>
      <w:r w:rsidRPr="00E96518">
        <w:rPr>
          <w:b/>
          <w:lang w:val="fr-CA"/>
        </w:rPr>
        <w:t>Concession de chasse de la forêt classée de la Sissili (32 700 ha)</w:t>
      </w:r>
    </w:p>
    <w:p w14:paraId="7DA9404A" w14:textId="77777777" w:rsidR="00302BFE" w:rsidRPr="00E96518" w:rsidRDefault="00302BFE" w:rsidP="00302BFE">
      <w:pPr>
        <w:spacing w:before="120" w:after="120"/>
        <w:rPr>
          <w:szCs w:val="20"/>
          <w:lang w:val="fr-CA"/>
        </w:rPr>
      </w:pPr>
      <w:r w:rsidRPr="00E96518">
        <w:rPr>
          <w:szCs w:val="20"/>
          <w:lang w:val="fr-CA"/>
        </w:rPr>
        <w:t xml:space="preserve">La forêt classée de la Sissili a été créée par l’Arrêté 1093/FOR du 31/12/55. Elle couvre une superficie de 32 700 ha dans la Commune de </w:t>
      </w:r>
      <w:proofErr w:type="spellStart"/>
      <w:r w:rsidRPr="00E96518">
        <w:rPr>
          <w:szCs w:val="20"/>
          <w:lang w:val="fr-CA"/>
        </w:rPr>
        <w:t>Bieha</w:t>
      </w:r>
      <w:proofErr w:type="spellEnd"/>
      <w:r w:rsidRPr="00E96518">
        <w:rPr>
          <w:szCs w:val="20"/>
          <w:lang w:val="fr-CA"/>
        </w:rPr>
        <w:t xml:space="preserve"> et le fleuve Sissili la divise en deux parties.</w:t>
      </w:r>
    </w:p>
    <w:p w14:paraId="611440D4" w14:textId="77777777" w:rsidR="00302BFE" w:rsidRPr="00E96518" w:rsidRDefault="00302BFE" w:rsidP="00302BFE">
      <w:pPr>
        <w:spacing w:before="120" w:after="120"/>
        <w:rPr>
          <w:szCs w:val="20"/>
          <w:lang w:val="fr-CA"/>
        </w:rPr>
      </w:pPr>
      <w:r w:rsidRPr="00E96518">
        <w:rPr>
          <w:szCs w:val="20"/>
          <w:u w:val="single"/>
          <w:lang w:val="fr-CA"/>
        </w:rPr>
        <w:t>Biodiversité</w:t>
      </w:r>
      <w:r w:rsidRPr="00E96518">
        <w:rPr>
          <w:szCs w:val="20"/>
          <w:lang w:val="fr-CA"/>
        </w:rPr>
        <w:t xml:space="preserve">. La FC de la Sissili est située dans la zone phytogéographique sud soudanienne, avec une végétation constituée de savane arbustive boisée ou arborée au Nord, se transformant progressivement vers le Sud en savane boisée ou forêt claire à </w:t>
      </w:r>
      <w:proofErr w:type="spellStart"/>
      <w:r w:rsidRPr="00E96518">
        <w:rPr>
          <w:i/>
          <w:szCs w:val="20"/>
          <w:lang w:val="fr-CA"/>
        </w:rPr>
        <w:t>Burkea</w:t>
      </w:r>
      <w:proofErr w:type="spellEnd"/>
      <w:r w:rsidRPr="00E96518">
        <w:rPr>
          <w:i/>
          <w:szCs w:val="20"/>
          <w:lang w:val="fr-CA"/>
        </w:rPr>
        <w:t xml:space="preserve"> </w:t>
      </w:r>
      <w:proofErr w:type="spellStart"/>
      <w:r w:rsidRPr="00E96518">
        <w:rPr>
          <w:i/>
          <w:szCs w:val="20"/>
          <w:lang w:val="fr-CA"/>
        </w:rPr>
        <w:t>africana</w:t>
      </w:r>
      <w:proofErr w:type="spellEnd"/>
      <w:r w:rsidRPr="00E96518">
        <w:rPr>
          <w:szCs w:val="20"/>
          <w:lang w:val="fr-CA"/>
        </w:rPr>
        <w:t xml:space="preserve">, </w:t>
      </w:r>
      <w:proofErr w:type="spellStart"/>
      <w:r w:rsidRPr="00E96518">
        <w:rPr>
          <w:i/>
          <w:szCs w:val="20"/>
          <w:lang w:val="fr-CA"/>
        </w:rPr>
        <w:t>Butyrospermum</w:t>
      </w:r>
      <w:proofErr w:type="spellEnd"/>
      <w:r w:rsidRPr="00E96518">
        <w:rPr>
          <w:i/>
          <w:szCs w:val="20"/>
          <w:lang w:val="fr-CA"/>
        </w:rPr>
        <w:t xml:space="preserve"> </w:t>
      </w:r>
      <w:proofErr w:type="spellStart"/>
      <w:r w:rsidRPr="00E96518">
        <w:rPr>
          <w:i/>
          <w:szCs w:val="20"/>
          <w:lang w:val="fr-CA"/>
        </w:rPr>
        <w:t>paradoxum</w:t>
      </w:r>
      <w:proofErr w:type="spellEnd"/>
      <w:r w:rsidRPr="00E96518">
        <w:rPr>
          <w:szCs w:val="20"/>
          <w:lang w:val="fr-CA"/>
        </w:rPr>
        <w:t xml:space="preserve">, </w:t>
      </w:r>
      <w:proofErr w:type="spellStart"/>
      <w:r w:rsidRPr="00E96518">
        <w:rPr>
          <w:i/>
          <w:szCs w:val="20"/>
          <w:lang w:val="fr-CA"/>
        </w:rPr>
        <w:t>Detarium</w:t>
      </w:r>
      <w:proofErr w:type="spellEnd"/>
      <w:r w:rsidRPr="00E96518">
        <w:rPr>
          <w:szCs w:val="20"/>
          <w:lang w:val="fr-CA"/>
        </w:rPr>
        <w:t xml:space="preserve"> </w:t>
      </w:r>
      <w:proofErr w:type="spellStart"/>
      <w:r w:rsidRPr="00E96518">
        <w:rPr>
          <w:i/>
          <w:szCs w:val="20"/>
          <w:lang w:val="fr-CA"/>
        </w:rPr>
        <w:t>microcarpum</w:t>
      </w:r>
      <w:proofErr w:type="spellEnd"/>
      <w:r w:rsidRPr="00E96518">
        <w:rPr>
          <w:szCs w:val="20"/>
          <w:lang w:val="fr-CA"/>
        </w:rPr>
        <w:t xml:space="preserve">, </w:t>
      </w:r>
      <w:proofErr w:type="spellStart"/>
      <w:r w:rsidRPr="00E96518">
        <w:rPr>
          <w:i/>
          <w:szCs w:val="20"/>
          <w:lang w:val="fr-CA"/>
        </w:rPr>
        <w:t>Combretum</w:t>
      </w:r>
      <w:proofErr w:type="spellEnd"/>
      <w:r w:rsidRPr="00E96518">
        <w:rPr>
          <w:szCs w:val="20"/>
          <w:lang w:val="fr-CA"/>
        </w:rPr>
        <w:t xml:space="preserve"> </w:t>
      </w:r>
      <w:proofErr w:type="spellStart"/>
      <w:r w:rsidRPr="00E96518">
        <w:rPr>
          <w:szCs w:val="20"/>
          <w:lang w:val="fr-CA"/>
        </w:rPr>
        <w:t>sp</w:t>
      </w:r>
      <w:proofErr w:type="spellEnd"/>
      <w:r w:rsidRPr="00E96518">
        <w:rPr>
          <w:szCs w:val="20"/>
          <w:lang w:val="fr-CA"/>
        </w:rPr>
        <w:t xml:space="preserve">, </w:t>
      </w:r>
      <w:proofErr w:type="spellStart"/>
      <w:r w:rsidRPr="00E96518">
        <w:rPr>
          <w:i/>
          <w:szCs w:val="20"/>
          <w:lang w:val="fr-CA"/>
        </w:rPr>
        <w:t>Terminalia</w:t>
      </w:r>
      <w:proofErr w:type="spellEnd"/>
      <w:r w:rsidRPr="00E96518">
        <w:rPr>
          <w:szCs w:val="20"/>
          <w:lang w:val="fr-CA"/>
        </w:rPr>
        <w:t xml:space="preserve"> </w:t>
      </w:r>
      <w:proofErr w:type="spellStart"/>
      <w:r w:rsidRPr="00E96518">
        <w:rPr>
          <w:szCs w:val="20"/>
          <w:lang w:val="fr-CA"/>
        </w:rPr>
        <w:t>sp</w:t>
      </w:r>
      <w:proofErr w:type="spellEnd"/>
      <w:r w:rsidRPr="00E96518">
        <w:rPr>
          <w:szCs w:val="20"/>
          <w:lang w:val="fr-CA"/>
        </w:rPr>
        <w:t xml:space="preserve">, </w:t>
      </w:r>
      <w:r w:rsidRPr="00E96518">
        <w:rPr>
          <w:i/>
          <w:szCs w:val="20"/>
          <w:lang w:val="fr-CA"/>
        </w:rPr>
        <w:t xml:space="preserve">Pterocarpus </w:t>
      </w:r>
      <w:proofErr w:type="spellStart"/>
      <w:r w:rsidRPr="00E96518">
        <w:rPr>
          <w:i/>
          <w:szCs w:val="20"/>
          <w:lang w:val="fr-CA"/>
        </w:rPr>
        <w:t>erinaceus</w:t>
      </w:r>
      <w:proofErr w:type="spellEnd"/>
      <w:r w:rsidRPr="00E96518">
        <w:rPr>
          <w:szCs w:val="20"/>
          <w:lang w:val="fr-CA"/>
        </w:rPr>
        <w:t xml:space="preserve">, </w:t>
      </w:r>
      <w:r w:rsidRPr="00E96518">
        <w:rPr>
          <w:i/>
          <w:szCs w:val="20"/>
          <w:lang w:val="fr-CA"/>
        </w:rPr>
        <w:t>Balanites aegyptiaca</w:t>
      </w:r>
      <w:r w:rsidRPr="00E96518">
        <w:rPr>
          <w:szCs w:val="20"/>
          <w:lang w:val="fr-CA"/>
        </w:rPr>
        <w:t xml:space="preserve">, </w:t>
      </w:r>
      <w:proofErr w:type="spellStart"/>
      <w:r w:rsidRPr="00E96518">
        <w:rPr>
          <w:i/>
          <w:szCs w:val="20"/>
          <w:lang w:val="fr-CA"/>
        </w:rPr>
        <w:t>Anogeissus</w:t>
      </w:r>
      <w:proofErr w:type="spellEnd"/>
      <w:r w:rsidRPr="00E96518">
        <w:rPr>
          <w:i/>
          <w:szCs w:val="20"/>
          <w:lang w:val="fr-CA"/>
        </w:rPr>
        <w:t xml:space="preserve"> </w:t>
      </w:r>
      <w:proofErr w:type="spellStart"/>
      <w:r w:rsidRPr="00E96518">
        <w:rPr>
          <w:i/>
          <w:szCs w:val="20"/>
          <w:lang w:val="fr-CA"/>
        </w:rPr>
        <w:t>leiocarpa</w:t>
      </w:r>
      <w:proofErr w:type="spellEnd"/>
      <w:r w:rsidRPr="00E96518">
        <w:rPr>
          <w:szCs w:val="20"/>
          <w:lang w:val="fr-CA"/>
        </w:rPr>
        <w:t xml:space="preserve">, </w:t>
      </w:r>
      <w:r w:rsidRPr="00E96518">
        <w:rPr>
          <w:i/>
          <w:szCs w:val="20"/>
          <w:lang w:val="fr-CA"/>
        </w:rPr>
        <w:t>Acacia</w:t>
      </w:r>
      <w:r w:rsidRPr="00E96518">
        <w:rPr>
          <w:szCs w:val="20"/>
          <w:lang w:val="fr-CA"/>
        </w:rPr>
        <w:t xml:space="preserve"> </w:t>
      </w:r>
      <w:proofErr w:type="spellStart"/>
      <w:r w:rsidRPr="00E96518">
        <w:rPr>
          <w:szCs w:val="20"/>
          <w:lang w:val="fr-CA"/>
        </w:rPr>
        <w:t>sp</w:t>
      </w:r>
      <w:proofErr w:type="spellEnd"/>
      <w:r w:rsidRPr="00E96518">
        <w:rPr>
          <w:szCs w:val="20"/>
          <w:lang w:val="fr-CA"/>
        </w:rPr>
        <w:t xml:space="preserve">, </w:t>
      </w:r>
      <w:proofErr w:type="spellStart"/>
      <w:r w:rsidRPr="00E96518">
        <w:rPr>
          <w:i/>
          <w:szCs w:val="20"/>
          <w:lang w:val="fr-CA"/>
        </w:rPr>
        <w:t>Isoberlinia</w:t>
      </w:r>
      <w:proofErr w:type="spellEnd"/>
      <w:r w:rsidRPr="00E96518">
        <w:rPr>
          <w:i/>
          <w:szCs w:val="20"/>
          <w:lang w:val="fr-CA"/>
        </w:rPr>
        <w:t xml:space="preserve"> </w:t>
      </w:r>
      <w:proofErr w:type="spellStart"/>
      <w:r w:rsidRPr="00E96518">
        <w:rPr>
          <w:i/>
          <w:szCs w:val="20"/>
          <w:lang w:val="fr-CA"/>
        </w:rPr>
        <w:t>doka</w:t>
      </w:r>
      <w:proofErr w:type="spellEnd"/>
      <w:r w:rsidRPr="00E96518">
        <w:rPr>
          <w:szCs w:val="20"/>
          <w:lang w:val="fr-CA"/>
        </w:rPr>
        <w:t xml:space="preserve">, </w:t>
      </w:r>
      <w:proofErr w:type="spellStart"/>
      <w:r w:rsidRPr="00E96518">
        <w:rPr>
          <w:i/>
          <w:szCs w:val="20"/>
          <w:lang w:val="fr-CA"/>
        </w:rPr>
        <w:t>Afzelia</w:t>
      </w:r>
      <w:proofErr w:type="spellEnd"/>
      <w:r w:rsidRPr="00E96518">
        <w:rPr>
          <w:i/>
          <w:szCs w:val="20"/>
          <w:lang w:val="fr-CA"/>
        </w:rPr>
        <w:t xml:space="preserve"> </w:t>
      </w:r>
      <w:proofErr w:type="spellStart"/>
      <w:r w:rsidRPr="00E96518">
        <w:rPr>
          <w:i/>
          <w:szCs w:val="20"/>
          <w:lang w:val="fr-CA"/>
        </w:rPr>
        <w:t>africana</w:t>
      </w:r>
      <w:proofErr w:type="spellEnd"/>
      <w:r w:rsidRPr="00E96518">
        <w:rPr>
          <w:szCs w:val="20"/>
          <w:lang w:val="fr-CA"/>
        </w:rPr>
        <w:t xml:space="preserve">, </w:t>
      </w:r>
      <w:proofErr w:type="spellStart"/>
      <w:r w:rsidRPr="00E96518">
        <w:rPr>
          <w:i/>
          <w:szCs w:val="20"/>
          <w:lang w:val="fr-CA"/>
        </w:rPr>
        <w:t>Daniellia</w:t>
      </w:r>
      <w:proofErr w:type="spellEnd"/>
      <w:r w:rsidRPr="00E96518">
        <w:rPr>
          <w:i/>
          <w:szCs w:val="20"/>
          <w:lang w:val="fr-CA"/>
        </w:rPr>
        <w:t xml:space="preserve"> </w:t>
      </w:r>
      <w:proofErr w:type="spellStart"/>
      <w:r w:rsidRPr="00E96518">
        <w:rPr>
          <w:i/>
          <w:szCs w:val="20"/>
          <w:lang w:val="fr-CA"/>
        </w:rPr>
        <w:t>oliveri</w:t>
      </w:r>
      <w:proofErr w:type="spellEnd"/>
      <w:r w:rsidRPr="00E96518">
        <w:rPr>
          <w:szCs w:val="20"/>
          <w:lang w:val="fr-CA"/>
        </w:rPr>
        <w:t xml:space="preserve">. On rencontre aussi des forêts galeries le long des cours </w:t>
      </w:r>
      <w:proofErr w:type="gramStart"/>
      <w:r w:rsidRPr="00E96518">
        <w:rPr>
          <w:szCs w:val="20"/>
          <w:lang w:val="fr-CA"/>
        </w:rPr>
        <w:t>d’</w:t>
      </w:r>
      <w:proofErr w:type="spellStart"/>
      <w:r w:rsidRPr="00E96518">
        <w:rPr>
          <w:szCs w:val="20"/>
          <w:lang w:val="fr-CA"/>
        </w:rPr>
        <w:t>eau.Les</w:t>
      </w:r>
      <w:proofErr w:type="spellEnd"/>
      <w:proofErr w:type="gramEnd"/>
      <w:r w:rsidRPr="00E96518">
        <w:rPr>
          <w:szCs w:val="20"/>
          <w:lang w:val="fr-CA"/>
        </w:rPr>
        <w:t xml:space="preserve"> plaines qui bordent la rive droite de la Sissili sont à dominance d’</w:t>
      </w:r>
      <w:proofErr w:type="spellStart"/>
      <w:r w:rsidRPr="00E96518">
        <w:rPr>
          <w:szCs w:val="20"/>
          <w:lang w:val="fr-CA"/>
        </w:rPr>
        <w:t>andropogonées</w:t>
      </w:r>
      <w:proofErr w:type="spellEnd"/>
      <w:r w:rsidRPr="00E96518">
        <w:rPr>
          <w:szCs w:val="20"/>
          <w:lang w:val="fr-CA"/>
        </w:rPr>
        <w:t xml:space="preserve"> : </w:t>
      </w:r>
      <w:r w:rsidRPr="00E96518">
        <w:rPr>
          <w:i/>
          <w:szCs w:val="20"/>
          <w:lang w:val="fr-CA"/>
        </w:rPr>
        <w:t>Andropogon</w:t>
      </w:r>
      <w:r w:rsidRPr="00E96518">
        <w:rPr>
          <w:szCs w:val="20"/>
          <w:lang w:val="fr-CA"/>
        </w:rPr>
        <w:t xml:space="preserve"> </w:t>
      </w:r>
      <w:proofErr w:type="spellStart"/>
      <w:r w:rsidRPr="00E96518">
        <w:rPr>
          <w:i/>
          <w:szCs w:val="20"/>
          <w:lang w:val="fr-CA"/>
        </w:rPr>
        <w:t>ascinodis</w:t>
      </w:r>
      <w:proofErr w:type="spellEnd"/>
      <w:r w:rsidRPr="00E96518">
        <w:rPr>
          <w:szCs w:val="20"/>
          <w:lang w:val="fr-CA"/>
        </w:rPr>
        <w:t xml:space="preserve">, </w:t>
      </w:r>
      <w:r w:rsidRPr="00E96518">
        <w:rPr>
          <w:i/>
          <w:szCs w:val="20"/>
          <w:lang w:val="fr-CA"/>
        </w:rPr>
        <w:t xml:space="preserve">Andropogon </w:t>
      </w:r>
      <w:proofErr w:type="spellStart"/>
      <w:r w:rsidRPr="00E96518">
        <w:rPr>
          <w:i/>
          <w:szCs w:val="20"/>
          <w:lang w:val="fr-CA"/>
        </w:rPr>
        <w:t>gayanus</w:t>
      </w:r>
      <w:proofErr w:type="spellEnd"/>
      <w:r w:rsidRPr="00E96518">
        <w:rPr>
          <w:szCs w:val="20"/>
          <w:lang w:val="fr-CA"/>
        </w:rPr>
        <w:t xml:space="preserve">, </w:t>
      </w:r>
      <w:proofErr w:type="spellStart"/>
      <w:r w:rsidRPr="00E96518">
        <w:rPr>
          <w:i/>
          <w:szCs w:val="20"/>
          <w:lang w:val="fr-CA"/>
        </w:rPr>
        <w:t>Hypparhenea</w:t>
      </w:r>
      <w:proofErr w:type="spellEnd"/>
      <w:r w:rsidRPr="00E96518">
        <w:rPr>
          <w:szCs w:val="20"/>
          <w:lang w:val="fr-CA"/>
        </w:rPr>
        <w:t xml:space="preserve"> </w:t>
      </w:r>
      <w:proofErr w:type="spellStart"/>
      <w:r w:rsidRPr="00E96518">
        <w:rPr>
          <w:i/>
          <w:szCs w:val="20"/>
          <w:lang w:val="fr-CA"/>
        </w:rPr>
        <w:t>rufa</w:t>
      </w:r>
      <w:proofErr w:type="spellEnd"/>
      <w:r w:rsidRPr="00E96518">
        <w:rPr>
          <w:szCs w:val="20"/>
          <w:lang w:val="fr-CA"/>
        </w:rPr>
        <w:t xml:space="preserve">, </w:t>
      </w:r>
      <w:proofErr w:type="spellStart"/>
      <w:r w:rsidRPr="00E96518">
        <w:rPr>
          <w:i/>
          <w:szCs w:val="20"/>
          <w:lang w:val="fr-CA"/>
        </w:rPr>
        <w:t>Loudetia</w:t>
      </w:r>
      <w:proofErr w:type="spellEnd"/>
      <w:r w:rsidRPr="00E96518">
        <w:rPr>
          <w:szCs w:val="20"/>
          <w:lang w:val="fr-CA"/>
        </w:rPr>
        <w:t xml:space="preserve"> </w:t>
      </w:r>
      <w:proofErr w:type="spellStart"/>
      <w:r w:rsidRPr="00E96518">
        <w:rPr>
          <w:i/>
          <w:szCs w:val="20"/>
          <w:lang w:val="fr-CA"/>
        </w:rPr>
        <w:t>togoensis</w:t>
      </w:r>
      <w:proofErr w:type="spellEnd"/>
      <w:r w:rsidRPr="00E96518">
        <w:rPr>
          <w:szCs w:val="20"/>
          <w:lang w:val="fr-CA"/>
        </w:rPr>
        <w:t xml:space="preserve"> et </w:t>
      </w:r>
      <w:proofErr w:type="spellStart"/>
      <w:r w:rsidRPr="00E96518">
        <w:rPr>
          <w:i/>
          <w:szCs w:val="20"/>
          <w:lang w:val="fr-CA"/>
        </w:rPr>
        <w:t>Vitivera</w:t>
      </w:r>
      <w:proofErr w:type="spellEnd"/>
      <w:r w:rsidRPr="00E96518">
        <w:rPr>
          <w:szCs w:val="20"/>
          <w:lang w:val="fr-CA"/>
        </w:rPr>
        <w:t xml:space="preserve"> </w:t>
      </w:r>
      <w:proofErr w:type="spellStart"/>
      <w:r w:rsidRPr="00E96518">
        <w:rPr>
          <w:i/>
          <w:szCs w:val="20"/>
          <w:lang w:val="fr-CA"/>
        </w:rPr>
        <w:t>nigritana</w:t>
      </w:r>
      <w:proofErr w:type="spellEnd"/>
      <w:r w:rsidRPr="00E96518">
        <w:rPr>
          <w:szCs w:val="20"/>
          <w:lang w:val="fr-CA"/>
        </w:rPr>
        <w:t xml:space="preserve">. </w:t>
      </w:r>
    </w:p>
    <w:p w14:paraId="6107FF39" w14:textId="77777777" w:rsidR="00302BFE" w:rsidRPr="00E96518" w:rsidRDefault="00302BFE" w:rsidP="00302BFE">
      <w:pPr>
        <w:spacing w:before="120" w:after="120"/>
        <w:rPr>
          <w:szCs w:val="20"/>
          <w:lang w:val="fr-CA"/>
        </w:rPr>
      </w:pPr>
      <w:r w:rsidRPr="00E96518">
        <w:rPr>
          <w:szCs w:val="20"/>
          <w:lang w:val="fr-CA"/>
        </w:rPr>
        <w:t xml:space="preserve">La composition de la faune est similaire à celle du Ranch de gibier de </w:t>
      </w:r>
      <w:proofErr w:type="spellStart"/>
      <w:r w:rsidRPr="00E96518">
        <w:rPr>
          <w:szCs w:val="20"/>
          <w:lang w:val="fr-CA"/>
        </w:rPr>
        <w:t>Nazinga</w:t>
      </w:r>
      <w:proofErr w:type="spellEnd"/>
      <w:r w:rsidRPr="00E96518">
        <w:rPr>
          <w:szCs w:val="20"/>
          <w:lang w:val="fr-CA"/>
        </w:rPr>
        <w:t xml:space="preserve"> dont elle est limitrophe, avec tout de même des densités plus faibles. </w:t>
      </w:r>
    </w:p>
    <w:p w14:paraId="0AD7115D" w14:textId="77777777" w:rsidR="00302BFE" w:rsidRPr="00E96518" w:rsidRDefault="00302BFE" w:rsidP="00302BFE">
      <w:pPr>
        <w:spacing w:before="120" w:after="120"/>
        <w:rPr>
          <w:szCs w:val="20"/>
          <w:lang w:val="fr-CA"/>
        </w:rPr>
      </w:pPr>
      <w:r w:rsidRPr="00E96518">
        <w:rPr>
          <w:szCs w:val="20"/>
          <w:u w:val="single"/>
          <w:lang w:val="fr-CA"/>
        </w:rPr>
        <w:t>Gestion</w:t>
      </w:r>
      <w:r w:rsidRPr="00E96518">
        <w:rPr>
          <w:b/>
          <w:szCs w:val="20"/>
          <w:lang w:val="fr-CA"/>
        </w:rPr>
        <w:t>.</w:t>
      </w:r>
      <w:r w:rsidRPr="00E96518">
        <w:rPr>
          <w:szCs w:val="20"/>
          <w:lang w:val="fr-CA"/>
        </w:rPr>
        <w:t xml:space="preserve"> La forêt classée de la Sissili a été concédée pour la chasse à un opérateur privé en 1996, décédé il y a de cela une vingtaine d’année. Les ayants droits en assurent actuellement la gestion. Cependant, l’aire protégée ne dispose pas d’une unité de gestion, ni de plan d’aménagement et de gestion de la Concession, ni de plan d’actions spécifiques, comme les plans de restauration des ressources ou les plans de prélèvement des animaux. </w:t>
      </w:r>
    </w:p>
    <w:p w14:paraId="77C1E696" w14:textId="77777777" w:rsidR="00302BFE" w:rsidRPr="00E96518" w:rsidRDefault="00302BFE" w:rsidP="00302BFE">
      <w:pPr>
        <w:spacing w:before="120" w:after="120"/>
        <w:rPr>
          <w:szCs w:val="20"/>
          <w:lang w:val="fr-CA"/>
        </w:rPr>
      </w:pPr>
      <w:r w:rsidRPr="00E96518">
        <w:rPr>
          <w:szCs w:val="20"/>
          <w:lang w:val="fr-CA"/>
        </w:rPr>
        <w:t xml:space="preserve">La Concession compte environ 28 employés, dont 10 permanents et 18 saisonniers. Cependant, en réalité, un seul employé est présent en permanence pendant la saison pluvieuse. Il n’y a que des guides de chasse et pas de guides touristiques dans le campement. Le service forestier de </w:t>
      </w:r>
      <w:proofErr w:type="spellStart"/>
      <w:r w:rsidRPr="00E96518">
        <w:rPr>
          <w:szCs w:val="20"/>
          <w:lang w:val="fr-CA"/>
        </w:rPr>
        <w:t>Bieha</w:t>
      </w:r>
      <w:proofErr w:type="spellEnd"/>
      <w:r w:rsidRPr="00E96518">
        <w:rPr>
          <w:szCs w:val="20"/>
          <w:lang w:val="fr-CA"/>
        </w:rPr>
        <w:t xml:space="preserve"> ne dispose que de deux agents et d’une moto de service en bon état. Au niveau du campement de la Sissili, les pisteurs reçoivent seulement du carburant pour l’utilisation de leurs propres motos pour les activités de LAB.</w:t>
      </w:r>
    </w:p>
    <w:p w14:paraId="64B80578" w14:textId="0619BBD1" w:rsidR="00302BFE" w:rsidRPr="00E96518" w:rsidRDefault="00302BFE" w:rsidP="00302BFE">
      <w:pPr>
        <w:spacing w:before="120" w:after="120"/>
        <w:rPr>
          <w:szCs w:val="20"/>
          <w:lang w:val="fr-CA"/>
        </w:rPr>
      </w:pPr>
      <w:r w:rsidRPr="00E96518">
        <w:rPr>
          <w:szCs w:val="20"/>
          <w:u w:val="single"/>
          <w:lang w:val="fr-CA"/>
        </w:rPr>
        <w:t>Aménagements</w:t>
      </w:r>
      <w:r w:rsidRPr="00E96518">
        <w:rPr>
          <w:b/>
          <w:szCs w:val="20"/>
          <w:lang w:val="fr-CA"/>
        </w:rPr>
        <w:t xml:space="preserve">. </w:t>
      </w:r>
      <w:r w:rsidRPr="00E96518">
        <w:rPr>
          <w:szCs w:val="20"/>
          <w:lang w:val="fr-CA"/>
        </w:rPr>
        <w:t>La Concession la Chasse de la Sissili disposait d’un campement qui a été brulé par des feux sauvages en 2017 mais qui doit être reconstruit.</w:t>
      </w:r>
    </w:p>
    <w:p w14:paraId="02B6CBE7" w14:textId="77777777" w:rsidR="00302BFE" w:rsidRPr="00E96518" w:rsidRDefault="00302BFE" w:rsidP="00302BFE">
      <w:pPr>
        <w:spacing w:before="120" w:after="120"/>
        <w:rPr>
          <w:szCs w:val="20"/>
          <w:lang w:val="fr-CA"/>
        </w:rPr>
      </w:pPr>
      <w:r w:rsidRPr="00E96518">
        <w:rPr>
          <w:szCs w:val="20"/>
          <w:lang w:val="fr-CA"/>
        </w:rPr>
        <w:lastRenderedPageBreak/>
        <w:t xml:space="preserve">Les aménagements comprennent 223 kilomètres de pistes ouvertes, un forage réalisé dans le campement et 27 salines dont 12 naturelles. Outre la rivière Sissili qui comporte quelques mares pérennes dans la concession, 7 mares et retenues d’eau ou </w:t>
      </w:r>
      <w:proofErr w:type="spellStart"/>
      <w:r w:rsidRPr="00E96518">
        <w:rPr>
          <w:szCs w:val="20"/>
          <w:lang w:val="fr-CA"/>
        </w:rPr>
        <w:t>boulis</w:t>
      </w:r>
      <w:proofErr w:type="spellEnd"/>
      <w:r w:rsidRPr="00E96518">
        <w:rPr>
          <w:szCs w:val="20"/>
          <w:lang w:val="fr-CA"/>
        </w:rPr>
        <w:t xml:space="preserve"> ont été aménagées dans un rayon de 5 km autour du campement, le dernier </w:t>
      </w:r>
      <w:proofErr w:type="spellStart"/>
      <w:r w:rsidRPr="00E96518">
        <w:rPr>
          <w:szCs w:val="20"/>
          <w:lang w:val="fr-CA"/>
        </w:rPr>
        <w:t>boulis</w:t>
      </w:r>
      <w:proofErr w:type="spellEnd"/>
      <w:r w:rsidRPr="00E96518">
        <w:rPr>
          <w:szCs w:val="20"/>
          <w:lang w:val="fr-CA"/>
        </w:rPr>
        <w:t xml:space="preserve"> ayant été construit en 2017, mais certaines digues ont cédé et la plupart des </w:t>
      </w:r>
      <w:proofErr w:type="spellStart"/>
      <w:r w:rsidRPr="00E96518">
        <w:rPr>
          <w:szCs w:val="20"/>
          <w:lang w:val="fr-CA"/>
        </w:rPr>
        <w:t>boulis</w:t>
      </w:r>
      <w:proofErr w:type="spellEnd"/>
      <w:r w:rsidRPr="00E96518">
        <w:rPr>
          <w:szCs w:val="20"/>
          <w:lang w:val="fr-CA"/>
        </w:rPr>
        <w:t xml:space="preserve"> creusés tarissent en saison sèche. Une seule retenue située derrière le campement semble permanente et on y exerce la pêche. La Concession dispose sur toute la périphérie de bornes et de panneaux de signalisation en nombre suffisant. Une piste périmétrale incomplète délimite la concession sur environ 40 km mais n’est pas entretenue. Environ 60 km de pistes périmétrales restent à dégager entre </w:t>
      </w:r>
      <w:proofErr w:type="spellStart"/>
      <w:r w:rsidRPr="00E96518">
        <w:rPr>
          <w:szCs w:val="20"/>
          <w:lang w:val="fr-CA"/>
        </w:rPr>
        <w:t>Naboré</w:t>
      </w:r>
      <w:proofErr w:type="spellEnd"/>
      <w:r w:rsidRPr="00E96518">
        <w:rPr>
          <w:szCs w:val="20"/>
          <w:lang w:val="fr-CA"/>
        </w:rPr>
        <w:t xml:space="preserve"> et </w:t>
      </w:r>
      <w:proofErr w:type="spellStart"/>
      <w:r w:rsidRPr="00E96518">
        <w:rPr>
          <w:szCs w:val="20"/>
          <w:lang w:val="fr-CA"/>
        </w:rPr>
        <w:t>Yelbouga</w:t>
      </w:r>
      <w:proofErr w:type="spellEnd"/>
      <w:r w:rsidRPr="00E96518">
        <w:rPr>
          <w:szCs w:val="20"/>
          <w:lang w:val="fr-CA"/>
        </w:rPr>
        <w:t>. Un mirador en bois installé à côté de la retenue d’eau permanente (environ 2km du campement est maintenant hors d’usage.</w:t>
      </w:r>
    </w:p>
    <w:p w14:paraId="39B90155" w14:textId="77777777" w:rsidR="00302BFE" w:rsidRPr="00E96518" w:rsidRDefault="00302BFE" w:rsidP="00302BFE">
      <w:pPr>
        <w:spacing w:before="120" w:after="120"/>
        <w:rPr>
          <w:szCs w:val="20"/>
          <w:lang w:val="fr-CA"/>
        </w:rPr>
      </w:pPr>
      <w:r w:rsidRPr="00E96518">
        <w:rPr>
          <w:szCs w:val="20"/>
          <w:lang w:val="fr-CA"/>
        </w:rPr>
        <w:t>En raison du manque de formation des pisteurs et du responsable qui en assure la charge, les feux d’aménagement ne sont pas bien planifiés dans le temps et dans l’espace afin d’assurer la protection et l’alimentation continue des espèces. Les feux sont mis lors des patrouilles, et ne tiennent nullement compte des besoins de protection des espèces. Les feux d’aménagement se limitent à la zone de protection intégrale et les 5 km autour du campement alors que le reste est brûlé par les braconniers.</w:t>
      </w:r>
    </w:p>
    <w:p w14:paraId="0974FE5D" w14:textId="77777777" w:rsidR="00302BFE" w:rsidRPr="00E96518" w:rsidRDefault="00302BFE" w:rsidP="00302BFE">
      <w:pPr>
        <w:spacing w:before="120" w:after="120"/>
        <w:rPr>
          <w:szCs w:val="20"/>
          <w:lang w:val="fr-CA"/>
        </w:rPr>
      </w:pPr>
      <w:r w:rsidRPr="00E96518">
        <w:rPr>
          <w:szCs w:val="20"/>
          <w:u w:val="single"/>
          <w:lang w:val="fr-CA"/>
        </w:rPr>
        <w:t>Suivi écologique</w:t>
      </w:r>
      <w:r w:rsidRPr="00E96518">
        <w:rPr>
          <w:szCs w:val="20"/>
          <w:lang w:val="fr-CA"/>
        </w:rPr>
        <w:t>. Au niveau de la capitalisation des données, il n’y a ni bibliothèque ni de systèmes d’archivage des données. Les structures qui y interviennent ne laissent pas de copie de leurs données.</w:t>
      </w:r>
    </w:p>
    <w:p w14:paraId="684EF027" w14:textId="77777777" w:rsidR="00302BFE" w:rsidRPr="00E96518" w:rsidRDefault="00302BFE" w:rsidP="00302BFE">
      <w:pPr>
        <w:spacing w:before="120" w:after="120"/>
        <w:rPr>
          <w:szCs w:val="20"/>
          <w:lang w:val="fr-CA"/>
        </w:rPr>
      </w:pPr>
      <w:r w:rsidRPr="00E96518">
        <w:rPr>
          <w:szCs w:val="20"/>
          <w:u w:val="single"/>
          <w:lang w:val="fr-CA"/>
        </w:rPr>
        <w:t>Valorisation</w:t>
      </w:r>
      <w:r w:rsidRPr="00E96518">
        <w:rPr>
          <w:szCs w:val="20"/>
          <w:lang w:val="fr-CA"/>
        </w:rPr>
        <w:t>. Les principales espèces péchées dans la Concession sont les silures, les carpes, et les tilapias, mais il n’y a ni suivi, ni estimation des quantités prélevées. La concession de chasse de la Sissili continue à remettre les 3/4 de la venaison aux populations riveraines à tour de rôle. Pour la petite chasse dans les ZOVIC, la concession paie aux villages 5 000F/chasseur/jour pour les taxes d’accompagnement de 2 personnes/touristes. Cette somme est reversée à la fin de la campagne aux chefs de villages, qui les remettent aux intéressés.</w:t>
      </w:r>
    </w:p>
    <w:p w14:paraId="375FF51D" w14:textId="77777777" w:rsidR="00302BFE" w:rsidRPr="00E96518" w:rsidRDefault="00302BFE" w:rsidP="00302BFE">
      <w:pPr>
        <w:spacing w:before="120" w:after="120"/>
        <w:rPr>
          <w:szCs w:val="20"/>
          <w:lang w:val="fr-CA"/>
        </w:rPr>
      </w:pPr>
      <w:r w:rsidRPr="00E96518">
        <w:rPr>
          <w:szCs w:val="20"/>
          <w:u w:val="single"/>
          <w:lang w:val="fr-CA"/>
        </w:rPr>
        <w:t>Menaces</w:t>
      </w:r>
      <w:r w:rsidRPr="00E96518">
        <w:rPr>
          <w:b/>
          <w:szCs w:val="20"/>
          <w:lang w:val="fr-CA"/>
        </w:rPr>
        <w:t>.</w:t>
      </w:r>
      <w:r w:rsidRPr="00E96518">
        <w:rPr>
          <w:szCs w:val="20"/>
          <w:lang w:val="fr-CA"/>
        </w:rPr>
        <w:t xml:space="preserve"> Les principales menaces sur la FC de la Sissili comprennent : i) La dégradation de la végétation à cause du braconnage, des feux de brousse tardifs, du défrichement non contrôlé renforcé par la présence de nouveaux acteurs, les </w:t>
      </w:r>
      <w:proofErr w:type="spellStart"/>
      <w:r w:rsidRPr="00E96518">
        <w:rPr>
          <w:szCs w:val="20"/>
          <w:lang w:val="fr-CA"/>
        </w:rPr>
        <w:t>agrobusinessmen</w:t>
      </w:r>
      <w:proofErr w:type="spellEnd"/>
      <w:r w:rsidRPr="00E96518">
        <w:rPr>
          <w:szCs w:val="20"/>
          <w:lang w:val="fr-CA"/>
        </w:rPr>
        <w:t xml:space="preserve">, et du surpâturage. ii) Le braconnage est intense et sévit sur toute l’étendue de la concession, tout particulièrement dans la zone de Pissai, vers la frontière ghanéenne, conduit par des braconniers locaux ou ghanéens. Les principales espèces braconnées sont essentiellement le cobe de </w:t>
      </w:r>
      <w:proofErr w:type="spellStart"/>
      <w:r w:rsidRPr="00E96518">
        <w:rPr>
          <w:szCs w:val="20"/>
          <w:lang w:val="fr-CA"/>
        </w:rPr>
        <w:t>buffon</w:t>
      </w:r>
      <w:proofErr w:type="spellEnd"/>
      <w:r w:rsidRPr="00E96518">
        <w:rPr>
          <w:szCs w:val="20"/>
          <w:lang w:val="fr-CA"/>
        </w:rPr>
        <w:t xml:space="preserve">, le guib harnaché, l’ourébi, les céphalophes et l’éléphant. Près de 10 carcasses d’animaux ont été retrouvées après la saison des pluies de 2017 incluant plusieurs cadavres d’éléphants, de cobe de </w:t>
      </w:r>
      <w:proofErr w:type="spellStart"/>
      <w:r w:rsidRPr="00E96518">
        <w:rPr>
          <w:szCs w:val="20"/>
          <w:lang w:val="fr-CA"/>
        </w:rPr>
        <w:t>buffon</w:t>
      </w:r>
      <w:proofErr w:type="spellEnd"/>
      <w:r w:rsidRPr="00E96518">
        <w:rPr>
          <w:szCs w:val="20"/>
          <w:lang w:val="fr-CA"/>
        </w:rPr>
        <w:t xml:space="preserve">, de </w:t>
      </w:r>
      <w:proofErr w:type="spellStart"/>
      <w:r w:rsidRPr="00E96518">
        <w:rPr>
          <w:szCs w:val="20"/>
          <w:lang w:val="fr-CA"/>
        </w:rPr>
        <w:t>kobas</w:t>
      </w:r>
      <w:proofErr w:type="spellEnd"/>
      <w:r w:rsidRPr="00E96518">
        <w:rPr>
          <w:szCs w:val="20"/>
          <w:lang w:val="fr-CA"/>
        </w:rPr>
        <w:t xml:space="preserve">, de cobe </w:t>
      </w:r>
      <w:proofErr w:type="spellStart"/>
      <w:r w:rsidRPr="00E96518">
        <w:rPr>
          <w:szCs w:val="20"/>
          <w:lang w:val="fr-CA"/>
        </w:rPr>
        <w:t>defassa</w:t>
      </w:r>
      <w:proofErr w:type="spellEnd"/>
      <w:r w:rsidRPr="00E96518">
        <w:rPr>
          <w:szCs w:val="20"/>
          <w:lang w:val="fr-CA"/>
        </w:rPr>
        <w:t xml:space="preserve">. Ce sont des animaux abattus par des braconniers et qui sont allés mourir hors de la vue des braconniers. iii) Le non-respect de la zone tampon de 500 m par les éleveurs et les agriculteurs de telle sorte que certaines sections sont envahies. En 2017, le service forestier a procédé à la délocalisation des champs agricoles (à Pissai) mais les éleveurs y sont toujours présents, ce qui engendre des remous sociaux, les agriculteurs estimant qu’ils ont été déguerpis des terres de leurs ancêtres au profit des transhumants peuhls qui eux, y sont tolérés. iv) La coupe abusive du bois pour la carbonisation. Le service forestier effectue 2 à 3 sorties par mois en saison sèche, mais en saison pluvieuse la forêt est inaccessible et les braconniers et les délinquants s’y installent. Il n’y a pas de piste interne au-delà d’un rayon de 5 km autour du campement. </w:t>
      </w:r>
    </w:p>
    <w:p w14:paraId="774B376B" w14:textId="77777777" w:rsidR="00302BFE" w:rsidRPr="00E96518" w:rsidRDefault="00302BFE" w:rsidP="00302BFE">
      <w:pPr>
        <w:rPr>
          <w:b/>
          <w:lang w:val="fr-CA"/>
        </w:rPr>
      </w:pPr>
      <w:r w:rsidRPr="00E96518">
        <w:rPr>
          <w:b/>
          <w:lang w:val="fr-CA"/>
        </w:rPr>
        <w:t>Le Parc National de Pô dit Parc National Kaboré-</w:t>
      </w:r>
      <w:proofErr w:type="spellStart"/>
      <w:r w:rsidRPr="00E96518">
        <w:rPr>
          <w:b/>
          <w:lang w:val="fr-CA"/>
        </w:rPr>
        <w:t>Tambi</w:t>
      </w:r>
      <w:proofErr w:type="spellEnd"/>
      <w:r w:rsidRPr="00E96518">
        <w:rPr>
          <w:b/>
          <w:lang w:val="fr-CA"/>
        </w:rPr>
        <w:t xml:space="preserve"> (PNKT)</w:t>
      </w:r>
    </w:p>
    <w:p w14:paraId="1B99F491" w14:textId="77777777" w:rsidR="00302BFE" w:rsidRPr="00E96518" w:rsidRDefault="00302BFE" w:rsidP="00302BFE">
      <w:pPr>
        <w:spacing w:before="120" w:after="120"/>
        <w:rPr>
          <w:rFonts w:eastAsia="Times New Roman"/>
          <w:color w:val="003300"/>
          <w:szCs w:val="20"/>
          <w:lang w:val="fr-CA" w:eastAsia="fr-CA"/>
        </w:rPr>
      </w:pPr>
      <w:r w:rsidRPr="00E96518">
        <w:rPr>
          <w:rFonts w:eastAsia="Times New Roman"/>
          <w:color w:val="003300"/>
          <w:szCs w:val="20"/>
          <w:lang w:val="fr-CA" w:eastAsia="fr-CA"/>
        </w:rPr>
        <w:t xml:space="preserve">Situé dans le Centre Sud du Burkina Faso, épousant le cours du </w:t>
      </w:r>
      <w:proofErr w:type="spellStart"/>
      <w:r w:rsidRPr="00E96518">
        <w:rPr>
          <w:rFonts w:eastAsia="Times New Roman"/>
          <w:color w:val="003300"/>
          <w:szCs w:val="20"/>
          <w:lang w:val="fr-CA" w:eastAsia="fr-CA"/>
        </w:rPr>
        <w:t>Nazinon</w:t>
      </w:r>
      <w:proofErr w:type="spellEnd"/>
      <w:r w:rsidRPr="00E96518">
        <w:rPr>
          <w:rFonts w:eastAsia="Times New Roman"/>
          <w:color w:val="003300"/>
          <w:szCs w:val="20"/>
          <w:lang w:val="fr-CA" w:eastAsia="fr-CA"/>
        </w:rPr>
        <w:t xml:space="preserve">, </w:t>
      </w:r>
      <w:r w:rsidRPr="00E96518">
        <w:rPr>
          <w:color w:val="000000"/>
          <w:szCs w:val="20"/>
          <w:lang w:val="fr-CA"/>
        </w:rPr>
        <w:t xml:space="preserve">le PNKT </w:t>
      </w:r>
      <w:r w:rsidRPr="00E96518">
        <w:rPr>
          <w:rFonts w:eastAsia="Times New Roman"/>
          <w:color w:val="000000"/>
          <w:szCs w:val="20"/>
          <w:lang w:val="fr-CA" w:eastAsia="fr-CA"/>
        </w:rPr>
        <w:t>est l'un des deux Parcs Nationaux du Burkina Faso.</w:t>
      </w:r>
      <w:r w:rsidRPr="00E96518">
        <w:rPr>
          <w:color w:val="000000"/>
          <w:szCs w:val="20"/>
          <w:lang w:val="fr-CA"/>
        </w:rPr>
        <w:t xml:space="preserve"> </w:t>
      </w:r>
      <w:r w:rsidRPr="00E96518">
        <w:rPr>
          <w:rFonts w:eastAsia="Times New Roman"/>
          <w:color w:val="003300"/>
          <w:szCs w:val="20"/>
          <w:lang w:val="fr-CA" w:eastAsia="fr-CA"/>
        </w:rPr>
        <w:t xml:space="preserve">Ce parc a été créé en 1976 avec la réunion de deux forêts domaniales (forêt de Pô et forêt de la Volta rouge) par l’Ordonnance 76-020/13/PRES/ET du 2 septembre 1976. Il couvre une superficie de 169 000 ha </w:t>
      </w:r>
      <w:r w:rsidRPr="00E96518">
        <w:rPr>
          <w:color w:val="000000"/>
          <w:szCs w:val="20"/>
          <w:lang w:val="fr-CA"/>
        </w:rPr>
        <w:t>sur une longueur de 150 km et est traversé par la route nationale RN5 Ouagadougou-Pô-frontière du Ghana sur une distance de 30 km correspondant à sa largeur maximale.</w:t>
      </w:r>
    </w:p>
    <w:p w14:paraId="7C481957" w14:textId="77777777" w:rsidR="00302BFE" w:rsidRPr="00E96518" w:rsidRDefault="00302BFE" w:rsidP="00302BFE">
      <w:pPr>
        <w:spacing w:before="120" w:after="120"/>
        <w:rPr>
          <w:szCs w:val="20"/>
          <w:lang w:val="fr-CA"/>
        </w:rPr>
      </w:pPr>
      <w:r w:rsidRPr="00E96518">
        <w:rPr>
          <w:szCs w:val="20"/>
          <w:lang w:val="fr-CA"/>
        </w:rPr>
        <w:t xml:space="preserve">Le PNKT est traversé du Nord au Sud par la rivière </w:t>
      </w:r>
      <w:proofErr w:type="spellStart"/>
      <w:r w:rsidRPr="00E96518">
        <w:rPr>
          <w:szCs w:val="20"/>
          <w:lang w:val="fr-CA"/>
        </w:rPr>
        <w:t>Nazinon</w:t>
      </w:r>
      <w:proofErr w:type="spellEnd"/>
      <w:r w:rsidRPr="00E96518">
        <w:rPr>
          <w:szCs w:val="20"/>
          <w:lang w:val="fr-CA"/>
        </w:rPr>
        <w:t>, qui prend sa source à 330 m d’altitude sur le plateau Mossi à 50 km au nord-ouest d’Ouagadougou, à proximité de Bousé. Il traverse le parc sur toute sa longueur, et parcours 148 kilomètres dans le parc. Son altitude est de 215 m à sa sortie du parc (station limnométrique de Kampala, au pont de la route Pô-Zabre).</w:t>
      </w:r>
    </w:p>
    <w:p w14:paraId="7501276C" w14:textId="77777777" w:rsidR="00302BFE" w:rsidRPr="00E96518" w:rsidRDefault="00302BFE" w:rsidP="00302BFE">
      <w:pPr>
        <w:spacing w:before="120" w:after="120"/>
        <w:rPr>
          <w:rFonts w:eastAsia="Times New Roman"/>
          <w:color w:val="003300"/>
          <w:szCs w:val="20"/>
          <w:lang w:val="fr-CA" w:eastAsia="fr-CA"/>
        </w:rPr>
      </w:pPr>
      <w:r w:rsidRPr="00E96518">
        <w:rPr>
          <w:rFonts w:eastAsia="Times New Roman"/>
          <w:color w:val="003300"/>
          <w:szCs w:val="20"/>
          <w:u w:val="single"/>
          <w:lang w:val="fr-CA" w:eastAsia="fr-CA"/>
        </w:rPr>
        <w:t>Biodiversité</w:t>
      </w:r>
      <w:r w:rsidRPr="00E96518">
        <w:rPr>
          <w:rFonts w:eastAsia="Times New Roman"/>
          <w:color w:val="003300"/>
          <w:szCs w:val="20"/>
          <w:lang w:val="fr-CA" w:eastAsia="fr-CA"/>
        </w:rPr>
        <w:t>. Le parc est, dans sa très grande partie, inclus dans le domaine soudanien. La partie Nord est le domaine de la savane arbustive qui évolue progressivement en direction du Sud, vers des formations plus boisées (savanes arborées et forêts claires) et vers des milieux qui annoncent le domaine soudano-guinéen. 212 espèces de plantes ont été recensées dans les différents types de savane présents.</w:t>
      </w:r>
    </w:p>
    <w:p w14:paraId="48524E26" w14:textId="77777777" w:rsidR="00302BFE" w:rsidRDefault="00302BFE" w:rsidP="00302BFE">
      <w:pPr>
        <w:ind w:right="-262"/>
        <w:rPr>
          <w:i/>
          <w:iCs/>
          <w:szCs w:val="20"/>
          <w:lang w:val="fr-CA"/>
        </w:rPr>
      </w:pPr>
      <w:r w:rsidRPr="008957ED">
        <w:rPr>
          <w:szCs w:val="20"/>
          <w:lang w:val="fr-CA"/>
        </w:rPr>
        <w:t xml:space="preserve">Les inventaires effectués dans le PNKT par le projet PAGEN dans les années 2005-2006 ont permis de répertorier </w:t>
      </w:r>
      <w:r w:rsidRPr="008957ED">
        <w:rPr>
          <w:iCs/>
          <w:szCs w:val="20"/>
          <w:lang w:val="fr-CA"/>
        </w:rPr>
        <w:t>plus de 100 espèces ligneuses,</w:t>
      </w:r>
      <w:r w:rsidRPr="008957ED">
        <w:rPr>
          <w:szCs w:val="20"/>
          <w:lang w:val="fr-CA"/>
        </w:rPr>
        <w:t xml:space="preserve"> 151 espèces d’oiseaux parmi lesquelles des espèces rares au Burkina Faso telles que: le Crécerelle renard (</w:t>
      </w:r>
      <w:r w:rsidRPr="008957ED">
        <w:rPr>
          <w:i/>
          <w:iCs/>
          <w:szCs w:val="20"/>
          <w:lang w:val="fr-CA"/>
        </w:rPr>
        <w:t xml:space="preserve">Falco </w:t>
      </w:r>
      <w:proofErr w:type="spellStart"/>
      <w:r w:rsidRPr="008957ED">
        <w:rPr>
          <w:i/>
          <w:iCs/>
          <w:szCs w:val="20"/>
          <w:lang w:val="fr-CA"/>
        </w:rPr>
        <w:t>alopex</w:t>
      </w:r>
      <w:proofErr w:type="spellEnd"/>
      <w:r w:rsidRPr="008957ED">
        <w:rPr>
          <w:i/>
          <w:iCs/>
          <w:szCs w:val="20"/>
          <w:lang w:val="fr-CA"/>
        </w:rPr>
        <w:t>),</w:t>
      </w:r>
      <w:r w:rsidRPr="008957ED">
        <w:rPr>
          <w:szCs w:val="20"/>
          <w:lang w:val="fr-CA"/>
        </w:rPr>
        <w:t xml:space="preserve"> le </w:t>
      </w:r>
      <w:proofErr w:type="spellStart"/>
      <w:r w:rsidRPr="008957ED">
        <w:rPr>
          <w:szCs w:val="20"/>
          <w:lang w:val="fr-CA"/>
        </w:rPr>
        <w:t>Tchitrec</w:t>
      </w:r>
      <w:proofErr w:type="spellEnd"/>
      <w:r w:rsidRPr="008957ED">
        <w:rPr>
          <w:szCs w:val="20"/>
          <w:lang w:val="fr-CA"/>
        </w:rPr>
        <w:t xml:space="preserve"> bleu (</w:t>
      </w:r>
      <w:proofErr w:type="spellStart"/>
      <w:r w:rsidRPr="008957ED">
        <w:rPr>
          <w:i/>
          <w:iCs/>
          <w:szCs w:val="20"/>
          <w:lang w:val="fr-CA"/>
        </w:rPr>
        <w:t>Elminia</w:t>
      </w:r>
      <w:proofErr w:type="spellEnd"/>
      <w:r w:rsidRPr="008957ED">
        <w:rPr>
          <w:i/>
          <w:iCs/>
          <w:szCs w:val="20"/>
          <w:lang w:val="fr-CA"/>
        </w:rPr>
        <w:t xml:space="preserve"> </w:t>
      </w:r>
      <w:proofErr w:type="spellStart"/>
      <w:r w:rsidRPr="008957ED">
        <w:rPr>
          <w:i/>
          <w:iCs/>
          <w:szCs w:val="20"/>
          <w:lang w:val="fr-CA"/>
        </w:rPr>
        <w:t>longicauda</w:t>
      </w:r>
      <w:proofErr w:type="spellEnd"/>
      <w:r w:rsidRPr="008957ED">
        <w:rPr>
          <w:i/>
          <w:iCs/>
          <w:szCs w:val="20"/>
          <w:lang w:val="fr-CA"/>
        </w:rPr>
        <w:t xml:space="preserve">), </w:t>
      </w:r>
      <w:r w:rsidRPr="008957ED">
        <w:rPr>
          <w:iCs/>
          <w:szCs w:val="20"/>
          <w:lang w:val="fr-CA"/>
        </w:rPr>
        <w:t>le</w:t>
      </w:r>
      <w:r w:rsidRPr="008957ED">
        <w:rPr>
          <w:i/>
          <w:iCs/>
          <w:szCs w:val="20"/>
          <w:lang w:val="fr-CA"/>
        </w:rPr>
        <w:t xml:space="preserve"> </w:t>
      </w:r>
      <w:proofErr w:type="spellStart"/>
      <w:r w:rsidRPr="008957ED">
        <w:rPr>
          <w:szCs w:val="20"/>
          <w:lang w:val="fr-CA"/>
        </w:rPr>
        <w:t>Grébifoulque</w:t>
      </w:r>
      <w:proofErr w:type="spellEnd"/>
      <w:r w:rsidRPr="008957ED">
        <w:rPr>
          <w:szCs w:val="20"/>
          <w:lang w:val="fr-CA"/>
        </w:rPr>
        <w:t xml:space="preserve"> d’Afrique (</w:t>
      </w:r>
      <w:proofErr w:type="spellStart"/>
      <w:r w:rsidRPr="008957ED">
        <w:rPr>
          <w:i/>
          <w:iCs/>
          <w:szCs w:val="20"/>
          <w:lang w:val="fr-CA"/>
        </w:rPr>
        <w:t>Podica</w:t>
      </w:r>
      <w:proofErr w:type="spellEnd"/>
      <w:r w:rsidRPr="008957ED">
        <w:rPr>
          <w:i/>
          <w:iCs/>
          <w:szCs w:val="20"/>
          <w:lang w:val="fr-CA"/>
        </w:rPr>
        <w:t xml:space="preserve"> senegalensis) </w:t>
      </w:r>
      <w:r w:rsidRPr="008957ED">
        <w:rPr>
          <w:iCs/>
          <w:szCs w:val="20"/>
          <w:lang w:val="fr-CA"/>
        </w:rPr>
        <w:t xml:space="preserve">et </w:t>
      </w:r>
      <w:r w:rsidRPr="008957ED">
        <w:rPr>
          <w:szCs w:val="20"/>
          <w:lang w:val="fr-CA"/>
        </w:rPr>
        <w:t>14 espèces de grands mammifères, dont les suivants : Bubale</w:t>
      </w:r>
      <w:r w:rsidRPr="008957ED">
        <w:rPr>
          <w:i/>
          <w:iCs/>
          <w:szCs w:val="20"/>
          <w:lang w:val="fr-CA"/>
        </w:rPr>
        <w:t xml:space="preserve"> (Alcelaphus </w:t>
      </w:r>
      <w:proofErr w:type="spellStart"/>
      <w:r w:rsidRPr="008957ED">
        <w:rPr>
          <w:i/>
          <w:iCs/>
          <w:szCs w:val="20"/>
          <w:lang w:val="fr-CA"/>
        </w:rPr>
        <w:t>buselaphus</w:t>
      </w:r>
      <w:proofErr w:type="spellEnd"/>
      <w:r w:rsidRPr="008957ED">
        <w:rPr>
          <w:i/>
          <w:iCs/>
          <w:szCs w:val="20"/>
          <w:lang w:val="fr-CA"/>
        </w:rPr>
        <w:t xml:space="preserve"> major), </w:t>
      </w:r>
      <w:r w:rsidRPr="008957ED">
        <w:rPr>
          <w:szCs w:val="20"/>
          <w:lang w:val="fr-CA"/>
        </w:rPr>
        <w:t>Hippotrague (</w:t>
      </w:r>
      <w:r w:rsidRPr="008957ED">
        <w:rPr>
          <w:i/>
          <w:iCs/>
          <w:szCs w:val="20"/>
          <w:lang w:val="fr-CA"/>
        </w:rPr>
        <w:t xml:space="preserve">Hippotragus </w:t>
      </w:r>
      <w:proofErr w:type="spellStart"/>
      <w:r w:rsidRPr="008957ED">
        <w:rPr>
          <w:i/>
          <w:iCs/>
          <w:szCs w:val="20"/>
          <w:lang w:val="fr-CA"/>
        </w:rPr>
        <w:t>equinus</w:t>
      </w:r>
      <w:proofErr w:type="spellEnd"/>
      <w:r w:rsidRPr="008957ED">
        <w:rPr>
          <w:i/>
          <w:iCs/>
          <w:szCs w:val="20"/>
          <w:lang w:val="fr-CA"/>
        </w:rPr>
        <w:t xml:space="preserve">), </w:t>
      </w:r>
      <w:r w:rsidRPr="008957ED">
        <w:rPr>
          <w:szCs w:val="20"/>
          <w:lang w:val="fr-CA"/>
        </w:rPr>
        <w:t>Guib harnaché (</w:t>
      </w:r>
      <w:proofErr w:type="spellStart"/>
      <w:r w:rsidRPr="008957ED">
        <w:rPr>
          <w:i/>
          <w:iCs/>
          <w:szCs w:val="20"/>
          <w:lang w:val="fr-CA"/>
        </w:rPr>
        <w:t>Tragelaphus</w:t>
      </w:r>
      <w:proofErr w:type="spellEnd"/>
      <w:r w:rsidRPr="008957ED">
        <w:rPr>
          <w:i/>
          <w:iCs/>
          <w:szCs w:val="20"/>
          <w:lang w:val="fr-CA"/>
        </w:rPr>
        <w:t xml:space="preserve"> </w:t>
      </w:r>
      <w:proofErr w:type="spellStart"/>
      <w:r w:rsidRPr="008957ED">
        <w:rPr>
          <w:i/>
          <w:iCs/>
          <w:szCs w:val="20"/>
          <w:lang w:val="fr-CA"/>
        </w:rPr>
        <w:t>scriptus</w:t>
      </w:r>
      <w:proofErr w:type="spellEnd"/>
      <w:r w:rsidRPr="008957ED">
        <w:rPr>
          <w:i/>
          <w:iCs/>
          <w:szCs w:val="20"/>
          <w:lang w:val="fr-CA"/>
        </w:rPr>
        <w:t xml:space="preserve">), </w:t>
      </w:r>
      <w:r w:rsidRPr="008957ED">
        <w:rPr>
          <w:szCs w:val="20"/>
          <w:lang w:val="fr-CA"/>
        </w:rPr>
        <w:t>Ourébi (</w:t>
      </w:r>
      <w:proofErr w:type="spellStart"/>
      <w:r w:rsidRPr="008957ED">
        <w:rPr>
          <w:i/>
          <w:iCs/>
          <w:szCs w:val="20"/>
          <w:lang w:val="fr-CA"/>
        </w:rPr>
        <w:t>Ourebia</w:t>
      </w:r>
      <w:proofErr w:type="spellEnd"/>
      <w:r w:rsidRPr="008957ED">
        <w:rPr>
          <w:i/>
          <w:iCs/>
          <w:szCs w:val="20"/>
          <w:lang w:val="fr-CA"/>
        </w:rPr>
        <w:t xml:space="preserve"> </w:t>
      </w:r>
      <w:proofErr w:type="spellStart"/>
      <w:r w:rsidRPr="008957ED">
        <w:rPr>
          <w:i/>
          <w:iCs/>
          <w:szCs w:val="20"/>
          <w:lang w:val="fr-CA"/>
        </w:rPr>
        <w:t>ourebi</w:t>
      </w:r>
      <w:proofErr w:type="spellEnd"/>
      <w:r w:rsidRPr="008957ED">
        <w:rPr>
          <w:i/>
          <w:iCs/>
          <w:szCs w:val="20"/>
          <w:lang w:val="fr-CA"/>
        </w:rPr>
        <w:t xml:space="preserve">), </w:t>
      </w:r>
      <w:r w:rsidRPr="008957ED">
        <w:rPr>
          <w:szCs w:val="20"/>
          <w:lang w:val="fr-CA"/>
        </w:rPr>
        <w:t>Céphalophe de Grimm (</w:t>
      </w:r>
      <w:proofErr w:type="spellStart"/>
      <w:r w:rsidRPr="008957ED">
        <w:rPr>
          <w:i/>
          <w:iCs/>
          <w:szCs w:val="20"/>
          <w:lang w:val="fr-CA"/>
        </w:rPr>
        <w:t>Sylvicapra</w:t>
      </w:r>
      <w:proofErr w:type="spellEnd"/>
      <w:r w:rsidRPr="008957ED">
        <w:rPr>
          <w:i/>
          <w:iCs/>
          <w:szCs w:val="20"/>
          <w:lang w:val="fr-CA"/>
        </w:rPr>
        <w:t xml:space="preserve"> </w:t>
      </w:r>
      <w:proofErr w:type="spellStart"/>
      <w:r w:rsidRPr="008957ED">
        <w:rPr>
          <w:i/>
          <w:iCs/>
          <w:szCs w:val="20"/>
          <w:lang w:val="fr-CA"/>
        </w:rPr>
        <w:t>grimmia</w:t>
      </w:r>
      <w:proofErr w:type="spellEnd"/>
      <w:r w:rsidRPr="008957ED">
        <w:rPr>
          <w:i/>
          <w:iCs/>
          <w:szCs w:val="20"/>
          <w:lang w:val="fr-CA"/>
        </w:rPr>
        <w:t xml:space="preserve">), </w:t>
      </w:r>
      <w:r w:rsidRPr="008957ED">
        <w:rPr>
          <w:szCs w:val="20"/>
          <w:lang w:val="fr-CA"/>
        </w:rPr>
        <w:t>Patas (</w:t>
      </w:r>
      <w:proofErr w:type="spellStart"/>
      <w:r w:rsidRPr="008957ED">
        <w:rPr>
          <w:i/>
          <w:iCs/>
          <w:szCs w:val="20"/>
          <w:lang w:val="fr-CA"/>
        </w:rPr>
        <w:t>Erythrocebus</w:t>
      </w:r>
      <w:proofErr w:type="spellEnd"/>
      <w:r w:rsidRPr="008957ED">
        <w:rPr>
          <w:i/>
          <w:iCs/>
          <w:szCs w:val="20"/>
          <w:lang w:val="fr-CA"/>
        </w:rPr>
        <w:t xml:space="preserve"> patas), </w:t>
      </w:r>
      <w:r w:rsidRPr="008957ED">
        <w:rPr>
          <w:szCs w:val="20"/>
          <w:lang w:val="fr-CA"/>
        </w:rPr>
        <w:t>Vervet (</w:t>
      </w:r>
      <w:proofErr w:type="spellStart"/>
      <w:r w:rsidRPr="008957ED">
        <w:rPr>
          <w:i/>
          <w:iCs/>
          <w:szCs w:val="20"/>
          <w:lang w:val="fr-CA"/>
        </w:rPr>
        <w:t>Cercopithecus</w:t>
      </w:r>
      <w:proofErr w:type="spellEnd"/>
      <w:r w:rsidRPr="008957ED">
        <w:rPr>
          <w:i/>
          <w:iCs/>
          <w:szCs w:val="20"/>
          <w:lang w:val="fr-CA"/>
        </w:rPr>
        <w:t xml:space="preserve"> </w:t>
      </w:r>
      <w:proofErr w:type="spellStart"/>
      <w:r w:rsidRPr="008957ED">
        <w:rPr>
          <w:i/>
          <w:iCs/>
          <w:szCs w:val="20"/>
          <w:lang w:val="fr-CA"/>
        </w:rPr>
        <w:t>aethiops</w:t>
      </w:r>
      <w:proofErr w:type="spellEnd"/>
      <w:r w:rsidRPr="008957ED">
        <w:rPr>
          <w:i/>
          <w:iCs/>
          <w:szCs w:val="20"/>
          <w:lang w:val="fr-CA"/>
        </w:rPr>
        <w:t xml:space="preserve">), </w:t>
      </w:r>
      <w:r w:rsidRPr="008957ED">
        <w:rPr>
          <w:szCs w:val="20"/>
          <w:lang w:val="fr-CA"/>
        </w:rPr>
        <w:t>Cynocéphale (</w:t>
      </w:r>
      <w:r w:rsidRPr="008957ED">
        <w:rPr>
          <w:i/>
          <w:iCs/>
          <w:szCs w:val="20"/>
          <w:lang w:val="fr-CA"/>
        </w:rPr>
        <w:t xml:space="preserve">Papio hamadryas anubis), </w:t>
      </w:r>
      <w:r w:rsidRPr="008957ED">
        <w:rPr>
          <w:szCs w:val="20"/>
          <w:lang w:val="fr-CA"/>
        </w:rPr>
        <w:t>Phacochère (</w:t>
      </w:r>
      <w:proofErr w:type="spellStart"/>
      <w:r w:rsidRPr="008957ED">
        <w:rPr>
          <w:i/>
          <w:iCs/>
          <w:szCs w:val="20"/>
          <w:lang w:val="fr-CA"/>
        </w:rPr>
        <w:t>Phacochoerus</w:t>
      </w:r>
      <w:proofErr w:type="spellEnd"/>
      <w:r w:rsidRPr="008957ED">
        <w:rPr>
          <w:i/>
          <w:iCs/>
          <w:szCs w:val="20"/>
          <w:lang w:val="fr-CA"/>
        </w:rPr>
        <w:t xml:space="preserve"> africanus), </w:t>
      </w:r>
      <w:r w:rsidRPr="008957ED">
        <w:rPr>
          <w:szCs w:val="20"/>
          <w:lang w:val="fr-CA"/>
        </w:rPr>
        <w:t xml:space="preserve">Cobe </w:t>
      </w:r>
      <w:proofErr w:type="spellStart"/>
      <w:r w:rsidRPr="008957ED">
        <w:rPr>
          <w:szCs w:val="20"/>
          <w:lang w:val="fr-CA"/>
        </w:rPr>
        <w:t>redunca</w:t>
      </w:r>
      <w:proofErr w:type="spellEnd"/>
      <w:r w:rsidRPr="008957ED">
        <w:rPr>
          <w:szCs w:val="20"/>
          <w:lang w:val="fr-CA"/>
        </w:rPr>
        <w:t xml:space="preserve"> (</w:t>
      </w:r>
      <w:proofErr w:type="spellStart"/>
      <w:r w:rsidRPr="008957ED">
        <w:rPr>
          <w:i/>
          <w:iCs/>
          <w:szCs w:val="20"/>
          <w:lang w:val="fr-CA"/>
        </w:rPr>
        <w:t>Redunca</w:t>
      </w:r>
      <w:proofErr w:type="spellEnd"/>
      <w:r w:rsidRPr="008957ED">
        <w:rPr>
          <w:i/>
          <w:iCs/>
          <w:szCs w:val="20"/>
          <w:lang w:val="fr-CA"/>
        </w:rPr>
        <w:t xml:space="preserve"> </w:t>
      </w:r>
      <w:proofErr w:type="spellStart"/>
      <w:r w:rsidRPr="008957ED">
        <w:rPr>
          <w:i/>
          <w:iCs/>
          <w:szCs w:val="20"/>
          <w:lang w:val="fr-CA"/>
        </w:rPr>
        <w:t>redunca</w:t>
      </w:r>
      <w:proofErr w:type="spellEnd"/>
      <w:r w:rsidRPr="008957ED">
        <w:rPr>
          <w:i/>
          <w:iCs/>
          <w:szCs w:val="20"/>
          <w:lang w:val="fr-CA"/>
        </w:rPr>
        <w:t xml:space="preserve">), </w:t>
      </w:r>
      <w:r w:rsidRPr="008957ED">
        <w:rPr>
          <w:szCs w:val="20"/>
          <w:lang w:val="fr-CA"/>
        </w:rPr>
        <w:t xml:space="preserve">Cobe </w:t>
      </w:r>
      <w:proofErr w:type="spellStart"/>
      <w:r w:rsidRPr="008957ED">
        <w:rPr>
          <w:szCs w:val="20"/>
          <w:lang w:val="fr-CA"/>
        </w:rPr>
        <w:t>Defassa</w:t>
      </w:r>
      <w:proofErr w:type="spellEnd"/>
      <w:r w:rsidRPr="008957ED">
        <w:rPr>
          <w:szCs w:val="20"/>
          <w:lang w:val="fr-CA"/>
        </w:rPr>
        <w:t xml:space="preserve"> (</w:t>
      </w:r>
      <w:proofErr w:type="spellStart"/>
      <w:r w:rsidRPr="008957ED">
        <w:rPr>
          <w:i/>
          <w:szCs w:val="20"/>
          <w:lang w:val="fr-CA"/>
        </w:rPr>
        <w:t>Kobus</w:t>
      </w:r>
      <w:proofErr w:type="spellEnd"/>
      <w:r w:rsidRPr="008957ED">
        <w:rPr>
          <w:i/>
          <w:szCs w:val="20"/>
          <w:lang w:val="fr-CA"/>
        </w:rPr>
        <w:t xml:space="preserve"> </w:t>
      </w:r>
      <w:proofErr w:type="spellStart"/>
      <w:r w:rsidRPr="008957ED">
        <w:rPr>
          <w:i/>
          <w:szCs w:val="20"/>
          <w:lang w:val="fr-CA"/>
        </w:rPr>
        <w:t>ellipsiprymnus</w:t>
      </w:r>
      <w:proofErr w:type="spellEnd"/>
      <w:r w:rsidRPr="008957ED">
        <w:rPr>
          <w:i/>
          <w:szCs w:val="20"/>
          <w:lang w:val="fr-CA"/>
        </w:rPr>
        <w:t xml:space="preserve"> </w:t>
      </w:r>
      <w:proofErr w:type="spellStart"/>
      <w:r w:rsidRPr="008957ED">
        <w:rPr>
          <w:i/>
          <w:szCs w:val="20"/>
          <w:lang w:val="fr-CA"/>
        </w:rPr>
        <w:t>ssp</w:t>
      </w:r>
      <w:proofErr w:type="spellEnd"/>
      <w:r w:rsidRPr="008957ED">
        <w:rPr>
          <w:i/>
          <w:szCs w:val="20"/>
          <w:lang w:val="fr-CA"/>
        </w:rPr>
        <w:t xml:space="preserve">. </w:t>
      </w:r>
      <w:proofErr w:type="spellStart"/>
      <w:proofErr w:type="gramStart"/>
      <w:r w:rsidRPr="008957ED">
        <w:rPr>
          <w:i/>
          <w:szCs w:val="20"/>
          <w:lang w:val="fr-CA"/>
        </w:rPr>
        <w:t>defassa</w:t>
      </w:r>
      <w:proofErr w:type="spellEnd"/>
      <w:proofErr w:type="gramEnd"/>
      <w:r w:rsidRPr="008957ED">
        <w:rPr>
          <w:i/>
          <w:iCs/>
          <w:szCs w:val="20"/>
          <w:lang w:val="fr-CA"/>
        </w:rPr>
        <w:t xml:space="preserve"> - </w:t>
      </w:r>
      <w:r w:rsidRPr="008957ED">
        <w:rPr>
          <w:b/>
          <w:iCs/>
          <w:szCs w:val="20"/>
          <w:lang w:val="fr-CA"/>
        </w:rPr>
        <w:t>NT</w:t>
      </w:r>
      <w:r w:rsidRPr="008957ED">
        <w:rPr>
          <w:i/>
          <w:iCs/>
          <w:szCs w:val="20"/>
          <w:lang w:val="fr-CA"/>
        </w:rPr>
        <w:t xml:space="preserve">), </w:t>
      </w:r>
      <w:r w:rsidRPr="008957ED">
        <w:rPr>
          <w:szCs w:val="20"/>
          <w:lang w:val="fr-CA"/>
        </w:rPr>
        <w:t>Buffle (</w:t>
      </w:r>
      <w:proofErr w:type="spellStart"/>
      <w:r w:rsidRPr="008957ED">
        <w:rPr>
          <w:szCs w:val="20"/>
          <w:lang w:val="fr-CA"/>
        </w:rPr>
        <w:t>S</w:t>
      </w:r>
      <w:r w:rsidRPr="008957ED">
        <w:rPr>
          <w:i/>
          <w:iCs/>
          <w:szCs w:val="20"/>
          <w:lang w:val="fr-CA"/>
        </w:rPr>
        <w:t>yncerus</w:t>
      </w:r>
      <w:proofErr w:type="spellEnd"/>
      <w:r w:rsidRPr="008957ED">
        <w:rPr>
          <w:i/>
          <w:iCs/>
          <w:szCs w:val="20"/>
          <w:lang w:val="fr-CA"/>
        </w:rPr>
        <w:t xml:space="preserve"> </w:t>
      </w:r>
      <w:proofErr w:type="spellStart"/>
      <w:r w:rsidRPr="008957ED">
        <w:rPr>
          <w:i/>
          <w:iCs/>
          <w:szCs w:val="20"/>
          <w:lang w:val="fr-CA"/>
        </w:rPr>
        <w:t>caffer</w:t>
      </w:r>
      <w:proofErr w:type="spellEnd"/>
      <w:r w:rsidRPr="008957ED">
        <w:rPr>
          <w:i/>
          <w:iCs/>
          <w:szCs w:val="20"/>
          <w:lang w:val="fr-CA"/>
        </w:rPr>
        <w:t xml:space="preserve"> </w:t>
      </w:r>
      <w:proofErr w:type="spellStart"/>
      <w:r w:rsidRPr="008957ED">
        <w:rPr>
          <w:i/>
          <w:iCs/>
          <w:szCs w:val="20"/>
          <w:lang w:val="fr-CA"/>
        </w:rPr>
        <w:t>ssp</w:t>
      </w:r>
      <w:proofErr w:type="spellEnd"/>
      <w:r w:rsidRPr="008957ED">
        <w:rPr>
          <w:i/>
          <w:iCs/>
          <w:szCs w:val="20"/>
          <w:lang w:val="fr-CA"/>
        </w:rPr>
        <w:t xml:space="preserve">. </w:t>
      </w:r>
      <w:proofErr w:type="spellStart"/>
      <w:proofErr w:type="gramStart"/>
      <w:r w:rsidRPr="008957ED">
        <w:rPr>
          <w:i/>
          <w:szCs w:val="20"/>
          <w:lang w:val="fr-CA"/>
        </w:rPr>
        <w:t>brachyceros</w:t>
      </w:r>
      <w:proofErr w:type="spellEnd"/>
      <w:proofErr w:type="gramEnd"/>
      <w:r w:rsidRPr="008957ED">
        <w:rPr>
          <w:i/>
          <w:szCs w:val="20"/>
          <w:lang w:val="fr-CA"/>
        </w:rPr>
        <w:t xml:space="preserve"> </w:t>
      </w:r>
      <w:r>
        <w:rPr>
          <w:b/>
          <w:iCs/>
          <w:szCs w:val="20"/>
          <w:lang w:val="fr-CA"/>
        </w:rPr>
        <w:t>–</w:t>
      </w:r>
      <w:r w:rsidRPr="008957ED">
        <w:rPr>
          <w:b/>
          <w:iCs/>
          <w:szCs w:val="20"/>
          <w:lang w:val="fr-CA"/>
        </w:rPr>
        <w:t xml:space="preserve"> NT</w:t>
      </w:r>
      <w:r w:rsidRPr="008957ED">
        <w:rPr>
          <w:iCs/>
          <w:szCs w:val="20"/>
          <w:lang w:val="fr-CA"/>
        </w:rPr>
        <w:t>, rares</w:t>
      </w:r>
      <w:r w:rsidRPr="008957ED">
        <w:rPr>
          <w:i/>
          <w:iCs/>
          <w:szCs w:val="20"/>
          <w:lang w:val="fr-CA"/>
        </w:rPr>
        <w:t xml:space="preserve">), </w:t>
      </w:r>
      <w:proofErr w:type="spellStart"/>
      <w:r w:rsidRPr="008957ED">
        <w:rPr>
          <w:szCs w:val="20"/>
          <w:lang w:val="fr-CA"/>
        </w:rPr>
        <w:t>Eléphant</w:t>
      </w:r>
      <w:proofErr w:type="spellEnd"/>
      <w:r w:rsidRPr="008957ED">
        <w:rPr>
          <w:szCs w:val="20"/>
          <w:lang w:val="fr-CA"/>
        </w:rPr>
        <w:t xml:space="preserve"> (</w:t>
      </w:r>
      <w:proofErr w:type="spellStart"/>
      <w:r w:rsidRPr="008957ED">
        <w:rPr>
          <w:i/>
          <w:iCs/>
          <w:szCs w:val="20"/>
          <w:lang w:val="fr-CA"/>
        </w:rPr>
        <w:t>Loxodonta</w:t>
      </w:r>
      <w:proofErr w:type="spellEnd"/>
      <w:r w:rsidRPr="008957ED">
        <w:rPr>
          <w:i/>
          <w:iCs/>
          <w:szCs w:val="20"/>
          <w:lang w:val="fr-CA"/>
        </w:rPr>
        <w:t xml:space="preserve"> </w:t>
      </w:r>
      <w:proofErr w:type="spellStart"/>
      <w:r w:rsidRPr="008957ED">
        <w:rPr>
          <w:i/>
          <w:iCs/>
          <w:szCs w:val="20"/>
          <w:lang w:val="fr-CA"/>
        </w:rPr>
        <w:t>africana</w:t>
      </w:r>
      <w:proofErr w:type="spellEnd"/>
      <w:r w:rsidRPr="008957ED">
        <w:rPr>
          <w:i/>
          <w:iCs/>
          <w:szCs w:val="20"/>
          <w:lang w:val="fr-CA"/>
        </w:rPr>
        <w:t xml:space="preserve"> - </w:t>
      </w:r>
      <w:r w:rsidRPr="008957ED">
        <w:rPr>
          <w:b/>
          <w:iCs/>
          <w:szCs w:val="20"/>
          <w:lang w:val="fr-CA"/>
        </w:rPr>
        <w:t>VU</w:t>
      </w:r>
      <w:r w:rsidRPr="008957ED">
        <w:rPr>
          <w:i/>
          <w:iCs/>
          <w:szCs w:val="20"/>
          <w:lang w:val="fr-CA"/>
        </w:rPr>
        <w:t xml:space="preserve">), </w:t>
      </w:r>
      <w:r w:rsidRPr="008957ED">
        <w:rPr>
          <w:szCs w:val="20"/>
          <w:lang w:val="fr-CA"/>
        </w:rPr>
        <w:t>Chacal (</w:t>
      </w:r>
      <w:r w:rsidRPr="008957ED">
        <w:rPr>
          <w:i/>
          <w:iCs/>
          <w:szCs w:val="20"/>
          <w:lang w:val="fr-CA"/>
        </w:rPr>
        <w:t xml:space="preserve">Canis </w:t>
      </w:r>
      <w:proofErr w:type="spellStart"/>
      <w:r w:rsidRPr="008957ED">
        <w:rPr>
          <w:i/>
          <w:iCs/>
          <w:szCs w:val="20"/>
          <w:lang w:val="fr-CA"/>
        </w:rPr>
        <w:t>adustus</w:t>
      </w:r>
      <w:proofErr w:type="spellEnd"/>
      <w:r w:rsidRPr="008957ED">
        <w:rPr>
          <w:i/>
          <w:iCs/>
          <w:szCs w:val="20"/>
          <w:lang w:val="fr-CA"/>
        </w:rPr>
        <w:t xml:space="preserve">), </w:t>
      </w:r>
      <w:r w:rsidRPr="008957ED">
        <w:rPr>
          <w:szCs w:val="20"/>
          <w:lang w:val="fr-CA"/>
        </w:rPr>
        <w:t>Civette (</w:t>
      </w:r>
      <w:proofErr w:type="spellStart"/>
      <w:r w:rsidRPr="008957ED">
        <w:rPr>
          <w:i/>
          <w:iCs/>
          <w:szCs w:val="20"/>
          <w:lang w:val="fr-CA"/>
        </w:rPr>
        <w:t>Civettictis</w:t>
      </w:r>
      <w:proofErr w:type="spellEnd"/>
      <w:r w:rsidRPr="008957ED">
        <w:rPr>
          <w:i/>
          <w:iCs/>
          <w:szCs w:val="20"/>
          <w:lang w:val="fr-CA"/>
        </w:rPr>
        <w:t xml:space="preserve"> </w:t>
      </w:r>
      <w:proofErr w:type="spellStart"/>
      <w:r w:rsidRPr="008957ED">
        <w:rPr>
          <w:i/>
          <w:iCs/>
          <w:szCs w:val="20"/>
          <w:lang w:val="fr-CA"/>
        </w:rPr>
        <w:t>civetta</w:t>
      </w:r>
      <w:proofErr w:type="spellEnd"/>
      <w:r w:rsidRPr="008957ED">
        <w:rPr>
          <w:i/>
          <w:iCs/>
          <w:szCs w:val="20"/>
          <w:lang w:val="fr-CA"/>
        </w:rPr>
        <w:t>)</w:t>
      </w:r>
      <w:r>
        <w:rPr>
          <w:i/>
          <w:iCs/>
          <w:szCs w:val="20"/>
          <w:lang w:val="fr-CA"/>
        </w:rPr>
        <w:t xml:space="preserve">. </w:t>
      </w:r>
    </w:p>
    <w:p w14:paraId="188CE1A5" w14:textId="77777777" w:rsidR="00302BFE" w:rsidRPr="00E96518" w:rsidRDefault="00302BFE" w:rsidP="00302BFE">
      <w:pPr>
        <w:ind w:right="-262"/>
        <w:rPr>
          <w:color w:val="000000"/>
          <w:szCs w:val="20"/>
          <w:lang w:val="fr-CA"/>
        </w:rPr>
      </w:pPr>
      <w:r w:rsidRPr="00E96518">
        <w:rPr>
          <w:rFonts w:eastAsia="Times New Roman"/>
          <w:color w:val="003300"/>
          <w:szCs w:val="20"/>
          <w:lang w:val="fr-CA" w:eastAsia="fr-CA"/>
        </w:rPr>
        <w:lastRenderedPageBreak/>
        <w:t xml:space="preserve">Le PNKT est une zone d’importance pour les oiseaux. </w:t>
      </w:r>
      <w:r w:rsidRPr="00E96518">
        <w:rPr>
          <w:color w:val="000000"/>
          <w:szCs w:val="20"/>
          <w:lang w:val="fr-CA"/>
        </w:rPr>
        <w:t xml:space="preserve">Pendant l’hiver européen, il constitue une étape dans le circuit de migration de certains oiseaux migrateurs du paléarctique occidental dont des espèces intégralement protégées telles que les cigognes. </w:t>
      </w:r>
      <w:r w:rsidRPr="00E96518">
        <w:rPr>
          <w:szCs w:val="20"/>
          <w:lang w:val="fr-CA"/>
        </w:rPr>
        <w:t>On y rencontre quelques espèces rares au Burkina Faso comme le serpentaire</w:t>
      </w:r>
      <w:r>
        <w:rPr>
          <w:szCs w:val="20"/>
          <w:lang w:val="fr-CA"/>
        </w:rPr>
        <w:t xml:space="preserve"> (</w:t>
      </w:r>
      <w:r w:rsidRPr="007D3F04">
        <w:rPr>
          <w:i/>
          <w:iCs/>
          <w:szCs w:val="20"/>
          <w:lang w:val="fr-CA"/>
        </w:rPr>
        <w:t xml:space="preserve">Sagittarius </w:t>
      </w:r>
      <w:proofErr w:type="spellStart"/>
      <w:r w:rsidRPr="007D3F04">
        <w:rPr>
          <w:i/>
          <w:iCs/>
          <w:szCs w:val="20"/>
          <w:lang w:val="fr-CA"/>
        </w:rPr>
        <w:t>serpentarius</w:t>
      </w:r>
      <w:proofErr w:type="spellEnd"/>
      <w:r w:rsidRPr="007D3F04">
        <w:rPr>
          <w:i/>
          <w:iCs/>
          <w:szCs w:val="20"/>
          <w:lang w:val="fr-CA"/>
        </w:rPr>
        <w:t xml:space="preserve"> </w:t>
      </w:r>
      <w:r w:rsidRPr="007D3F04">
        <w:rPr>
          <w:szCs w:val="20"/>
          <w:lang w:val="fr-CA"/>
        </w:rPr>
        <w:t xml:space="preserve">– </w:t>
      </w:r>
      <w:r w:rsidRPr="007D3F04">
        <w:rPr>
          <w:b/>
          <w:szCs w:val="20"/>
          <w:lang w:val="fr-CA"/>
        </w:rPr>
        <w:t>VU</w:t>
      </w:r>
      <w:r w:rsidRPr="007D3F04">
        <w:rPr>
          <w:szCs w:val="20"/>
          <w:lang w:val="fr-CA"/>
        </w:rPr>
        <w:t>)</w:t>
      </w:r>
      <w:r w:rsidRPr="00E96518">
        <w:rPr>
          <w:szCs w:val="20"/>
          <w:lang w:val="fr-CA"/>
        </w:rPr>
        <w:t>, le marabout, le tantale ibis, la cigogne noire (espèce migratrice)</w:t>
      </w:r>
      <w:r>
        <w:rPr>
          <w:szCs w:val="20"/>
          <w:lang w:val="fr-CA"/>
        </w:rPr>
        <w:t xml:space="preserve"> et le touraco violet</w:t>
      </w:r>
      <w:r w:rsidRPr="00E96518">
        <w:rPr>
          <w:szCs w:val="20"/>
          <w:lang w:val="fr-CA"/>
        </w:rPr>
        <w:t>.</w:t>
      </w:r>
    </w:p>
    <w:p w14:paraId="6FB9489C" w14:textId="77777777" w:rsidR="00302BFE" w:rsidRPr="00E96518" w:rsidRDefault="00302BFE" w:rsidP="00302BFE">
      <w:pPr>
        <w:spacing w:before="120" w:after="120"/>
        <w:rPr>
          <w:rFonts w:eastAsia="Times New Roman"/>
          <w:color w:val="003300"/>
          <w:szCs w:val="20"/>
          <w:lang w:val="fr-CA" w:eastAsia="fr-CA"/>
        </w:rPr>
      </w:pPr>
      <w:r w:rsidRPr="00E96518">
        <w:rPr>
          <w:rFonts w:eastAsia="Times New Roman"/>
          <w:color w:val="003300"/>
          <w:szCs w:val="20"/>
          <w:lang w:val="fr-CA" w:eastAsia="fr-CA"/>
        </w:rPr>
        <w:t xml:space="preserve">L'importance du Parc est principalement liée à sa couverture forestière, notamment les formations végétales le long de la rivière </w:t>
      </w:r>
      <w:proofErr w:type="spellStart"/>
      <w:r w:rsidRPr="00E96518">
        <w:rPr>
          <w:rFonts w:eastAsia="Times New Roman"/>
          <w:color w:val="003300"/>
          <w:szCs w:val="20"/>
          <w:lang w:val="fr-CA" w:eastAsia="fr-CA"/>
        </w:rPr>
        <w:t>Nazinon</w:t>
      </w:r>
      <w:proofErr w:type="spellEnd"/>
      <w:r w:rsidRPr="00E96518">
        <w:rPr>
          <w:rFonts w:eastAsia="Times New Roman"/>
          <w:color w:val="003300"/>
          <w:szCs w:val="20"/>
          <w:lang w:val="fr-CA" w:eastAsia="fr-CA"/>
        </w:rPr>
        <w:t xml:space="preserve"> (anciennement Volta Rouge); l'influence régulatrice qu’elle exerce sur le climat et qui limite l'expansion de la désertification; la richesse de sa biocénose, notamment végétale encore intacte; la présence de nombreuses espèces de faune qui représentent un atout touristique et un potentiel de bénéfices économiques pour les villages voisins</w:t>
      </w:r>
      <w:r>
        <w:rPr>
          <w:rFonts w:eastAsia="Times New Roman"/>
          <w:color w:val="003300"/>
          <w:szCs w:val="20"/>
          <w:lang w:val="fr-CA" w:eastAsia="fr-CA"/>
        </w:rPr>
        <w:t>,</w:t>
      </w:r>
      <w:r w:rsidRPr="00E96518">
        <w:rPr>
          <w:rFonts w:eastAsia="Times New Roman"/>
          <w:color w:val="003300"/>
          <w:szCs w:val="20"/>
          <w:lang w:val="fr-CA" w:eastAsia="fr-CA"/>
        </w:rPr>
        <w:t xml:space="preserve"> sa richesse en produits forestiers non ligneux importants pour l'alimentation humaine et animale, ainsi que pour la médecine et la pharmacopée traditionnelle; et finalement son potentiel pour y promouvoir l'éducation environnementale.</w:t>
      </w:r>
    </w:p>
    <w:p w14:paraId="3223886D" w14:textId="77777777" w:rsidR="00302BFE" w:rsidRPr="00E96518" w:rsidRDefault="00302BFE" w:rsidP="00302BFE">
      <w:pPr>
        <w:spacing w:before="120" w:after="120"/>
        <w:rPr>
          <w:rFonts w:eastAsia="Times New Roman"/>
          <w:color w:val="003300"/>
          <w:szCs w:val="20"/>
          <w:lang w:val="fr-CA" w:eastAsia="fr-CA"/>
        </w:rPr>
      </w:pPr>
      <w:r w:rsidRPr="00E96518">
        <w:rPr>
          <w:color w:val="000000"/>
          <w:szCs w:val="20"/>
          <w:u w:val="single"/>
          <w:lang w:val="fr-CA"/>
        </w:rPr>
        <w:t>Gestion</w:t>
      </w:r>
      <w:r w:rsidRPr="00E96518">
        <w:rPr>
          <w:color w:val="000000"/>
          <w:szCs w:val="20"/>
          <w:lang w:val="fr-CA"/>
        </w:rPr>
        <w:t>. E</w:t>
      </w:r>
      <w:r w:rsidRPr="00E96518">
        <w:rPr>
          <w:rFonts w:eastAsia="Times New Roman"/>
          <w:color w:val="000000"/>
          <w:szCs w:val="20"/>
          <w:lang w:val="fr-CA" w:eastAsia="fr-CA"/>
        </w:rPr>
        <w:t xml:space="preserve">n </w:t>
      </w:r>
      <w:r w:rsidRPr="00E96518">
        <w:rPr>
          <w:color w:val="000000"/>
          <w:szCs w:val="20"/>
          <w:lang w:val="fr-CA"/>
        </w:rPr>
        <w:t>1997, l</w:t>
      </w:r>
      <w:r w:rsidRPr="00E96518">
        <w:rPr>
          <w:rFonts w:eastAsia="Times New Roman"/>
          <w:color w:val="000000"/>
          <w:szCs w:val="20"/>
          <w:lang w:val="fr-CA" w:eastAsia="fr-CA"/>
        </w:rPr>
        <w:t xml:space="preserve">e Ministère de l'Environnement </w:t>
      </w:r>
      <w:r w:rsidRPr="00E96518">
        <w:rPr>
          <w:color w:val="000000"/>
          <w:szCs w:val="20"/>
          <w:lang w:val="fr-CA"/>
        </w:rPr>
        <w:t xml:space="preserve">a confié sa gestion pour une période renouvelable de dix années à </w:t>
      </w:r>
      <w:r w:rsidRPr="00E96518">
        <w:rPr>
          <w:rFonts w:eastAsia="Times New Roman"/>
          <w:color w:val="000000"/>
          <w:szCs w:val="20"/>
          <w:lang w:val="fr-CA" w:eastAsia="fr-CA"/>
        </w:rPr>
        <w:t xml:space="preserve">la Fondation NATURAMA </w:t>
      </w:r>
      <w:r w:rsidRPr="00E96518">
        <w:rPr>
          <w:color w:val="000000"/>
          <w:szCs w:val="20"/>
          <w:lang w:val="fr-CA"/>
        </w:rPr>
        <w:t xml:space="preserve">(qui y menait des actions de conservation depuis </w:t>
      </w:r>
      <w:r w:rsidRPr="00E96518">
        <w:rPr>
          <w:rFonts w:eastAsia="Times New Roman"/>
          <w:color w:val="000000"/>
          <w:szCs w:val="20"/>
          <w:lang w:val="fr-CA" w:eastAsia="fr-CA"/>
        </w:rPr>
        <w:t>1993</w:t>
      </w:r>
      <w:r w:rsidRPr="00E96518">
        <w:rPr>
          <w:color w:val="000000"/>
          <w:szCs w:val="20"/>
          <w:lang w:val="fr-CA"/>
        </w:rPr>
        <w:t xml:space="preserve">), </w:t>
      </w:r>
      <w:r w:rsidRPr="00E96518">
        <w:rPr>
          <w:rFonts w:eastAsia="Times New Roman"/>
          <w:color w:val="000000"/>
          <w:szCs w:val="20"/>
          <w:lang w:val="fr-CA" w:eastAsia="fr-CA"/>
        </w:rPr>
        <w:t xml:space="preserve">avec la mission d'intéresser les villages environnants </w:t>
      </w:r>
      <w:r w:rsidRPr="00E96518">
        <w:rPr>
          <w:color w:val="000000"/>
          <w:szCs w:val="20"/>
          <w:lang w:val="fr-CA"/>
        </w:rPr>
        <w:t>à la vocation</w:t>
      </w:r>
      <w:r w:rsidRPr="00E96518">
        <w:rPr>
          <w:rFonts w:eastAsia="Times New Roman"/>
          <w:color w:val="000000"/>
          <w:szCs w:val="20"/>
          <w:lang w:val="fr-CA" w:eastAsia="fr-CA"/>
        </w:rPr>
        <w:t xml:space="preserve"> de valorisation scientifique, éducative, récréative et économique de l'aire</w:t>
      </w:r>
      <w:r w:rsidRPr="00E96518">
        <w:rPr>
          <w:color w:val="000000"/>
          <w:szCs w:val="20"/>
          <w:lang w:val="fr-CA"/>
        </w:rPr>
        <w:t xml:space="preserve">, dans l’optique de </w:t>
      </w:r>
      <w:r w:rsidRPr="00E96518">
        <w:rPr>
          <w:rFonts w:eastAsia="Times New Roman"/>
          <w:color w:val="000000"/>
          <w:szCs w:val="20"/>
          <w:lang w:val="fr-CA" w:eastAsia="fr-CA"/>
        </w:rPr>
        <w:t>la responsabilisation des communautés locales.</w:t>
      </w:r>
      <w:r>
        <w:rPr>
          <w:rStyle w:val="Appelnotedebasdep"/>
          <w:color w:val="000000"/>
          <w:szCs w:val="20"/>
        </w:rPr>
        <w:footnoteReference w:id="88"/>
      </w:r>
      <w:r w:rsidRPr="00E96518">
        <w:rPr>
          <w:rFonts w:eastAsia="Times New Roman"/>
          <w:color w:val="003300"/>
          <w:szCs w:val="20"/>
          <w:lang w:val="fr-CA" w:eastAsia="fr-CA"/>
        </w:rPr>
        <w:t xml:space="preserve"> NATURAMA a contribué à l’élaboration et à la mise en œuvre du plan d’aménagement du parc pour les périodes 2003-2007 et 2010-2020. Cet appui a permis la réalisation d’activités de suivi écologique (inventaires de faune et ornithologiques, suivi des habitats); d’activités de lutte contre les feux (réalisation de pare feux, feux précoces); d’activités d’atténuation des pressions sur le parc à travers l’appui aux services forestiers, sous forme de protocoles de collaboration, pour la surveillance du parc; la matérialisation des limites du parc (bornage et signalisation); l’amélioration de la gouvernance du PNKT et de sa zone d’influence à travers la création d’un Forum du parc co-présidé par les gouverneurs du Centre-sud et du Centre-ouest et la réalisation à titre pilote de projets de gouvernance forestière au profit des communes de Pô et de Nobéré; et l’amélioration des conditions de vie des populations locales par la valorisation des produits forestiers non ligneux et la promotion de la Régénération Naturelle Assistée dans les villages riverains du parc.</w:t>
      </w:r>
    </w:p>
    <w:p w14:paraId="18358BE7" w14:textId="77777777" w:rsidR="00302BFE" w:rsidRPr="00E96518" w:rsidRDefault="00302BFE" w:rsidP="00302BFE">
      <w:pPr>
        <w:spacing w:before="120" w:after="120"/>
        <w:rPr>
          <w:szCs w:val="20"/>
          <w:lang w:val="fr-CA"/>
        </w:rPr>
      </w:pPr>
      <w:r w:rsidRPr="00E96518">
        <w:rPr>
          <w:rFonts w:eastAsia="Times New Roman"/>
          <w:color w:val="003300"/>
          <w:szCs w:val="20"/>
          <w:u w:val="single"/>
          <w:lang w:val="fr-CA" w:eastAsia="fr-CA"/>
        </w:rPr>
        <w:t>Aménagements</w:t>
      </w:r>
      <w:r w:rsidRPr="00E96518">
        <w:rPr>
          <w:rFonts w:eastAsia="Times New Roman"/>
          <w:color w:val="003300"/>
          <w:szCs w:val="20"/>
          <w:lang w:val="fr-CA" w:eastAsia="fr-CA"/>
        </w:rPr>
        <w:t xml:space="preserve">. </w:t>
      </w:r>
      <w:r w:rsidRPr="00E96518">
        <w:rPr>
          <w:szCs w:val="20"/>
          <w:lang w:val="fr-CA"/>
        </w:rPr>
        <w:t>La piste périmétrale délimite le PNKT et sert également de référence aux autres aménagements (CAF, Zones Tampon, ZOVIC), de pistes limitrophes. Des panneaux de signalisation ont été installés avec l’appui du PAPSA le long de la piste périmétrale et sur les grandes voies bitumées. Deux pistes centrales Nord-Sud de part et d’autre du cours d’eau, servent à parcourir le PNKT pour les activités de surveillance et d’entretien du parc (feux précoces). Le PNKT est borné avec des balises à chaque kilomètre. Il n’y a pas de pont pour traverser la rivière de telle sorte qu’il faut faire près de 100 km pour atteindre l’autre rive en saison des pluies. Il n’y a pas de retenue d’eau dans le PNKT et toutes les eaux pérennes sont constituées de mares naturelles.</w:t>
      </w:r>
    </w:p>
    <w:p w14:paraId="5944C946" w14:textId="77777777" w:rsidR="00302BFE" w:rsidRPr="00E96518" w:rsidRDefault="00302BFE" w:rsidP="00302BFE">
      <w:pPr>
        <w:spacing w:before="120" w:after="120"/>
        <w:rPr>
          <w:szCs w:val="20"/>
          <w:lang w:val="fr-CA"/>
        </w:rPr>
      </w:pPr>
      <w:r w:rsidRPr="00E96518">
        <w:rPr>
          <w:szCs w:val="20"/>
          <w:u w:val="single"/>
          <w:lang w:val="fr-CA"/>
        </w:rPr>
        <w:t>Suivi écologique</w:t>
      </w:r>
      <w:r w:rsidRPr="00E96518">
        <w:rPr>
          <w:szCs w:val="20"/>
          <w:lang w:val="fr-CA"/>
        </w:rPr>
        <w:t>. Un inventaire faunique a été effectué sur une partie du PNKT en 2014 et le Projet PAPSA a financé un inventaire faunique sur toute la superficie du parc et un inventaire forestier par l’IFN2 en 2016. Des placettes de l’IFN2 y sont matérialisées.</w:t>
      </w:r>
    </w:p>
    <w:p w14:paraId="3EEA70A6" w14:textId="77777777" w:rsidR="00302BFE" w:rsidRPr="00E96518" w:rsidRDefault="00302BFE" w:rsidP="00302BFE">
      <w:pPr>
        <w:spacing w:before="120" w:after="120"/>
        <w:rPr>
          <w:szCs w:val="20"/>
          <w:lang w:val="fr-CA"/>
        </w:rPr>
      </w:pPr>
      <w:r w:rsidRPr="00E96518">
        <w:rPr>
          <w:szCs w:val="20"/>
          <w:u w:val="single"/>
          <w:lang w:val="fr-CA"/>
        </w:rPr>
        <w:t>Lutte anti-braconnage</w:t>
      </w:r>
      <w:r w:rsidRPr="00E96518">
        <w:rPr>
          <w:b/>
          <w:szCs w:val="20"/>
          <w:lang w:val="fr-CA"/>
        </w:rPr>
        <w:t xml:space="preserve">. </w:t>
      </w:r>
      <w:r w:rsidRPr="00E96518">
        <w:rPr>
          <w:szCs w:val="20"/>
          <w:lang w:val="fr-CA"/>
        </w:rPr>
        <w:t xml:space="preserve">Plus d’une quarantaine d’agents en charge de la LAB participent à la protection du parc, incluant des postes forestiers tout autour du PNKT et dans les Communes riveraines, des brigades de surveillance de 7 agents dotées d’une base-vie à </w:t>
      </w:r>
      <w:proofErr w:type="spellStart"/>
      <w:r w:rsidRPr="00E96518">
        <w:rPr>
          <w:szCs w:val="20"/>
          <w:lang w:val="fr-CA"/>
        </w:rPr>
        <w:t>PigYiri</w:t>
      </w:r>
      <w:proofErr w:type="spellEnd"/>
      <w:r w:rsidRPr="00E96518">
        <w:rPr>
          <w:szCs w:val="20"/>
          <w:lang w:val="fr-CA"/>
        </w:rPr>
        <w:t xml:space="preserve"> (</w:t>
      </w:r>
      <w:proofErr w:type="spellStart"/>
      <w:r w:rsidRPr="00E96518">
        <w:rPr>
          <w:szCs w:val="20"/>
          <w:lang w:val="fr-CA"/>
        </w:rPr>
        <w:t>appélé</w:t>
      </w:r>
      <w:proofErr w:type="spellEnd"/>
      <w:r w:rsidRPr="00E96518">
        <w:rPr>
          <w:szCs w:val="20"/>
          <w:lang w:val="fr-CA"/>
        </w:rPr>
        <w:t xml:space="preserve"> </w:t>
      </w:r>
      <w:proofErr w:type="spellStart"/>
      <w:r w:rsidRPr="00E96518">
        <w:rPr>
          <w:szCs w:val="20"/>
          <w:lang w:val="fr-CA"/>
        </w:rPr>
        <w:t>Kiékiéli</w:t>
      </w:r>
      <w:proofErr w:type="spellEnd"/>
      <w:r w:rsidRPr="00E96518">
        <w:rPr>
          <w:szCs w:val="20"/>
          <w:lang w:val="fr-CA"/>
        </w:rPr>
        <w:t>) et de 5 agents forestiers à Nobéré. Ces postes effectuent au minimum trois (3) sorties par mois.</w:t>
      </w:r>
    </w:p>
    <w:p w14:paraId="42F07190" w14:textId="1219FF53" w:rsidR="00302BFE" w:rsidRPr="00E96518" w:rsidRDefault="00302BFE" w:rsidP="00302BFE">
      <w:pPr>
        <w:spacing w:before="120" w:after="120"/>
        <w:rPr>
          <w:rFonts w:eastAsia="Times New Roman"/>
          <w:color w:val="003300"/>
          <w:szCs w:val="20"/>
          <w:lang w:val="fr-CA" w:eastAsia="fr-CA"/>
        </w:rPr>
      </w:pPr>
      <w:r w:rsidRPr="00E96518">
        <w:rPr>
          <w:rFonts w:eastAsia="Times New Roman"/>
          <w:color w:val="003300"/>
          <w:szCs w:val="20"/>
          <w:u w:val="single"/>
          <w:lang w:val="fr-CA" w:eastAsia="fr-CA"/>
        </w:rPr>
        <w:t>Appuis</w:t>
      </w:r>
      <w:r w:rsidRPr="00E96518">
        <w:rPr>
          <w:rFonts w:eastAsia="Times New Roman"/>
          <w:color w:val="003300"/>
          <w:szCs w:val="20"/>
          <w:lang w:val="fr-CA" w:eastAsia="fr-CA"/>
        </w:rPr>
        <w:t xml:space="preserve">. En 2003, le parc a bénéficié d’un appui du Projet de Partenariat pour l'Amélioration de la Gestion des </w:t>
      </w:r>
      <w:proofErr w:type="spellStart"/>
      <w:r w:rsidRPr="00E96518">
        <w:rPr>
          <w:rFonts w:eastAsia="Times New Roman"/>
          <w:color w:val="003300"/>
          <w:szCs w:val="20"/>
          <w:lang w:val="fr-CA" w:eastAsia="fr-CA"/>
        </w:rPr>
        <w:t>Ecosystèmes</w:t>
      </w:r>
      <w:proofErr w:type="spellEnd"/>
      <w:r w:rsidRPr="00E96518">
        <w:rPr>
          <w:rFonts w:eastAsia="Times New Roman"/>
          <w:color w:val="003300"/>
          <w:szCs w:val="20"/>
          <w:lang w:val="fr-CA" w:eastAsia="fr-CA"/>
        </w:rPr>
        <w:t xml:space="preserve"> Naturels (PAGEN) qui a permis un changement notable avec l'ouverture des pistes, la conception et la mise en œuvre d'une stratégie de surveillance (budget d’environ 700 millions francs CFA </w:t>
      </w:r>
      <w:r w:rsidR="005E13EB">
        <w:rPr>
          <w:rFonts w:eastAsia="Times New Roman"/>
          <w:color w:val="003300"/>
          <w:szCs w:val="20"/>
          <w:lang w:val="fr-CA" w:eastAsia="fr-CA"/>
        </w:rPr>
        <w:t xml:space="preserve">ou approximativement 1 190 000 $US) </w:t>
      </w:r>
      <w:r w:rsidRPr="00E96518">
        <w:rPr>
          <w:rFonts w:eastAsia="Times New Roman"/>
          <w:color w:val="003300"/>
          <w:szCs w:val="20"/>
          <w:lang w:val="fr-CA" w:eastAsia="fr-CA"/>
        </w:rPr>
        <w:t xml:space="preserve">sur la période 2003-2007. </w:t>
      </w:r>
      <w:r>
        <w:rPr>
          <w:lang w:val="fr-CA"/>
        </w:rPr>
        <w:t>Les p</w:t>
      </w:r>
      <w:r w:rsidRPr="00971523">
        <w:rPr>
          <w:lang w:val="fr-CA"/>
        </w:rPr>
        <w:t>rincipaux aménagements effectués dans le PNKT dans le cadre du PAGEN</w:t>
      </w:r>
      <w:r>
        <w:rPr>
          <w:lang w:val="fr-CA"/>
        </w:rPr>
        <w:t xml:space="preserve"> incluent 120 km d’ouverture de pistes, l’installation de 8 p</w:t>
      </w:r>
      <w:r w:rsidRPr="00971523">
        <w:rPr>
          <w:lang w:val="fr-CA"/>
        </w:rPr>
        <w:t>anneaux</w:t>
      </w:r>
      <w:r>
        <w:rPr>
          <w:lang w:val="fr-CA"/>
        </w:rPr>
        <w:t xml:space="preserve"> et de 57 b</w:t>
      </w:r>
      <w:r w:rsidRPr="00971523">
        <w:rPr>
          <w:lang w:val="fr-CA"/>
        </w:rPr>
        <w:t>ornes</w:t>
      </w:r>
      <w:r>
        <w:rPr>
          <w:lang w:val="fr-CA"/>
        </w:rPr>
        <w:t xml:space="preserve">. </w:t>
      </w:r>
      <w:r w:rsidRPr="00E96518">
        <w:rPr>
          <w:rFonts w:eastAsia="Times New Roman"/>
          <w:color w:val="003300"/>
          <w:szCs w:val="20"/>
          <w:lang w:val="fr-CA" w:eastAsia="fr-CA"/>
        </w:rPr>
        <w:t xml:space="preserve">L’intervention de NATURAMA et du PAGEN a contribué à l’amélioration des revenus mensuels d’environ 500 personnes (augmentation d’environ 30 000 </w:t>
      </w:r>
      <w:r w:rsidR="005E13EB">
        <w:rPr>
          <w:rFonts w:eastAsia="Times New Roman"/>
          <w:color w:val="003300"/>
          <w:szCs w:val="20"/>
          <w:lang w:val="fr-CA" w:eastAsia="fr-CA"/>
        </w:rPr>
        <w:t>F</w:t>
      </w:r>
      <w:r w:rsidRPr="00E96518">
        <w:rPr>
          <w:rFonts w:eastAsia="Times New Roman"/>
          <w:color w:val="003300"/>
          <w:szCs w:val="20"/>
          <w:lang w:val="fr-CA" w:eastAsia="fr-CA"/>
        </w:rPr>
        <w:t>CFA/personne/mois</w:t>
      </w:r>
      <w:r w:rsidR="005E13EB">
        <w:rPr>
          <w:rFonts w:eastAsia="Times New Roman"/>
          <w:color w:val="003300"/>
          <w:szCs w:val="20"/>
          <w:lang w:val="fr-CA" w:eastAsia="fr-CA"/>
        </w:rPr>
        <w:t xml:space="preserve"> – approx. 51 $US</w:t>
      </w:r>
      <w:r w:rsidRPr="00E96518">
        <w:rPr>
          <w:rFonts w:eastAsia="Times New Roman"/>
          <w:color w:val="003300"/>
          <w:szCs w:val="20"/>
          <w:lang w:val="fr-CA" w:eastAsia="fr-CA"/>
        </w:rPr>
        <w:t xml:space="preserve">), réduisant ainsi la pauvreté au niveau rural. </w:t>
      </w:r>
    </w:p>
    <w:p w14:paraId="1D417250" w14:textId="77777777" w:rsidR="00302BFE" w:rsidRPr="00E96518" w:rsidRDefault="00302BFE" w:rsidP="00302BFE">
      <w:pPr>
        <w:spacing w:before="120" w:after="120"/>
        <w:rPr>
          <w:szCs w:val="20"/>
          <w:lang w:val="fr-CA"/>
        </w:rPr>
      </w:pPr>
      <w:r w:rsidRPr="00E96518">
        <w:rPr>
          <w:szCs w:val="20"/>
          <w:u w:val="single"/>
          <w:lang w:val="fr-CA"/>
        </w:rPr>
        <w:t>Menaces</w:t>
      </w:r>
      <w:r w:rsidRPr="00E96518">
        <w:rPr>
          <w:szCs w:val="20"/>
          <w:lang w:val="fr-CA"/>
        </w:rPr>
        <w:t>. Le PNKT est menacé par l’exploitation illégale des ressources naturelles comme la pêche, la collecte de fourrage, de produits forestiers non ligneux, de produits de la pharmacopée traditionnelle, la collecte des colonies de termites pour les poussins, la collecte des balais, le ramassage du sable et des agrégats, et le braconnage de la faune.</w:t>
      </w:r>
    </w:p>
    <w:p w14:paraId="72CB2819" w14:textId="77777777" w:rsidR="00302BFE" w:rsidRPr="00E96518" w:rsidRDefault="00302BFE" w:rsidP="00302BFE">
      <w:pPr>
        <w:spacing w:before="120" w:after="120"/>
        <w:rPr>
          <w:b/>
          <w:szCs w:val="20"/>
          <w:lang w:val="fr-CA"/>
        </w:rPr>
      </w:pPr>
      <w:r w:rsidRPr="00E96518">
        <w:rPr>
          <w:b/>
          <w:szCs w:val="20"/>
          <w:lang w:val="fr-CA"/>
        </w:rPr>
        <w:t>Corridors</w:t>
      </w:r>
    </w:p>
    <w:p w14:paraId="76CE3A65" w14:textId="359A9E52" w:rsidR="00302BFE" w:rsidRDefault="00302BFE" w:rsidP="00302BFE">
      <w:pPr>
        <w:spacing w:before="120" w:after="120"/>
        <w:rPr>
          <w:szCs w:val="20"/>
          <w:lang w:val="fr-CA"/>
        </w:rPr>
      </w:pPr>
      <w:r w:rsidRPr="00714F9A">
        <w:rPr>
          <w:rFonts w:eastAsia="Times New Roman"/>
          <w:color w:val="003300"/>
          <w:szCs w:val="20"/>
          <w:lang w:val="fr-CA" w:eastAsia="fr-CA"/>
        </w:rPr>
        <w:t xml:space="preserve">Dans le cadre du projet PAGEN, des corridors reliant le PNKT au Ranch de Gibier de </w:t>
      </w:r>
      <w:proofErr w:type="spellStart"/>
      <w:r w:rsidRPr="00714F9A">
        <w:rPr>
          <w:rFonts w:eastAsia="Times New Roman"/>
          <w:color w:val="003300"/>
          <w:szCs w:val="20"/>
          <w:lang w:val="fr-CA" w:eastAsia="fr-CA"/>
        </w:rPr>
        <w:t>Nazinga</w:t>
      </w:r>
      <w:proofErr w:type="spellEnd"/>
      <w:r w:rsidRPr="00714F9A">
        <w:rPr>
          <w:rFonts w:eastAsia="Times New Roman"/>
          <w:color w:val="003300"/>
          <w:szCs w:val="20"/>
          <w:lang w:val="fr-CA" w:eastAsia="fr-CA"/>
        </w:rPr>
        <w:t xml:space="preserve"> (corridor #1 - 4 500 ha) et le </w:t>
      </w:r>
      <w:r w:rsidRPr="00714F9A">
        <w:rPr>
          <w:szCs w:val="20"/>
          <w:lang w:val="fr-CA"/>
        </w:rPr>
        <w:t xml:space="preserve">sud-est du PNKT au nord du </w:t>
      </w:r>
      <w:r w:rsidRPr="00714F9A">
        <w:rPr>
          <w:rFonts w:eastAsia="Times New Roman"/>
          <w:color w:val="003300"/>
          <w:szCs w:val="20"/>
          <w:lang w:val="fr-CA" w:eastAsia="fr-CA"/>
        </w:rPr>
        <w:t xml:space="preserve">corridor Red Volta Valley du Ghana (corridor #2 - 33 000 ha) ont été créés et </w:t>
      </w:r>
      <w:r w:rsidRPr="00714F9A">
        <w:rPr>
          <w:lang w:val="fr-CA"/>
        </w:rPr>
        <w:t xml:space="preserve">physiquement </w:t>
      </w:r>
      <w:r w:rsidRPr="00714F9A">
        <w:rPr>
          <w:rFonts w:eastAsia="Times New Roman"/>
          <w:color w:val="003300"/>
          <w:szCs w:val="20"/>
          <w:lang w:val="fr-CA" w:eastAsia="fr-CA"/>
        </w:rPr>
        <w:t xml:space="preserve">délimités à travers un processus de négociations impliquant les communautés locales, les responsables administratifs, les maires, et les responsables coutumiers. Les avant-projets de statut avaient été élaborés et soumis à l’autorité compétente. </w:t>
      </w:r>
      <w:r w:rsidRPr="00714F9A">
        <w:rPr>
          <w:szCs w:val="20"/>
          <w:lang w:val="fr-CA"/>
        </w:rPr>
        <w:t>Malheureusement les documents qui devaient formaliser le classement de ces corridors en tant qu’aires protégées de l’État n’ont pas été élaborés et approuvés par les différentes parties (Collectivités Territoriales, État et Société Civile)</w:t>
      </w:r>
      <w:r w:rsidRPr="00714F9A">
        <w:rPr>
          <w:rFonts w:eastAsia="Times New Roman"/>
          <w:color w:val="003300"/>
          <w:szCs w:val="20"/>
          <w:lang w:val="fr-CA" w:eastAsia="fr-CA"/>
        </w:rPr>
        <w:t xml:space="preserve"> de telle sorte que l</w:t>
      </w:r>
      <w:r w:rsidRPr="00714F9A">
        <w:rPr>
          <w:szCs w:val="20"/>
          <w:lang w:val="fr-CA"/>
        </w:rPr>
        <w:t xml:space="preserve">es corridors au sein du complexe </w:t>
      </w:r>
      <w:proofErr w:type="spellStart"/>
      <w:r w:rsidRPr="00714F9A">
        <w:rPr>
          <w:szCs w:val="20"/>
          <w:lang w:val="fr-CA"/>
        </w:rPr>
        <w:t>d’APs</w:t>
      </w:r>
      <w:proofErr w:type="spellEnd"/>
      <w:r w:rsidRPr="00714F9A">
        <w:rPr>
          <w:szCs w:val="20"/>
          <w:lang w:val="fr-CA"/>
        </w:rPr>
        <w:t xml:space="preserve"> PONASI n’ont pas encore de statut clair. </w:t>
      </w:r>
      <w:bookmarkStart w:id="79" w:name="_Hlk14428645"/>
      <w:r w:rsidRPr="00714F9A">
        <w:rPr>
          <w:szCs w:val="20"/>
          <w:lang w:val="fr-CA"/>
        </w:rPr>
        <w:t xml:space="preserve">L’État burkinabè, à travers le Projet PAGEN avait dédommagé une partie des occupants en leur </w:t>
      </w:r>
      <w:r w:rsidRPr="00714F9A">
        <w:rPr>
          <w:szCs w:val="20"/>
          <w:lang w:val="fr-CA"/>
        </w:rPr>
        <w:lastRenderedPageBreak/>
        <w:t xml:space="preserve">demandant de quitter les corridors 1 et 2. </w:t>
      </w:r>
      <w:r w:rsidRPr="00714F9A">
        <w:rPr>
          <w:lang w:val="fr-CA"/>
        </w:rPr>
        <w:t xml:space="preserve">Le processus de négociation pour la création des corridors a permis d’identifier </w:t>
      </w:r>
      <w:r w:rsidRPr="00714F9A">
        <w:rPr>
          <w:bCs/>
          <w:lang w:val="fr-CA"/>
        </w:rPr>
        <w:t>2 697</w:t>
      </w:r>
      <w:r w:rsidRPr="00714F9A">
        <w:rPr>
          <w:b/>
          <w:bCs/>
          <w:lang w:val="fr-CA"/>
        </w:rPr>
        <w:t xml:space="preserve"> </w:t>
      </w:r>
      <w:r w:rsidRPr="00714F9A">
        <w:rPr>
          <w:lang w:val="fr-CA"/>
        </w:rPr>
        <w:t xml:space="preserve">producteurs qui ont été délocalisés dont </w:t>
      </w:r>
      <w:r w:rsidRPr="00714F9A">
        <w:rPr>
          <w:bCs/>
          <w:lang w:val="fr-CA"/>
        </w:rPr>
        <w:t>1 764</w:t>
      </w:r>
      <w:r w:rsidRPr="00714F9A">
        <w:rPr>
          <w:lang w:val="fr-CA"/>
        </w:rPr>
        <w:t xml:space="preserve"> (65%) ont été appuyés par le PAGEN pour leur réinstallation. À la fin du projet, </w:t>
      </w:r>
      <w:r w:rsidRPr="00714F9A">
        <w:rPr>
          <w:bCs/>
          <w:lang w:val="fr-CA"/>
        </w:rPr>
        <w:t>46 000 000</w:t>
      </w:r>
      <w:r w:rsidRPr="00714F9A">
        <w:rPr>
          <w:lang w:val="fr-CA"/>
        </w:rPr>
        <w:t xml:space="preserve"> FCFA</w:t>
      </w:r>
      <w:r w:rsidRPr="00714F9A">
        <w:rPr>
          <w:rStyle w:val="Appelnotedebasdep"/>
        </w:rPr>
        <w:footnoteReference w:id="89"/>
      </w:r>
      <w:r w:rsidRPr="00714F9A">
        <w:rPr>
          <w:lang w:val="fr-CA"/>
        </w:rPr>
        <w:t xml:space="preserve"> </w:t>
      </w:r>
      <w:r w:rsidR="005E13EB">
        <w:rPr>
          <w:lang w:val="fr-CA"/>
        </w:rPr>
        <w:t xml:space="preserve">(approx 78 200 $US) </w:t>
      </w:r>
      <w:r w:rsidRPr="00714F9A">
        <w:rPr>
          <w:lang w:val="fr-CA"/>
        </w:rPr>
        <w:t xml:space="preserve">avaient été alloués pour cet appui, </w:t>
      </w:r>
      <w:r w:rsidRPr="00714F9A">
        <w:rPr>
          <w:bCs/>
          <w:lang w:val="fr-CA"/>
        </w:rPr>
        <w:t>5 forages</w:t>
      </w:r>
      <w:r w:rsidRPr="00714F9A">
        <w:rPr>
          <w:lang w:val="fr-CA"/>
        </w:rPr>
        <w:t xml:space="preserve"> avaient été effectués dans les zones d’accueil des populations déplacées et de nouvelles terres avaient été affectées aux 770 producteurs qui occupaient illégalement les berges des cours d’eau. </w:t>
      </w:r>
      <w:r w:rsidRPr="00714F9A">
        <w:rPr>
          <w:bCs/>
          <w:lang w:val="fr-CA"/>
        </w:rPr>
        <w:t>Parmi les difficultés majeures qui ont affecté la mise en œuvre du projet PAGEN</w:t>
      </w:r>
      <w:r w:rsidRPr="00714F9A">
        <w:rPr>
          <w:rStyle w:val="Appelnotedebasdep"/>
          <w:bCs/>
          <w:lang w:val="fr-CA"/>
        </w:rPr>
        <w:footnoteReference w:id="90"/>
      </w:r>
      <w:r w:rsidRPr="00714F9A">
        <w:rPr>
          <w:bCs/>
          <w:lang w:val="fr-CA"/>
        </w:rPr>
        <w:t>, le rapport d’évaluation finale souligne que les mesures d’accompagnement des personnes affectées par la création des corridors n’avaient pas été à la hauteur de leurs attentes.</w:t>
      </w:r>
      <w:bookmarkEnd w:id="79"/>
    </w:p>
    <w:p w14:paraId="60A32382" w14:textId="77777777" w:rsidR="00302BFE" w:rsidRPr="00E96518" w:rsidRDefault="00302BFE" w:rsidP="00302BFE">
      <w:pPr>
        <w:spacing w:before="120" w:after="120"/>
        <w:rPr>
          <w:bCs/>
          <w:szCs w:val="20"/>
          <w:lang w:val="fr-CA"/>
        </w:rPr>
      </w:pPr>
      <w:r w:rsidRPr="00E96518">
        <w:rPr>
          <w:bCs/>
          <w:szCs w:val="20"/>
          <w:lang w:val="fr-CA"/>
        </w:rPr>
        <w:t>Il n’y a pas de structure en place pour la gestion des corridors, en dehors de la surveillance faite par les agents des postes forestiers. Ces agents sortent une ou deux fois par semaine pour la surveillance des corridors, mais leurs activités de répression sont limitées par l’absence de textes juridiques statuant sur le classement des corridors</w:t>
      </w:r>
      <w:r>
        <w:rPr>
          <w:bCs/>
          <w:szCs w:val="20"/>
          <w:lang w:val="fr-CA"/>
        </w:rPr>
        <w:t>.</w:t>
      </w:r>
    </w:p>
    <w:p w14:paraId="6D9624F0" w14:textId="77777777" w:rsidR="00302BFE" w:rsidRPr="00E96518" w:rsidRDefault="00302BFE" w:rsidP="00302BFE">
      <w:pPr>
        <w:spacing w:before="120" w:after="120"/>
        <w:rPr>
          <w:bCs/>
          <w:szCs w:val="20"/>
          <w:lang w:val="fr-CA"/>
        </w:rPr>
      </w:pPr>
      <w:r w:rsidRPr="00E96518">
        <w:rPr>
          <w:bCs/>
          <w:szCs w:val="20"/>
          <w:lang w:val="fr-CA"/>
        </w:rPr>
        <w:t xml:space="preserve">Il n’y a pas d’outils de collecte ou de capitalisation des données ou des observations faites par les surveillants ou les agents forestiers comme les cahiers de brousse, les relevés des mouvements de la faune, ou le suivi des animaux braconnées (carcasses, douilles de fusils, </w:t>
      </w:r>
      <w:proofErr w:type="spellStart"/>
      <w:r w:rsidRPr="00E96518">
        <w:rPr>
          <w:bCs/>
          <w:szCs w:val="20"/>
          <w:lang w:val="fr-CA"/>
        </w:rPr>
        <w:t>etc</w:t>
      </w:r>
      <w:proofErr w:type="spellEnd"/>
      <w:r w:rsidRPr="00E96518">
        <w:rPr>
          <w:bCs/>
          <w:szCs w:val="20"/>
          <w:lang w:val="fr-CA"/>
        </w:rPr>
        <w:t>), qui peuvent permettre de suivre l’évolution et/ou la tendance des actions illicites dans les corridors</w:t>
      </w:r>
      <w:r>
        <w:rPr>
          <w:bCs/>
          <w:szCs w:val="20"/>
          <w:lang w:val="fr-CA"/>
        </w:rPr>
        <w:t>.</w:t>
      </w:r>
    </w:p>
    <w:p w14:paraId="34140EEA" w14:textId="77777777" w:rsidR="00302BFE" w:rsidRPr="00E96518" w:rsidRDefault="00302BFE" w:rsidP="00302BFE">
      <w:pPr>
        <w:spacing w:before="120" w:after="120"/>
        <w:rPr>
          <w:szCs w:val="20"/>
          <w:lang w:val="fr-CA"/>
        </w:rPr>
      </w:pPr>
      <w:r w:rsidRPr="00445C1E">
        <w:rPr>
          <w:b/>
          <w:szCs w:val="20"/>
          <w:lang w:val="fr-CA"/>
        </w:rPr>
        <w:t xml:space="preserve">Corridor No </w:t>
      </w:r>
      <w:r>
        <w:rPr>
          <w:b/>
          <w:szCs w:val="20"/>
          <w:lang w:val="fr-CA"/>
        </w:rPr>
        <w:t>1</w:t>
      </w:r>
      <w:r w:rsidRPr="00445C1E">
        <w:rPr>
          <w:b/>
          <w:szCs w:val="20"/>
          <w:lang w:val="fr-CA"/>
        </w:rPr>
        <w:t>.</w:t>
      </w:r>
      <w:r>
        <w:rPr>
          <w:b/>
          <w:szCs w:val="20"/>
          <w:lang w:val="fr-CA"/>
        </w:rPr>
        <w:t xml:space="preserve"> </w:t>
      </w:r>
      <w:r w:rsidRPr="00E96518">
        <w:rPr>
          <w:szCs w:val="20"/>
          <w:u w:val="single"/>
          <w:lang w:val="fr-CA"/>
        </w:rPr>
        <w:t>Biodiversité</w:t>
      </w:r>
      <w:r>
        <w:rPr>
          <w:szCs w:val="20"/>
          <w:lang w:val="fr-CA"/>
        </w:rPr>
        <w:t xml:space="preserve">. </w:t>
      </w:r>
      <w:r w:rsidRPr="00E96518">
        <w:rPr>
          <w:szCs w:val="20"/>
          <w:lang w:val="fr-CA"/>
        </w:rPr>
        <w:t>Dans le corridor N°1, la végétation est assez bien conservée</w:t>
      </w:r>
      <w:r>
        <w:rPr>
          <w:szCs w:val="20"/>
          <w:lang w:val="fr-CA"/>
        </w:rPr>
        <w:t>.</w:t>
      </w:r>
      <w:r w:rsidRPr="00E96518">
        <w:rPr>
          <w:szCs w:val="20"/>
          <w:lang w:val="fr-CA"/>
        </w:rPr>
        <w:t xml:space="preserve"> </w:t>
      </w:r>
      <w:r w:rsidRPr="00E96518">
        <w:rPr>
          <w:szCs w:val="20"/>
          <w:u w:val="single"/>
          <w:lang w:val="fr-CA"/>
        </w:rPr>
        <w:t>Menaces</w:t>
      </w:r>
      <w:r>
        <w:rPr>
          <w:szCs w:val="20"/>
          <w:lang w:val="fr-CA"/>
        </w:rPr>
        <w:t>. La végétation est menacée par</w:t>
      </w:r>
      <w:r w:rsidRPr="00E96518">
        <w:rPr>
          <w:szCs w:val="20"/>
          <w:lang w:val="fr-CA"/>
        </w:rPr>
        <w:t xml:space="preserve"> les pratiques d’exploitation des fruits immatures et le pâturage des animaux. </w:t>
      </w:r>
      <w:r w:rsidRPr="00E96518">
        <w:rPr>
          <w:bCs/>
          <w:szCs w:val="20"/>
          <w:lang w:val="fr-CA"/>
        </w:rPr>
        <w:t>Les populations surexploitent les fruits sauvages souvent cueillis à l’état immature dans les corridors, le pâturage à travers la divagation des animaux et la coupe du bois vert. Ces mauvaises pratiquent compromettent la régénération naturelle et même la survie des jeunes pieds fourragers, à travers les élagages.</w:t>
      </w:r>
    </w:p>
    <w:p w14:paraId="008CE713" w14:textId="77777777" w:rsidR="00302BFE" w:rsidRPr="00E96518" w:rsidRDefault="00302BFE" w:rsidP="00302BFE">
      <w:pPr>
        <w:spacing w:before="120" w:after="120"/>
        <w:rPr>
          <w:szCs w:val="20"/>
          <w:lang w:val="fr-CA"/>
        </w:rPr>
      </w:pPr>
      <w:r w:rsidRPr="00445C1E">
        <w:rPr>
          <w:b/>
          <w:szCs w:val="20"/>
          <w:lang w:val="fr-CA"/>
        </w:rPr>
        <w:t>Corridor No 2.</w:t>
      </w:r>
      <w:r>
        <w:rPr>
          <w:b/>
          <w:szCs w:val="20"/>
          <w:lang w:val="fr-CA"/>
        </w:rPr>
        <w:t xml:space="preserve"> </w:t>
      </w:r>
      <w:r w:rsidRPr="00E96518">
        <w:rPr>
          <w:szCs w:val="20"/>
          <w:u w:val="single"/>
          <w:lang w:val="fr-CA"/>
        </w:rPr>
        <w:t>Biodiversité</w:t>
      </w:r>
      <w:r>
        <w:rPr>
          <w:szCs w:val="20"/>
          <w:lang w:val="fr-CA"/>
        </w:rPr>
        <w:t xml:space="preserve">. </w:t>
      </w:r>
      <w:r w:rsidRPr="00E96518">
        <w:rPr>
          <w:szCs w:val="20"/>
          <w:lang w:val="fr-CA"/>
        </w:rPr>
        <w:t>De nombreuses espèces fauniques font l’objet d’un braconnage intensif et on ne retrouve plus que des espèces comme les francolins et les éléphants</w:t>
      </w:r>
      <w:r>
        <w:rPr>
          <w:szCs w:val="20"/>
          <w:lang w:val="fr-CA"/>
        </w:rPr>
        <w:t>.</w:t>
      </w:r>
      <w:r w:rsidRPr="00E96518">
        <w:rPr>
          <w:szCs w:val="20"/>
          <w:lang w:val="fr-CA"/>
        </w:rPr>
        <w:t xml:space="preserve"> </w:t>
      </w:r>
      <w:proofErr w:type="gramStart"/>
      <w:r w:rsidRPr="00E96518">
        <w:rPr>
          <w:szCs w:val="20"/>
          <w:lang w:val="fr-CA"/>
        </w:rPr>
        <w:t>Par contre</w:t>
      </w:r>
      <w:proofErr w:type="gramEnd"/>
      <w:r>
        <w:rPr>
          <w:szCs w:val="20"/>
          <w:lang w:val="fr-CA"/>
        </w:rPr>
        <w:t>,</w:t>
      </w:r>
      <w:r w:rsidRPr="00E96518">
        <w:rPr>
          <w:szCs w:val="20"/>
          <w:lang w:val="fr-CA"/>
        </w:rPr>
        <w:t xml:space="preserve"> avec la présence du poste forestier dans le corridor n°1, on rencontre quelques espèces de petites antilopes, des éléphants et des singes.</w:t>
      </w:r>
      <w:r>
        <w:rPr>
          <w:szCs w:val="20"/>
          <w:lang w:val="fr-CA"/>
        </w:rPr>
        <w:t xml:space="preserve"> </w:t>
      </w:r>
      <w:r w:rsidRPr="00E96518">
        <w:rPr>
          <w:szCs w:val="20"/>
          <w:u w:val="single"/>
          <w:lang w:val="fr-CA"/>
        </w:rPr>
        <w:t>Menaces</w:t>
      </w:r>
      <w:r>
        <w:rPr>
          <w:szCs w:val="20"/>
          <w:lang w:val="fr-CA"/>
        </w:rPr>
        <w:t xml:space="preserve">. </w:t>
      </w:r>
      <w:r w:rsidRPr="00E96518">
        <w:rPr>
          <w:szCs w:val="20"/>
          <w:lang w:val="fr-CA"/>
        </w:rPr>
        <w:t xml:space="preserve">Au </w:t>
      </w:r>
      <w:r>
        <w:rPr>
          <w:szCs w:val="20"/>
          <w:lang w:val="fr-CA"/>
        </w:rPr>
        <w:t>sein</w:t>
      </w:r>
      <w:r w:rsidRPr="00E96518">
        <w:rPr>
          <w:szCs w:val="20"/>
          <w:lang w:val="fr-CA"/>
        </w:rPr>
        <w:t xml:space="preserve"> du corridor n°2, la rivière constitue un site écologique important en raison de la permanence d’eau dans le lit du </w:t>
      </w:r>
      <w:proofErr w:type="spellStart"/>
      <w:r w:rsidRPr="00E96518">
        <w:rPr>
          <w:szCs w:val="20"/>
          <w:lang w:val="fr-CA"/>
        </w:rPr>
        <w:t>Nazinon</w:t>
      </w:r>
      <w:proofErr w:type="spellEnd"/>
      <w:r w:rsidRPr="00E96518">
        <w:rPr>
          <w:szCs w:val="20"/>
          <w:lang w:val="fr-CA"/>
        </w:rPr>
        <w:t xml:space="preserve">. La rivière </w:t>
      </w:r>
      <w:proofErr w:type="spellStart"/>
      <w:r w:rsidRPr="00E96518">
        <w:rPr>
          <w:szCs w:val="20"/>
          <w:lang w:val="fr-CA"/>
        </w:rPr>
        <w:t>Nazinon</w:t>
      </w:r>
      <w:proofErr w:type="spellEnd"/>
      <w:r w:rsidRPr="00E96518">
        <w:rPr>
          <w:szCs w:val="20"/>
          <w:lang w:val="fr-CA"/>
        </w:rPr>
        <w:t xml:space="preserve"> dispose d’une eau de bonne qualité et abondante et ne déborde pas de son lit. Le fonctionnement de l’écosystème est perturbé par la surexploitation du bois vert, et les pratiques d’élagages des espèces fourragères par le bétail et par le surpâturage des animaux domestiques. En outre, cette rivière navigable dans la partie sud du corridor est utilisée par les braconniers pour l’abattage des éléphants. Dans ce corridor n°2, les terres, jadis surexploités par les communautés locales, sont dégradées et la restauration des sols et de la végétation </w:t>
      </w:r>
      <w:r>
        <w:rPr>
          <w:szCs w:val="20"/>
          <w:lang w:val="fr-CA"/>
        </w:rPr>
        <w:t>est</w:t>
      </w:r>
      <w:r w:rsidRPr="00E96518">
        <w:rPr>
          <w:szCs w:val="20"/>
          <w:lang w:val="fr-CA"/>
        </w:rPr>
        <w:t xml:space="preserve"> une priorité. Le Projet PAPSA a permis la récupération d’environ 80</w:t>
      </w:r>
      <w:r>
        <w:rPr>
          <w:szCs w:val="20"/>
          <w:lang w:val="fr-CA"/>
        </w:rPr>
        <w:t> </w:t>
      </w:r>
      <w:r w:rsidRPr="00E96518">
        <w:rPr>
          <w:szCs w:val="20"/>
          <w:lang w:val="fr-CA"/>
        </w:rPr>
        <w:t xml:space="preserve">ha de sols dégradés </w:t>
      </w:r>
      <w:r>
        <w:rPr>
          <w:szCs w:val="20"/>
          <w:lang w:val="fr-CA"/>
        </w:rPr>
        <w:t xml:space="preserve">au sein </w:t>
      </w:r>
      <w:r w:rsidRPr="00E96518">
        <w:rPr>
          <w:szCs w:val="20"/>
          <w:lang w:val="fr-CA"/>
        </w:rPr>
        <w:t>d</w:t>
      </w:r>
      <w:r>
        <w:rPr>
          <w:szCs w:val="20"/>
          <w:lang w:val="fr-CA"/>
        </w:rPr>
        <w:t xml:space="preserve">e ce </w:t>
      </w:r>
      <w:r w:rsidRPr="00E96518">
        <w:rPr>
          <w:szCs w:val="20"/>
          <w:lang w:val="fr-CA"/>
        </w:rPr>
        <w:t>corridor.</w:t>
      </w:r>
      <w:r w:rsidRPr="00445C1E">
        <w:rPr>
          <w:szCs w:val="20"/>
          <w:lang w:val="fr-CA"/>
        </w:rPr>
        <w:t xml:space="preserve"> </w:t>
      </w:r>
      <w:r w:rsidRPr="00E96518">
        <w:rPr>
          <w:szCs w:val="20"/>
          <w:lang w:val="fr-CA"/>
        </w:rPr>
        <w:t>Les conflits hommes-faune sont fréquents dans les villages limitrophes du corridor N°2. Toutefois les conflits sont mieux supportés au Burkina Faso, que dans les villages limitrophes au Ghana où les éléphants sont systématiquement abattus.</w:t>
      </w:r>
      <w:r>
        <w:rPr>
          <w:szCs w:val="20"/>
          <w:lang w:val="fr-CA"/>
        </w:rPr>
        <w:t xml:space="preserve"> </w:t>
      </w:r>
      <w:r w:rsidRPr="00E96518">
        <w:rPr>
          <w:szCs w:val="20"/>
          <w:u w:val="single"/>
          <w:lang w:val="fr-CA"/>
        </w:rPr>
        <w:t>Aménagement</w:t>
      </w:r>
      <w:r>
        <w:rPr>
          <w:szCs w:val="20"/>
          <w:lang w:val="fr-CA"/>
        </w:rPr>
        <w:t xml:space="preserve">. </w:t>
      </w:r>
      <w:r w:rsidRPr="00E96518">
        <w:rPr>
          <w:szCs w:val="20"/>
          <w:lang w:val="fr-CA"/>
        </w:rPr>
        <w:t xml:space="preserve">Le corridor 2 n’est pas balisé, il n’y a pas de piste à l’intérieur et pas d’entretien. Il existe de petites bornes, </w:t>
      </w:r>
      <w:r>
        <w:rPr>
          <w:szCs w:val="20"/>
          <w:lang w:val="fr-CA"/>
        </w:rPr>
        <w:t>peu</w:t>
      </w:r>
      <w:r w:rsidRPr="00E96518">
        <w:rPr>
          <w:szCs w:val="20"/>
          <w:lang w:val="fr-CA"/>
        </w:rPr>
        <w:t xml:space="preserve"> visibles. </w:t>
      </w:r>
    </w:p>
    <w:p w14:paraId="388982FE" w14:textId="77777777" w:rsidR="00302BFE" w:rsidRPr="00D51368" w:rsidRDefault="00302BFE" w:rsidP="00302BFE">
      <w:pPr>
        <w:pStyle w:val="Paragraphedeliste"/>
        <w:tabs>
          <w:tab w:val="left" w:pos="284"/>
        </w:tabs>
        <w:spacing w:before="120" w:after="120"/>
        <w:ind w:left="0"/>
        <w:jc w:val="both"/>
        <w:rPr>
          <w:rFonts w:ascii="Calibri" w:hAnsi="Calibri"/>
          <w:sz w:val="20"/>
          <w:szCs w:val="20"/>
          <w:lang w:val="fr-CA"/>
        </w:rPr>
      </w:pPr>
      <w:r w:rsidRPr="00D51368">
        <w:rPr>
          <w:rFonts w:ascii="Calibri" w:hAnsi="Calibri"/>
          <w:b/>
          <w:sz w:val="20"/>
          <w:szCs w:val="20"/>
          <w:lang w:val="fr-CA"/>
        </w:rPr>
        <w:t>Populations au sein de l’aire paysagère PONASI</w:t>
      </w:r>
    </w:p>
    <w:p w14:paraId="0E7321DE" w14:textId="63599879" w:rsidR="00302BFE" w:rsidRPr="00D51368" w:rsidRDefault="00302BFE" w:rsidP="00302BFE">
      <w:pPr>
        <w:rPr>
          <w:szCs w:val="20"/>
          <w:lang w:val="fr-CA"/>
        </w:rPr>
      </w:pPr>
      <w:r w:rsidRPr="00D51368">
        <w:rPr>
          <w:szCs w:val="20"/>
          <w:lang w:val="fr-CA"/>
        </w:rPr>
        <w:t xml:space="preserve">Autour du Ranch de gibier de </w:t>
      </w:r>
      <w:proofErr w:type="spellStart"/>
      <w:r w:rsidRPr="00D51368">
        <w:rPr>
          <w:szCs w:val="20"/>
          <w:lang w:val="fr-CA"/>
        </w:rPr>
        <w:t>Nazinga</w:t>
      </w:r>
      <w:proofErr w:type="spellEnd"/>
      <w:r>
        <w:rPr>
          <w:szCs w:val="20"/>
          <w:lang w:val="fr-CA"/>
        </w:rPr>
        <w:t>,</w:t>
      </w:r>
      <w:r w:rsidRPr="006E5CB3">
        <w:rPr>
          <w:szCs w:val="20"/>
          <w:lang w:val="fr-CA"/>
        </w:rPr>
        <w:t xml:space="preserve"> </w:t>
      </w:r>
      <w:proofErr w:type="gramStart"/>
      <w:r>
        <w:rPr>
          <w:szCs w:val="20"/>
          <w:lang w:val="fr-CA"/>
        </w:rPr>
        <w:t xml:space="preserve">les </w:t>
      </w:r>
      <w:r w:rsidRPr="006E5CB3">
        <w:rPr>
          <w:szCs w:val="20"/>
          <w:lang w:val="fr-CA"/>
        </w:rPr>
        <w:t>Gourounsi</w:t>
      </w:r>
      <w:proofErr w:type="gramEnd"/>
      <w:r w:rsidRPr="00D51368">
        <w:rPr>
          <w:szCs w:val="20"/>
          <w:lang w:val="fr-CA"/>
        </w:rPr>
        <w:t xml:space="preserve"> constituent le groupe ethnique majoritaire (93%), en plus des </w:t>
      </w:r>
      <w:r>
        <w:rPr>
          <w:szCs w:val="20"/>
          <w:lang w:val="fr-CA"/>
        </w:rPr>
        <w:t>Mossi</w:t>
      </w:r>
      <w:r w:rsidRPr="00D51368">
        <w:rPr>
          <w:szCs w:val="20"/>
          <w:lang w:val="fr-CA"/>
        </w:rPr>
        <w:t xml:space="preserve"> (4%), Bissa (2%) et Peul (1%)</w:t>
      </w:r>
      <w:r w:rsidRPr="00D51368">
        <w:rPr>
          <w:rStyle w:val="Appelnotedebasdep"/>
          <w:szCs w:val="20"/>
        </w:rPr>
        <w:footnoteReference w:id="91"/>
      </w:r>
      <w:r w:rsidRPr="00D51368">
        <w:rPr>
          <w:szCs w:val="20"/>
          <w:lang w:val="fr-CA"/>
        </w:rPr>
        <w:t>.</w:t>
      </w:r>
      <w:r>
        <w:rPr>
          <w:szCs w:val="20"/>
          <w:lang w:val="fr-CA"/>
        </w:rPr>
        <w:t xml:space="preserve"> Les </w:t>
      </w:r>
      <w:r w:rsidRPr="006E5CB3">
        <w:rPr>
          <w:szCs w:val="20"/>
          <w:lang w:val="fr-CA"/>
        </w:rPr>
        <w:t>Gourounsi</w:t>
      </w:r>
      <w:r>
        <w:rPr>
          <w:rStyle w:val="Appelnotedebasdep"/>
          <w:szCs w:val="20"/>
        </w:rPr>
        <w:footnoteReference w:id="92"/>
      </w:r>
      <w:r w:rsidRPr="006E5CB3">
        <w:rPr>
          <w:szCs w:val="20"/>
          <w:lang w:val="fr-CA"/>
        </w:rPr>
        <w:t xml:space="preserve"> regroup</w:t>
      </w:r>
      <w:r>
        <w:rPr>
          <w:szCs w:val="20"/>
          <w:lang w:val="fr-CA"/>
        </w:rPr>
        <w:t>e</w:t>
      </w:r>
      <w:r w:rsidRPr="006E5CB3">
        <w:rPr>
          <w:szCs w:val="20"/>
          <w:lang w:val="fr-CA"/>
        </w:rPr>
        <w:t xml:space="preserve">nt notamment les </w:t>
      </w:r>
      <w:proofErr w:type="spellStart"/>
      <w:r w:rsidRPr="006E5CB3">
        <w:rPr>
          <w:szCs w:val="20"/>
          <w:lang w:val="fr-CA"/>
        </w:rPr>
        <w:t>Nuna</w:t>
      </w:r>
      <w:proofErr w:type="spellEnd"/>
      <w:r w:rsidRPr="006E5CB3">
        <w:rPr>
          <w:szCs w:val="20"/>
          <w:lang w:val="fr-CA"/>
        </w:rPr>
        <w:t xml:space="preserve"> et les </w:t>
      </w:r>
      <w:proofErr w:type="spellStart"/>
      <w:r w:rsidRPr="006E5CB3">
        <w:rPr>
          <w:szCs w:val="20"/>
          <w:lang w:val="fr-CA"/>
        </w:rPr>
        <w:t>Kasséna</w:t>
      </w:r>
      <w:proofErr w:type="spellEnd"/>
      <w:r w:rsidRPr="006E5CB3">
        <w:rPr>
          <w:szCs w:val="20"/>
          <w:lang w:val="fr-CA"/>
        </w:rPr>
        <w:t xml:space="preserve"> qui occupent les provin</w:t>
      </w:r>
      <w:r w:rsidR="0076644E">
        <w:rPr>
          <w:szCs w:val="20"/>
          <w:lang w:val="fr-CA"/>
        </w:rPr>
        <w:t>c</w:t>
      </w:r>
      <w:r w:rsidRPr="006E5CB3">
        <w:rPr>
          <w:szCs w:val="20"/>
          <w:lang w:val="fr-CA"/>
        </w:rPr>
        <w:t xml:space="preserve">es du Nahouri et de la Sissili. Le pays </w:t>
      </w:r>
      <w:proofErr w:type="spellStart"/>
      <w:r w:rsidRPr="006E5CB3">
        <w:rPr>
          <w:szCs w:val="20"/>
          <w:lang w:val="fr-CA"/>
        </w:rPr>
        <w:t>Kasséna</w:t>
      </w:r>
      <w:proofErr w:type="spellEnd"/>
      <w:r w:rsidRPr="006E5CB3">
        <w:rPr>
          <w:szCs w:val="20"/>
          <w:lang w:val="fr-CA"/>
        </w:rPr>
        <w:t xml:space="preserve"> s’étend de la rivière </w:t>
      </w:r>
      <w:proofErr w:type="spellStart"/>
      <w:r w:rsidRPr="006E5CB3">
        <w:rPr>
          <w:szCs w:val="20"/>
          <w:lang w:val="fr-CA"/>
        </w:rPr>
        <w:t>Nazinon</w:t>
      </w:r>
      <w:proofErr w:type="spellEnd"/>
      <w:r w:rsidRPr="006E5CB3">
        <w:rPr>
          <w:szCs w:val="20"/>
          <w:lang w:val="fr-CA"/>
        </w:rPr>
        <w:t xml:space="preserve"> jusqu’à la rivière Sissili à l’Ouest, dans les communes de Pô, Tiébélé et Guiaro, et se prolonge dans le nord du Ghana. Le RGN se trouve sur des terres appropriées par des villages riverains </w:t>
      </w:r>
      <w:proofErr w:type="spellStart"/>
      <w:r w:rsidRPr="006E5CB3">
        <w:rPr>
          <w:szCs w:val="20"/>
          <w:lang w:val="fr-CA"/>
        </w:rPr>
        <w:t>Nuna</w:t>
      </w:r>
      <w:proofErr w:type="spellEnd"/>
      <w:r w:rsidRPr="006E5CB3">
        <w:rPr>
          <w:szCs w:val="20"/>
          <w:lang w:val="fr-CA"/>
        </w:rPr>
        <w:t xml:space="preserve"> et </w:t>
      </w:r>
      <w:proofErr w:type="spellStart"/>
      <w:r w:rsidRPr="006E5CB3">
        <w:rPr>
          <w:szCs w:val="20"/>
          <w:lang w:val="fr-CA"/>
        </w:rPr>
        <w:t>Kasséna</w:t>
      </w:r>
      <w:proofErr w:type="spellEnd"/>
      <w:r w:rsidRPr="006E5CB3">
        <w:rPr>
          <w:szCs w:val="20"/>
          <w:lang w:val="fr-CA"/>
        </w:rPr>
        <w:t xml:space="preserve"> qui y revendiquent des droits coutumiers et y exercent différentes maîtrises sur les terres et les ressources. Lors de la création du RGN, ces populations ont délibérément cédé leurs terres dans l’espoir d’un avenir meilleur. D’autres groupes ethniques, </w:t>
      </w:r>
      <w:proofErr w:type="gramStart"/>
      <w:r w:rsidRPr="006E5CB3">
        <w:rPr>
          <w:szCs w:val="20"/>
          <w:lang w:val="fr-CA"/>
        </w:rPr>
        <w:t>les Mossi</w:t>
      </w:r>
      <w:proofErr w:type="gramEnd"/>
      <w:r w:rsidRPr="006E5CB3">
        <w:rPr>
          <w:szCs w:val="20"/>
          <w:lang w:val="fr-CA"/>
        </w:rPr>
        <w:t xml:space="preserve"> et les </w:t>
      </w:r>
      <w:r>
        <w:rPr>
          <w:szCs w:val="20"/>
          <w:lang w:val="fr-CA"/>
        </w:rPr>
        <w:t>Peul</w:t>
      </w:r>
      <w:r w:rsidRPr="006E5CB3">
        <w:rPr>
          <w:szCs w:val="20"/>
          <w:lang w:val="fr-CA"/>
        </w:rPr>
        <w:t xml:space="preserve"> </w:t>
      </w:r>
      <w:r>
        <w:rPr>
          <w:szCs w:val="20"/>
          <w:lang w:val="fr-CA"/>
        </w:rPr>
        <w:t>(ou</w:t>
      </w:r>
      <w:r w:rsidRPr="00E72453">
        <w:rPr>
          <w:szCs w:val="20"/>
          <w:lang w:val="fr-CA"/>
        </w:rPr>
        <w:t xml:space="preserve"> </w:t>
      </w:r>
      <w:r w:rsidRPr="006E5CB3">
        <w:rPr>
          <w:szCs w:val="20"/>
          <w:lang w:val="fr-CA"/>
        </w:rPr>
        <w:t>Fulani</w:t>
      </w:r>
      <w:r>
        <w:rPr>
          <w:szCs w:val="20"/>
          <w:lang w:val="fr-CA"/>
        </w:rPr>
        <w:t>)</w:t>
      </w:r>
      <w:r w:rsidRPr="006E5CB3">
        <w:rPr>
          <w:szCs w:val="20"/>
          <w:lang w:val="fr-CA"/>
        </w:rPr>
        <w:t>, partagent le sud du Burkina Faso avec les Gourounsi. Les Mossi, arrivés par vagues successives depuis le plateau du nord du pays, constituent actuellement la majorité de la population</w:t>
      </w:r>
      <w:r w:rsidR="00605CBE">
        <w:rPr>
          <w:szCs w:val="20"/>
          <w:lang w:val="fr-CA"/>
        </w:rPr>
        <w:t xml:space="preserve"> immigrante</w:t>
      </w:r>
      <w:r w:rsidRPr="006E5CB3">
        <w:rPr>
          <w:szCs w:val="20"/>
          <w:lang w:val="fr-CA"/>
        </w:rPr>
        <w:t xml:space="preserve">. Ce sont des agriculteurs et d’importants concurrents dans l’accès à la terre. </w:t>
      </w:r>
      <w:proofErr w:type="gramStart"/>
      <w:r w:rsidRPr="006E5CB3">
        <w:rPr>
          <w:szCs w:val="20"/>
          <w:lang w:val="fr-CA"/>
        </w:rPr>
        <w:t xml:space="preserve">Les </w:t>
      </w:r>
      <w:r>
        <w:rPr>
          <w:szCs w:val="20"/>
          <w:lang w:val="fr-CA"/>
        </w:rPr>
        <w:t>Peul</w:t>
      </w:r>
      <w:proofErr w:type="gramEnd"/>
      <w:r w:rsidRPr="006E5CB3">
        <w:rPr>
          <w:szCs w:val="20"/>
          <w:lang w:val="fr-CA"/>
        </w:rPr>
        <w:t xml:space="preserve"> sont des agro-pasteurs migrants nomades, à la recherche de pâturages pour leurs troupeaux de bovins.</w:t>
      </w:r>
      <w:r w:rsidRPr="007A6983">
        <w:rPr>
          <w:szCs w:val="20"/>
          <w:lang w:val="fr-CA"/>
        </w:rPr>
        <w:t xml:space="preserve"> </w:t>
      </w:r>
      <w:r w:rsidRPr="00066BE7">
        <w:rPr>
          <w:szCs w:val="20"/>
          <w:lang w:val="fr-CA"/>
        </w:rPr>
        <w:t xml:space="preserve">La population humaine autour du </w:t>
      </w:r>
      <w:r w:rsidR="00F92E82">
        <w:rPr>
          <w:szCs w:val="20"/>
          <w:lang w:val="fr-CA"/>
        </w:rPr>
        <w:t>RGN</w:t>
      </w:r>
      <w:r w:rsidRPr="00066BE7">
        <w:rPr>
          <w:szCs w:val="20"/>
          <w:lang w:val="fr-CA"/>
        </w:rPr>
        <w:t xml:space="preserve"> a été multipliée par 4,5 en 30 ans</w:t>
      </w:r>
      <w:r w:rsidRPr="00066BE7">
        <w:rPr>
          <w:rStyle w:val="Appelnotedebasdep"/>
          <w:lang w:val="en-CA"/>
        </w:rPr>
        <w:footnoteReference w:id="93"/>
      </w:r>
      <w:r w:rsidRPr="001B0E9E">
        <w:rPr>
          <w:lang w:val="fr-CA"/>
        </w:rPr>
        <w:t>.</w:t>
      </w:r>
      <w:r>
        <w:rPr>
          <w:lang w:val="fr-CA"/>
        </w:rPr>
        <w:t xml:space="preserve"> </w:t>
      </w:r>
      <w:r w:rsidRPr="00D51368">
        <w:rPr>
          <w:szCs w:val="20"/>
          <w:lang w:val="fr-CA"/>
        </w:rPr>
        <w:t>La Sissili est aussi caractérisée par un afflux important de migrants attirés par l’importance des ressources naturelles et la relative fertilité des terres</w:t>
      </w:r>
      <w:r w:rsidRPr="00D51368">
        <w:rPr>
          <w:rStyle w:val="Appelnotedebasdep"/>
          <w:szCs w:val="20"/>
        </w:rPr>
        <w:footnoteReference w:id="94"/>
      </w:r>
      <w:r w:rsidRPr="00D51368">
        <w:rPr>
          <w:szCs w:val="20"/>
          <w:lang w:val="fr-CA"/>
        </w:rPr>
        <w:t xml:space="preserve">. On y rencontre surtout les </w:t>
      </w:r>
      <w:proofErr w:type="spellStart"/>
      <w:r w:rsidRPr="00D51368">
        <w:rPr>
          <w:bCs/>
          <w:szCs w:val="20"/>
          <w:lang w:val="fr-CA"/>
        </w:rPr>
        <w:t>Nuni</w:t>
      </w:r>
      <w:proofErr w:type="spellEnd"/>
      <w:r w:rsidRPr="00D51368">
        <w:rPr>
          <w:szCs w:val="20"/>
          <w:lang w:val="fr-CA"/>
        </w:rPr>
        <w:t xml:space="preserve">, un sous-groupe Gourounsi dont la présence dans la région est ancienne, ainsi que les </w:t>
      </w:r>
      <w:r>
        <w:rPr>
          <w:szCs w:val="20"/>
          <w:lang w:val="fr-CA"/>
        </w:rPr>
        <w:t>Mossi</w:t>
      </w:r>
      <w:r w:rsidRPr="00D51368">
        <w:rPr>
          <w:szCs w:val="20"/>
          <w:lang w:val="fr-CA"/>
        </w:rPr>
        <w:t xml:space="preserve">, les </w:t>
      </w:r>
      <w:proofErr w:type="spellStart"/>
      <w:r w:rsidRPr="00D51368">
        <w:rPr>
          <w:szCs w:val="20"/>
          <w:lang w:val="fr-CA"/>
        </w:rPr>
        <w:t>Ouala</w:t>
      </w:r>
      <w:proofErr w:type="spellEnd"/>
      <w:r w:rsidRPr="00D51368">
        <w:rPr>
          <w:szCs w:val="20"/>
          <w:lang w:val="fr-CA"/>
        </w:rPr>
        <w:t xml:space="preserve"> et </w:t>
      </w:r>
      <w:proofErr w:type="gramStart"/>
      <w:r w:rsidRPr="00D51368">
        <w:rPr>
          <w:szCs w:val="20"/>
          <w:lang w:val="fr-CA"/>
        </w:rPr>
        <w:t>les Peul</w:t>
      </w:r>
      <w:proofErr w:type="gramEnd"/>
      <w:r w:rsidRPr="00D51368">
        <w:rPr>
          <w:szCs w:val="20"/>
          <w:lang w:val="fr-CA"/>
        </w:rPr>
        <w:t>.</w:t>
      </w:r>
      <w:r>
        <w:rPr>
          <w:szCs w:val="20"/>
          <w:lang w:val="fr-CA"/>
        </w:rPr>
        <w:t xml:space="preserve"> </w:t>
      </w:r>
      <w:r w:rsidRPr="00D51368">
        <w:rPr>
          <w:szCs w:val="20"/>
          <w:lang w:val="fr-CA"/>
        </w:rPr>
        <w:t xml:space="preserve">Les villages riverains du PNKT sont multiethniques et composés de plusieurs groupes installés à différentes époques. Les groupes les plus anciennement installés et les plus nombreux sur les deux rives du </w:t>
      </w:r>
      <w:proofErr w:type="spellStart"/>
      <w:r w:rsidRPr="00D51368">
        <w:rPr>
          <w:szCs w:val="20"/>
          <w:lang w:val="fr-CA"/>
        </w:rPr>
        <w:t>Nazinon</w:t>
      </w:r>
      <w:proofErr w:type="spellEnd"/>
      <w:r w:rsidRPr="00D51368">
        <w:rPr>
          <w:szCs w:val="20"/>
          <w:lang w:val="fr-CA"/>
        </w:rPr>
        <w:t xml:space="preserve"> sont </w:t>
      </w:r>
      <w:proofErr w:type="gramStart"/>
      <w:r w:rsidRPr="00D51368">
        <w:rPr>
          <w:szCs w:val="20"/>
          <w:lang w:val="fr-CA"/>
        </w:rPr>
        <w:t xml:space="preserve">les </w:t>
      </w:r>
      <w:r>
        <w:rPr>
          <w:szCs w:val="20"/>
          <w:lang w:val="fr-CA"/>
        </w:rPr>
        <w:t>Mossi</w:t>
      </w:r>
      <w:proofErr w:type="gramEnd"/>
      <w:r w:rsidRPr="00D51368">
        <w:rPr>
          <w:szCs w:val="20"/>
          <w:lang w:val="fr-CA"/>
        </w:rPr>
        <w:t xml:space="preserve"> et les Gourounsi</w:t>
      </w:r>
      <w:r w:rsidR="00F92E82">
        <w:rPr>
          <w:rStyle w:val="Appelnotedebasdep"/>
          <w:szCs w:val="20"/>
          <w:lang w:val="fr-CA"/>
        </w:rPr>
        <w:footnoteReference w:id="95"/>
      </w:r>
      <w:r w:rsidRPr="00D51368">
        <w:rPr>
          <w:szCs w:val="20"/>
          <w:lang w:val="fr-CA"/>
        </w:rPr>
        <w:t xml:space="preserve">. Autour du corridor N°2, dans la commune de Zabré, la population est surtout composée des Bissa, </w:t>
      </w:r>
      <w:proofErr w:type="spellStart"/>
      <w:r w:rsidRPr="00D51368">
        <w:rPr>
          <w:szCs w:val="20"/>
          <w:lang w:val="fr-CA"/>
        </w:rPr>
        <w:t>Koussassi</w:t>
      </w:r>
      <w:proofErr w:type="spellEnd"/>
      <w:r w:rsidRPr="00D51368">
        <w:rPr>
          <w:szCs w:val="20"/>
          <w:lang w:val="fr-CA"/>
        </w:rPr>
        <w:t xml:space="preserve">, </w:t>
      </w:r>
      <w:proofErr w:type="spellStart"/>
      <w:r w:rsidRPr="00D51368">
        <w:rPr>
          <w:szCs w:val="20"/>
          <w:lang w:val="fr-CA"/>
        </w:rPr>
        <w:t>Moosé</w:t>
      </w:r>
      <w:proofErr w:type="spellEnd"/>
      <w:r w:rsidRPr="00D51368">
        <w:rPr>
          <w:szCs w:val="20"/>
          <w:lang w:val="fr-CA"/>
        </w:rPr>
        <w:t xml:space="preserve">, Gourounsi et Peul (PCD de la commune de Zabré, 2015). Les </w:t>
      </w:r>
      <w:proofErr w:type="spellStart"/>
      <w:r w:rsidRPr="00D51368">
        <w:rPr>
          <w:bCs/>
          <w:szCs w:val="20"/>
          <w:lang w:val="fr-CA"/>
        </w:rPr>
        <w:t>Kasséna</w:t>
      </w:r>
      <w:proofErr w:type="spellEnd"/>
      <w:r w:rsidRPr="00D51368">
        <w:rPr>
          <w:bCs/>
          <w:szCs w:val="20"/>
          <w:lang w:val="fr-CA"/>
        </w:rPr>
        <w:t xml:space="preserve">, </w:t>
      </w:r>
      <w:r w:rsidRPr="00D51368">
        <w:rPr>
          <w:bCs/>
          <w:szCs w:val="20"/>
          <w:lang w:val="fr-CA"/>
        </w:rPr>
        <w:lastRenderedPageBreak/>
        <w:t xml:space="preserve">un sous-groupe </w:t>
      </w:r>
      <w:r w:rsidRPr="00D51368">
        <w:rPr>
          <w:szCs w:val="20"/>
          <w:lang w:val="fr-CA"/>
        </w:rPr>
        <w:t xml:space="preserve">Gourounsi, représentent plus de 85% de la population dans les communes de Tiébélé, Pô et Guiaro. Dans les communes de Nobéré, Toécé et Doulougou, </w:t>
      </w:r>
      <w:proofErr w:type="gramStart"/>
      <w:r w:rsidRPr="00D51368">
        <w:rPr>
          <w:szCs w:val="20"/>
          <w:lang w:val="fr-CA"/>
        </w:rPr>
        <w:t>les Mo</w:t>
      </w:r>
      <w:r w:rsidR="00F92E82">
        <w:rPr>
          <w:szCs w:val="20"/>
          <w:lang w:val="fr-CA"/>
        </w:rPr>
        <w:t>s</w:t>
      </w:r>
      <w:r w:rsidRPr="00D51368">
        <w:rPr>
          <w:szCs w:val="20"/>
          <w:lang w:val="fr-CA"/>
        </w:rPr>
        <w:t>s</w:t>
      </w:r>
      <w:r w:rsidR="00F92E82">
        <w:rPr>
          <w:szCs w:val="20"/>
          <w:lang w:val="fr-CA"/>
        </w:rPr>
        <w:t>i</w:t>
      </w:r>
      <w:proofErr w:type="gramEnd"/>
      <w:r w:rsidRPr="00D51368">
        <w:rPr>
          <w:szCs w:val="20"/>
          <w:lang w:val="fr-CA"/>
        </w:rPr>
        <w:t xml:space="preserve"> sont les plus nombreux, alors que les </w:t>
      </w:r>
      <w:proofErr w:type="spellStart"/>
      <w:r w:rsidRPr="00D51368">
        <w:rPr>
          <w:szCs w:val="20"/>
          <w:lang w:val="fr-CA"/>
        </w:rPr>
        <w:t>Kasséna</w:t>
      </w:r>
      <w:proofErr w:type="spellEnd"/>
      <w:r w:rsidRPr="00D51368">
        <w:rPr>
          <w:szCs w:val="20"/>
          <w:lang w:val="fr-CA"/>
        </w:rPr>
        <w:t xml:space="preserve"> sont plus fortement présents dans le Nahouri. Dans la commune de Zoaga, les groupes ethniques les plus importants en nombre sont les </w:t>
      </w:r>
      <w:proofErr w:type="spellStart"/>
      <w:r w:rsidRPr="00D51368">
        <w:rPr>
          <w:szCs w:val="20"/>
          <w:lang w:val="fr-CA"/>
        </w:rPr>
        <w:t>Koussassi</w:t>
      </w:r>
      <w:proofErr w:type="spellEnd"/>
      <w:r w:rsidRPr="00D51368">
        <w:rPr>
          <w:szCs w:val="20"/>
          <w:lang w:val="fr-CA"/>
        </w:rPr>
        <w:t xml:space="preserve"> (75%), les Bissas (25%), les Peul (3%) et les </w:t>
      </w:r>
      <w:r>
        <w:rPr>
          <w:szCs w:val="20"/>
          <w:lang w:val="fr-CA"/>
        </w:rPr>
        <w:t>Mossi</w:t>
      </w:r>
      <w:r w:rsidRPr="00D51368">
        <w:rPr>
          <w:szCs w:val="20"/>
          <w:lang w:val="fr-CA"/>
        </w:rPr>
        <w:t xml:space="preserve"> (1%) (PCD de la commune de Zoaga, 2013). On y rencontre également des ethnies minoritaires telles que les </w:t>
      </w:r>
      <w:proofErr w:type="spellStart"/>
      <w:r w:rsidRPr="00D51368">
        <w:rPr>
          <w:szCs w:val="20"/>
          <w:lang w:val="fr-CA"/>
        </w:rPr>
        <w:t>Fafarsé</w:t>
      </w:r>
      <w:proofErr w:type="spellEnd"/>
      <w:r w:rsidRPr="00D51368">
        <w:rPr>
          <w:szCs w:val="20"/>
          <w:lang w:val="fr-CA"/>
        </w:rPr>
        <w:t xml:space="preserve">. Les </w:t>
      </w:r>
      <w:proofErr w:type="spellStart"/>
      <w:r w:rsidRPr="00D51368">
        <w:rPr>
          <w:szCs w:val="20"/>
          <w:lang w:val="fr-CA"/>
        </w:rPr>
        <w:t>Koussassi</w:t>
      </w:r>
      <w:proofErr w:type="spellEnd"/>
      <w:r w:rsidRPr="00D51368">
        <w:rPr>
          <w:szCs w:val="20"/>
          <w:lang w:val="fr-CA"/>
        </w:rPr>
        <w:t xml:space="preserve"> seraient venus de Gambaga (actuel Ghana) et se seraient installés sur la rive droite du fleuve </w:t>
      </w:r>
      <w:proofErr w:type="spellStart"/>
      <w:r w:rsidRPr="00D51368">
        <w:rPr>
          <w:szCs w:val="20"/>
          <w:lang w:val="fr-CA"/>
        </w:rPr>
        <w:t>Nakambé</w:t>
      </w:r>
      <w:proofErr w:type="spellEnd"/>
      <w:r w:rsidRPr="00D51368">
        <w:rPr>
          <w:szCs w:val="20"/>
          <w:lang w:val="fr-CA"/>
        </w:rPr>
        <w:t xml:space="preserve">. </w:t>
      </w:r>
      <w:proofErr w:type="gramStart"/>
      <w:r w:rsidRPr="00D51368">
        <w:rPr>
          <w:szCs w:val="20"/>
          <w:lang w:val="fr-CA"/>
        </w:rPr>
        <w:t>Les Peul venus</w:t>
      </w:r>
      <w:proofErr w:type="gramEnd"/>
      <w:r w:rsidRPr="00D51368">
        <w:rPr>
          <w:szCs w:val="20"/>
          <w:lang w:val="fr-CA"/>
        </w:rPr>
        <w:t xml:space="preserve"> du nord et présents dans la quasi-totalité des villages sont des migrants provenant des régions sahéliennes à la recherche de pâturages et d’eau pour l’abreuvement de leurs troupeaux. Certains se sont sédentarisés en raison des conditions favorables du milieu pour l’élevage : abondance d’herbe, des mares et de zones pastorales.</w:t>
      </w:r>
    </w:p>
    <w:p w14:paraId="71E70D8C" w14:textId="4A4AECD5" w:rsidR="00302BFE" w:rsidRPr="00F92E82" w:rsidRDefault="00302BFE" w:rsidP="00302BFE">
      <w:pPr>
        <w:pStyle w:val="Paragraphedeliste"/>
        <w:tabs>
          <w:tab w:val="left" w:pos="284"/>
        </w:tabs>
        <w:spacing w:before="120" w:after="120"/>
        <w:ind w:left="0"/>
        <w:jc w:val="both"/>
        <w:rPr>
          <w:rFonts w:asciiTheme="minorHAnsi" w:hAnsiTheme="minorHAnsi"/>
          <w:sz w:val="20"/>
          <w:szCs w:val="20"/>
          <w:lang w:val="fr-CA"/>
        </w:rPr>
      </w:pPr>
      <w:r w:rsidRPr="00F92E82">
        <w:rPr>
          <w:rFonts w:asciiTheme="minorHAnsi" w:hAnsiTheme="minorHAnsi"/>
          <w:sz w:val="20"/>
          <w:szCs w:val="20"/>
          <w:lang w:val="fr-CA"/>
        </w:rPr>
        <w:t xml:space="preserve">De façon générale, l’afflux de migrants dans l’aire paysagère du complexe PONASI, risque de compromettre la pérennité du potentiel productif des terres </w:t>
      </w:r>
      <w:r w:rsidR="00F92E82" w:rsidRPr="00F92E82">
        <w:rPr>
          <w:rFonts w:asciiTheme="minorHAnsi" w:hAnsiTheme="minorHAnsi"/>
          <w:sz w:val="20"/>
          <w:szCs w:val="20"/>
          <w:lang w:val="fr-CA"/>
        </w:rPr>
        <w:t>de la zone</w:t>
      </w:r>
      <w:r w:rsidRPr="00F92E82">
        <w:rPr>
          <w:rStyle w:val="Appelnotedebasdep"/>
          <w:rFonts w:asciiTheme="minorHAnsi" w:hAnsiTheme="minorHAnsi"/>
          <w:sz w:val="20"/>
          <w:szCs w:val="20"/>
        </w:rPr>
        <w:footnoteReference w:id="96"/>
      </w:r>
      <w:r w:rsidRPr="00F92E82">
        <w:rPr>
          <w:rFonts w:asciiTheme="minorHAnsi" w:hAnsiTheme="minorHAnsi"/>
          <w:sz w:val="20"/>
          <w:szCs w:val="20"/>
          <w:lang w:val="fr-CA"/>
        </w:rPr>
        <w:t>. La majeure partie de la population humaine croissante est due à l'immigration d'ethnies d'autres régions du pays ayant des traditions et des pratiques d'utilisation des ressources différentes</w:t>
      </w:r>
      <w:r w:rsidRPr="00F92E82">
        <w:rPr>
          <w:rStyle w:val="Appelnotedebasdep"/>
          <w:rFonts w:asciiTheme="minorHAnsi" w:hAnsiTheme="minorHAnsi"/>
          <w:sz w:val="20"/>
          <w:szCs w:val="20"/>
          <w:lang w:val="en-CA"/>
        </w:rPr>
        <w:footnoteReference w:id="97"/>
      </w:r>
      <w:r w:rsidRPr="00F92E82">
        <w:rPr>
          <w:rFonts w:asciiTheme="minorHAnsi" w:hAnsiTheme="minorHAnsi"/>
          <w:sz w:val="20"/>
          <w:szCs w:val="20"/>
          <w:lang w:val="fr-CA"/>
        </w:rPr>
        <w:t xml:space="preserve">. Le droit foncier coutumier accepte difficilement l’appropriation individuelle de terres par les migrants. Ces derniers ne jouissent ainsi que de droits d’usage temporaires sur les terres qu’ils exploitent. Ils doivent surtout s’abstenir d’actes matérialisant une occupation définitive telle que la plantation d’arbres, la réalisation d’un puits ou l’aménagement de sites antiérosifs. </w:t>
      </w:r>
      <w:r w:rsidR="00F92E82">
        <w:rPr>
          <w:rFonts w:asciiTheme="minorHAnsi" w:hAnsiTheme="minorHAnsi"/>
          <w:sz w:val="20"/>
          <w:szCs w:val="20"/>
          <w:lang w:val="fr-CA"/>
        </w:rPr>
        <w:t>L</w:t>
      </w:r>
      <w:r w:rsidRPr="00F92E82">
        <w:rPr>
          <w:rFonts w:asciiTheme="minorHAnsi" w:hAnsiTheme="minorHAnsi"/>
          <w:sz w:val="20"/>
          <w:szCs w:val="20"/>
          <w:lang w:val="fr-CA"/>
        </w:rPr>
        <w:t>es migrants Mossi ont par ailleurs tendance à défricher des superficies qui excèdent leurs besoins immédiats pour prévenir l’installation d’autres colons dans le voisinage immédiat. La pratique de la culture itinérante est rendue possible par la relative disponibilité des terres dans cette région. Les pratiques culturales destructives et la forte croissance démographique de cette région induisent une pression qui s’accroît de façon exponentielle sur les ressources naturelles et les conséquences risquent d’être sévères dans un proche avenir.</w:t>
      </w:r>
    </w:p>
    <w:p w14:paraId="47FFB423" w14:textId="77777777" w:rsidR="00302BFE" w:rsidRPr="00BE0201" w:rsidRDefault="00302BFE" w:rsidP="00302BFE">
      <w:pPr>
        <w:pStyle w:val="Paragraphedeliste"/>
        <w:tabs>
          <w:tab w:val="left" w:pos="284"/>
        </w:tabs>
        <w:spacing w:before="120" w:after="120"/>
        <w:ind w:left="0"/>
        <w:jc w:val="both"/>
        <w:rPr>
          <w:rFonts w:ascii="Calibri" w:hAnsi="Calibri"/>
          <w:sz w:val="20"/>
          <w:szCs w:val="20"/>
          <w:lang w:val="fr-CA"/>
        </w:rPr>
      </w:pPr>
      <w:r w:rsidRPr="00BE0201">
        <w:rPr>
          <w:rFonts w:ascii="Calibri" w:hAnsi="Calibri"/>
          <w:b/>
          <w:sz w:val="20"/>
          <w:szCs w:val="20"/>
          <w:lang w:val="fr-CA"/>
        </w:rPr>
        <w:t>Démographie.</w:t>
      </w:r>
      <w:r w:rsidRPr="00BE0201">
        <w:rPr>
          <w:rFonts w:ascii="Calibri" w:hAnsi="Calibri"/>
          <w:sz w:val="20"/>
          <w:szCs w:val="20"/>
          <w:lang w:val="fr-CA"/>
        </w:rPr>
        <w:t xml:space="preserve"> Le tableau </w:t>
      </w:r>
      <w:r>
        <w:rPr>
          <w:rFonts w:ascii="Calibri" w:hAnsi="Calibri"/>
          <w:sz w:val="20"/>
          <w:szCs w:val="20"/>
          <w:lang w:val="fr-CA"/>
        </w:rPr>
        <w:t xml:space="preserve">A </w:t>
      </w:r>
      <w:r w:rsidRPr="00BE0201">
        <w:rPr>
          <w:rFonts w:ascii="Calibri" w:hAnsi="Calibri"/>
          <w:sz w:val="20"/>
          <w:szCs w:val="20"/>
          <w:lang w:val="fr-CA"/>
        </w:rPr>
        <w:t xml:space="preserve">ci-dessous indique la taille des populations recensées dans les communes des sites pilotes de mise en </w:t>
      </w:r>
      <w:proofErr w:type="spellStart"/>
      <w:r w:rsidRPr="00BE0201">
        <w:rPr>
          <w:rFonts w:ascii="Calibri" w:hAnsi="Calibri"/>
          <w:sz w:val="20"/>
          <w:szCs w:val="20"/>
          <w:lang w:val="fr-CA"/>
        </w:rPr>
        <w:t>oeuvre</w:t>
      </w:r>
      <w:proofErr w:type="spellEnd"/>
      <w:r w:rsidRPr="00BE0201">
        <w:rPr>
          <w:rFonts w:ascii="Calibri" w:hAnsi="Calibri"/>
          <w:sz w:val="20"/>
          <w:szCs w:val="20"/>
          <w:lang w:val="fr-CA"/>
        </w:rPr>
        <w:t xml:space="preserve"> du projet.</w:t>
      </w:r>
    </w:p>
    <w:tbl>
      <w:tblPr>
        <w:tblW w:w="4003" w:type="pct"/>
        <w:jc w:val="center"/>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ook w:val="04A0" w:firstRow="1" w:lastRow="0" w:firstColumn="1" w:lastColumn="0" w:noHBand="0" w:noVBand="1"/>
      </w:tblPr>
      <w:tblGrid>
        <w:gridCol w:w="2005"/>
        <w:gridCol w:w="2343"/>
        <w:gridCol w:w="2324"/>
        <w:gridCol w:w="1966"/>
      </w:tblGrid>
      <w:tr w:rsidR="00302BFE" w:rsidRPr="00442C83" w14:paraId="0897AABA" w14:textId="77777777" w:rsidTr="00243B15">
        <w:trPr>
          <w:tblHeader/>
          <w:jc w:val="center"/>
        </w:trPr>
        <w:tc>
          <w:tcPr>
            <w:tcW w:w="1161" w:type="pct"/>
            <w:tcBorders>
              <w:top w:val="single" w:sz="4" w:space="0" w:color="C5E0B3"/>
              <w:left w:val="single" w:sz="4" w:space="0" w:color="C5E0B3"/>
              <w:bottom w:val="single" w:sz="12" w:space="0" w:color="A8D08D"/>
              <w:right w:val="single" w:sz="4" w:space="0" w:color="C5E0B3"/>
            </w:tcBorders>
            <w:shd w:val="clear" w:color="auto" w:fill="auto"/>
            <w:hideMark/>
          </w:tcPr>
          <w:p w14:paraId="37AE7B5B" w14:textId="77777777" w:rsidR="00302BFE" w:rsidRPr="00442C83" w:rsidRDefault="00302BFE" w:rsidP="00243B15">
            <w:pPr>
              <w:spacing w:after="0"/>
              <w:ind w:left="170"/>
              <w:rPr>
                <w:rFonts w:eastAsia="Calibri"/>
                <w:b/>
                <w:bCs/>
                <w:szCs w:val="20"/>
              </w:rPr>
            </w:pPr>
            <w:r w:rsidRPr="00442C83">
              <w:rPr>
                <w:rFonts w:eastAsia="Calibri"/>
                <w:b/>
                <w:bCs/>
                <w:szCs w:val="20"/>
              </w:rPr>
              <w:t>Commune</w:t>
            </w:r>
          </w:p>
        </w:tc>
        <w:tc>
          <w:tcPr>
            <w:tcW w:w="1356" w:type="pct"/>
            <w:tcBorders>
              <w:top w:val="single" w:sz="4" w:space="0" w:color="C5E0B3"/>
              <w:left w:val="single" w:sz="4" w:space="0" w:color="C5E0B3"/>
              <w:bottom w:val="single" w:sz="12" w:space="0" w:color="A8D08D"/>
              <w:right w:val="single" w:sz="4" w:space="0" w:color="C5E0B3"/>
            </w:tcBorders>
            <w:shd w:val="clear" w:color="auto" w:fill="auto"/>
            <w:hideMark/>
          </w:tcPr>
          <w:p w14:paraId="3BBF2754" w14:textId="77777777" w:rsidR="00302BFE" w:rsidRPr="00442C83" w:rsidRDefault="00302BFE" w:rsidP="00243B15">
            <w:pPr>
              <w:spacing w:after="0"/>
              <w:ind w:left="170"/>
              <w:rPr>
                <w:rFonts w:eastAsia="Calibri"/>
                <w:b/>
                <w:bCs/>
                <w:szCs w:val="20"/>
              </w:rPr>
            </w:pPr>
            <w:r>
              <w:rPr>
                <w:rFonts w:eastAsia="Calibri"/>
                <w:b/>
                <w:bCs/>
                <w:szCs w:val="20"/>
              </w:rPr>
              <w:t>Femmes</w:t>
            </w:r>
            <w:r w:rsidRPr="00442C83">
              <w:rPr>
                <w:rFonts w:eastAsia="Calibri"/>
                <w:b/>
                <w:bCs/>
                <w:szCs w:val="20"/>
              </w:rPr>
              <w:t xml:space="preserve"> </w:t>
            </w:r>
          </w:p>
        </w:tc>
        <w:tc>
          <w:tcPr>
            <w:tcW w:w="1341" w:type="pct"/>
            <w:tcBorders>
              <w:top w:val="single" w:sz="4" w:space="0" w:color="C5E0B3"/>
              <w:left w:val="single" w:sz="4" w:space="0" w:color="C5E0B3"/>
              <w:bottom w:val="single" w:sz="12" w:space="0" w:color="A8D08D"/>
              <w:right w:val="single" w:sz="4" w:space="0" w:color="C5E0B3"/>
            </w:tcBorders>
            <w:shd w:val="clear" w:color="auto" w:fill="auto"/>
            <w:hideMark/>
          </w:tcPr>
          <w:p w14:paraId="2F54901E" w14:textId="77777777" w:rsidR="00302BFE" w:rsidRPr="00442C83" w:rsidRDefault="00302BFE" w:rsidP="00243B15">
            <w:pPr>
              <w:spacing w:after="0"/>
              <w:ind w:left="170"/>
              <w:rPr>
                <w:rFonts w:eastAsia="Calibri"/>
                <w:b/>
                <w:bCs/>
                <w:szCs w:val="20"/>
              </w:rPr>
            </w:pPr>
            <w:r>
              <w:rPr>
                <w:rFonts w:eastAsia="Calibri"/>
                <w:b/>
                <w:bCs/>
                <w:szCs w:val="20"/>
              </w:rPr>
              <w:t>Hommes</w:t>
            </w:r>
            <w:r w:rsidRPr="00442C83">
              <w:rPr>
                <w:rFonts w:eastAsia="Calibri"/>
                <w:b/>
                <w:bCs/>
                <w:szCs w:val="20"/>
              </w:rPr>
              <w:t xml:space="preserve"> </w:t>
            </w:r>
          </w:p>
        </w:tc>
        <w:tc>
          <w:tcPr>
            <w:tcW w:w="1138" w:type="pct"/>
            <w:tcBorders>
              <w:top w:val="single" w:sz="4" w:space="0" w:color="C5E0B3"/>
              <w:left w:val="single" w:sz="4" w:space="0" w:color="C5E0B3"/>
              <w:bottom w:val="single" w:sz="12" w:space="0" w:color="A8D08D"/>
              <w:right w:val="single" w:sz="4" w:space="0" w:color="C5E0B3"/>
            </w:tcBorders>
            <w:shd w:val="clear" w:color="auto" w:fill="auto"/>
            <w:hideMark/>
          </w:tcPr>
          <w:p w14:paraId="5A299721" w14:textId="77777777" w:rsidR="00302BFE" w:rsidRPr="00442C83" w:rsidRDefault="00302BFE" w:rsidP="00243B15">
            <w:pPr>
              <w:spacing w:after="0"/>
              <w:ind w:left="170"/>
              <w:rPr>
                <w:rFonts w:eastAsia="Calibri"/>
                <w:b/>
                <w:bCs/>
                <w:szCs w:val="20"/>
              </w:rPr>
            </w:pPr>
            <w:r w:rsidRPr="00442C83">
              <w:rPr>
                <w:rFonts w:eastAsia="Calibri"/>
                <w:b/>
                <w:bCs/>
                <w:szCs w:val="20"/>
              </w:rPr>
              <w:t xml:space="preserve">Total </w:t>
            </w:r>
          </w:p>
        </w:tc>
      </w:tr>
      <w:tr w:rsidR="00302BFE" w:rsidRPr="00442C83" w14:paraId="1D22AE68" w14:textId="77777777" w:rsidTr="00243B15">
        <w:trPr>
          <w:jc w:val="center"/>
        </w:trPr>
        <w:tc>
          <w:tcPr>
            <w:tcW w:w="1161" w:type="pct"/>
            <w:tcBorders>
              <w:top w:val="single" w:sz="4" w:space="0" w:color="C5E0B3"/>
              <w:left w:val="single" w:sz="4" w:space="0" w:color="C5E0B3"/>
              <w:bottom w:val="single" w:sz="4" w:space="0" w:color="C5E0B3"/>
              <w:right w:val="single" w:sz="4" w:space="0" w:color="C5E0B3"/>
            </w:tcBorders>
            <w:shd w:val="clear" w:color="auto" w:fill="auto"/>
            <w:hideMark/>
          </w:tcPr>
          <w:p w14:paraId="3D7D5DF7" w14:textId="77777777" w:rsidR="00302BFE" w:rsidRPr="00442C83" w:rsidRDefault="00302BFE" w:rsidP="00243B15">
            <w:pPr>
              <w:spacing w:after="0"/>
              <w:ind w:left="170"/>
              <w:rPr>
                <w:rFonts w:eastAsia="Calibri"/>
                <w:b/>
                <w:bCs/>
                <w:szCs w:val="20"/>
              </w:rPr>
            </w:pPr>
            <w:proofErr w:type="spellStart"/>
            <w:r w:rsidRPr="00442C83">
              <w:rPr>
                <w:rFonts w:eastAsia="Calibri"/>
                <w:b/>
                <w:bCs/>
                <w:szCs w:val="20"/>
              </w:rPr>
              <w:t>Zabré</w:t>
            </w:r>
            <w:proofErr w:type="spellEnd"/>
          </w:p>
        </w:tc>
        <w:tc>
          <w:tcPr>
            <w:tcW w:w="1356" w:type="pct"/>
            <w:tcBorders>
              <w:top w:val="single" w:sz="4" w:space="0" w:color="C5E0B3"/>
              <w:left w:val="single" w:sz="4" w:space="0" w:color="C5E0B3"/>
              <w:bottom w:val="single" w:sz="4" w:space="0" w:color="C5E0B3"/>
              <w:right w:val="single" w:sz="4" w:space="0" w:color="C5E0B3"/>
            </w:tcBorders>
            <w:shd w:val="clear" w:color="auto" w:fill="auto"/>
            <w:hideMark/>
          </w:tcPr>
          <w:p w14:paraId="0D8A8FA5" w14:textId="77777777" w:rsidR="00302BFE" w:rsidRPr="00442C83" w:rsidRDefault="00302BFE" w:rsidP="00243B15">
            <w:pPr>
              <w:spacing w:after="0"/>
              <w:ind w:left="170"/>
              <w:rPr>
                <w:rFonts w:eastAsia="Calibri"/>
                <w:szCs w:val="20"/>
              </w:rPr>
            </w:pPr>
            <w:r w:rsidRPr="00442C83">
              <w:rPr>
                <w:rFonts w:eastAsia="Calibri"/>
                <w:szCs w:val="20"/>
              </w:rPr>
              <w:t>60 351</w:t>
            </w:r>
          </w:p>
        </w:tc>
        <w:tc>
          <w:tcPr>
            <w:tcW w:w="1341" w:type="pct"/>
            <w:tcBorders>
              <w:top w:val="single" w:sz="4" w:space="0" w:color="C5E0B3"/>
              <w:left w:val="single" w:sz="4" w:space="0" w:color="C5E0B3"/>
              <w:bottom w:val="single" w:sz="4" w:space="0" w:color="C5E0B3"/>
              <w:right w:val="single" w:sz="4" w:space="0" w:color="C5E0B3"/>
            </w:tcBorders>
            <w:shd w:val="clear" w:color="auto" w:fill="auto"/>
            <w:hideMark/>
          </w:tcPr>
          <w:p w14:paraId="17B5684A" w14:textId="77777777" w:rsidR="00302BFE" w:rsidRPr="00442C83" w:rsidRDefault="00302BFE" w:rsidP="00243B15">
            <w:pPr>
              <w:spacing w:after="0"/>
              <w:ind w:left="170"/>
              <w:rPr>
                <w:rFonts w:eastAsia="Calibri"/>
                <w:szCs w:val="20"/>
              </w:rPr>
            </w:pPr>
            <w:r w:rsidRPr="00442C83">
              <w:rPr>
                <w:rFonts w:eastAsia="Calibri"/>
                <w:szCs w:val="20"/>
              </w:rPr>
              <w:t>52 463</w:t>
            </w:r>
          </w:p>
        </w:tc>
        <w:tc>
          <w:tcPr>
            <w:tcW w:w="1138" w:type="pct"/>
            <w:tcBorders>
              <w:top w:val="single" w:sz="4" w:space="0" w:color="C5E0B3"/>
              <w:left w:val="single" w:sz="4" w:space="0" w:color="C5E0B3"/>
              <w:bottom w:val="single" w:sz="4" w:space="0" w:color="C5E0B3"/>
              <w:right w:val="single" w:sz="4" w:space="0" w:color="C5E0B3"/>
            </w:tcBorders>
            <w:shd w:val="clear" w:color="auto" w:fill="auto"/>
            <w:hideMark/>
          </w:tcPr>
          <w:p w14:paraId="256E8CF7" w14:textId="77777777" w:rsidR="00302BFE" w:rsidRPr="00442C83" w:rsidRDefault="00302BFE" w:rsidP="00243B15">
            <w:pPr>
              <w:spacing w:after="0"/>
              <w:ind w:left="170"/>
              <w:rPr>
                <w:rFonts w:eastAsia="Calibri"/>
                <w:szCs w:val="20"/>
              </w:rPr>
            </w:pPr>
            <w:r w:rsidRPr="00442C83">
              <w:rPr>
                <w:rFonts w:eastAsia="Calibri"/>
                <w:szCs w:val="20"/>
              </w:rPr>
              <w:t>112 814</w:t>
            </w:r>
          </w:p>
        </w:tc>
      </w:tr>
      <w:tr w:rsidR="00302BFE" w:rsidRPr="00442C83" w14:paraId="6682E7FA" w14:textId="77777777" w:rsidTr="00243B15">
        <w:trPr>
          <w:jc w:val="center"/>
        </w:trPr>
        <w:tc>
          <w:tcPr>
            <w:tcW w:w="1161" w:type="pct"/>
            <w:tcBorders>
              <w:top w:val="single" w:sz="4" w:space="0" w:color="C5E0B3"/>
              <w:left w:val="single" w:sz="4" w:space="0" w:color="C5E0B3"/>
              <w:bottom w:val="single" w:sz="4" w:space="0" w:color="C5E0B3"/>
              <w:right w:val="single" w:sz="4" w:space="0" w:color="C5E0B3"/>
            </w:tcBorders>
            <w:shd w:val="clear" w:color="auto" w:fill="auto"/>
            <w:hideMark/>
          </w:tcPr>
          <w:p w14:paraId="56899AFB" w14:textId="77777777" w:rsidR="00302BFE" w:rsidRPr="00442C83" w:rsidRDefault="00302BFE" w:rsidP="00243B15">
            <w:pPr>
              <w:spacing w:after="0"/>
              <w:ind w:left="170"/>
              <w:rPr>
                <w:rFonts w:eastAsia="Calibri"/>
                <w:b/>
                <w:bCs/>
                <w:szCs w:val="20"/>
              </w:rPr>
            </w:pPr>
            <w:proofErr w:type="spellStart"/>
            <w:r w:rsidRPr="00442C83">
              <w:rPr>
                <w:rFonts w:eastAsia="Calibri"/>
                <w:b/>
                <w:bCs/>
                <w:szCs w:val="20"/>
              </w:rPr>
              <w:t>Zoaga</w:t>
            </w:r>
            <w:proofErr w:type="spellEnd"/>
          </w:p>
        </w:tc>
        <w:tc>
          <w:tcPr>
            <w:tcW w:w="1356" w:type="pct"/>
            <w:tcBorders>
              <w:top w:val="single" w:sz="4" w:space="0" w:color="C5E0B3"/>
              <w:left w:val="single" w:sz="4" w:space="0" w:color="C5E0B3"/>
              <w:bottom w:val="single" w:sz="4" w:space="0" w:color="C5E0B3"/>
              <w:right w:val="single" w:sz="4" w:space="0" w:color="C5E0B3"/>
            </w:tcBorders>
            <w:shd w:val="clear" w:color="auto" w:fill="auto"/>
            <w:hideMark/>
          </w:tcPr>
          <w:p w14:paraId="780B68CB" w14:textId="77777777" w:rsidR="00302BFE" w:rsidRPr="00442C83" w:rsidRDefault="00302BFE" w:rsidP="00243B15">
            <w:pPr>
              <w:spacing w:after="0"/>
              <w:ind w:left="170"/>
              <w:rPr>
                <w:rFonts w:eastAsia="Calibri"/>
                <w:szCs w:val="20"/>
              </w:rPr>
            </w:pPr>
            <w:r w:rsidRPr="00442C83">
              <w:rPr>
                <w:rFonts w:eastAsia="Calibri"/>
                <w:szCs w:val="20"/>
              </w:rPr>
              <w:t>7 544</w:t>
            </w:r>
          </w:p>
        </w:tc>
        <w:tc>
          <w:tcPr>
            <w:tcW w:w="1341" w:type="pct"/>
            <w:tcBorders>
              <w:top w:val="single" w:sz="4" w:space="0" w:color="C5E0B3"/>
              <w:left w:val="single" w:sz="4" w:space="0" w:color="C5E0B3"/>
              <w:bottom w:val="single" w:sz="4" w:space="0" w:color="C5E0B3"/>
              <w:right w:val="single" w:sz="4" w:space="0" w:color="C5E0B3"/>
            </w:tcBorders>
            <w:shd w:val="clear" w:color="auto" w:fill="auto"/>
            <w:hideMark/>
          </w:tcPr>
          <w:p w14:paraId="68C03D3D" w14:textId="77777777" w:rsidR="00302BFE" w:rsidRPr="00442C83" w:rsidRDefault="00302BFE" w:rsidP="00243B15">
            <w:pPr>
              <w:spacing w:after="0"/>
              <w:ind w:left="170"/>
              <w:rPr>
                <w:rFonts w:eastAsia="Calibri"/>
                <w:szCs w:val="20"/>
              </w:rPr>
            </w:pPr>
            <w:r w:rsidRPr="00442C83">
              <w:rPr>
                <w:rFonts w:eastAsia="Calibri"/>
                <w:szCs w:val="20"/>
              </w:rPr>
              <w:t>7 044</w:t>
            </w:r>
          </w:p>
        </w:tc>
        <w:tc>
          <w:tcPr>
            <w:tcW w:w="1138" w:type="pct"/>
            <w:tcBorders>
              <w:top w:val="single" w:sz="4" w:space="0" w:color="C5E0B3"/>
              <w:left w:val="single" w:sz="4" w:space="0" w:color="C5E0B3"/>
              <w:bottom w:val="single" w:sz="4" w:space="0" w:color="C5E0B3"/>
              <w:right w:val="single" w:sz="4" w:space="0" w:color="C5E0B3"/>
            </w:tcBorders>
            <w:shd w:val="clear" w:color="auto" w:fill="auto"/>
            <w:hideMark/>
          </w:tcPr>
          <w:p w14:paraId="31FA32FD" w14:textId="77777777" w:rsidR="00302BFE" w:rsidRPr="00442C83" w:rsidRDefault="00302BFE" w:rsidP="00243B15">
            <w:pPr>
              <w:spacing w:after="0"/>
              <w:ind w:left="170"/>
              <w:rPr>
                <w:rFonts w:eastAsia="Calibri"/>
                <w:szCs w:val="20"/>
              </w:rPr>
            </w:pPr>
            <w:r w:rsidRPr="00442C83">
              <w:rPr>
                <w:rFonts w:eastAsia="Calibri"/>
                <w:szCs w:val="20"/>
              </w:rPr>
              <w:t>14 589</w:t>
            </w:r>
          </w:p>
        </w:tc>
      </w:tr>
      <w:tr w:rsidR="00302BFE" w:rsidRPr="00442C83" w14:paraId="7CEBCFD3" w14:textId="77777777" w:rsidTr="00243B15">
        <w:trPr>
          <w:trHeight w:val="180"/>
          <w:jc w:val="center"/>
        </w:trPr>
        <w:tc>
          <w:tcPr>
            <w:tcW w:w="1161" w:type="pct"/>
            <w:tcBorders>
              <w:top w:val="single" w:sz="4" w:space="0" w:color="C5E0B3"/>
              <w:left w:val="single" w:sz="4" w:space="0" w:color="C5E0B3"/>
              <w:bottom w:val="single" w:sz="4" w:space="0" w:color="C5E0B3"/>
              <w:right w:val="single" w:sz="4" w:space="0" w:color="C5E0B3"/>
            </w:tcBorders>
            <w:shd w:val="clear" w:color="auto" w:fill="auto"/>
            <w:hideMark/>
          </w:tcPr>
          <w:p w14:paraId="470A5A61" w14:textId="77777777" w:rsidR="00302BFE" w:rsidRPr="00442C83" w:rsidRDefault="00302BFE" w:rsidP="00243B15">
            <w:pPr>
              <w:spacing w:after="0"/>
              <w:ind w:left="170"/>
              <w:rPr>
                <w:rFonts w:eastAsia="Calibri"/>
                <w:b/>
                <w:bCs/>
                <w:szCs w:val="20"/>
              </w:rPr>
            </w:pPr>
            <w:proofErr w:type="spellStart"/>
            <w:r w:rsidRPr="00442C83">
              <w:rPr>
                <w:rFonts w:eastAsia="Calibri"/>
                <w:b/>
                <w:bCs/>
                <w:szCs w:val="20"/>
              </w:rPr>
              <w:t>Guiaro</w:t>
            </w:r>
            <w:proofErr w:type="spellEnd"/>
          </w:p>
        </w:tc>
        <w:tc>
          <w:tcPr>
            <w:tcW w:w="1356" w:type="pct"/>
            <w:tcBorders>
              <w:top w:val="single" w:sz="4" w:space="0" w:color="C5E0B3"/>
              <w:left w:val="single" w:sz="4" w:space="0" w:color="C5E0B3"/>
              <w:bottom w:val="single" w:sz="4" w:space="0" w:color="C5E0B3"/>
              <w:right w:val="single" w:sz="4" w:space="0" w:color="C5E0B3"/>
            </w:tcBorders>
            <w:shd w:val="clear" w:color="auto" w:fill="auto"/>
            <w:hideMark/>
          </w:tcPr>
          <w:p w14:paraId="733A1F0A" w14:textId="77777777" w:rsidR="00302BFE" w:rsidRPr="00442C83" w:rsidRDefault="00302BFE" w:rsidP="00243B15">
            <w:pPr>
              <w:spacing w:after="0"/>
              <w:ind w:left="170"/>
              <w:rPr>
                <w:rFonts w:eastAsia="Calibri"/>
                <w:szCs w:val="20"/>
              </w:rPr>
            </w:pPr>
            <w:r w:rsidRPr="00442C83">
              <w:rPr>
                <w:rFonts w:eastAsia="Calibri"/>
                <w:szCs w:val="20"/>
              </w:rPr>
              <w:t>14 843</w:t>
            </w:r>
          </w:p>
        </w:tc>
        <w:tc>
          <w:tcPr>
            <w:tcW w:w="1341" w:type="pct"/>
            <w:tcBorders>
              <w:top w:val="single" w:sz="4" w:space="0" w:color="C5E0B3"/>
              <w:left w:val="single" w:sz="4" w:space="0" w:color="C5E0B3"/>
              <w:bottom w:val="single" w:sz="4" w:space="0" w:color="C5E0B3"/>
              <w:right w:val="single" w:sz="4" w:space="0" w:color="C5E0B3"/>
            </w:tcBorders>
            <w:shd w:val="clear" w:color="auto" w:fill="auto"/>
            <w:hideMark/>
          </w:tcPr>
          <w:p w14:paraId="17C5C0BD" w14:textId="77777777" w:rsidR="00302BFE" w:rsidRPr="00442C83" w:rsidRDefault="00302BFE" w:rsidP="00243B15">
            <w:pPr>
              <w:spacing w:after="0"/>
              <w:ind w:left="170"/>
              <w:rPr>
                <w:rFonts w:eastAsia="Calibri"/>
                <w:szCs w:val="20"/>
              </w:rPr>
            </w:pPr>
            <w:r w:rsidRPr="00442C83">
              <w:rPr>
                <w:rFonts w:eastAsia="Calibri"/>
                <w:szCs w:val="20"/>
              </w:rPr>
              <w:t>13 285</w:t>
            </w:r>
          </w:p>
        </w:tc>
        <w:tc>
          <w:tcPr>
            <w:tcW w:w="1138" w:type="pct"/>
            <w:tcBorders>
              <w:top w:val="single" w:sz="4" w:space="0" w:color="C5E0B3"/>
              <w:left w:val="single" w:sz="4" w:space="0" w:color="C5E0B3"/>
              <w:bottom w:val="single" w:sz="4" w:space="0" w:color="C5E0B3"/>
              <w:right w:val="single" w:sz="4" w:space="0" w:color="C5E0B3"/>
            </w:tcBorders>
            <w:shd w:val="clear" w:color="auto" w:fill="auto"/>
            <w:hideMark/>
          </w:tcPr>
          <w:p w14:paraId="187FE11D" w14:textId="77777777" w:rsidR="00302BFE" w:rsidRPr="00442C83" w:rsidRDefault="00302BFE" w:rsidP="00243B15">
            <w:pPr>
              <w:spacing w:after="0"/>
              <w:ind w:left="170"/>
              <w:rPr>
                <w:rFonts w:eastAsia="Calibri"/>
                <w:szCs w:val="20"/>
              </w:rPr>
            </w:pPr>
            <w:r w:rsidRPr="00442C83">
              <w:rPr>
                <w:rFonts w:eastAsia="Calibri"/>
                <w:szCs w:val="20"/>
              </w:rPr>
              <w:t>28 129</w:t>
            </w:r>
          </w:p>
        </w:tc>
      </w:tr>
      <w:tr w:rsidR="00302BFE" w:rsidRPr="00442C83" w14:paraId="3C39C35D" w14:textId="77777777" w:rsidTr="00243B15">
        <w:trPr>
          <w:trHeight w:val="184"/>
          <w:jc w:val="center"/>
        </w:trPr>
        <w:tc>
          <w:tcPr>
            <w:tcW w:w="1161" w:type="pct"/>
            <w:tcBorders>
              <w:top w:val="single" w:sz="4" w:space="0" w:color="C5E0B3"/>
              <w:left w:val="single" w:sz="4" w:space="0" w:color="C5E0B3"/>
              <w:bottom w:val="single" w:sz="4" w:space="0" w:color="C5E0B3"/>
              <w:right w:val="single" w:sz="4" w:space="0" w:color="C5E0B3"/>
            </w:tcBorders>
            <w:shd w:val="clear" w:color="auto" w:fill="auto"/>
            <w:hideMark/>
          </w:tcPr>
          <w:p w14:paraId="7D90DDFD" w14:textId="77777777" w:rsidR="00302BFE" w:rsidRPr="00442C83" w:rsidRDefault="00302BFE" w:rsidP="00243B15">
            <w:pPr>
              <w:spacing w:after="0"/>
              <w:ind w:left="170"/>
              <w:rPr>
                <w:rFonts w:eastAsia="Calibri"/>
                <w:b/>
                <w:bCs/>
                <w:szCs w:val="20"/>
              </w:rPr>
            </w:pPr>
            <w:proofErr w:type="spellStart"/>
            <w:r w:rsidRPr="00442C83">
              <w:rPr>
                <w:rFonts w:eastAsia="Calibri"/>
                <w:b/>
                <w:bCs/>
                <w:szCs w:val="20"/>
              </w:rPr>
              <w:t>Pô</w:t>
            </w:r>
            <w:proofErr w:type="spellEnd"/>
          </w:p>
        </w:tc>
        <w:tc>
          <w:tcPr>
            <w:tcW w:w="1356" w:type="pct"/>
            <w:tcBorders>
              <w:top w:val="single" w:sz="4" w:space="0" w:color="C5E0B3"/>
              <w:left w:val="single" w:sz="4" w:space="0" w:color="C5E0B3"/>
              <w:bottom w:val="single" w:sz="4" w:space="0" w:color="C5E0B3"/>
              <w:right w:val="single" w:sz="4" w:space="0" w:color="C5E0B3"/>
            </w:tcBorders>
            <w:shd w:val="clear" w:color="auto" w:fill="auto"/>
            <w:hideMark/>
          </w:tcPr>
          <w:p w14:paraId="39A13B5B" w14:textId="77777777" w:rsidR="00302BFE" w:rsidRPr="00442C83" w:rsidRDefault="00302BFE" w:rsidP="00243B15">
            <w:pPr>
              <w:spacing w:after="0"/>
              <w:ind w:left="170"/>
              <w:rPr>
                <w:rFonts w:eastAsia="Calibri"/>
                <w:szCs w:val="20"/>
              </w:rPr>
            </w:pPr>
            <w:r w:rsidRPr="00442C83">
              <w:rPr>
                <w:rFonts w:eastAsia="Calibri"/>
                <w:szCs w:val="20"/>
              </w:rPr>
              <w:t>37 667</w:t>
            </w:r>
          </w:p>
        </w:tc>
        <w:tc>
          <w:tcPr>
            <w:tcW w:w="1341" w:type="pct"/>
            <w:tcBorders>
              <w:top w:val="single" w:sz="4" w:space="0" w:color="C5E0B3"/>
              <w:left w:val="single" w:sz="4" w:space="0" w:color="C5E0B3"/>
              <w:bottom w:val="single" w:sz="4" w:space="0" w:color="C5E0B3"/>
              <w:right w:val="single" w:sz="4" w:space="0" w:color="C5E0B3"/>
            </w:tcBorders>
            <w:shd w:val="clear" w:color="auto" w:fill="auto"/>
            <w:hideMark/>
          </w:tcPr>
          <w:p w14:paraId="796EE30E" w14:textId="77777777" w:rsidR="00302BFE" w:rsidRPr="00442C83" w:rsidRDefault="00302BFE" w:rsidP="00243B15">
            <w:pPr>
              <w:spacing w:after="0"/>
              <w:ind w:left="170"/>
              <w:rPr>
                <w:rFonts w:eastAsia="Calibri"/>
                <w:szCs w:val="20"/>
              </w:rPr>
            </w:pPr>
            <w:r w:rsidRPr="00442C83">
              <w:rPr>
                <w:rFonts w:eastAsia="Calibri"/>
                <w:szCs w:val="20"/>
              </w:rPr>
              <w:t>34 895</w:t>
            </w:r>
          </w:p>
        </w:tc>
        <w:tc>
          <w:tcPr>
            <w:tcW w:w="1138" w:type="pct"/>
            <w:tcBorders>
              <w:top w:val="single" w:sz="4" w:space="0" w:color="C5E0B3"/>
              <w:left w:val="single" w:sz="4" w:space="0" w:color="C5E0B3"/>
              <w:bottom w:val="single" w:sz="4" w:space="0" w:color="C5E0B3"/>
              <w:right w:val="single" w:sz="4" w:space="0" w:color="C5E0B3"/>
            </w:tcBorders>
            <w:shd w:val="clear" w:color="auto" w:fill="auto"/>
            <w:hideMark/>
          </w:tcPr>
          <w:p w14:paraId="2E09777D" w14:textId="77777777" w:rsidR="00302BFE" w:rsidRPr="00442C83" w:rsidRDefault="00302BFE" w:rsidP="00243B15">
            <w:pPr>
              <w:spacing w:after="0"/>
              <w:ind w:left="170"/>
              <w:rPr>
                <w:rFonts w:eastAsia="Calibri"/>
                <w:szCs w:val="20"/>
              </w:rPr>
            </w:pPr>
            <w:r w:rsidRPr="00442C83">
              <w:rPr>
                <w:rFonts w:eastAsia="Calibri"/>
                <w:szCs w:val="20"/>
              </w:rPr>
              <w:t>72 562</w:t>
            </w:r>
          </w:p>
        </w:tc>
      </w:tr>
      <w:tr w:rsidR="00302BFE" w:rsidRPr="00442C83" w14:paraId="3A9BCC59" w14:textId="77777777" w:rsidTr="00243B15">
        <w:trPr>
          <w:jc w:val="center"/>
        </w:trPr>
        <w:tc>
          <w:tcPr>
            <w:tcW w:w="1161" w:type="pct"/>
            <w:tcBorders>
              <w:top w:val="single" w:sz="4" w:space="0" w:color="C5E0B3"/>
              <w:left w:val="single" w:sz="4" w:space="0" w:color="C5E0B3"/>
              <w:bottom w:val="single" w:sz="4" w:space="0" w:color="C5E0B3"/>
              <w:right w:val="single" w:sz="4" w:space="0" w:color="C5E0B3"/>
            </w:tcBorders>
            <w:shd w:val="clear" w:color="auto" w:fill="auto"/>
            <w:hideMark/>
          </w:tcPr>
          <w:p w14:paraId="0F088F2B" w14:textId="77777777" w:rsidR="00302BFE" w:rsidRPr="00442C83" w:rsidRDefault="00302BFE" w:rsidP="00243B15">
            <w:pPr>
              <w:spacing w:after="0"/>
              <w:ind w:left="170"/>
              <w:rPr>
                <w:rFonts w:eastAsia="Calibri"/>
                <w:b/>
                <w:bCs/>
                <w:szCs w:val="20"/>
              </w:rPr>
            </w:pPr>
            <w:proofErr w:type="spellStart"/>
            <w:r w:rsidRPr="00442C83">
              <w:rPr>
                <w:rFonts w:eastAsia="Calibri"/>
                <w:b/>
                <w:bCs/>
                <w:szCs w:val="20"/>
              </w:rPr>
              <w:t>Toecé</w:t>
            </w:r>
            <w:proofErr w:type="spellEnd"/>
          </w:p>
        </w:tc>
        <w:tc>
          <w:tcPr>
            <w:tcW w:w="1356" w:type="pct"/>
            <w:tcBorders>
              <w:top w:val="single" w:sz="4" w:space="0" w:color="C5E0B3"/>
              <w:left w:val="single" w:sz="4" w:space="0" w:color="C5E0B3"/>
              <w:bottom w:val="single" w:sz="4" w:space="0" w:color="C5E0B3"/>
              <w:right w:val="single" w:sz="4" w:space="0" w:color="C5E0B3"/>
            </w:tcBorders>
            <w:shd w:val="clear" w:color="auto" w:fill="auto"/>
            <w:hideMark/>
          </w:tcPr>
          <w:p w14:paraId="566929EE" w14:textId="77777777" w:rsidR="00302BFE" w:rsidRPr="00442C83" w:rsidRDefault="00302BFE" w:rsidP="00243B15">
            <w:pPr>
              <w:spacing w:after="0"/>
              <w:ind w:left="170"/>
              <w:rPr>
                <w:rFonts w:eastAsia="Calibri"/>
                <w:szCs w:val="20"/>
              </w:rPr>
            </w:pPr>
            <w:r w:rsidRPr="00442C83">
              <w:rPr>
                <w:rFonts w:eastAsia="Calibri"/>
                <w:szCs w:val="20"/>
              </w:rPr>
              <w:t>22 325</w:t>
            </w:r>
          </w:p>
        </w:tc>
        <w:tc>
          <w:tcPr>
            <w:tcW w:w="1341" w:type="pct"/>
            <w:tcBorders>
              <w:top w:val="single" w:sz="4" w:space="0" w:color="C5E0B3"/>
              <w:left w:val="single" w:sz="4" w:space="0" w:color="C5E0B3"/>
              <w:bottom w:val="single" w:sz="4" w:space="0" w:color="C5E0B3"/>
              <w:right w:val="single" w:sz="4" w:space="0" w:color="C5E0B3"/>
            </w:tcBorders>
            <w:shd w:val="clear" w:color="auto" w:fill="auto"/>
            <w:hideMark/>
          </w:tcPr>
          <w:p w14:paraId="1B7A69FA" w14:textId="77777777" w:rsidR="00302BFE" w:rsidRPr="00442C83" w:rsidRDefault="00302BFE" w:rsidP="00243B15">
            <w:pPr>
              <w:spacing w:after="0"/>
              <w:ind w:left="170"/>
              <w:rPr>
                <w:rFonts w:eastAsia="Calibri"/>
                <w:szCs w:val="20"/>
              </w:rPr>
            </w:pPr>
            <w:r w:rsidRPr="00442C83">
              <w:rPr>
                <w:rFonts w:eastAsia="Calibri"/>
                <w:szCs w:val="20"/>
              </w:rPr>
              <w:t>19 647</w:t>
            </w:r>
          </w:p>
        </w:tc>
        <w:tc>
          <w:tcPr>
            <w:tcW w:w="1138" w:type="pct"/>
            <w:tcBorders>
              <w:top w:val="single" w:sz="4" w:space="0" w:color="C5E0B3"/>
              <w:left w:val="single" w:sz="4" w:space="0" w:color="C5E0B3"/>
              <w:bottom w:val="single" w:sz="4" w:space="0" w:color="C5E0B3"/>
              <w:right w:val="single" w:sz="4" w:space="0" w:color="C5E0B3"/>
            </w:tcBorders>
            <w:shd w:val="clear" w:color="auto" w:fill="auto"/>
            <w:hideMark/>
          </w:tcPr>
          <w:p w14:paraId="42405F7B" w14:textId="77777777" w:rsidR="00302BFE" w:rsidRPr="00442C83" w:rsidRDefault="00302BFE" w:rsidP="00243B15">
            <w:pPr>
              <w:spacing w:after="0"/>
              <w:ind w:left="170"/>
              <w:rPr>
                <w:rFonts w:eastAsia="Calibri"/>
                <w:szCs w:val="20"/>
              </w:rPr>
            </w:pPr>
            <w:r w:rsidRPr="00442C83">
              <w:rPr>
                <w:rFonts w:eastAsia="Calibri"/>
                <w:szCs w:val="20"/>
              </w:rPr>
              <w:t>41 971</w:t>
            </w:r>
          </w:p>
        </w:tc>
      </w:tr>
      <w:tr w:rsidR="00302BFE" w:rsidRPr="00442C83" w14:paraId="0086A809" w14:textId="77777777" w:rsidTr="00243B15">
        <w:trPr>
          <w:jc w:val="center"/>
        </w:trPr>
        <w:tc>
          <w:tcPr>
            <w:tcW w:w="1161" w:type="pct"/>
            <w:tcBorders>
              <w:top w:val="single" w:sz="4" w:space="0" w:color="C5E0B3"/>
              <w:left w:val="single" w:sz="4" w:space="0" w:color="C5E0B3"/>
              <w:bottom w:val="single" w:sz="4" w:space="0" w:color="C5E0B3"/>
              <w:right w:val="single" w:sz="4" w:space="0" w:color="C5E0B3"/>
            </w:tcBorders>
            <w:shd w:val="clear" w:color="auto" w:fill="auto"/>
            <w:hideMark/>
          </w:tcPr>
          <w:p w14:paraId="05FB43EF" w14:textId="77777777" w:rsidR="00302BFE" w:rsidRPr="00442C83" w:rsidRDefault="00302BFE" w:rsidP="00243B15">
            <w:pPr>
              <w:spacing w:after="0"/>
              <w:ind w:left="170"/>
              <w:rPr>
                <w:rFonts w:eastAsia="Calibri"/>
                <w:b/>
                <w:bCs/>
                <w:szCs w:val="20"/>
              </w:rPr>
            </w:pPr>
            <w:proofErr w:type="spellStart"/>
            <w:r w:rsidRPr="00442C83">
              <w:rPr>
                <w:rFonts w:eastAsia="Calibri"/>
                <w:b/>
                <w:bCs/>
                <w:szCs w:val="20"/>
              </w:rPr>
              <w:t>Doulougou</w:t>
            </w:r>
            <w:proofErr w:type="spellEnd"/>
            <w:r w:rsidRPr="00442C83">
              <w:rPr>
                <w:rFonts w:eastAsia="Calibri"/>
                <w:b/>
                <w:bCs/>
                <w:szCs w:val="20"/>
              </w:rPr>
              <w:t xml:space="preserve"> </w:t>
            </w:r>
          </w:p>
        </w:tc>
        <w:tc>
          <w:tcPr>
            <w:tcW w:w="1356" w:type="pct"/>
            <w:tcBorders>
              <w:top w:val="single" w:sz="4" w:space="0" w:color="C5E0B3"/>
              <w:left w:val="single" w:sz="4" w:space="0" w:color="C5E0B3"/>
              <w:bottom w:val="single" w:sz="4" w:space="0" w:color="C5E0B3"/>
              <w:right w:val="single" w:sz="4" w:space="0" w:color="C5E0B3"/>
            </w:tcBorders>
            <w:shd w:val="clear" w:color="auto" w:fill="auto"/>
            <w:hideMark/>
          </w:tcPr>
          <w:p w14:paraId="1369D3E3" w14:textId="77777777" w:rsidR="00302BFE" w:rsidRPr="00442C83" w:rsidRDefault="00302BFE" w:rsidP="00243B15">
            <w:pPr>
              <w:spacing w:after="0"/>
              <w:ind w:left="170"/>
              <w:rPr>
                <w:rFonts w:eastAsia="Calibri"/>
                <w:szCs w:val="20"/>
                <w:lang w:val="fr-FR"/>
              </w:rPr>
            </w:pPr>
            <w:r w:rsidRPr="00442C83">
              <w:rPr>
                <w:rFonts w:eastAsia="Calibri"/>
                <w:szCs w:val="20"/>
              </w:rPr>
              <w:t>17 608</w:t>
            </w:r>
          </w:p>
        </w:tc>
        <w:tc>
          <w:tcPr>
            <w:tcW w:w="1341" w:type="pct"/>
            <w:tcBorders>
              <w:top w:val="single" w:sz="4" w:space="0" w:color="C5E0B3"/>
              <w:left w:val="single" w:sz="4" w:space="0" w:color="C5E0B3"/>
              <w:bottom w:val="single" w:sz="4" w:space="0" w:color="C5E0B3"/>
              <w:right w:val="single" w:sz="4" w:space="0" w:color="C5E0B3"/>
            </w:tcBorders>
            <w:shd w:val="clear" w:color="auto" w:fill="auto"/>
            <w:hideMark/>
          </w:tcPr>
          <w:p w14:paraId="5DF25772" w14:textId="77777777" w:rsidR="00302BFE" w:rsidRPr="00442C83" w:rsidRDefault="00302BFE" w:rsidP="00243B15">
            <w:pPr>
              <w:spacing w:after="0"/>
              <w:ind w:left="170"/>
              <w:rPr>
                <w:rFonts w:eastAsia="Calibri"/>
                <w:szCs w:val="20"/>
              </w:rPr>
            </w:pPr>
            <w:r w:rsidRPr="00442C83">
              <w:rPr>
                <w:rFonts w:eastAsia="Calibri"/>
                <w:szCs w:val="20"/>
              </w:rPr>
              <w:t>15 790</w:t>
            </w:r>
          </w:p>
        </w:tc>
        <w:tc>
          <w:tcPr>
            <w:tcW w:w="1138" w:type="pct"/>
            <w:tcBorders>
              <w:top w:val="single" w:sz="4" w:space="0" w:color="C5E0B3"/>
              <w:left w:val="single" w:sz="4" w:space="0" w:color="C5E0B3"/>
              <w:bottom w:val="single" w:sz="4" w:space="0" w:color="C5E0B3"/>
              <w:right w:val="single" w:sz="4" w:space="0" w:color="C5E0B3"/>
            </w:tcBorders>
            <w:shd w:val="clear" w:color="auto" w:fill="auto"/>
            <w:hideMark/>
          </w:tcPr>
          <w:p w14:paraId="3511A228" w14:textId="77777777" w:rsidR="00302BFE" w:rsidRPr="00442C83" w:rsidRDefault="00302BFE" w:rsidP="00243B15">
            <w:pPr>
              <w:spacing w:after="0"/>
              <w:ind w:left="170"/>
              <w:rPr>
                <w:rFonts w:eastAsia="Calibri"/>
                <w:szCs w:val="20"/>
              </w:rPr>
            </w:pPr>
            <w:r w:rsidRPr="00442C83">
              <w:rPr>
                <w:rFonts w:eastAsia="Calibri"/>
                <w:szCs w:val="20"/>
              </w:rPr>
              <w:t>33 398</w:t>
            </w:r>
          </w:p>
        </w:tc>
      </w:tr>
      <w:tr w:rsidR="00302BFE" w:rsidRPr="00442C83" w14:paraId="01941324" w14:textId="77777777" w:rsidTr="00243B15">
        <w:trPr>
          <w:jc w:val="center"/>
        </w:trPr>
        <w:tc>
          <w:tcPr>
            <w:tcW w:w="1161" w:type="pct"/>
            <w:tcBorders>
              <w:top w:val="single" w:sz="4" w:space="0" w:color="C5E0B3"/>
              <w:left w:val="single" w:sz="4" w:space="0" w:color="C5E0B3"/>
              <w:bottom w:val="single" w:sz="4" w:space="0" w:color="C5E0B3"/>
              <w:right w:val="single" w:sz="4" w:space="0" w:color="C5E0B3"/>
            </w:tcBorders>
            <w:shd w:val="clear" w:color="auto" w:fill="auto"/>
            <w:hideMark/>
          </w:tcPr>
          <w:p w14:paraId="48E90A08" w14:textId="77777777" w:rsidR="00302BFE" w:rsidRPr="00442C83" w:rsidRDefault="00302BFE" w:rsidP="00243B15">
            <w:pPr>
              <w:spacing w:after="0"/>
              <w:ind w:left="170"/>
              <w:rPr>
                <w:rFonts w:eastAsia="Calibri"/>
                <w:b/>
                <w:bCs/>
                <w:szCs w:val="20"/>
              </w:rPr>
            </w:pPr>
            <w:proofErr w:type="spellStart"/>
            <w:r w:rsidRPr="00442C83">
              <w:rPr>
                <w:rFonts w:eastAsia="Calibri"/>
                <w:b/>
                <w:bCs/>
                <w:szCs w:val="20"/>
              </w:rPr>
              <w:t>Biéha</w:t>
            </w:r>
            <w:proofErr w:type="spellEnd"/>
          </w:p>
        </w:tc>
        <w:tc>
          <w:tcPr>
            <w:tcW w:w="1356" w:type="pct"/>
            <w:tcBorders>
              <w:top w:val="single" w:sz="4" w:space="0" w:color="C5E0B3"/>
              <w:left w:val="single" w:sz="4" w:space="0" w:color="C5E0B3"/>
              <w:bottom w:val="single" w:sz="4" w:space="0" w:color="C5E0B3"/>
              <w:right w:val="single" w:sz="4" w:space="0" w:color="C5E0B3"/>
            </w:tcBorders>
            <w:shd w:val="clear" w:color="auto" w:fill="auto"/>
            <w:hideMark/>
          </w:tcPr>
          <w:p w14:paraId="2F32A78E" w14:textId="77777777" w:rsidR="00302BFE" w:rsidRPr="00442C83" w:rsidRDefault="00302BFE" w:rsidP="00243B15">
            <w:pPr>
              <w:spacing w:after="0"/>
              <w:ind w:left="170"/>
              <w:rPr>
                <w:rFonts w:eastAsia="Calibri"/>
                <w:szCs w:val="20"/>
              </w:rPr>
            </w:pPr>
            <w:r w:rsidRPr="00442C83">
              <w:rPr>
                <w:rFonts w:eastAsia="Calibri"/>
                <w:szCs w:val="20"/>
              </w:rPr>
              <w:t>24 956</w:t>
            </w:r>
          </w:p>
        </w:tc>
        <w:tc>
          <w:tcPr>
            <w:tcW w:w="1341" w:type="pct"/>
            <w:tcBorders>
              <w:top w:val="single" w:sz="4" w:space="0" w:color="C5E0B3"/>
              <w:left w:val="single" w:sz="4" w:space="0" w:color="C5E0B3"/>
              <w:bottom w:val="single" w:sz="4" w:space="0" w:color="C5E0B3"/>
              <w:right w:val="single" w:sz="4" w:space="0" w:color="C5E0B3"/>
            </w:tcBorders>
            <w:shd w:val="clear" w:color="auto" w:fill="auto"/>
            <w:hideMark/>
          </w:tcPr>
          <w:p w14:paraId="4552BEF0" w14:textId="77777777" w:rsidR="00302BFE" w:rsidRPr="00442C83" w:rsidRDefault="00302BFE" w:rsidP="00243B15">
            <w:pPr>
              <w:spacing w:after="0"/>
              <w:ind w:left="170"/>
              <w:rPr>
                <w:rFonts w:eastAsia="Calibri"/>
                <w:szCs w:val="20"/>
              </w:rPr>
            </w:pPr>
            <w:r w:rsidRPr="00442C83">
              <w:rPr>
                <w:rFonts w:eastAsia="Calibri"/>
                <w:szCs w:val="20"/>
              </w:rPr>
              <w:t>22 534</w:t>
            </w:r>
          </w:p>
        </w:tc>
        <w:tc>
          <w:tcPr>
            <w:tcW w:w="1138" w:type="pct"/>
            <w:tcBorders>
              <w:top w:val="single" w:sz="4" w:space="0" w:color="C5E0B3"/>
              <w:left w:val="single" w:sz="4" w:space="0" w:color="C5E0B3"/>
              <w:bottom w:val="single" w:sz="4" w:space="0" w:color="C5E0B3"/>
              <w:right w:val="single" w:sz="4" w:space="0" w:color="C5E0B3"/>
            </w:tcBorders>
            <w:shd w:val="clear" w:color="auto" w:fill="auto"/>
            <w:hideMark/>
          </w:tcPr>
          <w:p w14:paraId="1273DA8D" w14:textId="77777777" w:rsidR="00302BFE" w:rsidRPr="00442C83" w:rsidRDefault="00302BFE" w:rsidP="00243B15">
            <w:pPr>
              <w:spacing w:after="0"/>
              <w:ind w:left="170"/>
              <w:rPr>
                <w:rFonts w:eastAsia="Calibri"/>
                <w:szCs w:val="20"/>
              </w:rPr>
            </w:pPr>
            <w:r w:rsidRPr="00442C83">
              <w:rPr>
                <w:rFonts w:eastAsia="Calibri"/>
                <w:szCs w:val="20"/>
              </w:rPr>
              <w:t>47 490</w:t>
            </w:r>
          </w:p>
        </w:tc>
      </w:tr>
      <w:tr w:rsidR="00302BFE" w:rsidRPr="00442C83" w14:paraId="1A820D79" w14:textId="77777777" w:rsidTr="00243B15">
        <w:trPr>
          <w:jc w:val="center"/>
        </w:trPr>
        <w:tc>
          <w:tcPr>
            <w:tcW w:w="1161" w:type="pct"/>
            <w:tcBorders>
              <w:top w:val="single" w:sz="4" w:space="0" w:color="C5E0B3"/>
              <w:left w:val="single" w:sz="4" w:space="0" w:color="C5E0B3"/>
              <w:bottom w:val="single" w:sz="4" w:space="0" w:color="C5E0B3"/>
              <w:right w:val="single" w:sz="4" w:space="0" w:color="C5E0B3"/>
            </w:tcBorders>
            <w:shd w:val="clear" w:color="auto" w:fill="auto"/>
            <w:hideMark/>
          </w:tcPr>
          <w:p w14:paraId="28AEFD3C" w14:textId="77777777" w:rsidR="00302BFE" w:rsidRPr="00442C83" w:rsidRDefault="00302BFE" w:rsidP="00243B15">
            <w:pPr>
              <w:spacing w:after="0"/>
              <w:ind w:left="170"/>
              <w:rPr>
                <w:rFonts w:eastAsia="Calibri"/>
                <w:b/>
                <w:bCs/>
                <w:szCs w:val="20"/>
              </w:rPr>
            </w:pPr>
            <w:proofErr w:type="spellStart"/>
            <w:r w:rsidRPr="00442C83">
              <w:rPr>
                <w:rFonts w:eastAsia="Calibri"/>
                <w:b/>
                <w:bCs/>
                <w:szCs w:val="20"/>
              </w:rPr>
              <w:t>Sapouy</w:t>
            </w:r>
            <w:proofErr w:type="spellEnd"/>
          </w:p>
        </w:tc>
        <w:tc>
          <w:tcPr>
            <w:tcW w:w="1356" w:type="pct"/>
            <w:tcBorders>
              <w:top w:val="single" w:sz="4" w:space="0" w:color="C5E0B3"/>
              <w:left w:val="single" w:sz="4" w:space="0" w:color="C5E0B3"/>
              <w:bottom w:val="single" w:sz="4" w:space="0" w:color="C5E0B3"/>
              <w:right w:val="single" w:sz="4" w:space="0" w:color="C5E0B3"/>
            </w:tcBorders>
            <w:shd w:val="clear" w:color="auto" w:fill="auto"/>
            <w:hideMark/>
          </w:tcPr>
          <w:p w14:paraId="5C35A044" w14:textId="77777777" w:rsidR="00302BFE" w:rsidRPr="00442C83" w:rsidRDefault="00302BFE" w:rsidP="00243B15">
            <w:pPr>
              <w:spacing w:after="0"/>
              <w:ind w:left="170"/>
              <w:rPr>
                <w:rFonts w:eastAsia="Calibri"/>
                <w:szCs w:val="20"/>
              </w:rPr>
            </w:pPr>
            <w:r w:rsidRPr="00442C83">
              <w:rPr>
                <w:rFonts w:eastAsia="Calibri"/>
                <w:szCs w:val="20"/>
              </w:rPr>
              <w:t>48 951</w:t>
            </w:r>
          </w:p>
        </w:tc>
        <w:tc>
          <w:tcPr>
            <w:tcW w:w="1341" w:type="pct"/>
            <w:tcBorders>
              <w:top w:val="single" w:sz="4" w:space="0" w:color="C5E0B3"/>
              <w:left w:val="single" w:sz="4" w:space="0" w:color="C5E0B3"/>
              <w:bottom w:val="single" w:sz="4" w:space="0" w:color="C5E0B3"/>
              <w:right w:val="single" w:sz="4" w:space="0" w:color="C5E0B3"/>
            </w:tcBorders>
            <w:shd w:val="clear" w:color="auto" w:fill="auto"/>
            <w:hideMark/>
          </w:tcPr>
          <w:p w14:paraId="10524243" w14:textId="77777777" w:rsidR="00302BFE" w:rsidRPr="00442C83" w:rsidRDefault="00302BFE" w:rsidP="00243B15">
            <w:pPr>
              <w:spacing w:after="0"/>
              <w:ind w:left="170"/>
              <w:rPr>
                <w:rFonts w:eastAsia="Calibri"/>
                <w:szCs w:val="20"/>
              </w:rPr>
            </w:pPr>
            <w:r w:rsidRPr="00442C83">
              <w:rPr>
                <w:rFonts w:eastAsia="Calibri"/>
                <w:szCs w:val="20"/>
              </w:rPr>
              <w:t>44 327</w:t>
            </w:r>
          </w:p>
        </w:tc>
        <w:tc>
          <w:tcPr>
            <w:tcW w:w="1138" w:type="pct"/>
            <w:tcBorders>
              <w:top w:val="single" w:sz="4" w:space="0" w:color="C5E0B3"/>
              <w:left w:val="single" w:sz="4" w:space="0" w:color="C5E0B3"/>
              <w:bottom w:val="single" w:sz="4" w:space="0" w:color="C5E0B3"/>
              <w:right w:val="single" w:sz="4" w:space="0" w:color="C5E0B3"/>
            </w:tcBorders>
            <w:shd w:val="clear" w:color="auto" w:fill="auto"/>
            <w:hideMark/>
          </w:tcPr>
          <w:p w14:paraId="3EC4AF33" w14:textId="77777777" w:rsidR="00302BFE" w:rsidRPr="00442C83" w:rsidRDefault="00302BFE" w:rsidP="00243B15">
            <w:pPr>
              <w:spacing w:after="0"/>
              <w:ind w:left="170"/>
              <w:rPr>
                <w:rFonts w:eastAsia="Calibri"/>
                <w:szCs w:val="20"/>
              </w:rPr>
            </w:pPr>
            <w:r w:rsidRPr="00442C83">
              <w:rPr>
                <w:rFonts w:eastAsia="Calibri"/>
                <w:szCs w:val="20"/>
              </w:rPr>
              <w:t>93 278</w:t>
            </w:r>
          </w:p>
        </w:tc>
      </w:tr>
      <w:tr w:rsidR="00302BFE" w:rsidRPr="00442C83" w14:paraId="63A579E4" w14:textId="77777777" w:rsidTr="00243B15">
        <w:trPr>
          <w:jc w:val="center"/>
        </w:trPr>
        <w:tc>
          <w:tcPr>
            <w:tcW w:w="1161" w:type="pct"/>
            <w:tcBorders>
              <w:top w:val="single" w:sz="4" w:space="0" w:color="C5E0B3"/>
              <w:left w:val="single" w:sz="4" w:space="0" w:color="C5E0B3"/>
              <w:bottom w:val="single" w:sz="4" w:space="0" w:color="C5E0B3"/>
              <w:right w:val="single" w:sz="4" w:space="0" w:color="C5E0B3"/>
            </w:tcBorders>
            <w:shd w:val="clear" w:color="auto" w:fill="auto"/>
            <w:hideMark/>
          </w:tcPr>
          <w:p w14:paraId="0A4B9B8C" w14:textId="77777777" w:rsidR="00302BFE" w:rsidRPr="00442C83" w:rsidRDefault="00302BFE" w:rsidP="00243B15">
            <w:pPr>
              <w:spacing w:after="0"/>
              <w:ind w:left="170"/>
              <w:rPr>
                <w:rFonts w:eastAsia="Calibri"/>
                <w:b/>
                <w:bCs/>
                <w:szCs w:val="20"/>
              </w:rPr>
            </w:pPr>
            <w:proofErr w:type="spellStart"/>
            <w:r w:rsidRPr="00442C83">
              <w:rPr>
                <w:rFonts w:eastAsia="Calibri"/>
                <w:b/>
                <w:bCs/>
                <w:szCs w:val="20"/>
              </w:rPr>
              <w:t>Nobéré</w:t>
            </w:r>
            <w:proofErr w:type="spellEnd"/>
          </w:p>
        </w:tc>
        <w:tc>
          <w:tcPr>
            <w:tcW w:w="1356" w:type="pct"/>
            <w:tcBorders>
              <w:top w:val="single" w:sz="4" w:space="0" w:color="C5E0B3"/>
              <w:left w:val="single" w:sz="4" w:space="0" w:color="C5E0B3"/>
              <w:bottom w:val="single" w:sz="4" w:space="0" w:color="C5E0B3"/>
              <w:right w:val="single" w:sz="4" w:space="0" w:color="C5E0B3"/>
            </w:tcBorders>
            <w:shd w:val="clear" w:color="auto" w:fill="auto"/>
            <w:hideMark/>
          </w:tcPr>
          <w:p w14:paraId="119B135E" w14:textId="77777777" w:rsidR="00302BFE" w:rsidRPr="00442C83" w:rsidRDefault="00302BFE" w:rsidP="00243B15">
            <w:pPr>
              <w:spacing w:after="0"/>
              <w:ind w:left="170"/>
              <w:rPr>
                <w:rFonts w:eastAsia="Calibri"/>
                <w:szCs w:val="20"/>
              </w:rPr>
            </w:pPr>
            <w:r w:rsidRPr="00442C83">
              <w:rPr>
                <w:rFonts w:eastAsia="Calibri"/>
                <w:szCs w:val="20"/>
              </w:rPr>
              <w:t>23 296</w:t>
            </w:r>
          </w:p>
        </w:tc>
        <w:tc>
          <w:tcPr>
            <w:tcW w:w="1341" w:type="pct"/>
            <w:tcBorders>
              <w:top w:val="single" w:sz="4" w:space="0" w:color="C5E0B3"/>
              <w:left w:val="single" w:sz="4" w:space="0" w:color="C5E0B3"/>
              <w:bottom w:val="single" w:sz="4" w:space="0" w:color="C5E0B3"/>
              <w:right w:val="single" w:sz="4" w:space="0" w:color="C5E0B3"/>
            </w:tcBorders>
            <w:shd w:val="clear" w:color="auto" w:fill="auto"/>
            <w:hideMark/>
          </w:tcPr>
          <w:p w14:paraId="0542B7E5" w14:textId="77777777" w:rsidR="00302BFE" w:rsidRPr="00442C83" w:rsidRDefault="00302BFE" w:rsidP="00243B15">
            <w:pPr>
              <w:spacing w:after="0"/>
              <w:ind w:left="170"/>
              <w:rPr>
                <w:rFonts w:eastAsia="Calibri"/>
                <w:szCs w:val="20"/>
              </w:rPr>
            </w:pPr>
            <w:r w:rsidRPr="00442C83">
              <w:rPr>
                <w:rFonts w:eastAsia="Calibri"/>
                <w:szCs w:val="20"/>
              </w:rPr>
              <w:t>20 434</w:t>
            </w:r>
          </w:p>
        </w:tc>
        <w:tc>
          <w:tcPr>
            <w:tcW w:w="1138" w:type="pct"/>
            <w:tcBorders>
              <w:top w:val="single" w:sz="4" w:space="0" w:color="C5E0B3"/>
              <w:left w:val="single" w:sz="4" w:space="0" w:color="C5E0B3"/>
              <w:bottom w:val="single" w:sz="4" w:space="0" w:color="C5E0B3"/>
              <w:right w:val="single" w:sz="4" w:space="0" w:color="C5E0B3"/>
            </w:tcBorders>
            <w:shd w:val="clear" w:color="auto" w:fill="auto"/>
            <w:hideMark/>
          </w:tcPr>
          <w:p w14:paraId="6B958F40" w14:textId="77777777" w:rsidR="00302BFE" w:rsidRPr="00442C83" w:rsidRDefault="00302BFE" w:rsidP="00243B15">
            <w:pPr>
              <w:spacing w:after="0"/>
              <w:ind w:left="170"/>
              <w:rPr>
                <w:rFonts w:eastAsia="Calibri"/>
                <w:szCs w:val="20"/>
              </w:rPr>
            </w:pPr>
            <w:r w:rsidRPr="00442C83">
              <w:rPr>
                <w:rFonts w:eastAsia="Calibri"/>
                <w:szCs w:val="20"/>
              </w:rPr>
              <w:t>43 730</w:t>
            </w:r>
          </w:p>
        </w:tc>
      </w:tr>
      <w:tr w:rsidR="00302BFE" w:rsidRPr="00442C83" w14:paraId="2DDB26D6" w14:textId="77777777" w:rsidTr="00243B15">
        <w:trPr>
          <w:jc w:val="center"/>
        </w:trPr>
        <w:tc>
          <w:tcPr>
            <w:tcW w:w="3862" w:type="pct"/>
            <w:gridSpan w:val="3"/>
            <w:tcBorders>
              <w:top w:val="single" w:sz="4" w:space="0" w:color="C5E0B3"/>
              <w:left w:val="single" w:sz="4" w:space="0" w:color="C5E0B3"/>
              <w:bottom w:val="single" w:sz="4" w:space="0" w:color="C5E0B3"/>
              <w:right w:val="single" w:sz="4" w:space="0" w:color="C5E0B3"/>
            </w:tcBorders>
            <w:shd w:val="clear" w:color="auto" w:fill="auto"/>
            <w:hideMark/>
          </w:tcPr>
          <w:p w14:paraId="5E42128B" w14:textId="77777777" w:rsidR="00302BFE" w:rsidRPr="00442C83" w:rsidRDefault="00302BFE" w:rsidP="00243B15">
            <w:pPr>
              <w:spacing w:after="0"/>
              <w:ind w:left="170"/>
              <w:rPr>
                <w:rFonts w:eastAsia="Calibri"/>
                <w:b/>
                <w:bCs/>
                <w:szCs w:val="20"/>
              </w:rPr>
            </w:pPr>
            <w:r w:rsidRPr="00442C83">
              <w:rPr>
                <w:rFonts w:eastAsia="Calibri"/>
                <w:b/>
                <w:bCs/>
                <w:szCs w:val="20"/>
              </w:rPr>
              <w:t xml:space="preserve">Total </w:t>
            </w:r>
          </w:p>
        </w:tc>
        <w:tc>
          <w:tcPr>
            <w:tcW w:w="1138" w:type="pct"/>
            <w:tcBorders>
              <w:top w:val="single" w:sz="4" w:space="0" w:color="C5E0B3"/>
              <w:left w:val="single" w:sz="4" w:space="0" w:color="C5E0B3"/>
              <w:bottom w:val="single" w:sz="4" w:space="0" w:color="C5E0B3"/>
              <w:right w:val="single" w:sz="4" w:space="0" w:color="C5E0B3"/>
            </w:tcBorders>
            <w:shd w:val="clear" w:color="auto" w:fill="auto"/>
            <w:hideMark/>
          </w:tcPr>
          <w:p w14:paraId="27CE3BDC" w14:textId="77777777" w:rsidR="00302BFE" w:rsidRPr="00442C83" w:rsidRDefault="00302BFE" w:rsidP="00243B15">
            <w:pPr>
              <w:spacing w:after="0"/>
              <w:ind w:left="170"/>
              <w:rPr>
                <w:rFonts w:eastAsia="Times New Roman"/>
                <w:b/>
                <w:color w:val="000000"/>
                <w:szCs w:val="20"/>
              </w:rPr>
            </w:pPr>
            <w:r w:rsidRPr="00442C83">
              <w:rPr>
                <w:rFonts w:eastAsia="Calibri"/>
                <w:b/>
                <w:color w:val="000000"/>
                <w:szCs w:val="20"/>
              </w:rPr>
              <w:t>487 961</w:t>
            </w:r>
          </w:p>
        </w:tc>
      </w:tr>
    </w:tbl>
    <w:p w14:paraId="4B6DB742" w14:textId="77777777" w:rsidR="00302BFE" w:rsidRPr="006554E1" w:rsidRDefault="00302BFE" w:rsidP="00302BFE">
      <w:pPr>
        <w:pStyle w:val="Paragraphedeliste"/>
        <w:tabs>
          <w:tab w:val="left" w:pos="284"/>
        </w:tabs>
        <w:spacing w:before="120" w:after="120"/>
        <w:ind w:left="0"/>
        <w:jc w:val="both"/>
        <w:rPr>
          <w:rFonts w:ascii="Calibri" w:hAnsi="Calibri"/>
          <w:sz w:val="20"/>
          <w:szCs w:val="20"/>
          <w:lang w:val="fr-CA"/>
        </w:rPr>
      </w:pPr>
      <w:r w:rsidRPr="006554E1">
        <w:rPr>
          <w:rFonts w:ascii="Calibri" w:hAnsi="Calibri"/>
          <w:b/>
          <w:sz w:val="20"/>
          <w:szCs w:val="20"/>
          <w:lang w:val="fr-CA"/>
        </w:rPr>
        <w:t>Niveau de vie des ménages.</w:t>
      </w:r>
      <w:r w:rsidRPr="006554E1">
        <w:rPr>
          <w:rFonts w:ascii="Calibri" w:hAnsi="Calibri"/>
          <w:sz w:val="20"/>
          <w:szCs w:val="20"/>
          <w:lang w:val="fr-CA"/>
        </w:rPr>
        <w:t xml:space="preserve"> </w:t>
      </w:r>
      <w:r w:rsidRPr="006554E1">
        <w:rPr>
          <w:rFonts w:ascii="Calibri" w:hAnsi="Calibri"/>
          <w:sz w:val="20"/>
          <w:szCs w:val="20"/>
          <w:lang w:val="fr-CA" w:eastAsia="en-GB"/>
        </w:rPr>
        <w:t xml:space="preserve">En fonction de la perception des communautés définie lors des entretiens, trois niveaux de vie caractéristiques des ménages ont été identifiés dans la zone de mise en œuvre du projet : pauvre, moyennement pauvre et riche, ainsi que le taux de ménages concernés dans chaque catégorie. Les critères d’appréciation définis sont indiqués dans le tableau </w:t>
      </w:r>
      <w:r w:rsidRPr="00BE0201">
        <w:rPr>
          <w:rFonts w:ascii="Calibri" w:hAnsi="Calibri"/>
          <w:sz w:val="20"/>
          <w:szCs w:val="20"/>
          <w:lang w:val="fr-CA" w:eastAsia="en-GB"/>
        </w:rPr>
        <w:t>B</w:t>
      </w:r>
      <w:r w:rsidRPr="006554E1">
        <w:rPr>
          <w:rFonts w:ascii="Calibri" w:hAnsi="Calibri"/>
          <w:sz w:val="20"/>
          <w:szCs w:val="20"/>
          <w:lang w:val="fr-CA" w:eastAsia="en-GB"/>
        </w:rPr>
        <w:t>.</w:t>
      </w:r>
    </w:p>
    <w:p w14:paraId="4B1C3ECF" w14:textId="77777777" w:rsidR="00302BFE" w:rsidRPr="006554E1" w:rsidRDefault="00302BFE" w:rsidP="00302BFE">
      <w:pPr>
        <w:pStyle w:val="Lgende"/>
        <w:spacing w:before="120" w:after="60"/>
        <w:jc w:val="both"/>
        <w:rPr>
          <w:rFonts w:ascii="Calibri" w:hAnsi="Calibri"/>
          <w:sz w:val="20"/>
          <w:szCs w:val="20"/>
          <w:lang w:val="fr-CA"/>
        </w:rPr>
      </w:pPr>
      <w:bookmarkStart w:id="80" w:name="_Toc2166333"/>
      <w:r w:rsidRPr="006554E1">
        <w:rPr>
          <w:rFonts w:ascii="Calibri" w:hAnsi="Calibri"/>
          <w:sz w:val="20"/>
          <w:szCs w:val="20"/>
          <w:lang w:val="fr-CA"/>
        </w:rPr>
        <w:t xml:space="preserve">Tableau </w:t>
      </w:r>
      <w:r>
        <w:rPr>
          <w:rFonts w:ascii="Calibri" w:hAnsi="Calibri"/>
          <w:sz w:val="20"/>
          <w:szCs w:val="20"/>
          <w:lang w:val="fr-CA"/>
        </w:rPr>
        <w:t>B</w:t>
      </w:r>
      <w:r w:rsidRPr="006554E1">
        <w:rPr>
          <w:rFonts w:ascii="Calibri" w:hAnsi="Calibri"/>
          <w:sz w:val="20"/>
          <w:szCs w:val="20"/>
          <w:lang w:val="fr-CA"/>
        </w:rPr>
        <w:t>: Critères participatifs d’appréciation du niveau de pauvreté</w:t>
      </w:r>
      <w:bookmarkEnd w:id="80"/>
    </w:p>
    <w:tbl>
      <w:tblPr>
        <w:tblW w:w="9776"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1561"/>
        <w:gridCol w:w="8215"/>
      </w:tblGrid>
      <w:tr w:rsidR="00302BFE" w14:paraId="0239AFE8" w14:textId="77777777" w:rsidTr="00243B15">
        <w:tc>
          <w:tcPr>
            <w:tcW w:w="1561" w:type="dxa"/>
            <w:tcBorders>
              <w:top w:val="single" w:sz="4" w:space="0" w:color="F7CAAC"/>
              <w:left w:val="single" w:sz="4" w:space="0" w:color="F7CAAC"/>
              <w:bottom w:val="single" w:sz="12" w:space="0" w:color="F4B083"/>
              <w:right w:val="single" w:sz="4" w:space="0" w:color="F7CAAC"/>
            </w:tcBorders>
            <w:shd w:val="clear" w:color="auto" w:fill="auto"/>
            <w:vAlign w:val="center"/>
            <w:hideMark/>
          </w:tcPr>
          <w:p w14:paraId="15A27141" w14:textId="77777777" w:rsidR="00302BFE" w:rsidRPr="0075595E" w:rsidRDefault="00302BFE" w:rsidP="00243B15">
            <w:pPr>
              <w:rPr>
                <w:rFonts w:eastAsia="Calibri"/>
                <w:b/>
                <w:bCs/>
                <w:sz w:val="18"/>
                <w:szCs w:val="18"/>
              </w:rPr>
            </w:pPr>
            <w:proofErr w:type="spellStart"/>
            <w:r w:rsidRPr="0075595E">
              <w:rPr>
                <w:rFonts w:eastAsia="Calibri"/>
                <w:b/>
                <w:bCs/>
                <w:sz w:val="18"/>
                <w:szCs w:val="18"/>
              </w:rPr>
              <w:t>Niveau</w:t>
            </w:r>
            <w:proofErr w:type="spellEnd"/>
            <w:r w:rsidRPr="0075595E">
              <w:rPr>
                <w:rFonts w:eastAsia="Calibri"/>
                <w:b/>
                <w:bCs/>
                <w:sz w:val="18"/>
                <w:szCs w:val="18"/>
              </w:rPr>
              <w:t xml:space="preserve"> de vie </w:t>
            </w:r>
          </w:p>
        </w:tc>
        <w:tc>
          <w:tcPr>
            <w:tcW w:w="8215" w:type="dxa"/>
            <w:tcBorders>
              <w:top w:val="single" w:sz="4" w:space="0" w:color="F7CAAC"/>
              <w:left w:val="single" w:sz="4" w:space="0" w:color="F7CAAC"/>
              <w:bottom w:val="single" w:sz="12" w:space="0" w:color="F4B083"/>
              <w:right w:val="single" w:sz="4" w:space="0" w:color="F7CAAC"/>
            </w:tcBorders>
            <w:shd w:val="clear" w:color="auto" w:fill="auto"/>
            <w:vAlign w:val="center"/>
            <w:hideMark/>
          </w:tcPr>
          <w:p w14:paraId="13DF8D3A" w14:textId="77777777" w:rsidR="00302BFE" w:rsidRPr="0075595E" w:rsidRDefault="00302BFE" w:rsidP="00243B15">
            <w:pPr>
              <w:rPr>
                <w:rFonts w:eastAsia="Calibri"/>
                <w:b/>
                <w:bCs/>
                <w:sz w:val="18"/>
                <w:szCs w:val="18"/>
              </w:rPr>
            </w:pPr>
            <w:proofErr w:type="spellStart"/>
            <w:r w:rsidRPr="0075595E">
              <w:rPr>
                <w:rFonts w:eastAsia="Calibri"/>
                <w:b/>
                <w:bCs/>
                <w:sz w:val="18"/>
                <w:szCs w:val="18"/>
              </w:rPr>
              <w:t>Critères</w:t>
            </w:r>
            <w:proofErr w:type="spellEnd"/>
            <w:r w:rsidRPr="0075595E">
              <w:rPr>
                <w:rFonts w:eastAsia="Calibri"/>
                <w:b/>
                <w:bCs/>
                <w:sz w:val="18"/>
                <w:szCs w:val="18"/>
              </w:rPr>
              <w:t xml:space="preserve"> </w:t>
            </w:r>
            <w:proofErr w:type="spellStart"/>
            <w:r w:rsidRPr="0075595E">
              <w:rPr>
                <w:rFonts w:eastAsia="Calibri"/>
                <w:b/>
                <w:bCs/>
                <w:sz w:val="18"/>
                <w:szCs w:val="18"/>
              </w:rPr>
              <w:t>d’appréciation</w:t>
            </w:r>
            <w:proofErr w:type="spellEnd"/>
            <w:r w:rsidRPr="0075595E">
              <w:rPr>
                <w:rFonts w:eastAsia="Calibri"/>
                <w:b/>
                <w:bCs/>
                <w:sz w:val="18"/>
                <w:szCs w:val="18"/>
              </w:rPr>
              <w:t xml:space="preserve"> </w:t>
            </w:r>
          </w:p>
        </w:tc>
      </w:tr>
      <w:tr w:rsidR="00302BFE" w:rsidRPr="00AB47BD" w14:paraId="2C6C0B24" w14:textId="77777777" w:rsidTr="00243B15">
        <w:tc>
          <w:tcPr>
            <w:tcW w:w="1561" w:type="dxa"/>
            <w:tcBorders>
              <w:top w:val="single" w:sz="4" w:space="0" w:color="F7CAAC"/>
              <w:left w:val="single" w:sz="4" w:space="0" w:color="F7CAAC"/>
              <w:bottom w:val="single" w:sz="4" w:space="0" w:color="F7CAAC"/>
              <w:right w:val="single" w:sz="4" w:space="0" w:color="F7CAAC"/>
            </w:tcBorders>
            <w:shd w:val="clear" w:color="auto" w:fill="auto"/>
            <w:vAlign w:val="center"/>
            <w:hideMark/>
          </w:tcPr>
          <w:p w14:paraId="7A1E15D8" w14:textId="77777777" w:rsidR="00302BFE" w:rsidRPr="0075595E" w:rsidRDefault="00302BFE" w:rsidP="00243B15">
            <w:pPr>
              <w:rPr>
                <w:rFonts w:eastAsia="Calibri"/>
                <w:b/>
                <w:bCs/>
                <w:sz w:val="18"/>
                <w:szCs w:val="18"/>
              </w:rPr>
            </w:pPr>
            <w:proofErr w:type="spellStart"/>
            <w:r w:rsidRPr="0075595E">
              <w:rPr>
                <w:rFonts w:eastAsia="Calibri"/>
                <w:b/>
                <w:bCs/>
                <w:sz w:val="18"/>
                <w:szCs w:val="18"/>
              </w:rPr>
              <w:t>Pauvre</w:t>
            </w:r>
            <w:proofErr w:type="spellEnd"/>
          </w:p>
        </w:tc>
        <w:tc>
          <w:tcPr>
            <w:tcW w:w="8215" w:type="dxa"/>
            <w:tcBorders>
              <w:top w:val="single" w:sz="4" w:space="0" w:color="F7CAAC"/>
              <w:left w:val="single" w:sz="4" w:space="0" w:color="F7CAAC"/>
              <w:bottom w:val="single" w:sz="4" w:space="0" w:color="F7CAAC"/>
              <w:right w:val="single" w:sz="4" w:space="0" w:color="F7CAAC"/>
            </w:tcBorders>
            <w:shd w:val="clear" w:color="auto" w:fill="auto"/>
            <w:vAlign w:val="center"/>
            <w:hideMark/>
          </w:tcPr>
          <w:p w14:paraId="6F38F302"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Ne dispose d’aucun petit ruminant sinon tout au plus une chèvre comme animal d’élevage</w:t>
            </w:r>
          </w:p>
          <w:p w14:paraId="76CF8816"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Travaille comme bouvier - dans la communauté Peulh où l’élevage est l’activité principale</w:t>
            </w:r>
          </w:p>
          <w:p w14:paraId="12A4B7A5"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Ne dispose pas suffisamment de provisions pour une année entière (achète régulièrement des céréales pour se nourrir)</w:t>
            </w:r>
          </w:p>
          <w:p w14:paraId="5425EDF6"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Ne dispose d’aucun animal de labour</w:t>
            </w:r>
          </w:p>
          <w:p w14:paraId="4E26D8F9"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Arrive à peine à assurer 2 repas par jour</w:t>
            </w:r>
          </w:p>
          <w:p w14:paraId="435EA3CB" w14:textId="77777777" w:rsidR="00302BFE" w:rsidRPr="00BE0201"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BE0201">
              <w:rPr>
                <w:rFonts w:ascii="Calibri" w:eastAsia="Calibri" w:hAnsi="Calibri"/>
                <w:sz w:val="18"/>
                <w:szCs w:val="18"/>
                <w:shd w:val="clear" w:color="auto" w:fill="FFFFFF"/>
                <w:lang w:val="fr-CA"/>
              </w:rPr>
              <w:t>Ne peut se soigner convenablement</w:t>
            </w:r>
          </w:p>
          <w:p w14:paraId="20BE8CB2"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Ne peut se construire une maison sans aide extérieure (soutien financier de la famille ou d’amis)</w:t>
            </w:r>
          </w:p>
          <w:p w14:paraId="49285C5C"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lang w:val="fr-CA"/>
              </w:rPr>
            </w:pPr>
            <w:r w:rsidRPr="0075595E">
              <w:rPr>
                <w:rFonts w:ascii="Calibri" w:eastAsia="Calibri" w:hAnsi="Calibri"/>
                <w:sz w:val="18"/>
                <w:szCs w:val="18"/>
                <w:shd w:val="clear" w:color="auto" w:fill="FFFFFF"/>
                <w:lang w:val="fr-CA"/>
              </w:rPr>
              <w:t xml:space="preserve">Ne peut accéder aux intrants de production, notamment les engrais </w:t>
            </w:r>
          </w:p>
        </w:tc>
      </w:tr>
      <w:tr w:rsidR="00302BFE" w14:paraId="55524582" w14:textId="77777777" w:rsidTr="00243B15">
        <w:tc>
          <w:tcPr>
            <w:tcW w:w="1561" w:type="dxa"/>
            <w:tcBorders>
              <w:top w:val="single" w:sz="4" w:space="0" w:color="F7CAAC"/>
              <w:left w:val="single" w:sz="4" w:space="0" w:color="F7CAAC"/>
              <w:bottom w:val="single" w:sz="4" w:space="0" w:color="F7CAAC"/>
              <w:right w:val="single" w:sz="4" w:space="0" w:color="F7CAAC"/>
            </w:tcBorders>
            <w:shd w:val="clear" w:color="auto" w:fill="auto"/>
            <w:vAlign w:val="center"/>
            <w:hideMark/>
          </w:tcPr>
          <w:p w14:paraId="47F43620" w14:textId="77777777" w:rsidR="00302BFE" w:rsidRPr="0075595E" w:rsidRDefault="00302BFE" w:rsidP="00243B15">
            <w:pPr>
              <w:rPr>
                <w:rFonts w:eastAsia="Calibri"/>
                <w:b/>
                <w:bCs/>
                <w:sz w:val="18"/>
                <w:szCs w:val="18"/>
              </w:rPr>
            </w:pPr>
            <w:proofErr w:type="spellStart"/>
            <w:r w:rsidRPr="0075595E">
              <w:rPr>
                <w:rFonts w:eastAsia="Calibri"/>
                <w:b/>
                <w:bCs/>
                <w:sz w:val="18"/>
                <w:szCs w:val="18"/>
                <w:shd w:val="clear" w:color="auto" w:fill="FFFFFF"/>
              </w:rPr>
              <w:t>Moyennement</w:t>
            </w:r>
            <w:proofErr w:type="spellEnd"/>
            <w:r w:rsidRPr="0075595E">
              <w:rPr>
                <w:rFonts w:eastAsia="Calibri"/>
                <w:b/>
                <w:bCs/>
                <w:sz w:val="18"/>
                <w:szCs w:val="18"/>
                <w:shd w:val="clear" w:color="auto" w:fill="FFFFFF"/>
              </w:rPr>
              <w:t xml:space="preserve"> riche</w:t>
            </w:r>
          </w:p>
        </w:tc>
        <w:tc>
          <w:tcPr>
            <w:tcW w:w="8215" w:type="dxa"/>
            <w:tcBorders>
              <w:top w:val="single" w:sz="4" w:space="0" w:color="F7CAAC"/>
              <w:left w:val="single" w:sz="4" w:space="0" w:color="F7CAAC"/>
              <w:bottom w:val="single" w:sz="4" w:space="0" w:color="F7CAAC"/>
              <w:right w:val="single" w:sz="4" w:space="0" w:color="F7CAAC"/>
            </w:tcBorders>
            <w:shd w:val="clear" w:color="auto" w:fill="auto"/>
            <w:vAlign w:val="center"/>
            <w:hideMark/>
          </w:tcPr>
          <w:p w14:paraId="7ECD3F7D"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Peut être propriétaire terrien (5-10 ha)</w:t>
            </w:r>
          </w:p>
          <w:p w14:paraId="2309A4C2" w14:textId="77777777" w:rsidR="00302BFE" w:rsidRPr="0075595E" w:rsidRDefault="00302BFE" w:rsidP="00C46720">
            <w:pPr>
              <w:pStyle w:val="Paragraphedeliste"/>
              <w:numPr>
                <w:ilvl w:val="0"/>
                <w:numId w:val="43"/>
              </w:numPr>
              <w:ind w:left="16" w:hanging="142"/>
              <w:contextualSpacing/>
              <w:jc w:val="both"/>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 xml:space="preserve">Peut assurer au moins 2 repas par jour </w:t>
            </w:r>
          </w:p>
          <w:p w14:paraId="4402742D"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Dispose de petits ruminants (ovins, caprins)</w:t>
            </w:r>
          </w:p>
          <w:p w14:paraId="2D2FCA0D"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A moins de 100 têtes d’animaux (communauté Peulh où l’élevage est l’activité principale)</w:t>
            </w:r>
          </w:p>
          <w:p w14:paraId="1D671730" w14:textId="77777777" w:rsidR="00302BFE" w:rsidRPr="0075595E" w:rsidRDefault="00302BFE" w:rsidP="00C46720">
            <w:pPr>
              <w:pStyle w:val="Paragraphedeliste"/>
              <w:numPr>
                <w:ilvl w:val="0"/>
                <w:numId w:val="43"/>
              </w:numPr>
              <w:ind w:left="16" w:hanging="142"/>
              <w:contextualSpacing/>
              <w:jc w:val="both"/>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lastRenderedPageBreak/>
              <w:t>Pratique la culture attelée (bovine (maximum 4 bovins) ou asine))</w:t>
            </w:r>
          </w:p>
          <w:p w14:paraId="16F14456"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Ne peu</w:t>
            </w:r>
            <w:r>
              <w:rPr>
                <w:rFonts w:ascii="Calibri" w:eastAsia="Calibri" w:hAnsi="Calibri"/>
                <w:sz w:val="18"/>
                <w:szCs w:val="18"/>
                <w:shd w:val="clear" w:color="auto" w:fill="FFFFFF"/>
                <w:lang w:val="fr-CA"/>
              </w:rPr>
              <w:t>t</w:t>
            </w:r>
            <w:r w:rsidRPr="0075595E">
              <w:rPr>
                <w:rFonts w:ascii="Calibri" w:eastAsia="Calibri" w:hAnsi="Calibri"/>
                <w:sz w:val="18"/>
                <w:szCs w:val="18"/>
                <w:shd w:val="clear" w:color="auto" w:fill="FFFFFF"/>
                <w:lang w:val="fr-CA"/>
              </w:rPr>
              <w:t xml:space="preserve"> prêter de l’argent à autrui mais peut au moins se prendre en charge</w:t>
            </w:r>
          </w:p>
          <w:p w14:paraId="40D75E0D"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Les disponibilités en céréales peuvent suffire pour une année entière (mais quelque fois difficile pendant la période de soudure)</w:t>
            </w:r>
          </w:p>
          <w:p w14:paraId="213FE527"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rPr>
            </w:pPr>
            <w:r w:rsidRPr="0075595E">
              <w:rPr>
                <w:rFonts w:ascii="Calibri" w:eastAsia="Calibri" w:hAnsi="Calibri"/>
                <w:sz w:val="18"/>
                <w:szCs w:val="18"/>
                <w:shd w:val="clear" w:color="auto" w:fill="FFFFFF"/>
              </w:rPr>
              <w:t xml:space="preserve">Dispose </w:t>
            </w:r>
            <w:proofErr w:type="spellStart"/>
            <w:r w:rsidRPr="0075595E">
              <w:rPr>
                <w:rFonts w:ascii="Calibri" w:eastAsia="Calibri" w:hAnsi="Calibri"/>
                <w:sz w:val="18"/>
                <w:szCs w:val="18"/>
                <w:shd w:val="clear" w:color="auto" w:fill="FFFFFF"/>
              </w:rPr>
              <w:t>d’une</w:t>
            </w:r>
            <w:proofErr w:type="spellEnd"/>
            <w:r w:rsidRPr="0075595E">
              <w:rPr>
                <w:rFonts w:ascii="Calibri" w:eastAsia="Calibri" w:hAnsi="Calibri"/>
                <w:sz w:val="18"/>
                <w:szCs w:val="18"/>
                <w:shd w:val="clear" w:color="auto" w:fill="FFFFFF"/>
              </w:rPr>
              <w:t xml:space="preserve"> charrette </w:t>
            </w:r>
          </w:p>
          <w:p w14:paraId="2B46C723"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rPr>
            </w:pPr>
            <w:proofErr w:type="spellStart"/>
            <w:r w:rsidRPr="0075595E">
              <w:rPr>
                <w:rFonts w:ascii="Calibri" w:eastAsia="Calibri" w:hAnsi="Calibri"/>
                <w:sz w:val="18"/>
                <w:szCs w:val="18"/>
                <w:shd w:val="clear" w:color="auto" w:fill="FFFFFF"/>
              </w:rPr>
              <w:t>Peut</w:t>
            </w:r>
            <w:proofErr w:type="spellEnd"/>
            <w:r w:rsidRPr="0075595E">
              <w:rPr>
                <w:rFonts w:ascii="Calibri" w:eastAsia="Calibri" w:hAnsi="Calibri"/>
                <w:sz w:val="18"/>
                <w:szCs w:val="18"/>
                <w:shd w:val="clear" w:color="auto" w:fill="FFFFFF"/>
              </w:rPr>
              <w:t xml:space="preserve"> disposer </w:t>
            </w:r>
            <w:proofErr w:type="spellStart"/>
            <w:r w:rsidRPr="0075595E">
              <w:rPr>
                <w:rFonts w:ascii="Calibri" w:eastAsia="Calibri" w:hAnsi="Calibri"/>
                <w:sz w:val="18"/>
                <w:szCs w:val="18"/>
                <w:shd w:val="clear" w:color="auto" w:fill="FFFFFF"/>
              </w:rPr>
              <w:t>d’une</w:t>
            </w:r>
            <w:proofErr w:type="spellEnd"/>
            <w:r w:rsidRPr="0075595E">
              <w:rPr>
                <w:rFonts w:ascii="Calibri" w:eastAsia="Calibri" w:hAnsi="Calibri"/>
                <w:sz w:val="18"/>
                <w:szCs w:val="18"/>
                <w:shd w:val="clear" w:color="auto" w:fill="FFFFFF"/>
              </w:rPr>
              <w:t xml:space="preserve"> moto</w:t>
            </w:r>
          </w:p>
        </w:tc>
      </w:tr>
      <w:tr w:rsidR="00302BFE" w:rsidRPr="00AB47BD" w14:paraId="6C48EDA5" w14:textId="77777777" w:rsidTr="00243B15">
        <w:tc>
          <w:tcPr>
            <w:tcW w:w="1561" w:type="dxa"/>
            <w:tcBorders>
              <w:top w:val="single" w:sz="4" w:space="0" w:color="F7CAAC"/>
              <w:left w:val="single" w:sz="4" w:space="0" w:color="F7CAAC"/>
              <w:bottom w:val="single" w:sz="4" w:space="0" w:color="F7CAAC"/>
              <w:right w:val="single" w:sz="4" w:space="0" w:color="F7CAAC"/>
            </w:tcBorders>
            <w:shd w:val="clear" w:color="auto" w:fill="auto"/>
            <w:vAlign w:val="center"/>
            <w:hideMark/>
          </w:tcPr>
          <w:p w14:paraId="5041641E" w14:textId="77777777" w:rsidR="00302BFE" w:rsidRPr="0075595E" w:rsidRDefault="00302BFE" w:rsidP="00243B15">
            <w:pPr>
              <w:rPr>
                <w:rFonts w:eastAsia="Calibri"/>
                <w:b/>
                <w:bCs/>
                <w:sz w:val="18"/>
                <w:szCs w:val="18"/>
              </w:rPr>
            </w:pPr>
            <w:r w:rsidRPr="0075595E">
              <w:rPr>
                <w:rFonts w:eastAsia="Calibri"/>
                <w:b/>
                <w:bCs/>
                <w:sz w:val="18"/>
                <w:szCs w:val="18"/>
              </w:rPr>
              <w:lastRenderedPageBreak/>
              <w:t>Riche</w:t>
            </w:r>
          </w:p>
        </w:tc>
        <w:tc>
          <w:tcPr>
            <w:tcW w:w="8215" w:type="dxa"/>
            <w:tcBorders>
              <w:top w:val="single" w:sz="4" w:space="0" w:color="F7CAAC"/>
              <w:left w:val="single" w:sz="4" w:space="0" w:color="F7CAAC"/>
              <w:bottom w:val="single" w:sz="4" w:space="0" w:color="F7CAAC"/>
              <w:right w:val="single" w:sz="4" w:space="0" w:color="F7CAAC"/>
            </w:tcBorders>
            <w:shd w:val="clear" w:color="auto" w:fill="auto"/>
            <w:vAlign w:val="center"/>
            <w:hideMark/>
          </w:tcPr>
          <w:p w14:paraId="77AAAF35"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Peut être propriétaire terrien (plus de 10 ha)</w:t>
            </w:r>
          </w:p>
          <w:p w14:paraId="6A107C10" w14:textId="77777777" w:rsidR="00302BFE" w:rsidRPr="0075595E" w:rsidRDefault="00302BFE" w:rsidP="00C46720">
            <w:pPr>
              <w:pStyle w:val="Paragraphedeliste"/>
              <w:numPr>
                <w:ilvl w:val="0"/>
                <w:numId w:val="43"/>
              </w:numPr>
              <w:ind w:left="16" w:hanging="142"/>
              <w:contextualSpacing/>
              <w:jc w:val="both"/>
              <w:rPr>
                <w:rFonts w:ascii="Calibri" w:eastAsia="Calibri" w:hAnsi="Calibri"/>
                <w:sz w:val="18"/>
                <w:szCs w:val="18"/>
                <w:shd w:val="clear" w:color="auto" w:fill="FFFFFF"/>
              </w:rPr>
            </w:pPr>
            <w:proofErr w:type="spellStart"/>
            <w:r w:rsidRPr="0075595E">
              <w:rPr>
                <w:rFonts w:ascii="Calibri" w:eastAsia="Calibri" w:hAnsi="Calibri"/>
                <w:sz w:val="18"/>
                <w:szCs w:val="18"/>
                <w:shd w:val="clear" w:color="auto" w:fill="FFFFFF"/>
              </w:rPr>
              <w:t>Peut</w:t>
            </w:r>
            <w:proofErr w:type="spellEnd"/>
            <w:r w:rsidRPr="0075595E">
              <w:rPr>
                <w:rFonts w:ascii="Calibri" w:eastAsia="Calibri" w:hAnsi="Calibri"/>
                <w:sz w:val="18"/>
                <w:szCs w:val="18"/>
                <w:shd w:val="clear" w:color="auto" w:fill="FFFFFF"/>
              </w:rPr>
              <w:t xml:space="preserve"> assurer 3 </w:t>
            </w:r>
            <w:proofErr w:type="spellStart"/>
            <w:r w:rsidRPr="0075595E">
              <w:rPr>
                <w:rFonts w:ascii="Calibri" w:eastAsia="Calibri" w:hAnsi="Calibri"/>
                <w:sz w:val="18"/>
                <w:szCs w:val="18"/>
                <w:shd w:val="clear" w:color="auto" w:fill="FFFFFF"/>
              </w:rPr>
              <w:t>repas</w:t>
            </w:r>
            <w:proofErr w:type="spellEnd"/>
            <w:r w:rsidRPr="0075595E">
              <w:rPr>
                <w:rFonts w:ascii="Calibri" w:eastAsia="Calibri" w:hAnsi="Calibri"/>
                <w:sz w:val="18"/>
                <w:szCs w:val="18"/>
                <w:shd w:val="clear" w:color="auto" w:fill="FFFFFF"/>
              </w:rPr>
              <w:t xml:space="preserve"> par jour </w:t>
            </w:r>
          </w:p>
          <w:p w14:paraId="15745CBD" w14:textId="77777777" w:rsidR="00302BFE" w:rsidRPr="0075595E" w:rsidRDefault="00302BFE" w:rsidP="00C46720">
            <w:pPr>
              <w:pStyle w:val="Paragraphedeliste"/>
              <w:numPr>
                <w:ilvl w:val="0"/>
                <w:numId w:val="43"/>
              </w:numPr>
              <w:ind w:left="16" w:hanging="142"/>
              <w:contextualSpacing/>
              <w:jc w:val="both"/>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Pratique la culture attelée (bovine ou asine)</w:t>
            </w:r>
          </w:p>
          <w:p w14:paraId="2C1679DB"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Dispose de petits et de grands ruminants (bovins, ovins, caprins)</w:t>
            </w:r>
          </w:p>
          <w:p w14:paraId="754D8D10"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Dispose d’une maison construite en parpaing et d’un toit en tôle</w:t>
            </w:r>
          </w:p>
          <w:p w14:paraId="3B299C18"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Peut disposer d’un tracteur (mais rare)</w:t>
            </w:r>
          </w:p>
          <w:p w14:paraId="4656132B"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rPr>
            </w:pPr>
            <w:proofErr w:type="spellStart"/>
            <w:r w:rsidRPr="0075595E">
              <w:rPr>
                <w:rFonts w:ascii="Calibri" w:eastAsia="Calibri" w:hAnsi="Calibri"/>
                <w:sz w:val="18"/>
                <w:szCs w:val="18"/>
                <w:shd w:val="clear" w:color="auto" w:fill="FFFFFF"/>
              </w:rPr>
              <w:t>Peut</w:t>
            </w:r>
            <w:proofErr w:type="spellEnd"/>
            <w:r w:rsidRPr="0075595E">
              <w:rPr>
                <w:rFonts w:ascii="Calibri" w:eastAsia="Calibri" w:hAnsi="Calibri"/>
                <w:sz w:val="18"/>
                <w:szCs w:val="18"/>
                <w:shd w:val="clear" w:color="auto" w:fill="FFFFFF"/>
              </w:rPr>
              <w:t xml:space="preserve"> disposer d’un tricycle</w:t>
            </w:r>
          </w:p>
          <w:p w14:paraId="6F2A3947"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Peut disposer d’une grosse moto (moto à embrayage)</w:t>
            </w:r>
          </w:p>
          <w:p w14:paraId="41E43EC5" w14:textId="77777777" w:rsidR="00302BFE" w:rsidRPr="0075595E" w:rsidRDefault="00302BFE" w:rsidP="00C46720">
            <w:pPr>
              <w:pStyle w:val="Paragraphedeliste"/>
              <w:widowControl w:val="0"/>
              <w:numPr>
                <w:ilvl w:val="0"/>
                <w:numId w:val="43"/>
              </w:numPr>
              <w:adjustRightInd w:val="0"/>
              <w:ind w:left="16" w:hanging="142"/>
              <w:contextualSpacing/>
              <w:jc w:val="both"/>
              <w:textAlignment w:val="baseline"/>
              <w:rPr>
                <w:rFonts w:ascii="Calibri" w:eastAsia="Calibri" w:hAnsi="Calibri"/>
                <w:sz w:val="18"/>
                <w:szCs w:val="18"/>
                <w:shd w:val="clear" w:color="auto" w:fill="FFFFFF"/>
                <w:lang w:val="fr-CA"/>
              </w:rPr>
            </w:pPr>
            <w:r w:rsidRPr="0075595E">
              <w:rPr>
                <w:rFonts w:ascii="Calibri" w:eastAsia="Calibri" w:hAnsi="Calibri"/>
                <w:sz w:val="18"/>
                <w:szCs w:val="18"/>
                <w:shd w:val="clear" w:color="auto" w:fill="FFFFFF"/>
                <w:lang w:val="fr-CA"/>
              </w:rPr>
              <w:t>Peut accéder facilement aux engrais chimiques</w:t>
            </w:r>
          </w:p>
        </w:tc>
      </w:tr>
    </w:tbl>
    <w:p w14:paraId="44D1CA3A" w14:textId="77777777" w:rsidR="00302BFE" w:rsidRPr="006554E1" w:rsidRDefault="00302BFE" w:rsidP="00302BFE">
      <w:pPr>
        <w:pStyle w:val="Paragraphedeliste"/>
        <w:tabs>
          <w:tab w:val="left" w:pos="284"/>
        </w:tabs>
        <w:spacing w:before="120" w:after="120"/>
        <w:ind w:left="0"/>
        <w:jc w:val="both"/>
        <w:rPr>
          <w:rFonts w:ascii="Calibri" w:hAnsi="Calibri"/>
          <w:sz w:val="20"/>
          <w:szCs w:val="20"/>
          <w:lang w:val="fr-CA"/>
        </w:rPr>
      </w:pPr>
      <w:r w:rsidRPr="006554E1">
        <w:rPr>
          <w:rFonts w:ascii="Calibri" w:hAnsi="Calibri"/>
          <w:sz w:val="20"/>
          <w:szCs w:val="20"/>
          <w:lang w:val="fr-CA"/>
        </w:rPr>
        <w:t>Selon les principaux critères définis par les populations, la possession d’un capital agro-pastoral et la capacité de production sont déterminantes dans l’amélioration du niveau de vie des ménages. La situation des personnes pauvres est d’autant plus critique qu’il est presque impossible pour elles d’obtenir du crédit en raison de leur insolvabilité. Pour pouvoir s’approvisionner en céréales (sur le marché), ces personnes prêtent leur main d’œuvre pour des travaux journaliers (rémunérés), le plus souvent, dans les champs d’autrui.</w:t>
      </w:r>
      <w:r w:rsidRPr="006554E1">
        <w:rPr>
          <w:sz w:val="20"/>
          <w:szCs w:val="20"/>
          <w:shd w:val="clear" w:color="auto" w:fill="FFFFFF"/>
          <w:lang w:val="fr-CA"/>
        </w:rPr>
        <w:t xml:space="preserve"> </w:t>
      </w:r>
      <w:r w:rsidRPr="006554E1">
        <w:rPr>
          <w:rFonts w:ascii="Calibri" w:hAnsi="Calibri"/>
          <w:sz w:val="20"/>
          <w:szCs w:val="20"/>
          <w:shd w:val="clear" w:color="auto" w:fill="FFFFFF"/>
          <w:lang w:val="fr-CA"/>
        </w:rPr>
        <w:t xml:space="preserve">La figure </w:t>
      </w:r>
      <w:r w:rsidRPr="00BE0201">
        <w:rPr>
          <w:rFonts w:ascii="Calibri" w:hAnsi="Calibri"/>
          <w:sz w:val="20"/>
          <w:szCs w:val="20"/>
          <w:shd w:val="clear" w:color="auto" w:fill="FFFFFF"/>
          <w:lang w:val="fr-CA"/>
        </w:rPr>
        <w:t>1</w:t>
      </w:r>
      <w:r w:rsidRPr="006554E1">
        <w:rPr>
          <w:rFonts w:ascii="Calibri" w:hAnsi="Calibri"/>
          <w:sz w:val="20"/>
          <w:szCs w:val="20"/>
          <w:shd w:val="clear" w:color="auto" w:fill="FFFFFF"/>
          <w:lang w:val="fr-CA"/>
        </w:rPr>
        <w:t xml:space="preserve"> illustre la prévalence de la pauvreté dans la zone du projet telle que perçue par les populations sur la base des critères définis.</w:t>
      </w:r>
    </w:p>
    <w:p w14:paraId="3F47F381" w14:textId="77777777" w:rsidR="00302BFE" w:rsidRDefault="00302BFE" w:rsidP="00302BFE">
      <w:pPr>
        <w:spacing w:after="0"/>
        <w:ind w:left="170"/>
        <w:jc w:val="center"/>
      </w:pPr>
      <w:r w:rsidRPr="00945F11">
        <w:rPr>
          <w:noProof/>
        </w:rPr>
        <w:drawing>
          <wp:inline distT="0" distB="0" distL="0" distR="0" wp14:anchorId="5DF3D288" wp14:editId="6DE08DDC">
            <wp:extent cx="3556000" cy="1926590"/>
            <wp:effectExtent l="0" t="0" r="6350" b="16510"/>
            <wp:docPr id="3" name="Graphique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6556CF0" w14:textId="77777777" w:rsidR="00302BFE" w:rsidRPr="006554E1" w:rsidRDefault="00302BFE" w:rsidP="00302BFE">
      <w:pPr>
        <w:spacing w:before="60" w:after="120"/>
        <w:rPr>
          <w:lang w:val="fr-CA"/>
        </w:rPr>
      </w:pPr>
      <w:bookmarkStart w:id="81" w:name="_Toc2166344"/>
      <w:r w:rsidRPr="006554E1">
        <w:rPr>
          <w:szCs w:val="20"/>
          <w:lang w:val="fr-CA"/>
        </w:rPr>
        <w:t xml:space="preserve">Figure </w:t>
      </w:r>
      <w:r w:rsidRPr="00BE0201">
        <w:rPr>
          <w:szCs w:val="20"/>
          <w:lang w:val="fr-CA"/>
        </w:rPr>
        <w:t>1</w:t>
      </w:r>
      <w:r w:rsidRPr="006554E1">
        <w:rPr>
          <w:szCs w:val="20"/>
          <w:lang w:val="fr-CA"/>
        </w:rPr>
        <w:t> : Taux de pauvreté perçue par les communautés dans le complexe PONASI</w:t>
      </w:r>
      <w:bookmarkEnd w:id="81"/>
      <w:r w:rsidRPr="006554E1">
        <w:rPr>
          <w:sz w:val="16"/>
          <w:szCs w:val="16"/>
          <w:shd w:val="clear" w:color="auto" w:fill="FFFFFF"/>
          <w:lang w:val="fr-CA"/>
        </w:rPr>
        <w:t xml:space="preserve"> Source : Données d’enquêtes, 2018</w:t>
      </w:r>
    </w:p>
    <w:p w14:paraId="5640FB31" w14:textId="77777777" w:rsidR="00302BFE" w:rsidRPr="008E1693" w:rsidRDefault="00302BFE" w:rsidP="00302BFE">
      <w:pPr>
        <w:spacing w:before="240" w:after="120"/>
        <w:rPr>
          <w:b/>
          <w:lang w:val="fr-CA"/>
        </w:rPr>
      </w:pPr>
      <w:r>
        <w:rPr>
          <w:b/>
          <w:lang w:val="fr-CA"/>
        </w:rPr>
        <w:br w:type="page"/>
      </w:r>
      <w:r w:rsidRPr="008E1693">
        <w:rPr>
          <w:b/>
          <w:lang w:val="fr-CA"/>
        </w:rPr>
        <w:lastRenderedPageBreak/>
        <w:t>Bénéfices socio-économiques</w:t>
      </w:r>
      <w:r>
        <w:rPr>
          <w:b/>
          <w:lang w:val="fr-CA"/>
        </w:rPr>
        <w:t xml:space="preserve"> en lien avec les </w:t>
      </w:r>
      <w:proofErr w:type="spellStart"/>
      <w:r>
        <w:rPr>
          <w:b/>
          <w:lang w:val="fr-CA"/>
        </w:rPr>
        <w:t>APs</w:t>
      </w:r>
      <w:proofErr w:type="spellEnd"/>
      <w:r>
        <w:rPr>
          <w:b/>
          <w:lang w:val="fr-CA"/>
        </w:rPr>
        <w:t xml:space="preserve"> et les terroirs adjacents</w:t>
      </w:r>
    </w:p>
    <w:p w14:paraId="15F175FF" w14:textId="77777777" w:rsidR="00302BFE" w:rsidRPr="008E1693" w:rsidRDefault="00302BFE" w:rsidP="00302BFE">
      <w:pPr>
        <w:spacing w:before="240" w:after="120"/>
        <w:rPr>
          <w:b/>
          <w:lang w:val="fr-CA"/>
        </w:rPr>
      </w:pPr>
      <w:r w:rsidRPr="008E1693">
        <w:rPr>
          <w:szCs w:val="20"/>
          <w:lang w:val="fr-CA"/>
        </w:rPr>
        <w:t>Les bénéfices socio-économiques en lien avec les aires protégées du PONASI et les différentes utilisations des terres et des ressources au sein de l’aire paysagère sont liés aux moyens de subsistance basés sur une utilisation des ressources naturelles, aux emplois directs et indirects créés au niveau des aires protégées, mais aussi à l’amélioration des activités de production et de reproduction conduites par les communautés riveraines.</w:t>
      </w:r>
    </w:p>
    <w:p w14:paraId="6B488064" w14:textId="77777777" w:rsidR="00302BFE" w:rsidRPr="008E1693" w:rsidRDefault="00302BFE" w:rsidP="00302BFE">
      <w:pPr>
        <w:pStyle w:val="Paragraphedeliste"/>
        <w:tabs>
          <w:tab w:val="left" w:pos="284"/>
        </w:tabs>
        <w:spacing w:before="120" w:after="120"/>
        <w:ind w:left="0"/>
        <w:jc w:val="both"/>
        <w:rPr>
          <w:rFonts w:ascii="Calibri" w:hAnsi="Calibri"/>
          <w:b/>
          <w:sz w:val="20"/>
          <w:szCs w:val="20"/>
          <w:lang w:val="fr-CA"/>
        </w:rPr>
      </w:pPr>
      <w:r w:rsidRPr="008E1693">
        <w:rPr>
          <w:rFonts w:ascii="Calibri" w:eastAsia="Times New Roman" w:hAnsi="Calibri"/>
          <w:b/>
          <w:i/>
          <w:iCs/>
          <w:color w:val="2F5496"/>
          <w:sz w:val="22"/>
          <w:szCs w:val="22"/>
          <w:lang w:val="fr-CA"/>
        </w:rPr>
        <w:t>Moyens de subsistance</w:t>
      </w:r>
      <w:r w:rsidRPr="008E1693">
        <w:rPr>
          <w:rFonts w:ascii="Calibri" w:hAnsi="Calibri"/>
          <w:b/>
          <w:sz w:val="20"/>
          <w:szCs w:val="20"/>
          <w:lang w:val="fr-CA"/>
        </w:rPr>
        <w:t xml:space="preserve"> </w:t>
      </w:r>
    </w:p>
    <w:p w14:paraId="5772647A" w14:textId="77777777" w:rsidR="00302BFE" w:rsidRPr="008E1693" w:rsidRDefault="00302BFE" w:rsidP="00302BFE">
      <w:pPr>
        <w:pStyle w:val="Paragraphedeliste"/>
        <w:tabs>
          <w:tab w:val="left" w:pos="284"/>
        </w:tabs>
        <w:spacing w:before="120" w:after="120"/>
        <w:ind w:left="0"/>
        <w:jc w:val="both"/>
        <w:rPr>
          <w:rFonts w:ascii="Calibri" w:hAnsi="Calibri"/>
          <w:sz w:val="20"/>
          <w:szCs w:val="20"/>
          <w:lang w:val="fr-CA"/>
        </w:rPr>
      </w:pPr>
      <w:r w:rsidRPr="008E1693">
        <w:rPr>
          <w:rFonts w:ascii="Calibri" w:hAnsi="Calibri"/>
          <w:sz w:val="20"/>
          <w:szCs w:val="20"/>
          <w:lang w:val="fr-CA"/>
        </w:rPr>
        <w:t>À l’instar de l’ensemble du pays, les principales activités économiques des populations locales dans le complexe de PONASI se résument essentiellement aux activités liées au secteur primaire.</w:t>
      </w:r>
    </w:p>
    <w:p w14:paraId="5A8588BE" w14:textId="77777777" w:rsidR="00302BFE" w:rsidRPr="008E1693" w:rsidRDefault="00302BFE" w:rsidP="00302BFE">
      <w:pPr>
        <w:pStyle w:val="Paragraphedeliste"/>
        <w:tabs>
          <w:tab w:val="left" w:pos="284"/>
        </w:tabs>
        <w:spacing w:before="120" w:after="120"/>
        <w:ind w:left="0"/>
        <w:jc w:val="both"/>
        <w:rPr>
          <w:rFonts w:ascii="Calibri" w:hAnsi="Calibri"/>
          <w:sz w:val="20"/>
          <w:szCs w:val="20"/>
          <w:lang w:val="fr-CA"/>
        </w:rPr>
      </w:pPr>
      <w:r w:rsidRPr="008E1693">
        <w:rPr>
          <w:rFonts w:ascii="Calibri" w:eastAsia="Times New Roman" w:hAnsi="Calibri"/>
          <w:i/>
          <w:iCs/>
          <w:color w:val="2F5496"/>
          <w:sz w:val="20"/>
          <w:szCs w:val="20"/>
          <w:lang w:val="fr-CA"/>
        </w:rPr>
        <w:t xml:space="preserve">L’agriculture. </w:t>
      </w:r>
      <w:r w:rsidRPr="008E1693">
        <w:rPr>
          <w:rFonts w:ascii="Calibri" w:hAnsi="Calibri"/>
          <w:sz w:val="20"/>
          <w:szCs w:val="20"/>
          <w:lang w:val="fr-CA"/>
        </w:rPr>
        <w:t xml:space="preserve">L’agriculture occupe environ 95% de la population active dans l’aire paysagère du </w:t>
      </w:r>
      <w:r w:rsidRPr="008E1693">
        <w:rPr>
          <w:rFonts w:ascii="Calibri" w:hAnsi="Calibri"/>
          <w:sz w:val="20"/>
          <w:szCs w:val="20"/>
          <w:shd w:val="clear" w:color="auto" w:fill="FFFFFF"/>
          <w:lang w:val="fr-CA"/>
        </w:rPr>
        <w:t>complexe de PONASI</w:t>
      </w:r>
      <w:r w:rsidRPr="008E1693">
        <w:rPr>
          <w:rFonts w:ascii="Calibri" w:hAnsi="Calibri"/>
          <w:sz w:val="20"/>
          <w:szCs w:val="20"/>
          <w:lang w:val="fr-CA"/>
        </w:rPr>
        <w:t>. Les principales productions concernent les cultures céréalières, les cultures de rente, les cultures de contre-saison et l’arboriculture. Les cultures céréalières incluent le sorgho rouge, le sorgho blanc, le mil, le riz, le maïs. Les principales cultures de rente sont le coton, le niébé, l’arachide, le soja, le voandzou et le sésame. Ces cultures procurent des revenus financiers aux populations pour subvenir aux besoins du ménage. Les cultures de contre-saison concernent les tubercules (patate douce, manioc, etc.) et les produits maraîchers (tomate, aubergine, chou, oignon, salade, concombre, piment, carotte, etc.). Ces produits apportent également des revenus financiers pour les producteurs. L’arboriculture concerne les arbres fruitiers (manguier, bananier, citronnier, papayer, goyavier, oranger, etc.). La grande partie des produits issus de ces activités sont destinés à la consommation et à la vente sur les marchés locaux. La superficie moyenne cultivée, toute culture confondue est de 5 ha. Elle est au minimum de 02 ha et de 15 ha au maximum. La frange jeune de la population est plus impliquée dans la production du maïs, du sésame, du coton, du soja, le riz, la production maraîchère et l’arboriculture.</w:t>
      </w:r>
    </w:p>
    <w:p w14:paraId="4FDBB47E" w14:textId="77777777" w:rsidR="00302BFE" w:rsidRPr="008E1693" w:rsidRDefault="00302BFE" w:rsidP="00302BFE">
      <w:pPr>
        <w:pStyle w:val="Paragraphedeliste"/>
        <w:tabs>
          <w:tab w:val="left" w:pos="284"/>
        </w:tabs>
        <w:spacing w:before="120" w:after="120"/>
        <w:ind w:left="0"/>
        <w:jc w:val="both"/>
        <w:rPr>
          <w:rFonts w:ascii="Calibri" w:hAnsi="Calibri"/>
          <w:sz w:val="20"/>
          <w:szCs w:val="20"/>
          <w:lang w:val="fr-CA"/>
        </w:rPr>
      </w:pPr>
      <w:r w:rsidRPr="008E1693">
        <w:rPr>
          <w:rFonts w:ascii="Calibri" w:eastAsia="Times New Roman" w:hAnsi="Calibri"/>
          <w:i/>
          <w:iCs/>
          <w:color w:val="2F5496"/>
          <w:sz w:val="20"/>
          <w:szCs w:val="20"/>
          <w:lang w:val="fr-CA"/>
        </w:rPr>
        <w:t xml:space="preserve">L’élevage. </w:t>
      </w:r>
      <w:r w:rsidRPr="008E1693">
        <w:rPr>
          <w:rFonts w:ascii="Calibri" w:hAnsi="Calibri"/>
          <w:sz w:val="20"/>
          <w:szCs w:val="20"/>
          <w:lang w:val="fr-CA"/>
        </w:rPr>
        <w:t xml:space="preserve">L’élevage, le second secteur de production, est pratiqué par virtuellement tous les ménages comme activité complémentaire à l’agriculture. Les éleveurs sont ainsi pour la plupart des agropasteurs. Cependant, l’élevage constitue l’activité principale des pasteurs Peulh qui sont présents dans toutes les communes, quoiqu’en faible proportion. Le système d’élevage est de type extensif basé sur une exploitation des parcours naturels qui se raréfient dans les communes. Les principaux animaux élevés sont les bovins, les ovins, les caprins, les porcins, les </w:t>
      </w:r>
      <w:proofErr w:type="spellStart"/>
      <w:r w:rsidRPr="008E1693">
        <w:rPr>
          <w:rFonts w:ascii="Calibri" w:hAnsi="Calibri"/>
          <w:sz w:val="20"/>
          <w:szCs w:val="20"/>
          <w:lang w:val="fr-CA"/>
        </w:rPr>
        <w:t>asins</w:t>
      </w:r>
      <w:proofErr w:type="spellEnd"/>
      <w:r w:rsidRPr="008E1693">
        <w:rPr>
          <w:rFonts w:ascii="Calibri" w:hAnsi="Calibri"/>
          <w:sz w:val="20"/>
          <w:szCs w:val="20"/>
          <w:lang w:val="fr-CA"/>
        </w:rPr>
        <w:t xml:space="preserve"> et la volaille. L’élevage constitue une source de revenus pour les ménages. En fonction de l’importance du besoin et des disponibilités, la vente </w:t>
      </w:r>
      <w:proofErr w:type="gramStart"/>
      <w:r w:rsidRPr="008E1693">
        <w:rPr>
          <w:rFonts w:ascii="Calibri" w:hAnsi="Calibri"/>
          <w:sz w:val="20"/>
          <w:szCs w:val="20"/>
          <w:lang w:val="fr-CA"/>
        </w:rPr>
        <w:t>commence d’abord</w:t>
      </w:r>
      <w:proofErr w:type="gramEnd"/>
      <w:r w:rsidRPr="008E1693">
        <w:rPr>
          <w:rFonts w:ascii="Calibri" w:hAnsi="Calibri"/>
          <w:sz w:val="20"/>
          <w:szCs w:val="20"/>
          <w:lang w:val="fr-CA"/>
        </w:rPr>
        <w:t xml:space="preserve"> par la volaille, le porcin, le caprin et les ovins. Le bovin n’est vendu que lorsque le besoin nécessite une importante somme.</w:t>
      </w:r>
    </w:p>
    <w:p w14:paraId="3AA82CF3" w14:textId="77777777" w:rsidR="00302BFE" w:rsidRPr="008E1693" w:rsidRDefault="00302BFE" w:rsidP="00302BFE">
      <w:pPr>
        <w:pStyle w:val="Paragraphedeliste"/>
        <w:tabs>
          <w:tab w:val="left" w:pos="284"/>
        </w:tabs>
        <w:spacing w:before="120" w:after="120"/>
        <w:ind w:left="0"/>
        <w:jc w:val="both"/>
        <w:rPr>
          <w:rFonts w:ascii="Calibri" w:hAnsi="Calibri"/>
          <w:sz w:val="20"/>
          <w:szCs w:val="20"/>
          <w:lang w:val="fr-CA"/>
        </w:rPr>
      </w:pPr>
      <w:r w:rsidRPr="008E1693">
        <w:rPr>
          <w:rFonts w:ascii="Calibri" w:eastAsia="Times New Roman" w:hAnsi="Calibri"/>
          <w:i/>
          <w:iCs/>
          <w:color w:val="2F5496"/>
          <w:sz w:val="20"/>
          <w:szCs w:val="20"/>
          <w:lang w:val="fr-CA"/>
        </w:rPr>
        <w:t xml:space="preserve">La chasse. </w:t>
      </w:r>
      <w:r w:rsidRPr="008E1693">
        <w:rPr>
          <w:rFonts w:ascii="Calibri" w:hAnsi="Calibri"/>
          <w:sz w:val="20"/>
          <w:szCs w:val="20"/>
          <w:lang w:val="fr-CA"/>
        </w:rPr>
        <w:t xml:space="preserve">La chasse est pratiquée dans toutes les communes. Elle se pratique dans les </w:t>
      </w:r>
      <w:proofErr w:type="spellStart"/>
      <w:r w:rsidRPr="008E1693">
        <w:rPr>
          <w:rFonts w:ascii="Calibri" w:hAnsi="Calibri"/>
          <w:sz w:val="20"/>
          <w:szCs w:val="20"/>
          <w:lang w:val="fr-CA"/>
        </w:rPr>
        <w:t>ZOVICs</w:t>
      </w:r>
      <w:proofErr w:type="spellEnd"/>
      <w:r w:rsidRPr="008E1693">
        <w:rPr>
          <w:rFonts w:ascii="Calibri" w:hAnsi="Calibri"/>
          <w:sz w:val="20"/>
          <w:szCs w:val="20"/>
          <w:lang w:val="fr-CA"/>
        </w:rPr>
        <w:t>, dans les forêts, dans les jachères et dans la brousse. Le braconnage se fait également dans les aires protégées (corridors, PNKT). La chasse n’est pratiquée que par quelques hommes, soit à titre individuel, soit à travers des associations reconnues.</w:t>
      </w:r>
    </w:p>
    <w:p w14:paraId="60D144AF" w14:textId="77777777" w:rsidR="00302BFE" w:rsidRPr="008E1693" w:rsidRDefault="00302BFE" w:rsidP="00302BFE">
      <w:pPr>
        <w:pStyle w:val="Paragraphedeliste"/>
        <w:tabs>
          <w:tab w:val="left" w:pos="284"/>
        </w:tabs>
        <w:spacing w:before="120" w:after="120"/>
        <w:ind w:left="0"/>
        <w:jc w:val="both"/>
        <w:rPr>
          <w:rFonts w:ascii="Calibri" w:hAnsi="Calibri"/>
          <w:sz w:val="20"/>
          <w:szCs w:val="20"/>
          <w:lang w:val="fr-CA"/>
        </w:rPr>
      </w:pPr>
      <w:r w:rsidRPr="008E1693">
        <w:rPr>
          <w:rFonts w:ascii="Calibri" w:eastAsia="Times New Roman" w:hAnsi="Calibri"/>
          <w:i/>
          <w:iCs/>
          <w:color w:val="2F5496"/>
          <w:sz w:val="20"/>
          <w:szCs w:val="20"/>
          <w:lang w:val="fr-CA"/>
        </w:rPr>
        <w:t xml:space="preserve">La pêche. </w:t>
      </w:r>
      <w:r w:rsidRPr="008E1693">
        <w:rPr>
          <w:rFonts w:ascii="Calibri" w:hAnsi="Calibri"/>
          <w:sz w:val="20"/>
          <w:szCs w:val="20"/>
          <w:lang w:val="fr-FR"/>
        </w:rPr>
        <w:t>La pêche est artisanale et se pratique dans les cours d’eaux (</w:t>
      </w:r>
      <w:proofErr w:type="spellStart"/>
      <w:r w:rsidRPr="008E1693">
        <w:rPr>
          <w:rFonts w:ascii="Calibri" w:hAnsi="Calibri"/>
          <w:sz w:val="20"/>
          <w:szCs w:val="20"/>
          <w:lang w:val="fr-FR"/>
        </w:rPr>
        <w:t>Nakambé</w:t>
      </w:r>
      <w:proofErr w:type="spellEnd"/>
      <w:r w:rsidRPr="008E1693">
        <w:rPr>
          <w:rFonts w:ascii="Calibri" w:hAnsi="Calibri"/>
          <w:sz w:val="20"/>
          <w:szCs w:val="20"/>
          <w:lang w:val="fr-FR"/>
        </w:rPr>
        <w:t xml:space="preserve">, </w:t>
      </w:r>
      <w:proofErr w:type="spellStart"/>
      <w:r w:rsidRPr="008E1693">
        <w:rPr>
          <w:rFonts w:ascii="Calibri" w:hAnsi="Calibri"/>
          <w:sz w:val="20"/>
          <w:szCs w:val="20"/>
          <w:lang w:val="fr-FR"/>
        </w:rPr>
        <w:t>Nazinon</w:t>
      </w:r>
      <w:proofErr w:type="spellEnd"/>
      <w:r w:rsidRPr="008E1693">
        <w:rPr>
          <w:rFonts w:ascii="Calibri" w:hAnsi="Calibri"/>
          <w:sz w:val="20"/>
          <w:szCs w:val="20"/>
          <w:lang w:val="fr-FR"/>
        </w:rPr>
        <w:t xml:space="preserve">) et dans les barrages. Les produits halieutiques sont vendus principalement au niveau des marchés locaux. Les principales </w:t>
      </w:r>
      <w:r w:rsidRPr="008E1693">
        <w:rPr>
          <w:rFonts w:ascii="Calibri" w:hAnsi="Calibri"/>
          <w:sz w:val="20"/>
          <w:szCs w:val="20"/>
          <w:lang w:val="fr-CA"/>
        </w:rPr>
        <w:t>espèces</w:t>
      </w:r>
      <w:r w:rsidRPr="008E1693">
        <w:rPr>
          <w:rFonts w:ascii="Calibri" w:hAnsi="Calibri"/>
          <w:sz w:val="20"/>
          <w:szCs w:val="20"/>
          <w:lang w:val="fr-FR"/>
        </w:rPr>
        <w:t xml:space="preserve"> trouvées dans les cours d’eau sont les carpes </w:t>
      </w:r>
      <w:r w:rsidRPr="008E1693">
        <w:rPr>
          <w:rFonts w:ascii="Calibri" w:hAnsi="Calibri"/>
          <w:sz w:val="20"/>
          <w:szCs w:val="20"/>
          <w:lang w:val="fr-CA"/>
        </w:rPr>
        <w:t>(</w:t>
      </w:r>
      <w:r w:rsidRPr="008E1693">
        <w:rPr>
          <w:rFonts w:ascii="Calibri" w:hAnsi="Calibri"/>
          <w:i/>
          <w:sz w:val="20"/>
          <w:szCs w:val="20"/>
          <w:lang w:val="fr-FR"/>
        </w:rPr>
        <w:t xml:space="preserve">Tilapia </w:t>
      </w:r>
      <w:proofErr w:type="spellStart"/>
      <w:r w:rsidRPr="008E1693">
        <w:rPr>
          <w:rFonts w:ascii="Calibri" w:hAnsi="Calibri"/>
          <w:i/>
          <w:sz w:val="20"/>
          <w:szCs w:val="20"/>
          <w:lang w:val="fr-FR"/>
        </w:rPr>
        <w:t>zilii</w:t>
      </w:r>
      <w:proofErr w:type="spellEnd"/>
      <w:r w:rsidRPr="008E1693">
        <w:rPr>
          <w:rFonts w:ascii="Calibri" w:hAnsi="Calibri"/>
          <w:sz w:val="20"/>
          <w:szCs w:val="20"/>
          <w:lang w:val="fr-FR"/>
        </w:rPr>
        <w:t xml:space="preserve"> et </w:t>
      </w:r>
      <w:proofErr w:type="spellStart"/>
      <w:r w:rsidRPr="008E1693">
        <w:rPr>
          <w:rFonts w:ascii="Calibri" w:hAnsi="Calibri"/>
          <w:i/>
          <w:sz w:val="20"/>
          <w:szCs w:val="20"/>
          <w:lang w:val="fr-FR"/>
        </w:rPr>
        <w:t>Oreochromis</w:t>
      </w:r>
      <w:proofErr w:type="spellEnd"/>
      <w:r w:rsidRPr="008E1693">
        <w:rPr>
          <w:rFonts w:ascii="Calibri" w:hAnsi="Calibri"/>
          <w:i/>
          <w:sz w:val="20"/>
          <w:szCs w:val="20"/>
          <w:lang w:val="fr-FR"/>
        </w:rPr>
        <w:t xml:space="preserve"> </w:t>
      </w:r>
      <w:proofErr w:type="spellStart"/>
      <w:r w:rsidRPr="008E1693">
        <w:rPr>
          <w:rFonts w:ascii="Calibri" w:hAnsi="Calibri"/>
          <w:i/>
          <w:sz w:val="20"/>
          <w:szCs w:val="20"/>
          <w:lang w:val="fr-FR"/>
        </w:rPr>
        <w:t>niloticus</w:t>
      </w:r>
      <w:proofErr w:type="spellEnd"/>
      <w:r w:rsidRPr="008E1693">
        <w:rPr>
          <w:rFonts w:ascii="Calibri" w:hAnsi="Calibri"/>
          <w:sz w:val="20"/>
          <w:szCs w:val="20"/>
          <w:lang w:val="fr-CA"/>
        </w:rPr>
        <w:t>),</w:t>
      </w:r>
      <w:r w:rsidRPr="008E1693">
        <w:rPr>
          <w:rFonts w:ascii="Calibri" w:hAnsi="Calibri"/>
          <w:sz w:val="20"/>
          <w:szCs w:val="20"/>
          <w:lang w:val="fr-FR"/>
        </w:rPr>
        <w:t xml:space="preserve"> les silures</w:t>
      </w:r>
      <w:r w:rsidRPr="008E1693">
        <w:rPr>
          <w:rFonts w:ascii="Calibri" w:hAnsi="Calibri"/>
          <w:sz w:val="20"/>
          <w:szCs w:val="20"/>
          <w:lang w:val="fr-CA"/>
        </w:rPr>
        <w:t xml:space="preserve"> (</w:t>
      </w:r>
      <w:r w:rsidRPr="008E1693">
        <w:rPr>
          <w:rFonts w:ascii="Calibri" w:hAnsi="Calibri"/>
          <w:i/>
          <w:sz w:val="20"/>
          <w:szCs w:val="20"/>
          <w:lang w:val="fr-CA"/>
        </w:rPr>
        <w:t xml:space="preserve">Clarias </w:t>
      </w:r>
      <w:proofErr w:type="spellStart"/>
      <w:r w:rsidRPr="008E1693">
        <w:rPr>
          <w:rFonts w:ascii="Calibri" w:hAnsi="Calibri"/>
          <w:i/>
          <w:sz w:val="20"/>
          <w:szCs w:val="20"/>
          <w:lang w:val="fr-CA"/>
        </w:rPr>
        <w:t>anguilaris</w:t>
      </w:r>
      <w:proofErr w:type="spellEnd"/>
      <w:r w:rsidRPr="008E1693">
        <w:rPr>
          <w:rFonts w:ascii="Calibri" w:hAnsi="Calibri"/>
          <w:sz w:val="20"/>
          <w:szCs w:val="20"/>
          <w:lang w:val="fr-CA"/>
        </w:rPr>
        <w:t>)</w:t>
      </w:r>
      <w:r w:rsidRPr="008E1693">
        <w:rPr>
          <w:rFonts w:ascii="Calibri" w:hAnsi="Calibri"/>
          <w:sz w:val="20"/>
          <w:szCs w:val="20"/>
          <w:lang w:val="fr-FR"/>
        </w:rPr>
        <w:t xml:space="preserve"> et le poisson chat </w:t>
      </w:r>
      <w:r w:rsidRPr="008E1693">
        <w:rPr>
          <w:rFonts w:ascii="Calibri" w:hAnsi="Calibri"/>
          <w:sz w:val="20"/>
          <w:szCs w:val="20"/>
          <w:lang w:val="fr-CA"/>
        </w:rPr>
        <w:t>(</w:t>
      </w:r>
      <w:proofErr w:type="spellStart"/>
      <w:r w:rsidRPr="008E1693">
        <w:rPr>
          <w:rFonts w:ascii="Calibri" w:hAnsi="Calibri"/>
          <w:i/>
          <w:sz w:val="20"/>
          <w:szCs w:val="20"/>
          <w:lang w:val="fr-FR"/>
        </w:rPr>
        <w:t>Auchenoglanis</w:t>
      </w:r>
      <w:proofErr w:type="spellEnd"/>
      <w:r w:rsidRPr="008E1693">
        <w:rPr>
          <w:rFonts w:ascii="Calibri" w:hAnsi="Calibri"/>
          <w:i/>
          <w:sz w:val="20"/>
          <w:szCs w:val="20"/>
          <w:lang w:val="fr-FR"/>
        </w:rPr>
        <w:t xml:space="preserve"> occidentalis</w:t>
      </w:r>
      <w:r w:rsidRPr="008E1693">
        <w:rPr>
          <w:rFonts w:ascii="Calibri" w:hAnsi="Calibri"/>
          <w:sz w:val="20"/>
          <w:szCs w:val="20"/>
          <w:lang w:val="fr-CA"/>
        </w:rPr>
        <w:t>)</w:t>
      </w:r>
      <w:r w:rsidRPr="008E1693">
        <w:rPr>
          <w:rFonts w:ascii="Calibri" w:hAnsi="Calibri"/>
          <w:sz w:val="20"/>
          <w:szCs w:val="20"/>
          <w:lang w:val="fr-FR"/>
        </w:rPr>
        <w:t>.</w:t>
      </w:r>
    </w:p>
    <w:p w14:paraId="5744E8AE" w14:textId="77777777" w:rsidR="00302BFE" w:rsidRPr="008E1693" w:rsidRDefault="00302BFE" w:rsidP="00302BFE">
      <w:pPr>
        <w:pStyle w:val="Paragraphedeliste"/>
        <w:tabs>
          <w:tab w:val="left" w:pos="284"/>
        </w:tabs>
        <w:spacing w:before="120" w:after="120"/>
        <w:ind w:left="0"/>
        <w:jc w:val="both"/>
        <w:rPr>
          <w:rFonts w:ascii="Calibri" w:hAnsi="Calibri"/>
          <w:sz w:val="20"/>
          <w:szCs w:val="20"/>
          <w:lang w:val="fr-CA"/>
        </w:rPr>
      </w:pPr>
      <w:bookmarkStart w:id="82" w:name="_Toc2166315"/>
      <w:bookmarkStart w:id="83" w:name="_Toc415732975"/>
      <w:bookmarkStart w:id="84" w:name="_Toc206307976"/>
      <w:bookmarkStart w:id="85" w:name="_Toc201409524"/>
      <w:bookmarkStart w:id="86" w:name="_Toc201402708"/>
      <w:bookmarkStart w:id="87" w:name="_Toc201401841"/>
      <w:r w:rsidRPr="008E1693">
        <w:rPr>
          <w:rFonts w:ascii="Calibri" w:eastAsia="Times New Roman" w:hAnsi="Calibri"/>
          <w:i/>
          <w:iCs/>
          <w:color w:val="2F5496"/>
          <w:sz w:val="20"/>
          <w:szCs w:val="20"/>
          <w:lang w:val="fr-CA"/>
        </w:rPr>
        <w:t>L’artisanat</w:t>
      </w:r>
      <w:bookmarkEnd w:id="82"/>
      <w:bookmarkEnd w:id="83"/>
      <w:bookmarkEnd w:id="84"/>
      <w:bookmarkEnd w:id="85"/>
      <w:bookmarkEnd w:id="86"/>
      <w:bookmarkEnd w:id="87"/>
      <w:r w:rsidRPr="008E1693">
        <w:rPr>
          <w:rFonts w:ascii="Calibri" w:eastAsia="Times New Roman" w:hAnsi="Calibri"/>
          <w:i/>
          <w:iCs/>
          <w:color w:val="2F5496"/>
          <w:sz w:val="20"/>
          <w:szCs w:val="20"/>
          <w:lang w:val="fr-CA"/>
        </w:rPr>
        <w:t xml:space="preserve">. </w:t>
      </w:r>
      <w:r w:rsidRPr="008E1693">
        <w:rPr>
          <w:rFonts w:ascii="Calibri" w:hAnsi="Calibri"/>
          <w:sz w:val="20"/>
          <w:szCs w:val="20"/>
          <w:lang w:val="fr-CA"/>
        </w:rPr>
        <w:t>L’artisanat est une activité menée en dehors et/ou en marge de la période d’intenses activités agricoles. Il comprend la poterie, la vannerie, la forge et très rarement la sculpture. Peu de personnes y sont impliquées. On note également l’émergence de services artisanaux dans les domaines suivants : réparations de pompes, mécanique des engins à deux et trois roues, couture, coiffure, etc. dans les chefs-lieux de communes.</w:t>
      </w:r>
    </w:p>
    <w:p w14:paraId="099F45C3" w14:textId="77777777" w:rsidR="00302BFE" w:rsidRPr="008E1693" w:rsidRDefault="00302BFE" w:rsidP="00302BFE">
      <w:pPr>
        <w:pStyle w:val="Paragraphedeliste"/>
        <w:tabs>
          <w:tab w:val="left" w:pos="284"/>
        </w:tabs>
        <w:spacing w:before="120" w:after="120"/>
        <w:ind w:left="0"/>
        <w:jc w:val="both"/>
        <w:rPr>
          <w:rFonts w:ascii="Calibri" w:hAnsi="Calibri"/>
          <w:sz w:val="20"/>
          <w:szCs w:val="20"/>
          <w:lang w:val="fr-CA"/>
        </w:rPr>
      </w:pPr>
      <w:r w:rsidRPr="008E1693">
        <w:rPr>
          <w:rFonts w:ascii="Calibri" w:eastAsia="Times New Roman" w:hAnsi="Calibri"/>
          <w:i/>
          <w:iCs/>
          <w:color w:val="2F5496"/>
          <w:sz w:val="20"/>
          <w:szCs w:val="20"/>
          <w:lang w:val="fr-CA"/>
        </w:rPr>
        <w:t xml:space="preserve">Le bois de feu et charbon de bois. </w:t>
      </w:r>
      <w:r w:rsidRPr="008E1693">
        <w:rPr>
          <w:rFonts w:ascii="Calibri" w:hAnsi="Calibri"/>
          <w:sz w:val="20"/>
          <w:szCs w:val="20"/>
          <w:lang w:val="fr-CA"/>
        </w:rPr>
        <w:t xml:space="preserve">La collecte de bois de feu constitue une source de revenus pour les ménages. Le bois, ramassé dans les espaces de production, est surtout vendu dans les marchés communaux (des chefs-lieux de communes). </w:t>
      </w:r>
      <w:r w:rsidRPr="008E1693">
        <w:rPr>
          <w:rFonts w:ascii="Calibri" w:hAnsi="Calibri"/>
          <w:sz w:val="20"/>
          <w:szCs w:val="20"/>
          <w:lang w:val="fr-MC"/>
        </w:rPr>
        <w:t xml:space="preserve">La carbonisation est également pratiquée dans l’ensemble des communes, de façon soit officielle, soit frauduleuse. Cette activité occupe surtout les jeunes et les femmes bien que les communautés locales affirment être moins impliquées. </w:t>
      </w:r>
      <w:r w:rsidRPr="008E1693">
        <w:rPr>
          <w:rFonts w:ascii="Calibri" w:hAnsi="Calibri"/>
          <w:sz w:val="20"/>
          <w:szCs w:val="20"/>
          <w:lang w:val="fr-CA"/>
        </w:rPr>
        <w:t>Le circuit le plus organisé du bois de feu et du charbon de bois a lieu dans les CAF.</w:t>
      </w:r>
    </w:p>
    <w:p w14:paraId="3E44088E" w14:textId="77777777" w:rsidR="00302BFE" w:rsidRPr="008E1693" w:rsidRDefault="00302BFE" w:rsidP="00302BFE">
      <w:pPr>
        <w:pStyle w:val="Paragraphedeliste"/>
        <w:tabs>
          <w:tab w:val="left" w:pos="284"/>
        </w:tabs>
        <w:spacing w:before="120" w:after="120"/>
        <w:ind w:left="0"/>
        <w:jc w:val="both"/>
        <w:rPr>
          <w:rFonts w:ascii="Calibri" w:hAnsi="Calibri"/>
          <w:sz w:val="20"/>
          <w:szCs w:val="20"/>
          <w:lang w:val="fr-CA"/>
        </w:rPr>
      </w:pPr>
      <w:bookmarkStart w:id="88" w:name="_Toc2166317"/>
      <w:bookmarkStart w:id="89" w:name="_Toc415411181"/>
      <w:r w:rsidRPr="008E1693">
        <w:rPr>
          <w:rFonts w:ascii="Calibri" w:eastAsia="Times New Roman" w:hAnsi="Calibri"/>
          <w:i/>
          <w:iCs/>
          <w:color w:val="2F5496"/>
          <w:sz w:val="20"/>
          <w:szCs w:val="20"/>
          <w:lang w:val="fr-CA"/>
        </w:rPr>
        <w:t>La cueillette</w:t>
      </w:r>
      <w:bookmarkEnd w:id="88"/>
      <w:bookmarkEnd w:id="89"/>
      <w:r w:rsidRPr="008E1693">
        <w:rPr>
          <w:rFonts w:ascii="Calibri" w:eastAsia="Times New Roman" w:hAnsi="Calibri"/>
          <w:i/>
          <w:iCs/>
          <w:color w:val="2F5496"/>
          <w:sz w:val="20"/>
          <w:szCs w:val="20"/>
          <w:lang w:val="fr-CA"/>
        </w:rPr>
        <w:t xml:space="preserve"> de PFNL et de fourrage. </w:t>
      </w:r>
      <w:r w:rsidRPr="008E1693">
        <w:rPr>
          <w:rFonts w:ascii="Calibri" w:hAnsi="Calibri"/>
          <w:sz w:val="20"/>
          <w:szCs w:val="20"/>
          <w:lang w:val="fr-CA"/>
        </w:rPr>
        <w:t xml:space="preserve">La cueillette concerne les PFNL qui sont exploités pour l’alimentation, la commercialisation, les soins de santé, et le fourrage. </w:t>
      </w:r>
      <w:r w:rsidRPr="008E1693">
        <w:rPr>
          <w:rFonts w:ascii="Calibri" w:hAnsi="Calibri"/>
          <w:sz w:val="20"/>
          <w:szCs w:val="20"/>
          <w:lang w:val="fr-MC"/>
        </w:rPr>
        <w:t xml:space="preserve">Les PFNL les plus commercialisés sont les fruits et amandes de </w:t>
      </w:r>
      <w:r w:rsidRPr="008E1693">
        <w:rPr>
          <w:rFonts w:ascii="Calibri" w:eastAsia="Times New Roman" w:hAnsi="Calibri"/>
          <w:sz w:val="20"/>
          <w:szCs w:val="20"/>
          <w:lang w:val="fr-CA" w:eastAsia="fr-FR"/>
        </w:rPr>
        <w:t xml:space="preserve">karité, les fruits et graines de néré, les fruits et feuilles de tamarin, les fruits du </w:t>
      </w:r>
      <w:proofErr w:type="spellStart"/>
      <w:r w:rsidRPr="008E1693">
        <w:rPr>
          <w:rFonts w:ascii="Calibri" w:eastAsia="Times New Roman" w:hAnsi="Calibri"/>
          <w:i/>
          <w:sz w:val="20"/>
          <w:szCs w:val="20"/>
          <w:lang w:val="fr-CA" w:eastAsia="fr-FR"/>
        </w:rPr>
        <w:t>Detarium</w:t>
      </w:r>
      <w:proofErr w:type="spellEnd"/>
      <w:r w:rsidRPr="008E1693">
        <w:rPr>
          <w:rFonts w:ascii="Calibri" w:eastAsia="Times New Roman" w:hAnsi="Calibri"/>
          <w:sz w:val="20"/>
          <w:szCs w:val="20"/>
          <w:lang w:val="fr-CA" w:eastAsia="fr-FR"/>
        </w:rPr>
        <w:t xml:space="preserve"> </w:t>
      </w:r>
      <w:proofErr w:type="spellStart"/>
      <w:r w:rsidRPr="008E1693">
        <w:rPr>
          <w:rFonts w:ascii="Calibri" w:eastAsia="Times New Roman" w:hAnsi="Calibri"/>
          <w:sz w:val="20"/>
          <w:szCs w:val="20"/>
          <w:lang w:val="fr-CA" w:eastAsia="fr-FR"/>
        </w:rPr>
        <w:t>sp</w:t>
      </w:r>
      <w:proofErr w:type="spellEnd"/>
      <w:r w:rsidRPr="008E1693">
        <w:rPr>
          <w:rFonts w:ascii="Calibri" w:eastAsia="Times New Roman" w:hAnsi="Calibri"/>
          <w:sz w:val="20"/>
          <w:szCs w:val="20"/>
          <w:lang w:val="fr-CA" w:eastAsia="fr-FR"/>
        </w:rPr>
        <w:t xml:space="preserve">., les fruits de la liane </w:t>
      </w:r>
      <w:proofErr w:type="spellStart"/>
      <w:r w:rsidRPr="008E1693">
        <w:rPr>
          <w:rFonts w:ascii="Calibri" w:eastAsia="Times New Roman" w:hAnsi="Calibri"/>
          <w:sz w:val="20"/>
          <w:szCs w:val="20"/>
          <w:lang w:val="fr-CA" w:eastAsia="fr-FR"/>
        </w:rPr>
        <w:t>goïne</w:t>
      </w:r>
      <w:proofErr w:type="spellEnd"/>
      <w:r w:rsidRPr="008E1693">
        <w:rPr>
          <w:rFonts w:ascii="Calibri" w:eastAsia="Times New Roman" w:hAnsi="Calibri"/>
          <w:sz w:val="20"/>
          <w:szCs w:val="20"/>
          <w:lang w:val="fr-CA" w:eastAsia="fr-FR"/>
        </w:rPr>
        <w:t xml:space="preserve">, les fruits et feuilles de baobab, et les feuilles du </w:t>
      </w:r>
      <w:r w:rsidRPr="008E1693">
        <w:rPr>
          <w:rFonts w:ascii="Calibri" w:eastAsia="Times New Roman" w:hAnsi="Calibri"/>
          <w:i/>
          <w:sz w:val="20"/>
          <w:szCs w:val="20"/>
          <w:lang w:val="fr-CA" w:eastAsia="fr-FR"/>
        </w:rPr>
        <w:t xml:space="preserve">Vitex </w:t>
      </w:r>
      <w:proofErr w:type="spellStart"/>
      <w:r w:rsidRPr="008E1693">
        <w:rPr>
          <w:rFonts w:ascii="Calibri" w:eastAsia="Times New Roman" w:hAnsi="Calibri"/>
          <w:i/>
          <w:sz w:val="20"/>
          <w:szCs w:val="20"/>
          <w:lang w:val="fr-CA" w:eastAsia="fr-FR"/>
        </w:rPr>
        <w:t>doniana</w:t>
      </w:r>
      <w:proofErr w:type="spellEnd"/>
      <w:r w:rsidRPr="008E1693">
        <w:rPr>
          <w:rFonts w:ascii="Calibri" w:eastAsia="Times New Roman" w:hAnsi="Calibri"/>
          <w:sz w:val="20"/>
          <w:szCs w:val="20"/>
          <w:lang w:val="fr-CA" w:eastAsia="fr-FR"/>
        </w:rPr>
        <w:t xml:space="preserve">. </w:t>
      </w:r>
      <w:r w:rsidRPr="008E1693">
        <w:rPr>
          <w:rFonts w:ascii="Calibri" w:hAnsi="Calibri"/>
          <w:sz w:val="20"/>
          <w:szCs w:val="20"/>
          <w:lang w:val="fr-CA"/>
        </w:rPr>
        <w:t>Tous les ménages cueillent des PFNL. Les femmes représentent 53% des producteurs impliqués dans la commercialisation des PFNL (Sama, 2016).</w:t>
      </w:r>
    </w:p>
    <w:p w14:paraId="53090AB3" w14:textId="77777777" w:rsidR="00302BFE" w:rsidRPr="008E1693" w:rsidRDefault="00302BFE" w:rsidP="00302BFE">
      <w:pPr>
        <w:pStyle w:val="Paragraphedeliste"/>
        <w:tabs>
          <w:tab w:val="left" w:pos="284"/>
        </w:tabs>
        <w:spacing w:before="120" w:after="120"/>
        <w:ind w:left="0"/>
        <w:jc w:val="both"/>
        <w:rPr>
          <w:rFonts w:ascii="Calibri" w:hAnsi="Calibri"/>
          <w:sz w:val="20"/>
          <w:szCs w:val="20"/>
          <w:lang w:val="fr-CA"/>
        </w:rPr>
      </w:pPr>
      <w:r w:rsidRPr="008E1693">
        <w:rPr>
          <w:rFonts w:ascii="Calibri" w:eastAsia="Times New Roman" w:hAnsi="Calibri"/>
          <w:i/>
          <w:iCs/>
          <w:color w:val="2F5496"/>
          <w:sz w:val="20"/>
          <w:szCs w:val="20"/>
          <w:lang w:val="fr-CA"/>
        </w:rPr>
        <w:t xml:space="preserve">Apiculture. </w:t>
      </w:r>
      <w:r w:rsidRPr="008E1693">
        <w:rPr>
          <w:rFonts w:ascii="Calibri" w:hAnsi="Calibri"/>
          <w:sz w:val="20"/>
          <w:szCs w:val="20"/>
          <w:lang w:val="fr-CA"/>
        </w:rPr>
        <w:t xml:space="preserve">L’apiculture constitue également une source de revenus pour plus de 300 apiculteurs et de leurs ménages respectifs. La filière est organisée avec l’appui des </w:t>
      </w:r>
      <w:proofErr w:type="spellStart"/>
      <w:r w:rsidRPr="008E1693">
        <w:rPr>
          <w:rFonts w:ascii="Calibri" w:hAnsi="Calibri"/>
          <w:sz w:val="20"/>
          <w:szCs w:val="20"/>
          <w:lang w:val="fr-CA"/>
        </w:rPr>
        <w:t>ONGs</w:t>
      </w:r>
      <w:proofErr w:type="spellEnd"/>
      <w:r w:rsidRPr="008E1693">
        <w:rPr>
          <w:rFonts w:ascii="Calibri" w:hAnsi="Calibri"/>
          <w:sz w:val="20"/>
          <w:szCs w:val="20"/>
          <w:lang w:val="fr-CA"/>
        </w:rPr>
        <w:t xml:space="preserve"> </w:t>
      </w:r>
      <w:proofErr w:type="spellStart"/>
      <w:r w:rsidRPr="008E1693">
        <w:rPr>
          <w:rFonts w:ascii="Calibri" w:hAnsi="Calibri"/>
          <w:sz w:val="20"/>
          <w:szCs w:val="20"/>
          <w:lang w:val="fr-CA"/>
        </w:rPr>
        <w:t>Tree</w:t>
      </w:r>
      <w:proofErr w:type="spellEnd"/>
      <w:r w:rsidRPr="008E1693">
        <w:rPr>
          <w:rFonts w:ascii="Calibri" w:hAnsi="Calibri"/>
          <w:sz w:val="20"/>
          <w:szCs w:val="20"/>
          <w:lang w:val="fr-CA"/>
        </w:rPr>
        <w:t xml:space="preserve"> </w:t>
      </w:r>
      <w:proofErr w:type="spellStart"/>
      <w:r w:rsidRPr="008E1693">
        <w:rPr>
          <w:rFonts w:ascii="Calibri" w:hAnsi="Calibri"/>
          <w:sz w:val="20"/>
          <w:szCs w:val="20"/>
          <w:lang w:val="fr-CA"/>
        </w:rPr>
        <w:t>Aid</w:t>
      </w:r>
      <w:proofErr w:type="spellEnd"/>
      <w:r w:rsidRPr="008E1693">
        <w:rPr>
          <w:rFonts w:ascii="Calibri" w:hAnsi="Calibri"/>
          <w:sz w:val="20"/>
          <w:szCs w:val="20"/>
          <w:lang w:val="fr-CA"/>
        </w:rPr>
        <w:t xml:space="preserve"> et </w:t>
      </w:r>
      <w:proofErr w:type="spellStart"/>
      <w:r w:rsidRPr="008E1693">
        <w:rPr>
          <w:rFonts w:ascii="Calibri" w:hAnsi="Calibri"/>
          <w:sz w:val="20"/>
          <w:szCs w:val="20"/>
          <w:lang w:val="fr-CA"/>
        </w:rPr>
        <w:t>Natudev</w:t>
      </w:r>
      <w:proofErr w:type="spellEnd"/>
      <w:r w:rsidRPr="008E1693">
        <w:rPr>
          <w:rFonts w:ascii="Calibri" w:hAnsi="Calibri"/>
          <w:sz w:val="20"/>
          <w:szCs w:val="20"/>
          <w:lang w:val="fr-CA"/>
        </w:rPr>
        <w:t>.</w:t>
      </w:r>
    </w:p>
    <w:p w14:paraId="1CEC4A13" w14:textId="700535A1" w:rsidR="00302BFE" w:rsidRPr="008E1693" w:rsidRDefault="00302BFE" w:rsidP="00302BFE">
      <w:pPr>
        <w:pStyle w:val="Paragraphedeliste"/>
        <w:tabs>
          <w:tab w:val="left" w:pos="284"/>
        </w:tabs>
        <w:spacing w:before="120" w:after="120"/>
        <w:ind w:left="0"/>
        <w:jc w:val="both"/>
        <w:rPr>
          <w:rFonts w:ascii="Calibri" w:hAnsi="Calibri"/>
          <w:sz w:val="20"/>
          <w:szCs w:val="20"/>
          <w:lang w:val="fr-CA"/>
        </w:rPr>
      </w:pPr>
      <w:r w:rsidRPr="008E1693">
        <w:rPr>
          <w:rFonts w:ascii="Calibri" w:eastAsia="Times New Roman" w:hAnsi="Calibri"/>
          <w:i/>
          <w:iCs/>
          <w:color w:val="2F5496"/>
          <w:sz w:val="20"/>
          <w:szCs w:val="20"/>
          <w:lang w:val="fr-CA"/>
        </w:rPr>
        <w:t xml:space="preserve">Autres activités de production. </w:t>
      </w:r>
      <w:r w:rsidRPr="008E1693">
        <w:rPr>
          <w:rFonts w:ascii="Calibri" w:hAnsi="Calibri"/>
          <w:sz w:val="20"/>
          <w:szCs w:val="20"/>
          <w:lang w:val="fr-CA"/>
        </w:rPr>
        <w:t xml:space="preserve">Les autres activités économiques comprennent l’exploitation des agrégats (cailloux sauvages, gravillons, sable) et l’orpaillage. L’exploitation des agrégats se fait dans les aires protégées, notamment dans le PNKT. L’orpaillage, surtout concentré dans la commune de </w:t>
      </w:r>
      <w:proofErr w:type="spellStart"/>
      <w:r w:rsidRPr="008E1693">
        <w:rPr>
          <w:rFonts w:ascii="Calibri" w:hAnsi="Calibri"/>
          <w:sz w:val="20"/>
          <w:szCs w:val="20"/>
          <w:lang w:val="fr-CA"/>
        </w:rPr>
        <w:t>Zerboko</w:t>
      </w:r>
      <w:proofErr w:type="spellEnd"/>
      <w:r w:rsidRPr="008E1693">
        <w:rPr>
          <w:rFonts w:ascii="Calibri" w:hAnsi="Calibri"/>
          <w:sz w:val="20"/>
          <w:szCs w:val="20"/>
          <w:lang w:val="fr-CA"/>
        </w:rPr>
        <w:t xml:space="preserve"> est une activité qui mobilise t</w:t>
      </w:r>
      <w:r w:rsidRPr="008E1693">
        <w:rPr>
          <w:rFonts w:ascii="Calibri" w:eastAsia="Times New Roman" w:hAnsi="Calibri"/>
          <w:sz w:val="20"/>
          <w:szCs w:val="20"/>
          <w:lang w:val="fr-CA" w:eastAsia="fr-FR"/>
        </w:rPr>
        <w:t xml:space="preserve">ous les jeunes du village. Une seule « prise » peut valoir 850 $US </w:t>
      </w:r>
      <w:r w:rsidRPr="008E1693">
        <w:rPr>
          <w:rFonts w:ascii="Calibri" w:eastAsia="Times New Roman" w:hAnsi="Calibri"/>
          <w:sz w:val="20"/>
          <w:szCs w:val="20"/>
          <w:lang w:val="fr-CA" w:eastAsia="fr-FR"/>
        </w:rPr>
        <w:lastRenderedPageBreak/>
        <w:t>(500 000 FCFA</w:t>
      </w:r>
      <w:r w:rsidR="005E13EB">
        <w:rPr>
          <w:rFonts w:ascii="Calibri" w:eastAsia="Times New Roman" w:hAnsi="Calibri"/>
          <w:sz w:val="20"/>
          <w:szCs w:val="20"/>
          <w:lang w:val="fr-CA" w:eastAsia="fr-FR"/>
        </w:rPr>
        <w:t xml:space="preserve"> – approx 850 $US</w:t>
      </w:r>
      <w:r w:rsidRPr="008E1693">
        <w:rPr>
          <w:rFonts w:ascii="Calibri" w:eastAsia="Times New Roman" w:hAnsi="Calibri"/>
          <w:sz w:val="20"/>
          <w:szCs w:val="20"/>
          <w:lang w:val="fr-CA" w:eastAsia="fr-FR"/>
        </w:rPr>
        <w:t>) pour un orpailleur et jusqu’au-delà du double. L’argent obtenu est investi dans le prestige plutôt que dans des investissements productifs.</w:t>
      </w:r>
    </w:p>
    <w:p w14:paraId="2FE27499" w14:textId="77777777" w:rsidR="00302BFE" w:rsidRPr="008E1693" w:rsidRDefault="00302BFE" w:rsidP="00302BFE">
      <w:pPr>
        <w:pStyle w:val="Paragraphedeliste"/>
        <w:tabs>
          <w:tab w:val="left" w:pos="284"/>
        </w:tabs>
        <w:spacing w:before="120" w:after="120"/>
        <w:ind w:left="0"/>
        <w:jc w:val="both"/>
        <w:rPr>
          <w:rFonts w:ascii="Calibri" w:eastAsia="Times New Roman" w:hAnsi="Calibri"/>
          <w:b/>
          <w:i/>
          <w:iCs/>
          <w:color w:val="2F5496"/>
          <w:sz w:val="22"/>
          <w:szCs w:val="22"/>
          <w:lang w:val="fr-CA"/>
        </w:rPr>
      </w:pPr>
      <w:r w:rsidRPr="008E1693">
        <w:rPr>
          <w:rFonts w:ascii="Calibri" w:eastAsia="Times New Roman" w:hAnsi="Calibri"/>
          <w:b/>
          <w:i/>
          <w:iCs/>
          <w:color w:val="2F5496"/>
          <w:sz w:val="22"/>
          <w:szCs w:val="22"/>
          <w:lang w:val="fr-CA"/>
        </w:rPr>
        <w:t>Bénéfices en lien avec les aires protégées</w:t>
      </w:r>
    </w:p>
    <w:p w14:paraId="1D9FE62E" w14:textId="77777777" w:rsidR="00302BFE" w:rsidRPr="008E1693" w:rsidRDefault="00302BFE" w:rsidP="00302BFE">
      <w:pPr>
        <w:pStyle w:val="Paragraphedeliste"/>
        <w:tabs>
          <w:tab w:val="left" w:pos="284"/>
        </w:tabs>
        <w:spacing w:before="120" w:after="120"/>
        <w:ind w:left="0"/>
        <w:jc w:val="both"/>
        <w:rPr>
          <w:rFonts w:ascii="Calibri" w:hAnsi="Calibri"/>
          <w:sz w:val="20"/>
          <w:szCs w:val="20"/>
          <w:lang w:val="fr-CA"/>
        </w:rPr>
      </w:pPr>
      <w:r w:rsidRPr="008E1693">
        <w:rPr>
          <w:rFonts w:ascii="Calibri" w:hAnsi="Calibri"/>
          <w:sz w:val="20"/>
          <w:szCs w:val="20"/>
          <w:lang w:val="fr-CA"/>
        </w:rPr>
        <w:t>Les bénéfices socio-économiques des aires protégées du PONASI ne sont pas documentés de manière systématique. Certains bénéfices socio-économiques pour les communautés locales peuvent cependant être envisagés à partir de l’évaluation qui a été menée par le Programme d’Appui aux Parcs de l’Entente (PAPE) et par le Sous-Programme Boucle du Mouhoun du Programme National de Partenariat pour la Gestion des Terres au Burkina Faso (CPP) dont les actions étaient orientées sur la gestion rationnelle des aires protégées et la gestion durable des terres. Les bénéfices sont examinés en termes d’emplois directs et indirects créés au niveau des aires protégées, mais aussi à travers l’amélioration des activités de production et de reproduction conduites par les communautés riveraines.</w:t>
      </w:r>
    </w:p>
    <w:p w14:paraId="1A4E28F6" w14:textId="77777777" w:rsidR="00302BFE" w:rsidRPr="008E1693" w:rsidRDefault="00302BFE" w:rsidP="00302BFE">
      <w:pPr>
        <w:pStyle w:val="Paragraphedeliste"/>
        <w:tabs>
          <w:tab w:val="left" w:pos="284"/>
        </w:tabs>
        <w:spacing w:before="120" w:after="120"/>
        <w:ind w:left="0"/>
        <w:jc w:val="both"/>
        <w:rPr>
          <w:rFonts w:ascii="Calibri" w:hAnsi="Calibri"/>
          <w:sz w:val="20"/>
          <w:szCs w:val="20"/>
          <w:lang w:val="fr-CA"/>
        </w:rPr>
      </w:pPr>
      <w:r w:rsidRPr="008E1693">
        <w:rPr>
          <w:rFonts w:ascii="Calibri" w:hAnsi="Calibri"/>
          <w:sz w:val="20"/>
          <w:szCs w:val="20"/>
          <w:lang w:val="fr-CA"/>
        </w:rPr>
        <w:t>Selon l’étude concernant la contribution des aires protégées au développement socio-économique des populations riveraines conduite par le PAPE en 2013, les acteurs bénéficiant des retombées des aires protégées sont nombreux et diversifiés. Ces acteurs comprennent : (i) les populations dans leur ensemble qui utilisent les forêts pour le prélèvement de certains produits forestiers ligneux et non ligneux ; (ii) les populations constituées en Comités Villageois de Gestion de la Faune ; (iii) les femmes qui exploitent les produits forestiers non ligneux ; (iv) les vendeurs de viande sauvage ; (v) les restauratrices ; (vi) les hôteliers ; (vii) les guides touristiques ; (viii) l’</w:t>
      </w:r>
      <w:proofErr w:type="spellStart"/>
      <w:r w:rsidRPr="008E1693">
        <w:rPr>
          <w:rFonts w:ascii="Calibri" w:hAnsi="Calibri"/>
          <w:sz w:val="20"/>
          <w:szCs w:val="20"/>
          <w:lang w:val="fr-CA"/>
        </w:rPr>
        <w:t>Etat</w:t>
      </w:r>
      <w:proofErr w:type="spellEnd"/>
      <w:r w:rsidRPr="008E1693">
        <w:rPr>
          <w:rFonts w:ascii="Calibri" w:hAnsi="Calibri"/>
          <w:sz w:val="20"/>
          <w:szCs w:val="20"/>
          <w:lang w:val="fr-CA"/>
        </w:rPr>
        <w:t> ; (ix) les collectivités décentralisées, et (x) les concessionnaires. L’étude mentionne que les bénéfices apportés par le projet incluent des terroirs villageois moins dégradés offrant des terres fertiles aux producteurs, l’ouverture d’esprit des populations locales au monde grâce aux rencontres avec des touristes étrangers, et les jumelages entre les populations et d’autres localités qui ont appuyé le développement communautaire.</w:t>
      </w:r>
    </w:p>
    <w:p w14:paraId="43862C53" w14:textId="0CC3585F" w:rsidR="00302BFE" w:rsidRPr="008E1693" w:rsidRDefault="00302BFE" w:rsidP="00302BFE">
      <w:pPr>
        <w:pStyle w:val="Paragraphedeliste"/>
        <w:tabs>
          <w:tab w:val="left" w:pos="284"/>
        </w:tabs>
        <w:spacing w:before="120" w:after="120"/>
        <w:ind w:left="0"/>
        <w:jc w:val="both"/>
        <w:rPr>
          <w:rFonts w:ascii="Calibri" w:hAnsi="Calibri"/>
          <w:noProof/>
          <w:sz w:val="20"/>
          <w:szCs w:val="20"/>
          <w:highlight w:val="magenta"/>
          <w:lang w:val="fr-CA"/>
        </w:rPr>
      </w:pPr>
      <w:r w:rsidRPr="008E1693">
        <w:rPr>
          <w:rFonts w:ascii="Calibri" w:hAnsi="Calibri"/>
          <w:sz w:val="20"/>
          <w:szCs w:val="20"/>
          <w:lang w:val="fr-CA"/>
        </w:rPr>
        <w:t xml:space="preserve">Dans le PONASI, les populations locales ont déjà bénéficié de telles retombées. Cependant, du fait de la situation sécuritaire du pays en général, les concessionnaires reçoivent de moins en moins de chasseurs et le tourisme diminue significativement. Les concessionnaires présents dans le PONASI ont souligné l’importance de la sécurisation des aires protégées du complexe pour préserver conserver le potentiel touristique des aires protégées. </w:t>
      </w:r>
      <w:r w:rsidRPr="008E1693">
        <w:rPr>
          <w:rFonts w:ascii="Calibri" w:hAnsi="Calibri"/>
          <w:noProof/>
          <w:sz w:val="20"/>
          <w:szCs w:val="20"/>
          <w:lang w:val="fr-CA"/>
        </w:rPr>
        <w:t>L’amélioration de la conservation des aires protégées permettrait de maintenir les bénéfices socio-économiques pour les populations locales qui ont été estimés à des dizaines de millions de francs CFA (plusieurs diz</w:t>
      </w:r>
      <w:r w:rsidR="005E13EB">
        <w:rPr>
          <w:rFonts w:ascii="Calibri" w:hAnsi="Calibri"/>
          <w:noProof/>
          <w:sz w:val="20"/>
          <w:szCs w:val="20"/>
          <w:lang w:val="fr-CA"/>
        </w:rPr>
        <w:t>a</w:t>
      </w:r>
      <w:r w:rsidRPr="008E1693">
        <w:rPr>
          <w:rFonts w:ascii="Calibri" w:hAnsi="Calibri"/>
          <w:noProof/>
          <w:sz w:val="20"/>
          <w:szCs w:val="20"/>
          <w:lang w:val="fr-CA"/>
        </w:rPr>
        <w:t>ines de milliers de dollars US) par an à travers des emplois directs et indirects.</w:t>
      </w:r>
      <w:r w:rsidRPr="008E1693">
        <w:rPr>
          <w:rFonts w:ascii="Calibri" w:hAnsi="Calibri"/>
          <w:noProof/>
          <w:sz w:val="20"/>
          <w:szCs w:val="20"/>
          <w:highlight w:val="magenta"/>
          <w:lang w:val="fr-CA"/>
        </w:rPr>
        <w:t xml:space="preserve"> </w:t>
      </w:r>
    </w:p>
    <w:p w14:paraId="0D5F4685" w14:textId="77777777" w:rsidR="00302BFE" w:rsidRPr="008E1693" w:rsidRDefault="00302BFE" w:rsidP="00302BFE">
      <w:pPr>
        <w:pStyle w:val="Paragraphedeliste"/>
        <w:tabs>
          <w:tab w:val="left" w:pos="284"/>
        </w:tabs>
        <w:spacing w:before="120" w:after="120"/>
        <w:ind w:left="0"/>
        <w:jc w:val="both"/>
        <w:rPr>
          <w:rFonts w:ascii="Calibri" w:hAnsi="Calibri"/>
          <w:noProof/>
          <w:sz w:val="20"/>
          <w:szCs w:val="20"/>
          <w:lang w:val="fr-CA"/>
        </w:rPr>
      </w:pPr>
      <w:r w:rsidRPr="008E1693">
        <w:rPr>
          <w:rFonts w:ascii="Calibri" w:hAnsi="Calibri"/>
          <w:noProof/>
          <w:sz w:val="20"/>
          <w:szCs w:val="20"/>
          <w:lang w:val="fr-CA"/>
        </w:rPr>
        <w:t>Les emplois créés sont également liés aux travaux d’aménagement dans les aires protégées. En trois ans les travaux d’aménagement exécutés par le PAPSA dans le PONASI a généré environ 76 500 $US (45 millions de francs CFA) pour les populations locales (tableau ci-dessous).</w:t>
      </w:r>
    </w:p>
    <w:p w14:paraId="1B21120B" w14:textId="77777777" w:rsidR="00302BFE" w:rsidRPr="008E1693" w:rsidRDefault="00302BFE" w:rsidP="00302BFE">
      <w:pPr>
        <w:pStyle w:val="Lgende"/>
        <w:spacing w:before="120" w:after="40"/>
        <w:jc w:val="both"/>
        <w:rPr>
          <w:rFonts w:ascii="Calibri" w:hAnsi="Calibri"/>
          <w:b w:val="0"/>
          <w:sz w:val="20"/>
          <w:szCs w:val="20"/>
          <w:lang w:val="fr-CA"/>
        </w:rPr>
      </w:pPr>
      <w:bookmarkStart w:id="90" w:name="_Toc504405156"/>
      <w:bookmarkStart w:id="91" w:name="_Toc2166335"/>
      <w:r w:rsidRPr="008E1693">
        <w:rPr>
          <w:rFonts w:ascii="Calibri" w:hAnsi="Calibri"/>
          <w:sz w:val="20"/>
          <w:szCs w:val="20"/>
          <w:lang w:val="fr-CA"/>
        </w:rPr>
        <w:t xml:space="preserve">Tableau </w:t>
      </w:r>
      <w:r w:rsidRPr="00091F0E">
        <w:rPr>
          <w:rFonts w:ascii="Calibri" w:hAnsi="Calibri"/>
          <w:noProof/>
          <w:sz w:val="20"/>
          <w:szCs w:val="20"/>
          <w:lang w:val="fr-CA"/>
        </w:rPr>
        <w:t>C</w:t>
      </w:r>
      <w:r w:rsidRPr="008E1693">
        <w:rPr>
          <w:rFonts w:ascii="Calibri" w:hAnsi="Calibri"/>
          <w:sz w:val="20"/>
          <w:szCs w:val="20"/>
          <w:lang w:val="fr-CA"/>
        </w:rPr>
        <w:t> </w:t>
      </w:r>
      <w:r w:rsidRPr="008E1693">
        <w:rPr>
          <w:rFonts w:ascii="Calibri" w:hAnsi="Calibri"/>
          <w:b w:val="0"/>
          <w:sz w:val="20"/>
          <w:szCs w:val="20"/>
          <w:lang w:val="fr-CA"/>
        </w:rPr>
        <w:t>: Revenus générés au profit des populations riveraines du complexe PONASI dans le cadre du PAPSA</w:t>
      </w:r>
      <w:bookmarkEnd w:id="90"/>
      <w:bookmarkEnd w:id="91"/>
      <w:r>
        <w:rPr>
          <w:rFonts w:ascii="Calibri" w:hAnsi="Calibri"/>
          <w:b w:val="0"/>
          <w:sz w:val="20"/>
          <w:szCs w:val="20"/>
          <w:lang w:val="fr-CA"/>
        </w:rPr>
        <w:t xml:space="preserve">. </w:t>
      </w:r>
      <w:r w:rsidRPr="00091F0E">
        <w:rPr>
          <w:i/>
          <w:sz w:val="16"/>
          <w:szCs w:val="16"/>
          <w:lang w:val="fr-CA"/>
        </w:rPr>
        <w:t>Source : PAPE, 2013</w:t>
      </w:r>
    </w:p>
    <w:tbl>
      <w:tblPr>
        <w:tblW w:w="3970" w:type="pct"/>
        <w:jc w:val="center"/>
        <w:tblBorders>
          <w:top w:val="single" w:sz="4" w:space="0" w:color="013366"/>
          <w:left w:val="single" w:sz="4" w:space="0" w:color="013366"/>
          <w:bottom w:val="single" w:sz="4" w:space="0" w:color="013366"/>
          <w:right w:val="single" w:sz="4" w:space="0" w:color="013366"/>
          <w:insideH w:val="single" w:sz="4" w:space="0" w:color="013366"/>
          <w:insideV w:val="single" w:sz="4" w:space="0" w:color="013366"/>
        </w:tblBorders>
        <w:tblLayout w:type="fixed"/>
        <w:tblLook w:val="04A0" w:firstRow="1" w:lastRow="0" w:firstColumn="1" w:lastColumn="0" w:noHBand="0" w:noVBand="1"/>
      </w:tblPr>
      <w:tblGrid>
        <w:gridCol w:w="934"/>
        <w:gridCol w:w="4830"/>
        <w:gridCol w:w="1712"/>
        <w:gridCol w:w="1091"/>
      </w:tblGrid>
      <w:tr w:rsidR="00302BFE" w:rsidRPr="00832C0A" w14:paraId="05867F23" w14:textId="77777777" w:rsidTr="002C7A0F">
        <w:trPr>
          <w:trHeight w:val="283"/>
          <w:jc w:val="center"/>
        </w:trPr>
        <w:tc>
          <w:tcPr>
            <w:tcW w:w="545" w:type="pct"/>
            <w:tcBorders>
              <w:top w:val="single" w:sz="4" w:space="0" w:color="013366"/>
              <w:left w:val="single" w:sz="4" w:space="0" w:color="013366"/>
              <w:bottom w:val="single" w:sz="4" w:space="0" w:color="013366"/>
              <w:right w:val="nil"/>
              <w:tl2br w:val="nil"/>
              <w:tr2bl w:val="nil"/>
            </w:tcBorders>
            <w:shd w:val="clear" w:color="auto" w:fill="013366"/>
          </w:tcPr>
          <w:p w14:paraId="5EBDEC89" w14:textId="77777777" w:rsidR="00302BFE" w:rsidRPr="0075595E" w:rsidRDefault="00302BFE" w:rsidP="002C7A0F">
            <w:pPr>
              <w:spacing w:after="0"/>
              <w:rPr>
                <w:rFonts w:eastAsia="Times New Roman"/>
                <w:color w:val="FFFFFF"/>
                <w:sz w:val="18"/>
                <w:szCs w:val="18"/>
              </w:rPr>
            </w:pPr>
            <w:proofErr w:type="spellStart"/>
            <w:r w:rsidRPr="0075595E">
              <w:rPr>
                <w:rFonts w:eastAsia="Times New Roman"/>
                <w:color w:val="FFFFFF"/>
                <w:sz w:val="18"/>
                <w:szCs w:val="18"/>
              </w:rPr>
              <w:t>Années</w:t>
            </w:r>
            <w:proofErr w:type="spellEnd"/>
          </w:p>
        </w:tc>
        <w:tc>
          <w:tcPr>
            <w:tcW w:w="2819" w:type="pct"/>
            <w:tcBorders>
              <w:top w:val="single" w:sz="4" w:space="0" w:color="013366"/>
              <w:left w:val="nil"/>
              <w:bottom w:val="single" w:sz="4" w:space="0" w:color="013366"/>
              <w:right w:val="nil"/>
              <w:tl2br w:val="nil"/>
              <w:tr2bl w:val="nil"/>
            </w:tcBorders>
            <w:shd w:val="clear" w:color="auto" w:fill="013366"/>
            <w:noWrap/>
            <w:hideMark/>
          </w:tcPr>
          <w:p w14:paraId="37283AFB" w14:textId="77777777" w:rsidR="00302BFE" w:rsidRPr="0075595E" w:rsidRDefault="00302BFE" w:rsidP="002C7A0F">
            <w:pPr>
              <w:spacing w:after="0"/>
              <w:rPr>
                <w:rFonts w:eastAsia="Times New Roman"/>
                <w:color w:val="FFFFFF"/>
                <w:sz w:val="18"/>
                <w:szCs w:val="18"/>
              </w:rPr>
            </w:pPr>
            <w:proofErr w:type="spellStart"/>
            <w:r w:rsidRPr="0075595E">
              <w:rPr>
                <w:rFonts w:eastAsia="Times New Roman"/>
                <w:color w:val="FFFFFF"/>
                <w:sz w:val="18"/>
                <w:szCs w:val="18"/>
              </w:rPr>
              <w:t>Activités</w:t>
            </w:r>
            <w:proofErr w:type="spellEnd"/>
          </w:p>
        </w:tc>
        <w:tc>
          <w:tcPr>
            <w:tcW w:w="999" w:type="pct"/>
            <w:tcBorders>
              <w:top w:val="single" w:sz="4" w:space="0" w:color="013366"/>
              <w:left w:val="nil"/>
              <w:bottom w:val="single" w:sz="4" w:space="0" w:color="013366"/>
              <w:right w:val="nil"/>
              <w:tl2br w:val="nil"/>
              <w:tr2bl w:val="nil"/>
            </w:tcBorders>
            <w:shd w:val="clear" w:color="auto" w:fill="013366"/>
          </w:tcPr>
          <w:p w14:paraId="1D6B88A7" w14:textId="77777777" w:rsidR="00302BFE" w:rsidRPr="0075595E" w:rsidRDefault="00302BFE" w:rsidP="002C7A0F">
            <w:pPr>
              <w:spacing w:after="0"/>
              <w:rPr>
                <w:rFonts w:eastAsia="Times New Roman"/>
                <w:color w:val="FFFFFF"/>
                <w:sz w:val="18"/>
                <w:szCs w:val="18"/>
                <w:lang w:val="fr-CA"/>
              </w:rPr>
            </w:pPr>
            <w:r w:rsidRPr="0075595E">
              <w:rPr>
                <w:rFonts w:eastAsia="Times New Roman"/>
                <w:color w:val="FFFFFF"/>
                <w:sz w:val="18"/>
                <w:szCs w:val="18"/>
                <w:lang w:val="fr-CA"/>
              </w:rPr>
              <w:t>Revenus distribués (FCFA)</w:t>
            </w:r>
          </w:p>
        </w:tc>
        <w:tc>
          <w:tcPr>
            <w:tcW w:w="637" w:type="pct"/>
            <w:tcBorders>
              <w:top w:val="single" w:sz="4" w:space="0" w:color="013366"/>
              <w:left w:val="nil"/>
              <w:bottom w:val="single" w:sz="4" w:space="0" w:color="013366"/>
              <w:right w:val="single" w:sz="4" w:space="0" w:color="013366"/>
              <w:tl2br w:val="nil"/>
              <w:tr2bl w:val="nil"/>
            </w:tcBorders>
            <w:shd w:val="clear" w:color="auto" w:fill="013366"/>
            <w:noWrap/>
            <w:hideMark/>
          </w:tcPr>
          <w:p w14:paraId="41661D80" w14:textId="77777777" w:rsidR="00302BFE" w:rsidRPr="0075595E" w:rsidRDefault="00302BFE" w:rsidP="002C7A0F">
            <w:pPr>
              <w:spacing w:after="0"/>
              <w:rPr>
                <w:rFonts w:eastAsia="Times New Roman"/>
                <w:color w:val="FFFFFF"/>
                <w:sz w:val="18"/>
                <w:szCs w:val="18"/>
              </w:rPr>
            </w:pPr>
            <w:r w:rsidRPr="0075595E">
              <w:rPr>
                <w:rFonts w:eastAsia="Times New Roman"/>
                <w:color w:val="FFFFFF"/>
                <w:sz w:val="18"/>
                <w:szCs w:val="18"/>
              </w:rPr>
              <w:t xml:space="preserve">Nb </w:t>
            </w:r>
            <w:proofErr w:type="spellStart"/>
            <w:r w:rsidRPr="0075595E">
              <w:rPr>
                <w:rFonts w:eastAsia="Times New Roman"/>
                <w:color w:val="FFFFFF"/>
                <w:sz w:val="18"/>
                <w:szCs w:val="18"/>
              </w:rPr>
              <w:t>personnes</w:t>
            </w:r>
            <w:proofErr w:type="spellEnd"/>
          </w:p>
        </w:tc>
      </w:tr>
      <w:tr w:rsidR="00302BFE" w:rsidRPr="00832C0A" w14:paraId="74BFC426" w14:textId="77777777" w:rsidTr="002C7A0F">
        <w:trPr>
          <w:trHeight w:val="283"/>
          <w:jc w:val="center"/>
        </w:trPr>
        <w:tc>
          <w:tcPr>
            <w:tcW w:w="545" w:type="pct"/>
            <w:vMerge w:val="restart"/>
            <w:shd w:val="clear" w:color="auto" w:fill="auto"/>
            <w:vAlign w:val="center"/>
          </w:tcPr>
          <w:p w14:paraId="13C807B5" w14:textId="77777777" w:rsidR="00302BFE" w:rsidRPr="0075595E" w:rsidRDefault="00302BFE" w:rsidP="002C7A0F">
            <w:pPr>
              <w:spacing w:after="0"/>
              <w:rPr>
                <w:rFonts w:eastAsia="Times New Roman"/>
                <w:sz w:val="18"/>
                <w:szCs w:val="18"/>
              </w:rPr>
            </w:pPr>
            <w:r w:rsidRPr="0075595E">
              <w:rPr>
                <w:rFonts w:eastAsia="Times New Roman"/>
                <w:sz w:val="18"/>
                <w:szCs w:val="18"/>
              </w:rPr>
              <w:t>2010</w:t>
            </w:r>
          </w:p>
        </w:tc>
        <w:tc>
          <w:tcPr>
            <w:tcW w:w="2819" w:type="pct"/>
            <w:shd w:val="clear" w:color="auto" w:fill="auto"/>
            <w:noWrap/>
            <w:hideMark/>
          </w:tcPr>
          <w:p w14:paraId="7BDC61BF" w14:textId="77777777" w:rsidR="00302BFE" w:rsidRPr="0075595E" w:rsidRDefault="00302BFE" w:rsidP="002C7A0F">
            <w:pPr>
              <w:spacing w:after="0"/>
              <w:rPr>
                <w:rFonts w:eastAsia="Times New Roman"/>
                <w:sz w:val="18"/>
                <w:szCs w:val="18"/>
              </w:rPr>
            </w:pPr>
            <w:proofErr w:type="spellStart"/>
            <w:r w:rsidRPr="0075595E">
              <w:rPr>
                <w:rFonts w:eastAsia="Times New Roman"/>
                <w:sz w:val="18"/>
                <w:szCs w:val="18"/>
              </w:rPr>
              <w:t>Ouverture</w:t>
            </w:r>
            <w:proofErr w:type="spellEnd"/>
            <w:r w:rsidRPr="0075595E">
              <w:rPr>
                <w:rFonts w:eastAsia="Times New Roman"/>
                <w:sz w:val="18"/>
                <w:szCs w:val="18"/>
              </w:rPr>
              <w:t xml:space="preserve"> </w:t>
            </w:r>
            <w:proofErr w:type="spellStart"/>
            <w:r w:rsidRPr="0075595E">
              <w:rPr>
                <w:rFonts w:eastAsia="Times New Roman"/>
                <w:sz w:val="18"/>
                <w:szCs w:val="18"/>
              </w:rPr>
              <w:t>manuelle</w:t>
            </w:r>
            <w:proofErr w:type="spellEnd"/>
            <w:r w:rsidRPr="0075595E">
              <w:rPr>
                <w:rFonts w:eastAsia="Times New Roman"/>
                <w:sz w:val="18"/>
                <w:szCs w:val="18"/>
              </w:rPr>
              <w:t xml:space="preserve"> des </w:t>
            </w:r>
            <w:proofErr w:type="spellStart"/>
            <w:r w:rsidRPr="0075595E">
              <w:rPr>
                <w:rFonts w:eastAsia="Times New Roman"/>
                <w:sz w:val="18"/>
                <w:szCs w:val="18"/>
              </w:rPr>
              <w:t>pistes</w:t>
            </w:r>
            <w:proofErr w:type="spellEnd"/>
          </w:p>
        </w:tc>
        <w:tc>
          <w:tcPr>
            <w:tcW w:w="999" w:type="pct"/>
            <w:shd w:val="clear" w:color="auto" w:fill="auto"/>
          </w:tcPr>
          <w:p w14:paraId="509EE907" w14:textId="77777777" w:rsidR="00302BFE" w:rsidRPr="0075595E" w:rsidRDefault="00302BFE" w:rsidP="002C7A0F">
            <w:pPr>
              <w:spacing w:after="0"/>
              <w:rPr>
                <w:rFonts w:eastAsia="Times New Roman"/>
                <w:sz w:val="18"/>
                <w:szCs w:val="18"/>
              </w:rPr>
            </w:pPr>
            <w:r w:rsidRPr="0075595E">
              <w:rPr>
                <w:rFonts w:eastAsia="Times New Roman"/>
                <w:sz w:val="18"/>
                <w:szCs w:val="18"/>
              </w:rPr>
              <w:t>3 375 000</w:t>
            </w:r>
          </w:p>
        </w:tc>
        <w:tc>
          <w:tcPr>
            <w:tcW w:w="637" w:type="pct"/>
            <w:shd w:val="clear" w:color="auto" w:fill="auto"/>
            <w:noWrap/>
            <w:hideMark/>
          </w:tcPr>
          <w:p w14:paraId="7B5E8921" w14:textId="77777777" w:rsidR="00302BFE" w:rsidRPr="0075595E" w:rsidRDefault="00302BFE" w:rsidP="002C7A0F">
            <w:pPr>
              <w:spacing w:after="0"/>
              <w:rPr>
                <w:rFonts w:eastAsia="Times New Roman"/>
                <w:sz w:val="18"/>
                <w:szCs w:val="18"/>
              </w:rPr>
            </w:pPr>
            <w:r w:rsidRPr="0075595E">
              <w:rPr>
                <w:rFonts w:eastAsia="Times New Roman"/>
                <w:sz w:val="18"/>
                <w:szCs w:val="18"/>
              </w:rPr>
              <w:t>100</w:t>
            </w:r>
          </w:p>
        </w:tc>
      </w:tr>
      <w:tr w:rsidR="00302BFE" w:rsidRPr="00832C0A" w14:paraId="105C7A47" w14:textId="77777777" w:rsidTr="002C7A0F">
        <w:trPr>
          <w:trHeight w:val="283"/>
          <w:jc w:val="center"/>
        </w:trPr>
        <w:tc>
          <w:tcPr>
            <w:tcW w:w="545" w:type="pct"/>
            <w:vMerge/>
            <w:shd w:val="clear" w:color="auto" w:fill="auto"/>
            <w:vAlign w:val="center"/>
          </w:tcPr>
          <w:p w14:paraId="7BD4EE19" w14:textId="77777777" w:rsidR="00302BFE" w:rsidRPr="0075595E" w:rsidRDefault="00302BFE" w:rsidP="002C7A0F">
            <w:pPr>
              <w:spacing w:after="0"/>
              <w:rPr>
                <w:rFonts w:eastAsia="Times New Roman"/>
                <w:sz w:val="18"/>
                <w:szCs w:val="18"/>
              </w:rPr>
            </w:pPr>
          </w:p>
        </w:tc>
        <w:tc>
          <w:tcPr>
            <w:tcW w:w="2819" w:type="pct"/>
            <w:shd w:val="clear" w:color="auto" w:fill="auto"/>
            <w:noWrap/>
            <w:hideMark/>
          </w:tcPr>
          <w:p w14:paraId="32BF1E82" w14:textId="77777777" w:rsidR="00302BFE" w:rsidRPr="0075595E" w:rsidRDefault="00302BFE" w:rsidP="002C7A0F">
            <w:pPr>
              <w:spacing w:after="0"/>
              <w:rPr>
                <w:rFonts w:eastAsia="Times New Roman"/>
                <w:sz w:val="18"/>
                <w:szCs w:val="18"/>
              </w:rPr>
            </w:pPr>
            <w:r w:rsidRPr="0075595E">
              <w:rPr>
                <w:rFonts w:eastAsia="Times New Roman"/>
                <w:sz w:val="18"/>
                <w:szCs w:val="18"/>
              </w:rPr>
              <w:t xml:space="preserve">Surveillance </w:t>
            </w:r>
            <w:proofErr w:type="spellStart"/>
            <w:r w:rsidRPr="0075595E">
              <w:rPr>
                <w:rFonts w:eastAsia="Times New Roman"/>
                <w:sz w:val="18"/>
                <w:szCs w:val="18"/>
              </w:rPr>
              <w:t>villageoise</w:t>
            </w:r>
            <w:proofErr w:type="spellEnd"/>
          </w:p>
        </w:tc>
        <w:tc>
          <w:tcPr>
            <w:tcW w:w="999" w:type="pct"/>
            <w:shd w:val="clear" w:color="auto" w:fill="auto"/>
          </w:tcPr>
          <w:p w14:paraId="69022A94" w14:textId="77777777" w:rsidR="00302BFE" w:rsidRPr="0075595E" w:rsidRDefault="00302BFE" w:rsidP="002C7A0F">
            <w:pPr>
              <w:spacing w:after="0"/>
              <w:rPr>
                <w:rFonts w:eastAsia="Times New Roman"/>
                <w:sz w:val="18"/>
                <w:szCs w:val="18"/>
              </w:rPr>
            </w:pPr>
            <w:r w:rsidRPr="0075595E">
              <w:rPr>
                <w:rFonts w:eastAsia="Times New Roman"/>
                <w:sz w:val="18"/>
                <w:szCs w:val="18"/>
              </w:rPr>
              <w:t>2 250 000</w:t>
            </w:r>
          </w:p>
        </w:tc>
        <w:tc>
          <w:tcPr>
            <w:tcW w:w="637" w:type="pct"/>
            <w:shd w:val="clear" w:color="auto" w:fill="auto"/>
            <w:noWrap/>
            <w:hideMark/>
          </w:tcPr>
          <w:p w14:paraId="1328694D" w14:textId="77777777" w:rsidR="00302BFE" w:rsidRPr="0075595E" w:rsidRDefault="00302BFE" w:rsidP="002C7A0F">
            <w:pPr>
              <w:spacing w:after="0"/>
              <w:rPr>
                <w:rFonts w:eastAsia="Times New Roman"/>
                <w:sz w:val="18"/>
                <w:szCs w:val="18"/>
              </w:rPr>
            </w:pPr>
            <w:r w:rsidRPr="0075595E">
              <w:rPr>
                <w:rFonts w:eastAsia="Times New Roman"/>
                <w:sz w:val="18"/>
                <w:szCs w:val="18"/>
              </w:rPr>
              <w:t>75</w:t>
            </w:r>
          </w:p>
        </w:tc>
      </w:tr>
      <w:tr w:rsidR="00302BFE" w:rsidRPr="00832C0A" w14:paraId="6760A9CA" w14:textId="77777777" w:rsidTr="002C7A0F">
        <w:trPr>
          <w:trHeight w:val="283"/>
          <w:jc w:val="center"/>
        </w:trPr>
        <w:tc>
          <w:tcPr>
            <w:tcW w:w="545" w:type="pct"/>
            <w:vMerge/>
            <w:shd w:val="clear" w:color="auto" w:fill="auto"/>
            <w:vAlign w:val="center"/>
          </w:tcPr>
          <w:p w14:paraId="46CBBE53" w14:textId="77777777" w:rsidR="00302BFE" w:rsidRPr="0075595E" w:rsidRDefault="00302BFE" w:rsidP="002C7A0F">
            <w:pPr>
              <w:spacing w:after="0"/>
              <w:rPr>
                <w:rFonts w:eastAsia="Times New Roman"/>
                <w:sz w:val="18"/>
                <w:szCs w:val="18"/>
              </w:rPr>
            </w:pPr>
          </w:p>
        </w:tc>
        <w:tc>
          <w:tcPr>
            <w:tcW w:w="2819" w:type="pct"/>
            <w:shd w:val="clear" w:color="auto" w:fill="auto"/>
            <w:noWrap/>
            <w:hideMark/>
          </w:tcPr>
          <w:p w14:paraId="11514967" w14:textId="77777777" w:rsidR="00302BFE" w:rsidRPr="0075595E" w:rsidRDefault="00302BFE" w:rsidP="002C7A0F">
            <w:pPr>
              <w:spacing w:after="0"/>
              <w:rPr>
                <w:rFonts w:eastAsia="Times New Roman"/>
                <w:sz w:val="18"/>
                <w:szCs w:val="18"/>
              </w:rPr>
            </w:pPr>
            <w:r w:rsidRPr="0075595E">
              <w:rPr>
                <w:rFonts w:eastAsia="Times New Roman"/>
                <w:sz w:val="18"/>
                <w:szCs w:val="18"/>
              </w:rPr>
              <w:t xml:space="preserve">Application de </w:t>
            </w:r>
            <w:proofErr w:type="spellStart"/>
            <w:r w:rsidRPr="0075595E">
              <w:rPr>
                <w:rFonts w:eastAsia="Times New Roman"/>
                <w:sz w:val="18"/>
                <w:szCs w:val="18"/>
              </w:rPr>
              <w:t>feux</w:t>
            </w:r>
            <w:proofErr w:type="spellEnd"/>
            <w:r w:rsidRPr="0075595E">
              <w:rPr>
                <w:rFonts w:eastAsia="Times New Roman"/>
                <w:sz w:val="18"/>
                <w:szCs w:val="18"/>
              </w:rPr>
              <w:t xml:space="preserve"> </w:t>
            </w:r>
            <w:proofErr w:type="spellStart"/>
            <w:r w:rsidRPr="0075595E">
              <w:rPr>
                <w:rFonts w:eastAsia="Times New Roman"/>
                <w:sz w:val="18"/>
                <w:szCs w:val="18"/>
              </w:rPr>
              <w:t>précoces</w:t>
            </w:r>
            <w:proofErr w:type="spellEnd"/>
          </w:p>
        </w:tc>
        <w:tc>
          <w:tcPr>
            <w:tcW w:w="999" w:type="pct"/>
            <w:shd w:val="clear" w:color="auto" w:fill="auto"/>
          </w:tcPr>
          <w:p w14:paraId="7679A053" w14:textId="77777777" w:rsidR="00302BFE" w:rsidRPr="0075595E" w:rsidRDefault="00302BFE" w:rsidP="002C7A0F">
            <w:pPr>
              <w:spacing w:after="0"/>
              <w:rPr>
                <w:rFonts w:eastAsia="Times New Roman"/>
                <w:sz w:val="18"/>
                <w:szCs w:val="18"/>
              </w:rPr>
            </w:pPr>
            <w:r w:rsidRPr="0075595E">
              <w:rPr>
                <w:rFonts w:eastAsia="Times New Roman"/>
                <w:sz w:val="18"/>
                <w:szCs w:val="18"/>
              </w:rPr>
              <w:t>700 000</w:t>
            </w:r>
          </w:p>
        </w:tc>
        <w:tc>
          <w:tcPr>
            <w:tcW w:w="637" w:type="pct"/>
            <w:shd w:val="clear" w:color="auto" w:fill="auto"/>
            <w:noWrap/>
            <w:hideMark/>
          </w:tcPr>
          <w:p w14:paraId="33087AED" w14:textId="77777777" w:rsidR="00302BFE" w:rsidRPr="0075595E" w:rsidRDefault="00302BFE" w:rsidP="002C7A0F">
            <w:pPr>
              <w:spacing w:after="0"/>
              <w:rPr>
                <w:rFonts w:eastAsia="Times New Roman"/>
                <w:sz w:val="18"/>
                <w:szCs w:val="18"/>
              </w:rPr>
            </w:pPr>
            <w:r w:rsidRPr="0075595E">
              <w:rPr>
                <w:rFonts w:eastAsia="Times New Roman"/>
                <w:sz w:val="18"/>
                <w:szCs w:val="18"/>
              </w:rPr>
              <w:t>10</w:t>
            </w:r>
          </w:p>
        </w:tc>
      </w:tr>
      <w:tr w:rsidR="00302BFE" w:rsidRPr="00832C0A" w14:paraId="6AE3C42F" w14:textId="77777777" w:rsidTr="002C7A0F">
        <w:trPr>
          <w:trHeight w:val="283"/>
          <w:jc w:val="center"/>
        </w:trPr>
        <w:tc>
          <w:tcPr>
            <w:tcW w:w="545" w:type="pct"/>
            <w:vMerge/>
            <w:shd w:val="clear" w:color="auto" w:fill="auto"/>
            <w:vAlign w:val="center"/>
          </w:tcPr>
          <w:p w14:paraId="025EA678" w14:textId="77777777" w:rsidR="00302BFE" w:rsidRPr="0075595E" w:rsidRDefault="00302BFE" w:rsidP="002C7A0F">
            <w:pPr>
              <w:spacing w:after="0"/>
              <w:rPr>
                <w:rFonts w:eastAsia="Times New Roman"/>
                <w:sz w:val="18"/>
                <w:szCs w:val="18"/>
              </w:rPr>
            </w:pPr>
          </w:p>
        </w:tc>
        <w:tc>
          <w:tcPr>
            <w:tcW w:w="2819" w:type="pct"/>
            <w:shd w:val="clear" w:color="auto" w:fill="auto"/>
            <w:noWrap/>
            <w:hideMark/>
          </w:tcPr>
          <w:p w14:paraId="0424F548" w14:textId="77777777" w:rsidR="00302BFE" w:rsidRPr="0075595E" w:rsidRDefault="00302BFE" w:rsidP="002C7A0F">
            <w:pPr>
              <w:spacing w:after="0"/>
              <w:rPr>
                <w:rFonts w:eastAsia="Times New Roman"/>
                <w:b/>
                <w:sz w:val="18"/>
                <w:szCs w:val="18"/>
              </w:rPr>
            </w:pPr>
            <w:r w:rsidRPr="0075595E">
              <w:rPr>
                <w:rFonts w:eastAsia="Times New Roman"/>
                <w:b/>
                <w:sz w:val="18"/>
                <w:szCs w:val="18"/>
              </w:rPr>
              <w:t>Total</w:t>
            </w:r>
          </w:p>
        </w:tc>
        <w:tc>
          <w:tcPr>
            <w:tcW w:w="999" w:type="pct"/>
            <w:shd w:val="clear" w:color="auto" w:fill="auto"/>
          </w:tcPr>
          <w:p w14:paraId="18E27AAA" w14:textId="77777777" w:rsidR="00302BFE" w:rsidRPr="0075595E" w:rsidRDefault="00302BFE" w:rsidP="002C7A0F">
            <w:pPr>
              <w:spacing w:after="0"/>
              <w:rPr>
                <w:rFonts w:eastAsia="Times New Roman"/>
                <w:b/>
                <w:sz w:val="18"/>
                <w:szCs w:val="18"/>
              </w:rPr>
            </w:pPr>
            <w:r w:rsidRPr="0075595E">
              <w:rPr>
                <w:rFonts w:eastAsia="Times New Roman"/>
                <w:b/>
                <w:sz w:val="18"/>
                <w:szCs w:val="18"/>
              </w:rPr>
              <w:t>6 325 000</w:t>
            </w:r>
          </w:p>
        </w:tc>
        <w:tc>
          <w:tcPr>
            <w:tcW w:w="637" w:type="pct"/>
            <w:shd w:val="clear" w:color="auto" w:fill="auto"/>
            <w:noWrap/>
            <w:hideMark/>
          </w:tcPr>
          <w:p w14:paraId="43889C5F" w14:textId="77777777" w:rsidR="00302BFE" w:rsidRPr="0075595E" w:rsidRDefault="00302BFE" w:rsidP="002C7A0F">
            <w:pPr>
              <w:spacing w:after="0"/>
              <w:rPr>
                <w:rFonts w:eastAsia="Times New Roman"/>
                <w:b/>
                <w:sz w:val="18"/>
                <w:szCs w:val="18"/>
              </w:rPr>
            </w:pPr>
            <w:r w:rsidRPr="0075595E">
              <w:rPr>
                <w:rFonts w:eastAsia="Times New Roman"/>
                <w:b/>
                <w:sz w:val="18"/>
                <w:szCs w:val="18"/>
              </w:rPr>
              <w:t>185</w:t>
            </w:r>
          </w:p>
        </w:tc>
      </w:tr>
      <w:tr w:rsidR="00302BFE" w:rsidRPr="00832C0A" w14:paraId="7295F5D8" w14:textId="77777777" w:rsidTr="002C7A0F">
        <w:trPr>
          <w:trHeight w:val="283"/>
          <w:jc w:val="center"/>
        </w:trPr>
        <w:tc>
          <w:tcPr>
            <w:tcW w:w="545" w:type="pct"/>
            <w:vMerge w:val="restart"/>
            <w:shd w:val="clear" w:color="auto" w:fill="auto"/>
            <w:vAlign w:val="center"/>
          </w:tcPr>
          <w:p w14:paraId="3EEA3529" w14:textId="77777777" w:rsidR="00302BFE" w:rsidRPr="0075595E" w:rsidRDefault="00302BFE" w:rsidP="002C7A0F">
            <w:pPr>
              <w:spacing w:after="0"/>
              <w:rPr>
                <w:rFonts w:eastAsia="Times New Roman"/>
                <w:sz w:val="18"/>
                <w:szCs w:val="18"/>
              </w:rPr>
            </w:pPr>
            <w:r w:rsidRPr="0075595E">
              <w:rPr>
                <w:rFonts w:eastAsia="Times New Roman"/>
                <w:sz w:val="18"/>
                <w:szCs w:val="18"/>
              </w:rPr>
              <w:t>2011</w:t>
            </w:r>
          </w:p>
        </w:tc>
        <w:tc>
          <w:tcPr>
            <w:tcW w:w="2819" w:type="pct"/>
            <w:shd w:val="clear" w:color="auto" w:fill="auto"/>
            <w:noWrap/>
            <w:hideMark/>
          </w:tcPr>
          <w:p w14:paraId="3A0649ED" w14:textId="77777777" w:rsidR="00302BFE" w:rsidRPr="0075595E" w:rsidRDefault="00302BFE" w:rsidP="002C7A0F">
            <w:pPr>
              <w:spacing w:after="0"/>
              <w:rPr>
                <w:rFonts w:eastAsia="Times New Roman"/>
                <w:sz w:val="18"/>
                <w:szCs w:val="18"/>
              </w:rPr>
            </w:pPr>
            <w:proofErr w:type="spellStart"/>
            <w:r w:rsidRPr="0075595E">
              <w:rPr>
                <w:rFonts w:eastAsia="Times New Roman"/>
                <w:sz w:val="18"/>
                <w:szCs w:val="18"/>
              </w:rPr>
              <w:t>Ouverture</w:t>
            </w:r>
            <w:proofErr w:type="spellEnd"/>
            <w:r w:rsidRPr="0075595E">
              <w:rPr>
                <w:rFonts w:eastAsia="Times New Roman"/>
                <w:sz w:val="18"/>
                <w:szCs w:val="18"/>
              </w:rPr>
              <w:t xml:space="preserve"> </w:t>
            </w:r>
            <w:proofErr w:type="spellStart"/>
            <w:r w:rsidRPr="0075595E">
              <w:rPr>
                <w:rFonts w:eastAsia="Times New Roman"/>
                <w:sz w:val="18"/>
                <w:szCs w:val="18"/>
              </w:rPr>
              <w:t>manuelle</w:t>
            </w:r>
            <w:proofErr w:type="spellEnd"/>
            <w:r w:rsidRPr="0075595E">
              <w:rPr>
                <w:rFonts w:eastAsia="Times New Roman"/>
                <w:sz w:val="18"/>
                <w:szCs w:val="18"/>
              </w:rPr>
              <w:t xml:space="preserve"> des </w:t>
            </w:r>
            <w:proofErr w:type="spellStart"/>
            <w:r w:rsidRPr="0075595E">
              <w:rPr>
                <w:rFonts w:eastAsia="Times New Roman"/>
                <w:sz w:val="18"/>
                <w:szCs w:val="18"/>
              </w:rPr>
              <w:t>pistes</w:t>
            </w:r>
            <w:proofErr w:type="spellEnd"/>
          </w:p>
        </w:tc>
        <w:tc>
          <w:tcPr>
            <w:tcW w:w="999" w:type="pct"/>
            <w:shd w:val="clear" w:color="auto" w:fill="auto"/>
          </w:tcPr>
          <w:p w14:paraId="1E4ECF62" w14:textId="77777777" w:rsidR="00302BFE" w:rsidRPr="0075595E" w:rsidRDefault="00302BFE" w:rsidP="002C7A0F">
            <w:pPr>
              <w:spacing w:after="0"/>
              <w:rPr>
                <w:rFonts w:eastAsia="Times New Roman"/>
                <w:sz w:val="18"/>
                <w:szCs w:val="18"/>
              </w:rPr>
            </w:pPr>
            <w:r w:rsidRPr="0075595E">
              <w:rPr>
                <w:rFonts w:eastAsia="Times New Roman"/>
                <w:sz w:val="18"/>
                <w:szCs w:val="18"/>
              </w:rPr>
              <w:t>5 500 000</w:t>
            </w:r>
          </w:p>
        </w:tc>
        <w:tc>
          <w:tcPr>
            <w:tcW w:w="637" w:type="pct"/>
            <w:shd w:val="clear" w:color="auto" w:fill="auto"/>
            <w:noWrap/>
            <w:hideMark/>
          </w:tcPr>
          <w:p w14:paraId="5076A49D" w14:textId="77777777" w:rsidR="00302BFE" w:rsidRPr="0075595E" w:rsidRDefault="00302BFE" w:rsidP="002C7A0F">
            <w:pPr>
              <w:spacing w:after="0"/>
              <w:rPr>
                <w:rFonts w:eastAsia="Times New Roman"/>
                <w:sz w:val="18"/>
                <w:szCs w:val="18"/>
              </w:rPr>
            </w:pPr>
            <w:r w:rsidRPr="0075595E">
              <w:rPr>
                <w:rFonts w:eastAsia="Times New Roman"/>
                <w:sz w:val="18"/>
                <w:szCs w:val="18"/>
              </w:rPr>
              <w:t>100</w:t>
            </w:r>
          </w:p>
        </w:tc>
      </w:tr>
      <w:tr w:rsidR="00302BFE" w:rsidRPr="00832C0A" w14:paraId="01084843" w14:textId="77777777" w:rsidTr="002C7A0F">
        <w:trPr>
          <w:trHeight w:val="283"/>
          <w:jc w:val="center"/>
        </w:trPr>
        <w:tc>
          <w:tcPr>
            <w:tcW w:w="545" w:type="pct"/>
            <w:vMerge/>
            <w:shd w:val="clear" w:color="auto" w:fill="auto"/>
            <w:vAlign w:val="center"/>
          </w:tcPr>
          <w:p w14:paraId="7E05655D" w14:textId="77777777" w:rsidR="00302BFE" w:rsidRPr="0075595E" w:rsidRDefault="00302BFE" w:rsidP="002C7A0F">
            <w:pPr>
              <w:spacing w:after="0"/>
              <w:rPr>
                <w:rFonts w:eastAsia="Times New Roman"/>
                <w:sz w:val="18"/>
                <w:szCs w:val="18"/>
              </w:rPr>
            </w:pPr>
          </w:p>
        </w:tc>
        <w:tc>
          <w:tcPr>
            <w:tcW w:w="2819" w:type="pct"/>
            <w:shd w:val="clear" w:color="auto" w:fill="auto"/>
            <w:noWrap/>
            <w:hideMark/>
          </w:tcPr>
          <w:p w14:paraId="300E9167" w14:textId="77777777" w:rsidR="00302BFE" w:rsidRPr="0075595E" w:rsidRDefault="00302BFE" w:rsidP="002C7A0F">
            <w:pPr>
              <w:spacing w:after="0"/>
              <w:rPr>
                <w:rFonts w:eastAsia="Times New Roman"/>
                <w:sz w:val="18"/>
                <w:szCs w:val="18"/>
              </w:rPr>
            </w:pPr>
            <w:r w:rsidRPr="0075595E">
              <w:rPr>
                <w:rFonts w:eastAsia="Times New Roman"/>
                <w:sz w:val="18"/>
                <w:szCs w:val="18"/>
              </w:rPr>
              <w:t xml:space="preserve">Surveillance </w:t>
            </w:r>
            <w:proofErr w:type="spellStart"/>
            <w:r w:rsidRPr="0075595E">
              <w:rPr>
                <w:rFonts w:eastAsia="Times New Roman"/>
                <w:sz w:val="18"/>
                <w:szCs w:val="18"/>
              </w:rPr>
              <w:t>villageoise</w:t>
            </w:r>
            <w:proofErr w:type="spellEnd"/>
          </w:p>
        </w:tc>
        <w:tc>
          <w:tcPr>
            <w:tcW w:w="999" w:type="pct"/>
            <w:shd w:val="clear" w:color="auto" w:fill="auto"/>
          </w:tcPr>
          <w:p w14:paraId="39ECF68F" w14:textId="77777777" w:rsidR="00302BFE" w:rsidRPr="0075595E" w:rsidRDefault="00302BFE" w:rsidP="002C7A0F">
            <w:pPr>
              <w:spacing w:after="0"/>
              <w:rPr>
                <w:rFonts w:eastAsia="Times New Roman"/>
                <w:sz w:val="18"/>
                <w:szCs w:val="18"/>
              </w:rPr>
            </w:pPr>
            <w:r w:rsidRPr="0075595E">
              <w:rPr>
                <w:rFonts w:eastAsia="Times New Roman"/>
                <w:sz w:val="18"/>
                <w:szCs w:val="18"/>
              </w:rPr>
              <w:t>9 000 000</w:t>
            </w:r>
          </w:p>
        </w:tc>
        <w:tc>
          <w:tcPr>
            <w:tcW w:w="637" w:type="pct"/>
            <w:shd w:val="clear" w:color="auto" w:fill="auto"/>
            <w:noWrap/>
            <w:hideMark/>
          </w:tcPr>
          <w:p w14:paraId="52BB9321" w14:textId="77777777" w:rsidR="00302BFE" w:rsidRPr="0075595E" w:rsidRDefault="00302BFE" w:rsidP="002C7A0F">
            <w:pPr>
              <w:spacing w:after="0"/>
              <w:rPr>
                <w:rFonts w:eastAsia="Times New Roman"/>
                <w:sz w:val="18"/>
                <w:szCs w:val="18"/>
              </w:rPr>
            </w:pPr>
            <w:r w:rsidRPr="0075595E">
              <w:rPr>
                <w:rFonts w:eastAsia="Times New Roman"/>
                <w:sz w:val="18"/>
                <w:szCs w:val="18"/>
              </w:rPr>
              <w:t>300</w:t>
            </w:r>
          </w:p>
        </w:tc>
      </w:tr>
      <w:tr w:rsidR="00302BFE" w:rsidRPr="00832C0A" w14:paraId="01B59BA9" w14:textId="77777777" w:rsidTr="002C7A0F">
        <w:trPr>
          <w:trHeight w:val="283"/>
          <w:jc w:val="center"/>
        </w:trPr>
        <w:tc>
          <w:tcPr>
            <w:tcW w:w="545" w:type="pct"/>
            <w:vMerge/>
            <w:shd w:val="clear" w:color="auto" w:fill="auto"/>
            <w:vAlign w:val="center"/>
          </w:tcPr>
          <w:p w14:paraId="35C8DBB4" w14:textId="77777777" w:rsidR="00302BFE" w:rsidRPr="0075595E" w:rsidRDefault="00302BFE" w:rsidP="002C7A0F">
            <w:pPr>
              <w:spacing w:after="0"/>
              <w:rPr>
                <w:rFonts w:eastAsia="Times New Roman"/>
                <w:sz w:val="18"/>
                <w:szCs w:val="18"/>
              </w:rPr>
            </w:pPr>
          </w:p>
        </w:tc>
        <w:tc>
          <w:tcPr>
            <w:tcW w:w="2819" w:type="pct"/>
            <w:shd w:val="clear" w:color="auto" w:fill="auto"/>
            <w:noWrap/>
            <w:hideMark/>
          </w:tcPr>
          <w:p w14:paraId="75A1460E" w14:textId="77777777" w:rsidR="00302BFE" w:rsidRPr="0075595E" w:rsidRDefault="00302BFE" w:rsidP="002C7A0F">
            <w:pPr>
              <w:spacing w:after="0"/>
              <w:rPr>
                <w:rFonts w:eastAsia="Times New Roman"/>
                <w:sz w:val="18"/>
                <w:szCs w:val="18"/>
              </w:rPr>
            </w:pPr>
            <w:r w:rsidRPr="0075595E">
              <w:rPr>
                <w:rFonts w:eastAsia="Times New Roman"/>
                <w:sz w:val="18"/>
                <w:szCs w:val="18"/>
              </w:rPr>
              <w:t xml:space="preserve">Application de </w:t>
            </w:r>
            <w:proofErr w:type="spellStart"/>
            <w:r w:rsidRPr="0075595E">
              <w:rPr>
                <w:rFonts w:eastAsia="Times New Roman"/>
                <w:sz w:val="18"/>
                <w:szCs w:val="18"/>
              </w:rPr>
              <w:t>feux</w:t>
            </w:r>
            <w:proofErr w:type="spellEnd"/>
            <w:r w:rsidRPr="0075595E">
              <w:rPr>
                <w:rFonts w:eastAsia="Times New Roman"/>
                <w:sz w:val="18"/>
                <w:szCs w:val="18"/>
              </w:rPr>
              <w:t xml:space="preserve"> </w:t>
            </w:r>
            <w:proofErr w:type="spellStart"/>
            <w:r w:rsidRPr="0075595E">
              <w:rPr>
                <w:rFonts w:eastAsia="Times New Roman"/>
                <w:sz w:val="18"/>
                <w:szCs w:val="18"/>
              </w:rPr>
              <w:t>précoces</w:t>
            </w:r>
            <w:proofErr w:type="spellEnd"/>
          </w:p>
        </w:tc>
        <w:tc>
          <w:tcPr>
            <w:tcW w:w="999" w:type="pct"/>
            <w:shd w:val="clear" w:color="auto" w:fill="auto"/>
          </w:tcPr>
          <w:p w14:paraId="47097F32" w14:textId="77777777" w:rsidR="00302BFE" w:rsidRPr="0075595E" w:rsidRDefault="00302BFE" w:rsidP="002C7A0F">
            <w:pPr>
              <w:spacing w:after="0"/>
              <w:rPr>
                <w:rFonts w:eastAsia="Times New Roman"/>
                <w:sz w:val="18"/>
                <w:szCs w:val="18"/>
              </w:rPr>
            </w:pPr>
            <w:r w:rsidRPr="0075595E">
              <w:rPr>
                <w:rFonts w:eastAsia="Times New Roman"/>
                <w:sz w:val="18"/>
                <w:szCs w:val="18"/>
              </w:rPr>
              <w:t>2 100 000</w:t>
            </w:r>
          </w:p>
        </w:tc>
        <w:tc>
          <w:tcPr>
            <w:tcW w:w="637" w:type="pct"/>
            <w:shd w:val="clear" w:color="auto" w:fill="auto"/>
            <w:noWrap/>
            <w:hideMark/>
          </w:tcPr>
          <w:p w14:paraId="52618199" w14:textId="77777777" w:rsidR="00302BFE" w:rsidRPr="0075595E" w:rsidRDefault="00302BFE" w:rsidP="002C7A0F">
            <w:pPr>
              <w:spacing w:after="0"/>
              <w:rPr>
                <w:rFonts w:eastAsia="Times New Roman"/>
                <w:sz w:val="18"/>
                <w:szCs w:val="18"/>
              </w:rPr>
            </w:pPr>
            <w:r w:rsidRPr="0075595E">
              <w:rPr>
                <w:rFonts w:eastAsia="Times New Roman"/>
                <w:sz w:val="18"/>
                <w:szCs w:val="18"/>
              </w:rPr>
              <w:t>50</w:t>
            </w:r>
          </w:p>
        </w:tc>
      </w:tr>
      <w:tr w:rsidR="00302BFE" w:rsidRPr="00832C0A" w14:paraId="2C60E55F" w14:textId="77777777" w:rsidTr="002C7A0F">
        <w:trPr>
          <w:trHeight w:val="283"/>
          <w:jc w:val="center"/>
        </w:trPr>
        <w:tc>
          <w:tcPr>
            <w:tcW w:w="545" w:type="pct"/>
            <w:vMerge/>
            <w:shd w:val="clear" w:color="auto" w:fill="auto"/>
            <w:vAlign w:val="center"/>
          </w:tcPr>
          <w:p w14:paraId="2F21440A" w14:textId="77777777" w:rsidR="00302BFE" w:rsidRPr="0075595E" w:rsidRDefault="00302BFE" w:rsidP="002C7A0F">
            <w:pPr>
              <w:spacing w:after="0"/>
              <w:rPr>
                <w:rFonts w:eastAsia="Times New Roman"/>
                <w:sz w:val="18"/>
                <w:szCs w:val="18"/>
              </w:rPr>
            </w:pPr>
          </w:p>
        </w:tc>
        <w:tc>
          <w:tcPr>
            <w:tcW w:w="2819" w:type="pct"/>
            <w:shd w:val="clear" w:color="auto" w:fill="auto"/>
            <w:noWrap/>
            <w:hideMark/>
          </w:tcPr>
          <w:p w14:paraId="2A3BFC78" w14:textId="77777777" w:rsidR="00302BFE" w:rsidRPr="0075595E" w:rsidRDefault="00302BFE" w:rsidP="002C7A0F">
            <w:pPr>
              <w:spacing w:after="0"/>
              <w:rPr>
                <w:rFonts w:eastAsia="Times New Roman"/>
                <w:b/>
                <w:sz w:val="18"/>
                <w:szCs w:val="18"/>
              </w:rPr>
            </w:pPr>
            <w:r w:rsidRPr="0075595E">
              <w:rPr>
                <w:rFonts w:eastAsia="Times New Roman"/>
                <w:b/>
                <w:sz w:val="18"/>
                <w:szCs w:val="18"/>
              </w:rPr>
              <w:t>Total</w:t>
            </w:r>
          </w:p>
        </w:tc>
        <w:tc>
          <w:tcPr>
            <w:tcW w:w="999" w:type="pct"/>
            <w:shd w:val="clear" w:color="auto" w:fill="auto"/>
          </w:tcPr>
          <w:p w14:paraId="5A5140FD" w14:textId="77777777" w:rsidR="00302BFE" w:rsidRPr="0075595E" w:rsidRDefault="00302BFE" w:rsidP="002C7A0F">
            <w:pPr>
              <w:spacing w:after="0"/>
              <w:rPr>
                <w:rFonts w:eastAsia="Times New Roman"/>
                <w:b/>
                <w:sz w:val="18"/>
                <w:szCs w:val="18"/>
              </w:rPr>
            </w:pPr>
            <w:r w:rsidRPr="0075595E">
              <w:rPr>
                <w:rFonts w:eastAsia="Times New Roman"/>
                <w:b/>
                <w:sz w:val="18"/>
                <w:szCs w:val="18"/>
              </w:rPr>
              <w:t>16 600 000</w:t>
            </w:r>
          </w:p>
        </w:tc>
        <w:tc>
          <w:tcPr>
            <w:tcW w:w="637" w:type="pct"/>
            <w:shd w:val="clear" w:color="auto" w:fill="auto"/>
            <w:noWrap/>
            <w:hideMark/>
          </w:tcPr>
          <w:p w14:paraId="7A3708FE" w14:textId="77777777" w:rsidR="00302BFE" w:rsidRPr="0075595E" w:rsidRDefault="00302BFE" w:rsidP="002C7A0F">
            <w:pPr>
              <w:spacing w:after="0"/>
              <w:rPr>
                <w:rFonts w:eastAsia="Times New Roman"/>
                <w:b/>
                <w:sz w:val="18"/>
                <w:szCs w:val="18"/>
              </w:rPr>
            </w:pPr>
            <w:r w:rsidRPr="0075595E">
              <w:rPr>
                <w:rFonts w:eastAsia="Times New Roman"/>
                <w:b/>
                <w:sz w:val="18"/>
                <w:szCs w:val="18"/>
              </w:rPr>
              <w:t>450</w:t>
            </w:r>
          </w:p>
        </w:tc>
      </w:tr>
      <w:tr w:rsidR="00302BFE" w:rsidRPr="00832C0A" w14:paraId="68AAF0CE" w14:textId="77777777" w:rsidTr="002C7A0F">
        <w:trPr>
          <w:trHeight w:val="283"/>
          <w:jc w:val="center"/>
        </w:trPr>
        <w:tc>
          <w:tcPr>
            <w:tcW w:w="545" w:type="pct"/>
            <w:vMerge w:val="restart"/>
            <w:shd w:val="clear" w:color="auto" w:fill="auto"/>
            <w:vAlign w:val="center"/>
          </w:tcPr>
          <w:p w14:paraId="1C4C32F9" w14:textId="77777777" w:rsidR="00302BFE" w:rsidRPr="0075595E" w:rsidRDefault="00302BFE" w:rsidP="002C7A0F">
            <w:pPr>
              <w:spacing w:after="0"/>
              <w:rPr>
                <w:rFonts w:eastAsia="Times New Roman"/>
                <w:sz w:val="18"/>
                <w:szCs w:val="18"/>
              </w:rPr>
            </w:pPr>
            <w:r w:rsidRPr="0075595E">
              <w:rPr>
                <w:rFonts w:eastAsia="Times New Roman"/>
                <w:sz w:val="18"/>
                <w:szCs w:val="18"/>
              </w:rPr>
              <w:t>2012</w:t>
            </w:r>
          </w:p>
        </w:tc>
        <w:tc>
          <w:tcPr>
            <w:tcW w:w="2819" w:type="pct"/>
            <w:shd w:val="clear" w:color="auto" w:fill="auto"/>
            <w:noWrap/>
            <w:hideMark/>
          </w:tcPr>
          <w:p w14:paraId="324C3C8C" w14:textId="77777777" w:rsidR="00302BFE" w:rsidRPr="0075595E" w:rsidRDefault="00302BFE" w:rsidP="002C7A0F">
            <w:pPr>
              <w:spacing w:after="0"/>
              <w:rPr>
                <w:rFonts w:eastAsia="Times New Roman"/>
                <w:sz w:val="18"/>
                <w:szCs w:val="18"/>
              </w:rPr>
            </w:pPr>
            <w:r w:rsidRPr="0075595E">
              <w:rPr>
                <w:rFonts w:eastAsia="Times New Roman"/>
                <w:sz w:val="18"/>
                <w:szCs w:val="18"/>
              </w:rPr>
              <w:t xml:space="preserve">Formation en </w:t>
            </w:r>
            <w:proofErr w:type="spellStart"/>
            <w:r w:rsidRPr="0075595E">
              <w:rPr>
                <w:rFonts w:eastAsia="Times New Roman"/>
                <w:sz w:val="18"/>
                <w:szCs w:val="18"/>
              </w:rPr>
              <w:t>suivi</w:t>
            </w:r>
            <w:proofErr w:type="spellEnd"/>
            <w:r w:rsidRPr="0075595E">
              <w:rPr>
                <w:rFonts w:eastAsia="Times New Roman"/>
                <w:sz w:val="18"/>
                <w:szCs w:val="18"/>
              </w:rPr>
              <w:t xml:space="preserve"> </w:t>
            </w:r>
            <w:proofErr w:type="spellStart"/>
            <w:r w:rsidRPr="0075595E">
              <w:rPr>
                <w:rFonts w:eastAsia="Times New Roman"/>
                <w:sz w:val="18"/>
                <w:szCs w:val="18"/>
              </w:rPr>
              <w:t>écologique</w:t>
            </w:r>
            <w:proofErr w:type="spellEnd"/>
          </w:p>
        </w:tc>
        <w:tc>
          <w:tcPr>
            <w:tcW w:w="999" w:type="pct"/>
            <w:shd w:val="clear" w:color="auto" w:fill="auto"/>
          </w:tcPr>
          <w:p w14:paraId="31BB8247" w14:textId="77777777" w:rsidR="00302BFE" w:rsidRPr="0075595E" w:rsidRDefault="00302BFE" w:rsidP="002C7A0F">
            <w:pPr>
              <w:spacing w:after="0"/>
              <w:rPr>
                <w:rFonts w:eastAsia="Times New Roman"/>
                <w:sz w:val="18"/>
                <w:szCs w:val="18"/>
              </w:rPr>
            </w:pPr>
            <w:r w:rsidRPr="0075595E">
              <w:rPr>
                <w:rFonts w:eastAsia="Times New Roman"/>
                <w:sz w:val="18"/>
                <w:szCs w:val="18"/>
              </w:rPr>
              <w:t>800 000</w:t>
            </w:r>
          </w:p>
        </w:tc>
        <w:tc>
          <w:tcPr>
            <w:tcW w:w="637" w:type="pct"/>
            <w:shd w:val="clear" w:color="auto" w:fill="auto"/>
            <w:noWrap/>
            <w:hideMark/>
          </w:tcPr>
          <w:p w14:paraId="0181B936" w14:textId="77777777" w:rsidR="00302BFE" w:rsidRPr="0075595E" w:rsidRDefault="00302BFE" w:rsidP="002C7A0F">
            <w:pPr>
              <w:spacing w:after="0"/>
              <w:rPr>
                <w:rFonts w:eastAsia="Times New Roman"/>
                <w:sz w:val="18"/>
                <w:szCs w:val="18"/>
              </w:rPr>
            </w:pPr>
            <w:r w:rsidRPr="0075595E">
              <w:rPr>
                <w:rFonts w:eastAsia="Times New Roman"/>
                <w:sz w:val="18"/>
                <w:szCs w:val="18"/>
              </w:rPr>
              <w:t>20</w:t>
            </w:r>
          </w:p>
        </w:tc>
      </w:tr>
      <w:tr w:rsidR="00302BFE" w:rsidRPr="00832C0A" w14:paraId="48E8D549" w14:textId="77777777" w:rsidTr="002C7A0F">
        <w:trPr>
          <w:trHeight w:val="283"/>
          <w:jc w:val="center"/>
        </w:trPr>
        <w:tc>
          <w:tcPr>
            <w:tcW w:w="545" w:type="pct"/>
            <w:vMerge/>
            <w:shd w:val="clear" w:color="auto" w:fill="auto"/>
          </w:tcPr>
          <w:p w14:paraId="00E504C7" w14:textId="77777777" w:rsidR="00302BFE" w:rsidRPr="0075595E" w:rsidRDefault="00302BFE" w:rsidP="002C7A0F">
            <w:pPr>
              <w:spacing w:after="0"/>
              <w:rPr>
                <w:rFonts w:eastAsia="Times New Roman"/>
                <w:sz w:val="18"/>
                <w:szCs w:val="18"/>
              </w:rPr>
            </w:pPr>
          </w:p>
        </w:tc>
        <w:tc>
          <w:tcPr>
            <w:tcW w:w="2819" w:type="pct"/>
            <w:shd w:val="clear" w:color="auto" w:fill="auto"/>
            <w:noWrap/>
            <w:hideMark/>
          </w:tcPr>
          <w:p w14:paraId="6CF5017C" w14:textId="77777777" w:rsidR="00302BFE" w:rsidRPr="0075595E" w:rsidRDefault="00302BFE" w:rsidP="002C7A0F">
            <w:pPr>
              <w:spacing w:after="0"/>
              <w:rPr>
                <w:rFonts w:eastAsia="Times New Roman"/>
                <w:sz w:val="18"/>
                <w:szCs w:val="18"/>
                <w:lang w:val="fr-CA"/>
              </w:rPr>
            </w:pPr>
            <w:r w:rsidRPr="0075595E">
              <w:rPr>
                <w:rFonts w:eastAsia="Times New Roman"/>
                <w:sz w:val="18"/>
                <w:szCs w:val="18"/>
                <w:lang w:val="fr-CA"/>
              </w:rPr>
              <w:t>Formation en techniques de refoulement des éléphants</w:t>
            </w:r>
          </w:p>
        </w:tc>
        <w:tc>
          <w:tcPr>
            <w:tcW w:w="999" w:type="pct"/>
            <w:shd w:val="clear" w:color="auto" w:fill="auto"/>
          </w:tcPr>
          <w:p w14:paraId="0E46DEEC" w14:textId="77777777" w:rsidR="00302BFE" w:rsidRPr="0075595E" w:rsidRDefault="00302BFE" w:rsidP="002C7A0F">
            <w:pPr>
              <w:spacing w:after="0"/>
              <w:rPr>
                <w:rFonts w:eastAsia="Times New Roman"/>
                <w:sz w:val="18"/>
                <w:szCs w:val="18"/>
              </w:rPr>
            </w:pPr>
            <w:r w:rsidRPr="0075595E">
              <w:rPr>
                <w:rFonts w:eastAsia="Times New Roman"/>
                <w:sz w:val="18"/>
                <w:szCs w:val="18"/>
              </w:rPr>
              <w:t>1 340 000</w:t>
            </w:r>
          </w:p>
        </w:tc>
        <w:tc>
          <w:tcPr>
            <w:tcW w:w="637" w:type="pct"/>
            <w:shd w:val="clear" w:color="auto" w:fill="auto"/>
            <w:noWrap/>
            <w:hideMark/>
          </w:tcPr>
          <w:p w14:paraId="4FE2BFE7" w14:textId="77777777" w:rsidR="00302BFE" w:rsidRPr="0075595E" w:rsidRDefault="00302BFE" w:rsidP="002C7A0F">
            <w:pPr>
              <w:spacing w:after="0"/>
              <w:rPr>
                <w:rFonts w:eastAsia="Times New Roman"/>
                <w:sz w:val="18"/>
                <w:szCs w:val="18"/>
              </w:rPr>
            </w:pPr>
            <w:r w:rsidRPr="0075595E">
              <w:rPr>
                <w:rFonts w:eastAsia="Times New Roman"/>
                <w:sz w:val="18"/>
                <w:szCs w:val="18"/>
              </w:rPr>
              <w:t>40</w:t>
            </w:r>
          </w:p>
        </w:tc>
      </w:tr>
      <w:tr w:rsidR="00302BFE" w:rsidRPr="00832C0A" w14:paraId="2A47DE70" w14:textId="77777777" w:rsidTr="002C7A0F">
        <w:trPr>
          <w:trHeight w:val="283"/>
          <w:jc w:val="center"/>
        </w:trPr>
        <w:tc>
          <w:tcPr>
            <w:tcW w:w="545" w:type="pct"/>
            <w:vMerge/>
            <w:shd w:val="clear" w:color="auto" w:fill="auto"/>
          </w:tcPr>
          <w:p w14:paraId="274B3F97" w14:textId="77777777" w:rsidR="00302BFE" w:rsidRPr="0075595E" w:rsidRDefault="00302BFE" w:rsidP="002C7A0F">
            <w:pPr>
              <w:spacing w:after="0"/>
              <w:rPr>
                <w:rFonts w:eastAsia="Times New Roman"/>
                <w:sz w:val="18"/>
                <w:szCs w:val="18"/>
              </w:rPr>
            </w:pPr>
          </w:p>
        </w:tc>
        <w:tc>
          <w:tcPr>
            <w:tcW w:w="2819" w:type="pct"/>
            <w:shd w:val="clear" w:color="auto" w:fill="auto"/>
            <w:noWrap/>
            <w:hideMark/>
          </w:tcPr>
          <w:p w14:paraId="0CD3572E" w14:textId="77777777" w:rsidR="00302BFE" w:rsidRPr="0075595E" w:rsidRDefault="00302BFE" w:rsidP="002C7A0F">
            <w:pPr>
              <w:spacing w:after="0"/>
              <w:rPr>
                <w:rFonts w:eastAsia="Times New Roman"/>
                <w:sz w:val="18"/>
                <w:szCs w:val="18"/>
                <w:lang w:val="fr-CA"/>
              </w:rPr>
            </w:pPr>
            <w:r w:rsidRPr="0075595E">
              <w:rPr>
                <w:rFonts w:eastAsia="Times New Roman"/>
                <w:sz w:val="18"/>
                <w:szCs w:val="18"/>
                <w:lang w:val="fr-CA"/>
              </w:rPr>
              <w:t>Formation en gestion des feux</w:t>
            </w:r>
          </w:p>
        </w:tc>
        <w:tc>
          <w:tcPr>
            <w:tcW w:w="999" w:type="pct"/>
            <w:shd w:val="clear" w:color="auto" w:fill="auto"/>
          </w:tcPr>
          <w:p w14:paraId="22C43297" w14:textId="77777777" w:rsidR="00302BFE" w:rsidRPr="0075595E" w:rsidRDefault="00302BFE" w:rsidP="002C7A0F">
            <w:pPr>
              <w:spacing w:after="0"/>
              <w:rPr>
                <w:rFonts w:eastAsia="Times New Roman"/>
                <w:sz w:val="18"/>
                <w:szCs w:val="18"/>
              </w:rPr>
            </w:pPr>
            <w:r w:rsidRPr="0075595E">
              <w:rPr>
                <w:rFonts w:eastAsia="Times New Roman"/>
                <w:sz w:val="18"/>
                <w:szCs w:val="18"/>
              </w:rPr>
              <w:t>520 000</w:t>
            </w:r>
          </w:p>
        </w:tc>
        <w:tc>
          <w:tcPr>
            <w:tcW w:w="637" w:type="pct"/>
            <w:shd w:val="clear" w:color="auto" w:fill="auto"/>
            <w:noWrap/>
            <w:hideMark/>
          </w:tcPr>
          <w:p w14:paraId="5BD58B24" w14:textId="77777777" w:rsidR="00302BFE" w:rsidRPr="0075595E" w:rsidRDefault="00302BFE" w:rsidP="002C7A0F">
            <w:pPr>
              <w:spacing w:after="0"/>
              <w:rPr>
                <w:rFonts w:eastAsia="Times New Roman"/>
                <w:sz w:val="18"/>
                <w:szCs w:val="18"/>
              </w:rPr>
            </w:pPr>
            <w:r w:rsidRPr="0075595E">
              <w:rPr>
                <w:rFonts w:eastAsia="Times New Roman"/>
                <w:sz w:val="18"/>
                <w:szCs w:val="18"/>
              </w:rPr>
              <w:t>20</w:t>
            </w:r>
          </w:p>
        </w:tc>
      </w:tr>
      <w:tr w:rsidR="00302BFE" w:rsidRPr="00832C0A" w14:paraId="2F56C8F6" w14:textId="77777777" w:rsidTr="002C7A0F">
        <w:trPr>
          <w:trHeight w:val="283"/>
          <w:jc w:val="center"/>
        </w:trPr>
        <w:tc>
          <w:tcPr>
            <w:tcW w:w="545" w:type="pct"/>
            <w:vMerge/>
            <w:shd w:val="clear" w:color="auto" w:fill="auto"/>
          </w:tcPr>
          <w:p w14:paraId="222D39EB" w14:textId="77777777" w:rsidR="00302BFE" w:rsidRPr="0075595E" w:rsidRDefault="00302BFE" w:rsidP="002C7A0F">
            <w:pPr>
              <w:spacing w:after="0"/>
              <w:rPr>
                <w:rFonts w:eastAsia="Times New Roman"/>
                <w:sz w:val="18"/>
                <w:szCs w:val="18"/>
              </w:rPr>
            </w:pPr>
          </w:p>
        </w:tc>
        <w:tc>
          <w:tcPr>
            <w:tcW w:w="2819" w:type="pct"/>
            <w:shd w:val="clear" w:color="auto" w:fill="auto"/>
            <w:noWrap/>
            <w:hideMark/>
          </w:tcPr>
          <w:p w14:paraId="3C13ADEF" w14:textId="77777777" w:rsidR="00302BFE" w:rsidRPr="0075595E" w:rsidRDefault="00302BFE" w:rsidP="002C7A0F">
            <w:pPr>
              <w:spacing w:after="0"/>
              <w:rPr>
                <w:rFonts w:eastAsia="Times New Roman"/>
                <w:sz w:val="18"/>
                <w:szCs w:val="18"/>
              </w:rPr>
            </w:pPr>
            <w:proofErr w:type="spellStart"/>
            <w:r w:rsidRPr="0075595E">
              <w:rPr>
                <w:rFonts w:eastAsia="Times New Roman"/>
                <w:sz w:val="18"/>
                <w:szCs w:val="18"/>
              </w:rPr>
              <w:t>Aménagement</w:t>
            </w:r>
            <w:proofErr w:type="spellEnd"/>
            <w:r w:rsidRPr="0075595E">
              <w:rPr>
                <w:rFonts w:eastAsia="Times New Roman"/>
                <w:sz w:val="18"/>
                <w:szCs w:val="18"/>
              </w:rPr>
              <w:t xml:space="preserve"> des </w:t>
            </w:r>
            <w:proofErr w:type="spellStart"/>
            <w:r w:rsidRPr="0075595E">
              <w:rPr>
                <w:rFonts w:eastAsia="Times New Roman"/>
                <w:sz w:val="18"/>
                <w:szCs w:val="18"/>
              </w:rPr>
              <w:t>salines</w:t>
            </w:r>
            <w:proofErr w:type="spellEnd"/>
          </w:p>
        </w:tc>
        <w:tc>
          <w:tcPr>
            <w:tcW w:w="999" w:type="pct"/>
            <w:shd w:val="clear" w:color="auto" w:fill="auto"/>
          </w:tcPr>
          <w:p w14:paraId="5A048130" w14:textId="77777777" w:rsidR="00302BFE" w:rsidRPr="0075595E" w:rsidRDefault="00302BFE" w:rsidP="002C7A0F">
            <w:pPr>
              <w:spacing w:after="0"/>
              <w:rPr>
                <w:rFonts w:eastAsia="Times New Roman"/>
                <w:sz w:val="18"/>
                <w:szCs w:val="18"/>
              </w:rPr>
            </w:pPr>
            <w:r w:rsidRPr="0075595E">
              <w:rPr>
                <w:rFonts w:eastAsia="Times New Roman"/>
                <w:sz w:val="18"/>
                <w:szCs w:val="18"/>
              </w:rPr>
              <w:t>150 000</w:t>
            </w:r>
          </w:p>
        </w:tc>
        <w:tc>
          <w:tcPr>
            <w:tcW w:w="637" w:type="pct"/>
            <w:shd w:val="clear" w:color="auto" w:fill="auto"/>
            <w:noWrap/>
            <w:hideMark/>
          </w:tcPr>
          <w:p w14:paraId="79DD06B2" w14:textId="77777777" w:rsidR="00302BFE" w:rsidRPr="0075595E" w:rsidRDefault="00302BFE" w:rsidP="002C7A0F">
            <w:pPr>
              <w:spacing w:after="0"/>
              <w:rPr>
                <w:rFonts w:eastAsia="Times New Roman"/>
                <w:sz w:val="18"/>
                <w:szCs w:val="18"/>
              </w:rPr>
            </w:pPr>
            <w:r w:rsidRPr="0075595E">
              <w:rPr>
                <w:rFonts w:eastAsia="Times New Roman"/>
                <w:sz w:val="18"/>
                <w:szCs w:val="18"/>
              </w:rPr>
              <w:t>6</w:t>
            </w:r>
          </w:p>
        </w:tc>
      </w:tr>
      <w:tr w:rsidR="00302BFE" w:rsidRPr="00832C0A" w14:paraId="02EB25E5" w14:textId="77777777" w:rsidTr="002C7A0F">
        <w:trPr>
          <w:trHeight w:val="283"/>
          <w:jc w:val="center"/>
        </w:trPr>
        <w:tc>
          <w:tcPr>
            <w:tcW w:w="545" w:type="pct"/>
            <w:vMerge/>
            <w:shd w:val="clear" w:color="auto" w:fill="auto"/>
          </w:tcPr>
          <w:p w14:paraId="2F68473B" w14:textId="77777777" w:rsidR="00302BFE" w:rsidRPr="0075595E" w:rsidRDefault="00302BFE" w:rsidP="002C7A0F">
            <w:pPr>
              <w:spacing w:after="0"/>
              <w:rPr>
                <w:rFonts w:eastAsia="Times New Roman"/>
                <w:sz w:val="18"/>
                <w:szCs w:val="18"/>
              </w:rPr>
            </w:pPr>
          </w:p>
        </w:tc>
        <w:tc>
          <w:tcPr>
            <w:tcW w:w="2819" w:type="pct"/>
            <w:shd w:val="clear" w:color="auto" w:fill="auto"/>
            <w:noWrap/>
            <w:hideMark/>
          </w:tcPr>
          <w:p w14:paraId="4E816F4F" w14:textId="77777777" w:rsidR="00302BFE" w:rsidRPr="0075595E" w:rsidRDefault="00302BFE" w:rsidP="002C7A0F">
            <w:pPr>
              <w:spacing w:after="0"/>
              <w:rPr>
                <w:rFonts w:eastAsia="Times New Roman"/>
                <w:sz w:val="18"/>
                <w:szCs w:val="18"/>
              </w:rPr>
            </w:pPr>
            <w:proofErr w:type="spellStart"/>
            <w:r w:rsidRPr="0075595E">
              <w:rPr>
                <w:rFonts w:eastAsia="Times New Roman"/>
                <w:sz w:val="18"/>
                <w:szCs w:val="18"/>
              </w:rPr>
              <w:t>Aménagement</w:t>
            </w:r>
            <w:proofErr w:type="spellEnd"/>
            <w:r w:rsidRPr="0075595E">
              <w:rPr>
                <w:rFonts w:eastAsia="Times New Roman"/>
                <w:sz w:val="18"/>
                <w:szCs w:val="18"/>
              </w:rPr>
              <w:t xml:space="preserve"> des passages </w:t>
            </w:r>
            <w:proofErr w:type="spellStart"/>
            <w:r w:rsidRPr="0075595E">
              <w:rPr>
                <w:rFonts w:eastAsia="Times New Roman"/>
                <w:sz w:val="18"/>
                <w:szCs w:val="18"/>
              </w:rPr>
              <w:t>difficiles</w:t>
            </w:r>
            <w:proofErr w:type="spellEnd"/>
          </w:p>
        </w:tc>
        <w:tc>
          <w:tcPr>
            <w:tcW w:w="999" w:type="pct"/>
            <w:shd w:val="clear" w:color="auto" w:fill="auto"/>
          </w:tcPr>
          <w:p w14:paraId="56981179" w14:textId="77777777" w:rsidR="00302BFE" w:rsidRPr="0075595E" w:rsidRDefault="00302BFE" w:rsidP="002C7A0F">
            <w:pPr>
              <w:spacing w:after="0"/>
              <w:rPr>
                <w:rFonts w:eastAsia="Times New Roman"/>
                <w:sz w:val="18"/>
                <w:szCs w:val="18"/>
              </w:rPr>
            </w:pPr>
            <w:r w:rsidRPr="0075595E">
              <w:rPr>
                <w:rFonts w:eastAsia="Times New Roman"/>
                <w:sz w:val="18"/>
                <w:szCs w:val="18"/>
              </w:rPr>
              <w:t>3 000 000</w:t>
            </w:r>
          </w:p>
        </w:tc>
        <w:tc>
          <w:tcPr>
            <w:tcW w:w="637" w:type="pct"/>
            <w:shd w:val="clear" w:color="auto" w:fill="auto"/>
            <w:noWrap/>
            <w:hideMark/>
          </w:tcPr>
          <w:p w14:paraId="22E33EC1" w14:textId="77777777" w:rsidR="00302BFE" w:rsidRPr="0075595E" w:rsidRDefault="00302BFE" w:rsidP="002C7A0F">
            <w:pPr>
              <w:spacing w:after="0"/>
              <w:rPr>
                <w:rFonts w:eastAsia="Times New Roman"/>
                <w:sz w:val="18"/>
                <w:szCs w:val="18"/>
              </w:rPr>
            </w:pPr>
            <w:r w:rsidRPr="0075595E">
              <w:rPr>
                <w:rFonts w:eastAsia="Times New Roman"/>
                <w:sz w:val="18"/>
                <w:szCs w:val="18"/>
              </w:rPr>
              <w:t>100</w:t>
            </w:r>
          </w:p>
        </w:tc>
      </w:tr>
      <w:tr w:rsidR="00302BFE" w:rsidRPr="00832C0A" w14:paraId="04578DBB" w14:textId="77777777" w:rsidTr="002C7A0F">
        <w:trPr>
          <w:trHeight w:val="283"/>
          <w:jc w:val="center"/>
        </w:trPr>
        <w:tc>
          <w:tcPr>
            <w:tcW w:w="545" w:type="pct"/>
            <w:vMerge/>
            <w:shd w:val="clear" w:color="auto" w:fill="auto"/>
          </w:tcPr>
          <w:p w14:paraId="12196303" w14:textId="77777777" w:rsidR="00302BFE" w:rsidRPr="0075595E" w:rsidRDefault="00302BFE" w:rsidP="002C7A0F">
            <w:pPr>
              <w:spacing w:after="0"/>
              <w:rPr>
                <w:rFonts w:eastAsia="Times New Roman"/>
                <w:sz w:val="18"/>
                <w:szCs w:val="18"/>
              </w:rPr>
            </w:pPr>
          </w:p>
        </w:tc>
        <w:tc>
          <w:tcPr>
            <w:tcW w:w="2819" w:type="pct"/>
            <w:shd w:val="clear" w:color="auto" w:fill="auto"/>
            <w:noWrap/>
            <w:hideMark/>
          </w:tcPr>
          <w:p w14:paraId="72F832FF" w14:textId="77777777" w:rsidR="00302BFE" w:rsidRPr="0075595E" w:rsidRDefault="00302BFE" w:rsidP="002C7A0F">
            <w:pPr>
              <w:spacing w:after="0"/>
              <w:rPr>
                <w:rFonts w:eastAsia="Times New Roman"/>
                <w:sz w:val="18"/>
                <w:szCs w:val="18"/>
              </w:rPr>
            </w:pPr>
            <w:proofErr w:type="spellStart"/>
            <w:r w:rsidRPr="0075595E">
              <w:rPr>
                <w:rFonts w:eastAsia="Times New Roman"/>
                <w:sz w:val="18"/>
                <w:szCs w:val="18"/>
              </w:rPr>
              <w:t>Ouverture</w:t>
            </w:r>
            <w:proofErr w:type="spellEnd"/>
            <w:r w:rsidRPr="0075595E">
              <w:rPr>
                <w:rFonts w:eastAsia="Times New Roman"/>
                <w:sz w:val="18"/>
                <w:szCs w:val="18"/>
              </w:rPr>
              <w:t xml:space="preserve"> </w:t>
            </w:r>
            <w:proofErr w:type="spellStart"/>
            <w:r w:rsidRPr="0075595E">
              <w:rPr>
                <w:rFonts w:eastAsia="Times New Roman"/>
                <w:sz w:val="18"/>
                <w:szCs w:val="18"/>
              </w:rPr>
              <w:t>manuelle</w:t>
            </w:r>
            <w:proofErr w:type="spellEnd"/>
            <w:r w:rsidRPr="0075595E">
              <w:rPr>
                <w:rFonts w:eastAsia="Times New Roman"/>
                <w:sz w:val="18"/>
                <w:szCs w:val="18"/>
              </w:rPr>
              <w:t xml:space="preserve"> des </w:t>
            </w:r>
            <w:proofErr w:type="spellStart"/>
            <w:r w:rsidRPr="0075595E">
              <w:rPr>
                <w:rFonts w:eastAsia="Times New Roman"/>
                <w:sz w:val="18"/>
                <w:szCs w:val="18"/>
              </w:rPr>
              <w:t>pistes</w:t>
            </w:r>
            <w:proofErr w:type="spellEnd"/>
          </w:p>
        </w:tc>
        <w:tc>
          <w:tcPr>
            <w:tcW w:w="999" w:type="pct"/>
            <w:shd w:val="clear" w:color="auto" w:fill="auto"/>
          </w:tcPr>
          <w:p w14:paraId="36C9475D" w14:textId="77777777" w:rsidR="00302BFE" w:rsidRPr="0075595E" w:rsidRDefault="00302BFE" w:rsidP="002C7A0F">
            <w:pPr>
              <w:spacing w:after="0"/>
              <w:rPr>
                <w:rFonts w:eastAsia="Times New Roman"/>
                <w:sz w:val="18"/>
                <w:szCs w:val="18"/>
              </w:rPr>
            </w:pPr>
            <w:r w:rsidRPr="0075595E">
              <w:rPr>
                <w:rFonts w:eastAsia="Times New Roman"/>
                <w:sz w:val="18"/>
                <w:szCs w:val="18"/>
              </w:rPr>
              <w:t>5 130 000</w:t>
            </w:r>
          </w:p>
        </w:tc>
        <w:tc>
          <w:tcPr>
            <w:tcW w:w="637" w:type="pct"/>
            <w:shd w:val="clear" w:color="auto" w:fill="auto"/>
            <w:noWrap/>
            <w:hideMark/>
          </w:tcPr>
          <w:p w14:paraId="62C395D2" w14:textId="77777777" w:rsidR="00302BFE" w:rsidRPr="0075595E" w:rsidRDefault="00302BFE" w:rsidP="002C7A0F">
            <w:pPr>
              <w:spacing w:after="0"/>
              <w:rPr>
                <w:rFonts w:eastAsia="Times New Roman"/>
                <w:sz w:val="18"/>
                <w:szCs w:val="18"/>
              </w:rPr>
            </w:pPr>
            <w:r w:rsidRPr="0075595E">
              <w:rPr>
                <w:rFonts w:eastAsia="Times New Roman"/>
                <w:sz w:val="18"/>
                <w:szCs w:val="18"/>
              </w:rPr>
              <w:t>100</w:t>
            </w:r>
          </w:p>
        </w:tc>
      </w:tr>
      <w:tr w:rsidR="00302BFE" w:rsidRPr="00832C0A" w14:paraId="221A8E58" w14:textId="77777777" w:rsidTr="002C7A0F">
        <w:trPr>
          <w:trHeight w:val="283"/>
          <w:jc w:val="center"/>
        </w:trPr>
        <w:tc>
          <w:tcPr>
            <w:tcW w:w="545" w:type="pct"/>
            <w:vMerge/>
            <w:shd w:val="clear" w:color="auto" w:fill="auto"/>
          </w:tcPr>
          <w:p w14:paraId="2DE4FCC0" w14:textId="77777777" w:rsidR="00302BFE" w:rsidRPr="0075595E" w:rsidRDefault="00302BFE" w:rsidP="002C7A0F">
            <w:pPr>
              <w:spacing w:after="0"/>
              <w:rPr>
                <w:rFonts w:eastAsia="Times New Roman"/>
                <w:sz w:val="18"/>
                <w:szCs w:val="18"/>
              </w:rPr>
            </w:pPr>
          </w:p>
        </w:tc>
        <w:tc>
          <w:tcPr>
            <w:tcW w:w="2819" w:type="pct"/>
            <w:shd w:val="clear" w:color="auto" w:fill="auto"/>
            <w:noWrap/>
            <w:hideMark/>
          </w:tcPr>
          <w:p w14:paraId="44C125F8" w14:textId="77777777" w:rsidR="00302BFE" w:rsidRPr="0075595E" w:rsidRDefault="00302BFE" w:rsidP="002C7A0F">
            <w:pPr>
              <w:spacing w:after="0"/>
              <w:rPr>
                <w:rFonts w:eastAsia="Times New Roman"/>
                <w:sz w:val="18"/>
                <w:szCs w:val="18"/>
              </w:rPr>
            </w:pPr>
            <w:r w:rsidRPr="0075595E">
              <w:rPr>
                <w:rFonts w:eastAsia="Times New Roman"/>
                <w:sz w:val="18"/>
                <w:szCs w:val="18"/>
              </w:rPr>
              <w:t xml:space="preserve">Surveillance </w:t>
            </w:r>
            <w:proofErr w:type="spellStart"/>
            <w:r w:rsidRPr="0075595E">
              <w:rPr>
                <w:rFonts w:eastAsia="Times New Roman"/>
                <w:sz w:val="18"/>
                <w:szCs w:val="18"/>
              </w:rPr>
              <w:t>villageoise</w:t>
            </w:r>
            <w:proofErr w:type="spellEnd"/>
          </w:p>
        </w:tc>
        <w:tc>
          <w:tcPr>
            <w:tcW w:w="999" w:type="pct"/>
            <w:shd w:val="clear" w:color="auto" w:fill="auto"/>
          </w:tcPr>
          <w:p w14:paraId="40DA7B3A" w14:textId="77777777" w:rsidR="00302BFE" w:rsidRPr="0075595E" w:rsidRDefault="00302BFE" w:rsidP="002C7A0F">
            <w:pPr>
              <w:spacing w:after="0"/>
              <w:rPr>
                <w:rFonts w:eastAsia="Times New Roman"/>
                <w:sz w:val="18"/>
                <w:szCs w:val="18"/>
              </w:rPr>
            </w:pPr>
            <w:r w:rsidRPr="0075595E">
              <w:rPr>
                <w:rFonts w:eastAsia="Times New Roman"/>
                <w:sz w:val="18"/>
                <w:szCs w:val="18"/>
              </w:rPr>
              <w:t>9 000 000</w:t>
            </w:r>
          </w:p>
        </w:tc>
        <w:tc>
          <w:tcPr>
            <w:tcW w:w="637" w:type="pct"/>
            <w:shd w:val="clear" w:color="auto" w:fill="auto"/>
            <w:noWrap/>
            <w:hideMark/>
          </w:tcPr>
          <w:p w14:paraId="18B63BA3" w14:textId="77777777" w:rsidR="00302BFE" w:rsidRPr="0075595E" w:rsidRDefault="00302BFE" w:rsidP="002C7A0F">
            <w:pPr>
              <w:spacing w:after="0"/>
              <w:rPr>
                <w:rFonts w:eastAsia="Times New Roman"/>
                <w:sz w:val="18"/>
                <w:szCs w:val="18"/>
              </w:rPr>
            </w:pPr>
            <w:r w:rsidRPr="0075595E">
              <w:rPr>
                <w:rFonts w:eastAsia="Times New Roman"/>
                <w:sz w:val="18"/>
                <w:szCs w:val="18"/>
              </w:rPr>
              <w:t>300</w:t>
            </w:r>
          </w:p>
        </w:tc>
      </w:tr>
      <w:tr w:rsidR="00302BFE" w:rsidRPr="00832C0A" w14:paraId="63DCAD71" w14:textId="77777777" w:rsidTr="002C7A0F">
        <w:trPr>
          <w:trHeight w:val="283"/>
          <w:jc w:val="center"/>
        </w:trPr>
        <w:tc>
          <w:tcPr>
            <w:tcW w:w="545" w:type="pct"/>
            <w:vMerge/>
            <w:shd w:val="clear" w:color="auto" w:fill="auto"/>
          </w:tcPr>
          <w:p w14:paraId="6FD38D4C" w14:textId="77777777" w:rsidR="00302BFE" w:rsidRPr="0075595E" w:rsidRDefault="00302BFE" w:rsidP="002C7A0F">
            <w:pPr>
              <w:spacing w:after="0"/>
              <w:rPr>
                <w:rFonts w:eastAsia="Times New Roman"/>
                <w:sz w:val="18"/>
                <w:szCs w:val="18"/>
              </w:rPr>
            </w:pPr>
          </w:p>
        </w:tc>
        <w:tc>
          <w:tcPr>
            <w:tcW w:w="2819" w:type="pct"/>
            <w:shd w:val="clear" w:color="auto" w:fill="auto"/>
            <w:noWrap/>
            <w:hideMark/>
          </w:tcPr>
          <w:p w14:paraId="21E099D1" w14:textId="77777777" w:rsidR="00302BFE" w:rsidRPr="0075595E" w:rsidRDefault="00302BFE" w:rsidP="002C7A0F">
            <w:pPr>
              <w:spacing w:after="0"/>
              <w:rPr>
                <w:rFonts w:eastAsia="Times New Roman"/>
                <w:sz w:val="18"/>
                <w:szCs w:val="18"/>
              </w:rPr>
            </w:pPr>
            <w:r w:rsidRPr="0075595E">
              <w:rPr>
                <w:rFonts w:eastAsia="Times New Roman"/>
                <w:sz w:val="18"/>
                <w:szCs w:val="18"/>
              </w:rPr>
              <w:t xml:space="preserve">Application de </w:t>
            </w:r>
            <w:proofErr w:type="spellStart"/>
            <w:r w:rsidRPr="0075595E">
              <w:rPr>
                <w:rFonts w:eastAsia="Times New Roman"/>
                <w:sz w:val="18"/>
                <w:szCs w:val="18"/>
              </w:rPr>
              <w:t>feux</w:t>
            </w:r>
            <w:proofErr w:type="spellEnd"/>
            <w:r w:rsidRPr="0075595E">
              <w:rPr>
                <w:rFonts w:eastAsia="Times New Roman"/>
                <w:sz w:val="18"/>
                <w:szCs w:val="18"/>
              </w:rPr>
              <w:t xml:space="preserve"> </w:t>
            </w:r>
            <w:proofErr w:type="spellStart"/>
            <w:r w:rsidRPr="0075595E">
              <w:rPr>
                <w:rFonts w:eastAsia="Times New Roman"/>
                <w:sz w:val="18"/>
                <w:szCs w:val="18"/>
              </w:rPr>
              <w:t>précoces</w:t>
            </w:r>
            <w:proofErr w:type="spellEnd"/>
          </w:p>
        </w:tc>
        <w:tc>
          <w:tcPr>
            <w:tcW w:w="999" w:type="pct"/>
            <w:shd w:val="clear" w:color="auto" w:fill="auto"/>
          </w:tcPr>
          <w:p w14:paraId="4079AE7C" w14:textId="77777777" w:rsidR="00302BFE" w:rsidRPr="0075595E" w:rsidRDefault="00302BFE" w:rsidP="002C7A0F">
            <w:pPr>
              <w:spacing w:after="0"/>
              <w:rPr>
                <w:rFonts w:eastAsia="Times New Roman"/>
                <w:sz w:val="18"/>
                <w:szCs w:val="18"/>
              </w:rPr>
            </w:pPr>
            <w:r w:rsidRPr="0075595E">
              <w:rPr>
                <w:rFonts w:eastAsia="Times New Roman"/>
                <w:sz w:val="18"/>
                <w:szCs w:val="18"/>
              </w:rPr>
              <w:t>2 100 000</w:t>
            </w:r>
          </w:p>
        </w:tc>
        <w:tc>
          <w:tcPr>
            <w:tcW w:w="637" w:type="pct"/>
            <w:shd w:val="clear" w:color="auto" w:fill="auto"/>
            <w:noWrap/>
            <w:hideMark/>
          </w:tcPr>
          <w:p w14:paraId="1727906F" w14:textId="77777777" w:rsidR="00302BFE" w:rsidRPr="0075595E" w:rsidRDefault="00302BFE" w:rsidP="002C7A0F">
            <w:pPr>
              <w:spacing w:after="0"/>
              <w:rPr>
                <w:rFonts w:eastAsia="Times New Roman"/>
                <w:sz w:val="18"/>
                <w:szCs w:val="18"/>
              </w:rPr>
            </w:pPr>
            <w:r w:rsidRPr="0075595E">
              <w:rPr>
                <w:rFonts w:eastAsia="Times New Roman"/>
                <w:sz w:val="18"/>
                <w:szCs w:val="18"/>
              </w:rPr>
              <w:t>50</w:t>
            </w:r>
          </w:p>
        </w:tc>
      </w:tr>
      <w:tr w:rsidR="00302BFE" w:rsidRPr="00832C0A" w14:paraId="7178A83E" w14:textId="77777777" w:rsidTr="002C7A0F">
        <w:trPr>
          <w:trHeight w:val="283"/>
          <w:jc w:val="center"/>
        </w:trPr>
        <w:tc>
          <w:tcPr>
            <w:tcW w:w="545" w:type="pct"/>
            <w:vMerge/>
            <w:shd w:val="clear" w:color="auto" w:fill="auto"/>
          </w:tcPr>
          <w:p w14:paraId="23F6ADF5" w14:textId="77777777" w:rsidR="00302BFE" w:rsidRPr="0075595E" w:rsidRDefault="00302BFE" w:rsidP="002C7A0F">
            <w:pPr>
              <w:spacing w:after="0"/>
              <w:rPr>
                <w:rFonts w:eastAsia="Times New Roman"/>
                <w:sz w:val="18"/>
                <w:szCs w:val="18"/>
              </w:rPr>
            </w:pPr>
          </w:p>
        </w:tc>
        <w:tc>
          <w:tcPr>
            <w:tcW w:w="2819" w:type="pct"/>
            <w:shd w:val="clear" w:color="auto" w:fill="auto"/>
            <w:noWrap/>
            <w:hideMark/>
          </w:tcPr>
          <w:p w14:paraId="497C44AE" w14:textId="77777777" w:rsidR="00302BFE" w:rsidRPr="0075595E" w:rsidRDefault="00302BFE" w:rsidP="002C7A0F">
            <w:pPr>
              <w:spacing w:after="0"/>
              <w:rPr>
                <w:rFonts w:eastAsia="Times New Roman"/>
                <w:b/>
                <w:sz w:val="18"/>
                <w:szCs w:val="18"/>
              </w:rPr>
            </w:pPr>
            <w:proofErr w:type="spellStart"/>
            <w:r w:rsidRPr="0075595E">
              <w:rPr>
                <w:rFonts w:eastAsia="Times New Roman"/>
                <w:b/>
                <w:sz w:val="18"/>
                <w:szCs w:val="18"/>
              </w:rPr>
              <w:t>Totaux</w:t>
            </w:r>
            <w:proofErr w:type="spellEnd"/>
          </w:p>
        </w:tc>
        <w:tc>
          <w:tcPr>
            <w:tcW w:w="999" w:type="pct"/>
            <w:shd w:val="clear" w:color="auto" w:fill="auto"/>
          </w:tcPr>
          <w:p w14:paraId="3F639549" w14:textId="77777777" w:rsidR="00302BFE" w:rsidRPr="0075595E" w:rsidRDefault="00302BFE" w:rsidP="002C7A0F">
            <w:pPr>
              <w:spacing w:after="0"/>
              <w:rPr>
                <w:rFonts w:eastAsia="Times New Roman"/>
                <w:b/>
                <w:sz w:val="18"/>
                <w:szCs w:val="18"/>
              </w:rPr>
            </w:pPr>
            <w:r w:rsidRPr="0075595E">
              <w:rPr>
                <w:rFonts w:eastAsia="Times New Roman"/>
                <w:b/>
                <w:sz w:val="18"/>
                <w:szCs w:val="18"/>
              </w:rPr>
              <w:t>22 040 000</w:t>
            </w:r>
          </w:p>
        </w:tc>
        <w:tc>
          <w:tcPr>
            <w:tcW w:w="637" w:type="pct"/>
            <w:shd w:val="clear" w:color="auto" w:fill="auto"/>
            <w:noWrap/>
            <w:hideMark/>
          </w:tcPr>
          <w:p w14:paraId="6A62F5B2" w14:textId="77777777" w:rsidR="00302BFE" w:rsidRPr="0075595E" w:rsidRDefault="00302BFE" w:rsidP="002C7A0F">
            <w:pPr>
              <w:spacing w:after="0"/>
              <w:rPr>
                <w:rFonts w:eastAsia="Times New Roman"/>
                <w:b/>
                <w:sz w:val="18"/>
                <w:szCs w:val="18"/>
              </w:rPr>
            </w:pPr>
            <w:r w:rsidRPr="0075595E">
              <w:rPr>
                <w:rFonts w:eastAsia="Times New Roman"/>
                <w:b/>
                <w:sz w:val="18"/>
                <w:szCs w:val="18"/>
              </w:rPr>
              <w:t>636</w:t>
            </w:r>
          </w:p>
        </w:tc>
      </w:tr>
      <w:tr w:rsidR="00302BFE" w:rsidRPr="00832C0A" w14:paraId="49B5E428" w14:textId="77777777" w:rsidTr="002C7A0F">
        <w:trPr>
          <w:trHeight w:val="283"/>
          <w:jc w:val="center"/>
        </w:trPr>
        <w:tc>
          <w:tcPr>
            <w:tcW w:w="3364" w:type="pct"/>
            <w:gridSpan w:val="2"/>
            <w:shd w:val="clear" w:color="auto" w:fill="auto"/>
          </w:tcPr>
          <w:p w14:paraId="3CDB5905" w14:textId="77777777" w:rsidR="00302BFE" w:rsidRPr="0075595E" w:rsidRDefault="00302BFE" w:rsidP="002C7A0F">
            <w:pPr>
              <w:spacing w:after="0"/>
              <w:rPr>
                <w:rFonts w:eastAsia="Times New Roman"/>
                <w:b/>
                <w:sz w:val="18"/>
                <w:szCs w:val="18"/>
              </w:rPr>
            </w:pPr>
            <w:r w:rsidRPr="0075595E">
              <w:rPr>
                <w:rFonts w:eastAsia="Times New Roman"/>
                <w:b/>
                <w:sz w:val="18"/>
                <w:szCs w:val="18"/>
              </w:rPr>
              <w:t>TOTAL GÉNÉRAL</w:t>
            </w:r>
          </w:p>
        </w:tc>
        <w:tc>
          <w:tcPr>
            <w:tcW w:w="999" w:type="pct"/>
            <w:shd w:val="clear" w:color="auto" w:fill="auto"/>
          </w:tcPr>
          <w:p w14:paraId="45F2F074" w14:textId="77777777" w:rsidR="00302BFE" w:rsidRPr="0075595E" w:rsidRDefault="00302BFE" w:rsidP="002C7A0F">
            <w:pPr>
              <w:spacing w:after="0"/>
              <w:rPr>
                <w:rFonts w:eastAsia="Times New Roman"/>
                <w:b/>
                <w:sz w:val="18"/>
                <w:szCs w:val="18"/>
              </w:rPr>
            </w:pPr>
            <w:r w:rsidRPr="0075595E">
              <w:rPr>
                <w:rFonts w:eastAsia="Times New Roman"/>
                <w:b/>
                <w:sz w:val="18"/>
                <w:szCs w:val="18"/>
              </w:rPr>
              <w:t>44 965 000</w:t>
            </w:r>
          </w:p>
        </w:tc>
        <w:tc>
          <w:tcPr>
            <w:tcW w:w="637" w:type="pct"/>
            <w:shd w:val="clear" w:color="auto" w:fill="auto"/>
            <w:noWrap/>
            <w:hideMark/>
          </w:tcPr>
          <w:p w14:paraId="13FF719A" w14:textId="77777777" w:rsidR="00302BFE" w:rsidRPr="0075595E" w:rsidRDefault="00302BFE" w:rsidP="002C7A0F">
            <w:pPr>
              <w:spacing w:after="0"/>
              <w:rPr>
                <w:rFonts w:eastAsia="Times New Roman"/>
                <w:b/>
                <w:sz w:val="18"/>
                <w:szCs w:val="18"/>
              </w:rPr>
            </w:pPr>
            <w:r w:rsidRPr="0075595E">
              <w:rPr>
                <w:rFonts w:eastAsia="Times New Roman"/>
                <w:b/>
                <w:sz w:val="18"/>
                <w:szCs w:val="18"/>
              </w:rPr>
              <w:t>1 271</w:t>
            </w:r>
          </w:p>
        </w:tc>
      </w:tr>
    </w:tbl>
    <w:p w14:paraId="61FEA9BF" w14:textId="77777777" w:rsidR="00302BFE" w:rsidRPr="0022229D" w:rsidRDefault="00302BFE" w:rsidP="00302BFE">
      <w:pPr>
        <w:spacing w:after="0"/>
        <w:rPr>
          <w:i/>
          <w:sz w:val="16"/>
          <w:szCs w:val="16"/>
        </w:rPr>
      </w:pPr>
    </w:p>
    <w:p w14:paraId="01C2EEB7" w14:textId="77777777" w:rsidR="00302BFE" w:rsidRPr="00714F9A" w:rsidRDefault="00302BFE" w:rsidP="00302BFE">
      <w:pPr>
        <w:spacing w:before="120" w:after="120"/>
        <w:rPr>
          <w:rFonts w:asciiTheme="minorHAnsi" w:hAnsiTheme="minorHAnsi"/>
          <w:szCs w:val="20"/>
          <w:lang w:val="fr-CA"/>
        </w:rPr>
      </w:pPr>
      <w:r w:rsidRPr="00714F9A">
        <w:rPr>
          <w:rFonts w:asciiTheme="minorHAnsi" w:hAnsiTheme="minorHAnsi"/>
          <w:noProof/>
          <w:szCs w:val="20"/>
          <w:lang w:val="fr-CA"/>
        </w:rPr>
        <w:t xml:space="preserve">Les bénéfices des aires protégées au profit des populations concernent également les ZOVIC. </w:t>
      </w:r>
      <w:r w:rsidRPr="00714F9A">
        <w:rPr>
          <w:rFonts w:asciiTheme="minorHAnsi" w:hAnsiTheme="minorHAnsi"/>
          <w:szCs w:val="20"/>
          <w:lang w:val="fr-CA"/>
        </w:rPr>
        <w:t xml:space="preserve">Les activités de lutte anti-braconnage et de surveillance des ZOVIC sont exercées par les agents forestiers avec la participation des populations locales à travers leur comités villageois de gestion de la faune (CVGF) pour protéger les animaux sauvages et leur habitat contre le braconnage et toutes les autres formes d'exploitation illicite. La surveillance participative permet d’impliquer les acteurs villageois dans la protection de la faune et vise à empêcher et dissuader les braconniers, </w:t>
      </w:r>
      <w:proofErr w:type="gramStart"/>
      <w:r w:rsidRPr="00714F9A">
        <w:rPr>
          <w:rFonts w:asciiTheme="minorHAnsi" w:hAnsiTheme="minorHAnsi"/>
          <w:szCs w:val="20"/>
          <w:lang w:val="fr-CA"/>
        </w:rPr>
        <w:t>les pasteurs peuhl</w:t>
      </w:r>
      <w:proofErr w:type="gramEnd"/>
      <w:r w:rsidRPr="00714F9A">
        <w:rPr>
          <w:rFonts w:asciiTheme="minorHAnsi" w:hAnsiTheme="minorHAnsi"/>
          <w:szCs w:val="20"/>
          <w:lang w:val="fr-CA"/>
        </w:rPr>
        <w:t xml:space="preserve"> et les migrants de pénétrer dans la ZOVIC. Le rôle principal des comités villageois de gestion de la faune est la surveillance de la ZOVIC contre toute forme d'agression, la sensibilisation des populations riveraines, l'aménagement du milieu (retenues d'eau, pistes, observatoires, infrastructures d'accueil, création de salines et gestion de feux) et la gestion des retombées socioéconomiques de la chasse et du tourisme. Une étude menée dans deux </w:t>
      </w:r>
      <w:proofErr w:type="spellStart"/>
      <w:r w:rsidRPr="00714F9A">
        <w:rPr>
          <w:rFonts w:asciiTheme="minorHAnsi" w:hAnsiTheme="minorHAnsi"/>
          <w:szCs w:val="20"/>
          <w:lang w:val="fr-CA"/>
        </w:rPr>
        <w:t>ZOVICs</w:t>
      </w:r>
      <w:proofErr w:type="spellEnd"/>
      <w:r w:rsidRPr="00714F9A">
        <w:rPr>
          <w:rFonts w:asciiTheme="minorHAnsi" w:hAnsiTheme="minorHAnsi"/>
          <w:szCs w:val="20"/>
          <w:lang w:val="fr-CA"/>
        </w:rPr>
        <w:t xml:space="preserve"> en périphérie du RG </w:t>
      </w:r>
      <w:proofErr w:type="spellStart"/>
      <w:r w:rsidRPr="00714F9A">
        <w:rPr>
          <w:rFonts w:asciiTheme="minorHAnsi" w:hAnsiTheme="minorHAnsi"/>
          <w:szCs w:val="20"/>
          <w:lang w:val="fr-CA"/>
        </w:rPr>
        <w:t>Nazinga</w:t>
      </w:r>
      <w:proofErr w:type="spellEnd"/>
      <w:r w:rsidRPr="00714F9A">
        <w:rPr>
          <w:rFonts w:asciiTheme="minorHAnsi" w:hAnsiTheme="minorHAnsi"/>
          <w:szCs w:val="20"/>
          <w:lang w:val="fr-CA"/>
        </w:rPr>
        <w:t xml:space="preserve"> de 2005 à 2008</w:t>
      </w:r>
      <w:r w:rsidRPr="00714F9A">
        <w:rPr>
          <w:rStyle w:val="Appelnotedebasdep"/>
          <w:rFonts w:asciiTheme="minorHAnsi" w:hAnsiTheme="minorHAnsi"/>
          <w:sz w:val="20"/>
          <w:szCs w:val="20"/>
        </w:rPr>
        <w:footnoteReference w:id="98"/>
      </w:r>
      <w:r w:rsidRPr="00714F9A">
        <w:rPr>
          <w:rFonts w:asciiTheme="minorHAnsi" w:hAnsiTheme="minorHAnsi"/>
          <w:szCs w:val="20"/>
          <w:lang w:val="fr-CA"/>
        </w:rPr>
        <w:t xml:space="preserve"> a fait ressortir que les revenus générés par la chasse et le tourisme avaient contribué au développement socioéconomique des villages. À défaut d’inventaire faunique, les communautés locales interrogées ont rapporté une augmentation de l'effectif faunique au sein des </w:t>
      </w:r>
      <w:proofErr w:type="spellStart"/>
      <w:r w:rsidRPr="00714F9A">
        <w:rPr>
          <w:rFonts w:asciiTheme="minorHAnsi" w:hAnsiTheme="minorHAnsi"/>
          <w:szCs w:val="20"/>
          <w:lang w:val="fr-CA"/>
        </w:rPr>
        <w:t>ZOVICs</w:t>
      </w:r>
      <w:proofErr w:type="spellEnd"/>
      <w:r w:rsidRPr="00714F9A">
        <w:rPr>
          <w:rFonts w:asciiTheme="minorHAnsi" w:hAnsiTheme="minorHAnsi"/>
          <w:szCs w:val="20"/>
          <w:lang w:val="fr-CA"/>
        </w:rPr>
        <w:t>, la réduction du braconnage, la présence accrue dans leurs champs d’animaux sauvages comme les singes, les lièvres, et les éléphants et une amélioration et une diversification considérable du couvert végétal. Parallèlement, les conflits homme-faune étaient plus importants.</w:t>
      </w:r>
    </w:p>
    <w:p w14:paraId="2E4C8C4B" w14:textId="1507503C" w:rsidR="00302BFE" w:rsidRPr="0056644A" w:rsidRDefault="00302BFE" w:rsidP="00302BFE">
      <w:pPr>
        <w:spacing w:before="120" w:after="120"/>
        <w:rPr>
          <w:noProof/>
          <w:szCs w:val="20"/>
          <w:lang w:val="fr-CA"/>
        </w:rPr>
      </w:pPr>
      <w:r w:rsidRPr="00714F9A">
        <w:rPr>
          <w:szCs w:val="20"/>
          <w:lang w:val="fr-CA"/>
        </w:rPr>
        <w:t xml:space="preserve">Les populations tirent des revenus à travers les activités qu'elles mènent dans les ZOVIC et les emplois générés par la gestion et l’exploitation de la ZOVIC, incluant des emplois temporaires et permanents comme pisteurs et surveillants villageois. Ces revenus sont perçus individuellement ou collectivement par l'intermédiaire des CVGF. Les villages bénéficient individuellement de recettes annuelles de 350,000 FCFA </w:t>
      </w:r>
      <w:r w:rsidR="005E13EB">
        <w:rPr>
          <w:szCs w:val="20"/>
          <w:lang w:val="fr-CA"/>
        </w:rPr>
        <w:t xml:space="preserve">(approx 595 $US) </w:t>
      </w:r>
      <w:r w:rsidRPr="00714F9A">
        <w:rPr>
          <w:szCs w:val="20"/>
          <w:lang w:val="fr-CA"/>
        </w:rPr>
        <w:t>versées par le concessionnaire à la fin de la campagne de chasse, à titre de taxe d'aménagement des zones, en plus d’une taxe de location journalière de 7,500 FCFA</w:t>
      </w:r>
      <w:r w:rsidR="005E13EB">
        <w:rPr>
          <w:szCs w:val="20"/>
          <w:lang w:val="fr-CA"/>
        </w:rPr>
        <w:t xml:space="preserve"> (approx 13 $US)</w:t>
      </w:r>
      <w:r w:rsidRPr="00714F9A">
        <w:rPr>
          <w:szCs w:val="20"/>
          <w:lang w:val="fr-CA"/>
        </w:rPr>
        <w:t xml:space="preserve"> lorsque la ZOVIC est fréquentée par les chasseurs. Ainsi, la location des </w:t>
      </w:r>
      <w:proofErr w:type="spellStart"/>
      <w:r w:rsidRPr="00714F9A">
        <w:rPr>
          <w:szCs w:val="20"/>
          <w:lang w:val="fr-CA"/>
        </w:rPr>
        <w:t>ZOVICs</w:t>
      </w:r>
      <w:proofErr w:type="spellEnd"/>
      <w:r w:rsidRPr="00714F9A">
        <w:rPr>
          <w:szCs w:val="20"/>
          <w:lang w:val="fr-CA"/>
        </w:rPr>
        <w:t xml:space="preserve"> de la province du Nahouri pour la campagne 2007-2008 avait généré des recettes pour les villages de 1,867,500 FCFA</w:t>
      </w:r>
      <w:r w:rsidR="005E13EB">
        <w:rPr>
          <w:szCs w:val="20"/>
          <w:lang w:val="fr-CA"/>
        </w:rPr>
        <w:t xml:space="preserve"> (approx 3175 $US)</w:t>
      </w:r>
      <w:r w:rsidRPr="00714F9A">
        <w:rPr>
          <w:szCs w:val="20"/>
          <w:lang w:val="fr-CA"/>
        </w:rPr>
        <w:t>. Ces recettes sont généralement utilisées pour financer les activités du comité villageois de gestion de la faune et rémunérer les personnes impliquées, et pour des réalisations d'intérêt commun à tout le village tels les forages. De plus, lors de la chasse au gros gibier, les populations locales recevaient les trois-quarts de la viande et l’autre quart revenait au guide de chasse ou au concessionnaire.</w:t>
      </w:r>
    </w:p>
    <w:p w14:paraId="49AEDA5C" w14:textId="2CDD7AD2" w:rsidR="00302BFE" w:rsidRPr="008E1693" w:rsidRDefault="000C0407" w:rsidP="00302BFE">
      <w:pPr>
        <w:spacing w:before="120" w:after="120"/>
        <w:rPr>
          <w:noProof/>
          <w:szCs w:val="20"/>
          <w:lang w:val="fr-CA"/>
        </w:rPr>
      </w:pPr>
      <w:r>
        <w:rPr>
          <w:noProof/>
          <w:szCs w:val="20"/>
          <w:lang w:val="fr-CA"/>
        </w:rPr>
        <w:t>Depuis quelques années</w:t>
      </w:r>
      <w:r w:rsidR="00302BFE" w:rsidRPr="008E1693">
        <w:rPr>
          <w:noProof/>
          <w:szCs w:val="20"/>
          <w:lang w:val="fr-CA"/>
        </w:rPr>
        <w:t xml:space="preserve">, </w:t>
      </w:r>
      <w:r w:rsidRPr="008E1693">
        <w:rPr>
          <w:szCs w:val="20"/>
          <w:lang w:val="fr-CA"/>
        </w:rPr>
        <w:t xml:space="preserve">Nahouri Safari </w:t>
      </w:r>
      <w:r>
        <w:rPr>
          <w:szCs w:val="20"/>
          <w:lang w:val="fr-CA"/>
        </w:rPr>
        <w:t xml:space="preserve">a cessé de verser </w:t>
      </w:r>
      <w:r w:rsidR="00302BFE" w:rsidRPr="008E1693">
        <w:rPr>
          <w:szCs w:val="20"/>
          <w:lang w:val="fr-CA"/>
        </w:rPr>
        <w:t>les</w:t>
      </w:r>
      <w:r>
        <w:rPr>
          <w:szCs w:val="20"/>
          <w:lang w:val="fr-CA"/>
        </w:rPr>
        <w:t xml:space="preserve"> montants de</w:t>
      </w:r>
      <w:r w:rsidR="00302BFE" w:rsidRPr="008E1693">
        <w:rPr>
          <w:szCs w:val="20"/>
          <w:lang w:val="fr-CA"/>
        </w:rPr>
        <w:t xml:space="preserve"> 350 000 FCFA/an </w:t>
      </w:r>
      <w:r w:rsidR="005E13EB">
        <w:rPr>
          <w:szCs w:val="20"/>
          <w:lang w:val="fr-CA"/>
        </w:rPr>
        <w:t xml:space="preserve">(approx 595 $US) </w:t>
      </w:r>
      <w:r w:rsidR="00302BFE" w:rsidRPr="008E1693">
        <w:rPr>
          <w:szCs w:val="20"/>
          <w:lang w:val="fr-CA"/>
        </w:rPr>
        <w:t>aux communautés pour l</w:t>
      </w:r>
      <w:r>
        <w:rPr>
          <w:szCs w:val="20"/>
          <w:lang w:val="fr-CA"/>
        </w:rPr>
        <w:t>’</w:t>
      </w:r>
      <w:r w:rsidR="00302BFE" w:rsidRPr="008E1693">
        <w:rPr>
          <w:szCs w:val="20"/>
          <w:lang w:val="fr-CA"/>
        </w:rPr>
        <w:t>entretien</w:t>
      </w:r>
      <w:r>
        <w:rPr>
          <w:szCs w:val="20"/>
          <w:lang w:val="fr-CA"/>
        </w:rPr>
        <w:t xml:space="preserve"> des </w:t>
      </w:r>
      <w:proofErr w:type="spellStart"/>
      <w:r>
        <w:rPr>
          <w:szCs w:val="20"/>
          <w:lang w:val="fr-CA"/>
        </w:rPr>
        <w:t>ZOVICs</w:t>
      </w:r>
      <w:proofErr w:type="spellEnd"/>
      <w:r w:rsidR="00302BFE" w:rsidRPr="008E1693">
        <w:rPr>
          <w:szCs w:val="20"/>
          <w:lang w:val="fr-CA"/>
        </w:rPr>
        <w:t xml:space="preserve"> </w:t>
      </w:r>
      <w:r>
        <w:rPr>
          <w:szCs w:val="20"/>
          <w:lang w:val="fr-CA"/>
        </w:rPr>
        <w:t>en raison de</w:t>
      </w:r>
      <w:r w:rsidR="00302BFE" w:rsidRPr="008E1693">
        <w:rPr>
          <w:noProof/>
          <w:szCs w:val="20"/>
          <w:lang w:val="fr-CA"/>
        </w:rPr>
        <w:t xml:space="preserve"> leur </w:t>
      </w:r>
      <w:r>
        <w:rPr>
          <w:noProof/>
          <w:szCs w:val="20"/>
          <w:lang w:val="fr-CA"/>
        </w:rPr>
        <w:t>état</w:t>
      </w:r>
      <w:r w:rsidR="00302BFE" w:rsidRPr="008E1693">
        <w:rPr>
          <w:noProof/>
          <w:szCs w:val="20"/>
          <w:lang w:val="fr-CA"/>
        </w:rPr>
        <w:t xml:space="preserve"> de dégradation. Leur restauration </w:t>
      </w:r>
      <w:r w:rsidR="00302BFE">
        <w:rPr>
          <w:noProof/>
          <w:szCs w:val="20"/>
          <w:lang w:val="fr-CA"/>
        </w:rPr>
        <w:t xml:space="preserve">pourrait </w:t>
      </w:r>
      <w:r w:rsidR="00302BFE" w:rsidRPr="008E1693">
        <w:rPr>
          <w:noProof/>
          <w:szCs w:val="20"/>
          <w:lang w:val="fr-CA"/>
        </w:rPr>
        <w:t>permettr</w:t>
      </w:r>
      <w:r w:rsidR="00302BFE">
        <w:rPr>
          <w:noProof/>
          <w:szCs w:val="20"/>
          <w:lang w:val="fr-CA"/>
        </w:rPr>
        <w:t>e</w:t>
      </w:r>
      <w:r w:rsidR="00302BFE" w:rsidRPr="008E1693">
        <w:rPr>
          <w:noProof/>
          <w:szCs w:val="20"/>
          <w:lang w:val="fr-CA"/>
        </w:rPr>
        <w:t xml:space="preserve"> de </w:t>
      </w:r>
      <w:r>
        <w:rPr>
          <w:noProof/>
          <w:szCs w:val="20"/>
          <w:lang w:val="fr-CA"/>
        </w:rPr>
        <w:t>rétablir</w:t>
      </w:r>
      <w:r w:rsidR="00302BFE" w:rsidRPr="008E1693">
        <w:rPr>
          <w:noProof/>
          <w:szCs w:val="20"/>
          <w:lang w:val="fr-CA"/>
        </w:rPr>
        <w:t xml:space="preserve"> ces frais. D’ailleurs, la chasse qui s’y pratique ne profite plus à ces populations du fait de la </w:t>
      </w:r>
      <w:r>
        <w:rPr>
          <w:noProof/>
          <w:szCs w:val="20"/>
          <w:lang w:val="fr-CA"/>
        </w:rPr>
        <w:t>diminution</w:t>
      </w:r>
      <w:r w:rsidR="00302BFE" w:rsidRPr="008E1693">
        <w:rPr>
          <w:noProof/>
          <w:szCs w:val="20"/>
          <w:lang w:val="fr-CA"/>
        </w:rPr>
        <w:t xml:space="preserve"> du gibier.</w:t>
      </w:r>
    </w:p>
    <w:p w14:paraId="53FBE658" w14:textId="77777777" w:rsidR="00302BFE" w:rsidRPr="008E1693" w:rsidRDefault="00302BFE" w:rsidP="00302BFE">
      <w:pPr>
        <w:pStyle w:val="Paragraphedeliste"/>
        <w:tabs>
          <w:tab w:val="left" w:pos="284"/>
        </w:tabs>
        <w:spacing w:before="120" w:after="120"/>
        <w:ind w:left="0"/>
        <w:jc w:val="both"/>
        <w:rPr>
          <w:rFonts w:ascii="Calibri" w:eastAsia="Times New Roman" w:hAnsi="Calibri"/>
          <w:b/>
          <w:i/>
          <w:iCs/>
          <w:color w:val="2F5496"/>
          <w:sz w:val="22"/>
          <w:szCs w:val="22"/>
          <w:lang w:val="fr-CA"/>
        </w:rPr>
      </w:pPr>
      <w:bookmarkStart w:id="92" w:name="_Toc2166323"/>
      <w:r w:rsidRPr="008E1693">
        <w:rPr>
          <w:rFonts w:ascii="Calibri" w:eastAsia="Times New Roman" w:hAnsi="Calibri"/>
          <w:b/>
          <w:i/>
          <w:iCs/>
          <w:color w:val="2F5496"/>
          <w:sz w:val="22"/>
          <w:szCs w:val="22"/>
          <w:lang w:val="fr-CA"/>
        </w:rPr>
        <w:t>Bénéfices en lien avec l’amélioration de la gestion des terroirs adjacents</w:t>
      </w:r>
      <w:bookmarkEnd w:id="92"/>
      <w:r w:rsidRPr="008E1693">
        <w:rPr>
          <w:rFonts w:ascii="Calibri" w:eastAsia="Times New Roman" w:hAnsi="Calibri"/>
          <w:b/>
          <w:i/>
          <w:iCs/>
          <w:color w:val="2F5496"/>
          <w:sz w:val="22"/>
          <w:szCs w:val="22"/>
          <w:lang w:val="fr-CA"/>
        </w:rPr>
        <w:t xml:space="preserve"> </w:t>
      </w:r>
    </w:p>
    <w:p w14:paraId="01C09F88" w14:textId="77777777" w:rsidR="00302BFE" w:rsidRPr="008E1693" w:rsidRDefault="00302BFE" w:rsidP="00302BFE">
      <w:pPr>
        <w:pStyle w:val="Paragraphedeliste"/>
        <w:tabs>
          <w:tab w:val="left" w:pos="284"/>
        </w:tabs>
        <w:spacing w:before="120" w:after="120"/>
        <w:ind w:left="0"/>
        <w:jc w:val="both"/>
        <w:rPr>
          <w:rFonts w:ascii="Calibri" w:eastAsia="Times New Roman" w:hAnsi="Calibri"/>
          <w:i/>
          <w:iCs/>
          <w:color w:val="2F5496"/>
          <w:sz w:val="20"/>
          <w:szCs w:val="20"/>
          <w:lang w:val="fr-CA"/>
        </w:rPr>
      </w:pPr>
      <w:bookmarkStart w:id="93" w:name="_Toc507456760"/>
      <w:bookmarkStart w:id="94" w:name="_Toc515313603"/>
      <w:bookmarkStart w:id="95" w:name="_Toc2166324"/>
      <w:bookmarkStart w:id="96" w:name="_Toc447963942"/>
      <w:bookmarkStart w:id="97" w:name="_Toc460495676"/>
      <w:bookmarkStart w:id="98" w:name="_Toc463340533"/>
      <w:r w:rsidRPr="008E1693">
        <w:rPr>
          <w:rFonts w:ascii="Calibri" w:eastAsia="Times New Roman" w:hAnsi="Calibri"/>
          <w:i/>
          <w:iCs/>
          <w:color w:val="2F5496"/>
          <w:sz w:val="20"/>
          <w:szCs w:val="20"/>
          <w:lang w:val="fr-CA"/>
        </w:rPr>
        <w:t xml:space="preserve">Productions </w:t>
      </w:r>
      <w:bookmarkEnd w:id="93"/>
      <w:bookmarkEnd w:id="94"/>
      <w:bookmarkEnd w:id="95"/>
      <w:r w:rsidRPr="008E1693">
        <w:rPr>
          <w:rFonts w:ascii="Calibri" w:eastAsia="Times New Roman" w:hAnsi="Calibri"/>
          <w:i/>
          <w:iCs/>
          <w:color w:val="2F5496"/>
          <w:sz w:val="20"/>
          <w:szCs w:val="20"/>
          <w:lang w:val="fr-CA"/>
        </w:rPr>
        <w:t>agricoles</w:t>
      </w:r>
    </w:p>
    <w:p w14:paraId="55B4C48D" w14:textId="77777777" w:rsidR="00302BFE" w:rsidRPr="008E1693" w:rsidRDefault="00302BFE" w:rsidP="00302BFE">
      <w:pPr>
        <w:spacing w:before="120" w:after="120"/>
        <w:contextualSpacing/>
        <w:rPr>
          <w:szCs w:val="20"/>
          <w:lang w:val="fr-CA"/>
        </w:rPr>
      </w:pPr>
      <w:r w:rsidRPr="008E1693">
        <w:rPr>
          <w:szCs w:val="20"/>
          <w:lang w:val="fr-CA"/>
        </w:rPr>
        <w:t xml:space="preserve">Les résultats </w:t>
      </w:r>
      <w:r w:rsidRPr="008E1693">
        <w:rPr>
          <w:bCs/>
          <w:szCs w:val="20"/>
          <w:lang w:val="fr-CA"/>
        </w:rPr>
        <w:t>du sous-programme CPP dans la Boucle du Mouhoun</w:t>
      </w:r>
      <w:r w:rsidRPr="008E1693">
        <w:rPr>
          <w:szCs w:val="20"/>
          <w:lang w:val="fr-CA"/>
        </w:rPr>
        <w:t xml:space="preserve"> illustrent l’énorme contribution des actions de gestion durable des terres à l’augmentation des rendements agricoles. Grâce à des activités de défense et restauration des sols, et de conservation des eaux et des sols (DRS/CES), incluant les </w:t>
      </w:r>
      <w:proofErr w:type="spellStart"/>
      <w:r w:rsidRPr="008E1693">
        <w:rPr>
          <w:szCs w:val="20"/>
          <w:lang w:val="fr-CA"/>
        </w:rPr>
        <w:t>zaï</w:t>
      </w:r>
      <w:proofErr w:type="spellEnd"/>
      <w:r w:rsidRPr="008E1693">
        <w:rPr>
          <w:szCs w:val="20"/>
          <w:lang w:val="fr-CA"/>
        </w:rPr>
        <w:t>, les cordons pierreux, les buttes de terre, et l’utilisation de la fumure organique, les rendements ont été doublés pour la plupart des cultures à l’exception du maïs et l’aménagement des bas-fonds pour la riziculture a permis de tripler les rendements rizicoles de 1,7 T/ha à 5,2 T/ha.</w:t>
      </w:r>
    </w:p>
    <w:p w14:paraId="12E52C25" w14:textId="77777777" w:rsidR="00302BFE" w:rsidRPr="008E1693" w:rsidRDefault="00302BFE" w:rsidP="00302BFE">
      <w:pPr>
        <w:pStyle w:val="Lgende"/>
        <w:spacing w:before="240" w:after="120"/>
        <w:jc w:val="both"/>
        <w:rPr>
          <w:rFonts w:ascii="Calibri" w:hAnsi="Calibri"/>
          <w:sz w:val="20"/>
          <w:szCs w:val="20"/>
          <w:lang w:val="fr-CA"/>
        </w:rPr>
      </w:pPr>
      <w:bookmarkStart w:id="99" w:name="_Toc507456761"/>
      <w:bookmarkStart w:id="100" w:name="_Toc515313604"/>
      <w:bookmarkStart w:id="101" w:name="_Toc2166336"/>
      <w:r w:rsidRPr="008E1693">
        <w:rPr>
          <w:rFonts w:ascii="Calibri" w:hAnsi="Calibri"/>
          <w:sz w:val="20"/>
          <w:szCs w:val="20"/>
          <w:lang w:val="fr-CA"/>
        </w:rPr>
        <w:t xml:space="preserve">Tableau </w:t>
      </w:r>
      <w:r w:rsidRPr="00091F0E">
        <w:rPr>
          <w:rFonts w:ascii="Calibri" w:hAnsi="Calibri"/>
          <w:noProof/>
          <w:sz w:val="20"/>
          <w:szCs w:val="20"/>
          <w:lang w:val="fr-CA"/>
        </w:rPr>
        <w:t>D</w:t>
      </w:r>
      <w:r w:rsidRPr="008E1693">
        <w:rPr>
          <w:rFonts w:ascii="Calibri" w:hAnsi="Calibri"/>
          <w:sz w:val="20"/>
          <w:szCs w:val="20"/>
          <w:lang w:val="fr-CA"/>
        </w:rPr>
        <w:t xml:space="preserve"> : </w:t>
      </w:r>
      <w:r>
        <w:rPr>
          <w:rFonts w:ascii="Calibri" w:hAnsi="Calibri"/>
          <w:sz w:val="20"/>
          <w:szCs w:val="20"/>
          <w:lang w:val="fr-CA"/>
        </w:rPr>
        <w:t>É</w:t>
      </w:r>
      <w:r w:rsidRPr="008E1693">
        <w:rPr>
          <w:rFonts w:ascii="Calibri" w:hAnsi="Calibri"/>
          <w:sz w:val="20"/>
          <w:szCs w:val="20"/>
          <w:lang w:val="fr-CA"/>
        </w:rPr>
        <w:t>volution des rendements avec la GDT</w:t>
      </w:r>
      <w:bookmarkEnd w:id="99"/>
      <w:bookmarkEnd w:id="100"/>
      <w:r w:rsidRPr="008E1693">
        <w:rPr>
          <w:rFonts w:ascii="Calibri" w:hAnsi="Calibri"/>
          <w:sz w:val="20"/>
          <w:szCs w:val="20"/>
          <w:lang w:val="fr-CA"/>
        </w:rPr>
        <w:t xml:space="preserve"> dans la Boucle du Mouhoun</w:t>
      </w:r>
      <w:bookmarkEnd w:id="101"/>
    </w:p>
    <w:tbl>
      <w:tblPr>
        <w:tblW w:w="0" w:type="auto"/>
        <w:jc w:val="center"/>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1271"/>
        <w:gridCol w:w="3333"/>
        <w:gridCol w:w="2086"/>
      </w:tblGrid>
      <w:tr w:rsidR="00302BFE" w:rsidRPr="00FB1B99" w14:paraId="1F65697E" w14:textId="77777777" w:rsidTr="00243B15">
        <w:trPr>
          <w:jc w:val="center"/>
        </w:trPr>
        <w:tc>
          <w:tcPr>
            <w:tcW w:w="0" w:type="auto"/>
            <w:tcBorders>
              <w:bottom w:val="single" w:sz="12" w:space="0" w:color="9CC2E5"/>
            </w:tcBorders>
            <w:shd w:val="clear" w:color="auto" w:fill="auto"/>
            <w:vAlign w:val="center"/>
          </w:tcPr>
          <w:p w14:paraId="7CDB4687" w14:textId="77777777" w:rsidR="00302BFE" w:rsidRPr="0075595E" w:rsidRDefault="00302BFE" w:rsidP="00243B15">
            <w:pPr>
              <w:spacing w:after="0"/>
              <w:rPr>
                <w:rFonts w:eastAsia="Calibri"/>
                <w:b/>
                <w:bCs/>
                <w:szCs w:val="20"/>
              </w:rPr>
            </w:pPr>
            <w:proofErr w:type="spellStart"/>
            <w:r w:rsidRPr="0075595E">
              <w:rPr>
                <w:rFonts w:eastAsia="Calibri"/>
                <w:b/>
                <w:bCs/>
                <w:szCs w:val="20"/>
              </w:rPr>
              <w:t>Spéculations</w:t>
            </w:r>
            <w:proofErr w:type="spellEnd"/>
          </w:p>
        </w:tc>
        <w:tc>
          <w:tcPr>
            <w:tcW w:w="0" w:type="auto"/>
            <w:tcBorders>
              <w:bottom w:val="single" w:sz="12" w:space="0" w:color="9CC2E5"/>
            </w:tcBorders>
            <w:shd w:val="clear" w:color="auto" w:fill="auto"/>
            <w:vAlign w:val="center"/>
          </w:tcPr>
          <w:p w14:paraId="032DA700" w14:textId="77777777" w:rsidR="00302BFE" w:rsidRPr="0075595E" w:rsidRDefault="00302BFE" w:rsidP="00243B15">
            <w:pPr>
              <w:spacing w:after="0"/>
              <w:rPr>
                <w:rFonts w:eastAsia="Calibri"/>
                <w:b/>
                <w:bCs/>
                <w:szCs w:val="20"/>
              </w:rPr>
            </w:pPr>
            <w:proofErr w:type="spellStart"/>
            <w:r w:rsidRPr="0075595E">
              <w:rPr>
                <w:rFonts w:eastAsia="Calibri"/>
                <w:b/>
                <w:bCs/>
                <w:szCs w:val="20"/>
              </w:rPr>
              <w:t>Rendements</w:t>
            </w:r>
            <w:proofErr w:type="spellEnd"/>
            <w:r w:rsidRPr="0075595E">
              <w:rPr>
                <w:rFonts w:eastAsia="Calibri"/>
                <w:b/>
                <w:bCs/>
                <w:szCs w:val="20"/>
              </w:rPr>
              <w:t xml:space="preserve"> en culture </w:t>
            </w:r>
            <w:proofErr w:type="spellStart"/>
            <w:r w:rsidRPr="0075595E">
              <w:rPr>
                <w:rFonts w:eastAsia="Calibri"/>
                <w:b/>
                <w:bCs/>
                <w:szCs w:val="20"/>
              </w:rPr>
              <w:t>traditionnelle</w:t>
            </w:r>
            <w:proofErr w:type="spellEnd"/>
          </w:p>
        </w:tc>
        <w:tc>
          <w:tcPr>
            <w:tcW w:w="0" w:type="auto"/>
            <w:tcBorders>
              <w:bottom w:val="single" w:sz="12" w:space="0" w:color="9CC2E5"/>
            </w:tcBorders>
            <w:shd w:val="clear" w:color="auto" w:fill="auto"/>
            <w:vAlign w:val="center"/>
          </w:tcPr>
          <w:p w14:paraId="096C6B84" w14:textId="77777777" w:rsidR="00302BFE" w:rsidRPr="0075595E" w:rsidRDefault="00302BFE" w:rsidP="00243B15">
            <w:pPr>
              <w:spacing w:after="0"/>
              <w:rPr>
                <w:rFonts w:eastAsia="Calibri"/>
                <w:b/>
                <w:bCs/>
                <w:szCs w:val="20"/>
              </w:rPr>
            </w:pPr>
            <w:proofErr w:type="spellStart"/>
            <w:r w:rsidRPr="0075595E">
              <w:rPr>
                <w:rFonts w:eastAsia="Calibri"/>
                <w:b/>
                <w:bCs/>
                <w:szCs w:val="20"/>
              </w:rPr>
              <w:t>Rendements</w:t>
            </w:r>
            <w:proofErr w:type="spellEnd"/>
            <w:r w:rsidRPr="0075595E">
              <w:rPr>
                <w:rFonts w:eastAsia="Calibri"/>
                <w:b/>
                <w:bCs/>
                <w:szCs w:val="20"/>
              </w:rPr>
              <w:t xml:space="preserve"> avec GDT</w:t>
            </w:r>
          </w:p>
        </w:tc>
      </w:tr>
      <w:tr w:rsidR="00302BFE" w:rsidRPr="00FB1B99" w14:paraId="4461EF22" w14:textId="77777777" w:rsidTr="00243B15">
        <w:trPr>
          <w:jc w:val="center"/>
        </w:trPr>
        <w:tc>
          <w:tcPr>
            <w:tcW w:w="0" w:type="auto"/>
            <w:shd w:val="clear" w:color="auto" w:fill="auto"/>
          </w:tcPr>
          <w:p w14:paraId="108CDCA3" w14:textId="77777777" w:rsidR="00302BFE" w:rsidRPr="0075595E" w:rsidRDefault="00302BFE" w:rsidP="00243B15">
            <w:pPr>
              <w:spacing w:after="0"/>
              <w:rPr>
                <w:rFonts w:eastAsia="Calibri"/>
                <w:b/>
                <w:bCs/>
                <w:szCs w:val="20"/>
              </w:rPr>
            </w:pPr>
            <w:proofErr w:type="spellStart"/>
            <w:r w:rsidRPr="0075595E">
              <w:rPr>
                <w:rFonts w:eastAsia="Calibri"/>
                <w:b/>
                <w:bCs/>
                <w:szCs w:val="20"/>
              </w:rPr>
              <w:t>Riz</w:t>
            </w:r>
            <w:proofErr w:type="spellEnd"/>
          </w:p>
        </w:tc>
        <w:tc>
          <w:tcPr>
            <w:tcW w:w="0" w:type="auto"/>
            <w:shd w:val="clear" w:color="auto" w:fill="auto"/>
          </w:tcPr>
          <w:p w14:paraId="06F90397" w14:textId="77777777" w:rsidR="00302BFE" w:rsidRPr="0075595E" w:rsidRDefault="00302BFE" w:rsidP="00243B15">
            <w:pPr>
              <w:spacing w:after="0"/>
              <w:rPr>
                <w:rFonts w:eastAsia="Calibri"/>
                <w:szCs w:val="20"/>
              </w:rPr>
            </w:pPr>
            <w:r w:rsidRPr="0075595E">
              <w:rPr>
                <w:rFonts w:eastAsia="Calibri"/>
                <w:szCs w:val="20"/>
              </w:rPr>
              <w:t>1 à 2 T/ha</w:t>
            </w:r>
          </w:p>
        </w:tc>
        <w:tc>
          <w:tcPr>
            <w:tcW w:w="0" w:type="auto"/>
            <w:shd w:val="clear" w:color="auto" w:fill="auto"/>
          </w:tcPr>
          <w:p w14:paraId="1A0B73B0" w14:textId="77777777" w:rsidR="00302BFE" w:rsidRPr="0075595E" w:rsidRDefault="00302BFE" w:rsidP="00243B15">
            <w:pPr>
              <w:spacing w:after="0"/>
              <w:rPr>
                <w:rFonts w:eastAsia="Calibri"/>
                <w:szCs w:val="20"/>
              </w:rPr>
            </w:pPr>
            <w:r w:rsidRPr="0075595E">
              <w:rPr>
                <w:rFonts w:eastAsia="Calibri"/>
                <w:szCs w:val="20"/>
              </w:rPr>
              <w:t>4 à 5 T/ha</w:t>
            </w:r>
          </w:p>
        </w:tc>
      </w:tr>
      <w:tr w:rsidR="00302BFE" w:rsidRPr="00FB1B99" w14:paraId="2539D774" w14:textId="77777777" w:rsidTr="00243B15">
        <w:trPr>
          <w:jc w:val="center"/>
        </w:trPr>
        <w:tc>
          <w:tcPr>
            <w:tcW w:w="0" w:type="auto"/>
            <w:shd w:val="clear" w:color="auto" w:fill="auto"/>
          </w:tcPr>
          <w:p w14:paraId="7C1FB26B" w14:textId="77777777" w:rsidR="00302BFE" w:rsidRPr="0075595E" w:rsidRDefault="00302BFE" w:rsidP="00243B15">
            <w:pPr>
              <w:spacing w:after="0"/>
              <w:rPr>
                <w:rFonts w:eastAsia="Calibri"/>
                <w:b/>
                <w:bCs/>
                <w:szCs w:val="20"/>
              </w:rPr>
            </w:pPr>
            <w:proofErr w:type="spellStart"/>
            <w:r w:rsidRPr="0075595E">
              <w:rPr>
                <w:rFonts w:eastAsia="Calibri"/>
                <w:b/>
                <w:bCs/>
                <w:szCs w:val="20"/>
              </w:rPr>
              <w:t>Coton</w:t>
            </w:r>
            <w:proofErr w:type="spellEnd"/>
          </w:p>
        </w:tc>
        <w:tc>
          <w:tcPr>
            <w:tcW w:w="0" w:type="auto"/>
            <w:shd w:val="clear" w:color="auto" w:fill="auto"/>
          </w:tcPr>
          <w:p w14:paraId="670CAAE7" w14:textId="77777777" w:rsidR="00302BFE" w:rsidRPr="0075595E" w:rsidRDefault="00302BFE" w:rsidP="00243B15">
            <w:pPr>
              <w:spacing w:after="0"/>
              <w:rPr>
                <w:rFonts w:eastAsia="Calibri"/>
                <w:szCs w:val="20"/>
              </w:rPr>
            </w:pPr>
            <w:r w:rsidRPr="0075595E">
              <w:rPr>
                <w:rFonts w:eastAsia="Calibri"/>
                <w:szCs w:val="20"/>
              </w:rPr>
              <w:t>500 à 600 Kg/ha</w:t>
            </w:r>
          </w:p>
        </w:tc>
        <w:tc>
          <w:tcPr>
            <w:tcW w:w="0" w:type="auto"/>
            <w:shd w:val="clear" w:color="auto" w:fill="auto"/>
          </w:tcPr>
          <w:p w14:paraId="6C055FD1" w14:textId="77777777" w:rsidR="00302BFE" w:rsidRPr="0075595E" w:rsidRDefault="00302BFE" w:rsidP="00243B15">
            <w:pPr>
              <w:spacing w:after="0"/>
              <w:rPr>
                <w:rFonts w:eastAsia="Calibri"/>
                <w:szCs w:val="20"/>
              </w:rPr>
            </w:pPr>
            <w:r w:rsidRPr="0075595E">
              <w:rPr>
                <w:rFonts w:eastAsia="Calibri"/>
                <w:szCs w:val="20"/>
              </w:rPr>
              <w:t>900 à 1000 kg/ha</w:t>
            </w:r>
          </w:p>
        </w:tc>
      </w:tr>
      <w:tr w:rsidR="00302BFE" w:rsidRPr="00FB1B99" w14:paraId="69FE4A7B" w14:textId="77777777" w:rsidTr="00243B15">
        <w:trPr>
          <w:jc w:val="center"/>
        </w:trPr>
        <w:tc>
          <w:tcPr>
            <w:tcW w:w="0" w:type="auto"/>
            <w:shd w:val="clear" w:color="auto" w:fill="auto"/>
          </w:tcPr>
          <w:p w14:paraId="370B40CD" w14:textId="77777777" w:rsidR="00302BFE" w:rsidRPr="0075595E" w:rsidRDefault="00302BFE" w:rsidP="00243B15">
            <w:pPr>
              <w:spacing w:after="0"/>
              <w:rPr>
                <w:rFonts w:eastAsia="Calibri"/>
                <w:b/>
                <w:bCs/>
                <w:szCs w:val="20"/>
              </w:rPr>
            </w:pPr>
            <w:proofErr w:type="spellStart"/>
            <w:r w:rsidRPr="0075595E">
              <w:rPr>
                <w:rFonts w:eastAsia="Calibri"/>
                <w:b/>
                <w:bCs/>
                <w:szCs w:val="20"/>
              </w:rPr>
              <w:t>Maïs</w:t>
            </w:r>
            <w:proofErr w:type="spellEnd"/>
          </w:p>
        </w:tc>
        <w:tc>
          <w:tcPr>
            <w:tcW w:w="0" w:type="auto"/>
            <w:shd w:val="clear" w:color="auto" w:fill="auto"/>
          </w:tcPr>
          <w:p w14:paraId="45C1D323" w14:textId="77777777" w:rsidR="00302BFE" w:rsidRPr="0075595E" w:rsidRDefault="00302BFE" w:rsidP="00243B15">
            <w:pPr>
              <w:spacing w:after="0"/>
              <w:rPr>
                <w:rFonts w:eastAsia="Calibri"/>
                <w:szCs w:val="20"/>
              </w:rPr>
            </w:pPr>
            <w:r w:rsidRPr="0075595E">
              <w:rPr>
                <w:rFonts w:eastAsia="Calibri"/>
                <w:szCs w:val="20"/>
              </w:rPr>
              <w:t>2,3T/ha</w:t>
            </w:r>
          </w:p>
        </w:tc>
        <w:tc>
          <w:tcPr>
            <w:tcW w:w="0" w:type="auto"/>
            <w:shd w:val="clear" w:color="auto" w:fill="auto"/>
          </w:tcPr>
          <w:p w14:paraId="37CDB750" w14:textId="77777777" w:rsidR="00302BFE" w:rsidRPr="0075595E" w:rsidRDefault="00302BFE" w:rsidP="00243B15">
            <w:pPr>
              <w:spacing w:after="0"/>
              <w:rPr>
                <w:rFonts w:eastAsia="Calibri"/>
                <w:szCs w:val="20"/>
              </w:rPr>
            </w:pPr>
            <w:r w:rsidRPr="0075595E">
              <w:rPr>
                <w:rFonts w:eastAsia="Calibri"/>
                <w:szCs w:val="20"/>
              </w:rPr>
              <w:t>2,5 à 3T/ha</w:t>
            </w:r>
          </w:p>
        </w:tc>
      </w:tr>
      <w:tr w:rsidR="00302BFE" w:rsidRPr="00FB1B99" w14:paraId="4415D3C2" w14:textId="77777777" w:rsidTr="00243B15">
        <w:trPr>
          <w:jc w:val="center"/>
        </w:trPr>
        <w:tc>
          <w:tcPr>
            <w:tcW w:w="0" w:type="auto"/>
            <w:shd w:val="clear" w:color="auto" w:fill="auto"/>
          </w:tcPr>
          <w:p w14:paraId="5B7C4964" w14:textId="77777777" w:rsidR="00302BFE" w:rsidRPr="0075595E" w:rsidRDefault="00302BFE" w:rsidP="00243B15">
            <w:pPr>
              <w:spacing w:after="0"/>
              <w:rPr>
                <w:rFonts w:eastAsia="Calibri"/>
                <w:b/>
                <w:bCs/>
                <w:szCs w:val="20"/>
              </w:rPr>
            </w:pPr>
            <w:r w:rsidRPr="0075595E">
              <w:rPr>
                <w:rFonts w:eastAsia="Calibri"/>
                <w:b/>
                <w:bCs/>
                <w:szCs w:val="20"/>
              </w:rPr>
              <w:t>Sorgho</w:t>
            </w:r>
          </w:p>
        </w:tc>
        <w:tc>
          <w:tcPr>
            <w:tcW w:w="0" w:type="auto"/>
            <w:shd w:val="clear" w:color="auto" w:fill="auto"/>
          </w:tcPr>
          <w:p w14:paraId="4A187312" w14:textId="77777777" w:rsidR="00302BFE" w:rsidRPr="0075595E" w:rsidRDefault="00302BFE" w:rsidP="00243B15">
            <w:pPr>
              <w:spacing w:after="0"/>
              <w:rPr>
                <w:rFonts w:eastAsia="Calibri"/>
                <w:szCs w:val="20"/>
              </w:rPr>
            </w:pPr>
            <w:r w:rsidRPr="0075595E">
              <w:rPr>
                <w:rFonts w:eastAsia="Calibri"/>
                <w:szCs w:val="20"/>
              </w:rPr>
              <w:t>600 à 800 Kg/ha</w:t>
            </w:r>
          </w:p>
        </w:tc>
        <w:tc>
          <w:tcPr>
            <w:tcW w:w="0" w:type="auto"/>
            <w:shd w:val="clear" w:color="auto" w:fill="auto"/>
          </w:tcPr>
          <w:p w14:paraId="2703490A" w14:textId="77777777" w:rsidR="00302BFE" w:rsidRPr="0075595E" w:rsidRDefault="00302BFE" w:rsidP="00243B15">
            <w:pPr>
              <w:spacing w:after="0"/>
              <w:rPr>
                <w:rFonts w:eastAsia="Calibri"/>
                <w:szCs w:val="20"/>
              </w:rPr>
            </w:pPr>
            <w:r w:rsidRPr="0075595E">
              <w:rPr>
                <w:rFonts w:eastAsia="Calibri"/>
                <w:szCs w:val="20"/>
              </w:rPr>
              <w:t>1 à 1,5 T/ha</w:t>
            </w:r>
          </w:p>
        </w:tc>
      </w:tr>
      <w:tr w:rsidR="00302BFE" w:rsidRPr="00FB1B99" w14:paraId="327950B8" w14:textId="77777777" w:rsidTr="00243B15">
        <w:trPr>
          <w:jc w:val="center"/>
        </w:trPr>
        <w:tc>
          <w:tcPr>
            <w:tcW w:w="0" w:type="auto"/>
            <w:shd w:val="clear" w:color="auto" w:fill="auto"/>
          </w:tcPr>
          <w:p w14:paraId="14698C20" w14:textId="77777777" w:rsidR="00302BFE" w:rsidRPr="0075595E" w:rsidRDefault="00302BFE" w:rsidP="00243B15">
            <w:pPr>
              <w:spacing w:after="0"/>
              <w:rPr>
                <w:rFonts w:eastAsia="Calibri"/>
                <w:b/>
                <w:bCs/>
                <w:szCs w:val="20"/>
              </w:rPr>
            </w:pPr>
            <w:proofErr w:type="spellStart"/>
            <w:r w:rsidRPr="0075595E">
              <w:rPr>
                <w:rFonts w:eastAsia="Calibri"/>
                <w:b/>
                <w:bCs/>
                <w:szCs w:val="20"/>
              </w:rPr>
              <w:t>Niébé</w:t>
            </w:r>
            <w:proofErr w:type="spellEnd"/>
          </w:p>
        </w:tc>
        <w:tc>
          <w:tcPr>
            <w:tcW w:w="0" w:type="auto"/>
            <w:shd w:val="clear" w:color="auto" w:fill="auto"/>
          </w:tcPr>
          <w:p w14:paraId="30316884" w14:textId="77777777" w:rsidR="00302BFE" w:rsidRPr="0075595E" w:rsidRDefault="00302BFE" w:rsidP="00243B15">
            <w:pPr>
              <w:spacing w:after="0"/>
              <w:rPr>
                <w:rFonts w:eastAsia="Calibri"/>
                <w:szCs w:val="20"/>
              </w:rPr>
            </w:pPr>
            <w:r w:rsidRPr="0075595E">
              <w:rPr>
                <w:rFonts w:eastAsia="Calibri"/>
                <w:szCs w:val="20"/>
              </w:rPr>
              <w:t>600 kg/ha</w:t>
            </w:r>
          </w:p>
        </w:tc>
        <w:tc>
          <w:tcPr>
            <w:tcW w:w="0" w:type="auto"/>
            <w:shd w:val="clear" w:color="auto" w:fill="auto"/>
          </w:tcPr>
          <w:p w14:paraId="72834EF7" w14:textId="77777777" w:rsidR="00302BFE" w:rsidRPr="0075595E" w:rsidRDefault="00302BFE" w:rsidP="00243B15">
            <w:pPr>
              <w:spacing w:after="0"/>
              <w:rPr>
                <w:rFonts w:eastAsia="Calibri"/>
                <w:szCs w:val="20"/>
              </w:rPr>
            </w:pPr>
            <w:r w:rsidRPr="0075595E">
              <w:rPr>
                <w:rFonts w:eastAsia="Calibri"/>
                <w:szCs w:val="20"/>
              </w:rPr>
              <w:t>1T/ha</w:t>
            </w:r>
          </w:p>
        </w:tc>
      </w:tr>
    </w:tbl>
    <w:p w14:paraId="731A6766" w14:textId="77777777" w:rsidR="00302BFE" w:rsidRPr="008E1693" w:rsidRDefault="00302BFE" w:rsidP="00302BFE">
      <w:pPr>
        <w:spacing w:after="240"/>
        <w:rPr>
          <w:sz w:val="16"/>
          <w:szCs w:val="16"/>
          <w:lang w:val="fr-CA"/>
        </w:rPr>
      </w:pPr>
      <w:r w:rsidRPr="008E1693">
        <w:rPr>
          <w:sz w:val="16"/>
          <w:szCs w:val="16"/>
          <w:lang w:val="fr-CA"/>
        </w:rPr>
        <w:t>Source : Rapport du sous-programme CPP Boucle du Mouhoun, 2018</w:t>
      </w:r>
    </w:p>
    <w:p w14:paraId="56FDBBF9" w14:textId="77777777" w:rsidR="00302BFE" w:rsidRPr="008E1693" w:rsidRDefault="00302BFE" w:rsidP="00302BFE">
      <w:pPr>
        <w:spacing w:before="120" w:after="120"/>
        <w:contextualSpacing/>
        <w:rPr>
          <w:szCs w:val="20"/>
          <w:lang w:val="fr-CA"/>
        </w:rPr>
      </w:pPr>
      <w:r w:rsidRPr="008E1693">
        <w:rPr>
          <w:szCs w:val="20"/>
          <w:lang w:val="fr-CA"/>
        </w:rPr>
        <w:t>En outre, les interventions du sous-programme CPP dans cette région en matière de maraîchage ont permis :</w:t>
      </w:r>
    </w:p>
    <w:p w14:paraId="5F212C7A" w14:textId="77777777" w:rsidR="00302BFE" w:rsidRPr="008E1693" w:rsidRDefault="00302BFE" w:rsidP="00302BFE">
      <w:pPr>
        <w:pStyle w:val="Rappniebepuce1"/>
        <w:tabs>
          <w:tab w:val="clear" w:pos="360"/>
        </w:tabs>
        <w:spacing w:before="120" w:after="120" w:line="240" w:lineRule="auto"/>
        <w:ind w:left="360" w:hanging="360"/>
        <w:contextualSpacing/>
        <w:rPr>
          <w:rFonts w:ascii="Calibri" w:hAnsi="Calibri"/>
          <w:sz w:val="20"/>
          <w:szCs w:val="20"/>
        </w:rPr>
      </w:pPr>
      <w:proofErr w:type="gramStart"/>
      <w:r w:rsidRPr="008E1693">
        <w:rPr>
          <w:rFonts w:ascii="Calibri" w:hAnsi="Calibri"/>
          <w:sz w:val="20"/>
          <w:szCs w:val="20"/>
        </w:rPr>
        <w:t>une</w:t>
      </w:r>
      <w:proofErr w:type="gramEnd"/>
      <w:r w:rsidRPr="008E1693">
        <w:rPr>
          <w:rFonts w:ascii="Calibri" w:hAnsi="Calibri"/>
          <w:sz w:val="20"/>
          <w:szCs w:val="20"/>
        </w:rPr>
        <w:t xml:space="preserve"> augmentation des rendements des productions maraîchères, ainsi que des revenus monétaires ; </w:t>
      </w:r>
    </w:p>
    <w:p w14:paraId="16B4292D" w14:textId="77777777" w:rsidR="00302BFE" w:rsidRPr="008E1693" w:rsidRDefault="00302BFE" w:rsidP="00302BFE">
      <w:pPr>
        <w:pStyle w:val="Rappniebepuce1"/>
        <w:tabs>
          <w:tab w:val="clear" w:pos="360"/>
        </w:tabs>
        <w:spacing w:before="120" w:after="120" w:line="240" w:lineRule="auto"/>
        <w:ind w:left="360" w:hanging="360"/>
        <w:contextualSpacing/>
        <w:rPr>
          <w:rFonts w:ascii="Calibri" w:hAnsi="Calibri"/>
          <w:sz w:val="20"/>
          <w:szCs w:val="20"/>
        </w:rPr>
      </w:pPr>
      <w:proofErr w:type="gramStart"/>
      <w:r w:rsidRPr="008E1693">
        <w:rPr>
          <w:rFonts w:ascii="Calibri" w:hAnsi="Calibri"/>
          <w:sz w:val="20"/>
          <w:szCs w:val="20"/>
        </w:rPr>
        <w:t>une</w:t>
      </w:r>
      <w:proofErr w:type="gramEnd"/>
      <w:r w:rsidRPr="008E1693">
        <w:rPr>
          <w:rFonts w:ascii="Calibri" w:hAnsi="Calibri"/>
          <w:sz w:val="20"/>
          <w:szCs w:val="20"/>
        </w:rPr>
        <w:t xml:space="preserve"> amélioration de la sécurité alimentaire et nutritionnelle des populations à travers la disponibilité d’une variété de légumes (aubergines, gombo, oignons, carottes, salade, choux, etc.) ; </w:t>
      </w:r>
    </w:p>
    <w:p w14:paraId="189C698F" w14:textId="77777777" w:rsidR="00302BFE" w:rsidRPr="008E1693" w:rsidRDefault="00302BFE" w:rsidP="00302BFE">
      <w:pPr>
        <w:pStyle w:val="Rappniebepuce1"/>
        <w:tabs>
          <w:tab w:val="clear" w:pos="360"/>
        </w:tabs>
        <w:spacing w:before="120" w:after="120" w:line="240" w:lineRule="auto"/>
        <w:ind w:left="360" w:hanging="360"/>
        <w:contextualSpacing/>
        <w:rPr>
          <w:rFonts w:ascii="Calibri" w:hAnsi="Calibri"/>
          <w:sz w:val="20"/>
          <w:szCs w:val="20"/>
        </w:rPr>
      </w:pPr>
      <w:proofErr w:type="gramStart"/>
      <w:r w:rsidRPr="008E1693">
        <w:rPr>
          <w:rFonts w:ascii="Calibri" w:hAnsi="Calibri"/>
          <w:sz w:val="20"/>
          <w:szCs w:val="20"/>
        </w:rPr>
        <w:lastRenderedPageBreak/>
        <w:t>la</w:t>
      </w:r>
      <w:proofErr w:type="gramEnd"/>
      <w:r w:rsidRPr="008E1693">
        <w:rPr>
          <w:rFonts w:ascii="Calibri" w:hAnsi="Calibri"/>
          <w:sz w:val="20"/>
          <w:szCs w:val="20"/>
        </w:rPr>
        <w:t xml:space="preserve"> création d’emplois pour les femmes, les jeunes et les adultes, pendant la saison sèche, une période au cours de laquelle, généralement, les populations rurales sont sous employées, voire oisives ;</w:t>
      </w:r>
    </w:p>
    <w:p w14:paraId="438A4DFE" w14:textId="77777777" w:rsidR="00302BFE" w:rsidRPr="008E1693" w:rsidRDefault="00302BFE" w:rsidP="00302BFE">
      <w:pPr>
        <w:pStyle w:val="Rappniebepuce1"/>
        <w:tabs>
          <w:tab w:val="clear" w:pos="360"/>
        </w:tabs>
        <w:spacing w:before="120" w:after="120" w:line="240" w:lineRule="auto"/>
        <w:ind w:left="360" w:hanging="360"/>
        <w:contextualSpacing/>
        <w:rPr>
          <w:rFonts w:ascii="Calibri" w:hAnsi="Calibri"/>
          <w:sz w:val="20"/>
          <w:szCs w:val="20"/>
        </w:rPr>
      </w:pPr>
      <w:proofErr w:type="gramStart"/>
      <w:r w:rsidRPr="008E1693">
        <w:rPr>
          <w:rFonts w:ascii="Calibri" w:hAnsi="Calibri"/>
          <w:sz w:val="20"/>
          <w:szCs w:val="20"/>
        </w:rPr>
        <w:t>une</w:t>
      </w:r>
      <w:proofErr w:type="gramEnd"/>
      <w:r w:rsidRPr="008E1693">
        <w:rPr>
          <w:rFonts w:ascii="Calibri" w:hAnsi="Calibri"/>
          <w:sz w:val="20"/>
          <w:szCs w:val="20"/>
        </w:rPr>
        <w:t xml:space="preserve"> réduction de la pauvreté pendant la période de soudure ;</w:t>
      </w:r>
    </w:p>
    <w:p w14:paraId="2BDEE836" w14:textId="77777777" w:rsidR="00302BFE" w:rsidRPr="008E1693" w:rsidRDefault="00302BFE" w:rsidP="00302BFE">
      <w:pPr>
        <w:pStyle w:val="Rappniebepuce1"/>
        <w:tabs>
          <w:tab w:val="clear" w:pos="360"/>
        </w:tabs>
        <w:spacing w:before="120" w:after="120" w:line="240" w:lineRule="auto"/>
        <w:ind w:left="360" w:hanging="360"/>
        <w:contextualSpacing/>
        <w:rPr>
          <w:rFonts w:ascii="Calibri" w:hAnsi="Calibri"/>
          <w:sz w:val="20"/>
          <w:szCs w:val="20"/>
        </w:rPr>
      </w:pPr>
      <w:proofErr w:type="gramStart"/>
      <w:r w:rsidRPr="008E1693">
        <w:rPr>
          <w:rFonts w:ascii="Calibri" w:hAnsi="Calibri"/>
          <w:sz w:val="20"/>
          <w:szCs w:val="20"/>
        </w:rPr>
        <w:t>une</w:t>
      </w:r>
      <w:proofErr w:type="gramEnd"/>
      <w:r w:rsidRPr="008E1693">
        <w:rPr>
          <w:rFonts w:ascii="Calibri" w:hAnsi="Calibri"/>
          <w:sz w:val="20"/>
          <w:szCs w:val="20"/>
        </w:rPr>
        <w:t xml:space="preserve"> atténuation de la vulnérabilité des femmes et des jeunes vis-à-vis des effets néfastes des changements climatiques ;</w:t>
      </w:r>
    </w:p>
    <w:p w14:paraId="217F186A" w14:textId="77777777" w:rsidR="00302BFE" w:rsidRPr="008E1693" w:rsidRDefault="00302BFE" w:rsidP="00302BFE">
      <w:pPr>
        <w:pStyle w:val="Rappniebepuce1"/>
        <w:tabs>
          <w:tab w:val="clear" w:pos="360"/>
        </w:tabs>
        <w:spacing w:before="120" w:after="120" w:line="240" w:lineRule="auto"/>
        <w:ind w:left="360" w:hanging="360"/>
        <w:contextualSpacing/>
        <w:rPr>
          <w:rFonts w:ascii="Calibri" w:hAnsi="Calibri"/>
          <w:sz w:val="20"/>
          <w:szCs w:val="20"/>
        </w:rPr>
      </w:pPr>
      <w:proofErr w:type="gramStart"/>
      <w:r w:rsidRPr="008E1693">
        <w:rPr>
          <w:rFonts w:ascii="Calibri" w:hAnsi="Calibri"/>
          <w:sz w:val="20"/>
          <w:szCs w:val="20"/>
        </w:rPr>
        <w:t>un</w:t>
      </w:r>
      <w:proofErr w:type="gramEnd"/>
      <w:r w:rsidRPr="008E1693">
        <w:rPr>
          <w:rFonts w:ascii="Calibri" w:hAnsi="Calibri"/>
          <w:sz w:val="20"/>
          <w:szCs w:val="20"/>
        </w:rPr>
        <w:t xml:space="preserve"> renforcement des organisations communautaires grâce au regroupement des producteurs et productrices en vie associative et l’entraide dans la mise en œuvre des nouvelles techniques culturales ;</w:t>
      </w:r>
    </w:p>
    <w:p w14:paraId="23D86836" w14:textId="77777777" w:rsidR="00302BFE" w:rsidRPr="008E1693" w:rsidRDefault="00302BFE" w:rsidP="00302BFE">
      <w:pPr>
        <w:pStyle w:val="Rappniebepuce1"/>
        <w:tabs>
          <w:tab w:val="clear" w:pos="360"/>
        </w:tabs>
        <w:spacing w:before="120" w:after="120" w:line="240" w:lineRule="auto"/>
        <w:ind w:left="360" w:hanging="360"/>
        <w:contextualSpacing/>
        <w:rPr>
          <w:rFonts w:ascii="Calibri" w:hAnsi="Calibri"/>
          <w:sz w:val="20"/>
          <w:szCs w:val="20"/>
        </w:rPr>
      </w:pPr>
      <w:proofErr w:type="gramStart"/>
      <w:r w:rsidRPr="008E1693">
        <w:rPr>
          <w:rFonts w:ascii="Calibri" w:hAnsi="Calibri"/>
          <w:sz w:val="20"/>
          <w:szCs w:val="20"/>
        </w:rPr>
        <w:t>une</w:t>
      </w:r>
      <w:proofErr w:type="gramEnd"/>
      <w:r w:rsidRPr="008E1693">
        <w:rPr>
          <w:rFonts w:ascii="Calibri" w:hAnsi="Calibri"/>
          <w:sz w:val="20"/>
          <w:szCs w:val="20"/>
        </w:rPr>
        <w:t xml:space="preserve"> forte participation des femmes dans la production et la commercialisation des produits maraîchers.</w:t>
      </w:r>
    </w:p>
    <w:p w14:paraId="4022A0F4" w14:textId="77777777" w:rsidR="00302BFE" w:rsidRPr="008E1693" w:rsidRDefault="00302BFE" w:rsidP="00302BFE">
      <w:pPr>
        <w:pStyle w:val="Rappniebepuce1"/>
        <w:numPr>
          <w:ilvl w:val="0"/>
          <w:numId w:val="0"/>
        </w:numPr>
        <w:spacing w:before="120" w:after="120" w:line="240" w:lineRule="auto"/>
        <w:ind w:left="360"/>
        <w:contextualSpacing/>
        <w:rPr>
          <w:rFonts w:ascii="Calibri" w:hAnsi="Calibri"/>
          <w:sz w:val="20"/>
          <w:szCs w:val="20"/>
        </w:rPr>
      </w:pPr>
    </w:p>
    <w:p w14:paraId="0B859978" w14:textId="77777777" w:rsidR="00302BFE" w:rsidRPr="008E1693" w:rsidRDefault="00302BFE" w:rsidP="00302BFE">
      <w:pPr>
        <w:spacing w:before="120" w:after="120"/>
        <w:contextualSpacing/>
        <w:rPr>
          <w:szCs w:val="20"/>
          <w:lang w:val="fr-CA"/>
        </w:rPr>
      </w:pPr>
      <w:r w:rsidRPr="008E1693">
        <w:rPr>
          <w:szCs w:val="20"/>
          <w:lang w:val="fr-CA"/>
        </w:rPr>
        <w:t>Dans le complexe PONASI, on note, en plus la dégradation des sols, la destruction des récoltes par la faune, notamment les éléphants. La gestion des conflits homme-faune sera alors utile pour sauvegarder les récoltes des populations locales, et instaurer un climat de confiance vis-à-vis de l’éléphant.</w:t>
      </w:r>
    </w:p>
    <w:p w14:paraId="1F5D487E" w14:textId="77777777" w:rsidR="00302BFE" w:rsidRPr="008E1693" w:rsidRDefault="00302BFE" w:rsidP="00302BFE">
      <w:pPr>
        <w:pStyle w:val="Paragraphedeliste"/>
        <w:tabs>
          <w:tab w:val="left" w:pos="284"/>
        </w:tabs>
        <w:spacing w:before="120" w:after="120"/>
        <w:ind w:left="0"/>
        <w:jc w:val="both"/>
        <w:rPr>
          <w:rFonts w:ascii="Calibri" w:eastAsia="Times New Roman" w:hAnsi="Calibri"/>
          <w:i/>
          <w:iCs/>
          <w:color w:val="2F5496"/>
          <w:sz w:val="20"/>
          <w:szCs w:val="20"/>
          <w:lang w:val="fr-CA"/>
        </w:rPr>
      </w:pPr>
      <w:bookmarkStart w:id="102" w:name="_Toc507456764"/>
      <w:bookmarkStart w:id="103" w:name="_Toc515313607"/>
      <w:r w:rsidRPr="008E1693">
        <w:rPr>
          <w:rFonts w:ascii="Calibri" w:eastAsia="Times New Roman" w:hAnsi="Calibri"/>
          <w:i/>
          <w:iCs/>
          <w:color w:val="2F5496"/>
          <w:sz w:val="20"/>
          <w:szCs w:val="20"/>
          <w:lang w:val="fr-CA"/>
        </w:rPr>
        <w:t xml:space="preserve">Élevage </w:t>
      </w:r>
    </w:p>
    <w:p w14:paraId="58B2D094" w14:textId="77777777" w:rsidR="00302BFE" w:rsidRPr="008E1693" w:rsidRDefault="00302BFE" w:rsidP="00302BFE">
      <w:pPr>
        <w:spacing w:before="120" w:after="120"/>
        <w:rPr>
          <w:szCs w:val="20"/>
          <w:lang w:val="fr-CA"/>
        </w:rPr>
      </w:pPr>
      <w:r w:rsidRPr="008E1693">
        <w:rPr>
          <w:szCs w:val="20"/>
          <w:lang w:val="fr-CA"/>
        </w:rPr>
        <w:t>De l’exemple du sous-programme CPP dans la Boucle du Mouhoun, on note également que des actions de GDT améliorent considérablement les productions animales</w:t>
      </w:r>
      <w:bookmarkEnd w:id="102"/>
      <w:bookmarkEnd w:id="103"/>
      <w:r w:rsidRPr="008E1693">
        <w:rPr>
          <w:szCs w:val="20"/>
          <w:lang w:val="fr-CA"/>
        </w:rPr>
        <w:t xml:space="preserve">. Les activités réalisées incluent la construction de pistes à bétail, l’aménagement de zones de pâturage, la construction de fenils pour la conservation du fourrage, les cultures fourragères, </w:t>
      </w:r>
      <w:r w:rsidRPr="008E1693">
        <w:rPr>
          <w:bCs/>
          <w:szCs w:val="20"/>
          <w:lang w:val="fr-CA"/>
        </w:rPr>
        <w:t>la fauche et la conservation du fourrage naturel.</w:t>
      </w:r>
    </w:p>
    <w:p w14:paraId="5EF8B08E" w14:textId="77777777" w:rsidR="00302BFE" w:rsidRPr="008E1693" w:rsidRDefault="00302BFE" w:rsidP="00302BFE">
      <w:pPr>
        <w:spacing w:before="120" w:after="120"/>
        <w:rPr>
          <w:szCs w:val="20"/>
          <w:lang w:val="fr-CA"/>
        </w:rPr>
      </w:pPr>
      <w:r w:rsidRPr="008E1693">
        <w:rPr>
          <w:szCs w:val="20"/>
          <w:lang w:val="fr-CA"/>
        </w:rPr>
        <w:t>Les résultats obtenus par ce sous-programme sont les suivants :</w:t>
      </w:r>
    </w:p>
    <w:p w14:paraId="059A1BEB" w14:textId="77777777" w:rsidR="00302BFE" w:rsidRPr="008E1693" w:rsidRDefault="00302BFE" w:rsidP="00C46720">
      <w:pPr>
        <w:pStyle w:val="Paragraphedeliste"/>
        <w:numPr>
          <w:ilvl w:val="0"/>
          <w:numId w:val="41"/>
        </w:numPr>
        <w:spacing w:before="120" w:after="120"/>
        <w:ind w:left="284" w:hanging="147"/>
        <w:contextualSpacing/>
        <w:jc w:val="both"/>
        <w:rPr>
          <w:rFonts w:ascii="Calibri" w:hAnsi="Calibri"/>
          <w:bCs/>
          <w:sz w:val="20"/>
          <w:szCs w:val="20"/>
          <w:lang w:val="fr-CA"/>
        </w:rPr>
      </w:pPr>
      <w:proofErr w:type="gramStart"/>
      <w:r w:rsidRPr="008E1693">
        <w:rPr>
          <w:rFonts w:ascii="Calibri" w:hAnsi="Calibri"/>
          <w:bCs/>
          <w:sz w:val="20"/>
          <w:szCs w:val="20"/>
          <w:lang w:val="fr-CA"/>
        </w:rPr>
        <w:t>fourrage</w:t>
      </w:r>
      <w:proofErr w:type="gramEnd"/>
      <w:r w:rsidRPr="008E1693">
        <w:rPr>
          <w:rFonts w:ascii="Calibri" w:hAnsi="Calibri"/>
          <w:bCs/>
          <w:sz w:val="20"/>
          <w:szCs w:val="20"/>
          <w:lang w:val="fr-CA"/>
        </w:rPr>
        <w:t xml:space="preserve"> disponible en quantité suffisante pendant la saison sèche ;</w:t>
      </w:r>
    </w:p>
    <w:p w14:paraId="042DC22B" w14:textId="77777777" w:rsidR="00302BFE" w:rsidRPr="008E1693" w:rsidRDefault="00302BFE" w:rsidP="00C46720">
      <w:pPr>
        <w:pStyle w:val="Paragraphedeliste"/>
        <w:numPr>
          <w:ilvl w:val="0"/>
          <w:numId w:val="41"/>
        </w:numPr>
        <w:spacing w:before="120" w:after="120"/>
        <w:ind w:left="284" w:hanging="147"/>
        <w:contextualSpacing/>
        <w:jc w:val="both"/>
        <w:rPr>
          <w:rFonts w:ascii="Calibri" w:hAnsi="Calibri"/>
          <w:bCs/>
          <w:sz w:val="20"/>
          <w:szCs w:val="20"/>
          <w:lang w:val="fr-CA"/>
        </w:rPr>
      </w:pPr>
      <w:r w:rsidRPr="008E1693">
        <w:rPr>
          <w:rFonts w:ascii="Calibri" w:hAnsi="Calibri"/>
          <w:bCs/>
          <w:sz w:val="20"/>
          <w:szCs w:val="20"/>
          <w:lang w:val="fr-CA"/>
        </w:rPr>
        <w:t xml:space="preserve"> </w:t>
      </w:r>
      <w:proofErr w:type="gramStart"/>
      <w:r w:rsidRPr="008E1693">
        <w:rPr>
          <w:rFonts w:ascii="Calibri" w:hAnsi="Calibri"/>
          <w:bCs/>
          <w:sz w:val="20"/>
          <w:szCs w:val="20"/>
          <w:lang w:val="fr-CA"/>
        </w:rPr>
        <w:t>production</w:t>
      </w:r>
      <w:proofErr w:type="gramEnd"/>
      <w:r w:rsidRPr="008E1693">
        <w:rPr>
          <w:rFonts w:ascii="Calibri" w:hAnsi="Calibri"/>
          <w:bCs/>
          <w:sz w:val="20"/>
          <w:szCs w:val="20"/>
          <w:lang w:val="fr-CA"/>
        </w:rPr>
        <w:t xml:space="preserve"> de lait de vache doublée en saison des pluies, passées de 1,5 à 2 litres/jour/vache à environ 3,5 l/j/vache ; de plus, les animaux ne présentent plus de forme cachectique (d’une maigreur alarmante);</w:t>
      </w:r>
    </w:p>
    <w:p w14:paraId="6A7E9D25" w14:textId="77777777" w:rsidR="00302BFE" w:rsidRPr="008E1693" w:rsidRDefault="00302BFE" w:rsidP="00C46720">
      <w:pPr>
        <w:pStyle w:val="Paragraphedeliste"/>
        <w:numPr>
          <w:ilvl w:val="0"/>
          <w:numId w:val="41"/>
        </w:numPr>
        <w:spacing w:before="120" w:after="120"/>
        <w:ind w:left="284" w:hanging="147"/>
        <w:contextualSpacing/>
        <w:jc w:val="both"/>
        <w:rPr>
          <w:rFonts w:ascii="Calibri" w:hAnsi="Calibri"/>
          <w:bCs/>
          <w:sz w:val="20"/>
          <w:szCs w:val="20"/>
          <w:lang w:val="fr-CA"/>
        </w:rPr>
      </w:pPr>
      <w:proofErr w:type="gramStart"/>
      <w:r w:rsidRPr="008E1693">
        <w:rPr>
          <w:rFonts w:ascii="Calibri" w:hAnsi="Calibri"/>
          <w:bCs/>
          <w:sz w:val="20"/>
          <w:szCs w:val="20"/>
          <w:lang w:val="fr-CA"/>
        </w:rPr>
        <w:t>conflits</w:t>
      </w:r>
      <w:proofErr w:type="gramEnd"/>
      <w:r w:rsidRPr="008E1693">
        <w:rPr>
          <w:rFonts w:ascii="Calibri" w:hAnsi="Calibri"/>
          <w:bCs/>
          <w:sz w:val="20"/>
          <w:szCs w:val="20"/>
          <w:lang w:val="fr-CA"/>
        </w:rPr>
        <w:t xml:space="preserve"> entre agriculteurs et éleveurs réduits, passant de 15 à 20 conflits par an à 2 ou 3 conflits par an ;</w:t>
      </w:r>
    </w:p>
    <w:p w14:paraId="165F971F" w14:textId="77777777" w:rsidR="00302BFE" w:rsidRPr="008E1693" w:rsidRDefault="00302BFE" w:rsidP="00C46720">
      <w:pPr>
        <w:pStyle w:val="Paragraphedeliste"/>
        <w:numPr>
          <w:ilvl w:val="0"/>
          <w:numId w:val="41"/>
        </w:numPr>
        <w:spacing w:before="120" w:after="120"/>
        <w:ind w:left="284" w:hanging="147"/>
        <w:contextualSpacing/>
        <w:jc w:val="both"/>
        <w:rPr>
          <w:rFonts w:ascii="Calibri" w:hAnsi="Calibri"/>
          <w:bCs/>
          <w:sz w:val="20"/>
          <w:szCs w:val="20"/>
          <w:lang w:val="fr-CA"/>
        </w:rPr>
      </w:pPr>
      <w:proofErr w:type="gramStart"/>
      <w:r w:rsidRPr="008E1693">
        <w:rPr>
          <w:rFonts w:ascii="Calibri" w:hAnsi="Calibri"/>
          <w:bCs/>
          <w:sz w:val="20"/>
          <w:szCs w:val="20"/>
          <w:lang w:val="fr-CA"/>
        </w:rPr>
        <w:t>meilleure</w:t>
      </w:r>
      <w:proofErr w:type="gramEnd"/>
      <w:r w:rsidRPr="008E1693">
        <w:rPr>
          <w:rFonts w:ascii="Calibri" w:hAnsi="Calibri"/>
          <w:bCs/>
          <w:sz w:val="20"/>
          <w:szCs w:val="20"/>
          <w:lang w:val="fr-CA"/>
        </w:rPr>
        <w:t xml:space="preserve"> rentabilité de la pratique de l’embouche grâce à une plus grande disponibilité du fourrage, menant à une meilleure condition des animaux dont le prix de vente pour une vache augmente de 510 $US (300 000 FCFA) à environ 680 $US (400 000 FCFA).</w:t>
      </w:r>
    </w:p>
    <w:p w14:paraId="6C352B58" w14:textId="77777777" w:rsidR="00302BFE" w:rsidRPr="008E1693" w:rsidRDefault="00302BFE" w:rsidP="00302BFE">
      <w:pPr>
        <w:pStyle w:val="Paragraphedeliste"/>
        <w:tabs>
          <w:tab w:val="left" w:pos="284"/>
        </w:tabs>
        <w:spacing w:before="240" w:after="120"/>
        <w:ind w:left="0"/>
        <w:jc w:val="both"/>
        <w:rPr>
          <w:rFonts w:ascii="Calibri" w:eastAsia="Times New Roman" w:hAnsi="Calibri"/>
          <w:i/>
          <w:iCs/>
          <w:color w:val="2F5496"/>
          <w:sz w:val="20"/>
          <w:szCs w:val="20"/>
          <w:lang w:val="fr-CA"/>
        </w:rPr>
      </w:pPr>
      <w:bookmarkStart w:id="104" w:name="_Toc2166326"/>
      <w:bookmarkEnd w:id="96"/>
      <w:bookmarkEnd w:id="97"/>
      <w:bookmarkEnd w:id="98"/>
      <w:r w:rsidRPr="008E1693">
        <w:rPr>
          <w:rFonts w:ascii="Calibri" w:eastAsia="Times New Roman" w:hAnsi="Calibri"/>
          <w:i/>
          <w:iCs/>
          <w:color w:val="2F5496"/>
          <w:sz w:val="20"/>
          <w:szCs w:val="20"/>
          <w:lang w:val="fr-CA"/>
        </w:rPr>
        <w:t>Développement de filières forestières</w:t>
      </w:r>
      <w:bookmarkEnd w:id="104"/>
    </w:p>
    <w:p w14:paraId="4ECCB9D1" w14:textId="77777777" w:rsidR="00302BFE" w:rsidRPr="008E1693" w:rsidRDefault="00302BFE" w:rsidP="00302BFE">
      <w:pPr>
        <w:spacing w:before="120" w:after="120"/>
        <w:ind w:left="-5"/>
        <w:contextualSpacing/>
        <w:rPr>
          <w:szCs w:val="20"/>
          <w:lang w:val="fr-CA"/>
        </w:rPr>
      </w:pPr>
      <w:r w:rsidRPr="008E1693">
        <w:rPr>
          <w:szCs w:val="20"/>
          <w:lang w:val="fr-CA" w:eastAsia="fr-MC"/>
        </w:rPr>
        <w:t xml:space="preserve">L’exploitation des ressources forestières contribue à l’amélioration des conditions de vie des populations locales. </w:t>
      </w:r>
      <w:r w:rsidRPr="008E1693">
        <w:rPr>
          <w:szCs w:val="20"/>
          <w:lang w:val="fr-CA"/>
        </w:rPr>
        <w:t xml:space="preserve">Selon ZAHONOGO (2009) cité par Ouédraogo et al. (2016), le revenu global annuel moyen est de 222$US (130 411 FCFA) pour les ménages participant à l’exploitation des ressources forestières contre 210$US (123 316 FCFA) pour les autres types de ménage. La même étude faisait remarquer, sur la base d’un seuil de pauvreté rurale de 92$US (53 861 FCFA), que l’incidence de la pauvreté de 50% pour les ménages qui participent à l’exploitation forestière est moins prononcée que pour les autres ménages où l’incidence est estimée à 54%. </w:t>
      </w:r>
    </w:p>
    <w:p w14:paraId="1F0161AB" w14:textId="77777777" w:rsidR="00302BFE" w:rsidRPr="008E1693" w:rsidRDefault="00302BFE" w:rsidP="00302BFE">
      <w:pPr>
        <w:pStyle w:val="Paragraphedeliste"/>
        <w:tabs>
          <w:tab w:val="left" w:pos="284"/>
        </w:tabs>
        <w:spacing w:before="120" w:after="120"/>
        <w:ind w:left="0"/>
        <w:jc w:val="both"/>
        <w:rPr>
          <w:rFonts w:ascii="Calibri" w:hAnsi="Calibri"/>
          <w:sz w:val="20"/>
          <w:szCs w:val="20"/>
          <w:lang w:val="fr-CA"/>
        </w:rPr>
      </w:pPr>
      <w:r w:rsidRPr="008E1693">
        <w:rPr>
          <w:rFonts w:ascii="Calibri" w:hAnsi="Calibri"/>
          <w:sz w:val="20"/>
          <w:szCs w:val="20"/>
          <w:lang w:val="fr-CA"/>
        </w:rPr>
        <w:t>Dans l’aire paysagère du complexe de PONASI, le potentiel élevé en ressources forestières favorise le développement de filières porteuses basées sur les produits ligneux (bois combustible et charbon de bois) et non ligneux.</w:t>
      </w:r>
    </w:p>
    <w:p w14:paraId="130C8F53" w14:textId="77777777" w:rsidR="00302BFE" w:rsidRPr="008E1693" w:rsidRDefault="00302BFE" w:rsidP="00C46720">
      <w:pPr>
        <w:pStyle w:val="Paragraphedeliste"/>
        <w:numPr>
          <w:ilvl w:val="0"/>
          <w:numId w:val="42"/>
        </w:numPr>
        <w:spacing w:before="120" w:after="120"/>
        <w:contextualSpacing/>
        <w:jc w:val="both"/>
        <w:rPr>
          <w:rFonts w:ascii="Calibri" w:hAnsi="Calibri"/>
          <w:b/>
          <w:sz w:val="20"/>
          <w:szCs w:val="20"/>
        </w:rPr>
      </w:pPr>
      <w:r w:rsidRPr="008E1693">
        <w:rPr>
          <w:rFonts w:ascii="Calibri" w:hAnsi="Calibri"/>
          <w:b/>
          <w:sz w:val="20"/>
          <w:szCs w:val="20"/>
        </w:rPr>
        <w:t xml:space="preserve">Le </w:t>
      </w:r>
      <w:proofErr w:type="spellStart"/>
      <w:r w:rsidRPr="008E1693">
        <w:rPr>
          <w:rFonts w:ascii="Calibri" w:hAnsi="Calibri"/>
          <w:b/>
          <w:sz w:val="20"/>
          <w:szCs w:val="20"/>
        </w:rPr>
        <w:t>bois-énergie</w:t>
      </w:r>
      <w:proofErr w:type="spellEnd"/>
    </w:p>
    <w:p w14:paraId="63E33173" w14:textId="77777777" w:rsidR="00302BFE" w:rsidRPr="008E1693" w:rsidRDefault="00302BFE" w:rsidP="00302BFE">
      <w:pPr>
        <w:spacing w:before="120" w:after="120"/>
        <w:rPr>
          <w:szCs w:val="20"/>
          <w:lang w:val="fr-CA"/>
        </w:rPr>
      </w:pPr>
      <w:r w:rsidRPr="008E1693">
        <w:rPr>
          <w:szCs w:val="20"/>
          <w:lang w:val="fr-CA"/>
        </w:rPr>
        <w:t xml:space="preserve">La filière bois-énergie (bois de feu, charbon de bois) est développée dans certaines communes notamment celles disposant de chantier d’aménagement (Nobéré, Doulougou, Toécé, </w:t>
      </w:r>
      <w:proofErr w:type="spellStart"/>
      <w:r w:rsidRPr="008E1693">
        <w:rPr>
          <w:szCs w:val="20"/>
          <w:lang w:val="fr-CA"/>
        </w:rPr>
        <w:t>Bieha</w:t>
      </w:r>
      <w:proofErr w:type="spellEnd"/>
      <w:r w:rsidRPr="008E1693">
        <w:rPr>
          <w:szCs w:val="20"/>
          <w:lang w:val="fr-CA"/>
        </w:rPr>
        <w:t xml:space="preserve">). Le circuit le plus organisé est celui des chantiers d’aménagement forestier (CAF). À sa mise en place, cette filière contribuait considérablement aux revenus des acteurs impliqués. Cependant, l’exemple du CAF </w:t>
      </w:r>
      <w:proofErr w:type="spellStart"/>
      <w:r w:rsidRPr="008E1693">
        <w:rPr>
          <w:szCs w:val="20"/>
          <w:lang w:val="fr-CA"/>
        </w:rPr>
        <w:t>Nakambé</w:t>
      </w:r>
      <w:proofErr w:type="spellEnd"/>
      <w:r w:rsidRPr="008E1693">
        <w:rPr>
          <w:szCs w:val="20"/>
          <w:lang w:val="fr-CA"/>
        </w:rPr>
        <w:t xml:space="preserve"> montre que les revenus sont en baisse depuis 2011, reflétant une baisse de la production attribuable à une mauvaise gestion des CAF. Le CAF </w:t>
      </w:r>
      <w:proofErr w:type="spellStart"/>
      <w:r w:rsidRPr="008E1693">
        <w:rPr>
          <w:szCs w:val="20"/>
          <w:lang w:val="fr-CA"/>
        </w:rPr>
        <w:t>Nakambé</w:t>
      </w:r>
      <w:proofErr w:type="spellEnd"/>
      <w:r w:rsidRPr="008E1693">
        <w:rPr>
          <w:szCs w:val="20"/>
          <w:lang w:val="fr-CA"/>
        </w:rPr>
        <w:t xml:space="preserve"> est composé de deux massifs forestiers qui couvrent une superficie de 21 424 ha, </w:t>
      </w:r>
      <w:proofErr w:type="spellStart"/>
      <w:r w:rsidRPr="008E1693">
        <w:rPr>
          <w:szCs w:val="20"/>
          <w:lang w:val="fr-CA"/>
        </w:rPr>
        <w:t>Nakambé</w:t>
      </w:r>
      <w:proofErr w:type="spellEnd"/>
      <w:r w:rsidRPr="008E1693">
        <w:rPr>
          <w:szCs w:val="20"/>
          <w:lang w:val="fr-CA"/>
        </w:rPr>
        <w:t xml:space="preserve"> et </w:t>
      </w:r>
      <w:proofErr w:type="spellStart"/>
      <w:r w:rsidRPr="008E1693">
        <w:rPr>
          <w:szCs w:val="20"/>
          <w:lang w:val="fr-CA"/>
        </w:rPr>
        <w:t>Nazinon</w:t>
      </w:r>
      <w:proofErr w:type="spellEnd"/>
      <w:r w:rsidRPr="008E1693">
        <w:rPr>
          <w:szCs w:val="20"/>
          <w:lang w:val="fr-CA"/>
        </w:rPr>
        <w:t xml:space="preserve"> Nord, dans la région du Centre-Sud, à cheval entre les provinces du Zoundwéogo et du Bazèga. Il. L’amélioration de la gestion des CAF permettra leur restauration ce qui rétablirait ou augmenterait les bénéfices au profit des acteurs.</w:t>
      </w:r>
    </w:p>
    <w:p w14:paraId="1DED01DD" w14:textId="716E6199" w:rsidR="00302BFE" w:rsidRPr="0075595E" w:rsidRDefault="00302BFE" w:rsidP="00302BFE">
      <w:pPr>
        <w:spacing w:after="0"/>
        <w:rPr>
          <w:sz w:val="16"/>
          <w:szCs w:val="16"/>
          <w:lang w:val="fr-CA"/>
        </w:rPr>
      </w:pPr>
      <w:bookmarkStart w:id="105" w:name="_Toc2166345"/>
      <w:r w:rsidRPr="008E1693">
        <w:rPr>
          <w:rFonts w:eastAsia="Times New Roman"/>
          <w:b/>
          <w:szCs w:val="20"/>
          <w:lang w:val="fr-CA"/>
        </w:rPr>
        <w:t xml:space="preserve">Figure </w:t>
      </w:r>
      <w:r w:rsidRPr="00091F0E">
        <w:rPr>
          <w:rFonts w:eastAsia="Times New Roman"/>
          <w:b/>
          <w:szCs w:val="20"/>
        </w:rPr>
        <w:fldChar w:fldCharType="begin"/>
      </w:r>
      <w:r w:rsidRPr="00091F0E">
        <w:rPr>
          <w:rFonts w:eastAsia="Times New Roman"/>
          <w:b/>
          <w:szCs w:val="20"/>
          <w:lang w:val="fr-CA"/>
        </w:rPr>
        <w:instrText xml:space="preserve"> SEQ Figure \* ARABIC </w:instrText>
      </w:r>
      <w:r w:rsidRPr="00091F0E">
        <w:rPr>
          <w:rFonts w:eastAsia="Times New Roman"/>
          <w:b/>
          <w:szCs w:val="20"/>
        </w:rPr>
        <w:fldChar w:fldCharType="separate"/>
      </w:r>
      <w:r w:rsidR="00EB5F3C">
        <w:rPr>
          <w:rFonts w:eastAsia="Times New Roman"/>
          <w:b/>
          <w:noProof/>
          <w:szCs w:val="20"/>
          <w:lang w:val="fr-CA"/>
        </w:rPr>
        <w:t>1</w:t>
      </w:r>
      <w:r w:rsidRPr="00091F0E">
        <w:rPr>
          <w:rFonts w:eastAsia="Times New Roman"/>
          <w:b/>
          <w:szCs w:val="20"/>
        </w:rPr>
        <w:fldChar w:fldCharType="end"/>
      </w:r>
      <w:r w:rsidRPr="008E1693">
        <w:rPr>
          <w:rFonts w:eastAsia="Times New Roman"/>
          <w:b/>
          <w:szCs w:val="20"/>
          <w:lang w:val="fr-CA"/>
        </w:rPr>
        <w:t xml:space="preserve"> : Évolution des recettes du CAF </w:t>
      </w:r>
      <w:proofErr w:type="spellStart"/>
      <w:r w:rsidRPr="008E1693">
        <w:rPr>
          <w:rFonts w:eastAsia="Times New Roman"/>
          <w:b/>
          <w:szCs w:val="20"/>
          <w:lang w:val="fr-CA"/>
        </w:rPr>
        <w:t>Nakambé</w:t>
      </w:r>
      <w:proofErr w:type="spellEnd"/>
      <w:r w:rsidRPr="008E1693">
        <w:rPr>
          <w:rFonts w:eastAsia="Times New Roman"/>
          <w:b/>
          <w:szCs w:val="20"/>
          <w:lang w:val="fr-CA"/>
        </w:rPr>
        <w:t xml:space="preserve"> entre 2010 et 2015</w:t>
      </w:r>
      <w:bookmarkEnd w:id="105"/>
      <w:r w:rsidRPr="008E1693">
        <w:rPr>
          <w:rFonts w:eastAsia="Times New Roman"/>
          <w:b/>
          <w:szCs w:val="20"/>
          <w:lang w:val="fr-CA"/>
        </w:rPr>
        <w:t xml:space="preserve"> </w:t>
      </w:r>
      <w:r>
        <w:rPr>
          <w:rFonts w:eastAsia="Times New Roman"/>
          <w:b/>
          <w:szCs w:val="20"/>
          <w:lang w:val="fr-CA"/>
        </w:rPr>
        <w:t>(</w:t>
      </w:r>
      <w:r w:rsidRPr="0075595E">
        <w:rPr>
          <w:color w:val="595959"/>
          <w:sz w:val="18"/>
          <w:szCs w:val="18"/>
          <w:lang w:val="fr-CA"/>
        </w:rPr>
        <w:t xml:space="preserve">Montant des recettes </w:t>
      </w:r>
      <w:r>
        <w:rPr>
          <w:color w:val="595959"/>
          <w:sz w:val="18"/>
          <w:szCs w:val="18"/>
          <w:lang w:val="fr-CA"/>
        </w:rPr>
        <w:t xml:space="preserve">en </w:t>
      </w:r>
      <w:r w:rsidRPr="0075595E">
        <w:rPr>
          <w:color w:val="595959"/>
          <w:sz w:val="18"/>
          <w:szCs w:val="18"/>
          <w:lang w:val="fr-CA"/>
        </w:rPr>
        <w:t>millions FCFA)</w:t>
      </w:r>
      <w:r>
        <w:rPr>
          <w:color w:val="595959"/>
          <w:sz w:val="18"/>
          <w:szCs w:val="18"/>
          <w:lang w:val="fr-CA"/>
        </w:rPr>
        <w:t xml:space="preserve"> </w:t>
      </w:r>
    </w:p>
    <w:p w14:paraId="286D4325" w14:textId="77777777" w:rsidR="00302BFE" w:rsidRDefault="00302BFE" w:rsidP="00302BFE">
      <w:pPr>
        <w:spacing w:before="120" w:after="120"/>
        <w:contextualSpacing/>
        <w:rPr>
          <w:rFonts w:eastAsia="Times New Roman"/>
          <w:b/>
          <w:szCs w:val="20"/>
        </w:rPr>
      </w:pPr>
      <w:r>
        <w:rPr>
          <w:noProof/>
        </w:rPr>
        <w:lastRenderedPageBreak/>
        <mc:AlternateContent>
          <mc:Choice Requires="wpg">
            <w:drawing>
              <wp:inline distT="0" distB="0" distL="0" distR="0" wp14:anchorId="5AAF24AF" wp14:editId="0C1F3FD8">
                <wp:extent cx="5450840" cy="2373630"/>
                <wp:effectExtent l="0" t="0" r="0" b="0"/>
                <wp:docPr id="15" name="Groupe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0840" cy="2373630"/>
                          <a:chOff x="0" y="-392667"/>
                          <a:chExt cx="4433316" cy="2595745"/>
                        </a:xfrm>
                      </wpg:grpSpPr>
                      <wps:wsp>
                        <wps:cNvPr id="16" name="Rectangle 13068"/>
                        <wps:cNvSpPr>
                          <a:spLocks noChangeArrowheads="1"/>
                        </wps:cNvSpPr>
                        <wps:spPr bwMode="auto">
                          <a:xfrm>
                            <a:off x="4382643" y="1978698"/>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5BBA6" w14:textId="77777777" w:rsidR="00ED1ADA" w:rsidRDefault="00ED1ADA" w:rsidP="00302BFE">
                              <w:r>
                                <w:t xml:space="preserve"> </w:t>
                              </w:r>
                            </w:p>
                          </w:txbxContent>
                        </wps:txbx>
                        <wps:bodyPr rot="0" vert="horz" wrap="square" lIns="0" tIns="0" rIns="0" bIns="0" anchor="t" anchorCtr="0" upright="1">
                          <a:noAutofit/>
                        </wps:bodyPr>
                      </wps:wsp>
                      <wps:wsp>
                        <wps:cNvPr id="17" name="Shape 13098"/>
                        <wps:cNvSpPr>
                          <a:spLocks/>
                        </wps:cNvSpPr>
                        <wps:spPr bwMode="auto">
                          <a:xfrm>
                            <a:off x="670814" y="1353376"/>
                            <a:ext cx="3549396" cy="0"/>
                          </a:xfrm>
                          <a:custGeom>
                            <a:avLst/>
                            <a:gdLst>
                              <a:gd name="T0" fmla="*/ 0 w 3549396"/>
                              <a:gd name="T1" fmla="*/ 3549396 w 3549396"/>
                              <a:gd name="T2" fmla="*/ 0 w 3549396"/>
                              <a:gd name="T3" fmla="*/ 3549396 w 3549396"/>
                            </a:gdLst>
                            <a:ahLst/>
                            <a:cxnLst>
                              <a:cxn ang="0">
                                <a:pos x="T0" y="0"/>
                              </a:cxn>
                              <a:cxn ang="0">
                                <a:pos x="T1" y="0"/>
                              </a:cxn>
                            </a:cxnLst>
                            <a:rect l="T2" t="0" r="T3" b="0"/>
                            <a:pathLst>
                              <a:path w="3549396">
                                <a:moveTo>
                                  <a:pt x="0" y="0"/>
                                </a:moveTo>
                                <a:lnTo>
                                  <a:pt x="3549396" y="0"/>
                                </a:lnTo>
                              </a:path>
                            </a:pathLst>
                          </a:custGeom>
                          <a:noFill/>
                          <a:ln w="3048"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Shape 13099"/>
                        <wps:cNvSpPr>
                          <a:spLocks/>
                        </wps:cNvSpPr>
                        <wps:spPr bwMode="auto">
                          <a:xfrm>
                            <a:off x="670814" y="1152207"/>
                            <a:ext cx="3549396" cy="0"/>
                          </a:xfrm>
                          <a:custGeom>
                            <a:avLst/>
                            <a:gdLst>
                              <a:gd name="T0" fmla="*/ 0 w 3549396"/>
                              <a:gd name="T1" fmla="*/ 3549396 w 3549396"/>
                              <a:gd name="T2" fmla="*/ 0 w 3549396"/>
                              <a:gd name="T3" fmla="*/ 3549396 w 3549396"/>
                            </a:gdLst>
                            <a:ahLst/>
                            <a:cxnLst>
                              <a:cxn ang="0">
                                <a:pos x="T0" y="0"/>
                              </a:cxn>
                              <a:cxn ang="0">
                                <a:pos x="T1" y="0"/>
                              </a:cxn>
                            </a:cxnLst>
                            <a:rect l="T2" t="0" r="T3" b="0"/>
                            <a:pathLst>
                              <a:path w="3549396">
                                <a:moveTo>
                                  <a:pt x="0" y="0"/>
                                </a:moveTo>
                                <a:lnTo>
                                  <a:pt x="3549396" y="0"/>
                                </a:lnTo>
                              </a:path>
                            </a:pathLst>
                          </a:custGeom>
                          <a:noFill/>
                          <a:ln w="3048"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Shape 13100"/>
                        <wps:cNvSpPr>
                          <a:spLocks/>
                        </wps:cNvSpPr>
                        <wps:spPr bwMode="auto">
                          <a:xfrm>
                            <a:off x="670814" y="949516"/>
                            <a:ext cx="3549396" cy="0"/>
                          </a:xfrm>
                          <a:custGeom>
                            <a:avLst/>
                            <a:gdLst>
                              <a:gd name="T0" fmla="*/ 0 w 3549396"/>
                              <a:gd name="T1" fmla="*/ 3549396 w 3549396"/>
                              <a:gd name="T2" fmla="*/ 0 w 3549396"/>
                              <a:gd name="T3" fmla="*/ 3549396 w 3549396"/>
                            </a:gdLst>
                            <a:ahLst/>
                            <a:cxnLst>
                              <a:cxn ang="0">
                                <a:pos x="T0" y="0"/>
                              </a:cxn>
                              <a:cxn ang="0">
                                <a:pos x="T1" y="0"/>
                              </a:cxn>
                            </a:cxnLst>
                            <a:rect l="T2" t="0" r="T3" b="0"/>
                            <a:pathLst>
                              <a:path w="3549396">
                                <a:moveTo>
                                  <a:pt x="0" y="0"/>
                                </a:moveTo>
                                <a:lnTo>
                                  <a:pt x="3549396" y="0"/>
                                </a:lnTo>
                              </a:path>
                            </a:pathLst>
                          </a:custGeom>
                          <a:noFill/>
                          <a:ln w="3048"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Shape 13101"/>
                        <wps:cNvSpPr>
                          <a:spLocks/>
                        </wps:cNvSpPr>
                        <wps:spPr bwMode="auto">
                          <a:xfrm>
                            <a:off x="670814" y="746823"/>
                            <a:ext cx="3549396" cy="0"/>
                          </a:xfrm>
                          <a:custGeom>
                            <a:avLst/>
                            <a:gdLst>
                              <a:gd name="T0" fmla="*/ 0 w 3549396"/>
                              <a:gd name="T1" fmla="*/ 3549396 w 3549396"/>
                              <a:gd name="T2" fmla="*/ 0 w 3549396"/>
                              <a:gd name="T3" fmla="*/ 3549396 w 3549396"/>
                            </a:gdLst>
                            <a:ahLst/>
                            <a:cxnLst>
                              <a:cxn ang="0">
                                <a:pos x="T0" y="0"/>
                              </a:cxn>
                              <a:cxn ang="0">
                                <a:pos x="T1" y="0"/>
                              </a:cxn>
                            </a:cxnLst>
                            <a:rect l="T2" t="0" r="T3" b="0"/>
                            <a:pathLst>
                              <a:path w="3549396">
                                <a:moveTo>
                                  <a:pt x="0" y="0"/>
                                </a:moveTo>
                                <a:lnTo>
                                  <a:pt x="3549396" y="0"/>
                                </a:lnTo>
                              </a:path>
                            </a:pathLst>
                          </a:custGeom>
                          <a:noFill/>
                          <a:ln w="3048"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Shape 13102"/>
                        <wps:cNvSpPr>
                          <a:spLocks/>
                        </wps:cNvSpPr>
                        <wps:spPr bwMode="auto">
                          <a:xfrm>
                            <a:off x="670814" y="544132"/>
                            <a:ext cx="3549396" cy="0"/>
                          </a:xfrm>
                          <a:custGeom>
                            <a:avLst/>
                            <a:gdLst>
                              <a:gd name="T0" fmla="*/ 0 w 3549396"/>
                              <a:gd name="T1" fmla="*/ 3549396 w 3549396"/>
                              <a:gd name="T2" fmla="*/ 0 w 3549396"/>
                              <a:gd name="T3" fmla="*/ 3549396 w 3549396"/>
                            </a:gdLst>
                            <a:ahLst/>
                            <a:cxnLst>
                              <a:cxn ang="0">
                                <a:pos x="T0" y="0"/>
                              </a:cxn>
                              <a:cxn ang="0">
                                <a:pos x="T1" y="0"/>
                              </a:cxn>
                            </a:cxnLst>
                            <a:rect l="T2" t="0" r="T3" b="0"/>
                            <a:pathLst>
                              <a:path w="3549396">
                                <a:moveTo>
                                  <a:pt x="0" y="0"/>
                                </a:moveTo>
                                <a:lnTo>
                                  <a:pt x="3549396" y="0"/>
                                </a:lnTo>
                              </a:path>
                            </a:pathLst>
                          </a:custGeom>
                          <a:noFill/>
                          <a:ln w="3048"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Shape 13103"/>
                        <wps:cNvSpPr>
                          <a:spLocks/>
                        </wps:cNvSpPr>
                        <wps:spPr bwMode="auto">
                          <a:xfrm>
                            <a:off x="670814" y="341440"/>
                            <a:ext cx="3549396" cy="0"/>
                          </a:xfrm>
                          <a:custGeom>
                            <a:avLst/>
                            <a:gdLst>
                              <a:gd name="T0" fmla="*/ 0 w 3549396"/>
                              <a:gd name="T1" fmla="*/ 3549396 w 3549396"/>
                              <a:gd name="T2" fmla="*/ 0 w 3549396"/>
                              <a:gd name="T3" fmla="*/ 3549396 w 3549396"/>
                            </a:gdLst>
                            <a:ahLst/>
                            <a:cxnLst>
                              <a:cxn ang="0">
                                <a:pos x="T0" y="0"/>
                              </a:cxn>
                              <a:cxn ang="0">
                                <a:pos x="T1" y="0"/>
                              </a:cxn>
                            </a:cxnLst>
                            <a:rect l="T2" t="0" r="T3" b="0"/>
                            <a:pathLst>
                              <a:path w="3549396">
                                <a:moveTo>
                                  <a:pt x="0" y="0"/>
                                </a:moveTo>
                                <a:lnTo>
                                  <a:pt x="3549396" y="0"/>
                                </a:lnTo>
                              </a:path>
                            </a:pathLst>
                          </a:custGeom>
                          <a:noFill/>
                          <a:ln w="3048"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Shape 13104"/>
                        <wps:cNvSpPr>
                          <a:spLocks/>
                        </wps:cNvSpPr>
                        <wps:spPr bwMode="auto">
                          <a:xfrm>
                            <a:off x="670814" y="138747"/>
                            <a:ext cx="3549396" cy="0"/>
                          </a:xfrm>
                          <a:custGeom>
                            <a:avLst/>
                            <a:gdLst>
                              <a:gd name="T0" fmla="*/ 0 w 3549396"/>
                              <a:gd name="T1" fmla="*/ 3549396 w 3549396"/>
                              <a:gd name="T2" fmla="*/ 0 w 3549396"/>
                              <a:gd name="T3" fmla="*/ 3549396 w 3549396"/>
                            </a:gdLst>
                            <a:ahLst/>
                            <a:cxnLst>
                              <a:cxn ang="0">
                                <a:pos x="T0" y="0"/>
                              </a:cxn>
                              <a:cxn ang="0">
                                <a:pos x="T1" y="0"/>
                              </a:cxn>
                            </a:cxnLst>
                            <a:rect l="T2" t="0" r="T3" b="0"/>
                            <a:pathLst>
                              <a:path w="3549396">
                                <a:moveTo>
                                  <a:pt x="0" y="0"/>
                                </a:moveTo>
                                <a:lnTo>
                                  <a:pt x="3549396" y="0"/>
                                </a:lnTo>
                              </a:path>
                            </a:pathLst>
                          </a:custGeom>
                          <a:noFill/>
                          <a:ln w="3048"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Shape 13105"/>
                        <wps:cNvSpPr>
                          <a:spLocks/>
                        </wps:cNvSpPr>
                        <wps:spPr bwMode="auto">
                          <a:xfrm>
                            <a:off x="670814" y="138747"/>
                            <a:ext cx="3549396" cy="1417320"/>
                          </a:xfrm>
                          <a:custGeom>
                            <a:avLst/>
                            <a:gdLst>
                              <a:gd name="T0" fmla="*/ 0 w 3549396"/>
                              <a:gd name="T1" fmla="*/ 1417320 h 1417320"/>
                              <a:gd name="T2" fmla="*/ 3549396 w 3549396"/>
                              <a:gd name="T3" fmla="*/ 1417320 h 1417320"/>
                              <a:gd name="T4" fmla="*/ 3549396 w 3549396"/>
                              <a:gd name="T5" fmla="*/ 0 h 1417320"/>
                              <a:gd name="T6" fmla="*/ 0 w 3549396"/>
                              <a:gd name="T7" fmla="*/ 0 h 1417320"/>
                              <a:gd name="T8" fmla="*/ 0 w 3549396"/>
                              <a:gd name="T9" fmla="*/ 1417320 h 1417320"/>
                              <a:gd name="T10" fmla="*/ 0 w 3549396"/>
                              <a:gd name="T11" fmla="*/ 0 h 1417320"/>
                              <a:gd name="T12" fmla="*/ 3549396 w 3549396"/>
                              <a:gd name="T13" fmla="*/ 1417320 h 1417320"/>
                            </a:gdLst>
                            <a:ahLst/>
                            <a:cxnLst>
                              <a:cxn ang="0">
                                <a:pos x="T0" y="T1"/>
                              </a:cxn>
                              <a:cxn ang="0">
                                <a:pos x="T2" y="T3"/>
                              </a:cxn>
                              <a:cxn ang="0">
                                <a:pos x="T4" y="T5"/>
                              </a:cxn>
                              <a:cxn ang="0">
                                <a:pos x="T6" y="T7"/>
                              </a:cxn>
                              <a:cxn ang="0">
                                <a:pos x="T8" y="T9"/>
                              </a:cxn>
                            </a:cxnLst>
                            <a:rect l="T10" t="T11" r="T12" b="T13"/>
                            <a:pathLst>
                              <a:path w="3549396" h="1417320">
                                <a:moveTo>
                                  <a:pt x="0" y="1417320"/>
                                </a:moveTo>
                                <a:lnTo>
                                  <a:pt x="3549396" y="1417320"/>
                                </a:lnTo>
                                <a:lnTo>
                                  <a:pt x="3549396" y="0"/>
                                </a:lnTo>
                                <a:lnTo>
                                  <a:pt x="0" y="0"/>
                                </a:lnTo>
                                <a:lnTo>
                                  <a:pt x="0" y="1417320"/>
                                </a:lnTo>
                                <a:close/>
                              </a:path>
                            </a:pathLst>
                          </a:custGeom>
                          <a:noFill/>
                          <a:ln w="3048"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 name="Picture 17806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869442" y="275908"/>
                            <a:ext cx="3148584" cy="1283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Picture 17806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869442" y="275908"/>
                            <a:ext cx="3148584" cy="1283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17806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869442" y="275908"/>
                            <a:ext cx="3148584" cy="1283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Picture 17806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869442" y="275908"/>
                            <a:ext cx="3148584" cy="1283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 name="Picture 17806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869442" y="275908"/>
                            <a:ext cx="3148584" cy="1283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17807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869442" y="275908"/>
                            <a:ext cx="3148584" cy="1283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Shape 13112"/>
                        <wps:cNvSpPr>
                          <a:spLocks/>
                        </wps:cNvSpPr>
                        <wps:spPr bwMode="auto">
                          <a:xfrm>
                            <a:off x="873506" y="278956"/>
                            <a:ext cx="185928" cy="1277620"/>
                          </a:xfrm>
                          <a:custGeom>
                            <a:avLst/>
                            <a:gdLst>
                              <a:gd name="T0" fmla="*/ 0 w 185928"/>
                              <a:gd name="T1" fmla="*/ 0 h 1277620"/>
                              <a:gd name="T2" fmla="*/ 185928 w 185928"/>
                              <a:gd name="T3" fmla="*/ 0 h 1277620"/>
                              <a:gd name="T4" fmla="*/ 185928 w 185928"/>
                              <a:gd name="T5" fmla="*/ 1277620 h 1277620"/>
                              <a:gd name="T6" fmla="*/ 0 w 185928"/>
                              <a:gd name="T7" fmla="*/ 1277620 h 1277620"/>
                              <a:gd name="T8" fmla="*/ 0 w 185928"/>
                              <a:gd name="T9" fmla="*/ 0 h 1277620"/>
                              <a:gd name="T10" fmla="*/ 0 w 185928"/>
                              <a:gd name="T11" fmla="*/ 0 h 1277620"/>
                              <a:gd name="T12" fmla="*/ 185928 w 185928"/>
                              <a:gd name="T13" fmla="*/ 1277620 h 1277620"/>
                            </a:gdLst>
                            <a:ahLst/>
                            <a:cxnLst>
                              <a:cxn ang="0">
                                <a:pos x="T0" y="T1"/>
                              </a:cxn>
                              <a:cxn ang="0">
                                <a:pos x="T2" y="T3"/>
                              </a:cxn>
                              <a:cxn ang="0">
                                <a:pos x="T4" y="T5"/>
                              </a:cxn>
                              <a:cxn ang="0">
                                <a:pos x="T6" y="T7"/>
                              </a:cxn>
                              <a:cxn ang="0">
                                <a:pos x="T8" y="T9"/>
                              </a:cxn>
                            </a:cxnLst>
                            <a:rect l="T10" t="T11" r="T12" b="T13"/>
                            <a:pathLst>
                              <a:path w="185928" h="1277620">
                                <a:moveTo>
                                  <a:pt x="0" y="0"/>
                                </a:moveTo>
                                <a:lnTo>
                                  <a:pt x="185928" y="0"/>
                                </a:lnTo>
                                <a:lnTo>
                                  <a:pt x="185928" y="1277620"/>
                                </a:lnTo>
                                <a:lnTo>
                                  <a:pt x="0" y="1277620"/>
                                </a:lnTo>
                                <a:lnTo>
                                  <a:pt x="0" y="0"/>
                                </a:ln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Shape 13113"/>
                        <wps:cNvSpPr>
                          <a:spLocks/>
                        </wps:cNvSpPr>
                        <wps:spPr bwMode="auto">
                          <a:xfrm>
                            <a:off x="1464818" y="527368"/>
                            <a:ext cx="185928" cy="1029208"/>
                          </a:xfrm>
                          <a:custGeom>
                            <a:avLst/>
                            <a:gdLst>
                              <a:gd name="T0" fmla="*/ 0 w 185928"/>
                              <a:gd name="T1" fmla="*/ 0 h 1029208"/>
                              <a:gd name="T2" fmla="*/ 185928 w 185928"/>
                              <a:gd name="T3" fmla="*/ 0 h 1029208"/>
                              <a:gd name="T4" fmla="*/ 185928 w 185928"/>
                              <a:gd name="T5" fmla="*/ 1029208 h 1029208"/>
                              <a:gd name="T6" fmla="*/ 0 w 185928"/>
                              <a:gd name="T7" fmla="*/ 1029208 h 1029208"/>
                              <a:gd name="T8" fmla="*/ 0 w 185928"/>
                              <a:gd name="T9" fmla="*/ 0 h 1029208"/>
                              <a:gd name="T10" fmla="*/ 0 w 185928"/>
                              <a:gd name="T11" fmla="*/ 0 h 1029208"/>
                              <a:gd name="T12" fmla="*/ 185928 w 185928"/>
                              <a:gd name="T13" fmla="*/ 1029208 h 1029208"/>
                            </a:gdLst>
                            <a:ahLst/>
                            <a:cxnLst>
                              <a:cxn ang="0">
                                <a:pos x="T0" y="T1"/>
                              </a:cxn>
                              <a:cxn ang="0">
                                <a:pos x="T2" y="T3"/>
                              </a:cxn>
                              <a:cxn ang="0">
                                <a:pos x="T4" y="T5"/>
                              </a:cxn>
                              <a:cxn ang="0">
                                <a:pos x="T6" y="T7"/>
                              </a:cxn>
                              <a:cxn ang="0">
                                <a:pos x="T8" y="T9"/>
                              </a:cxn>
                            </a:cxnLst>
                            <a:rect l="T10" t="T11" r="T12" b="T13"/>
                            <a:pathLst>
                              <a:path w="185928" h="1029208">
                                <a:moveTo>
                                  <a:pt x="0" y="0"/>
                                </a:moveTo>
                                <a:lnTo>
                                  <a:pt x="185928" y="0"/>
                                </a:lnTo>
                                <a:lnTo>
                                  <a:pt x="185928" y="1029208"/>
                                </a:lnTo>
                                <a:lnTo>
                                  <a:pt x="0" y="1029208"/>
                                </a:lnTo>
                                <a:lnTo>
                                  <a:pt x="0" y="0"/>
                                </a:ln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Shape 13114"/>
                        <wps:cNvSpPr>
                          <a:spLocks/>
                        </wps:cNvSpPr>
                        <wps:spPr bwMode="auto">
                          <a:xfrm>
                            <a:off x="2057654" y="679768"/>
                            <a:ext cx="184404" cy="876808"/>
                          </a:xfrm>
                          <a:custGeom>
                            <a:avLst/>
                            <a:gdLst>
                              <a:gd name="T0" fmla="*/ 0 w 184404"/>
                              <a:gd name="T1" fmla="*/ 0 h 876808"/>
                              <a:gd name="T2" fmla="*/ 184404 w 184404"/>
                              <a:gd name="T3" fmla="*/ 0 h 876808"/>
                              <a:gd name="T4" fmla="*/ 184404 w 184404"/>
                              <a:gd name="T5" fmla="*/ 876808 h 876808"/>
                              <a:gd name="T6" fmla="*/ 0 w 184404"/>
                              <a:gd name="T7" fmla="*/ 876808 h 876808"/>
                              <a:gd name="T8" fmla="*/ 0 w 184404"/>
                              <a:gd name="T9" fmla="*/ 0 h 876808"/>
                              <a:gd name="T10" fmla="*/ 0 w 184404"/>
                              <a:gd name="T11" fmla="*/ 0 h 876808"/>
                              <a:gd name="T12" fmla="*/ 184404 w 184404"/>
                              <a:gd name="T13" fmla="*/ 876808 h 876808"/>
                            </a:gdLst>
                            <a:ahLst/>
                            <a:cxnLst>
                              <a:cxn ang="0">
                                <a:pos x="T0" y="T1"/>
                              </a:cxn>
                              <a:cxn ang="0">
                                <a:pos x="T2" y="T3"/>
                              </a:cxn>
                              <a:cxn ang="0">
                                <a:pos x="T4" y="T5"/>
                              </a:cxn>
                              <a:cxn ang="0">
                                <a:pos x="T6" y="T7"/>
                              </a:cxn>
                              <a:cxn ang="0">
                                <a:pos x="T8" y="T9"/>
                              </a:cxn>
                            </a:cxnLst>
                            <a:rect l="T10" t="T11" r="T12" b="T13"/>
                            <a:pathLst>
                              <a:path w="184404" h="876808">
                                <a:moveTo>
                                  <a:pt x="0" y="0"/>
                                </a:moveTo>
                                <a:lnTo>
                                  <a:pt x="184404" y="0"/>
                                </a:lnTo>
                                <a:lnTo>
                                  <a:pt x="184404" y="876808"/>
                                </a:lnTo>
                                <a:lnTo>
                                  <a:pt x="0" y="876808"/>
                                </a:lnTo>
                                <a:lnTo>
                                  <a:pt x="0" y="0"/>
                                </a:ln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Shape 13115"/>
                        <wps:cNvSpPr>
                          <a:spLocks/>
                        </wps:cNvSpPr>
                        <wps:spPr bwMode="auto">
                          <a:xfrm>
                            <a:off x="2648966" y="791020"/>
                            <a:ext cx="184404" cy="765556"/>
                          </a:xfrm>
                          <a:custGeom>
                            <a:avLst/>
                            <a:gdLst>
                              <a:gd name="T0" fmla="*/ 0 w 184404"/>
                              <a:gd name="T1" fmla="*/ 0 h 765556"/>
                              <a:gd name="T2" fmla="*/ 184404 w 184404"/>
                              <a:gd name="T3" fmla="*/ 0 h 765556"/>
                              <a:gd name="T4" fmla="*/ 184404 w 184404"/>
                              <a:gd name="T5" fmla="*/ 765556 h 765556"/>
                              <a:gd name="T6" fmla="*/ 0 w 184404"/>
                              <a:gd name="T7" fmla="*/ 765556 h 765556"/>
                              <a:gd name="T8" fmla="*/ 0 w 184404"/>
                              <a:gd name="T9" fmla="*/ 0 h 765556"/>
                              <a:gd name="T10" fmla="*/ 0 w 184404"/>
                              <a:gd name="T11" fmla="*/ 0 h 765556"/>
                              <a:gd name="T12" fmla="*/ 184404 w 184404"/>
                              <a:gd name="T13" fmla="*/ 765556 h 765556"/>
                            </a:gdLst>
                            <a:ahLst/>
                            <a:cxnLst>
                              <a:cxn ang="0">
                                <a:pos x="T0" y="T1"/>
                              </a:cxn>
                              <a:cxn ang="0">
                                <a:pos x="T2" y="T3"/>
                              </a:cxn>
                              <a:cxn ang="0">
                                <a:pos x="T4" y="T5"/>
                              </a:cxn>
                              <a:cxn ang="0">
                                <a:pos x="T6" y="T7"/>
                              </a:cxn>
                              <a:cxn ang="0">
                                <a:pos x="T8" y="T9"/>
                              </a:cxn>
                            </a:cxnLst>
                            <a:rect l="T10" t="T11" r="T12" b="T13"/>
                            <a:pathLst>
                              <a:path w="184404" h="765556">
                                <a:moveTo>
                                  <a:pt x="0" y="0"/>
                                </a:moveTo>
                                <a:lnTo>
                                  <a:pt x="184404" y="0"/>
                                </a:lnTo>
                                <a:lnTo>
                                  <a:pt x="184404" y="765556"/>
                                </a:lnTo>
                                <a:lnTo>
                                  <a:pt x="0" y="765556"/>
                                </a:lnTo>
                                <a:lnTo>
                                  <a:pt x="0" y="0"/>
                                </a:ln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Shape 13116"/>
                        <wps:cNvSpPr>
                          <a:spLocks/>
                        </wps:cNvSpPr>
                        <wps:spPr bwMode="auto">
                          <a:xfrm>
                            <a:off x="3240278" y="804735"/>
                            <a:ext cx="184404" cy="751840"/>
                          </a:xfrm>
                          <a:custGeom>
                            <a:avLst/>
                            <a:gdLst>
                              <a:gd name="T0" fmla="*/ 0 w 184404"/>
                              <a:gd name="T1" fmla="*/ 0 h 751840"/>
                              <a:gd name="T2" fmla="*/ 184404 w 184404"/>
                              <a:gd name="T3" fmla="*/ 0 h 751840"/>
                              <a:gd name="T4" fmla="*/ 184404 w 184404"/>
                              <a:gd name="T5" fmla="*/ 751840 h 751840"/>
                              <a:gd name="T6" fmla="*/ 0 w 184404"/>
                              <a:gd name="T7" fmla="*/ 751840 h 751840"/>
                              <a:gd name="T8" fmla="*/ 0 w 184404"/>
                              <a:gd name="T9" fmla="*/ 0 h 751840"/>
                              <a:gd name="T10" fmla="*/ 0 w 184404"/>
                              <a:gd name="T11" fmla="*/ 0 h 751840"/>
                              <a:gd name="T12" fmla="*/ 184404 w 184404"/>
                              <a:gd name="T13" fmla="*/ 751840 h 751840"/>
                            </a:gdLst>
                            <a:ahLst/>
                            <a:cxnLst>
                              <a:cxn ang="0">
                                <a:pos x="T0" y="T1"/>
                              </a:cxn>
                              <a:cxn ang="0">
                                <a:pos x="T2" y="T3"/>
                              </a:cxn>
                              <a:cxn ang="0">
                                <a:pos x="T4" y="T5"/>
                              </a:cxn>
                              <a:cxn ang="0">
                                <a:pos x="T6" y="T7"/>
                              </a:cxn>
                              <a:cxn ang="0">
                                <a:pos x="T8" y="T9"/>
                              </a:cxn>
                            </a:cxnLst>
                            <a:rect l="T10" t="T11" r="T12" b="T13"/>
                            <a:pathLst>
                              <a:path w="184404" h="751840">
                                <a:moveTo>
                                  <a:pt x="0" y="0"/>
                                </a:moveTo>
                                <a:lnTo>
                                  <a:pt x="184404" y="0"/>
                                </a:lnTo>
                                <a:lnTo>
                                  <a:pt x="184404" y="751840"/>
                                </a:lnTo>
                                <a:lnTo>
                                  <a:pt x="0" y="751840"/>
                                </a:lnTo>
                                <a:lnTo>
                                  <a:pt x="0" y="0"/>
                                </a:ln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Shape 13117"/>
                        <wps:cNvSpPr>
                          <a:spLocks/>
                        </wps:cNvSpPr>
                        <wps:spPr bwMode="auto">
                          <a:xfrm>
                            <a:off x="3831590" y="807783"/>
                            <a:ext cx="184404" cy="748792"/>
                          </a:xfrm>
                          <a:custGeom>
                            <a:avLst/>
                            <a:gdLst>
                              <a:gd name="T0" fmla="*/ 0 w 184404"/>
                              <a:gd name="T1" fmla="*/ 0 h 748792"/>
                              <a:gd name="T2" fmla="*/ 184404 w 184404"/>
                              <a:gd name="T3" fmla="*/ 0 h 748792"/>
                              <a:gd name="T4" fmla="*/ 184404 w 184404"/>
                              <a:gd name="T5" fmla="*/ 748792 h 748792"/>
                              <a:gd name="T6" fmla="*/ 0 w 184404"/>
                              <a:gd name="T7" fmla="*/ 748792 h 748792"/>
                              <a:gd name="T8" fmla="*/ 0 w 184404"/>
                              <a:gd name="T9" fmla="*/ 0 h 748792"/>
                              <a:gd name="T10" fmla="*/ 0 w 184404"/>
                              <a:gd name="T11" fmla="*/ 0 h 748792"/>
                              <a:gd name="T12" fmla="*/ 184404 w 184404"/>
                              <a:gd name="T13" fmla="*/ 748792 h 748792"/>
                            </a:gdLst>
                            <a:ahLst/>
                            <a:cxnLst>
                              <a:cxn ang="0">
                                <a:pos x="T0" y="T1"/>
                              </a:cxn>
                              <a:cxn ang="0">
                                <a:pos x="T2" y="T3"/>
                              </a:cxn>
                              <a:cxn ang="0">
                                <a:pos x="T4" y="T5"/>
                              </a:cxn>
                              <a:cxn ang="0">
                                <a:pos x="T6" y="T7"/>
                              </a:cxn>
                              <a:cxn ang="0">
                                <a:pos x="T8" y="T9"/>
                              </a:cxn>
                            </a:cxnLst>
                            <a:rect l="T10" t="T11" r="T12" b="T13"/>
                            <a:pathLst>
                              <a:path w="184404" h="748792">
                                <a:moveTo>
                                  <a:pt x="0" y="0"/>
                                </a:moveTo>
                                <a:lnTo>
                                  <a:pt x="184404" y="0"/>
                                </a:lnTo>
                                <a:lnTo>
                                  <a:pt x="184404" y="748792"/>
                                </a:lnTo>
                                <a:lnTo>
                                  <a:pt x="0" y="748792"/>
                                </a:lnTo>
                                <a:lnTo>
                                  <a:pt x="0" y="0"/>
                                </a:ln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Shape 13118"/>
                        <wps:cNvSpPr>
                          <a:spLocks/>
                        </wps:cNvSpPr>
                        <wps:spPr bwMode="auto">
                          <a:xfrm>
                            <a:off x="670814" y="1556067"/>
                            <a:ext cx="3549396" cy="0"/>
                          </a:xfrm>
                          <a:custGeom>
                            <a:avLst/>
                            <a:gdLst>
                              <a:gd name="T0" fmla="*/ 0 w 3549396"/>
                              <a:gd name="T1" fmla="*/ 3549396 w 3549396"/>
                              <a:gd name="T2" fmla="*/ 0 w 3549396"/>
                              <a:gd name="T3" fmla="*/ 3549396 w 3549396"/>
                            </a:gdLst>
                            <a:ahLst/>
                            <a:cxnLst>
                              <a:cxn ang="0">
                                <a:pos x="T0" y="0"/>
                              </a:cxn>
                              <a:cxn ang="0">
                                <a:pos x="T1" y="0"/>
                              </a:cxn>
                            </a:cxnLst>
                            <a:rect l="T2" t="0" r="T3" b="0"/>
                            <a:pathLst>
                              <a:path w="3549396">
                                <a:moveTo>
                                  <a:pt x="0" y="0"/>
                                </a:moveTo>
                                <a:lnTo>
                                  <a:pt x="3549396" y="0"/>
                                </a:lnTo>
                              </a:path>
                            </a:pathLst>
                          </a:custGeom>
                          <a:noFill/>
                          <a:ln w="9144"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Rectangle 13119"/>
                        <wps:cNvSpPr>
                          <a:spLocks noChangeArrowheads="1"/>
                        </wps:cNvSpPr>
                        <wps:spPr bwMode="auto">
                          <a:xfrm>
                            <a:off x="516890" y="1491056"/>
                            <a:ext cx="76010" cy="16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E8B39" w14:textId="77777777" w:rsidR="00ED1ADA" w:rsidRDefault="00ED1ADA" w:rsidP="00302BFE">
                              <w:r>
                                <w:rPr>
                                  <w:color w:val="595959"/>
                                  <w:sz w:val="18"/>
                                </w:rPr>
                                <w:t>0</w:t>
                              </w:r>
                            </w:p>
                          </w:txbxContent>
                        </wps:txbx>
                        <wps:bodyPr rot="0" vert="horz" wrap="square" lIns="0" tIns="0" rIns="0" bIns="0" anchor="t" anchorCtr="0" upright="1">
                          <a:noAutofit/>
                        </wps:bodyPr>
                      </wps:wsp>
                      <wps:wsp>
                        <wps:cNvPr id="39" name="Rectangle 13120"/>
                        <wps:cNvSpPr>
                          <a:spLocks noChangeArrowheads="1"/>
                        </wps:cNvSpPr>
                        <wps:spPr bwMode="auto">
                          <a:xfrm>
                            <a:off x="459867" y="1288365"/>
                            <a:ext cx="153032" cy="168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3E536" w14:textId="77777777" w:rsidR="00ED1ADA" w:rsidRDefault="00ED1ADA" w:rsidP="00302BFE">
                              <w:r>
                                <w:rPr>
                                  <w:color w:val="595959"/>
                                  <w:sz w:val="18"/>
                                </w:rPr>
                                <w:t>10</w:t>
                              </w:r>
                            </w:p>
                          </w:txbxContent>
                        </wps:txbx>
                        <wps:bodyPr rot="0" vert="horz" wrap="square" lIns="0" tIns="0" rIns="0" bIns="0" anchor="t" anchorCtr="0" upright="1">
                          <a:noAutofit/>
                        </wps:bodyPr>
                      </wps:wsp>
                      <wps:wsp>
                        <wps:cNvPr id="40" name="Rectangle 13121"/>
                        <wps:cNvSpPr>
                          <a:spLocks noChangeArrowheads="1"/>
                        </wps:cNvSpPr>
                        <wps:spPr bwMode="auto">
                          <a:xfrm>
                            <a:off x="459867" y="1086054"/>
                            <a:ext cx="153032" cy="168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5FAB2" w14:textId="77777777" w:rsidR="00ED1ADA" w:rsidRDefault="00ED1ADA" w:rsidP="00302BFE">
                              <w:r>
                                <w:rPr>
                                  <w:color w:val="595959"/>
                                  <w:sz w:val="18"/>
                                </w:rPr>
                                <w:t>20</w:t>
                              </w:r>
                            </w:p>
                          </w:txbxContent>
                        </wps:txbx>
                        <wps:bodyPr rot="0" vert="horz" wrap="square" lIns="0" tIns="0" rIns="0" bIns="0" anchor="t" anchorCtr="0" upright="1">
                          <a:noAutofit/>
                        </wps:bodyPr>
                      </wps:wsp>
                      <wps:wsp>
                        <wps:cNvPr id="41" name="Rectangle 13122"/>
                        <wps:cNvSpPr>
                          <a:spLocks noChangeArrowheads="1"/>
                        </wps:cNvSpPr>
                        <wps:spPr bwMode="auto">
                          <a:xfrm>
                            <a:off x="459867" y="883616"/>
                            <a:ext cx="153032" cy="168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307FC" w14:textId="77777777" w:rsidR="00ED1ADA" w:rsidRDefault="00ED1ADA" w:rsidP="00302BFE">
                              <w:r>
                                <w:rPr>
                                  <w:color w:val="595959"/>
                                  <w:sz w:val="18"/>
                                </w:rPr>
                                <w:t>30</w:t>
                              </w:r>
                            </w:p>
                          </w:txbxContent>
                        </wps:txbx>
                        <wps:bodyPr rot="0" vert="horz" wrap="square" lIns="0" tIns="0" rIns="0" bIns="0" anchor="t" anchorCtr="0" upright="1">
                          <a:noAutofit/>
                        </wps:bodyPr>
                      </wps:wsp>
                      <wps:wsp>
                        <wps:cNvPr id="42" name="Rectangle 13123"/>
                        <wps:cNvSpPr>
                          <a:spLocks noChangeArrowheads="1"/>
                        </wps:cNvSpPr>
                        <wps:spPr bwMode="auto">
                          <a:xfrm>
                            <a:off x="459867" y="680924"/>
                            <a:ext cx="153032" cy="168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717AB" w14:textId="77777777" w:rsidR="00ED1ADA" w:rsidRDefault="00ED1ADA" w:rsidP="00302BFE">
                              <w:r>
                                <w:rPr>
                                  <w:color w:val="595959"/>
                                  <w:sz w:val="18"/>
                                </w:rPr>
                                <w:t>40</w:t>
                              </w:r>
                            </w:p>
                          </w:txbxContent>
                        </wps:txbx>
                        <wps:bodyPr rot="0" vert="horz" wrap="square" lIns="0" tIns="0" rIns="0" bIns="0" anchor="t" anchorCtr="0" upright="1">
                          <a:noAutofit/>
                        </wps:bodyPr>
                      </wps:wsp>
                      <wps:wsp>
                        <wps:cNvPr id="43" name="Rectangle 13124"/>
                        <wps:cNvSpPr>
                          <a:spLocks noChangeArrowheads="1"/>
                        </wps:cNvSpPr>
                        <wps:spPr bwMode="auto">
                          <a:xfrm>
                            <a:off x="459867" y="478613"/>
                            <a:ext cx="153032" cy="168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7DC98" w14:textId="77777777" w:rsidR="00ED1ADA" w:rsidRDefault="00ED1ADA" w:rsidP="00302BFE">
                              <w:r>
                                <w:rPr>
                                  <w:color w:val="595959"/>
                                  <w:sz w:val="18"/>
                                </w:rPr>
                                <w:t>50</w:t>
                              </w:r>
                            </w:p>
                          </w:txbxContent>
                        </wps:txbx>
                        <wps:bodyPr rot="0" vert="horz" wrap="square" lIns="0" tIns="0" rIns="0" bIns="0" anchor="t" anchorCtr="0" upright="1">
                          <a:noAutofit/>
                        </wps:bodyPr>
                      </wps:wsp>
                      <wps:wsp>
                        <wps:cNvPr id="44" name="Rectangle 13125"/>
                        <wps:cNvSpPr>
                          <a:spLocks noChangeArrowheads="1"/>
                        </wps:cNvSpPr>
                        <wps:spPr bwMode="auto">
                          <a:xfrm>
                            <a:off x="459867" y="276175"/>
                            <a:ext cx="153032" cy="168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279C5" w14:textId="77777777" w:rsidR="00ED1ADA" w:rsidRDefault="00ED1ADA" w:rsidP="00302BFE">
                              <w:r>
                                <w:rPr>
                                  <w:color w:val="595959"/>
                                  <w:sz w:val="18"/>
                                </w:rPr>
                                <w:t>60</w:t>
                              </w:r>
                            </w:p>
                          </w:txbxContent>
                        </wps:txbx>
                        <wps:bodyPr rot="0" vert="horz" wrap="square" lIns="0" tIns="0" rIns="0" bIns="0" anchor="t" anchorCtr="0" upright="1">
                          <a:noAutofit/>
                        </wps:bodyPr>
                      </wps:wsp>
                      <wps:wsp>
                        <wps:cNvPr id="45" name="Rectangle 13126"/>
                        <wps:cNvSpPr>
                          <a:spLocks noChangeArrowheads="1"/>
                        </wps:cNvSpPr>
                        <wps:spPr bwMode="auto">
                          <a:xfrm>
                            <a:off x="459867" y="73737"/>
                            <a:ext cx="153032" cy="168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CCC5C" w14:textId="77777777" w:rsidR="00ED1ADA" w:rsidRDefault="00ED1ADA" w:rsidP="00302BFE">
                              <w:r>
                                <w:rPr>
                                  <w:color w:val="595959"/>
                                  <w:sz w:val="18"/>
                                </w:rPr>
                                <w:t>70</w:t>
                              </w:r>
                            </w:p>
                          </w:txbxContent>
                        </wps:txbx>
                        <wps:bodyPr rot="0" vert="horz" wrap="square" lIns="0" tIns="0" rIns="0" bIns="0" anchor="t" anchorCtr="0" upright="1">
                          <a:noAutofit/>
                        </wps:bodyPr>
                      </wps:wsp>
                      <wps:wsp>
                        <wps:cNvPr id="46" name="Rectangle 13127"/>
                        <wps:cNvSpPr>
                          <a:spLocks noChangeArrowheads="1"/>
                        </wps:cNvSpPr>
                        <wps:spPr bwMode="auto">
                          <a:xfrm>
                            <a:off x="852805" y="1625168"/>
                            <a:ext cx="304798" cy="16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FF036" w14:textId="77777777" w:rsidR="00ED1ADA" w:rsidRDefault="00ED1ADA" w:rsidP="00302BFE">
                              <w:r>
                                <w:rPr>
                                  <w:color w:val="595959"/>
                                  <w:sz w:val="18"/>
                                </w:rPr>
                                <w:t>2010</w:t>
                              </w:r>
                            </w:p>
                          </w:txbxContent>
                        </wps:txbx>
                        <wps:bodyPr rot="0" vert="horz" wrap="square" lIns="0" tIns="0" rIns="0" bIns="0" anchor="t" anchorCtr="0" upright="1">
                          <a:noAutofit/>
                        </wps:bodyPr>
                      </wps:wsp>
                      <wps:wsp>
                        <wps:cNvPr id="47" name="Rectangle 13128"/>
                        <wps:cNvSpPr>
                          <a:spLocks noChangeArrowheads="1"/>
                        </wps:cNvSpPr>
                        <wps:spPr bwMode="auto">
                          <a:xfrm>
                            <a:off x="1444371" y="1625168"/>
                            <a:ext cx="304798" cy="16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8A4F1" w14:textId="77777777" w:rsidR="00ED1ADA" w:rsidRDefault="00ED1ADA" w:rsidP="00302BFE">
                              <w:r>
                                <w:rPr>
                                  <w:color w:val="595959"/>
                                  <w:sz w:val="18"/>
                                </w:rPr>
                                <w:t>2011</w:t>
                              </w:r>
                            </w:p>
                          </w:txbxContent>
                        </wps:txbx>
                        <wps:bodyPr rot="0" vert="horz" wrap="square" lIns="0" tIns="0" rIns="0" bIns="0" anchor="t" anchorCtr="0" upright="1">
                          <a:noAutofit/>
                        </wps:bodyPr>
                      </wps:wsp>
                      <wps:wsp>
                        <wps:cNvPr id="48" name="Rectangle 13129"/>
                        <wps:cNvSpPr>
                          <a:spLocks noChangeArrowheads="1"/>
                        </wps:cNvSpPr>
                        <wps:spPr bwMode="auto">
                          <a:xfrm>
                            <a:off x="2036064" y="1625168"/>
                            <a:ext cx="304798" cy="16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3777A" w14:textId="77777777" w:rsidR="00ED1ADA" w:rsidRDefault="00ED1ADA" w:rsidP="00302BFE">
                              <w:r>
                                <w:rPr>
                                  <w:color w:val="595959"/>
                                  <w:sz w:val="18"/>
                                </w:rPr>
                                <w:t>2012</w:t>
                              </w:r>
                            </w:p>
                          </w:txbxContent>
                        </wps:txbx>
                        <wps:bodyPr rot="0" vert="horz" wrap="square" lIns="0" tIns="0" rIns="0" bIns="0" anchor="t" anchorCtr="0" upright="1">
                          <a:noAutofit/>
                        </wps:bodyPr>
                      </wps:wsp>
                      <wps:wsp>
                        <wps:cNvPr id="49" name="Rectangle 13130"/>
                        <wps:cNvSpPr>
                          <a:spLocks noChangeArrowheads="1"/>
                        </wps:cNvSpPr>
                        <wps:spPr bwMode="auto">
                          <a:xfrm>
                            <a:off x="2627376" y="1625168"/>
                            <a:ext cx="304798" cy="16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8B420" w14:textId="77777777" w:rsidR="00ED1ADA" w:rsidRDefault="00ED1ADA" w:rsidP="00302BFE">
                              <w:r>
                                <w:rPr>
                                  <w:color w:val="595959"/>
                                  <w:sz w:val="18"/>
                                </w:rPr>
                                <w:t>2013</w:t>
                              </w:r>
                            </w:p>
                          </w:txbxContent>
                        </wps:txbx>
                        <wps:bodyPr rot="0" vert="horz" wrap="square" lIns="0" tIns="0" rIns="0" bIns="0" anchor="t" anchorCtr="0" upright="1">
                          <a:noAutofit/>
                        </wps:bodyPr>
                      </wps:wsp>
                      <wps:wsp>
                        <wps:cNvPr id="50" name="Rectangle 13131"/>
                        <wps:cNvSpPr>
                          <a:spLocks noChangeArrowheads="1"/>
                        </wps:cNvSpPr>
                        <wps:spPr bwMode="auto">
                          <a:xfrm>
                            <a:off x="3218942" y="1625168"/>
                            <a:ext cx="304798" cy="16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3454F" w14:textId="77777777" w:rsidR="00ED1ADA" w:rsidRDefault="00ED1ADA" w:rsidP="00302BFE">
                              <w:r>
                                <w:rPr>
                                  <w:color w:val="595959"/>
                                  <w:sz w:val="18"/>
                                </w:rPr>
                                <w:t>2014</w:t>
                              </w:r>
                            </w:p>
                          </w:txbxContent>
                        </wps:txbx>
                        <wps:bodyPr rot="0" vert="horz" wrap="square" lIns="0" tIns="0" rIns="0" bIns="0" anchor="t" anchorCtr="0" upright="1">
                          <a:noAutofit/>
                        </wps:bodyPr>
                      </wps:wsp>
                      <wps:wsp>
                        <wps:cNvPr id="51" name="Rectangle 13132"/>
                        <wps:cNvSpPr>
                          <a:spLocks noChangeArrowheads="1"/>
                        </wps:cNvSpPr>
                        <wps:spPr bwMode="auto">
                          <a:xfrm>
                            <a:off x="3810508" y="1625168"/>
                            <a:ext cx="304798" cy="16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295C5" w14:textId="77777777" w:rsidR="00ED1ADA" w:rsidRDefault="00ED1ADA" w:rsidP="00302BFE">
                              <w:r>
                                <w:rPr>
                                  <w:color w:val="595959"/>
                                  <w:sz w:val="18"/>
                                </w:rPr>
                                <w:t>2015</w:t>
                              </w:r>
                            </w:p>
                          </w:txbxContent>
                        </wps:txbx>
                        <wps:bodyPr rot="0" vert="horz" wrap="square" lIns="0" tIns="0" rIns="0" bIns="0" anchor="t" anchorCtr="0" upright="1">
                          <a:noAutofit/>
                        </wps:bodyPr>
                      </wps:wsp>
                      <wps:wsp>
                        <wps:cNvPr id="52" name="Rectangle 13133"/>
                        <wps:cNvSpPr>
                          <a:spLocks noChangeArrowheads="1"/>
                        </wps:cNvSpPr>
                        <wps:spPr bwMode="auto">
                          <a:xfrm rot="-5399999">
                            <a:off x="-889430" y="601903"/>
                            <a:ext cx="2165204" cy="176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09485" w14:textId="77777777" w:rsidR="00ED1ADA" w:rsidRPr="0075595E" w:rsidRDefault="00ED1ADA" w:rsidP="00302BFE">
                              <w:pPr>
                                <w:spacing w:after="0"/>
                                <w:rPr>
                                  <w:sz w:val="16"/>
                                  <w:szCs w:val="16"/>
                                  <w:lang w:val="fr-CA"/>
                                </w:rPr>
                              </w:pPr>
                            </w:p>
                          </w:txbxContent>
                        </wps:txbx>
                        <wps:bodyPr rot="0" vert="horz" wrap="square" lIns="0" tIns="0" rIns="0" bIns="0" anchor="t" anchorCtr="0" upright="1">
                          <a:noAutofit/>
                        </wps:bodyPr>
                      </wps:wsp>
                      <wps:wsp>
                        <wps:cNvPr id="53" name="Rectangle 13135"/>
                        <wps:cNvSpPr>
                          <a:spLocks noChangeArrowheads="1"/>
                        </wps:cNvSpPr>
                        <wps:spPr bwMode="auto">
                          <a:xfrm>
                            <a:off x="2256663" y="1795661"/>
                            <a:ext cx="501197" cy="186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55927" w14:textId="77777777" w:rsidR="00ED1ADA" w:rsidRDefault="00ED1ADA" w:rsidP="00302BFE">
                              <w:r>
                                <w:rPr>
                                  <w:color w:val="595959"/>
                                </w:rPr>
                                <w:t>Années</w:t>
                              </w:r>
                            </w:p>
                          </w:txbxContent>
                        </wps:txbx>
                        <wps:bodyPr rot="0" vert="horz" wrap="square" lIns="0" tIns="0" rIns="0" bIns="0" anchor="t" anchorCtr="0" upright="1">
                          <a:noAutofit/>
                        </wps:bodyPr>
                      </wps:wsp>
                      <wps:wsp>
                        <wps:cNvPr id="54" name="Shape 13136"/>
                        <wps:cNvSpPr>
                          <a:spLocks/>
                        </wps:cNvSpPr>
                        <wps:spPr bwMode="auto">
                          <a:xfrm>
                            <a:off x="0" y="0"/>
                            <a:ext cx="4359275" cy="2093913"/>
                          </a:xfrm>
                          <a:custGeom>
                            <a:avLst/>
                            <a:gdLst>
                              <a:gd name="T0" fmla="*/ 4359275 w 4359275"/>
                              <a:gd name="T1" fmla="*/ 0 h 2093913"/>
                              <a:gd name="T2" fmla="*/ 4359275 w 4359275"/>
                              <a:gd name="T3" fmla="*/ 2093913 h 2093913"/>
                              <a:gd name="T4" fmla="*/ 0 w 4359275"/>
                              <a:gd name="T5" fmla="*/ 2093913 h 2093913"/>
                              <a:gd name="T6" fmla="*/ 0 w 4359275"/>
                              <a:gd name="T7" fmla="*/ 0 h 2093913"/>
                              <a:gd name="T8" fmla="*/ 0 w 4359275"/>
                              <a:gd name="T9" fmla="*/ 0 h 2093913"/>
                              <a:gd name="T10" fmla="*/ 4359275 w 4359275"/>
                              <a:gd name="T11" fmla="*/ 2093913 h 2093913"/>
                            </a:gdLst>
                            <a:ahLst/>
                            <a:cxnLst>
                              <a:cxn ang="0">
                                <a:pos x="T0" y="T1"/>
                              </a:cxn>
                              <a:cxn ang="0">
                                <a:pos x="T2" y="T3"/>
                              </a:cxn>
                              <a:cxn ang="0">
                                <a:pos x="T4" y="T5"/>
                              </a:cxn>
                              <a:cxn ang="0">
                                <a:pos x="T6" y="T7"/>
                              </a:cxn>
                            </a:cxnLst>
                            <a:rect l="T8" t="T9" r="T10" b="T11"/>
                            <a:pathLst>
                              <a:path w="4359275" h="2093913">
                                <a:moveTo>
                                  <a:pt x="4359275" y="0"/>
                                </a:moveTo>
                                <a:lnTo>
                                  <a:pt x="4359275" y="2093913"/>
                                </a:lnTo>
                                <a:lnTo>
                                  <a:pt x="0" y="2093913"/>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cap="flat" cmpd="sng" algn="ctr">
                                <a:solidFill>
                                  <a:srgbClr val="000000"/>
                                </a:solidFill>
                                <a:prstDash val="solid"/>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AAF24AF" id="Groupe 15" o:spid="_x0000_s1082" style="width:429.2pt;height:186.9pt;mso-position-horizontal-relative:char;mso-position-vertical-relative:line" coordorigin=",-3926" coordsize="44333,25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">
                <v:rect id="Rectangle 13068" o:spid="_x0000_s1083" style="position:absolute;left:43826;top:1978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7035BBA6" w14:textId="77777777" w:rsidR="00ED1ADA" w:rsidRDefault="00ED1ADA" w:rsidP="00302BFE">
                        <w:r>
                          <w:t xml:space="preserve"> </w:t>
                        </w:r>
                      </w:p>
                    </w:txbxContent>
                  </v:textbox>
                </v:rect>
                <v:shape id="Shape 13098" o:spid="_x0000_s1084" style="position:absolute;left:6708;top:13533;width:35494;height:0;visibility:visible;mso-wrap-style:square;v-text-anchor:top" coordsize="3549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" path="m,l3549396,e" filled="f" strokeweight=".24pt">
                  <v:path arrowok="t" o:connecttype="custom" o:connectlocs="0,0;3549396,0" o:connectangles="0,0" textboxrect="0,0,3549396,0"/>
                </v:shape>
                <v:shape id="Shape 13099" o:spid="_x0000_s1085" style="position:absolute;left:6708;top:11522;width:35494;height:0;visibility:visible;mso-wrap-style:square;v-text-anchor:top" coordsize="3549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" path="m,l3549396,e" filled="f" strokeweight=".24pt">
                  <v:path arrowok="t" o:connecttype="custom" o:connectlocs="0,0;3549396,0" o:connectangles="0,0" textboxrect="0,0,3549396,0"/>
                </v:shape>
                <v:shape id="Shape 13100" o:spid="_x0000_s1086" style="position:absolute;left:6708;top:9495;width:35494;height:0;visibility:visible;mso-wrap-style:square;v-text-anchor:top" coordsize="3549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" path="m,l3549396,e" filled="f" strokeweight=".24pt">
                  <v:path arrowok="t" o:connecttype="custom" o:connectlocs="0,0;3549396,0" o:connectangles="0,0" textboxrect="0,0,3549396,0"/>
                </v:shape>
                <v:shape id="Shape 13101" o:spid="_x0000_s1087" style="position:absolute;left:6708;top:7468;width:35494;height:0;visibility:visible;mso-wrap-style:square;v-text-anchor:top" coordsize="3549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" path="m,l3549396,e" filled="f" strokeweight=".24pt">
                  <v:path arrowok="t" o:connecttype="custom" o:connectlocs="0,0;3549396,0" o:connectangles="0,0" textboxrect="0,0,3549396,0"/>
                </v:shape>
                <v:shape id="Shape 13102" o:spid="_x0000_s1088" style="position:absolute;left:6708;top:5441;width:35494;height:0;visibility:visible;mso-wrap-style:square;v-text-anchor:top" coordsize="3549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" path="m,l3549396,e" filled="f" strokeweight=".24pt">
                  <v:path arrowok="t" o:connecttype="custom" o:connectlocs="0,0;3549396,0" o:connectangles="0,0" textboxrect="0,0,3549396,0"/>
                </v:shape>
                <v:shape id="Shape 13103" o:spid="_x0000_s1089" style="position:absolute;left:6708;top:3414;width:35494;height:0;visibility:visible;mso-wrap-style:square;v-text-anchor:top" coordsize="3549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" path="m,l3549396,e" filled="f" strokeweight=".24pt">
                  <v:path arrowok="t" o:connecttype="custom" o:connectlocs="0,0;3549396,0" o:connectangles="0,0" textboxrect="0,0,3549396,0"/>
                </v:shape>
                <v:shape id="Shape 13104" o:spid="_x0000_s1090" style="position:absolute;left:6708;top:1387;width:35494;height:0;visibility:visible;mso-wrap-style:square;v-text-anchor:top" coordsize="3549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" path="m,l3549396,e" filled="f" strokeweight=".24pt">
                  <v:path arrowok="t" o:connecttype="custom" o:connectlocs="0,0;3549396,0" o:connectangles="0,0" textboxrect="0,0,3549396,0"/>
                </v:shape>
                <v:shape id="Shape 13105" o:spid="_x0000_s1091" style="position:absolute;left:6708;top:1387;width:35494;height:14173;visibility:visible;mso-wrap-style:square;v-text-anchor:top" coordsize="3549396,141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" path="m,1417320r3549396,l3549396,,,,,1417320xe" filled="f" strokeweight=".24pt">
                  <v:path arrowok="t" o:connecttype="custom" o:connectlocs="0,1417320;3549396,1417320;3549396,0;0,0;0,1417320" o:connectangles="0,0,0,0,0" textboxrect="0,0,3549396,1417320"/>
                </v:shape>
                <v:shape id="Picture 178065" o:spid="_x0000_s1092" type="#_x0000_t75" style="position:absolute;left:8694;top:2759;width:31486;height:12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">
                  <v:imagedata r:id="rId53" o:title=""/>
                </v:shape>
                <v:shape id="Picture 178066" o:spid="_x0000_s1093" type="#_x0000_t75" style="position:absolute;left:8694;top:2759;width:31486;height:12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">
                  <v:imagedata r:id="rId53" o:title=""/>
                </v:shape>
                <v:shape id="Picture 178067" o:spid="_x0000_s1094" type="#_x0000_t75" style="position:absolute;left:8694;top:2759;width:31486;height:12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">
                  <v:imagedata r:id="rId53" o:title=""/>
                </v:shape>
                <v:shape id="Picture 178068" o:spid="_x0000_s1095" type="#_x0000_t75" style="position:absolute;left:8694;top:2759;width:31486;height:12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">
                  <v:imagedata r:id="rId53" o:title=""/>
                </v:shape>
                <v:shape id="Picture 178069" o:spid="_x0000_s1096" type="#_x0000_t75" style="position:absolute;left:8694;top:2759;width:31486;height:12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">
                  <v:imagedata r:id="rId53" o:title=""/>
                </v:shape>
                <v:shape id="Picture 178070" o:spid="_x0000_s1097" type="#_x0000_t75" style="position:absolute;left:8694;top:2759;width:31486;height:12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">
                  <v:imagedata r:id="rId53" o:title=""/>
                </v:shape>
                <v:shape id="Shape 13112" o:spid="_x0000_s1098" style="position:absolute;left:8735;top:2789;width:1859;height:12776;visibility:visible;mso-wrap-style:square;v-text-anchor:top" coordsize="185928,127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" path="m,l185928,r,1277620l,1277620,,xe" filled="f">
                  <v:path arrowok="t" o:connecttype="custom" o:connectlocs="0,0;185928,0;185928,1277620;0,1277620;0,0" o:connectangles="0,0,0,0,0" textboxrect="0,0,185928,1277620"/>
                </v:shape>
                <v:shape id="Shape 13113" o:spid="_x0000_s1099" style="position:absolute;left:14648;top:5273;width:1859;height:10292;visibility:visible;mso-wrap-style:square;v-text-anchor:top" coordsize="185928,1029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" path="m,l185928,r,1029208l,1029208,,xe" filled="f">
                  <v:path arrowok="t" o:connecttype="custom" o:connectlocs="0,0;185928,0;185928,1029208;0,1029208;0,0" o:connectangles="0,0,0,0,0" textboxrect="0,0,185928,1029208"/>
                </v:shape>
                <v:shape id="Shape 13114" o:spid="_x0000_s1100" style="position:absolute;left:20576;top:6797;width:1844;height:8768;visibility:visible;mso-wrap-style:square;v-text-anchor:top" coordsize="184404,876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" path="m,l184404,r,876808l,876808,,xe" filled="f">
                  <v:path arrowok="t" o:connecttype="custom" o:connectlocs="0,0;184404,0;184404,876808;0,876808;0,0" o:connectangles="0,0,0,0,0" textboxrect="0,0,184404,876808"/>
                </v:shape>
                <v:shape id="Shape 13115" o:spid="_x0000_s1101" style="position:absolute;left:26489;top:7910;width:1844;height:7655;visibility:visible;mso-wrap-style:square;v-text-anchor:top" coordsize="184404,765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" path="m,l184404,r,765556l,765556,,xe" filled="f">
                  <v:path arrowok="t" o:connecttype="custom" o:connectlocs="0,0;184404,0;184404,765556;0,765556;0,0" o:connectangles="0,0,0,0,0" textboxrect="0,0,184404,765556"/>
                </v:shape>
                <v:shape id="Shape 13116" o:spid="_x0000_s1102" style="position:absolute;left:32402;top:8047;width:1844;height:7518;visibility:visible;mso-wrap-style:square;v-text-anchor:top" coordsize="184404,751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" path="m,l184404,r,751840l,751840,,xe" filled="f">
                  <v:path arrowok="t" o:connecttype="custom" o:connectlocs="0,0;184404,0;184404,751840;0,751840;0,0" o:connectangles="0,0,0,0,0" textboxrect="0,0,184404,751840"/>
                </v:shape>
                <v:shape id="Shape 13117" o:spid="_x0000_s1103" style="position:absolute;left:38315;top:8077;width:1844;height:7488;visibility:visible;mso-wrap-style:square;v-text-anchor:top" coordsize="184404,748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" path="m,l184404,r,748792l,748792,,xe" filled="f">
                  <v:path arrowok="t" o:connecttype="custom" o:connectlocs="0,0;184404,0;184404,748792;0,748792;0,0" o:connectangles="0,0,0,0,0" textboxrect="0,0,184404,748792"/>
                </v:shape>
                <v:shape id="Shape 13118" o:spid="_x0000_s1104" style="position:absolute;left:6708;top:15560;width:35494;height:0;visibility:visible;mso-wrap-style:square;v-text-anchor:top" coordsize="3549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" path="m,l3549396,e" filled="f" strokeweight=".72pt">
                  <v:path arrowok="t" o:connecttype="custom" o:connectlocs="0,0;3549396,0" o:connectangles="0,0" textboxrect="0,0,3549396,0"/>
                </v:shape>
                <v:rect id="Rectangle 13119" o:spid="_x0000_s1105" style="position:absolute;left:5168;top:14910;width:76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5D9E8B39" w14:textId="77777777" w:rsidR="00ED1ADA" w:rsidRDefault="00ED1ADA" w:rsidP="00302BFE">
                        <w:r>
                          <w:rPr>
                            <w:color w:val="595959"/>
                            <w:sz w:val="18"/>
                          </w:rPr>
                          <w:t>0</w:t>
                        </w:r>
                      </w:p>
                    </w:txbxContent>
                  </v:textbox>
                </v:rect>
                <v:rect id="Rectangle 13120" o:spid="_x0000_s1106" style="position:absolute;left:4598;top:12883;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61B3E536" w14:textId="77777777" w:rsidR="00ED1ADA" w:rsidRDefault="00ED1ADA" w:rsidP="00302BFE">
                        <w:r>
                          <w:rPr>
                            <w:color w:val="595959"/>
                            <w:sz w:val="18"/>
                          </w:rPr>
                          <w:t>10</w:t>
                        </w:r>
                      </w:p>
                    </w:txbxContent>
                  </v:textbox>
                </v:rect>
                <v:rect id="Rectangle 13121" o:spid="_x0000_s1107" style="position:absolute;left:4598;top:10860;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7105FAB2" w14:textId="77777777" w:rsidR="00ED1ADA" w:rsidRDefault="00ED1ADA" w:rsidP="00302BFE">
                        <w:r>
                          <w:rPr>
                            <w:color w:val="595959"/>
                            <w:sz w:val="18"/>
                          </w:rPr>
                          <w:t>20</w:t>
                        </w:r>
                      </w:p>
                    </w:txbxContent>
                  </v:textbox>
                </v:rect>
                <v:rect id="Rectangle 13122" o:spid="_x0000_s1108" style="position:absolute;left:4598;top:8836;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086307FC" w14:textId="77777777" w:rsidR="00ED1ADA" w:rsidRDefault="00ED1ADA" w:rsidP="00302BFE">
                        <w:r>
                          <w:rPr>
                            <w:color w:val="595959"/>
                            <w:sz w:val="18"/>
                          </w:rPr>
                          <w:t>30</w:t>
                        </w:r>
                      </w:p>
                    </w:txbxContent>
                  </v:textbox>
                </v:rect>
                <v:rect id="Rectangle 13123" o:spid="_x0000_s1109" style="position:absolute;left:4598;top:6809;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647717AB" w14:textId="77777777" w:rsidR="00ED1ADA" w:rsidRDefault="00ED1ADA" w:rsidP="00302BFE">
                        <w:r>
                          <w:rPr>
                            <w:color w:val="595959"/>
                            <w:sz w:val="18"/>
                          </w:rPr>
                          <w:t>40</w:t>
                        </w:r>
                      </w:p>
                    </w:txbxContent>
                  </v:textbox>
                </v:rect>
                <v:rect id="Rectangle 13124" o:spid="_x0000_s1110" style="position:absolute;left:4598;top:4786;width:1530;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2957DC98" w14:textId="77777777" w:rsidR="00ED1ADA" w:rsidRDefault="00ED1ADA" w:rsidP="00302BFE">
                        <w:r>
                          <w:rPr>
                            <w:color w:val="595959"/>
                            <w:sz w:val="18"/>
                          </w:rPr>
                          <w:t>50</w:t>
                        </w:r>
                      </w:p>
                    </w:txbxContent>
                  </v:textbox>
                </v:rect>
                <v:rect id="Rectangle 13125" o:spid="_x0000_s1111" style="position:absolute;left:4598;top:2761;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36F279C5" w14:textId="77777777" w:rsidR="00ED1ADA" w:rsidRDefault="00ED1ADA" w:rsidP="00302BFE">
                        <w:r>
                          <w:rPr>
                            <w:color w:val="595959"/>
                            <w:sz w:val="18"/>
                          </w:rPr>
                          <w:t>60</w:t>
                        </w:r>
                      </w:p>
                    </w:txbxContent>
                  </v:textbox>
                </v:rect>
                <v:rect id="Rectangle 13126" o:spid="_x0000_s1112" style="position:absolute;left:4598;top:737;width:153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323CCC5C" w14:textId="77777777" w:rsidR="00ED1ADA" w:rsidRDefault="00ED1ADA" w:rsidP="00302BFE">
                        <w:r>
                          <w:rPr>
                            <w:color w:val="595959"/>
                            <w:sz w:val="18"/>
                          </w:rPr>
                          <w:t>70</w:t>
                        </w:r>
                      </w:p>
                    </w:txbxContent>
                  </v:textbox>
                </v:rect>
                <v:rect id="Rectangle 13127" o:spid="_x0000_s1113" style="position:absolute;left:8528;top:16251;width:304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6ECFF036" w14:textId="77777777" w:rsidR="00ED1ADA" w:rsidRDefault="00ED1ADA" w:rsidP="00302BFE">
                        <w:r>
                          <w:rPr>
                            <w:color w:val="595959"/>
                            <w:sz w:val="18"/>
                          </w:rPr>
                          <w:t>2010</w:t>
                        </w:r>
                      </w:p>
                    </w:txbxContent>
                  </v:textbox>
                </v:rect>
                <v:rect id="Rectangle 13128" o:spid="_x0000_s1114" style="position:absolute;left:14443;top:16251;width:304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2488A4F1" w14:textId="77777777" w:rsidR="00ED1ADA" w:rsidRDefault="00ED1ADA" w:rsidP="00302BFE">
                        <w:r>
                          <w:rPr>
                            <w:color w:val="595959"/>
                            <w:sz w:val="18"/>
                          </w:rPr>
                          <w:t>2011</w:t>
                        </w:r>
                      </w:p>
                    </w:txbxContent>
                  </v:textbox>
                </v:rect>
                <v:rect id="Rectangle 13129" o:spid="_x0000_s1115" style="position:absolute;left:20360;top:16251;width:304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2C03777A" w14:textId="77777777" w:rsidR="00ED1ADA" w:rsidRDefault="00ED1ADA" w:rsidP="00302BFE">
                        <w:r>
                          <w:rPr>
                            <w:color w:val="595959"/>
                            <w:sz w:val="18"/>
                          </w:rPr>
                          <w:t>2012</w:t>
                        </w:r>
                      </w:p>
                    </w:txbxContent>
                  </v:textbox>
                </v:rect>
                <v:rect id="Rectangle 13130" o:spid="_x0000_s1116" style="position:absolute;left:26273;top:16251;width:304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7938B420" w14:textId="77777777" w:rsidR="00ED1ADA" w:rsidRDefault="00ED1ADA" w:rsidP="00302BFE">
                        <w:r>
                          <w:rPr>
                            <w:color w:val="595959"/>
                            <w:sz w:val="18"/>
                          </w:rPr>
                          <w:t>2013</w:t>
                        </w:r>
                      </w:p>
                    </w:txbxContent>
                  </v:textbox>
                </v:rect>
                <v:rect id="Rectangle 13131" o:spid="_x0000_s1117" style="position:absolute;left:32189;top:16251;width:304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6B93454F" w14:textId="77777777" w:rsidR="00ED1ADA" w:rsidRDefault="00ED1ADA" w:rsidP="00302BFE">
                        <w:r>
                          <w:rPr>
                            <w:color w:val="595959"/>
                            <w:sz w:val="18"/>
                          </w:rPr>
                          <w:t>2014</w:t>
                        </w:r>
                      </w:p>
                    </w:txbxContent>
                  </v:textbox>
                </v:rect>
                <v:rect id="Rectangle 13132" o:spid="_x0000_s1118" style="position:absolute;left:38105;top:16251;width:304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4C3295C5" w14:textId="77777777" w:rsidR="00ED1ADA" w:rsidRDefault="00ED1ADA" w:rsidP="00302BFE">
                        <w:r>
                          <w:rPr>
                            <w:color w:val="595959"/>
                            <w:sz w:val="18"/>
                          </w:rPr>
                          <w:t>2015</w:t>
                        </w:r>
                      </w:p>
                    </w:txbxContent>
                  </v:textbox>
                </v:rect>
                <v:rect id="Rectangle 13133" o:spid="_x0000_s1119" style="position:absolute;left:-8894;top:6019;width:21651;height:176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" filled="f" stroked="f">
                  <v:textbox inset="0,0,0,0">
                    <w:txbxContent>
                      <w:p w14:paraId="19309485" w14:textId="77777777" w:rsidR="00ED1ADA" w:rsidRPr="0075595E" w:rsidRDefault="00ED1ADA" w:rsidP="00302BFE">
                        <w:pPr>
                          <w:spacing w:after="0"/>
                          <w:rPr>
                            <w:sz w:val="16"/>
                            <w:szCs w:val="16"/>
                            <w:lang w:val="fr-CA"/>
                          </w:rPr>
                        </w:pPr>
                      </w:p>
                    </w:txbxContent>
                  </v:textbox>
                </v:rect>
                <v:rect id="Rectangle 13135" o:spid="_x0000_s1120" style="position:absolute;left:22566;top:17956;width:5012;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5D655927" w14:textId="77777777" w:rsidR="00ED1ADA" w:rsidRDefault="00ED1ADA" w:rsidP="00302BFE">
                        <w:r>
                          <w:rPr>
                            <w:color w:val="595959"/>
                          </w:rPr>
                          <w:t>Années</w:t>
                        </w:r>
                      </w:p>
                    </w:txbxContent>
                  </v:textbox>
                </v:rect>
                <v:shape id="Shape 13136" o:spid="_x0000_s1121" style="position:absolute;width:43592;height:20939;visibility:visible;mso-wrap-style:square;v-text-anchor:top" coordsize="4359275,2093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" path="m4359275,r,2093913l,2093913,,e" filled="f" stroked="f" strokeweight=".25pt">
                  <v:path arrowok="t" o:connecttype="custom" o:connectlocs="4359275,0;4359275,2093913;0,2093913;0,0" o:connectangles="0,0,0,0" textboxrect="0,0,4359275,2093913"/>
                </v:shape>
                <w10:anchorlock/>
              </v:group>
            </w:pict>
          </mc:Fallback>
        </mc:AlternateContent>
      </w:r>
    </w:p>
    <w:p w14:paraId="02B59D57" w14:textId="77777777" w:rsidR="00302BFE" w:rsidRPr="001E48AC" w:rsidRDefault="00302BFE" w:rsidP="00302BFE">
      <w:pPr>
        <w:spacing w:before="120" w:after="120"/>
        <w:contextualSpacing/>
        <w:rPr>
          <w:sz w:val="16"/>
          <w:szCs w:val="16"/>
        </w:rPr>
      </w:pPr>
      <w:proofErr w:type="gramStart"/>
      <w:r w:rsidRPr="001E48AC">
        <w:rPr>
          <w:rFonts w:eastAsia="Times New Roman"/>
          <w:sz w:val="16"/>
          <w:szCs w:val="16"/>
        </w:rPr>
        <w:t>Source :</w:t>
      </w:r>
      <w:proofErr w:type="gramEnd"/>
      <w:r w:rsidRPr="001E48AC">
        <w:rPr>
          <w:sz w:val="16"/>
          <w:szCs w:val="16"/>
        </w:rPr>
        <w:t xml:space="preserve"> Ouédraogo et Zoungrana, 2016 </w:t>
      </w:r>
    </w:p>
    <w:p w14:paraId="0C61BD3E" w14:textId="77777777" w:rsidR="00302BFE" w:rsidRPr="008E1693" w:rsidRDefault="00302BFE" w:rsidP="00C46720">
      <w:pPr>
        <w:pStyle w:val="Paragraphedeliste"/>
        <w:numPr>
          <w:ilvl w:val="0"/>
          <w:numId w:val="42"/>
        </w:numPr>
        <w:spacing w:before="120" w:after="120"/>
        <w:ind w:right="277"/>
        <w:contextualSpacing/>
        <w:jc w:val="both"/>
        <w:rPr>
          <w:rFonts w:ascii="Calibri" w:hAnsi="Calibri"/>
          <w:b/>
          <w:sz w:val="20"/>
          <w:szCs w:val="20"/>
          <w:lang w:val="fr-CA"/>
        </w:rPr>
      </w:pPr>
      <w:r w:rsidRPr="008E1693">
        <w:rPr>
          <w:rFonts w:ascii="Calibri" w:hAnsi="Calibri"/>
          <w:b/>
          <w:sz w:val="20"/>
          <w:szCs w:val="20"/>
          <w:lang w:val="fr-CA"/>
        </w:rPr>
        <w:t>Produits forestiers non ligneux (PFNL)</w:t>
      </w:r>
    </w:p>
    <w:p w14:paraId="1CA5B491" w14:textId="77777777" w:rsidR="00302BFE" w:rsidRPr="008E1693" w:rsidRDefault="00302BFE" w:rsidP="00302BFE">
      <w:pPr>
        <w:spacing w:before="120" w:after="120"/>
        <w:contextualSpacing/>
        <w:rPr>
          <w:szCs w:val="20"/>
          <w:lang w:val="fr-CA"/>
        </w:rPr>
      </w:pPr>
      <w:r w:rsidRPr="008E1693">
        <w:rPr>
          <w:szCs w:val="20"/>
          <w:lang w:val="fr-CA"/>
        </w:rPr>
        <w:t xml:space="preserve">A l’instar de la filière bois-énergie, l’exploitation de la faune et la pêche génèrent également de moins en moins de recettes en raison de leur baisse de production. Cette diminution des recettes enregistrées par la Direction Régionale de l’Environnement, de l’Économie Verte et du Changement Climatique (DREEVCC) dans ces deux secteurs est illustrée dans le tableau </w:t>
      </w:r>
      <w:r w:rsidRPr="00091F0E">
        <w:rPr>
          <w:szCs w:val="20"/>
          <w:lang w:val="fr-CA"/>
        </w:rPr>
        <w:t>E</w:t>
      </w:r>
      <w:r w:rsidRPr="008E1693">
        <w:rPr>
          <w:szCs w:val="20"/>
          <w:lang w:val="fr-CA"/>
        </w:rPr>
        <w:t>.</w:t>
      </w:r>
      <w:r w:rsidRPr="008E1693">
        <w:rPr>
          <w:color w:val="000000"/>
          <w:szCs w:val="20"/>
          <w:lang w:val="fr-CA"/>
        </w:rPr>
        <w:t xml:space="preserve"> Quoique le niveau d’effort ou d’exploitation n’ait pas été considéré pour l’expliquer, la baisse des recettes liées à ces deux secteurs a été attribuée à une baisse de production et entraîne une baisse des bénéfices pour les acteurs locaux. L’amélioration de la gestion de ces activités pour les rendre plus durables contribuerait assurément à rétablir la part de bénéfices pour les communautés locales.</w:t>
      </w:r>
    </w:p>
    <w:p w14:paraId="1C0CDC43" w14:textId="77777777" w:rsidR="00302BFE" w:rsidRPr="008E1693" w:rsidRDefault="00302BFE" w:rsidP="00302BFE">
      <w:pPr>
        <w:pStyle w:val="Lgende"/>
        <w:spacing w:before="120"/>
        <w:jc w:val="both"/>
        <w:rPr>
          <w:rFonts w:ascii="Calibri" w:hAnsi="Calibri"/>
          <w:sz w:val="20"/>
          <w:szCs w:val="20"/>
          <w:lang w:val="fr-CA"/>
        </w:rPr>
      </w:pPr>
      <w:bookmarkStart w:id="106" w:name="_Toc2166337"/>
      <w:r w:rsidRPr="008E1693">
        <w:rPr>
          <w:rFonts w:ascii="Calibri" w:hAnsi="Calibri"/>
          <w:sz w:val="20"/>
          <w:szCs w:val="20"/>
          <w:lang w:val="fr-CA"/>
        </w:rPr>
        <w:t xml:space="preserve">Tableau </w:t>
      </w:r>
      <w:r w:rsidRPr="00091F0E">
        <w:rPr>
          <w:rFonts w:ascii="Calibri" w:hAnsi="Calibri"/>
          <w:noProof/>
          <w:sz w:val="20"/>
          <w:szCs w:val="20"/>
          <w:lang w:val="fr-CA"/>
        </w:rPr>
        <w:t>E</w:t>
      </w:r>
      <w:r w:rsidRPr="008E1693">
        <w:rPr>
          <w:rFonts w:ascii="Calibri" w:hAnsi="Calibri"/>
          <w:sz w:val="20"/>
          <w:szCs w:val="20"/>
          <w:lang w:val="fr-CA"/>
        </w:rPr>
        <w:t>: Situation de recouvrement des recettes dans le secteur forêts, faune et pêche par la DREEVCC du Centre Sud</w:t>
      </w:r>
      <w:bookmarkEnd w:id="106"/>
      <w:r w:rsidRPr="008E1693">
        <w:rPr>
          <w:rFonts w:ascii="Calibri" w:hAnsi="Calibri"/>
          <w:sz w:val="20"/>
          <w:szCs w:val="20"/>
          <w:lang w:val="fr-CA"/>
        </w:rPr>
        <w:t xml:space="preserve"> de 2012 à 2014.</w:t>
      </w:r>
    </w:p>
    <w:tbl>
      <w:tblPr>
        <w:tblW w:w="8165" w:type="dxa"/>
        <w:jc w:val="center"/>
        <w:tblBorders>
          <w:top w:val="single" w:sz="4" w:space="0" w:color="013366"/>
          <w:left w:val="single" w:sz="4" w:space="0" w:color="013366"/>
          <w:bottom w:val="single" w:sz="4" w:space="0" w:color="013366"/>
          <w:right w:val="single" w:sz="4" w:space="0" w:color="013366"/>
          <w:insideH w:val="single" w:sz="4" w:space="0" w:color="013366"/>
          <w:insideV w:val="single" w:sz="4" w:space="0" w:color="013366"/>
        </w:tblBorders>
        <w:tblLayout w:type="fixed"/>
        <w:tblLook w:val="04A0" w:firstRow="1" w:lastRow="0" w:firstColumn="1" w:lastColumn="0" w:noHBand="0" w:noVBand="1"/>
      </w:tblPr>
      <w:tblGrid>
        <w:gridCol w:w="1696"/>
        <w:gridCol w:w="2075"/>
        <w:gridCol w:w="2268"/>
        <w:gridCol w:w="2126"/>
      </w:tblGrid>
      <w:tr w:rsidR="00302BFE" w:rsidRPr="00FB1B99" w14:paraId="62C7320C" w14:textId="77777777" w:rsidTr="00243B15">
        <w:trPr>
          <w:jc w:val="center"/>
        </w:trPr>
        <w:tc>
          <w:tcPr>
            <w:tcW w:w="1696" w:type="dxa"/>
            <w:tcBorders>
              <w:top w:val="single" w:sz="4" w:space="0" w:color="013366"/>
              <w:left w:val="single" w:sz="4" w:space="0" w:color="013366"/>
              <w:bottom w:val="single" w:sz="4" w:space="0" w:color="013366"/>
              <w:right w:val="nil"/>
              <w:tl2br w:val="nil"/>
              <w:tr2bl w:val="nil"/>
            </w:tcBorders>
            <w:shd w:val="clear" w:color="auto" w:fill="013366"/>
          </w:tcPr>
          <w:p w14:paraId="346AA668" w14:textId="77777777" w:rsidR="00302BFE" w:rsidRPr="0075595E" w:rsidRDefault="00302BFE" w:rsidP="00243B15">
            <w:pPr>
              <w:spacing w:after="0"/>
              <w:contextualSpacing/>
              <w:rPr>
                <w:rFonts w:eastAsia="Times New Roman"/>
                <w:b/>
                <w:color w:val="FFFFFF"/>
                <w:szCs w:val="20"/>
              </w:rPr>
            </w:pPr>
            <w:r w:rsidRPr="0075595E">
              <w:rPr>
                <w:rFonts w:eastAsia="Times New Roman"/>
                <w:b/>
                <w:color w:val="FFFFFF"/>
                <w:szCs w:val="20"/>
              </w:rPr>
              <w:t>Sous-</w:t>
            </w:r>
            <w:proofErr w:type="spellStart"/>
            <w:r w:rsidRPr="0075595E">
              <w:rPr>
                <w:rFonts w:eastAsia="Times New Roman"/>
                <w:b/>
                <w:color w:val="FFFFFF"/>
                <w:szCs w:val="20"/>
              </w:rPr>
              <w:t>secteur</w:t>
            </w:r>
            <w:proofErr w:type="spellEnd"/>
          </w:p>
        </w:tc>
        <w:tc>
          <w:tcPr>
            <w:tcW w:w="2075" w:type="dxa"/>
            <w:tcBorders>
              <w:top w:val="single" w:sz="4" w:space="0" w:color="013366"/>
              <w:left w:val="nil"/>
              <w:bottom w:val="single" w:sz="4" w:space="0" w:color="013366"/>
              <w:right w:val="nil"/>
              <w:tl2br w:val="nil"/>
              <w:tr2bl w:val="nil"/>
            </w:tcBorders>
            <w:shd w:val="clear" w:color="auto" w:fill="013366"/>
          </w:tcPr>
          <w:p w14:paraId="7A7EBE7B" w14:textId="77777777" w:rsidR="00302BFE" w:rsidRPr="0075595E" w:rsidRDefault="00302BFE" w:rsidP="00243B15">
            <w:pPr>
              <w:spacing w:after="0"/>
              <w:contextualSpacing/>
              <w:rPr>
                <w:rFonts w:eastAsia="Times New Roman"/>
                <w:b/>
                <w:color w:val="FFFFFF"/>
                <w:szCs w:val="20"/>
              </w:rPr>
            </w:pPr>
            <w:proofErr w:type="spellStart"/>
            <w:r w:rsidRPr="0075595E">
              <w:rPr>
                <w:rFonts w:eastAsia="Times New Roman"/>
                <w:b/>
                <w:color w:val="FFFFFF"/>
                <w:szCs w:val="20"/>
              </w:rPr>
              <w:t>Revenus</w:t>
            </w:r>
            <w:proofErr w:type="spellEnd"/>
            <w:r w:rsidRPr="0075595E">
              <w:rPr>
                <w:rFonts w:eastAsia="Times New Roman"/>
                <w:b/>
                <w:color w:val="FFFFFF"/>
                <w:szCs w:val="20"/>
              </w:rPr>
              <w:t xml:space="preserve"> en 2012</w:t>
            </w:r>
          </w:p>
        </w:tc>
        <w:tc>
          <w:tcPr>
            <w:tcW w:w="2268" w:type="dxa"/>
            <w:tcBorders>
              <w:top w:val="single" w:sz="4" w:space="0" w:color="013366"/>
              <w:left w:val="nil"/>
              <w:bottom w:val="single" w:sz="4" w:space="0" w:color="013366"/>
              <w:right w:val="nil"/>
              <w:tl2br w:val="nil"/>
              <w:tr2bl w:val="nil"/>
            </w:tcBorders>
            <w:shd w:val="clear" w:color="auto" w:fill="013366"/>
          </w:tcPr>
          <w:p w14:paraId="6B5E5CF2" w14:textId="77777777" w:rsidR="00302BFE" w:rsidRPr="0075595E" w:rsidRDefault="00302BFE" w:rsidP="00243B15">
            <w:pPr>
              <w:spacing w:after="0"/>
              <w:contextualSpacing/>
              <w:rPr>
                <w:rFonts w:eastAsia="Times New Roman"/>
                <w:b/>
                <w:color w:val="FFFFFF"/>
                <w:szCs w:val="20"/>
              </w:rPr>
            </w:pPr>
            <w:proofErr w:type="spellStart"/>
            <w:r w:rsidRPr="0075595E">
              <w:rPr>
                <w:rFonts w:eastAsia="Times New Roman"/>
                <w:b/>
                <w:color w:val="FFFFFF"/>
                <w:szCs w:val="20"/>
              </w:rPr>
              <w:t>Revenus</w:t>
            </w:r>
            <w:proofErr w:type="spellEnd"/>
            <w:r w:rsidRPr="0075595E">
              <w:rPr>
                <w:rFonts w:eastAsia="Times New Roman"/>
                <w:b/>
                <w:color w:val="FFFFFF"/>
                <w:szCs w:val="20"/>
              </w:rPr>
              <w:t xml:space="preserve"> en 2013</w:t>
            </w:r>
          </w:p>
        </w:tc>
        <w:tc>
          <w:tcPr>
            <w:tcW w:w="2126" w:type="dxa"/>
            <w:tcBorders>
              <w:top w:val="single" w:sz="4" w:space="0" w:color="013366"/>
              <w:left w:val="nil"/>
              <w:bottom w:val="single" w:sz="4" w:space="0" w:color="013366"/>
              <w:right w:val="single" w:sz="4" w:space="0" w:color="013366"/>
              <w:tl2br w:val="nil"/>
              <w:tr2bl w:val="nil"/>
            </w:tcBorders>
            <w:shd w:val="clear" w:color="auto" w:fill="013366"/>
          </w:tcPr>
          <w:p w14:paraId="1E20937F" w14:textId="77777777" w:rsidR="00302BFE" w:rsidRPr="0075595E" w:rsidRDefault="00302BFE" w:rsidP="00243B15">
            <w:pPr>
              <w:spacing w:after="0"/>
              <w:contextualSpacing/>
              <w:rPr>
                <w:rFonts w:eastAsia="Times New Roman"/>
                <w:b/>
                <w:color w:val="FFFFFF"/>
                <w:szCs w:val="20"/>
              </w:rPr>
            </w:pPr>
            <w:proofErr w:type="spellStart"/>
            <w:r w:rsidRPr="0075595E">
              <w:rPr>
                <w:rFonts w:eastAsia="Times New Roman"/>
                <w:b/>
                <w:color w:val="FFFFFF"/>
                <w:szCs w:val="20"/>
              </w:rPr>
              <w:t>Revenus</w:t>
            </w:r>
            <w:proofErr w:type="spellEnd"/>
            <w:r w:rsidRPr="0075595E">
              <w:rPr>
                <w:rFonts w:eastAsia="Times New Roman"/>
                <w:b/>
                <w:color w:val="FFFFFF"/>
                <w:szCs w:val="20"/>
              </w:rPr>
              <w:t xml:space="preserve"> en 2014</w:t>
            </w:r>
          </w:p>
        </w:tc>
      </w:tr>
      <w:tr w:rsidR="00302BFE" w:rsidRPr="00FB1B99" w14:paraId="33222315" w14:textId="77777777" w:rsidTr="00243B15">
        <w:trPr>
          <w:jc w:val="center"/>
        </w:trPr>
        <w:tc>
          <w:tcPr>
            <w:tcW w:w="1696" w:type="dxa"/>
            <w:shd w:val="clear" w:color="auto" w:fill="auto"/>
          </w:tcPr>
          <w:p w14:paraId="0ED7D812" w14:textId="77777777" w:rsidR="00302BFE" w:rsidRPr="0075595E" w:rsidRDefault="00302BFE" w:rsidP="00243B15">
            <w:pPr>
              <w:spacing w:after="0"/>
              <w:contextualSpacing/>
              <w:rPr>
                <w:rFonts w:eastAsia="Times New Roman"/>
                <w:szCs w:val="20"/>
              </w:rPr>
            </w:pPr>
            <w:proofErr w:type="spellStart"/>
            <w:r w:rsidRPr="0075595E">
              <w:rPr>
                <w:rFonts w:eastAsia="Times New Roman"/>
                <w:szCs w:val="20"/>
              </w:rPr>
              <w:t>Faune</w:t>
            </w:r>
            <w:proofErr w:type="spellEnd"/>
          </w:p>
        </w:tc>
        <w:tc>
          <w:tcPr>
            <w:tcW w:w="2075" w:type="dxa"/>
            <w:shd w:val="clear" w:color="auto" w:fill="auto"/>
          </w:tcPr>
          <w:p w14:paraId="0988D8A0" w14:textId="77777777" w:rsidR="00302BFE" w:rsidRPr="0075595E" w:rsidRDefault="00302BFE" w:rsidP="00243B15">
            <w:pPr>
              <w:spacing w:after="0"/>
              <w:contextualSpacing/>
              <w:rPr>
                <w:rFonts w:eastAsia="Times New Roman"/>
                <w:szCs w:val="20"/>
              </w:rPr>
            </w:pPr>
            <w:r w:rsidRPr="0075595E">
              <w:rPr>
                <w:rFonts w:eastAsia="Times New Roman"/>
                <w:szCs w:val="20"/>
              </w:rPr>
              <w:t>5 306 200</w:t>
            </w:r>
          </w:p>
        </w:tc>
        <w:tc>
          <w:tcPr>
            <w:tcW w:w="2268" w:type="dxa"/>
            <w:shd w:val="clear" w:color="auto" w:fill="auto"/>
          </w:tcPr>
          <w:p w14:paraId="61EB1A6F" w14:textId="77777777" w:rsidR="00302BFE" w:rsidRPr="0075595E" w:rsidRDefault="00302BFE" w:rsidP="00243B15">
            <w:pPr>
              <w:spacing w:after="0"/>
              <w:contextualSpacing/>
              <w:rPr>
                <w:rFonts w:eastAsia="Times New Roman"/>
                <w:szCs w:val="20"/>
              </w:rPr>
            </w:pPr>
            <w:r w:rsidRPr="0075595E">
              <w:rPr>
                <w:rFonts w:eastAsia="Times New Roman"/>
                <w:szCs w:val="20"/>
              </w:rPr>
              <w:t>4 501 700</w:t>
            </w:r>
          </w:p>
        </w:tc>
        <w:tc>
          <w:tcPr>
            <w:tcW w:w="2126" w:type="dxa"/>
            <w:shd w:val="clear" w:color="auto" w:fill="auto"/>
          </w:tcPr>
          <w:p w14:paraId="136209E4" w14:textId="77777777" w:rsidR="00302BFE" w:rsidRPr="0075595E" w:rsidRDefault="00302BFE" w:rsidP="00243B15">
            <w:pPr>
              <w:spacing w:after="0"/>
              <w:contextualSpacing/>
              <w:rPr>
                <w:rFonts w:eastAsia="Times New Roman"/>
                <w:szCs w:val="20"/>
              </w:rPr>
            </w:pPr>
            <w:r w:rsidRPr="0075595E">
              <w:rPr>
                <w:rFonts w:eastAsia="Times New Roman"/>
                <w:szCs w:val="20"/>
              </w:rPr>
              <w:t>3 546 500</w:t>
            </w:r>
          </w:p>
        </w:tc>
      </w:tr>
      <w:tr w:rsidR="00302BFE" w:rsidRPr="00FB1B99" w14:paraId="39B5237F" w14:textId="77777777" w:rsidTr="00243B15">
        <w:trPr>
          <w:jc w:val="center"/>
        </w:trPr>
        <w:tc>
          <w:tcPr>
            <w:tcW w:w="1696" w:type="dxa"/>
            <w:shd w:val="clear" w:color="auto" w:fill="auto"/>
          </w:tcPr>
          <w:p w14:paraId="3FA89965" w14:textId="77777777" w:rsidR="00302BFE" w:rsidRPr="0075595E" w:rsidRDefault="00302BFE" w:rsidP="00243B15">
            <w:pPr>
              <w:spacing w:after="0"/>
              <w:contextualSpacing/>
              <w:rPr>
                <w:rFonts w:eastAsia="Times New Roman"/>
                <w:szCs w:val="20"/>
              </w:rPr>
            </w:pPr>
            <w:proofErr w:type="spellStart"/>
            <w:r w:rsidRPr="0075595E">
              <w:rPr>
                <w:rFonts w:eastAsia="Times New Roman"/>
                <w:szCs w:val="20"/>
              </w:rPr>
              <w:t>Pêche</w:t>
            </w:r>
            <w:proofErr w:type="spellEnd"/>
          </w:p>
        </w:tc>
        <w:tc>
          <w:tcPr>
            <w:tcW w:w="2075" w:type="dxa"/>
            <w:shd w:val="clear" w:color="auto" w:fill="auto"/>
          </w:tcPr>
          <w:p w14:paraId="42119D72" w14:textId="77777777" w:rsidR="00302BFE" w:rsidRPr="0075595E" w:rsidRDefault="00302BFE" w:rsidP="00243B15">
            <w:pPr>
              <w:spacing w:after="0"/>
              <w:contextualSpacing/>
              <w:rPr>
                <w:rFonts w:eastAsia="Times New Roman"/>
                <w:szCs w:val="20"/>
              </w:rPr>
            </w:pPr>
            <w:r w:rsidRPr="0075595E">
              <w:rPr>
                <w:rFonts w:eastAsia="Times New Roman"/>
                <w:szCs w:val="20"/>
              </w:rPr>
              <w:t>340 000</w:t>
            </w:r>
          </w:p>
        </w:tc>
        <w:tc>
          <w:tcPr>
            <w:tcW w:w="2268" w:type="dxa"/>
            <w:shd w:val="clear" w:color="auto" w:fill="auto"/>
          </w:tcPr>
          <w:p w14:paraId="38D1EB84" w14:textId="77777777" w:rsidR="00302BFE" w:rsidRPr="0075595E" w:rsidRDefault="00302BFE" w:rsidP="00243B15">
            <w:pPr>
              <w:spacing w:after="0"/>
              <w:contextualSpacing/>
              <w:rPr>
                <w:rFonts w:eastAsia="Times New Roman"/>
                <w:szCs w:val="20"/>
              </w:rPr>
            </w:pPr>
            <w:r w:rsidRPr="0075595E">
              <w:rPr>
                <w:rFonts w:eastAsia="Times New Roman"/>
                <w:szCs w:val="20"/>
              </w:rPr>
              <w:t>454 500</w:t>
            </w:r>
          </w:p>
        </w:tc>
        <w:tc>
          <w:tcPr>
            <w:tcW w:w="2126" w:type="dxa"/>
            <w:shd w:val="clear" w:color="auto" w:fill="auto"/>
          </w:tcPr>
          <w:p w14:paraId="6844FD45" w14:textId="77777777" w:rsidR="00302BFE" w:rsidRPr="0075595E" w:rsidRDefault="00302BFE" w:rsidP="00243B15">
            <w:pPr>
              <w:spacing w:after="0"/>
              <w:contextualSpacing/>
              <w:rPr>
                <w:rFonts w:eastAsia="Times New Roman"/>
                <w:szCs w:val="20"/>
              </w:rPr>
            </w:pPr>
            <w:r w:rsidRPr="0075595E">
              <w:rPr>
                <w:rFonts w:eastAsia="Times New Roman"/>
                <w:szCs w:val="20"/>
              </w:rPr>
              <w:t>66 000</w:t>
            </w:r>
          </w:p>
        </w:tc>
      </w:tr>
    </w:tbl>
    <w:p w14:paraId="751F9A65" w14:textId="77777777" w:rsidR="00302BFE" w:rsidRPr="008E1693" w:rsidRDefault="00302BFE" w:rsidP="00302BFE">
      <w:pPr>
        <w:pStyle w:val="Corpsdetexte"/>
        <w:rPr>
          <w:rFonts w:ascii="Calibri" w:hAnsi="Calibri"/>
          <w:sz w:val="16"/>
          <w:szCs w:val="16"/>
        </w:rPr>
      </w:pPr>
      <w:proofErr w:type="gramStart"/>
      <w:r w:rsidRPr="008E1693">
        <w:rPr>
          <w:rFonts w:ascii="Calibri" w:hAnsi="Calibri"/>
          <w:sz w:val="16"/>
          <w:szCs w:val="16"/>
        </w:rPr>
        <w:t>Source :</w:t>
      </w:r>
      <w:proofErr w:type="gramEnd"/>
      <w:r w:rsidRPr="008E1693">
        <w:rPr>
          <w:rFonts w:ascii="Calibri" w:hAnsi="Calibri"/>
          <w:sz w:val="16"/>
          <w:szCs w:val="16"/>
        </w:rPr>
        <w:t xml:space="preserve"> Ouédraogo et Zoungrana, 2016</w:t>
      </w:r>
    </w:p>
    <w:p w14:paraId="58731E09" w14:textId="77777777" w:rsidR="00302BFE" w:rsidRPr="008E1693" w:rsidRDefault="00302BFE" w:rsidP="00302BFE">
      <w:pPr>
        <w:widowControl w:val="0"/>
        <w:autoSpaceDE w:val="0"/>
        <w:autoSpaceDN w:val="0"/>
        <w:adjustRightInd w:val="0"/>
        <w:spacing w:before="120" w:after="120"/>
        <w:textAlignment w:val="baseline"/>
        <w:rPr>
          <w:szCs w:val="20"/>
          <w:lang w:val="fr-CA"/>
        </w:rPr>
      </w:pPr>
      <w:r w:rsidRPr="008E1693">
        <w:rPr>
          <w:szCs w:val="20"/>
          <w:lang w:val="fr-CA"/>
        </w:rPr>
        <w:t xml:space="preserve">Pour les PFNL d’origine végétale, un grand nombre d’acteurs sont mobilisés dans les filières issues du karité (beurre de karité, savon à base de beurre de karité, amandes de karité), et les produits du néré ou </w:t>
      </w:r>
      <w:proofErr w:type="spellStart"/>
      <w:r w:rsidRPr="008E1693">
        <w:rPr>
          <w:i/>
          <w:szCs w:val="20"/>
          <w:lang w:val="fr-CA"/>
        </w:rPr>
        <w:t>soumbala</w:t>
      </w:r>
      <w:proofErr w:type="spellEnd"/>
      <w:r w:rsidRPr="008E1693">
        <w:rPr>
          <w:szCs w:val="20"/>
          <w:lang w:val="fr-CA"/>
        </w:rPr>
        <w:t xml:space="preserve"> (épices à base des graines du néré, graines de néré). Les produits transformés (beurre de karité, savon à base de beurre de karité, </w:t>
      </w:r>
      <w:proofErr w:type="spellStart"/>
      <w:r w:rsidRPr="008E1693">
        <w:rPr>
          <w:i/>
          <w:szCs w:val="20"/>
          <w:lang w:val="fr-CA"/>
        </w:rPr>
        <w:t>soumbala</w:t>
      </w:r>
      <w:proofErr w:type="spellEnd"/>
      <w:r w:rsidRPr="008E1693">
        <w:rPr>
          <w:szCs w:val="20"/>
          <w:lang w:val="fr-CA"/>
        </w:rPr>
        <w:t>) sont principalement produits par les femmes.</w:t>
      </w:r>
    </w:p>
    <w:p w14:paraId="53541729" w14:textId="7F0F3414" w:rsidR="00302BFE" w:rsidRPr="008E1693" w:rsidRDefault="00302BFE" w:rsidP="00302BFE">
      <w:pPr>
        <w:pStyle w:val="Lgende"/>
        <w:spacing w:before="120"/>
        <w:jc w:val="both"/>
        <w:rPr>
          <w:rFonts w:ascii="Calibri" w:hAnsi="Calibri"/>
          <w:sz w:val="20"/>
          <w:szCs w:val="20"/>
          <w:lang w:val="fr-CA"/>
        </w:rPr>
      </w:pPr>
      <w:bookmarkStart w:id="107" w:name="_Toc444451019"/>
      <w:bookmarkStart w:id="108" w:name="_Toc534626830"/>
      <w:bookmarkStart w:id="109" w:name="_Toc2166346"/>
      <w:r w:rsidRPr="008E1693">
        <w:rPr>
          <w:rFonts w:ascii="Calibri" w:hAnsi="Calibri"/>
          <w:sz w:val="20"/>
          <w:szCs w:val="20"/>
          <w:lang w:val="fr-CA"/>
        </w:rPr>
        <w:t xml:space="preserve">Figure </w:t>
      </w:r>
      <w:r w:rsidRPr="00091F0E">
        <w:rPr>
          <w:rFonts w:ascii="Calibri" w:hAnsi="Calibri"/>
          <w:sz w:val="20"/>
          <w:szCs w:val="20"/>
        </w:rPr>
        <w:fldChar w:fldCharType="begin"/>
      </w:r>
      <w:r w:rsidRPr="00091F0E">
        <w:rPr>
          <w:rFonts w:ascii="Calibri" w:hAnsi="Calibri"/>
          <w:sz w:val="20"/>
          <w:szCs w:val="20"/>
          <w:lang w:val="fr-CA"/>
        </w:rPr>
        <w:instrText xml:space="preserve"> SEQ Figure \* ARABIC </w:instrText>
      </w:r>
      <w:r w:rsidRPr="00091F0E">
        <w:rPr>
          <w:rFonts w:ascii="Calibri" w:hAnsi="Calibri"/>
          <w:sz w:val="20"/>
          <w:szCs w:val="20"/>
        </w:rPr>
        <w:fldChar w:fldCharType="separate"/>
      </w:r>
      <w:r w:rsidR="00EB5F3C">
        <w:rPr>
          <w:rFonts w:ascii="Calibri" w:hAnsi="Calibri"/>
          <w:noProof/>
          <w:sz w:val="20"/>
          <w:szCs w:val="20"/>
          <w:lang w:val="fr-CA"/>
        </w:rPr>
        <w:t>2</w:t>
      </w:r>
      <w:r w:rsidRPr="00091F0E">
        <w:rPr>
          <w:rFonts w:ascii="Calibri" w:hAnsi="Calibri"/>
          <w:sz w:val="20"/>
          <w:szCs w:val="20"/>
        </w:rPr>
        <w:fldChar w:fldCharType="end"/>
      </w:r>
      <w:r w:rsidRPr="008E1693">
        <w:rPr>
          <w:rFonts w:ascii="Calibri" w:hAnsi="Calibri"/>
          <w:sz w:val="20"/>
          <w:szCs w:val="20"/>
          <w:lang w:val="fr-CA"/>
        </w:rPr>
        <w:t> : Mobilisation relative des acteurs dans les filière</w:t>
      </w:r>
      <w:bookmarkEnd w:id="107"/>
      <w:bookmarkEnd w:id="108"/>
      <w:r w:rsidRPr="008E1693">
        <w:rPr>
          <w:rFonts w:ascii="Calibri" w:hAnsi="Calibri"/>
          <w:sz w:val="20"/>
          <w:szCs w:val="20"/>
          <w:lang w:val="fr-CA"/>
        </w:rPr>
        <w:t>s de PFNL d’origine végétale dans le complexe de PONASI</w:t>
      </w:r>
      <w:bookmarkEnd w:id="109"/>
    </w:p>
    <w:p w14:paraId="5C095C34" w14:textId="77777777" w:rsidR="00302BFE" w:rsidRPr="00FB1B99" w:rsidRDefault="00302BFE" w:rsidP="00302BFE">
      <w:pPr>
        <w:widowControl w:val="0"/>
        <w:autoSpaceDE w:val="0"/>
        <w:autoSpaceDN w:val="0"/>
        <w:adjustRightInd w:val="0"/>
        <w:spacing w:before="120" w:after="120"/>
        <w:ind w:left="170"/>
        <w:contextualSpacing/>
        <w:textAlignment w:val="baseline"/>
        <w:rPr>
          <w:szCs w:val="20"/>
        </w:rPr>
      </w:pPr>
      <w:r w:rsidRPr="008E1693">
        <w:rPr>
          <w:noProof/>
          <w:szCs w:val="20"/>
          <w:lang w:eastAsia="fr-FR"/>
        </w:rPr>
        <w:drawing>
          <wp:inline distT="0" distB="0" distL="0" distR="0" wp14:anchorId="25E0F505" wp14:editId="42249975">
            <wp:extent cx="4017645" cy="2399665"/>
            <wp:effectExtent l="0" t="0" r="1905" b="635"/>
            <wp:docPr id="2" name="Graphique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E232EB3" w14:textId="77777777" w:rsidR="00302BFE" w:rsidRPr="00243B15" w:rsidRDefault="00302BFE" w:rsidP="00302BFE">
      <w:pPr>
        <w:widowControl w:val="0"/>
        <w:autoSpaceDE w:val="0"/>
        <w:autoSpaceDN w:val="0"/>
        <w:adjustRightInd w:val="0"/>
        <w:spacing w:before="120" w:after="240"/>
        <w:ind w:left="170"/>
        <w:textAlignment w:val="baseline"/>
        <w:rPr>
          <w:sz w:val="16"/>
          <w:szCs w:val="16"/>
          <w:lang w:val="fr-CA"/>
        </w:rPr>
      </w:pPr>
      <w:r w:rsidRPr="00243B15">
        <w:rPr>
          <w:sz w:val="16"/>
          <w:szCs w:val="16"/>
          <w:lang w:val="fr-CA"/>
        </w:rPr>
        <w:t xml:space="preserve">Source : </w:t>
      </w:r>
      <w:proofErr w:type="spellStart"/>
      <w:r w:rsidRPr="00243B15">
        <w:rPr>
          <w:sz w:val="16"/>
          <w:szCs w:val="16"/>
          <w:lang w:val="fr-CA"/>
        </w:rPr>
        <w:t>Naturama</w:t>
      </w:r>
      <w:proofErr w:type="spellEnd"/>
      <w:r w:rsidRPr="00243B15">
        <w:rPr>
          <w:sz w:val="16"/>
          <w:szCs w:val="16"/>
          <w:lang w:val="fr-CA"/>
        </w:rPr>
        <w:t>, 2016</w:t>
      </w:r>
    </w:p>
    <w:p w14:paraId="56C373E0" w14:textId="77777777" w:rsidR="00302BFE" w:rsidRPr="008E1693" w:rsidRDefault="00302BFE" w:rsidP="00302BFE">
      <w:pPr>
        <w:spacing w:before="240" w:after="120"/>
        <w:rPr>
          <w:color w:val="000000"/>
          <w:szCs w:val="20"/>
          <w:lang w:val="fr-CA"/>
        </w:rPr>
      </w:pPr>
      <w:r w:rsidRPr="008E1693">
        <w:rPr>
          <w:color w:val="000000"/>
          <w:szCs w:val="20"/>
          <w:lang w:val="fr-CA"/>
        </w:rPr>
        <w:t xml:space="preserve">Les filières mentionnées procurent des revenus aux acteurs impliqués. Cependant, ces revenus pourraient être améliorés si les filières étaient mieux organisées et les acteurs mieux structurés à la base. Des filières telles que le miel et la liane </w:t>
      </w:r>
      <w:proofErr w:type="spellStart"/>
      <w:r w:rsidRPr="008E1693">
        <w:rPr>
          <w:color w:val="000000"/>
          <w:szCs w:val="20"/>
          <w:lang w:val="fr-CA"/>
        </w:rPr>
        <w:t>goïne</w:t>
      </w:r>
      <w:proofErr w:type="spellEnd"/>
      <w:r w:rsidRPr="008E1693">
        <w:rPr>
          <w:color w:val="000000"/>
          <w:szCs w:val="20"/>
          <w:lang w:val="fr-CA"/>
        </w:rPr>
        <w:t xml:space="preserve"> sont potentiellement porteuses mais requièrent un minimum d’accompagnement. Malgré leur potentiel, ces filières ont jusqu’à maintenant été </w:t>
      </w:r>
      <w:r w:rsidRPr="008E1693">
        <w:rPr>
          <w:color w:val="000000"/>
          <w:szCs w:val="20"/>
          <w:lang w:val="fr-CA"/>
        </w:rPr>
        <w:lastRenderedPageBreak/>
        <w:t xml:space="preserve">insuffisamment explorées. Les fruits de la liane </w:t>
      </w:r>
      <w:proofErr w:type="spellStart"/>
      <w:r w:rsidRPr="008E1693">
        <w:rPr>
          <w:color w:val="000000"/>
          <w:szCs w:val="20"/>
          <w:lang w:val="fr-CA"/>
        </w:rPr>
        <w:t>goïne</w:t>
      </w:r>
      <w:proofErr w:type="spellEnd"/>
      <w:r w:rsidRPr="008E1693">
        <w:rPr>
          <w:color w:val="000000"/>
          <w:szCs w:val="20"/>
          <w:lang w:val="fr-CA"/>
        </w:rPr>
        <w:t xml:space="preserve"> se vendent à l’état brut alors que la production de jus créerait une valeur ajoutée conséquente. Des exemples dans d’autres localités montrent que p</w:t>
      </w:r>
      <w:r w:rsidRPr="008E1693">
        <w:rPr>
          <w:szCs w:val="20"/>
          <w:lang w:val="fr-CA"/>
        </w:rPr>
        <w:t xml:space="preserve">our une unité de transformation transformant 43 kg de fruits en jus, le revenu net est de 37 $US (21 640 FCFA) alors que ces 43 Kg (Sama et al., 2010) de fruits sont vendus à 2,50 $US (1500 FCFA) ! Également, la production de beurre de karité, de savon à base de beurre de karité et de </w:t>
      </w:r>
      <w:proofErr w:type="spellStart"/>
      <w:r w:rsidRPr="008E1693">
        <w:rPr>
          <w:i/>
          <w:szCs w:val="20"/>
          <w:lang w:val="fr-CA"/>
        </w:rPr>
        <w:t>soumbala</w:t>
      </w:r>
      <w:proofErr w:type="spellEnd"/>
      <w:r w:rsidRPr="008E1693">
        <w:rPr>
          <w:szCs w:val="20"/>
          <w:lang w:val="fr-CA"/>
        </w:rPr>
        <w:t xml:space="preserve"> demeure artisanale et les revenus générés sont relativement bas en comparaison au potentiel disponible. L’expérience d’</w:t>
      </w:r>
      <w:proofErr w:type="spellStart"/>
      <w:r w:rsidRPr="008E1693">
        <w:rPr>
          <w:szCs w:val="20"/>
          <w:lang w:val="fr-CA"/>
        </w:rPr>
        <w:t>ONGs</w:t>
      </w:r>
      <w:proofErr w:type="spellEnd"/>
      <w:r w:rsidRPr="008E1693">
        <w:rPr>
          <w:szCs w:val="20"/>
          <w:lang w:val="fr-CA"/>
        </w:rPr>
        <w:t xml:space="preserve"> telles que </w:t>
      </w:r>
      <w:proofErr w:type="spellStart"/>
      <w:r w:rsidRPr="008E1693">
        <w:rPr>
          <w:szCs w:val="20"/>
          <w:lang w:val="fr-CA"/>
        </w:rPr>
        <w:t>Tree</w:t>
      </w:r>
      <w:proofErr w:type="spellEnd"/>
      <w:r w:rsidRPr="008E1693">
        <w:rPr>
          <w:szCs w:val="20"/>
          <w:lang w:val="fr-CA"/>
        </w:rPr>
        <w:t xml:space="preserve"> </w:t>
      </w:r>
      <w:proofErr w:type="spellStart"/>
      <w:r w:rsidRPr="008E1693">
        <w:rPr>
          <w:szCs w:val="20"/>
          <w:lang w:val="fr-CA"/>
        </w:rPr>
        <w:t>Aid</w:t>
      </w:r>
      <w:proofErr w:type="spellEnd"/>
      <w:r w:rsidRPr="008E1693">
        <w:rPr>
          <w:szCs w:val="20"/>
          <w:lang w:val="fr-CA"/>
        </w:rPr>
        <w:t xml:space="preserve"> a montré qu’avec un minimum d’appui, les organisations de productrices peuvent améliorer significativement leurs revenus. Par exemple, les revenus moyens pour des produits tels que le </w:t>
      </w:r>
      <w:proofErr w:type="spellStart"/>
      <w:r w:rsidRPr="008E1693">
        <w:rPr>
          <w:i/>
          <w:szCs w:val="20"/>
          <w:lang w:val="fr-CA"/>
        </w:rPr>
        <w:t>soumbala</w:t>
      </w:r>
      <w:proofErr w:type="spellEnd"/>
      <w:r w:rsidRPr="008E1693">
        <w:rPr>
          <w:i/>
          <w:szCs w:val="20"/>
          <w:lang w:val="fr-CA"/>
        </w:rPr>
        <w:t xml:space="preserve"> </w:t>
      </w:r>
      <w:r w:rsidRPr="008E1693">
        <w:rPr>
          <w:szCs w:val="20"/>
          <w:lang w:val="fr-CA"/>
        </w:rPr>
        <w:t>étaient de 122 $US (</w:t>
      </w:r>
      <w:r w:rsidRPr="008E1693">
        <w:rPr>
          <w:rFonts w:eastAsia="Times New Roman"/>
          <w:color w:val="000000"/>
          <w:szCs w:val="20"/>
          <w:lang w:val="fr-CA" w:eastAsia="fr-FR"/>
        </w:rPr>
        <w:t xml:space="preserve">72 000 FCFA) en 2016 (Sama, 2016) alors qu’en 2012, des acteurs accompagnés par </w:t>
      </w:r>
      <w:proofErr w:type="spellStart"/>
      <w:r w:rsidRPr="008E1693">
        <w:rPr>
          <w:rFonts w:eastAsia="Times New Roman"/>
          <w:color w:val="000000"/>
          <w:szCs w:val="20"/>
          <w:lang w:val="fr-CA" w:eastAsia="fr-FR"/>
        </w:rPr>
        <w:t>Tree</w:t>
      </w:r>
      <w:proofErr w:type="spellEnd"/>
      <w:r w:rsidRPr="008E1693">
        <w:rPr>
          <w:rFonts w:eastAsia="Times New Roman"/>
          <w:color w:val="000000"/>
          <w:szCs w:val="20"/>
          <w:lang w:val="fr-CA" w:eastAsia="fr-FR"/>
        </w:rPr>
        <w:t xml:space="preserve"> </w:t>
      </w:r>
      <w:proofErr w:type="spellStart"/>
      <w:r w:rsidRPr="008E1693">
        <w:rPr>
          <w:rFonts w:eastAsia="Times New Roman"/>
          <w:color w:val="000000"/>
          <w:szCs w:val="20"/>
          <w:lang w:val="fr-CA" w:eastAsia="fr-FR"/>
        </w:rPr>
        <w:t>Aid</w:t>
      </w:r>
      <w:proofErr w:type="spellEnd"/>
      <w:r w:rsidRPr="008E1693">
        <w:rPr>
          <w:rFonts w:eastAsia="Times New Roman"/>
          <w:color w:val="000000"/>
          <w:szCs w:val="20"/>
          <w:lang w:val="fr-CA" w:eastAsia="fr-FR"/>
        </w:rPr>
        <w:t xml:space="preserve"> enregistraient des revenus de 158 </w:t>
      </w:r>
      <w:r w:rsidRPr="008E1693">
        <w:rPr>
          <w:szCs w:val="20"/>
          <w:lang w:val="fr-CA"/>
        </w:rPr>
        <w:t>$US</w:t>
      </w:r>
      <w:r w:rsidRPr="008E1693">
        <w:rPr>
          <w:rFonts w:eastAsia="Times New Roman"/>
          <w:color w:val="000000"/>
          <w:szCs w:val="20"/>
          <w:lang w:val="fr-CA" w:eastAsia="fr-FR"/>
        </w:rPr>
        <w:t xml:space="preserve"> (</w:t>
      </w:r>
      <w:r w:rsidRPr="008E1693">
        <w:rPr>
          <w:rFonts w:eastAsia="Times New Roman"/>
          <w:szCs w:val="20"/>
          <w:lang w:val="fr-CA" w:eastAsia="fr-FR"/>
        </w:rPr>
        <w:t>93 193 FCFA) dans la même zone et pour des produits similaires (Sama, 2012).</w:t>
      </w:r>
    </w:p>
    <w:p w14:paraId="2341331E" w14:textId="77777777" w:rsidR="00302BFE" w:rsidRPr="008E1693" w:rsidRDefault="00302BFE" w:rsidP="00302BFE">
      <w:pPr>
        <w:pStyle w:val="Paragraphedeliste"/>
        <w:tabs>
          <w:tab w:val="left" w:pos="284"/>
        </w:tabs>
        <w:spacing w:before="120" w:after="120"/>
        <w:ind w:left="0"/>
        <w:jc w:val="both"/>
        <w:rPr>
          <w:rFonts w:ascii="Calibri" w:hAnsi="Calibri"/>
          <w:sz w:val="20"/>
          <w:szCs w:val="20"/>
          <w:lang w:val="fr-CA"/>
        </w:rPr>
      </w:pPr>
      <w:bookmarkStart w:id="110" w:name="_Toc2166327"/>
      <w:r w:rsidRPr="008E1693">
        <w:rPr>
          <w:rFonts w:ascii="Calibri" w:eastAsia="Times New Roman" w:hAnsi="Calibri"/>
          <w:i/>
          <w:iCs/>
          <w:color w:val="2F5496"/>
          <w:sz w:val="20"/>
          <w:szCs w:val="20"/>
          <w:lang w:val="fr-CA"/>
        </w:rPr>
        <w:t>Retombées indirectes</w:t>
      </w:r>
      <w:bookmarkEnd w:id="110"/>
      <w:r>
        <w:rPr>
          <w:rFonts w:ascii="Calibri" w:eastAsia="Times New Roman" w:hAnsi="Calibri"/>
          <w:i/>
          <w:iCs/>
          <w:color w:val="2F5496"/>
          <w:sz w:val="20"/>
          <w:szCs w:val="20"/>
          <w:lang w:val="fr-CA"/>
        </w:rPr>
        <w:t xml:space="preserve">. </w:t>
      </w:r>
      <w:r w:rsidRPr="008E1693">
        <w:rPr>
          <w:rFonts w:ascii="Calibri" w:hAnsi="Calibri"/>
          <w:sz w:val="20"/>
          <w:szCs w:val="20"/>
          <w:lang w:val="fr-CA"/>
        </w:rPr>
        <w:t xml:space="preserve">Les retombées indirectes sont </w:t>
      </w:r>
      <w:proofErr w:type="spellStart"/>
      <w:r w:rsidRPr="008E1693">
        <w:rPr>
          <w:rFonts w:ascii="Calibri" w:hAnsi="Calibri"/>
          <w:sz w:val="20"/>
          <w:szCs w:val="20"/>
          <w:lang w:val="fr-CA"/>
        </w:rPr>
        <w:t>consituées</w:t>
      </w:r>
      <w:proofErr w:type="spellEnd"/>
      <w:r w:rsidRPr="008E1693">
        <w:rPr>
          <w:rFonts w:ascii="Calibri" w:hAnsi="Calibri"/>
          <w:sz w:val="20"/>
          <w:szCs w:val="20"/>
          <w:lang w:val="fr-CA"/>
        </w:rPr>
        <w:t xml:space="preserve"> de toutes les activités que les populations développent du fait de la présence des aires protégées et du développement du tourisme comme l’artisanat, le petit commerce, le transport, la communication et qui leur rapportent des revenus. On note également les différentes dépenses que les concessionnaires effectuent sur le terrain. Ces dépenses concernent celles du fonctionnement comme le carburant, les achats divers effectués sur place pour les besoins des concessions. </w:t>
      </w:r>
    </w:p>
    <w:p w14:paraId="1752B81A" w14:textId="77777777" w:rsidR="00302BFE" w:rsidRPr="00E5211E" w:rsidRDefault="00302BFE" w:rsidP="00302BFE">
      <w:pPr>
        <w:rPr>
          <w:b/>
          <w:lang w:val="fr-CA"/>
        </w:rPr>
      </w:pPr>
      <w:r w:rsidRPr="00E5211E">
        <w:rPr>
          <w:b/>
          <w:lang w:val="fr-CA"/>
        </w:rPr>
        <w:t>Identification participative des sites d'intervention pilotes dans une perspective de réplicabilité</w:t>
      </w:r>
    </w:p>
    <w:p w14:paraId="5B6D8BBE" w14:textId="77777777" w:rsidR="00302BFE" w:rsidRPr="00B72D64" w:rsidRDefault="00302BFE" w:rsidP="00302BFE">
      <w:pPr>
        <w:spacing w:before="120" w:after="120"/>
        <w:rPr>
          <w:szCs w:val="20"/>
          <w:lang w:val="fr-CA"/>
        </w:rPr>
      </w:pPr>
      <w:r w:rsidRPr="00B72D64">
        <w:rPr>
          <w:szCs w:val="20"/>
          <w:lang w:val="fr-CA"/>
        </w:rPr>
        <w:t xml:space="preserve">Les sites pilotes pour les interventions des composantes 3 et 4 du projet ont été identifiés avec la participation de l’ensemble des acteurs concernés sur la base des critères prédéfinis incluant la zone d’influence des aires protégées (à moins de 10 km des limites de l'aire protégée concernée), du mode d’utilisation des terres et des ressources prédominant du site, et des critères environnementaux, de gouvernance, socio-culturels et économiques. L’identification des sites en fonction de ces critères assurera leur représentativité en vue de la mise à l’échelle des pratiques efficaces développées au sein de ces sites. Une liste provisoire de 15 sites au sein des 9 communes riveraines du complexe d’aires protégées établie sur cette base a été soumise à une validation participative au niveau communal qui s’est déroulée en deux étapes. (i) Dans chacune des 9 communes, les consultants ont présenté l’idée du Projet et son processus de formulation, expliqué les critères appliqués et soumis le résultat de la présélection des sites à une instance consultative locale au niveau communal. Ce groupe consultatif était composé au minimum des personnes et représentants des structures suivantes : le préfet du département, le maire de la commune, deux présidents de commissions permanentes du conseil </w:t>
      </w:r>
      <w:r w:rsidR="009363D6">
        <w:rPr>
          <w:szCs w:val="20"/>
          <w:lang w:val="fr-CA"/>
        </w:rPr>
        <w:t>communal</w:t>
      </w:r>
      <w:r w:rsidRPr="00B72D64">
        <w:rPr>
          <w:szCs w:val="20"/>
          <w:lang w:val="fr-CA"/>
        </w:rPr>
        <w:t xml:space="preserve">, les services techniques déconcentrés au niveau communal en environnement, élevage, et agriculture, les ONG (nationales ou internationales) qui mettent en œuvre des projets pertinents dans la commune, les trois principales associations locales de développement régies par la loi 064-2015/CNT), et les organisations faitières au niveau communal représentant les filières agricoles, pastorales et forestières et régies par le Code OHADA. (ii) La pertinence du choix des sites par rapport aux critères définis a été examinée par le groupe consultatif. Les arguments de l’analyse ont été enregistrés et, le cas échéant, des sites alternatifs ont été proposés, discutés et validés. La collecte de données de base dans le cadre du processus d’élaboration du document de projet a donc été menée dans les sites pilotes identifiés à travers ce processus participatif et présentés dans le Tableau </w:t>
      </w:r>
      <w:r w:rsidRPr="00091F0E">
        <w:rPr>
          <w:szCs w:val="20"/>
          <w:lang w:val="fr-CA"/>
        </w:rPr>
        <w:t>F</w:t>
      </w:r>
      <w:r w:rsidRPr="00B72D64">
        <w:rPr>
          <w:szCs w:val="20"/>
          <w:lang w:val="fr-CA"/>
        </w:rPr>
        <w:t xml:space="preserve"> et la Figure </w:t>
      </w:r>
      <w:r w:rsidRPr="00091F0E">
        <w:rPr>
          <w:szCs w:val="20"/>
          <w:lang w:val="fr-CA"/>
        </w:rPr>
        <w:t>4</w:t>
      </w:r>
      <w:r w:rsidRPr="00B72D64">
        <w:rPr>
          <w:szCs w:val="20"/>
          <w:lang w:val="fr-CA"/>
        </w:rPr>
        <w:t>.</w:t>
      </w:r>
    </w:p>
    <w:p w14:paraId="1496F11C" w14:textId="77777777" w:rsidR="00302BFE" w:rsidRPr="00B72D64" w:rsidRDefault="00302BFE" w:rsidP="00302BFE">
      <w:pPr>
        <w:spacing w:before="120" w:after="120"/>
        <w:rPr>
          <w:lang w:val="fr-CA"/>
        </w:rPr>
      </w:pPr>
      <w:r w:rsidRPr="00B72D64">
        <w:rPr>
          <w:b/>
          <w:lang w:val="fr-CA"/>
        </w:rPr>
        <w:t xml:space="preserve">Tableau </w:t>
      </w:r>
      <w:r w:rsidRPr="00091F0E">
        <w:rPr>
          <w:b/>
          <w:lang w:val="fr-CA"/>
        </w:rPr>
        <w:t>F</w:t>
      </w:r>
      <w:r w:rsidRPr="00B72D64">
        <w:rPr>
          <w:b/>
          <w:lang w:val="fr-CA"/>
        </w:rPr>
        <w:t>. CRITÈRES APPLIQUÉS À LA PRÉSÉLECTION DES SITES PILOTES D’INTERVENTION</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118"/>
        <w:gridCol w:w="3261"/>
        <w:gridCol w:w="2551"/>
      </w:tblGrid>
      <w:tr w:rsidR="00302BFE" w:rsidRPr="00AB47BD" w14:paraId="3B705A5F" w14:textId="77777777" w:rsidTr="00243B15">
        <w:trPr>
          <w:jc w:val="center"/>
        </w:trPr>
        <w:tc>
          <w:tcPr>
            <w:tcW w:w="846" w:type="dxa"/>
            <w:shd w:val="clear" w:color="auto" w:fill="auto"/>
            <w:vAlign w:val="center"/>
          </w:tcPr>
          <w:p w14:paraId="7DAC8706" w14:textId="77777777" w:rsidR="00302BFE" w:rsidRPr="0075595E" w:rsidRDefault="00302BFE" w:rsidP="00243B15">
            <w:pPr>
              <w:jc w:val="center"/>
              <w:rPr>
                <w:sz w:val="18"/>
                <w:szCs w:val="18"/>
                <w:lang w:val="fr-CA"/>
              </w:rPr>
            </w:pPr>
          </w:p>
        </w:tc>
        <w:tc>
          <w:tcPr>
            <w:tcW w:w="3118" w:type="dxa"/>
            <w:shd w:val="clear" w:color="auto" w:fill="FFF2CC"/>
            <w:vAlign w:val="center"/>
          </w:tcPr>
          <w:p w14:paraId="5EC4F8CC" w14:textId="77777777" w:rsidR="00302BFE" w:rsidRPr="0075595E" w:rsidRDefault="00302BFE" w:rsidP="00243B15">
            <w:pPr>
              <w:jc w:val="center"/>
              <w:rPr>
                <w:b/>
                <w:sz w:val="18"/>
                <w:szCs w:val="18"/>
                <w:lang w:val="fr-CA"/>
              </w:rPr>
            </w:pPr>
            <w:r w:rsidRPr="0075595E">
              <w:rPr>
                <w:b/>
                <w:sz w:val="18"/>
                <w:szCs w:val="18"/>
                <w:lang w:val="fr-CA"/>
              </w:rPr>
              <w:t>Zones villageoises d’intérêt cynégétique (ZOVIC)</w:t>
            </w:r>
          </w:p>
        </w:tc>
        <w:tc>
          <w:tcPr>
            <w:tcW w:w="3261" w:type="dxa"/>
            <w:shd w:val="clear" w:color="auto" w:fill="FFF2CC"/>
            <w:vAlign w:val="center"/>
          </w:tcPr>
          <w:p w14:paraId="4589A19F" w14:textId="77777777" w:rsidR="00302BFE" w:rsidRPr="0075595E" w:rsidRDefault="00302BFE" w:rsidP="00243B15">
            <w:pPr>
              <w:jc w:val="center"/>
              <w:rPr>
                <w:b/>
                <w:sz w:val="18"/>
                <w:szCs w:val="18"/>
                <w:lang w:val="fr-CA"/>
              </w:rPr>
            </w:pPr>
            <w:r w:rsidRPr="0075595E">
              <w:rPr>
                <w:b/>
                <w:sz w:val="18"/>
                <w:szCs w:val="18"/>
                <w:lang w:val="fr-CA"/>
              </w:rPr>
              <w:t>Massifs forestiers communaux ou communautaires</w:t>
            </w:r>
          </w:p>
        </w:tc>
        <w:tc>
          <w:tcPr>
            <w:tcW w:w="2551" w:type="dxa"/>
            <w:shd w:val="clear" w:color="auto" w:fill="FFF2CC"/>
            <w:vAlign w:val="center"/>
          </w:tcPr>
          <w:p w14:paraId="4C0A1FBC" w14:textId="77777777" w:rsidR="00302BFE" w:rsidRPr="0075595E" w:rsidRDefault="00302BFE" w:rsidP="00243B15">
            <w:pPr>
              <w:jc w:val="center"/>
              <w:rPr>
                <w:b/>
                <w:sz w:val="18"/>
                <w:szCs w:val="18"/>
                <w:lang w:val="fr-CA"/>
              </w:rPr>
            </w:pPr>
            <w:r w:rsidRPr="0075595E">
              <w:rPr>
                <w:b/>
                <w:sz w:val="18"/>
                <w:szCs w:val="18"/>
                <w:lang w:val="fr-CA"/>
              </w:rPr>
              <w:t>Terroirs agro-</w:t>
            </w:r>
            <w:proofErr w:type="spellStart"/>
            <w:r w:rsidRPr="0075595E">
              <w:rPr>
                <w:b/>
                <w:sz w:val="18"/>
                <w:szCs w:val="18"/>
                <w:lang w:val="fr-CA"/>
              </w:rPr>
              <w:t>sylvo</w:t>
            </w:r>
            <w:proofErr w:type="spellEnd"/>
            <w:r w:rsidRPr="0075595E">
              <w:rPr>
                <w:b/>
                <w:sz w:val="18"/>
                <w:szCs w:val="18"/>
                <w:lang w:val="fr-CA"/>
              </w:rPr>
              <w:t>-pastoraux (ASP)</w:t>
            </w:r>
          </w:p>
        </w:tc>
      </w:tr>
      <w:tr w:rsidR="00302BFE" w:rsidRPr="00AB47BD" w14:paraId="7EAF7AE3" w14:textId="77777777" w:rsidTr="00243B15">
        <w:trPr>
          <w:jc w:val="center"/>
        </w:trPr>
        <w:tc>
          <w:tcPr>
            <w:tcW w:w="846" w:type="dxa"/>
            <w:vMerge w:val="restart"/>
            <w:shd w:val="clear" w:color="auto" w:fill="FFF2CC"/>
            <w:textDirection w:val="btLr"/>
            <w:vAlign w:val="center"/>
          </w:tcPr>
          <w:p w14:paraId="6047B7A4" w14:textId="77777777" w:rsidR="00302BFE" w:rsidRPr="0075595E" w:rsidRDefault="00302BFE" w:rsidP="00243B15">
            <w:pPr>
              <w:jc w:val="center"/>
              <w:rPr>
                <w:sz w:val="18"/>
                <w:szCs w:val="18"/>
                <w:lang w:val="fr-CA"/>
              </w:rPr>
            </w:pPr>
            <w:r w:rsidRPr="0075595E">
              <w:rPr>
                <w:b/>
                <w:sz w:val="18"/>
                <w:szCs w:val="18"/>
                <w:lang w:val="fr-CA"/>
              </w:rPr>
              <w:t>CRITÈRES ENVIRONNEMENTAUX</w:t>
            </w:r>
            <w:r w:rsidRPr="0075595E">
              <w:rPr>
                <w:b/>
                <w:sz w:val="18"/>
                <w:szCs w:val="18"/>
                <w:lang w:val="fr-CA"/>
              </w:rPr>
              <w:br/>
              <w:t>ET DE GOUVERNANCE</w:t>
            </w:r>
          </w:p>
        </w:tc>
        <w:tc>
          <w:tcPr>
            <w:tcW w:w="3118" w:type="dxa"/>
            <w:shd w:val="clear" w:color="auto" w:fill="auto"/>
            <w:vAlign w:val="center"/>
          </w:tcPr>
          <w:p w14:paraId="3A5CF335" w14:textId="77777777" w:rsidR="00302BFE" w:rsidRPr="0075595E" w:rsidRDefault="00302BFE" w:rsidP="00243B15">
            <w:pPr>
              <w:jc w:val="center"/>
              <w:rPr>
                <w:sz w:val="18"/>
                <w:szCs w:val="18"/>
                <w:lang w:val="fr-CA"/>
              </w:rPr>
            </w:pPr>
            <w:r w:rsidRPr="0075595E">
              <w:rPr>
                <w:bCs/>
                <w:sz w:val="18"/>
                <w:szCs w:val="18"/>
                <w:lang w:val="fr-CA"/>
              </w:rPr>
              <w:t>Statut reconnu et accepté par les parties prenantes locales</w:t>
            </w:r>
          </w:p>
        </w:tc>
        <w:tc>
          <w:tcPr>
            <w:tcW w:w="3261" w:type="dxa"/>
            <w:shd w:val="clear" w:color="auto" w:fill="auto"/>
            <w:vAlign w:val="center"/>
          </w:tcPr>
          <w:p w14:paraId="1AEB0FEC" w14:textId="77777777" w:rsidR="00302BFE" w:rsidRPr="0075595E" w:rsidRDefault="00302BFE" w:rsidP="00243B15">
            <w:pPr>
              <w:jc w:val="center"/>
              <w:rPr>
                <w:bCs/>
                <w:sz w:val="18"/>
                <w:szCs w:val="18"/>
                <w:lang w:val="fr-CA"/>
              </w:rPr>
            </w:pPr>
            <w:r w:rsidRPr="0075595E">
              <w:rPr>
                <w:bCs/>
                <w:sz w:val="18"/>
                <w:szCs w:val="18"/>
                <w:lang w:val="fr-CA"/>
              </w:rPr>
              <w:t>Statut sous gestion communautaire ou communale reconnu et accepté par les parties prenantes</w:t>
            </w:r>
          </w:p>
        </w:tc>
        <w:tc>
          <w:tcPr>
            <w:tcW w:w="2551" w:type="dxa"/>
            <w:vMerge w:val="restart"/>
            <w:shd w:val="clear" w:color="auto" w:fill="auto"/>
            <w:vAlign w:val="center"/>
          </w:tcPr>
          <w:p w14:paraId="46CE9824" w14:textId="77777777" w:rsidR="00302BFE" w:rsidRPr="0075595E" w:rsidRDefault="00302BFE" w:rsidP="00243B15">
            <w:pPr>
              <w:jc w:val="center"/>
              <w:rPr>
                <w:bCs/>
                <w:sz w:val="18"/>
                <w:szCs w:val="18"/>
                <w:lang w:val="fr-CA"/>
              </w:rPr>
            </w:pPr>
            <w:r w:rsidRPr="0075595E">
              <w:rPr>
                <w:bCs/>
                <w:sz w:val="18"/>
                <w:szCs w:val="18"/>
                <w:lang w:val="fr-CA"/>
              </w:rPr>
              <w:t>Présence de pressions/menaces significatives : (expansion agricole, exploitation forestière à des fins énergétiques, feux de brousse, charge animale, orpaillage, utilisation importante de pesticides et d’herbicides)</w:t>
            </w:r>
          </w:p>
        </w:tc>
      </w:tr>
      <w:tr w:rsidR="00302BFE" w:rsidRPr="00AB47BD" w14:paraId="00598A8E" w14:textId="77777777" w:rsidTr="00243B15">
        <w:trPr>
          <w:jc w:val="center"/>
        </w:trPr>
        <w:tc>
          <w:tcPr>
            <w:tcW w:w="846" w:type="dxa"/>
            <w:vMerge/>
            <w:shd w:val="clear" w:color="auto" w:fill="FFF2CC"/>
            <w:vAlign w:val="center"/>
          </w:tcPr>
          <w:p w14:paraId="2D0A4031" w14:textId="77777777" w:rsidR="00302BFE" w:rsidRPr="0075595E" w:rsidRDefault="00302BFE" w:rsidP="00243B15">
            <w:pPr>
              <w:jc w:val="center"/>
              <w:rPr>
                <w:sz w:val="18"/>
                <w:szCs w:val="18"/>
                <w:lang w:val="fr-CA"/>
              </w:rPr>
            </w:pPr>
          </w:p>
        </w:tc>
        <w:tc>
          <w:tcPr>
            <w:tcW w:w="3118" w:type="dxa"/>
            <w:shd w:val="clear" w:color="auto" w:fill="auto"/>
            <w:vAlign w:val="center"/>
          </w:tcPr>
          <w:p w14:paraId="7D4D56AA" w14:textId="77777777" w:rsidR="00302BFE" w:rsidRPr="0075595E" w:rsidRDefault="00302BFE" w:rsidP="00243B15">
            <w:pPr>
              <w:jc w:val="center"/>
              <w:rPr>
                <w:sz w:val="18"/>
                <w:szCs w:val="18"/>
                <w:lang w:val="fr-CA"/>
              </w:rPr>
            </w:pPr>
            <w:r w:rsidRPr="0075595E">
              <w:rPr>
                <w:bCs/>
                <w:sz w:val="18"/>
                <w:szCs w:val="18"/>
                <w:lang w:val="fr-CA"/>
              </w:rPr>
              <w:t>Présence de pressions/menaces significatives : braconnage, activités agricoles, exploitation du bois, etc.</w:t>
            </w:r>
          </w:p>
        </w:tc>
        <w:tc>
          <w:tcPr>
            <w:tcW w:w="3261" w:type="dxa"/>
            <w:shd w:val="clear" w:color="auto" w:fill="auto"/>
            <w:vAlign w:val="center"/>
          </w:tcPr>
          <w:p w14:paraId="1B02A0CF" w14:textId="77777777" w:rsidR="00302BFE" w:rsidRPr="0075595E" w:rsidRDefault="00302BFE" w:rsidP="00243B15">
            <w:pPr>
              <w:jc w:val="center"/>
              <w:rPr>
                <w:bCs/>
                <w:sz w:val="18"/>
                <w:szCs w:val="18"/>
                <w:lang w:val="fr-CA"/>
              </w:rPr>
            </w:pPr>
            <w:r w:rsidRPr="0075595E">
              <w:rPr>
                <w:sz w:val="18"/>
                <w:szCs w:val="18"/>
                <w:lang w:val="fr-CA"/>
              </w:rPr>
              <w:t>Statut intégrant la protection de la diversité faunique, (espèces endémiques, menacées ou vulnérables)</w:t>
            </w:r>
          </w:p>
        </w:tc>
        <w:tc>
          <w:tcPr>
            <w:tcW w:w="2551" w:type="dxa"/>
            <w:vMerge/>
            <w:shd w:val="clear" w:color="auto" w:fill="auto"/>
            <w:vAlign w:val="center"/>
          </w:tcPr>
          <w:p w14:paraId="4EDFF226" w14:textId="77777777" w:rsidR="00302BFE" w:rsidRPr="0075595E" w:rsidRDefault="00302BFE" w:rsidP="00243B15">
            <w:pPr>
              <w:jc w:val="center"/>
              <w:rPr>
                <w:bCs/>
                <w:sz w:val="18"/>
                <w:szCs w:val="18"/>
                <w:lang w:val="fr-CA"/>
              </w:rPr>
            </w:pPr>
          </w:p>
        </w:tc>
      </w:tr>
      <w:tr w:rsidR="00302BFE" w:rsidRPr="00AB47BD" w14:paraId="454F6EC0" w14:textId="77777777" w:rsidTr="00243B15">
        <w:trPr>
          <w:jc w:val="center"/>
        </w:trPr>
        <w:tc>
          <w:tcPr>
            <w:tcW w:w="846" w:type="dxa"/>
            <w:vMerge/>
            <w:shd w:val="clear" w:color="auto" w:fill="FFF2CC"/>
            <w:vAlign w:val="center"/>
          </w:tcPr>
          <w:p w14:paraId="06250889" w14:textId="77777777" w:rsidR="00302BFE" w:rsidRPr="0075595E" w:rsidRDefault="00302BFE" w:rsidP="00243B15">
            <w:pPr>
              <w:jc w:val="center"/>
              <w:rPr>
                <w:sz w:val="18"/>
                <w:szCs w:val="18"/>
                <w:lang w:val="fr-CA"/>
              </w:rPr>
            </w:pPr>
          </w:p>
        </w:tc>
        <w:tc>
          <w:tcPr>
            <w:tcW w:w="3118" w:type="dxa"/>
            <w:shd w:val="clear" w:color="auto" w:fill="auto"/>
            <w:vAlign w:val="center"/>
          </w:tcPr>
          <w:p w14:paraId="55C523EC" w14:textId="77777777" w:rsidR="00302BFE" w:rsidRPr="0075595E" w:rsidRDefault="00302BFE" w:rsidP="00243B15">
            <w:pPr>
              <w:jc w:val="center"/>
              <w:rPr>
                <w:sz w:val="18"/>
                <w:szCs w:val="18"/>
                <w:lang w:val="fr-CA"/>
              </w:rPr>
            </w:pPr>
            <w:r w:rsidRPr="0075595E">
              <w:rPr>
                <w:bCs/>
                <w:sz w:val="18"/>
                <w:szCs w:val="18"/>
                <w:lang w:val="fr-CA"/>
              </w:rPr>
              <w:t>Existence d’un Plan d’aménagement, sinon intention manifestée des parties prenantes de doter la ZOVIC d’un plan d’aménagement et de gestion</w:t>
            </w:r>
          </w:p>
        </w:tc>
        <w:tc>
          <w:tcPr>
            <w:tcW w:w="3261" w:type="dxa"/>
            <w:shd w:val="clear" w:color="auto" w:fill="auto"/>
            <w:vAlign w:val="center"/>
          </w:tcPr>
          <w:p w14:paraId="06FFE6C5" w14:textId="77777777" w:rsidR="00302BFE" w:rsidRPr="0075595E" w:rsidRDefault="00302BFE" w:rsidP="00243B15">
            <w:pPr>
              <w:jc w:val="center"/>
              <w:rPr>
                <w:bCs/>
                <w:sz w:val="18"/>
                <w:szCs w:val="18"/>
                <w:lang w:val="fr-CA"/>
              </w:rPr>
            </w:pPr>
            <w:r w:rsidRPr="0075595E">
              <w:rPr>
                <w:bCs/>
                <w:sz w:val="18"/>
                <w:szCs w:val="18"/>
                <w:lang w:val="fr-CA"/>
              </w:rPr>
              <w:t>Présence de pressions/menaces significatives : orpaillage, coupe du bois, braconnage, utilisation importante de pesticides et d’herbicides dans les terroirs riverains</w:t>
            </w:r>
          </w:p>
        </w:tc>
        <w:tc>
          <w:tcPr>
            <w:tcW w:w="2551" w:type="dxa"/>
            <w:vMerge/>
            <w:shd w:val="clear" w:color="auto" w:fill="auto"/>
            <w:vAlign w:val="center"/>
          </w:tcPr>
          <w:p w14:paraId="2244D295" w14:textId="77777777" w:rsidR="00302BFE" w:rsidRPr="0075595E" w:rsidRDefault="00302BFE" w:rsidP="00243B15">
            <w:pPr>
              <w:jc w:val="center"/>
              <w:rPr>
                <w:bCs/>
                <w:sz w:val="18"/>
                <w:szCs w:val="18"/>
                <w:lang w:val="fr-CA"/>
              </w:rPr>
            </w:pPr>
          </w:p>
        </w:tc>
      </w:tr>
      <w:tr w:rsidR="00302BFE" w:rsidRPr="00AB47BD" w14:paraId="1D76001C" w14:textId="77777777" w:rsidTr="00243B15">
        <w:trPr>
          <w:jc w:val="center"/>
        </w:trPr>
        <w:tc>
          <w:tcPr>
            <w:tcW w:w="846" w:type="dxa"/>
            <w:vMerge/>
            <w:shd w:val="clear" w:color="auto" w:fill="FFF2CC"/>
            <w:vAlign w:val="center"/>
          </w:tcPr>
          <w:p w14:paraId="1358A6AD" w14:textId="77777777" w:rsidR="00302BFE" w:rsidRPr="0075595E" w:rsidRDefault="00302BFE" w:rsidP="00243B15">
            <w:pPr>
              <w:jc w:val="center"/>
              <w:rPr>
                <w:sz w:val="18"/>
                <w:szCs w:val="18"/>
                <w:lang w:val="fr-CA"/>
              </w:rPr>
            </w:pPr>
          </w:p>
        </w:tc>
        <w:tc>
          <w:tcPr>
            <w:tcW w:w="3118" w:type="dxa"/>
            <w:shd w:val="clear" w:color="auto" w:fill="auto"/>
            <w:vAlign w:val="center"/>
          </w:tcPr>
          <w:p w14:paraId="4AFEF60A" w14:textId="77777777" w:rsidR="00302BFE" w:rsidRPr="0075595E" w:rsidRDefault="00302BFE" w:rsidP="00243B15">
            <w:pPr>
              <w:jc w:val="center"/>
              <w:rPr>
                <w:bCs/>
                <w:sz w:val="18"/>
                <w:szCs w:val="18"/>
                <w:lang w:val="fr-CA"/>
              </w:rPr>
            </w:pPr>
            <w:r w:rsidRPr="0075595E">
              <w:rPr>
                <w:bCs/>
                <w:sz w:val="18"/>
                <w:szCs w:val="18"/>
                <w:lang w:val="fr-CA"/>
              </w:rPr>
              <w:t>Existence d’un organe de gestion (fonctionnel ou non)</w:t>
            </w:r>
          </w:p>
        </w:tc>
        <w:tc>
          <w:tcPr>
            <w:tcW w:w="3261" w:type="dxa"/>
            <w:shd w:val="clear" w:color="auto" w:fill="auto"/>
            <w:vAlign w:val="center"/>
          </w:tcPr>
          <w:p w14:paraId="3231CA81" w14:textId="77777777" w:rsidR="00302BFE" w:rsidRPr="0075595E" w:rsidRDefault="00302BFE" w:rsidP="00243B15">
            <w:pPr>
              <w:jc w:val="center"/>
              <w:rPr>
                <w:bCs/>
                <w:sz w:val="18"/>
                <w:szCs w:val="18"/>
                <w:lang w:val="fr-CA"/>
              </w:rPr>
            </w:pPr>
            <w:r w:rsidRPr="0075595E">
              <w:rPr>
                <w:bCs/>
                <w:sz w:val="18"/>
                <w:szCs w:val="18"/>
                <w:lang w:val="fr-CA"/>
              </w:rPr>
              <w:t>Existence d’un Plan d’aménagement ou en cours d’élaboration intégrant la réhabilitation des terres dégradées</w:t>
            </w:r>
          </w:p>
        </w:tc>
        <w:tc>
          <w:tcPr>
            <w:tcW w:w="2551" w:type="dxa"/>
            <w:vMerge w:val="restart"/>
            <w:shd w:val="clear" w:color="auto" w:fill="auto"/>
            <w:vAlign w:val="center"/>
          </w:tcPr>
          <w:p w14:paraId="3B328DC8" w14:textId="77777777" w:rsidR="00302BFE" w:rsidRPr="0075595E" w:rsidRDefault="00302BFE" w:rsidP="00243B15">
            <w:pPr>
              <w:jc w:val="center"/>
              <w:rPr>
                <w:bCs/>
                <w:sz w:val="18"/>
                <w:szCs w:val="18"/>
                <w:lang w:val="fr-CA"/>
              </w:rPr>
            </w:pPr>
            <w:r w:rsidRPr="0075595E">
              <w:rPr>
                <w:bCs/>
                <w:sz w:val="18"/>
                <w:szCs w:val="18"/>
                <w:lang w:val="fr-CA"/>
              </w:rPr>
              <w:t xml:space="preserve">Les terroirs ASP comportent des signes de dégradation significative des terres : érosion hydrique, dégradation physique, épuisement de la fertilité qui se manifestent notamment par une baisse des </w:t>
            </w:r>
            <w:r w:rsidRPr="0075595E">
              <w:rPr>
                <w:bCs/>
                <w:sz w:val="18"/>
                <w:szCs w:val="18"/>
                <w:lang w:val="fr-CA"/>
              </w:rPr>
              <w:lastRenderedPageBreak/>
              <w:t>rendements des productions agricoles</w:t>
            </w:r>
          </w:p>
        </w:tc>
      </w:tr>
      <w:tr w:rsidR="00302BFE" w:rsidRPr="00AB47BD" w14:paraId="66B023CC" w14:textId="77777777" w:rsidTr="00243B15">
        <w:trPr>
          <w:jc w:val="center"/>
        </w:trPr>
        <w:tc>
          <w:tcPr>
            <w:tcW w:w="846" w:type="dxa"/>
            <w:vMerge/>
            <w:shd w:val="clear" w:color="auto" w:fill="FFF2CC"/>
            <w:vAlign w:val="center"/>
          </w:tcPr>
          <w:p w14:paraId="52EEEC77" w14:textId="77777777" w:rsidR="00302BFE" w:rsidRPr="0075595E" w:rsidRDefault="00302BFE" w:rsidP="00243B15">
            <w:pPr>
              <w:jc w:val="center"/>
              <w:rPr>
                <w:sz w:val="18"/>
                <w:szCs w:val="18"/>
                <w:lang w:val="fr-CA"/>
              </w:rPr>
            </w:pPr>
          </w:p>
        </w:tc>
        <w:tc>
          <w:tcPr>
            <w:tcW w:w="3118" w:type="dxa"/>
            <w:vMerge w:val="restart"/>
            <w:shd w:val="clear" w:color="auto" w:fill="auto"/>
            <w:vAlign w:val="center"/>
          </w:tcPr>
          <w:p w14:paraId="32F27736" w14:textId="77777777" w:rsidR="00302BFE" w:rsidRPr="0075595E" w:rsidRDefault="00302BFE" w:rsidP="00243B15">
            <w:pPr>
              <w:jc w:val="center"/>
              <w:rPr>
                <w:bCs/>
                <w:sz w:val="18"/>
                <w:szCs w:val="18"/>
                <w:lang w:val="fr-CA"/>
              </w:rPr>
            </w:pPr>
            <w:r w:rsidRPr="0075595E">
              <w:rPr>
                <w:bCs/>
                <w:sz w:val="18"/>
                <w:szCs w:val="18"/>
                <w:lang w:val="fr-CA"/>
              </w:rPr>
              <w:t>Absence de signes d’envahissement permanents : occupation champêtre ou habitats définitifs à l’intérieur</w:t>
            </w:r>
          </w:p>
        </w:tc>
        <w:tc>
          <w:tcPr>
            <w:tcW w:w="3261" w:type="dxa"/>
            <w:shd w:val="clear" w:color="auto" w:fill="auto"/>
            <w:vAlign w:val="center"/>
          </w:tcPr>
          <w:p w14:paraId="1AD40E43" w14:textId="77777777" w:rsidR="00302BFE" w:rsidRPr="0075595E" w:rsidRDefault="00302BFE" w:rsidP="00243B15">
            <w:pPr>
              <w:jc w:val="center"/>
              <w:rPr>
                <w:bCs/>
                <w:sz w:val="18"/>
                <w:szCs w:val="18"/>
                <w:lang w:val="fr-CA"/>
              </w:rPr>
            </w:pPr>
            <w:r w:rsidRPr="0075595E">
              <w:rPr>
                <w:bCs/>
                <w:sz w:val="18"/>
                <w:szCs w:val="18"/>
                <w:lang w:val="fr-CA"/>
              </w:rPr>
              <w:t>Existence d’un ou de plusieurs organes de surveillance et de gestion de la forêt</w:t>
            </w:r>
          </w:p>
        </w:tc>
        <w:tc>
          <w:tcPr>
            <w:tcW w:w="2551" w:type="dxa"/>
            <w:vMerge/>
            <w:shd w:val="clear" w:color="auto" w:fill="auto"/>
            <w:vAlign w:val="center"/>
          </w:tcPr>
          <w:p w14:paraId="5433EA4B" w14:textId="77777777" w:rsidR="00302BFE" w:rsidRPr="0075595E" w:rsidRDefault="00302BFE" w:rsidP="00243B15">
            <w:pPr>
              <w:jc w:val="center"/>
              <w:rPr>
                <w:bCs/>
                <w:sz w:val="18"/>
                <w:szCs w:val="18"/>
                <w:lang w:val="fr-CA"/>
              </w:rPr>
            </w:pPr>
          </w:p>
        </w:tc>
      </w:tr>
      <w:tr w:rsidR="00302BFE" w:rsidRPr="00AB47BD" w14:paraId="54E2B624" w14:textId="77777777" w:rsidTr="00243B15">
        <w:trPr>
          <w:jc w:val="center"/>
        </w:trPr>
        <w:tc>
          <w:tcPr>
            <w:tcW w:w="846" w:type="dxa"/>
            <w:vMerge/>
            <w:shd w:val="clear" w:color="auto" w:fill="FFF2CC"/>
            <w:vAlign w:val="center"/>
          </w:tcPr>
          <w:p w14:paraId="0E5A402C" w14:textId="77777777" w:rsidR="00302BFE" w:rsidRPr="0075595E" w:rsidRDefault="00302BFE" w:rsidP="00243B15">
            <w:pPr>
              <w:jc w:val="center"/>
              <w:rPr>
                <w:sz w:val="18"/>
                <w:szCs w:val="18"/>
                <w:lang w:val="fr-CA"/>
              </w:rPr>
            </w:pPr>
          </w:p>
        </w:tc>
        <w:tc>
          <w:tcPr>
            <w:tcW w:w="3118" w:type="dxa"/>
            <w:vMerge/>
            <w:shd w:val="clear" w:color="auto" w:fill="auto"/>
            <w:vAlign w:val="center"/>
          </w:tcPr>
          <w:p w14:paraId="375CA383" w14:textId="77777777" w:rsidR="00302BFE" w:rsidRPr="0075595E" w:rsidRDefault="00302BFE" w:rsidP="00243B15">
            <w:pPr>
              <w:jc w:val="center"/>
              <w:rPr>
                <w:bCs/>
                <w:sz w:val="18"/>
                <w:szCs w:val="18"/>
                <w:lang w:val="fr-CA"/>
              </w:rPr>
            </w:pPr>
          </w:p>
        </w:tc>
        <w:tc>
          <w:tcPr>
            <w:tcW w:w="3261" w:type="dxa"/>
            <w:shd w:val="clear" w:color="auto" w:fill="auto"/>
            <w:vAlign w:val="center"/>
          </w:tcPr>
          <w:p w14:paraId="77F9B606" w14:textId="77777777" w:rsidR="00302BFE" w:rsidRPr="0075595E" w:rsidRDefault="00302BFE" w:rsidP="00243B15">
            <w:pPr>
              <w:jc w:val="center"/>
              <w:rPr>
                <w:bCs/>
                <w:sz w:val="18"/>
                <w:szCs w:val="18"/>
                <w:lang w:val="fr-CA"/>
              </w:rPr>
            </w:pPr>
            <w:r w:rsidRPr="0075595E">
              <w:rPr>
                <w:bCs/>
                <w:sz w:val="18"/>
                <w:szCs w:val="18"/>
                <w:lang w:val="fr-CA"/>
              </w:rPr>
              <w:t>Absence de signes d’envahissement permanents : occupation champêtre ou habitats définitifs à l’intérieur</w:t>
            </w:r>
            <w:r w:rsidRPr="0075595E">
              <w:rPr>
                <w:sz w:val="18"/>
                <w:szCs w:val="18"/>
                <w:lang w:val="fr-CA" w:eastAsia="fr-CA"/>
              </w:rPr>
              <w:t xml:space="preserve"> </w:t>
            </w:r>
          </w:p>
        </w:tc>
        <w:tc>
          <w:tcPr>
            <w:tcW w:w="2551" w:type="dxa"/>
            <w:vMerge/>
            <w:shd w:val="clear" w:color="auto" w:fill="auto"/>
            <w:vAlign w:val="center"/>
          </w:tcPr>
          <w:p w14:paraId="41C8F16D" w14:textId="77777777" w:rsidR="00302BFE" w:rsidRPr="0075595E" w:rsidRDefault="00302BFE" w:rsidP="00243B15">
            <w:pPr>
              <w:jc w:val="center"/>
              <w:rPr>
                <w:bCs/>
                <w:sz w:val="18"/>
                <w:szCs w:val="18"/>
                <w:lang w:val="fr-CA"/>
              </w:rPr>
            </w:pPr>
          </w:p>
        </w:tc>
      </w:tr>
      <w:tr w:rsidR="00302BFE" w:rsidRPr="00AB47BD" w14:paraId="1D1818C2" w14:textId="77777777" w:rsidTr="00243B15">
        <w:trPr>
          <w:jc w:val="center"/>
        </w:trPr>
        <w:tc>
          <w:tcPr>
            <w:tcW w:w="846" w:type="dxa"/>
            <w:vMerge w:val="restart"/>
            <w:shd w:val="clear" w:color="auto" w:fill="FFF2CC"/>
            <w:textDirection w:val="btLr"/>
            <w:vAlign w:val="center"/>
          </w:tcPr>
          <w:p w14:paraId="1872713A" w14:textId="77777777" w:rsidR="00302BFE" w:rsidRPr="0075595E" w:rsidRDefault="00302BFE" w:rsidP="00243B15">
            <w:pPr>
              <w:jc w:val="center"/>
              <w:rPr>
                <w:sz w:val="18"/>
                <w:szCs w:val="18"/>
              </w:rPr>
            </w:pPr>
            <w:r w:rsidRPr="0075595E">
              <w:rPr>
                <w:b/>
                <w:sz w:val="18"/>
                <w:szCs w:val="18"/>
              </w:rPr>
              <w:t>CRITÈRES SOCIAUX</w:t>
            </w:r>
          </w:p>
        </w:tc>
        <w:tc>
          <w:tcPr>
            <w:tcW w:w="8930" w:type="dxa"/>
            <w:gridSpan w:val="3"/>
            <w:shd w:val="clear" w:color="auto" w:fill="auto"/>
            <w:vAlign w:val="center"/>
          </w:tcPr>
          <w:p w14:paraId="796E71FE" w14:textId="77777777" w:rsidR="00302BFE" w:rsidRPr="0075595E" w:rsidRDefault="00302BFE" w:rsidP="00243B15">
            <w:pPr>
              <w:jc w:val="center"/>
              <w:rPr>
                <w:bCs/>
                <w:sz w:val="18"/>
                <w:szCs w:val="18"/>
                <w:lang w:val="fr-CA"/>
              </w:rPr>
            </w:pPr>
            <w:r w:rsidRPr="0075595E">
              <w:rPr>
                <w:sz w:val="18"/>
                <w:szCs w:val="18"/>
                <w:lang w:val="fr-CA"/>
              </w:rPr>
              <w:t>Le village dépend des ressources forestières ou fauniques des AP pour sa subsistance (PFNL, faune, pêche, terres cultivables, etc.)</w:t>
            </w:r>
          </w:p>
        </w:tc>
      </w:tr>
      <w:tr w:rsidR="00302BFE" w:rsidRPr="00AB47BD" w14:paraId="72736235" w14:textId="77777777" w:rsidTr="00243B15">
        <w:trPr>
          <w:jc w:val="center"/>
        </w:trPr>
        <w:tc>
          <w:tcPr>
            <w:tcW w:w="846" w:type="dxa"/>
            <w:vMerge/>
            <w:shd w:val="clear" w:color="auto" w:fill="FFF2CC"/>
            <w:vAlign w:val="center"/>
          </w:tcPr>
          <w:p w14:paraId="407A8B24" w14:textId="77777777" w:rsidR="00302BFE" w:rsidRPr="0075595E" w:rsidRDefault="00302BFE" w:rsidP="00243B15">
            <w:pPr>
              <w:jc w:val="center"/>
              <w:rPr>
                <w:sz w:val="18"/>
                <w:szCs w:val="18"/>
                <w:lang w:val="fr-CA"/>
              </w:rPr>
            </w:pPr>
          </w:p>
        </w:tc>
        <w:tc>
          <w:tcPr>
            <w:tcW w:w="8930" w:type="dxa"/>
            <w:gridSpan w:val="3"/>
            <w:shd w:val="clear" w:color="auto" w:fill="auto"/>
            <w:vAlign w:val="center"/>
          </w:tcPr>
          <w:p w14:paraId="3838B48D" w14:textId="77777777" w:rsidR="00302BFE" w:rsidRPr="0075595E" w:rsidRDefault="00302BFE" w:rsidP="00243B15">
            <w:pPr>
              <w:jc w:val="center"/>
              <w:rPr>
                <w:sz w:val="18"/>
                <w:szCs w:val="18"/>
                <w:lang w:val="fr-CA"/>
              </w:rPr>
            </w:pPr>
            <w:r w:rsidRPr="0075595E">
              <w:rPr>
                <w:sz w:val="18"/>
                <w:szCs w:val="18"/>
                <w:lang w:val="fr-CA"/>
              </w:rPr>
              <w:t>Présence de conflits homme-faune</w:t>
            </w:r>
          </w:p>
        </w:tc>
      </w:tr>
      <w:tr w:rsidR="00302BFE" w:rsidRPr="00AB47BD" w14:paraId="5967BF6D" w14:textId="77777777" w:rsidTr="00243B15">
        <w:trPr>
          <w:jc w:val="center"/>
        </w:trPr>
        <w:tc>
          <w:tcPr>
            <w:tcW w:w="846" w:type="dxa"/>
            <w:vMerge/>
            <w:shd w:val="clear" w:color="auto" w:fill="FFF2CC"/>
            <w:vAlign w:val="center"/>
          </w:tcPr>
          <w:p w14:paraId="4F8B750D" w14:textId="77777777" w:rsidR="00302BFE" w:rsidRPr="0075595E" w:rsidRDefault="00302BFE" w:rsidP="00243B15">
            <w:pPr>
              <w:jc w:val="center"/>
              <w:rPr>
                <w:sz w:val="18"/>
                <w:szCs w:val="18"/>
                <w:lang w:val="fr-CA"/>
              </w:rPr>
            </w:pPr>
          </w:p>
        </w:tc>
        <w:tc>
          <w:tcPr>
            <w:tcW w:w="8930" w:type="dxa"/>
            <w:gridSpan w:val="3"/>
            <w:shd w:val="clear" w:color="auto" w:fill="auto"/>
            <w:vAlign w:val="center"/>
          </w:tcPr>
          <w:p w14:paraId="34165FD8" w14:textId="77777777" w:rsidR="00302BFE" w:rsidRPr="0075595E" w:rsidRDefault="00302BFE" w:rsidP="00243B15">
            <w:pPr>
              <w:jc w:val="center"/>
              <w:rPr>
                <w:bCs/>
                <w:sz w:val="18"/>
                <w:szCs w:val="18"/>
                <w:lang w:val="fr-CA"/>
              </w:rPr>
            </w:pPr>
            <w:r w:rsidRPr="0075595E">
              <w:rPr>
                <w:sz w:val="18"/>
                <w:szCs w:val="18"/>
                <w:lang w:val="fr-CA"/>
              </w:rPr>
              <w:t>Le taux de vulnérabilité des ménages supérieur à la moyenne locale, incluant l’insécurité alimentaire</w:t>
            </w:r>
          </w:p>
        </w:tc>
      </w:tr>
      <w:tr w:rsidR="00302BFE" w:rsidRPr="00AB47BD" w14:paraId="3C9CC125" w14:textId="77777777" w:rsidTr="00243B15">
        <w:trPr>
          <w:jc w:val="center"/>
        </w:trPr>
        <w:tc>
          <w:tcPr>
            <w:tcW w:w="846" w:type="dxa"/>
            <w:vMerge w:val="restart"/>
            <w:shd w:val="clear" w:color="auto" w:fill="FFF2CC"/>
            <w:textDirection w:val="btLr"/>
            <w:vAlign w:val="center"/>
          </w:tcPr>
          <w:p w14:paraId="7C27B041" w14:textId="77777777" w:rsidR="00302BFE" w:rsidRPr="0075595E" w:rsidRDefault="00302BFE" w:rsidP="00243B15">
            <w:pPr>
              <w:jc w:val="center"/>
              <w:rPr>
                <w:sz w:val="18"/>
                <w:szCs w:val="18"/>
              </w:rPr>
            </w:pPr>
            <w:r w:rsidRPr="0075595E">
              <w:rPr>
                <w:b/>
                <w:sz w:val="18"/>
                <w:szCs w:val="18"/>
              </w:rPr>
              <w:t>CRITÈRES ÉCONO-MIQUES</w:t>
            </w:r>
          </w:p>
        </w:tc>
        <w:tc>
          <w:tcPr>
            <w:tcW w:w="3118" w:type="dxa"/>
            <w:shd w:val="clear" w:color="auto" w:fill="auto"/>
            <w:vAlign w:val="center"/>
          </w:tcPr>
          <w:p w14:paraId="19A1B0E4" w14:textId="77777777" w:rsidR="00302BFE" w:rsidRPr="0075595E" w:rsidRDefault="00302BFE" w:rsidP="00243B15">
            <w:pPr>
              <w:jc w:val="center"/>
              <w:rPr>
                <w:sz w:val="18"/>
                <w:szCs w:val="18"/>
                <w:lang w:val="fr-CA" w:eastAsia="fr-CA"/>
              </w:rPr>
            </w:pPr>
            <w:r w:rsidRPr="0075595E">
              <w:rPr>
                <w:sz w:val="18"/>
                <w:szCs w:val="18"/>
                <w:lang w:val="fr-CA"/>
              </w:rPr>
              <w:t>Potentiel culturel et/ou artisanal à valoriser par le développement du tourisme, en plus de la chasse et du tourisme de vision</w:t>
            </w:r>
          </w:p>
        </w:tc>
        <w:tc>
          <w:tcPr>
            <w:tcW w:w="3261" w:type="dxa"/>
            <w:shd w:val="clear" w:color="auto" w:fill="auto"/>
            <w:vAlign w:val="center"/>
          </w:tcPr>
          <w:p w14:paraId="6B0BD74B" w14:textId="77777777" w:rsidR="00302BFE" w:rsidRPr="0075595E" w:rsidRDefault="00302BFE" w:rsidP="00243B15">
            <w:pPr>
              <w:jc w:val="center"/>
              <w:rPr>
                <w:bCs/>
                <w:sz w:val="18"/>
                <w:szCs w:val="18"/>
                <w:lang w:val="fr-CA"/>
              </w:rPr>
            </w:pPr>
          </w:p>
        </w:tc>
        <w:tc>
          <w:tcPr>
            <w:tcW w:w="2551" w:type="dxa"/>
            <w:shd w:val="clear" w:color="auto" w:fill="auto"/>
            <w:vAlign w:val="center"/>
          </w:tcPr>
          <w:p w14:paraId="404F487D" w14:textId="77777777" w:rsidR="00302BFE" w:rsidRPr="0075595E" w:rsidRDefault="00302BFE" w:rsidP="00243B15">
            <w:pPr>
              <w:jc w:val="center"/>
              <w:rPr>
                <w:bCs/>
                <w:sz w:val="18"/>
                <w:szCs w:val="18"/>
                <w:lang w:val="fr-CA"/>
              </w:rPr>
            </w:pPr>
            <w:r w:rsidRPr="0075595E">
              <w:rPr>
                <w:sz w:val="18"/>
                <w:szCs w:val="18"/>
                <w:lang w:val="fr-CA"/>
              </w:rPr>
              <w:t>Présence d’organisations paysannes actives dans le secteur agricole, notamment sur des filières reconnues au niveau national</w:t>
            </w:r>
          </w:p>
        </w:tc>
      </w:tr>
      <w:tr w:rsidR="00302BFE" w:rsidRPr="00AB47BD" w14:paraId="20573865" w14:textId="77777777" w:rsidTr="00243B15">
        <w:trPr>
          <w:jc w:val="center"/>
        </w:trPr>
        <w:tc>
          <w:tcPr>
            <w:tcW w:w="846" w:type="dxa"/>
            <w:vMerge/>
            <w:shd w:val="clear" w:color="auto" w:fill="FFF2CC"/>
            <w:vAlign w:val="center"/>
          </w:tcPr>
          <w:p w14:paraId="64AA8B32" w14:textId="77777777" w:rsidR="00302BFE" w:rsidRPr="0075595E" w:rsidRDefault="00302BFE" w:rsidP="00243B15">
            <w:pPr>
              <w:jc w:val="center"/>
              <w:rPr>
                <w:sz w:val="18"/>
                <w:szCs w:val="18"/>
                <w:lang w:val="fr-CA"/>
              </w:rPr>
            </w:pPr>
          </w:p>
        </w:tc>
        <w:tc>
          <w:tcPr>
            <w:tcW w:w="8930" w:type="dxa"/>
            <w:gridSpan w:val="3"/>
            <w:shd w:val="clear" w:color="auto" w:fill="auto"/>
            <w:vAlign w:val="center"/>
          </w:tcPr>
          <w:p w14:paraId="7DAAE66F" w14:textId="77777777" w:rsidR="00302BFE" w:rsidRPr="0075595E" w:rsidRDefault="00302BFE" w:rsidP="00243B15">
            <w:pPr>
              <w:jc w:val="center"/>
              <w:rPr>
                <w:bCs/>
                <w:sz w:val="18"/>
                <w:szCs w:val="18"/>
                <w:lang w:val="fr-CA"/>
              </w:rPr>
            </w:pPr>
            <w:r w:rsidRPr="0075595E">
              <w:rPr>
                <w:bCs/>
                <w:sz w:val="18"/>
                <w:szCs w:val="18"/>
                <w:lang w:val="fr-CA"/>
              </w:rPr>
              <w:t>La population mène des activités d’exploitation des ressources forestières qui génèrent des revenus monétaires</w:t>
            </w:r>
          </w:p>
        </w:tc>
      </w:tr>
      <w:tr w:rsidR="00302BFE" w:rsidRPr="00AB47BD" w14:paraId="435C8B87" w14:textId="77777777" w:rsidTr="00243B15">
        <w:trPr>
          <w:jc w:val="center"/>
        </w:trPr>
        <w:tc>
          <w:tcPr>
            <w:tcW w:w="846" w:type="dxa"/>
            <w:vMerge/>
            <w:shd w:val="clear" w:color="auto" w:fill="FFF2CC"/>
            <w:vAlign w:val="center"/>
          </w:tcPr>
          <w:p w14:paraId="4D1B4F23" w14:textId="77777777" w:rsidR="00302BFE" w:rsidRPr="0075595E" w:rsidRDefault="00302BFE" w:rsidP="00243B15">
            <w:pPr>
              <w:jc w:val="center"/>
              <w:rPr>
                <w:sz w:val="18"/>
                <w:szCs w:val="18"/>
                <w:lang w:val="fr-CA"/>
              </w:rPr>
            </w:pPr>
          </w:p>
        </w:tc>
        <w:tc>
          <w:tcPr>
            <w:tcW w:w="8930" w:type="dxa"/>
            <w:gridSpan w:val="3"/>
            <w:shd w:val="clear" w:color="auto" w:fill="auto"/>
            <w:vAlign w:val="center"/>
          </w:tcPr>
          <w:p w14:paraId="2BB7C064" w14:textId="77777777" w:rsidR="00302BFE" w:rsidRPr="0075595E" w:rsidRDefault="00302BFE" w:rsidP="00243B15">
            <w:pPr>
              <w:jc w:val="center"/>
              <w:rPr>
                <w:bCs/>
                <w:sz w:val="18"/>
                <w:szCs w:val="18"/>
                <w:lang w:val="fr-CA"/>
              </w:rPr>
            </w:pPr>
            <w:r w:rsidRPr="0075595E">
              <w:rPr>
                <w:sz w:val="18"/>
                <w:szCs w:val="18"/>
                <w:lang w:val="fr-CA"/>
              </w:rPr>
              <w:t>Présence de structures / organisations de valorisation des ressources forestières ou fauniques (PFNL, artisanat, tourisme, etc.)</w:t>
            </w:r>
          </w:p>
        </w:tc>
      </w:tr>
      <w:tr w:rsidR="00302BFE" w:rsidRPr="00AB47BD" w14:paraId="716A45A5" w14:textId="77777777" w:rsidTr="00243B15">
        <w:trPr>
          <w:cantSplit/>
          <w:trHeight w:val="1134"/>
          <w:jc w:val="center"/>
        </w:trPr>
        <w:tc>
          <w:tcPr>
            <w:tcW w:w="846" w:type="dxa"/>
            <w:shd w:val="clear" w:color="auto" w:fill="FFF2CC"/>
            <w:tcMar>
              <w:left w:w="28" w:type="dxa"/>
              <w:right w:w="28" w:type="dxa"/>
            </w:tcMar>
            <w:textDirection w:val="btLr"/>
            <w:vAlign w:val="center"/>
          </w:tcPr>
          <w:p w14:paraId="506193A8" w14:textId="77777777" w:rsidR="00302BFE" w:rsidRPr="0075595E" w:rsidRDefault="00302BFE" w:rsidP="00243B15">
            <w:pPr>
              <w:jc w:val="center"/>
              <w:rPr>
                <w:sz w:val="18"/>
                <w:szCs w:val="18"/>
              </w:rPr>
            </w:pPr>
            <w:r w:rsidRPr="0075595E">
              <w:rPr>
                <w:b/>
                <w:sz w:val="18"/>
                <w:szCs w:val="18"/>
              </w:rPr>
              <w:t>CRITÈRE COFINAN-CEMENT</w:t>
            </w:r>
          </w:p>
        </w:tc>
        <w:tc>
          <w:tcPr>
            <w:tcW w:w="8930" w:type="dxa"/>
            <w:gridSpan w:val="3"/>
            <w:shd w:val="clear" w:color="auto" w:fill="auto"/>
            <w:vAlign w:val="center"/>
          </w:tcPr>
          <w:p w14:paraId="4A6A7729" w14:textId="77777777" w:rsidR="00302BFE" w:rsidRPr="0075595E" w:rsidRDefault="00302BFE" w:rsidP="00243B15">
            <w:pPr>
              <w:jc w:val="center"/>
              <w:rPr>
                <w:sz w:val="18"/>
                <w:szCs w:val="18"/>
                <w:lang w:val="fr-CA"/>
              </w:rPr>
            </w:pPr>
            <w:r w:rsidRPr="0075595E">
              <w:rPr>
                <w:bCs/>
                <w:sz w:val="18"/>
                <w:szCs w:val="18"/>
                <w:lang w:val="fr-CA"/>
              </w:rPr>
              <w:t>Le Gouvernement et/ou ses partenaires (bilatéraux, multilatéraux, ONG ou sociétés privées) investissement ou prévoient investir (au moins au niveau communal) dans des programmes ou plans de développement qui sont pertinents aux interventions du projet PONASI</w:t>
            </w:r>
          </w:p>
        </w:tc>
      </w:tr>
    </w:tbl>
    <w:p w14:paraId="14FEBE69" w14:textId="77777777" w:rsidR="00302BFE" w:rsidRPr="00091F0E" w:rsidRDefault="00302BFE" w:rsidP="00302BFE">
      <w:pPr>
        <w:pStyle w:val="Lgende"/>
        <w:spacing w:before="240" w:after="60"/>
        <w:jc w:val="both"/>
        <w:rPr>
          <w:rFonts w:ascii="Calibri" w:hAnsi="Calibri"/>
          <w:sz w:val="22"/>
          <w:szCs w:val="22"/>
          <w:lang w:val="fr-CA"/>
        </w:rPr>
      </w:pPr>
      <w:bookmarkStart w:id="111" w:name="_Toc534626768"/>
      <w:bookmarkStart w:id="112" w:name="_Toc2166330"/>
      <w:bookmarkStart w:id="113" w:name="_Hlk2760834"/>
      <w:r w:rsidRPr="00091F0E">
        <w:rPr>
          <w:rFonts w:ascii="Calibri" w:hAnsi="Calibri"/>
          <w:sz w:val="22"/>
          <w:szCs w:val="22"/>
          <w:lang w:val="fr-CA"/>
        </w:rPr>
        <w:t xml:space="preserve">Tableau G: </w:t>
      </w:r>
      <w:bookmarkEnd w:id="111"/>
      <w:bookmarkEnd w:id="112"/>
      <w:r w:rsidRPr="00091F0E">
        <w:rPr>
          <w:rFonts w:ascii="Calibri" w:hAnsi="Calibri"/>
          <w:sz w:val="22"/>
          <w:szCs w:val="22"/>
          <w:lang w:val="fr-CA"/>
        </w:rPr>
        <w:t>Sites sélectionnés pour les interventions pilot</w:t>
      </w:r>
      <w:r>
        <w:rPr>
          <w:rFonts w:ascii="Calibri" w:hAnsi="Calibri"/>
          <w:sz w:val="22"/>
          <w:szCs w:val="22"/>
          <w:lang w:val="fr-CA"/>
        </w:rPr>
        <w:t>es</w:t>
      </w:r>
      <w:r w:rsidRPr="00091F0E">
        <w:rPr>
          <w:rFonts w:ascii="Calibri" w:hAnsi="Calibri"/>
          <w:sz w:val="22"/>
          <w:szCs w:val="22"/>
          <w:lang w:val="fr-CA"/>
        </w:rPr>
        <w:t xml:space="preserve"> </w:t>
      </w:r>
    </w:p>
    <w:tbl>
      <w:tblPr>
        <w:tblW w:w="5000" w:type="pct"/>
        <w:jc w:val="center"/>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ook w:val="04A0" w:firstRow="1" w:lastRow="0" w:firstColumn="1" w:lastColumn="0" w:noHBand="0" w:noVBand="1"/>
      </w:tblPr>
      <w:tblGrid>
        <w:gridCol w:w="1209"/>
        <w:gridCol w:w="1316"/>
        <w:gridCol w:w="2477"/>
        <w:gridCol w:w="5788"/>
      </w:tblGrid>
      <w:tr w:rsidR="00302BFE" w:rsidRPr="0075595E" w14:paraId="554E7B67" w14:textId="77777777" w:rsidTr="00243B15">
        <w:trPr>
          <w:cantSplit/>
          <w:tblHeader/>
          <w:jc w:val="center"/>
        </w:trPr>
        <w:tc>
          <w:tcPr>
            <w:tcW w:w="560" w:type="pct"/>
            <w:tcBorders>
              <w:bottom w:val="single" w:sz="12" w:space="0" w:color="A8D08D"/>
            </w:tcBorders>
            <w:shd w:val="clear" w:color="auto" w:fill="FFF2CC"/>
          </w:tcPr>
          <w:p w14:paraId="0BDB722D" w14:textId="77777777" w:rsidR="00302BFE" w:rsidRPr="0075595E" w:rsidRDefault="00302BFE" w:rsidP="00243B15">
            <w:pPr>
              <w:rPr>
                <w:rFonts w:eastAsia="Calibri"/>
                <w:b/>
                <w:bCs/>
                <w:sz w:val="18"/>
                <w:szCs w:val="18"/>
              </w:rPr>
            </w:pPr>
            <w:bookmarkStart w:id="114" w:name="_Hlk534541933"/>
            <w:r w:rsidRPr="0075595E">
              <w:rPr>
                <w:rFonts w:eastAsia="Calibri"/>
                <w:b/>
                <w:bCs/>
                <w:sz w:val="18"/>
                <w:szCs w:val="18"/>
              </w:rPr>
              <w:t>Commune</w:t>
            </w:r>
          </w:p>
        </w:tc>
        <w:tc>
          <w:tcPr>
            <w:tcW w:w="610" w:type="pct"/>
            <w:tcBorders>
              <w:bottom w:val="single" w:sz="12" w:space="0" w:color="A8D08D"/>
            </w:tcBorders>
            <w:shd w:val="clear" w:color="auto" w:fill="FFF2CC"/>
          </w:tcPr>
          <w:p w14:paraId="7CB7EC61" w14:textId="77777777" w:rsidR="00302BFE" w:rsidRPr="0075595E" w:rsidRDefault="00302BFE" w:rsidP="00243B15">
            <w:pPr>
              <w:rPr>
                <w:rFonts w:eastAsia="Calibri"/>
                <w:b/>
                <w:bCs/>
                <w:sz w:val="18"/>
                <w:szCs w:val="18"/>
              </w:rPr>
            </w:pPr>
            <w:r w:rsidRPr="0075595E">
              <w:rPr>
                <w:rFonts w:eastAsia="Calibri"/>
                <w:b/>
                <w:bCs/>
                <w:sz w:val="18"/>
                <w:szCs w:val="18"/>
              </w:rPr>
              <w:t>Sites (villages)</w:t>
            </w:r>
          </w:p>
        </w:tc>
        <w:tc>
          <w:tcPr>
            <w:tcW w:w="1148" w:type="pct"/>
            <w:tcBorders>
              <w:bottom w:val="single" w:sz="12" w:space="0" w:color="A8D08D"/>
            </w:tcBorders>
            <w:shd w:val="clear" w:color="auto" w:fill="FFF2CC"/>
          </w:tcPr>
          <w:p w14:paraId="36F442BE" w14:textId="77777777" w:rsidR="00302BFE" w:rsidRPr="0075595E" w:rsidRDefault="00302BFE" w:rsidP="00243B15">
            <w:pPr>
              <w:rPr>
                <w:rFonts w:eastAsia="Calibri"/>
                <w:b/>
                <w:bCs/>
                <w:sz w:val="18"/>
                <w:szCs w:val="18"/>
              </w:rPr>
            </w:pPr>
            <w:r w:rsidRPr="0075595E">
              <w:rPr>
                <w:rFonts w:eastAsia="Calibri"/>
                <w:b/>
                <w:bCs/>
                <w:sz w:val="18"/>
                <w:szCs w:val="18"/>
              </w:rPr>
              <w:t xml:space="preserve">Identification du site </w:t>
            </w:r>
          </w:p>
        </w:tc>
        <w:tc>
          <w:tcPr>
            <w:tcW w:w="2682" w:type="pct"/>
            <w:tcBorders>
              <w:bottom w:val="single" w:sz="12" w:space="0" w:color="A8D08D"/>
            </w:tcBorders>
            <w:shd w:val="clear" w:color="auto" w:fill="FFF2CC"/>
          </w:tcPr>
          <w:p w14:paraId="53B15674" w14:textId="77777777" w:rsidR="00302BFE" w:rsidRPr="0075595E" w:rsidRDefault="00302BFE" w:rsidP="00243B15">
            <w:pPr>
              <w:rPr>
                <w:rFonts w:eastAsia="Calibri"/>
                <w:b/>
                <w:bCs/>
                <w:sz w:val="18"/>
                <w:szCs w:val="18"/>
              </w:rPr>
            </w:pPr>
            <w:proofErr w:type="spellStart"/>
            <w:r w:rsidRPr="0075595E">
              <w:rPr>
                <w:rFonts w:eastAsia="Calibri"/>
                <w:b/>
                <w:bCs/>
                <w:sz w:val="18"/>
                <w:szCs w:val="18"/>
              </w:rPr>
              <w:t>Spécificités</w:t>
            </w:r>
            <w:proofErr w:type="spellEnd"/>
          </w:p>
        </w:tc>
      </w:tr>
      <w:tr w:rsidR="00302BFE" w:rsidRPr="00AB47BD" w14:paraId="7BC82D98" w14:textId="77777777" w:rsidTr="00243B15">
        <w:trPr>
          <w:jc w:val="center"/>
        </w:trPr>
        <w:tc>
          <w:tcPr>
            <w:tcW w:w="560" w:type="pct"/>
            <w:shd w:val="clear" w:color="auto" w:fill="auto"/>
          </w:tcPr>
          <w:p w14:paraId="3EE10166" w14:textId="77777777" w:rsidR="00302BFE" w:rsidRPr="0075595E" w:rsidRDefault="00302BFE" w:rsidP="00243B15">
            <w:pPr>
              <w:rPr>
                <w:rFonts w:eastAsia="Calibri"/>
                <w:b/>
                <w:bCs/>
                <w:sz w:val="18"/>
                <w:szCs w:val="18"/>
              </w:rPr>
            </w:pPr>
            <w:proofErr w:type="spellStart"/>
            <w:r w:rsidRPr="0075595E">
              <w:rPr>
                <w:rFonts w:eastAsia="Calibri"/>
                <w:b/>
                <w:bCs/>
                <w:sz w:val="18"/>
                <w:szCs w:val="18"/>
              </w:rPr>
              <w:t>Zabré</w:t>
            </w:r>
            <w:proofErr w:type="spellEnd"/>
          </w:p>
        </w:tc>
        <w:tc>
          <w:tcPr>
            <w:tcW w:w="610" w:type="pct"/>
            <w:shd w:val="clear" w:color="auto" w:fill="auto"/>
          </w:tcPr>
          <w:p w14:paraId="58FF7DDF" w14:textId="77777777" w:rsidR="00302BFE" w:rsidRPr="0075595E" w:rsidRDefault="00302BFE" w:rsidP="00243B15">
            <w:pPr>
              <w:rPr>
                <w:rFonts w:eastAsia="Calibri"/>
                <w:sz w:val="18"/>
                <w:szCs w:val="18"/>
              </w:rPr>
            </w:pPr>
            <w:proofErr w:type="spellStart"/>
            <w:r w:rsidRPr="0075595E">
              <w:rPr>
                <w:rFonts w:eastAsia="Calibri"/>
                <w:sz w:val="18"/>
                <w:szCs w:val="18"/>
              </w:rPr>
              <w:t>Mangagou</w:t>
            </w:r>
            <w:proofErr w:type="spellEnd"/>
          </w:p>
        </w:tc>
        <w:tc>
          <w:tcPr>
            <w:tcW w:w="1148" w:type="pct"/>
            <w:shd w:val="clear" w:color="auto" w:fill="auto"/>
          </w:tcPr>
          <w:p w14:paraId="5C8CA95B" w14:textId="77777777" w:rsidR="00302BFE" w:rsidRPr="0075595E" w:rsidRDefault="00302BFE" w:rsidP="00243B15">
            <w:pPr>
              <w:rPr>
                <w:rFonts w:eastAsia="Calibri"/>
                <w:sz w:val="18"/>
                <w:szCs w:val="18"/>
                <w:lang w:val="fr-CA"/>
              </w:rPr>
            </w:pPr>
            <w:r w:rsidRPr="0075595E">
              <w:rPr>
                <w:rFonts w:eastAsia="Calibri"/>
                <w:sz w:val="18"/>
                <w:szCs w:val="18"/>
                <w:lang w:val="fr-CA"/>
              </w:rPr>
              <w:t>Terroir Agro-</w:t>
            </w:r>
            <w:proofErr w:type="spellStart"/>
            <w:r w:rsidRPr="0075595E">
              <w:rPr>
                <w:rFonts w:eastAsia="Calibri"/>
                <w:sz w:val="18"/>
                <w:szCs w:val="18"/>
                <w:lang w:val="fr-CA"/>
              </w:rPr>
              <w:t>Sylvo</w:t>
            </w:r>
            <w:proofErr w:type="spellEnd"/>
            <w:r w:rsidRPr="0075595E">
              <w:rPr>
                <w:rFonts w:eastAsia="Calibri"/>
                <w:sz w:val="18"/>
                <w:szCs w:val="18"/>
                <w:lang w:val="fr-CA"/>
              </w:rPr>
              <w:t>-Pastoral (ASP) situé en lisière du corridor Sud-Est du PNKT (#2)</w:t>
            </w:r>
          </w:p>
        </w:tc>
        <w:tc>
          <w:tcPr>
            <w:tcW w:w="2682" w:type="pct"/>
            <w:shd w:val="clear" w:color="auto" w:fill="auto"/>
          </w:tcPr>
          <w:p w14:paraId="1B49DDA1" w14:textId="77777777" w:rsidR="00302BFE" w:rsidRPr="0075595E" w:rsidRDefault="00302BFE" w:rsidP="00243B15">
            <w:pPr>
              <w:rPr>
                <w:rFonts w:eastAsia="Calibri"/>
                <w:sz w:val="18"/>
                <w:szCs w:val="18"/>
                <w:lang w:val="fr-CA"/>
              </w:rPr>
            </w:pPr>
            <w:r w:rsidRPr="0075595E">
              <w:rPr>
                <w:rFonts w:eastAsia="Calibri"/>
                <w:sz w:val="18"/>
                <w:szCs w:val="18"/>
                <w:lang w:val="fr-CA"/>
              </w:rPr>
              <w:t>Village ayant bénéficié de plusieurs actions soutenues par divers partenaires et ouvert à participer</w:t>
            </w:r>
          </w:p>
        </w:tc>
      </w:tr>
      <w:tr w:rsidR="00302BFE" w:rsidRPr="00AB47BD" w14:paraId="1A742EE8" w14:textId="77777777" w:rsidTr="00243B15">
        <w:trPr>
          <w:jc w:val="center"/>
        </w:trPr>
        <w:tc>
          <w:tcPr>
            <w:tcW w:w="560" w:type="pct"/>
            <w:shd w:val="clear" w:color="auto" w:fill="auto"/>
          </w:tcPr>
          <w:p w14:paraId="498A24B1" w14:textId="77777777" w:rsidR="00302BFE" w:rsidRPr="0075595E" w:rsidRDefault="00302BFE" w:rsidP="00243B15">
            <w:pPr>
              <w:rPr>
                <w:rFonts w:eastAsia="Calibri"/>
                <w:b/>
                <w:bCs/>
                <w:sz w:val="18"/>
                <w:szCs w:val="18"/>
              </w:rPr>
            </w:pPr>
            <w:proofErr w:type="spellStart"/>
            <w:r w:rsidRPr="0075595E">
              <w:rPr>
                <w:rFonts w:eastAsia="Calibri"/>
                <w:b/>
                <w:bCs/>
                <w:sz w:val="18"/>
                <w:szCs w:val="18"/>
              </w:rPr>
              <w:t>Zoaga</w:t>
            </w:r>
            <w:proofErr w:type="spellEnd"/>
          </w:p>
        </w:tc>
        <w:tc>
          <w:tcPr>
            <w:tcW w:w="610" w:type="pct"/>
            <w:shd w:val="clear" w:color="auto" w:fill="auto"/>
          </w:tcPr>
          <w:p w14:paraId="53AE7989" w14:textId="77777777" w:rsidR="00302BFE" w:rsidRPr="0075595E" w:rsidRDefault="00302BFE" w:rsidP="00243B15">
            <w:pPr>
              <w:rPr>
                <w:rFonts w:eastAsia="Calibri"/>
                <w:sz w:val="18"/>
                <w:szCs w:val="18"/>
              </w:rPr>
            </w:pPr>
            <w:proofErr w:type="spellStart"/>
            <w:r w:rsidRPr="0075595E">
              <w:rPr>
                <w:rFonts w:eastAsia="Calibri"/>
                <w:sz w:val="18"/>
                <w:szCs w:val="18"/>
              </w:rPr>
              <w:t>Zerbogo</w:t>
            </w:r>
            <w:proofErr w:type="spellEnd"/>
          </w:p>
        </w:tc>
        <w:tc>
          <w:tcPr>
            <w:tcW w:w="1148" w:type="pct"/>
            <w:shd w:val="clear" w:color="auto" w:fill="auto"/>
          </w:tcPr>
          <w:p w14:paraId="67795170" w14:textId="77777777" w:rsidR="00302BFE" w:rsidRPr="0075595E" w:rsidRDefault="00302BFE" w:rsidP="00243B15">
            <w:pPr>
              <w:rPr>
                <w:rFonts w:eastAsia="Calibri"/>
                <w:sz w:val="18"/>
                <w:szCs w:val="18"/>
                <w:lang w:val="fr-CA"/>
              </w:rPr>
            </w:pPr>
            <w:r w:rsidRPr="0075595E">
              <w:rPr>
                <w:rFonts w:eastAsia="Calibri"/>
                <w:sz w:val="18"/>
                <w:szCs w:val="18"/>
                <w:lang w:val="fr-CA"/>
              </w:rPr>
              <w:t>Terroir ASP situé en lisière du Corridor Sud-Est du PNKT (#2)</w:t>
            </w:r>
          </w:p>
        </w:tc>
        <w:tc>
          <w:tcPr>
            <w:tcW w:w="2682" w:type="pct"/>
            <w:shd w:val="clear" w:color="auto" w:fill="auto"/>
          </w:tcPr>
          <w:p w14:paraId="34361945" w14:textId="77777777" w:rsidR="00302BFE" w:rsidRPr="0075595E" w:rsidRDefault="00302BFE" w:rsidP="00243B15">
            <w:pPr>
              <w:rPr>
                <w:rFonts w:eastAsia="Calibri"/>
                <w:sz w:val="18"/>
                <w:szCs w:val="18"/>
                <w:lang w:val="fr-CA"/>
              </w:rPr>
            </w:pPr>
            <w:r w:rsidRPr="0075595E">
              <w:rPr>
                <w:rFonts w:eastAsia="Calibri"/>
                <w:sz w:val="18"/>
                <w:szCs w:val="18"/>
                <w:lang w:val="fr-CA"/>
              </w:rPr>
              <w:t xml:space="preserve">Village type représentant les enjeux de gestion des conflits homme-faune dans le corridor #2, liés à une intervention inachevée de sécurisation du corridor, laissant les populations riveraines dans une situation d’incertitude quant à son statut. La situation est aggravée par la forte pression des éléphants, la lenteur excessive des procédures de compensation des dégâts causés par les éléphants (des PV de constat de 2017 ne sont pas réglés) et la pression croissante des orpailleurs, de telle sorte que les populations des villages riverains du corridor dans la Commune de Zoaga (dont </w:t>
            </w:r>
            <w:proofErr w:type="spellStart"/>
            <w:r w:rsidRPr="0075595E">
              <w:rPr>
                <w:rFonts w:eastAsia="Calibri"/>
                <w:sz w:val="18"/>
                <w:szCs w:val="18"/>
                <w:lang w:val="fr-CA"/>
              </w:rPr>
              <w:t>Zerbogo</w:t>
            </w:r>
            <w:proofErr w:type="spellEnd"/>
            <w:r w:rsidRPr="0075595E">
              <w:rPr>
                <w:rFonts w:eastAsia="Calibri"/>
                <w:sz w:val="18"/>
                <w:szCs w:val="18"/>
                <w:lang w:val="fr-CA"/>
              </w:rPr>
              <w:t>) remettent en cause le statut du corridor.</w:t>
            </w:r>
          </w:p>
        </w:tc>
      </w:tr>
      <w:tr w:rsidR="00302BFE" w:rsidRPr="00AB47BD" w14:paraId="33F1A44A" w14:textId="77777777" w:rsidTr="00243B15">
        <w:trPr>
          <w:trHeight w:val="667"/>
          <w:jc w:val="center"/>
        </w:trPr>
        <w:tc>
          <w:tcPr>
            <w:tcW w:w="560" w:type="pct"/>
            <w:vMerge w:val="restart"/>
            <w:shd w:val="clear" w:color="auto" w:fill="auto"/>
          </w:tcPr>
          <w:p w14:paraId="76382EA7" w14:textId="77777777" w:rsidR="00302BFE" w:rsidRPr="0075595E" w:rsidRDefault="00302BFE" w:rsidP="00243B15">
            <w:pPr>
              <w:rPr>
                <w:rFonts w:eastAsia="Calibri"/>
                <w:b/>
                <w:bCs/>
                <w:sz w:val="18"/>
                <w:szCs w:val="18"/>
              </w:rPr>
            </w:pPr>
            <w:proofErr w:type="spellStart"/>
            <w:r w:rsidRPr="0075595E">
              <w:rPr>
                <w:rFonts w:eastAsia="Calibri"/>
                <w:b/>
                <w:bCs/>
                <w:sz w:val="18"/>
                <w:szCs w:val="18"/>
              </w:rPr>
              <w:t>Guiaro</w:t>
            </w:r>
            <w:proofErr w:type="spellEnd"/>
          </w:p>
        </w:tc>
        <w:tc>
          <w:tcPr>
            <w:tcW w:w="610" w:type="pct"/>
            <w:shd w:val="clear" w:color="auto" w:fill="auto"/>
          </w:tcPr>
          <w:p w14:paraId="6462BB98" w14:textId="77777777" w:rsidR="00302BFE" w:rsidRPr="0075595E" w:rsidRDefault="00302BFE" w:rsidP="00243B15">
            <w:pPr>
              <w:rPr>
                <w:rFonts w:eastAsia="Calibri"/>
                <w:sz w:val="18"/>
                <w:szCs w:val="18"/>
              </w:rPr>
            </w:pPr>
            <w:proofErr w:type="spellStart"/>
            <w:r w:rsidRPr="0075595E">
              <w:rPr>
                <w:rFonts w:eastAsia="Calibri"/>
                <w:sz w:val="18"/>
                <w:szCs w:val="18"/>
              </w:rPr>
              <w:t>Saro</w:t>
            </w:r>
            <w:proofErr w:type="spellEnd"/>
          </w:p>
        </w:tc>
        <w:tc>
          <w:tcPr>
            <w:tcW w:w="1148" w:type="pct"/>
            <w:shd w:val="clear" w:color="auto" w:fill="auto"/>
          </w:tcPr>
          <w:p w14:paraId="3AC3AB08" w14:textId="77777777" w:rsidR="00302BFE" w:rsidRPr="0075595E" w:rsidRDefault="00302BFE" w:rsidP="00243B15">
            <w:pPr>
              <w:rPr>
                <w:rFonts w:eastAsia="Calibri"/>
                <w:sz w:val="18"/>
                <w:szCs w:val="18"/>
                <w:lang w:val="fr-CA"/>
              </w:rPr>
            </w:pPr>
            <w:r w:rsidRPr="0075595E">
              <w:rPr>
                <w:rFonts w:eastAsia="Calibri"/>
                <w:sz w:val="18"/>
                <w:szCs w:val="18"/>
                <w:lang w:val="fr-CA"/>
              </w:rPr>
              <w:t xml:space="preserve">Terroir ASP contigu au corridor #1 reliant le PNKT au Ranch du Gibier de </w:t>
            </w:r>
            <w:proofErr w:type="spellStart"/>
            <w:r w:rsidRPr="0075595E">
              <w:rPr>
                <w:rFonts w:eastAsia="Calibri"/>
                <w:sz w:val="18"/>
                <w:szCs w:val="18"/>
                <w:lang w:val="fr-CA"/>
              </w:rPr>
              <w:t>Nazinga</w:t>
            </w:r>
            <w:proofErr w:type="spellEnd"/>
          </w:p>
        </w:tc>
        <w:tc>
          <w:tcPr>
            <w:tcW w:w="2682" w:type="pct"/>
            <w:shd w:val="clear" w:color="auto" w:fill="auto"/>
          </w:tcPr>
          <w:p w14:paraId="7F85328F" w14:textId="77777777" w:rsidR="00302BFE" w:rsidRPr="0075595E" w:rsidRDefault="00302BFE" w:rsidP="00243B15">
            <w:pPr>
              <w:rPr>
                <w:rFonts w:eastAsia="Calibri"/>
                <w:sz w:val="18"/>
                <w:szCs w:val="18"/>
                <w:lang w:val="fr-CA"/>
              </w:rPr>
            </w:pPr>
            <w:r w:rsidRPr="0075595E">
              <w:rPr>
                <w:rFonts w:eastAsia="Calibri"/>
                <w:sz w:val="18"/>
                <w:szCs w:val="18"/>
                <w:lang w:val="fr-CA"/>
              </w:rPr>
              <w:t>Le terroir abrite une ZOVIC et une zone pastorale</w:t>
            </w:r>
          </w:p>
        </w:tc>
      </w:tr>
      <w:tr w:rsidR="00302BFE" w:rsidRPr="00AB47BD" w14:paraId="089BA354" w14:textId="77777777" w:rsidTr="00243B15">
        <w:trPr>
          <w:trHeight w:val="251"/>
          <w:jc w:val="center"/>
        </w:trPr>
        <w:tc>
          <w:tcPr>
            <w:tcW w:w="560" w:type="pct"/>
            <w:vMerge/>
            <w:shd w:val="clear" w:color="auto" w:fill="auto"/>
          </w:tcPr>
          <w:p w14:paraId="58388CF6" w14:textId="77777777" w:rsidR="00302BFE" w:rsidRPr="0075595E" w:rsidRDefault="00302BFE" w:rsidP="00243B15">
            <w:pPr>
              <w:rPr>
                <w:rFonts w:eastAsia="Calibri"/>
                <w:b/>
                <w:bCs/>
                <w:sz w:val="18"/>
                <w:szCs w:val="18"/>
                <w:lang w:val="fr-CA"/>
              </w:rPr>
            </w:pPr>
          </w:p>
        </w:tc>
        <w:tc>
          <w:tcPr>
            <w:tcW w:w="610" w:type="pct"/>
            <w:shd w:val="clear" w:color="auto" w:fill="auto"/>
          </w:tcPr>
          <w:p w14:paraId="0C84B0A8" w14:textId="77777777" w:rsidR="00302BFE" w:rsidRPr="0075595E" w:rsidRDefault="00302BFE" w:rsidP="00243B15">
            <w:pPr>
              <w:rPr>
                <w:rFonts w:eastAsia="Calibri"/>
                <w:sz w:val="18"/>
                <w:szCs w:val="18"/>
              </w:rPr>
            </w:pPr>
            <w:proofErr w:type="spellStart"/>
            <w:r w:rsidRPr="0075595E">
              <w:rPr>
                <w:rFonts w:eastAsia="Calibri"/>
                <w:sz w:val="18"/>
                <w:szCs w:val="18"/>
              </w:rPr>
              <w:t>Guiaro</w:t>
            </w:r>
            <w:proofErr w:type="spellEnd"/>
          </w:p>
        </w:tc>
        <w:tc>
          <w:tcPr>
            <w:tcW w:w="1148" w:type="pct"/>
            <w:shd w:val="clear" w:color="auto" w:fill="auto"/>
          </w:tcPr>
          <w:p w14:paraId="5979D719" w14:textId="77777777" w:rsidR="00302BFE" w:rsidRPr="0075595E" w:rsidRDefault="00302BFE" w:rsidP="00243B15">
            <w:pPr>
              <w:rPr>
                <w:rFonts w:eastAsia="Calibri"/>
                <w:sz w:val="18"/>
                <w:szCs w:val="18"/>
                <w:lang w:val="fr-CA"/>
              </w:rPr>
            </w:pPr>
            <w:r w:rsidRPr="0075595E">
              <w:rPr>
                <w:rFonts w:eastAsia="Calibri"/>
                <w:sz w:val="18"/>
                <w:szCs w:val="18"/>
                <w:lang w:val="fr-CA"/>
              </w:rPr>
              <w:t>Terroir ASP situé entre le PNKT et le RGN</w:t>
            </w:r>
          </w:p>
        </w:tc>
        <w:tc>
          <w:tcPr>
            <w:tcW w:w="2682" w:type="pct"/>
            <w:shd w:val="clear" w:color="auto" w:fill="auto"/>
          </w:tcPr>
          <w:p w14:paraId="323DD185" w14:textId="77777777" w:rsidR="00302BFE" w:rsidRPr="0075595E" w:rsidRDefault="00302BFE" w:rsidP="00243B15">
            <w:pPr>
              <w:rPr>
                <w:rFonts w:eastAsia="Calibri"/>
                <w:sz w:val="18"/>
                <w:szCs w:val="18"/>
                <w:lang w:val="fr-CA"/>
              </w:rPr>
            </w:pPr>
            <w:r w:rsidRPr="0075595E">
              <w:rPr>
                <w:rFonts w:eastAsia="Calibri"/>
                <w:sz w:val="18"/>
                <w:szCs w:val="18"/>
                <w:lang w:val="fr-CA"/>
              </w:rPr>
              <w:t>Le terroir comprend une zone pastorale</w:t>
            </w:r>
          </w:p>
        </w:tc>
      </w:tr>
      <w:tr w:rsidR="00302BFE" w:rsidRPr="00AB47BD" w14:paraId="28AF970C" w14:textId="77777777" w:rsidTr="00243B15">
        <w:trPr>
          <w:jc w:val="center"/>
        </w:trPr>
        <w:tc>
          <w:tcPr>
            <w:tcW w:w="560" w:type="pct"/>
            <w:vMerge/>
            <w:shd w:val="clear" w:color="auto" w:fill="auto"/>
          </w:tcPr>
          <w:p w14:paraId="55D56FFB" w14:textId="77777777" w:rsidR="00302BFE" w:rsidRPr="0075595E" w:rsidRDefault="00302BFE" w:rsidP="00243B15">
            <w:pPr>
              <w:rPr>
                <w:rFonts w:eastAsia="Calibri"/>
                <w:b/>
                <w:bCs/>
                <w:sz w:val="18"/>
                <w:szCs w:val="18"/>
                <w:lang w:val="fr-CA"/>
              </w:rPr>
            </w:pPr>
          </w:p>
        </w:tc>
        <w:tc>
          <w:tcPr>
            <w:tcW w:w="610" w:type="pct"/>
            <w:shd w:val="clear" w:color="auto" w:fill="auto"/>
          </w:tcPr>
          <w:p w14:paraId="7835DF4D" w14:textId="77777777" w:rsidR="00302BFE" w:rsidRPr="0075595E" w:rsidRDefault="00302BFE" w:rsidP="00243B15">
            <w:pPr>
              <w:rPr>
                <w:rFonts w:eastAsia="Calibri"/>
                <w:sz w:val="18"/>
                <w:szCs w:val="18"/>
              </w:rPr>
            </w:pPr>
            <w:proofErr w:type="spellStart"/>
            <w:r w:rsidRPr="0075595E">
              <w:rPr>
                <w:rFonts w:eastAsia="Calibri"/>
                <w:sz w:val="18"/>
                <w:szCs w:val="18"/>
              </w:rPr>
              <w:t>Bétaré</w:t>
            </w:r>
            <w:proofErr w:type="spellEnd"/>
            <w:r w:rsidRPr="0075595E">
              <w:rPr>
                <w:rFonts w:eastAsia="Calibri"/>
                <w:sz w:val="18"/>
                <w:szCs w:val="18"/>
              </w:rPr>
              <w:t xml:space="preserve"> </w:t>
            </w:r>
          </w:p>
        </w:tc>
        <w:tc>
          <w:tcPr>
            <w:tcW w:w="1148" w:type="pct"/>
            <w:shd w:val="clear" w:color="auto" w:fill="auto"/>
          </w:tcPr>
          <w:p w14:paraId="45C4751F" w14:textId="77777777" w:rsidR="00302BFE" w:rsidRPr="0075595E" w:rsidRDefault="00302BFE" w:rsidP="00243B15">
            <w:pPr>
              <w:rPr>
                <w:rFonts w:eastAsia="Calibri"/>
                <w:sz w:val="18"/>
                <w:szCs w:val="18"/>
                <w:lang w:val="fr-CA"/>
              </w:rPr>
            </w:pPr>
            <w:r w:rsidRPr="0075595E">
              <w:rPr>
                <w:rFonts w:eastAsia="Calibri"/>
                <w:sz w:val="18"/>
                <w:szCs w:val="18"/>
                <w:lang w:val="fr-CA"/>
              </w:rPr>
              <w:t>Terroir ASP dont une partie est incluse dans le corridor PNKT-RGN (#1)</w:t>
            </w:r>
          </w:p>
        </w:tc>
        <w:tc>
          <w:tcPr>
            <w:tcW w:w="2682" w:type="pct"/>
            <w:shd w:val="clear" w:color="auto" w:fill="auto"/>
          </w:tcPr>
          <w:p w14:paraId="1CCE12AF" w14:textId="77777777" w:rsidR="00302BFE" w:rsidRPr="0075595E" w:rsidRDefault="00302BFE" w:rsidP="00243B15">
            <w:pPr>
              <w:rPr>
                <w:rFonts w:eastAsia="Calibri"/>
                <w:sz w:val="18"/>
                <w:szCs w:val="18"/>
                <w:lang w:val="fr-CA"/>
              </w:rPr>
            </w:pPr>
            <w:r w:rsidRPr="0075595E">
              <w:rPr>
                <w:rFonts w:eastAsia="Calibri"/>
                <w:sz w:val="18"/>
                <w:szCs w:val="18"/>
                <w:lang w:val="fr-CA"/>
              </w:rPr>
              <w:t xml:space="preserve">Le terroir abrite une ZOVIC. L’emplacement du site de </w:t>
            </w:r>
            <w:proofErr w:type="spellStart"/>
            <w:r w:rsidRPr="0075595E">
              <w:rPr>
                <w:rFonts w:eastAsia="Calibri"/>
                <w:sz w:val="18"/>
                <w:szCs w:val="18"/>
                <w:lang w:val="fr-CA"/>
              </w:rPr>
              <w:t>Bétaré</w:t>
            </w:r>
            <w:proofErr w:type="spellEnd"/>
            <w:r w:rsidRPr="0075595E">
              <w:rPr>
                <w:rFonts w:eastAsia="Calibri"/>
                <w:sz w:val="18"/>
                <w:szCs w:val="18"/>
                <w:lang w:val="fr-CA"/>
              </w:rPr>
              <w:t xml:space="preserve"> au N-O de la commune de Guiaro à la lisière Sud du PNKT et vis-à-vis la localité de Nobéré située de l’autre côté du PNKT dans sa partie étroite, favorise le développement de communications économiques et sociales </w:t>
            </w:r>
            <w:r w:rsidRPr="0075595E">
              <w:rPr>
                <w:rFonts w:eastAsia="Calibri"/>
                <w:i/>
                <w:sz w:val="18"/>
                <w:szCs w:val="18"/>
                <w:lang w:val="fr-CA"/>
              </w:rPr>
              <w:t>naturelles</w:t>
            </w:r>
            <w:r w:rsidRPr="0075595E">
              <w:rPr>
                <w:rFonts w:eastAsia="Calibri"/>
                <w:sz w:val="18"/>
                <w:szCs w:val="18"/>
                <w:lang w:val="fr-CA"/>
              </w:rPr>
              <w:t xml:space="preserve"> (parce que plus courtes) entre les communes de Nobéré et de Guiaro en utilisant des pistes qui traversent le PNKT. Des discussions en cours entre les deux communes concernent l’aménagement d’une piste les reliant à travers le Parc National, ce qui permettrait d’économiser près d’une centaine de km pour relier Guiaro, tout en en respectant les exigences de la conservation</w:t>
            </w:r>
          </w:p>
        </w:tc>
      </w:tr>
      <w:tr w:rsidR="00302BFE" w:rsidRPr="00AB47BD" w14:paraId="5DA2513D" w14:textId="77777777" w:rsidTr="00243B15">
        <w:trPr>
          <w:jc w:val="center"/>
        </w:trPr>
        <w:tc>
          <w:tcPr>
            <w:tcW w:w="560" w:type="pct"/>
            <w:vMerge w:val="restart"/>
            <w:shd w:val="clear" w:color="auto" w:fill="auto"/>
          </w:tcPr>
          <w:p w14:paraId="7342682B" w14:textId="77777777" w:rsidR="00302BFE" w:rsidRPr="0075595E" w:rsidRDefault="00302BFE" w:rsidP="00243B15">
            <w:pPr>
              <w:rPr>
                <w:rFonts w:eastAsia="Calibri"/>
                <w:b/>
                <w:bCs/>
                <w:sz w:val="18"/>
                <w:szCs w:val="18"/>
              </w:rPr>
            </w:pPr>
            <w:proofErr w:type="spellStart"/>
            <w:r w:rsidRPr="0075595E">
              <w:rPr>
                <w:rFonts w:eastAsia="Calibri"/>
                <w:b/>
                <w:bCs/>
                <w:sz w:val="18"/>
                <w:szCs w:val="18"/>
              </w:rPr>
              <w:t>Pô</w:t>
            </w:r>
            <w:proofErr w:type="spellEnd"/>
          </w:p>
        </w:tc>
        <w:tc>
          <w:tcPr>
            <w:tcW w:w="610" w:type="pct"/>
            <w:shd w:val="clear" w:color="auto" w:fill="auto"/>
          </w:tcPr>
          <w:p w14:paraId="55A33E65" w14:textId="77777777" w:rsidR="00302BFE" w:rsidRPr="0075595E" w:rsidRDefault="00302BFE" w:rsidP="00243B15">
            <w:pPr>
              <w:rPr>
                <w:rFonts w:eastAsia="Calibri"/>
                <w:sz w:val="18"/>
                <w:szCs w:val="18"/>
              </w:rPr>
            </w:pPr>
            <w:proofErr w:type="spellStart"/>
            <w:r w:rsidRPr="0075595E">
              <w:rPr>
                <w:rFonts w:eastAsia="Calibri"/>
                <w:sz w:val="18"/>
                <w:szCs w:val="18"/>
              </w:rPr>
              <w:t>Mautiougo</w:t>
            </w:r>
            <w:proofErr w:type="spellEnd"/>
          </w:p>
        </w:tc>
        <w:tc>
          <w:tcPr>
            <w:tcW w:w="1148" w:type="pct"/>
            <w:shd w:val="clear" w:color="auto" w:fill="auto"/>
          </w:tcPr>
          <w:p w14:paraId="729D7D6F" w14:textId="77777777" w:rsidR="00302BFE" w:rsidRPr="0075595E" w:rsidRDefault="00302BFE" w:rsidP="00243B15">
            <w:pPr>
              <w:rPr>
                <w:rFonts w:eastAsia="Calibri"/>
                <w:sz w:val="18"/>
                <w:szCs w:val="18"/>
                <w:lang w:val="fr-CA"/>
              </w:rPr>
            </w:pPr>
            <w:r w:rsidRPr="0075595E">
              <w:rPr>
                <w:rFonts w:eastAsia="Calibri"/>
                <w:sz w:val="18"/>
                <w:szCs w:val="18"/>
                <w:lang w:val="fr-CA"/>
              </w:rPr>
              <w:t>Terroir situé en lisière du corridor Sud-Est du PNKT (#2)</w:t>
            </w:r>
          </w:p>
        </w:tc>
        <w:tc>
          <w:tcPr>
            <w:tcW w:w="2682" w:type="pct"/>
            <w:shd w:val="clear" w:color="auto" w:fill="auto"/>
          </w:tcPr>
          <w:p w14:paraId="1EE1F5E0" w14:textId="77777777" w:rsidR="00302BFE" w:rsidRPr="0075595E" w:rsidRDefault="00302BFE" w:rsidP="00243B15">
            <w:pPr>
              <w:rPr>
                <w:rFonts w:eastAsia="Calibri"/>
                <w:sz w:val="18"/>
                <w:szCs w:val="18"/>
                <w:lang w:val="fr-CA"/>
              </w:rPr>
            </w:pPr>
            <w:r w:rsidRPr="0075595E">
              <w:rPr>
                <w:rFonts w:eastAsia="Calibri"/>
                <w:sz w:val="18"/>
                <w:szCs w:val="18"/>
                <w:lang w:val="fr-CA"/>
              </w:rPr>
              <w:t xml:space="preserve">Village à la fois riverain du PNKT et du corridor S-E  </w:t>
            </w:r>
          </w:p>
        </w:tc>
      </w:tr>
      <w:tr w:rsidR="00302BFE" w:rsidRPr="00AB47BD" w14:paraId="08C67D1C" w14:textId="77777777" w:rsidTr="00243B15">
        <w:trPr>
          <w:jc w:val="center"/>
        </w:trPr>
        <w:tc>
          <w:tcPr>
            <w:tcW w:w="560" w:type="pct"/>
            <w:vMerge/>
            <w:shd w:val="clear" w:color="auto" w:fill="auto"/>
          </w:tcPr>
          <w:p w14:paraId="37137A36" w14:textId="77777777" w:rsidR="00302BFE" w:rsidRPr="0075595E" w:rsidRDefault="00302BFE" w:rsidP="00243B15">
            <w:pPr>
              <w:rPr>
                <w:rFonts w:eastAsia="Calibri"/>
                <w:b/>
                <w:bCs/>
                <w:sz w:val="18"/>
                <w:szCs w:val="18"/>
                <w:lang w:val="fr-CA"/>
              </w:rPr>
            </w:pPr>
          </w:p>
        </w:tc>
        <w:tc>
          <w:tcPr>
            <w:tcW w:w="610" w:type="pct"/>
            <w:shd w:val="clear" w:color="auto" w:fill="auto"/>
          </w:tcPr>
          <w:p w14:paraId="0144366C" w14:textId="77777777" w:rsidR="00302BFE" w:rsidRPr="0075595E" w:rsidRDefault="00302BFE" w:rsidP="00243B15">
            <w:pPr>
              <w:rPr>
                <w:rFonts w:eastAsia="Calibri"/>
                <w:sz w:val="18"/>
                <w:szCs w:val="18"/>
              </w:rPr>
            </w:pPr>
            <w:proofErr w:type="spellStart"/>
            <w:r w:rsidRPr="0075595E">
              <w:rPr>
                <w:rFonts w:eastAsia="Calibri"/>
                <w:sz w:val="18"/>
                <w:szCs w:val="18"/>
              </w:rPr>
              <w:t>Kapori</w:t>
            </w:r>
            <w:proofErr w:type="spellEnd"/>
          </w:p>
        </w:tc>
        <w:tc>
          <w:tcPr>
            <w:tcW w:w="1148" w:type="pct"/>
            <w:shd w:val="clear" w:color="auto" w:fill="auto"/>
          </w:tcPr>
          <w:p w14:paraId="30E887AE" w14:textId="77777777" w:rsidR="00302BFE" w:rsidRPr="0075595E" w:rsidRDefault="00302BFE" w:rsidP="00243B15">
            <w:pPr>
              <w:rPr>
                <w:rFonts w:eastAsia="Calibri"/>
                <w:sz w:val="18"/>
                <w:szCs w:val="18"/>
                <w:lang w:val="fr-CA"/>
              </w:rPr>
            </w:pPr>
            <w:r w:rsidRPr="0075595E">
              <w:rPr>
                <w:rFonts w:eastAsia="Calibri"/>
                <w:sz w:val="18"/>
                <w:szCs w:val="18"/>
                <w:lang w:val="fr-CA"/>
              </w:rPr>
              <w:t xml:space="preserve">Périphérie directe du PNKT (inclus dans une aire appelée </w:t>
            </w:r>
            <w:r w:rsidRPr="0075595E">
              <w:rPr>
                <w:rFonts w:eastAsia="Calibri"/>
                <w:i/>
                <w:sz w:val="18"/>
                <w:szCs w:val="18"/>
                <w:lang w:val="fr-CA"/>
              </w:rPr>
              <w:t>zone tampon</w:t>
            </w:r>
            <w:r w:rsidRPr="0075595E">
              <w:rPr>
                <w:rStyle w:val="Appelnotedebasdep"/>
                <w:rFonts w:eastAsia="Calibri"/>
                <w:szCs w:val="18"/>
              </w:rPr>
              <w:footnoteReference w:id="99"/>
            </w:r>
            <w:r w:rsidRPr="0075595E">
              <w:rPr>
                <w:rFonts w:eastAsia="Calibri"/>
                <w:sz w:val="18"/>
                <w:szCs w:val="18"/>
                <w:lang w:val="fr-CA"/>
              </w:rPr>
              <w:t xml:space="preserve"> du PNKT)</w:t>
            </w:r>
          </w:p>
        </w:tc>
        <w:tc>
          <w:tcPr>
            <w:tcW w:w="2682" w:type="pct"/>
            <w:shd w:val="clear" w:color="auto" w:fill="auto"/>
          </w:tcPr>
          <w:p w14:paraId="63A9EBC3" w14:textId="77777777" w:rsidR="00302BFE" w:rsidRPr="0075595E" w:rsidRDefault="00302BFE" w:rsidP="00243B15">
            <w:pPr>
              <w:rPr>
                <w:rFonts w:eastAsia="Calibri"/>
                <w:sz w:val="18"/>
                <w:szCs w:val="18"/>
                <w:lang w:val="fr-CA"/>
              </w:rPr>
            </w:pPr>
            <w:proofErr w:type="spellStart"/>
            <w:r w:rsidRPr="0075595E">
              <w:rPr>
                <w:rFonts w:eastAsia="Calibri"/>
                <w:sz w:val="18"/>
                <w:szCs w:val="18"/>
                <w:lang w:val="fr-CA"/>
              </w:rPr>
              <w:t>Kapori</w:t>
            </w:r>
            <w:proofErr w:type="spellEnd"/>
            <w:r w:rsidRPr="0075595E">
              <w:rPr>
                <w:rFonts w:eastAsia="Calibri"/>
                <w:sz w:val="18"/>
                <w:szCs w:val="18"/>
                <w:lang w:val="fr-CA"/>
              </w:rPr>
              <w:t xml:space="preserve"> est situé dans la partie Ouest de la commune de Pô qui borde le RGN. Une rivière qui traverse le RGN du nord-est au sud isole près du quart de la superficie du ranch et empêche les équipes de surveillance d’y accéder, en particulier pendant la saison des pluies. </w:t>
            </w:r>
            <w:proofErr w:type="spellStart"/>
            <w:r w:rsidRPr="0075595E">
              <w:rPr>
                <w:rFonts w:eastAsia="Calibri"/>
                <w:sz w:val="18"/>
                <w:szCs w:val="18"/>
                <w:lang w:val="fr-CA"/>
              </w:rPr>
              <w:t>Kapori</w:t>
            </w:r>
            <w:proofErr w:type="spellEnd"/>
            <w:r w:rsidRPr="0075595E">
              <w:rPr>
                <w:rFonts w:eastAsia="Calibri"/>
                <w:sz w:val="18"/>
                <w:szCs w:val="18"/>
                <w:lang w:val="fr-CA"/>
              </w:rPr>
              <w:t xml:space="preserve"> est au milieu d’une vaste zone de colonisation qui menace l’intégrité de cette portion du RGN. Ce village </w:t>
            </w:r>
            <w:r w:rsidRPr="0075595E">
              <w:rPr>
                <w:rFonts w:eastAsia="Calibri"/>
                <w:sz w:val="18"/>
                <w:szCs w:val="18"/>
                <w:lang w:val="fr-CA"/>
              </w:rPr>
              <w:lastRenderedPageBreak/>
              <w:t>illustre une des zones les plus vulnérables de la commune de PO en lisière du RGN. Alors que les communautés locales sont ouvertes à participer aux initiatives de conservation, les initiatives menées jusqu’à maintenant n’ont pas réussi à relever le défi.</w:t>
            </w:r>
          </w:p>
        </w:tc>
      </w:tr>
      <w:tr w:rsidR="00302BFE" w:rsidRPr="00AB47BD" w14:paraId="486D6AA3" w14:textId="77777777" w:rsidTr="00243B15">
        <w:trPr>
          <w:jc w:val="center"/>
        </w:trPr>
        <w:tc>
          <w:tcPr>
            <w:tcW w:w="560" w:type="pct"/>
            <w:shd w:val="clear" w:color="auto" w:fill="auto"/>
          </w:tcPr>
          <w:p w14:paraId="41BA4E20" w14:textId="77777777" w:rsidR="00302BFE" w:rsidRPr="0075595E" w:rsidRDefault="00302BFE" w:rsidP="00243B15">
            <w:pPr>
              <w:rPr>
                <w:rFonts w:eastAsia="Calibri"/>
                <w:b/>
                <w:bCs/>
                <w:sz w:val="18"/>
                <w:szCs w:val="18"/>
              </w:rPr>
            </w:pPr>
            <w:proofErr w:type="spellStart"/>
            <w:r w:rsidRPr="0075595E">
              <w:rPr>
                <w:rFonts w:eastAsia="Calibri"/>
                <w:b/>
                <w:bCs/>
                <w:sz w:val="18"/>
                <w:szCs w:val="18"/>
              </w:rPr>
              <w:lastRenderedPageBreak/>
              <w:t>Toécé</w:t>
            </w:r>
            <w:proofErr w:type="spellEnd"/>
          </w:p>
        </w:tc>
        <w:tc>
          <w:tcPr>
            <w:tcW w:w="610" w:type="pct"/>
            <w:shd w:val="clear" w:color="auto" w:fill="auto"/>
          </w:tcPr>
          <w:p w14:paraId="2353E8E2" w14:textId="77777777" w:rsidR="00302BFE" w:rsidRPr="0075595E" w:rsidRDefault="00302BFE" w:rsidP="00243B15">
            <w:pPr>
              <w:rPr>
                <w:rFonts w:eastAsia="Calibri"/>
                <w:sz w:val="18"/>
                <w:szCs w:val="18"/>
              </w:rPr>
            </w:pPr>
            <w:proofErr w:type="spellStart"/>
            <w:r w:rsidRPr="0075595E">
              <w:rPr>
                <w:rFonts w:eastAsia="Calibri"/>
                <w:sz w:val="18"/>
                <w:szCs w:val="18"/>
              </w:rPr>
              <w:t>Yougoudri</w:t>
            </w:r>
            <w:proofErr w:type="spellEnd"/>
            <w:r w:rsidRPr="0075595E">
              <w:rPr>
                <w:rFonts w:eastAsia="Calibri"/>
                <w:sz w:val="18"/>
                <w:szCs w:val="18"/>
              </w:rPr>
              <w:t xml:space="preserve"> </w:t>
            </w:r>
          </w:p>
        </w:tc>
        <w:tc>
          <w:tcPr>
            <w:tcW w:w="1148" w:type="pct"/>
            <w:shd w:val="clear" w:color="auto" w:fill="auto"/>
          </w:tcPr>
          <w:p w14:paraId="6519F5F9" w14:textId="77777777" w:rsidR="00302BFE" w:rsidRPr="0075595E" w:rsidRDefault="00302BFE" w:rsidP="00243B15">
            <w:pPr>
              <w:rPr>
                <w:rFonts w:eastAsia="Calibri"/>
                <w:sz w:val="18"/>
                <w:szCs w:val="18"/>
                <w:lang w:val="fr-CA"/>
              </w:rPr>
            </w:pPr>
            <w:r w:rsidRPr="0075595E">
              <w:rPr>
                <w:rFonts w:eastAsia="Calibri"/>
                <w:sz w:val="18"/>
                <w:szCs w:val="18"/>
                <w:lang w:val="fr-CA"/>
              </w:rPr>
              <w:t>Terroir ASP contigu au PNKT</w:t>
            </w:r>
          </w:p>
        </w:tc>
        <w:tc>
          <w:tcPr>
            <w:tcW w:w="2682" w:type="pct"/>
            <w:shd w:val="clear" w:color="auto" w:fill="auto"/>
          </w:tcPr>
          <w:p w14:paraId="2FFE436D" w14:textId="77777777" w:rsidR="00302BFE" w:rsidRPr="0075595E" w:rsidRDefault="00302BFE" w:rsidP="00243B15">
            <w:pPr>
              <w:rPr>
                <w:rFonts w:eastAsia="Calibri"/>
                <w:sz w:val="18"/>
                <w:szCs w:val="18"/>
                <w:lang w:val="fr-CA"/>
              </w:rPr>
            </w:pPr>
            <w:r w:rsidRPr="0075595E">
              <w:rPr>
                <w:rFonts w:eastAsia="Calibri"/>
                <w:sz w:val="18"/>
                <w:szCs w:val="18"/>
                <w:lang w:val="fr-CA"/>
              </w:rPr>
              <w:t xml:space="preserve">La présence des éléphants à </w:t>
            </w:r>
            <w:proofErr w:type="spellStart"/>
            <w:r w:rsidRPr="0075595E">
              <w:rPr>
                <w:rFonts w:eastAsia="Calibri"/>
                <w:sz w:val="18"/>
                <w:szCs w:val="18"/>
                <w:lang w:val="fr-CA"/>
              </w:rPr>
              <w:t>Yougoudri</w:t>
            </w:r>
            <w:proofErr w:type="spellEnd"/>
            <w:r w:rsidRPr="0075595E">
              <w:rPr>
                <w:rFonts w:eastAsia="Calibri"/>
                <w:sz w:val="18"/>
                <w:szCs w:val="18"/>
                <w:lang w:val="fr-CA"/>
              </w:rPr>
              <w:t xml:space="preserve"> est quasi-permanente en raison d’une mare permanente située dans le PNKT. Les populations ont appris à vivre avec cette situation. L’emplacement de TOECE à 70 km de Ouagadougou et la présence quasi-permanente des éléphants constituent des atouts à valoriser dans le cadre du développement des activités touristiques.</w:t>
            </w:r>
          </w:p>
        </w:tc>
      </w:tr>
      <w:tr w:rsidR="00302BFE" w:rsidRPr="00AB47BD" w14:paraId="3D68B467" w14:textId="77777777" w:rsidTr="00243B15">
        <w:trPr>
          <w:jc w:val="center"/>
        </w:trPr>
        <w:tc>
          <w:tcPr>
            <w:tcW w:w="560" w:type="pct"/>
            <w:shd w:val="clear" w:color="auto" w:fill="auto"/>
          </w:tcPr>
          <w:p w14:paraId="28A0D857" w14:textId="77777777" w:rsidR="00302BFE" w:rsidRPr="0075595E" w:rsidRDefault="00302BFE" w:rsidP="00243B15">
            <w:pPr>
              <w:rPr>
                <w:rFonts w:eastAsia="Calibri"/>
                <w:b/>
                <w:bCs/>
                <w:sz w:val="18"/>
                <w:szCs w:val="18"/>
              </w:rPr>
            </w:pPr>
            <w:proofErr w:type="spellStart"/>
            <w:r w:rsidRPr="0075595E">
              <w:rPr>
                <w:rFonts w:eastAsia="Calibri"/>
                <w:b/>
                <w:bCs/>
                <w:sz w:val="18"/>
                <w:szCs w:val="18"/>
              </w:rPr>
              <w:t>Doulougou</w:t>
            </w:r>
            <w:proofErr w:type="spellEnd"/>
          </w:p>
        </w:tc>
        <w:tc>
          <w:tcPr>
            <w:tcW w:w="610" w:type="pct"/>
            <w:shd w:val="clear" w:color="auto" w:fill="auto"/>
          </w:tcPr>
          <w:p w14:paraId="3D985560" w14:textId="77777777" w:rsidR="00302BFE" w:rsidRPr="0075595E" w:rsidRDefault="00302BFE" w:rsidP="00243B15">
            <w:pPr>
              <w:rPr>
                <w:rFonts w:eastAsia="Calibri"/>
                <w:sz w:val="18"/>
                <w:szCs w:val="18"/>
              </w:rPr>
            </w:pPr>
            <w:proofErr w:type="spellStart"/>
            <w:r w:rsidRPr="0075595E">
              <w:rPr>
                <w:rFonts w:eastAsia="Calibri"/>
                <w:sz w:val="18"/>
                <w:szCs w:val="18"/>
              </w:rPr>
              <w:t>Toebanaga</w:t>
            </w:r>
            <w:proofErr w:type="spellEnd"/>
            <w:r w:rsidRPr="0075595E">
              <w:rPr>
                <w:rFonts w:eastAsia="Calibri"/>
                <w:sz w:val="18"/>
                <w:szCs w:val="18"/>
              </w:rPr>
              <w:t xml:space="preserve"> </w:t>
            </w:r>
          </w:p>
        </w:tc>
        <w:tc>
          <w:tcPr>
            <w:tcW w:w="1148" w:type="pct"/>
            <w:shd w:val="clear" w:color="auto" w:fill="auto"/>
          </w:tcPr>
          <w:p w14:paraId="18102090" w14:textId="77777777" w:rsidR="00302BFE" w:rsidRPr="0075595E" w:rsidRDefault="00302BFE" w:rsidP="00243B15">
            <w:pPr>
              <w:rPr>
                <w:rFonts w:eastAsia="Calibri"/>
                <w:sz w:val="18"/>
                <w:szCs w:val="18"/>
                <w:lang w:val="fr-CA"/>
              </w:rPr>
            </w:pPr>
            <w:r w:rsidRPr="0075595E">
              <w:rPr>
                <w:rFonts w:eastAsia="Calibri"/>
                <w:sz w:val="18"/>
                <w:szCs w:val="18"/>
                <w:lang w:val="fr-CA"/>
              </w:rPr>
              <w:t>Terroir ASP contigu au PNKT</w:t>
            </w:r>
          </w:p>
        </w:tc>
        <w:tc>
          <w:tcPr>
            <w:tcW w:w="2682" w:type="pct"/>
            <w:shd w:val="clear" w:color="auto" w:fill="auto"/>
          </w:tcPr>
          <w:p w14:paraId="3DBE023D" w14:textId="77777777" w:rsidR="00302BFE" w:rsidRPr="0075595E" w:rsidRDefault="00302BFE" w:rsidP="00243B15">
            <w:pPr>
              <w:rPr>
                <w:rFonts w:eastAsia="Calibri"/>
                <w:sz w:val="18"/>
                <w:szCs w:val="18"/>
                <w:lang w:val="fr-CA" w:eastAsia="fr-CA"/>
              </w:rPr>
            </w:pPr>
            <w:r w:rsidRPr="0075595E">
              <w:rPr>
                <w:rFonts w:eastAsia="Calibri"/>
                <w:sz w:val="18"/>
                <w:szCs w:val="18"/>
                <w:lang w:val="fr-CA"/>
              </w:rPr>
              <w:t xml:space="preserve">Le terroir comprend une Forêt Villageoise. </w:t>
            </w:r>
            <w:proofErr w:type="spellStart"/>
            <w:r w:rsidRPr="0075595E">
              <w:rPr>
                <w:rFonts w:eastAsia="Calibri"/>
                <w:sz w:val="18"/>
                <w:szCs w:val="18"/>
                <w:lang w:val="fr-CA"/>
              </w:rPr>
              <w:t>Toebanaga</w:t>
            </w:r>
            <w:proofErr w:type="spellEnd"/>
            <w:r w:rsidRPr="0075595E">
              <w:rPr>
                <w:rFonts w:eastAsia="Calibri"/>
                <w:sz w:val="18"/>
                <w:szCs w:val="18"/>
                <w:lang w:val="fr-CA"/>
              </w:rPr>
              <w:t xml:space="preserve"> est situé dans l’axe des déplacements des éléphants qui sont présents à </w:t>
            </w:r>
            <w:proofErr w:type="spellStart"/>
            <w:r w:rsidRPr="0075595E">
              <w:rPr>
                <w:rFonts w:eastAsia="Calibri"/>
                <w:sz w:val="18"/>
                <w:szCs w:val="18"/>
                <w:lang w:val="fr-CA"/>
              </w:rPr>
              <w:t>Yougoudri</w:t>
            </w:r>
            <w:proofErr w:type="spellEnd"/>
            <w:r w:rsidRPr="0075595E">
              <w:rPr>
                <w:rFonts w:eastAsia="Calibri"/>
                <w:sz w:val="18"/>
                <w:szCs w:val="18"/>
                <w:lang w:val="fr-CA"/>
              </w:rPr>
              <w:t>,</w:t>
            </w:r>
            <w:r w:rsidRPr="0075595E">
              <w:rPr>
                <w:rFonts w:eastAsia="Calibri"/>
                <w:b/>
                <w:sz w:val="18"/>
                <w:szCs w:val="18"/>
                <w:lang w:val="fr-CA"/>
              </w:rPr>
              <w:t xml:space="preserve"> </w:t>
            </w:r>
            <w:r w:rsidRPr="0075595E">
              <w:rPr>
                <w:rFonts w:eastAsia="Calibri"/>
                <w:sz w:val="18"/>
                <w:szCs w:val="18"/>
                <w:lang w:val="fr-CA"/>
              </w:rPr>
              <w:t xml:space="preserve">plus au sud. Un des enjeux environnementaux dans cette localité est l’exploitation d’agrégats (sable notamment) pour le marché de Ouagadougou. La localité de </w:t>
            </w:r>
            <w:proofErr w:type="spellStart"/>
            <w:r w:rsidRPr="0075595E">
              <w:rPr>
                <w:rFonts w:eastAsia="Calibri"/>
                <w:sz w:val="18"/>
                <w:szCs w:val="18"/>
                <w:lang w:val="fr-CA"/>
              </w:rPr>
              <w:t>Toebanaga</w:t>
            </w:r>
            <w:proofErr w:type="spellEnd"/>
            <w:r w:rsidRPr="0075595E">
              <w:rPr>
                <w:rFonts w:eastAsia="Calibri"/>
                <w:sz w:val="18"/>
                <w:szCs w:val="18"/>
                <w:lang w:val="fr-CA"/>
              </w:rPr>
              <w:t xml:space="preserve"> est incluse dans un des chantiers d’aménagement forestier (CAF) du </w:t>
            </w:r>
            <w:proofErr w:type="spellStart"/>
            <w:r w:rsidRPr="0075595E">
              <w:rPr>
                <w:rFonts w:eastAsia="Calibri"/>
                <w:sz w:val="18"/>
                <w:szCs w:val="18"/>
                <w:lang w:val="fr-CA"/>
              </w:rPr>
              <w:t>Nakambé</w:t>
            </w:r>
            <w:proofErr w:type="spellEnd"/>
            <w:r w:rsidRPr="0075595E">
              <w:rPr>
                <w:rFonts w:eastAsia="Calibri"/>
                <w:sz w:val="18"/>
                <w:szCs w:val="18"/>
                <w:lang w:val="fr-CA"/>
              </w:rPr>
              <w:t xml:space="preserve"> qui longe le PNKT</w:t>
            </w:r>
            <w:r w:rsidRPr="0075595E">
              <w:rPr>
                <w:rStyle w:val="Appelnotedebasdep"/>
                <w:rFonts w:eastAsia="Calibri"/>
                <w:szCs w:val="18"/>
              </w:rPr>
              <w:footnoteReference w:id="100"/>
            </w:r>
            <w:r w:rsidRPr="0075595E">
              <w:rPr>
                <w:rFonts w:eastAsia="Calibri"/>
                <w:sz w:val="18"/>
                <w:szCs w:val="18"/>
                <w:lang w:val="fr-CA"/>
              </w:rPr>
              <w:t xml:space="preserve"> et dont le statut n’est pas clair. L’accès actuel au site est relativement difficile en saison des pluies et la Commune est intéressée à contribuer à son désenclavement avec l’appui d’autre partenaires. La décision finale concernant cette localité devra demeurer compatible avec les objectifs de conservation dans le PNKT.</w:t>
            </w:r>
          </w:p>
        </w:tc>
      </w:tr>
      <w:tr w:rsidR="00302BFE" w:rsidRPr="0075595E" w14:paraId="098B0B43" w14:textId="77777777" w:rsidTr="00243B15">
        <w:trPr>
          <w:trHeight w:val="70"/>
          <w:jc w:val="center"/>
        </w:trPr>
        <w:tc>
          <w:tcPr>
            <w:tcW w:w="560" w:type="pct"/>
            <w:vMerge w:val="restart"/>
            <w:shd w:val="clear" w:color="auto" w:fill="auto"/>
          </w:tcPr>
          <w:p w14:paraId="74DDAFE0" w14:textId="77777777" w:rsidR="00302BFE" w:rsidRPr="0075595E" w:rsidRDefault="00302BFE" w:rsidP="00243B15">
            <w:pPr>
              <w:rPr>
                <w:rFonts w:eastAsia="Calibri"/>
                <w:b/>
                <w:bCs/>
                <w:sz w:val="18"/>
                <w:szCs w:val="18"/>
              </w:rPr>
            </w:pPr>
            <w:proofErr w:type="spellStart"/>
            <w:r w:rsidRPr="0075595E">
              <w:rPr>
                <w:rFonts w:eastAsia="Calibri"/>
                <w:b/>
                <w:bCs/>
                <w:sz w:val="18"/>
                <w:szCs w:val="18"/>
              </w:rPr>
              <w:t>Bieha</w:t>
            </w:r>
            <w:proofErr w:type="spellEnd"/>
          </w:p>
        </w:tc>
        <w:tc>
          <w:tcPr>
            <w:tcW w:w="610" w:type="pct"/>
            <w:shd w:val="clear" w:color="auto" w:fill="auto"/>
          </w:tcPr>
          <w:p w14:paraId="77B12A1E" w14:textId="77777777" w:rsidR="00302BFE" w:rsidRPr="0075595E" w:rsidRDefault="00302BFE" w:rsidP="00243B15">
            <w:pPr>
              <w:rPr>
                <w:rFonts w:eastAsia="Calibri"/>
                <w:sz w:val="18"/>
                <w:szCs w:val="18"/>
              </w:rPr>
            </w:pPr>
            <w:proofErr w:type="spellStart"/>
            <w:r w:rsidRPr="0075595E">
              <w:rPr>
                <w:rFonts w:eastAsia="Calibri"/>
                <w:sz w:val="18"/>
                <w:szCs w:val="18"/>
              </w:rPr>
              <w:t>Néboun</w:t>
            </w:r>
            <w:proofErr w:type="spellEnd"/>
          </w:p>
        </w:tc>
        <w:tc>
          <w:tcPr>
            <w:tcW w:w="1148" w:type="pct"/>
            <w:shd w:val="clear" w:color="auto" w:fill="auto"/>
          </w:tcPr>
          <w:p w14:paraId="62A9C9F1" w14:textId="77777777" w:rsidR="00302BFE" w:rsidRPr="0075595E" w:rsidRDefault="00302BFE" w:rsidP="00243B15">
            <w:pPr>
              <w:rPr>
                <w:rFonts w:eastAsia="Calibri" w:cs="Calibri"/>
                <w:sz w:val="18"/>
                <w:szCs w:val="18"/>
              </w:rPr>
            </w:pPr>
            <w:r w:rsidRPr="0075595E">
              <w:rPr>
                <w:rFonts w:eastAsia="Calibri" w:cs="Calibri"/>
                <w:sz w:val="18"/>
                <w:szCs w:val="18"/>
              </w:rPr>
              <w:t xml:space="preserve">Terroir </w:t>
            </w:r>
            <w:proofErr w:type="spellStart"/>
            <w:r w:rsidRPr="0075595E">
              <w:rPr>
                <w:rFonts w:eastAsia="Calibri" w:cs="Calibri"/>
                <w:sz w:val="18"/>
                <w:szCs w:val="18"/>
              </w:rPr>
              <w:t>villageois</w:t>
            </w:r>
            <w:proofErr w:type="spellEnd"/>
          </w:p>
        </w:tc>
        <w:tc>
          <w:tcPr>
            <w:tcW w:w="2682" w:type="pct"/>
            <w:vMerge w:val="restart"/>
            <w:shd w:val="clear" w:color="auto" w:fill="auto"/>
          </w:tcPr>
          <w:p w14:paraId="26B504EF" w14:textId="77777777" w:rsidR="00302BFE" w:rsidRPr="0075595E" w:rsidRDefault="00302BFE" w:rsidP="00243B15">
            <w:pPr>
              <w:rPr>
                <w:rFonts w:eastAsia="Calibri"/>
                <w:sz w:val="18"/>
                <w:szCs w:val="18"/>
              </w:rPr>
            </w:pPr>
            <w:r w:rsidRPr="0075595E">
              <w:rPr>
                <w:rFonts w:eastAsia="Calibri"/>
                <w:sz w:val="18"/>
                <w:szCs w:val="18"/>
                <w:lang w:val="fr-CA"/>
              </w:rPr>
              <w:t xml:space="preserve">Le terroir de </w:t>
            </w:r>
            <w:proofErr w:type="spellStart"/>
            <w:r w:rsidRPr="0075595E">
              <w:rPr>
                <w:rFonts w:eastAsia="Calibri"/>
                <w:sz w:val="18"/>
                <w:szCs w:val="18"/>
                <w:lang w:val="fr-CA"/>
              </w:rPr>
              <w:t>Néboun</w:t>
            </w:r>
            <w:proofErr w:type="spellEnd"/>
            <w:r w:rsidRPr="0075595E">
              <w:rPr>
                <w:rFonts w:eastAsia="Calibri"/>
                <w:sz w:val="18"/>
                <w:szCs w:val="18"/>
                <w:lang w:val="fr-CA"/>
              </w:rPr>
              <w:t xml:space="preserve"> comprend une ZOVIC, une forêt villageoise et est impliqué dans un CAF. La ZOVIC de </w:t>
            </w:r>
            <w:proofErr w:type="spellStart"/>
            <w:r w:rsidRPr="0075595E">
              <w:rPr>
                <w:rFonts w:eastAsia="Calibri"/>
                <w:sz w:val="18"/>
                <w:szCs w:val="18"/>
                <w:lang w:val="fr-CA"/>
              </w:rPr>
              <w:t>Neboun</w:t>
            </w:r>
            <w:proofErr w:type="spellEnd"/>
            <w:r w:rsidRPr="0075595E">
              <w:rPr>
                <w:rFonts w:eastAsia="Calibri"/>
                <w:sz w:val="18"/>
                <w:szCs w:val="18"/>
                <w:lang w:val="fr-CA"/>
              </w:rPr>
              <w:t xml:space="preserve"> (plus de 3000 ha) est partagée par les 2 villages voisins de </w:t>
            </w:r>
            <w:proofErr w:type="spellStart"/>
            <w:r w:rsidRPr="0075595E">
              <w:rPr>
                <w:rFonts w:eastAsia="Calibri"/>
                <w:sz w:val="18"/>
                <w:szCs w:val="18"/>
                <w:lang w:val="fr-CA"/>
              </w:rPr>
              <w:t>Neboun</w:t>
            </w:r>
            <w:proofErr w:type="spellEnd"/>
            <w:r w:rsidRPr="0075595E">
              <w:rPr>
                <w:rFonts w:eastAsia="Calibri"/>
                <w:sz w:val="18"/>
                <w:szCs w:val="18"/>
                <w:lang w:val="fr-CA"/>
              </w:rPr>
              <w:t xml:space="preserve"> et </w:t>
            </w:r>
            <w:proofErr w:type="spellStart"/>
            <w:r w:rsidRPr="0075595E">
              <w:rPr>
                <w:rFonts w:eastAsia="Calibri"/>
                <w:sz w:val="18"/>
                <w:szCs w:val="18"/>
                <w:lang w:val="fr-CA"/>
              </w:rPr>
              <w:t>Bori</w:t>
            </w:r>
            <w:proofErr w:type="spellEnd"/>
            <w:r w:rsidRPr="0075595E">
              <w:rPr>
                <w:rFonts w:eastAsia="Calibri"/>
                <w:sz w:val="18"/>
                <w:szCs w:val="18"/>
                <w:lang w:val="fr-CA"/>
              </w:rPr>
              <w:t xml:space="preserve">, qui ont mis en place un bureau commun pour sa gestion. </w:t>
            </w:r>
            <w:proofErr w:type="spellStart"/>
            <w:r w:rsidRPr="0075595E">
              <w:rPr>
                <w:rFonts w:eastAsia="Calibri"/>
                <w:sz w:val="18"/>
                <w:szCs w:val="18"/>
              </w:rPr>
              <w:t>Cette</w:t>
            </w:r>
            <w:proofErr w:type="spellEnd"/>
            <w:r w:rsidRPr="0075595E">
              <w:rPr>
                <w:rFonts w:eastAsia="Calibri"/>
                <w:sz w:val="18"/>
                <w:szCs w:val="18"/>
              </w:rPr>
              <w:t xml:space="preserve"> ZOVIC fait </w:t>
            </w:r>
            <w:proofErr w:type="spellStart"/>
            <w:r w:rsidRPr="0075595E">
              <w:rPr>
                <w:rFonts w:eastAsia="Calibri"/>
                <w:sz w:val="18"/>
                <w:szCs w:val="18"/>
              </w:rPr>
              <w:t>l’objet</w:t>
            </w:r>
            <w:proofErr w:type="spellEnd"/>
            <w:r w:rsidRPr="0075595E">
              <w:rPr>
                <w:rFonts w:eastAsia="Calibri"/>
                <w:sz w:val="18"/>
                <w:szCs w:val="18"/>
              </w:rPr>
              <w:t xml:space="preserve"> </w:t>
            </w:r>
            <w:proofErr w:type="spellStart"/>
            <w:r w:rsidRPr="0075595E">
              <w:rPr>
                <w:rFonts w:eastAsia="Calibri"/>
                <w:sz w:val="18"/>
                <w:szCs w:val="18"/>
              </w:rPr>
              <w:t>d’une</w:t>
            </w:r>
            <w:proofErr w:type="spellEnd"/>
            <w:r w:rsidRPr="0075595E">
              <w:rPr>
                <w:rFonts w:eastAsia="Calibri"/>
                <w:sz w:val="18"/>
                <w:szCs w:val="18"/>
              </w:rPr>
              <w:t xml:space="preserve"> concession à un </w:t>
            </w:r>
            <w:proofErr w:type="spellStart"/>
            <w:r w:rsidRPr="0075595E">
              <w:rPr>
                <w:rFonts w:eastAsia="Calibri"/>
                <w:sz w:val="18"/>
                <w:szCs w:val="18"/>
              </w:rPr>
              <w:t>privé</w:t>
            </w:r>
            <w:proofErr w:type="spellEnd"/>
          </w:p>
        </w:tc>
      </w:tr>
      <w:tr w:rsidR="00302BFE" w:rsidRPr="0075595E" w14:paraId="1FC27F9F" w14:textId="77777777" w:rsidTr="00243B15">
        <w:trPr>
          <w:jc w:val="center"/>
        </w:trPr>
        <w:tc>
          <w:tcPr>
            <w:tcW w:w="560" w:type="pct"/>
            <w:vMerge/>
            <w:shd w:val="clear" w:color="auto" w:fill="auto"/>
          </w:tcPr>
          <w:p w14:paraId="363BB2ED" w14:textId="77777777" w:rsidR="00302BFE" w:rsidRPr="0075595E" w:rsidRDefault="00302BFE" w:rsidP="00243B15">
            <w:pPr>
              <w:rPr>
                <w:rFonts w:eastAsia="Calibri"/>
                <w:b/>
                <w:bCs/>
                <w:sz w:val="18"/>
                <w:szCs w:val="18"/>
              </w:rPr>
            </w:pPr>
          </w:p>
        </w:tc>
        <w:tc>
          <w:tcPr>
            <w:tcW w:w="610" w:type="pct"/>
            <w:shd w:val="clear" w:color="auto" w:fill="auto"/>
          </w:tcPr>
          <w:p w14:paraId="2B4C00AC" w14:textId="77777777" w:rsidR="00302BFE" w:rsidRPr="0075595E" w:rsidRDefault="00302BFE" w:rsidP="00243B15">
            <w:pPr>
              <w:rPr>
                <w:rFonts w:eastAsia="Calibri"/>
                <w:sz w:val="18"/>
                <w:szCs w:val="18"/>
              </w:rPr>
            </w:pPr>
            <w:proofErr w:type="spellStart"/>
            <w:r w:rsidRPr="0075595E">
              <w:rPr>
                <w:rFonts w:eastAsia="Calibri"/>
                <w:sz w:val="18"/>
                <w:szCs w:val="18"/>
              </w:rPr>
              <w:t>Bori</w:t>
            </w:r>
            <w:proofErr w:type="spellEnd"/>
          </w:p>
        </w:tc>
        <w:tc>
          <w:tcPr>
            <w:tcW w:w="1148" w:type="pct"/>
            <w:shd w:val="clear" w:color="auto" w:fill="auto"/>
          </w:tcPr>
          <w:p w14:paraId="1DC28068" w14:textId="77777777" w:rsidR="00302BFE" w:rsidRPr="0075595E" w:rsidRDefault="00302BFE" w:rsidP="00243B15">
            <w:pPr>
              <w:rPr>
                <w:rFonts w:eastAsia="Calibri"/>
                <w:sz w:val="18"/>
                <w:szCs w:val="18"/>
              </w:rPr>
            </w:pPr>
            <w:r w:rsidRPr="0075595E">
              <w:rPr>
                <w:rFonts w:eastAsia="Calibri"/>
                <w:sz w:val="18"/>
                <w:szCs w:val="18"/>
              </w:rPr>
              <w:t xml:space="preserve">Terroir </w:t>
            </w:r>
            <w:proofErr w:type="spellStart"/>
            <w:r w:rsidRPr="0075595E">
              <w:rPr>
                <w:rFonts w:eastAsia="Calibri"/>
                <w:sz w:val="18"/>
                <w:szCs w:val="18"/>
              </w:rPr>
              <w:t>villageois</w:t>
            </w:r>
            <w:proofErr w:type="spellEnd"/>
          </w:p>
        </w:tc>
        <w:tc>
          <w:tcPr>
            <w:tcW w:w="2682" w:type="pct"/>
            <w:vMerge/>
            <w:shd w:val="clear" w:color="auto" w:fill="auto"/>
          </w:tcPr>
          <w:p w14:paraId="49C4D8EB" w14:textId="77777777" w:rsidR="00302BFE" w:rsidRPr="0075595E" w:rsidRDefault="00302BFE" w:rsidP="00243B15">
            <w:pPr>
              <w:rPr>
                <w:rFonts w:eastAsia="Calibri"/>
                <w:sz w:val="18"/>
                <w:szCs w:val="18"/>
              </w:rPr>
            </w:pPr>
          </w:p>
        </w:tc>
      </w:tr>
      <w:tr w:rsidR="00302BFE" w:rsidRPr="00AB47BD" w14:paraId="66CB2FF8" w14:textId="77777777" w:rsidTr="00243B15">
        <w:trPr>
          <w:jc w:val="center"/>
        </w:trPr>
        <w:tc>
          <w:tcPr>
            <w:tcW w:w="560" w:type="pct"/>
            <w:vMerge/>
            <w:shd w:val="clear" w:color="auto" w:fill="auto"/>
          </w:tcPr>
          <w:p w14:paraId="03A6BED9" w14:textId="77777777" w:rsidR="00302BFE" w:rsidRPr="0075595E" w:rsidRDefault="00302BFE" w:rsidP="00243B15">
            <w:pPr>
              <w:rPr>
                <w:rFonts w:eastAsia="Calibri"/>
                <w:b/>
                <w:bCs/>
                <w:sz w:val="18"/>
                <w:szCs w:val="18"/>
              </w:rPr>
            </w:pPr>
          </w:p>
        </w:tc>
        <w:tc>
          <w:tcPr>
            <w:tcW w:w="610" w:type="pct"/>
            <w:shd w:val="clear" w:color="auto" w:fill="auto"/>
          </w:tcPr>
          <w:p w14:paraId="2EF43445" w14:textId="77777777" w:rsidR="00302BFE" w:rsidRPr="0075595E" w:rsidRDefault="00302BFE" w:rsidP="00243B15">
            <w:pPr>
              <w:rPr>
                <w:rFonts w:eastAsia="Calibri"/>
                <w:sz w:val="18"/>
                <w:szCs w:val="18"/>
              </w:rPr>
            </w:pPr>
            <w:proofErr w:type="spellStart"/>
            <w:r w:rsidRPr="0075595E">
              <w:rPr>
                <w:rFonts w:eastAsia="Calibri"/>
                <w:sz w:val="18"/>
                <w:szCs w:val="18"/>
              </w:rPr>
              <w:t>Boala</w:t>
            </w:r>
            <w:proofErr w:type="spellEnd"/>
          </w:p>
        </w:tc>
        <w:tc>
          <w:tcPr>
            <w:tcW w:w="1148" w:type="pct"/>
            <w:shd w:val="clear" w:color="auto" w:fill="auto"/>
          </w:tcPr>
          <w:p w14:paraId="6985FFB3" w14:textId="77777777" w:rsidR="00302BFE" w:rsidRPr="0075595E" w:rsidRDefault="00302BFE" w:rsidP="00243B15">
            <w:pPr>
              <w:rPr>
                <w:rFonts w:eastAsia="Calibri" w:cs="Calibri"/>
                <w:sz w:val="18"/>
                <w:szCs w:val="18"/>
                <w:lang w:val="fr-CA"/>
              </w:rPr>
            </w:pPr>
            <w:r w:rsidRPr="0075595E">
              <w:rPr>
                <w:rFonts w:eastAsia="Calibri" w:cs="Calibri"/>
                <w:sz w:val="18"/>
                <w:szCs w:val="18"/>
                <w:lang w:val="fr-CA"/>
              </w:rPr>
              <w:t>Village situé au sud de la Forêt Classée de la Sissili</w:t>
            </w:r>
          </w:p>
        </w:tc>
        <w:tc>
          <w:tcPr>
            <w:tcW w:w="2682" w:type="pct"/>
            <w:shd w:val="clear" w:color="auto" w:fill="auto"/>
          </w:tcPr>
          <w:p w14:paraId="54AF5E8D" w14:textId="77777777" w:rsidR="00302BFE" w:rsidRPr="0075595E" w:rsidRDefault="00302BFE" w:rsidP="00243B15">
            <w:pPr>
              <w:rPr>
                <w:rFonts w:eastAsia="Calibri"/>
                <w:sz w:val="18"/>
                <w:szCs w:val="18"/>
                <w:lang w:val="fr-CA"/>
              </w:rPr>
            </w:pPr>
            <w:r w:rsidRPr="0075595E">
              <w:rPr>
                <w:rFonts w:eastAsia="Calibri"/>
                <w:sz w:val="18"/>
                <w:szCs w:val="18"/>
                <w:lang w:val="fr-CA"/>
              </w:rPr>
              <w:t>Le terroir comprend une ZOVIC</w:t>
            </w:r>
          </w:p>
        </w:tc>
      </w:tr>
      <w:tr w:rsidR="00302BFE" w:rsidRPr="00AB47BD" w14:paraId="5AF7A18B" w14:textId="77777777" w:rsidTr="00243B15">
        <w:trPr>
          <w:jc w:val="center"/>
        </w:trPr>
        <w:tc>
          <w:tcPr>
            <w:tcW w:w="560" w:type="pct"/>
            <w:vMerge w:val="restart"/>
            <w:shd w:val="clear" w:color="auto" w:fill="auto"/>
          </w:tcPr>
          <w:p w14:paraId="1BFC3AC0" w14:textId="77777777" w:rsidR="00302BFE" w:rsidRPr="0075595E" w:rsidRDefault="00302BFE" w:rsidP="00243B15">
            <w:pPr>
              <w:rPr>
                <w:rFonts w:eastAsia="Calibri"/>
                <w:b/>
                <w:bCs/>
                <w:sz w:val="18"/>
                <w:szCs w:val="18"/>
              </w:rPr>
            </w:pPr>
            <w:proofErr w:type="spellStart"/>
            <w:r w:rsidRPr="0075595E">
              <w:rPr>
                <w:rFonts w:eastAsia="Calibri"/>
                <w:b/>
                <w:bCs/>
                <w:sz w:val="18"/>
                <w:szCs w:val="18"/>
              </w:rPr>
              <w:t>Sapouy</w:t>
            </w:r>
            <w:proofErr w:type="spellEnd"/>
          </w:p>
        </w:tc>
        <w:tc>
          <w:tcPr>
            <w:tcW w:w="610" w:type="pct"/>
            <w:shd w:val="clear" w:color="auto" w:fill="auto"/>
          </w:tcPr>
          <w:p w14:paraId="3666A2AE" w14:textId="77777777" w:rsidR="00302BFE" w:rsidRPr="0075595E" w:rsidRDefault="00302BFE" w:rsidP="00243B15">
            <w:pPr>
              <w:rPr>
                <w:rFonts w:eastAsia="Calibri"/>
                <w:sz w:val="18"/>
                <w:szCs w:val="18"/>
              </w:rPr>
            </w:pPr>
            <w:proofErr w:type="spellStart"/>
            <w:r w:rsidRPr="0075595E">
              <w:rPr>
                <w:rFonts w:eastAsia="Calibri"/>
                <w:sz w:val="18"/>
                <w:szCs w:val="18"/>
              </w:rPr>
              <w:t>Tiaré</w:t>
            </w:r>
            <w:proofErr w:type="spellEnd"/>
          </w:p>
        </w:tc>
        <w:tc>
          <w:tcPr>
            <w:tcW w:w="1148" w:type="pct"/>
            <w:shd w:val="clear" w:color="auto" w:fill="auto"/>
          </w:tcPr>
          <w:p w14:paraId="1A7BB944" w14:textId="77777777" w:rsidR="00302BFE" w:rsidRPr="0075595E" w:rsidRDefault="00302BFE" w:rsidP="00243B15">
            <w:pPr>
              <w:rPr>
                <w:rFonts w:eastAsia="Calibri"/>
                <w:sz w:val="18"/>
                <w:szCs w:val="18"/>
                <w:lang w:val="fr-CA"/>
              </w:rPr>
            </w:pPr>
            <w:r w:rsidRPr="0075595E">
              <w:rPr>
                <w:rFonts w:eastAsia="Calibri"/>
                <w:sz w:val="18"/>
                <w:szCs w:val="18"/>
                <w:lang w:val="fr-CA"/>
              </w:rPr>
              <w:t xml:space="preserve">Village situé au S-E de Sapouy, à la lisière du PNKT et faisant frontière avec la commune de Guiaro dont le terroir ASP est situé en bordure du PNKT (soi-disant </w:t>
            </w:r>
            <w:r w:rsidRPr="0075595E">
              <w:rPr>
                <w:rFonts w:eastAsia="Calibri"/>
                <w:i/>
                <w:sz w:val="18"/>
                <w:szCs w:val="18"/>
                <w:lang w:val="fr-CA"/>
              </w:rPr>
              <w:t>zone tampon</w:t>
            </w:r>
            <w:r w:rsidRPr="0075595E">
              <w:rPr>
                <w:rFonts w:eastAsia="Calibri"/>
                <w:sz w:val="18"/>
                <w:szCs w:val="18"/>
                <w:lang w:val="fr-CA"/>
              </w:rPr>
              <w:t>)</w:t>
            </w:r>
          </w:p>
        </w:tc>
        <w:tc>
          <w:tcPr>
            <w:tcW w:w="2682" w:type="pct"/>
            <w:vMerge w:val="restart"/>
            <w:shd w:val="clear" w:color="auto" w:fill="auto"/>
          </w:tcPr>
          <w:p w14:paraId="177F2731" w14:textId="77777777" w:rsidR="00302BFE" w:rsidRPr="0075595E" w:rsidRDefault="00302BFE" w:rsidP="00243B15">
            <w:pPr>
              <w:rPr>
                <w:rFonts w:eastAsia="Calibri"/>
                <w:sz w:val="18"/>
                <w:szCs w:val="18"/>
                <w:lang w:val="fr-CA"/>
              </w:rPr>
            </w:pPr>
            <w:r w:rsidRPr="0075595E">
              <w:rPr>
                <w:rFonts w:eastAsia="Calibri"/>
                <w:sz w:val="18"/>
                <w:szCs w:val="18"/>
                <w:lang w:val="fr-CA"/>
              </w:rPr>
              <w:t xml:space="preserve">La lisière sud du PNKT dans le </w:t>
            </w:r>
            <w:proofErr w:type="spellStart"/>
            <w:r w:rsidRPr="0075595E">
              <w:rPr>
                <w:rFonts w:eastAsia="Calibri"/>
                <w:sz w:val="18"/>
                <w:szCs w:val="18"/>
                <w:lang w:val="fr-CA"/>
              </w:rPr>
              <w:t>Ziro</w:t>
            </w:r>
            <w:proofErr w:type="spellEnd"/>
            <w:r w:rsidRPr="0075595E">
              <w:rPr>
                <w:rFonts w:eastAsia="Calibri"/>
                <w:sz w:val="18"/>
                <w:szCs w:val="18"/>
                <w:lang w:val="fr-CA"/>
              </w:rPr>
              <w:t xml:space="preserve"> est occupée par ce qui reste de la FC de la Volta Rouge après la création en 1976 du PNKT et qui est identifié comme </w:t>
            </w:r>
            <w:r w:rsidRPr="0075595E">
              <w:rPr>
                <w:rFonts w:eastAsia="Calibri"/>
                <w:i/>
                <w:sz w:val="18"/>
                <w:szCs w:val="18"/>
                <w:lang w:val="fr-CA"/>
              </w:rPr>
              <w:t>zone tampon</w:t>
            </w:r>
            <w:r w:rsidRPr="0075595E">
              <w:rPr>
                <w:rFonts w:eastAsia="Calibri"/>
                <w:sz w:val="18"/>
                <w:szCs w:val="18"/>
                <w:lang w:val="fr-CA"/>
              </w:rPr>
              <w:t xml:space="preserve"> pour cette AP. La création du PNKT en 1976 a annexé 50 000 ha de la FC de la Volta Rouge -aujourd’hui FC de </w:t>
            </w:r>
            <w:proofErr w:type="spellStart"/>
            <w:r w:rsidRPr="0075595E">
              <w:rPr>
                <w:rFonts w:eastAsia="Calibri"/>
                <w:sz w:val="18"/>
                <w:szCs w:val="18"/>
                <w:lang w:val="fr-CA"/>
              </w:rPr>
              <w:t>Nazinon</w:t>
            </w:r>
            <w:proofErr w:type="spellEnd"/>
            <w:r w:rsidRPr="0075595E">
              <w:rPr>
                <w:rFonts w:eastAsia="Calibri"/>
                <w:sz w:val="18"/>
                <w:szCs w:val="18"/>
                <w:lang w:val="fr-CA"/>
              </w:rPr>
              <w:t>-</w:t>
            </w:r>
            <w:r w:rsidRPr="0075595E">
              <w:rPr>
                <w:rFonts w:eastAsia="Calibri"/>
                <w:b/>
                <w:sz w:val="18"/>
                <w:szCs w:val="18"/>
                <w:lang w:val="fr-CA"/>
              </w:rPr>
              <w:t xml:space="preserve"> </w:t>
            </w:r>
            <w:r w:rsidRPr="0075595E">
              <w:rPr>
                <w:rFonts w:eastAsia="Calibri"/>
                <w:sz w:val="18"/>
                <w:szCs w:val="18"/>
                <w:lang w:val="fr-CA"/>
              </w:rPr>
              <w:t xml:space="preserve">dont la superficie initiale était de 85 000 ha. Les 27 000 ha restants (24 969 ha selon le PAG - 8000 ha ont été occupés par le village de </w:t>
            </w:r>
            <w:proofErr w:type="spellStart"/>
            <w:r w:rsidRPr="0075595E">
              <w:rPr>
                <w:rFonts w:eastAsia="Calibri"/>
                <w:sz w:val="18"/>
                <w:szCs w:val="18"/>
                <w:lang w:val="fr-CA"/>
              </w:rPr>
              <w:t>Kinkirsgogo</w:t>
            </w:r>
            <w:proofErr w:type="spellEnd"/>
            <w:r w:rsidRPr="0075595E">
              <w:rPr>
                <w:rFonts w:eastAsia="Calibri"/>
                <w:sz w:val="18"/>
                <w:szCs w:val="18"/>
                <w:lang w:val="fr-CA"/>
              </w:rPr>
              <w:t xml:space="preserve">) forment aujourd’hui le CAF de </w:t>
            </w:r>
            <w:proofErr w:type="spellStart"/>
            <w:r w:rsidRPr="0075595E">
              <w:rPr>
                <w:rFonts w:eastAsia="Calibri"/>
                <w:sz w:val="18"/>
                <w:szCs w:val="18"/>
                <w:lang w:val="fr-CA"/>
              </w:rPr>
              <w:t>Nazinon</w:t>
            </w:r>
            <w:proofErr w:type="spellEnd"/>
            <w:r w:rsidRPr="0075595E">
              <w:rPr>
                <w:rFonts w:eastAsia="Calibri"/>
                <w:sz w:val="18"/>
                <w:szCs w:val="18"/>
                <w:lang w:val="fr-CA"/>
              </w:rPr>
              <w:t>, destiné à approvisionner la ville de Ouagadougou en bois combustible. Les 10 villages riverains du CAF dans la commune de Sapouy – dont Tiaré - participent aux activités d’exploitation et de gestion forestière du CAF. Quoique le village de Tiaré soit le seul à être à la périphérie directe du PNKT, 5 des autres villages impliqués dans le CAF sont situés à moins de 5 km et leur population exerce une pression de braconnage sur la faune du parc.</w:t>
            </w:r>
          </w:p>
          <w:p w14:paraId="040F5334" w14:textId="77777777" w:rsidR="00302BFE" w:rsidRPr="0075595E" w:rsidRDefault="00302BFE" w:rsidP="00243B15">
            <w:pPr>
              <w:rPr>
                <w:rFonts w:eastAsia="Calibri"/>
                <w:sz w:val="18"/>
                <w:szCs w:val="18"/>
                <w:lang w:val="fr-CA"/>
              </w:rPr>
            </w:pPr>
            <w:r w:rsidRPr="0075595E">
              <w:rPr>
                <w:rFonts w:eastAsia="Calibri"/>
                <w:sz w:val="18"/>
                <w:szCs w:val="18"/>
                <w:lang w:val="fr-CA"/>
              </w:rPr>
              <w:t xml:space="preserve">Le village </w:t>
            </w:r>
            <w:proofErr w:type="spellStart"/>
            <w:r w:rsidRPr="0075595E">
              <w:rPr>
                <w:rFonts w:eastAsia="Calibri"/>
                <w:sz w:val="18"/>
                <w:szCs w:val="18"/>
                <w:lang w:val="fr-CA"/>
              </w:rPr>
              <w:t>Bouiga</w:t>
            </w:r>
            <w:proofErr w:type="spellEnd"/>
            <w:r w:rsidRPr="0075595E">
              <w:rPr>
                <w:rFonts w:eastAsia="Calibri"/>
                <w:sz w:val="18"/>
                <w:szCs w:val="18"/>
                <w:lang w:val="fr-CA"/>
              </w:rPr>
              <w:t xml:space="preserve"> connait des conflits homme-faune ayant entraîné mort d’homme.</w:t>
            </w:r>
          </w:p>
        </w:tc>
      </w:tr>
      <w:tr w:rsidR="00302BFE" w:rsidRPr="00AB47BD" w14:paraId="4995C0CD" w14:textId="77777777" w:rsidTr="00243B15">
        <w:trPr>
          <w:jc w:val="center"/>
        </w:trPr>
        <w:tc>
          <w:tcPr>
            <w:tcW w:w="560" w:type="pct"/>
            <w:vMerge/>
            <w:shd w:val="clear" w:color="auto" w:fill="auto"/>
          </w:tcPr>
          <w:p w14:paraId="68FD3F6A" w14:textId="77777777" w:rsidR="00302BFE" w:rsidRPr="0075595E" w:rsidRDefault="00302BFE" w:rsidP="00243B15">
            <w:pPr>
              <w:rPr>
                <w:rFonts w:eastAsia="Calibri"/>
                <w:b/>
                <w:bCs/>
                <w:sz w:val="18"/>
                <w:szCs w:val="18"/>
                <w:lang w:val="fr-CA"/>
              </w:rPr>
            </w:pPr>
          </w:p>
        </w:tc>
        <w:tc>
          <w:tcPr>
            <w:tcW w:w="610" w:type="pct"/>
            <w:shd w:val="clear" w:color="auto" w:fill="auto"/>
          </w:tcPr>
          <w:p w14:paraId="5676B141" w14:textId="77777777" w:rsidR="00302BFE" w:rsidRPr="0075595E" w:rsidRDefault="00302BFE" w:rsidP="00243B15">
            <w:pPr>
              <w:rPr>
                <w:rFonts w:eastAsia="Calibri"/>
                <w:sz w:val="18"/>
                <w:szCs w:val="18"/>
              </w:rPr>
            </w:pPr>
            <w:proofErr w:type="spellStart"/>
            <w:r w:rsidRPr="0075595E">
              <w:rPr>
                <w:rFonts w:eastAsia="Calibri"/>
                <w:sz w:val="18"/>
                <w:szCs w:val="18"/>
              </w:rPr>
              <w:t>Baouiga</w:t>
            </w:r>
            <w:proofErr w:type="spellEnd"/>
          </w:p>
        </w:tc>
        <w:tc>
          <w:tcPr>
            <w:tcW w:w="1148" w:type="pct"/>
            <w:shd w:val="clear" w:color="auto" w:fill="auto"/>
          </w:tcPr>
          <w:p w14:paraId="227AEC19" w14:textId="77777777" w:rsidR="00302BFE" w:rsidRPr="0075595E" w:rsidRDefault="00302BFE" w:rsidP="00243B15">
            <w:pPr>
              <w:rPr>
                <w:rFonts w:eastAsia="Calibri"/>
                <w:sz w:val="18"/>
                <w:szCs w:val="18"/>
                <w:lang w:val="fr-CA"/>
              </w:rPr>
            </w:pPr>
            <w:r w:rsidRPr="0075595E">
              <w:rPr>
                <w:rFonts w:eastAsia="Calibri"/>
                <w:sz w:val="18"/>
                <w:szCs w:val="18"/>
                <w:lang w:val="fr-CA"/>
              </w:rPr>
              <w:t>Terroir ASP situé en zone tampon du PNKT</w:t>
            </w:r>
          </w:p>
        </w:tc>
        <w:tc>
          <w:tcPr>
            <w:tcW w:w="2682" w:type="pct"/>
            <w:vMerge/>
            <w:shd w:val="clear" w:color="auto" w:fill="auto"/>
          </w:tcPr>
          <w:p w14:paraId="60C03A9F" w14:textId="77777777" w:rsidR="00302BFE" w:rsidRPr="0075595E" w:rsidRDefault="00302BFE" w:rsidP="00243B15">
            <w:pPr>
              <w:rPr>
                <w:rFonts w:eastAsia="Calibri"/>
                <w:sz w:val="18"/>
                <w:szCs w:val="18"/>
                <w:lang w:val="fr-CA"/>
              </w:rPr>
            </w:pPr>
          </w:p>
        </w:tc>
      </w:tr>
      <w:tr w:rsidR="00302BFE" w:rsidRPr="00AB47BD" w14:paraId="50C39D14" w14:textId="77777777" w:rsidTr="00243B15">
        <w:trPr>
          <w:jc w:val="center"/>
        </w:trPr>
        <w:tc>
          <w:tcPr>
            <w:tcW w:w="560" w:type="pct"/>
            <w:shd w:val="clear" w:color="auto" w:fill="auto"/>
          </w:tcPr>
          <w:p w14:paraId="1112468D" w14:textId="77777777" w:rsidR="00302BFE" w:rsidRPr="0075595E" w:rsidRDefault="00302BFE" w:rsidP="00243B15">
            <w:pPr>
              <w:rPr>
                <w:rFonts w:eastAsia="Calibri"/>
                <w:b/>
                <w:bCs/>
                <w:sz w:val="18"/>
                <w:szCs w:val="18"/>
              </w:rPr>
            </w:pPr>
            <w:proofErr w:type="spellStart"/>
            <w:r w:rsidRPr="0075595E">
              <w:rPr>
                <w:rFonts w:eastAsia="Calibri"/>
                <w:b/>
                <w:bCs/>
                <w:sz w:val="18"/>
                <w:szCs w:val="18"/>
              </w:rPr>
              <w:t>Nobéré</w:t>
            </w:r>
            <w:proofErr w:type="spellEnd"/>
          </w:p>
        </w:tc>
        <w:tc>
          <w:tcPr>
            <w:tcW w:w="610" w:type="pct"/>
            <w:shd w:val="clear" w:color="auto" w:fill="auto"/>
          </w:tcPr>
          <w:p w14:paraId="05294D0B" w14:textId="77777777" w:rsidR="00302BFE" w:rsidRPr="0075595E" w:rsidRDefault="00302BFE" w:rsidP="00243B15">
            <w:pPr>
              <w:rPr>
                <w:rFonts w:eastAsia="Calibri"/>
                <w:sz w:val="18"/>
                <w:szCs w:val="18"/>
              </w:rPr>
            </w:pPr>
            <w:proofErr w:type="spellStart"/>
            <w:r w:rsidRPr="0075595E">
              <w:rPr>
                <w:rFonts w:eastAsia="Calibri"/>
                <w:sz w:val="18"/>
                <w:szCs w:val="18"/>
              </w:rPr>
              <w:t>Kougrissincé</w:t>
            </w:r>
            <w:proofErr w:type="spellEnd"/>
            <w:r w:rsidRPr="0075595E">
              <w:rPr>
                <w:rFonts w:eastAsia="Calibri"/>
                <w:sz w:val="18"/>
                <w:szCs w:val="18"/>
              </w:rPr>
              <w:t xml:space="preserve"> </w:t>
            </w:r>
          </w:p>
        </w:tc>
        <w:tc>
          <w:tcPr>
            <w:tcW w:w="1148" w:type="pct"/>
            <w:shd w:val="clear" w:color="auto" w:fill="auto"/>
          </w:tcPr>
          <w:p w14:paraId="1C7D4CDB" w14:textId="77777777" w:rsidR="00302BFE" w:rsidRPr="0075595E" w:rsidRDefault="00302BFE" w:rsidP="00243B15">
            <w:pPr>
              <w:rPr>
                <w:rFonts w:eastAsia="Calibri"/>
                <w:sz w:val="18"/>
                <w:szCs w:val="18"/>
                <w:lang w:val="fr-CA"/>
              </w:rPr>
            </w:pPr>
            <w:r w:rsidRPr="0075595E">
              <w:rPr>
                <w:rFonts w:eastAsia="Calibri"/>
                <w:sz w:val="18"/>
                <w:szCs w:val="18"/>
                <w:lang w:val="fr-CA"/>
              </w:rPr>
              <w:t>Village riverain du PNKT. Terroir ASP</w:t>
            </w:r>
          </w:p>
        </w:tc>
        <w:tc>
          <w:tcPr>
            <w:tcW w:w="2682" w:type="pct"/>
            <w:shd w:val="clear" w:color="auto" w:fill="auto"/>
          </w:tcPr>
          <w:p w14:paraId="0DFA2755" w14:textId="77777777" w:rsidR="00302BFE" w:rsidRPr="0075595E" w:rsidRDefault="00302BFE" w:rsidP="00243B15">
            <w:pPr>
              <w:rPr>
                <w:rFonts w:eastAsia="Calibri"/>
                <w:sz w:val="18"/>
                <w:szCs w:val="18"/>
                <w:lang w:val="fr-CA"/>
              </w:rPr>
            </w:pPr>
            <w:r w:rsidRPr="0075595E">
              <w:rPr>
                <w:rFonts w:eastAsia="Calibri"/>
                <w:sz w:val="18"/>
                <w:szCs w:val="18"/>
                <w:lang w:val="fr-CA"/>
              </w:rPr>
              <w:t xml:space="preserve">Village impliqué dans un CAF. </w:t>
            </w:r>
            <w:proofErr w:type="spellStart"/>
            <w:r w:rsidRPr="0075595E">
              <w:rPr>
                <w:rFonts w:eastAsia="Calibri"/>
                <w:sz w:val="18"/>
                <w:szCs w:val="18"/>
                <w:lang w:val="fr-CA"/>
              </w:rPr>
              <w:t>Kougrissincé</w:t>
            </w:r>
            <w:proofErr w:type="spellEnd"/>
            <w:r w:rsidRPr="0075595E">
              <w:rPr>
                <w:rFonts w:eastAsia="Calibri"/>
                <w:sz w:val="18"/>
                <w:szCs w:val="18"/>
                <w:lang w:val="fr-CA"/>
              </w:rPr>
              <w:t xml:space="preserve"> jouxte un CAF dont la gestion est opérée depuis la province Sissili située dans la région voisine du Centre-Ouest. Le CAF étant situé dans la commune de Nobéré n’est donc qu’une zone de coupe dont le suivi et la gestion durable ne sont pas assurés.</w:t>
            </w:r>
          </w:p>
        </w:tc>
      </w:tr>
    </w:tbl>
    <w:bookmarkEnd w:id="113"/>
    <w:bookmarkEnd w:id="114"/>
    <w:p w14:paraId="7B6DE0C1" w14:textId="77777777" w:rsidR="00302BFE" w:rsidRDefault="00302BFE" w:rsidP="00302BFE">
      <w:pPr>
        <w:pStyle w:val="Lgende"/>
        <w:spacing w:before="240" w:after="60"/>
        <w:jc w:val="center"/>
        <w:rPr>
          <w:rFonts w:ascii="Calibri" w:hAnsi="Calibri"/>
          <w:sz w:val="22"/>
          <w:szCs w:val="22"/>
          <w:lang w:val="fr-CA"/>
        </w:rPr>
      </w:pPr>
      <w:r>
        <w:rPr>
          <w:rFonts w:ascii="Calibri" w:hAnsi="Calibri"/>
          <w:sz w:val="22"/>
          <w:szCs w:val="22"/>
          <w:lang w:val="fr-CA"/>
        </w:rPr>
        <w:t>Figure</w:t>
      </w:r>
      <w:r w:rsidRPr="00B72D64">
        <w:rPr>
          <w:rFonts w:ascii="Calibri" w:hAnsi="Calibri"/>
          <w:sz w:val="22"/>
          <w:szCs w:val="22"/>
          <w:lang w:val="fr-CA"/>
        </w:rPr>
        <w:t xml:space="preserve"> </w:t>
      </w:r>
      <w:r w:rsidRPr="00091F0E">
        <w:rPr>
          <w:rFonts w:ascii="Calibri" w:hAnsi="Calibri"/>
          <w:sz w:val="22"/>
          <w:szCs w:val="22"/>
          <w:lang w:val="fr-CA"/>
        </w:rPr>
        <w:t>4</w:t>
      </w:r>
      <w:r w:rsidRPr="00B72D64">
        <w:rPr>
          <w:rFonts w:ascii="Calibri" w:hAnsi="Calibri"/>
          <w:sz w:val="22"/>
          <w:szCs w:val="22"/>
          <w:lang w:val="fr-CA"/>
        </w:rPr>
        <w:t xml:space="preserve"> : Sites pilotes identifiés dans le complexe PONASI pour la mise en œuvre des composantes 3 et 4 du projet </w:t>
      </w:r>
    </w:p>
    <w:p w14:paraId="415439CF" w14:textId="77777777" w:rsidR="00302BFE" w:rsidRPr="00C5724B" w:rsidRDefault="00302BFE" w:rsidP="00302BFE">
      <w:pPr>
        <w:rPr>
          <w:lang w:val="fr-CA"/>
        </w:rPr>
      </w:pPr>
      <w:r>
        <w:rPr>
          <w:noProof/>
        </w:rPr>
        <w:lastRenderedPageBreak/>
        <w:drawing>
          <wp:anchor distT="0" distB="0" distL="114300" distR="114300" simplePos="0" relativeHeight="251728896" behindDoc="0" locked="0" layoutInCell="1" allowOverlap="0" wp14:anchorId="111FF2C7" wp14:editId="11B16488">
            <wp:simplePos x="0" y="0"/>
            <wp:positionH relativeFrom="page">
              <wp:posOffset>1086485</wp:posOffset>
            </wp:positionH>
            <wp:positionV relativeFrom="paragraph">
              <wp:posOffset>85090</wp:posOffset>
            </wp:positionV>
            <wp:extent cx="5274310" cy="3729355"/>
            <wp:effectExtent l="0" t="0" r="2540" b="4445"/>
            <wp:wrapTopAndBottom/>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74310" cy="37293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3A910A" w14:textId="77777777" w:rsidR="00302BFE" w:rsidRPr="00B16682" w:rsidRDefault="00302BFE" w:rsidP="00302BFE">
      <w:pPr>
        <w:pStyle w:val="Titre2"/>
        <w:ind w:left="0"/>
        <w:rPr>
          <w:rFonts w:ascii="Calibri" w:hAnsi="Calibri"/>
          <w:szCs w:val="22"/>
        </w:rPr>
      </w:pPr>
      <w:r w:rsidRPr="00AB47BD">
        <w:rPr>
          <w:b w:val="0"/>
        </w:rPr>
        <w:br w:type="page"/>
      </w:r>
      <w:bookmarkStart w:id="115" w:name="_Toc9961810"/>
      <w:r w:rsidRPr="00B16682">
        <w:rPr>
          <w:rFonts w:ascii="Calibri" w:hAnsi="Calibri"/>
          <w:szCs w:val="22"/>
        </w:rPr>
        <w:lastRenderedPageBreak/>
        <w:t xml:space="preserve">Annex </w:t>
      </w:r>
      <w:r>
        <w:rPr>
          <w:rFonts w:ascii="Calibri" w:hAnsi="Calibri"/>
          <w:szCs w:val="22"/>
        </w:rPr>
        <w:t>J</w:t>
      </w:r>
      <w:r w:rsidRPr="00B16682">
        <w:rPr>
          <w:rFonts w:ascii="Calibri" w:hAnsi="Calibri"/>
          <w:szCs w:val="22"/>
        </w:rPr>
        <w:t>. Overview of the Protected Area system in Burkina Faso</w:t>
      </w:r>
      <w:bookmarkEnd w:id="115"/>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38"/>
        <w:gridCol w:w="418"/>
        <w:gridCol w:w="1658"/>
        <w:gridCol w:w="1245"/>
        <w:gridCol w:w="2317"/>
        <w:gridCol w:w="939"/>
        <w:gridCol w:w="1858"/>
      </w:tblGrid>
      <w:tr w:rsidR="00302BFE" w:rsidRPr="00412826" w14:paraId="64C78113" w14:textId="77777777" w:rsidTr="00243B15">
        <w:trPr>
          <w:tblHeader/>
          <w:jc w:val="center"/>
        </w:trPr>
        <w:tc>
          <w:tcPr>
            <w:tcW w:w="2117"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7CDB1A79" w14:textId="77777777" w:rsidR="00302BFE" w:rsidRPr="00412826" w:rsidRDefault="00302BFE" w:rsidP="00243B15">
            <w:pPr>
              <w:spacing w:after="0"/>
              <w:ind w:left="30" w:right="30"/>
              <w:jc w:val="center"/>
              <w:rPr>
                <w:b/>
                <w:bCs/>
                <w:sz w:val="18"/>
                <w:szCs w:val="18"/>
                <w:lang w:val="fr-FR"/>
              </w:rPr>
            </w:pPr>
            <w:r>
              <w:rPr>
                <w:b/>
                <w:bCs/>
                <w:sz w:val="18"/>
                <w:szCs w:val="18"/>
                <w:lang w:val="fr-FR"/>
              </w:rPr>
              <w:t xml:space="preserve">National PA </w:t>
            </w:r>
            <w:proofErr w:type="spellStart"/>
            <w:r>
              <w:rPr>
                <w:b/>
                <w:bCs/>
                <w:sz w:val="18"/>
                <w:szCs w:val="18"/>
                <w:lang w:val="fr-FR"/>
              </w:rPr>
              <w:t>c</w:t>
            </w:r>
            <w:r w:rsidRPr="00DC05C9">
              <w:rPr>
                <w:b/>
                <w:bCs/>
                <w:sz w:val="18"/>
                <w:szCs w:val="18"/>
                <w:lang w:val="fr-FR"/>
              </w:rPr>
              <w:t>ategory</w:t>
            </w:r>
            <w:proofErr w:type="spellEnd"/>
          </w:p>
        </w:tc>
        <w:tc>
          <w:tcPr>
            <w:tcW w:w="37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7C939F18" w14:textId="77777777" w:rsidR="00302BFE" w:rsidRPr="00412826" w:rsidRDefault="00302BFE" w:rsidP="00243B15">
            <w:pPr>
              <w:spacing w:after="0"/>
              <w:ind w:left="30" w:right="30"/>
              <w:jc w:val="center"/>
              <w:rPr>
                <w:b/>
                <w:bCs/>
                <w:sz w:val="18"/>
                <w:szCs w:val="18"/>
                <w:lang w:val="fr-FR"/>
              </w:rPr>
            </w:pPr>
            <w:r w:rsidRPr="00412826">
              <w:rPr>
                <w:b/>
                <w:bCs/>
                <w:sz w:val="18"/>
                <w:szCs w:val="18"/>
                <w:lang w:val="fr-FR"/>
              </w:rPr>
              <w:t>No</w:t>
            </w:r>
          </w:p>
        </w:tc>
        <w:tc>
          <w:tcPr>
            <w:tcW w:w="1501" w:type="dxa"/>
            <w:tcBorders>
              <w:top w:val="single" w:sz="4" w:space="0" w:color="auto"/>
              <w:left w:val="single" w:sz="4" w:space="0" w:color="auto"/>
              <w:bottom w:val="single" w:sz="4" w:space="0" w:color="auto"/>
              <w:right w:val="single" w:sz="4" w:space="0" w:color="auto"/>
            </w:tcBorders>
            <w:shd w:val="clear" w:color="auto" w:fill="FFF2CC"/>
            <w:vAlign w:val="center"/>
          </w:tcPr>
          <w:p w14:paraId="464B67C2" w14:textId="77777777" w:rsidR="00302BFE" w:rsidRPr="00412826" w:rsidRDefault="00302BFE" w:rsidP="00243B15">
            <w:pPr>
              <w:spacing w:after="0"/>
              <w:ind w:left="30" w:right="30"/>
              <w:jc w:val="center"/>
              <w:rPr>
                <w:b/>
                <w:bCs/>
                <w:sz w:val="18"/>
                <w:szCs w:val="18"/>
                <w:lang w:val="fr-FR"/>
              </w:rPr>
            </w:pPr>
            <w:proofErr w:type="spellStart"/>
            <w:r>
              <w:rPr>
                <w:b/>
                <w:bCs/>
                <w:sz w:val="18"/>
                <w:szCs w:val="18"/>
                <w:lang w:val="fr-FR"/>
              </w:rPr>
              <w:t>Protected</w:t>
            </w:r>
            <w:proofErr w:type="spellEnd"/>
            <w:r>
              <w:rPr>
                <w:b/>
                <w:bCs/>
                <w:sz w:val="18"/>
                <w:szCs w:val="18"/>
                <w:lang w:val="fr-FR"/>
              </w:rPr>
              <w:t xml:space="preserve"> Area</w:t>
            </w:r>
          </w:p>
        </w:tc>
        <w:tc>
          <w:tcPr>
            <w:tcW w:w="1127" w:type="dxa"/>
            <w:tcBorders>
              <w:top w:val="single" w:sz="4" w:space="0" w:color="auto"/>
              <w:left w:val="single" w:sz="4" w:space="0" w:color="auto"/>
              <w:bottom w:val="single" w:sz="4" w:space="0" w:color="auto"/>
              <w:right w:val="single" w:sz="4" w:space="0" w:color="auto"/>
            </w:tcBorders>
            <w:shd w:val="clear" w:color="auto" w:fill="FFF2CC"/>
            <w:vAlign w:val="center"/>
          </w:tcPr>
          <w:p w14:paraId="55D86A0C" w14:textId="77777777" w:rsidR="00302BFE" w:rsidRPr="00412826" w:rsidRDefault="00302BFE" w:rsidP="00243B15">
            <w:pPr>
              <w:spacing w:after="0"/>
              <w:ind w:left="30" w:right="30"/>
              <w:jc w:val="center"/>
              <w:rPr>
                <w:b/>
                <w:bCs/>
                <w:sz w:val="18"/>
                <w:szCs w:val="18"/>
                <w:lang w:val="fr-FR"/>
              </w:rPr>
            </w:pPr>
            <w:proofErr w:type="spellStart"/>
            <w:r w:rsidRPr="00DC05C9">
              <w:rPr>
                <w:b/>
                <w:bCs/>
                <w:sz w:val="18"/>
                <w:szCs w:val="18"/>
                <w:lang w:val="fr-FR"/>
              </w:rPr>
              <w:t>Creation</w:t>
            </w:r>
            <w:proofErr w:type="spellEnd"/>
            <w:r w:rsidRPr="00DC05C9">
              <w:rPr>
                <w:b/>
                <w:bCs/>
                <w:sz w:val="18"/>
                <w:szCs w:val="18"/>
                <w:lang w:val="fr-FR"/>
              </w:rPr>
              <w:t xml:space="preserve"> date</w:t>
            </w:r>
          </w:p>
        </w:tc>
        <w:tc>
          <w:tcPr>
            <w:tcW w:w="2097"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6A692FC4" w14:textId="77777777" w:rsidR="00302BFE" w:rsidRPr="00412826" w:rsidRDefault="00302BFE" w:rsidP="00243B15">
            <w:pPr>
              <w:spacing w:after="0"/>
              <w:ind w:left="30" w:right="30"/>
              <w:jc w:val="center"/>
              <w:rPr>
                <w:b/>
                <w:bCs/>
                <w:sz w:val="18"/>
                <w:szCs w:val="18"/>
                <w:lang w:val="fr-FR"/>
              </w:rPr>
            </w:pPr>
            <w:r>
              <w:rPr>
                <w:b/>
                <w:bCs/>
                <w:sz w:val="18"/>
                <w:szCs w:val="18"/>
                <w:lang w:val="fr-FR"/>
              </w:rPr>
              <w:t>Area</w:t>
            </w:r>
            <w:r w:rsidRPr="00412826">
              <w:rPr>
                <w:b/>
                <w:bCs/>
                <w:sz w:val="18"/>
                <w:szCs w:val="18"/>
                <w:lang w:val="fr-FR"/>
              </w:rPr>
              <w:t xml:space="preserve"> (ha)</w:t>
            </w:r>
          </w:p>
        </w:tc>
        <w:tc>
          <w:tcPr>
            <w:tcW w:w="850"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605A5123" w14:textId="77777777" w:rsidR="00302BFE" w:rsidRPr="00412826" w:rsidRDefault="00302BFE" w:rsidP="00243B15">
            <w:pPr>
              <w:spacing w:after="0"/>
              <w:ind w:left="30" w:right="30"/>
              <w:jc w:val="center"/>
              <w:rPr>
                <w:b/>
                <w:bCs/>
                <w:sz w:val="18"/>
                <w:szCs w:val="18"/>
                <w:lang w:val="fr-FR"/>
              </w:rPr>
            </w:pPr>
            <w:r w:rsidRPr="00412826">
              <w:rPr>
                <w:b/>
                <w:bCs/>
                <w:sz w:val="18"/>
                <w:szCs w:val="18"/>
                <w:lang w:val="fr-FR"/>
              </w:rPr>
              <w:t>I</w:t>
            </w:r>
            <w:r>
              <w:rPr>
                <w:b/>
                <w:bCs/>
                <w:sz w:val="18"/>
                <w:szCs w:val="18"/>
                <w:lang w:val="fr-FR"/>
              </w:rPr>
              <w:t>U</w:t>
            </w:r>
            <w:r w:rsidRPr="00412826">
              <w:rPr>
                <w:b/>
                <w:bCs/>
                <w:sz w:val="18"/>
                <w:szCs w:val="18"/>
                <w:lang w:val="fr-FR"/>
              </w:rPr>
              <w:t>CN Cat.</w:t>
            </w:r>
          </w:p>
        </w:tc>
        <w:tc>
          <w:tcPr>
            <w:tcW w:w="1682"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03E78AE1" w14:textId="77777777" w:rsidR="00302BFE" w:rsidRPr="00412826" w:rsidRDefault="00302BFE" w:rsidP="00243B15">
            <w:pPr>
              <w:spacing w:after="0"/>
              <w:ind w:left="30" w:right="30"/>
              <w:jc w:val="center"/>
              <w:rPr>
                <w:b/>
                <w:bCs/>
                <w:sz w:val="18"/>
                <w:szCs w:val="18"/>
                <w:lang w:val="fr-FR"/>
              </w:rPr>
            </w:pPr>
            <w:r>
              <w:rPr>
                <w:b/>
                <w:bCs/>
                <w:sz w:val="18"/>
                <w:szCs w:val="18"/>
                <w:lang w:val="fr-FR"/>
              </w:rPr>
              <w:t xml:space="preserve">Management </w:t>
            </w:r>
            <w:proofErr w:type="spellStart"/>
            <w:r>
              <w:rPr>
                <w:b/>
                <w:bCs/>
                <w:sz w:val="18"/>
                <w:szCs w:val="18"/>
                <w:lang w:val="fr-FR"/>
              </w:rPr>
              <w:t>a</w:t>
            </w:r>
            <w:r w:rsidRPr="00412826">
              <w:rPr>
                <w:b/>
                <w:bCs/>
                <w:sz w:val="18"/>
                <w:szCs w:val="18"/>
                <w:lang w:val="fr-FR"/>
              </w:rPr>
              <w:t>ut</w:t>
            </w:r>
            <w:r>
              <w:rPr>
                <w:b/>
                <w:bCs/>
                <w:sz w:val="18"/>
                <w:szCs w:val="18"/>
                <w:lang w:val="fr-FR"/>
              </w:rPr>
              <w:t>h</w:t>
            </w:r>
            <w:r w:rsidRPr="00412826">
              <w:rPr>
                <w:b/>
                <w:bCs/>
                <w:sz w:val="18"/>
                <w:szCs w:val="18"/>
                <w:lang w:val="fr-FR"/>
              </w:rPr>
              <w:t>orit</w:t>
            </w:r>
            <w:r>
              <w:rPr>
                <w:b/>
                <w:bCs/>
                <w:sz w:val="18"/>
                <w:szCs w:val="18"/>
                <w:lang w:val="fr-FR"/>
              </w:rPr>
              <w:t>y</w:t>
            </w:r>
            <w:proofErr w:type="spellEnd"/>
          </w:p>
        </w:tc>
      </w:tr>
      <w:tr w:rsidR="00302BFE" w:rsidRPr="00AB47BD" w14:paraId="12483F82" w14:textId="77777777" w:rsidTr="00243B15">
        <w:trPr>
          <w:jc w:val="center"/>
        </w:trPr>
        <w:tc>
          <w:tcPr>
            <w:tcW w:w="2117" w:type="dxa"/>
            <w:vMerge w:val="restart"/>
            <w:tcBorders>
              <w:top w:val="single" w:sz="4" w:space="0" w:color="auto"/>
              <w:left w:val="single" w:sz="4" w:space="0" w:color="auto"/>
              <w:right w:val="single" w:sz="4" w:space="0" w:color="auto"/>
            </w:tcBorders>
            <w:vAlign w:val="center"/>
            <w:hideMark/>
          </w:tcPr>
          <w:p w14:paraId="54AF9D9A" w14:textId="77777777" w:rsidR="00302BFE" w:rsidRPr="00412826" w:rsidRDefault="00302BFE" w:rsidP="00243B15">
            <w:pPr>
              <w:spacing w:after="0"/>
              <w:ind w:left="30" w:right="30"/>
              <w:rPr>
                <w:sz w:val="18"/>
                <w:szCs w:val="18"/>
                <w:lang w:val="fr-FR"/>
              </w:rPr>
            </w:pPr>
            <w:r w:rsidRPr="00DC05C9">
              <w:rPr>
                <w:sz w:val="18"/>
                <w:szCs w:val="18"/>
                <w:lang w:val="fr-FR"/>
              </w:rPr>
              <w:t xml:space="preserve">National Parks (no </w:t>
            </w:r>
            <w:proofErr w:type="spellStart"/>
            <w:r w:rsidRPr="00DC05C9">
              <w:rPr>
                <w:sz w:val="18"/>
                <w:szCs w:val="18"/>
                <w:lang w:val="fr-FR"/>
              </w:rPr>
              <w:t>hunting</w:t>
            </w:r>
            <w:proofErr w:type="spellEnd"/>
            <w:r w:rsidRPr="00DC05C9">
              <w:rPr>
                <w:sz w:val="18"/>
                <w:szCs w:val="18"/>
                <w:lang w:val="fr-FR"/>
              </w:rPr>
              <w:t>)</w:t>
            </w:r>
          </w:p>
        </w:tc>
        <w:tc>
          <w:tcPr>
            <w:tcW w:w="378" w:type="dxa"/>
            <w:vMerge w:val="restart"/>
            <w:tcBorders>
              <w:top w:val="single" w:sz="4" w:space="0" w:color="auto"/>
              <w:left w:val="single" w:sz="4" w:space="0" w:color="auto"/>
              <w:right w:val="single" w:sz="4" w:space="0" w:color="auto"/>
            </w:tcBorders>
            <w:vAlign w:val="center"/>
            <w:hideMark/>
          </w:tcPr>
          <w:p w14:paraId="703E05C4" w14:textId="77777777" w:rsidR="00302BFE" w:rsidRPr="00412826" w:rsidRDefault="00302BFE" w:rsidP="00243B15">
            <w:pPr>
              <w:spacing w:after="0"/>
              <w:ind w:left="30" w:right="30"/>
              <w:jc w:val="center"/>
              <w:rPr>
                <w:sz w:val="18"/>
                <w:szCs w:val="18"/>
                <w:lang w:val="fr-FR"/>
              </w:rPr>
            </w:pPr>
            <w:r w:rsidRPr="00412826">
              <w:rPr>
                <w:sz w:val="18"/>
                <w:szCs w:val="18"/>
                <w:lang w:val="fr-FR"/>
              </w:rPr>
              <w:t>2</w:t>
            </w:r>
          </w:p>
        </w:tc>
        <w:tc>
          <w:tcPr>
            <w:tcW w:w="1501" w:type="dxa"/>
            <w:tcBorders>
              <w:top w:val="single" w:sz="4" w:space="0" w:color="auto"/>
              <w:left w:val="single" w:sz="4" w:space="0" w:color="auto"/>
              <w:bottom w:val="single" w:sz="4" w:space="0" w:color="auto"/>
              <w:right w:val="single" w:sz="4" w:space="0" w:color="auto"/>
            </w:tcBorders>
            <w:vAlign w:val="center"/>
          </w:tcPr>
          <w:p w14:paraId="167034D4" w14:textId="77777777" w:rsidR="00302BFE" w:rsidRPr="00412826" w:rsidRDefault="00302BFE" w:rsidP="00243B15">
            <w:pPr>
              <w:spacing w:after="0"/>
              <w:ind w:left="30" w:right="30"/>
              <w:jc w:val="center"/>
              <w:rPr>
                <w:sz w:val="18"/>
                <w:szCs w:val="18"/>
                <w:lang w:val="fr-FR"/>
              </w:rPr>
            </w:pPr>
            <w:r w:rsidRPr="00412826">
              <w:rPr>
                <w:sz w:val="18"/>
                <w:szCs w:val="18"/>
                <w:lang w:val="fr-FR"/>
              </w:rPr>
              <w:t>W</w:t>
            </w:r>
          </w:p>
        </w:tc>
        <w:tc>
          <w:tcPr>
            <w:tcW w:w="1127" w:type="dxa"/>
            <w:tcBorders>
              <w:top w:val="single" w:sz="4" w:space="0" w:color="auto"/>
              <w:left w:val="single" w:sz="4" w:space="0" w:color="auto"/>
              <w:bottom w:val="single" w:sz="4" w:space="0" w:color="auto"/>
              <w:right w:val="single" w:sz="4" w:space="0" w:color="auto"/>
            </w:tcBorders>
            <w:vAlign w:val="center"/>
          </w:tcPr>
          <w:p w14:paraId="69A76FF8" w14:textId="77777777" w:rsidR="00302BFE" w:rsidRPr="00412826" w:rsidRDefault="00302BFE" w:rsidP="00243B15">
            <w:pPr>
              <w:spacing w:after="0"/>
              <w:ind w:left="30" w:right="30"/>
              <w:jc w:val="center"/>
              <w:rPr>
                <w:sz w:val="18"/>
                <w:szCs w:val="18"/>
                <w:lang w:val="fr-FR"/>
              </w:rPr>
            </w:pPr>
            <w:r w:rsidRPr="00412826">
              <w:rPr>
                <w:sz w:val="18"/>
                <w:szCs w:val="18"/>
                <w:lang w:val="fr-FR"/>
              </w:rPr>
              <w:t>1954</w:t>
            </w:r>
          </w:p>
        </w:tc>
        <w:tc>
          <w:tcPr>
            <w:tcW w:w="2097" w:type="dxa"/>
            <w:tcBorders>
              <w:top w:val="single" w:sz="4" w:space="0" w:color="auto"/>
              <w:left w:val="single" w:sz="4" w:space="0" w:color="auto"/>
              <w:bottom w:val="single" w:sz="4" w:space="0" w:color="auto"/>
              <w:right w:val="single" w:sz="4" w:space="0" w:color="auto"/>
            </w:tcBorders>
            <w:vAlign w:val="center"/>
            <w:hideMark/>
          </w:tcPr>
          <w:p w14:paraId="577F7DD2" w14:textId="77777777" w:rsidR="00302BFE" w:rsidRPr="00412826" w:rsidRDefault="00302BFE" w:rsidP="00243B15">
            <w:pPr>
              <w:spacing w:after="0"/>
              <w:ind w:left="30" w:right="30"/>
              <w:jc w:val="center"/>
              <w:rPr>
                <w:sz w:val="18"/>
                <w:szCs w:val="18"/>
                <w:lang w:val="fr-FR"/>
              </w:rPr>
            </w:pPr>
            <w:r w:rsidRPr="00412826">
              <w:rPr>
                <w:sz w:val="18"/>
                <w:szCs w:val="18"/>
                <w:lang w:val="fr-FR"/>
              </w:rPr>
              <w:t>235</w:t>
            </w:r>
            <w:r>
              <w:rPr>
                <w:sz w:val="18"/>
                <w:szCs w:val="18"/>
                <w:lang w:val="fr-FR"/>
              </w:rPr>
              <w:t>,</w:t>
            </w:r>
            <w:r w:rsidRPr="00412826">
              <w:rPr>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510ABD60" w14:textId="77777777" w:rsidR="00302BFE" w:rsidRPr="00412826" w:rsidRDefault="00302BFE" w:rsidP="00243B15">
            <w:pPr>
              <w:spacing w:after="0"/>
              <w:ind w:left="30" w:right="30"/>
              <w:jc w:val="center"/>
              <w:rPr>
                <w:sz w:val="18"/>
                <w:szCs w:val="18"/>
                <w:lang w:val="fr-FR"/>
              </w:rPr>
            </w:pPr>
            <w:r w:rsidRPr="00412826">
              <w:rPr>
                <w:sz w:val="18"/>
                <w:szCs w:val="18"/>
                <w:lang w:val="fr-FR"/>
              </w:rPr>
              <w:t>II</w:t>
            </w:r>
          </w:p>
        </w:tc>
        <w:tc>
          <w:tcPr>
            <w:tcW w:w="1682" w:type="dxa"/>
            <w:vMerge w:val="restart"/>
            <w:tcBorders>
              <w:top w:val="single" w:sz="4" w:space="0" w:color="auto"/>
              <w:left w:val="single" w:sz="4" w:space="0" w:color="auto"/>
              <w:right w:val="single" w:sz="4" w:space="0" w:color="auto"/>
            </w:tcBorders>
            <w:vAlign w:val="center"/>
            <w:hideMark/>
          </w:tcPr>
          <w:p w14:paraId="240FEEC8" w14:textId="0AA60D2E" w:rsidR="00302BFE" w:rsidRPr="00AB47BD" w:rsidRDefault="00806DBD" w:rsidP="00243B15">
            <w:pPr>
              <w:spacing w:after="0"/>
              <w:ind w:left="30" w:right="30"/>
              <w:jc w:val="left"/>
              <w:rPr>
                <w:sz w:val="18"/>
                <w:szCs w:val="18"/>
                <w:lang w:val="fr-FR"/>
              </w:rPr>
            </w:pPr>
            <w:proofErr w:type="spellStart"/>
            <w:r w:rsidRPr="00AB47BD">
              <w:rPr>
                <w:sz w:val="18"/>
                <w:szCs w:val="18"/>
                <w:lang w:val="fr-FR"/>
              </w:rPr>
              <w:t>Ministere</w:t>
            </w:r>
            <w:proofErr w:type="spellEnd"/>
            <w:r w:rsidRPr="00AB47BD">
              <w:rPr>
                <w:sz w:val="18"/>
                <w:szCs w:val="18"/>
                <w:lang w:val="fr-FR"/>
              </w:rPr>
              <w:t xml:space="preserve"> de l’environnement, de l’eau et de </w:t>
            </w:r>
            <w:proofErr w:type="spellStart"/>
            <w:r w:rsidRPr="00AB47BD">
              <w:rPr>
                <w:sz w:val="18"/>
                <w:szCs w:val="18"/>
                <w:lang w:val="fr-FR"/>
              </w:rPr>
              <w:t>l”Assainissement</w:t>
            </w:r>
            <w:proofErr w:type="spellEnd"/>
            <w:r w:rsidR="00302BFE" w:rsidRPr="00AB47BD">
              <w:rPr>
                <w:sz w:val="18"/>
                <w:szCs w:val="18"/>
                <w:lang w:val="fr-FR"/>
              </w:rPr>
              <w:t xml:space="preserve">, </w:t>
            </w:r>
            <w:proofErr w:type="spellStart"/>
            <w:r w:rsidR="00302BFE" w:rsidRPr="00AB47BD">
              <w:rPr>
                <w:sz w:val="18"/>
                <w:szCs w:val="18"/>
                <w:lang w:val="fr-FR"/>
              </w:rPr>
              <w:t>Directorate</w:t>
            </w:r>
            <w:proofErr w:type="spellEnd"/>
            <w:r w:rsidR="00302BFE" w:rsidRPr="00AB47BD">
              <w:rPr>
                <w:sz w:val="18"/>
                <w:szCs w:val="18"/>
                <w:lang w:val="fr-FR"/>
              </w:rPr>
              <w:t xml:space="preserve"> General of Water and </w:t>
            </w:r>
            <w:proofErr w:type="spellStart"/>
            <w:r w:rsidR="00302BFE" w:rsidRPr="00AB47BD">
              <w:rPr>
                <w:sz w:val="18"/>
                <w:szCs w:val="18"/>
                <w:lang w:val="fr-FR"/>
              </w:rPr>
              <w:t>Forests</w:t>
            </w:r>
            <w:proofErr w:type="spellEnd"/>
            <w:r w:rsidR="00302BFE" w:rsidRPr="00AB47BD">
              <w:rPr>
                <w:sz w:val="18"/>
                <w:szCs w:val="18"/>
                <w:lang w:val="fr-FR"/>
              </w:rPr>
              <w:t xml:space="preserve"> (DGEF) and National Office of </w:t>
            </w:r>
            <w:proofErr w:type="spellStart"/>
            <w:r w:rsidR="00302BFE" w:rsidRPr="00AB47BD">
              <w:rPr>
                <w:sz w:val="18"/>
                <w:szCs w:val="18"/>
                <w:lang w:val="fr-FR"/>
              </w:rPr>
              <w:t>Protected</w:t>
            </w:r>
            <w:proofErr w:type="spellEnd"/>
            <w:r w:rsidR="00302BFE" w:rsidRPr="00AB47BD">
              <w:rPr>
                <w:sz w:val="18"/>
                <w:szCs w:val="18"/>
                <w:lang w:val="fr-FR"/>
              </w:rPr>
              <w:t xml:space="preserve"> Areas (OFINAP) **</w:t>
            </w:r>
          </w:p>
        </w:tc>
      </w:tr>
      <w:tr w:rsidR="00302BFE" w:rsidRPr="00412826" w14:paraId="634DE6D4" w14:textId="77777777" w:rsidTr="00243B15">
        <w:trPr>
          <w:jc w:val="center"/>
        </w:trPr>
        <w:tc>
          <w:tcPr>
            <w:tcW w:w="2117" w:type="dxa"/>
            <w:vMerge/>
            <w:tcBorders>
              <w:left w:val="single" w:sz="4" w:space="0" w:color="auto"/>
              <w:bottom w:val="single" w:sz="4" w:space="0" w:color="auto"/>
              <w:right w:val="single" w:sz="4" w:space="0" w:color="auto"/>
            </w:tcBorders>
            <w:vAlign w:val="center"/>
          </w:tcPr>
          <w:p w14:paraId="78B91153" w14:textId="77777777" w:rsidR="00302BFE" w:rsidRPr="00AB47BD" w:rsidRDefault="00302BFE" w:rsidP="00243B15">
            <w:pPr>
              <w:spacing w:after="0"/>
              <w:ind w:left="30" w:right="30"/>
              <w:rPr>
                <w:sz w:val="18"/>
                <w:szCs w:val="18"/>
                <w:lang w:val="fr-FR"/>
              </w:rPr>
            </w:pPr>
          </w:p>
        </w:tc>
        <w:tc>
          <w:tcPr>
            <w:tcW w:w="378" w:type="dxa"/>
            <w:vMerge/>
            <w:tcBorders>
              <w:left w:val="single" w:sz="4" w:space="0" w:color="auto"/>
              <w:bottom w:val="single" w:sz="4" w:space="0" w:color="auto"/>
              <w:right w:val="single" w:sz="4" w:space="0" w:color="auto"/>
            </w:tcBorders>
            <w:vAlign w:val="center"/>
          </w:tcPr>
          <w:p w14:paraId="6EDA98B5" w14:textId="77777777" w:rsidR="00302BFE" w:rsidRPr="00AB47BD"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532145D3" w14:textId="77777777" w:rsidR="00302BFE" w:rsidRPr="00412826" w:rsidRDefault="00302BFE" w:rsidP="00243B15">
            <w:pPr>
              <w:spacing w:after="0"/>
              <w:ind w:left="30" w:right="30"/>
              <w:jc w:val="center"/>
              <w:rPr>
                <w:sz w:val="18"/>
                <w:szCs w:val="18"/>
                <w:lang w:val="fr-FR"/>
              </w:rPr>
            </w:pPr>
            <w:r w:rsidRPr="00412826">
              <w:rPr>
                <w:sz w:val="18"/>
                <w:szCs w:val="18"/>
                <w:lang w:val="fr-FR"/>
              </w:rPr>
              <w:t>Kaboré-</w:t>
            </w:r>
            <w:proofErr w:type="spellStart"/>
            <w:r w:rsidRPr="00412826">
              <w:rPr>
                <w:sz w:val="18"/>
                <w:szCs w:val="18"/>
                <w:lang w:val="fr-FR"/>
              </w:rPr>
              <w:t>Tambi</w:t>
            </w:r>
            <w:proofErr w:type="spellEnd"/>
          </w:p>
        </w:tc>
        <w:tc>
          <w:tcPr>
            <w:tcW w:w="1127" w:type="dxa"/>
            <w:tcBorders>
              <w:top w:val="single" w:sz="4" w:space="0" w:color="auto"/>
              <w:left w:val="single" w:sz="4" w:space="0" w:color="auto"/>
              <w:bottom w:val="single" w:sz="4" w:space="0" w:color="auto"/>
              <w:right w:val="single" w:sz="4" w:space="0" w:color="auto"/>
            </w:tcBorders>
            <w:vAlign w:val="center"/>
          </w:tcPr>
          <w:p w14:paraId="3E80830C" w14:textId="77777777" w:rsidR="00302BFE" w:rsidRPr="00412826" w:rsidRDefault="00302BFE" w:rsidP="00243B15">
            <w:pPr>
              <w:spacing w:after="0"/>
              <w:ind w:left="30" w:right="30"/>
              <w:jc w:val="center"/>
              <w:rPr>
                <w:sz w:val="18"/>
                <w:szCs w:val="18"/>
                <w:lang w:val="fr-FR"/>
              </w:rPr>
            </w:pPr>
            <w:r w:rsidRPr="00412826">
              <w:rPr>
                <w:sz w:val="18"/>
                <w:szCs w:val="18"/>
                <w:lang w:val="fr-FR"/>
              </w:rPr>
              <w:t>1976</w:t>
            </w:r>
          </w:p>
        </w:tc>
        <w:tc>
          <w:tcPr>
            <w:tcW w:w="2097" w:type="dxa"/>
            <w:tcBorders>
              <w:top w:val="single" w:sz="4" w:space="0" w:color="auto"/>
              <w:left w:val="single" w:sz="4" w:space="0" w:color="auto"/>
              <w:bottom w:val="single" w:sz="4" w:space="0" w:color="auto"/>
              <w:right w:val="single" w:sz="4" w:space="0" w:color="auto"/>
            </w:tcBorders>
            <w:vAlign w:val="center"/>
          </w:tcPr>
          <w:p w14:paraId="63304391" w14:textId="77777777" w:rsidR="00302BFE" w:rsidRPr="00412826" w:rsidRDefault="00302BFE" w:rsidP="00243B15">
            <w:pPr>
              <w:spacing w:after="0"/>
              <w:ind w:left="30" w:right="30"/>
              <w:jc w:val="center"/>
              <w:rPr>
                <w:sz w:val="18"/>
                <w:szCs w:val="18"/>
                <w:lang w:val="fr-FR"/>
              </w:rPr>
            </w:pPr>
            <w:r w:rsidRPr="00412826">
              <w:rPr>
                <w:sz w:val="18"/>
                <w:szCs w:val="18"/>
                <w:lang w:val="fr-FR"/>
              </w:rPr>
              <w:t>169</w:t>
            </w:r>
            <w:r>
              <w:rPr>
                <w:sz w:val="18"/>
                <w:szCs w:val="18"/>
                <w:lang w:val="fr-FR"/>
              </w:rPr>
              <w:t>,</w:t>
            </w:r>
            <w:r w:rsidRPr="00412826">
              <w:rPr>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vAlign w:val="center"/>
          </w:tcPr>
          <w:p w14:paraId="4D9CF435" w14:textId="77777777" w:rsidR="00302BFE" w:rsidRPr="00412826" w:rsidRDefault="00302BFE" w:rsidP="00243B15">
            <w:pPr>
              <w:spacing w:after="0"/>
              <w:ind w:left="30" w:right="30"/>
              <w:jc w:val="center"/>
              <w:rPr>
                <w:sz w:val="18"/>
                <w:szCs w:val="18"/>
                <w:lang w:val="fr-FR"/>
              </w:rPr>
            </w:pPr>
            <w:r w:rsidRPr="00412826">
              <w:rPr>
                <w:sz w:val="18"/>
                <w:szCs w:val="18"/>
                <w:lang w:val="fr-FR"/>
              </w:rPr>
              <w:t>II</w:t>
            </w:r>
          </w:p>
        </w:tc>
        <w:tc>
          <w:tcPr>
            <w:tcW w:w="1682" w:type="dxa"/>
            <w:vMerge/>
            <w:tcBorders>
              <w:left w:val="single" w:sz="4" w:space="0" w:color="auto"/>
              <w:right w:val="single" w:sz="4" w:space="0" w:color="auto"/>
            </w:tcBorders>
            <w:vAlign w:val="center"/>
          </w:tcPr>
          <w:p w14:paraId="195169A0" w14:textId="77777777" w:rsidR="00302BFE" w:rsidRPr="00412826" w:rsidRDefault="00302BFE" w:rsidP="00243B15">
            <w:pPr>
              <w:spacing w:after="0"/>
              <w:ind w:left="30" w:right="30"/>
              <w:rPr>
                <w:sz w:val="18"/>
                <w:szCs w:val="18"/>
                <w:lang w:val="fr-FR"/>
              </w:rPr>
            </w:pPr>
          </w:p>
        </w:tc>
      </w:tr>
      <w:tr w:rsidR="00302BFE" w:rsidRPr="00412826" w14:paraId="1B3284B1" w14:textId="77777777" w:rsidTr="00243B15">
        <w:trPr>
          <w:jc w:val="center"/>
        </w:trPr>
        <w:tc>
          <w:tcPr>
            <w:tcW w:w="2117" w:type="dxa"/>
            <w:vMerge w:val="restart"/>
            <w:tcBorders>
              <w:top w:val="single" w:sz="4" w:space="0" w:color="auto"/>
              <w:left w:val="single" w:sz="4" w:space="0" w:color="auto"/>
              <w:right w:val="single" w:sz="4" w:space="0" w:color="auto"/>
            </w:tcBorders>
            <w:vAlign w:val="center"/>
            <w:hideMark/>
          </w:tcPr>
          <w:p w14:paraId="3E9D4CB3" w14:textId="77777777" w:rsidR="00302BFE" w:rsidRPr="00412826" w:rsidRDefault="00302BFE" w:rsidP="00243B15">
            <w:pPr>
              <w:spacing w:after="0"/>
              <w:ind w:left="30" w:right="30"/>
              <w:rPr>
                <w:sz w:val="18"/>
                <w:szCs w:val="18"/>
                <w:lang w:val="fr-FR"/>
              </w:rPr>
            </w:pPr>
            <w:proofErr w:type="spellStart"/>
            <w:r w:rsidRPr="00DC05C9">
              <w:rPr>
                <w:sz w:val="18"/>
                <w:szCs w:val="18"/>
                <w:lang w:val="fr-FR"/>
              </w:rPr>
              <w:t>Wildlife</w:t>
            </w:r>
            <w:proofErr w:type="spellEnd"/>
            <w:r w:rsidRPr="00DC05C9">
              <w:rPr>
                <w:sz w:val="18"/>
                <w:szCs w:val="18"/>
                <w:lang w:val="fr-FR"/>
              </w:rPr>
              <w:t xml:space="preserve"> </w:t>
            </w:r>
            <w:proofErr w:type="spellStart"/>
            <w:r w:rsidRPr="00DC05C9">
              <w:rPr>
                <w:sz w:val="18"/>
                <w:szCs w:val="18"/>
                <w:lang w:val="fr-FR"/>
              </w:rPr>
              <w:t>Reserves</w:t>
            </w:r>
            <w:proofErr w:type="spellEnd"/>
            <w:r w:rsidRPr="00DC05C9">
              <w:rPr>
                <w:sz w:val="18"/>
                <w:szCs w:val="18"/>
                <w:lang w:val="fr-FR"/>
              </w:rPr>
              <w:t xml:space="preserve"> (</w:t>
            </w:r>
            <w:proofErr w:type="spellStart"/>
            <w:r w:rsidRPr="00DC05C9">
              <w:rPr>
                <w:sz w:val="18"/>
                <w:szCs w:val="18"/>
                <w:lang w:val="fr-FR"/>
              </w:rPr>
              <w:t>prohibited</w:t>
            </w:r>
            <w:proofErr w:type="spellEnd"/>
            <w:r w:rsidRPr="00DC05C9">
              <w:rPr>
                <w:sz w:val="18"/>
                <w:szCs w:val="18"/>
                <w:lang w:val="fr-FR"/>
              </w:rPr>
              <w:t xml:space="preserve"> </w:t>
            </w:r>
            <w:proofErr w:type="spellStart"/>
            <w:r w:rsidRPr="00DC05C9">
              <w:rPr>
                <w:sz w:val="18"/>
                <w:szCs w:val="18"/>
                <w:lang w:val="fr-FR"/>
              </w:rPr>
              <w:t>hunting</w:t>
            </w:r>
            <w:proofErr w:type="spellEnd"/>
            <w:r w:rsidRPr="00DC05C9">
              <w:rPr>
                <w:sz w:val="18"/>
                <w:szCs w:val="18"/>
                <w:lang w:val="fr-FR"/>
              </w:rPr>
              <w:t>)</w:t>
            </w:r>
            <w:r w:rsidRPr="00412826">
              <w:rPr>
                <w:sz w:val="18"/>
                <w:szCs w:val="18"/>
                <w:lang w:val="fr-FR"/>
              </w:rPr>
              <w:t>)</w:t>
            </w:r>
          </w:p>
        </w:tc>
        <w:tc>
          <w:tcPr>
            <w:tcW w:w="378" w:type="dxa"/>
            <w:vMerge w:val="restart"/>
            <w:tcBorders>
              <w:top w:val="single" w:sz="4" w:space="0" w:color="auto"/>
              <w:left w:val="single" w:sz="4" w:space="0" w:color="auto"/>
              <w:right w:val="single" w:sz="4" w:space="0" w:color="auto"/>
            </w:tcBorders>
            <w:vAlign w:val="center"/>
            <w:hideMark/>
          </w:tcPr>
          <w:p w14:paraId="33944845" w14:textId="77777777" w:rsidR="00302BFE" w:rsidRPr="00412826" w:rsidRDefault="00302BFE" w:rsidP="00243B15">
            <w:pPr>
              <w:spacing w:after="0"/>
              <w:ind w:left="30" w:right="30"/>
              <w:jc w:val="center"/>
              <w:rPr>
                <w:sz w:val="18"/>
                <w:szCs w:val="18"/>
                <w:lang w:val="fr-FR"/>
              </w:rPr>
            </w:pPr>
            <w:r w:rsidRPr="00412826">
              <w:rPr>
                <w:sz w:val="18"/>
                <w:szCs w:val="18"/>
                <w:lang w:val="fr-FR"/>
              </w:rPr>
              <w:t>4</w:t>
            </w:r>
          </w:p>
        </w:tc>
        <w:tc>
          <w:tcPr>
            <w:tcW w:w="1501" w:type="dxa"/>
            <w:tcBorders>
              <w:top w:val="single" w:sz="4" w:space="0" w:color="auto"/>
              <w:left w:val="single" w:sz="4" w:space="0" w:color="auto"/>
              <w:bottom w:val="single" w:sz="4" w:space="0" w:color="auto"/>
              <w:right w:val="single" w:sz="4" w:space="0" w:color="auto"/>
            </w:tcBorders>
            <w:vAlign w:val="center"/>
          </w:tcPr>
          <w:p w14:paraId="5AA53F5B" w14:textId="77777777" w:rsidR="00302BFE" w:rsidRPr="00412826" w:rsidRDefault="00302BFE" w:rsidP="00243B15">
            <w:pPr>
              <w:spacing w:after="0"/>
              <w:ind w:left="30" w:right="30"/>
              <w:jc w:val="center"/>
              <w:rPr>
                <w:sz w:val="18"/>
                <w:szCs w:val="18"/>
                <w:lang w:val="fr-FR"/>
              </w:rPr>
            </w:pPr>
            <w:r w:rsidRPr="00412826">
              <w:rPr>
                <w:sz w:val="18"/>
                <w:szCs w:val="18"/>
                <w:lang w:val="fr-FR"/>
              </w:rPr>
              <w:t>Arly</w:t>
            </w:r>
          </w:p>
        </w:tc>
        <w:tc>
          <w:tcPr>
            <w:tcW w:w="1127" w:type="dxa"/>
            <w:tcBorders>
              <w:top w:val="single" w:sz="4" w:space="0" w:color="auto"/>
              <w:left w:val="single" w:sz="4" w:space="0" w:color="auto"/>
              <w:bottom w:val="single" w:sz="4" w:space="0" w:color="auto"/>
              <w:right w:val="single" w:sz="4" w:space="0" w:color="auto"/>
            </w:tcBorders>
            <w:vAlign w:val="center"/>
          </w:tcPr>
          <w:p w14:paraId="107C5A0E" w14:textId="77777777" w:rsidR="00302BFE" w:rsidRPr="00412826" w:rsidRDefault="00302BFE" w:rsidP="00243B15">
            <w:pPr>
              <w:spacing w:after="0"/>
              <w:ind w:left="30" w:right="30"/>
              <w:jc w:val="center"/>
              <w:rPr>
                <w:sz w:val="18"/>
                <w:szCs w:val="18"/>
                <w:lang w:val="fr-FR"/>
              </w:rPr>
            </w:pPr>
            <w:r w:rsidRPr="00412826">
              <w:rPr>
                <w:sz w:val="18"/>
                <w:szCs w:val="18"/>
                <w:lang w:val="fr-FR"/>
              </w:rPr>
              <w:t>1954</w:t>
            </w:r>
          </w:p>
        </w:tc>
        <w:tc>
          <w:tcPr>
            <w:tcW w:w="2097" w:type="dxa"/>
            <w:tcBorders>
              <w:top w:val="single" w:sz="4" w:space="0" w:color="auto"/>
              <w:left w:val="single" w:sz="4" w:space="0" w:color="auto"/>
              <w:bottom w:val="single" w:sz="4" w:space="0" w:color="auto"/>
              <w:right w:val="single" w:sz="4" w:space="0" w:color="auto"/>
            </w:tcBorders>
            <w:vAlign w:val="center"/>
            <w:hideMark/>
          </w:tcPr>
          <w:p w14:paraId="0D979651" w14:textId="77777777" w:rsidR="00302BFE" w:rsidRPr="00412826" w:rsidRDefault="00302BFE" w:rsidP="00243B15">
            <w:pPr>
              <w:spacing w:after="0"/>
              <w:ind w:left="30" w:right="30"/>
              <w:jc w:val="center"/>
              <w:rPr>
                <w:sz w:val="18"/>
                <w:szCs w:val="18"/>
                <w:lang w:val="fr-FR"/>
              </w:rPr>
            </w:pPr>
            <w:r w:rsidRPr="00412826">
              <w:rPr>
                <w:sz w:val="18"/>
                <w:szCs w:val="18"/>
                <w:lang w:val="fr-FR"/>
              </w:rPr>
              <w:t>76</w:t>
            </w:r>
            <w:r>
              <w:rPr>
                <w:sz w:val="18"/>
                <w:szCs w:val="18"/>
                <w:lang w:val="fr-FR"/>
              </w:rPr>
              <w:t>,</w:t>
            </w:r>
            <w:r w:rsidRPr="00412826">
              <w:rPr>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0B6E62FE" w14:textId="77777777" w:rsidR="00302BFE" w:rsidRPr="00412826" w:rsidRDefault="00302BFE" w:rsidP="00243B15">
            <w:pPr>
              <w:spacing w:after="0"/>
              <w:ind w:left="30" w:right="30"/>
              <w:jc w:val="center"/>
              <w:rPr>
                <w:sz w:val="18"/>
                <w:szCs w:val="18"/>
                <w:lang w:val="fr-FR"/>
              </w:rPr>
            </w:pPr>
            <w:r w:rsidRPr="00412826">
              <w:rPr>
                <w:sz w:val="18"/>
                <w:szCs w:val="18"/>
                <w:lang w:val="fr-FR"/>
              </w:rPr>
              <w:t>I</w:t>
            </w:r>
          </w:p>
        </w:tc>
        <w:tc>
          <w:tcPr>
            <w:tcW w:w="1682" w:type="dxa"/>
            <w:vMerge/>
            <w:tcBorders>
              <w:left w:val="single" w:sz="4" w:space="0" w:color="auto"/>
              <w:right w:val="single" w:sz="4" w:space="0" w:color="auto"/>
            </w:tcBorders>
            <w:vAlign w:val="center"/>
            <w:hideMark/>
          </w:tcPr>
          <w:p w14:paraId="24D85B47" w14:textId="77777777" w:rsidR="00302BFE" w:rsidRPr="00412826" w:rsidRDefault="00302BFE" w:rsidP="00243B15">
            <w:pPr>
              <w:spacing w:after="0"/>
              <w:rPr>
                <w:rFonts w:eastAsia="Times New Roman"/>
                <w:sz w:val="18"/>
                <w:szCs w:val="18"/>
                <w:lang w:val="fr-FR"/>
              </w:rPr>
            </w:pPr>
          </w:p>
        </w:tc>
      </w:tr>
      <w:tr w:rsidR="00302BFE" w:rsidRPr="00412826" w14:paraId="711EA282" w14:textId="77777777" w:rsidTr="00243B15">
        <w:trPr>
          <w:jc w:val="center"/>
        </w:trPr>
        <w:tc>
          <w:tcPr>
            <w:tcW w:w="2117" w:type="dxa"/>
            <w:vMerge/>
            <w:tcBorders>
              <w:left w:val="single" w:sz="4" w:space="0" w:color="auto"/>
              <w:right w:val="single" w:sz="4" w:space="0" w:color="auto"/>
            </w:tcBorders>
            <w:vAlign w:val="center"/>
          </w:tcPr>
          <w:p w14:paraId="7C19423B"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700EB9A8"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7FF55558" w14:textId="77777777" w:rsidR="00302BFE" w:rsidRPr="00412826" w:rsidRDefault="00302BFE" w:rsidP="00243B15">
            <w:pPr>
              <w:spacing w:after="0"/>
              <w:ind w:left="30" w:right="30"/>
              <w:jc w:val="center"/>
              <w:rPr>
                <w:sz w:val="18"/>
                <w:szCs w:val="18"/>
                <w:lang w:val="fr-FR"/>
              </w:rPr>
            </w:pPr>
            <w:proofErr w:type="spellStart"/>
            <w:r w:rsidRPr="00412826">
              <w:rPr>
                <w:sz w:val="18"/>
                <w:szCs w:val="18"/>
                <w:lang w:val="fr-FR"/>
              </w:rPr>
              <w:t>Singou</w:t>
            </w:r>
            <w:proofErr w:type="spellEnd"/>
          </w:p>
        </w:tc>
        <w:tc>
          <w:tcPr>
            <w:tcW w:w="1127" w:type="dxa"/>
            <w:tcBorders>
              <w:top w:val="single" w:sz="4" w:space="0" w:color="auto"/>
              <w:left w:val="single" w:sz="4" w:space="0" w:color="auto"/>
              <w:bottom w:val="single" w:sz="4" w:space="0" w:color="auto"/>
              <w:right w:val="single" w:sz="4" w:space="0" w:color="auto"/>
            </w:tcBorders>
            <w:vAlign w:val="center"/>
          </w:tcPr>
          <w:p w14:paraId="01D7FFCB" w14:textId="77777777" w:rsidR="00302BFE" w:rsidRPr="00412826" w:rsidRDefault="00302BFE" w:rsidP="00243B15">
            <w:pPr>
              <w:spacing w:after="0"/>
              <w:ind w:left="30" w:right="30"/>
              <w:jc w:val="center"/>
              <w:rPr>
                <w:sz w:val="18"/>
                <w:szCs w:val="18"/>
                <w:lang w:val="fr-FR"/>
              </w:rPr>
            </w:pPr>
            <w:r w:rsidRPr="00412826">
              <w:rPr>
                <w:sz w:val="18"/>
                <w:szCs w:val="18"/>
                <w:lang w:val="fr-FR"/>
              </w:rPr>
              <w:t>1955</w:t>
            </w:r>
          </w:p>
        </w:tc>
        <w:tc>
          <w:tcPr>
            <w:tcW w:w="2097" w:type="dxa"/>
            <w:tcBorders>
              <w:top w:val="single" w:sz="4" w:space="0" w:color="auto"/>
              <w:left w:val="single" w:sz="4" w:space="0" w:color="auto"/>
              <w:bottom w:val="single" w:sz="4" w:space="0" w:color="auto"/>
              <w:right w:val="single" w:sz="4" w:space="0" w:color="auto"/>
            </w:tcBorders>
            <w:vAlign w:val="center"/>
          </w:tcPr>
          <w:p w14:paraId="567CB4BC" w14:textId="77777777" w:rsidR="00302BFE" w:rsidRPr="00412826" w:rsidRDefault="00302BFE" w:rsidP="00243B15">
            <w:pPr>
              <w:spacing w:after="0"/>
              <w:ind w:left="30" w:right="30"/>
              <w:jc w:val="center"/>
              <w:rPr>
                <w:sz w:val="18"/>
                <w:szCs w:val="18"/>
                <w:lang w:val="fr-FR"/>
              </w:rPr>
            </w:pPr>
            <w:r w:rsidRPr="00412826">
              <w:rPr>
                <w:sz w:val="18"/>
                <w:szCs w:val="18"/>
                <w:lang w:val="fr-FR"/>
              </w:rPr>
              <w:t>192</w:t>
            </w:r>
            <w:r>
              <w:rPr>
                <w:sz w:val="18"/>
                <w:szCs w:val="18"/>
                <w:lang w:val="fr-FR"/>
              </w:rPr>
              <w:t>,</w:t>
            </w:r>
            <w:r w:rsidRPr="00412826">
              <w:rPr>
                <w:sz w:val="18"/>
                <w:szCs w:val="18"/>
                <w:lang w:val="fr-FR"/>
              </w:rPr>
              <w:t>600</w:t>
            </w:r>
          </w:p>
        </w:tc>
        <w:tc>
          <w:tcPr>
            <w:tcW w:w="850" w:type="dxa"/>
            <w:tcBorders>
              <w:top w:val="single" w:sz="4" w:space="0" w:color="auto"/>
              <w:left w:val="single" w:sz="4" w:space="0" w:color="auto"/>
              <w:bottom w:val="single" w:sz="4" w:space="0" w:color="auto"/>
              <w:right w:val="single" w:sz="4" w:space="0" w:color="auto"/>
            </w:tcBorders>
            <w:vAlign w:val="center"/>
          </w:tcPr>
          <w:p w14:paraId="092E6DAA" w14:textId="77777777" w:rsidR="00302BFE" w:rsidRPr="00412826" w:rsidRDefault="00302BFE" w:rsidP="00243B15">
            <w:pPr>
              <w:spacing w:after="0"/>
              <w:ind w:left="30" w:right="30"/>
              <w:jc w:val="center"/>
              <w:rPr>
                <w:sz w:val="18"/>
                <w:szCs w:val="18"/>
                <w:lang w:val="fr-FR"/>
              </w:rPr>
            </w:pPr>
            <w:r w:rsidRPr="00412826">
              <w:rPr>
                <w:sz w:val="18"/>
                <w:szCs w:val="18"/>
                <w:lang w:val="fr-FR"/>
              </w:rPr>
              <w:t>I</w:t>
            </w:r>
          </w:p>
        </w:tc>
        <w:tc>
          <w:tcPr>
            <w:tcW w:w="1682" w:type="dxa"/>
            <w:vMerge/>
            <w:tcBorders>
              <w:left w:val="single" w:sz="4" w:space="0" w:color="auto"/>
              <w:right w:val="single" w:sz="4" w:space="0" w:color="auto"/>
            </w:tcBorders>
            <w:vAlign w:val="center"/>
          </w:tcPr>
          <w:p w14:paraId="5531C34F" w14:textId="77777777" w:rsidR="00302BFE" w:rsidRPr="00412826" w:rsidRDefault="00302BFE" w:rsidP="00243B15">
            <w:pPr>
              <w:spacing w:after="0"/>
              <w:rPr>
                <w:rFonts w:eastAsia="Times New Roman"/>
                <w:sz w:val="18"/>
                <w:szCs w:val="18"/>
                <w:lang w:val="fr-FR"/>
              </w:rPr>
            </w:pPr>
          </w:p>
        </w:tc>
      </w:tr>
      <w:tr w:rsidR="00302BFE" w:rsidRPr="00412826" w14:paraId="626130BC" w14:textId="77777777" w:rsidTr="00243B15">
        <w:trPr>
          <w:jc w:val="center"/>
        </w:trPr>
        <w:tc>
          <w:tcPr>
            <w:tcW w:w="2117" w:type="dxa"/>
            <w:vMerge/>
            <w:tcBorders>
              <w:left w:val="single" w:sz="4" w:space="0" w:color="auto"/>
              <w:right w:val="single" w:sz="4" w:space="0" w:color="auto"/>
            </w:tcBorders>
            <w:vAlign w:val="center"/>
          </w:tcPr>
          <w:p w14:paraId="3F4D5C3F"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15D8C304"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37BE3A09" w14:textId="77777777" w:rsidR="00302BFE" w:rsidRPr="00412826" w:rsidRDefault="00302BFE" w:rsidP="00243B15">
            <w:pPr>
              <w:spacing w:after="0"/>
              <w:ind w:left="30" w:right="30"/>
              <w:jc w:val="center"/>
              <w:rPr>
                <w:sz w:val="18"/>
                <w:szCs w:val="18"/>
                <w:lang w:val="fr-FR"/>
              </w:rPr>
            </w:pPr>
            <w:proofErr w:type="spellStart"/>
            <w:r w:rsidRPr="00412826">
              <w:rPr>
                <w:sz w:val="18"/>
                <w:szCs w:val="18"/>
                <w:lang w:val="fr-FR"/>
              </w:rPr>
              <w:t>Bontioli</w:t>
            </w:r>
            <w:proofErr w:type="spellEnd"/>
          </w:p>
        </w:tc>
        <w:tc>
          <w:tcPr>
            <w:tcW w:w="1127" w:type="dxa"/>
            <w:tcBorders>
              <w:top w:val="single" w:sz="4" w:space="0" w:color="auto"/>
              <w:left w:val="single" w:sz="4" w:space="0" w:color="auto"/>
              <w:bottom w:val="single" w:sz="4" w:space="0" w:color="auto"/>
              <w:right w:val="single" w:sz="4" w:space="0" w:color="auto"/>
            </w:tcBorders>
            <w:vAlign w:val="center"/>
          </w:tcPr>
          <w:p w14:paraId="17C52CFC" w14:textId="77777777" w:rsidR="00302BFE" w:rsidRPr="00412826" w:rsidRDefault="00302BFE" w:rsidP="00243B15">
            <w:pPr>
              <w:spacing w:after="0"/>
              <w:ind w:left="30" w:right="30"/>
              <w:jc w:val="center"/>
              <w:rPr>
                <w:sz w:val="18"/>
                <w:szCs w:val="18"/>
                <w:lang w:val="fr-FR"/>
              </w:rPr>
            </w:pPr>
            <w:r w:rsidRPr="00412826">
              <w:rPr>
                <w:sz w:val="18"/>
                <w:szCs w:val="18"/>
                <w:lang w:val="fr-FR"/>
              </w:rPr>
              <w:t>1957</w:t>
            </w:r>
          </w:p>
        </w:tc>
        <w:tc>
          <w:tcPr>
            <w:tcW w:w="2097" w:type="dxa"/>
            <w:tcBorders>
              <w:top w:val="single" w:sz="4" w:space="0" w:color="auto"/>
              <w:left w:val="single" w:sz="4" w:space="0" w:color="auto"/>
              <w:bottom w:val="single" w:sz="4" w:space="0" w:color="auto"/>
              <w:right w:val="single" w:sz="4" w:space="0" w:color="auto"/>
            </w:tcBorders>
            <w:vAlign w:val="center"/>
          </w:tcPr>
          <w:p w14:paraId="025B7E7E" w14:textId="77777777" w:rsidR="00302BFE" w:rsidRPr="00412826" w:rsidRDefault="00302BFE" w:rsidP="00243B15">
            <w:pPr>
              <w:spacing w:after="0"/>
              <w:ind w:left="30" w:right="30"/>
              <w:jc w:val="center"/>
              <w:rPr>
                <w:sz w:val="18"/>
                <w:szCs w:val="18"/>
                <w:lang w:val="fr-FR"/>
              </w:rPr>
            </w:pPr>
            <w:r w:rsidRPr="00412826">
              <w:rPr>
                <w:sz w:val="18"/>
                <w:szCs w:val="18"/>
                <w:lang w:val="fr-FR"/>
              </w:rPr>
              <w:t>12</w:t>
            </w:r>
            <w:r>
              <w:rPr>
                <w:sz w:val="18"/>
                <w:szCs w:val="18"/>
                <w:lang w:val="fr-FR"/>
              </w:rPr>
              <w:t>,</w:t>
            </w:r>
            <w:r w:rsidRPr="00412826">
              <w:rPr>
                <w:sz w:val="18"/>
                <w:szCs w:val="18"/>
                <w:lang w:val="fr-FR"/>
              </w:rPr>
              <w:t>700</w:t>
            </w:r>
          </w:p>
        </w:tc>
        <w:tc>
          <w:tcPr>
            <w:tcW w:w="850" w:type="dxa"/>
            <w:tcBorders>
              <w:top w:val="single" w:sz="4" w:space="0" w:color="auto"/>
              <w:left w:val="single" w:sz="4" w:space="0" w:color="auto"/>
              <w:bottom w:val="single" w:sz="4" w:space="0" w:color="auto"/>
              <w:right w:val="single" w:sz="4" w:space="0" w:color="auto"/>
            </w:tcBorders>
            <w:vAlign w:val="center"/>
          </w:tcPr>
          <w:p w14:paraId="0B104B11" w14:textId="77777777" w:rsidR="00302BFE" w:rsidRPr="00412826" w:rsidRDefault="00302BFE" w:rsidP="00243B15">
            <w:pPr>
              <w:spacing w:after="0"/>
              <w:ind w:left="30" w:right="30"/>
              <w:jc w:val="center"/>
              <w:rPr>
                <w:sz w:val="18"/>
                <w:szCs w:val="18"/>
                <w:lang w:val="fr-FR"/>
              </w:rPr>
            </w:pPr>
            <w:r w:rsidRPr="00412826">
              <w:rPr>
                <w:sz w:val="18"/>
                <w:szCs w:val="18"/>
                <w:lang w:val="fr-FR"/>
              </w:rPr>
              <w:t>I</w:t>
            </w:r>
          </w:p>
        </w:tc>
        <w:tc>
          <w:tcPr>
            <w:tcW w:w="1682" w:type="dxa"/>
            <w:vMerge/>
            <w:tcBorders>
              <w:left w:val="single" w:sz="4" w:space="0" w:color="auto"/>
              <w:right w:val="single" w:sz="4" w:space="0" w:color="auto"/>
            </w:tcBorders>
            <w:vAlign w:val="center"/>
          </w:tcPr>
          <w:p w14:paraId="0B1C93DD" w14:textId="77777777" w:rsidR="00302BFE" w:rsidRPr="00412826" w:rsidRDefault="00302BFE" w:rsidP="00243B15">
            <w:pPr>
              <w:spacing w:after="0"/>
              <w:rPr>
                <w:rFonts w:eastAsia="Times New Roman"/>
                <w:sz w:val="18"/>
                <w:szCs w:val="18"/>
                <w:lang w:val="fr-FR"/>
              </w:rPr>
            </w:pPr>
          </w:p>
        </w:tc>
      </w:tr>
      <w:tr w:rsidR="00302BFE" w:rsidRPr="00412826" w14:paraId="2EAE3E31" w14:textId="77777777" w:rsidTr="00243B15">
        <w:trPr>
          <w:jc w:val="center"/>
        </w:trPr>
        <w:tc>
          <w:tcPr>
            <w:tcW w:w="2117" w:type="dxa"/>
            <w:vMerge/>
            <w:tcBorders>
              <w:left w:val="single" w:sz="4" w:space="0" w:color="auto"/>
              <w:bottom w:val="single" w:sz="4" w:space="0" w:color="auto"/>
              <w:right w:val="single" w:sz="4" w:space="0" w:color="auto"/>
            </w:tcBorders>
            <w:vAlign w:val="center"/>
          </w:tcPr>
          <w:p w14:paraId="4597745E"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bottom w:val="single" w:sz="4" w:space="0" w:color="auto"/>
              <w:right w:val="single" w:sz="4" w:space="0" w:color="auto"/>
            </w:tcBorders>
            <w:vAlign w:val="center"/>
          </w:tcPr>
          <w:p w14:paraId="5E580573"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71D5FBAB" w14:textId="77777777" w:rsidR="00302BFE" w:rsidRPr="00412826" w:rsidRDefault="00302BFE" w:rsidP="00243B15">
            <w:pPr>
              <w:spacing w:after="0"/>
              <w:ind w:left="30" w:right="30"/>
              <w:jc w:val="center"/>
              <w:rPr>
                <w:sz w:val="18"/>
                <w:szCs w:val="18"/>
                <w:lang w:val="fr-FR"/>
              </w:rPr>
            </w:pPr>
            <w:r w:rsidRPr="00412826">
              <w:rPr>
                <w:sz w:val="18"/>
                <w:szCs w:val="18"/>
                <w:lang w:val="fr-FR"/>
              </w:rPr>
              <w:t>Madjoari</w:t>
            </w:r>
          </w:p>
        </w:tc>
        <w:tc>
          <w:tcPr>
            <w:tcW w:w="1127" w:type="dxa"/>
            <w:tcBorders>
              <w:top w:val="single" w:sz="4" w:space="0" w:color="auto"/>
              <w:left w:val="single" w:sz="4" w:space="0" w:color="auto"/>
              <w:bottom w:val="single" w:sz="4" w:space="0" w:color="auto"/>
              <w:right w:val="single" w:sz="4" w:space="0" w:color="auto"/>
            </w:tcBorders>
            <w:vAlign w:val="center"/>
          </w:tcPr>
          <w:p w14:paraId="3924C8BB" w14:textId="77777777" w:rsidR="00302BFE" w:rsidRPr="00412826" w:rsidRDefault="00302BFE" w:rsidP="00243B15">
            <w:pPr>
              <w:spacing w:after="0"/>
              <w:ind w:left="30" w:right="30"/>
              <w:jc w:val="center"/>
              <w:rPr>
                <w:sz w:val="18"/>
                <w:szCs w:val="18"/>
                <w:lang w:val="fr-FR"/>
              </w:rPr>
            </w:pPr>
            <w:r w:rsidRPr="00412826">
              <w:rPr>
                <w:sz w:val="18"/>
                <w:szCs w:val="18"/>
                <w:lang w:val="fr-FR"/>
              </w:rPr>
              <w:t>1970</w:t>
            </w:r>
          </w:p>
        </w:tc>
        <w:tc>
          <w:tcPr>
            <w:tcW w:w="2097" w:type="dxa"/>
            <w:tcBorders>
              <w:top w:val="single" w:sz="4" w:space="0" w:color="auto"/>
              <w:left w:val="single" w:sz="4" w:space="0" w:color="auto"/>
              <w:bottom w:val="single" w:sz="4" w:space="0" w:color="auto"/>
              <w:right w:val="single" w:sz="4" w:space="0" w:color="auto"/>
            </w:tcBorders>
            <w:vAlign w:val="center"/>
          </w:tcPr>
          <w:p w14:paraId="53358047" w14:textId="77777777" w:rsidR="00302BFE" w:rsidRPr="00412826" w:rsidRDefault="00302BFE" w:rsidP="00243B15">
            <w:pPr>
              <w:spacing w:after="0"/>
              <w:ind w:left="30" w:right="30"/>
              <w:jc w:val="center"/>
              <w:rPr>
                <w:sz w:val="18"/>
                <w:szCs w:val="18"/>
                <w:lang w:val="fr-FR"/>
              </w:rPr>
            </w:pPr>
            <w:r w:rsidRPr="00412826">
              <w:rPr>
                <w:sz w:val="18"/>
                <w:szCs w:val="18"/>
                <w:lang w:val="fr-FR"/>
              </w:rPr>
              <w:t>17</w:t>
            </w:r>
            <w:r>
              <w:rPr>
                <w:sz w:val="18"/>
                <w:szCs w:val="18"/>
                <w:lang w:val="fr-FR"/>
              </w:rPr>
              <w:t>,</w:t>
            </w:r>
            <w:r w:rsidRPr="00412826">
              <w:rPr>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vAlign w:val="center"/>
          </w:tcPr>
          <w:p w14:paraId="46871589" w14:textId="77777777" w:rsidR="00302BFE" w:rsidRPr="00412826" w:rsidRDefault="00302BFE" w:rsidP="00243B15">
            <w:pPr>
              <w:spacing w:after="0"/>
              <w:ind w:left="30" w:right="30"/>
              <w:jc w:val="center"/>
              <w:rPr>
                <w:sz w:val="18"/>
                <w:szCs w:val="18"/>
                <w:lang w:val="fr-FR"/>
              </w:rPr>
            </w:pPr>
            <w:r w:rsidRPr="00412826">
              <w:rPr>
                <w:sz w:val="18"/>
                <w:szCs w:val="18"/>
                <w:lang w:val="fr-FR"/>
              </w:rPr>
              <w:t>I</w:t>
            </w:r>
          </w:p>
        </w:tc>
        <w:tc>
          <w:tcPr>
            <w:tcW w:w="1682" w:type="dxa"/>
            <w:vMerge/>
            <w:tcBorders>
              <w:left w:val="single" w:sz="4" w:space="0" w:color="auto"/>
              <w:right w:val="single" w:sz="4" w:space="0" w:color="auto"/>
            </w:tcBorders>
            <w:vAlign w:val="center"/>
          </w:tcPr>
          <w:p w14:paraId="4751F845" w14:textId="77777777" w:rsidR="00302BFE" w:rsidRPr="00412826" w:rsidRDefault="00302BFE" w:rsidP="00243B15">
            <w:pPr>
              <w:spacing w:after="0"/>
              <w:rPr>
                <w:rFonts w:eastAsia="Times New Roman"/>
                <w:sz w:val="18"/>
                <w:szCs w:val="18"/>
                <w:lang w:val="fr-FR"/>
              </w:rPr>
            </w:pPr>
          </w:p>
        </w:tc>
      </w:tr>
      <w:tr w:rsidR="00302BFE" w:rsidRPr="00412826" w14:paraId="1FEB1214" w14:textId="77777777" w:rsidTr="00243B15">
        <w:trPr>
          <w:jc w:val="center"/>
        </w:trPr>
        <w:tc>
          <w:tcPr>
            <w:tcW w:w="2117" w:type="dxa"/>
            <w:vMerge w:val="restart"/>
            <w:tcBorders>
              <w:top w:val="single" w:sz="4" w:space="0" w:color="auto"/>
              <w:left w:val="single" w:sz="4" w:space="0" w:color="auto"/>
              <w:right w:val="single" w:sz="4" w:space="0" w:color="auto"/>
            </w:tcBorders>
            <w:vAlign w:val="center"/>
            <w:hideMark/>
          </w:tcPr>
          <w:p w14:paraId="6D94B072" w14:textId="77777777" w:rsidR="00302BFE" w:rsidRPr="00DC05C9" w:rsidRDefault="00302BFE" w:rsidP="00243B15">
            <w:pPr>
              <w:spacing w:after="0"/>
              <w:ind w:left="30" w:right="30"/>
              <w:rPr>
                <w:sz w:val="18"/>
                <w:szCs w:val="18"/>
                <w:lang w:val="en-CA"/>
              </w:rPr>
            </w:pPr>
            <w:r w:rsidRPr="00DC05C9">
              <w:rPr>
                <w:sz w:val="18"/>
                <w:szCs w:val="18"/>
                <w:lang w:val="en-CA"/>
              </w:rPr>
              <w:t>Partial wildlife reserves (hunting allowed with permit)</w:t>
            </w:r>
          </w:p>
        </w:tc>
        <w:tc>
          <w:tcPr>
            <w:tcW w:w="378" w:type="dxa"/>
            <w:vMerge w:val="restart"/>
            <w:tcBorders>
              <w:top w:val="single" w:sz="4" w:space="0" w:color="auto"/>
              <w:left w:val="single" w:sz="4" w:space="0" w:color="auto"/>
              <w:right w:val="single" w:sz="4" w:space="0" w:color="auto"/>
            </w:tcBorders>
            <w:vAlign w:val="center"/>
            <w:hideMark/>
          </w:tcPr>
          <w:p w14:paraId="7C41ECA9" w14:textId="77777777" w:rsidR="00302BFE" w:rsidRPr="00412826" w:rsidRDefault="00302BFE" w:rsidP="00243B15">
            <w:pPr>
              <w:spacing w:after="0"/>
              <w:ind w:left="30" w:right="30"/>
              <w:jc w:val="center"/>
              <w:rPr>
                <w:sz w:val="18"/>
                <w:szCs w:val="18"/>
                <w:lang w:val="fr-FR"/>
              </w:rPr>
            </w:pPr>
            <w:r w:rsidRPr="00412826">
              <w:rPr>
                <w:sz w:val="18"/>
                <w:szCs w:val="18"/>
                <w:lang w:val="fr-FR"/>
              </w:rPr>
              <w:t>5</w:t>
            </w:r>
          </w:p>
        </w:tc>
        <w:tc>
          <w:tcPr>
            <w:tcW w:w="1501" w:type="dxa"/>
            <w:tcBorders>
              <w:top w:val="single" w:sz="4" w:space="0" w:color="auto"/>
              <w:left w:val="single" w:sz="4" w:space="0" w:color="auto"/>
              <w:bottom w:val="single" w:sz="4" w:space="0" w:color="auto"/>
              <w:right w:val="single" w:sz="4" w:space="0" w:color="auto"/>
            </w:tcBorders>
            <w:vAlign w:val="center"/>
          </w:tcPr>
          <w:p w14:paraId="08211B4A" w14:textId="77777777" w:rsidR="00302BFE" w:rsidRPr="00412826" w:rsidRDefault="00302BFE" w:rsidP="00243B15">
            <w:pPr>
              <w:spacing w:after="0"/>
              <w:ind w:left="30" w:right="30"/>
              <w:jc w:val="center"/>
              <w:rPr>
                <w:sz w:val="18"/>
                <w:szCs w:val="18"/>
                <w:lang w:val="fr-FR"/>
              </w:rPr>
            </w:pPr>
            <w:r w:rsidRPr="00412826">
              <w:rPr>
                <w:sz w:val="18"/>
                <w:szCs w:val="18"/>
                <w:lang w:val="fr-FR"/>
              </w:rPr>
              <w:t>Arly</w:t>
            </w:r>
          </w:p>
        </w:tc>
        <w:tc>
          <w:tcPr>
            <w:tcW w:w="1127" w:type="dxa"/>
            <w:tcBorders>
              <w:top w:val="single" w:sz="4" w:space="0" w:color="auto"/>
              <w:left w:val="single" w:sz="4" w:space="0" w:color="auto"/>
              <w:bottom w:val="single" w:sz="4" w:space="0" w:color="auto"/>
              <w:right w:val="single" w:sz="4" w:space="0" w:color="auto"/>
            </w:tcBorders>
            <w:vAlign w:val="center"/>
          </w:tcPr>
          <w:p w14:paraId="79209E27" w14:textId="77777777" w:rsidR="00302BFE" w:rsidRPr="00412826" w:rsidRDefault="00302BFE" w:rsidP="00243B15">
            <w:pPr>
              <w:spacing w:after="0"/>
              <w:ind w:left="30" w:right="30"/>
              <w:jc w:val="center"/>
              <w:rPr>
                <w:sz w:val="18"/>
                <w:szCs w:val="18"/>
                <w:lang w:val="fr-FR"/>
              </w:rPr>
            </w:pPr>
            <w:r w:rsidRPr="00412826">
              <w:rPr>
                <w:sz w:val="18"/>
                <w:szCs w:val="18"/>
                <w:lang w:val="fr-FR"/>
              </w:rPr>
              <w:t>1954</w:t>
            </w:r>
          </w:p>
        </w:tc>
        <w:tc>
          <w:tcPr>
            <w:tcW w:w="2097" w:type="dxa"/>
            <w:tcBorders>
              <w:top w:val="single" w:sz="4" w:space="0" w:color="auto"/>
              <w:left w:val="single" w:sz="4" w:space="0" w:color="auto"/>
              <w:bottom w:val="single" w:sz="4" w:space="0" w:color="auto"/>
              <w:right w:val="single" w:sz="4" w:space="0" w:color="auto"/>
            </w:tcBorders>
            <w:vAlign w:val="center"/>
            <w:hideMark/>
          </w:tcPr>
          <w:p w14:paraId="736027D0" w14:textId="77777777" w:rsidR="00302BFE" w:rsidRPr="00412826" w:rsidRDefault="00302BFE" w:rsidP="00243B15">
            <w:pPr>
              <w:spacing w:after="0"/>
              <w:ind w:left="30" w:right="30"/>
              <w:jc w:val="center"/>
              <w:rPr>
                <w:sz w:val="18"/>
                <w:szCs w:val="18"/>
                <w:lang w:val="fr-FR"/>
              </w:rPr>
            </w:pPr>
            <w:r w:rsidRPr="00412826">
              <w:rPr>
                <w:sz w:val="18"/>
                <w:szCs w:val="18"/>
                <w:lang w:val="fr-FR"/>
              </w:rPr>
              <w:t>90</w:t>
            </w:r>
            <w:r>
              <w:rPr>
                <w:sz w:val="18"/>
                <w:szCs w:val="18"/>
                <w:lang w:val="fr-FR"/>
              </w:rPr>
              <w:t>,</w:t>
            </w:r>
            <w:r w:rsidRPr="00412826">
              <w:rPr>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4AE45B43" w14:textId="77777777" w:rsidR="00302BFE" w:rsidRPr="00412826" w:rsidRDefault="00302BFE" w:rsidP="00243B15">
            <w:pPr>
              <w:spacing w:after="0"/>
              <w:ind w:left="30" w:right="30"/>
              <w:jc w:val="center"/>
              <w:rPr>
                <w:sz w:val="18"/>
                <w:szCs w:val="18"/>
                <w:lang w:val="fr-FR"/>
              </w:rPr>
            </w:pPr>
            <w:r w:rsidRPr="00412826">
              <w:rPr>
                <w:sz w:val="18"/>
                <w:szCs w:val="18"/>
                <w:lang w:val="fr-FR"/>
              </w:rPr>
              <w:t>VI</w:t>
            </w:r>
          </w:p>
        </w:tc>
        <w:tc>
          <w:tcPr>
            <w:tcW w:w="1682" w:type="dxa"/>
            <w:vMerge/>
            <w:tcBorders>
              <w:left w:val="single" w:sz="4" w:space="0" w:color="auto"/>
              <w:right w:val="single" w:sz="4" w:space="0" w:color="auto"/>
            </w:tcBorders>
            <w:vAlign w:val="center"/>
            <w:hideMark/>
          </w:tcPr>
          <w:p w14:paraId="358DE731" w14:textId="77777777" w:rsidR="00302BFE" w:rsidRPr="00412826" w:rsidRDefault="00302BFE" w:rsidP="00243B15">
            <w:pPr>
              <w:spacing w:after="0"/>
              <w:rPr>
                <w:rFonts w:eastAsia="Times New Roman"/>
                <w:sz w:val="18"/>
                <w:szCs w:val="18"/>
                <w:lang w:val="fr-FR"/>
              </w:rPr>
            </w:pPr>
          </w:p>
        </w:tc>
      </w:tr>
      <w:tr w:rsidR="00302BFE" w:rsidRPr="00412826" w14:paraId="46EB9612" w14:textId="77777777" w:rsidTr="00243B15">
        <w:trPr>
          <w:jc w:val="center"/>
        </w:trPr>
        <w:tc>
          <w:tcPr>
            <w:tcW w:w="2117" w:type="dxa"/>
            <w:vMerge/>
            <w:tcBorders>
              <w:left w:val="single" w:sz="4" w:space="0" w:color="auto"/>
              <w:right w:val="single" w:sz="4" w:space="0" w:color="auto"/>
            </w:tcBorders>
            <w:vAlign w:val="center"/>
          </w:tcPr>
          <w:p w14:paraId="1821437D"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4F26CB0E"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1E48BE37" w14:textId="77777777" w:rsidR="00302BFE" w:rsidRPr="00412826" w:rsidRDefault="00302BFE" w:rsidP="00243B15">
            <w:pPr>
              <w:spacing w:after="0"/>
              <w:ind w:left="30" w:right="30"/>
              <w:jc w:val="center"/>
              <w:rPr>
                <w:sz w:val="18"/>
                <w:szCs w:val="18"/>
                <w:lang w:val="fr-FR"/>
              </w:rPr>
            </w:pPr>
            <w:proofErr w:type="spellStart"/>
            <w:r w:rsidRPr="00412826">
              <w:rPr>
                <w:sz w:val="18"/>
                <w:szCs w:val="18"/>
                <w:lang w:val="fr-FR"/>
              </w:rPr>
              <w:t>Pama</w:t>
            </w:r>
            <w:proofErr w:type="spellEnd"/>
          </w:p>
        </w:tc>
        <w:tc>
          <w:tcPr>
            <w:tcW w:w="1127" w:type="dxa"/>
            <w:tcBorders>
              <w:top w:val="single" w:sz="4" w:space="0" w:color="auto"/>
              <w:left w:val="single" w:sz="4" w:space="0" w:color="auto"/>
              <w:bottom w:val="single" w:sz="4" w:space="0" w:color="auto"/>
              <w:right w:val="single" w:sz="4" w:space="0" w:color="auto"/>
            </w:tcBorders>
            <w:vAlign w:val="center"/>
          </w:tcPr>
          <w:p w14:paraId="67B60D8F" w14:textId="77777777" w:rsidR="00302BFE" w:rsidRPr="00412826" w:rsidRDefault="00302BFE" w:rsidP="00243B15">
            <w:pPr>
              <w:spacing w:after="0"/>
              <w:ind w:left="30" w:right="30"/>
              <w:jc w:val="center"/>
              <w:rPr>
                <w:sz w:val="18"/>
                <w:szCs w:val="18"/>
                <w:lang w:val="fr-FR"/>
              </w:rPr>
            </w:pPr>
            <w:r w:rsidRPr="00412826">
              <w:rPr>
                <w:sz w:val="18"/>
                <w:szCs w:val="18"/>
                <w:lang w:val="fr-FR"/>
              </w:rPr>
              <w:t>1955</w:t>
            </w:r>
          </w:p>
        </w:tc>
        <w:tc>
          <w:tcPr>
            <w:tcW w:w="2097" w:type="dxa"/>
            <w:tcBorders>
              <w:top w:val="single" w:sz="4" w:space="0" w:color="auto"/>
              <w:left w:val="single" w:sz="4" w:space="0" w:color="auto"/>
              <w:bottom w:val="single" w:sz="4" w:space="0" w:color="auto"/>
              <w:right w:val="single" w:sz="4" w:space="0" w:color="auto"/>
            </w:tcBorders>
            <w:vAlign w:val="center"/>
          </w:tcPr>
          <w:p w14:paraId="4E330F06" w14:textId="77777777" w:rsidR="00302BFE" w:rsidRPr="00412826" w:rsidRDefault="00302BFE" w:rsidP="00243B15">
            <w:pPr>
              <w:spacing w:after="0"/>
              <w:ind w:left="30" w:right="30"/>
              <w:jc w:val="center"/>
              <w:rPr>
                <w:sz w:val="18"/>
                <w:szCs w:val="18"/>
                <w:lang w:val="fr-FR"/>
              </w:rPr>
            </w:pPr>
            <w:r w:rsidRPr="00412826">
              <w:rPr>
                <w:sz w:val="18"/>
                <w:szCs w:val="18"/>
                <w:lang w:val="fr-FR"/>
              </w:rPr>
              <w:t>223</w:t>
            </w:r>
            <w:r>
              <w:rPr>
                <w:sz w:val="18"/>
                <w:szCs w:val="18"/>
                <w:lang w:val="fr-FR"/>
              </w:rPr>
              <w:t>,</w:t>
            </w:r>
            <w:r w:rsidRPr="00412826">
              <w:rPr>
                <w:sz w:val="18"/>
                <w:szCs w:val="18"/>
                <w:lang w:val="fr-FR"/>
              </w:rPr>
              <w:t>700</w:t>
            </w:r>
          </w:p>
        </w:tc>
        <w:tc>
          <w:tcPr>
            <w:tcW w:w="850" w:type="dxa"/>
            <w:tcBorders>
              <w:top w:val="single" w:sz="4" w:space="0" w:color="auto"/>
              <w:left w:val="single" w:sz="4" w:space="0" w:color="auto"/>
              <w:bottom w:val="single" w:sz="4" w:space="0" w:color="auto"/>
              <w:right w:val="single" w:sz="4" w:space="0" w:color="auto"/>
            </w:tcBorders>
            <w:vAlign w:val="center"/>
          </w:tcPr>
          <w:p w14:paraId="17D43E7C" w14:textId="77777777" w:rsidR="00302BFE" w:rsidRPr="00412826" w:rsidRDefault="00302BFE" w:rsidP="00243B15">
            <w:pPr>
              <w:spacing w:after="0"/>
              <w:ind w:left="30" w:right="30"/>
              <w:jc w:val="center"/>
              <w:rPr>
                <w:sz w:val="18"/>
                <w:szCs w:val="18"/>
                <w:lang w:val="fr-FR"/>
              </w:rPr>
            </w:pPr>
            <w:r w:rsidRPr="00412826">
              <w:rPr>
                <w:sz w:val="18"/>
                <w:szCs w:val="18"/>
                <w:lang w:val="fr-FR"/>
              </w:rPr>
              <w:t>IV</w:t>
            </w:r>
          </w:p>
        </w:tc>
        <w:tc>
          <w:tcPr>
            <w:tcW w:w="1682" w:type="dxa"/>
            <w:vMerge/>
            <w:tcBorders>
              <w:left w:val="single" w:sz="4" w:space="0" w:color="auto"/>
              <w:right w:val="single" w:sz="4" w:space="0" w:color="auto"/>
            </w:tcBorders>
            <w:vAlign w:val="center"/>
          </w:tcPr>
          <w:p w14:paraId="446DE4B4" w14:textId="77777777" w:rsidR="00302BFE" w:rsidRPr="00412826" w:rsidRDefault="00302BFE" w:rsidP="00243B15">
            <w:pPr>
              <w:spacing w:after="0"/>
              <w:rPr>
                <w:rFonts w:eastAsia="Times New Roman"/>
                <w:sz w:val="18"/>
                <w:szCs w:val="18"/>
                <w:lang w:val="fr-FR"/>
              </w:rPr>
            </w:pPr>
          </w:p>
        </w:tc>
      </w:tr>
      <w:tr w:rsidR="00302BFE" w:rsidRPr="00412826" w14:paraId="4FA412FE" w14:textId="77777777" w:rsidTr="00243B15">
        <w:trPr>
          <w:jc w:val="center"/>
        </w:trPr>
        <w:tc>
          <w:tcPr>
            <w:tcW w:w="2117" w:type="dxa"/>
            <w:vMerge/>
            <w:tcBorders>
              <w:left w:val="single" w:sz="4" w:space="0" w:color="auto"/>
              <w:right w:val="single" w:sz="4" w:space="0" w:color="auto"/>
            </w:tcBorders>
            <w:vAlign w:val="center"/>
          </w:tcPr>
          <w:p w14:paraId="56E911B8"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4659B03C"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79CAD951" w14:textId="77777777" w:rsidR="00302BFE" w:rsidRPr="00412826" w:rsidRDefault="00302BFE" w:rsidP="00243B15">
            <w:pPr>
              <w:spacing w:after="0"/>
              <w:ind w:left="30" w:right="30"/>
              <w:jc w:val="center"/>
              <w:rPr>
                <w:sz w:val="18"/>
                <w:szCs w:val="18"/>
                <w:lang w:val="fr-FR"/>
              </w:rPr>
            </w:pPr>
            <w:proofErr w:type="spellStart"/>
            <w:r w:rsidRPr="00412826">
              <w:rPr>
                <w:sz w:val="18"/>
                <w:szCs w:val="18"/>
                <w:lang w:val="fr-FR"/>
              </w:rPr>
              <w:t>Bontioli</w:t>
            </w:r>
            <w:proofErr w:type="spellEnd"/>
          </w:p>
        </w:tc>
        <w:tc>
          <w:tcPr>
            <w:tcW w:w="1127" w:type="dxa"/>
            <w:tcBorders>
              <w:top w:val="single" w:sz="4" w:space="0" w:color="auto"/>
              <w:left w:val="single" w:sz="4" w:space="0" w:color="auto"/>
              <w:bottom w:val="single" w:sz="4" w:space="0" w:color="auto"/>
              <w:right w:val="single" w:sz="4" w:space="0" w:color="auto"/>
            </w:tcBorders>
            <w:vAlign w:val="center"/>
          </w:tcPr>
          <w:p w14:paraId="75FFEB5D" w14:textId="77777777" w:rsidR="00302BFE" w:rsidRPr="00412826" w:rsidRDefault="00302BFE" w:rsidP="00243B15">
            <w:pPr>
              <w:spacing w:after="0"/>
              <w:ind w:left="30" w:right="30"/>
              <w:jc w:val="center"/>
              <w:rPr>
                <w:sz w:val="18"/>
                <w:szCs w:val="18"/>
                <w:lang w:val="fr-FR"/>
              </w:rPr>
            </w:pPr>
            <w:r w:rsidRPr="00412826">
              <w:rPr>
                <w:sz w:val="18"/>
                <w:szCs w:val="18"/>
                <w:lang w:val="fr-FR"/>
              </w:rPr>
              <w:t>1957</w:t>
            </w:r>
          </w:p>
        </w:tc>
        <w:tc>
          <w:tcPr>
            <w:tcW w:w="2097" w:type="dxa"/>
            <w:tcBorders>
              <w:top w:val="single" w:sz="4" w:space="0" w:color="auto"/>
              <w:left w:val="single" w:sz="4" w:space="0" w:color="auto"/>
              <w:bottom w:val="single" w:sz="4" w:space="0" w:color="auto"/>
              <w:right w:val="single" w:sz="4" w:space="0" w:color="auto"/>
            </w:tcBorders>
            <w:vAlign w:val="center"/>
          </w:tcPr>
          <w:p w14:paraId="75F54133" w14:textId="77777777" w:rsidR="00302BFE" w:rsidRPr="00412826" w:rsidRDefault="00302BFE" w:rsidP="00243B15">
            <w:pPr>
              <w:spacing w:after="0"/>
              <w:ind w:left="30" w:right="30"/>
              <w:jc w:val="center"/>
              <w:rPr>
                <w:sz w:val="18"/>
                <w:szCs w:val="18"/>
                <w:lang w:val="fr-FR"/>
              </w:rPr>
            </w:pPr>
            <w:r w:rsidRPr="00412826">
              <w:rPr>
                <w:sz w:val="18"/>
                <w:szCs w:val="18"/>
                <w:lang w:val="fr-FR"/>
              </w:rPr>
              <w:t>29</w:t>
            </w:r>
            <w:r>
              <w:rPr>
                <w:sz w:val="18"/>
                <w:szCs w:val="18"/>
                <w:lang w:val="fr-FR"/>
              </w:rPr>
              <w:t>,</w:t>
            </w:r>
            <w:r w:rsidRPr="00412826">
              <w:rPr>
                <w:sz w:val="18"/>
                <w:szCs w:val="18"/>
                <w:lang w:val="fr-FR"/>
              </w:rPr>
              <w:t>500</w:t>
            </w:r>
          </w:p>
        </w:tc>
        <w:tc>
          <w:tcPr>
            <w:tcW w:w="850" w:type="dxa"/>
            <w:tcBorders>
              <w:top w:val="single" w:sz="4" w:space="0" w:color="auto"/>
              <w:left w:val="single" w:sz="4" w:space="0" w:color="auto"/>
              <w:bottom w:val="single" w:sz="4" w:space="0" w:color="auto"/>
              <w:right w:val="single" w:sz="4" w:space="0" w:color="auto"/>
            </w:tcBorders>
            <w:vAlign w:val="center"/>
          </w:tcPr>
          <w:p w14:paraId="5CD32974" w14:textId="77777777" w:rsidR="00302BFE" w:rsidRPr="00412826" w:rsidRDefault="00302BFE" w:rsidP="00243B15">
            <w:pPr>
              <w:spacing w:after="0"/>
              <w:ind w:left="30" w:right="30"/>
              <w:jc w:val="center"/>
              <w:rPr>
                <w:sz w:val="18"/>
                <w:szCs w:val="18"/>
                <w:lang w:val="fr-FR"/>
              </w:rPr>
            </w:pPr>
            <w:r w:rsidRPr="00412826">
              <w:rPr>
                <w:sz w:val="18"/>
                <w:szCs w:val="18"/>
                <w:lang w:val="fr-FR"/>
              </w:rPr>
              <w:t>IV</w:t>
            </w:r>
          </w:p>
        </w:tc>
        <w:tc>
          <w:tcPr>
            <w:tcW w:w="1682" w:type="dxa"/>
            <w:vMerge/>
            <w:tcBorders>
              <w:left w:val="single" w:sz="4" w:space="0" w:color="auto"/>
              <w:right w:val="single" w:sz="4" w:space="0" w:color="auto"/>
            </w:tcBorders>
            <w:vAlign w:val="center"/>
          </w:tcPr>
          <w:p w14:paraId="2BEA1E95" w14:textId="77777777" w:rsidR="00302BFE" w:rsidRPr="00412826" w:rsidRDefault="00302BFE" w:rsidP="00243B15">
            <w:pPr>
              <w:spacing w:after="0"/>
              <w:rPr>
                <w:rFonts w:eastAsia="Times New Roman"/>
                <w:sz w:val="18"/>
                <w:szCs w:val="18"/>
                <w:lang w:val="fr-FR"/>
              </w:rPr>
            </w:pPr>
          </w:p>
        </w:tc>
      </w:tr>
      <w:tr w:rsidR="00302BFE" w:rsidRPr="00412826" w14:paraId="3833482C" w14:textId="77777777" w:rsidTr="00243B15">
        <w:trPr>
          <w:jc w:val="center"/>
        </w:trPr>
        <w:tc>
          <w:tcPr>
            <w:tcW w:w="2117" w:type="dxa"/>
            <w:vMerge/>
            <w:tcBorders>
              <w:left w:val="single" w:sz="4" w:space="0" w:color="auto"/>
              <w:right w:val="single" w:sz="4" w:space="0" w:color="auto"/>
            </w:tcBorders>
            <w:vAlign w:val="center"/>
          </w:tcPr>
          <w:p w14:paraId="64798472"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24DAF204"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7E834CCE" w14:textId="77777777" w:rsidR="00302BFE" w:rsidRPr="00412826" w:rsidRDefault="00302BFE" w:rsidP="00243B15">
            <w:pPr>
              <w:spacing w:after="0"/>
              <w:ind w:left="30" w:right="30"/>
              <w:jc w:val="center"/>
              <w:rPr>
                <w:sz w:val="18"/>
                <w:szCs w:val="18"/>
                <w:lang w:val="fr-FR"/>
              </w:rPr>
            </w:pPr>
            <w:proofErr w:type="spellStart"/>
            <w:r w:rsidRPr="00412826">
              <w:rPr>
                <w:sz w:val="18"/>
                <w:szCs w:val="18"/>
                <w:lang w:val="fr-FR"/>
              </w:rPr>
              <w:t>Nabéré</w:t>
            </w:r>
            <w:proofErr w:type="spellEnd"/>
          </w:p>
        </w:tc>
        <w:tc>
          <w:tcPr>
            <w:tcW w:w="1127" w:type="dxa"/>
            <w:tcBorders>
              <w:top w:val="single" w:sz="4" w:space="0" w:color="auto"/>
              <w:left w:val="single" w:sz="4" w:space="0" w:color="auto"/>
              <w:bottom w:val="single" w:sz="4" w:space="0" w:color="auto"/>
              <w:right w:val="single" w:sz="4" w:space="0" w:color="auto"/>
            </w:tcBorders>
            <w:vAlign w:val="center"/>
          </w:tcPr>
          <w:p w14:paraId="0E26745F" w14:textId="77777777" w:rsidR="00302BFE" w:rsidRPr="00412826" w:rsidRDefault="00302BFE" w:rsidP="00243B15">
            <w:pPr>
              <w:spacing w:after="0"/>
              <w:ind w:left="30" w:right="30"/>
              <w:jc w:val="center"/>
              <w:rPr>
                <w:sz w:val="18"/>
                <w:szCs w:val="18"/>
                <w:lang w:val="fr-FR"/>
              </w:rPr>
            </w:pPr>
            <w:r w:rsidRPr="00412826">
              <w:rPr>
                <w:sz w:val="18"/>
                <w:szCs w:val="18"/>
                <w:lang w:val="fr-FR"/>
              </w:rPr>
              <w:t>1957</w:t>
            </w:r>
          </w:p>
        </w:tc>
        <w:tc>
          <w:tcPr>
            <w:tcW w:w="2097" w:type="dxa"/>
            <w:tcBorders>
              <w:top w:val="single" w:sz="4" w:space="0" w:color="auto"/>
              <w:left w:val="single" w:sz="4" w:space="0" w:color="auto"/>
              <w:bottom w:val="single" w:sz="4" w:space="0" w:color="auto"/>
              <w:right w:val="single" w:sz="4" w:space="0" w:color="auto"/>
            </w:tcBorders>
            <w:vAlign w:val="center"/>
          </w:tcPr>
          <w:p w14:paraId="744B2BF6" w14:textId="77777777" w:rsidR="00302BFE" w:rsidRPr="00412826" w:rsidRDefault="00302BFE" w:rsidP="00243B15">
            <w:pPr>
              <w:spacing w:after="0"/>
              <w:ind w:left="30" w:right="30"/>
              <w:jc w:val="center"/>
              <w:rPr>
                <w:sz w:val="18"/>
                <w:szCs w:val="18"/>
                <w:lang w:val="fr-FR"/>
              </w:rPr>
            </w:pPr>
            <w:r w:rsidRPr="00412826">
              <w:rPr>
                <w:sz w:val="18"/>
                <w:szCs w:val="18"/>
                <w:lang w:val="fr-FR"/>
              </w:rPr>
              <w:t>36</w:t>
            </w:r>
            <w:r>
              <w:rPr>
                <w:sz w:val="18"/>
                <w:szCs w:val="18"/>
                <w:lang w:val="fr-FR"/>
              </w:rPr>
              <w:t>,</w:t>
            </w:r>
            <w:r w:rsidRPr="00412826">
              <w:rPr>
                <w:sz w:val="18"/>
                <w:szCs w:val="18"/>
                <w:lang w:val="fr-FR"/>
              </w:rPr>
              <w:t>500</w:t>
            </w:r>
          </w:p>
        </w:tc>
        <w:tc>
          <w:tcPr>
            <w:tcW w:w="850" w:type="dxa"/>
            <w:tcBorders>
              <w:top w:val="single" w:sz="4" w:space="0" w:color="auto"/>
              <w:left w:val="single" w:sz="4" w:space="0" w:color="auto"/>
              <w:bottom w:val="single" w:sz="4" w:space="0" w:color="auto"/>
              <w:right w:val="single" w:sz="4" w:space="0" w:color="auto"/>
            </w:tcBorders>
            <w:vAlign w:val="center"/>
          </w:tcPr>
          <w:p w14:paraId="02E27934" w14:textId="77777777" w:rsidR="00302BFE" w:rsidRPr="00412826" w:rsidRDefault="00302BFE" w:rsidP="00243B15">
            <w:pPr>
              <w:spacing w:after="0"/>
              <w:ind w:left="30" w:right="30"/>
              <w:jc w:val="center"/>
              <w:rPr>
                <w:sz w:val="18"/>
                <w:szCs w:val="18"/>
                <w:lang w:val="fr-FR"/>
              </w:rPr>
            </w:pPr>
            <w:r w:rsidRPr="00412826">
              <w:rPr>
                <w:sz w:val="18"/>
                <w:szCs w:val="18"/>
                <w:lang w:val="fr-FR"/>
              </w:rPr>
              <w:t>IV</w:t>
            </w:r>
          </w:p>
        </w:tc>
        <w:tc>
          <w:tcPr>
            <w:tcW w:w="1682" w:type="dxa"/>
            <w:vMerge/>
            <w:tcBorders>
              <w:left w:val="single" w:sz="4" w:space="0" w:color="auto"/>
              <w:right w:val="single" w:sz="4" w:space="0" w:color="auto"/>
            </w:tcBorders>
            <w:vAlign w:val="center"/>
          </w:tcPr>
          <w:p w14:paraId="455064AE" w14:textId="77777777" w:rsidR="00302BFE" w:rsidRPr="00412826" w:rsidRDefault="00302BFE" w:rsidP="00243B15">
            <w:pPr>
              <w:spacing w:after="0"/>
              <w:rPr>
                <w:rFonts w:eastAsia="Times New Roman"/>
                <w:sz w:val="18"/>
                <w:szCs w:val="18"/>
                <w:lang w:val="fr-FR"/>
              </w:rPr>
            </w:pPr>
          </w:p>
        </w:tc>
      </w:tr>
      <w:tr w:rsidR="00302BFE" w:rsidRPr="00412826" w14:paraId="43F44BF0" w14:textId="77777777" w:rsidTr="00243B15">
        <w:trPr>
          <w:jc w:val="center"/>
        </w:trPr>
        <w:tc>
          <w:tcPr>
            <w:tcW w:w="2117" w:type="dxa"/>
            <w:vMerge/>
            <w:tcBorders>
              <w:left w:val="single" w:sz="4" w:space="0" w:color="auto"/>
              <w:right w:val="single" w:sz="4" w:space="0" w:color="auto"/>
            </w:tcBorders>
            <w:vAlign w:val="center"/>
          </w:tcPr>
          <w:p w14:paraId="22648C1D"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bottom w:val="single" w:sz="4" w:space="0" w:color="auto"/>
              <w:right w:val="single" w:sz="4" w:space="0" w:color="auto"/>
            </w:tcBorders>
            <w:vAlign w:val="center"/>
          </w:tcPr>
          <w:p w14:paraId="065FFCFF"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2B79688D" w14:textId="77777777" w:rsidR="00302BFE" w:rsidRPr="00412826" w:rsidRDefault="00302BFE" w:rsidP="00243B15">
            <w:pPr>
              <w:spacing w:after="0"/>
              <w:ind w:left="30" w:right="30"/>
              <w:jc w:val="center"/>
              <w:rPr>
                <w:sz w:val="18"/>
                <w:szCs w:val="18"/>
                <w:lang w:val="fr-FR"/>
              </w:rPr>
            </w:pPr>
            <w:proofErr w:type="spellStart"/>
            <w:r w:rsidRPr="00412826">
              <w:rPr>
                <w:sz w:val="18"/>
                <w:szCs w:val="18"/>
                <w:lang w:val="fr-FR"/>
              </w:rPr>
              <w:t>Kourtiagou</w:t>
            </w:r>
            <w:proofErr w:type="spellEnd"/>
          </w:p>
        </w:tc>
        <w:tc>
          <w:tcPr>
            <w:tcW w:w="1127" w:type="dxa"/>
            <w:tcBorders>
              <w:top w:val="single" w:sz="4" w:space="0" w:color="auto"/>
              <w:left w:val="single" w:sz="4" w:space="0" w:color="auto"/>
              <w:bottom w:val="single" w:sz="4" w:space="0" w:color="auto"/>
              <w:right w:val="single" w:sz="4" w:space="0" w:color="auto"/>
            </w:tcBorders>
            <w:vAlign w:val="center"/>
          </w:tcPr>
          <w:p w14:paraId="6BACBF9D" w14:textId="77777777" w:rsidR="00302BFE" w:rsidRPr="00412826" w:rsidRDefault="00302BFE" w:rsidP="00243B15">
            <w:pPr>
              <w:spacing w:after="0"/>
              <w:ind w:left="30" w:right="30"/>
              <w:jc w:val="center"/>
              <w:rPr>
                <w:sz w:val="18"/>
                <w:szCs w:val="18"/>
                <w:lang w:val="fr-FR"/>
              </w:rPr>
            </w:pPr>
            <w:r w:rsidRPr="00412826">
              <w:rPr>
                <w:sz w:val="18"/>
                <w:szCs w:val="18"/>
                <w:lang w:val="fr-FR"/>
              </w:rPr>
              <w:t>1957</w:t>
            </w:r>
          </w:p>
        </w:tc>
        <w:tc>
          <w:tcPr>
            <w:tcW w:w="2097" w:type="dxa"/>
            <w:tcBorders>
              <w:top w:val="single" w:sz="4" w:space="0" w:color="auto"/>
              <w:left w:val="single" w:sz="4" w:space="0" w:color="auto"/>
              <w:bottom w:val="single" w:sz="4" w:space="0" w:color="auto"/>
              <w:right w:val="single" w:sz="4" w:space="0" w:color="auto"/>
            </w:tcBorders>
            <w:vAlign w:val="center"/>
          </w:tcPr>
          <w:p w14:paraId="5D3FD46F" w14:textId="77777777" w:rsidR="00302BFE" w:rsidRPr="00412826" w:rsidRDefault="00302BFE" w:rsidP="00243B15">
            <w:pPr>
              <w:spacing w:after="0"/>
              <w:ind w:left="30" w:right="30"/>
              <w:jc w:val="center"/>
              <w:rPr>
                <w:sz w:val="18"/>
                <w:szCs w:val="18"/>
                <w:lang w:val="fr-FR"/>
              </w:rPr>
            </w:pPr>
            <w:r w:rsidRPr="00412826">
              <w:rPr>
                <w:sz w:val="18"/>
                <w:szCs w:val="18"/>
                <w:lang w:val="fr-FR"/>
              </w:rPr>
              <w:t>51</w:t>
            </w:r>
            <w:r>
              <w:rPr>
                <w:sz w:val="18"/>
                <w:szCs w:val="18"/>
                <w:lang w:val="fr-FR"/>
              </w:rPr>
              <w:t>,</w:t>
            </w:r>
            <w:r w:rsidRPr="00412826">
              <w:rPr>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vAlign w:val="center"/>
          </w:tcPr>
          <w:p w14:paraId="74C57D77" w14:textId="77777777" w:rsidR="00302BFE" w:rsidRPr="00412826" w:rsidRDefault="00302BFE" w:rsidP="00243B15">
            <w:pPr>
              <w:spacing w:after="0"/>
              <w:ind w:left="30" w:right="30"/>
              <w:jc w:val="center"/>
              <w:rPr>
                <w:sz w:val="18"/>
                <w:szCs w:val="18"/>
                <w:lang w:val="fr-FR"/>
              </w:rPr>
            </w:pPr>
            <w:r w:rsidRPr="00412826">
              <w:rPr>
                <w:sz w:val="18"/>
                <w:szCs w:val="18"/>
                <w:lang w:val="fr-FR"/>
              </w:rPr>
              <w:t>IV</w:t>
            </w:r>
          </w:p>
        </w:tc>
        <w:tc>
          <w:tcPr>
            <w:tcW w:w="1682" w:type="dxa"/>
            <w:vMerge/>
            <w:tcBorders>
              <w:left w:val="single" w:sz="4" w:space="0" w:color="auto"/>
              <w:right w:val="single" w:sz="4" w:space="0" w:color="auto"/>
            </w:tcBorders>
            <w:vAlign w:val="center"/>
          </w:tcPr>
          <w:p w14:paraId="576B2196" w14:textId="77777777" w:rsidR="00302BFE" w:rsidRPr="00412826" w:rsidRDefault="00302BFE" w:rsidP="00243B15">
            <w:pPr>
              <w:spacing w:after="0"/>
              <w:rPr>
                <w:rFonts w:eastAsia="Times New Roman"/>
                <w:sz w:val="18"/>
                <w:szCs w:val="18"/>
                <w:lang w:val="fr-FR"/>
              </w:rPr>
            </w:pPr>
          </w:p>
        </w:tc>
      </w:tr>
      <w:tr w:rsidR="00302BFE" w:rsidRPr="00412826" w14:paraId="06BE0171" w14:textId="77777777" w:rsidTr="00243B15">
        <w:trPr>
          <w:jc w:val="center"/>
        </w:trPr>
        <w:tc>
          <w:tcPr>
            <w:tcW w:w="2117" w:type="dxa"/>
            <w:tcBorders>
              <w:top w:val="single" w:sz="4" w:space="0" w:color="auto"/>
              <w:left w:val="single" w:sz="4" w:space="0" w:color="auto"/>
              <w:bottom w:val="single" w:sz="4" w:space="0" w:color="auto"/>
              <w:right w:val="single" w:sz="4" w:space="0" w:color="auto"/>
            </w:tcBorders>
            <w:vAlign w:val="center"/>
          </w:tcPr>
          <w:p w14:paraId="0E1204DE" w14:textId="77777777" w:rsidR="00302BFE" w:rsidRPr="00DC05C9" w:rsidRDefault="00302BFE" w:rsidP="00243B15">
            <w:pPr>
              <w:spacing w:after="0"/>
              <w:ind w:left="30" w:right="30"/>
              <w:rPr>
                <w:sz w:val="18"/>
                <w:szCs w:val="18"/>
                <w:lang w:val="en-CA"/>
              </w:rPr>
            </w:pPr>
            <w:proofErr w:type="spellStart"/>
            <w:r w:rsidRPr="00DC05C9">
              <w:rPr>
                <w:sz w:val="18"/>
                <w:szCs w:val="18"/>
                <w:lang w:val="en-CA"/>
              </w:rPr>
              <w:t>Silvopastoral</w:t>
            </w:r>
            <w:proofErr w:type="spellEnd"/>
            <w:r w:rsidRPr="00DC05C9">
              <w:rPr>
                <w:sz w:val="18"/>
                <w:szCs w:val="18"/>
                <w:lang w:val="en-CA"/>
              </w:rPr>
              <w:t xml:space="preserve"> and partial wildlife reserve</w:t>
            </w:r>
          </w:p>
        </w:tc>
        <w:tc>
          <w:tcPr>
            <w:tcW w:w="378" w:type="dxa"/>
            <w:tcBorders>
              <w:top w:val="single" w:sz="4" w:space="0" w:color="auto"/>
              <w:left w:val="single" w:sz="4" w:space="0" w:color="auto"/>
              <w:bottom w:val="single" w:sz="4" w:space="0" w:color="auto"/>
              <w:right w:val="single" w:sz="4" w:space="0" w:color="auto"/>
            </w:tcBorders>
            <w:vAlign w:val="center"/>
          </w:tcPr>
          <w:p w14:paraId="6451617C" w14:textId="77777777" w:rsidR="00302BFE" w:rsidRPr="00412826" w:rsidRDefault="00302BFE" w:rsidP="00243B15">
            <w:pPr>
              <w:spacing w:after="0"/>
              <w:ind w:left="30" w:right="30"/>
              <w:jc w:val="center"/>
              <w:rPr>
                <w:sz w:val="18"/>
                <w:szCs w:val="18"/>
                <w:lang w:val="fr-FR"/>
              </w:rPr>
            </w:pPr>
            <w:r w:rsidRPr="00412826">
              <w:rPr>
                <w:sz w:val="18"/>
                <w:szCs w:val="18"/>
                <w:lang w:val="fr-FR"/>
              </w:rPr>
              <w:t>1</w:t>
            </w:r>
          </w:p>
        </w:tc>
        <w:tc>
          <w:tcPr>
            <w:tcW w:w="1501" w:type="dxa"/>
            <w:tcBorders>
              <w:top w:val="single" w:sz="4" w:space="0" w:color="auto"/>
              <w:left w:val="single" w:sz="4" w:space="0" w:color="auto"/>
              <w:bottom w:val="single" w:sz="4" w:space="0" w:color="auto"/>
              <w:right w:val="single" w:sz="4" w:space="0" w:color="auto"/>
            </w:tcBorders>
            <w:vAlign w:val="center"/>
          </w:tcPr>
          <w:p w14:paraId="2115ABAA" w14:textId="77777777" w:rsidR="00302BFE" w:rsidRPr="00412826" w:rsidRDefault="00302BFE" w:rsidP="00243B15">
            <w:pPr>
              <w:spacing w:after="0"/>
              <w:ind w:left="30" w:right="30"/>
              <w:jc w:val="center"/>
              <w:rPr>
                <w:sz w:val="18"/>
                <w:szCs w:val="18"/>
                <w:lang w:val="fr-FR"/>
              </w:rPr>
            </w:pPr>
            <w:r w:rsidRPr="00412826">
              <w:rPr>
                <w:sz w:val="18"/>
                <w:szCs w:val="18"/>
                <w:lang w:val="fr-FR"/>
              </w:rPr>
              <w:t>Sahel</w:t>
            </w:r>
          </w:p>
        </w:tc>
        <w:tc>
          <w:tcPr>
            <w:tcW w:w="1127" w:type="dxa"/>
            <w:tcBorders>
              <w:top w:val="single" w:sz="4" w:space="0" w:color="auto"/>
              <w:left w:val="single" w:sz="4" w:space="0" w:color="auto"/>
              <w:bottom w:val="single" w:sz="4" w:space="0" w:color="auto"/>
              <w:right w:val="single" w:sz="4" w:space="0" w:color="auto"/>
            </w:tcBorders>
            <w:vAlign w:val="center"/>
          </w:tcPr>
          <w:p w14:paraId="57675586" w14:textId="77777777" w:rsidR="00302BFE" w:rsidRPr="00412826" w:rsidRDefault="00302BFE" w:rsidP="00243B15">
            <w:pPr>
              <w:spacing w:after="0"/>
              <w:ind w:left="30" w:right="30"/>
              <w:jc w:val="center"/>
              <w:rPr>
                <w:sz w:val="18"/>
                <w:szCs w:val="18"/>
                <w:lang w:val="fr-FR"/>
              </w:rPr>
            </w:pPr>
            <w:r w:rsidRPr="00412826">
              <w:rPr>
                <w:sz w:val="18"/>
                <w:szCs w:val="18"/>
                <w:lang w:val="fr-FR"/>
              </w:rPr>
              <w:t>1970</w:t>
            </w:r>
          </w:p>
        </w:tc>
        <w:tc>
          <w:tcPr>
            <w:tcW w:w="2097" w:type="dxa"/>
            <w:tcBorders>
              <w:top w:val="single" w:sz="4" w:space="0" w:color="auto"/>
              <w:left w:val="single" w:sz="4" w:space="0" w:color="auto"/>
              <w:bottom w:val="single" w:sz="4" w:space="0" w:color="auto"/>
              <w:right w:val="single" w:sz="4" w:space="0" w:color="auto"/>
            </w:tcBorders>
            <w:vAlign w:val="center"/>
          </w:tcPr>
          <w:p w14:paraId="3248DB6F" w14:textId="77777777" w:rsidR="00302BFE" w:rsidRPr="00412826" w:rsidRDefault="00302BFE" w:rsidP="00243B15">
            <w:pPr>
              <w:spacing w:after="0"/>
              <w:ind w:left="30" w:right="30"/>
              <w:jc w:val="center"/>
              <w:rPr>
                <w:sz w:val="18"/>
                <w:szCs w:val="18"/>
                <w:lang w:val="fr-FR"/>
              </w:rPr>
            </w:pPr>
            <w:r w:rsidRPr="00412826">
              <w:rPr>
                <w:sz w:val="18"/>
                <w:szCs w:val="18"/>
                <w:lang w:val="fr-FR"/>
              </w:rPr>
              <w:t>1</w:t>
            </w:r>
            <w:r>
              <w:rPr>
                <w:sz w:val="18"/>
                <w:szCs w:val="18"/>
                <w:lang w:val="fr-FR"/>
              </w:rPr>
              <w:t>,</w:t>
            </w:r>
            <w:r w:rsidRPr="00412826">
              <w:rPr>
                <w:sz w:val="18"/>
                <w:szCs w:val="18"/>
                <w:lang w:val="fr-FR"/>
              </w:rPr>
              <w:t>600</w:t>
            </w:r>
            <w:r>
              <w:rPr>
                <w:sz w:val="18"/>
                <w:szCs w:val="18"/>
                <w:lang w:val="fr-FR"/>
              </w:rPr>
              <w:t>,</w:t>
            </w:r>
            <w:r w:rsidRPr="00412826">
              <w:rPr>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vAlign w:val="center"/>
          </w:tcPr>
          <w:p w14:paraId="3016FE6D" w14:textId="77777777" w:rsidR="00302BFE" w:rsidRPr="00412826" w:rsidRDefault="00302BFE" w:rsidP="00243B15">
            <w:pPr>
              <w:spacing w:after="0"/>
              <w:ind w:left="30" w:right="30"/>
              <w:jc w:val="center"/>
              <w:rPr>
                <w:sz w:val="18"/>
                <w:szCs w:val="18"/>
                <w:lang w:val="fr-FR"/>
              </w:rPr>
            </w:pPr>
            <w:r w:rsidRPr="00412826">
              <w:rPr>
                <w:sz w:val="18"/>
                <w:szCs w:val="18"/>
                <w:lang w:val="fr-FR"/>
              </w:rPr>
              <w:t>VI</w:t>
            </w:r>
          </w:p>
        </w:tc>
        <w:tc>
          <w:tcPr>
            <w:tcW w:w="1682" w:type="dxa"/>
            <w:vMerge/>
            <w:tcBorders>
              <w:left w:val="single" w:sz="4" w:space="0" w:color="auto"/>
              <w:right w:val="single" w:sz="4" w:space="0" w:color="auto"/>
            </w:tcBorders>
            <w:vAlign w:val="center"/>
          </w:tcPr>
          <w:p w14:paraId="7D2B71E9" w14:textId="77777777" w:rsidR="00302BFE" w:rsidRPr="00412826" w:rsidRDefault="00302BFE" w:rsidP="00243B15">
            <w:pPr>
              <w:spacing w:after="0"/>
              <w:rPr>
                <w:rFonts w:eastAsia="Times New Roman"/>
                <w:sz w:val="18"/>
                <w:szCs w:val="18"/>
                <w:lang w:val="fr-FR"/>
              </w:rPr>
            </w:pPr>
          </w:p>
        </w:tc>
      </w:tr>
      <w:tr w:rsidR="00302BFE" w:rsidRPr="00412826" w14:paraId="5F964EF1" w14:textId="77777777" w:rsidTr="00243B15">
        <w:trPr>
          <w:jc w:val="center"/>
        </w:trPr>
        <w:tc>
          <w:tcPr>
            <w:tcW w:w="2117" w:type="dxa"/>
            <w:tcBorders>
              <w:top w:val="single" w:sz="4" w:space="0" w:color="auto"/>
              <w:left w:val="single" w:sz="4" w:space="0" w:color="auto"/>
              <w:bottom w:val="single" w:sz="4" w:space="0" w:color="auto"/>
              <w:right w:val="single" w:sz="4" w:space="0" w:color="auto"/>
            </w:tcBorders>
            <w:vAlign w:val="center"/>
          </w:tcPr>
          <w:p w14:paraId="424A0106" w14:textId="77777777" w:rsidR="00302BFE" w:rsidRPr="00DC05C9" w:rsidRDefault="00302BFE" w:rsidP="00243B15">
            <w:pPr>
              <w:spacing w:after="0"/>
              <w:ind w:left="30" w:right="30"/>
              <w:rPr>
                <w:sz w:val="18"/>
                <w:szCs w:val="18"/>
                <w:lang w:val="en-CA"/>
              </w:rPr>
            </w:pPr>
            <w:r w:rsidRPr="00DC05C9">
              <w:rPr>
                <w:sz w:val="18"/>
                <w:szCs w:val="18"/>
                <w:lang w:val="en-CA"/>
              </w:rPr>
              <w:t>Classified Forest and Partial Wildlife Reserve</w:t>
            </w:r>
          </w:p>
        </w:tc>
        <w:tc>
          <w:tcPr>
            <w:tcW w:w="378" w:type="dxa"/>
            <w:tcBorders>
              <w:top w:val="single" w:sz="4" w:space="0" w:color="auto"/>
              <w:left w:val="single" w:sz="4" w:space="0" w:color="auto"/>
              <w:bottom w:val="single" w:sz="4" w:space="0" w:color="auto"/>
              <w:right w:val="single" w:sz="4" w:space="0" w:color="auto"/>
            </w:tcBorders>
            <w:vAlign w:val="center"/>
          </w:tcPr>
          <w:p w14:paraId="2C162D21" w14:textId="77777777" w:rsidR="00302BFE" w:rsidRPr="00412826" w:rsidRDefault="00302BFE" w:rsidP="00243B15">
            <w:pPr>
              <w:spacing w:after="0"/>
              <w:ind w:left="30" w:right="30"/>
              <w:jc w:val="center"/>
              <w:rPr>
                <w:sz w:val="18"/>
                <w:szCs w:val="18"/>
                <w:lang w:val="fr-FR"/>
              </w:rPr>
            </w:pPr>
            <w:r w:rsidRPr="00412826">
              <w:rPr>
                <w:sz w:val="18"/>
                <w:szCs w:val="18"/>
                <w:lang w:val="fr-FR"/>
              </w:rPr>
              <w:t>1</w:t>
            </w:r>
          </w:p>
        </w:tc>
        <w:tc>
          <w:tcPr>
            <w:tcW w:w="1501" w:type="dxa"/>
            <w:tcBorders>
              <w:top w:val="single" w:sz="4" w:space="0" w:color="auto"/>
              <w:left w:val="single" w:sz="4" w:space="0" w:color="auto"/>
              <w:bottom w:val="single" w:sz="4" w:space="0" w:color="auto"/>
              <w:right w:val="single" w:sz="4" w:space="0" w:color="auto"/>
            </w:tcBorders>
            <w:vAlign w:val="center"/>
          </w:tcPr>
          <w:p w14:paraId="69CE1EAE" w14:textId="77777777" w:rsidR="00302BFE" w:rsidRPr="00412826" w:rsidRDefault="00302BFE" w:rsidP="00243B15">
            <w:pPr>
              <w:spacing w:after="0"/>
              <w:ind w:left="30" w:right="30"/>
              <w:jc w:val="center"/>
              <w:rPr>
                <w:sz w:val="18"/>
                <w:szCs w:val="18"/>
                <w:lang w:val="fr-FR"/>
              </w:rPr>
            </w:pPr>
            <w:r w:rsidRPr="00412826">
              <w:rPr>
                <w:sz w:val="18"/>
                <w:szCs w:val="18"/>
                <w:lang w:val="fr-FR"/>
              </w:rPr>
              <w:t>Comoé-Léraba</w:t>
            </w:r>
          </w:p>
        </w:tc>
        <w:tc>
          <w:tcPr>
            <w:tcW w:w="1127" w:type="dxa"/>
            <w:tcBorders>
              <w:top w:val="single" w:sz="4" w:space="0" w:color="auto"/>
              <w:left w:val="single" w:sz="4" w:space="0" w:color="auto"/>
              <w:bottom w:val="single" w:sz="4" w:space="0" w:color="auto"/>
              <w:right w:val="single" w:sz="4" w:space="0" w:color="auto"/>
            </w:tcBorders>
            <w:vAlign w:val="center"/>
          </w:tcPr>
          <w:p w14:paraId="237BF54B" w14:textId="77777777" w:rsidR="00302BFE" w:rsidRPr="00412826" w:rsidRDefault="00302BFE" w:rsidP="00243B15">
            <w:pPr>
              <w:spacing w:after="0"/>
              <w:ind w:left="30" w:right="30"/>
              <w:jc w:val="center"/>
              <w:rPr>
                <w:sz w:val="18"/>
                <w:szCs w:val="18"/>
                <w:lang w:val="fr-FR"/>
              </w:rPr>
            </w:pPr>
            <w:r w:rsidRPr="00412826">
              <w:rPr>
                <w:sz w:val="18"/>
                <w:szCs w:val="18"/>
                <w:lang w:val="fr-FR"/>
              </w:rPr>
              <w:t>2001</w:t>
            </w:r>
          </w:p>
        </w:tc>
        <w:tc>
          <w:tcPr>
            <w:tcW w:w="2097" w:type="dxa"/>
            <w:tcBorders>
              <w:top w:val="single" w:sz="4" w:space="0" w:color="auto"/>
              <w:left w:val="single" w:sz="4" w:space="0" w:color="auto"/>
              <w:bottom w:val="single" w:sz="4" w:space="0" w:color="auto"/>
              <w:right w:val="single" w:sz="4" w:space="0" w:color="auto"/>
            </w:tcBorders>
            <w:vAlign w:val="center"/>
          </w:tcPr>
          <w:p w14:paraId="657E104A" w14:textId="77777777" w:rsidR="00302BFE" w:rsidRPr="00412826" w:rsidRDefault="00302BFE" w:rsidP="00243B15">
            <w:pPr>
              <w:spacing w:after="0"/>
              <w:ind w:left="30" w:right="30"/>
              <w:jc w:val="center"/>
              <w:rPr>
                <w:sz w:val="18"/>
                <w:szCs w:val="18"/>
                <w:lang w:val="fr-FR"/>
              </w:rPr>
            </w:pPr>
            <w:r w:rsidRPr="00412826">
              <w:rPr>
                <w:sz w:val="18"/>
                <w:szCs w:val="18"/>
                <w:lang w:val="fr-FR"/>
              </w:rPr>
              <w:t>124</w:t>
            </w:r>
            <w:r>
              <w:rPr>
                <w:sz w:val="18"/>
                <w:szCs w:val="18"/>
                <w:lang w:val="fr-FR"/>
              </w:rPr>
              <w:t>,</w:t>
            </w:r>
            <w:r w:rsidRPr="00412826">
              <w:rPr>
                <w:sz w:val="18"/>
                <w:szCs w:val="18"/>
                <w:lang w:val="fr-FR"/>
              </w:rPr>
              <w:t>500</w:t>
            </w:r>
          </w:p>
        </w:tc>
        <w:tc>
          <w:tcPr>
            <w:tcW w:w="850" w:type="dxa"/>
            <w:tcBorders>
              <w:top w:val="single" w:sz="4" w:space="0" w:color="auto"/>
              <w:left w:val="single" w:sz="4" w:space="0" w:color="auto"/>
              <w:bottom w:val="single" w:sz="4" w:space="0" w:color="auto"/>
              <w:right w:val="single" w:sz="4" w:space="0" w:color="auto"/>
            </w:tcBorders>
            <w:vAlign w:val="center"/>
          </w:tcPr>
          <w:p w14:paraId="3043E31D" w14:textId="77777777" w:rsidR="00302BFE" w:rsidRPr="00412826" w:rsidRDefault="00302BFE" w:rsidP="00243B15">
            <w:pPr>
              <w:spacing w:after="0"/>
              <w:ind w:left="30" w:right="30"/>
              <w:jc w:val="center"/>
              <w:rPr>
                <w:sz w:val="18"/>
                <w:szCs w:val="18"/>
                <w:lang w:val="fr-FR"/>
              </w:rPr>
            </w:pPr>
            <w:r w:rsidRPr="00412826">
              <w:rPr>
                <w:sz w:val="18"/>
                <w:szCs w:val="18"/>
                <w:lang w:val="fr-FR"/>
              </w:rPr>
              <w:t>IV</w:t>
            </w:r>
          </w:p>
        </w:tc>
        <w:tc>
          <w:tcPr>
            <w:tcW w:w="1682" w:type="dxa"/>
            <w:vMerge/>
            <w:tcBorders>
              <w:left w:val="single" w:sz="4" w:space="0" w:color="auto"/>
              <w:right w:val="single" w:sz="4" w:space="0" w:color="auto"/>
            </w:tcBorders>
            <w:vAlign w:val="center"/>
          </w:tcPr>
          <w:p w14:paraId="376CAF85" w14:textId="77777777" w:rsidR="00302BFE" w:rsidRPr="00412826" w:rsidRDefault="00302BFE" w:rsidP="00243B15">
            <w:pPr>
              <w:spacing w:after="0"/>
              <w:rPr>
                <w:rFonts w:eastAsia="Times New Roman"/>
                <w:sz w:val="18"/>
                <w:szCs w:val="18"/>
                <w:lang w:val="fr-FR"/>
              </w:rPr>
            </w:pPr>
          </w:p>
        </w:tc>
      </w:tr>
      <w:tr w:rsidR="00302BFE" w:rsidRPr="00412826" w14:paraId="74E65F0D" w14:textId="77777777" w:rsidTr="00243B15">
        <w:trPr>
          <w:jc w:val="center"/>
        </w:trPr>
        <w:tc>
          <w:tcPr>
            <w:tcW w:w="2117" w:type="dxa"/>
            <w:tcBorders>
              <w:top w:val="single" w:sz="4" w:space="0" w:color="auto"/>
              <w:left w:val="single" w:sz="4" w:space="0" w:color="auto"/>
              <w:bottom w:val="single" w:sz="4" w:space="0" w:color="auto"/>
              <w:right w:val="single" w:sz="4" w:space="0" w:color="auto"/>
            </w:tcBorders>
            <w:vAlign w:val="center"/>
            <w:hideMark/>
          </w:tcPr>
          <w:p w14:paraId="245F5449" w14:textId="77777777" w:rsidR="00302BFE" w:rsidRPr="00D47BC5" w:rsidRDefault="00302BFE" w:rsidP="00243B15">
            <w:pPr>
              <w:spacing w:after="0"/>
              <w:ind w:left="30" w:right="30"/>
              <w:rPr>
                <w:sz w:val="18"/>
                <w:szCs w:val="18"/>
                <w:lang w:val="en-CA"/>
              </w:rPr>
            </w:pPr>
            <w:r w:rsidRPr="00D47BC5">
              <w:rPr>
                <w:sz w:val="18"/>
                <w:szCs w:val="18"/>
                <w:lang w:val="en-CA"/>
              </w:rPr>
              <w:t>Classified Forest and Game Ranch</w:t>
            </w:r>
          </w:p>
        </w:tc>
        <w:tc>
          <w:tcPr>
            <w:tcW w:w="378" w:type="dxa"/>
            <w:tcBorders>
              <w:top w:val="single" w:sz="4" w:space="0" w:color="auto"/>
              <w:left w:val="single" w:sz="4" w:space="0" w:color="auto"/>
              <w:bottom w:val="single" w:sz="4" w:space="0" w:color="auto"/>
              <w:right w:val="single" w:sz="4" w:space="0" w:color="auto"/>
            </w:tcBorders>
            <w:vAlign w:val="center"/>
            <w:hideMark/>
          </w:tcPr>
          <w:p w14:paraId="78313B19" w14:textId="77777777" w:rsidR="00302BFE" w:rsidRPr="00412826" w:rsidRDefault="00302BFE" w:rsidP="00243B15">
            <w:pPr>
              <w:spacing w:after="0"/>
              <w:ind w:left="30" w:right="30"/>
              <w:jc w:val="center"/>
              <w:rPr>
                <w:sz w:val="18"/>
                <w:szCs w:val="18"/>
                <w:lang w:val="fr-FR"/>
              </w:rPr>
            </w:pPr>
            <w:r w:rsidRPr="00412826">
              <w:rPr>
                <w:sz w:val="18"/>
                <w:szCs w:val="18"/>
                <w:lang w:val="fr-FR"/>
              </w:rPr>
              <w:t>1</w:t>
            </w:r>
          </w:p>
        </w:tc>
        <w:tc>
          <w:tcPr>
            <w:tcW w:w="1501" w:type="dxa"/>
            <w:tcBorders>
              <w:top w:val="single" w:sz="4" w:space="0" w:color="auto"/>
              <w:left w:val="single" w:sz="4" w:space="0" w:color="auto"/>
              <w:bottom w:val="single" w:sz="4" w:space="0" w:color="auto"/>
              <w:right w:val="single" w:sz="4" w:space="0" w:color="auto"/>
            </w:tcBorders>
            <w:vAlign w:val="center"/>
          </w:tcPr>
          <w:p w14:paraId="13B53255" w14:textId="77777777" w:rsidR="00302BFE" w:rsidRPr="00412826" w:rsidRDefault="00302BFE" w:rsidP="00243B15">
            <w:pPr>
              <w:spacing w:after="0"/>
              <w:ind w:left="30" w:right="30"/>
              <w:jc w:val="center"/>
              <w:rPr>
                <w:sz w:val="18"/>
                <w:szCs w:val="18"/>
                <w:lang w:val="fr-FR"/>
              </w:rPr>
            </w:pPr>
            <w:proofErr w:type="spellStart"/>
            <w:r w:rsidRPr="00412826">
              <w:rPr>
                <w:sz w:val="18"/>
                <w:szCs w:val="18"/>
                <w:lang w:val="fr-FR"/>
              </w:rPr>
              <w:t>Nazinga</w:t>
            </w:r>
            <w:proofErr w:type="spellEnd"/>
          </w:p>
        </w:tc>
        <w:tc>
          <w:tcPr>
            <w:tcW w:w="1127" w:type="dxa"/>
            <w:tcBorders>
              <w:top w:val="single" w:sz="4" w:space="0" w:color="auto"/>
              <w:left w:val="single" w:sz="4" w:space="0" w:color="auto"/>
              <w:bottom w:val="single" w:sz="4" w:space="0" w:color="auto"/>
              <w:right w:val="single" w:sz="4" w:space="0" w:color="auto"/>
            </w:tcBorders>
            <w:vAlign w:val="center"/>
          </w:tcPr>
          <w:p w14:paraId="2958B149" w14:textId="77777777" w:rsidR="00302BFE" w:rsidRPr="00412826" w:rsidRDefault="00302BFE" w:rsidP="00243B15">
            <w:pPr>
              <w:spacing w:after="0"/>
              <w:ind w:left="30" w:right="30"/>
              <w:jc w:val="center"/>
              <w:rPr>
                <w:sz w:val="18"/>
                <w:szCs w:val="18"/>
                <w:lang w:val="fr-FR"/>
              </w:rPr>
            </w:pPr>
            <w:r w:rsidRPr="00412826">
              <w:rPr>
                <w:sz w:val="18"/>
                <w:szCs w:val="18"/>
                <w:lang w:val="fr-FR"/>
              </w:rPr>
              <w:t>2000</w:t>
            </w:r>
          </w:p>
        </w:tc>
        <w:tc>
          <w:tcPr>
            <w:tcW w:w="2097" w:type="dxa"/>
            <w:tcBorders>
              <w:top w:val="single" w:sz="4" w:space="0" w:color="auto"/>
              <w:left w:val="single" w:sz="4" w:space="0" w:color="auto"/>
              <w:bottom w:val="single" w:sz="4" w:space="0" w:color="auto"/>
              <w:right w:val="single" w:sz="4" w:space="0" w:color="auto"/>
            </w:tcBorders>
            <w:vAlign w:val="center"/>
            <w:hideMark/>
          </w:tcPr>
          <w:p w14:paraId="4A95FF28" w14:textId="77777777" w:rsidR="00302BFE" w:rsidRPr="00412826" w:rsidRDefault="00302BFE" w:rsidP="00243B15">
            <w:pPr>
              <w:spacing w:after="0"/>
              <w:ind w:left="30" w:right="30"/>
              <w:jc w:val="center"/>
              <w:rPr>
                <w:sz w:val="18"/>
                <w:szCs w:val="18"/>
                <w:lang w:val="fr-FR"/>
              </w:rPr>
            </w:pPr>
            <w:r w:rsidRPr="00412826">
              <w:rPr>
                <w:sz w:val="18"/>
                <w:szCs w:val="18"/>
                <w:lang w:val="fr-FR"/>
              </w:rPr>
              <w:t>91</w:t>
            </w:r>
            <w:r>
              <w:rPr>
                <w:sz w:val="18"/>
                <w:szCs w:val="18"/>
                <w:lang w:val="fr-FR"/>
              </w:rPr>
              <w:t>,</w:t>
            </w:r>
            <w:r w:rsidRPr="00412826">
              <w:rPr>
                <w:sz w:val="18"/>
                <w:szCs w:val="18"/>
                <w:lang w:val="fr-FR"/>
              </w:rPr>
              <w:t>300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76A7FDD" w14:textId="77777777" w:rsidR="00302BFE" w:rsidRPr="00412826" w:rsidRDefault="00302BFE" w:rsidP="00243B15">
            <w:pPr>
              <w:spacing w:after="0"/>
              <w:ind w:left="30" w:right="30"/>
              <w:jc w:val="center"/>
              <w:rPr>
                <w:sz w:val="18"/>
                <w:szCs w:val="18"/>
                <w:lang w:val="fr-FR"/>
              </w:rPr>
            </w:pPr>
            <w:r w:rsidRPr="00412826">
              <w:rPr>
                <w:sz w:val="18"/>
                <w:szCs w:val="18"/>
                <w:lang w:val="fr-FR"/>
              </w:rPr>
              <w:t>VI</w:t>
            </w:r>
          </w:p>
        </w:tc>
        <w:tc>
          <w:tcPr>
            <w:tcW w:w="1682" w:type="dxa"/>
            <w:vMerge/>
            <w:tcBorders>
              <w:left w:val="single" w:sz="4" w:space="0" w:color="auto"/>
              <w:right w:val="single" w:sz="4" w:space="0" w:color="auto"/>
            </w:tcBorders>
            <w:vAlign w:val="center"/>
            <w:hideMark/>
          </w:tcPr>
          <w:p w14:paraId="4BB8356C" w14:textId="77777777" w:rsidR="00302BFE" w:rsidRPr="00412826" w:rsidRDefault="00302BFE" w:rsidP="00243B15">
            <w:pPr>
              <w:spacing w:after="0"/>
              <w:rPr>
                <w:rFonts w:eastAsia="Times New Roman"/>
                <w:sz w:val="18"/>
                <w:szCs w:val="18"/>
                <w:lang w:val="fr-FR"/>
              </w:rPr>
            </w:pPr>
          </w:p>
        </w:tc>
      </w:tr>
      <w:tr w:rsidR="00302BFE" w:rsidRPr="00412826" w14:paraId="6ABF3A39" w14:textId="77777777" w:rsidTr="00243B15">
        <w:trPr>
          <w:trHeight w:val="50"/>
          <w:jc w:val="center"/>
        </w:trPr>
        <w:tc>
          <w:tcPr>
            <w:tcW w:w="2117" w:type="dxa"/>
            <w:tcBorders>
              <w:top w:val="single" w:sz="4" w:space="0" w:color="auto"/>
              <w:left w:val="single" w:sz="4" w:space="0" w:color="auto"/>
              <w:bottom w:val="single" w:sz="4" w:space="0" w:color="auto"/>
              <w:right w:val="single" w:sz="4" w:space="0" w:color="auto"/>
            </w:tcBorders>
            <w:vAlign w:val="center"/>
            <w:hideMark/>
          </w:tcPr>
          <w:p w14:paraId="44D9685D" w14:textId="77777777" w:rsidR="00302BFE" w:rsidRPr="00D47BC5" w:rsidRDefault="00302BFE" w:rsidP="00243B15">
            <w:pPr>
              <w:spacing w:after="0"/>
              <w:ind w:left="30" w:right="30"/>
              <w:jc w:val="left"/>
              <w:rPr>
                <w:sz w:val="18"/>
                <w:szCs w:val="18"/>
                <w:lang w:val="en-CA"/>
              </w:rPr>
            </w:pPr>
            <w:r w:rsidRPr="00D47BC5">
              <w:rPr>
                <w:sz w:val="18"/>
                <w:szCs w:val="18"/>
                <w:lang w:val="en-CA"/>
              </w:rPr>
              <w:t>Classified Forests* (traditional use of resources allowed)</w:t>
            </w:r>
          </w:p>
        </w:tc>
        <w:tc>
          <w:tcPr>
            <w:tcW w:w="378" w:type="dxa"/>
            <w:tcBorders>
              <w:top w:val="single" w:sz="4" w:space="0" w:color="auto"/>
              <w:left w:val="single" w:sz="4" w:space="0" w:color="auto"/>
              <w:bottom w:val="single" w:sz="4" w:space="0" w:color="auto"/>
              <w:right w:val="single" w:sz="4" w:space="0" w:color="auto"/>
            </w:tcBorders>
            <w:vAlign w:val="center"/>
            <w:hideMark/>
          </w:tcPr>
          <w:p w14:paraId="63858E53" w14:textId="77777777" w:rsidR="00302BFE" w:rsidRPr="00412826" w:rsidRDefault="00302BFE" w:rsidP="00243B15">
            <w:pPr>
              <w:spacing w:after="0"/>
              <w:ind w:left="30" w:right="30"/>
              <w:jc w:val="center"/>
              <w:rPr>
                <w:sz w:val="18"/>
                <w:szCs w:val="18"/>
                <w:lang w:val="fr-FR"/>
              </w:rPr>
            </w:pPr>
            <w:r w:rsidRPr="00412826">
              <w:rPr>
                <w:sz w:val="18"/>
                <w:szCs w:val="18"/>
                <w:lang w:val="fr-FR"/>
              </w:rPr>
              <w:t>72</w:t>
            </w:r>
          </w:p>
        </w:tc>
        <w:tc>
          <w:tcPr>
            <w:tcW w:w="1501" w:type="dxa"/>
            <w:tcBorders>
              <w:top w:val="single" w:sz="4" w:space="0" w:color="auto"/>
              <w:left w:val="single" w:sz="4" w:space="0" w:color="auto"/>
              <w:bottom w:val="single" w:sz="4" w:space="0" w:color="auto"/>
              <w:right w:val="single" w:sz="4" w:space="0" w:color="auto"/>
            </w:tcBorders>
            <w:vAlign w:val="center"/>
          </w:tcPr>
          <w:p w14:paraId="15B1FE7D" w14:textId="77777777" w:rsidR="00302BFE" w:rsidRPr="00412826" w:rsidRDefault="00302BFE" w:rsidP="00243B15">
            <w:pPr>
              <w:spacing w:after="0"/>
              <w:ind w:left="30" w:right="30"/>
              <w:jc w:val="center"/>
              <w:rPr>
                <w:sz w:val="18"/>
                <w:szCs w:val="18"/>
                <w:lang w:val="fr-FR"/>
              </w:rPr>
            </w:pPr>
          </w:p>
        </w:tc>
        <w:tc>
          <w:tcPr>
            <w:tcW w:w="1127" w:type="dxa"/>
            <w:tcBorders>
              <w:top w:val="single" w:sz="4" w:space="0" w:color="auto"/>
              <w:left w:val="single" w:sz="4" w:space="0" w:color="auto"/>
              <w:bottom w:val="single" w:sz="4" w:space="0" w:color="auto"/>
              <w:right w:val="single" w:sz="4" w:space="0" w:color="auto"/>
            </w:tcBorders>
            <w:vAlign w:val="center"/>
          </w:tcPr>
          <w:p w14:paraId="687CD04F" w14:textId="77777777" w:rsidR="00302BFE" w:rsidRPr="00412826" w:rsidRDefault="00302BFE" w:rsidP="00243B15">
            <w:pPr>
              <w:spacing w:after="0"/>
              <w:ind w:left="30" w:right="30"/>
              <w:jc w:val="center"/>
              <w:rPr>
                <w:sz w:val="18"/>
                <w:szCs w:val="18"/>
                <w:lang w:val="fr-FR"/>
              </w:rPr>
            </w:pPr>
          </w:p>
        </w:tc>
        <w:tc>
          <w:tcPr>
            <w:tcW w:w="2097" w:type="dxa"/>
            <w:tcBorders>
              <w:top w:val="single" w:sz="4" w:space="0" w:color="auto"/>
              <w:left w:val="single" w:sz="4" w:space="0" w:color="auto"/>
              <w:bottom w:val="single" w:sz="4" w:space="0" w:color="auto"/>
              <w:right w:val="single" w:sz="4" w:space="0" w:color="auto"/>
            </w:tcBorders>
            <w:vAlign w:val="center"/>
            <w:hideMark/>
          </w:tcPr>
          <w:p w14:paraId="17504ACE" w14:textId="77777777" w:rsidR="00302BFE" w:rsidRPr="00412826" w:rsidRDefault="00302BFE" w:rsidP="00243B15">
            <w:pPr>
              <w:spacing w:after="0"/>
              <w:ind w:left="30" w:right="30"/>
              <w:jc w:val="center"/>
              <w:rPr>
                <w:sz w:val="18"/>
                <w:szCs w:val="18"/>
                <w:lang w:val="fr-FR"/>
              </w:rPr>
            </w:pPr>
            <w:r w:rsidRPr="00412826">
              <w:rPr>
                <w:sz w:val="18"/>
                <w:szCs w:val="18"/>
                <w:lang w:val="fr-FR"/>
              </w:rPr>
              <w:t>880</w:t>
            </w:r>
            <w:r>
              <w:rPr>
                <w:sz w:val="18"/>
                <w:szCs w:val="18"/>
                <w:lang w:val="fr-FR"/>
              </w:rPr>
              <w:t>,</w:t>
            </w:r>
            <w:r w:rsidRPr="00412826">
              <w:rPr>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E528E15" w14:textId="77777777" w:rsidR="00302BFE" w:rsidRPr="00412826" w:rsidRDefault="00302BFE" w:rsidP="00243B15">
            <w:pPr>
              <w:spacing w:after="0"/>
              <w:ind w:left="30" w:right="30"/>
              <w:jc w:val="center"/>
              <w:rPr>
                <w:sz w:val="18"/>
                <w:szCs w:val="18"/>
                <w:lang w:val="fr-FR"/>
              </w:rPr>
            </w:pPr>
            <w:r w:rsidRPr="00412826">
              <w:rPr>
                <w:sz w:val="18"/>
                <w:szCs w:val="18"/>
                <w:lang w:val="fr-FR"/>
              </w:rPr>
              <w:t>VI</w:t>
            </w:r>
          </w:p>
        </w:tc>
        <w:tc>
          <w:tcPr>
            <w:tcW w:w="1682" w:type="dxa"/>
            <w:vMerge/>
            <w:tcBorders>
              <w:left w:val="single" w:sz="4" w:space="0" w:color="auto"/>
              <w:right w:val="single" w:sz="4" w:space="0" w:color="auto"/>
            </w:tcBorders>
            <w:vAlign w:val="center"/>
            <w:hideMark/>
          </w:tcPr>
          <w:p w14:paraId="4021C63F" w14:textId="77777777" w:rsidR="00302BFE" w:rsidRPr="00412826" w:rsidRDefault="00302BFE" w:rsidP="00243B15">
            <w:pPr>
              <w:spacing w:after="0"/>
              <w:rPr>
                <w:rFonts w:eastAsia="Times New Roman"/>
                <w:sz w:val="18"/>
                <w:szCs w:val="18"/>
                <w:lang w:val="fr-FR"/>
              </w:rPr>
            </w:pPr>
          </w:p>
        </w:tc>
      </w:tr>
      <w:tr w:rsidR="00302BFE" w:rsidRPr="00412826" w14:paraId="0E16555C" w14:textId="77777777" w:rsidTr="00243B15">
        <w:trPr>
          <w:trHeight w:val="50"/>
          <w:jc w:val="center"/>
        </w:trPr>
        <w:tc>
          <w:tcPr>
            <w:tcW w:w="2117" w:type="dxa"/>
            <w:vMerge w:val="restart"/>
            <w:tcBorders>
              <w:top w:val="single" w:sz="4" w:space="0" w:color="auto"/>
              <w:left w:val="single" w:sz="4" w:space="0" w:color="auto"/>
              <w:right w:val="single" w:sz="4" w:space="0" w:color="auto"/>
            </w:tcBorders>
            <w:vAlign w:val="center"/>
          </w:tcPr>
          <w:p w14:paraId="452986A8" w14:textId="77777777" w:rsidR="00302BFE" w:rsidRPr="00412826" w:rsidRDefault="00302BFE" w:rsidP="00243B15">
            <w:pPr>
              <w:spacing w:after="0"/>
              <w:ind w:left="30" w:right="30"/>
              <w:rPr>
                <w:sz w:val="18"/>
                <w:szCs w:val="18"/>
                <w:lang w:val="fr-FR"/>
              </w:rPr>
            </w:pPr>
            <w:proofErr w:type="spellStart"/>
            <w:r w:rsidRPr="00D47BC5">
              <w:rPr>
                <w:sz w:val="18"/>
                <w:szCs w:val="18"/>
                <w:lang w:val="fr-FR"/>
              </w:rPr>
              <w:t>Wildlife</w:t>
            </w:r>
            <w:proofErr w:type="spellEnd"/>
            <w:r w:rsidRPr="00D47BC5">
              <w:rPr>
                <w:sz w:val="18"/>
                <w:szCs w:val="18"/>
                <w:lang w:val="fr-FR"/>
              </w:rPr>
              <w:t xml:space="preserve"> corridors</w:t>
            </w:r>
          </w:p>
        </w:tc>
        <w:tc>
          <w:tcPr>
            <w:tcW w:w="378" w:type="dxa"/>
            <w:vMerge w:val="restart"/>
            <w:tcBorders>
              <w:top w:val="single" w:sz="4" w:space="0" w:color="auto"/>
              <w:left w:val="single" w:sz="4" w:space="0" w:color="auto"/>
              <w:right w:val="single" w:sz="4" w:space="0" w:color="auto"/>
            </w:tcBorders>
            <w:vAlign w:val="center"/>
          </w:tcPr>
          <w:p w14:paraId="651FAEB9" w14:textId="77777777" w:rsidR="00302BFE" w:rsidRPr="00412826" w:rsidRDefault="00302BFE" w:rsidP="00243B15">
            <w:pPr>
              <w:spacing w:after="0"/>
              <w:ind w:left="30" w:right="30"/>
              <w:jc w:val="center"/>
              <w:rPr>
                <w:sz w:val="18"/>
                <w:szCs w:val="18"/>
                <w:lang w:val="fr-FR"/>
              </w:rPr>
            </w:pPr>
            <w:r w:rsidRPr="00412826">
              <w:rPr>
                <w:sz w:val="18"/>
                <w:szCs w:val="18"/>
                <w:lang w:val="fr-FR"/>
              </w:rPr>
              <w:t>2</w:t>
            </w:r>
          </w:p>
        </w:tc>
        <w:tc>
          <w:tcPr>
            <w:tcW w:w="1501" w:type="dxa"/>
            <w:tcBorders>
              <w:top w:val="single" w:sz="4" w:space="0" w:color="auto"/>
              <w:left w:val="single" w:sz="4" w:space="0" w:color="auto"/>
              <w:bottom w:val="single" w:sz="4" w:space="0" w:color="auto"/>
              <w:right w:val="single" w:sz="4" w:space="0" w:color="auto"/>
            </w:tcBorders>
            <w:vAlign w:val="center"/>
          </w:tcPr>
          <w:p w14:paraId="0B7EEB4B" w14:textId="77777777" w:rsidR="00302BFE" w:rsidRPr="00412826" w:rsidRDefault="00302BFE" w:rsidP="00243B15">
            <w:pPr>
              <w:spacing w:after="0"/>
              <w:ind w:left="30" w:right="30"/>
              <w:jc w:val="center"/>
              <w:rPr>
                <w:sz w:val="18"/>
                <w:szCs w:val="18"/>
                <w:lang w:val="fr-FR"/>
              </w:rPr>
            </w:pPr>
            <w:r w:rsidRPr="00412826">
              <w:rPr>
                <w:sz w:val="18"/>
                <w:szCs w:val="18"/>
                <w:lang w:val="fr-FR"/>
              </w:rPr>
              <w:t>1</w:t>
            </w:r>
          </w:p>
        </w:tc>
        <w:tc>
          <w:tcPr>
            <w:tcW w:w="1127" w:type="dxa"/>
            <w:tcBorders>
              <w:top w:val="single" w:sz="4" w:space="0" w:color="auto"/>
              <w:left w:val="single" w:sz="4" w:space="0" w:color="auto"/>
              <w:bottom w:val="single" w:sz="4" w:space="0" w:color="auto"/>
              <w:right w:val="single" w:sz="4" w:space="0" w:color="auto"/>
            </w:tcBorders>
            <w:vAlign w:val="center"/>
          </w:tcPr>
          <w:p w14:paraId="1F1547EE" w14:textId="77777777" w:rsidR="00302BFE" w:rsidRPr="00412826" w:rsidRDefault="00302BFE" w:rsidP="00243B15">
            <w:pPr>
              <w:spacing w:after="0"/>
              <w:ind w:left="30" w:right="30"/>
              <w:jc w:val="center"/>
              <w:rPr>
                <w:sz w:val="18"/>
                <w:szCs w:val="18"/>
                <w:lang w:val="fr-FR"/>
              </w:rPr>
            </w:pPr>
            <w:r w:rsidRPr="00412826">
              <w:rPr>
                <w:sz w:val="18"/>
                <w:szCs w:val="18"/>
                <w:lang w:val="fr-FR"/>
              </w:rPr>
              <w:t>(</w:t>
            </w:r>
            <w:proofErr w:type="gramStart"/>
            <w:r>
              <w:rPr>
                <w:sz w:val="18"/>
                <w:szCs w:val="18"/>
                <w:lang w:val="fr-FR"/>
              </w:rPr>
              <w:t>not</w:t>
            </w:r>
            <w:proofErr w:type="gramEnd"/>
            <w:r>
              <w:rPr>
                <w:sz w:val="18"/>
                <w:szCs w:val="18"/>
                <w:lang w:val="fr-FR"/>
              </w:rPr>
              <w:t xml:space="preserve"> </w:t>
            </w:r>
            <w:proofErr w:type="spellStart"/>
            <w:r>
              <w:rPr>
                <w:sz w:val="18"/>
                <w:szCs w:val="18"/>
                <w:lang w:val="fr-FR"/>
              </w:rPr>
              <w:t>legally</w:t>
            </w:r>
            <w:proofErr w:type="spellEnd"/>
            <w:r>
              <w:rPr>
                <w:sz w:val="18"/>
                <w:szCs w:val="18"/>
                <w:lang w:val="fr-FR"/>
              </w:rPr>
              <w:t xml:space="preserve"> </w:t>
            </w:r>
            <w:proofErr w:type="spellStart"/>
            <w:r>
              <w:rPr>
                <w:sz w:val="18"/>
                <w:szCs w:val="18"/>
                <w:lang w:val="fr-FR"/>
              </w:rPr>
              <w:t>created</w:t>
            </w:r>
            <w:proofErr w:type="spellEnd"/>
            <w:r w:rsidRPr="00412826">
              <w:rPr>
                <w:sz w:val="18"/>
                <w:szCs w:val="18"/>
                <w:lang w:val="fr-FR"/>
              </w:rPr>
              <w:t>)</w:t>
            </w:r>
          </w:p>
        </w:tc>
        <w:tc>
          <w:tcPr>
            <w:tcW w:w="2097" w:type="dxa"/>
            <w:tcBorders>
              <w:top w:val="single" w:sz="4" w:space="0" w:color="auto"/>
              <w:left w:val="single" w:sz="4" w:space="0" w:color="auto"/>
              <w:bottom w:val="single" w:sz="4" w:space="0" w:color="auto"/>
              <w:right w:val="single" w:sz="4" w:space="0" w:color="auto"/>
            </w:tcBorders>
            <w:vAlign w:val="center"/>
          </w:tcPr>
          <w:p w14:paraId="0E754B55" w14:textId="77777777" w:rsidR="00302BFE" w:rsidRPr="00412826" w:rsidRDefault="00302BFE" w:rsidP="00243B15">
            <w:pPr>
              <w:spacing w:after="0"/>
              <w:ind w:left="30" w:right="30"/>
              <w:jc w:val="center"/>
              <w:rPr>
                <w:sz w:val="18"/>
                <w:szCs w:val="18"/>
                <w:lang w:val="fr-FR"/>
              </w:rPr>
            </w:pPr>
            <w:r w:rsidRPr="00412826">
              <w:rPr>
                <w:sz w:val="18"/>
                <w:szCs w:val="18"/>
                <w:lang w:val="fr-FR"/>
              </w:rPr>
              <w:t>4</w:t>
            </w:r>
            <w:r>
              <w:rPr>
                <w:sz w:val="18"/>
                <w:szCs w:val="18"/>
                <w:lang w:val="fr-FR"/>
              </w:rPr>
              <w:t>,</w:t>
            </w:r>
            <w:r w:rsidRPr="00412826">
              <w:rPr>
                <w:sz w:val="18"/>
                <w:szCs w:val="18"/>
                <w:lang w:val="fr-FR"/>
              </w:rPr>
              <w:t>500</w:t>
            </w:r>
          </w:p>
        </w:tc>
        <w:tc>
          <w:tcPr>
            <w:tcW w:w="850" w:type="dxa"/>
            <w:tcBorders>
              <w:top w:val="single" w:sz="4" w:space="0" w:color="auto"/>
              <w:left w:val="single" w:sz="4" w:space="0" w:color="auto"/>
              <w:bottom w:val="single" w:sz="4" w:space="0" w:color="auto"/>
              <w:right w:val="single" w:sz="4" w:space="0" w:color="auto"/>
            </w:tcBorders>
            <w:vAlign w:val="center"/>
          </w:tcPr>
          <w:p w14:paraId="44D7B580" w14:textId="77777777" w:rsidR="00302BFE" w:rsidRPr="00412826" w:rsidRDefault="00302BFE" w:rsidP="00243B15">
            <w:pPr>
              <w:spacing w:after="0"/>
              <w:ind w:left="30" w:right="30"/>
              <w:jc w:val="center"/>
              <w:rPr>
                <w:sz w:val="18"/>
                <w:szCs w:val="18"/>
                <w:lang w:val="fr-FR"/>
              </w:rPr>
            </w:pPr>
            <w:r w:rsidRPr="00412826">
              <w:rPr>
                <w:sz w:val="18"/>
                <w:szCs w:val="18"/>
                <w:lang w:val="fr-FR"/>
              </w:rPr>
              <w:t>IV</w:t>
            </w:r>
          </w:p>
        </w:tc>
        <w:tc>
          <w:tcPr>
            <w:tcW w:w="1682" w:type="dxa"/>
            <w:vMerge/>
            <w:tcBorders>
              <w:left w:val="single" w:sz="4" w:space="0" w:color="auto"/>
              <w:right w:val="single" w:sz="4" w:space="0" w:color="auto"/>
            </w:tcBorders>
            <w:vAlign w:val="center"/>
          </w:tcPr>
          <w:p w14:paraId="225ABD21" w14:textId="77777777" w:rsidR="00302BFE" w:rsidRPr="00412826" w:rsidRDefault="00302BFE" w:rsidP="00243B15">
            <w:pPr>
              <w:spacing w:after="0"/>
              <w:rPr>
                <w:rFonts w:eastAsia="Times New Roman"/>
                <w:sz w:val="18"/>
                <w:szCs w:val="18"/>
                <w:lang w:val="fr-FR"/>
              </w:rPr>
            </w:pPr>
          </w:p>
        </w:tc>
      </w:tr>
      <w:tr w:rsidR="00302BFE" w:rsidRPr="00412826" w14:paraId="11546AF2" w14:textId="77777777" w:rsidTr="00243B15">
        <w:trPr>
          <w:trHeight w:val="50"/>
          <w:jc w:val="center"/>
        </w:trPr>
        <w:tc>
          <w:tcPr>
            <w:tcW w:w="2117" w:type="dxa"/>
            <w:vMerge/>
            <w:tcBorders>
              <w:left w:val="single" w:sz="4" w:space="0" w:color="auto"/>
              <w:bottom w:val="single" w:sz="4" w:space="0" w:color="auto"/>
              <w:right w:val="single" w:sz="4" w:space="0" w:color="auto"/>
            </w:tcBorders>
            <w:vAlign w:val="center"/>
          </w:tcPr>
          <w:p w14:paraId="09D57102"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bottom w:val="single" w:sz="4" w:space="0" w:color="auto"/>
              <w:right w:val="single" w:sz="4" w:space="0" w:color="auto"/>
            </w:tcBorders>
            <w:vAlign w:val="center"/>
          </w:tcPr>
          <w:p w14:paraId="5C5D113F"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796B8E93" w14:textId="77777777" w:rsidR="00302BFE" w:rsidRPr="00412826" w:rsidRDefault="00302BFE" w:rsidP="00243B15">
            <w:pPr>
              <w:spacing w:after="0"/>
              <w:ind w:left="30" w:right="30"/>
              <w:jc w:val="center"/>
              <w:rPr>
                <w:sz w:val="18"/>
                <w:szCs w:val="18"/>
                <w:lang w:val="fr-FR"/>
              </w:rPr>
            </w:pPr>
            <w:r w:rsidRPr="00412826">
              <w:rPr>
                <w:sz w:val="18"/>
                <w:szCs w:val="18"/>
                <w:lang w:val="fr-FR"/>
              </w:rPr>
              <w:t>2</w:t>
            </w:r>
          </w:p>
        </w:tc>
        <w:tc>
          <w:tcPr>
            <w:tcW w:w="1127" w:type="dxa"/>
            <w:tcBorders>
              <w:top w:val="single" w:sz="4" w:space="0" w:color="auto"/>
              <w:left w:val="single" w:sz="4" w:space="0" w:color="auto"/>
              <w:bottom w:val="single" w:sz="4" w:space="0" w:color="auto"/>
              <w:right w:val="single" w:sz="4" w:space="0" w:color="auto"/>
            </w:tcBorders>
            <w:vAlign w:val="center"/>
          </w:tcPr>
          <w:p w14:paraId="2E49A4CD" w14:textId="77777777" w:rsidR="00302BFE" w:rsidRPr="00412826" w:rsidRDefault="00302BFE" w:rsidP="00243B15">
            <w:pPr>
              <w:spacing w:after="0"/>
              <w:ind w:left="30" w:right="30"/>
              <w:jc w:val="center"/>
              <w:rPr>
                <w:sz w:val="18"/>
                <w:szCs w:val="18"/>
                <w:lang w:val="fr-FR"/>
              </w:rPr>
            </w:pPr>
            <w:r w:rsidRPr="00412826">
              <w:rPr>
                <w:sz w:val="18"/>
                <w:szCs w:val="18"/>
                <w:lang w:val="fr-FR"/>
              </w:rPr>
              <w:t>(</w:t>
            </w:r>
            <w:proofErr w:type="gramStart"/>
            <w:r>
              <w:rPr>
                <w:sz w:val="18"/>
                <w:szCs w:val="18"/>
                <w:lang w:val="fr-FR"/>
              </w:rPr>
              <w:t>not</w:t>
            </w:r>
            <w:proofErr w:type="gramEnd"/>
            <w:r>
              <w:rPr>
                <w:sz w:val="18"/>
                <w:szCs w:val="18"/>
                <w:lang w:val="fr-FR"/>
              </w:rPr>
              <w:t xml:space="preserve"> </w:t>
            </w:r>
            <w:proofErr w:type="spellStart"/>
            <w:r>
              <w:rPr>
                <w:sz w:val="18"/>
                <w:szCs w:val="18"/>
                <w:lang w:val="fr-FR"/>
              </w:rPr>
              <w:t>legally</w:t>
            </w:r>
            <w:proofErr w:type="spellEnd"/>
            <w:r>
              <w:rPr>
                <w:sz w:val="18"/>
                <w:szCs w:val="18"/>
                <w:lang w:val="fr-FR"/>
              </w:rPr>
              <w:t xml:space="preserve"> </w:t>
            </w:r>
            <w:proofErr w:type="spellStart"/>
            <w:r>
              <w:rPr>
                <w:sz w:val="18"/>
                <w:szCs w:val="18"/>
                <w:lang w:val="fr-FR"/>
              </w:rPr>
              <w:t>created</w:t>
            </w:r>
            <w:proofErr w:type="spellEnd"/>
            <w:r w:rsidRPr="00412826">
              <w:rPr>
                <w:sz w:val="18"/>
                <w:szCs w:val="18"/>
                <w:lang w:val="fr-FR"/>
              </w:rPr>
              <w:t>)</w:t>
            </w:r>
          </w:p>
        </w:tc>
        <w:tc>
          <w:tcPr>
            <w:tcW w:w="2097" w:type="dxa"/>
            <w:tcBorders>
              <w:top w:val="single" w:sz="4" w:space="0" w:color="auto"/>
              <w:left w:val="single" w:sz="4" w:space="0" w:color="auto"/>
              <w:bottom w:val="single" w:sz="4" w:space="0" w:color="auto"/>
              <w:right w:val="single" w:sz="4" w:space="0" w:color="auto"/>
            </w:tcBorders>
            <w:vAlign w:val="center"/>
          </w:tcPr>
          <w:p w14:paraId="5A4408A4" w14:textId="77777777" w:rsidR="00302BFE" w:rsidRPr="00412826" w:rsidRDefault="00302BFE" w:rsidP="00243B15">
            <w:pPr>
              <w:spacing w:after="0"/>
              <w:ind w:left="30" w:right="30"/>
              <w:jc w:val="center"/>
              <w:rPr>
                <w:sz w:val="18"/>
                <w:szCs w:val="18"/>
                <w:lang w:val="fr-FR"/>
              </w:rPr>
            </w:pPr>
            <w:r w:rsidRPr="00412826">
              <w:rPr>
                <w:sz w:val="18"/>
                <w:szCs w:val="18"/>
                <w:lang w:val="fr-FR"/>
              </w:rPr>
              <w:t>33</w:t>
            </w:r>
            <w:r>
              <w:rPr>
                <w:sz w:val="18"/>
                <w:szCs w:val="18"/>
                <w:lang w:val="fr-FR"/>
              </w:rPr>
              <w:t>,</w:t>
            </w:r>
            <w:r w:rsidRPr="00412826">
              <w:rPr>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vAlign w:val="center"/>
          </w:tcPr>
          <w:p w14:paraId="7F0C4FF2" w14:textId="77777777" w:rsidR="00302BFE" w:rsidRPr="00412826" w:rsidRDefault="00302BFE" w:rsidP="00243B15">
            <w:pPr>
              <w:spacing w:after="0"/>
              <w:ind w:left="30" w:right="30"/>
              <w:jc w:val="center"/>
              <w:rPr>
                <w:sz w:val="18"/>
                <w:szCs w:val="18"/>
                <w:lang w:val="fr-FR"/>
              </w:rPr>
            </w:pPr>
            <w:r w:rsidRPr="00412826">
              <w:rPr>
                <w:sz w:val="18"/>
                <w:szCs w:val="18"/>
                <w:lang w:val="fr-FR"/>
              </w:rPr>
              <w:t>IV</w:t>
            </w:r>
          </w:p>
        </w:tc>
        <w:tc>
          <w:tcPr>
            <w:tcW w:w="1682" w:type="dxa"/>
            <w:vMerge/>
            <w:tcBorders>
              <w:left w:val="single" w:sz="4" w:space="0" w:color="auto"/>
              <w:bottom w:val="single" w:sz="4" w:space="0" w:color="auto"/>
              <w:right w:val="single" w:sz="4" w:space="0" w:color="auto"/>
            </w:tcBorders>
            <w:vAlign w:val="center"/>
          </w:tcPr>
          <w:p w14:paraId="1663E4FD" w14:textId="77777777" w:rsidR="00302BFE" w:rsidRPr="00412826" w:rsidRDefault="00302BFE" w:rsidP="00243B15">
            <w:pPr>
              <w:spacing w:after="0"/>
              <w:rPr>
                <w:rFonts w:eastAsia="Times New Roman"/>
                <w:sz w:val="18"/>
                <w:szCs w:val="18"/>
                <w:lang w:val="fr-FR"/>
              </w:rPr>
            </w:pPr>
          </w:p>
        </w:tc>
      </w:tr>
      <w:tr w:rsidR="00302BFE" w:rsidRPr="007C1F07" w14:paraId="156DAC0F" w14:textId="77777777" w:rsidTr="00243B15">
        <w:trPr>
          <w:jc w:val="center"/>
        </w:trPr>
        <w:tc>
          <w:tcPr>
            <w:tcW w:w="2117" w:type="dxa"/>
            <w:tcBorders>
              <w:top w:val="single" w:sz="4" w:space="0" w:color="auto"/>
              <w:left w:val="single" w:sz="4" w:space="0" w:color="auto"/>
              <w:bottom w:val="single" w:sz="4" w:space="0" w:color="auto"/>
              <w:right w:val="single" w:sz="4" w:space="0" w:color="auto"/>
            </w:tcBorders>
            <w:vAlign w:val="center"/>
            <w:hideMark/>
          </w:tcPr>
          <w:p w14:paraId="6E977FC2" w14:textId="77777777" w:rsidR="00302BFE" w:rsidRPr="00412826" w:rsidRDefault="00302BFE" w:rsidP="00243B15">
            <w:pPr>
              <w:spacing w:after="0"/>
              <w:ind w:left="30" w:right="30"/>
              <w:rPr>
                <w:sz w:val="18"/>
                <w:szCs w:val="18"/>
                <w:lang w:val="fr-FR"/>
              </w:rPr>
            </w:pPr>
            <w:r w:rsidRPr="00D47BC5">
              <w:rPr>
                <w:sz w:val="18"/>
                <w:szCs w:val="18"/>
                <w:lang w:val="fr-FR"/>
              </w:rPr>
              <w:t xml:space="preserve">Village </w:t>
            </w:r>
            <w:proofErr w:type="spellStart"/>
            <w:r w:rsidRPr="00D47BC5">
              <w:rPr>
                <w:sz w:val="18"/>
                <w:szCs w:val="18"/>
                <w:lang w:val="fr-FR"/>
              </w:rPr>
              <w:t>hunting</w:t>
            </w:r>
            <w:proofErr w:type="spellEnd"/>
            <w:r w:rsidRPr="00D47BC5">
              <w:rPr>
                <w:sz w:val="18"/>
                <w:szCs w:val="18"/>
                <w:lang w:val="fr-FR"/>
              </w:rPr>
              <w:t xml:space="preserve"> areas </w:t>
            </w:r>
            <w:r w:rsidRPr="00412826">
              <w:rPr>
                <w:sz w:val="18"/>
                <w:szCs w:val="18"/>
                <w:lang w:val="fr-FR"/>
              </w:rPr>
              <w:t>(ZOVIC)</w:t>
            </w:r>
          </w:p>
        </w:tc>
        <w:tc>
          <w:tcPr>
            <w:tcW w:w="378" w:type="dxa"/>
            <w:tcBorders>
              <w:top w:val="single" w:sz="4" w:space="0" w:color="auto"/>
              <w:left w:val="single" w:sz="4" w:space="0" w:color="auto"/>
              <w:bottom w:val="single" w:sz="4" w:space="0" w:color="auto"/>
              <w:right w:val="single" w:sz="4" w:space="0" w:color="auto"/>
            </w:tcBorders>
            <w:vAlign w:val="center"/>
            <w:hideMark/>
          </w:tcPr>
          <w:p w14:paraId="450D1802" w14:textId="77777777" w:rsidR="00302BFE" w:rsidRPr="00412826" w:rsidRDefault="00302BFE" w:rsidP="00243B15">
            <w:pPr>
              <w:spacing w:after="0"/>
              <w:ind w:left="30" w:right="30"/>
              <w:jc w:val="center"/>
              <w:rPr>
                <w:sz w:val="18"/>
                <w:szCs w:val="18"/>
                <w:lang w:val="fr-FR"/>
              </w:rPr>
            </w:pPr>
            <w:r w:rsidRPr="00412826">
              <w:rPr>
                <w:sz w:val="18"/>
                <w:szCs w:val="18"/>
                <w:lang w:val="fr-FR"/>
              </w:rPr>
              <w:t>60</w:t>
            </w:r>
          </w:p>
        </w:tc>
        <w:tc>
          <w:tcPr>
            <w:tcW w:w="1501" w:type="dxa"/>
            <w:tcBorders>
              <w:top w:val="single" w:sz="4" w:space="0" w:color="auto"/>
              <w:left w:val="single" w:sz="4" w:space="0" w:color="auto"/>
              <w:bottom w:val="single" w:sz="4" w:space="0" w:color="auto"/>
              <w:right w:val="single" w:sz="4" w:space="0" w:color="auto"/>
            </w:tcBorders>
            <w:vAlign w:val="center"/>
          </w:tcPr>
          <w:p w14:paraId="225ED92C" w14:textId="77777777" w:rsidR="00302BFE" w:rsidRPr="00412826" w:rsidRDefault="00302BFE" w:rsidP="00243B15">
            <w:pPr>
              <w:spacing w:after="0"/>
              <w:ind w:left="30" w:right="30"/>
              <w:jc w:val="center"/>
              <w:rPr>
                <w:sz w:val="18"/>
                <w:szCs w:val="18"/>
                <w:lang w:val="fr-FR"/>
              </w:rPr>
            </w:pPr>
          </w:p>
        </w:tc>
        <w:tc>
          <w:tcPr>
            <w:tcW w:w="1127" w:type="dxa"/>
            <w:tcBorders>
              <w:top w:val="single" w:sz="4" w:space="0" w:color="auto"/>
              <w:left w:val="single" w:sz="4" w:space="0" w:color="auto"/>
              <w:bottom w:val="single" w:sz="4" w:space="0" w:color="auto"/>
              <w:right w:val="single" w:sz="4" w:space="0" w:color="auto"/>
            </w:tcBorders>
            <w:vAlign w:val="center"/>
          </w:tcPr>
          <w:p w14:paraId="2BBE3BA9" w14:textId="77777777" w:rsidR="00302BFE" w:rsidRPr="00412826" w:rsidRDefault="00302BFE" w:rsidP="00243B15">
            <w:pPr>
              <w:spacing w:after="0"/>
              <w:ind w:left="30" w:right="30"/>
              <w:jc w:val="center"/>
              <w:rPr>
                <w:sz w:val="18"/>
                <w:szCs w:val="18"/>
                <w:lang w:val="fr-FR"/>
              </w:rPr>
            </w:pPr>
            <w:r w:rsidRPr="00412826">
              <w:rPr>
                <w:sz w:val="18"/>
                <w:szCs w:val="18"/>
                <w:lang w:val="fr-FR"/>
              </w:rPr>
              <w:t>1989 (</w:t>
            </w:r>
            <w:r>
              <w:rPr>
                <w:sz w:val="18"/>
                <w:szCs w:val="18"/>
                <w:lang w:val="fr-FR"/>
              </w:rPr>
              <w:t xml:space="preserve">for the </w:t>
            </w:r>
            <w:proofErr w:type="spellStart"/>
            <w:r>
              <w:rPr>
                <w:sz w:val="18"/>
                <w:szCs w:val="18"/>
                <w:lang w:val="fr-FR"/>
              </w:rPr>
              <w:t>most</w:t>
            </w:r>
            <w:proofErr w:type="spellEnd"/>
            <w:r>
              <w:rPr>
                <w:sz w:val="18"/>
                <w:szCs w:val="18"/>
                <w:lang w:val="fr-FR"/>
              </w:rPr>
              <w:t xml:space="preserve"> part</w:t>
            </w:r>
            <w:r w:rsidRPr="00412826">
              <w:rPr>
                <w:sz w:val="18"/>
                <w:szCs w:val="18"/>
                <w:lang w:val="fr-FR"/>
              </w:rPr>
              <w:t>)</w:t>
            </w:r>
          </w:p>
        </w:tc>
        <w:tc>
          <w:tcPr>
            <w:tcW w:w="2097" w:type="dxa"/>
            <w:tcBorders>
              <w:top w:val="single" w:sz="4" w:space="0" w:color="auto"/>
              <w:left w:val="single" w:sz="4" w:space="0" w:color="auto"/>
              <w:bottom w:val="single" w:sz="4" w:space="0" w:color="auto"/>
              <w:right w:val="single" w:sz="4" w:space="0" w:color="auto"/>
            </w:tcBorders>
            <w:vAlign w:val="center"/>
            <w:hideMark/>
          </w:tcPr>
          <w:p w14:paraId="3C039198" w14:textId="77777777" w:rsidR="00302BFE" w:rsidRPr="00412826" w:rsidRDefault="00302BFE" w:rsidP="00243B15">
            <w:pPr>
              <w:spacing w:after="0"/>
              <w:ind w:left="30" w:right="30"/>
              <w:jc w:val="center"/>
              <w:rPr>
                <w:sz w:val="18"/>
                <w:szCs w:val="18"/>
                <w:lang w:val="fr-FR"/>
              </w:rPr>
            </w:pPr>
            <w:r w:rsidRPr="00412826">
              <w:rPr>
                <w:sz w:val="18"/>
                <w:szCs w:val="18"/>
                <w:lang w:val="fr-FR"/>
              </w:rPr>
              <w:t>12</w:t>
            </w:r>
            <w:r>
              <w:rPr>
                <w:sz w:val="18"/>
                <w:szCs w:val="18"/>
                <w:lang w:val="fr-FR"/>
              </w:rPr>
              <w:t>,</w:t>
            </w:r>
            <w:r w:rsidRPr="00412826">
              <w:rPr>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6FF54DD5" w14:textId="77777777" w:rsidR="00302BFE" w:rsidRPr="00412826" w:rsidRDefault="00302BFE" w:rsidP="00243B15">
            <w:pPr>
              <w:spacing w:after="0"/>
              <w:ind w:left="30" w:right="30"/>
              <w:jc w:val="center"/>
              <w:rPr>
                <w:sz w:val="18"/>
                <w:szCs w:val="18"/>
                <w:lang w:val="fr-FR"/>
              </w:rPr>
            </w:pPr>
            <w:r w:rsidRPr="00412826">
              <w:rPr>
                <w:sz w:val="18"/>
                <w:szCs w:val="18"/>
                <w:lang w:val="fr-FR"/>
              </w:rPr>
              <w:t>VI</w:t>
            </w:r>
          </w:p>
        </w:tc>
        <w:tc>
          <w:tcPr>
            <w:tcW w:w="1682" w:type="dxa"/>
            <w:tcBorders>
              <w:top w:val="single" w:sz="4" w:space="0" w:color="auto"/>
              <w:left w:val="single" w:sz="4" w:space="0" w:color="auto"/>
              <w:bottom w:val="single" w:sz="4" w:space="0" w:color="auto"/>
              <w:right w:val="single" w:sz="4" w:space="0" w:color="auto"/>
            </w:tcBorders>
            <w:vAlign w:val="center"/>
            <w:hideMark/>
          </w:tcPr>
          <w:p w14:paraId="30B7C783" w14:textId="77777777" w:rsidR="00302BFE" w:rsidRPr="007C1F07" w:rsidRDefault="00302BFE" w:rsidP="00243B15">
            <w:pPr>
              <w:spacing w:after="0"/>
              <w:ind w:left="30" w:right="30"/>
              <w:jc w:val="left"/>
              <w:rPr>
                <w:sz w:val="18"/>
                <w:szCs w:val="18"/>
                <w:lang w:val="en-CA"/>
              </w:rPr>
            </w:pPr>
            <w:r w:rsidRPr="007C1F07">
              <w:rPr>
                <w:sz w:val="18"/>
                <w:szCs w:val="18"/>
                <w:lang w:val="en-CA"/>
              </w:rPr>
              <w:t>Local authorities and communities under various arrangements</w:t>
            </w:r>
          </w:p>
        </w:tc>
      </w:tr>
      <w:tr w:rsidR="00302BFE" w:rsidRPr="00412826" w14:paraId="01616E9F" w14:textId="77777777" w:rsidTr="00243B15">
        <w:trPr>
          <w:jc w:val="center"/>
        </w:trPr>
        <w:tc>
          <w:tcPr>
            <w:tcW w:w="7220" w:type="dxa"/>
            <w:gridSpan w:val="5"/>
            <w:tcBorders>
              <w:top w:val="single" w:sz="4" w:space="0" w:color="auto"/>
              <w:left w:val="single" w:sz="4" w:space="0" w:color="auto"/>
              <w:bottom w:val="single" w:sz="4" w:space="0" w:color="auto"/>
              <w:right w:val="single" w:sz="4" w:space="0" w:color="auto"/>
            </w:tcBorders>
            <w:shd w:val="clear" w:color="auto" w:fill="E7E6E6"/>
            <w:vAlign w:val="center"/>
          </w:tcPr>
          <w:p w14:paraId="2B6E6928" w14:textId="77777777" w:rsidR="00302BFE" w:rsidRPr="00412826" w:rsidRDefault="00302BFE" w:rsidP="00243B15">
            <w:pPr>
              <w:spacing w:after="0"/>
              <w:ind w:left="30" w:right="30"/>
              <w:jc w:val="center"/>
              <w:rPr>
                <w:sz w:val="18"/>
                <w:szCs w:val="18"/>
                <w:lang w:val="fr-FR"/>
              </w:rPr>
            </w:pPr>
            <w:r w:rsidRPr="007C1F07">
              <w:rPr>
                <w:sz w:val="18"/>
                <w:szCs w:val="18"/>
                <w:lang w:val="fr-FR"/>
              </w:rPr>
              <w:t xml:space="preserve">International </w:t>
            </w:r>
            <w:proofErr w:type="spellStart"/>
            <w:r w:rsidRPr="007C1F07">
              <w:rPr>
                <w:sz w:val="18"/>
                <w:szCs w:val="18"/>
                <w:lang w:val="fr-FR"/>
              </w:rPr>
              <w:t>Designations</w:t>
            </w:r>
            <w:proofErr w:type="spellEnd"/>
          </w:p>
        </w:tc>
        <w:tc>
          <w:tcPr>
            <w:tcW w:w="850" w:type="dxa"/>
            <w:tcBorders>
              <w:top w:val="single" w:sz="4" w:space="0" w:color="auto"/>
              <w:left w:val="single" w:sz="4" w:space="0" w:color="auto"/>
              <w:bottom w:val="nil"/>
              <w:right w:val="nil"/>
            </w:tcBorders>
            <w:vAlign w:val="center"/>
          </w:tcPr>
          <w:p w14:paraId="45C4F5BA" w14:textId="77777777" w:rsidR="00302BFE" w:rsidRPr="00412826" w:rsidRDefault="00302BFE" w:rsidP="00243B15">
            <w:pPr>
              <w:spacing w:after="0"/>
              <w:ind w:left="30" w:right="30"/>
              <w:jc w:val="center"/>
              <w:rPr>
                <w:sz w:val="18"/>
                <w:szCs w:val="18"/>
                <w:lang w:val="fr-FR"/>
              </w:rPr>
            </w:pPr>
          </w:p>
        </w:tc>
        <w:tc>
          <w:tcPr>
            <w:tcW w:w="1682" w:type="dxa"/>
            <w:tcBorders>
              <w:top w:val="single" w:sz="4" w:space="0" w:color="auto"/>
              <w:left w:val="nil"/>
              <w:bottom w:val="nil"/>
              <w:right w:val="nil"/>
            </w:tcBorders>
            <w:vAlign w:val="center"/>
          </w:tcPr>
          <w:p w14:paraId="3013C460" w14:textId="77777777" w:rsidR="00302BFE" w:rsidRPr="00412826" w:rsidRDefault="00302BFE" w:rsidP="00243B15">
            <w:pPr>
              <w:spacing w:after="0"/>
              <w:ind w:left="30" w:right="30"/>
              <w:rPr>
                <w:sz w:val="18"/>
                <w:szCs w:val="18"/>
                <w:lang w:val="fr-FR"/>
              </w:rPr>
            </w:pPr>
          </w:p>
        </w:tc>
      </w:tr>
      <w:tr w:rsidR="00302BFE" w:rsidRPr="00412826" w14:paraId="1E8756DF" w14:textId="77777777" w:rsidTr="00243B15">
        <w:trPr>
          <w:jc w:val="center"/>
        </w:trPr>
        <w:tc>
          <w:tcPr>
            <w:tcW w:w="2117" w:type="dxa"/>
            <w:vMerge w:val="restart"/>
            <w:tcBorders>
              <w:top w:val="single" w:sz="4" w:space="0" w:color="auto"/>
              <w:left w:val="single" w:sz="4" w:space="0" w:color="auto"/>
              <w:right w:val="single" w:sz="4" w:space="0" w:color="auto"/>
            </w:tcBorders>
            <w:vAlign w:val="center"/>
          </w:tcPr>
          <w:p w14:paraId="11DD71C7" w14:textId="77777777" w:rsidR="00302BFE" w:rsidRPr="00412826" w:rsidRDefault="00302BFE" w:rsidP="00243B15">
            <w:pPr>
              <w:spacing w:after="0"/>
              <w:ind w:left="30" w:right="30"/>
              <w:rPr>
                <w:sz w:val="18"/>
                <w:szCs w:val="18"/>
                <w:lang w:val="fr-FR"/>
              </w:rPr>
            </w:pPr>
            <w:proofErr w:type="spellStart"/>
            <w:r w:rsidRPr="00D47BC5">
              <w:rPr>
                <w:sz w:val="18"/>
                <w:szCs w:val="18"/>
                <w:lang w:val="fr-FR"/>
              </w:rPr>
              <w:t>Biosphere</w:t>
            </w:r>
            <w:proofErr w:type="spellEnd"/>
            <w:r w:rsidRPr="00D47BC5">
              <w:rPr>
                <w:sz w:val="18"/>
                <w:szCs w:val="18"/>
                <w:lang w:val="fr-FR"/>
              </w:rPr>
              <w:t xml:space="preserve"> </w:t>
            </w:r>
            <w:proofErr w:type="spellStart"/>
            <w:r w:rsidRPr="00D47BC5">
              <w:rPr>
                <w:sz w:val="18"/>
                <w:szCs w:val="18"/>
                <w:lang w:val="fr-FR"/>
              </w:rPr>
              <w:t>Reserves</w:t>
            </w:r>
            <w:proofErr w:type="spellEnd"/>
          </w:p>
        </w:tc>
        <w:tc>
          <w:tcPr>
            <w:tcW w:w="378" w:type="dxa"/>
            <w:vMerge w:val="restart"/>
            <w:tcBorders>
              <w:top w:val="single" w:sz="4" w:space="0" w:color="auto"/>
              <w:left w:val="single" w:sz="4" w:space="0" w:color="auto"/>
              <w:right w:val="single" w:sz="4" w:space="0" w:color="auto"/>
            </w:tcBorders>
            <w:vAlign w:val="center"/>
          </w:tcPr>
          <w:p w14:paraId="7762929E" w14:textId="77777777" w:rsidR="00302BFE" w:rsidRPr="00412826" w:rsidRDefault="00302BFE" w:rsidP="00243B15">
            <w:pPr>
              <w:spacing w:after="0"/>
              <w:ind w:left="30" w:right="30"/>
              <w:jc w:val="center"/>
              <w:rPr>
                <w:sz w:val="18"/>
                <w:szCs w:val="18"/>
                <w:lang w:val="fr-FR"/>
              </w:rPr>
            </w:pPr>
            <w:r w:rsidRPr="00412826">
              <w:rPr>
                <w:sz w:val="18"/>
                <w:szCs w:val="18"/>
                <w:lang w:val="fr-FR"/>
              </w:rPr>
              <w:t>2</w:t>
            </w:r>
          </w:p>
        </w:tc>
        <w:tc>
          <w:tcPr>
            <w:tcW w:w="1501" w:type="dxa"/>
            <w:tcBorders>
              <w:top w:val="single" w:sz="4" w:space="0" w:color="auto"/>
              <w:left w:val="single" w:sz="4" w:space="0" w:color="auto"/>
              <w:bottom w:val="single" w:sz="4" w:space="0" w:color="auto"/>
              <w:right w:val="single" w:sz="4" w:space="0" w:color="auto"/>
            </w:tcBorders>
            <w:vAlign w:val="center"/>
          </w:tcPr>
          <w:p w14:paraId="1B9FAD00" w14:textId="77777777" w:rsidR="00302BFE" w:rsidRPr="00412826" w:rsidRDefault="00302BFE" w:rsidP="00243B15">
            <w:pPr>
              <w:spacing w:after="0"/>
              <w:ind w:left="30" w:right="30"/>
              <w:jc w:val="center"/>
              <w:rPr>
                <w:sz w:val="18"/>
                <w:szCs w:val="18"/>
                <w:lang w:val="fr-FR"/>
              </w:rPr>
            </w:pPr>
            <w:r w:rsidRPr="00412826">
              <w:rPr>
                <w:sz w:val="18"/>
                <w:szCs w:val="18"/>
                <w:lang w:val="fr-FR"/>
              </w:rPr>
              <w:t>Mare aux Hippopotames</w:t>
            </w:r>
          </w:p>
        </w:tc>
        <w:tc>
          <w:tcPr>
            <w:tcW w:w="1127" w:type="dxa"/>
            <w:tcBorders>
              <w:top w:val="single" w:sz="4" w:space="0" w:color="auto"/>
              <w:left w:val="single" w:sz="4" w:space="0" w:color="auto"/>
              <w:bottom w:val="single" w:sz="4" w:space="0" w:color="auto"/>
              <w:right w:val="single" w:sz="4" w:space="0" w:color="auto"/>
            </w:tcBorders>
            <w:vAlign w:val="center"/>
          </w:tcPr>
          <w:p w14:paraId="57BCA2F4" w14:textId="77777777" w:rsidR="00302BFE" w:rsidRPr="00412826" w:rsidRDefault="00302BFE" w:rsidP="00243B15">
            <w:pPr>
              <w:spacing w:after="0"/>
              <w:ind w:left="30" w:right="30"/>
              <w:jc w:val="center"/>
              <w:rPr>
                <w:sz w:val="18"/>
                <w:szCs w:val="18"/>
                <w:lang w:val="fr-FR"/>
              </w:rPr>
            </w:pPr>
            <w:r w:rsidRPr="00412826">
              <w:rPr>
                <w:sz w:val="18"/>
                <w:szCs w:val="18"/>
                <w:lang w:val="fr-FR"/>
              </w:rPr>
              <w:t>1986</w:t>
            </w:r>
          </w:p>
        </w:tc>
        <w:tc>
          <w:tcPr>
            <w:tcW w:w="2097" w:type="dxa"/>
            <w:tcBorders>
              <w:top w:val="single" w:sz="4" w:space="0" w:color="auto"/>
              <w:left w:val="single" w:sz="4" w:space="0" w:color="auto"/>
              <w:bottom w:val="single" w:sz="4" w:space="0" w:color="auto"/>
              <w:right w:val="single" w:sz="4" w:space="0" w:color="auto"/>
            </w:tcBorders>
            <w:vAlign w:val="center"/>
          </w:tcPr>
          <w:p w14:paraId="7AC44F31" w14:textId="77777777" w:rsidR="00302BFE" w:rsidRPr="00412826" w:rsidRDefault="00302BFE" w:rsidP="00243B15">
            <w:pPr>
              <w:spacing w:after="0"/>
              <w:ind w:left="30" w:right="30"/>
              <w:jc w:val="center"/>
              <w:rPr>
                <w:sz w:val="18"/>
                <w:szCs w:val="18"/>
                <w:lang w:val="fr-FR"/>
              </w:rPr>
            </w:pPr>
            <w:r w:rsidRPr="00412826">
              <w:rPr>
                <w:sz w:val="18"/>
                <w:szCs w:val="18"/>
                <w:lang w:val="fr-FR"/>
              </w:rPr>
              <w:t>19</w:t>
            </w:r>
            <w:r>
              <w:rPr>
                <w:sz w:val="18"/>
                <w:szCs w:val="18"/>
                <w:lang w:val="fr-FR"/>
              </w:rPr>
              <w:t>,</w:t>
            </w:r>
            <w:r w:rsidRPr="00412826">
              <w:rPr>
                <w:sz w:val="18"/>
                <w:szCs w:val="18"/>
                <w:lang w:val="fr-FR"/>
              </w:rPr>
              <w:t>200</w:t>
            </w:r>
          </w:p>
        </w:tc>
        <w:tc>
          <w:tcPr>
            <w:tcW w:w="850" w:type="dxa"/>
            <w:tcBorders>
              <w:top w:val="nil"/>
              <w:left w:val="single" w:sz="4" w:space="0" w:color="auto"/>
              <w:bottom w:val="nil"/>
              <w:right w:val="nil"/>
            </w:tcBorders>
            <w:vAlign w:val="center"/>
          </w:tcPr>
          <w:p w14:paraId="581F01DC" w14:textId="77777777" w:rsidR="00302BFE" w:rsidRPr="00412826" w:rsidRDefault="00302BFE" w:rsidP="00243B15">
            <w:pPr>
              <w:spacing w:after="0"/>
              <w:ind w:left="30" w:right="30"/>
              <w:jc w:val="center"/>
              <w:rPr>
                <w:sz w:val="18"/>
                <w:szCs w:val="18"/>
                <w:lang w:val="fr-FR"/>
              </w:rPr>
            </w:pPr>
          </w:p>
        </w:tc>
        <w:tc>
          <w:tcPr>
            <w:tcW w:w="1682" w:type="dxa"/>
            <w:tcBorders>
              <w:top w:val="nil"/>
              <w:left w:val="nil"/>
              <w:bottom w:val="nil"/>
              <w:right w:val="nil"/>
            </w:tcBorders>
            <w:vAlign w:val="center"/>
          </w:tcPr>
          <w:p w14:paraId="389746E3" w14:textId="77777777" w:rsidR="00302BFE" w:rsidRPr="00412826" w:rsidRDefault="00302BFE" w:rsidP="00243B15">
            <w:pPr>
              <w:spacing w:after="0"/>
              <w:ind w:left="30" w:right="30"/>
              <w:rPr>
                <w:sz w:val="18"/>
                <w:szCs w:val="18"/>
                <w:lang w:val="fr-FR"/>
              </w:rPr>
            </w:pPr>
          </w:p>
        </w:tc>
      </w:tr>
      <w:tr w:rsidR="00302BFE" w:rsidRPr="00412826" w14:paraId="2DCC22F9" w14:textId="77777777" w:rsidTr="00243B15">
        <w:trPr>
          <w:jc w:val="center"/>
        </w:trPr>
        <w:tc>
          <w:tcPr>
            <w:tcW w:w="2117" w:type="dxa"/>
            <w:vMerge/>
            <w:tcBorders>
              <w:left w:val="single" w:sz="4" w:space="0" w:color="auto"/>
              <w:bottom w:val="single" w:sz="4" w:space="0" w:color="auto"/>
              <w:right w:val="single" w:sz="4" w:space="0" w:color="auto"/>
            </w:tcBorders>
            <w:vAlign w:val="center"/>
          </w:tcPr>
          <w:p w14:paraId="491C6BC6"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bottom w:val="single" w:sz="4" w:space="0" w:color="auto"/>
              <w:right w:val="single" w:sz="4" w:space="0" w:color="auto"/>
            </w:tcBorders>
            <w:vAlign w:val="center"/>
          </w:tcPr>
          <w:p w14:paraId="625F5EB3"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7FC0D5B6" w14:textId="77777777" w:rsidR="00302BFE" w:rsidRPr="00412826" w:rsidRDefault="00302BFE" w:rsidP="00243B15">
            <w:pPr>
              <w:spacing w:after="0"/>
              <w:ind w:left="30" w:right="30"/>
              <w:jc w:val="center"/>
              <w:rPr>
                <w:sz w:val="18"/>
                <w:szCs w:val="18"/>
                <w:lang w:val="fr-FR"/>
              </w:rPr>
            </w:pPr>
            <w:r w:rsidRPr="00412826">
              <w:rPr>
                <w:sz w:val="18"/>
                <w:szCs w:val="18"/>
                <w:lang w:val="fr-FR"/>
              </w:rPr>
              <w:t>W (transfrontalière)</w:t>
            </w:r>
          </w:p>
        </w:tc>
        <w:tc>
          <w:tcPr>
            <w:tcW w:w="1127" w:type="dxa"/>
            <w:tcBorders>
              <w:top w:val="single" w:sz="4" w:space="0" w:color="auto"/>
              <w:left w:val="single" w:sz="4" w:space="0" w:color="auto"/>
              <w:bottom w:val="single" w:sz="4" w:space="0" w:color="auto"/>
              <w:right w:val="single" w:sz="4" w:space="0" w:color="auto"/>
            </w:tcBorders>
            <w:vAlign w:val="center"/>
          </w:tcPr>
          <w:p w14:paraId="23D39B68" w14:textId="77777777" w:rsidR="00302BFE" w:rsidRPr="00412826" w:rsidRDefault="00302BFE" w:rsidP="00243B15">
            <w:pPr>
              <w:spacing w:after="0"/>
              <w:ind w:left="30" w:right="30"/>
              <w:jc w:val="center"/>
              <w:rPr>
                <w:sz w:val="18"/>
                <w:szCs w:val="18"/>
                <w:lang w:val="fr-FR"/>
              </w:rPr>
            </w:pPr>
            <w:r w:rsidRPr="00412826">
              <w:rPr>
                <w:sz w:val="18"/>
                <w:szCs w:val="18"/>
                <w:lang w:val="fr-FR"/>
              </w:rPr>
              <w:t>2002</w:t>
            </w:r>
          </w:p>
        </w:tc>
        <w:tc>
          <w:tcPr>
            <w:tcW w:w="2097" w:type="dxa"/>
            <w:tcBorders>
              <w:top w:val="single" w:sz="4" w:space="0" w:color="auto"/>
              <w:left w:val="single" w:sz="4" w:space="0" w:color="auto"/>
              <w:bottom w:val="single" w:sz="4" w:space="0" w:color="auto"/>
              <w:right w:val="single" w:sz="4" w:space="0" w:color="auto"/>
            </w:tcBorders>
            <w:vAlign w:val="center"/>
          </w:tcPr>
          <w:p w14:paraId="07FDBB07" w14:textId="77777777" w:rsidR="00302BFE" w:rsidRPr="00412826" w:rsidRDefault="00302BFE" w:rsidP="00243B15">
            <w:pPr>
              <w:spacing w:after="0"/>
              <w:ind w:left="30" w:right="30"/>
              <w:jc w:val="center"/>
              <w:rPr>
                <w:sz w:val="18"/>
                <w:szCs w:val="18"/>
                <w:lang w:val="fr-FR"/>
              </w:rPr>
            </w:pPr>
            <w:r w:rsidRPr="00412826">
              <w:rPr>
                <w:sz w:val="18"/>
                <w:szCs w:val="18"/>
                <w:lang w:val="fr-FR"/>
              </w:rPr>
              <w:t>235</w:t>
            </w:r>
            <w:r>
              <w:rPr>
                <w:sz w:val="18"/>
                <w:szCs w:val="18"/>
                <w:lang w:val="fr-FR"/>
              </w:rPr>
              <w:t>,</w:t>
            </w:r>
            <w:r w:rsidRPr="00412826">
              <w:rPr>
                <w:sz w:val="18"/>
                <w:szCs w:val="18"/>
                <w:lang w:val="fr-FR"/>
              </w:rPr>
              <w:t>000</w:t>
            </w:r>
          </w:p>
        </w:tc>
        <w:tc>
          <w:tcPr>
            <w:tcW w:w="850" w:type="dxa"/>
            <w:tcBorders>
              <w:top w:val="nil"/>
              <w:left w:val="single" w:sz="4" w:space="0" w:color="auto"/>
              <w:bottom w:val="nil"/>
              <w:right w:val="nil"/>
            </w:tcBorders>
            <w:vAlign w:val="center"/>
          </w:tcPr>
          <w:p w14:paraId="2BFCB1A5"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1837BFF7" w14:textId="77777777" w:rsidR="00302BFE" w:rsidRPr="00412826" w:rsidRDefault="00302BFE" w:rsidP="00243B15">
            <w:pPr>
              <w:spacing w:after="0"/>
              <w:ind w:left="30" w:right="30"/>
              <w:rPr>
                <w:sz w:val="18"/>
                <w:szCs w:val="18"/>
                <w:lang w:val="fr-FR"/>
              </w:rPr>
            </w:pPr>
          </w:p>
        </w:tc>
      </w:tr>
      <w:tr w:rsidR="00302BFE" w:rsidRPr="00412826" w14:paraId="25791FC8" w14:textId="77777777" w:rsidTr="00243B15">
        <w:trPr>
          <w:jc w:val="center"/>
        </w:trPr>
        <w:tc>
          <w:tcPr>
            <w:tcW w:w="2117" w:type="dxa"/>
            <w:vMerge w:val="restart"/>
            <w:tcBorders>
              <w:top w:val="single" w:sz="4" w:space="0" w:color="auto"/>
              <w:left w:val="single" w:sz="4" w:space="0" w:color="auto"/>
              <w:right w:val="single" w:sz="4" w:space="0" w:color="auto"/>
            </w:tcBorders>
            <w:vAlign w:val="center"/>
          </w:tcPr>
          <w:p w14:paraId="0B6685CC" w14:textId="77777777" w:rsidR="00302BFE" w:rsidRPr="00412826" w:rsidRDefault="00302BFE" w:rsidP="00243B15">
            <w:pPr>
              <w:spacing w:after="0"/>
              <w:ind w:left="30" w:right="30"/>
              <w:rPr>
                <w:sz w:val="18"/>
                <w:szCs w:val="18"/>
                <w:lang w:val="fr-FR"/>
              </w:rPr>
            </w:pPr>
            <w:r w:rsidRPr="00412826">
              <w:rPr>
                <w:sz w:val="18"/>
                <w:szCs w:val="18"/>
                <w:lang w:val="fr-FR"/>
              </w:rPr>
              <w:t>Ramsar Sites</w:t>
            </w:r>
          </w:p>
        </w:tc>
        <w:tc>
          <w:tcPr>
            <w:tcW w:w="378" w:type="dxa"/>
            <w:vMerge w:val="restart"/>
            <w:tcBorders>
              <w:top w:val="single" w:sz="4" w:space="0" w:color="auto"/>
              <w:left w:val="single" w:sz="4" w:space="0" w:color="auto"/>
              <w:right w:val="single" w:sz="4" w:space="0" w:color="auto"/>
            </w:tcBorders>
            <w:vAlign w:val="center"/>
          </w:tcPr>
          <w:p w14:paraId="7727A6B1" w14:textId="77777777" w:rsidR="00302BFE" w:rsidRPr="00412826" w:rsidRDefault="00302BFE" w:rsidP="00243B15">
            <w:pPr>
              <w:spacing w:after="0"/>
              <w:ind w:left="30" w:right="30"/>
              <w:jc w:val="center"/>
              <w:rPr>
                <w:sz w:val="18"/>
                <w:szCs w:val="18"/>
                <w:lang w:val="fr-FR"/>
              </w:rPr>
            </w:pPr>
            <w:r w:rsidRPr="00412826">
              <w:rPr>
                <w:sz w:val="18"/>
                <w:szCs w:val="18"/>
                <w:lang w:val="fr-FR"/>
              </w:rPr>
              <w:t>22</w:t>
            </w:r>
          </w:p>
        </w:tc>
        <w:tc>
          <w:tcPr>
            <w:tcW w:w="1501" w:type="dxa"/>
            <w:tcBorders>
              <w:top w:val="single" w:sz="4" w:space="0" w:color="auto"/>
              <w:left w:val="single" w:sz="4" w:space="0" w:color="auto"/>
              <w:bottom w:val="single" w:sz="4" w:space="0" w:color="auto"/>
              <w:right w:val="single" w:sz="4" w:space="0" w:color="auto"/>
            </w:tcBorders>
            <w:vAlign w:val="center"/>
          </w:tcPr>
          <w:p w14:paraId="4732CE5C" w14:textId="77777777" w:rsidR="00302BFE" w:rsidRPr="00412826" w:rsidRDefault="00302BFE" w:rsidP="00243B15">
            <w:pPr>
              <w:spacing w:after="0"/>
              <w:ind w:left="30" w:right="30"/>
              <w:jc w:val="center"/>
              <w:rPr>
                <w:sz w:val="18"/>
                <w:szCs w:val="18"/>
                <w:lang w:val="fr-FR"/>
              </w:rPr>
            </w:pPr>
            <w:r w:rsidRPr="00412826">
              <w:rPr>
                <w:sz w:val="18"/>
                <w:szCs w:val="18"/>
                <w:lang w:val="fr-FR"/>
              </w:rPr>
              <w:t>Mare d’Oursi</w:t>
            </w:r>
          </w:p>
        </w:tc>
        <w:tc>
          <w:tcPr>
            <w:tcW w:w="1127" w:type="dxa"/>
            <w:tcBorders>
              <w:top w:val="single" w:sz="4" w:space="0" w:color="auto"/>
              <w:left w:val="single" w:sz="4" w:space="0" w:color="auto"/>
              <w:bottom w:val="single" w:sz="4" w:space="0" w:color="auto"/>
              <w:right w:val="single" w:sz="4" w:space="0" w:color="auto"/>
            </w:tcBorders>
            <w:vAlign w:val="center"/>
          </w:tcPr>
          <w:p w14:paraId="03237538" w14:textId="77777777" w:rsidR="00302BFE" w:rsidRPr="00412826" w:rsidRDefault="00302BFE" w:rsidP="00243B15">
            <w:pPr>
              <w:spacing w:after="0"/>
              <w:ind w:left="30" w:right="30"/>
              <w:jc w:val="center"/>
              <w:rPr>
                <w:sz w:val="18"/>
                <w:szCs w:val="18"/>
                <w:lang w:val="fr-FR"/>
              </w:rPr>
            </w:pPr>
            <w:r w:rsidRPr="00412826">
              <w:rPr>
                <w:sz w:val="18"/>
                <w:szCs w:val="18"/>
                <w:lang w:val="fr-FR"/>
              </w:rPr>
              <w:t>1990</w:t>
            </w:r>
          </w:p>
        </w:tc>
        <w:tc>
          <w:tcPr>
            <w:tcW w:w="2097" w:type="dxa"/>
            <w:tcBorders>
              <w:top w:val="single" w:sz="4" w:space="0" w:color="auto"/>
              <w:left w:val="single" w:sz="4" w:space="0" w:color="auto"/>
              <w:bottom w:val="single" w:sz="4" w:space="0" w:color="auto"/>
              <w:right w:val="single" w:sz="4" w:space="0" w:color="auto"/>
            </w:tcBorders>
            <w:vAlign w:val="center"/>
          </w:tcPr>
          <w:p w14:paraId="02549800" w14:textId="77777777" w:rsidR="00302BFE" w:rsidRPr="00412826" w:rsidRDefault="00302BFE" w:rsidP="00243B15">
            <w:pPr>
              <w:spacing w:after="0"/>
              <w:ind w:left="30" w:right="30"/>
              <w:jc w:val="center"/>
              <w:rPr>
                <w:sz w:val="18"/>
                <w:szCs w:val="18"/>
                <w:lang w:val="fr-FR"/>
              </w:rPr>
            </w:pPr>
            <w:r w:rsidRPr="00412826">
              <w:rPr>
                <w:sz w:val="18"/>
                <w:szCs w:val="18"/>
                <w:lang w:val="fr-FR"/>
              </w:rPr>
              <w:t>35</w:t>
            </w:r>
            <w:r>
              <w:rPr>
                <w:sz w:val="18"/>
                <w:szCs w:val="18"/>
                <w:lang w:val="fr-FR"/>
              </w:rPr>
              <w:t>,</w:t>
            </w:r>
            <w:r w:rsidRPr="00412826">
              <w:rPr>
                <w:sz w:val="18"/>
                <w:szCs w:val="18"/>
                <w:lang w:val="fr-FR"/>
              </w:rPr>
              <w:t>000</w:t>
            </w:r>
          </w:p>
        </w:tc>
        <w:tc>
          <w:tcPr>
            <w:tcW w:w="850" w:type="dxa"/>
            <w:tcBorders>
              <w:top w:val="nil"/>
              <w:left w:val="single" w:sz="4" w:space="0" w:color="auto"/>
              <w:bottom w:val="nil"/>
              <w:right w:val="nil"/>
            </w:tcBorders>
            <w:vAlign w:val="center"/>
          </w:tcPr>
          <w:p w14:paraId="0257E364"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00BB1DF6" w14:textId="77777777" w:rsidR="00302BFE" w:rsidRPr="00412826" w:rsidRDefault="00302BFE" w:rsidP="00243B15">
            <w:pPr>
              <w:spacing w:after="0"/>
              <w:ind w:left="30" w:right="30"/>
              <w:rPr>
                <w:sz w:val="18"/>
                <w:szCs w:val="18"/>
                <w:lang w:val="fr-FR"/>
              </w:rPr>
            </w:pPr>
          </w:p>
        </w:tc>
      </w:tr>
      <w:tr w:rsidR="00302BFE" w:rsidRPr="00412826" w14:paraId="057A34DC" w14:textId="77777777" w:rsidTr="00243B15">
        <w:trPr>
          <w:jc w:val="center"/>
        </w:trPr>
        <w:tc>
          <w:tcPr>
            <w:tcW w:w="2117" w:type="dxa"/>
            <w:vMerge/>
            <w:tcBorders>
              <w:left w:val="single" w:sz="4" w:space="0" w:color="auto"/>
              <w:right w:val="single" w:sz="4" w:space="0" w:color="auto"/>
            </w:tcBorders>
            <w:vAlign w:val="center"/>
          </w:tcPr>
          <w:p w14:paraId="32C4FBE6"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4A006F7F"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0DC24188" w14:textId="77777777" w:rsidR="00302BFE" w:rsidRPr="00412826" w:rsidRDefault="00302BFE" w:rsidP="00243B15">
            <w:pPr>
              <w:spacing w:after="0"/>
              <w:ind w:left="30" w:right="30"/>
              <w:jc w:val="center"/>
              <w:rPr>
                <w:sz w:val="18"/>
                <w:szCs w:val="18"/>
                <w:lang w:val="fr-FR"/>
              </w:rPr>
            </w:pPr>
            <w:r w:rsidRPr="00412826">
              <w:rPr>
                <w:sz w:val="18"/>
                <w:szCs w:val="18"/>
                <w:lang w:val="fr-FR"/>
              </w:rPr>
              <w:t>W</w:t>
            </w:r>
          </w:p>
        </w:tc>
        <w:tc>
          <w:tcPr>
            <w:tcW w:w="1127" w:type="dxa"/>
            <w:tcBorders>
              <w:top w:val="single" w:sz="4" w:space="0" w:color="auto"/>
              <w:left w:val="single" w:sz="4" w:space="0" w:color="auto"/>
              <w:bottom w:val="single" w:sz="4" w:space="0" w:color="auto"/>
              <w:right w:val="single" w:sz="4" w:space="0" w:color="auto"/>
            </w:tcBorders>
            <w:vAlign w:val="center"/>
          </w:tcPr>
          <w:p w14:paraId="7058A6DD" w14:textId="77777777" w:rsidR="00302BFE" w:rsidRPr="00412826" w:rsidRDefault="00302BFE" w:rsidP="00243B15">
            <w:pPr>
              <w:spacing w:after="0"/>
              <w:ind w:left="30" w:right="30"/>
              <w:jc w:val="center"/>
              <w:rPr>
                <w:sz w:val="18"/>
                <w:szCs w:val="18"/>
                <w:lang w:val="fr-FR"/>
              </w:rPr>
            </w:pPr>
            <w:r w:rsidRPr="00412826">
              <w:rPr>
                <w:sz w:val="18"/>
                <w:szCs w:val="18"/>
                <w:lang w:val="fr-FR"/>
              </w:rPr>
              <w:t>1990</w:t>
            </w:r>
          </w:p>
        </w:tc>
        <w:tc>
          <w:tcPr>
            <w:tcW w:w="2097" w:type="dxa"/>
            <w:tcBorders>
              <w:top w:val="single" w:sz="4" w:space="0" w:color="auto"/>
              <w:left w:val="single" w:sz="4" w:space="0" w:color="auto"/>
              <w:bottom w:val="single" w:sz="4" w:space="0" w:color="auto"/>
              <w:right w:val="single" w:sz="4" w:space="0" w:color="auto"/>
            </w:tcBorders>
            <w:vAlign w:val="center"/>
          </w:tcPr>
          <w:p w14:paraId="14066FCA" w14:textId="77777777" w:rsidR="00302BFE" w:rsidRPr="00412826" w:rsidRDefault="00302BFE" w:rsidP="00243B15">
            <w:pPr>
              <w:spacing w:after="0"/>
              <w:ind w:left="30" w:right="30"/>
              <w:jc w:val="center"/>
              <w:rPr>
                <w:sz w:val="18"/>
                <w:szCs w:val="18"/>
                <w:lang w:val="fr-FR"/>
              </w:rPr>
            </w:pPr>
            <w:r w:rsidRPr="00412826">
              <w:rPr>
                <w:sz w:val="18"/>
                <w:szCs w:val="18"/>
                <w:lang w:val="fr-FR"/>
              </w:rPr>
              <w:t>311</w:t>
            </w:r>
            <w:r>
              <w:rPr>
                <w:sz w:val="18"/>
                <w:szCs w:val="18"/>
                <w:lang w:val="fr-FR"/>
              </w:rPr>
              <w:t>,</w:t>
            </w:r>
            <w:r w:rsidRPr="00412826">
              <w:rPr>
                <w:sz w:val="18"/>
                <w:szCs w:val="18"/>
                <w:lang w:val="fr-FR"/>
              </w:rPr>
              <w:t>471</w:t>
            </w:r>
          </w:p>
        </w:tc>
        <w:tc>
          <w:tcPr>
            <w:tcW w:w="850" w:type="dxa"/>
            <w:tcBorders>
              <w:top w:val="nil"/>
              <w:left w:val="single" w:sz="4" w:space="0" w:color="auto"/>
              <w:bottom w:val="nil"/>
              <w:right w:val="nil"/>
            </w:tcBorders>
            <w:vAlign w:val="center"/>
          </w:tcPr>
          <w:p w14:paraId="55FB4377"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23581715" w14:textId="77777777" w:rsidR="00302BFE" w:rsidRPr="00412826" w:rsidRDefault="00302BFE" w:rsidP="00243B15">
            <w:pPr>
              <w:spacing w:after="0"/>
              <w:ind w:left="30" w:right="30"/>
              <w:rPr>
                <w:sz w:val="18"/>
                <w:szCs w:val="18"/>
                <w:lang w:val="fr-FR"/>
              </w:rPr>
            </w:pPr>
          </w:p>
        </w:tc>
      </w:tr>
      <w:tr w:rsidR="00302BFE" w:rsidRPr="00412826" w14:paraId="51E04B62" w14:textId="77777777" w:rsidTr="00243B15">
        <w:trPr>
          <w:jc w:val="center"/>
        </w:trPr>
        <w:tc>
          <w:tcPr>
            <w:tcW w:w="2117" w:type="dxa"/>
            <w:vMerge/>
            <w:tcBorders>
              <w:left w:val="single" w:sz="4" w:space="0" w:color="auto"/>
              <w:right w:val="single" w:sz="4" w:space="0" w:color="auto"/>
            </w:tcBorders>
            <w:vAlign w:val="center"/>
          </w:tcPr>
          <w:p w14:paraId="3C4A8030"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112487FC"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41817A28" w14:textId="77777777" w:rsidR="00302BFE" w:rsidRPr="00412826" w:rsidRDefault="00302BFE" w:rsidP="00243B15">
            <w:pPr>
              <w:spacing w:after="0"/>
              <w:ind w:left="30" w:right="30"/>
              <w:jc w:val="center"/>
              <w:rPr>
                <w:sz w:val="18"/>
                <w:szCs w:val="18"/>
                <w:lang w:val="fr-FR"/>
              </w:rPr>
            </w:pPr>
            <w:r w:rsidRPr="00412826">
              <w:rPr>
                <w:sz w:val="18"/>
                <w:szCs w:val="18"/>
                <w:lang w:val="fr-FR"/>
              </w:rPr>
              <w:t>Mare aux Hippopotames</w:t>
            </w:r>
          </w:p>
        </w:tc>
        <w:tc>
          <w:tcPr>
            <w:tcW w:w="1127" w:type="dxa"/>
            <w:tcBorders>
              <w:top w:val="single" w:sz="4" w:space="0" w:color="auto"/>
              <w:left w:val="single" w:sz="4" w:space="0" w:color="auto"/>
              <w:bottom w:val="single" w:sz="4" w:space="0" w:color="auto"/>
              <w:right w:val="single" w:sz="4" w:space="0" w:color="auto"/>
            </w:tcBorders>
            <w:vAlign w:val="center"/>
          </w:tcPr>
          <w:p w14:paraId="1F381F6F" w14:textId="77777777" w:rsidR="00302BFE" w:rsidRPr="00412826" w:rsidRDefault="00302BFE" w:rsidP="00243B15">
            <w:pPr>
              <w:spacing w:after="0"/>
              <w:ind w:left="30" w:right="30"/>
              <w:jc w:val="center"/>
              <w:rPr>
                <w:sz w:val="18"/>
                <w:szCs w:val="18"/>
                <w:lang w:val="fr-FR"/>
              </w:rPr>
            </w:pPr>
            <w:r w:rsidRPr="00412826">
              <w:rPr>
                <w:sz w:val="18"/>
                <w:szCs w:val="18"/>
                <w:lang w:val="fr-FR"/>
              </w:rPr>
              <w:t>1990</w:t>
            </w:r>
          </w:p>
        </w:tc>
        <w:tc>
          <w:tcPr>
            <w:tcW w:w="2097" w:type="dxa"/>
            <w:tcBorders>
              <w:top w:val="single" w:sz="4" w:space="0" w:color="auto"/>
              <w:left w:val="single" w:sz="4" w:space="0" w:color="auto"/>
              <w:bottom w:val="single" w:sz="4" w:space="0" w:color="auto"/>
              <w:right w:val="single" w:sz="4" w:space="0" w:color="auto"/>
            </w:tcBorders>
            <w:vAlign w:val="center"/>
          </w:tcPr>
          <w:p w14:paraId="471AA311" w14:textId="77777777" w:rsidR="00302BFE" w:rsidRPr="00412826" w:rsidRDefault="00302BFE" w:rsidP="00243B15">
            <w:pPr>
              <w:spacing w:after="0"/>
              <w:ind w:left="30" w:right="30"/>
              <w:jc w:val="center"/>
              <w:rPr>
                <w:sz w:val="18"/>
                <w:szCs w:val="18"/>
                <w:lang w:val="fr-FR"/>
              </w:rPr>
            </w:pPr>
            <w:r w:rsidRPr="00412826">
              <w:rPr>
                <w:sz w:val="18"/>
                <w:szCs w:val="18"/>
                <w:lang w:val="fr-FR"/>
              </w:rPr>
              <w:t>19</w:t>
            </w:r>
            <w:r>
              <w:rPr>
                <w:sz w:val="18"/>
                <w:szCs w:val="18"/>
                <w:lang w:val="fr-FR"/>
              </w:rPr>
              <w:t>,</w:t>
            </w:r>
            <w:r w:rsidRPr="00412826">
              <w:rPr>
                <w:sz w:val="18"/>
                <w:szCs w:val="18"/>
                <w:lang w:val="fr-FR"/>
              </w:rPr>
              <w:t>200</w:t>
            </w:r>
          </w:p>
        </w:tc>
        <w:tc>
          <w:tcPr>
            <w:tcW w:w="850" w:type="dxa"/>
            <w:tcBorders>
              <w:top w:val="nil"/>
              <w:left w:val="single" w:sz="4" w:space="0" w:color="auto"/>
              <w:bottom w:val="nil"/>
              <w:right w:val="nil"/>
            </w:tcBorders>
            <w:vAlign w:val="center"/>
          </w:tcPr>
          <w:p w14:paraId="63EE906D"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522789DA" w14:textId="77777777" w:rsidR="00302BFE" w:rsidRPr="00412826" w:rsidRDefault="00302BFE" w:rsidP="00243B15">
            <w:pPr>
              <w:spacing w:after="0"/>
              <w:ind w:left="30" w:right="30"/>
              <w:rPr>
                <w:sz w:val="18"/>
                <w:szCs w:val="18"/>
                <w:lang w:val="fr-FR"/>
              </w:rPr>
            </w:pPr>
          </w:p>
        </w:tc>
      </w:tr>
      <w:tr w:rsidR="00302BFE" w:rsidRPr="00412826" w14:paraId="353A1472" w14:textId="77777777" w:rsidTr="00243B15">
        <w:trPr>
          <w:jc w:val="center"/>
        </w:trPr>
        <w:tc>
          <w:tcPr>
            <w:tcW w:w="2117" w:type="dxa"/>
            <w:vMerge/>
            <w:tcBorders>
              <w:left w:val="single" w:sz="4" w:space="0" w:color="auto"/>
              <w:right w:val="single" w:sz="4" w:space="0" w:color="auto"/>
            </w:tcBorders>
            <w:vAlign w:val="center"/>
          </w:tcPr>
          <w:p w14:paraId="24B8CA9E"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6041C4F8"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562E596D" w14:textId="77777777" w:rsidR="00302BFE" w:rsidRPr="00412826" w:rsidRDefault="00302BFE" w:rsidP="00243B15">
            <w:pPr>
              <w:spacing w:after="0"/>
              <w:ind w:left="30" w:right="30"/>
              <w:jc w:val="center"/>
              <w:rPr>
                <w:sz w:val="18"/>
                <w:szCs w:val="18"/>
                <w:lang w:val="fr-FR"/>
              </w:rPr>
            </w:pPr>
            <w:r w:rsidRPr="00412826">
              <w:rPr>
                <w:sz w:val="18"/>
                <w:szCs w:val="18"/>
                <w:lang w:val="fr-FR"/>
              </w:rPr>
              <w:t>Barrage de Bagré</w:t>
            </w:r>
          </w:p>
        </w:tc>
        <w:tc>
          <w:tcPr>
            <w:tcW w:w="1127" w:type="dxa"/>
            <w:tcBorders>
              <w:top w:val="single" w:sz="4" w:space="0" w:color="auto"/>
              <w:left w:val="single" w:sz="4" w:space="0" w:color="auto"/>
              <w:bottom w:val="single" w:sz="4" w:space="0" w:color="auto"/>
              <w:right w:val="single" w:sz="4" w:space="0" w:color="auto"/>
            </w:tcBorders>
            <w:vAlign w:val="center"/>
          </w:tcPr>
          <w:p w14:paraId="4B2983B0" w14:textId="77777777" w:rsidR="00302BFE" w:rsidRPr="00412826" w:rsidRDefault="00302BFE" w:rsidP="00243B15">
            <w:pPr>
              <w:spacing w:after="0"/>
              <w:ind w:left="30" w:right="30"/>
              <w:jc w:val="center"/>
              <w:rPr>
                <w:sz w:val="18"/>
                <w:szCs w:val="18"/>
                <w:lang w:val="fr-FR"/>
              </w:rPr>
            </w:pPr>
            <w:r w:rsidRPr="00412826">
              <w:rPr>
                <w:sz w:val="18"/>
                <w:szCs w:val="18"/>
                <w:lang w:val="fr-FR"/>
              </w:rPr>
              <w:t>2009</w:t>
            </w:r>
          </w:p>
        </w:tc>
        <w:tc>
          <w:tcPr>
            <w:tcW w:w="2097" w:type="dxa"/>
            <w:tcBorders>
              <w:top w:val="single" w:sz="4" w:space="0" w:color="auto"/>
              <w:left w:val="single" w:sz="4" w:space="0" w:color="auto"/>
              <w:bottom w:val="single" w:sz="4" w:space="0" w:color="auto"/>
              <w:right w:val="single" w:sz="4" w:space="0" w:color="auto"/>
            </w:tcBorders>
            <w:vAlign w:val="center"/>
          </w:tcPr>
          <w:p w14:paraId="12ADCFA8" w14:textId="77777777" w:rsidR="00302BFE" w:rsidRPr="00412826" w:rsidRDefault="00302BFE" w:rsidP="00243B15">
            <w:pPr>
              <w:spacing w:after="0"/>
              <w:ind w:left="30" w:right="30"/>
              <w:jc w:val="center"/>
              <w:rPr>
                <w:sz w:val="18"/>
                <w:szCs w:val="18"/>
                <w:lang w:val="fr-FR"/>
              </w:rPr>
            </w:pPr>
            <w:r w:rsidRPr="00412826">
              <w:rPr>
                <w:sz w:val="18"/>
                <w:szCs w:val="18"/>
                <w:lang w:val="fr-FR"/>
              </w:rPr>
              <w:t>36</w:t>
            </w:r>
            <w:r>
              <w:rPr>
                <w:sz w:val="18"/>
                <w:szCs w:val="18"/>
                <w:lang w:val="fr-FR"/>
              </w:rPr>
              <w:t>,</w:t>
            </w:r>
            <w:r w:rsidRPr="00412826">
              <w:rPr>
                <w:sz w:val="18"/>
                <w:szCs w:val="18"/>
                <w:lang w:val="fr-FR"/>
              </w:rPr>
              <w:t>793</w:t>
            </w:r>
          </w:p>
        </w:tc>
        <w:tc>
          <w:tcPr>
            <w:tcW w:w="850" w:type="dxa"/>
            <w:tcBorders>
              <w:top w:val="nil"/>
              <w:left w:val="single" w:sz="4" w:space="0" w:color="auto"/>
              <w:bottom w:val="nil"/>
              <w:right w:val="nil"/>
            </w:tcBorders>
            <w:vAlign w:val="center"/>
          </w:tcPr>
          <w:p w14:paraId="310415E8"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04C92FC4" w14:textId="77777777" w:rsidR="00302BFE" w:rsidRPr="00412826" w:rsidRDefault="00302BFE" w:rsidP="00243B15">
            <w:pPr>
              <w:spacing w:after="0"/>
              <w:ind w:left="30" w:right="30"/>
              <w:rPr>
                <w:sz w:val="18"/>
                <w:szCs w:val="18"/>
                <w:lang w:val="fr-FR"/>
              </w:rPr>
            </w:pPr>
          </w:p>
        </w:tc>
      </w:tr>
      <w:tr w:rsidR="00302BFE" w:rsidRPr="00412826" w14:paraId="4CB08017" w14:textId="77777777" w:rsidTr="00243B15">
        <w:trPr>
          <w:jc w:val="center"/>
        </w:trPr>
        <w:tc>
          <w:tcPr>
            <w:tcW w:w="2117" w:type="dxa"/>
            <w:vMerge/>
            <w:tcBorders>
              <w:left w:val="single" w:sz="4" w:space="0" w:color="auto"/>
              <w:right w:val="single" w:sz="4" w:space="0" w:color="auto"/>
            </w:tcBorders>
            <w:vAlign w:val="center"/>
          </w:tcPr>
          <w:p w14:paraId="102F33A2"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7DDC75A3"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0D99D95E" w14:textId="77777777" w:rsidR="00302BFE" w:rsidRPr="00412826" w:rsidRDefault="00302BFE" w:rsidP="00243B15">
            <w:pPr>
              <w:spacing w:after="0"/>
              <w:ind w:left="30" w:right="30"/>
              <w:jc w:val="center"/>
              <w:rPr>
                <w:sz w:val="18"/>
                <w:szCs w:val="18"/>
                <w:lang w:val="fr-FR"/>
              </w:rPr>
            </w:pPr>
            <w:r w:rsidRPr="00412826">
              <w:rPr>
                <w:sz w:val="18"/>
                <w:szCs w:val="18"/>
                <w:lang w:val="fr-FR"/>
              </w:rPr>
              <w:t>Barrage de Kompienga</w:t>
            </w:r>
          </w:p>
        </w:tc>
        <w:tc>
          <w:tcPr>
            <w:tcW w:w="1127" w:type="dxa"/>
            <w:tcBorders>
              <w:top w:val="single" w:sz="4" w:space="0" w:color="auto"/>
              <w:left w:val="single" w:sz="4" w:space="0" w:color="auto"/>
              <w:bottom w:val="single" w:sz="4" w:space="0" w:color="auto"/>
              <w:right w:val="single" w:sz="4" w:space="0" w:color="auto"/>
            </w:tcBorders>
            <w:vAlign w:val="center"/>
          </w:tcPr>
          <w:p w14:paraId="62349508" w14:textId="77777777" w:rsidR="00302BFE" w:rsidRPr="00412826" w:rsidRDefault="00302BFE" w:rsidP="00243B15">
            <w:pPr>
              <w:spacing w:after="0"/>
              <w:ind w:left="30" w:right="30"/>
              <w:jc w:val="center"/>
              <w:rPr>
                <w:sz w:val="18"/>
                <w:szCs w:val="18"/>
                <w:lang w:val="fr-FR"/>
              </w:rPr>
            </w:pPr>
            <w:r w:rsidRPr="00412826">
              <w:rPr>
                <w:sz w:val="18"/>
                <w:szCs w:val="18"/>
                <w:lang w:val="fr-FR"/>
              </w:rPr>
              <w:t>2009</w:t>
            </w:r>
          </w:p>
        </w:tc>
        <w:tc>
          <w:tcPr>
            <w:tcW w:w="2097" w:type="dxa"/>
            <w:tcBorders>
              <w:top w:val="single" w:sz="4" w:space="0" w:color="auto"/>
              <w:left w:val="single" w:sz="4" w:space="0" w:color="auto"/>
              <w:bottom w:val="single" w:sz="4" w:space="0" w:color="auto"/>
              <w:right w:val="single" w:sz="4" w:space="0" w:color="auto"/>
            </w:tcBorders>
            <w:vAlign w:val="center"/>
          </w:tcPr>
          <w:p w14:paraId="1646425A" w14:textId="77777777" w:rsidR="00302BFE" w:rsidRPr="00412826" w:rsidRDefault="00302BFE" w:rsidP="00243B15">
            <w:pPr>
              <w:spacing w:after="0"/>
              <w:ind w:left="30" w:right="30"/>
              <w:jc w:val="center"/>
              <w:rPr>
                <w:sz w:val="18"/>
                <w:szCs w:val="18"/>
                <w:lang w:val="fr-FR"/>
              </w:rPr>
            </w:pPr>
            <w:r w:rsidRPr="00412826">
              <w:rPr>
                <w:sz w:val="18"/>
                <w:szCs w:val="18"/>
                <w:lang w:val="fr-FR"/>
              </w:rPr>
              <w:t>17</w:t>
            </w:r>
            <w:r>
              <w:rPr>
                <w:sz w:val="18"/>
                <w:szCs w:val="18"/>
                <w:lang w:val="fr-FR"/>
              </w:rPr>
              <w:t>,</w:t>
            </w:r>
            <w:r w:rsidRPr="00412826">
              <w:rPr>
                <w:sz w:val="18"/>
                <w:szCs w:val="18"/>
                <w:lang w:val="fr-FR"/>
              </w:rPr>
              <w:t>545</w:t>
            </w:r>
          </w:p>
        </w:tc>
        <w:tc>
          <w:tcPr>
            <w:tcW w:w="850" w:type="dxa"/>
            <w:tcBorders>
              <w:top w:val="nil"/>
              <w:left w:val="single" w:sz="4" w:space="0" w:color="auto"/>
              <w:bottom w:val="nil"/>
              <w:right w:val="nil"/>
            </w:tcBorders>
            <w:vAlign w:val="center"/>
          </w:tcPr>
          <w:p w14:paraId="206C467F"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74D93AC5" w14:textId="77777777" w:rsidR="00302BFE" w:rsidRPr="00412826" w:rsidRDefault="00302BFE" w:rsidP="00243B15">
            <w:pPr>
              <w:spacing w:after="0"/>
              <w:ind w:left="30" w:right="30"/>
              <w:rPr>
                <w:sz w:val="18"/>
                <w:szCs w:val="18"/>
                <w:lang w:val="fr-FR"/>
              </w:rPr>
            </w:pPr>
          </w:p>
        </w:tc>
      </w:tr>
      <w:tr w:rsidR="00302BFE" w:rsidRPr="00412826" w14:paraId="6E4FDE04" w14:textId="77777777" w:rsidTr="00243B15">
        <w:trPr>
          <w:jc w:val="center"/>
        </w:trPr>
        <w:tc>
          <w:tcPr>
            <w:tcW w:w="2117" w:type="dxa"/>
            <w:vMerge/>
            <w:tcBorders>
              <w:left w:val="single" w:sz="4" w:space="0" w:color="auto"/>
              <w:right w:val="single" w:sz="4" w:space="0" w:color="auto"/>
            </w:tcBorders>
            <w:vAlign w:val="center"/>
          </w:tcPr>
          <w:p w14:paraId="2A2EDB2F"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629B51F8"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7BA48443" w14:textId="77777777" w:rsidR="00302BFE" w:rsidRPr="00412826" w:rsidRDefault="00302BFE" w:rsidP="00243B15">
            <w:pPr>
              <w:spacing w:after="0"/>
              <w:ind w:left="30" w:right="30"/>
              <w:jc w:val="center"/>
              <w:rPr>
                <w:sz w:val="18"/>
                <w:szCs w:val="18"/>
                <w:lang w:val="fr-FR"/>
              </w:rPr>
            </w:pPr>
            <w:r w:rsidRPr="00412826">
              <w:rPr>
                <w:sz w:val="18"/>
                <w:szCs w:val="18"/>
                <w:lang w:val="fr-FR"/>
              </w:rPr>
              <w:t>Barrage de Tapoa</w:t>
            </w:r>
          </w:p>
        </w:tc>
        <w:tc>
          <w:tcPr>
            <w:tcW w:w="1127" w:type="dxa"/>
            <w:tcBorders>
              <w:top w:val="single" w:sz="4" w:space="0" w:color="auto"/>
              <w:left w:val="single" w:sz="4" w:space="0" w:color="auto"/>
              <w:bottom w:val="single" w:sz="4" w:space="0" w:color="auto"/>
              <w:right w:val="single" w:sz="4" w:space="0" w:color="auto"/>
            </w:tcBorders>
            <w:vAlign w:val="center"/>
          </w:tcPr>
          <w:p w14:paraId="7172F121" w14:textId="77777777" w:rsidR="00302BFE" w:rsidRPr="00412826" w:rsidRDefault="00302BFE" w:rsidP="00243B15">
            <w:pPr>
              <w:spacing w:after="0"/>
              <w:ind w:left="30" w:right="30"/>
              <w:jc w:val="center"/>
              <w:rPr>
                <w:sz w:val="18"/>
                <w:szCs w:val="18"/>
                <w:lang w:val="fr-FR"/>
              </w:rPr>
            </w:pPr>
            <w:r w:rsidRPr="00412826">
              <w:rPr>
                <w:sz w:val="18"/>
                <w:szCs w:val="18"/>
                <w:lang w:val="fr-FR"/>
              </w:rPr>
              <w:t>2009</w:t>
            </w:r>
          </w:p>
        </w:tc>
        <w:tc>
          <w:tcPr>
            <w:tcW w:w="2097" w:type="dxa"/>
            <w:tcBorders>
              <w:top w:val="single" w:sz="4" w:space="0" w:color="auto"/>
              <w:left w:val="single" w:sz="4" w:space="0" w:color="auto"/>
              <w:bottom w:val="single" w:sz="4" w:space="0" w:color="auto"/>
              <w:right w:val="single" w:sz="4" w:space="0" w:color="auto"/>
            </w:tcBorders>
            <w:vAlign w:val="center"/>
          </w:tcPr>
          <w:p w14:paraId="61996351" w14:textId="77777777" w:rsidR="00302BFE" w:rsidRPr="00412826" w:rsidRDefault="00302BFE" w:rsidP="00243B15">
            <w:pPr>
              <w:spacing w:after="0"/>
              <w:ind w:left="30" w:right="30"/>
              <w:jc w:val="center"/>
              <w:rPr>
                <w:sz w:val="18"/>
                <w:szCs w:val="18"/>
                <w:lang w:val="fr-FR"/>
              </w:rPr>
            </w:pPr>
            <w:r w:rsidRPr="00412826">
              <w:rPr>
                <w:sz w:val="18"/>
                <w:szCs w:val="18"/>
                <w:lang w:val="fr-FR"/>
              </w:rPr>
              <w:t>3</w:t>
            </w:r>
            <w:r>
              <w:rPr>
                <w:sz w:val="18"/>
                <w:szCs w:val="18"/>
                <w:lang w:val="fr-FR"/>
              </w:rPr>
              <w:t>,</w:t>
            </w:r>
            <w:r w:rsidRPr="00412826">
              <w:rPr>
                <w:sz w:val="18"/>
                <w:szCs w:val="18"/>
                <w:lang w:val="fr-FR"/>
              </w:rPr>
              <w:t>479</w:t>
            </w:r>
          </w:p>
        </w:tc>
        <w:tc>
          <w:tcPr>
            <w:tcW w:w="850" w:type="dxa"/>
            <w:tcBorders>
              <w:top w:val="nil"/>
              <w:left w:val="single" w:sz="4" w:space="0" w:color="auto"/>
              <w:bottom w:val="nil"/>
              <w:right w:val="nil"/>
            </w:tcBorders>
            <w:vAlign w:val="center"/>
          </w:tcPr>
          <w:p w14:paraId="5483FCA8"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668097E3" w14:textId="77777777" w:rsidR="00302BFE" w:rsidRPr="00412826" w:rsidRDefault="00302BFE" w:rsidP="00243B15">
            <w:pPr>
              <w:spacing w:after="0"/>
              <w:ind w:left="30" w:right="30"/>
              <w:rPr>
                <w:sz w:val="18"/>
                <w:szCs w:val="18"/>
                <w:lang w:val="fr-FR"/>
              </w:rPr>
            </w:pPr>
          </w:p>
        </w:tc>
      </w:tr>
      <w:tr w:rsidR="00302BFE" w:rsidRPr="00412826" w14:paraId="15C2479F" w14:textId="77777777" w:rsidTr="00243B15">
        <w:trPr>
          <w:jc w:val="center"/>
        </w:trPr>
        <w:tc>
          <w:tcPr>
            <w:tcW w:w="2117" w:type="dxa"/>
            <w:vMerge/>
            <w:tcBorders>
              <w:left w:val="single" w:sz="4" w:space="0" w:color="auto"/>
              <w:right w:val="single" w:sz="4" w:space="0" w:color="auto"/>
            </w:tcBorders>
            <w:vAlign w:val="center"/>
          </w:tcPr>
          <w:p w14:paraId="090537A4"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28344F8B"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79DC4D7A" w14:textId="77777777" w:rsidR="00302BFE" w:rsidRPr="00412826" w:rsidRDefault="00302BFE" w:rsidP="00243B15">
            <w:pPr>
              <w:spacing w:after="0"/>
              <w:ind w:left="30" w:right="30"/>
              <w:jc w:val="center"/>
              <w:rPr>
                <w:sz w:val="18"/>
                <w:szCs w:val="18"/>
                <w:lang w:val="fr-FR"/>
              </w:rPr>
            </w:pPr>
            <w:r w:rsidRPr="00412826">
              <w:rPr>
                <w:sz w:val="18"/>
                <w:szCs w:val="18"/>
                <w:lang w:val="fr-FR"/>
              </w:rPr>
              <w:t>Barrage de Tougouri</w:t>
            </w:r>
          </w:p>
        </w:tc>
        <w:tc>
          <w:tcPr>
            <w:tcW w:w="1127" w:type="dxa"/>
            <w:tcBorders>
              <w:top w:val="single" w:sz="4" w:space="0" w:color="auto"/>
              <w:left w:val="single" w:sz="4" w:space="0" w:color="auto"/>
              <w:bottom w:val="single" w:sz="4" w:space="0" w:color="auto"/>
              <w:right w:val="single" w:sz="4" w:space="0" w:color="auto"/>
            </w:tcBorders>
            <w:vAlign w:val="center"/>
          </w:tcPr>
          <w:p w14:paraId="13953430" w14:textId="77777777" w:rsidR="00302BFE" w:rsidRPr="00412826" w:rsidRDefault="00302BFE" w:rsidP="00243B15">
            <w:pPr>
              <w:spacing w:after="0"/>
              <w:ind w:left="30" w:right="30"/>
              <w:jc w:val="center"/>
              <w:rPr>
                <w:sz w:val="18"/>
                <w:szCs w:val="18"/>
                <w:lang w:val="fr-FR"/>
              </w:rPr>
            </w:pPr>
            <w:r w:rsidRPr="00412826">
              <w:rPr>
                <w:sz w:val="18"/>
                <w:szCs w:val="18"/>
                <w:lang w:val="fr-FR"/>
              </w:rPr>
              <w:t>2009</w:t>
            </w:r>
          </w:p>
        </w:tc>
        <w:tc>
          <w:tcPr>
            <w:tcW w:w="2097" w:type="dxa"/>
            <w:tcBorders>
              <w:top w:val="single" w:sz="4" w:space="0" w:color="auto"/>
              <w:left w:val="single" w:sz="4" w:space="0" w:color="auto"/>
              <w:bottom w:val="single" w:sz="4" w:space="0" w:color="auto"/>
              <w:right w:val="single" w:sz="4" w:space="0" w:color="auto"/>
            </w:tcBorders>
            <w:vAlign w:val="center"/>
          </w:tcPr>
          <w:p w14:paraId="5DFFDA72" w14:textId="77777777" w:rsidR="00302BFE" w:rsidRPr="00412826" w:rsidRDefault="00302BFE" w:rsidP="00243B15">
            <w:pPr>
              <w:spacing w:after="0"/>
              <w:ind w:left="30" w:right="30"/>
              <w:jc w:val="center"/>
              <w:rPr>
                <w:sz w:val="18"/>
                <w:szCs w:val="18"/>
                <w:lang w:val="fr-FR"/>
              </w:rPr>
            </w:pPr>
            <w:r w:rsidRPr="00412826">
              <w:rPr>
                <w:sz w:val="18"/>
                <w:szCs w:val="18"/>
                <w:lang w:val="fr-FR"/>
              </w:rPr>
              <w:t>1</w:t>
            </w:r>
            <w:r>
              <w:rPr>
                <w:sz w:val="18"/>
                <w:szCs w:val="18"/>
                <w:lang w:val="fr-FR"/>
              </w:rPr>
              <w:t>,</w:t>
            </w:r>
            <w:r w:rsidRPr="00412826">
              <w:rPr>
                <w:sz w:val="18"/>
                <w:szCs w:val="18"/>
                <w:lang w:val="fr-FR"/>
              </w:rPr>
              <w:t>221</w:t>
            </w:r>
          </w:p>
        </w:tc>
        <w:tc>
          <w:tcPr>
            <w:tcW w:w="850" w:type="dxa"/>
            <w:tcBorders>
              <w:top w:val="nil"/>
              <w:left w:val="single" w:sz="4" w:space="0" w:color="auto"/>
              <w:bottom w:val="nil"/>
              <w:right w:val="nil"/>
            </w:tcBorders>
            <w:vAlign w:val="center"/>
          </w:tcPr>
          <w:p w14:paraId="3B6C2C6B"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3FF0D904" w14:textId="77777777" w:rsidR="00302BFE" w:rsidRPr="00412826" w:rsidRDefault="00302BFE" w:rsidP="00243B15">
            <w:pPr>
              <w:spacing w:after="0"/>
              <w:ind w:left="30" w:right="30"/>
              <w:rPr>
                <w:sz w:val="18"/>
                <w:szCs w:val="18"/>
                <w:lang w:val="fr-FR"/>
              </w:rPr>
            </w:pPr>
          </w:p>
        </w:tc>
      </w:tr>
      <w:tr w:rsidR="00302BFE" w:rsidRPr="00412826" w14:paraId="66086F69" w14:textId="77777777" w:rsidTr="00243B15">
        <w:trPr>
          <w:jc w:val="center"/>
        </w:trPr>
        <w:tc>
          <w:tcPr>
            <w:tcW w:w="2117" w:type="dxa"/>
            <w:vMerge/>
            <w:tcBorders>
              <w:left w:val="single" w:sz="4" w:space="0" w:color="auto"/>
              <w:right w:val="single" w:sz="4" w:space="0" w:color="auto"/>
            </w:tcBorders>
            <w:vAlign w:val="center"/>
          </w:tcPr>
          <w:p w14:paraId="59425815"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6139F5BE"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07956B3E" w14:textId="77777777" w:rsidR="00302BFE" w:rsidRPr="00412826" w:rsidRDefault="00302BFE" w:rsidP="00243B15">
            <w:pPr>
              <w:spacing w:after="0"/>
              <w:ind w:left="30" w:right="30"/>
              <w:jc w:val="center"/>
              <w:rPr>
                <w:sz w:val="18"/>
                <w:szCs w:val="18"/>
                <w:lang w:val="fr-FR"/>
              </w:rPr>
            </w:pPr>
            <w:r w:rsidRPr="00412826">
              <w:rPr>
                <w:sz w:val="18"/>
                <w:szCs w:val="18"/>
                <w:lang w:val="fr-FR"/>
              </w:rPr>
              <w:t>Barrage de Yalgo</w:t>
            </w:r>
          </w:p>
        </w:tc>
        <w:tc>
          <w:tcPr>
            <w:tcW w:w="1127" w:type="dxa"/>
            <w:tcBorders>
              <w:top w:val="single" w:sz="4" w:space="0" w:color="auto"/>
              <w:left w:val="single" w:sz="4" w:space="0" w:color="auto"/>
              <w:bottom w:val="single" w:sz="4" w:space="0" w:color="auto"/>
              <w:right w:val="single" w:sz="4" w:space="0" w:color="auto"/>
            </w:tcBorders>
            <w:vAlign w:val="center"/>
          </w:tcPr>
          <w:p w14:paraId="0A3FEE9C" w14:textId="77777777" w:rsidR="00302BFE" w:rsidRPr="00412826" w:rsidRDefault="00302BFE" w:rsidP="00243B15">
            <w:pPr>
              <w:spacing w:after="0"/>
              <w:ind w:left="30" w:right="30"/>
              <w:jc w:val="center"/>
              <w:rPr>
                <w:sz w:val="18"/>
                <w:szCs w:val="18"/>
                <w:lang w:val="fr-FR"/>
              </w:rPr>
            </w:pPr>
            <w:r w:rsidRPr="00412826">
              <w:rPr>
                <w:sz w:val="18"/>
                <w:szCs w:val="18"/>
                <w:lang w:val="fr-FR"/>
              </w:rPr>
              <w:t>2016</w:t>
            </w:r>
          </w:p>
        </w:tc>
        <w:tc>
          <w:tcPr>
            <w:tcW w:w="2097" w:type="dxa"/>
            <w:tcBorders>
              <w:top w:val="single" w:sz="4" w:space="0" w:color="auto"/>
              <w:left w:val="single" w:sz="4" w:space="0" w:color="auto"/>
              <w:bottom w:val="single" w:sz="4" w:space="0" w:color="auto"/>
              <w:right w:val="single" w:sz="4" w:space="0" w:color="auto"/>
            </w:tcBorders>
            <w:vAlign w:val="center"/>
          </w:tcPr>
          <w:p w14:paraId="51B19C48" w14:textId="77777777" w:rsidR="00302BFE" w:rsidRPr="00412826" w:rsidRDefault="00302BFE" w:rsidP="00243B15">
            <w:pPr>
              <w:spacing w:after="0"/>
              <w:ind w:left="30" w:right="30"/>
              <w:jc w:val="center"/>
              <w:rPr>
                <w:sz w:val="18"/>
                <w:szCs w:val="18"/>
                <w:lang w:val="fr-FR"/>
              </w:rPr>
            </w:pPr>
            <w:r w:rsidRPr="00412826">
              <w:rPr>
                <w:sz w:val="18"/>
                <w:szCs w:val="18"/>
                <w:lang w:val="fr-FR"/>
              </w:rPr>
              <w:t>4</w:t>
            </w:r>
            <w:r>
              <w:rPr>
                <w:sz w:val="18"/>
                <w:szCs w:val="18"/>
                <w:lang w:val="fr-FR"/>
              </w:rPr>
              <w:t>,</w:t>
            </w:r>
            <w:r w:rsidRPr="00412826">
              <w:rPr>
                <w:sz w:val="18"/>
                <w:szCs w:val="18"/>
                <w:lang w:val="fr-FR"/>
              </w:rPr>
              <w:t>522</w:t>
            </w:r>
          </w:p>
        </w:tc>
        <w:tc>
          <w:tcPr>
            <w:tcW w:w="850" w:type="dxa"/>
            <w:tcBorders>
              <w:top w:val="nil"/>
              <w:left w:val="single" w:sz="4" w:space="0" w:color="auto"/>
              <w:bottom w:val="nil"/>
              <w:right w:val="nil"/>
            </w:tcBorders>
            <w:vAlign w:val="center"/>
          </w:tcPr>
          <w:p w14:paraId="25C5462E"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1C222C41" w14:textId="77777777" w:rsidR="00302BFE" w:rsidRPr="00412826" w:rsidRDefault="00302BFE" w:rsidP="00243B15">
            <w:pPr>
              <w:spacing w:after="0"/>
              <w:ind w:left="30" w:right="30"/>
              <w:rPr>
                <w:sz w:val="18"/>
                <w:szCs w:val="18"/>
                <w:lang w:val="fr-FR"/>
              </w:rPr>
            </w:pPr>
          </w:p>
        </w:tc>
      </w:tr>
      <w:tr w:rsidR="00302BFE" w:rsidRPr="00412826" w14:paraId="4CE80583" w14:textId="77777777" w:rsidTr="00243B15">
        <w:trPr>
          <w:jc w:val="center"/>
        </w:trPr>
        <w:tc>
          <w:tcPr>
            <w:tcW w:w="2117" w:type="dxa"/>
            <w:vMerge/>
            <w:tcBorders>
              <w:left w:val="single" w:sz="4" w:space="0" w:color="auto"/>
              <w:right w:val="single" w:sz="4" w:space="0" w:color="auto"/>
            </w:tcBorders>
            <w:vAlign w:val="center"/>
          </w:tcPr>
          <w:p w14:paraId="6CA6F904"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5CAC018B"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4DC40B56" w14:textId="77777777" w:rsidR="00302BFE" w:rsidRPr="00412826" w:rsidRDefault="00302BFE" w:rsidP="00243B15">
            <w:pPr>
              <w:spacing w:after="0"/>
              <w:ind w:left="30" w:right="30"/>
              <w:jc w:val="center"/>
              <w:rPr>
                <w:sz w:val="18"/>
                <w:szCs w:val="18"/>
                <w:lang w:val="fr-FR"/>
              </w:rPr>
            </w:pPr>
            <w:r w:rsidRPr="00412826">
              <w:rPr>
                <w:sz w:val="18"/>
                <w:szCs w:val="18"/>
                <w:lang w:val="fr-FR"/>
              </w:rPr>
              <w:t xml:space="preserve">Bassin du </w:t>
            </w:r>
            <w:proofErr w:type="spellStart"/>
            <w:r w:rsidRPr="00412826">
              <w:rPr>
                <w:sz w:val="18"/>
                <w:szCs w:val="18"/>
                <w:lang w:val="fr-FR"/>
              </w:rPr>
              <w:t>Nakambé</w:t>
            </w:r>
            <w:proofErr w:type="spellEnd"/>
            <w:r w:rsidRPr="00412826">
              <w:rPr>
                <w:sz w:val="18"/>
                <w:szCs w:val="18"/>
                <w:lang w:val="fr-FR"/>
              </w:rPr>
              <w:t>-Mané</w:t>
            </w:r>
          </w:p>
        </w:tc>
        <w:tc>
          <w:tcPr>
            <w:tcW w:w="1127" w:type="dxa"/>
            <w:tcBorders>
              <w:top w:val="single" w:sz="4" w:space="0" w:color="auto"/>
              <w:left w:val="single" w:sz="4" w:space="0" w:color="auto"/>
              <w:bottom w:val="single" w:sz="4" w:space="0" w:color="auto"/>
              <w:right w:val="single" w:sz="4" w:space="0" w:color="auto"/>
            </w:tcBorders>
            <w:vAlign w:val="center"/>
          </w:tcPr>
          <w:p w14:paraId="74F3B3E9" w14:textId="77777777" w:rsidR="00302BFE" w:rsidRPr="00412826" w:rsidRDefault="00302BFE" w:rsidP="00243B15">
            <w:pPr>
              <w:spacing w:after="0"/>
              <w:ind w:left="30" w:right="30"/>
              <w:jc w:val="center"/>
              <w:rPr>
                <w:sz w:val="18"/>
                <w:szCs w:val="18"/>
                <w:lang w:val="fr-FR"/>
              </w:rPr>
            </w:pPr>
            <w:r w:rsidRPr="00412826">
              <w:rPr>
                <w:sz w:val="18"/>
                <w:szCs w:val="18"/>
                <w:lang w:val="fr-FR"/>
              </w:rPr>
              <w:t>2016</w:t>
            </w:r>
          </w:p>
        </w:tc>
        <w:tc>
          <w:tcPr>
            <w:tcW w:w="2097" w:type="dxa"/>
            <w:tcBorders>
              <w:top w:val="single" w:sz="4" w:space="0" w:color="auto"/>
              <w:left w:val="single" w:sz="4" w:space="0" w:color="auto"/>
              <w:bottom w:val="single" w:sz="4" w:space="0" w:color="auto"/>
              <w:right w:val="single" w:sz="4" w:space="0" w:color="auto"/>
            </w:tcBorders>
            <w:vAlign w:val="center"/>
          </w:tcPr>
          <w:p w14:paraId="4449F166" w14:textId="77777777" w:rsidR="00302BFE" w:rsidRPr="00412826" w:rsidRDefault="00302BFE" w:rsidP="00243B15">
            <w:pPr>
              <w:spacing w:after="0"/>
              <w:ind w:left="30" w:right="30"/>
              <w:jc w:val="center"/>
              <w:rPr>
                <w:sz w:val="18"/>
                <w:szCs w:val="18"/>
                <w:lang w:val="fr-FR"/>
              </w:rPr>
            </w:pPr>
            <w:r w:rsidRPr="00412826">
              <w:rPr>
                <w:sz w:val="18"/>
                <w:szCs w:val="18"/>
                <w:lang w:val="fr-FR"/>
              </w:rPr>
              <w:t>2</w:t>
            </w:r>
            <w:r>
              <w:rPr>
                <w:sz w:val="18"/>
                <w:szCs w:val="18"/>
                <w:lang w:val="fr-FR"/>
              </w:rPr>
              <w:t>,</w:t>
            </w:r>
            <w:r w:rsidRPr="00412826">
              <w:rPr>
                <w:sz w:val="18"/>
                <w:szCs w:val="18"/>
                <w:lang w:val="fr-FR"/>
              </w:rPr>
              <w:t>254</w:t>
            </w:r>
          </w:p>
        </w:tc>
        <w:tc>
          <w:tcPr>
            <w:tcW w:w="850" w:type="dxa"/>
            <w:tcBorders>
              <w:top w:val="nil"/>
              <w:left w:val="single" w:sz="4" w:space="0" w:color="auto"/>
              <w:bottom w:val="nil"/>
              <w:right w:val="nil"/>
            </w:tcBorders>
            <w:vAlign w:val="center"/>
          </w:tcPr>
          <w:p w14:paraId="63BEA45A"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23B409C8" w14:textId="77777777" w:rsidR="00302BFE" w:rsidRPr="00412826" w:rsidRDefault="00302BFE" w:rsidP="00243B15">
            <w:pPr>
              <w:spacing w:after="0"/>
              <w:ind w:left="30" w:right="30"/>
              <w:rPr>
                <w:sz w:val="18"/>
                <w:szCs w:val="18"/>
                <w:lang w:val="fr-FR"/>
              </w:rPr>
            </w:pPr>
          </w:p>
        </w:tc>
      </w:tr>
      <w:tr w:rsidR="00302BFE" w:rsidRPr="00412826" w14:paraId="1D4A86BA" w14:textId="77777777" w:rsidTr="00243B15">
        <w:trPr>
          <w:jc w:val="center"/>
        </w:trPr>
        <w:tc>
          <w:tcPr>
            <w:tcW w:w="2117" w:type="dxa"/>
            <w:vMerge/>
            <w:tcBorders>
              <w:left w:val="single" w:sz="4" w:space="0" w:color="auto"/>
              <w:right w:val="single" w:sz="4" w:space="0" w:color="auto"/>
            </w:tcBorders>
            <w:vAlign w:val="center"/>
          </w:tcPr>
          <w:p w14:paraId="7C2853D8"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32257CD5"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6332B87D" w14:textId="77777777" w:rsidR="00302BFE" w:rsidRPr="00412826" w:rsidRDefault="00302BFE" w:rsidP="00243B15">
            <w:pPr>
              <w:spacing w:after="0"/>
              <w:ind w:left="30" w:right="30"/>
              <w:jc w:val="center"/>
              <w:rPr>
                <w:sz w:val="18"/>
                <w:szCs w:val="18"/>
                <w:lang w:val="fr-FR"/>
              </w:rPr>
            </w:pPr>
            <w:r w:rsidRPr="00412826">
              <w:rPr>
                <w:sz w:val="18"/>
                <w:szCs w:val="18"/>
                <w:lang w:val="fr-FR"/>
              </w:rPr>
              <w:t>Complexe d’aires protégées Pô-</w:t>
            </w:r>
            <w:proofErr w:type="spellStart"/>
            <w:r w:rsidRPr="00412826">
              <w:rPr>
                <w:sz w:val="18"/>
                <w:szCs w:val="18"/>
                <w:lang w:val="fr-FR"/>
              </w:rPr>
              <w:t>Nazinga</w:t>
            </w:r>
            <w:proofErr w:type="spellEnd"/>
            <w:r w:rsidRPr="00412826">
              <w:rPr>
                <w:sz w:val="18"/>
                <w:szCs w:val="18"/>
                <w:lang w:val="fr-FR"/>
              </w:rPr>
              <w:t>-Sissili</w:t>
            </w:r>
          </w:p>
        </w:tc>
        <w:tc>
          <w:tcPr>
            <w:tcW w:w="1127" w:type="dxa"/>
            <w:tcBorders>
              <w:top w:val="single" w:sz="4" w:space="0" w:color="auto"/>
              <w:left w:val="single" w:sz="4" w:space="0" w:color="auto"/>
              <w:bottom w:val="single" w:sz="4" w:space="0" w:color="auto"/>
              <w:right w:val="single" w:sz="4" w:space="0" w:color="auto"/>
            </w:tcBorders>
            <w:vAlign w:val="center"/>
          </w:tcPr>
          <w:p w14:paraId="2BDC8DB2" w14:textId="77777777" w:rsidR="00302BFE" w:rsidRPr="00412826" w:rsidRDefault="00302BFE" w:rsidP="00243B15">
            <w:pPr>
              <w:spacing w:after="0"/>
              <w:ind w:left="30" w:right="30"/>
              <w:jc w:val="center"/>
              <w:rPr>
                <w:sz w:val="18"/>
                <w:szCs w:val="18"/>
                <w:lang w:val="fr-FR"/>
              </w:rPr>
            </w:pPr>
            <w:r w:rsidRPr="00412826">
              <w:rPr>
                <w:sz w:val="18"/>
                <w:szCs w:val="18"/>
                <w:lang w:val="fr-FR"/>
              </w:rPr>
              <w:t>2018</w:t>
            </w:r>
          </w:p>
        </w:tc>
        <w:tc>
          <w:tcPr>
            <w:tcW w:w="2097" w:type="dxa"/>
            <w:tcBorders>
              <w:top w:val="single" w:sz="4" w:space="0" w:color="auto"/>
              <w:left w:val="single" w:sz="4" w:space="0" w:color="auto"/>
              <w:bottom w:val="single" w:sz="4" w:space="0" w:color="auto"/>
              <w:right w:val="single" w:sz="4" w:space="0" w:color="auto"/>
            </w:tcBorders>
            <w:vAlign w:val="center"/>
          </w:tcPr>
          <w:p w14:paraId="4734A9EC" w14:textId="77777777" w:rsidR="00302BFE" w:rsidRPr="00412826" w:rsidRDefault="00302BFE" w:rsidP="00243B15">
            <w:pPr>
              <w:spacing w:after="0"/>
              <w:ind w:left="30" w:right="30"/>
              <w:jc w:val="center"/>
              <w:rPr>
                <w:sz w:val="18"/>
                <w:szCs w:val="18"/>
                <w:lang w:val="fr-FR"/>
              </w:rPr>
            </w:pPr>
            <w:r w:rsidRPr="00412826">
              <w:rPr>
                <w:sz w:val="18"/>
                <w:szCs w:val="18"/>
                <w:lang w:val="fr-FR"/>
              </w:rPr>
              <w:t>301</w:t>
            </w:r>
            <w:r>
              <w:rPr>
                <w:sz w:val="18"/>
                <w:szCs w:val="18"/>
                <w:lang w:val="fr-FR"/>
              </w:rPr>
              <w:t>,</w:t>
            </w:r>
            <w:r w:rsidRPr="00412826">
              <w:rPr>
                <w:sz w:val="18"/>
                <w:szCs w:val="18"/>
                <w:lang w:val="fr-FR"/>
              </w:rPr>
              <w:t>972</w:t>
            </w:r>
          </w:p>
        </w:tc>
        <w:tc>
          <w:tcPr>
            <w:tcW w:w="850" w:type="dxa"/>
            <w:tcBorders>
              <w:top w:val="nil"/>
              <w:left w:val="single" w:sz="4" w:space="0" w:color="auto"/>
              <w:bottom w:val="nil"/>
              <w:right w:val="nil"/>
            </w:tcBorders>
            <w:vAlign w:val="center"/>
          </w:tcPr>
          <w:p w14:paraId="4A67AEC8"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06A905A7" w14:textId="77777777" w:rsidR="00302BFE" w:rsidRPr="00412826" w:rsidRDefault="00302BFE" w:rsidP="00243B15">
            <w:pPr>
              <w:spacing w:after="0"/>
              <w:ind w:left="30" w:right="30"/>
              <w:rPr>
                <w:sz w:val="18"/>
                <w:szCs w:val="18"/>
                <w:lang w:val="fr-FR"/>
              </w:rPr>
            </w:pPr>
          </w:p>
        </w:tc>
      </w:tr>
      <w:tr w:rsidR="00302BFE" w:rsidRPr="00412826" w14:paraId="03687713" w14:textId="77777777" w:rsidTr="00243B15">
        <w:trPr>
          <w:jc w:val="center"/>
        </w:trPr>
        <w:tc>
          <w:tcPr>
            <w:tcW w:w="2117" w:type="dxa"/>
            <w:vMerge/>
            <w:tcBorders>
              <w:left w:val="single" w:sz="4" w:space="0" w:color="auto"/>
              <w:right w:val="single" w:sz="4" w:space="0" w:color="auto"/>
            </w:tcBorders>
            <w:vAlign w:val="center"/>
          </w:tcPr>
          <w:p w14:paraId="4F1F43BE"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7D76B65F"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4E3F5F5C" w14:textId="77777777" w:rsidR="00302BFE" w:rsidRPr="00412826" w:rsidRDefault="00302BFE" w:rsidP="00243B15">
            <w:pPr>
              <w:spacing w:after="0"/>
              <w:ind w:left="30" w:right="30"/>
              <w:jc w:val="center"/>
              <w:rPr>
                <w:sz w:val="18"/>
                <w:szCs w:val="18"/>
                <w:lang w:val="fr-FR"/>
              </w:rPr>
            </w:pPr>
            <w:r w:rsidRPr="00412826">
              <w:rPr>
                <w:sz w:val="18"/>
                <w:szCs w:val="18"/>
                <w:lang w:val="fr-FR"/>
              </w:rPr>
              <w:t xml:space="preserve">Complexe du Parc urbain </w:t>
            </w:r>
            <w:proofErr w:type="spellStart"/>
            <w:r w:rsidRPr="00412826">
              <w:rPr>
                <w:sz w:val="18"/>
                <w:szCs w:val="18"/>
                <w:lang w:val="fr-FR"/>
              </w:rPr>
              <w:t>Bangr-Weoogo</w:t>
            </w:r>
            <w:proofErr w:type="spellEnd"/>
            <w:r w:rsidRPr="00412826">
              <w:rPr>
                <w:sz w:val="18"/>
                <w:szCs w:val="18"/>
                <w:lang w:val="fr-FR"/>
              </w:rPr>
              <w:t xml:space="preserve"> et du Lac des Trois Barrages</w:t>
            </w:r>
          </w:p>
        </w:tc>
        <w:tc>
          <w:tcPr>
            <w:tcW w:w="1127" w:type="dxa"/>
            <w:tcBorders>
              <w:top w:val="single" w:sz="4" w:space="0" w:color="auto"/>
              <w:left w:val="single" w:sz="4" w:space="0" w:color="auto"/>
              <w:bottom w:val="single" w:sz="4" w:space="0" w:color="auto"/>
              <w:right w:val="single" w:sz="4" w:space="0" w:color="auto"/>
            </w:tcBorders>
            <w:vAlign w:val="center"/>
          </w:tcPr>
          <w:p w14:paraId="703A2835" w14:textId="77777777" w:rsidR="00302BFE" w:rsidRPr="00412826" w:rsidRDefault="00302BFE" w:rsidP="00243B15">
            <w:pPr>
              <w:spacing w:after="0"/>
              <w:ind w:left="30" w:right="30"/>
              <w:jc w:val="center"/>
              <w:rPr>
                <w:sz w:val="18"/>
                <w:szCs w:val="18"/>
                <w:lang w:val="fr-FR"/>
              </w:rPr>
            </w:pPr>
            <w:r w:rsidRPr="00412826">
              <w:rPr>
                <w:sz w:val="18"/>
                <w:szCs w:val="18"/>
                <w:lang w:val="fr-FR"/>
              </w:rPr>
              <w:t>2019</w:t>
            </w:r>
          </w:p>
        </w:tc>
        <w:tc>
          <w:tcPr>
            <w:tcW w:w="2097" w:type="dxa"/>
            <w:tcBorders>
              <w:top w:val="single" w:sz="4" w:space="0" w:color="auto"/>
              <w:left w:val="single" w:sz="4" w:space="0" w:color="auto"/>
              <w:bottom w:val="single" w:sz="4" w:space="0" w:color="auto"/>
              <w:right w:val="single" w:sz="4" w:space="0" w:color="auto"/>
            </w:tcBorders>
            <w:vAlign w:val="center"/>
          </w:tcPr>
          <w:p w14:paraId="022566A7" w14:textId="77777777" w:rsidR="00302BFE" w:rsidRPr="00412826" w:rsidRDefault="00302BFE" w:rsidP="00243B15">
            <w:pPr>
              <w:spacing w:after="0"/>
              <w:ind w:left="30" w:right="30"/>
              <w:jc w:val="center"/>
              <w:rPr>
                <w:sz w:val="18"/>
                <w:szCs w:val="18"/>
                <w:lang w:val="fr-FR"/>
              </w:rPr>
            </w:pPr>
            <w:r w:rsidRPr="00412826">
              <w:rPr>
                <w:sz w:val="18"/>
                <w:szCs w:val="18"/>
                <w:lang w:val="fr-FR"/>
              </w:rPr>
              <w:t>945</w:t>
            </w:r>
          </w:p>
        </w:tc>
        <w:tc>
          <w:tcPr>
            <w:tcW w:w="850" w:type="dxa"/>
            <w:tcBorders>
              <w:top w:val="nil"/>
              <w:left w:val="single" w:sz="4" w:space="0" w:color="auto"/>
              <w:bottom w:val="nil"/>
              <w:right w:val="nil"/>
            </w:tcBorders>
            <w:vAlign w:val="center"/>
          </w:tcPr>
          <w:p w14:paraId="6FDFCFA2"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782D782E" w14:textId="77777777" w:rsidR="00302BFE" w:rsidRPr="00412826" w:rsidRDefault="00302BFE" w:rsidP="00243B15">
            <w:pPr>
              <w:spacing w:after="0"/>
              <w:ind w:left="30" w:right="30"/>
              <w:rPr>
                <w:sz w:val="18"/>
                <w:szCs w:val="18"/>
                <w:lang w:val="fr-FR"/>
              </w:rPr>
            </w:pPr>
          </w:p>
        </w:tc>
      </w:tr>
      <w:tr w:rsidR="00302BFE" w:rsidRPr="00412826" w14:paraId="4C88D62C" w14:textId="77777777" w:rsidTr="00243B15">
        <w:trPr>
          <w:jc w:val="center"/>
        </w:trPr>
        <w:tc>
          <w:tcPr>
            <w:tcW w:w="2117" w:type="dxa"/>
            <w:vMerge/>
            <w:tcBorders>
              <w:left w:val="single" w:sz="4" w:space="0" w:color="auto"/>
              <w:right w:val="single" w:sz="4" w:space="0" w:color="auto"/>
            </w:tcBorders>
            <w:vAlign w:val="center"/>
          </w:tcPr>
          <w:p w14:paraId="59ACB8D7"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523BFF00"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62B2763E" w14:textId="77777777" w:rsidR="00302BFE" w:rsidRPr="00412826" w:rsidRDefault="00302BFE" w:rsidP="00243B15">
            <w:pPr>
              <w:spacing w:after="0"/>
              <w:ind w:left="30" w:right="30"/>
              <w:jc w:val="center"/>
              <w:rPr>
                <w:sz w:val="18"/>
                <w:szCs w:val="18"/>
                <w:lang w:val="fr-FR"/>
              </w:rPr>
            </w:pPr>
            <w:r w:rsidRPr="00412826">
              <w:rPr>
                <w:sz w:val="18"/>
                <w:szCs w:val="18"/>
                <w:lang w:val="fr-FR"/>
              </w:rPr>
              <w:t xml:space="preserve">Cône d’épandage de </w:t>
            </w:r>
            <w:proofErr w:type="spellStart"/>
            <w:r w:rsidRPr="00412826">
              <w:rPr>
                <w:sz w:val="18"/>
                <w:szCs w:val="18"/>
                <w:lang w:val="fr-FR"/>
              </w:rPr>
              <w:t>Banh</w:t>
            </w:r>
            <w:proofErr w:type="spellEnd"/>
          </w:p>
        </w:tc>
        <w:tc>
          <w:tcPr>
            <w:tcW w:w="1127" w:type="dxa"/>
            <w:tcBorders>
              <w:top w:val="single" w:sz="4" w:space="0" w:color="auto"/>
              <w:left w:val="single" w:sz="4" w:space="0" w:color="auto"/>
              <w:bottom w:val="single" w:sz="4" w:space="0" w:color="auto"/>
              <w:right w:val="single" w:sz="4" w:space="0" w:color="auto"/>
            </w:tcBorders>
            <w:vAlign w:val="center"/>
          </w:tcPr>
          <w:p w14:paraId="736F2128" w14:textId="77777777" w:rsidR="00302BFE" w:rsidRPr="00412826" w:rsidRDefault="00302BFE" w:rsidP="00243B15">
            <w:pPr>
              <w:spacing w:after="0"/>
              <w:ind w:left="30" w:right="30"/>
              <w:jc w:val="center"/>
              <w:rPr>
                <w:sz w:val="18"/>
                <w:szCs w:val="18"/>
                <w:lang w:val="fr-FR"/>
              </w:rPr>
            </w:pPr>
            <w:r w:rsidRPr="00412826">
              <w:rPr>
                <w:sz w:val="18"/>
                <w:szCs w:val="18"/>
                <w:lang w:val="fr-FR"/>
              </w:rPr>
              <w:t>2009</w:t>
            </w:r>
          </w:p>
        </w:tc>
        <w:tc>
          <w:tcPr>
            <w:tcW w:w="2097" w:type="dxa"/>
            <w:tcBorders>
              <w:top w:val="single" w:sz="4" w:space="0" w:color="auto"/>
              <w:left w:val="single" w:sz="4" w:space="0" w:color="auto"/>
              <w:bottom w:val="single" w:sz="4" w:space="0" w:color="auto"/>
              <w:right w:val="single" w:sz="4" w:space="0" w:color="auto"/>
            </w:tcBorders>
            <w:vAlign w:val="center"/>
          </w:tcPr>
          <w:p w14:paraId="0957E64F" w14:textId="77777777" w:rsidR="00302BFE" w:rsidRPr="00412826" w:rsidRDefault="00302BFE" w:rsidP="00243B15">
            <w:pPr>
              <w:spacing w:after="0"/>
              <w:ind w:left="30" w:right="30"/>
              <w:jc w:val="center"/>
              <w:rPr>
                <w:sz w:val="18"/>
                <w:szCs w:val="18"/>
                <w:lang w:val="fr-FR"/>
              </w:rPr>
            </w:pPr>
            <w:r w:rsidRPr="00412826">
              <w:rPr>
                <w:sz w:val="18"/>
                <w:szCs w:val="18"/>
                <w:lang w:val="fr-FR"/>
              </w:rPr>
              <w:t>10</w:t>
            </w:r>
            <w:r>
              <w:rPr>
                <w:sz w:val="18"/>
                <w:szCs w:val="18"/>
                <w:lang w:val="fr-FR"/>
              </w:rPr>
              <w:t>,</w:t>
            </w:r>
            <w:r w:rsidRPr="00412826">
              <w:rPr>
                <w:sz w:val="18"/>
                <w:szCs w:val="18"/>
                <w:lang w:val="fr-FR"/>
              </w:rPr>
              <w:t>003</w:t>
            </w:r>
          </w:p>
        </w:tc>
        <w:tc>
          <w:tcPr>
            <w:tcW w:w="850" w:type="dxa"/>
            <w:tcBorders>
              <w:top w:val="nil"/>
              <w:left w:val="single" w:sz="4" w:space="0" w:color="auto"/>
              <w:bottom w:val="nil"/>
              <w:right w:val="nil"/>
            </w:tcBorders>
            <w:vAlign w:val="center"/>
          </w:tcPr>
          <w:p w14:paraId="0C2B1209"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6B5F929F" w14:textId="77777777" w:rsidR="00302BFE" w:rsidRPr="00412826" w:rsidRDefault="00302BFE" w:rsidP="00243B15">
            <w:pPr>
              <w:spacing w:after="0"/>
              <w:ind w:left="30" w:right="30"/>
              <w:rPr>
                <w:sz w:val="18"/>
                <w:szCs w:val="18"/>
                <w:lang w:val="fr-FR"/>
              </w:rPr>
            </w:pPr>
          </w:p>
        </w:tc>
      </w:tr>
      <w:tr w:rsidR="00302BFE" w:rsidRPr="00412826" w14:paraId="049DD675" w14:textId="77777777" w:rsidTr="00243B15">
        <w:trPr>
          <w:jc w:val="center"/>
        </w:trPr>
        <w:tc>
          <w:tcPr>
            <w:tcW w:w="2117" w:type="dxa"/>
            <w:vMerge/>
            <w:tcBorders>
              <w:left w:val="single" w:sz="4" w:space="0" w:color="auto"/>
              <w:right w:val="single" w:sz="4" w:space="0" w:color="auto"/>
            </w:tcBorders>
            <w:vAlign w:val="center"/>
          </w:tcPr>
          <w:p w14:paraId="388D2BEE"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1ADB0A0D"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601D5E3A" w14:textId="77777777" w:rsidR="00302BFE" w:rsidRPr="00412826" w:rsidRDefault="00302BFE" w:rsidP="00243B15">
            <w:pPr>
              <w:spacing w:after="0"/>
              <w:ind w:left="30" w:right="30"/>
              <w:jc w:val="center"/>
              <w:rPr>
                <w:sz w:val="18"/>
                <w:szCs w:val="18"/>
                <w:lang w:val="fr-FR"/>
              </w:rPr>
            </w:pPr>
            <w:r w:rsidRPr="00412826">
              <w:rPr>
                <w:sz w:val="18"/>
                <w:szCs w:val="18"/>
                <w:lang w:val="fr-FR"/>
              </w:rPr>
              <w:t>Corridor forestier de la Boucle du Mouhoun</w:t>
            </w:r>
          </w:p>
        </w:tc>
        <w:tc>
          <w:tcPr>
            <w:tcW w:w="1127" w:type="dxa"/>
            <w:tcBorders>
              <w:top w:val="single" w:sz="4" w:space="0" w:color="auto"/>
              <w:left w:val="single" w:sz="4" w:space="0" w:color="auto"/>
              <w:bottom w:val="single" w:sz="4" w:space="0" w:color="auto"/>
              <w:right w:val="single" w:sz="4" w:space="0" w:color="auto"/>
            </w:tcBorders>
            <w:vAlign w:val="center"/>
          </w:tcPr>
          <w:p w14:paraId="61B4B82D" w14:textId="77777777" w:rsidR="00302BFE" w:rsidRPr="00412826" w:rsidRDefault="00302BFE" w:rsidP="00243B15">
            <w:pPr>
              <w:spacing w:after="0"/>
              <w:ind w:left="30" w:right="30"/>
              <w:jc w:val="center"/>
              <w:rPr>
                <w:sz w:val="18"/>
                <w:szCs w:val="18"/>
                <w:lang w:val="fr-FR"/>
              </w:rPr>
            </w:pPr>
            <w:r w:rsidRPr="00412826">
              <w:rPr>
                <w:sz w:val="18"/>
                <w:szCs w:val="18"/>
                <w:lang w:val="fr-FR"/>
              </w:rPr>
              <w:t>2017</w:t>
            </w:r>
          </w:p>
        </w:tc>
        <w:tc>
          <w:tcPr>
            <w:tcW w:w="2097" w:type="dxa"/>
            <w:tcBorders>
              <w:top w:val="single" w:sz="4" w:space="0" w:color="auto"/>
              <w:left w:val="single" w:sz="4" w:space="0" w:color="auto"/>
              <w:bottom w:val="single" w:sz="4" w:space="0" w:color="auto"/>
              <w:right w:val="single" w:sz="4" w:space="0" w:color="auto"/>
            </w:tcBorders>
            <w:vAlign w:val="center"/>
          </w:tcPr>
          <w:p w14:paraId="6D0A7FC5" w14:textId="77777777" w:rsidR="00302BFE" w:rsidRPr="00412826" w:rsidRDefault="00302BFE" w:rsidP="00243B15">
            <w:pPr>
              <w:spacing w:after="0"/>
              <w:ind w:left="30" w:right="30"/>
              <w:jc w:val="center"/>
              <w:rPr>
                <w:sz w:val="18"/>
                <w:szCs w:val="18"/>
                <w:lang w:val="fr-FR"/>
              </w:rPr>
            </w:pPr>
            <w:r w:rsidRPr="00412826">
              <w:rPr>
                <w:sz w:val="18"/>
                <w:szCs w:val="18"/>
                <w:lang w:val="fr-FR"/>
              </w:rPr>
              <w:t>134</w:t>
            </w:r>
            <w:r>
              <w:rPr>
                <w:sz w:val="18"/>
                <w:szCs w:val="18"/>
                <w:lang w:val="fr-FR"/>
              </w:rPr>
              <w:t>,</w:t>
            </w:r>
            <w:r w:rsidRPr="00412826">
              <w:rPr>
                <w:sz w:val="18"/>
                <w:szCs w:val="18"/>
                <w:lang w:val="fr-FR"/>
              </w:rPr>
              <w:t>553</w:t>
            </w:r>
          </w:p>
        </w:tc>
        <w:tc>
          <w:tcPr>
            <w:tcW w:w="850" w:type="dxa"/>
            <w:tcBorders>
              <w:top w:val="nil"/>
              <w:left w:val="single" w:sz="4" w:space="0" w:color="auto"/>
              <w:bottom w:val="nil"/>
              <w:right w:val="nil"/>
            </w:tcBorders>
            <w:vAlign w:val="center"/>
          </w:tcPr>
          <w:p w14:paraId="46D49836"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64E01BF8" w14:textId="77777777" w:rsidR="00302BFE" w:rsidRPr="00412826" w:rsidRDefault="00302BFE" w:rsidP="00243B15">
            <w:pPr>
              <w:spacing w:after="0"/>
              <w:ind w:left="30" w:right="30"/>
              <w:rPr>
                <w:sz w:val="18"/>
                <w:szCs w:val="18"/>
                <w:lang w:val="fr-FR"/>
              </w:rPr>
            </w:pPr>
          </w:p>
        </w:tc>
      </w:tr>
      <w:tr w:rsidR="00302BFE" w:rsidRPr="00412826" w14:paraId="3E6B454E" w14:textId="77777777" w:rsidTr="00243B15">
        <w:trPr>
          <w:jc w:val="center"/>
        </w:trPr>
        <w:tc>
          <w:tcPr>
            <w:tcW w:w="2117" w:type="dxa"/>
            <w:vMerge/>
            <w:tcBorders>
              <w:left w:val="single" w:sz="4" w:space="0" w:color="auto"/>
              <w:right w:val="single" w:sz="4" w:space="0" w:color="auto"/>
            </w:tcBorders>
            <w:vAlign w:val="center"/>
          </w:tcPr>
          <w:p w14:paraId="3639066B"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44B80E63"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640CCBCC" w14:textId="77777777" w:rsidR="00302BFE" w:rsidRPr="00412826" w:rsidRDefault="00302BFE" w:rsidP="00243B15">
            <w:pPr>
              <w:spacing w:after="0"/>
              <w:ind w:left="30" w:right="30"/>
              <w:jc w:val="center"/>
              <w:rPr>
                <w:sz w:val="18"/>
                <w:szCs w:val="18"/>
                <w:lang w:val="fr-FR"/>
              </w:rPr>
            </w:pPr>
            <w:r w:rsidRPr="00412826">
              <w:rPr>
                <w:sz w:val="18"/>
                <w:szCs w:val="18"/>
                <w:lang w:val="fr-FR"/>
              </w:rPr>
              <w:t xml:space="preserve">Forêt Galerie de </w:t>
            </w:r>
            <w:proofErr w:type="spellStart"/>
            <w:r w:rsidRPr="00412826">
              <w:rPr>
                <w:sz w:val="18"/>
                <w:szCs w:val="18"/>
                <w:lang w:val="fr-FR"/>
              </w:rPr>
              <w:t>Léra</w:t>
            </w:r>
            <w:proofErr w:type="spellEnd"/>
          </w:p>
        </w:tc>
        <w:tc>
          <w:tcPr>
            <w:tcW w:w="1127" w:type="dxa"/>
            <w:tcBorders>
              <w:top w:val="single" w:sz="4" w:space="0" w:color="auto"/>
              <w:left w:val="single" w:sz="4" w:space="0" w:color="auto"/>
              <w:bottom w:val="single" w:sz="4" w:space="0" w:color="auto"/>
              <w:right w:val="single" w:sz="4" w:space="0" w:color="auto"/>
            </w:tcBorders>
            <w:vAlign w:val="center"/>
          </w:tcPr>
          <w:p w14:paraId="59F33729" w14:textId="77777777" w:rsidR="00302BFE" w:rsidRPr="00412826" w:rsidRDefault="00302BFE" w:rsidP="00243B15">
            <w:pPr>
              <w:spacing w:after="0"/>
              <w:ind w:left="30" w:right="30"/>
              <w:jc w:val="center"/>
              <w:rPr>
                <w:sz w:val="18"/>
                <w:szCs w:val="18"/>
                <w:lang w:val="fr-FR"/>
              </w:rPr>
            </w:pPr>
            <w:r w:rsidRPr="00412826">
              <w:rPr>
                <w:sz w:val="18"/>
                <w:szCs w:val="18"/>
                <w:lang w:val="fr-FR"/>
              </w:rPr>
              <w:t>2009</w:t>
            </w:r>
          </w:p>
        </w:tc>
        <w:tc>
          <w:tcPr>
            <w:tcW w:w="2097" w:type="dxa"/>
            <w:tcBorders>
              <w:top w:val="single" w:sz="4" w:space="0" w:color="auto"/>
              <w:left w:val="single" w:sz="4" w:space="0" w:color="auto"/>
              <w:bottom w:val="single" w:sz="4" w:space="0" w:color="auto"/>
              <w:right w:val="single" w:sz="4" w:space="0" w:color="auto"/>
            </w:tcBorders>
            <w:vAlign w:val="center"/>
          </w:tcPr>
          <w:p w14:paraId="629808DE" w14:textId="77777777" w:rsidR="00302BFE" w:rsidRPr="00412826" w:rsidRDefault="00302BFE" w:rsidP="00243B15">
            <w:pPr>
              <w:spacing w:after="0"/>
              <w:ind w:left="30" w:right="30"/>
              <w:jc w:val="center"/>
              <w:rPr>
                <w:sz w:val="18"/>
                <w:szCs w:val="18"/>
                <w:lang w:val="fr-FR"/>
              </w:rPr>
            </w:pPr>
            <w:r w:rsidRPr="00412826">
              <w:rPr>
                <w:sz w:val="18"/>
                <w:szCs w:val="18"/>
                <w:lang w:val="fr-FR"/>
              </w:rPr>
              <w:t>542</w:t>
            </w:r>
          </w:p>
        </w:tc>
        <w:tc>
          <w:tcPr>
            <w:tcW w:w="850" w:type="dxa"/>
            <w:tcBorders>
              <w:top w:val="nil"/>
              <w:left w:val="single" w:sz="4" w:space="0" w:color="auto"/>
              <w:bottom w:val="nil"/>
              <w:right w:val="nil"/>
            </w:tcBorders>
            <w:vAlign w:val="center"/>
          </w:tcPr>
          <w:p w14:paraId="7D9918D7"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755AFB65" w14:textId="77777777" w:rsidR="00302BFE" w:rsidRPr="00412826" w:rsidRDefault="00302BFE" w:rsidP="00243B15">
            <w:pPr>
              <w:spacing w:after="0"/>
              <w:ind w:left="30" w:right="30"/>
              <w:rPr>
                <w:sz w:val="18"/>
                <w:szCs w:val="18"/>
                <w:lang w:val="fr-FR"/>
              </w:rPr>
            </w:pPr>
          </w:p>
        </w:tc>
      </w:tr>
      <w:tr w:rsidR="00302BFE" w:rsidRPr="00412826" w14:paraId="3E585C55" w14:textId="77777777" w:rsidTr="00243B15">
        <w:trPr>
          <w:jc w:val="center"/>
        </w:trPr>
        <w:tc>
          <w:tcPr>
            <w:tcW w:w="2117" w:type="dxa"/>
            <w:vMerge/>
            <w:tcBorders>
              <w:left w:val="single" w:sz="4" w:space="0" w:color="auto"/>
              <w:right w:val="single" w:sz="4" w:space="0" w:color="auto"/>
            </w:tcBorders>
            <w:vAlign w:val="center"/>
          </w:tcPr>
          <w:p w14:paraId="344EA5AA"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48364CEA"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663184E6" w14:textId="77777777" w:rsidR="00302BFE" w:rsidRPr="00412826" w:rsidRDefault="00302BFE" w:rsidP="00243B15">
            <w:pPr>
              <w:spacing w:after="0"/>
              <w:ind w:left="30" w:right="30"/>
              <w:jc w:val="center"/>
              <w:rPr>
                <w:sz w:val="18"/>
                <w:szCs w:val="18"/>
                <w:lang w:val="fr-FR"/>
              </w:rPr>
            </w:pPr>
            <w:r w:rsidRPr="00412826">
              <w:rPr>
                <w:sz w:val="18"/>
                <w:szCs w:val="18"/>
                <w:lang w:val="fr-FR"/>
              </w:rPr>
              <w:t>Lac Bam</w:t>
            </w:r>
          </w:p>
        </w:tc>
        <w:tc>
          <w:tcPr>
            <w:tcW w:w="1127" w:type="dxa"/>
            <w:tcBorders>
              <w:top w:val="single" w:sz="4" w:space="0" w:color="auto"/>
              <w:left w:val="single" w:sz="4" w:space="0" w:color="auto"/>
              <w:bottom w:val="single" w:sz="4" w:space="0" w:color="auto"/>
              <w:right w:val="single" w:sz="4" w:space="0" w:color="auto"/>
            </w:tcBorders>
            <w:vAlign w:val="center"/>
          </w:tcPr>
          <w:p w14:paraId="14C447DF" w14:textId="77777777" w:rsidR="00302BFE" w:rsidRPr="00412826" w:rsidRDefault="00302BFE" w:rsidP="00243B15">
            <w:pPr>
              <w:spacing w:after="0"/>
              <w:ind w:left="30" w:right="30"/>
              <w:jc w:val="center"/>
              <w:rPr>
                <w:sz w:val="18"/>
                <w:szCs w:val="18"/>
                <w:lang w:val="fr-FR"/>
              </w:rPr>
            </w:pPr>
            <w:r w:rsidRPr="00412826">
              <w:rPr>
                <w:sz w:val="18"/>
                <w:szCs w:val="18"/>
                <w:lang w:val="fr-FR"/>
              </w:rPr>
              <w:t>2009</w:t>
            </w:r>
          </w:p>
        </w:tc>
        <w:tc>
          <w:tcPr>
            <w:tcW w:w="2097" w:type="dxa"/>
            <w:tcBorders>
              <w:top w:val="single" w:sz="4" w:space="0" w:color="auto"/>
              <w:left w:val="single" w:sz="4" w:space="0" w:color="auto"/>
              <w:bottom w:val="single" w:sz="4" w:space="0" w:color="auto"/>
              <w:right w:val="single" w:sz="4" w:space="0" w:color="auto"/>
            </w:tcBorders>
            <w:vAlign w:val="center"/>
          </w:tcPr>
          <w:p w14:paraId="4905E118" w14:textId="77777777" w:rsidR="00302BFE" w:rsidRPr="00412826" w:rsidRDefault="00302BFE" w:rsidP="00243B15">
            <w:pPr>
              <w:spacing w:after="0"/>
              <w:ind w:left="30" w:right="30"/>
              <w:jc w:val="center"/>
              <w:rPr>
                <w:sz w:val="18"/>
                <w:szCs w:val="18"/>
                <w:lang w:val="fr-FR"/>
              </w:rPr>
            </w:pPr>
            <w:r w:rsidRPr="00412826">
              <w:rPr>
                <w:sz w:val="18"/>
                <w:szCs w:val="18"/>
                <w:lang w:val="fr-FR"/>
              </w:rPr>
              <w:t>5</w:t>
            </w:r>
            <w:r>
              <w:rPr>
                <w:sz w:val="18"/>
                <w:szCs w:val="18"/>
                <w:lang w:val="fr-FR"/>
              </w:rPr>
              <w:t>,</w:t>
            </w:r>
            <w:r w:rsidRPr="00412826">
              <w:rPr>
                <w:sz w:val="18"/>
                <w:szCs w:val="18"/>
                <w:lang w:val="fr-FR"/>
              </w:rPr>
              <w:t>300</w:t>
            </w:r>
          </w:p>
        </w:tc>
        <w:tc>
          <w:tcPr>
            <w:tcW w:w="850" w:type="dxa"/>
            <w:tcBorders>
              <w:top w:val="nil"/>
              <w:left w:val="single" w:sz="4" w:space="0" w:color="auto"/>
              <w:bottom w:val="nil"/>
              <w:right w:val="nil"/>
            </w:tcBorders>
            <w:vAlign w:val="center"/>
          </w:tcPr>
          <w:p w14:paraId="01994092"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6F4ED543" w14:textId="77777777" w:rsidR="00302BFE" w:rsidRPr="00412826" w:rsidRDefault="00302BFE" w:rsidP="00243B15">
            <w:pPr>
              <w:spacing w:after="0"/>
              <w:ind w:left="30" w:right="30"/>
              <w:rPr>
                <w:sz w:val="18"/>
                <w:szCs w:val="18"/>
                <w:lang w:val="fr-FR"/>
              </w:rPr>
            </w:pPr>
          </w:p>
        </w:tc>
      </w:tr>
      <w:tr w:rsidR="00302BFE" w:rsidRPr="00412826" w14:paraId="0AEE5859" w14:textId="77777777" w:rsidTr="00243B15">
        <w:trPr>
          <w:jc w:val="center"/>
        </w:trPr>
        <w:tc>
          <w:tcPr>
            <w:tcW w:w="2117" w:type="dxa"/>
            <w:vMerge/>
            <w:tcBorders>
              <w:left w:val="single" w:sz="4" w:space="0" w:color="auto"/>
              <w:right w:val="single" w:sz="4" w:space="0" w:color="auto"/>
            </w:tcBorders>
            <w:vAlign w:val="center"/>
          </w:tcPr>
          <w:p w14:paraId="5EDB0AF5"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1440504B"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02550752" w14:textId="77777777" w:rsidR="00302BFE" w:rsidRPr="00412826" w:rsidRDefault="00302BFE" w:rsidP="00243B15">
            <w:pPr>
              <w:spacing w:after="0"/>
              <w:ind w:left="30" w:right="30"/>
              <w:jc w:val="center"/>
              <w:rPr>
                <w:sz w:val="18"/>
                <w:szCs w:val="18"/>
                <w:lang w:val="fr-FR"/>
              </w:rPr>
            </w:pPr>
            <w:r w:rsidRPr="00412826">
              <w:rPr>
                <w:sz w:val="18"/>
                <w:szCs w:val="18"/>
                <w:lang w:val="fr-FR"/>
              </w:rPr>
              <w:t xml:space="preserve">Lac </w:t>
            </w:r>
            <w:proofErr w:type="spellStart"/>
            <w:r w:rsidRPr="00412826">
              <w:rPr>
                <w:sz w:val="18"/>
                <w:szCs w:val="18"/>
                <w:lang w:val="fr-FR"/>
              </w:rPr>
              <w:t>Dem</w:t>
            </w:r>
            <w:proofErr w:type="spellEnd"/>
          </w:p>
        </w:tc>
        <w:tc>
          <w:tcPr>
            <w:tcW w:w="1127" w:type="dxa"/>
            <w:tcBorders>
              <w:top w:val="single" w:sz="4" w:space="0" w:color="auto"/>
              <w:left w:val="single" w:sz="4" w:space="0" w:color="auto"/>
              <w:bottom w:val="single" w:sz="4" w:space="0" w:color="auto"/>
              <w:right w:val="single" w:sz="4" w:space="0" w:color="auto"/>
            </w:tcBorders>
            <w:vAlign w:val="center"/>
          </w:tcPr>
          <w:p w14:paraId="13067F80" w14:textId="77777777" w:rsidR="00302BFE" w:rsidRPr="00412826" w:rsidRDefault="00302BFE" w:rsidP="00243B15">
            <w:pPr>
              <w:spacing w:after="0"/>
              <w:ind w:left="30" w:right="30"/>
              <w:jc w:val="center"/>
              <w:rPr>
                <w:sz w:val="18"/>
                <w:szCs w:val="18"/>
                <w:lang w:val="fr-FR"/>
              </w:rPr>
            </w:pPr>
            <w:r w:rsidRPr="00412826">
              <w:rPr>
                <w:sz w:val="18"/>
                <w:szCs w:val="18"/>
                <w:lang w:val="fr-FR"/>
              </w:rPr>
              <w:t>2009</w:t>
            </w:r>
          </w:p>
        </w:tc>
        <w:tc>
          <w:tcPr>
            <w:tcW w:w="2097" w:type="dxa"/>
            <w:tcBorders>
              <w:top w:val="single" w:sz="4" w:space="0" w:color="auto"/>
              <w:left w:val="single" w:sz="4" w:space="0" w:color="auto"/>
              <w:bottom w:val="single" w:sz="4" w:space="0" w:color="auto"/>
              <w:right w:val="single" w:sz="4" w:space="0" w:color="auto"/>
            </w:tcBorders>
            <w:vAlign w:val="center"/>
          </w:tcPr>
          <w:p w14:paraId="7B561981" w14:textId="77777777" w:rsidR="00302BFE" w:rsidRPr="00412826" w:rsidRDefault="00302BFE" w:rsidP="00243B15">
            <w:pPr>
              <w:spacing w:after="0"/>
              <w:ind w:left="30" w:right="30"/>
              <w:jc w:val="center"/>
              <w:rPr>
                <w:sz w:val="18"/>
                <w:szCs w:val="18"/>
                <w:lang w:val="fr-FR"/>
              </w:rPr>
            </w:pPr>
            <w:r w:rsidRPr="00412826">
              <w:rPr>
                <w:sz w:val="18"/>
                <w:szCs w:val="18"/>
                <w:lang w:val="fr-FR"/>
              </w:rPr>
              <w:t>1</w:t>
            </w:r>
            <w:r>
              <w:rPr>
                <w:sz w:val="18"/>
                <w:szCs w:val="18"/>
                <w:lang w:val="fr-FR"/>
              </w:rPr>
              <w:t>,</w:t>
            </w:r>
            <w:r w:rsidRPr="00412826">
              <w:rPr>
                <w:sz w:val="18"/>
                <w:szCs w:val="18"/>
                <w:lang w:val="fr-FR"/>
              </w:rPr>
              <w:t>354</w:t>
            </w:r>
          </w:p>
        </w:tc>
        <w:tc>
          <w:tcPr>
            <w:tcW w:w="850" w:type="dxa"/>
            <w:tcBorders>
              <w:top w:val="nil"/>
              <w:left w:val="single" w:sz="4" w:space="0" w:color="auto"/>
              <w:bottom w:val="nil"/>
              <w:right w:val="nil"/>
            </w:tcBorders>
            <w:vAlign w:val="center"/>
          </w:tcPr>
          <w:p w14:paraId="311D7010"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5160D593" w14:textId="77777777" w:rsidR="00302BFE" w:rsidRPr="00412826" w:rsidRDefault="00302BFE" w:rsidP="00243B15">
            <w:pPr>
              <w:spacing w:after="0"/>
              <w:ind w:left="30" w:right="30"/>
              <w:rPr>
                <w:sz w:val="18"/>
                <w:szCs w:val="18"/>
                <w:lang w:val="fr-FR"/>
              </w:rPr>
            </w:pPr>
          </w:p>
        </w:tc>
      </w:tr>
      <w:tr w:rsidR="00302BFE" w:rsidRPr="00412826" w14:paraId="78FA2C41" w14:textId="77777777" w:rsidTr="00243B15">
        <w:trPr>
          <w:jc w:val="center"/>
        </w:trPr>
        <w:tc>
          <w:tcPr>
            <w:tcW w:w="2117" w:type="dxa"/>
            <w:vMerge/>
            <w:tcBorders>
              <w:left w:val="single" w:sz="4" w:space="0" w:color="auto"/>
              <w:right w:val="single" w:sz="4" w:space="0" w:color="auto"/>
            </w:tcBorders>
            <w:vAlign w:val="center"/>
          </w:tcPr>
          <w:p w14:paraId="74C0100B"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07345B4E"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7E9F62A0" w14:textId="77777777" w:rsidR="00302BFE" w:rsidRPr="00412826" w:rsidRDefault="00302BFE" w:rsidP="00243B15">
            <w:pPr>
              <w:spacing w:after="0"/>
              <w:ind w:left="30" w:right="30"/>
              <w:jc w:val="center"/>
              <w:rPr>
                <w:sz w:val="18"/>
                <w:szCs w:val="18"/>
                <w:lang w:val="fr-FR"/>
              </w:rPr>
            </w:pPr>
            <w:r w:rsidRPr="00412826">
              <w:rPr>
                <w:sz w:val="18"/>
                <w:szCs w:val="18"/>
                <w:lang w:val="fr-FR"/>
              </w:rPr>
              <w:t xml:space="preserve">Lac de </w:t>
            </w:r>
            <w:proofErr w:type="spellStart"/>
            <w:r w:rsidRPr="00412826">
              <w:rPr>
                <w:sz w:val="18"/>
                <w:szCs w:val="18"/>
                <w:lang w:val="fr-FR"/>
              </w:rPr>
              <w:t>Tingrela</w:t>
            </w:r>
            <w:proofErr w:type="spellEnd"/>
          </w:p>
        </w:tc>
        <w:tc>
          <w:tcPr>
            <w:tcW w:w="1127" w:type="dxa"/>
            <w:tcBorders>
              <w:top w:val="single" w:sz="4" w:space="0" w:color="auto"/>
              <w:left w:val="single" w:sz="4" w:space="0" w:color="auto"/>
              <w:bottom w:val="single" w:sz="4" w:space="0" w:color="auto"/>
              <w:right w:val="single" w:sz="4" w:space="0" w:color="auto"/>
            </w:tcBorders>
            <w:vAlign w:val="center"/>
          </w:tcPr>
          <w:p w14:paraId="4397832B" w14:textId="77777777" w:rsidR="00302BFE" w:rsidRPr="00412826" w:rsidRDefault="00302BFE" w:rsidP="00243B15">
            <w:pPr>
              <w:spacing w:after="0"/>
              <w:ind w:left="30" w:right="30"/>
              <w:jc w:val="center"/>
              <w:rPr>
                <w:sz w:val="18"/>
                <w:szCs w:val="18"/>
                <w:lang w:val="fr-FR"/>
              </w:rPr>
            </w:pPr>
            <w:r w:rsidRPr="00412826">
              <w:rPr>
                <w:sz w:val="18"/>
                <w:szCs w:val="18"/>
                <w:lang w:val="fr-FR"/>
              </w:rPr>
              <w:t>2009</w:t>
            </w:r>
          </w:p>
        </w:tc>
        <w:tc>
          <w:tcPr>
            <w:tcW w:w="2097" w:type="dxa"/>
            <w:tcBorders>
              <w:top w:val="single" w:sz="4" w:space="0" w:color="auto"/>
              <w:left w:val="single" w:sz="4" w:space="0" w:color="auto"/>
              <w:bottom w:val="single" w:sz="4" w:space="0" w:color="auto"/>
              <w:right w:val="single" w:sz="4" w:space="0" w:color="auto"/>
            </w:tcBorders>
            <w:vAlign w:val="center"/>
          </w:tcPr>
          <w:p w14:paraId="268FE9F4" w14:textId="77777777" w:rsidR="00302BFE" w:rsidRPr="00412826" w:rsidRDefault="00302BFE" w:rsidP="00243B15">
            <w:pPr>
              <w:spacing w:after="0"/>
              <w:ind w:left="30" w:right="30"/>
              <w:jc w:val="center"/>
              <w:rPr>
                <w:sz w:val="18"/>
                <w:szCs w:val="18"/>
                <w:lang w:val="fr-FR"/>
              </w:rPr>
            </w:pPr>
            <w:r w:rsidRPr="00412826">
              <w:rPr>
                <w:sz w:val="18"/>
                <w:szCs w:val="18"/>
                <w:lang w:val="fr-FR"/>
              </w:rPr>
              <w:t>580</w:t>
            </w:r>
          </w:p>
        </w:tc>
        <w:tc>
          <w:tcPr>
            <w:tcW w:w="850" w:type="dxa"/>
            <w:tcBorders>
              <w:top w:val="nil"/>
              <w:left w:val="single" w:sz="4" w:space="0" w:color="auto"/>
              <w:bottom w:val="nil"/>
              <w:right w:val="nil"/>
            </w:tcBorders>
            <w:vAlign w:val="center"/>
          </w:tcPr>
          <w:p w14:paraId="7A0F0D9A"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2E89D697" w14:textId="77777777" w:rsidR="00302BFE" w:rsidRPr="00412826" w:rsidRDefault="00302BFE" w:rsidP="00243B15">
            <w:pPr>
              <w:spacing w:after="0"/>
              <w:ind w:left="30" w:right="30"/>
              <w:rPr>
                <w:sz w:val="18"/>
                <w:szCs w:val="18"/>
                <w:lang w:val="fr-FR"/>
              </w:rPr>
            </w:pPr>
          </w:p>
        </w:tc>
      </w:tr>
      <w:tr w:rsidR="00302BFE" w:rsidRPr="00412826" w14:paraId="1AE399EF" w14:textId="77777777" w:rsidTr="00243B15">
        <w:trPr>
          <w:jc w:val="center"/>
        </w:trPr>
        <w:tc>
          <w:tcPr>
            <w:tcW w:w="2117" w:type="dxa"/>
            <w:vMerge/>
            <w:tcBorders>
              <w:left w:val="single" w:sz="4" w:space="0" w:color="auto"/>
              <w:right w:val="single" w:sz="4" w:space="0" w:color="auto"/>
            </w:tcBorders>
            <w:vAlign w:val="center"/>
          </w:tcPr>
          <w:p w14:paraId="3080ABCE"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534BD0C8"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1E95656B" w14:textId="77777777" w:rsidR="00302BFE" w:rsidRPr="00412826" w:rsidRDefault="00302BFE" w:rsidP="00243B15">
            <w:pPr>
              <w:spacing w:after="0"/>
              <w:ind w:left="30" w:right="30"/>
              <w:jc w:val="center"/>
              <w:rPr>
                <w:sz w:val="18"/>
                <w:szCs w:val="18"/>
                <w:lang w:val="fr-FR"/>
              </w:rPr>
            </w:pPr>
            <w:r w:rsidRPr="00412826">
              <w:rPr>
                <w:sz w:val="18"/>
                <w:szCs w:val="18"/>
                <w:lang w:val="fr-FR"/>
              </w:rPr>
              <w:t xml:space="preserve">Lac </w:t>
            </w:r>
            <w:proofErr w:type="spellStart"/>
            <w:r w:rsidRPr="00412826">
              <w:rPr>
                <w:sz w:val="18"/>
                <w:szCs w:val="18"/>
                <w:lang w:val="fr-FR"/>
              </w:rPr>
              <w:t>Higa</w:t>
            </w:r>
            <w:proofErr w:type="spellEnd"/>
          </w:p>
        </w:tc>
        <w:tc>
          <w:tcPr>
            <w:tcW w:w="1127" w:type="dxa"/>
            <w:tcBorders>
              <w:top w:val="single" w:sz="4" w:space="0" w:color="auto"/>
              <w:left w:val="single" w:sz="4" w:space="0" w:color="auto"/>
              <w:bottom w:val="single" w:sz="4" w:space="0" w:color="auto"/>
              <w:right w:val="single" w:sz="4" w:space="0" w:color="auto"/>
            </w:tcBorders>
            <w:vAlign w:val="center"/>
          </w:tcPr>
          <w:p w14:paraId="64608EC3" w14:textId="77777777" w:rsidR="00302BFE" w:rsidRPr="00412826" w:rsidRDefault="00302BFE" w:rsidP="00243B15">
            <w:pPr>
              <w:spacing w:after="0"/>
              <w:ind w:left="30" w:right="30"/>
              <w:jc w:val="center"/>
              <w:rPr>
                <w:sz w:val="18"/>
                <w:szCs w:val="18"/>
                <w:lang w:val="fr-FR"/>
              </w:rPr>
            </w:pPr>
            <w:r w:rsidRPr="00412826">
              <w:rPr>
                <w:sz w:val="18"/>
                <w:szCs w:val="18"/>
                <w:lang w:val="fr-FR"/>
              </w:rPr>
              <w:t>2009</w:t>
            </w:r>
          </w:p>
        </w:tc>
        <w:tc>
          <w:tcPr>
            <w:tcW w:w="2097" w:type="dxa"/>
            <w:tcBorders>
              <w:top w:val="single" w:sz="4" w:space="0" w:color="auto"/>
              <w:left w:val="single" w:sz="4" w:space="0" w:color="auto"/>
              <w:bottom w:val="single" w:sz="4" w:space="0" w:color="auto"/>
              <w:right w:val="single" w:sz="4" w:space="0" w:color="auto"/>
            </w:tcBorders>
            <w:vAlign w:val="center"/>
          </w:tcPr>
          <w:p w14:paraId="6751C753" w14:textId="77777777" w:rsidR="00302BFE" w:rsidRPr="00412826" w:rsidRDefault="00302BFE" w:rsidP="00243B15">
            <w:pPr>
              <w:spacing w:after="0"/>
              <w:ind w:left="30" w:right="30"/>
              <w:jc w:val="center"/>
              <w:rPr>
                <w:sz w:val="18"/>
                <w:szCs w:val="18"/>
                <w:lang w:val="fr-FR"/>
              </w:rPr>
            </w:pPr>
            <w:r w:rsidRPr="00412826">
              <w:rPr>
                <w:sz w:val="18"/>
                <w:szCs w:val="18"/>
                <w:lang w:val="fr-FR"/>
              </w:rPr>
              <w:t>1</w:t>
            </w:r>
            <w:r>
              <w:rPr>
                <w:sz w:val="18"/>
                <w:szCs w:val="18"/>
                <w:lang w:val="fr-FR"/>
              </w:rPr>
              <w:t>,</w:t>
            </w:r>
            <w:r w:rsidRPr="00412826">
              <w:rPr>
                <w:sz w:val="18"/>
                <w:szCs w:val="18"/>
                <w:lang w:val="fr-FR"/>
              </w:rPr>
              <w:t>514</w:t>
            </w:r>
          </w:p>
        </w:tc>
        <w:tc>
          <w:tcPr>
            <w:tcW w:w="850" w:type="dxa"/>
            <w:tcBorders>
              <w:top w:val="nil"/>
              <w:left w:val="single" w:sz="4" w:space="0" w:color="auto"/>
              <w:bottom w:val="nil"/>
              <w:right w:val="nil"/>
            </w:tcBorders>
            <w:vAlign w:val="center"/>
          </w:tcPr>
          <w:p w14:paraId="475897FD"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2CCBA0C6" w14:textId="77777777" w:rsidR="00302BFE" w:rsidRPr="00412826" w:rsidRDefault="00302BFE" w:rsidP="00243B15">
            <w:pPr>
              <w:spacing w:after="0"/>
              <w:ind w:left="30" w:right="30"/>
              <w:rPr>
                <w:sz w:val="18"/>
                <w:szCs w:val="18"/>
                <w:lang w:val="fr-FR"/>
              </w:rPr>
            </w:pPr>
          </w:p>
        </w:tc>
      </w:tr>
      <w:tr w:rsidR="00302BFE" w:rsidRPr="00412826" w14:paraId="6B7FF7DE" w14:textId="77777777" w:rsidTr="00243B15">
        <w:trPr>
          <w:jc w:val="center"/>
        </w:trPr>
        <w:tc>
          <w:tcPr>
            <w:tcW w:w="2117" w:type="dxa"/>
            <w:vMerge/>
            <w:tcBorders>
              <w:left w:val="single" w:sz="4" w:space="0" w:color="auto"/>
              <w:right w:val="single" w:sz="4" w:space="0" w:color="auto"/>
            </w:tcBorders>
            <w:vAlign w:val="center"/>
          </w:tcPr>
          <w:p w14:paraId="28951CAC"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7B79CAD2"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0A66E06A" w14:textId="77777777" w:rsidR="00302BFE" w:rsidRPr="00412826" w:rsidRDefault="00302BFE" w:rsidP="00243B15">
            <w:pPr>
              <w:spacing w:after="0"/>
              <w:ind w:left="30" w:right="30"/>
              <w:jc w:val="center"/>
              <w:rPr>
                <w:sz w:val="18"/>
                <w:szCs w:val="18"/>
                <w:lang w:val="fr-FR"/>
              </w:rPr>
            </w:pPr>
            <w:r w:rsidRPr="00412826">
              <w:rPr>
                <w:sz w:val="18"/>
                <w:szCs w:val="18"/>
                <w:lang w:val="fr-FR"/>
              </w:rPr>
              <w:t xml:space="preserve">Forêt Classée et </w:t>
            </w:r>
            <w:proofErr w:type="spellStart"/>
            <w:r w:rsidRPr="00412826">
              <w:rPr>
                <w:sz w:val="18"/>
                <w:szCs w:val="18"/>
                <w:lang w:val="fr-FR"/>
              </w:rPr>
              <w:t>Rés</w:t>
            </w:r>
            <w:proofErr w:type="spellEnd"/>
            <w:r w:rsidRPr="00412826">
              <w:rPr>
                <w:sz w:val="18"/>
                <w:szCs w:val="18"/>
                <w:lang w:val="fr-FR"/>
              </w:rPr>
              <w:t>. Part. Faune Comoé-Léraba</w:t>
            </w:r>
          </w:p>
        </w:tc>
        <w:tc>
          <w:tcPr>
            <w:tcW w:w="1127" w:type="dxa"/>
            <w:tcBorders>
              <w:top w:val="single" w:sz="4" w:space="0" w:color="auto"/>
              <w:left w:val="single" w:sz="4" w:space="0" w:color="auto"/>
              <w:bottom w:val="single" w:sz="4" w:space="0" w:color="auto"/>
              <w:right w:val="single" w:sz="4" w:space="0" w:color="auto"/>
            </w:tcBorders>
            <w:vAlign w:val="center"/>
          </w:tcPr>
          <w:p w14:paraId="27BBFB61" w14:textId="77777777" w:rsidR="00302BFE" w:rsidRPr="00412826" w:rsidRDefault="00302BFE" w:rsidP="00243B15">
            <w:pPr>
              <w:spacing w:after="0"/>
              <w:ind w:left="30" w:right="30"/>
              <w:jc w:val="center"/>
              <w:rPr>
                <w:sz w:val="18"/>
                <w:szCs w:val="18"/>
                <w:lang w:val="fr-FR"/>
              </w:rPr>
            </w:pPr>
            <w:r w:rsidRPr="00412826">
              <w:rPr>
                <w:sz w:val="18"/>
                <w:szCs w:val="18"/>
                <w:lang w:val="fr-FR"/>
              </w:rPr>
              <w:t>2009</w:t>
            </w:r>
          </w:p>
        </w:tc>
        <w:tc>
          <w:tcPr>
            <w:tcW w:w="2097" w:type="dxa"/>
            <w:tcBorders>
              <w:top w:val="single" w:sz="4" w:space="0" w:color="auto"/>
              <w:left w:val="single" w:sz="4" w:space="0" w:color="auto"/>
              <w:bottom w:val="single" w:sz="4" w:space="0" w:color="auto"/>
              <w:right w:val="single" w:sz="4" w:space="0" w:color="auto"/>
            </w:tcBorders>
            <w:vAlign w:val="center"/>
          </w:tcPr>
          <w:p w14:paraId="71A78CE8" w14:textId="77777777" w:rsidR="00302BFE" w:rsidRPr="00412826" w:rsidRDefault="00302BFE" w:rsidP="00243B15">
            <w:pPr>
              <w:spacing w:after="0"/>
              <w:ind w:left="30" w:right="30"/>
              <w:jc w:val="center"/>
              <w:rPr>
                <w:sz w:val="18"/>
                <w:szCs w:val="18"/>
                <w:lang w:val="fr-FR"/>
              </w:rPr>
            </w:pPr>
            <w:r w:rsidRPr="00412826">
              <w:rPr>
                <w:sz w:val="18"/>
                <w:szCs w:val="18"/>
                <w:lang w:val="fr-FR"/>
              </w:rPr>
              <w:t>124</w:t>
            </w:r>
            <w:r>
              <w:rPr>
                <w:sz w:val="18"/>
                <w:szCs w:val="18"/>
                <w:lang w:val="fr-FR"/>
              </w:rPr>
              <w:t>,</w:t>
            </w:r>
            <w:r w:rsidRPr="00412826">
              <w:rPr>
                <w:sz w:val="18"/>
                <w:szCs w:val="18"/>
                <w:lang w:val="fr-FR"/>
              </w:rPr>
              <w:t>510</w:t>
            </w:r>
          </w:p>
        </w:tc>
        <w:tc>
          <w:tcPr>
            <w:tcW w:w="850" w:type="dxa"/>
            <w:tcBorders>
              <w:top w:val="nil"/>
              <w:left w:val="single" w:sz="4" w:space="0" w:color="auto"/>
              <w:bottom w:val="nil"/>
              <w:right w:val="nil"/>
            </w:tcBorders>
            <w:vAlign w:val="center"/>
          </w:tcPr>
          <w:p w14:paraId="43D583DC"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71307832" w14:textId="77777777" w:rsidR="00302BFE" w:rsidRPr="00412826" w:rsidRDefault="00302BFE" w:rsidP="00243B15">
            <w:pPr>
              <w:spacing w:after="0"/>
              <w:ind w:left="30" w:right="30"/>
              <w:rPr>
                <w:sz w:val="18"/>
                <w:szCs w:val="18"/>
                <w:lang w:val="fr-FR"/>
              </w:rPr>
            </w:pPr>
          </w:p>
        </w:tc>
      </w:tr>
      <w:tr w:rsidR="00302BFE" w:rsidRPr="00412826" w14:paraId="79137BF8" w14:textId="77777777" w:rsidTr="00243B15">
        <w:trPr>
          <w:jc w:val="center"/>
        </w:trPr>
        <w:tc>
          <w:tcPr>
            <w:tcW w:w="2117" w:type="dxa"/>
            <w:vMerge/>
            <w:tcBorders>
              <w:left w:val="single" w:sz="4" w:space="0" w:color="auto"/>
              <w:right w:val="single" w:sz="4" w:space="0" w:color="auto"/>
            </w:tcBorders>
            <w:vAlign w:val="center"/>
          </w:tcPr>
          <w:p w14:paraId="2754FA75"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02192942"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1A5078C9" w14:textId="77777777" w:rsidR="00302BFE" w:rsidRPr="00412826" w:rsidRDefault="00302BFE" w:rsidP="00243B15">
            <w:pPr>
              <w:spacing w:after="0"/>
              <w:ind w:left="30" w:right="30"/>
              <w:jc w:val="center"/>
              <w:rPr>
                <w:sz w:val="18"/>
                <w:szCs w:val="18"/>
                <w:lang w:val="fr-FR"/>
              </w:rPr>
            </w:pPr>
            <w:r w:rsidRPr="00412826">
              <w:rPr>
                <w:sz w:val="18"/>
                <w:szCs w:val="18"/>
                <w:lang w:val="fr-FR"/>
              </w:rPr>
              <w:t>Vallée du Sourou</w:t>
            </w:r>
          </w:p>
        </w:tc>
        <w:tc>
          <w:tcPr>
            <w:tcW w:w="1127" w:type="dxa"/>
            <w:tcBorders>
              <w:top w:val="single" w:sz="4" w:space="0" w:color="auto"/>
              <w:left w:val="single" w:sz="4" w:space="0" w:color="auto"/>
              <w:bottom w:val="single" w:sz="4" w:space="0" w:color="auto"/>
              <w:right w:val="single" w:sz="4" w:space="0" w:color="auto"/>
            </w:tcBorders>
            <w:vAlign w:val="center"/>
          </w:tcPr>
          <w:p w14:paraId="1C366627" w14:textId="77777777" w:rsidR="00302BFE" w:rsidRPr="00412826" w:rsidRDefault="00302BFE" w:rsidP="00243B15">
            <w:pPr>
              <w:spacing w:after="0"/>
              <w:ind w:left="30" w:right="30"/>
              <w:jc w:val="center"/>
              <w:rPr>
                <w:sz w:val="18"/>
                <w:szCs w:val="18"/>
                <w:lang w:val="fr-FR"/>
              </w:rPr>
            </w:pPr>
            <w:r w:rsidRPr="00412826">
              <w:rPr>
                <w:sz w:val="18"/>
                <w:szCs w:val="18"/>
                <w:lang w:val="fr-FR"/>
              </w:rPr>
              <w:t>2009</w:t>
            </w:r>
          </w:p>
        </w:tc>
        <w:tc>
          <w:tcPr>
            <w:tcW w:w="2097" w:type="dxa"/>
            <w:tcBorders>
              <w:top w:val="single" w:sz="4" w:space="0" w:color="auto"/>
              <w:left w:val="single" w:sz="4" w:space="0" w:color="auto"/>
              <w:bottom w:val="single" w:sz="4" w:space="0" w:color="auto"/>
              <w:right w:val="single" w:sz="4" w:space="0" w:color="auto"/>
            </w:tcBorders>
            <w:vAlign w:val="center"/>
          </w:tcPr>
          <w:p w14:paraId="6DF9BA4F" w14:textId="77777777" w:rsidR="00302BFE" w:rsidRPr="00412826" w:rsidRDefault="00302BFE" w:rsidP="00243B15">
            <w:pPr>
              <w:spacing w:after="0"/>
              <w:ind w:left="30" w:right="30"/>
              <w:jc w:val="center"/>
              <w:rPr>
                <w:sz w:val="18"/>
                <w:szCs w:val="18"/>
                <w:lang w:val="fr-FR"/>
              </w:rPr>
            </w:pPr>
            <w:r w:rsidRPr="00412826">
              <w:rPr>
                <w:sz w:val="18"/>
                <w:szCs w:val="18"/>
                <w:lang w:val="fr-FR"/>
              </w:rPr>
              <w:t>21</w:t>
            </w:r>
            <w:r>
              <w:rPr>
                <w:sz w:val="18"/>
                <w:szCs w:val="18"/>
                <w:lang w:val="fr-FR"/>
              </w:rPr>
              <w:t>,</w:t>
            </w:r>
            <w:r w:rsidRPr="00412826">
              <w:rPr>
                <w:sz w:val="18"/>
                <w:szCs w:val="18"/>
                <w:lang w:val="fr-FR"/>
              </w:rPr>
              <w:t>157</w:t>
            </w:r>
          </w:p>
        </w:tc>
        <w:tc>
          <w:tcPr>
            <w:tcW w:w="850" w:type="dxa"/>
            <w:tcBorders>
              <w:top w:val="nil"/>
              <w:left w:val="single" w:sz="4" w:space="0" w:color="auto"/>
              <w:bottom w:val="nil"/>
              <w:right w:val="nil"/>
            </w:tcBorders>
            <w:vAlign w:val="center"/>
          </w:tcPr>
          <w:p w14:paraId="206D683B"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204458E8" w14:textId="77777777" w:rsidR="00302BFE" w:rsidRPr="00412826" w:rsidRDefault="00302BFE" w:rsidP="00243B15">
            <w:pPr>
              <w:spacing w:after="0"/>
              <w:ind w:left="30" w:right="30"/>
              <w:rPr>
                <w:sz w:val="18"/>
                <w:szCs w:val="18"/>
                <w:lang w:val="fr-FR"/>
              </w:rPr>
            </w:pPr>
          </w:p>
        </w:tc>
      </w:tr>
      <w:tr w:rsidR="00302BFE" w:rsidRPr="00412826" w14:paraId="06EC5B4E" w14:textId="77777777" w:rsidTr="00243B15">
        <w:trPr>
          <w:jc w:val="center"/>
        </w:trPr>
        <w:tc>
          <w:tcPr>
            <w:tcW w:w="2117" w:type="dxa"/>
            <w:vMerge/>
            <w:tcBorders>
              <w:left w:val="single" w:sz="4" w:space="0" w:color="auto"/>
              <w:right w:val="single" w:sz="4" w:space="0" w:color="auto"/>
            </w:tcBorders>
            <w:vAlign w:val="center"/>
          </w:tcPr>
          <w:p w14:paraId="7B87C211"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222CF273"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315DEB63" w14:textId="77777777" w:rsidR="00302BFE" w:rsidRPr="00412826" w:rsidRDefault="00302BFE" w:rsidP="00243B15">
            <w:pPr>
              <w:spacing w:after="0"/>
              <w:ind w:left="30" w:right="30"/>
              <w:jc w:val="center"/>
              <w:rPr>
                <w:sz w:val="18"/>
                <w:szCs w:val="18"/>
                <w:lang w:val="fr-FR"/>
              </w:rPr>
            </w:pPr>
            <w:r w:rsidRPr="00412826">
              <w:rPr>
                <w:sz w:val="18"/>
                <w:szCs w:val="18"/>
                <w:lang w:val="fr-FR"/>
              </w:rPr>
              <w:t>Parc National d’Arly</w:t>
            </w:r>
          </w:p>
        </w:tc>
        <w:tc>
          <w:tcPr>
            <w:tcW w:w="1127" w:type="dxa"/>
            <w:tcBorders>
              <w:top w:val="single" w:sz="4" w:space="0" w:color="auto"/>
              <w:left w:val="single" w:sz="4" w:space="0" w:color="auto"/>
              <w:bottom w:val="single" w:sz="4" w:space="0" w:color="auto"/>
              <w:right w:val="single" w:sz="4" w:space="0" w:color="auto"/>
            </w:tcBorders>
            <w:vAlign w:val="center"/>
          </w:tcPr>
          <w:p w14:paraId="7B1C04FC" w14:textId="77777777" w:rsidR="00302BFE" w:rsidRPr="00412826" w:rsidRDefault="00302BFE" w:rsidP="00243B15">
            <w:pPr>
              <w:spacing w:after="0"/>
              <w:ind w:left="30" w:right="30"/>
              <w:jc w:val="center"/>
              <w:rPr>
                <w:sz w:val="18"/>
                <w:szCs w:val="18"/>
                <w:lang w:val="fr-FR"/>
              </w:rPr>
            </w:pPr>
            <w:r w:rsidRPr="00412826">
              <w:rPr>
                <w:sz w:val="18"/>
                <w:szCs w:val="18"/>
                <w:lang w:val="fr-FR"/>
              </w:rPr>
              <w:t>2009</w:t>
            </w:r>
          </w:p>
        </w:tc>
        <w:tc>
          <w:tcPr>
            <w:tcW w:w="2097" w:type="dxa"/>
            <w:tcBorders>
              <w:top w:val="single" w:sz="4" w:space="0" w:color="auto"/>
              <w:left w:val="single" w:sz="4" w:space="0" w:color="auto"/>
              <w:bottom w:val="single" w:sz="4" w:space="0" w:color="auto"/>
              <w:right w:val="single" w:sz="4" w:space="0" w:color="auto"/>
            </w:tcBorders>
            <w:vAlign w:val="center"/>
          </w:tcPr>
          <w:p w14:paraId="7CF83772" w14:textId="77777777" w:rsidR="00302BFE" w:rsidRPr="00412826" w:rsidRDefault="00302BFE" w:rsidP="00243B15">
            <w:pPr>
              <w:spacing w:after="0"/>
              <w:ind w:left="30" w:right="30"/>
              <w:jc w:val="center"/>
              <w:rPr>
                <w:sz w:val="18"/>
                <w:szCs w:val="18"/>
                <w:lang w:val="fr-FR"/>
              </w:rPr>
            </w:pPr>
            <w:r w:rsidRPr="00412826">
              <w:rPr>
                <w:sz w:val="18"/>
                <w:szCs w:val="18"/>
                <w:lang w:val="fr-FR"/>
              </w:rPr>
              <w:t>795</w:t>
            </w:r>
            <w:r>
              <w:rPr>
                <w:sz w:val="18"/>
                <w:szCs w:val="18"/>
                <w:lang w:val="fr-FR"/>
              </w:rPr>
              <w:t>,</w:t>
            </w:r>
            <w:r w:rsidRPr="00412826">
              <w:rPr>
                <w:sz w:val="18"/>
                <w:szCs w:val="18"/>
                <w:lang w:val="fr-FR"/>
              </w:rPr>
              <w:t>289</w:t>
            </w:r>
          </w:p>
        </w:tc>
        <w:tc>
          <w:tcPr>
            <w:tcW w:w="850" w:type="dxa"/>
            <w:tcBorders>
              <w:top w:val="nil"/>
              <w:left w:val="single" w:sz="4" w:space="0" w:color="auto"/>
              <w:bottom w:val="nil"/>
              <w:right w:val="nil"/>
            </w:tcBorders>
            <w:vAlign w:val="center"/>
          </w:tcPr>
          <w:p w14:paraId="59741303"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550A4B01" w14:textId="77777777" w:rsidR="00302BFE" w:rsidRPr="00412826" w:rsidRDefault="00302BFE" w:rsidP="00243B15">
            <w:pPr>
              <w:spacing w:after="0"/>
              <w:ind w:left="30" w:right="30"/>
              <w:rPr>
                <w:sz w:val="18"/>
                <w:szCs w:val="18"/>
                <w:lang w:val="fr-FR"/>
              </w:rPr>
            </w:pPr>
          </w:p>
        </w:tc>
      </w:tr>
      <w:tr w:rsidR="00302BFE" w:rsidRPr="00412826" w14:paraId="131B0251" w14:textId="77777777" w:rsidTr="00243B15">
        <w:trPr>
          <w:jc w:val="center"/>
        </w:trPr>
        <w:tc>
          <w:tcPr>
            <w:tcW w:w="2117" w:type="dxa"/>
            <w:vMerge/>
            <w:tcBorders>
              <w:left w:val="single" w:sz="4" w:space="0" w:color="auto"/>
              <w:right w:val="single" w:sz="4" w:space="0" w:color="auto"/>
            </w:tcBorders>
            <w:vAlign w:val="center"/>
          </w:tcPr>
          <w:p w14:paraId="34776F11"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64ECADB3"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66D093A7" w14:textId="77777777" w:rsidR="00302BFE" w:rsidRPr="00412826" w:rsidRDefault="00302BFE" w:rsidP="00243B15">
            <w:pPr>
              <w:spacing w:after="0"/>
              <w:ind w:left="30" w:right="30"/>
              <w:jc w:val="center"/>
              <w:rPr>
                <w:sz w:val="18"/>
                <w:szCs w:val="18"/>
                <w:lang w:val="fr-FR"/>
              </w:rPr>
            </w:pPr>
            <w:r w:rsidRPr="00412826">
              <w:rPr>
                <w:sz w:val="18"/>
                <w:szCs w:val="18"/>
                <w:lang w:val="fr-FR"/>
              </w:rPr>
              <w:t>Zone Confluence Mouhoun - Sourou</w:t>
            </w:r>
          </w:p>
        </w:tc>
        <w:tc>
          <w:tcPr>
            <w:tcW w:w="1127" w:type="dxa"/>
            <w:tcBorders>
              <w:top w:val="single" w:sz="4" w:space="0" w:color="auto"/>
              <w:left w:val="single" w:sz="4" w:space="0" w:color="auto"/>
              <w:bottom w:val="single" w:sz="4" w:space="0" w:color="auto"/>
              <w:right w:val="single" w:sz="4" w:space="0" w:color="auto"/>
            </w:tcBorders>
            <w:vAlign w:val="center"/>
          </w:tcPr>
          <w:p w14:paraId="6ABD4F86" w14:textId="77777777" w:rsidR="00302BFE" w:rsidRPr="00412826" w:rsidRDefault="00302BFE" w:rsidP="00243B15">
            <w:pPr>
              <w:spacing w:after="0"/>
              <w:ind w:left="30" w:right="30"/>
              <w:jc w:val="center"/>
              <w:rPr>
                <w:sz w:val="18"/>
                <w:szCs w:val="18"/>
                <w:lang w:val="fr-FR"/>
              </w:rPr>
            </w:pPr>
            <w:r w:rsidRPr="00412826">
              <w:rPr>
                <w:sz w:val="18"/>
                <w:szCs w:val="18"/>
                <w:lang w:val="fr-FR"/>
              </w:rPr>
              <w:t>2017</w:t>
            </w:r>
          </w:p>
        </w:tc>
        <w:tc>
          <w:tcPr>
            <w:tcW w:w="2097" w:type="dxa"/>
            <w:tcBorders>
              <w:top w:val="single" w:sz="4" w:space="0" w:color="auto"/>
              <w:left w:val="single" w:sz="4" w:space="0" w:color="auto"/>
              <w:bottom w:val="single" w:sz="4" w:space="0" w:color="auto"/>
              <w:right w:val="single" w:sz="4" w:space="0" w:color="auto"/>
            </w:tcBorders>
            <w:vAlign w:val="center"/>
          </w:tcPr>
          <w:p w14:paraId="7BA0AA0F" w14:textId="77777777" w:rsidR="00302BFE" w:rsidRPr="00412826" w:rsidRDefault="00302BFE" w:rsidP="00243B15">
            <w:pPr>
              <w:spacing w:after="0"/>
              <w:ind w:left="30" w:right="30"/>
              <w:jc w:val="center"/>
              <w:rPr>
                <w:sz w:val="18"/>
                <w:szCs w:val="18"/>
                <w:lang w:val="fr-FR"/>
              </w:rPr>
            </w:pPr>
            <w:r w:rsidRPr="00412826">
              <w:rPr>
                <w:sz w:val="18"/>
                <w:szCs w:val="18"/>
                <w:lang w:val="fr-FR"/>
              </w:rPr>
              <w:t>23</w:t>
            </w:r>
            <w:r>
              <w:rPr>
                <w:sz w:val="18"/>
                <w:szCs w:val="18"/>
                <w:lang w:val="fr-FR"/>
              </w:rPr>
              <w:t>,</w:t>
            </w:r>
            <w:r w:rsidRPr="00412826">
              <w:rPr>
                <w:sz w:val="18"/>
                <w:szCs w:val="18"/>
                <w:lang w:val="fr-FR"/>
              </w:rPr>
              <w:t>300</w:t>
            </w:r>
          </w:p>
        </w:tc>
        <w:tc>
          <w:tcPr>
            <w:tcW w:w="850" w:type="dxa"/>
            <w:tcBorders>
              <w:top w:val="nil"/>
              <w:left w:val="single" w:sz="4" w:space="0" w:color="auto"/>
              <w:bottom w:val="nil"/>
              <w:right w:val="nil"/>
            </w:tcBorders>
            <w:vAlign w:val="center"/>
          </w:tcPr>
          <w:p w14:paraId="5DA8EE3E"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34C8B6D6" w14:textId="77777777" w:rsidR="00302BFE" w:rsidRPr="00412826" w:rsidRDefault="00302BFE" w:rsidP="00243B15">
            <w:pPr>
              <w:spacing w:after="0"/>
              <w:ind w:left="30" w:right="30"/>
              <w:rPr>
                <w:sz w:val="18"/>
                <w:szCs w:val="18"/>
                <w:lang w:val="fr-FR"/>
              </w:rPr>
            </w:pPr>
          </w:p>
        </w:tc>
      </w:tr>
      <w:tr w:rsidR="00302BFE" w:rsidRPr="00412826" w14:paraId="6D541125" w14:textId="77777777" w:rsidTr="00243B15">
        <w:trPr>
          <w:jc w:val="center"/>
        </w:trPr>
        <w:tc>
          <w:tcPr>
            <w:tcW w:w="2117" w:type="dxa"/>
            <w:vMerge w:val="restart"/>
            <w:tcBorders>
              <w:left w:val="single" w:sz="4" w:space="0" w:color="auto"/>
              <w:right w:val="single" w:sz="4" w:space="0" w:color="auto"/>
            </w:tcBorders>
            <w:vAlign w:val="center"/>
          </w:tcPr>
          <w:p w14:paraId="0E349759" w14:textId="77777777" w:rsidR="00302BFE" w:rsidRPr="00412826" w:rsidRDefault="00302BFE" w:rsidP="00243B15">
            <w:pPr>
              <w:spacing w:after="0"/>
              <w:ind w:left="30" w:right="30"/>
              <w:rPr>
                <w:sz w:val="18"/>
                <w:szCs w:val="18"/>
                <w:lang w:val="fr-FR"/>
              </w:rPr>
            </w:pPr>
            <w:r>
              <w:rPr>
                <w:sz w:val="18"/>
                <w:szCs w:val="18"/>
                <w:lang w:val="fr-FR"/>
              </w:rPr>
              <w:t>Important Bird Areas</w:t>
            </w:r>
          </w:p>
        </w:tc>
        <w:tc>
          <w:tcPr>
            <w:tcW w:w="378" w:type="dxa"/>
            <w:vMerge w:val="restart"/>
            <w:tcBorders>
              <w:left w:val="single" w:sz="4" w:space="0" w:color="auto"/>
              <w:right w:val="single" w:sz="4" w:space="0" w:color="auto"/>
            </w:tcBorders>
            <w:vAlign w:val="center"/>
          </w:tcPr>
          <w:p w14:paraId="129EF479" w14:textId="77777777" w:rsidR="00302BFE" w:rsidRPr="00412826" w:rsidRDefault="00302BFE" w:rsidP="00243B15">
            <w:pPr>
              <w:spacing w:after="0"/>
              <w:ind w:left="30" w:right="30"/>
              <w:jc w:val="center"/>
              <w:rPr>
                <w:sz w:val="18"/>
                <w:szCs w:val="18"/>
                <w:lang w:val="fr-FR"/>
              </w:rPr>
            </w:pPr>
            <w:r w:rsidRPr="00412826">
              <w:rPr>
                <w:sz w:val="18"/>
                <w:szCs w:val="18"/>
                <w:lang w:val="fr-FR"/>
              </w:rPr>
              <w:t>10</w:t>
            </w:r>
          </w:p>
        </w:tc>
        <w:tc>
          <w:tcPr>
            <w:tcW w:w="1501" w:type="dxa"/>
            <w:tcBorders>
              <w:top w:val="single" w:sz="4" w:space="0" w:color="auto"/>
              <w:left w:val="single" w:sz="4" w:space="0" w:color="auto"/>
              <w:bottom w:val="single" w:sz="4" w:space="0" w:color="auto"/>
              <w:right w:val="single" w:sz="4" w:space="0" w:color="auto"/>
            </w:tcBorders>
            <w:vAlign w:val="center"/>
          </w:tcPr>
          <w:p w14:paraId="77156FD7" w14:textId="77777777" w:rsidR="00302BFE" w:rsidRPr="00412826" w:rsidRDefault="00302BFE" w:rsidP="00243B15">
            <w:pPr>
              <w:spacing w:after="0"/>
              <w:ind w:left="30" w:right="30"/>
              <w:jc w:val="center"/>
              <w:rPr>
                <w:sz w:val="18"/>
                <w:szCs w:val="18"/>
                <w:lang w:val="fr-FR"/>
              </w:rPr>
            </w:pPr>
            <w:r w:rsidRPr="00412826">
              <w:rPr>
                <w:sz w:val="18"/>
                <w:szCs w:val="18"/>
                <w:lang w:val="fr-FR"/>
              </w:rPr>
              <w:t xml:space="preserve">Complexe Kaboré </w:t>
            </w:r>
            <w:proofErr w:type="spellStart"/>
            <w:r w:rsidRPr="00412826">
              <w:rPr>
                <w:sz w:val="18"/>
                <w:szCs w:val="18"/>
                <w:lang w:val="fr-FR"/>
              </w:rPr>
              <w:t>Tambi</w:t>
            </w:r>
            <w:proofErr w:type="spellEnd"/>
            <w:r w:rsidRPr="00412826">
              <w:rPr>
                <w:sz w:val="18"/>
                <w:szCs w:val="18"/>
                <w:lang w:val="fr-FR"/>
              </w:rPr>
              <w:t xml:space="preserve">, </w:t>
            </w:r>
            <w:proofErr w:type="spellStart"/>
            <w:r w:rsidRPr="00412826">
              <w:rPr>
                <w:sz w:val="18"/>
                <w:szCs w:val="18"/>
                <w:lang w:val="fr-FR"/>
              </w:rPr>
              <w:t>Nazinga</w:t>
            </w:r>
            <w:proofErr w:type="spellEnd"/>
            <w:r w:rsidRPr="00412826">
              <w:rPr>
                <w:sz w:val="18"/>
                <w:szCs w:val="18"/>
                <w:lang w:val="fr-FR"/>
              </w:rPr>
              <w:t>, Sissili - BF006</w:t>
            </w:r>
          </w:p>
        </w:tc>
        <w:tc>
          <w:tcPr>
            <w:tcW w:w="1127" w:type="dxa"/>
            <w:tcBorders>
              <w:top w:val="single" w:sz="4" w:space="0" w:color="auto"/>
              <w:left w:val="single" w:sz="4" w:space="0" w:color="auto"/>
              <w:bottom w:val="single" w:sz="4" w:space="0" w:color="auto"/>
              <w:right w:val="single" w:sz="4" w:space="0" w:color="auto"/>
            </w:tcBorders>
            <w:vAlign w:val="center"/>
          </w:tcPr>
          <w:p w14:paraId="0C70798E" w14:textId="77777777" w:rsidR="00302BFE" w:rsidRPr="00412826" w:rsidRDefault="00302BFE" w:rsidP="00243B15">
            <w:pPr>
              <w:spacing w:after="0"/>
              <w:ind w:left="30" w:right="30"/>
              <w:jc w:val="center"/>
              <w:rPr>
                <w:sz w:val="18"/>
                <w:szCs w:val="18"/>
                <w:lang w:val="fr-FR"/>
              </w:rPr>
            </w:pPr>
            <w:r w:rsidRPr="00412826">
              <w:rPr>
                <w:sz w:val="18"/>
                <w:szCs w:val="18"/>
                <w:lang w:val="fr-FR"/>
              </w:rPr>
              <w:t>2001</w:t>
            </w:r>
          </w:p>
        </w:tc>
        <w:tc>
          <w:tcPr>
            <w:tcW w:w="2097" w:type="dxa"/>
            <w:tcBorders>
              <w:top w:val="single" w:sz="4" w:space="0" w:color="auto"/>
              <w:left w:val="single" w:sz="4" w:space="0" w:color="auto"/>
              <w:bottom w:val="single" w:sz="4" w:space="0" w:color="auto"/>
              <w:right w:val="single" w:sz="4" w:space="0" w:color="auto"/>
            </w:tcBorders>
            <w:vAlign w:val="center"/>
          </w:tcPr>
          <w:p w14:paraId="51F3E62C" w14:textId="77777777" w:rsidR="00302BFE" w:rsidRPr="00412826" w:rsidRDefault="00302BFE" w:rsidP="00243B15">
            <w:pPr>
              <w:spacing w:after="0"/>
              <w:ind w:left="30" w:right="30"/>
              <w:jc w:val="center"/>
              <w:rPr>
                <w:sz w:val="18"/>
                <w:szCs w:val="18"/>
                <w:lang w:val="fr-FR"/>
              </w:rPr>
            </w:pPr>
            <w:r w:rsidRPr="00412826">
              <w:rPr>
                <w:sz w:val="18"/>
                <w:szCs w:val="18"/>
                <w:lang w:val="fr-FR"/>
              </w:rPr>
              <w:t>336</w:t>
            </w:r>
            <w:r>
              <w:rPr>
                <w:sz w:val="18"/>
                <w:szCs w:val="18"/>
                <w:lang w:val="fr-FR"/>
              </w:rPr>
              <w:t>,</w:t>
            </w:r>
            <w:r w:rsidRPr="00412826">
              <w:rPr>
                <w:sz w:val="18"/>
                <w:szCs w:val="18"/>
                <w:lang w:val="fr-FR"/>
              </w:rPr>
              <w:t>500</w:t>
            </w:r>
          </w:p>
        </w:tc>
        <w:tc>
          <w:tcPr>
            <w:tcW w:w="850" w:type="dxa"/>
            <w:tcBorders>
              <w:top w:val="nil"/>
              <w:left w:val="single" w:sz="4" w:space="0" w:color="auto"/>
              <w:bottom w:val="nil"/>
              <w:right w:val="nil"/>
            </w:tcBorders>
            <w:vAlign w:val="center"/>
          </w:tcPr>
          <w:p w14:paraId="14D1F88F"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56393FDE" w14:textId="77777777" w:rsidR="00302BFE" w:rsidRPr="00412826" w:rsidRDefault="00302BFE" w:rsidP="00243B15">
            <w:pPr>
              <w:spacing w:after="0"/>
              <w:ind w:left="30" w:right="30"/>
              <w:rPr>
                <w:sz w:val="18"/>
                <w:szCs w:val="18"/>
                <w:lang w:val="fr-FR"/>
              </w:rPr>
            </w:pPr>
          </w:p>
        </w:tc>
      </w:tr>
      <w:tr w:rsidR="00302BFE" w:rsidRPr="00412826" w14:paraId="17828817" w14:textId="77777777" w:rsidTr="00243B15">
        <w:trPr>
          <w:jc w:val="center"/>
        </w:trPr>
        <w:tc>
          <w:tcPr>
            <w:tcW w:w="2117" w:type="dxa"/>
            <w:vMerge/>
            <w:tcBorders>
              <w:left w:val="single" w:sz="4" w:space="0" w:color="auto"/>
              <w:right w:val="single" w:sz="4" w:space="0" w:color="auto"/>
            </w:tcBorders>
            <w:vAlign w:val="center"/>
          </w:tcPr>
          <w:p w14:paraId="4D22AF0D"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46A2743E"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6152454A" w14:textId="77777777" w:rsidR="00302BFE" w:rsidRPr="00412826" w:rsidRDefault="00302BFE" w:rsidP="00243B15">
            <w:pPr>
              <w:spacing w:after="0"/>
              <w:ind w:left="30" w:right="30"/>
              <w:jc w:val="center"/>
              <w:rPr>
                <w:sz w:val="18"/>
                <w:szCs w:val="18"/>
                <w:lang w:val="fr-FR"/>
              </w:rPr>
            </w:pPr>
            <w:r w:rsidRPr="00412826">
              <w:rPr>
                <w:sz w:val="18"/>
                <w:szCs w:val="18"/>
                <w:lang w:val="fr-FR"/>
              </w:rPr>
              <w:t xml:space="preserve">Complexe </w:t>
            </w:r>
            <w:proofErr w:type="spellStart"/>
            <w:r w:rsidRPr="00412826">
              <w:rPr>
                <w:sz w:val="18"/>
                <w:szCs w:val="18"/>
                <w:lang w:val="fr-FR"/>
              </w:rPr>
              <w:t>Artli</w:t>
            </w:r>
            <w:proofErr w:type="spellEnd"/>
            <w:r w:rsidRPr="00412826">
              <w:rPr>
                <w:sz w:val="18"/>
                <w:szCs w:val="18"/>
                <w:lang w:val="fr-FR"/>
              </w:rPr>
              <w:t>-W-</w:t>
            </w:r>
            <w:proofErr w:type="spellStart"/>
            <w:r w:rsidRPr="00412826">
              <w:rPr>
                <w:sz w:val="18"/>
                <w:szCs w:val="18"/>
                <w:lang w:val="fr-FR"/>
              </w:rPr>
              <w:t>Singou</w:t>
            </w:r>
            <w:proofErr w:type="spellEnd"/>
            <w:r w:rsidRPr="00412826">
              <w:rPr>
                <w:sz w:val="18"/>
                <w:szCs w:val="18"/>
                <w:lang w:val="fr-FR"/>
              </w:rPr>
              <w:t xml:space="preserve"> – BF008</w:t>
            </w:r>
          </w:p>
        </w:tc>
        <w:tc>
          <w:tcPr>
            <w:tcW w:w="1127" w:type="dxa"/>
            <w:tcBorders>
              <w:top w:val="single" w:sz="4" w:space="0" w:color="auto"/>
              <w:left w:val="single" w:sz="4" w:space="0" w:color="auto"/>
              <w:bottom w:val="single" w:sz="4" w:space="0" w:color="auto"/>
              <w:right w:val="single" w:sz="4" w:space="0" w:color="auto"/>
            </w:tcBorders>
            <w:vAlign w:val="center"/>
          </w:tcPr>
          <w:p w14:paraId="2C390EC3" w14:textId="77777777" w:rsidR="00302BFE" w:rsidRPr="00412826" w:rsidRDefault="00302BFE" w:rsidP="00243B15">
            <w:pPr>
              <w:spacing w:after="0"/>
              <w:ind w:left="30" w:right="30"/>
              <w:jc w:val="center"/>
              <w:rPr>
                <w:sz w:val="18"/>
                <w:szCs w:val="18"/>
                <w:lang w:val="fr-FR"/>
              </w:rPr>
            </w:pPr>
            <w:r w:rsidRPr="00412826">
              <w:rPr>
                <w:sz w:val="18"/>
                <w:szCs w:val="18"/>
                <w:lang w:val="fr-FR"/>
              </w:rPr>
              <w:t>2001</w:t>
            </w:r>
          </w:p>
        </w:tc>
        <w:tc>
          <w:tcPr>
            <w:tcW w:w="2097" w:type="dxa"/>
            <w:tcBorders>
              <w:top w:val="single" w:sz="4" w:space="0" w:color="auto"/>
              <w:left w:val="single" w:sz="4" w:space="0" w:color="auto"/>
              <w:bottom w:val="single" w:sz="4" w:space="0" w:color="auto"/>
              <w:right w:val="single" w:sz="4" w:space="0" w:color="auto"/>
            </w:tcBorders>
            <w:vAlign w:val="center"/>
          </w:tcPr>
          <w:p w14:paraId="23F81161" w14:textId="77777777" w:rsidR="00302BFE" w:rsidRPr="00412826" w:rsidRDefault="00302BFE" w:rsidP="00243B15">
            <w:pPr>
              <w:spacing w:after="0"/>
              <w:ind w:left="30" w:right="30"/>
              <w:jc w:val="center"/>
              <w:rPr>
                <w:sz w:val="18"/>
                <w:szCs w:val="18"/>
                <w:lang w:val="fr-FR"/>
              </w:rPr>
            </w:pPr>
            <w:r w:rsidRPr="00412826">
              <w:rPr>
                <w:sz w:val="18"/>
                <w:szCs w:val="18"/>
                <w:lang w:val="fr-FR"/>
              </w:rPr>
              <w:t>923</w:t>
            </w:r>
            <w:r>
              <w:rPr>
                <w:sz w:val="18"/>
                <w:szCs w:val="18"/>
                <w:lang w:val="fr-FR"/>
              </w:rPr>
              <w:t>,</w:t>
            </w:r>
            <w:r w:rsidRPr="00412826">
              <w:rPr>
                <w:sz w:val="18"/>
                <w:szCs w:val="18"/>
                <w:lang w:val="fr-FR"/>
              </w:rPr>
              <w:t>000</w:t>
            </w:r>
          </w:p>
        </w:tc>
        <w:tc>
          <w:tcPr>
            <w:tcW w:w="850" w:type="dxa"/>
            <w:tcBorders>
              <w:top w:val="nil"/>
              <w:left w:val="single" w:sz="4" w:space="0" w:color="auto"/>
              <w:bottom w:val="nil"/>
              <w:right w:val="nil"/>
            </w:tcBorders>
            <w:vAlign w:val="center"/>
          </w:tcPr>
          <w:p w14:paraId="7EBF751A"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11FC4F7F" w14:textId="77777777" w:rsidR="00302BFE" w:rsidRPr="00412826" w:rsidRDefault="00302BFE" w:rsidP="00243B15">
            <w:pPr>
              <w:spacing w:after="0"/>
              <w:ind w:left="30" w:right="30"/>
              <w:rPr>
                <w:sz w:val="18"/>
                <w:szCs w:val="18"/>
                <w:lang w:val="fr-FR"/>
              </w:rPr>
            </w:pPr>
          </w:p>
        </w:tc>
      </w:tr>
      <w:tr w:rsidR="00302BFE" w:rsidRPr="00412826" w14:paraId="73E9D45A" w14:textId="77777777" w:rsidTr="00243B15">
        <w:trPr>
          <w:jc w:val="center"/>
        </w:trPr>
        <w:tc>
          <w:tcPr>
            <w:tcW w:w="2117" w:type="dxa"/>
            <w:vMerge/>
            <w:tcBorders>
              <w:left w:val="single" w:sz="4" w:space="0" w:color="auto"/>
              <w:right w:val="single" w:sz="4" w:space="0" w:color="auto"/>
            </w:tcBorders>
            <w:vAlign w:val="center"/>
          </w:tcPr>
          <w:p w14:paraId="05ABA2BD"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248EF1F9"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1AE5919C" w14:textId="77777777" w:rsidR="00302BFE" w:rsidRPr="00412826" w:rsidRDefault="00302BFE" w:rsidP="00243B15">
            <w:pPr>
              <w:spacing w:after="0"/>
              <w:ind w:left="30" w:right="30"/>
              <w:jc w:val="center"/>
              <w:rPr>
                <w:sz w:val="18"/>
                <w:szCs w:val="18"/>
                <w:lang w:val="fr-FR"/>
              </w:rPr>
            </w:pPr>
            <w:r w:rsidRPr="00412826">
              <w:rPr>
                <w:sz w:val="18"/>
                <w:szCs w:val="18"/>
                <w:lang w:val="fr-FR"/>
              </w:rPr>
              <w:t xml:space="preserve">Rivière </w:t>
            </w:r>
            <w:proofErr w:type="spellStart"/>
            <w:r w:rsidRPr="00412826">
              <w:rPr>
                <w:sz w:val="18"/>
                <w:szCs w:val="18"/>
                <w:lang w:val="fr-FR"/>
              </w:rPr>
              <w:t>Béli</w:t>
            </w:r>
            <w:proofErr w:type="spellEnd"/>
            <w:r w:rsidRPr="00412826">
              <w:rPr>
                <w:sz w:val="18"/>
                <w:szCs w:val="18"/>
                <w:lang w:val="fr-FR"/>
              </w:rPr>
              <w:t xml:space="preserve"> – BF001</w:t>
            </w:r>
          </w:p>
        </w:tc>
        <w:tc>
          <w:tcPr>
            <w:tcW w:w="1127" w:type="dxa"/>
            <w:tcBorders>
              <w:top w:val="single" w:sz="4" w:space="0" w:color="auto"/>
              <w:left w:val="single" w:sz="4" w:space="0" w:color="auto"/>
              <w:bottom w:val="single" w:sz="4" w:space="0" w:color="auto"/>
              <w:right w:val="single" w:sz="4" w:space="0" w:color="auto"/>
            </w:tcBorders>
            <w:vAlign w:val="center"/>
          </w:tcPr>
          <w:p w14:paraId="740FD154" w14:textId="77777777" w:rsidR="00302BFE" w:rsidRPr="00412826" w:rsidRDefault="00302BFE" w:rsidP="00243B15">
            <w:pPr>
              <w:spacing w:after="0"/>
              <w:ind w:left="30" w:right="30"/>
              <w:jc w:val="center"/>
              <w:rPr>
                <w:sz w:val="18"/>
                <w:szCs w:val="18"/>
                <w:lang w:val="fr-FR"/>
              </w:rPr>
            </w:pPr>
            <w:r w:rsidRPr="00412826">
              <w:rPr>
                <w:sz w:val="18"/>
                <w:szCs w:val="18"/>
                <w:lang w:val="fr-FR"/>
              </w:rPr>
              <w:t>2001</w:t>
            </w:r>
          </w:p>
        </w:tc>
        <w:tc>
          <w:tcPr>
            <w:tcW w:w="2097" w:type="dxa"/>
            <w:tcBorders>
              <w:top w:val="single" w:sz="4" w:space="0" w:color="auto"/>
              <w:left w:val="single" w:sz="4" w:space="0" w:color="auto"/>
              <w:bottom w:val="single" w:sz="4" w:space="0" w:color="auto"/>
              <w:right w:val="single" w:sz="4" w:space="0" w:color="auto"/>
            </w:tcBorders>
            <w:vAlign w:val="center"/>
          </w:tcPr>
          <w:p w14:paraId="1DDE848B" w14:textId="77777777" w:rsidR="00302BFE" w:rsidRPr="00412826" w:rsidRDefault="00302BFE" w:rsidP="00243B15">
            <w:pPr>
              <w:spacing w:after="0"/>
              <w:ind w:left="30" w:right="30"/>
              <w:jc w:val="center"/>
              <w:rPr>
                <w:sz w:val="18"/>
                <w:szCs w:val="18"/>
                <w:lang w:val="fr-FR"/>
              </w:rPr>
            </w:pPr>
            <w:r w:rsidRPr="00412826">
              <w:rPr>
                <w:sz w:val="18"/>
                <w:szCs w:val="18"/>
                <w:lang w:val="fr-FR"/>
              </w:rPr>
              <w:t>105</w:t>
            </w:r>
            <w:r>
              <w:rPr>
                <w:sz w:val="18"/>
                <w:szCs w:val="18"/>
                <w:lang w:val="fr-FR"/>
              </w:rPr>
              <w:t>,</w:t>
            </w:r>
            <w:r w:rsidRPr="00412826">
              <w:rPr>
                <w:sz w:val="18"/>
                <w:szCs w:val="18"/>
                <w:lang w:val="fr-FR"/>
              </w:rPr>
              <w:t>000</w:t>
            </w:r>
          </w:p>
        </w:tc>
        <w:tc>
          <w:tcPr>
            <w:tcW w:w="850" w:type="dxa"/>
            <w:tcBorders>
              <w:top w:val="nil"/>
              <w:left w:val="single" w:sz="4" w:space="0" w:color="auto"/>
              <w:bottom w:val="nil"/>
              <w:right w:val="nil"/>
            </w:tcBorders>
            <w:vAlign w:val="center"/>
          </w:tcPr>
          <w:p w14:paraId="7C8F9A3D"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2C1D1CE2" w14:textId="77777777" w:rsidR="00302BFE" w:rsidRPr="00412826" w:rsidRDefault="00302BFE" w:rsidP="00243B15">
            <w:pPr>
              <w:spacing w:after="0"/>
              <w:ind w:left="30" w:right="30"/>
              <w:rPr>
                <w:sz w:val="18"/>
                <w:szCs w:val="18"/>
                <w:lang w:val="fr-FR"/>
              </w:rPr>
            </w:pPr>
          </w:p>
        </w:tc>
      </w:tr>
      <w:tr w:rsidR="00302BFE" w:rsidRPr="00412826" w14:paraId="0D548443" w14:textId="77777777" w:rsidTr="00243B15">
        <w:trPr>
          <w:jc w:val="center"/>
        </w:trPr>
        <w:tc>
          <w:tcPr>
            <w:tcW w:w="2117" w:type="dxa"/>
            <w:vMerge/>
            <w:tcBorders>
              <w:left w:val="single" w:sz="4" w:space="0" w:color="auto"/>
              <w:right w:val="single" w:sz="4" w:space="0" w:color="auto"/>
            </w:tcBorders>
            <w:vAlign w:val="center"/>
          </w:tcPr>
          <w:p w14:paraId="6C84811F"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325A68FD"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517A8CF3" w14:textId="77777777" w:rsidR="00302BFE" w:rsidRPr="00412826" w:rsidRDefault="00302BFE" w:rsidP="00243B15">
            <w:pPr>
              <w:spacing w:after="0"/>
              <w:ind w:left="30" w:right="30"/>
              <w:jc w:val="center"/>
              <w:rPr>
                <w:sz w:val="18"/>
                <w:szCs w:val="18"/>
                <w:lang w:val="fr-FR"/>
              </w:rPr>
            </w:pPr>
            <w:r w:rsidRPr="00412826">
              <w:rPr>
                <w:sz w:val="18"/>
                <w:szCs w:val="18"/>
                <w:lang w:val="fr-FR"/>
              </w:rPr>
              <w:t>Colline Bérégadougou – BF009</w:t>
            </w:r>
          </w:p>
        </w:tc>
        <w:tc>
          <w:tcPr>
            <w:tcW w:w="1127" w:type="dxa"/>
            <w:tcBorders>
              <w:top w:val="single" w:sz="4" w:space="0" w:color="auto"/>
              <w:left w:val="single" w:sz="4" w:space="0" w:color="auto"/>
              <w:bottom w:val="single" w:sz="4" w:space="0" w:color="auto"/>
              <w:right w:val="single" w:sz="4" w:space="0" w:color="auto"/>
            </w:tcBorders>
            <w:vAlign w:val="center"/>
          </w:tcPr>
          <w:p w14:paraId="657E145A" w14:textId="77777777" w:rsidR="00302BFE" w:rsidRPr="00412826" w:rsidRDefault="00302BFE" w:rsidP="00243B15">
            <w:pPr>
              <w:spacing w:after="0"/>
              <w:ind w:left="30" w:right="30"/>
              <w:jc w:val="center"/>
              <w:rPr>
                <w:sz w:val="18"/>
                <w:szCs w:val="18"/>
                <w:lang w:val="fr-FR"/>
              </w:rPr>
            </w:pPr>
            <w:r w:rsidRPr="00412826">
              <w:rPr>
                <w:sz w:val="18"/>
                <w:szCs w:val="18"/>
                <w:lang w:val="fr-FR"/>
              </w:rPr>
              <w:t>2001</w:t>
            </w:r>
          </w:p>
        </w:tc>
        <w:tc>
          <w:tcPr>
            <w:tcW w:w="2097" w:type="dxa"/>
            <w:tcBorders>
              <w:top w:val="single" w:sz="4" w:space="0" w:color="auto"/>
              <w:left w:val="single" w:sz="4" w:space="0" w:color="auto"/>
              <w:bottom w:val="single" w:sz="4" w:space="0" w:color="auto"/>
              <w:right w:val="single" w:sz="4" w:space="0" w:color="auto"/>
            </w:tcBorders>
            <w:vAlign w:val="center"/>
          </w:tcPr>
          <w:p w14:paraId="30DFA4E0" w14:textId="77777777" w:rsidR="00302BFE" w:rsidRPr="00412826" w:rsidRDefault="00302BFE" w:rsidP="00243B15">
            <w:pPr>
              <w:spacing w:after="0"/>
              <w:ind w:left="30" w:right="30"/>
              <w:jc w:val="center"/>
              <w:rPr>
                <w:sz w:val="18"/>
                <w:szCs w:val="18"/>
                <w:lang w:val="fr-FR"/>
              </w:rPr>
            </w:pPr>
            <w:r w:rsidRPr="00412826">
              <w:rPr>
                <w:sz w:val="18"/>
                <w:szCs w:val="18"/>
                <w:lang w:val="fr-FR"/>
              </w:rPr>
              <w:t>15</w:t>
            </w:r>
            <w:r>
              <w:rPr>
                <w:sz w:val="18"/>
                <w:szCs w:val="18"/>
                <w:lang w:val="fr-FR"/>
              </w:rPr>
              <w:t>,</w:t>
            </w:r>
            <w:r w:rsidRPr="00412826">
              <w:rPr>
                <w:sz w:val="18"/>
                <w:szCs w:val="18"/>
                <w:lang w:val="fr-FR"/>
              </w:rPr>
              <w:t>000</w:t>
            </w:r>
          </w:p>
        </w:tc>
        <w:tc>
          <w:tcPr>
            <w:tcW w:w="850" w:type="dxa"/>
            <w:tcBorders>
              <w:top w:val="nil"/>
              <w:left w:val="single" w:sz="4" w:space="0" w:color="auto"/>
              <w:bottom w:val="nil"/>
              <w:right w:val="nil"/>
            </w:tcBorders>
            <w:vAlign w:val="center"/>
          </w:tcPr>
          <w:p w14:paraId="0EC4F999"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35A81C5A" w14:textId="77777777" w:rsidR="00302BFE" w:rsidRPr="00412826" w:rsidRDefault="00302BFE" w:rsidP="00243B15">
            <w:pPr>
              <w:spacing w:after="0"/>
              <w:ind w:left="30" w:right="30"/>
              <w:rPr>
                <w:sz w:val="18"/>
                <w:szCs w:val="18"/>
                <w:lang w:val="fr-FR"/>
              </w:rPr>
            </w:pPr>
          </w:p>
        </w:tc>
      </w:tr>
      <w:tr w:rsidR="00302BFE" w:rsidRPr="00412826" w14:paraId="4DE6BA57" w14:textId="77777777" w:rsidTr="00243B15">
        <w:trPr>
          <w:jc w:val="center"/>
        </w:trPr>
        <w:tc>
          <w:tcPr>
            <w:tcW w:w="2117" w:type="dxa"/>
            <w:vMerge/>
            <w:tcBorders>
              <w:left w:val="single" w:sz="4" w:space="0" w:color="auto"/>
              <w:right w:val="single" w:sz="4" w:space="0" w:color="auto"/>
            </w:tcBorders>
            <w:vAlign w:val="center"/>
          </w:tcPr>
          <w:p w14:paraId="7E62B077"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2B18B2ED"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6D9504F0" w14:textId="77777777" w:rsidR="00302BFE" w:rsidRPr="00412826" w:rsidRDefault="00302BFE" w:rsidP="00243B15">
            <w:pPr>
              <w:spacing w:after="0"/>
              <w:ind w:left="30" w:right="30"/>
              <w:jc w:val="center"/>
              <w:rPr>
                <w:sz w:val="18"/>
                <w:szCs w:val="18"/>
                <w:lang w:val="fr-FR"/>
              </w:rPr>
            </w:pPr>
            <w:r w:rsidRPr="00412826">
              <w:rPr>
                <w:sz w:val="18"/>
                <w:szCs w:val="18"/>
                <w:lang w:val="fr-FR"/>
              </w:rPr>
              <w:t xml:space="preserve">Forêt </w:t>
            </w:r>
            <w:proofErr w:type="spellStart"/>
            <w:r w:rsidRPr="00412826">
              <w:rPr>
                <w:sz w:val="18"/>
                <w:szCs w:val="18"/>
                <w:lang w:val="fr-FR"/>
              </w:rPr>
              <w:t>Diéfoula</w:t>
            </w:r>
            <w:proofErr w:type="spellEnd"/>
            <w:r w:rsidRPr="00412826">
              <w:rPr>
                <w:sz w:val="18"/>
                <w:szCs w:val="18"/>
                <w:lang w:val="fr-FR"/>
              </w:rPr>
              <w:t xml:space="preserve"> – </w:t>
            </w:r>
            <w:proofErr w:type="spellStart"/>
            <w:r w:rsidRPr="00412826">
              <w:rPr>
                <w:sz w:val="18"/>
                <w:szCs w:val="18"/>
                <w:lang w:val="fr-FR"/>
              </w:rPr>
              <w:t>Logoniégué</w:t>
            </w:r>
            <w:proofErr w:type="spellEnd"/>
            <w:r w:rsidRPr="00412826">
              <w:rPr>
                <w:sz w:val="18"/>
                <w:szCs w:val="18"/>
                <w:lang w:val="fr-FR"/>
              </w:rPr>
              <w:t xml:space="preserve"> – BF010</w:t>
            </w:r>
          </w:p>
        </w:tc>
        <w:tc>
          <w:tcPr>
            <w:tcW w:w="1127" w:type="dxa"/>
            <w:tcBorders>
              <w:top w:val="single" w:sz="4" w:space="0" w:color="auto"/>
              <w:left w:val="single" w:sz="4" w:space="0" w:color="auto"/>
              <w:bottom w:val="single" w:sz="4" w:space="0" w:color="auto"/>
              <w:right w:val="single" w:sz="4" w:space="0" w:color="auto"/>
            </w:tcBorders>
            <w:vAlign w:val="center"/>
          </w:tcPr>
          <w:p w14:paraId="08EB5909" w14:textId="77777777" w:rsidR="00302BFE" w:rsidRPr="00412826" w:rsidRDefault="00302BFE" w:rsidP="00243B15">
            <w:pPr>
              <w:spacing w:after="0"/>
              <w:ind w:left="30" w:right="30"/>
              <w:jc w:val="center"/>
              <w:rPr>
                <w:sz w:val="18"/>
                <w:szCs w:val="18"/>
                <w:lang w:val="fr-FR"/>
              </w:rPr>
            </w:pPr>
            <w:r w:rsidRPr="00412826">
              <w:rPr>
                <w:sz w:val="18"/>
                <w:szCs w:val="18"/>
                <w:lang w:val="fr-FR"/>
              </w:rPr>
              <w:t>2001</w:t>
            </w:r>
          </w:p>
        </w:tc>
        <w:tc>
          <w:tcPr>
            <w:tcW w:w="2097" w:type="dxa"/>
            <w:tcBorders>
              <w:top w:val="single" w:sz="4" w:space="0" w:color="auto"/>
              <w:left w:val="single" w:sz="4" w:space="0" w:color="auto"/>
              <w:bottom w:val="single" w:sz="4" w:space="0" w:color="auto"/>
              <w:right w:val="single" w:sz="4" w:space="0" w:color="auto"/>
            </w:tcBorders>
            <w:vAlign w:val="center"/>
          </w:tcPr>
          <w:p w14:paraId="47C36CD6" w14:textId="77777777" w:rsidR="00302BFE" w:rsidRPr="00412826" w:rsidRDefault="00302BFE" w:rsidP="00243B15">
            <w:pPr>
              <w:spacing w:after="0"/>
              <w:ind w:left="30" w:right="30"/>
              <w:jc w:val="center"/>
              <w:rPr>
                <w:sz w:val="18"/>
                <w:szCs w:val="18"/>
                <w:lang w:val="fr-FR"/>
              </w:rPr>
            </w:pPr>
            <w:r w:rsidRPr="00412826">
              <w:rPr>
                <w:sz w:val="18"/>
                <w:szCs w:val="18"/>
                <w:lang w:val="fr-FR"/>
              </w:rPr>
              <w:t>114</w:t>
            </w:r>
            <w:r>
              <w:rPr>
                <w:sz w:val="18"/>
                <w:szCs w:val="18"/>
                <w:lang w:val="fr-FR"/>
              </w:rPr>
              <w:t>,</w:t>
            </w:r>
            <w:r w:rsidRPr="00412826">
              <w:rPr>
                <w:sz w:val="18"/>
                <w:szCs w:val="18"/>
                <w:lang w:val="fr-FR"/>
              </w:rPr>
              <w:t>000</w:t>
            </w:r>
          </w:p>
        </w:tc>
        <w:tc>
          <w:tcPr>
            <w:tcW w:w="850" w:type="dxa"/>
            <w:tcBorders>
              <w:top w:val="nil"/>
              <w:left w:val="single" w:sz="4" w:space="0" w:color="auto"/>
              <w:bottom w:val="nil"/>
              <w:right w:val="nil"/>
            </w:tcBorders>
            <w:vAlign w:val="center"/>
          </w:tcPr>
          <w:p w14:paraId="2F331AEB"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569C86A8" w14:textId="77777777" w:rsidR="00302BFE" w:rsidRPr="00412826" w:rsidRDefault="00302BFE" w:rsidP="00243B15">
            <w:pPr>
              <w:spacing w:after="0"/>
              <w:ind w:left="30" w:right="30"/>
              <w:rPr>
                <w:sz w:val="18"/>
                <w:szCs w:val="18"/>
                <w:lang w:val="fr-FR"/>
              </w:rPr>
            </w:pPr>
          </w:p>
        </w:tc>
      </w:tr>
      <w:tr w:rsidR="00302BFE" w:rsidRPr="00412826" w14:paraId="69C333FC" w14:textId="77777777" w:rsidTr="00243B15">
        <w:trPr>
          <w:jc w:val="center"/>
        </w:trPr>
        <w:tc>
          <w:tcPr>
            <w:tcW w:w="2117" w:type="dxa"/>
            <w:vMerge/>
            <w:tcBorders>
              <w:left w:val="single" w:sz="4" w:space="0" w:color="auto"/>
              <w:right w:val="single" w:sz="4" w:space="0" w:color="auto"/>
            </w:tcBorders>
            <w:vAlign w:val="center"/>
          </w:tcPr>
          <w:p w14:paraId="2787773F"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12F664FC"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118CDAC3" w14:textId="77777777" w:rsidR="00302BFE" w:rsidRPr="00412826" w:rsidRDefault="00302BFE" w:rsidP="00243B15">
            <w:pPr>
              <w:spacing w:after="0"/>
              <w:ind w:left="30" w:right="30"/>
              <w:jc w:val="center"/>
              <w:rPr>
                <w:sz w:val="18"/>
                <w:szCs w:val="18"/>
                <w:lang w:val="fr-FR"/>
              </w:rPr>
            </w:pPr>
            <w:r w:rsidRPr="00412826">
              <w:rPr>
                <w:sz w:val="18"/>
                <w:szCs w:val="18"/>
                <w:lang w:val="fr-FR"/>
              </w:rPr>
              <w:t>Lac Kompienga – BF007</w:t>
            </w:r>
          </w:p>
        </w:tc>
        <w:tc>
          <w:tcPr>
            <w:tcW w:w="1127" w:type="dxa"/>
            <w:tcBorders>
              <w:top w:val="single" w:sz="4" w:space="0" w:color="auto"/>
              <w:left w:val="single" w:sz="4" w:space="0" w:color="auto"/>
              <w:bottom w:val="single" w:sz="4" w:space="0" w:color="auto"/>
              <w:right w:val="single" w:sz="4" w:space="0" w:color="auto"/>
            </w:tcBorders>
            <w:vAlign w:val="center"/>
          </w:tcPr>
          <w:p w14:paraId="63B11BB1" w14:textId="77777777" w:rsidR="00302BFE" w:rsidRPr="00412826" w:rsidRDefault="00302BFE" w:rsidP="00243B15">
            <w:pPr>
              <w:spacing w:after="0"/>
              <w:ind w:left="30" w:right="30"/>
              <w:jc w:val="center"/>
              <w:rPr>
                <w:sz w:val="18"/>
                <w:szCs w:val="18"/>
                <w:lang w:val="fr-FR"/>
              </w:rPr>
            </w:pPr>
            <w:r w:rsidRPr="00412826">
              <w:rPr>
                <w:sz w:val="18"/>
                <w:szCs w:val="18"/>
                <w:lang w:val="fr-FR"/>
              </w:rPr>
              <w:t>2001</w:t>
            </w:r>
          </w:p>
        </w:tc>
        <w:tc>
          <w:tcPr>
            <w:tcW w:w="2097" w:type="dxa"/>
            <w:tcBorders>
              <w:top w:val="single" w:sz="4" w:space="0" w:color="auto"/>
              <w:left w:val="single" w:sz="4" w:space="0" w:color="auto"/>
              <w:bottom w:val="single" w:sz="4" w:space="0" w:color="auto"/>
              <w:right w:val="single" w:sz="4" w:space="0" w:color="auto"/>
            </w:tcBorders>
            <w:vAlign w:val="center"/>
          </w:tcPr>
          <w:p w14:paraId="1C803FA0" w14:textId="77777777" w:rsidR="00302BFE" w:rsidRPr="00412826" w:rsidRDefault="00302BFE" w:rsidP="00243B15">
            <w:pPr>
              <w:spacing w:after="0"/>
              <w:ind w:left="30" w:right="30"/>
              <w:jc w:val="center"/>
              <w:rPr>
                <w:sz w:val="18"/>
                <w:szCs w:val="18"/>
                <w:lang w:val="fr-FR"/>
              </w:rPr>
            </w:pPr>
            <w:r w:rsidRPr="00412826">
              <w:rPr>
                <w:sz w:val="18"/>
                <w:szCs w:val="18"/>
                <w:lang w:val="fr-FR"/>
              </w:rPr>
              <w:t>48</w:t>
            </w:r>
            <w:r>
              <w:rPr>
                <w:sz w:val="18"/>
                <w:szCs w:val="18"/>
                <w:lang w:val="fr-FR"/>
              </w:rPr>
              <w:t>,</w:t>
            </w:r>
            <w:r w:rsidRPr="00412826">
              <w:rPr>
                <w:sz w:val="18"/>
                <w:szCs w:val="18"/>
                <w:lang w:val="fr-FR"/>
              </w:rPr>
              <w:t>000</w:t>
            </w:r>
          </w:p>
        </w:tc>
        <w:tc>
          <w:tcPr>
            <w:tcW w:w="850" w:type="dxa"/>
            <w:tcBorders>
              <w:top w:val="nil"/>
              <w:left w:val="single" w:sz="4" w:space="0" w:color="auto"/>
              <w:bottom w:val="nil"/>
              <w:right w:val="nil"/>
            </w:tcBorders>
            <w:vAlign w:val="center"/>
          </w:tcPr>
          <w:p w14:paraId="7F15AD4B"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7DA62415" w14:textId="77777777" w:rsidR="00302BFE" w:rsidRPr="00412826" w:rsidRDefault="00302BFE" w:rsidP="00243B15">
            <w:pPr>
              <w:spacing w:after="0"/>
              <w:ind w:left="30" w:right="30"/>
              <w:rPr>
                <w:sz w:val="18"/>
                <w:szCs w:val="18"/>
                <w:lang w:val="fr-FR"/>
              </w:rPr>
            </w:pPr>
          </w:p>
        </w:tc>
      </w:tr>
      <w:tr w:rsidR="00302BFE" w:rsidRPr="00412826" w14:paraId="68D9A2BC" w14:textId="77777777" w:rsidTr="00243B15">
        <w:trPr>
          <w:jc w:val="center"/>
        </w:trPr>
        <w:tc>
          <w:tcPr>
            <w:tcW w:w="2117" w:type="dxa"/>
            <w:vMerge/>
            <w:tcBorders>
              <w:left w:val="single" w:sz="4" w:space="0" w:color="auto"/>
              <w:right w:val="single" w:sz="4" w:space="0" w:color="auto"/>
            </w:tcBorders>
            <w:vAlign w:val="center"/>
          </w:tcPr>
          <w:p w14:paraId="00AE3C38"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3748D283"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7FC0BED5" w14:textId="77777777" w:rsidR="00302BFE" w:rsidRPr="00412826" w:rsidRDefault="00302BFE" w:rsidP="00243B15">
            <w:pPr>
              <w:spacing w:after="0"/>
              <w:ind w:left="30" w:right="30"/>
              <w:jc w:val="center"/>
              <w:rPr>
                <w:sz w:val="18"/>
                <w:szCs w:val="18"/>
                <w:lang w:val="fr-FR"/>
              </w:rPr>
            </w:pPr>
            <w:r w:rsidRPr="00412826">
              <w:rPr>
                <w:sz w:val="18"/>
                <w:szCs w:val="18"/>
                <w:lang w:val="fr-FR"/>
              </w:rPr>
              <w:t xml:space="preserve">Lac Oursi – Lac </w:t>
            </w:r>
            <w:proofErr w:type="spellStart"/>
            <w:r w:rsidRPr="00412826">
              <w:rPr>
                <w:sz w:val="18"/>
                <w:szCs w:val="18"/>
                <w:lang w:val="fr-FR"/>
              </w:rPr>
              <w:t>Darkoye</w:t>
            </w:r>
            <w:proofErr w:type="spellEnd"/>
            <w:r w:rsidRPr="00412826">
              <w:rPr>
                <w:sz w:val="18"/>
                <w:szCs w:val="18"/>
                <w:lang w:val="fr-FR"/>
              </w:rPr>
              <w:t xml:space="preserve"> – BF002</w:t>
            </w:r>
          </w:p>
        </w:tc>
        <w:tc>
          <w:tcPr>
            <w:tcW w:w="1127" w:type="dxa"/>
            <w:tcBorders>
              <w:top w:val="single" w:sz="4" w:space="0" w:color="auto"/>
              <w:left w:val="single" w:sz="4" w:space="0" w:color="auto"/>
              <w:bottom w:val="single" w:sz="4" w:space="0" w:color="auto"/>
              <w:right w:val="single" w:sz="4" w:space="0" w:color="auto"/>
            </w:tcBorders>
            <w:vAlign w:val="center"/>
          </w:tcPr>
          <w:p w14:paraId="2065F57B" w14:textId="77777777" w:rsidR="00302BFE" w:rsidRPr="00412826" w:rsidRDefault="00302BFE" w:rsidP="00243B15">
            <w:pPr>
              <w:spacing w:after="0"/>
              <w:ind w:left="30" w:right="30"/>
              <w:jc w:val="center"/>
              <w:rPr>
                <w:sz w:val="18"/>
                <w:szCs w:val="18"/>
                <w:lang w:val="fr-FR"/>
              </w:rPr>
            </w:pPr>
            <w:r w:rsidRPr="00412826">
              <w:rPr>
                <w:sz w:val="18"/>
                <w:szCs w:val="18"/>
                <w:lang w:val="fr-FR"/>
              </w:rPr>
              <w:t>2001</w:t>
            </w:r>
          </w:p>
        </w:tc>
        <w:tc>
          <w:tcPr>
            <w:tcW w:w="2097" w:type="dxa"/>
            <w:tcBorders>
              <w:top w:val="single" w:sz="4" w:space="0" w:color="auto"/>
              <w:left w:val="single" w:sz="4" w:space="0" w:color="auto"/>
              <w:bottom w:val="single" w:sz="4" w:space="0" w:color="auto"/>
              <w:right w:val="single" w:sz="4" w:space="0" w:color="auto"/>
            </w:tcBorders>
            <w:vAlign w:val="center"/>
          </w:tcPr>
          <w:p w14:paraId="02872C28" w14:textId="77777777" w:rsidR="00302BFE" w:rsidRPr="00412826" w:rsidRDefault="00302BFE" w:rsidP="00243B15">
            <w:pPr>
              <w:spacing w:after="0"/>
              <w:ind w:left="30" w:right="30"/>
              <w:jc w:val="center"/>
              <w:rPr>
                <w:sz w:val="18"/>
                <w:szCs w:val="18"/>
                <w:lang w:val="fr-FR"/>
              </w:rPr>
            </w:pPr>
            <w:r w:rsidRPr="00412826">
              <w:rPr>
                <w:sz w:val="18"/>
                <w:szCs w:val="18"/>
                <w:lang w:val="fr-FR"/>
              </w:rPr>
              <w:t>45</w:t>
            </w:r>
            <w:r>
              <w:rPr>
                <w:sz w:val="18"/>
                <w:szCs w:val="18"/>
                <w:lang w:val="fr-FR"/>
              </w:rPr>
              <w:t>,</w:t>
            </w:r>
            <w:r w:rsidRPr="00412826">
              <w:rPr>
                <w:sz w:val="18"/>
                <w:szCs w:val="18"/>
                <w:lang w:val="fr-FR"/>
              </w:rPr>
              <w:t>000</w:t>
            </w:r>
          </w:p>
        </w:tc>
        <w:tc>
          <w:tcPr>
            <w:tcW w:w="850" w:type="dxa"/>
            <w:tcBorders>
              <w:top w:val="nil"/>
              <w:left w:val="single" w:sz="4" w:space="0" w:color="auto"/>
              <w:bottom w:val="nil"/>
              <w:right w:val="nil"/>
            </w:tcBorders>
            <w:vAlign w:val="center"/>
          </w:tcPr>
          <w:p w14:paraId="16B59E0D"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507D0FF2" w14:textId="77777777" w:rsidR="00302BFE" w:rsidRPr="00412826" w:rsidRDefault="00302BFE" w:rsidP="00243B15">
            <w:pPr>
              <w:spacing w:after="0"/>
              <w:ind w:left="30" w:right="30"/>
              <w:rPr>
                <w:sz w:val="18"/>
                <w:szCs w:val="18"/>
                <w:lang w:val="fr-FR"/>
              </w:rPr>
            </w:pPr>
          </w:p>
        </w:tc>
      </w:tr>
      <w:tr w:rsidR="00302BFE" w:rsidRPr="00412826" w14:paraId="72D67BFF" w14:textId="77777777" w:rsidTr="00243B15">
        <w:trPr>
          <w:jc w:val="center"/>
        </w:trPr>
        <w:tc>
          <w:tcPr>
            <w:tcW w:w="2117" w:type="dxa"/>
            <w:vMerge/>
            <w:tcBorders>
              <w:left w:val="single" w:sz="4" w:space="0" w:color="auto"/>
              <w:right w:val="single" w:sz="4" w:space="0" w:color="auto"/>
            </w:tcBorders>
            <w:vAlign w:val="center"/>
          </w:tcPr>
          <w:p w14:paraId="0044EEC0"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6F87F72A"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4E220809" w14:textId="77777777" w:rsidR="00302BFE" w:rsidRPr="00412826" w:rsidRDefault="00302BFE" w:rsidP="00243B15">
            <w:pPr>
              <w:spacing w:after="0"/>
              <w:ind w:left="30" w:right="30"/>
              <w:jc w:val="center"/>
              <w:rPr>
                <w:sz w:val="18"/>
                <w:szCs w:val="18"/>
                <w:lang w:val="fr-FR"/>
              </w:rPr>
            </w:pPr>
            <w:r w:rsidRPr="00412826">
              <w:rPr>
                <w:sz w:val="18"/>
                <w:szCs w:val="18"/>
                <w:lang w:val="fr-FR"/>
              </w:rPr>
              <w:t>Lac Sourou – BF003</w:t>
            </w:r>
          </w:p>
        </w:tc>
        <w:tc>
          <w:tcPr>
            <w:tcW w:w="1127" w:type="dxa"/>
            <w:tcBorders>
              <w:top w:val="single" w:sz="4" w:space="0" w:color="auto"/>
              <w:left w:val="single" w:sz="4" w:space="0" w:color="auto"/>
              <w:bottom w:val="single" w:sz="4" w:space="0" w:color="auto"/>
              <w:right w:val="single" w:sz="4" w:space="0" w:color="auto"/>
            </w:tcBorders>
            <w:vAlign w:val="center"/>
          </w:tcPr>
          <w:p w14:paraId="0A9B1A37" w14:textId="77777777" w:rsidR="00302BFE" w:rsidRPr="00412826" w:rsidRDefault="00302BFE" w:rsidP="00243B15">
            <w:pPr>
              <w:spacing w:after="0"/>
              <w:ind w:left="30" w:right="30"/>
              <w:jc w:val="center"/>
              <w:rPr>
                <w:sz w:val="18"/>
                <w:szCs w:val="18"/>
                <w:lang w:val="fr-FR"/>
              </w:rPr>
            </w:pPr>
            <w:r w:rsidRPr="00412826">
              <w:rPr>
                <w:sz w:val="18"/>
                <w:szCs w:val="18"/>
                <w:lang w:val="fr-FR"/>
              </w:rPr>
              <w:t>2001</w:t>
            </w:r>
          </w:p>
        </w:tc>
        <w:tc>
          <w:tcPr>
            <w:tcW w:w="2097" w:type="dxa"/>
            <w:tcBorders>
              <w:top w:val="single" w:sz="4" w:space="0" w:color="auto"/>
              <w:left w:val="single" w:sz="4" w:space="0" w:color="auto"/>
              <w:bottom w:val="single" w:sz="4" w:space="0" w:color="auto"/>
              <w:right w:val="single" w:sz="4" w:space="0" w:color="auto"/>
            </w:tcBorders>
            <w:vAlign w:val="center"/>
          </w:tcPr>
          <w:p w14:paraId="7B495464" w14:textId="77777777" w:rsidR="00302BFE" w:rsidRPr="00412826" w:rsidRDefault="00302BFE" w:rsidP="00243B15">
            <w:pPr>
              <w:spacing w:after="0"/>
              <w:ind w:left="30" w:right="30"/>
              <w:jc w:val="center"/>
              <w:rPr>
                <w:sz w:val="18"/>
                <w:szCs w:val="18"/>
              </w:rPr>
            </w:pPr>
            <w:r w:rsidRPr="00412826">
              <w:rPr>
                <w:sz w:val="18"/>
                <w:szCs w:val="18"/>
                <w:lang w:val="fr-FR"/>
              </w:rPr>
              <w:t>22</w:t>
            </w:r>
            <w:r>
              <w:rPr>
                <w:sz w:val="18"/>
                <w:szCs w:val="18"/>
              </w:rPr>
              <w:t>,</w:t>
            </w:r>
            <w:r w:rsidRPr="00412826">
              <w:rPr>
                <w:sz w:val="18"/>
                <w:szCs w:val="18"/>
              </w:rPr>
              <w:t>000</w:t>
            </w:r>
          </w:p>
        </w:tc>
        <w:tc>
          <w:tcPr>
            <w:tcW w:w="850" w:type="dxa"/>
            <w:tcBorders>
              <w:top w:val="nil"/>
              <w:left w:val="single" w:sz="4" w:space="0" w:color="auto"/>
              <w:bottom w:val="nil"/>
              <w:right w:val="nil"/>
            </w:tcBorders>
            <w:vAlign w:val="center"/>
          </w:tcPr>
          <w:p w14:paraId="47378B2C"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38E2E0CA" w14:textId="77777777" w:rsidR="00302BFE" w:rsidRPr="00412826" w:rsidRDefault="00302BFE" w:rsidP="00243B15">
            <w:pPr>
              <w:spacing w:after="0"/>
              <w:ind w:left="30" w:right="30"/>
              <w:rPr>
                <w:sz w:val="18"/>
                <w:szCs w:val="18"/>
                <w:lang w:val="fr-FR"/>
              </w:rPr>
            </w:pPr>
          </w:p>
        </w:tc>
      </w:tr>
      <w:tr w:rsidR="00302BFE" w:rsidRPr="00412826" w14:paraId="2796E5FE" w14:textId="77777777" w:rsidTr="00243B15">
        <w:trPr>
          <w:jc w:val="center"/>
        </w:trPr>
        <w:tc>
          <w:tcPr>
            <w:tcW w:w="2117" w:type="dxa"/>
            <w:vMerge/>
            <w:tcBorders>
              <w:left w:val="single" w:sz="4" w:space="0" w:color="auto"/>
              <w:right w:val="single" w:sz="4" w:space="0" w:color="auto"/>
            </w:tcBorders>
            <w:vAlign w:val="center"/>
          </w:tcPr>
          <w:p w14:paraId="295FE4F1"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right w:val="single" w:sz="4" w:space="0" w:color="auto"/>
            </w:tcBorders>
            <w:vAlign w:val="center"/>
          </w:tcPr>
          <w:p w14:paraId="5EDEBC67"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21EEA6DE" w14:textId="77777777" w:rsidR="00302BFE" w:rsidRPr="00412826" w:rsidRDefault="00302BFE" w:rsidP="00243B15">
            <w:pPr>
              <w:spacing w:after="0"/>
              <w:ind w:left="30" w:right="30"/>
              <w:jc w:val="center"/>
              <w:rPr>
                <w:sz w:val="18"/>
                <w:szCs w:val="18"/>
                <w:lang w:val="fr-FR"/>
              </w:rPr>
            </w:pPr>
            <w:r w:rsidRPr="00412826">
              <w:rPr>
                <w:sz w:val="18"/>
                <w:szCs w:val="18"/>
                <w:lang w:val="fr-FR"/>
              </w:rPr>
              <w:t>Mare aux Hippopotames – BF005</w:t>
            </w:r>
          </w:p>
        </w:tc>
        <w:tc>
          <w:tcPr>
            <w:tcW w:w="1127" w:type="dxa"/>
            <w:tcBorders>
              <w:top w:val="single" w:sz="4" w:space="0" w:color="auto"/>
              <w:left w:val="single" w:sz="4" w:space="0" w:color="auto"/>
              <w:bottom w:val="single" w:sz="4" w:space="0" w:color="auto"/>
              <w:right w:val="single" w:sz="4" w:space="0" w:color="auto"/>
            </w:tcBorders>
            <w:vAlign w:val="center"/>
          </w:tcPr>
          <w:p w14:paraId="5B845841" w14:textId="77777777" w:rsidR="00302BFE" w:rsidRPr="00412826" w:rsidRDefault="00302BFE" w:rsidP="00243B15">
            <w:pPr>
              <w:spacing w:after="0"/>
              <w:ind w:left="30" w:right="30"/>
              <w:jc w:val="center"/>
              <w:rPr>
                <w:sz w:val="18"/>
                <w:szCs w:val="18"/>
                <w:lang w:val="fr-FR"/>
              </w:rPr>
            </w:pPr>
            <w:r w:rsidRPr="00412826">
              <w:rPr>
                <w:sz w:val="18"/>
                <w:szCs w:val="18"/>
                <w:lang w:val="fr-FR"/>
              </w:rPr>
              <w:t>2001</w:t>
            </w:r>
          </w:p>
        </w:tc>
        <w:tc>
          <w:tcPr>
            <w:tcW w:w="2097" w:type="dxa"/>
            <w:tcBorders>
              <w:top w:val="single" w:sz="4" w:space="0" w:color="auto"/>
              <w:left w:val="single" w:sz="4" w:space="0" w:color="auto"/>
              <w:bottom w:val="single" w:sz="4" w:space="0" w:color="auto"/>
              <w:right w:val="single" w:sz="4" w:space="0" w:color="auto"/>
            </w:tcBorders>
            <w:vAlign w:val="center"/>
          </w:tcPr>
          <w:p w14:paraId="7F3AABFF" w14:textId="77777777" w:rsidR="00302BFE" w:rsidRPr="00412826" w:rsidRDefault="00302BFE" w:rsidP="00243B15">
            <w:pPr>
              <w:spacing w:after="0"/>
              <w:ind w:left="30" w:right="30"/>
              <w:jc w:val="center"/>
              <w:rPr>
                <w:sz w:val="18"/>
                <w:szCs w:val="18"/>
                <w:lang w:val="fr-FR"/>
              </w:rPr>
            </w:pPr>
            <w:r w:rsidRPr="00412826">
              <w:rPr>
                <w:sz w:val="18"/>
                <w:szCs w:val="18"/>
                <w:lang w:val="fr-FR"/>
              </w:rPr>
              <w:t>19</w:t>
            </w:r>
            <w:r>
              <w:rPr>
                <w:sz w:val="18"/>
                <w:szCs w:val="18"/>
                <w:lang w:val="fr-FR"/>
              </w:rPr>
              <w:t>,</w:t>
            </w:r>
            <w:r w:rsidRPr="00412826">
              <w:rPr>
                <w:sz w:val="18"/>
                <w:szCs w:val="18"/>
                <w:lang w:val="fr-FR"/>
              </w:rPr>
              <w:t>200</w:t>
            </w:r>
          </w:p>
        </w:tc>
        <w:tc>
          <w:tcPr>
            <w:tcW w:w="850" w:type="dxa"/>
            <w:tcBorders>
              <w:top w:val="nil"/>
              <w:left w:val="single" w:sz="4" w:space="0" w:color="auto"/>
              <w:bottom w:val="nil"/>
              <w:right w:val="nil"/>
            </w:tcBorders>
            <w:vAlign w:val="center"/>
          </w:tcPr>
          <w:p w14:paraId="08E5558B"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610F6B5E" w14:textId="77777777" w:rsidR="00302BFE" w:rsidRPr="00412826" w:rsidRDefault="00302BFE" w:rsidP="00243B15">
            <w:pPr>
              <w:spacing w:after="0"/>
              <w:ind w:left="30" w:right="30"/>
              <w:rPr>
                <w:sz w:val="18"/>
                <w:szCs w:val="18"/>
                <w:lang w:val="fr-FR"/>
              </w:rPr>
            </w:pPr>
          </w:p>
        </w:tc>
      </w:tr>
      <w:tr w:rsidR="00302BFE" w:rsidRPr="00412826" w14:paraId="62E4FD78" w14:textId="77777777" w:rsidTr="00243B15">
        <w:trPr>
          <w:jc w:val="center"/>
        </w:trPr>
        <w:tc>
          <w:tcPr>
            <w:tcW w:w="2117" w:type="dxa"/>
            <w:vMerge/>
            <w:tcBorders>
              <w:left w:val="single" w:sz="4" w:space="0" w:color="auto"/>
              <w:bottom w:val="single" w:sz="4" w:space="0" w:color="auto"/>
              <w:right w:val="single" w:sz="4" w:space="0" w:color="auto"/>
            </w:tcBorders>
            <w:vAlign w:val="center"/>
          </w:tcPr>
          <w:p w14:paraId="630209E1" w14:textId="77777777" w:rsidR="00302BFE" w:rsidRPr="00412826" w:rsidRDefault="00302BFE" w:rsidP="00243B15">
            <w:pPr>
              <w:spacing w:after="0"/>
              <w:ind w:left="30" w:right="30"/>
              <w:rPr>
                <w:sz w:val="18"/>
                <w:szCs w:val="18"/>
                <w:lang w:val="fr-FR"/>
              </w:rPr>
            </w:pPr>
          </w:p>
        </w:tc>
        <w:tc>
          <w:tcPr>
            <w:tcW w:w="378" w:type="dxa"/>
            <w:vMerge/>
            <w:tcBorders>
              <w:left w:val="single" w:sz="4" w:space="0" w:color="auto"/>
              <w:bottom w:val="single" w:sz="4" w:space="0" w:color="auto"/>
              <w:right w:val="single" w:sz="4" w:space="0" w:color="auto"/>
            </w:tcBorders>
            <w:vAlign w:val="center"/>
          </w:tcPr>
          <w:p w14:paraId="6041D6F3" w14:textId="77777777" w:rsidR="00302BFE" w:rsidRPr="00412826" w:rsidRDefault="00302BFE" w:rsidP="00243B15">
            <w:pPr>
              <w:spacing w:after="0"/>
              <w:ind w:left="30" w:right="30"/>
              <w:jc w:val="center"/>
              <w:rPr>
                <w:sz w:val="18"/>
                <w:szCs w:val="18"/>
                <w:lang w:val="fr-FR"/>
              </w:rPr>
            </w:pPr>
          </w:p>
        </w:tc>
        <w:tc>
          <w:tcPr>
            <w:tcW w:w="1501" w:type="dxa"/>
            <w:tcBorders>
              <w:top w:val="single" w:sz="4" w:space="0" w:color="auto"/>
              <w:left w:val="single" w:sz="4" w:space="0" w:color="auto"/>
              <w:bottom w:val="single" w:sz="4" w:space="0" w:color="auto"/>
              <w:right w:val="single" w:sz="4" w:space="0" w:color="auto"/>
            </w:tcBorders>
            <w:vAlign w:val="center"/>
          </w:tcPr>
          <w:p w14:paraId="58E01CCA" w14:textId="77777777" w:rsidR="00302BFE" w:rsidRPr="00412826" w:rsidRDefault="00302BFE" w:rsidP="00243B15">
            <w:pPr>
              <w:spacing w:after="0"/>
              <w:ind w:left="30" w:right="30"/>
              <w:jc w:val="center"/>
              <w:rPr>
                <w:sz w:val="18"/>
                <w:szCs w:val="18"/>
                <w:lang w:val="fr-FR"/>
              </w:rPr>
            </w:pPr>
            <w:r w:rsidRPr="00412826">
              <w:rPr>
                <w:sz w:val="18"/>
                <w:szCs w:val="18"/>
                <w:lang w:val="fr-FR"/>
              </w:rPr>
              <w:t>Forêt Ouagadougou - BF004</w:t>
            </w:r>
          </w:p>
        </w:tc>
        <w:tc>
          <w:tcPr>
            <w:tcW w:w="1127" w:type="dxa"/>
            <w:tcBorders>
              <w:top w:val="single" w:sz="4" w:space="0" w:color="auto"/>
              <w:left w:val="single" w:sz="4" w:space="0" w:color="auto"/>
              <w:bottom w:val="single" w:sz="4" w:space="0" w:color="auto"/>
              <w:right w:val="single" w:sz="4" w:space="0" w:color="auto"/>
            </w:tcBorders>
            <w:vAlign w:val="center"/>
          </w:tcPr>
          <w:p w14:paraId="28BD5C88" w14:textId="77777777" w:rsidR="00302BFE" w:rsidRPr="00412826" w:rsidRDefault="00302BFE" w:rsidP="00243B15">
            <w:pPr>
              <w:spacing w:after="0"/>
              <w:ind w:left="30" w:right="30"/>
              <w:jc w:val="center"/>
              <w:rPr>
                <w:sz w:val="18"/>
                <w:szCs w:val="18"/>
                <w:lang w:val="fr-FR"/>
              </w:rPr>
            </w:pPr>
            <w:r w:rsidRPr="00412826">
              <w:rPr>
                <w:sz w:val="18"/>
                <w:szCs w:val="18"/>
                <w:lang w:val="fr-FR"/>
              </w:rPr>
              <w:t>2001 (éval)</w:t>
            </w:r>
          </w:p>
        </w:tc>
        <w:tc>
          <w:tcPr>
            <w:tcW w:w="2097" w:type="dxa"/>
            <w:tcBorders>
              <w:top w:val="single" w:sz="4" w:space="0" w:color="auto"/>
              <w:left w:val="single" w:sz="4" w:space="0" w:color="auto"/>
              <w:bottom w:val="single" w:sz="4" w:space="0" w:color="auto"/>
              <w:right w:val="single" w:sz="4" w:space="0" w:color="auto"/>
            </w:tcBorders>
            <w:vAlign w:val="center"/>
          </w:tcPr>
          <w:p w14:paraId="03939D82" w14:textId="77777777" w:rsidR="00302BFE" w:rsidRPr="00412826" w:rsidRDefault="00302BFE" w:rsidP="00243B15">
            <w:pPr>
              <w:spacing w:after="0"/>
              <w:ind w:left="30" w:right="30"/>
              <w:jc w:val="center"/>
              <w:rPr>
                <w:sz w:val="18"/>
                <w:szCs w:val="18"/>
                <w:lang w:val="fr-FR"/>
              </w:rPr>
            </w:pPr>
            <w:r w:rsidRPr="00412826">
              <w:rPr>
                <w:sz w:val="18"/>
                <w:szCs w:val="18"/>
                <w:lang w:val="fr-FR"/>
              </w:rPr>
              <w:t>230</w:t>
            </w:r>
          </w:p>
        </w:tc>
        <w:tc>
          <w:tcPr>
            <w:tcW w:w="850" w:type="dxa"/>
            <w:tcBorders>
              <w:top w:val="nil"/>
              <w:left w:val="single" w:sz="4" w:space="0" w:color="auto"/>
              <w:bottom w:val="nil"/>
              <w:right w:val="nil"/>
            </w:tcBorders>
            <w:vAlign w:val="center"/>
          </w:tcPr>
          <w:p w14:paraId="510E3E5F" w14:textId="77777777" w:rsidR="00302BFE" w:rsidRPr="00412826" w:rsidRDefault="00302BFE" w:rsidP="00243B15">
            <w:pPr>
              <w:spacing w:after="0"/>
              <w:ind w:left="30" w:right="30"/>
              <w:jc w:val="center"/>
              <w:rPr>
                <w:sz w:val="18"/>
                <w:szCs w:val="18"/>
                <w:highlight w:val="yellow"/>
                <w:lang w:val="fr-FR"/>
              </w:rPr>
            </w:pPr>
          </w:p>
        </w:tc>
        <w:tc>
          <w:tcPr>
            <w:tcW w:w="1682" w:type="dxa"/>
            <w:tcBorders>
              <w:top w:val="nil"/>
              <w:left w:val="nil"/>
              <w:bottom w:val="nil"/>
              <w:right w:val="nil"/>
            </w:tcBorders>
            <w:vAlign w:val="center"/>
          </w:tcPr>
          <w:p w14:paraId="2A7B9A8E" w14:textId="77777777" w:rsidR="00302BFE" w:rsidRPr="00412826" w:rsidRDefault="00302BFE" w:rsidP="00243B15">
            <w:pPr>
              <w:spacing w:after="0"/>
              <w:ind w:left="30" w:right="30"/>
              <w:rPr>
                <w:sz w:val="18"/>
                <w:szCs w:val="18"/>
                <w:lang w:val="fr-FR"/>
              </w:rPr>
            </w:pPr>
          </w:p>
        </w:tc>
      </w:tr>
    </w:tbl>
    <w:p w14:paraId="05DCD42A" w14:textId="77777777" w:rsidR="00302BFE" w:rsidRPr="00D47BC5" w:rsidRDefault="00302BFE" w:rsidP="00302BFE">
      <w:pPr>
        <w:spacing w:after="0"/>
        <w:rPr>
          <w:sz w:val="18"/>
          <w:szCs w:val="18"/>
          <w:lang w:val="en-CA"/>
        </w:rPr>
      </w:pPr>
      <w:r w:rsidRPr="00D47BC5">
        <w:rPr>
          <w:sz w:val="18"/>
          <w:szCs w:val="18"/>
          <w:lang w:val="en-CA"/>
        </w:rPr>
        <w:t>*  In the case of a small number of classified forests, local arrangements are made for their management by the communities.</w:t>
      </w:r>
    </w:p>
    <w:p w14:paraId="03C4147F" w14:textId="77777777" w:rsidR="00302BFE" w:rsidRPr="00D47BC5" w:rsidRDefault="00302BFE" w:rsidP="00302BFE">
      <w:pPr>
        <w:spacing w:after="0"/>
        <w:rPr>
          <w:sz w:val="18"/>
          <w:szCs w:val="18"/>
          <w:lang w:val="en-CA"/>
        </w:rPr>
      </w:pPr>
      <w:r w:rsidRPr="00D47BC5">
        <w:rPr>
          <w:sz w:val="18"/>
          <w:szCs w:val="18"/>
          <w:lang w:val="en-CA"/>
        </w:rPr>
        <w:t xml:space="preserve">** OFINAP was created in 2008 and relies on a limited number of professionals who took charge of the management of a small number of important areas in Burkina Faso: the national parks of Deux </w:t>
      </w:r>
      <w:proofErr w:type="spellStart"/>
      <w:r w:rsidRPr="00D47BC5">
        <w:rPr>
          <w:sz w:val="18"/>
          <w:szCs w:val="18"/>
          <w:lang w:val="en-CA"/>
        </w:rPr>
        <w:t>Balés</w:t>
      </w:r>
      <w:proofErr w:type="spellEnd"/>
      <w:r w:rsidRPr="00D47BC5">
        <w:rPr>
          <w:sz w:val="18"/>
          <w:szCs w:val="18"/>
          <w:lang w:val="en-CA"/>
        </w:rPr>
        <w:t xml:space="preserve"> and Po, and the </w:t>
      </w:r>
      <w:proofErr w:type="spellStart"/>
      <w:r w:rsidRPr="00D47BC5">
        <w:rPr>
          <w:sz w:val="18"/>
          <w:szCs w:val="18"/>
          <w:lang w:val="en-CA"/>
        </w:rPr>
        <w:t>Nazinga</w:t>
      </w:r>
      <w:proofErr w:type="spellEnd"/>
      <w:r w:rsidRPr="00D47BC5">
        <w:rPr>
          <w:sz w:val="18"/>
          <w:szCs w:val="18"/>
          <w:lang w:val="en-CA"/>
        </w:rPr>
        <w:t xml:space="preserve">, Mare aux </w:t>
      </w:r>
      <w:proofErr w:type="spellStart"/>
      <w:r w:rsidRPr="00D47BC5">
        <w:rPr>
          <w:sz w:val="18"/>
          <w:szCs w:val="18"/>
          <w:lang w:val="en-CA"/>
        </w:rPr>
        <w:t>Hippopotames</w:t>
      </w:r>
      <w:proofErr w:type="spellEnd"/>
      <w:r w:rsidRPr="00D47BC5">
        <w:rPr>
          <w:sz w:val="18"/>
          <w:szCs w:val="18"/>
          <w:lang w:val="en-CA"/>
        </w:rPr>
        <w:t xml:space="preserve"> and </w:t>
      </w:r>
      <w:proofErr w:type="spellStart"/>
      <w:r w:rsidRPr="00D47BC5">
        <w:rPr>
          <w:sz w:val="18"/>
          <w:szCs w:val="18"/>
          <w:lang w:val="en-CA"/>
        </w:rPr>
        <w:t>Arly</w:t>
      </w:r>
      <w:proofErr w:type="spellEnd"/>
      <w:r w:rsidRPr="00D47BC5">
        <w:rPr>
          <w:sz w:val="18"/>
          <w:szCs w:val="18"/>
          <w:lang w:val="en-CA"/>
        </w:rPr>
        <w:t xml:space="preserve"> PAs.</w:t>
      </w:r>
    </w:p>
    <w:p w14:paraId="1452F952" w14:textId="77777777" w:rsidR="00302BFE" w:rsidRPr="00D47BC5" w:rsidRDefault="00302BFE" w:rsidP="00302BFE">
      <w:pPr>
        <w:spacing w:after="0"/>
        <w:rPr>
          <w:sz w:val="16"/>
          <w:szCs w:val="16"/>
          <w:lang w:val="en-CA"/>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302BFE" w:rsidRPr="008767D9" w14:paraId="29BE6954" w14:textId="77777777" w:rsidTr="00243B15">
        <w:trPr>
          <w:jc w:val="center"/>
        </w:trPr>
        <w:tc>
          <w:tcPr>
            <w:tcW w:w="9923" w:type="dxa"/>
            <w:shd w:val="clear" w:color="auto" w:fill="auto"/>
          </w:tcPr>
          <w:p w14:paraId="4E338692" w14:textId="77777777" w:rsidR="00302BFE" w:rsidRPr="00E61001" w:rsidRDefault="00302BFE" w:rsidP="00243B15">
            <w:pPr>
              <w:rPr>
                <w:rFonts w:cs="Garamond"/>
                <w:sz w:val="16"/>
                <w:szCs w:val="16"/>
                <w:lang w:val="en-CA"/>
              </w:rPr>
            </w:pPr>
            <w:r w:rsidRPr="00E61001">
              <w:rPr>
                <w:rFonts w:cs="Garamond"/>
                <w:b/>
                <w:bCs/>
                <w:sz w:val="18"/>
                <w:szCs w:val="18"/>
                <w:lang w:val="en-CA"/>
              </w:rPr>
              <w:t>Protected Area</w:t>
            </w:r>
            <w:r w:rsidRPr="00E61001">
              <w:rPr>
                <w:rFonts w:cs="Garamond"/>
                <w:sz w:val="18"/>
                <w:szCs w:val="18"/>
                <w:lang w:val="en-CA"/>
              </w:rPr>
              <w:t>: A protected area is usually defined as a space in which human occupation, or at least the exploitation of resources, is limited. This definition has been generally accepted in regional and global frameworks and has been proposed by the International Union for the Conservation of Nature (IUCN) in its categorization of protected areas. A protected area is defined as: "</w:t>
            </w:r>
            <w:r w:rsidRPr="00E61001">
              <w:rPr>
                <w:rFonts w:cs="Garamond"/>
                <w:i/>
                <w:sz w:val="18"/>
                <w:szCs w:val="18"/>
                <w:lang w:val="en-CA"/>
              </w:rPr>
              <w:t>A clearly defined geographical area recognized, consigned and managed by any effective means, legal or otherwise, to ensure the long-term conservation of nature, and ecosystem services and values associated to it</w:t>
            </w:r>
            <w:r w:rsidRPr="00E61001">
              <w:rPr>
                <w:rFonts w:cs="Garamond"/>
                <w:sz w:val="18"/>
                <w:szCs w:val="18"/>
                <w:lang w:val="en-CA"/>
              </w:rPr>
              <w:t>."</w:t>
            </w:r>
            <w:r w:rsidRPr="00E61001">
              <w:rPr>
                <w:rFonts w:cs="Garamond"/>
                <w:i/>
                <w:iCs/>
                <w:sz w:val="18"/>
                <w:szCs w:val="18"/>
                <w:lang w:val="en-CA"/>
              </w:rPr>
              <w:t xml:space="preserve">» </w:t>
            </w:r>
            <w:r w:rsidRPr="00E61001">
              <w:rPr>
                <w:rFonts w:cs="Garamond"/>
                <w:sz w:val="16"/>
                <w:szCs w:val="16"/>
                <w:u w:val="single"/>
                <w:lang w:val="en-CA"/>
              </w:rPr>
              <w:t>Sources</w:t>
            </w:r>
            <w:r w:rsidRPr="00E61001">
              <w:rPr>
                <w:rFonts w:cs="Garamond"/>
                <w:sz w:val="16"/>
                <w:szCs w:val="16"/>
                <w:lang w:val="en-CA"/>
              </w:rPr>
              <w:t xml:space="preserve">: UNEP-WCMC </w:t>
            </w:r>
            <w:r w:rsidRPr="00E61001">
              <w:rPr>
                <w:rFonts w:cs="Garamond"/>
                <w:i/>
                <w:iCs/>
                <w:sz w:val="16"/>
                <w:szCs w:val="16"/>
                <w:lang w:val="en-CA"/>
              </w:rPr>
              <w:t>About Protected Areas</w:t>
            </w:r>
            <w:r w:rsidRPr="00E61001">
              <w:rPr>
                <w:rFonts w:cs="Garamond"/>
                <w:sz w:val="16"/>
                <w:szCs w:val="16"/>
                <w:lang w:val="en-CA"/>
              </w:rPr>
              <w:t xml:space="preserve">, Dudley, N. (ed.) </w:t>
            </w:r>
            <w:r w:rsidRPr="00E61001">
              <w:rPr>
                <w:rFonts w:cs="Garamond"/>
                <w:i/>
                <w:iCs/>
                <w:sz w:val="16"/>
                <w:szCs w:val="16"/>
                <w:lang w:val="en-CA"/>
              </w:rPr>
              <w:t>Guidelines for Appling Protected Areas Management Categories</w:t>
            </w:r>
            <w:r w:rsidRPr="00E61001">
              <w:rPr>
                <w:rFonts w:cs="Garamond"/>
                <w:sz w:val="16"/>
                <w:szCs w:val="16"/>
                <w:lang w:val="en-CA"/>
              </w:rPr>
              <w:t xml:space="preserve"> (IUCN: Switzerland, 2008)</w:t>
            </w:r>
          </w:p>
        </w:tc>
      </w:tr>
    </w:tbl>
    <w:p w14:paraId="08DB90A3" w14:textId="77777777" w:rsidR="00302BFE" w:rsidRPr="00C05313" w:rsidRDefault="00302BFE" w:rsidP="00302BFE">
      <w:pPr>
        <w:spacing w:after="0"/>
        <w:rPr>
          <w:rFonts w:ascii="Garamond" w:hAnsi="Garamond" w:cs="Garamond"/>
          <w:sz w:val="16"/>
          <w:szCs w:val="16"/>
          <w:lang w:val="en-CA"/>
        </w:rPr>
      </w:pPr>
    </w:p>
    <w:p w14:paraId="6A487DE0" w14:textId="77777777" w:rsidR="00302BFE" w:rsidRPr="00B16682" w:rsidRDefault="00302BFE" w:rsidP="00302BFE">
      <w:pPr>
        <w:pStyle w:val="Titre2"/>
        <w:ind w:left="0"/>
        <w:rPr>
          <w:rFonts w:ascii="Calibri" w:hAnsi="Calibri"/>
          <w:szCs w:val="22"/>
        </w:rPr>
      </w:pPr>
      <w:r>
        <w:rPr>
          <w:b w:val="0"/>
          <w:lang w:val="en-CA"/>
        </w:rPr>
        <w:br w:type="page"/>
      </w:r>
      <w:bookmarkStart w:id="116" w:name="_Toc9961811"/>
      <w:r w:rsidRPr="00B16682">
        <w:rPr>
          <w:rFonts w:ascii="Calibri" w:hAnsi="Calibri"/>
          <w:szCs w:val="22"/>
        </w:rPr>
        <w:lastRenderedPageBreak/>
        <w:t xml:space="preserve">Annex </w:t>
      </w:r>
      <w:r>
        <w:rPr>
          <w:rFonts w:ascii="Calibri" w:hAnsi="Calibri"/>
          <w:szCs w:val="22"/>
        </w:rPr>
        <w:t>K</w:t>
      </w:r>
      <w:r w:rsidRPr="00B16682">
        <w:rPr>
          <w:rFonts w:ascii="Calibri" w:hAnsi="Calibri"/>
          <w:szCs w:val="22"/>
        </w:rPr>
        <w:t>. State and community protected areas (Table a) and Community management zones for natural resources (Table b) in the PONASI landscape</w:t>
      </w:r>
      <w:bookmarkEnd w:id="116"/>
    </w:p>
    <w:p w14:paraId="7A11F135" w14:textId="77777777" w:rsidR="00302BFE" w:rsidRPr="00C91FE1" w:rsidRDefault="00302BFE" w:rsidP="00302BFE">
      <w:pPr>
        <w:spacing w:before="240"/>
        <w:rPr>
          <w:b/>
          <w:sz w:val="22"/>
          <w:szCs w:val="22"/>
          <w:lang w:val="en-CA"/>
        </w:rPr>
      </w:pPr>
      <w:r w:rsidRPr="00794A76">
        <w:rPr>
          <w:b/>
          <w:lang w:val="en-CA"/>
        </w:rPr>
        <w:t xml:space="preserve">Table </w:t>
      </w:r>
      <w:r>
        <w:rPr>
          <w:b/>
          <w:lang w:val="en-CA"/>
        </w:rPr>
        <w:t>a</w:t>
      </w:r>
      <w:r w:rsidRPr="00794A76">
        <w:rPr>
          <w:b/>
          <w:lang w:val="en-CA"/>
        </w:rPr>
        <w:t xml:space="preserve">. </w:t>
      </w:r>
      <w:r w:rsidRPr="00C91FE1">
        <w:rPr>
          <w:b/>
          <w:lang w:val="en-CA"/>
        </w:rPr>
        <w:t xml:space="preserve">State and community protected areas in the PONASI </w:t>
      </w:r>
      <w:r>
        <w:rPr>
          <w:b/>
          <w:lang w:val="en-CA"/>
        </w:rPr>
        <w:t>landscape</w:t>
      </w:r>
      <w:r w:rsidRPr="00C91FE1">
        <w:rPr>
          <w:b/>
          <w:lang w:val="en-CA"/>
        </w:rPr>
        <w:t xml:space="preserve"> </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1213"/>
        <w:gridCol w:w="1662"/>
        <w:gridCol w:w="949"/>
        <w:gridCol w:w="1438"/>
        <w:gridCol w:w="1438"/>
        <w:gridCol w:w="1135"/>
        <w:gridCol w:w="1438"/>
      </w:tblGrid>
      <w:tr w:rsidR="00302BFE" w14:paraId="65C66470" w14:textId="77777777" w:rsidTr="00243B15">
        <w:trPr>
          <w:tblHeader/>
          <w:jc w:val="center"/>
        </w:trPr>
        <w:tc>
          <w:tcPr>
            <w:tcW w:w="1271" w:type="dxa"/>
            <w:tcBorders>
              <w:top w:val="single" w:sz="4" w:space="0" w:color="auto"/>
              <w:left w:val="single" w:sz="4" w:space="0" w:color="auto"/>
              <w:bottom w:val="single" w:sz="4" w:space="0" w:color="auto"/>
              <w:right w:val="single" w:sz="4" w:space="0" w:color="auto"/>
            </w:tcBorders>
            <w:shd w:val="clear" w:color="auto" w:fill="FFF2CC"/>
            <w:hideMark/>
          </w:tcPr>
          <w:p w14:paraId="1D5F819B" w14:textId="77777777" w:rsidR="00302BFE" w:rsidRDefault="00302BFE" w:rsidP="00243B15">
            <w:pPr>
              <w:spacing w:after="0"/>
              <w:rPr>
                <w:b/>
                <w:sz w:val="18"/>
                <w:szCs w:val="18"/>
              </w:rPr>
            </w:pPr>
            <w:r>
              <w:rPr>
                <w:b/>
                <w:sz w:val="18"/>
                <w:szCs w:val="18"/>
              </w:rPr>
              <w:t>Name</w:t>
            </w:r>
          </w:p>
        </w:tc>
        <w:tc>
          <w:tcPr>
            <w:tcW w:w="1028" w:type="dxa"/>
            <w:tcBorders>
              <w:top w:val="single" w:sz="4" w:space="0" w:color="auto"/>
              <w:left w:val="single" w:sz="4" w:space="0" w:color="auto"/>
              <w:bottom w:val="single" w:sz="4" w:space="0" w:color="auto"/>
              <w:right w:val="single" w:sz="4" w:space="0" w:color="auto"/>
            </w:tcBorders>
            <w:shd w:val="clear" w:color="auto" w:fill="FFF2CC"/>
            <w:hideMark/>
          </w:tcPr>
          <w:p w14:paraId="73FBDAD1" w14:textId="77777777" w:rsidR="00302BFE" w:rsidRDefault="00302BFE" w:rsidP="00243B15">
            <w:pPr>
              <w:spacing w:after="0"/>
              <w:rPr>
                <w:b/>
                <w:sz w:val="18"/>
                <w:szCs w:val="18"/>
              </w:rPr>
            </w:pPr>
            <w:r>
              <w:rPr>
                <w:b/>
                <w:sz w:val="18"/>
                <w:szCs w:val="18"/>
              </w:rPr>
              <w:t>Area (ha)</w:t>
            </w:r>
          </w:p>
        </w:tc>
        <w:tc>
          <w:tcPr>
            <w:tcW w:w="1410" w:type="dxa"/>
            <w:tcBorders>
              <w:top w:val="single" w:sz="4" w:space="0" w:color="auto"/>
              <w:left w:val="single" w:sz="4" w:space="0" w:color="auto"/>
              <w:bottom w:val="single" w:sz="4" w:space="0" w:color="auto"/>
              <w:right w:val="single" w:sz="4" w:space="0" w:color="auto"/>
            </w:tcBorders>
            <w:shd w:val="clear" w:color="auto" w:fill="FFF2CC"/>
            <w:hideMark/>
          </w:tcPr>
          <w:p w14:paraId="20067705" w14:textId="77777777" w:rsidR="00302BFE" w:rsidRDefault="00302BFE" w:rsidP="00243B15">
            <w:pPr>
              <w:spacing w:after="0"/>
              <w:rPr>
                <w:b/>
                <w:sz w:val="18"/>
                <w:szCs w:val="18"/>
              </w:rPr>
            </w:pPr>
            <w:r>
              <w:rPr>
                <w:b/>
                <w:sz w:val="18"/>
                <w:szCs w:val="18"/>
              </w:rPr>
              <w:t xml:space="preserve">National classification </w:t>
            </w:r>
          </w:p>
        </w:tc>
        <w:tc>
          <w:tcPr>
            <w:tcW w:w="805" w:type="dxa"/>
            <w:tcBorders>
              <w:top w:val="single" w:sz="4" w:space="0" w:color="auto"/>
              <w:left w:val="single" w:sz="4" w:space="0" w:color="auto"/>
              <w:bottom w:val="single" w:sz="4" w:space="0" w:color="auto"/>
              <w:right w:val="single" w:sz="4" w:space="0" w:color="auto"/>
            </w:tcBorders>
            <w:shd w:val="clear" w:color="auto" w:fill="FFF2CC"/>
            <w:hideMark/>
          </w:tcPr>
          <w:p w14:paraId="3310AE4B" w14:textId="77777777" w:rsidR="00302BFE" w:rsidRDefault="00302BFE" w:rsidP="00243B15">
            <w:pPr>
              <w:spacing w:after="0"/>
              <w:rPr>
                <w:b/>
                <w:sz w:val="18"/>
                <w:szCs w:val="18"/>
              </w:rPr>
            </w:pPr>
            <w:r>
              <w:rPr>
                <w:b/>
                <w:sz w:val="18"/>
                <w:szCs w:val="18"/>
              </w:rPr>
              <w:t>Cat. IUCN</w:t>
            </w:r>
          </w:p>
        </w:tc>
        <w:tc>
          <w:tcPr>
            <w:tcW w:w="1019" w:type="dxa"/>
            <w:tcBorders>
              <w:top w:val="single" w:sz="4" w:space="0" w:color="auto"/>
              <w:left w:val="single" w:sz="4" w:space="0" w:color="auto"/>
              <w:bottom w:val="single" w:sz="4" w:space="0" w:color="auto"/>
              <w:right w:val="single" w:sz="4" w:space="0" w:color="auto"/>
            </w:tcBorders>
            <w:shd w:val="clear" w:color="auto" w:fill="FFF2CC"/>
            <w:hideMark/>
          </w:tcPr>
          <w:p w14:paraId="21FB44EC" w14:textId="77777777" w:rsidR="00302BFE" w:rsidRDefault="00302BFE" w:rsidP="00243B15">
            <w:pPr>
              <w:spacing w:after="0"/>
              <w:rPr>
                <w:b/>
                <w:sz w:val="18"/>
                <w:szCs w:val="18"/>
              </w:rPr>
            </w:pPr>
            <w:r>
              <w:rPr>
                <w:b/>
                <w:sz w:val="18"/>
                <w:szCs w:val="18"/>
              </w:rPr>
              <w:t>Management Unit</w:t>
            </w:r>
          </w:p>
        </w:tc>
        <w:tc>
          <w:tcPr>
            <w:tcW w:w="1075" w:type="dxa"/>
            <w:tcBorders>
              <w:top w:val="single" w:sz="4" w:space="0" w:color="auto"/>
              <w:left w:val="single" w:sz="4" w:space="0" w:color="auto"/>
              <w:bottom w:val="single" w:sz="4" w:space="0" w:color="auto"/>
              <w:right w:val="single" w:sz="4" w:space="0" w:color="auto"/>
            </w:tcBorders>
            <w:shd w:val="clear" w:color="auto" w:fill="FFF2CC"/>
            <w:hideMark/>
          </w:tcPr>
          <w:p w14:paraId="3F8FC4C3" w14:textId="77777777" w:rsidR="00302BFE" w:rsidRDefault="00302BFE" w:rsidP="00243B15">
            <w:pPr>
              <w:spacing w:after="0"/>
              <w:rPr>
                <w:b/>
                <w:sz w:val="18"/>
                <w:szCs w:val="18"/>
              </w:rPr>
            </w:pPr>
            <w:r>
              <w:rPr>
                <w:b/>
                <w:sz w:val="18"/>
                <w:szCs w:val="18"/>
              </w:rPr>
              <w:t>Management plan</w:t>
            </w:r>
          </w:p>
        </w:tc>
        <w:tc>
          <w:tcPr>
            <w:tcW w:w="963" w:type="dxa"/>
            <w:tcBorders>
              <w:top w:val="single" w:sz="4" w:space="0" w:color="auto"/>
              <w:left w:val="single" w:sz="4" w:space="0" w:color="auto"/>
              <w:bottom w:val="single" w:sz="4" w:space="0" w:color="auto"/>
              <w:right w:val="single" w:sz="4" w:space="0" w:color="auto"/>
            </w:tcBorders>
            <w:shd w:val="clear" w:color="auto" w:fill="FFF2CC"/>
            <w:hideMark/>
          </w:tcPr>
          <w:p w14:paraId="097C3B12" w14:textId="77777777" w:rsidR="00302BFE" w:rsidRDefault="00302BFE" w:rsidP="00243B15">
            <w:pPr>
              <w:spacing w:after="0"/>
              <w:rPr>
                <w:b/>
                <w:sz w:val="18"/>
                <w:szCs w:val="18"/>
              </w:rPr>
            </w:pPr>
            <w:r>
              <w:rPr>
                <w:b/>
                <w:sz w:val="18"/>
                <w:szCs w:val="18"/>
              </w:rPr>
              <w:t>Status</w:t>
            </w:r>
          </w:p>
        </w:tc>
        <w:tc>
          <w:tcPr>
            <w:tcW w:w="1059" w:type="dxa"/>
            <w:tcBorders>
              <w:top w:val="single" w:sz="4" w:space="0" w:color="auto"/>
              <w:left w:val="single" w:sz="4" w:space="0" w:color="auto"/>
              <w:bottom w:val="single" w:sz="4" w:space="0" w:color="auto"/>
              <w:right w:val="single" w:sz="4" w:space="0" w:color="auto"/>
            </w:tcBorders>
            <w:shd w:val="clear" w:color="auto" w:fill="FFF2CC"/>
            <w:hideMark/>
          </w:tcPr>
          <w:p w14:paraId="7DF2C6ED" w14:textId="77777777" w:rsidR="00302BFE" w:rsidRDefault="00302BFE" w:rsidP="00243B15">
            <w:pPr>
              <w:spacing w:after="0"/>
              <w:rPr>
                <w:b/>
                <w:sz w:val="18"/>
                <w:szCs w:val="18"/>
              </w:rPr>
            </w:pPr>
            <w:r>
              <w:rPr>
                <w:b/>
                <w:sz w:val="18"/>
                <w:szCs w:val="18"/>
              </w:rPr>
              <w:t>Management Authority</w:t>
            </w:r>
          </w:p>
        </w:tc>
      </w:tr>
      <w:tr w:rsidR="00302BFE" w14:paraId="4620341F"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0707FDB9" w14:textId="77777777" w:rsidR="00302BFE" w:rsidRDefault="00302BFE" w:rsidP="00243B15">
            <w:pPr>
              <w:spacing w:after="0"/>
              <w:rPr>
                <w:sz w:val="18"/>
                <w:szCs w:val="18"/>
              </w:rPr>
            </w:pPr>
            <w:r>
              <w:rPr>
                <w:sz w:val="18"/>
                <w:szCs w:val="18"/>
              </w:rPr>
              <w:t>Kaboré-</w:t>
            </w:r>
            <w:proofErr w:type="spellStart"/>
            <w:r>
              <w:rPr>
                <w:sz w:val="18"/>
                <w:szCs w:val="18"/>
              </w:rPr>
              <w:t>Tambi</w:t>
            </w:r>
            <w:proofErr w:type="spellEnd"/>
          </w:p>
        </w:tc>
        <w:tc>
          <w:tcPr>
            <w:tcW w:w="1028" w:type="dxa"/>
            <w:tcBorders>
              <w:top w:val="single" w:sz="4" w:space="0" w:color="auto"/>
              <w:left w:val="single" w:sz="4" w:space="0" w:color="auto"/>
              <w:bottom w:val="single" w:sz="4" w:space="0" w:color="auto"/>
              <w:right w:val="single" w:sz="4" w:space="0" w:color="auto"/>
            </w:tcBorders>
            <w:hideMark/>
          </w:tcPr>
          <w:p w14:paraId="589D5E4C" w14:textId="77777777" w:rsidR="00302BFE" w:rsidRDefault="00302BFE" w:rsidP="00243B15">
            <w:pPr>
              <w:spacing w:after="0"/>
              <w:rPr>
                <w:sz w:val="18"/>
                <w:szCs w:val="18"/>
              </w:rPr>
            </w:pPr>
            <w:r>
              <w:rPr>
                <w:sz w:val="18"/>
                <w:szCs w:val="18"/>
              </w:rPr>
              <w:t>169,000</w:t>
            </w:r>
          </w:p>
        </w:tc>
        <w:tc>
          <w:tcPr>
            <w:tcW w:w="1410" w:type="dxa"/>
            <w:tcBorders>
              <w:top w:val="single" w:sz="4" w:space="0" w:color="auto"/>
              <w:left w:val="single" w:sz="4" w:space="0" w:color="auto"/>
              <w:bottom w:val="single" w:sz="4" w:space="0" w:color="auto"/>
              <w:right w:val="single" w:sz="4" w:space="0" w:color="auto"/>
            </w:tcBorders>
            <w:hideMark/>
          </w:tcPr>
          <w:p w14:paraId="28377D60" w14:textId="77777777" w:rsidR="00302BFE" w:rsidRDefault="00302BFE" w:rsidP="00243B15">
            <w:pPr>
              <w:spacing w:after="0"/>
              <w:rPr>
                <w:sz w:val="18"/>
                <w:szCs w:val="18"/>
              </w:rPr>
            </w:pPr>
            <w:r>
              <w:rPr>
                <w:sz w:val="18"/>
                <w:szCs w:val="18"/>
              </w:rPr>
              <w:t>National Park</w:t>
            </w:r>
          </w:p>
        </w:tc>
        <w:tc>
          <w:tcPr>
            <w:tcW w:w="805" w:type="dxa"/>
            <w:tcBorders>
              <w:top w:val="single" w:sz="4" w:space="0" w:color="auto"/>
              <w:left w:val="single" w:sz="4" w:space="0" w:color="auto"/>
              <w:bottom w:val="single" w:sz="4" w:space="0" w:color="auto"/>
              <w:right w:val="single" w:sz="4" w:space="0" w:color="auto"/>
            </w:tcBorders>
            <w:hideMark/>
          </w:tcPr>
          <w:p w14:paraId="73D197B3" w14:textId="77777777" w:rsidR="00302BFE" w:rsidRDefault="00302BFE" w:rsidP="00243B15">
            <w:pPr>
              <w:spacing w:after="0"/>
              <w:rPr>
                <w:sz w:val="18"/>
                <w:szCs w:val="18"/>
              </w:rPr>
            </w:pPr>
            <w:r>
              <w:rPr>
                <w:sz w:val="18"/>
                <w:szCs w:val="18"/>
              </w:rPr>
              <w:t>II</w:t>
            </w:r>
          </w:p>
        </w:tc>
        <w:tc>
          <w:tcPr>
            <w:tcW w:w="1019" w:type="dxa"/>
            <w:tcBorders>
              <w:top w:val="single" w:sz="4" w:space="0" w:color="auto"/>
              <w:left w:val="single" w:sz="4" w:space="0" w:color="auto"/>
              <w:bottom w:val="single" w:sz="4" w:space="0" w:color="auto"/>
              <w:right w:val="single" w:sz="4" w:space="0" w:color="auto"/>
            </w:tcBorders>
            <w:hideMark/>
          </w:tcPr>
          <w:p w14:paraId="4AB5A756" w14:textId="77777777" w:rsidR="00302BFE" w:rsidRDefault="00302BFE" w:rsidP="00243B15">
            <w:pPr>
              <w:spacing w:after="0"/>
              <w:rPr>
                <w:sz w:val="16"/>
                <w:szCs w:val="16"/>
              </w:rPr>
            </w:pPr>
            <w:r>
              <w:rPr>
                <w:sz w:val="16"/>
                <w:szCs w:val="16"/>
              </w:rPr>
              <w:t>No</w:t>
            </w:r>
          </w:p>
        </w:tc>
        <w:tc>
          <w:tcPr>
            <w:tcW w:w="1075" w:type="dxa"/>
            <w:tcBorders>
              <w:top w:val="single" w:sz="4" w:space="0" w:color="auto"/>
              <w:left w:val="single" w:sz="4" w:space="0" w:color="auto"/>
              <w:bottom w:val="single" w:sz="4" w:space="0" w:color="auto"/>
              <w:right w:val="single" w:sz="4" w:space="0" w:color="auto"/>
            </w:tcBorders>
            <w:hideMark/>
          </w:tcPr>
          <w:p w14:paraId="35E16B14" w14:textId="77777777" w:rsidR="00302BFE" w:rsidRDefault="00302BFE" w:rsidP="00243B15">
            <w:pPr>
              <w:spacing w:after="0"/>
              <w:rPr>
                <w:sz w:val="16"/>
                <w:szCs w:val="16"/>
              </w:rPr>
            </w:pPr>
            <w:r>
              <w:rPr>
                <w:sz w:val="16"/>
                <w:szCs w:val="16"/>
              </w:rPr>
              <w:t>2003 -2007 and 2010 -2020</w:t>
            </w:r>
          </w:p>
        </w:tc>
        <w:tc>
          <w:tcPr>
            <w:tcW w:w="963" w:type="dxa"/>
            <w:tcBorders>
              <w:top w:val="single" w:sz="4" w:space="0" w:color="auto"/>
              <w:left w:val="single" w:sz="4" w:space="0" w:color="auto"/>
              <w:bottom w:val="single" w:sz="4" w:space="0" w:color="auto"/>
              <w:right w:val="single" w:sz="4" w:space="0" w:color="auto"/>
            </w:tcBorders>
            <w:hideMark/>
          </w:tcPr>
          <w:p w14:paraId="23D5BA21" w14:textId="77777777" w:rsidR="00302BFE" w:rsidRDefault="00302BFE" w:rsidP="00243B15">
            <w:pPr>
              <w:spacing w:after="0"/>
              <w:rPr>
                <w:sz w:val="16"/>
                <w:szCs w:val="16"/>
              </w:rPr>
            </w:pPr>
            <w:r>
              <w:rPr>
                <w:sz w:val="16"/>
                <w:szCs w:val="16"/>
              </w:rPr>
              <w:t>Created 1976</w:t>
            </w:r>
          </w:p>
        </w:tc>
        <w:tc>
          <w:tcPr>
            <w:tcW w:w="105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95251FD" w14:textId="77777777" w:rsidR="00302BFE" w:rsidRDefault="00302BFE" w:rsidP="00243B15">
            <w:pPr>
              <w:spacing w:after="0"/>
              <w:rPr>
                <w:sz w:val="16"/>
                <w:szCs w:val="16"/>
              </w:rPr>
            </w:pPr>
            <w:r>
              <w:rPr>
                <w:sz w:val="16"/>
                <w:szCs w:val="16"/>
              </w:rPr>
              <w:t>MEGECC/ DGEF, OFINAP</w:t>
            </w:r>
          </w:p>
        </w:tc>
      </w:tr>
      <w:tr w:rsidR="00302BFE" w14:paraId="41F76406"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5C7C619A" w14:textId="77777777" w:rsidR="00302BFE" w:rsidRDefault="00302BFE" w:rsidP="00243B15">
            <w:pPr>
              <w:spacing w:after="0"/>
              <w:rPr>
                <w:sz w:val="18"/>
                <w:szCs w:val="18"/>
              </w:rPr>
            </w:pPr>
            <w:proofErr w:type="spellStart"/>
            <w:r>
              <w:rPr>
                <w:sz w:val="18"/>
                <w:szCs w:val="18"/>
              </w:rPr>
              <w:t>Nazinga</w:t>
            </w:r>
            <w:proofErr w:type="spellEnd"/>
          </w:p>
        </w:tc>
        <w:tc>
          <w:tcPr>
            <w:tcW w:w="1028" w:type="dxa"/>
            <w:tcBorders>
              <w:top w:val="single" w:sz="4" w:space="0" w:color="auto"/>
              <w:left w:val="single" w:sz="4" w:space="0" w:color="auto"/>
              <w:bottom w:val="single" w:sz="4" w:space="0" w:color="auto"/>
              <w:right w:val="single" w:sz="4" w:space="0" w:color="auto"/>
            </w:tcBorders>
            <w:hideMark/>
          </w:tcPr>
          <w:p w14:paraId="2AB930B5" w14:textId="77777777" w:rsidR="00302BFE" w:rsidRDefault="00302BFE" w:rsidP="00243B15">
            <w:pPr>
              <w:spacing w:after="0"/>
              <w:rPr>
                <w:sz w:val="18"/>
                <w:szCs w:val="18"/>
              </w:rPr>
            </w:pPr>
            <w:r>
              <w:rPr>
                <w:sz w:val="18"/>
                <w:szCs w:val="18"/>
              </w:rPr>
              <w:t>91,300</w:t>
            </w:r>
          </w:p>
        </w:tc>
        <w:tc>
          <w:tcPr>
            <w:tcW w:w="1410" w:type="dxa"/>
            <w:tcBorders>
              <w:top w:val="single" w:sz="4" w:space="0" w:color="auto"/>
              <w:left w:val="single" w:sz="4" w:space="0" w:color="auto"/>
              <w:bottom w:val="single" w:sz="4" w:space="0" w:color="auto"/>
              <w:right w:val="single" w:sz="4" w:space="0" w:color="auto"/>
            </w:tcBorders>
            <w:hideMark/>
          </w:tcPr>
          <w:p w14:paraId="1D8E487A" w14:textId="77777777" w:rsidR="00302BFE" w:rsidRDefault="00302BFE" w:rsidP="00243B15">
            <w:pPr>
              <w:spacing w:after="0"/>
              <w:rPr>
                <w:sz w:val="18"/>
                <w:szCs w:val="18"/>
                <w:lang w:val="fr-CA"/>
              </w:rPr>
            </w:pPr>
            <w:r>
              <w:rPr>
                <w:sz w:val="18"/>
                <w:szCs w:val="18"/>
                <w:lang w:val="fr-CA"/>
              </w:rPr>
              <w:t xml:space="preserve">Game Ranch/ </w:t>
            </w:r>
            <w:proofErr w:type="spellStart"/>
            <w:r>
              <w:rPr>
                <w:sz w:val="18"/>
                <w:szCs w:val="18"/>
                <w:lang w:val="fr-CA"/>
              </w:rPr>
              <w:t>Classified</w:t>
            </w:r>
            <w:proofErr w:type="spellEnd"/>
            <w:r>
              <w:rPr>
                <w:sz w:val="18"/>
                <w:szCs w:val="18"/>
                <w:lang w:val="fr-CA"/>
              </w:rPr>
              <w:t xml:space="preserve"> Forest</w:t>
            </w:r>
          </w:p>
        </w:tc>
        <w:tc>
          <w:tcPr>
            <w:tcW w:w="805" w:type="dxa"/>
            <w:tcBorders>
              <w:top w:val="single" w:sz="4" w:space="0" w:color="auto"/>
              <w:left w:val="single" w:sz="4" w:space="0" w:color="auto"/>
              <w:bottom w:val="single" w:sz="4" w:space="0" w:color="auto"/>
              <w:right w:val="single" w:sz="4" w:space="0" w:color="auto"/>
            </w:tcBorders>
            <w:hideMark/>
          </w:tcPr>
          <w:p w14:paraId="767F370D" w14:textId="77777777" w:rsidR="00302BFE" w:rsidRDefault="00302BFE" w:rsidP="00243B15">
            <w:pPr>
              <w:spacing w:after="0"/>
              <w:rPr>
                <w:sz w:val="18"/>
                <w:szCs w:val="18"/>
              </w:rPr>
            </w:pPr>
            <w:r>
              <w:rPr>
                <w:sz w:val="18"/>
                <w:szCs w:val="18"/>
              </w:rPr>
              <w:t>IV</w:t>
            </w:r>
          </w:p>
        </w:tc>
        <w:tc>
          <w:tcPr>
            <w:tcW w:w="1019" w:type="dxa"/>
            <w:tcBorders>
              <w:top w:val="single" w:sz="4" w:space="0" w:color="auto"/>
              <w:left w:val="single" w:sz="4" w:space="0" w:color="auto"/>
              <w:bottom w:val="single" w:sz="4" w:space="0" w:color="auto"/>
              <w:right w:val="single" w:sz="4" w:space="0" w:color="auto"/>
            </w:tcBorders>
            <w:hideMark/>
          </w:tcPr>
          <w:p w14:paraId="096FD98C" w14:textId="77777777" w:rsidR="00302BFE" w:rsidRDefault="00302BFE" w:rsidP="00243B15">
            <w:pPr>
              <w:spacing w:after="0"/>
              <w:rPr>
                <w:sz w:val="16"/>
                <w:szCs w:val="16"/>
              </w:rPr>
            </w:pPr>
            <w:r>
              <w:rPr>
                <w:sz w:val="16"/>
                <w:szCs w:val="16"/>
              </w:rPr>
              <w:t xml:space="preserve">OFINAP and private concession </w:t>
            </w:r>
          </w:p>
        </w:tc>
        <w:tc>
          <w:tcPr>
            <w:tcW w:w="1075" w:type="dxa"/>
            <w:tcBorders>
              <w:top w:val="single" w:sz="4" w:space="0" w:color="auto"/>
              <w:left w:val="single" w:sz="4" w:space="0" w:color="auto"/>
              <w:bottom w:val="single" w:sz="4" w:space="0" w:color="auto"/>
              <w:right w:val="single" w:sz="4" w:space="0" w:color="auto"/>
            </w:tcBorders>
            <w:hideMark/>
          </w:tcPr>
          <w:p w14:paraId="22F99206" w14:textId="77777777" w:rsidR="00302BFE" w:rsidRDefault="00302BFE" w:rsidP="00243B15">
            <w:pPr>
              <w:spacing w:after="0"/>
              <w:rPr>
                <w:sz w:val="16"/>
                <w:szCs w:val="16"/>
              </w:rPr>
            </w:pPr>
            <w:r>
              <w:rPr>
                <w:sz w:val="16"/>
                <w:szCs w:val="16"/>
              </w:rPr>
              <w:t>2014-2018</w:t>
            </w:r>
          </w:p>
        </w:tc>
        <w:tc>
          <w:tcPr>
            <w:tcW w:w="963" w:type="dxa"/>
            <w:tcBorders>
              <w:top w:val="single" w:sz="4" w:space="0" w:color="auto"/>
              <w:left w:val="single" w:sz="4" w:space="0" w:color="auto"/>
              <w:bottom w:val="single" w:sz="4" w:space="0" w:color="auto"/>
              <w:right w:val="single" w:sz="4" w:space="0" w:color="auto"/>
            </w:tcBorders>
            <w:hideMark/>
          </w:tcPr>
          <w:p w14:paraId="5B63B291" w14:textId="77777777" w:rsidR="00302BFE" w:rsidRDefault="00302BFE" w:rsidP="00243B15">
            <w:pPr>
              <w:spacing w:after="0"/>
              <w:rPr>
                <w:sz w:val="16"/>
                <w:szCs w:val="16"/>
              </w:rPr>
            </w:pPr>
            <w:r>
              <w:rPr>
                <w:sz w:val="16"/>
                <w:szCs w:val="16"/>
              </w:rPr>
              <w:t>Created 2000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C63BF8" w14:textId="77777777" w:rsidR="00302BFE" w:rsidRDefault="00302BFE" w:rsidP="00243B15">
            <w:pPr>
              <w:spacing w:after="0"/>
              <w:jc w:val="left"/>
              <w:rPr>
                <w:sz w:val="16"/>
                <w:szCs w:val="16"/>
              </w:rPr>
            </w:pPr>
          </w:p>
        </w:tc>
      </w:tr>
      <w:tr w:rsidR="00302BFE" w14:paraId="4AD868C5"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4AC5063B" w14:textId="77777777" w:rsidR="00302BFE" w:rsidRDefault="00302BFE" w:rsidP="00243B15">
            <w:pPr>
              <w:spacing w:after="0"/>
              <w:rPr>
                <w:sz w:val="18"/>
                <w:szCs w:val="18"/>
              </w:rPr>
            </w:pPr>
            <w:proofErr w:type="spellStart"/>
            <w:r>
              <w:rPr>
                <w:sz w:val="18"/>
                <w:szCs w:val="18"/>
              </w:rPr>
              <w:t>Sissili</w:t>
            </w:r>
            <w:proofErr w:type="spellEnd"/>
          </w:p>
        </w:tc>
        <w:tc>
          <w:tcPr>
            <w:tcW w:w="1028" w:type="dxa"/>
            <w:tcBorders>
              <w:top w:val="single" w:sz="4" w:space="0" w:color="auto"/>
              <w:left w:val="single" w:sz="4" w:space="0" w:color="auto"/>
              <w:bottom w:val="single" w:sz="4" w:space="0" w:color="auto"/>
              <w:right w:val="single" w:sz="4" w:space="0" w:color="auto"/>
            </w:tcBorders>
            <w:hideMark/>
          </w:tcPr>
          <w:p w14:paraId="038CED4A" w14:textId="77777777" w:rsidR="00302BFE" w:rsidRDefault="00302BFE" w:rsidP="00243B15">
            <w:pPr>
              <w:spacing w:after="0"/>
              <w:rPr>
                <w:sz w:val="18"/>
                <w:szCs w:val="18"/>
              </w:rPr>
            </w:pPr>
            <w:r>
              <w:rPr>
                <w:sz w:val="18"/>
                <w:szCs w:val="18"/>
              </w:rPr>
              <w:t>32,700</w:t>
            </w:r>
          </w:p>
        </w:tc>
        <w:tc>
          <w:tcPr>
            <w:tcW w:w="1410" w:type="dxa"/>
            <w:tcBorders>
              <w:top w:val="single" w:sz="4" w:space="0" w:color="auto"/>
              <w:left w:val="single" w:sz="4" w:space="0" w:color="auto"/>
              <w:bottom w:val="single" w:sz="4" w:space="0" w:color="auto"/>
              <w:right w:val="single" w:sz="4" w:space="0" w:color="auto"/>
            </w:tcBorders>
            <w:hideMark/>
          </w:tcPr>
          <w:p w14:paraId="5077D9EB" w14:textId="77777777" w:rsidR="00302BFE" w:rsidRDefault="00302BFE" w:rsidP="00243B15">
            <w:pPr>
              <w:spacing w:after="0"/>
              <w:rPr>
                <w:sz w:val="18"/>
                <w:szCs w:val="18"/>
                <w:lang w:val="fr-CA"/>
              </w:rPr>
            </w:pPr>
            <w:r>
              <w:rPr>
                <w:sz w:val="18"/>
                <w:szCs w:val="18"/>
                <w:lang w:val="fr-CA"/>
              </w:rPr>
              <w:t xml:space="preserve">Hunting zone/ </w:t>
            </w:r>
            <w:proofErr w:type="spellStart"/>
            <w:r>
              <w:rPr>
                <w:sz w:val="18"/>
                <w:szCs w:val="18"/>
                <w:lang w:val="fr-CA"/>
              </w:rPr>
              <w:t>Classified</w:t>
            </w:r>
            <w:proofErr w:type="spellEnd"/>
            <w:r>
              <w:rPr>
                <w:sz w:val="18"/>
                <w:szCs w:val="18"/>
                <w:lang w:val="fr-CA"/>
              </w:rPr>
              <w:t xml:space="preserve"> Forest</w:t>
            </w:r>
          </w:p>
        </w:tc>
        <w:tc>
          <w:tcPr>
            <w:tcW w:w="805" w:type="dxa"/>
            <w:tcBorders>
              <w:top w:val="single" w:sz="4" w:space="0" w:color="auto"/>
              <w:left w:val="single" w:sz="4" w:space="0" w:color="auto"/>
              <w:bottom w:val="single" w:sz="4" w:space="0" w:color="auto"/>
              <w:right w:val="single" w:sz="4" w:space="0" w:color="auto"/>
            </w:tcBorders>
            <w:hideMark/>
          </w:tcPr>
          <w:p w14:paraId="20EFE264" w14:textId="77777777" w:rsidR="00302BFE" w:rsidRDefault="00302BFE" w:rsidP="00243B15">
            <w:pPr>
              <w:spacing w:after="0"/>
              <w:rPr>
                <w:sz w:val="18"/>
                <w:szCs w:val="18"/>
              </w:rPr>
            </w:pPr>
            <w:r>
              <w:rPr>
                <w:sz w:val="18"/>
                <w:szCs w:val="18"/>
              </w:rPr>
              <w:t>IV</w:t>
            </w:r>
          </w:p>
        </w:tc>
        <w:tc>
          <w:tcPr>
            <w:tcW w:w="1019" w:type="dxa"/>
            <w:tcBorders>
              <w:top w:val="single" w:sz="4" w:space="0" w:color="auto"/>
              <w:left w:val="single" w:sz="4" w:space="0" w:color="auto"/>
              <w:bottom w:val="single" w:sz="4" w:space="0" w:color="auto"/>
              <w:right w:val="single" w:sz="4" w:space="0" w:color="auto"/>
            </w:tcBorders>
            <w:hideMark/>
          </w:tcPr>
          <w:p w14:paraId="2DCCDDE3" w14:textId="77777777" w:rsidR="00302BFE" w:rsidRDefault="00302BFE" w:rsidP="00243B15">
            <w:pPr>
              <w:spacing w:after="0"/>
              <w:rPr>
                <w:sz w:val="16"/>
                <w:szCs w:val="16"/>
              </w:rPr>
            </w:pPr>
            <w:r>
              <w:rPr>
                <w:sz w:val="16"/>
                <w:szCs w:val="16"/>
              </w:rPr>
              <w:t>Private concession</w:t>
            </w:r>
          </w:p>
        </w:tc>
        <w:tc>
          <w:tcPr>
            <w:tcW w:w="1075" w:type="dxa"/>
            <w:tcBorders>
              <w:top w:val="single" w:sz="4" w:space="0" w:color="auto"/>
              <w:left w:val="single" w:sz="4" w:space="0" w:color="auto"/>
              <w:bottom w:val="single" w:sz="4" w:space="0" w:color="auto"/>
              <w:right w:val="single" w:sz="4" w:space="0" w:color="auto"/>
            </w:tcBorders>
            <w:hideMark/>
          </w:tcPr>
          <w:p w14:paraId="276912DA" w14:textId="77777777" w:rsidR="00302BFE" w:rsidRDefault="00302BFE" w:rsidP="00243B15">
            <w:pPr>
              <w:spacing w:after="0"/>
              <w:rPr>
                <w:sz w:val="18"/>
                <w:szCs w:val="18"/>
              </w:rPr>
            </w:pPr>
            <w:r>
              <w:rPr>
                <w:sz w:val="18"/>
                <w:szCs w:val="18"/>
              </w:rPr>
              <w:t>-</w:t>
            </w:r>
          </w:p>
        </w:tc>
        <w:tc>
          <w:tcPr>
            <w:tcW w:w="963" w:type="dxa"/>
            <w:tcBorders>
              <w:top w:val="single" w:sz="4" w:space="0" w:color="auto"/>
              <w:left w:val="single" w:sz="4" w:space="0" w:color="auto"/>
              <w:bottom w:val="single" w:sz="4" w:space="0" w:color="auto"/>
              <w:right w:val="single" w:sz="4" w:space="0" w:color="auto"/>
            </w:tcBorders>
            <w:hideMark/>
          </w:tcPr>
          <w:p w14:paraId="0504F051" w14:textId="77777777" w:rsidR="00302BFE" w:rsidRDefault="00302BFE" w:rsidP="00243B15">
            <w:pPr>
              <w:spacing w:after="0"/>
              <w:rPr>
                <w:sz w:val="16"/>
                <w:szCs w:val="16"/>
              </w:rPr>
            </w:pPr>
            <w:r>
              <w:rPr>
                <w:sz w:val="16"/>
                <w:szCs w:val="16"/>
              </w:rPr>
              <w:t>Created 1954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8412F7" w14:textId="77777777" w:rsidR="00302BFE" w:rsidRDefault="00302BFE" w:rsidP="00243B15">
            <w:pPr>
              <w:spacing w:after="0"/>
              <w:jc w:val="left"/>
              <w:rPr>
                <w:sz w:val="16"/>
                <w:szCs w:val="16"/>
              </w:rPr>
            </w:pPr>
          </w:p>
        </w:tc>
      </w:tr>
      <w:tr w:rsidR="00302BFE" w14:paraId="6F6BF281"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6B381BA4" w14:textId="77777777" w:rsidR="00302BFE" w:rsidRDefault="00302BFE" w:rsidP="00243B15">
            <w:pPr>
              <w:spacing w:after="0"/>
              <w:rPr>
                <w:sz w:val="18"/>
                <w:szCs w:val="18"/>
              </w:rPr>
            </w:pPr>
            <w:r>
              <w:rPr>
                <w:sz w:val="18"/>
                <w:szCs w:val="18"/>
              </w:rPr>
              <w:t>Corridor #1</w:t>
            </w:r>
          </w:p>
        </w:tc>
        <w:tc>
          <w:tcPr>
            <w:tcW w:w="1028" w:type="dxa"/>
            <w:tcBorders>
              <w:top w:val="single" w:sz="4" w:space="0" w:color="auto"/>
              <w:left w:val="single" w:sz="4" w:space="0" w:color="auto"/>
              <w:bottom w:val="single" w:sz="4" w:space="0" w:color="auto"/>
              <w:right w:val="single" w:sz="4" w:space="0" w:color="auto"/>
            </w:tcBorders>
            <w:hideMark/>
          </w:tcPr>
          <w:p w14:paraId="628946C1" w14:textId="77777777" w:rsidR="00302BFE" w:rsidRDefault="00302BFE" w:rsidP="00243B15">
            <w:pPr>
              <w:spacing w:after="0"/>
              <w:rPr>
                <w:sz w:val="18"/>
                <w:szCs w:val="18"/>
              </w:rPr>
            </w:pPr>
            <w:r>
              <w:rPr>
                <w:sz w:val="18"/>
                <w:szCs w:val="18"/>
              </w:rPr>
              <w:t>4,500</w:t>
            </w:r>
          </w:p>
        </w:tc>
        <w:tc>
          <w:tcPr>
            <w:tcW w:w="1410" w:type="dxa"/>
            <w:tcBorders>
              <w:top w:val="single" w:sz="4" w:space="0" w:color="auto"/>
              <w:left w:val="single" w:sz="4" w:space="0" w:color="auto"/>
              <w:bottom w:val="single" w:sz="4" w:space="0" w:color="auto"/>
              <w:right w:val="single" w:sz="4" w:space="0" w:color="auto"/>
            </w:tcBorders>
            <w:hideMark/>
          </w:tcPr>
          <w:p w14:paraId="476C54C5" w14:textId="77777777" w:rsidR="00302BFE" w:rsidRDefault="00302BFE" w:rsidP="00243B15">
            <w:pPr>
              <w:spacing w:after="0"/>
              <w:rPr>
                <w:sz w:val="18"/>
                <w:szCs w:val="18"/>
              </w:rPr>
            </w:pPr>
            <w:r>
              <w:rPr>
                <w:sz w:val="18"/>
                <w:szCs w:val="18"/>
              </w:rPr>
              <w:t>Corridor</w:t>
            </w:r>
          </w:p>
        </w:tc>
        <w:tc>
          <w:tcPr>
            <w:tcW w:w="805" w:type="dxa"/>
            <w:tcBorders>
              <w:top w:val="single" w:sz="4" w:space="0" w:color="auto"/>
              <w:left w:val="single" w:sz="4" w:space="0" w:color="auto"/>
              <w:bottom w:val="single" w:sz="4" w:space="0" w:color="auto"/>
              <w:right w:val="single" w:sz="4" w:space="0" w:color="auto"/>
            </w:tcBorders>
            <w:hideMark/>
          </w:tcPr>
          <w:p w14:paraId="21FCF0AB" w14:textId="77777777" w:rsidR="00302BFE" w:rsidRDefault="00302BFE" w:rsidP="00243B15">
            <w:pPr>
              <w:spacing w:after="0"/>
              <w:rPr>
                <w:sz w:val="18"/>
                <w:szCs w:val="18"/>
              </w:rPr>
            </w:pPr>
            <w:r>
              <w:rPr>
                <w:sz w:val="18"/>
                <w:szCs w:val="18"/>
              </w:rPr>
              <w:t>II</w:t>
            </w:r>
          </w:p>
        </w:tc>
        <w:tc>
          <w:tcPr>
            <w:tcW w:w="1019" w:type="dxa"/>
            <w:tcBorders>
              <w:top w:val="single" w:sz="4" w:space="0" w:color="auto"/>
              <w:left w:val="single" w:sz="4" w:space="0" w:color="auto"/>
              <w:bottom w:val="single" w:sz="4" w:space="0" w:color="auto"/>
              <w:right w:val="single" w:sz="4" w:space="0" w:color="auto"/>
            </w:tcBorders>
            <w:hideMark/>
          </w:tcPr>
          <w:p w14:paraId="7FA9A78F" w14:textId="77777777" w:rsidR="00302BFE" w:rsidRDefault="00302BFE" w:rsidP="00243B15">
            <w:pPr>
              <w:spacing w:after="0"/>
              <w:rPr>
                <w:sz w:val="16"/>
                <w:szCs w:val="16"/>
              </w:rPr>
            </w:pPr>
            <w:r>
              <w:rPr>
                <w:sz w:val="16"/>
                <w:szCs w:val="16"/>
              </w:rPr>
              <w:t>No</w:t>
            </w:r>
          </w:p>
        </w:tc>
        <w:tc>
          <w:tcPr>
            <w:tcW w:w="1075" w:type="dxa"/>
            <w:tcBorders>
              <w:top w:val="single" w:sz="4" w:space="0" w:color="auto"/>
              <w:left w:val="single" w:sz="4" w:space="0" w:color="auto"/>
              <w:bottom w:val="single" w:sz="4" w:space="0" w:color="auto"/>
              <w:right w:val="single" w:sz="4" w:space="0" w:color="auto"/>
            </w:tcBorders>
            <w:hideMark/>
          </w:tcPr>
          <w:p w14:paraId="2A8E182E" w14:textId="77777777" w:rsidR="00302BFE" w:rsidRDefault="00302BFE" w:rsidP="00243B15">
            <w:pPr>
              <w:spacing w:after="0"/>
              <w:rPr>
                <w:sz w:val="18"/>
                <w:szCs w:val="18"/>
              </w:rPr>
            </w:pPr>
            <w:r>
              <w:rPr>
                <w:sz w:val="18"/>
                <w:szCs w:val="18"/>
              </w:rPr>
              <w:t>-</w:t>
            </w:r>
          </w:p>
        </w:tc>
        <w:tc>
          <w:tcPr>
            <w:tcW w:w="963" w:type="dxa"/>
            <w:tcBorders>
              <w:top w:val="single" w:sz="4" w:space="0" w:color="auto"/>
              <w:left w:val="single" w:sz="4" w:space="0" w:color="auto"/>
              <w:bottom w:val="single" w:sz="4" w:space="0" w:color="auto"/>
              <w:right w:val="single" w:sz="4" w:space="0" w:color="auto"/>
            </w:tcBorders>
            <w:hideMark/>
          </w:tcPr>
          <w:p w14:paraId="284260AC" w14:textId="77777777" w:rsidR="00302BFE" w:rsidRDefault="00302BFE" w:rsidP="00243B15">
            <w:pPr>
              <w:spacing w:after="0"/>
              <w:rPr>
                <w:sz w:val="16"/>
                <w:szCs w:val="16"/>
              </w:rPr>
            </w:pPr>
            <w:r>
              <w:rPr>
                <w:sz w:val="16"/>
                <w:szCs w:val="16"/>
              </w:rPr>
              <w:t xml:space="preserve">Not </w:t>
            </w:r>
            <w:proofErr w:type="spellStart"/>
            <w:r>
              <w:rPr>
                <w:sz w:val="16"/>
                <w:szCs w:val="16"/>
              </w:rPr>
              <w:t>gazetted</w:t>
            </w:r>
            <w:proofErr w:type="spellEnd"/>
            <w:r>
              <w:rPr>
                <w:rStyle w:val="Appelnotedebasdep"/>
                <w:sz w:val="16"/>
                <w:szCs w:val="16"/>
              </w:rPr>
              <w:t xml:space="preserve"> </w:t>
            </w:r>
            <w:r>
              <w:rPr>
                <w:rStyle w:val="Appelnotedebasdep"/>
                <w:sz w:val="16"/>
                <w:szCs w:val="16"/>
              </w:rPr>
              <w:footnoteReference w:id="101"/>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8376A9" w14:textId="77777777" w:rsidR="00302BFE" w:rsidRDefault="00302BFE" w:rsidP="00243B15">
            <w:pPr>
              <w:spacing w:after="0"/>
              <w:jc w:val="left"/>
              <w:rPr>
                <w:sz w:val="16"/>
                <w:szCs w:val="16"/>
              </w:rPr>
            </w:pPr>
          </w:p>
        </w:tc>
      </w:tr>
      <w:tr w:rsidR="00302BFE" w14:paraId="589661E6"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1B433926" w14:textId="77777777" w:rsidR="00302BFE" w:rsidRDefault="00302BFE" w:rsidP="00243B15">
            <w:pPr>
              <w:spacing w:after="0"/>
              <w:rPr>
                <w:sz w:val="18"/>
                <w:szCs w:val="18"/>
              </w:rPr>
            </w:pPr>
            <w:r>
              <w:rPr>
                <w:sz w:val="18"/>
                <w:szCs w:val="18"/>
              </w:rPr>
              <w:t>Corridor #2</w:t>
            </w:r>
          </w:p>
        </w:tc>
        <w:tc>
          <w:tcPr>
            <w:tcW w:w="1028" w:type="dxa"/>
            <w:tcBorders>
              <w:top w:val="single" w:sz="4" w:space="0" w:color="auto"/>
              <w:left w:val="single" w:sz="4" w:space="0" w:color="auto"/>
              <w:bottom w:val="single" w:sz="4" w:space="0" w:color="auto"/>
              <w:right w:val="single" w:sz="4" w:space="0" w:color="auto"/>
            </w:tcBorders>
            <w:hideMark/>
          </w:tcPr>
          <w:p w14:paraId="7CF42B10" w14:textId="77777777" w:rsidR="00302BFE" w:rsidRDefault="00302BFE" w:rsidP="00243B15">
            <w:pPr>
              <w:spacing w:after="0"/>
              <w:rPr>
                <w:sz w:val="18"/>
                <w:szCs w:val="18"/>
              </w:rPr>
            </w:pPr>
            <w:r>
              <w:rPr>
                <w:sz w:val="18"/>
                <w:szCs w:val="18"/>
              </w:rPr>
              <w:t>33,000</w:t>
            </w:r>
          </w:p>
        </w:tc>
        <w:tc>
          <w:tcPr>
            <w:tcW w:w="1410" w:type="dxa"/>
            <w:tcBorders>
              <w:top w:val="single" w:sz="4" w:space="0" w:color="auto"/>
              <w:left w:val="single" w:sz="4" w:space="0" w:color="auto"/>
              <w:bottom w:val="single" w:sz="4" w:space="0" w:color="auto"/>
              <w:right w:val="single" w:sz="4" w:space="0" w:color="auto"/>
            </w:tcBorders>
            <w:hideMark/>
          </w:tcPr>
          <w:p w14:paraId="3E24F0DC" w14:textId="77777777" w:rsidR="00302BFE" w:rsidRDefault="00302BFE" w:rsidP="00243B15">
            <w:pPr>
              <w:spacing w:after="0"/>
              <w:rPr>
                <w:sz w:val="18"/>
                <w:szCs w:val="18"/>
              </w:rPr>
            </w:pPr>
            <w:r>
              <w:rPr>
                <w:sz w:val="18"/>
                <w:szCs w:val="18"/>
              </w:rPr>
              <w:t>Corridor</w:t>
            </w:r>
          </w:p>
        </w:tc>
        <w:tc>
          <w:tcPr>
            <w:tcW w:w="805" w:type="dxa"/>
            <w:tcBorders>
              <w:top w:val="single" w:sz="4" w:space="0" w:color="auto"/>
              <w:left w:val="single" w:sz="4" w:space="0" w:color="auto"/>
              <w:bottom w:val="single" w:sz="4" w:space="0" w:color="auto"/>
              <w:right w:val="single" w:sz="4" w:space="0" w:color="auto"/>
            </w:tcBorders>
            <w:hideMark/>
          </w:tcPr>
          <w:p w14:paraId="2A38FF11" w14:textId="77777777" w:rsidR="00302BFE" w:rsidRDefault="00302BFE" w:rsidP="00243B15">
            <w:pPr>
              <w:spacing w:after="0"/>
              <w:rPr>
                <w:sz w:val="18"/>
                <w:szCs w:val="18"/>
              </w:rPr>
            </w:pPr>
            <w:r>
              <w:rPr>
                <w:sz w:val="18"/>
                <w:szCs w:val="18"/>
              </w:rPr>
              <w:t>II</w:t>
            </w:r>
          </w:p>
        </w:tc>
        <w:tc>
          <w:tcPr>
            <w:tcW w:w="1019" w:type="dxa"/>
            <w:tcBorders>
              <w:top w:val="single" w:sz="4" w:space="0" w:color="auto"/>
              <w:left w:val="single" w:sz="4" w:space="0" w:color="auto"/>
              <w:bottom w:val="single" w:sz="4" w:space="0" w:color="auto"/>
              <w:right w:val="single" w:sz="4" w:space="0" w:color="auto"/>
            </w:tcBorders>
            <w:hideMark/>
          </w:tcPr>
          <w:p w14:paraId="679DEC2A" w14:textId="77777777" w:rsidR="00302BFE" w:rsidRDefault="00302BFE" w:rsidP="00243B15">
            <w:pPr>
              <w:spacing w:after="0"/>
              <w:rPr>
                <w:sz w:val="16"/>
                <w:szCs w:val="16"/>
              </w:rPr>
            </w:pPr>
            <w:r>
              <w:rPr>
                <w:sz w:val="16"/>
                <w:szCs w:val="16"/>
              </w:rPr>
              <w:t>No</w:t>
            </w:r>
          </w:p>
        </w:tc>
        <w:tc>
          <w:tcPr>
            <w:tcW w:w="1075" w:type="dxa"/>
            <w:tcBorders>
              <w:top w:val="single" w:sz="4" w:space="0" w:color="auto"/>
              <w:left w:val="single" w:sz="4" w:space="0" w:color="auto"/>
              <w:bottom w:val="single" w:sz="4" w:space="0" w:color="auto"/>
              <w:right w:val="single" w:sz="4" w:space="0" w:color="auto"/>
            </w:tcBorders>
            <w:hideMark/>
          </w:tcPr>
          <w:p w14:paraId="307A01EB" w14:textId="77777777" w:rsidR="00302BFE" w:rsidRDefault="00302BFE" w:rsidP="00243B15">
            <w:pPr>
              <w:spacing w:after="0"/>
              <w:rPr>
                <w:sz w:val="18"/>
                <w:szCs w:val="18"/>
              </w:rPr>
            </w:pPr>
            <w:r>
              <w:rPr>
                <w:sz w:val="18"/>
                <w:szCs w:val="18"/>
              </w:rPr>
              <w:t>-</w:t>
            </w:r>
          </w:p>
        </w:tc>
        <w:tc>
          <w:tcPr>
            <w:tcW w:w="963" w:type="dxa"/>
            <w:tcBorders>
              <w:top w:val="single" w:sz="4" w:space="0" w:color="auto"/>
              <w:left w:val="single" w:sz="4" w:space="0" w:color="auto"/>
              <w:bottom w:val="single" w:sz="4" w:space="0" w:color="auto"/>
              <w:right w:val="single" w:sz="4" w:space="0" w:color="auto"/>
            </w:tcBorders>
            <w:hideMark/>
          </w:tcPr>
          <w:p w14:paraId="53A8551C" w14:textId="77777777" w:rsidR="00302BFE" w:rsidRDefault="00302BFE" w:rsidP="00243B15">
            <w:pPr>
              <w:spacing w:after="0"/>
              <w:rPr>
                <w:sz w:val="16"/>
                <w:szCs w:val="16"/>
              </w:rPr>
            </w:pPr>
            <w:r>
              <w:rPr>
                <w:sz w:val="16"/>
                <w:szCs w:val="16"/>
              </w:rPr>
              <w:t xml:space="preserve">Not </w:t>
            </w:r>
            <w:proofErr w:type="spellStart"/>
            <w:r>
              <w:rPr>
                <w:sz w:val="16"/>
                <w:szCs w:val="16"/>
              </w:rPr>
              <w:t>gazetted</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D5EA9C" w14:textId="77777777" w:rsidR="00302BFE" w:rsidRDefault="00302BFE" w:rsidP="00243B15">
            <w:pPr>
              <w:spacing w:after="0"/>
              <w:jc w:val="left"/>
              <w:rPr>
                <w:sz w:val="16"/>
                <w:szCs w:val="16"/>
              </w:rPr>
            </w:pPr>
          </w:p>
        </w:tc>
      </w:tr>
      <w:tr w:rsidR="00302BFE" w:rsidRPr="001A2403" w14:paraId="3EA8EB1F" w14:textId="77777777" w:rsidTr="00243B15">
        <w:trPr>
          <w:jc w:val="center"/>
        </w:trPr>
        <w:tc>
          <w:tcPr>
            <w:tcW w:w="7571" w:type="dxa"/>
            <w:gridSpan w:val="7"/>
            <w:tcBorders>
              <w:top w:val="single" w:sz="4" w:space="0" w:color="auto"/>
              <w:left w:val="single" w:sz="4" w:space="0" w:color="auto"/>
              <w:bottom w:val="single" w:sz="4" w:space="0" w:color="auto"/>
              <w:right w:val="single" w:sz="4" w:space="0" w:color="auto"/>
            </w:tcBorders>
            <w:hideMark/>
          </w:tcPr>
          <w:p w14:paraId="1C369EE1" w14:textId="77777777" w:rsidR="00302BFE" w:rsidRDefault="00302BFE" w:rsidP="00243B15">
            <w:pPr>
              <w:spacing w:after="0"/>
              <w:rPr>
                <w:b/>
                <w:sz w:val="18"/>
                <w:szCs w:val="18"/>
                <w:lang w:val="fr-CA"/>
              </w:rPr>
            </w:pPr>
            <w:r>
              <w:rPr>
                <w:b/>
                <w:sz w:val="18"/>
                <w:szCs w:val="18"/>
                <w:lang w:val="fr-CA"/>
              </w:rPr>
              <w:t>Village Hunting Areas (ZOVIC)</w:t>
            </w:r>
          </w:p>
        </w:tc>
        <w:tc>
          <w:tcPr>
            <w:tcW w:w="1059" w:type="dxa"/>
            <w:tcBorders>
              <w:top w:val="single" w:sz="4" w:space="0" w:color="auto"/>
              <w:left w:val="single" w:sz="4" w:space="0" w:color="auto"/>
              <w:bottom w:val="single" w:sz="4" w:space="0" w:color="auto"/>
              <w:right w:val="single" w:sz="4" w:space="0" w:color="auto"/>
            </w:tcBorders>
          </w:tcPr>
          <w:p w14:paraId="7679EDE9" w14:textId="77777777" w:rsidR="00302BFE" w:rsidRDefault="00302BFE" w:rsidP="00243B15">
            <w:pPr>
              <w:spacing w:after="0"/>
              <w:rPr>
                <w:sz w:val="18"/>
                <w:szCs w:val="18"/>
                <w:lang w:val="fr-CA"/>
              </w:rPr>
            </w:pPr>
          </w:p>
        </w:tc>
      </w:tr>
      <w:tr w:rsidR="00302BFE" w:rsidRPr="00794A76" w14:paraId="461DA7D1"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7150D841" w14:textId="77777777" w:rsidR="00302BFE" w:rsidRDefault="00302BFE" w:rsidP="00243B15">
            <w:pPr>
              <w:spacing w:after="0"/>
              <w:rPr>
                <w:sz w:val="18"/>
                <w:szCs w:val="18"/>
              </w:rPr>
            </w:pPr>
            <w:proofErr w:type="spellStart"/>
            <w:r>
              <w:rPr>
                <w:sz w:val="18"/>
                <w:szCs w:val="18"/>
              </w:rPr>
              <w:t>Boala</w:t>
            </w:r>
            <w:proofErr w:type="spellEnd"/>
          </w:p>
        </w:tc>
        <w:tc>
          <w:tcPr>
            <w:tcW w:w="1028" w:type="dxa"/>
            <w:tcBorders>
              <w:top w:val="single" w:sz="4" w:space="0" w:color="auto"/>
              <w:left w:val="single" w:sz="4" w:space="0" w:color="auto"/>
              <w:bottom w:val="single" w:sz="4" w:space="0" w:color="auto"/>
              <w:right w:val="single" w:sz="4" w:space="0" w:color="auto"/>
            </w:tcBorders>
            <w:hideMark/>
          </w:tcPr>
          <w:p w14:paraId="45852734" w14:textId="77777777" w:rsidR="00302BFE" w:rsidRDefault="00302BFE" w:rsidP="00243B15">
            <w:pPr>
              <w:spacing w:after="0"/>
              <w:rPr>
                <w:sz w:val="18"/>
                <w:szCs w:val="18"/>
              </w:rPr>
            </w:pPr>
            <w:r>
              <w:rPr>
                <w:sz w:val="18"/>
                <w:szCs w:val="18"/>
              </w:rPr>
              <w:t>1,007</w:t>
            </w:r>
          </w:p>
        </w:tc>
        <w:tc>
          <w:tcPr>
            <w:tcW w:w="1410" w:type="dxa"/>
            <w:tcBorders>
              <w:top w:val="single" w:sz="4" w:space="0" w:color="auto"/>
              <w:left w:val="single" w:sz="4" w:space="0" w:color="auto"/>
              <w:bottom w:val="single" w:sz="4" w:space="0" w:color="auto"/>
              <w:right w:val="single" w:sz="4" w:space="0" w:color="auto"/>
            </w:tcBorders>
            <w:hideMark/>
          </w:tcPr>
          <w:p w14:paraId="203DDDD2" w14:textId="77777777" w:rsidR="00302BFE" w:rsidRDefault="00302BFE" w:rsidP="00243B15">
            <w:pPr>
              <w:spacing w:after="0"/>
              <w:rPr>
                <w:sz w:val="18"/>
                <w:szCs w:val="18"/>
              </w:rPr>
            </w:pPr>
            <w:r>
              <w:rPr>
                <w:sz w:val="18"/>
                <w:szCs w:val="18"/>
              </w:rPr>
              <w:t>ZOVIC</w:t>
            </w:r>
          </w:p>
        </w:tc>
        <w:tc>
          <w:tcPr>
            <w:tcW w:w="805" w:type="dxa"/>
            <w:tcBorders>
              <w:top w:val="single" w:sz="4" w:space="0" w:color="auto"/>
              <w:left w:val="single" w:sz="4" w:space="0" w:color="auto"/>
              <w:bottom w:val="single" w:sz="4" w:space="0" w:color="auto"/>
              <w:right w:val="single" w:sz="4" w:space="0" w:color="auto"/>
            </w:tcBorders>
            <w:hideMark/>
          </w:tcPr>
          <w:p w14:paraId="0073724C" w14:textId="77777777" w:rsidR="00302BFE" w:rsidRDefault="00302BFE" w:rsidP="00243B15">
            <w:pPr>
              <w:spacing w:after="0"/>
              <w:rPr>
                <w:sz w:val="18"/>
                <w:szCs w:val="18"/>
              </w:rPr>
            </w:pPr>
            <w:r>
              <w:rPr>
                <w:sz w:val="18"/>
                <w:szCs w:val="18"/>
              </w:rPr>
              <w:t>VI</w:t>
            </w:r>
          </w:p>
        </w:tc>
        <w:tc>
          <w:tcPr>
            <w:tcW w:w="1019" w:type="dxa"/>
            <w:tcBorders>
              <w:top w:val="single" w:sz="4" w:space="0" w:color="auto"/>
              <w:left w:val="single" w:sz="4" w:space="0" w:color="auto"/>
              <w:bottom w:val="single" w:sz="4" w:space="0" w:color="auto"/>
              <w:right w:val="single" w:sz="4" w:space="0" w:color="auto"/>
            </w:tcBorders>
            <w:hideMark/>
          </w:tcPr>
          <w:p w14:paraId="67F47924" w14:textId="77777777" w:rsidR="00302BFE" w:rsidRDefault="00302BFE" w:rsidP="00243B15">
            <w:pPr>
              <w:spacing w:after="0"/>
              <w:rPr>
                <w:sz w:val="16"/>
                <w:szCs w:val="16"/>
              </w:rPr>
            </w:pPr>
            <w:r>
              <w:rPr>
                <w:sz w:val="16"/>
                <w:szCs w:val="16"/>
              </w:rPr>
              <w:t>CVGF</w:t>
            </w:r>
            <w:r>
              <w:rPr>
                <w:rStyle w:val="Appelnotedebasdep"/>
                <w:sz w:val="16"/>
                <w:szCs w:val="16"/>
              </w:rPr>
              <w:footnoteReference w:id="102"/>
            </w:r>
          </w:p>
        </w:tc>
        <w:tc>
          <w:tcPr>
            <w:tcW w:w="1075" w:type="dxa"/>
            <w:vMerge w:val="restart"/>
            <w:tcBorders>
              <w:top w:val="single" w:sz="4" w:space="0" w:color="auto"/>
              <w:left w:val="single" w:sz="4" w:space="0" w:color="auto"/>
              <w:bottom w:val="single" w:sz="4" w:space="0" w:color="auto"/>
              <w:right w:val="single" w:sz="4" w:space="0" w:color="auto"/>
            </w:tcBorders>
            <w:vAlign w:val="center"/>
            <w:hideMark/>
          </w:tcPr>
          <w:p w14:paraId="28D84860" w14:textId="77777777" w:rsidR="00302BFE" w:rsidRPr="00794A76" w:rsidRDefault="00302BFE" w:rsidP="00243B15">
            <w:pPr>
              <w:spacing w:after="0"/>
              <w:rPr>
                <w:sz w:val="18"/>
                <w:szCs w:val="18"/>
                <w:lang w:val="en-CA"/>
              </w:rPr>
            </w:pPr>
            <w:r w:rsidRPr="00794A76">
              <w:rPr>
                <w:sz w:val="16"/>
                <w:szCs w:val="16"/>
                <w:lang w:val="en-CA"/>
              </w:rPr>
              <w:t xml:space="preserve">Management plans and specifications </w:t>
            </w:r>
            <w:r>
              <w:rPr>
                <w:sz w:val="16"/>
                <w:szCs w:val="16"/>
                <w:lang w:val="en-CA"/>
              </w:rPr>
              <w:t>outdated</w:t>
            </w:r>
          </w:p>
        </w:tc>
        <w:tc>
          <w:tcPr>
            <w:tcW w:w="963" w:type="dxa"/>
            <w:tcBorders>
              <w:top w:val="single" w:sz="4" w:space="0" w:color="auto"/>
              <w:left w:val="single" w:sz="4" w:space="0" w:color="auto"/>
              <w:bottom w:val="single" w:sz="4" w:space="0" w:color="auto"/>
              <w:right w:val="single" w:sz="4" w:space="0" w:color="auto"/>
            </w:tcBorders>
            <w:hideMark/>
          </w:tcPr>
          <w:p w14:paraId="0C5D5834" w14:textId="77777777" w:rsidR="00302BFE" w:rsidRDefault="00302BFE" w:rsidP="00243B15">
            <w:pPr>
              <w:spacing w:after="0"/>
              <w:rPr>
                <w:sz w:val="16"/>
                <w:szCs w:val="16"/>
              </w:rPr>
            </w:pPr>
            <w:r>
              <w:rPr>
                <w:sz w:val="16"/>
                <w:szCs w:val="16"/>
              </w:rPr>
              <w:t>Created 1989</w:t>
            </w:r>
          </w:p>
        </w:tc>
        <w:tc>
          <w:tcPr>
            <w:tcW w:w="105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40D87BF" w14:textId="77777777" w:rsidR="00302BFE" w:rsidRPr="00794A76" w:rsidRDefault="00302BFE" w:rsidP="00243B15">
            <w:pPr>
              <w:spacing w:after="0"/>
              <w:rPr>
                <w:sz w:val="16"/>
                <w:szCs w:val="16"/>
                <w:lang w:val="en-CA"/>
              </w:rPr>
            </w:pPr>
            <w:r w:rsidRPr="00794A76">
              <w:rPr>
                <w:sz w:val="16"/>
                <w:szCs w:val="16"/>
                <w:lang w:val="en-CA"/>
              </w:rPr>
              <w:t>Local authorities and communities under various arrangements</w:t>
            </w:r>
          </w:p>
        </w:tc>
      </w:tr>
      <w:tr w:rsidR="00302BFE" w14:paraId="7201B575"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7ABBD975" w14:textId="77777777" w:rsidR="00302BFE" w:rsidRDefault="00302BFE" w:rsidP="00243B15">
            <w:pPr>
              <w:spacing w:after="0"/>
              <w:rPr>
                <w:sz w:val="18"/>
                <w:szCs w:val="18"/>
              </w:rPr>
            </w:pPr>
            <w:proofErr w:type="spellStart"/>
            <w:r>
              <w:rPr>
                <w:sz w:val="18"/>
                <w:szCs w:val="18"/>
              </w:rPr>
              <w:t>Kounou</w:t>
            </w:r>
            <w:proofErr w:type="spellEnd"/>
          </w:p>
        </w:tc>
        <w:tc>
          <w:tcPr>
            <w:tcW w:w="1028" w:type="dxa"/>
            <w:tcBorders>
              <w:top w:val="single" w:sz="4" w:space="0" w:color="auto"/>
              <w:left w:val="single" w:sz="4" w:space="0" w:color="auto"/>
              <w:bottom w:val="single" w:sz="4" w:space="0" w:color="auto"/>
              <w:right w:val="single" w:sz="4" w:space="0" w:color="auto"/>
            </w:tcBorders>
            <w:hideMark/>
          </w:tcPr>
          <w:p w14:paraId="13926A39" w14:textId="77777777" w:rsidR="00302BFE" w:rsidRDefault="00302BFE" w:rsidP="00243B15">
            <w:pPr>
              <w:spacing w:after="0"/>
              <w:rPr>
                <w:sz w:val="18"/>
                <w:szCs w:val="18"/>
              </w:rPr>
            </w:pPr>
            <w:r>
              <w:rPr>
                <w:sz w:val="18"/>
                <w:szCs w:val="18"/>
              </w:rPr>
              <w:t>2,650</w:t>
            </w:r>
          </w:p>
        </w:tc>
        <w:tc>
          <w:tcPr>
            <w:tcW w:w="1410" w:type="dxa"/>
            <w:tcBorders>
              <w:top w:val="single" w:sz="4" w:space="0" w:color="auto"/>
              <w:left w:val="single" w:sz="4" w:space="0" w:color="auto"/>
              <w:bottom w:val="single" w:sz="4" w:space="0" w:color="auto"/>
              <w:right w:val="single" w:sz="4" w:space="0" w:color="auto"/>
            </w:tcBorders>
            <w:hideMark/>
          </w:tcPr>
          <w:p w14:paraId="7301C4FA" w14:textId="77777777" w:rsidR="00302BFE" w:rsidRDefault="00302BFE" w:rsidP="00243B15">
            <w:pPr>
              <w:spacing w:after="0"/>
              <w:rPr>
                <w:sz w:val="18"/>
                <w:szCs w:val="18"/>
              </w:rPr>
            </w:pPr>
            <w:r>
              <w:rPr>
                <w:sz w:val="18"/>
                <w:szCs w:val="18"/>
              </w:rPr>
              <w:t>ZOVIC</w:t>
            </w:r>
          </w:p>
        </w:tc>
        <w:tc>
          <w:tcPr>
            <w:tcW w:w="805" w:type="dxa"/>
            <w:tcBorders>
              <w:top w:val="single" w:sz="4" w:space="0" w:color="auto"/>
              <w:left w:val="single" w:sz="4" w:space="0" w:color="auto"/>
              <w:bottom w:val="single" w:sz="4" w:space="0" w:color="auto"/>
              <w:right w:val="single" w:sz="4" w:space="0" w:color="auto"/>
            </w:tcBorders>
            <w:hideMark/>
          </w:tcPr>
          <w:p w14:paraId="25EE9479" w14:textId="77777777" w:rsidR="00302BFE" w:rsidRDefault="00302BFE" w:rsidP="00243B15">
            <w:pPr>
              <w:spacing w:after="0"/>
              <w:rPr>
                <w:sz w:val="18"/>
                <w:szCs w:val="18"/>
              </w:rPr>
            </w:pPr>
            <w:r>
              <w:rPr>
                <w:sz w:val="18"/>
                <w:szCs w:val="18"/>
              </w:rPr>
              <w:t>VI</w:t>
            </w:r>
          </w:p>
        </w:tc>
        <w:tc>
          <w:tcPr>
            <w:tcW w:w="1019" w:type="dxa"/>
            <w:tcBorders>
              <w:top w:val="single" w:sz="4" w:space="0" w:color="auto"/>
              <w:left w:val="single" w:sz="4" w:space="0" w:color="auto"/>
              <w:bottom w:val="single" w:sz="4" w:space="0" w:color="auto"/>
              <w:right w:val="single" w:sz="4" w:space="0" w:color="auto"/>
            </w:tcBorders>
            <w:hideMark/>
          </w:tcPr>
          <w:p w14:paraId="4CC29DEE" w14:textId="77777777" w:rsidR="00302BFE" w:rsidRDefault="00302BFE" w:rsidP="00243B15">
            <w:pPr>
              <w:spacing w:after="0"/>
              <w:rPr>
                <w:sz w:val="16"/>
                <w:szCs w:val="16"/>
              </w:rPr>
            </w:pPr>
            <w:r>
              <w:rPr>
                <w:sz w:val="16"/>
                <w:szCs w:val="16"/>
              </w:rPr>
              <w:t>CVGF</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31813C" w14:textId="77777777" w:rsidR="00302BFE" w:rsidRDefault="00302BFE" w:rsidP="00243B15">
            <w:pPr>
              <w:spacing w:after="0"/>
              <w:jc w:val="left"/>
              <w:rPr>
                <w:sz w:val="18"/>
                <w:szCs w:val="18"/>
                <w:lang w:val="fr-CA"/>
              </w:rPr>
            </w:pPr>
          </w:p>
        </w:tc>
        <w:tc>
          <w:tcPr>
            <w:tcW w:w="963" w:type="dxa"/>
            <w:tcBorders>
              <w:top w:val="single" w:sz="4" w:space="0" w:color="auto"/>
              <w:left w:val="single" w:sz="4" w:space="0" w:color="auto"/>
              <w:bottom w:val="single" w:sz="4" w:space="0" w:color="auto"/>
              <w:right w:val="single" w:sz="4" w:space="0" w:color="auto"/>
            </w:tcBorders>
            <w:hideMark/>
          </w:tcPr>
          <w:p w14:paraId="4337C977" w14:textId="77777777" w:rsidR="00302BFE" w:rsidRDefault="00302BFE" w:rsidP="00243B15">
            <w:pPr>
              <w:spacing w:after="0"/>
              <w:rPr>
                <w:sz w:val="16"/>
                <w:szCs w:val="16"/>
              </w:rPr>
            </w:pPr>
            <w:r>
              <w:rPr>
                <w:sz w:val="16"/>
                <w:szCs w:val="16"/>
              </w:rPr>
              <w:t>Created 1989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38BEEF" w14:textId="77777777" w:rsidR="00302BFE" w:rsidRDefault="00302BFE" w:rsidP="00243B15">
            <w:pPr>
              <w:spacing w:after="0"/>
              <w:jc w:val="left"/>
              <w:rPr>
                <w:sz w:val="16"/>
                <w:szCs w:val="16"/>
                <w:lang w:val="fr-CA"/>
              </w:rPr>
            </w:pPr>
          </w:p>
        </w:tc>
      </w:tr>
      <w:tr w:rsidR="00302BFE" w14:paraId="57B6FFF4"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469B3327" w14:textId="77777777" w:rsidR="00302BFE" w:rsidRDefault="00302BFE" w:rsidP="00243B15">
            <w:pPr>
              <w:spacing w:after="0"/>
              <w:rPr>
                <w:sz w:val="18"/>
                <w:szCs w:val="18"/>
              </w:rPr>
            </w:pPr>
            <w:proofErr w:type="spellStart"/>
            <w:r>
              <w:rPr>
                <w:sz w:val="18"/>
                <w:szCs w:val="18"/>
              </w:rPr>
              <w:t>Tassian</w:t>
            </w:r>
            <w:proofErr w:type="spellEnd"/>
          </w:p>
        </w:tc>
        <w:tc>
          <w:tcPr>
            <w:tcW w:w="1028" w:type="dxa"/>
            <w:tcBorders>
              <w:top w:val="single" w:sz="4" w:space="0" w:color="auto"/>
              <w:left w:val="single" w:sz="4" w:space="0" w:color="auto"/>
              <w:bottom w:val="single" w:sz="4" w:space="0" w:color="auto"/>
              <w:right w:val="single" w:sz="4" w:space="0" w:color="auto"/>
            </w:tcBorders>
            <w:hideMark/>
          </w:tcPr>
          <w:p w14:paraId="4B063D81" w14:textId="77777777" w:rsidR="00302BFE" w:rsidRDefault="00302BFE" w:rsidP="00243B15">
            <w:pPr>
              <w:spacing w:after="0"/>
              <w:rPr>
                <w:sz w:val="18"/>
                <w:szCs w:val="18"/>
              </w:rPr>
            </w:pPr>
            <w:r>
              <w:rPr>
                <w:sz w:val="18"/>
                <w:szCs w:val="18"/>
              </w:rPr>
              <w:t>3,345</w:t>
            </w:r>
          </w:p>
        </w:tc>
        <w:tc>
          <w:tcPr>
            <w:tcW w:w="1410" w:type="dxa"/>
            <w:tcBorders>
              <w:top w:val="single" w:sz="4" w:space="0" w:color="auto"/>
              <w:left w:val="single" w:sz="4" w:space="0" w:color="auto"/>
              <w:bottom w:val="single" w:sz="4" w:space="0" w:color="auto"/>
              <w:right w:val="single" w:sz="4" w:space="0" w:color="auto"/>
            </w:tcBorders>
            <w:hideMark/>
          </w:tcPr>
          <w:p w14:paraId="49724BA3" w14:textId="77777777" w:rsidR="00302BFE" w:rsidRDefault="00302BFE" w:rsidP="00243B15">
            <w:pPr>
              <w:spacing w:after="0"/>
              <w:rPr>
                <w:sz w:val="18"/>
                <w:szCs w:val="18"/>
              </w:rPr>
            </w:pPr>
            <w:r>
              <w:rPr>
                <w:sz w:val="18"/>
                <w:szCs w:val="18"/>
              </w:rPr>
              <w:t>ZOVIC</w:t>
            </w:r>
          </w:p>
        </w:tc>
        <w:tc>
          <w:tcPr>
            <w:tcW w:w="805" w:type="dxa"/>
            <w:tcBorders>
              <w:top w:val="single" w:sz="4" w:space="0" w:color="auto"/>
              <w:left w:val="single" w:sz="4" w:space="0" w:color="auto"/>
              <w:bottom w:val="single" w:sz="4" w:space="0" w:color="auto"/>
              <w:right w:val="single" w:sz="4" w:space="0" w:color="auto"/>
            </w:tcBorders>
            <w:hideMark/>
          </w:tcPr>
          <w:p w14:paraId="40CC9AE2" w14:textId="77777777" w:rsidR="00302BFE" w:rsidRDefault="00302BFE" w:rsidP="00243B15">
            <w:pPr>
              <w:spacing w:after="0"/>
              <w:rPr>
                <w:sz w:val="18"/>
                <w:szCs w:val="18"/>
              </w:rPr>
            </w:pPr>
            <w:r>
              <w:rPr>
                <w:sz w:val="18"/>
                <w:szCs w:val="18"/>
              </w:rPr>
              <w:t>VI</w:t>
            </w:r>
          </w:p>
        </w:tc>
        <w:tc>
          <w:tcPr>
            <w:tcW w:w="1019" w:type="dxa"/>
            <w:tcBorders>
              <w:top w:val="single" w:sz="4" w:space="0" w:color="auto"/>
              <w:left w:val="single" w:sz="4" w:space="0" w:color="auto"/>
              <w:bottom w:val="single" w:sz="4" w:space="0" w:color="auto"/>
              <w:right w:val="single" w:sz="4" w:space="0" w:color="auto"/>
            </w:tcBorders>
            <w:hideMark/>
          </w:tcPr>
          <w:p w14:paraId="045EB4CF" w14:textId="77777777" w:rsidR="00302BFE" w:rsidRDefault="00302BFE" w:rsidP="00243B15">
            <w:pPr>
              <w:spacing w:after="0"/>
              <w:rPr>
                <w:sz w:val="16"/>
                <w:szCs w:val="16"/>
              </w:rPr>
            </w:pPr>
            <w:r>
              <w:rPr>
                <w:sz w:val="16"/>
                <w:szCs w:val="16"/>
              </w:rPr>
              <w:t>CVGF</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4B2178" w14:textId="77777777" w:rsidR="00302BFE" w:rsidRDefault="00302BFE" w:rsidP="00243B15">
            <w:pPr>
              <w:spacing w:after="0"/>
              <w:jc w:val="left"/>
              <w:rPr>
                <w:sz w:val="18"/>
                <w:szCs w:val="18"/>
                <w:lang w:val="fr-CA"/>
              </w:rPr>
            </w:pPr>
          </w:p>
        </w:tc>
        <w:tc>
          <w:tcPr>
            <w:tcW w:w="963" w:type="dxa"/>
            <w:tcBorders>
              <w:top w:val="single" w:sz="4" w:space="0" w:color="auto"/>
              <w:left w:val="single" w:sz="4" w:space="0" w:color="auto"/>
              <w:bottom w:val="single" w:sz="4" w:space="0" w:color="auto"/>
              <w:right w:val="single" w:sz="4" w:space="0" w:color="auto"/>
            </w:tcBorders>
            <w:hideMark/>
          </w:tcPr>
          <w:p w14:paraId="1D4FE23F" w14:textId="77777777" w:rsidR="00302BFE" w:rsidRDefault="00302BFE" w:rsidP="00243B15">
            <w:pPr>
              <w:spacing w:after="0"/>
              <w:rPr>
                <w:sz w:val="16"/>
                <w:szCs w:val="16"/>
              </w:rPr>
            </w:pPr>
            <w:r>
              <w:rPr>
                <w:sz w:val="16"/>
                <w:szCs w:val="16"/>
              </w:rPr>
              <w:t>Created 1989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A742B6" w14:textId="77777777" w:rsidR="00302BFE" w:rsidRDefault="00302BFE" w:rsidP="00243B15">
            <w:pPr>
              <w:spacing w:after="0"/>
              <w:jc w:val="left"/>
              <w:rPr>
                <w:sz w:val="16"/>
                <w:szCs w:val="16"/>
                <w:lang w:val="fr-CA"/>
              </w:rPr>
            </w:pPr>
          </w:p>
        </w:tc>
      </w:tr>
      <w:tr w:rsidR="00302BFE" w14:paraId="44673284"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22862A8E" w14:textId="77777777" w:rsidR="00302BFE" w:rsidRDefault="00302BFE" w:rsidP="00243B15">
            <w:pPr>
              <w:spacing w:after="0"/>
              <w:rPr>
                <w:sz w:val="18"/>
                <w:szCs w:val="18"/>
              </w:rPr>
            </w:pPr>
            <w:proofErr w:type="spellStart"/>
            <w:r>
              <w:rPr>
                <w:sz w:val="18"/>
                <w:szCs w:val="18"/>
              </w:rPr>
              <w:t>Neboun-Bori</w:t>
            </w:r>
            <w:proofErr w:type="spellEnd"/>
          </w:p>
        </w:tc>
        <w:tc>
          <w:tcPr>
            <w:tcW w:w="1028" w:type="dxa"/>
            <w:tcBorders>
              <w:top w:val="single" w:sz="4" w:space="0" w:color="auto"/>
              <w:left w:val="single" w:sz="4" w:space="0" w:color="auto"/>
              <w:bottom w:val="single" w:sz="4" w:space="0" w:color="auto"/>
              <w:right w:val="single" w:sz="4" w:space="0" w:color="auto"/>
            </w:tcBorders>
            <w:hideMark/>
          </w:tcPr>
          <w:p w14:paraId="101B472E" w14:textId="77777777" w:rsidR="00302BFE" w:rsidRDefault="00302BFE" w:rsidP="00243B15">
            <w:pPr>
              <w:spacing w:after="0"/>
              <w:rPr>
                <w:sz w:val="18"/>
                <w:szCs w:val="18"/>
              </w:rPr>
            </w:pPr>
            <w:r>
              <w:rPr>
                <w:sz w:val="18"/>
                <w:szCs w:val="18"/>
              </w:rPr>
              <w:t>3,000</w:t>
            </w:r>
          </w:p>
        </w:tc>
        <w:tc>
          <w:tcPr>
            <w:tcW w:w="1410" w:type="dxa"/>
            <w:tcBorders>
              <w:top w:val="single" w:sz="4" w:space="0" w:color="auto"/>
              <w:left w:val="single" w:sz="4" w:space="0" w:color="auto"/>
              <w:bottom w:val="single" w:sz="4" w:space="0" w:color="auto"/>
              <w:right w:val="single" w:sz="4" w:space="0" w:color="auto"/>
            </w:tcBorders>
            <w:hideMark/>
          </w:tcPr>
          <w:p w14:paraId="01866F08" w14:textId="77777777" w:rsidR="00302BFE" w:rsidRDefault="00302BFE" w:rsidP="00243B15">
            <w:pPr>
              <w:spacing w:after="0"/>
              <w:rPr>
                <w:sz w:val="18"/>
                <w:szCs w:val="18"/>
              </w:rPr>
            </w:pPr>
            <w:r>
              <w:rPr>
                <w:sz w:val="18"/>
                <w:szCs w:val="18"/>
              </w:rPr>
              <w:t>ZOVIC</w:t>
            </w:r>
          </w:p>
        </w:tc>
        <w:tc>
          <w:tcPr>
            <w:tcW w:w="805" w:type="dxa"/>
            <w:tcBorders>
              <w:top w:val="single" w:sz="4" w:space="0" w:color="auto"/>
              <w:left w:val="single" w:sz="4" w:space="0" w:color="auto"/>
              <w:bottom w:val="single" w:sz="4" w:space="0" w:color="auto"/>
              <w:right w:val="single" w:sz="4" w:space="0" w:color="auto"/>
            </w:tcBorders>
            <w:hideMark/>
          </w:tcPr>
          <w:p w14:paraId="1D5E25AE" w14:textId="77777777" w:rsidR="00302BFE" w:rsidRDefault="00302BFE" w:rsidP="00243B15">
            <w:pPr>
              <w:spacing w:after="0"/>
              <w:rPr>
                <w:sz w:val="18"/>
                <w:szCs w:val="18"/>
              </w:rPr>
            </w:pPr>
            <w:r>
              <w:rPr>
                <w:sz w:val="18"/>
                <w:szCs w:val="18"/>
              </w:rPr>
              <w:t>VI</w:t>
            </w:r>
          </w:p>
        </w:tc>
        <w:tc>
          <w:tcPr>
            <w:tcW w:w="1019" w:type="dxa"/>
            <w:tcBorders>
              <w:top w:val="single" w:sz="4" w:space="0" w:color="auto"/>
              <w:left w:val="single" w:sz="4" w:space="0" w:color="auto"/>
              <w:bottom w:val="single" w:sz="4" w:space="0" w:color="auto"/>
              <w:right w:val="single" w:sz="4" w:space="0" w:color="auto"/>
            </w:tcBorders>
            <w:hideMark/>
          </w:tcPr>
          <w:p w14:paraId="3FD8384A" w14:textId="77777777" w:rsidR="00302BFE" w:rsidRDefault="00302BFE" w:rsidP="00243B15">
            <w:pPr>
              <w:spacing w:after="0"/>
              <w:rPr>
                <w:sz w:val="16"/>
                <w:szCs w:val="16"/>
              </w:rPr>
            </w:pPr>
            <w:r>
              <w:rPr>
                <w:sz w:val="16"/>
                <w:szCs w:val="16"/>
              </w:rPr>
              <w:t>CVGF</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F43713" w14:textId="77777777" w:rsidR="00302BFE" w:rsidRDefault="00302BFE" w:rsidP="00243B15">
            <w:pPr>
              <w:spacing w:after="0"/>
              <w:jc w:val="left"/>
              <w:rPr>
                <w:sz w:val="18"/>
                <w:szCs w:val="18"/>
                <w:lang w:val="fr-CA"/>
              </w:rPr>
            </w:pPr>
          </w:p>
        </w:tc>
        <w:tc>
          <w:tcPr>
            <w:tcW w:w="963" w:type="dxa"/>
            <w:tcBorders>
              <w:top w:val="single" w:sz="4" w:space="0" w:color="auto"/>
              <w:left w:val="single" w:sz="4" w:space="0" w:color="auto"/>
              <w:bottom w:val="single" w:sz="4" w:space="0" w:color="auto"/>
              <w:right w:val="single" w:sz="4" w:space="0" w:color="auto"/>
            </w:tcBorders>
            <w:hideMark/>
          </w:tcPr>
          <w:p w14:paraId="07F1C14D" w14:textId="77777777" w:rsidR="00302BFE" w:rsidRDefault="00302BFE" w:rsidP="00243B15">
            <w:pPr>
              <w:spacing w:after="0"/>
              <w:rPr>
                <w:sz w:val="16"/>
                <w:szCs w:val="16"/>
              </w:rPr>
            </w:pPr>
            <w:r>
              <w:rPr>
                <w:sz w:val="16"/>
                <w:szCs w:val="16"/>
              </w:rPr>
              <w:t>Created 1989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9161F1" w14:textId="77777777" w:rsidR="00302BFE" w:rsidRDefault="00302BFE" w:rsidP="00243B15">
            <w:pPr>
              <w:spacing w:after="0"/>
              <w:jc w:val="left"/>
              <w:rPr>
                <w:sz w:val="16"/>
                <w:szCs w:val="16"/>
                <w:lang w:val="fr-CA"/>
              </w:rPr>
            </w:pPr>
          </w:p>
        </w:tc>
      </w:tr>
      <w:tr w:rsidR="00302BFE" w14:paraId="1D5597FA"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4609D53C" w14:textId="77777777" w:rsidR="00302BFE" w:rsidRDefault="00302BFE" w:rsidP="00243B15">
            <w:pPr>
              <w:spacing w:after="0"/>
              <w:rPr>
                <w:sz w:val="18"/>
                <w:szCs w:val="18"/>
              </w:rPr>
            </w:pPr>
            <w:proofErr w:type="spellStart"/>
            <w:r>
              <w:rPr>
                <w:sz w:val="18"/>
                <w:szCs w:val="18"/>
              </w:rPr>
              <w:t>Boassan</w:t>
            </w:r>
            <w:proofErr w:type="spellEnd"/>
          </w:p>
        </w:tc>
        <w:tc>
          <w:tcPr>
            <w:tcW w:w="1028" w:type="dxa"/>
            <w:tcBorders>
              <w:top w:val="single" w:sz="4" w:space="0" w:color="auto"/>
              <w:left w:val="single" w:sz="4" w:space="0" w:color="auto"/>
              <w:bottom w:val="single" w:sz="4" w:space="0" w:color="auto"/>
              <w:right w:val="single" w:sz="4" w:space="0" w:color="auto"/>
            </w:tcBorders>
            <w:hideMark/>
          </w:tcPr>
          <w:p w14:paraId="02462C21" w14:textId="77777777" w:rsidR="00302BFE" w:rsidRDefault="00302BFE" w:rsidP="00243B15">
            <w:pPr>
              <w:spacing w:after="0"/>
              <w:rPr>
                <w:sz w:val="18"/>
                <w:szCs w:val="18"/>
              </w:rPr>
            </w:pPr>
            <w:r>
              <w:rPr>
                <w:sz w:val="18"/>
                <w:szCs w:val="18"/>
              </w:rPr>
              <w:t>345</w:t>
            </w:r>
          </w:p>
        </w:tc>
        <w:tc>
          <w:tcPr>
            <w:tcW w:w="1410" w:type="dxa"/>
            <w:tcBorders>
              <w:top w:val="single" w:sz="4" w:space="0" w:color="auto"/>
              <w:left w:val="single" w:sz="4" w:space="0" w:color="auto"/>
              <w:bottom w:val="single" w:sz="4" w:space="0" w:color="auto"/>
              <w:right w:val="single" w:sz="4" w:space="0" w:color="auto"/>
            </w:tcBorders>
            <w:hideMark/>
          </w:tcPr>
          <w:p w14:paraId="59178C7C" w14:textId="77777777" w:rsidR="00302BFE" w:rsidRDefault="00302BFE" w:rsidP="00243B15">
            <w:pPr>
              <w:spacing w:after="0"/>
              <w:rPr>
                <w:sz w:val="18"/>
                <w:szCs w:val="18"/>
              </w:rPr>
            </w:pPr>
            <w:r>
              <w:rPr>
                <w:sz w:val="18"/>
                <w:szCs w:val="18"/>
              </w:rPr>
              <w:t>ZOVIC</w:t>
            </w:r>
          </w:p>
        </w:tc>
        <w:tc>
          <w:tcPr>
            <w:tcW w:w="805" w:type="dxa"/>
            <w:tcBorders>
              <w:top w:val="single" w:sz="4" w:space="0" w:color="auto"/>
              <w:left w:val="single" w:sz="4" w:space="0" w:color="auto"/>
              <w:bottom w:val="single" w:sz="4" w:space="0" w:color="auto"/>
              <w:right w:val="single" w:sz="4" w:space="0" w:color="auto"/>
            </w:tcBorders>
            <w:hideMark/>
          </w:tcPr>
          <w:p w14:paraId="7775481D" w14:textId="77777777" w:rsidR="00302BFE" w:rsidRDefault="00302BFE" w:rsidP="00243B15">
            <w:pPr>
              <w:spacing w:after="0"/>
              <w:rPr>
                <w:sz w:val="18"/>
                <w:szCs w:val="18"/>
              </w:rPr>
            </w:pPr>
            <w:r>
              <w:rPr>
                <w:sz w:val="18"/>
                <w:szCs w:val="18"/>
              </w:rPr>
              <w:t>VI</w:t>
            </w:r>
          </w:p>
        </w:tc>
        <w:tc>
          <w:tcPr>
            <w:tcW w:w="1019" w:type="dxa"/>
            <w:tcBorders>
              <w:top w:val="single" w:sz="4" w:space="0" w:color="auto"/>
              <w:left w:val="single" w:sz="4" w:space="0" w:color="auto"/>
              <w:bottom w:val="single" w:sz="4" w:space="0" w:color="auto"/>
              <w:right w:val="single" w:sz="4" w:space="0" w:color="auto"/>
            </w:tcBorders>
            <w:hideMark/>
          </w:tcPr>
          <w:p w14:paraId="695C73EC" w14:textId="77777777" w:rsidR="00302BFE" w:rsidRDefault="00302BFE" w:rsidP="00243B15">
            <w:pPr>
              <w:spacing w:after="0"/>
              <w:rPr>
                <w:sz w:val="16"/>
                <w:szCs w:val="16"/>
              </w:rPr>
            </w:pPr>
            <w:r>
              <w:rPr>
                <w:sz w:val="16"/>
                <w:szCs w:val="16"/>
              </w:rPr>
              <w:t>CVGF</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D81A73" w14:textId="77777777" w:rsidR="00302BFE" w:rsidRDefault="00302BFE" w:rsidP="00243B15">
            <w:pPr>
              <w:spacing w:after="0"/>
              <w:jc w:val="left"/>
              <w:rPr>
                <w:sz w:val="18"/>
                <w:szCs w:val="18"/>
                <w:lang w:val="fr-CA"/>
              </w:rPr>
            </w:pPr>
          </w:p>
        </w:tc>
        <w:tc>
          <w:tcPr>
            <w:tcW w:w="963" w:type="dxa"/>
            <w:tcBorders>
              <w:top w:val="single" w:sz="4" w:space="0" w:color="auto"/>
              <w:left w:val="single" w:sz="4" w:space="0" w:color="auto"/>
              <w:bottom w:val="single" w:sz="4" w:space="0" w:color="auto"/>
              <w:right w:val="single" w:sz="4" w:space="0" w:color="auto"/>
            </w:tcBorders>
            <w:hideMark/>
          </w:tcPr>
          <w:p w14:paraId="6F7B6EF6" w14:textId="77777777" w:rsidR="00302BFE" w:rsidRDefault="00302BFE" w:rsidP="00243B15">
            <w:pPr>
              <w:spacing w:after="0"/>
              <w:rPr>
                <w:sz w:val="16"/>
                <w:szCs w:val="16"/>
              </w:rPr>
            </w:pPr>
            <w:r>
              <w:rPr>
                <w:sz w:val="16"/>
                <w:szCs w:val="16"/>
              </w:rPr>
              <w:t>Created 1989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5CD49E" w14:textId="77777777" w:rsidR="00302BFE" w:rsidRDefault="00302BFE" w:rsidP="00243B15">
            <w:pPr>
              <w:spacing w:after="0"/>
              <w:jc w:val="left"/>
              <w:rPr>
                <w:sz w:val="16"/>
                <w:szCs w:val="16"/>
                <w:lang w:val="fr-CA"/>
              </w:rPr>
            </w:pPr>
          </w:p>
        </w:tc>
      </w:tr>
      <w:tr w:rsidR="00302BFE" w14:paraId="3F82F248"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77B41EEB" w14:textId="77777777" w:rsidR="00302BFE" w:rsidRDefault="00302BFE" w:rsidP="00243B15">
            <w:pPr>
              <w:spacing w:after="0"/>
              <w:rPr>
                <w:sz w:val="18"/>
                <w:szCs w:val="18"/>
              </w:rPr>
            </w:pPr>
            <w:proofErr w:type="spellStart"/>
            <w:r>
              <w:rPr>
                <w:sz w:val="18"/>
                <w:szCs w:val="18"/>
              </w:rPr>
              <w:t>Koumbili</w:t>
            </w:r>
            <w:proofErr w:type="spellEnd"/>
          </w:p>
        </w:tc>
        <w:tc>
          <w:tcPr>
            <w:tcW w:w="1028" w:type="dxa"/>
            <w:tcBorders>
              <w:top w:val="single" w:sz="4" w:space="0" w:color="auto"/>
              <w:left w:val="single" w:sz="4" w:space="0" w:color="auto"/>
              <w:bottom w:val="single" w:sz="4" w:space="0" w:color="auto"/>
              <w:right w:val="single" w:sz="4" w:space="0" w:color="auto"/>
            </w:tcBorders>
            <w:hideMark/>
          </w:tcPr>
          <w:p w14:paraId="54131A0D" w14:textId="77777777" w:rsidR="00302BFE" w:rsidRDefault="00302BFE" w:rsidP="00243B15">
            <w:pPr>
              <w:spacing w:after="0"/>
              <w:rPr>
                <w:sz w:val="18"/>
                <w:szCs w:val="18"/>
              </w:rPr>
            </w:pPr>
            <w:r>
              <w:rPr>
                <w:sz w:val="18"/>
                <w:szCs w:val="18"/>
              </w:rPr>
              <w:t>5,820</w:t>
            </w:r>
          </w:p>
        </w:tc>
        <w:tc>
          <w:tcPr>
            <w:tcW w:w="1410" w:type="dxa"/>
            <w:tcBorders>
              <w:top w:val="single" w:sz="4" w:space="0" w:color="auto"/>
              <w:left w:val="single" w:sz="4" w:space="0" w:color="auto"/>
              <w:bottom w:val="single" w:sz="4" w:space="0" w:color="auto"/>
              <w:right w:val="single" w:sz="4" w:space="0" w:color="auto"/>
            </w:tcBorders>
            <w:hideMark/>
          </w:tcPr>
          <w:p w14:paraId="7BDB4826" w14:textId="77777777" w:rsidR="00302BFE" w:rsidRDefault="00302BFE" w:rsidP="00243B15">
            <w:pPr>
              <w:spacing w:after="0"/>
              <w:rPr>
                <w:sz w:val="18"/>
                <w:szCs w:val="18"/>
              </w:rPr>
            </w:pPr>
            <w:r>
              <w:rPr>
                <w:sz w:val="18"/>
                <w:szCs w:val="18"/>
              </w:rPr>
              <w:t>ZOVIC</w:t>
            </w:r>
          </w:p>
        </w:tc>
        <w:tc>
          <w:tcPr>
            <w:tcW w:w="805" w:type="dxa"/>
            <w:tcBorders>
              <w:top w:val="single" w:sz="4" w:space="0" w:color="auto"/>
              <w:left w:val="single" w:sz="4" w:space="0" w:color="auto"/>
              <w:bottom w:val="single" w:sz="4" w:space="0" w:color="auto"/>
              <w:right w:val="single" w:sz="4" w:space="0" w:color="auto"/>
            </w:tcBorders>
            <w:hideMark/>
          </w:tcPr>
          <w:p w14:paraId="266BDB6F" w14:textId="77777777" w:rsidR="00302BFE" w:rsidRDefault="00302BFE" w:rsidP="00243B15">
            <w:pPr>
              <w:spacing w:after="0"/>
              <w:rPr>
                <w:sz w:val="18"/>
                <w:szCs w:val="18"/>
              </w:rPr>
            </w:pPr>
            <w:r>
              <w:rPr>
                <w:sz w:val="18"/>
                <w:szCs w:val="18"/>
              </w:rPr>
              <w:t>VI</w:t>
            </w:r>
          </w:p>
        </w:tc>
        <w:tc>
          <w:tcPr>
            <w:tcW w:w="1019" w:type="dxa"/>
            <w:tcBorders>
              <w:top w:val="single" w:sz="4" w:space="0" w:color="auto"/>
              <w:left w:val="single" w:sz="4" w:space="0" w:color="auto"/>
              <w:bottom w:val="single" w:sz="4" w:space="0" w:color="auto"/>
              <w:right w:val="single" w:sz="4" w:space="0" w:color="auto"/>
            </w:tcBorders>
            <w:hideMark/>
          </w:tcPr>
          <w:p w14:paraId="12CDEE18" w14:textId="77777777" w:rsidR="00302BFE" w:rsidRDefault="00302BFE" w:rsidP="00243B15">
            <w:pPr>
              <w:spacing w:after="0"/>
              <w:rPr>
                <w:sz w:val="16"/>
                <w:szCs w:val="16"/>
              </w:rPr>
            </w:pPr>
            <w:r>
              <w:rPr>
                <w:sz w:val="16"/>
                <w:szCs w:val="16"/>
              </w:rPr>
              <w:t>CVGF</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33CE1D" w14:textId="77777777" w:rsidR="00302BFE" w:rsidRDefault="00302BFE" w:rsidP="00243B15">
            <w:pPr>
              <w:spacing w:after="0"/>
              <w:jc w:val="left"/>
              <w:rPr>
                <w:sz w:val="18"/>
                <w:szCs w:val="18"/>
                <w:lang w:val="fr-CA"/>
              </w:rPr>
            </w:pPr>
          </w:p>
        </w:tc>
        <w:tc>
          <w:tcPr>
            <w:tcW w:w="963" w:type="dxa"/>
            <w:tcBorders>
              <w:top w:val="single" w:sz="4" w:space="0" w:color="auto"/>
              <w:left w:val="single" w:sz="4" w:space="0" w:color="auto"/>
              <w:bottom w:val="single" w:sz="4" w:space="0" w:color="auto"/>
              <w:right w:val="single" w:sz="4" w:space="0" w:color="auto"/>
            </w:tcBorders>
            <w:hideMark/>
          </w:tcPr>
          <w:p w14:paraId="3B76D546" w14:textId="77777777" w:rsidR="00302BFE" w:rsidRDefault="00302BFE" w:rsidP="00243B15">
            <w:pPr>
              <w:spacing w:after="0"/>
              <w:rPr>
                <w:sz w:val="16"/>
                <w:szCs w:val="16"/>
              </w:rPr>
            </w:pPr>
            <w:r>
              <w:rPr>
                <w:sz w:val="16"/>
                <w:szCs w:val="16"/>
              </w:rPr>
              <w:t>Created 1989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E0B4BF" w14:textId="77777777" w:rsidR="00302BFE" w:rsidRDefault="00302BFE" w:rsidP="00243B15">
            <w:pPr>
              <w:spacing w:after="0"/>
              <w:jc w:val="left"/>
              <w:rPr>
                <w:sz w:val="16"/>
                <w:szCs w:val="16"/>
                <w:lang w:val="fr-CA"/>
              </w:rPr>
            </w:pPr>
          </w:p>
        </w:tc>
      </w:tr>
      <w:tr w:rsidR="00302BFE" w14:paraId="17A31B76"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1D958767" w14:textId="77777777" w:rsidR="00302BFE" w:rsidRDefault="00302BFE" w:rsidP="00243B15">
            <w:pPr>
              <w:spacing w:after="0"/>
              <w:rPr>
                <w:sz w:val="18"/>
                <w:szCs w:val="18"/>
              </w:rPr>
            </w:pPr>
            <w:proofErr w:type="spellStart"/>
            <w:r>
              <w:rPr>
                <w:sz w:val="18"/>
                <w:szCs w:val="18"/>
              </w:rPr>
              <w:t>Kountioro</w:t>
            </w:r>
            <w:proofErr w:type="spellEnd"/>
          </w:p>
        </w:tc>
        <w:tc>
          <w:tcPr>
            <w:tcW w:w="1028" w:type="dxa"/>
            <w:tcBorders>
              <w:top w:val="single" w:sz="4" w:space="0" w:color="auto"/>
              <w:left w:val="single" w:sz="4" w:space="0" w:color="auto"/>
              <w:bottom w:val="single" w:sz="4" w:space="0" w:color="auto"/>
              <w:right w:val="single" w:sz="4" w:space="0" w:color="auto"/>
            </w:tcBorders>
            <w:hideMark/>
          </w:tcPr>
          <w:p w14:paraId="0C784CB1" w14:textId="77777777" w:rsidR="00302BFE" w:rsidRDefault="00302BFE" w:rsidP="00243B15">
            <w:pPr>
              <w:spacing w:after="0"/>
              <w:rPr>
                <w:sz w:val="18"/>
                <w:szCs w:val="18"/>
              </w:rPr>
            </w:pPr>
            <w:r>
              <w:rPr>
                <w:sz w:val="18"/>
                <w:szCs w:val="18"/>
              </w:rPr>
              <w:t>2,257</w:t>
            </w:r>
          </w:p>
        </w:tc>
        <w:tc>
          <w:tcPr>
            <w:tcW w:w="1410" w:type="dxa"/>
            <w:tcBorders>
              <w:top w:val="single" w:sz="4" w:space="0" w:color="auto"/>
              <w:left w:val="single" w:sz="4" w:space="0" w:color="auto"/>
              <w:bottom w:val="single" w:sz="4" w:space="0" w:color="auto"/>
              <w:right w:val="single" w:sz="4" w:space="0" w:color="auto"/>
            </w:tcBorders>
            <w:hideMark/>
          </w:tcPr>
          <w:p w14:paraId="7E22E6B5" w14:textId="77777777" w:rsidR="00302BFE" w:rsidRDefault="00302BFE" w:rsidP="00243B15">
            <w:pPr>
              <w:spacing w:after="0"/>
              <w:rPr>
                <w:sz w:val="18"/>
                <w:szCs w:val="18"/>
              </w:rPr>
            </w:pPr>
            <w:r>
              <w:rPr>
                <w:sz w:val="18"/>
                <w:szCs w:val="18"/>
              </w:rPr>
              <w:t>ZOVIC</w:t>
            </w:r>
          </w:p>
        </w:tc>
        <w:tc>
          <w:tcPr>
            <w:tcW w:w="805" w:type="dxa"/>
            <w:tcBorders>
              <w:top w:val="single" w:sz="4" w:space="0" w:color="auto"/>
              <w:left w:val="single" w:sz="4" w:space="0" w:color="auto"/>
              <w:bottom w:val="single" w:sz="4" w:space="0" w:color="auto"/>
              <w:right w:val="single" w:sz="4" w:space="0" w:color="auto"/>
            </w:tcBorders>
            <w:hideMark/>
          </w:tcPr>
          <w:p w14:paraId="1BF9A7BD" w14:textId="77777777" w:rsidR="00302BFE" w:rsidRDefault="00302BFE" w:rsidP="00243B15">
            <w:pPr>
              <w:spacing w:after="0"/>
              <w:rPr>
                <w:sz w:val="18"/>
                <w:szCs w:val="18"/>
              </w:rPr>
            </w:pPr>
            <w:r>
              <w:rPr>
                <w:sz w:val="18"/>
                <w:szCs w:val="18"/>
              </w:rPr>
              <w:t>VI</w:t>
            </w:r>
          </w:p>
        </w:tc>
        <w:tc>
          <w:tcPr>
            <w:tcW w:w="1019" w:type="dxa"/>
            <w:tcBorders>
              <w:top w:val="single" w:sz="4" w:space="0" w:color="auto"/>
              <w:left w:val="single" w:sz="4" w:space="0" w:color="auto"/>
              <w:bottom w:val="single" w:sz="4" w:space="0" w:color="auto"/>
              <w:right w:val="single" w:sz="4" w:space="0" w:color="auto"/>
            </w:tcBorders>
            <w:hideMark/>
          </w:tcPr>
          <w:p w14:paraId="53A4CC69" w14:textId="77777777" w:rsidR="00302BFE" w:rsidRDefault="00302BFE" w:rsidP="00243B15">
            <w:pPr>
              <w:spacing w:after="0"/>
              <w:rPr>
                <w:sz w:val="16"/>
                <w:szCs w:val="16"/>
              </w:rPr>
            </w:pPr>
            <w:r>
              <w:rPr>
                <w:sz w:val="16"/>
                <w:szCs w:val="16"/>
              </w:rPr>
              <w:t>CVGF</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42AE4F" w14:textId="77777777" w:rsidR="00302BFE" w:rsidRDefault="00302BFE" w:rsidP="00243B15">
            <w:pPr>
              <w:spacing w:after="0"/>
              <w:jc w:val="left"/>
              <w:rPr>
                <w:sz w:val="18"/>
                <w:szCs w:val="18"/>
                <w:lang w:val="fr-CA"/>
              </w:rPr>
            </w:pPr>
          </w:p>
        </w:tc>
        <w:tc>
          <w:tcPr>
            <w:tcW w:w="963" w:type="dxa"/>
            <w:tcBorders>
              <w:top w:val="single" w:sz="4" w:space="0" w:color="auto"/>
              <w:left w:val="single" w:sz="4" w:space="0" w:color="auto"/>
              <w:bottom w:val="single" w:sz="4" w:space="0" w:color="auto"/>
              <w:right w:val="single" w:sz="4" w:space="0" w:color="auto"/>
            </w:tcBorders>
            <w:hideMark/>
          </w:tcPr>
          <w:p w14:paraId="3D26088E" w14:textId="77777777" w:rsidR="00302BFE" w:rsidRDefault="00302BFE" w:rsidP="00243B15">
            <w:pPr>
              <w:spacing w:after="0"/>
              <w:rPr>
                <w:sz w:val="16"/>
                <w:szCs w:val="16"/>
              </w:rPr>
            </w:pPr>
            <w:r>
              <w:rPr>
                <w:sz w:val="16"/>
                <w:szCs w:val="16"/>
              </w:rPr>
              <w:t>Created 1989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23132A" w14:textId="77777777" w:rsidR="00302BFE" w:rsidRDefault="00302BFE" w:rsidP="00243B15">
            <w:pPr>
              <w:spacing w:after="0"/>
              <w:jc w:val="left"/>
              <w:rPr>
                <w:sz w:val="16"/>
                <w:szCs w:val="16"/>
                <w:lang w:val="fr-CA"/>
              </w:rPr>
            </w:pPr>
          </w:p>
        </w:tc>
      </w:tr>
      <w:tr w:rsidR="00302BFE" w14:paraId="67BFD257"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6761323D" w14:textId="77777777" w:rsidR="00302BFE" w:rsidRDefault="00302BFE" w:rsidP="00243B15">
            <w:pPr>
              <w:spacing w:after="0"/>
              <w:rPr>
                <w:sz w:val="18"/>
                <w:szCs w:val="18"/>
              </w:rPr>
            </w:pPr>
            <w:proofErr w:type="spellStart"/>
            <w:r>
              <w:rPr>
                <w:sz w:val="18"/>
                <w:szCs w:val="18"/>
              </w:rPr>
              <w:t>Natiédougou</w:t>
            </w:r>
            <w:proofErr w:type="spellEnd"/>
          </w:p>
        </w:tc>
        <w:tc>
          <w:tcPr>
            <w:tcW w:w="1028" w:type="dxa"/>
            <w:tcBorders>
              <w:top w:val="single" w:sz="4" w:space="0" w:color="auto"/>
              <w:left w:val="single" w:sz="4" w:space="0" w:color="auto"/>
              <w:bottom w:val="single" w:sz="4" w:space="0" w:color="auto"/>
              <w:right w:val="single" w:sz="4" w:space="0" w:color="auto"/>
            </w:tcBorders>
            <w:hideMark/>
          </w:tcPr>
          <w:p w14:paraId="16D14D17" w14:textId="77777777" w:rsidR="00302BFE" w:rsidRDefault="00302BFE" w:rsidP="00243B15">
            <w:pPr>
              <w:spacing w:after="0"/>
              <w:rPr>
                <w:sz w:val="18"/>
                <w:szCs w:val="18"/>
              </w:rPr>
            </w:pPr>
            <w:r>
              <w:rPr>
                <w:sz w:val="18"/>
                <w:szCs w:val="18"/>
              </w:rPr>
              <w:t>544</w:t>
            </w:r>
          </w:p>
        </w:tc>
        <w:tc>
          <w:tcPr>
            <w:tcW w:w="1410" w:type="dxa"/>
            <w:tcBorders>
              <w:top w:val="single" w:sz="4" w:space="0" w:color="auto"/>
              <w:left w:val="single" w:sz="4" w:space="0" w:color="auto"/>
              <w:bottom w:val="single" w:sz="4" w:space="0" w:color="auto"/>
              <w:right w:val="single" w:sz="4" w:space="0" w:color="auto"/>
            </w:tcBorders>
            <w:hideMark/>
          </w:tcPr>
          <w:p w14:paraId="768739A7" w14:textId="77777777" w:rsidR="00302BFE" w:rsidRDefault="00302BFE" w:rsidP="00243B15">
            <w:pPr>
              <w:spacing w:after="0"/>
              <w:rPr>
                <w:sz w:val="18"/>
                <w:szCs w:val="18"/>
              </w:rPr>
            </w:pPr>
            <w:r>
              <w:rPr>
                <w:sz w:val="18"/>
                <w:szCs w:val="18"/>
              </w:rPr>
              <w:t>ZOVIC</w:t>
            </w:r>
          </w:p>
        </w:tc>
        <w:tc>
          <w:tcPr>
            <w:tcW w:w="805" w:type="dxa"/>
            <w:tcBorders>
              <w:top w:val="single" w:sz="4" w:space="0" w:color="auto"/>
              <w:left w:val="single" w:sz="4" w:space="0" w:color="auto"/>
              <w:bottom w:val="single" w:sz="4" w:space="0" w:color="auto"/>
              <w:right w:val="single" w:sz="4" w:space="0" w:color="auto"/>
            </w:tcBorders>
            <w:hideMark/>
          </w:tcPr>
          <w:p w14:paraId="3CBBB4C1" w14:textId="77777777" w:rsidR="00302BFE" w:rsidRDefault="00302BFE" w:rsidP="00243B15">
            <w:pPr>
              <w:spacing w:after="0"/>
              <w:rPr>
                <w:sz w:val="18"/>
                <w:szCs w:val="18"/>
              </w:rPr>
            </w:pPr>
            <w:r>
              <w:rPr>
                <w:sz w:val="18"/>
                <w:szCs w:val="18"/>
              </w:rPr>
              <w:t>VI</w:t>
            </w:r>
          </w:p>
        </w:tc>
        <w:tc>
          <w:tcPr>
            <w:tcW w:w="1019" w:type="dxa"/>
            <w:tcBorders>
              <w:top w:val="single" w:sz="4" w:space="0" w:color="auto"/>
              <w:left w:val="single" w:sz="4" w:space="0" w:color="auto"/>
              <w:bottom w:val="single" w:sz="4" w:space="0" w:color="auto"/>
              <w:right w:val="single" w:sz="4" w:space="0" w:color="auto"/>
            </w:tcBorders>
            <w:hideMark/>
          </w:tcPr>
          <w:p w14:paraId="081217F9" w14:textId="77777777" w:rsidR="00302BFE" w:rsidRDefault="00302BFE" w:rsidP="00243B15">
            <w:pPr>
              <w:spacing w:after="0"/>
              <w:rPr>
                <w:sz w:val="16"/>
                <w:szCs w:val="16"/>
              </w:rPr>
            </w:pPr>
            <w:r>
              <w:rPr>
                <w:sz w:val="16"/>
                <w:szCs w:val="16"/>
              </w:rPr>
              <w:t>CVGF</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2E665A" w14:textId="77777777" w:rsidR="00302BFE" w:rsidRDefault="00302BFE" w:rsidP="00243B15">
            <w:pPr>
              <w:spacing w:after="0"/>
              <w:jc w:val="left"/>
              <w:rPr>
                <w:sz w:val="18"/>
                <w:szCs w:val="18"/>
                <w:lang w:val="fr-CA"/>
              </w:rPr>
            </w:pPr>
          </w:p>
        </w:tc>
        <w:tc>
          <w:tcPr>
            <w:tcW w:w="963" w:type="dxa"/>
            <w:tcBorders>
              <w:top w:val="single" w:sz="4" w:space="0" w:color="auto"/>
              <w:left w:val="single" w:sz="4" w:space="0" w:color="auto"/>
              <w:bottom w:val="single" w:sz="4" w:space="0" w:color="auto"/>
              <w:right w:val="single" w:sz="4" w:space="0" w:color="auto"/>
            </w:tcBorders>
            <w:hideMark/>
          </w:tcPr>
          <w:p w14:paraId="44195BB1" w14:textId="77777777" w:rsidR="00302BFE" w:rsidRDefault="00302BFE" w:rsidP="00243B15">
            <w:pPr>
              <w:spacing w:after="0"/>
              <w:rPr>
                <w:sz w:val="16"/>
                <w:szCs w:val="16"/>
              </w:rPr>
            </w:pPr>
            <w:r>
              <w:rPr>
                <w:sz w:val="16"/>
                <w:szCs w:val="16"/>
              </w:rPr>
              <w:t>Created 1989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DF7CB4" w14:textId="77777777" w:rsidR="00302BFE" w:rsidRDefault="00302BFE" w:rsidP="00243B15">
            <w:pPr>
              <w:spacing w:after="0"/>
              <w:jc w:val="left"/>
              <w:rPr>
                <w:sz w:val="16"/>
                <w:szCs w:val="16"/>
                <w:lang w:val="fr-CA"/>
              </w:rPr>
            </w:pPr>
          </w:p>
        </w:tc>
      </w:tr>
      <w:tr w:rsidR="00302BFE" w14:paraId="5274FAB7"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44F54259" w14:textId="77777777" w:rsidR="00302BFE" w:rsidRDefault="00302BFE" w:rsidP="00243B15">
            <w:pPr>
              <w:spacing w:after="0"/>
              <w:rPr>
                <w:sz w:val="18"/>
                <w:szCs w:val="18"/>
              </w:rPr>
            </w:pPr>
            <w:proofErr w:type="spellStart"/>
            <w:r>
              <w:rPr>
                <w:sz w:val="18"/>
                <w:szCs w:val="18"/>
              </w:rPr>
              <w:t>Walem-Tiakané</w:t>
            </w:r>
            <w:proofErr w:type="spellEnd"/>
          </w:p>
        </w:tc>
        <w:tc>
          <w:tcPr>
            <w:tcW w:w="1028" w:type="dxa"/>
            <w:tcBorders>
              <w:top w:val="single" w:sz="4" w:space="0" w:color="auto"/>
              <w:left w:val="single" w:sz="4" w:space="0" w:color="auto"/>
              <w:bottom w:val="single" w:sz="4" w:space="0" w:color="auto"/>
              <w:right w:val="single" w:sz="4" w:space="0" w:color="auto"/>
            </w:tcBorders>
            <w:hideMark/>
          </w:tcPr>
          <w:p w14:paraId="0FFF3C02" w14:textId="77777777" w:rsidR="00302BFE" w:rsidRDefault="00302BFE" w:rsidP="00243B15">
            <w:pPr>
              <w:spacing w:after="0"/>
              <w:rPr>
                <w:sz w:val="18"/>
                <w:szCs w:val="18"/>
              </w:rPr>
            </w:pPr>
            <w:r>
              <w:rPr>
                <w:sz w:val="18"/>
                <w:szCs w:val="18"/>
              </w:rPr>
              <w:t>3195</w:t>
            </w:r>
          </w:p>
        </w:tc>
        <w:tc>
          <w:tcPr>
            <w:tcW w:w="1410" w:type="dxa"/>
            <w:tcBorders>
              <w:top w:val="single" w:sz="4" w:space="0" w:color="auto"/>
              <w:left w:val="single" w:sz="4" w:space="0" w:color="auto"/>
              <w:bottom w:val="single" w:sz="4" w:space="0" w:color="auto"/>
              <w:right w:val="single" w:sz="4" w:space="0" w:color="auto"/>
            </w:tcBorders>
            <w:hideMark/>
          </w:tcPr>
          <w:p w14:paraId="4DADCCE0" w14:textId="77777777" w:rsidR="00302BFE" w:rsidRDefault="00302BFE" w:rsidP="00243B15">
            <w:pPr>
              <w:spacing w:after="0"/>
              <w:rPr>
                <w:sz w:val="18"/>
                <w:szCs w:val="18"/>
              </w:rPr>
            </w:pPr>
            <w:r>
              <w:rPr>
                <w:sz w:val="18"/>
                <w:szCs w:val="18"/>
              </w:rPr>
              <w:t>ZOVIC</w:t>
            </w:r>
          </w:p>
        </w:tc>
        <w:tc>
          <w:tcPr>
            <w:tcW w:w="805" w:type="dxa"/>
            <w:tcBorders>
              <w:top w:val="single" w:sz="4" w:space="0" w:color="auto"/>
              <w:left w:val="single" w:sz="4" w:space="0" w:color="auto"/>
              <w:bottom w:val="single" w:sz="4" w:space="0" w:color="auto"/>
              <w:right w:val="single" w:sz="4" w:space="0" w:color="auto"/>
            </w:tcBorders>
            <w:hideMark/>
          </w:tcPr>
          <w:p w14:paraId="1F999767" w14:textId="77777777" w:rsidR="00302BFE" w:rsidRDefault="00302BFE" w:rsidP="00243B15">
            <w:pPr>
              <w:spacing w:after="0"/>
              <w:rPr>
                <w:sz w:val="18"/>
                <w:szCs w:val="18"/>
              </w:rPr>
            </w:pPr>
            <w:r>
              <w:rPr>
                <w:sz w:val="18"/>
                <w:szCs w:val="18"/>
              </w:rPr>
              <w:t>VI</w:t>
            </w:r>
          </w:p>
        </w:tc>
        <w:tc>
          <w:tcPr>
            <w:tcW w:w="1019" w:type="dxa"/>
            <w:tcBorders>
              <w:top w:val="single" w:sz="4" w:space="0" w:color="auto"/>
              <w:left w:val="single" w:sz="4" w:space="0" w:color="auto"/>
              <w:bottom w:val="single" w:sz="4" w:space="0" w:color="auto"/>
              <w:right w:val="single" w:sz="4" w:space="0" w:color="auto"/>
            </w:tcBorders>
            <w:hideMark/>
          </w:tcPr>
          <w:p w14:paraId="6251FEB7" w14:textId="77777777" w:rsidR="00302BFE" w:rsidRDefault="00302BFE" w:rsidP="00243B15">
            <w:pPr>
              <w:spacing w:after="0"/>
              <w:rPr>
                <w:sz w:val="16"/>
                <w:szCs w:val="16"/>
              </w:rPr>
            </w:pPr>
            <w:r>
              <w:rPr>
                <w:sz w:val="16"/>
                <w:szCs w:val="16"/>
              </w:rPr>
              <w:t>CVGF</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A5AA70" w14:textId="77777777" w:rsidR="00302BFE" w:rsidRDefault="00302BFE" w:rsidP="00243B15">
            <w:pPr>
              <w:spacing w:after="0"/>
              <w:jc w:val="left"/>
              <w:rPr>
                <w:sz w:val="18"/>
                <w:szCs w:val="18"/>
                <w:lang w:val="fr-CA"/>
              </w:rPr>
            </w:pPr>
          </w:p>
        </w:tc>
        <w:tc>
          <w:tcPr>
            <w:tcW w:w="963" w:type="dxa"/>
            <w:tcBorders>
              <w:top w:val="single" w:sz="4" w:space="0" w:color="auto"/>
              <w:left w:val="single" w:sz="4" w:space="0" w:color="auto"/>
              <w:bottom w:val="single" w:sz="4" w:space="0" w:color="auto"/>
              <w:right w:val="single" w:sz="4" w:space="0" w:color="auto"/>
            </w:tcBorders>
            <w:hideMark/>
          </w:tcPr>
          <w:p w14:paraId="34888379" w14:textId="77777777" w:rsidR="00302BFE" w:rsidRDefault="00302BFE" w:rsidP="00243B15">
            <w:pPr>
              <w:spacing w:after="0"/>
              <w:rPr>
                <w:sz w:val="16"/>
                <w:szCs w:val="16"/>
              </w:rPr>
            </w:pPr>
            <w:r>
              <w:rPr>
                <w:sz w:val="16"/>
                <w:szCs w:val="16"/>
              </w:rPr>
              <w:t>Created 1989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288B4D" w14:textId="77777777" w:rsidR="00302BFE" w:rsidRDefault="00302BFE" w:rsidP="00243B15">
            <w:pPr>
              <w:spacing w:after="0"/>
              <w:jc w:val="left"/>
              <w:rPr>
                <w:sz w:val="16"/>
                <w:szCs w:val="16"/>
                <w:lang w:val="fr-CA"/>
              </w:rPr>
            </w:pPr>
          </w:p>
        </w:tc>
      </w:tr>
      <w:tr w:rsidR="00302BFE" w14:paraId="65D55A89"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6CC30E20" w14:textId="77777777" w:rsidR="00302BFE" w:rsidRDefault="00302BFE" w:rsidP="00243B15">
            <w:pPr>
              <w:spacing w:after="0"/>
              <w:rPr>
                <w:sz w:val="18"/>
                <w:szCs w:val="18"/>
              </w:rPr>
            </w:pPr>
            <w:proofErr w:type="spellStart"/>
            <w:r>
              <w:rPr>
                <w:sz w:val="18"/>
                <w:szCs w:val="18"/>
              </w:rPr>
              <w:t>Saro</w:t>
            </w:r>
            <w:proofErr w:type="spellEnd"/>
          </w:p>
        </w:tc>
        <w:tc>
          <w:tcPr>
            <w:tcW w:w="1028" w:type="dxa"/>
            <w:tcBorders>
              <w:top w:val="single" w:sz="4" w:space="0" w:color="auto"/>
              <w:left w:val="single" w:sz="4" w:space="0" w:color="auto"/>
              <w:bottom w:val="single" w:sz="4" w:space="0" w:color="auto"/>
              <w:right w:val="single" w:sz="4" w:space="0" w:color="auto"/>
            </w:tcBorders>
            <w:hideMark/>
          </w:tcPr>
          <w:p w14:paraId="1201E50D" w14:textId="77777777" w:rsidR="00302BFE" w:rsidRDefault="00302BFE" w:rsidP="00243B15">
            <w:pPr>
              <w:spacing w:after="0"/>
              <w:rPr>
                <w:sz w:val="18"/>
                <w:szCs w:val="18"/>
              </w:rPr>
            </w:pPr>
            <w:r>
              <w:rPr>
                <w:sz w:val="18"/>
                <w:szCs w:val="18"/>
              </w:rPr>
              <w:t>853</w:t>
            </w:r>
          </w:p>
        </w:tc>
        <w:tc>
          <w:tcPr>
            <w:tcW w:w="1410" w:type="dxa"/>
            <w:tcBorders>
              <w:top w:val="single" w:sz="4" w:space="0" w:color="auto"/>
              <w:left w:val="single" w:sz="4" w:space="0" w:color="auto"/>
              <w:bottom w:val="single" w:sz="4" w:space="0" w:color="auto"/>
              <w:right w:val="single" w:sz="4" w:space="0" w:color="auto"/>
            </w:tcBorders>
            <w:hideMark/>
          </w:tcPr>
          <w:p w14:paraId="6DBCEE46" w14:textId="77777777" w:rsidR="00302BFE" w:rsidRDefault="00302BFE" w:rsidP="00243B15">
            <w:pPr>
              <w:spacing w:after="0"/>
              <w:rPr>
                <w:sz w:val="18"/>
                <w:szCs w:val="18"/>
              </w:rPr>
            </w:pPr>
            <w:r>
              <w:rPr>
                <w:sz w:val="18"/>
                <w:szCs w:val="18"/>
              </w:rPr>
              <w:t>ZOVIC</w:t>
            </w:r>
          </w:p>
        </w:tc>
        <w:tc>
          <w:tcPr>
            <w:tcW w:w="805" w:type="dxa"/>
            <w:tcBorders>
              <w:top w:val="single" w:sz="4" w:space="0" w:color="auto"/>
              <w:left w:val="single" w:sz="4" w:space="0" w:color="auto"/>
              <w:bottom w:val="single" w:sz="4" w:space="0" w:color="auto"/>
              <w:right w:val="single" w:sz="4" w:space="0" w:color="auto"/>
            </w:tcBorders>
            <w:hideMark/>
          </w:tcPr>
          <w:p w14:paraId="040DE95F" w14:textId="77777777" w:rsidR="00302BFE" w:rsidRDefault="00302BFE" w:rsidP="00243B15">
            <w:pPr>
              <w:spacing w:after="0"/>
              <w:rPr>
                <w:sz w:val="18"/>
                <w:szCs w:val="18"/>
              </w:rPr>
            </w:pPr>
            <w:r>
              <w:rPr>
                <w:sz w:val="18"/>
                <w:szCs w:val="18"/>
              </w:rPr>
              <w:t>VI</w:t>
            </w:r>
          </w:p>
        </w:tc>
        <w:tc>
          <w:tcPr>
            <w:tcW w:w="1019" w:type="dxa"/>
            <w:tcBorders>
              <w:top w:val="single" w:sz="4" w:space="0" w:color="auto"/>
              <w:left w:val="single" w:sz="4" w:space="0" w:color="auto"/>
              <w:bottom w:val="single" w:sz="4" w:space="0" w:color="auto"/>
              <w:right w:val="single" w:sz="4" w:space="0" w:color="auto"/>
            </w:tcBorders>
            <w:hideMark/>
          </w:tcPr>
          <w:p w14:paraId="24BE9165" w14:textId="77777777" w:rsidR="00302BFE" w:rsidRDefault="00302BFE" w:rsidP="00243B15">
            <w:pPr>
              <w:spacing w:after="0"/>
              <w:rPr>
                <w:sz w:val="16"/>
                <w:szCs w:val="16"/>
              </w:rPr>
            </w:pPr>
            <w:r>
              <w:rPr>
                <w:sz w:val="16"/>
                <w:szCs w:val="16"/>
              </w:rPr>
              <w:t>CVGF</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DC85CA" w14:textId="77777777" w:rsidR="00302BFE" w:rsidRDefault="00302BFE" w:rsidP="00243B15">
            <w:pPr>
              <w:spacing w:after="0"/>
              <w:jc w:val="left"/>
              <w:rPr>
                <w:sz w:val="18"/>
                <w:szCs w:val="18"/>
                <w:lang w:val="fr-CA"/>
              </w:rPr>
            </w:pPr>
          </w:p>
        </w:tc>
        <w:tc>
          <w:tcPr>
            <w:tcW w:w="963" w:type="dxa"/>
            <w:tcBorders>
              <w:top w:val="single" w:sz="4" w:space="0" w:color="auto"/>
              <w:left w:val="single" w:sz="4" w:space="0" w:color="auto"/>
              <w:bottom w:val="single" w:sz="4" w:space="0" w:color="auto"/>
              <w:right w:val="single" w:sz="4" w:space="0" w:color="auto"/>
            </w:tcBorders>
            <w:hideMark/>
          </w:tcPr>
          <w:p w14:paraId="500575C4" w14:textId="77777777" w:rsidR="00302BFE" w:rsidRDefault="00302BFE" w:rsidP="00243B15">
            <w:pPr>
              <w:spacing w:after="0"/>
              <w:rPr>
                <w:sz w:val="16"/>
                <w:szCs w:val="16"/>
              </w:rPr>
            </w:pPr>
            <w:r>
              <w:rPr>
                <w:sz w:val="16"/>
                <w:szCs w:val="16"/>
              </w:rPr>
              <w:t>Created 1989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83C2CE" w14:textId="77777777" w:rsidR="00302BFE" w:rsidRDefault="00302BFE" w:rsidP="00243B15">
            <w:pPr>
              <w:spacing w:after="0"/>
              <w:jc w:val="left"/>
              <w:rPr>
                <w:sz w:val="16"/>
                <w:szCs w:val="16"/>
                <w:lang w:val="fr-CA"/>
              </w:rPr>
            </w:pPr>
          </w:p>
        </w:tc>
      </w:tr>
      <w:tr w:rsidR="00302BFE" w14:paraId="4E9F9DDE"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hideMark/>
          </w:tcPr>
          <w:p w14:paraId="44FF23CB" w14:textId="77777777" w:rsidR="00302BFE" w:rsidRDefault="00302BFE" w:rsidP="00243B15">
            <w:pPr>
              <w:spacing w:after="0"/>
              <w:rPr>
                <w:sz w:val="18"/>
                <w:szCs w:val="18"/>
              </w:rPr>
            </w:pPr>
            <w:proofErr w:type="spellStart"/>
            <w:r>
              <w:rPr>
                <w:sz w:val="18"/>
                <w:szCs w:val="18"/>
              </w:rPr>
              <w:t>Sya</w:t>
            </w:r>
            <w:proofErr w:type="spellEnd"/>
          </w:p>
        </w:tc>
        <w:tc>
          <w:tcPr>
            <w:tcW w:w="1028" w:type="dxa"/>
            <w:tcBorders>
              <w:top w:val="single" w:sz="4" w:space="0" w:color="auto"/>
              <w:left w:val="single" w:sz="4" w:space="0" w:color="auto"/>
              <w:bottom w:val="single" w:sz="4" w:space="0" w:color="auto"/>
              <w:right w:val="single" w:sz="4" w:space="0" w:color="auto"/>
            </w:tcBorders>
            <w:hideMark/>
          </w:tcPr>
          <w:p w14:paraId="0B0CFD6A" w14:textId="77777777" w:rsidR="00302BFE" w:rsidRDefault="00302BFE" w:rsidP="00243B15">
            <w:pPr>
              <w:spacing w:after="0"/>
              <w:rPr>
                <w:sz w:val="18"/>
                <w:szCs w:val="18"/>
              </w:rPr>
            </w:pPr>
            <w:r>
              <w:rPr>
                <w:sz w:val="18"/>
                <w:szCs w:val="18"/>
              </w:rPr>
              <w:t>1,265</w:t>
            </w:r>
          </w:p>
        </w:tc>
        <w:tc>
          <w:tcPr>
            <w:tcW w:w="1410" w:type="dxa"/>
            <w:tcBorders>
              <w:top w:val="single" w:sz="4" w:space="0" w:color="auto"/>
              <w:left w:val="single" w:sz="4" w:space="0" w:color="auto"/>
              <w:bottom w:val="single" w:sz="4" w:space="0" w:color="auto"/>
              <w:right w:val="single" w:sz="4" w:space="0" w:color="auto"/>
            </w:tcBorders>
            <w:hideMark/>
          </w:tcPr>
          <w:p w14:paraId="0C6276BF" w14:textId="77777777" w:rsidR="00302BFE" w:rsidRDefault="00302BFE" w:rsidP="00243B15">
            <w:pPr>
              <w:spacing w:after="0"/>
              <w:rPr>
                <w:sz w:val="18"/>
                <w:szCs w:val="18"/>
              </w:rPr>
            </w:pPr>
            <w:r>
              <w:rPr>
                <w:sz w:val="18"/>
                <w:szCs w:val="18"/>
              </w:rPr>
              <w:t>ZOVIC</w:t>
            </w:r>
          </w:p>
        </w:tc>
        <w:tc>
          <w:tcPr>
            <w:tcW w:w="805" w:type="dxa"/>
            <w:tcBorders>
              <w:top w:val="single" w:sz="4" w:space="0" w:color="auto"/>
              <w:left w:val="single" w:sz="4" w:space="0" w:color="auto"/>
              <w:bottom w:val="single" w:sz="4" w:space="0" w:color="auto"/>
              <w:right w:val="single" w:sz="4" w:space="0" w:color="auto"/>
            </w:tcBorders>
            <w:hideMark/>
          </w:tcPr>
          <w:p w14:paraId="38722972" w14:textId="77777777" w:rsidR="00302BFE" w:rsidRDefault="00302BFE" w:rsidP="00243B15">
            <w:pPr>
              <w:spacing w:after="0"/>
              <w:rPr>
                <w:sz w:val="18"/>
                <w:szCs w:val="18"/>
              </w:rPr>
            </w:pPr>
            <w:r>
              <w:rPr>
                <w:sz w:val="18"/>
                <w:szCs w:val="18"/>
              </w:rPr>
              <w:t>VI</w:t>
            </w:r>
          </w:p>
        </w:tc>
        <w:tc>
          <w:tcPr>
            <w:tcW w:w="1019" w:type="dxa"/>
            <w:tcBorders>
              <w:top w:val="single" w:sz="4" w:space="0" w:color="auto"/>
              <w:left w:val="single" w:sz="4" w:space="0" w:color="auto"/>
              <w:bottom w:val="single" w:sz="4" w:space="0" w:color="auto"/>
              <w:right w:val="single" w:sz="4" w:space="0" w:color="auto"/>
            </w:tcBorders>
            <w:hideMark/>
          </w:tcPr>
          <w:p w14:paraId="0EACCCC3" w14:textId="77777777" w:rsidR="00302BFE" w:rsidRDefault="00302BFE" w:rsidP="00243B15">
            <w:pPr>
              <w:spacing w:after="0"/>
              <w:rPr>
                <w:sz w:val="16"/>
                <w:szCs w:val="16"/>
              </w:rPr>
            </w:pPr>
            <w:r>
              <w:rPr>
                <w:sz w:val="16"/>
                <w:szCs w:val="16"/>
              </w:rPr>
              <w:t>CVGF</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382038" w14:textId="77777777" w:rsidR="00302BFE" w:rsidRDefault="00302BFE" w:rsidP="00243B15">
            <w:pPr>
              <w:spacing w:after="0"/>
              <w:jc w:val="left"/>
              <w:rPr>
                <w:sz w:val="18"/>
                <w:szCs w:val="18"/>
                <w:lang w:val="fr-CA"/>
              </w:rPr>
            </w:pPr>
          </w:p>
        </w:tc>
        <w:tc>
          <w:tcPr>
            <w:tcW w:w="963" w:type="dxa"/>
            <w:tcBorders>
              <w:top w:val="single" w:sz="4" w:space="0" w:color="auto"/>
              <w:left w:val="single" w:sz="4" w:space="0" w:color="auto"/>
              <w:bottom w:val="single" w:sz="4" w:space="0" w:color="auto"/>
              <w:right w:val="single" w:sz="4" w:space="0" w:color="auto"/>
            </w:tcBorders>
            <w:hideMark/>
          </w:tcPr>
          <w:p w14:paraId="0238D3D9" w14:textId="77777777" w:rsidR="00302BFE" w:rsidRDefault="00302BFE" w:rsidP="00243B15">
            <w:pPr>
              <w:spacing w:after="0"/>
              <w:rPr>
                <w:sz w:val="16"/>
                <w:szCs w:val="16"/>
              </w:rPr>
            </w:pPr>
            <w:r>
              <w:rPr>
                <w:sz w:val="16"/>
                <w:szCs w:val="16"/>
              </w:rPr>
              <w:t>Created 1989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23D498" w14:textId="77777777" w:rsidR="00302BFE" w:rsidRDefault="00302BFE" w:rsidP="00243B15">
            <w:pPr>
              <w:spacing w:after="0"/>
              <w:jc w:val="left"/>
              <w:rPr>
                <w:sz w:val="16"/>
                <w:szCs w:val="16"/>
                <w:lang w:val="fr-CA"/>
              </w:rPr>
            </w:pPr>
          </w:p>
        </w:tc>
      </w:tr>
      <w:tr w:rsidR="00302BFE" w14:paraId="15A683C6"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shd w:val="clear" w:color="auto" w:fill="D0CECE"/>
            <w:hideMark/>
          </w:tcPr>
          <w:p w14:paraId="5C78258A" w14:textId="77777777" w:rsidR="00302BFE" w:rsidRPr="007F697D" w:rsidRDefault="00302BFE" w:rsidP="00243B15">
            <w:pPr>
              <w:spacing w:after="0"/>
              <w:rPr>
                <w:b/>
                <w:sz w:val="17"/>
                <w:szCs w:val="17"/>
              </w:rPr>
            </w:pPr>
            <w:r w:rsidRPr="007F697D">
              <w:rPr>
                <w:b/>
                <w:sz w:val="17"/>
                <w:szCs w:val="17"/>
              </w:rPr>
              <w:t>Total area ZOVICs</w:t>
            </w:r>
          </w:p>
        </w:tc>
        <w:tc>
          <w:tcPr>
            <w:tcW w:w="1028" w:type="dxa"/>
            <w:tcBorders>
              <w:top w:val="single" w:sz="4" w:space="0" w:color="auto"/>
              <w:left w:val="single" w:sz="4" w:space="0" w:color="auto"/>
              <w:bottom w:val="single" w:sz="4" w:space="0" w:color="auto"/>
              <w:right w:val="single" w:sz="4" w:space="0" w:color="auto"/>
            </w:tcBorders>
            <w:shd w:val="clear" w:color="auto" w:fill="D0CECE"/>
            <w:hideMark/>
          </w:tcPr>
          <w:p w14:paraId="0844FB73" w14:textId="77777777" w:rsidR="00302BFE" w:rsidRDefault="00302BFE" w:rsidP="00243B15">
            <w:pPr>
              <w:spacing w:after="0"/>
              <w:rPr>
                <w:b/>
                <w:sz w:val="18"/>
                <w:szCs w:val="18"/>
              </w:rPr>
            </w:pPr>
            <w:r>
              <w:rPr>
                <w:b/>
                <w:sz w:val="18"/>
                <w:szCs w:val="18"/>
              </w:rPr>
              <w:t>24,281</w:t>
            </w:r>
          </w:p>
        </w:tc>
        <w:tc>
          <w:tcPr>
            <w:tcW w:w="6331" w:type="dxa"/>
            <w:gridSpan w:val="6"/>
            <w:tcBorders>
              <w:top w:val="single" w:sz="4" w:space="0" w:color="auto"/>
              <w:left w:val="single" w:sz="4" w:space="0" w:color="auto"/>
              <w:bottom w:val="single" w:sz="4" w:space="0" w:color="auto"/>
              <w:right w:val="single" w:sz="4" w:space="0" w:color="auto"/>
            </w:tcBorders>
          </w:tcPr>
          <w:p w14:paraId="596F15DC" w14:textId="77777777" w:rsidR="00302BFE" w:rsidRDefault="00302BFE" w:rsidP="00243B15">
            <w:pPr>
              <w:spacing w:after="0"/>
              <w:rPr>
                <w:sz w:val="18"/>
                <w:szCs w:val="18"/>
              </w:rPr>
            </w:pPr>
          </w:p>
        </w:tc>
      </w:tr>
      <w:tr w:rsidR="00302BFE" w14:paraId="1B169016" w14:textId="77777777" w:rsidTr="00243B15">
        <w:trPr>
          <w:jc w:val="center"/>
        </w:trPr>
        <w:tc>
          <w:tcPr>
            <w:tcW w:w="1271" w:type="dxa"/>
            <w:tcBorders>
              <w:top w:val="single" w:sz="4" w:space="0" w:color="auto"/>
              <w:left w:val="single" w:sz="4" w:space="0" w:color="auto"/>
              <w:bottom w:val="single" w:sz="4" w:space="0" w:color="auto"/>
              <w:right w:val="single" w:sz="4" w:space="0" w:color="auto"/>
            </w:tcBorders>
            <w:shd w:val="clear" w:color="auto" w:fill="D9D9D9"/>
            <w:hideMark/>
          </w:tcPr>
          <w:p w14:paraId="3019F728" w14:textId="77777777" w:rsidR="00302BFE" w:rsidRDefault="00302BFE" w:rsidP="00243B15">
            <w:pPr>
              <w:spacing w:after="0"/>
              <w:rPr>
                <w:b/>
                <w:sz w:val="18"/>
                <w:szCs w:val="18"/>
              </w:rPr>
            </w:pPr>
            <w:r>
              <w:rPr>
                <w:b/>
                <w:sz w:val="18"/>
                <w:szCs w:val="18"/>
              </w:rPr>
              <w:t>Total area PAs</w:t>
            </w:r>
          </w:p>
        </w:tc>
        <w:tc>
          <w:tcPr>
            <w:tcW w:w="1028" w:type="dxa"/>
            <w:tcBorders>
              <w:top w:val="single" w:sz="4" w:space="0" w:color="auto"/>
              <w:left w:val="single" w:sz="4" w:space="0" w:color="auto"/>
              <w:bottom w:val="single" w:sz="4" w:space="0" w:color="auto"/>
              <w:right w:val="single" w:sz="4" w:space="0" w:color="auto"/>
            </w:tcBorders>
            <w:shd w:val="clear" w:color="auto" w:fill="D9D9D9"/>
            <w:hideMark/>
          </w:tcPr>
          <w:p w14:paraId="6F2B8428" w14:textId="77777777" w:rsidR="00302BFE" w:rsidRDefault="00302BFE" w:rsidP="00243B15">
            <w:pPr>
              <w:spacing w:after="0"/>
              <w:rPr>
                <w:b/>
                <w:sz w:val="18"/>
                <w:szCs w:val="18"/>
              </w:rPr>
            </w:pPr>
            <w:r>
              <w:rPr>
                <w:b/>
                <w:sz w:val="18"/>
                <w:szCs w:val="18"/>
              </w:rPr>
              <w:t>354,781</w:t>
            </w:r>
          </w:p>
        </w:tc>
        <w:tc>
          <w:tcPr>
            <w:tcW w:w="1410" w:type="dxa"/>
            <w:tcBorders>
              <w:top w:val="single" w:sz="4" w:space="0" w:color="auto"/>
              <w:left w:val="single" w:sz="4" w:space="0" w:color="auto"/>
              <w:bottom w:val="single" w:sz="4" w:space="0" w:color="auto"/>
              <w:right w:val="single" w:sz="4" w:space="0" w:color="auto"/>
            </w:tcBorders>
          </w:tcPr>
          <w:p w14:paraId="7379EF6F" w14:textId="77777777" w:rsidR="00302BFE" w:rsidRDefault="00302BFE" w:rsidP="00243B15">
            <w:pPr>
              <w:spacing w:after="0"/>
              <w:rPr>
                <w:sz w:val="18"/>
                <w:szCs w:val="18"/>
              </w:rPr>
            </w:pPr>
          </w:p>
        </w:tc>
        <w:tc>
          <w:tcPr>
            <w:tcW w:w="805" w:type="dxa"/>
            <w:tcBorders>
              <w:top w:val="single" w:sz="4" w:space="0" w:color="auto"/>
              <w:left w:val="single" w:sz="4" w:space="0" w:color="auto"/>
              <w:bottom w:val="single" w:sz="4" w:space="0" w:color="auto"/>
              <w:right w:val="single" w:sz="4" w:space="0" w:color="auto"/>
            </w:tcBorders>
          </w:tcPr>
          <w:p w14:paraId="27E36DBC" w14:textId="77777777" w:rsidR="00302BFE" w:rsidRDefault="00302BFE" w:rsidP="00243B15">
            <w:pPr>
              <w:spacing w:after="0"/>
              <w:rPr>
                <w:sz w:val="18"/>
                <w:szCs w:val="18"/>
              </w:rPr>
            </w:pPr>
          </w:p>
        </w:tc>
        <w:tc>
          <w:tcPr>
            <w:tcW w:w="1019" w:type="dxa"/>
            <w:tcBorders>
              <w:top w:val="single" w:sz="4" w:space="0" w:color="auto"/>
              <w:left w:val="single" w:sz="4" w:space="0" w:color="auto"/>
              <w:bottom w:val="single" w:sz="4" w:space="0" w:color="auto"/>
              <w:right w:val="single" w:sz="4" w:space="0" w:color="auto"/>
            </w:tcBorders>
          </w:tcPr>
          <w:p w14:paraId="5AF59B3D" w14:textId="77777777" w:rsidR="00302BFE" w:rsidRDefault="00302BFE" w:rsidP="00243B15">
            <w:pPr>
              <w:spacing w:after="0"/>
              <w:rPr>
                <w:sz w:val="18"/>
                <w:szCs w:val="18"/>
                <w:lang w:val="en-CA"/>
              </w:rPr>
            </w:pPr>
          </w:p>
        </w:tc>
        <w:tc>
          <w:tcPr>
            <w:tcW w:w="1075" w:type="dxa"/>
            <w:tcBorders>
              <w:top w:val="single" w:sz="4" w:space="0" w:color="auto"/>
              <w:left w:val="single" w:sz="4" w:space="0" w:color="auto"/>
              <w:bottom w:val="single" w:sz="4" w:space="0" w:color="auto"/>
              <w:right w:val="single" w:sz="4" w:space="0" w:color="auto"/>
            </w:tcBorders>
          </w:tcPr>
          <w:p w14:paraId="1B515A1D" w14:textId="77777777" w:rsidR="00302BFE" w:rsidRDefault="00302BFE" w:rsidP="00243B15">
            <w:pPr>
              <w:spacing w:after="0"/>
              <w:rPr>
                <w:sz w:val="18"/>
                <w:szCs w:val="18"/>
                <w:lang w:val="en-CA"/>
              </w:rPr>
            </w:pPr>
          </w:p>
        </w:tc>
        <w:tc>
          <w:tcPr>
            <w:tcW w:w="963" w:type="dxa"/>
            <w:tcBorders>
              <w:top w:val="single" w:sz="4" w:space="0" w:color="auto"/>
              <w:left w:val="single" w:sz="4" w:space="0" w:color="auto"/>
              <w:bottom w:val="single" w:sz="4" w:space="0" w:color="auto"/>
              <w:right w:val="single" w:sz="4" w:space="0" w:color="auto"/>
            </w:tcBorders>
          </w:tcPr>
          <w:p w14:paraId="1AFAD40B" w14:textId="77777777" w:rsidR="00302BFE" w:rsidRDefault="00302BFE" w:rsidP="00243B15">
            <w:pPr>
              <w:spacing w:after="0"/>
              <w:rPr>
                <w:sz w:val="18"/>
                <w:szCs w:val="18"/>
                <w:lang w:val="en-CA"/>
              </w:rPr>
            </w:pPr>
          </w:p>
        </w:tc>
        <w:tc>
          <w:tcPr>
            <w:tcW w:w="1059" w:type="dxa"/>
            <w:tcBorders>
              <w:top w:val="single" w:sz="4" w:space="0" w:color="auto"/>
              <w:left w:val="single" w:sz="4" w:space="0" w:color="auto"/>
              <w:bottom w:val="single" w:sz="4" w:space="0" w:color="auto"/>
              <w:right w:val="single" w:sz="4" w:space="0" w:color="auto"/>
            </w:tcBorders>
          </w:tcPr>
          <w:p w14:paraId="23A564BE" w14:textId="77777777" w:rsidR="00302BFE" w:rsidRDefault="00302BFE" w:rsidP="00243B15">
            <w:pPr>
              <w:spacing w:after="0"/>
              <w:rPr>
                <w:sz w:val="18"/>
                <w:szCs w:val="18"/>
                <w:lang w:val="en-CA"/>
              </w:rPr>
            </w:pPr>
          </w:p>
        </w:tc>
      </w:tr>
    </w:tbl>
    <w:p w14:paraId="4BA26546" w14:textId="77777777" w:rsidR="00302BFE" w:rsidRDefault="00302BFE" w:rsidP="00302BFE">
      <w:pPr>
        <w:rPr>
          <w:lang w:val="en-CA"/>
        </w:rPr>
      </w:pPr>
    </w:p>
    <w:p w14:paraId="3013FAA2" w14:textId="77777777" w:rsidR="00302BFE" w:rsidRDefault="00302BFE" w:rsidP="00302BFE">
      <w:pPr>
        <w:spacing w:before="240" w:after="120"/>
        <w:rPr>
          <w:sz w:val="22"/>
          <w:szCs w:val="22"/>
          <w:lang w:val="fr-CA"/>
        </w:rPr>
      </w:pPr>
      <w:r>
        <w:rPr>
          <w:b/>
          <w:lang w:val="fr-CA"/>
        </w:rPr>
        <w:t xml:space="preserve">Table b. </w:t>
      </w:r>
      <w:r w:rsidRPr="00432006">
        <w:rPr>
          <w:b/>
          <w:lang w:val="fr-CA"/>
        </w:rPr>
        <w:t xml:space="preserve">Community management zones for </w:t>
      </w:r>
      <w:proofErr w:type="spellStart"/>
      <w:r w:rsidRPr="00432006">
        <w:rPr>
          <w:b/>
          <w:lang w:val="fr-CA"/>
        </w:rPr>
        <w:t>natural</w:t>
      </w:r>
      <w:proofErr w:type="spellEnd"/>
      <w:r w:rsidRPr="00432006">
        <w:rPr>
          <w:b/>
          <w:lang w:val="fr-CA"/>
        </w:rPr>
        <w:t xml:space="preserve"> </w:t>
      </w:r>
      <w:proofErr w:type="spellStart"/>
      <w:r w:rsidRPr="00432006">
        <w:rPr>
          <w:b/>
          <w:lang w:val="fr-CA"/>
        </w:rPr>
        <w:t>resources</w:t>
      </w:r>
      <w:proofErr w:type="spellEnd"/>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1391"/>
        <w:gridCol w:w="1739"/>
        <w:gridCol w:w="1564"/>
        <w:gridCol w:w="1565"/>
        <w:gridCol w:w="1565"/>
      </w:tblGrid>
      <w:tr w:rsidR="00302BFE" w14:paraId="5315D677" w14:textId="77777777" w:rsidTr="00243B15">
        <w:trPr>
          <w:tblHeader/>
          <w:jc w:val="center"/>
        </w:trPr>
        <w:tc>
          <w:tcPr>
            <w:tcW w:w="2405" w:type="dxa"/>
            <w:tcBorders>
              <w:top w:val="single" w:sz="4" w:space="0" w:color="auto"/>
              <w:left w:val="single" w:sz="4" w:space="0" w:color="auto"/>
              <w:bottom w:val="single" w:sz="4" w:space="0" w:color="auto"/>
              <w:right w:val="single" w:sz="4" w:space="0" w:color="auto"/>
            </w:tcBorders>
            <w:shd w:val="clear" w:color="auto" w:fill="FFF2CC"/>
            <w:hideMark/>
          </w:tcPr>
          <w:p w14:paraId="0982E847" w14:textId="77777777" w:rsidR="00302BFE" w:rsidRDefault="00302BFE" w:rsidP="00243B15">
            <w:pPr>
              <w:spacing w:after="0"/>
              <w:rPr>
                <w:b/>
                <w:sz w:val="18"/>
                <w:szCs w:val="18"/>
              </w:rPr>
            </w:pPr>
            <w:r>
              <w:rPr>
                <w:b/>
                <w:sz w:val="18"/>
                <w:szCs w:val="18"/>
              </w:rPr>
              <w:t>Name</w:t>
            </w:r>
          </w:p>
        </w:tc>
        <w:tc>
          <w:tcPr>
            <w:tcW w:w="1134" w:type="dxa"/>
            <w:tcBorders>
              <w:top w:val="single" w:sz="4" w:space="0" w:color="auto"/>
              <w:left w:val="single" w:sz="4" w:space="0" w:color="auto"/>
              <w:bottom w:val="single" w:sz="4" w:space="0" w:color="auto"/>
              <w:right w:val="single" w:sz="4" w:space="0" w:color="auto"/>
            </w:tcBorders>
            <w:shd w:val="clear" w:color="auto" w:fill="FFF2CC"/>
            <w:hideMark/>
          </w:tcPr>
          <w:p w14:paraId="7E15B3F2" w14:textId="77777777" w:rsidR="00302BFE" w:rsidRDefault="00302BFE" w:rsidP="00243B15">
            <w:pPr>
              <w:spacing w:after="0"/>
              <w:rPr>
                <w:b/>
                <w:sz w:val="18"/>
                <w:szCs w:val="18"/>
              </w:rPr>
            </w:pPr>
            <w:r>
              <w:rPr>
                <w:b/>
                <w:sz w:val="18"/>
                <w:szCs w:val="18"/>
              </w:rPr>
              <w:t>Area (ha)</w:t>
            </w:r>
          </w:p>
        </w:tc>
        <w:tc>
          <w:tcPr>
            <w:tcW w:w="1418" w:type="dxa"/>
            <w:tcBorders>
              <w:top w:val="single" w:sz="4" w:space="0" w:color="auto"/>
              <w:left w:val="single" w:sz="4" w:space="0" w:color="auto"/>
              <w:bottom w:val="single" w:sz="4" w:space="0" w:color="auto"/>
              <w:right w:val="single" w:sz="4" w:space="0" w:color="auto"/>
            </w:tcBorders>
            <w:shd w:val="clear" w:color="auto" w:fill="FFF2CC"/>
            <w:hideMark/>
          </w:tcPr>
          <w:p w14:paraId="21A5480C" w14:textId="77777777" w:rsidR="00302BFE" w:rsidRDefault="00302BFE" w:rsidP="00243B15">
            <w:pPr>
              <w:spacing w:after="0"/>
              <w:rPr>
                <w:b/>
                <w:sz w:val="18"/>
                <w:szCs w:val="18"/>
              </w:rPr>
            </w:pPr>
            <w:r>
              <w:rPr>
                <w:b/>
                <w:sz w:val="18"/>
                <w:szCs w:val="18"/>
              </w:rPr>
              <w:t xml:space="preserve">National classification </w:t>
            </w:r>
          </w:p>
        </w:tc>
        <w:tc>
          <w:tcPr>
            <w:tcW w:w="1275" w:type="dxa"/>
            <w:tcBorders>
              <w:top w:val="single" w:sz="4" w:space="0" w:color="auto"/>
              <w:left w:val="single" w:sz="4" w:space="0" w:color="auto"/>
              <w:bottom w:val="single" w:sz="4" w:space="0" w:color="auto"/>
              <w:right w:val="single" w:sz="4" w:space="0" w:color="auto"/>
            </w:tcBorders>
            <w:shd w:val="clear" w:color="auto" w:fill="FFF2CC"/>
            <w:hideMark/>
          </w:tcPr>
          <w:p w14:paraId="5CC9B505" w14:textId="77777777" w:rsidR="00302BFE" w:rsidRDefault="00302BFE" w:rsidP="00243B15">
            <w:pPr>
              <w:spacing w:after="0"/>
              <w:rPr>
                <w:b/>
                <w:sz w:val="18"/>
                <w:szCs w:val="18"/>
              </w:rPr>
            </w:pPr>
            <w:r>
              <w:rPr>
                <w:b/>
                <w:sz w:val="18"/>
                <w:szCs w:val="18"/>
              </w:rPr>
              <w:t>M</w:t>
            </w:r>
            <w:r w:rsidRPr="00432006">
              <w:rPr>
                <w:b/>
                <w:sz w:val="18"/>
                <w:szCs w:val="18"/>
              </w:rPr>
              <w:t xml:space="preserve">anagement </w:t>
            </w:r>
            <w:r>
              <w:rPr>
                <w:b/>
                <w:sz w:val="18"/>
                <w:szCs w:val="18"/>
              </w:rPr>
              <w:t>unit</w:t>
            </w:r>
          </w:p>
        </w:tc>
        <w:tc>
          <w:tcPr>
            <w:tcW w:w="1276" w:type="dxa"/>
            <w:tcBorders>
              <w:top w:val="single" w:sz="4" w:space="0" w:color="auto"/>
              <w:left w:val="single" w:sz="4" w:space="0" w:color="auto"/>
              <w:bottom w:val="single" w:sz="4" w:space="0" w:color="auto"/>
              <w:right w:val="single" w:sz="4" w:space="0" w:color="auto"/>
            </w:tcBorders>
            <w:shd w:val="clear" w:color="auto" w:fill="FFF2CC"/>
            <w:hideMark/>
          </w:tcPr>
          <w:p w14:paraId="413277A7" w14:textId="77777777" w:rsidR="00302BFE" w:rsidRDefault="00302BFE" w:rsidP="00243B15">
            <w:pPr>
              <w:spacing w:after="0"/>
              <w:rPr>
                <w:b/>
                <w:sz w:val="18"/>
                <w:szCs w:val="18"/>
              </w:rPr>
            </w:pPr>
            <w:r>
              <w:rPr>
                <w:b/>
                <w:sz w:val="18"/>
                <w:szCs w:val="18"/>
              </w:rPr>
              <w:t>M</w:t>
            </w:r>
            <w:r w:rsidRPr="00432006">
              <w:rPr>
                <w:b/>
                <w:sz w:val="18"/>
                <w:szCs w:val="18"/>
              </w:rPr>
              <w:t xml:space="preserve">anagement </w:t>
            </w:r>
            <w:r>
              <w:rPr>
                <w:b/>
                <w:sz w:val="18"/>
                <w:szCs w:val="18"/>
              </w:rPr>
              <w:t>plan</w:t>
            </w:r>
          </w:p>
        </w:tc>
        <w:tc>
          <w:tcPr>
            <w:tcW w:w="1276" w:type="dxa"/>
            <w:tcBorders>
              <w:top w:val="single" w:sz="4" w:space="0" w:color="auto"/>
              <w:left w:val="single" w:sz="4" w:space="0" w:color="auto"/>
              <w:bottom w:val="single" w:sz="4" w:space="0" w:color="auto"/>
              <w:right w:val="single" w:sz="4" w:space="0" w:color="auto"/>
            </w:tcBorders>
            <w:shd w:val="clear" w:color="auto" w:fill="FFF2CC"/>
            <w:hideMark/>
          </w:tcPr>
          <w:p w14:paraId="48251EA7" w14:textId="77777777" w:rsidR="00302BFE" w:rsidRDefault="00302BFE" w:rsidP="00243B15">
            <w:pPr>
              <w:spacing w:after="0"/>
              <w:rPr>
                <w:b/>
                <w:sz w:val="18"/>
                <w:szCs w:val="18"/>
              </w:rPr>
            </w:pPr>
            <w:r>
              <w:rPr>
                <w:b/>
                <w:sz w:val="18"/>
                <w:szCs w:val="18"/>
              </w:rPr>
              <w:t>Status</w:t>
            </w:r>
          </w:p>
        </w:tc>
      </w:tr>
      <w:tr w:rsidR="00302BFE" w14:paraId="0B0F7DA9" w14:textId="77777777" w:rsidTr="00243B15">
        <w:trPr>
          <w:jc w:val="center"/>
        </w:trPr>
        <w:tc>
          <w:tcPr>
            <w:tcW w:w="8784" w:type="dxa"/>
            <w:gridSpan w:val="6"/>
            <w:tcBorders>
              <w:top w:val="single" w:sz="4" w:space="0" w:color="auto"/>
              <w:left w:val="single" w:sz="4" w:space="0" w:color="auto"/>
              <w:bottom w:val="single" w:sz="4" w:space="0" w:color="auto"/>
              <w:right w:val="single" w:sz="4" w:space="0" w:color="auto"/>
            </w:tcBorders>
            <w:hideMark/>
          </w:tcPr>
          <w:p w14:paraId="07D17F5B" w14:textId="77777777" w:rsidR="00302BFE" w:rsidRDefault="00302BFE" w:rsidP="00243B15">
            <w:pPr>
              <w:spacing w:after="0"/>
              <w:rPr>
                <w:b/>
                <w:sz w:val="18"/>
                <w:szCs w:val="18"/>
              </w:rPr>
            </w:pPr>
            <w:r>
              <w:rPr>
                <w:b/>
                <w:sz w:val="18"/>
                <w:szCs w:val="18"/>
              </w:rPr>
              <w:t>Forest Management Worksites (CAF)</w:t>
            </w:r>
          </w:p>
        </w:tc>
      </w:tr>
      <w:tr w:rsidR="00302BFE" w14:paraId="50274D82"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6C546753" w14:textId="77777777" w:rsidR="00302BFE" w:rsidRDefault="00302BFE" w:rsidP="00243B15">
            <w:pPr>
              <w:spacing w:after="0"/>
              <w:rPr>
                <w:sz w:val="18"/>
                <w:szCs w:val="18"/>
              </w:rPr>
            </w:pPr>
            <w:proofErr w:type="spellStart"/>
            <w:r>
              <w:rPr>
                <w:sz w:val="18"/>
                <w:szCs w:val="18"/>
              </w:rPr>
              <w:t>Nazinon</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7D0CDE6C" w14:textId="77777777" w:rsidR="00302BFE" w:rsidRDefault="00302BFE" w:rsidP="00243B15">
            <w:pPr>
              <w:spacing w:after="0"/>
              <w:rPr>
                <w:sz w:val="18"/>
                <w:szCs w:val="18"/>
              </w:rPr>
            </w:pPr>
            <w:r>
              <w:rPr>
                <w:sz w:val="18"/>
                <w:szCs w:val="18"/>
              </w:rPr>
              <w:t>27,899</w:t>
            </w:r>
          </w:p>
        </w:tc>
        <w:tc>
          <w:tcPr>
            <w:tcW w:w="1418" w:type="dxa"/>
            <w:tcBorders>
              <w:top w:val="single" w:sz="4" w:space="0" w:color="auto"/>
              <w:left w:val="single" w:sz="4" w:space="0" w:color="auto"/>
              <w:bottom w:val="single" w:sz="4" w:space="0" w:color="auto"/>
              <w:right w:val="single" w:sz="4" w:space="0" w:color="auto"/>
            </w:tcBorders>
            <w:hideMark/>
          </w:tcPr>
          <w:p w14:paraId="71BDDE6D" w14:textId="77777777" w:rsidR="00302BFE" w:rsidRDefault="00302BFE" w:rsidP="00243B15">
            <w:pPr>
              <w:spacing w:after="0"/>
              <w:rPr>
                <w:sz w:val="18"/>
                <w:szCs w:val="18"/>
              </w:rPr>
            </w:pPr>
            <w:r>
              <w:rPr>
                <w:sz w:val="18"/>
                <w:szCs w:val="18"/>
              </w:rPr>
              <w:t>CAF</w:t>
            </w:r>
          </w:p>
        </w:tc>
        <w:tc>
          <w:tcPr>
            <w:tcW w:w="1275" w:type="dxa"/>
            <w:vMerge w:val="restart"/>
            <w:tcBorders>
              <w:top w:val="single" w:sz="4" w:space="0" w:color="auto"/>
              <w:left w:val="single" w:sz="4" w:space="0" w:color="auto"/>
              <w:bottom w:val="single" w:sz="4" w:space="0" w:color="auto"/>
              <w:right w:val="single" w:sz="4" w:space="0" w:color="auto"/>
            </w:tcBorders>
            <w:hideMark/>
          </w:tcPr>
          <w:p w14:paraId="1C0AEBEB" w14:textId="77777777" w:rsidR="00302BFE" w:rsidRPr="00256FDE" w:rsidRDefault="00302BFE" w:rsidP="00243B15">
            <w:pPr>
              <w:spacing w:after="0"/>
              <w:rPr>
                <w:sz w:val="16"/>
                <w:szCs w:val="16"/>
                <w:lang w:val="en-CA"/>
              </w:rPr>
            </w:pPr>
            <w:r w:rsidRPr="00256FDE">
              <w:rPr>
                <w:sz w:val="16"/>
                <w:szCs w:val="16"/>
                <w:lang w:val="en-CA"/>
              </w:rPr>
              <w:t>Forest management groups (GGF) and GGF Union</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6A0954A2" w14:textId="77777777" w:rsidR="00302BFE" w:rsidRPr="00432006" w:rsidRDefault="00302BFE" w:rsidP="00243B15">
            <w:pPr>
              <w:spacing w:after="0"/>
              <w:rPr>
                <w:sz w:val="16"/>
                <w:szCs w:val="16"/>
                <w:lang w:val="en-CA"/>
              </w:rPr>
            </w:pPr>
            <w:r w:rsidRPr="00794A76">
              <w:rPr>
                <w:sz w:val="16"/>
                <w:szCs w:val="16"/>
                <w:lang w:val="en-CA"/>
              </w:rPr>
              <w:t xml:space="preserve">Management plans and specifications </w:t>
            </w:r>
            <w:r>
              <w:rPr>
                <w:sz w:val="16"/>
                <w:szCs w:val="16"/>
                <w:lang w:val="en-CA"/>
              </w:rPr>
              <w:t>outdated</w:t>
            </w:r>
          </w:p>
        </w:tc>
        <w:tc>
          <w:tcPr>
            <w:tcW w:w="1276" w:type="dxa"/>
            <w:tcBorders>
              <w:top w:val="single" w:sz="4" w:space="0" w:color="auto"/>
              <w:left w:val="single" w:sz="4" w:space="0" w:color="auto"/>
              <w:bottom w:val="single" w:sz="4" w:space="0" w:color="auto"/>
              <w:right w:val="single" w:sz="4" w:space="0" w:color="auto"/>
            </w:tcBorders>
            <w:hideMark/>
          </w:tcPr>
          <w:p w14:paraId="0300C8E3" w14:textId="77777777" w:rsidR="00302BFE" w:rsidRDefault="00302BFE" w:rsidP="00243B15">
            <w:pPr>
              <w:spacing w:after="0"/>
              <w:rPr>
                <w:sz w:val="16"/>
                <w:szCs w:val="16"/>
              </w:rPr>
            </w:pPr>
            <w:r>
              <w:rPr>
                <w:sz w:val="16"/>
                <w:szCs w:val="16"/>
              </w:rPr>
              <w:t xml:space="preserve">Created </w:t>
            </w:r>
          </w:p>
        </w:tc>
      </w:tr>
      <w:tr w:rsidR="00302BFE" w14:paraId="56D87C5E"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0ED5520B" w14:textId="77777777" w:rsidR="00302BFE" w:rsidRDefault="00302BFE" w:rsidP="00243B15">
            <w:pPr>
              <w:spacing w:after="0"/>
              <w:rPr>
                <w:sz w:val="18"/>
                <w:szCs w:val="18"/>
              </w:rPr>
            </w:pPr>
            <w:proofErr w:type="spellStart"/>
            <w:r>
              <w:rPr>
                <w:sz w:val="18"/>
                <w:szCs w:val="18"/>
              </w:rPr>
              <w:t>Gaongo</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28B92400" w14:textId="77777777" w:rsidR="00302BFE" w:rsidRDefault="00302BFE" w:rsidP="00243B15">
            <w:pPr>
              <w:spacing w:after="0"/>
              <w:rPr>
                <w:sz w:val="18"/>
                <w:szCs w:val="18"/>
              </w:rPr>
            </w:pPr>
            <w:r>
              <w:rPr>
                <w:sz w:val="18"/>
                <w:szCs w:val="18"/>
              </w:rPr>
              <w:t>21,000</w:t>
            </w:r>
          </w:p>
        </w:tc>
        <w:tc>
          <w:tcPr>
            <w:tcW w:w="1418" w:type="dxa"/>
            <w:tcBorders>
              <w:top w:val="single" w:sz="4" w:space="0" w:color="auto"/>
              <w:left w:val="single" w:sz="4" w:space="0" w:color="auto"/>
              <w:bottom w:val="single" w:sz="4" w:space="0" w:color="auto"/>
              <w:right w:val="single" w:sz="4" w:space="0" w:color="auto"/>
            </w:tcBorders>
            <w:hideMark/>
          </w:tcPr>
          <w:p w14:paraId="61A6C9B9" w14:textId="77777777" w:rsidR="00302BFE" w:rsidRDefault="00302BFE" w:rsidP="00243B15">
            <w:pPr>
              <w:spacing w:after="0"/>
              <w:rPr>
                <w:sz w:val="18"/>
                <w:szCs w:val="18"/>
              </w:rPr>
            </w:pPr>
            <w:r>
              <w:rPr>
                <w:sz w:val="18"/>
                <w:szCs w:val="18"/>
              </w:rPr>
              <w:t>CAF</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95A11C" w14:textId="77777777" w:rsidR="00302BFE" w:rsidRDefault="00302BFE" w:rsidP="00243B15">
            <w:pPr>
              <w:spacing w:after="0"/>
              <w:jc w:val="left"/>
              <w:rPr>
                <w:sz w:val="16"/>
                <w:szCs w:val="16"/>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52A662" w14:textId="77777777" w:rsidR="00302BFE" w:rsidRDefault="00302BFE" w:rsidP="00243B15">
            <w:pPr>
              <w:spacing w:after="0"/>
              <w:jc w:val="left"/>
              <w:rPr>
                <w:sz w:val="16"/>
                <w:szCs w:val="16"/>
                <w:lang w:val="fr-CA"/>
              </w:rPr>
            </w:pPr>
          </w:p>
        </w:tc>
        <w:tc>
          <w:tcPr>
            <w:tcW w:w="1276" w:type="dxa"/>
            <w:tcBorders>
              <w:top w:val="single" w:sz="4" w:space="0" w:color="auto"/>
              <w:left w:val="single" w:sz="4" w:space="0" w:color="auto"/>
              <w:bottom w:val="single" w:sz="4" w:space="0" w:color="auto"/>
              <w:right w:val="single" w:sz="4" w:space="0" w:color="auto"/>
            </w:tcBorders>
            <w:hideMark/>
          </w:tcPr>
          <w:p w14:paraId="0EC5D712" w14:textId="77777777" w:rsidR="00302BFE" w:rsidRDefault="00302BFE" w:rsidP="00243B15">
            <w:pPr>
              <w:spacing w:after="0"/>
              <w:rPr>
                <w:sz w:val="18"/>
                <w:szCs w:val="18"/>
              </w:rPr>
            </w:pPr>
            <w:r>
              <w:rPr>
                <w:sz w:val="16"/>
                <w:szCs w:val="16"/>
              </w:rPr>
              <w:t xml:space="preserve">Created </w:t>
            </w:r>
          </w:p>
        </w:tc>
      </w:tr>
      <w:tr w:rsidR="00302BFE" w14:paraId="484FBDFB"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4A281025" w14:textId="77777777" w:rsidR="00302BFE" w:rsidRDefault="00302BFE" w:rsidP="00243B15">
            <w:pPr>
              <w:spacing w:after="0"/>
              <w:rPr>
                <w:sz w:val="18"/>
                <w:szCs w:val="18"/>
              </w:rPr>
            </w:pPr>
            <w:proofErr w:type="spellStart"/>
            <w:r>
              <w:rPr>
                <w:sz w:val="18"/>
                <w:szCs w:val="18"/>
              </w:rPr>
              <w:t>Zoundweogo</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7E0027CA" w14:textId="77777777" w:rsidR="00302BFE" w:rsidRDefault="00302BFE" w:rsidP="00243B15">
            <w:pPr>
              <w:spacing w:after="0"/>
              <w:rPr>
                <w:sz w:val="18"/>
                <w:szCs w:val="18"/>
              </w:rPr>
            </w:pPr>
            <w:r>
              <w:rPr>
                <w:sz w:val="18"/>
                <w:szCs w:val="18"/>
              </w:rPr>
              <w:t>28,000</w:t>
            </w:r>
          </w:p>
        </w:tc>
        <w:tc>
          <w:tcPr>
            <w:tcW w:w="1418" w:type="dxa"/>
            <w:tcBorders>
              <w:top w:val="single" w:sz="4" w:space="0" w:color="auto"/>
              <w:left w:val="single" w:sz="4" w:space="0" w:color="auto"/>
              <w:bottom w:val="single" w:sz="4" w:space="0" w:color="auto"/>
              <w:right w:val="single" w:sz="4" w:space="0" w:color="auto"/>
            </w:tcBorders>
            <w:hideMark/>
          </w:tcPr>
          <w:p w14:paraId="6703741B" w14:textId="77777777" w:rsidR="00302BFE" w:rsidRDefault="00302BFE" w:rsidP="00243B15">
            <w:pPr>
              <w:spacing w:after="0"/>
              <w:rPr>
                <w:sz w:val="18"/>
                <w:szCs w:val="18"/>
              </w:rPr>
            </w:pPr>
            <w:r>
              <w:rPr>
                <w:sz w:val="18"/>
                <w:szCs w:val="18"/>
              </w:rPr>
              <w:t>CAF</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8A163D" w14:textId="77777777" w:rsidR="00302BFE" w:rsidRDefault="00302BFE" w:rsidP="00243B15">
            <w:pPr>
              <w:spacing w:after="0"/>
              <w:jc w:val="left"/>
              <w:rPr>
                <w:sz w:val="16"/>
                <w:szCs w:val="16"/>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83E13F" w14:textId="77777777" w:rsidR="00302BFE" w:rsidRDefault="00302BFE" w:rsidP="00243B15">
            <w:pPr>
              <w:spacing w:after="0"/>
              <w:jc w:val="left"/>
              <w:rPr>
                <w:sz w:val="16"/>
                <w:szCs w:val="16"/>
                <w:lang w:val="fr-CA"/>
              </w:rPr>
            </w:pPr>
          </w:p>
        </w:tc>
        <w:tc>
          <w:tcPr>
            <w:tcW w:w="1276" w:type="dxa"/>
            <w:tcBorders>
              <w:top w:val="single" w:sz="4" w:space="0" w:color="auto"/>
              <w:left w:val="single" w:sz="4" w:space="0" w:color="auto"/>
              <w:bottom w:val="single" w:sz="4" w:space="0" w:color="auto"/>
              <w:right w:val="single" w:sz="4" w:space="0" w:color="auto"/>
            </w:tcBorders>
            <w:hideMark/>
          </w:tcPr>
          <w:p w14:paraId="54652BD7" w14:textId="77777777" w:rsidR="00302BFE" w:rsidRDefault="00302BFE" w:rsidP="00243B15">
            <w:pPr>
              <w:spacing w:after="0"/>
              <w:rPr>
                <w:sz w:val="16"/>
                <w:szCs w:val="16"/>
              </w:rPr>
            </w:pPr>
            <w:r>
              <w:rPr>
                <w:sz w:val="16"/>
                <w:szCs w:val="16"/>
              </w:rPr>
              <w:t>Under creation</w:t>
            </w:r>
          </w:p>
        </w:tc>
      </w:tr>
      <w:tr w:rsidR="00302BFE" w14:paraId="0227847A"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36382F16" w14:textId="77777777" w:rsidR="00302BFE" w:rsidRDefault="00302BFE" w:rsidP="00243B15">
            <w:pPr>
              <w:spacing w:after="0"/>
              <w:rPr>
                <w:b/>
                <w:sz w:val="18"/>
                <w:szCs w:val="18"/>
              </w:rPr>
            </w:pPr>
            <w:r>
              <w:rPr>
                <w:b/>
                <w:sz w:val="18"/>
                <w:szCs w:val="18"/>
              </w:rPr>
              <w:t>Total area of CAFs</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24731DDC" w14:textId="77777777" w:rsidR="00302BFE" w:rsidRDefault="00302BFE" w:rsidP="00243B15">
            <w:pPr>
              <w:spacing w:after="0"/>
              <w:rPr>
                <w:b/>
                <w:sz w:val="18"/>
                <w:szCs w:val="18"/>
              </w:rPr>
            </w:pPr>
            <w:r>
              <w:rPr>
                <w:b/>
                <w:sz w:val="18"/>
                <w:szCs w:val="18"/>
              </w:rPr>
              <w:t>73,969</w:t>
            </w:r>
          </w:p>
        </w:tc>
        <w:tc>
          <w:tcPr>
            <w:tcW w:w="5245" w:type="dxa"/>
            <w:gridSpan w:val="4"/>
            <w:tcBorders>
              <w:top w:val="single" w:sz="4" w:space="0" w:color="auto"/>
              <w:left w:val="single" w:sz="4" w:space="0" w:color="auto"/>
              <w:bottom w:val="single" w:sz="4" w:space="0" w:color="auto"/>
              <w:right w:val="single" w:sz="4" w:space="0" w:color="auto"/>
            </w:tcBorders>
          </w:tcPr>
          <w:p w14:paraId="6F4D439B" w14:textId="77777777" w:rsidR="00302BFE" w:rsidRDefault="00302BFE" w:rsidP="00243B15">
            <w:pPr>
              <w:spacing w:after="0"/>
              <w:rPr>
                <w:sz w:val="18"/>
                <w:szCs w:val="18"/>
              </w:rPr>
            </w:pPr>
          </w:p>
        </w:tc>
      </w:tr>
      <w:tr w:rsidR="00302BFE" w:rsidRPr="00256FDE" w14:paraId="69376AA0" w14:textId="77777777" w:rsidTr="00243B15">
        <w:trPr>
          <w:jc w:val="center"/>
        </w:trPr>
        <w:tc>
          <w:tcPr>
            <w:tcW w:w="8784" w:type="dxa"/>
            <w:gridSpan w:val="6"/>
            <w:tcBorders>
              <w:top w:val="single" w:sz="4" w:space="0" w:color="auto"/>
              <w:left w:val="single" w:sz="4" w:space="0" w:color="auto"/>
              <w:bottom w:val="single" w:sz="4" w:space="0" w:color="auto"/>
              <w:right w:val="single" w:sz="4" w:space="0" w:color="auto"/>
            </w:tcBorders>
            <w:hideMark/>
          </w:tcPr>
          <w:p w14:paraId="4111F6D7" w14:textId="77777777" w:rsidR="00302BFE" w:rsidRPr="00256FDE" w:rsidRDefault="00302BFE" w:rsidP="00243B15">
            <w:pPr>
              <w:spacing w:after="0"/>
              <w:rPr>
                <w:b/>
                <w:sz w:val="18"/>
                <w:szCs w:val="18"/>
                <w:lang w:val="en-CA"/>
              </w:rPr>
            </w:pPr>
            <w:r w:rsidRPr="00256FDE">
              <w:rPr>
                <w:b/>
                <w:sz w:val="18"/>
                <w:szCs w:val="18"/>
                <w:lang w:val="en-CA"/>
              </w:rPr>
              <w:t xml:space="preserve">Large forests outside CAF </w:t>
            </w:r>
            <w:r>
              <w:rPr>
                <w:b/>
                <w:sz w:val="18"/>
                <w:szCs w:val="18"/>
                <w:lang w:val="en-CA"/>
              </w:rPr>
              <w:t>and</w:t>
            </w:r>
            <w:r w:rsidRPr="00256FDE">
              <w:rPr>
                <w:b/>
                <w:sz w:val="18"/>
                <w:szCs w:val="18"/>
                <w:lang w:val="en-CA"/>
              </w:rPr>
              <w:t xml:space="preserve"> P</w:t>
            </w:r>
            <w:r>
              <w:rPr>
                <w:b/>
                <w:sz w:val="18"/>
                <w:szCs w:val="18"/>
                <w:lang w:val="en-CA"/>
              </w:rPr>
              <w:t>A</w:t>
            </w:r>
            <w:r w:rsidRPr="00256FDE">
              <w:rPr>
                <w:b/>
                <w:sz w:val="18"/>
                <w:szCs w:val="18"/>
                <w:lang w:val="en-CA"/>
              </w:rPr>
              <w:t>s</w:t>
            </w:r>
          </w:p>
        </w:tc>
      </w:tr>
      <w:tr w:rsidR="00302BFE" w14:paraId="1A918423"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0E0268C6" w14:textId="77777777" w:rsidR="00302BFE" w:rsidRPr="001A2403" w:rsidRDefault="00302BFE" w:rsidP="00243B15">
            <w:pPr>
              <w:spacing w:after="0"/>
              <w:rPr>
                <w:sz w:val="18"/>
                <w:szCs w:val="18"/>
                <w:lang w:val="en-CA"/>
              </w:rPr>
            </w:pPr>
            <w:proofErr w:type="spellStart"/>
            <w:r w:rsidRPr="001A2403">
              <w:rPr>
                <w:sz w:val="18"/>
                <w:szCs w:val="18"/>
                <w:lang w:val="en-CA"/>
              </w:rPr>
              <w:t>Zoundweogo</w:t>
            </w:r>
            <w:proofErr w:type="spellEnd"/>
            <w:r w:rsidRPr="001A2403">
              <w:rPr>
                <w:sz w:val="18"/>
                <w:szCs w:val="18"/>
                <w:lang w:val="en-CA"/>
              </w:rPr>
              <w:t xml:space="preserve"> South-West </w:t>
            </w:r>
            <w:r>
              <w:rPr>
                <w:sz w:val="18"/>
                <w:szCs w:val="18"/>
                <w:lang w:val="en-CA"/>
              </w:rPr>
              <w:t>Area</w:t>
            </w:r>
            <w:r w:rsidRPr="001A2403">
              <w:rPr>
                <w:sz w:val="18"/>
                <w:szCs w:val="18"/>
                <w:lang w:val="en-CA"/>
              </w:rPr>
              <w:t xml:space="preserve"> (intercommunal)</w:t>
            </w:r>
          </w:p>
        </w:tc>
        <w:tc>
          <w:tcPr>
            <w:tcW w:w="1134" w:type="dxa"/>
            <w:tcBorders>
              <w:top w:val="single" w:sz="4" w:space="0" w:color="auto"/>
              <w:left w:val="single" w:sz="4" w:space="0" w:color="auto"/>
              <w:bottom w:val="single" w:sz="4" w:space="0" w:color="auto"/>
              <w:right w:val="single" w:sz="4" w:space="0" w:color="auto"/>
            </w:tcBorders>
            <w:hideMark/>
          </w:tcPr>
          <w:p w14:paraId="0D7A35F2" w14:textId="77777777" w:rsidR="00302BFE" w:rsidRDefault="00302BFE" w:rsidP="00243B15">
            <w:pPr>
              <w:spacing w:after="0"/>
              <w:rPr>
                <w:sz w:val="18"/>
                <w:szCs w:val="18"/>
              </w:rPr>
            </w:pPr>
            <w:r>
              <w:rPr>
                <w:sz w:val="18"/>
                <w:szCs w:val="18"/>
              </w:rPr>
              <w:t>28,600</w:t>
            </w:r>
          </w:p>
        </w:tc>
        <w:tc>
          <w:tcPr>
            <w:tcW w:w="1418" w:type="dxa"/>
            <w:tcBorders>
              <w:top w:val="single" w:sz="4" w:space="0" w:color="auto"/>
              <w:left w:val="single" w:sz="4" w:space="0" w:color="auto"/>
              <w:bottom w:val="single" w:sz="4" w:space="0" w:color="auto"/>
              <w:right w:val="single" w:sz="4" w:space="0" w:color="auto"/>
            </w:tcBorders>
          </w:tcPr>
          <w:p w14:paraId="2474395E" w14:textId="77777777" w:rsidR="00302BFE" w:rsidRDefault="00302BFE" w:rsidP="00243B15">
            <w:pPr>
              <w:spacing w:after="0"/>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19C98452" w14:textId="77777777" w:rsidR="00302BFE" w:rsidRDefault="00302BFE" w:rsidP="00243B15">
            <w:pPr>
              <w:spacing w:after="0"/>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62E607F7" w14:textId="77777777" w:rsidR="00302BFE" w:rsidRDefault="00302BFE" w:rsidP="00243B15">
            <w:pPr>
              <w:spacing w:after="0"/>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2DCC8831" w14:textId="77777777" w:rsidR="00302BFE" w:rsidRDefault="00302BFE" w:rsidP="00243B15">
            <w:pPr>
              <w:spacing w:after="0"/>
              <w:rPr>
                <w:sz w:val="18"/>
                <w:szCs w:val="18"/>
              </w:rPr>
            </w:pPr>
          </w:p>
        </w:tc>
      </w:tr>
      <w:tr w:rsidR="00302BFE" w14:paraId="65B886ED"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5B86FF5D" w14:textId="77777777" w:rsidR="00302BFE" w:rsidRPr="001A2403" w:rsidRDefault="00302BFE" w:rsidP="00243B15">
            <w:pPr>
              <w:spacing w:after="0"/>
              <w:rPr>
                <w:sz w:val="18"/>
                <w:szCs w:val="18"/>
                <w:lang w:val="en-CA"/>
              </w:rPr>
            </w:pPr>
            <w:r w:rsidRPr="001A2403">
              <w:rPr>
                <w:sz w:val="18"/>
                <w:szCs w:val="18"/>
                <w:lang w:val="en-CA"/>
              </w:rPr>
              <w:t>Buffer Zone South of PNKT</w:t>
            </w:r>
          </w:p>
        </w:tc>
        <w:tc>
          <w:tcPr>
            <w:tcW w:w="1134" w:type="dxa"/>
            <w:tcBorders>
              <w:top w:val="single" w:sz="4" w:space="0" w:color="auto"/>
              <w:left w:val="single" w:sz="4" w:space="0" w:color="auto"/>
              <w:bottom w:val="single" w:sz="4" w:space="0" w:color="auto"/>
              <w:right w:val="single" w:sz="4" w:space="0" w:color="auto"/>
            </w:tcBorders>
            <w:hideMark/>
          </w:tcPr>
          <w:p w14:paraId="64FF8C04" w14:textId="77777777" w:rsidR="00302BFE" w:rsidRDefault="00302BFE" w:rsidP="00243B15">
            <w:pPr>
              <w:spacing w:after="0"/>
              <w:rPr>
                <w:sz w:val="18"/>
                <w:szCs w:val="18"/>
              </w:rPr>
            </w:pPr>
            <w:r>
              <w:rPr>
                <w:sz w:val="18"/>
                <w:szCs w:val="18"/>
              </w:rPr>
              <w:t>4,188</w:t>
            </w:r>
          </w:p>
        </w:tc>
        <w:tc>
          <w:tcPr>
            <w:tcW w:w="1418" w:type="dxa"/>
            <w:tcBorders>
              <w:top w:val="single" w:sz="4" w:space="0" w:color="auto"/>
              <w:left w:val="single" w:sz="4" w:space="0" w:color="auto"/>
              <w:bottom w:val="single" w:sz="4" w:space="0" w:color="auto"/>
              <w:right w:val="single" w:sz="4" w:space="0" w:color="auto"/>
            </w:tcBorders>
            <w:hideMark/>
          </w:tcPr>
          <w:p w14:paraId="3AAB719C" w14:textId="77777777" w:rsidR="00302BFE" w:rsidRPr="001A2403" w:rsidRDefault="00302BFE" w:rsidP="00243B15">
            <w:pPr>
              <w:spacing w:after="0"/>
              <w:rPr>
                <w:sz w:val="14"/>
                <w:szCs w:val="14"/>
              </w:rPr>
            </w:pPr>
            <w:r w:rsidRPr="001A2403">
              <w:rPr>
                <w:sz w:val="14"/>
                <w:szCs w:val="14"/>
              </w:rPr>
              <w:t xml:space="preserve">Non-compliant with Forest Code definition </w:t>
            </w:r>
            <w:r>
              <w:rPr>
                <w:sz w:val="14"/>
                <w:szCs w:val="14"/>
              </w:rPr>
              <w:t xml:space="preserve">of </w:t>
            </w:r>
            <w:r w:rsidRPr="001A2403">
              <w:rPr>
                <w:sz w:val="14"/>
                <w:szCs w:val="14"/>
              </w:rPr>
              <w:t xml:space="preserve">buffer zone </w:t>
            </w:r>
          </w:p>
        </w:tc>
        <w:tc>
          <w:tcPr>
            <w:tcW w:w="1275" w:type="dxa"/>
            <w:tcBorders>
              <w:top w:val="single" w:sz="4" w:space="0" w:color="auto"/>
              <w:left w:val="single" w:sz="4" w:space="0" w:color="auto"/>
              <w:bottom w:val="single" w:sz="4" w:space="0" w:color="auto"/>
              <w:right w:val="single" w:sz="4" w:space="0" w:color="auto"/>
            </w:tcBorders>
          </w:tcPr>
          <w:p w14:paraId="5E3246AF" w14:textId="77777777" w:rsidR="00302BFE" w:rsidRDefault="00302BFE" w:rsidP="00243B15">
            <w:pPr>
              <w:spacing w:after="0"/>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49CE9FAF" w14:textId="77777777" w:rsidR="00302BFE" w:rsidRDefault="00302BFE" w:rsidP="00243B15">
            <w:pPr>
              <w:spacing w:after="0"/>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16D0DCEF" w14:textId="77777777" w:rsidR="00302BFE" w:rsidRDefault="00302BFE" w:rsidP="00243B15">
            <w:pPr>
              <w:spacing w:after="0"/>
              <w:rPr>
                <w:sz w:val="18"/>
                <w:szCs w:val="18"/>
              </w:rPr>
            </w:pPr>
          </w:p>
        </w:tc>
      </w:tr>
      <w:tr w:rsidR="00302BFE" w14:paraId="07E4D0A7"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731D2496" w14:textId="77777777" w:rsidR="00302BFE" w:rsidRDefault="00302BFE" w:rsidP="00243B15">
            <w:pPr>
              <w:spacing w:after="0"/>
              <w:rPr>
                <w:sz w:val="18"/>
                <w:szCs w:val="18"/>
              </w:rPr>
            </w:pPr>
            <w:proofErr w:type="spellStart"/>
            <w:r>
              <w:rPr>
                <w:sz w:val="18"/>
                <w:szCs w:val="18"/>
              </w:rPr>
              <w:t>Vohoko</w:t>
            </w:r>
            <w:proofErr w:type="spellEnd"/>
            <w:r>
              <w:rPr>
                <w:sz w:val="18"/>
                <w:szCs w:val="18"/>
              </w:rPr>
              <w:t xml:space="preserve"> Forest Area (</w:t>
            </w:r>
            <w:proofErr w:type="spellStart"/>
            <w:r>
              <w:rPr>
                <w:sz w:val="18"/>
                <w:szCs w:val="18"/>
              </w:rPr>
              <w:t>Nobéré</w:t>
            </w:r>
            <w:proofErr w:type="spellEnd"/>
            <w:r>
              <w:rPr>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14:paraId="40117D50" w14:textId="77777777" w:rsidR="00302BFE" w:rsidRDefault="00302BFE" w:rsidP="00243B15">
            <w:pPr>
              <w:spacing w:after="0"/>
              <w:rPr>
                <w:sz w:val="18"/>
                <w:szCs w:val="18"/>
              </w:rPr>
            </w:pPr>
            <w:r>
              <w:rPr>
                <w:sz w:val="18"/>
                <w:szCs w:val="18"/>
              </w:rPr>
              <w:t>6,103</w:t>
            </w:r>
          </w:p>
        </w:tc>
        <w:tc>
          <w:tcPr>
            <w:tcW w:w="1418" w:type="dxa"/>
            <w:tcBorders>
              <w:top w:val="single" w:sz="4" w:space="0" w:color="auto"/>
              <w:left w:val="single" w:sz="4" w:space="0" w:color="auto"/>
              <w:bottom w:val="single" w:sz="4" w:space="0" w:color="auto"/>
              <w:right w:val="single" w:sz="4" w:space="0" w:color="auto"/>
            </w:tcBorders>
          </w:tcPr>
          <w:p w14:paraId="7A013269" w14:textId="77777777" w:rsidR="00302BFE" w:rsidRDefault="00302BFE" w:rsidP="00243B15">
            <w:pPr>
              <w:spacing w:after="0"/>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1AF7E9DF" w14:textId="77777777" w:rsidR="00302BFE" w:rsidRDefault="00302BFE" w:rsidP="00243B15">
            <w:pPr>
              <w:spacing w:after="0"/>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3D3D014" w14:textId="77777777" w:rsidR="00302BFE" w:rsidRDefault="00302BFE" w:rsidP="00243B15">
            <w:pPr>
              <w:spacing w:after="0"/>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5FE24E5B" w14:textId="77777777" w:rsidR="00302BFE" w:rsidRDefault="00302BFE" w:rsidP="00243B15">
            <w:pPr>
              <w:spacing w:after="0"/>
              <w:rPr>
                <w:sz w:val="18"/>
                <w:szCs w:val="18"/>
              </w:rPr>
            </w:pPr>
          </w:p>
        </w:tc>
      </w:tr>
      <w:tr w:rsidR="00302BFE" w14:paraId="3BE8A946"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7025571B" w14:textId="77777777" w:rsidR="00302BFE" w:rsidRDefault="00302BFE" w:rsidP="00243B15">
            <w:pPr>
              <w:spacing w:after="0"/>
              <w:rPr>
                <w:b/>
                <w:sz w:val="18"/>
                <w:szCs w:val="18"/>
              </w:rPr>
            </w:pPr>
            <w:r>
              <w:rPr>
                <w:b/>
                <w:sz w:val="18"/>
                <w:szCs w:val="18"/>
              </w:rPr>
              <w:t>Total area of large forests</w:t>
            </w:r>
          </w:p>
        </w:tc>
        <w:tc>
          <w:tcPr>
            <w:tcW w:w="1134" w:type="dxa"/>
            <w:tcBorders>
              <w:top w:val="single" w:sz="4" w:space="0" w:color="auto"/>
              <w:left w:val="single" w:sz="4" w:space="0" w:color="auto"/>
              <w:bottom w:val="single" w:sz="4" w:space="0" w:color="auto"/>
              <w:right w:val="single" w:sz="4" w:space="0" w:color="auto"/>
            </w:tcBorders>
            <w:shd w:val="clear" w:color="auto" w:fill="D0CECE"/>
            <w:hideMark/>
          </w:tcPr>
          <w:p w14:paraId="638B88BD" w14:textId="77777777" w:rsidR="00302BFE" w:rsidRDefault="00302BFE" w:rsidP="00243B15">
            <w:pPr>
              <w:spacing w:after="0"/>
              <w:rPr>
                <w:b/>
                <w:sz w:val="18"/>
                <w:szCs w:val="18"/>
              </w:rPr>
            </w:pPr>
            <w:r>
              <w:rPr>
                <w:b/>
                <w:sz w:val="18"/>
                <w:szCs w:val="18"/>
              </w:rPr>
              <w:t>38,891</w:t>
            </w:r>
          </w:p>
        </w:tc>
        <w:tc>
          <w:tcPr>
            <w:tcW w:w="5245" w:type="dxa"/>
            <w:gridSpan w:val="4"/>
            <w:tcBorders>
              <w:top w:val="single" w:sz="4" w:space="0" w:color="auto"/>
              <w:left w:val="single" w:sz="4" w:space="0" w:color="auto"/>
              <w:bottom w:val="single" w:sz="4" w:space="0" w:color="auto"/>
              <w:right w:val="single" w:sz="4" w:space="0" w:color="auto"/>
            </w:tcBorders>
          </w:tcPr>
          <w:p w14:paraId="7B09A415" w14:textId="77777777" w:rsidR="00302BFE" w:rsidRDefault="00302BFE" w:rsidP="00243B15">
            <w:pPr>
              <w:spacing w:after="0"/>
              <w:rPr>
                <w:sz w:val="18"/>
                <w:szCs w:val="18"/>
              </w:rPr>
            </w:pPr>
          </w:p>
        </w:tc>
      </w:tr>
      <w:tr w:rsidR="00302BFE" w14:paraId="4CE80C04" w14:textId="77777777" w:rsidTr="00243B15">
        <w:trPr>
          <w:jc w:val="center"/>
        </w:trPr>
        <w:tc>
          <w:tcPr>
            <w:tcW w:w="8784" w:type="dxa"/>
            <w:gridSpan w:val="6"/>
            <w:tcBorders>
              <w:top w:val="single" w:sz="4" w:space="0" w:color="auto"/>
              <w:left w:val="single" w:sz="4" w:space="0" w:color="auto"/>
              <w:bottom w:val="single" w:sz="4" w:space="0" w:color="auto"/>
              <w:right w:val="single" w:sz="4" w:space="0" w:color="auto"/>
            </w:tcBorders>
            <w:hideMark/>
          </w:tcPr>
          <w:p w14:paraId="67B2AEC8" w14:textId="77777777" w:rsidR="00302BFE" w:rsidRDefault="00302BFE" w:rsidP="00243B15">
            <w:pPr>
              <w:spacing w:after="0"/>
              <w:rPr>
                <w:sz w:val="18"/>
                <w:szCs w:val="18"/>
              </w:rPr>
            </w:pPr>
            <w:r>
              <w:rPr>
                <w:b/>
                <w:sz w:val="18"/>
                <w:szCs w:val="18"/>
              </w:rPr>
              <w:t xml:space="preserve">Commune Forests </w:t>
            </w:r>
          </w:p>
        </w:tc>
      </w:tr>
      <w:tr w:rsidR="00302BFE" w14:paraId="21F8D036"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7D21DBBA" w14:textId="77777777" w:rsidR="00302BFE" w:rsidRDefault="00302BFE" w:rsidP="00243B15">
            <w:pPr>
              <w:spacing w:after="0"/>
              <w:rPr>
                <w:sz w:val="18"/>
                <w:szCs w:val="18"/>
              </w:rPr>
            </w:pPr>
            <w:r>
              <w:rPr>
                <w:sz w:val="18"/>
                <w:szCs w:val="18"/>
              </w:rPr>
              <w:t>Gogo</w:t>
            </w:r>
          </w:p>
        </w:tc>
        <w:tc>
          <w:tcPr>
            <w:tcW w:w="1134" w:type="dxa"/>
            <w:tcBorders>
              <w:top w:val="single" w:sz="4" w:space="0" w:color="auto"/>
              <w:left w:val="single" w:sz="4" w:space="0" w:color="auto"/>
              <w:bottom w:val="single" w:sz="4" w:space="0" w:color="auto"/>
              <w:right w:val="single" w:sz="4" w:space="0" w:color="auto"/>
            </w:tcBorders>
            <w:hideMark/>
          </w:tcPr>
          <w:p w14:paraId="16F76C74" w14:textId="77777777" w:rsidR="00302BFE" w:rsidRDefault="00302BFE" w:rsidP="00243B15">
            <w:pPr>
              <w:spacing w:after="0"/>
              <w:rPr>
                <w:sz w:val="18"/>
                <w:szCs w:val="18"/>
              </w:rPr>
            </w:pPr>
            <w:r>
              <w:rPr>
                <w:sz w:val="18"/>
                <w:szCs w:val="18"/>
              </w:rPr>
              <w:t>90</w:t>
            </w:r>
          </w:p>
        </w:tc>
        <w:tc>
          <w:tcPr>
            <w:tcW w:w="1418" w:type="dxa"/>
            <w:tcBorders>
              <w:top w:val="single" w:sz="4" w:space="0" w:color="auto"/>
              <w:left w:val="single" w:sz="4" w:space="0" w:color="auto"/>
              <w:bottom w:val="single" w:sz="4" w:space="0" w:color="auto"/>
              <w:right w:val="single" w:sz="4" w:space="0" w:color="auto"/>
            </w:tcBorders>
            <w:hideMark/>
          </w:tcPr>
          <w:p w14:paraId="2D08579D"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hideMark/>
          </w:tcPr>
          <w:p w14:paraId="3415E1BA" w14:textId="77777777" w:rsidR="00302BFE" w:rsidRDefault="00302BFE" w:rsidP="00243B15">
            <w:pPr>
              <w:spacing w:after="0"/>
              <w:rPr>
                <w:sz w:val="16"/>
                <w:szCs w:val="16"/>
              </w:rPr>
            </w:pPr>
            <w:r>
              <w:rPr>
                <w:sz w:val="16"/>
                <w:szCs w:val="16"/>
              </w:rPr>
              <w:t>Management committee</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6815F2E" w14:textId="77777777" w:rsidR="00302BFE" w:rsidRPr="00432006" w:rsidRDefault="00302BFE" w:rsidP="00243B15">
            <w:pPr>
              <w:spacing w:after="0"/>
              <w:rPr>
                <w:sz w:val="16"/>
                <w:szCs w:val="16"/>
                <w:lang w:val="en-CA"/>
              </w:rPr>
            </w:pPr>
            <w:r>
              <w:rPr>
                <w:sz w:val="16"/>
                <w:szCs w:val="16"/>
                <w:lang w:val="en-CA"/>
              </w:rPr>
              <w:t>No m</w:t>
            </w:r>
            <w:r w:rsidRPr="00794A76">
              <w:rPr>
                <w:sz w:val="16"/>
                <w:szCs w:val="16"/>
                <w:lang w:val="en-CA"/>
              </w:rPr>
              <w:t xml:space="preserve">anagement plan </w:t>
            </w:r>
            <w:r>
              <w:rPr>
                <w:sz w:val="16"/>
                <w:szCs w:val="16"/>
                <w:lang w:val="en-CA"/>
              </w:rPr>
              <w:t>or</w:t>
            </w:r>
            <w:r w:rsidRPr="00794A76">
              <w:rPr>
                <w:sz w:val="16"/>
                <w:szCs w:val="16"/>
                <w:lang w:val="en-CA"/>
              </w:rPr>
              <w:t xml:space="preserve"> specifications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6C2D53E8" w14:textId="77777777" w:rsidR="00302BFE" w:rsidRDefault="00302BFE" w:rsidP="00243B15">
            <w:pPr>
              <w:spacing w:after="0"/>
              <w:rPr>
                <w:sz w:val="18"/>
                <w:szCs w:val="18"/>
                <w:lang w:val="fr-CA"/>
              </w:rPr>
            </w:pPr>
            <w:r w:rsidRPr="00432006">
              <w:rPr>
                <w:sz w:val="16"/>
                <w:szCs w:val="16"/>
                <w:lang w:val="fr-CA"/>
              </w:rPr>
              <w:t xml:space="preserve">No </w:t>
            </w:r>
            <w:proofErr w:type="spellStart"/>
            <w:r w:rsidRPr="00432006">
              <w:rPr>
                <w:sz w:val="16"/>
                <w:szCs w:val="16"/>
                <w:lang w:val="fr-CA"/>
              </w:rPr>
              <w:t>reference</w:t>
            </w:r>
            <w:proofErr w:type="spellEnd"/>
            <w:r w:rsidRPr="00432006">
              <w:rPr>
                <w:sz w:val="16"/>
                <w:szCs w:val="16"/>
                <w:lang w:val="fr-CA"/>
              </w:rPr>
              <w:t xml:space="preserve"> of </w:t>
            </w:r>
            <w:proofErr w:type="spellStart"/>
            <w:r w:rsidRPr="00432006">
              <w:rPr>
                <w:sz w:val="16"/>
                <w:szCs w:val="16"/>
                <w:lang w:val="fr-CA"/>
              </w:rPr>
              <w:t>creation</w:t>
            </w:r>
            <w:proofErr w:type="spellEnd"/>
          </w:p>
        </w:tc>
      </w:tr>
      <w:tr w:rsidR="00302BFE" w14:paraId="4ED1A2B9"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615874DE" w14:textId="77777777" w:rsidR="00302BFE" w:rsidRDefault="00302BFE" w:rsidP="00243B15">
            <w:pPr>
              <w:spacing w:after="0"/>
              <w:rPr>
                <w:sz w:val="18"/>
                <w:szCs w:val="18"/>
              </w:rPr>
            </w:pPr>
            <w:proofErr w:type="spellStart"/>
            <w:r>
              <w:rPr>
                <w:sz w:val="18"/>
                <w:szCs w:val="18"/>
              </w:rPr>
              <w:t>Toécé</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19884CE8" w14:textId="77777777" w:rsidR="00302BFE" w:rsidRDefault="00302BFE" w:rsidP="00243B15">
            <w:pPr>
              <w:spacing w:after="0"/>
              <w:rPr>
                <w:sz w:val="18"/>
                <w:szCs w:val="18"/>
              </w:rPr>
            </w:pPr>
            <w:r>
              <w:rPr>
                <w:sz w:val="18"/>
                <w:szCs w:val="18"/>
              </w:rPr>
              <w:t>27</w:t>
            </w:r>
          </w:p>
        </w:tc>
        <w:tc>
          <w:tcPr>
            <w:tcW w:w="1418" w:type="dxa"/>
            <w:tcBorders>
              <w:top w:val="single" w:sz="4" w:space="0" w:color="auto"/>
              <w:left w:val="single" w:sz="4" w:space="0" w:color="auto"/>
              <w:bottom w:val="single" w:sz="4" w:space="0" w:color="auto"/>
              <w:right w:val="single" w:sz="4" w:space="0" w:color="auto"/>
            </w:tcBorders>
            <w:hideMark/>
          </w:tcPr>
          <w:p w14:paraId="1CFB151C"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hideMark/>
          </w:tcPr>
          <w:p w14:paraId="676588D2" w14:textId="77777777" w:rsidR="00302BFE" w:rsidRDefault="00302BFE" w:rsidP="00243B15">
            <w:pPr>
              <w:spacing w:after="0"/>
              <w:rPr>
                <w:sz w:val="18"/>
                <w:szCs w:val="18"/>
              </w:rPr>
            </w:pPr>
            <w:r>
              <w:rPr>
                <w:sz w:val="16"/>
                <w:szCs w:val="16"/>
              </w:rPr>
              <w:t>Management committee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3EBC3A" w14:textId="77777777" w:rsidR="00302BFE" w:rsidRDefault="00302BFE" w:rsidP="00243B15">
            <w:pPr>
              <w:spacing w:after="0"/>
              <w:jc w:val="left"/>
              <w:rPr>
                <w:sz w:val="16"/>
                <w:szCs w:val="16"/>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7D20A" w14:textId="77777777" w:rsidR="00302BFE" w:rsidRDefault="00302BFE" w:rsidP="00243B15">
            <w:pPr>
              <w:spacing w:after="0"/>
              <w:jc w:val="left"/>
              <w:rPr>
                <w:sz w:val="18"/>
                <w:szCs w:val="18"/>
                <w:lang w:val="fr-CA"/>
              </w:rPr>
            </w:pPr>
          </w:p>
        </w:tc>
      </w:tr>
      <w:tr w:rsidR="00302BFE" w14:paraId="1FBE95FE"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5B5C6BEC" w14:textId="77777777" w:rsidR="00302BFE" w:rsidRDefault="00302BFE" w:rsidP="00243B15">
            <w:pPr>
              <w:spacing w:after="0"/>
              <w:rPr>
                <w:sz w:val="18"/>
                <w:szCs w:val="18"/>
              </w:rPr>
            </w:pPr>
            <w:proofErr w:type="spellStart"/>
            <w:r>
              <w:rPr>
                <w:sz w:val="18"/>
                <w:szCs w:val="18"/>
              </w:rPr>
              <w:t>Sapouy</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03A518FA" w14:textId="77777777" w:rsidR="00302BFE" w:rsidRDefault="00302BFE" w:rsidP="00243B15">
            <w:pPr>
              <w:spacing w:after="0"/>
              <w:rPr>
                <w:sz w:val="18"/>
                <w:szCs w:val="18"/>
              </w:rPr>
            </w:pPr>
            <w:r>
              <w:rPr>
                <w:sz w:val="18"/>
                <w:szCs w:val="18"/>
              </w:rPr>
              <w:t>10</w:t>
            </w:r>
          </w:p>
        </w:tc>
        <w:tc>
          <w:tcPr>
            <w:tcW w:w="1418" w:type="dxa"/>
            <w:tcBorders>
              <w:top w:val="single" w:sz="4" w:space="0" w:color="auto"/>
              <w:left w:val="single" w:sz="4" w:space="0" w:color="auto"/>
              <w:bottom w:val="single" w:sz="4" w:space="0" w:color="auto"/>
              <w:right w:val="single" w:sz="4" w:space="0" w:color="auto"/>
            </w:tcBorders>
            <w:hideMark/>
          </w:tcPr>
          <w:p w14:paraId="6FBBD2EF"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hideMark/>
          </w:tcPr>
          <w:p w14:paraId="139809CC" w14:textId="77777777" w:rsidR="00302BFE" w:rsidRDefault="00302BFE" w:rsidP="00243B15">
            <w:pPr>
              <w:spacing w:after="0"/>
              <w:rPr>
                <w:sz w:val="18"/>
                <w:szCs w:val="18"/>
              </w:rPr>
            </w:pPr>
            <w:r>
              <w:rPr>
                <w:sz w:val="16"/>
                <w:szCs w:val="16"/>
              </w:rPr>
              <w:t>Management committee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BC8B09" w14:textId="77777777" w:rsidR="00302BFE" w:rsidRDefault="00302BFE" w:rsidP="00243B15">
            <w:pPr>
              <w:spacing w:after="0"/>
              <w:jc w:val="left"/>
              <w:rPr>
                <w:sz w:val="16"/>
                <w:szCs w:val="16"/>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2EAD63" w14:textId="77777777" w:rsidR="00302BFE" w:rsidRDefault="00302BFE" w:rsidP="00243B15">
            <w:pPr>
              <w:spacing w:after="0"/>
              <w:jc w:val="left"/>
              <w:rPr>
                <w:sz w:val="18"/>
                <w:szCs w:val="18"/>
                <w:lang w:val="fr-CA"/>
              </w:rPr>
            </w:pPr>
          </w:p>
        </w:tc>
      </w:tr>
      <w:tr w:rsidR="00302BFE" w14:paraId="1343D1B2"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shd w:val="clear" w:color="auto" w:fill="D0CECE"/>
            <w:hideMark/>
          </w:tcPr>
          <w:p w14:paraId="6D8D01BE" w14:textId="77777777" w:rsidR="00302BFE" w:rsidRDefault="00302BFE" w:rsidP="00243B15">
            <w:pPr>
              <w:spacing w:after="0"/>
              <w:rPr>
                <w:b/>
                <w:sz w:val="18"/>
                <w:szCs w:val="18"/>
              </w:rPr>
            </w:pPr>
            <w:r>
              <w:rPr>
                <w:b/>
                <w:sz w:val="18"/>
                <w:szCs w:val="18"/>
              </w:rPr>
              <w:t xml:space="preserve">Total area of commune forests </w:t>
            </w:r>
          </w:p>
        </w:tc>
        <w:tc>
          <w:tcPr>
            <w:tcW w:w="1134" w:type="dxa"/>
            <w:tcBorders>
              <w:top w:val="single" w:sz="4" w:space="0" w:color="auto"/>
              <w:left w:val="single" w:sz="4" w:space="0" w:color="auto"/>
              <w:bottom w:val="single" w:sz="4" w:space="0" w:color="auto"/>
              <w:right w:val="single" w:sz="4" w:space="0" w:color="auto"/>
            </w:tcBorders>
            <w:shd w:val="clear" w:color="auto" w:fill="D0CECE"/>
            <w:hideMark/>
          </w:tcPr>
          <w:p w14:paraId="5588D95F" w14:textId="77777777" w:rsidR="00302BFE" w:rsidRDefault="00302BFE" w:rsidP="00243B15">
            <w:pPr>
              <w:spacing w:after="0"/>
              <w:rPr>
                <w:b/>
                <w:sz w:val="18"/>
                <w:szCs w:val="18"/>
              </w:rPr>
            </w:pPr>
            <w:r>
              <w:rPr>
                <w:b/>
                <w:sz w:val="18"/>
                <w:szCs w:val="18"/>
              </w:rPr>
              <w:t>127</w:t>
            </w:r>
          </w:p>
        </w:tc>
        <w:tc>
          <w:tcPr>
            <w:tcW w:w="5245" w:type="dxa"/>
            <w:gridSpan w:val="4"/>
            <w:tcBorders>
              <w:top w:val="single" w:sz="4" w:space="0" w:color="auto"/>
              <w:left w:val="single" w:sz="4" w:space="0" w:color="auto"/>
              <w:bottom w:val="single" w:sz="4" w:space="0" w:color="auto"/>
              <w:right w:val="single" w:sz="4" w:space="0" w:color="auto"/>
            </w:tcBorders>
          </w:tcPr>
          <w:p w14:paraId="7E07FB62" w14:textId="77777777" w:rsidR="00302BFE" w:rsidRDefault="00302BFE" w:rsidP="00243B15">
            <w:pPr>
              <w:spacing w:after="0"/>
              <w:rPr>
                <w:sz w:val="18"/>
                <w:szCs w:val="18"/>
              </w:rPr>
            </w:pPr>
          </w:p>
        </w:tc>
      </w:tr>
      <w:tr w:rsidR="00302BFE" w14:paraId="712C2FBF" w14:textId="77777777" w:rsidTr="00243B15">
        <w:trPr>
          <w:jc w:val="center"/>
        </w:trPr>
        <w:tc>
          <w:tcPr>
            <w:tcW w:w="8784" w:type="dxa"/>
            <w:gridSpan w:val="6"/>
            <w:tcBorders>
              <w:top w:val="single" w:sz="4" w:space="0" w:color="auto"/>
              <w:left w:val="single" w:sz="4" w:space="0" w:color="auto"/>
              <w:bottom w:val="single" w:sz="4" w:space="0" w:color="auto"/>
              <w:right w:val="single" w:sz="4" w:space="0" w:color="auto"/>
            </w:tcBorders>
            <w:hideMark/>
          </w:tcPr>
          <w:p w14:paraId="2BD04D24" w14:textId="77777777" w:rsidR="00302BFE" w:rsidRDefault="00302BFE" w:rsidP="00243B15">
            <w:pPr>
              <w:spacing w:after="0"/>
              <w:rPr>
                <w:sz w:val="18"/>
                <w:szCs w:val="18"/>
              </w:rPr>
            </w:pPr>
            <w:r>
              <w:rPr>
                <w:b/>
                <w:sz w:val="18"/>
                <w:szCs w:val="18"/>
              </w:rPr>
              <w:t>Village Forests</w:t>
            </w:r>
          </w:p>
        </w:tc>
      </w:tr>
      <w:tr w:rsidR="00302BFE" w14:paraId="330BEB0C"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4730B224" w14:textId="77777777" w:rsidR="00302BFE" w:rsidRDefault="00302BFE" w:rsidP="00243B15">
            <w:pPr>
              <w:spacing w:after="0"/>
              <w:rPr>
                <w:sz w:val="18"/>
                <w:szCs w:val="18"/>
              </w:rPr>
            </w:pPr>
            <w:proofErr w:type="spellStart"/>
            <w:r>
              <w:rPr>
                <w:sz w:val="18"/>
                <w:szCs w:val="18"/>
              </w:rPr>
              <w:t>Yelbouga</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322EDD61" w14:textId="77777777" w:rsidR="00302BFE" w:rsidRDefault="00302BFE" w:rsidP="00243B15">
            <w:pPr>
              <w:spacing w:after="0"/>
              <w:rPr>
                <w:sz w:val="18"/>
                <w:szCs w:val="18"/>
              </w:rPr>
            </w:pPr>
            <w:r>
              <w:rPr>
                <w:sz w:val="18"/>
                <w:szCs w:val="18"/>
              </w:rPr>
              <w:t>1</w:t>
            </w:r>
          </w:p>
        </w:tc>
        <w:tc>
          <w:tcPr>
            <w:tcW w:w="1418" w:type="dxa"/>
            <w:tcBorders>
              <w:top w:val="single" w:sz="4" w:space="0" w:color="auto"/>
              <w:left w:val="single" w:sz="4" w:space="0" w:color="auto"/>
              <w:bottom w:val="single" w:sz="4" w:space="0" w:color="auto"/>
              <w:right w:val="single" w:sz="4" w:space="0" w:color="auto"/>
            </w:tcBorders>
            <w:hideMark/>
          </w:tcPr>
          <w:p w14:paraId="4AEFA4F5"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66983939" w14:textId="77777777" w:rsidR="00302BFE" w:rsidRDefault="00302BFE" w:rsidP="00243B15">
            <w:pPr>
              <w:spacing w:after="0"/>
              <w:rPr>
                <w:sz w:val="18"/>
                <w:szCs w:val="18"/>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78D820F6" w14:textId="77777777" w:rsidR="00302BFE" w:rsidRPr="00432006" w:rsidRDefault="00302BFE" w:rsidP="00243B15">
            <w:pPr>
              <w:spacing w:after="0"/>
              <w:rPr>
                <w:sz w:val="18"/>
                <w:szCs w:val="18"/>
                <w:lang w:val="en-CA"/>
              </w:rPr>
            </w:pPr>
            <w:r>
              <w:rPr>
                <w:sz w:val="16"/>
                <w:szCs w:val="16"/>
                <w:lang w:val="en-CA"/>
              </w:rPr>
              <w:t>No m</w:t>
            </w:r>
            <w:r w:rsidRPr="00794A76">
              <w:rPr>
                <w:sz w:val="16"/>
                <w:szCs w:val="16"/>
                <w:lang w:val="en-CA"/>
              </w:rPr>
              <w:t xml:space="preserve">anagement plan </w:t>
            </w:r>
            <w:r>
              <w:rPr>
                <w:sz w:val="16"/>
                <w:szCs w:val="16"/>
                <w:lang w:val="en-CA"/>
              </w:rPr>
              <w:t>or</w:t>
            </w:r>
            <w:r w:rsidRPr="00794A76">
              <w:rPr>
                <w:sz w:val="16"/>
                <w:szCs w:val="16"/>
                <w:lang w:val="en-CA"/>
              </w:rPr>
              <w:t xml:space="preserve"> specifications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67574BB" w14:textId="77777777" w:rsidR="00302BFE" w:rsidRDefault="00302BFE" w:rsidP="00243B15">
            <w:pPr>
              <w:spacing w:after="0"/>
              <w:rPr>
                <w:sz w:val="18"/>
                <w:szCs w:val="18"/>
                <w:lang w:val="fr-CA"/>
              </w:rPr>
            </w:pPr>
            <w:r w:rsidRPr="00432006">
              <w:rPr>
                <w:sz w:val="16"/>
                <w:szCs w:val="16"/>
                <w:lang w:val="fr-CA"/>
              </w:rPr>
              <w:t xml:space="preserve">No </w:t>
            </w:r>
            <w:proofErr w:type="spellStart"/>
            <w:r w:rsidRPr="00432006">
              <w:rPr>
                <w:sz w:val="16"/>
                <w:szCs w:val="16"/>
                <w:lang w:val="fr-CA"/>
              </w:rPr>
              <w:t>reference</w:t>
            </w:r>
            <w:proofErr w:type="spellEnd"/>
            <w:r w:rsidRPr="00432006">
              <w:rPr>
                <w:sz w:val="16"/>
                <w:szCs w:val="16"/>
                <w:lang w:val="fr-CA"/>
              </w:rPr>
              <w:t xml:space="preserve"> of </w:t>
            </w:r>
            <w:proofErr w:type="spellStart"/>
            <w:r w:rsidRPr="00432006">
              <w:rPr>
                <w:sz w:val="16"/>
                <w:szCs w:val="16"/>
                <w:lang w:val="fr-CA"/>
              </w:rPr>
              <w:t>creation</w:t>
            </w:r>
            <w:proofErr w:type="spellEnd"/>
          </w:p>
        </w:tc>
      </w:tr>
      <w:tr w:rsidR="00302BFE" w14:paraId="1C829C66"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6B44FF47" w14:textId="77777777" w:rsidR="00302BFE" w:rsidRDefault="00302BFE" w:rsidP="00243B15">
            <w:pPr>
              <w:spacing w:after="0"/>
              <w:rPr>
                <w:sz w:val="18"/>
                <w:szCs w:val="18"/>
              </w:rPr>
            </w:pPr>
            <w:proofErr w:type="spellStart"/>
            <w:r>
              <w:rPr>
                <w:sz w:val="18"/>
                <w:szCs w:val="18"/>
              </w:rPr>
              <w:lastRenderedPageBreak/>
              <w:t>Kaga</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5102316A" w14:textId="77777777" w:rsidR="00302BFE" w:rsidRDefault="00302BFE" w:rsidP="00243B15">
            <w:pPr>
              <w:spacing w:after="0"/>
              <w:rPr>
                <w:sz w:val="18"/>
                <w:szCs w:val="18"/>
              </w:rPr>
            </w:pPr>
            <w:r>
              <w:rPr>
                <w:sz w:val="18"/>
                <w:szCs w:val="18"/>
              </w:rPr>
              <w:t>100</w:t>
            </w:r>
          </w:p>
        </w:tc>
        <w:tc>
          <w:tcPr>
            <w:tcW w:w="1418" w:type="dxa"/>
            <w:tcBorders>
              <w:top w:val="single" w:sz="4" w:space="0" w:color="auto"/>
              <w:left w:val="single" w:sz="4" w:space="0" w:color="auto"/>
              <w:bottom w:val="single" w:sz="4" w:space="0" w:color="auto"/>
              <w:right w:val="single" w:sz="4" w:space="0" w:color="auto"/>
            </w:tcBorders>
            <w:hideMark/>
          </w:tcPr>
          <w:p w14:paraId="5C2E9BA1"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03154D74"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490613"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7AE3D2" w14:textId="77777777" w:rsidR="00302BFE" w:rsidRDefault="00302BFE" w:rsidP="00243B15">
            <w:pPr>
              <w:spacing w:after="0"/>
              <w:jc w:val="left"/>
              <w:rPr>
                <w:sz w:val="18"/>
                <w:szCs w:val="18"/>
                <w:lang w:val="fr-CA"/>
              </w:rPr>
            </w:pPr>
          </w:p>
        </w:tc>
      </w:tr>
      <w:tr w:rsidR="00302BFE" w14:paraId="5AAD9905"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59B6B5DE" w14:textId="77777777" w:rsidR="00302BFE" w:rsidRDefault="00302BFE" w:rsidP="00243B15">
            <w:pPr>
              <w:spacing w:after="0"/>
              <w:rPr>
                <w:sz w:val="18"/>
                <w:szCs w:val="18"/>
              </w:rPr>
            </w:pPr>
            <w:proofErr w:type="spellStart"/>
            <w:r>
              <w:rPr>
                <w:sz w:val="18"/>
                <w:szCs w:val="18"/>
              </w:rPr>
              <w:t>Dongo</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516BE40F" w14:textId="77777777" w:rsidR="00302BFE" w:rsidRDefault="00302BFE" w:rsidP="00243B15">
            <w:pPr>
              <w:spacing w:after="0"/>
              <w:rPr>
                <w:sz w:val="18"/>
                <w:szCs w:val="18"/>
              </w:rPr>
            </w:pPr>
            <w:r>
              <w:rPr>
                <w:sz w:val="18"/>
                <w:szCs w:val="18"/>
              </w:rPr>
              <w:t>30</w:t>
            </w:r>
          </w:p>
        </w:tc>
        <w:tc>
          <w:tcPr>
            <w:tcW w:w="1418" w:type="dxa"/>
            <w:tcBorders>
              <w:top w:val="single" w:sz="4" w:space="0" w:color="auto"/>
              <w:left w:val="single" w:sz="4" w:space="0" w:color="auto"/>
              <w:bottom w:val="single" w:sz="4" w:space="0" w:color="auto"/>
              <w:right w:val="single" w:sz="4" w:space="0" w:color="auto"/>
            </w:tcBorders>
            <w:hideMark/>
          </w:tcPr>
          <w:p w14:paraId="3318E832"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5D908A59"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185D6A"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C46041" w14:textId="77777777" w:rsidR="00302BFE" w:rsidRDefault="00302BFE" w:rsidP="00243B15">
            <w:pPr>
              <w:spacing w:after="0"/>
              <w:jc w:val="left"/>
              <w:rPr>
                <w:sz w:val="18"/>
                <w:szCs w:val="18"/>
                <w:lang w:val="fr-CA"/>
              </w:rPr>
            </w:pPr>
          </w:p>
        </w:tc>
      </w:tr>
      <w:tr w:rsidR="00302BFE" w14:paraId="79D773D3"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50D434F3" w14:textId="77777777" w:rsidR="00302BFE" w:rsidRDefault="00302BFE" w:rsidP="00243B15">
            <w:pPr>
              <w:spacing w:after="0"/>
              <w:rPr>
                <w:sz w:val="18"/>
                <w:szCs w:val="18"/>
              </w:rPr>
            </w:pPr>
            <w:proofErr w:type="spellStart"/>
            <w:r>
              <w:rPr>
                <w:sz w:val="18"/>
                <w:szCs w:val="18"/>
              </w:rPr>
              <w:t>Silimba</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780029D6" w14:textId="77777777" w:rsidR="00302BFE" w:rsidRDefault="00302BFE" w:rsidP="00243B15">
            <w:pPr>
              <w:spacing w:after="0"/>
              <w:rPr>
                <w:sz w:val="18"/>
                <w:szCs w:val="18"/>
              </w:rPr>
            </w:pPr>
            <w:r>
              <w:rPr>
                <w:sz w:val="18"/>
                <w:szCs w:val="18"/>
              </w:rPr>
              <w:t>10</w:t>
            </w:r>
          </w:p>
        </w:tc>
        <w:tc>
          <w:tcPr>
            <w:tcW w:w="1418" w:type="dxa"/>
            <w:tcBorders>
              <w:top w:val="single" w:sz="4" w:space="0" w:color="auto"/>
              <w:left w:val="single" w:sz="4" w:space="0" w:color="auto"/>
              <w:bottom w:val="single" w:sz="4" w:space="0" w:color="auto"/>
              <w:right w:val="single" w:sz="4" w:space="0" w:color="auto"/>
            </w:tcBorders>
            <w:hideMark/>
          </w:tcPr>
          <w:p w14:paraId="3951F599"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1847B5FE"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1D88B9"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12E492" w14:textId="77777777" w:rsidR="00302BFE" w:rsidRDefault="00302BFE" w:rsidP="00243B15">
            <w:pPr>
              <w:spacing w:after="0"/>
              <w:jc w:val="left"/>
              <w:rPr>
                <w:sz w:val="18"/>
                <w:szCs w:val="18"/>
                <w:lang w:val="fr-CA"/>
              </w:rPr>
            </w:pPr>
          </w:p>
        </w:tc>
      </w:tr>
      <w:tr w:rsidR="00302BFE" w14:paraId="4681BE87"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59836E18" w14:textId="77777777" w:rsidR="00302BFE" w:rsidRDefault="00302BFE" w:rsidP="00243B15">
            <w:pPr>
              <w:spacing w:after="0"/>
              <w:rPr>
                <w:sz w:val="18"/>
                <w:szCs w:val="18"/>
              </w:rPr>
            </w:pPr>
            <w:proofErr w:type="spellStart"/>
            <w:r>
              <w:rPr>
                <w:sz w:val="18"/>
                <w:szCs w:val="18"/>
              </w:rPr>
              <w:t>Rakaye</w:t>
            </w:r>
            <w:proofErr w:type="spellEnd"/>
            <w:r>
              <w:rPr>
                <w:sz w:val="18"/>
                <w:szCs w:val="18"/>
              </w:rPr>
              <w:t xml:space="preserve"> </w:t>
            </w:r>
            <w:proofErr w:type="spellStart"/>
            <w:r>
              <w:rPr>
                <w:sz w:val="18"/>
                <w:szCs w:val="18"/>
              </w:rPr>
              <w:t>Mossi</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22238615" w14:textId="77777777" w:rsidR="00302BFE" w:rsidRDefault="00302BFE" w:rsidP="00243B15">
            <w:pPr>
              <w:spacing w:after="0"/>
              <w:rPr>
                <w:sz w:val="18"/>
                <w:szCs w:val="18"/>
              </w:rPr>
            </w:pPr>
            <w:r>
              <w:rPr>
                <w:sz w:val="18"/>
                <w:szCs w:val="18"/>
              </w:rPr>
              <w:t>10</w:t>
            </w:r>
          </w:p>
        </w:tc>
        <w:tc>
          <w:tcPr>
            <w:tcW w:w="1418" w:type="dxa"/>
            <w:tcBorders>
              <w:top w:val="single" w:sz="4" w:space="0" w:color="auto"/>
              <w:left w:val="single" w:sz="4" w:space="0" w:color="auto"/>
              <w:bottom w:val="single" w:sz="4" w:space="0" w:color="auto"/>
              <w:right w:val="single" w:sz="4" w:space="0" w:color="auto"/>
            </w:tcBorders>
            <w:hideMark/>
          </w:tcPr>
          <w:p w14:paraId="47DB94AB"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4DE33112"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DE6E49"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39ABD4" w14:textId="77777777" w:rsidR="00302BFE" w:rsidRDefault="00302BFE" w:rsidP="00243B15">
            <w:pPr>
              <w:spacing w:after="0"/>
              <w:jc w:val="left"/>
              <w:rPr>
                <w:sz w:val="18"/>
                <w:szCs w:val="18"/>
                <w:lang w:val="fr-CA"/>
              </w:rPr>
            </w:pPr>
          </w:p>
        </w:tc>
      </w:tr>
      <w:tr w:rsidR="00302BFE" w14:paraId="3A06EC59"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7A772B10" w14:textId="77777777" w:rsidR="00302BFE" w:rsidRDefault="00302BFE" w:rsidP="00243B15">
            <w:pPr>
              <w:spacing w:after="0"/>
              <w:rPr>
                <w:sz w:val="18"/>
                <w:szCs w:val="18"/>
              </w:rPr>
            </w:pPr>
            <w:proofErr w:type="spellStart"/>
            <w:r>
              <w:rPr>
                <w:sz w:val="18"/>
                <w:szCs w:val="18"/>
              </w:rPr>
              <w:t>Rakaye</w:t>
            </w:r>
            <w:proofErr w:type="spellEnd"/>
            <w:r>
              <w:rPr>
                <w:sz w:val="18"/>
                <w:szCs w:val="18"/>
              </w:rPr>
              <w:t xml:space="preserve"> </w:t>
            </w:r>
            <w:proofErr w:type="spellStart"/>
            <w:r>
              <w:rPr>
                <w:sz w:val="18"/>
                <w:szCs w:val="18"/>
              </w:rPr>
              <w:t>Yarcé</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48BC05D7" w14:textId="77777777" w:rsidR="00302BFE" w:rsidRDefault="00302BFE" w:rsidP="00243B15">
            <w:pPr>
              <w:spacing w:after="0"/>
              <w:rPr>
                <w:sz w:val="18"/>
                <w:szCs w:val="18"/>
              </w:rPr>
            </w:pPr>
            <w:r>
              <w:rPr>
                <w:sz w:val="18"/>
                <w:szCs w:val="18"/>
              </w:rPr>
              <w:t>10</w:t>
            </w:r>
          </w:p>
        </w:tc>
        <w:tc>
          <w:tcPr>
            <w:tcW w:w="1418" w:type="dxa"/>
            <w:tcBorders>
              <w:top w:val="single" w:sz="4" w:space="0" w:color="auto"/>
              <w:left w:val="single" w:sz="4" w:space="0" w:color="auto"/>
              <w:bottom w:val="single" w:sz="4" w:space="0" w:color="auto"/>
              <w:right w:val="single" w:sz="4" w:space="0" w:color="auto"/>
            </w:tcBorders>
            <w:hideMark/>
          </w:tcPr>
          <w:p w14:paraId="7038DADA"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5030BD8D"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E4BAD6"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E0A42B" w14:textId="77777777" w:rsidR="00302BFE" w:rsidRDefault="00302BFE" w:rsidP="00243B15">
            <w:pPr>
              <w:spacing w:after="0"/>
              <w:jc w:val="left"/>
              <w:rPr>
                <w:sz w:val="18"/>
                <w:szCs w:val="18"/>
                <w:lang w:val="fr-CA"/>
              </w:rPr>
            </w:pPr>
          </w:p>
        </w:tc>
      </w:tr>
      <w:tr w:rsidR="00302BFE" w14:paraId="4615BAE2"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36A5ED5F" w14:textId="77777777" w:rsidR="00302BFE" w:rsidRDefault="00302BFE" w:rsidP="00243B15">
            <w:pPr>
              <w:spacing w:after="0"/>
              <w:rPr>
                <w:sz w:val="18"/>
                <w:szCs w:val="18"/>
              </w:rPr>
            </w:pPr>
            <w:proofErr w:type="spellStart"/>
            <w:r>
              <w:rPr>
                <w:sz w:val="18"/>
                <w:szCs w:val="18"/>
              </w:rPr>
              <w:t>Souli</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16902397" w14:textId="77777777" w:rsidR="00302BFE" w:rsidRDefault="00302BFE" w:rsidP="00243B15">
            <w:pPr>
              <w:spacing w:after="0"/>
              <w:rPr>
                <w:sz w:val="18"/>
                <w:szCs w:val="18"/>
              </w:rPr>
            </w:pPr>
            <w:r>
              <w:rPr>
                <w:sz w:val="18"/>
                <w:szCs w:val="18"/>
              </w:rPr>
              <w:t>10</w:t>
            </w:r>
          </w:p>
        </w:tc>
        <w:tc>
          <w:tcPr>
            <w:tcW w:w="1418" w:type="dxa"/>
            <w:tcBorders>
              <w:top w:val="single" w:sz="4" w:space="0" w:color="auto"/>
              <w:left w:val="single" w:sz="4" w:space="0" w:color="auto"/>
              <w:bottom w:val="single" w:sz="4" w:space="0" w:color="auto"/>
              <w:right w:val="single" w:sz="4" w:space="0" w:color="auto"/>
            </w:tcBorders>
            <w:hideMark/>
          </w:tcPr>
          <w:p w14:paraId="32B215AC"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74F63BB3"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5D4887"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B41852" w14:textId="77777777" w:rsidR="00302BFE" w:rsidRDefault="00302BFE" w:rsidP="00243B15">
            <w:pPr>
              <w:spacing w:after="0"/>
              <w:jc w:val="left"/>
              <w:rPr>
                <w:sz w:val="18"/>
                <w:szCs w:val="18"/>
                <w:lang w:val="fr-CA"/>
              </w:rPr>
            </w:pPr>
          </w:p>
        </w:tc>
      </w:tr>
      <w:tr w:rsidR="00302BFE" w14:paraId="503FB137"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4AAF59AD" w14:textId="77777777" w:rsidR="00302BFE" w:rsidRDefault="00302BFE" w:rsidP="00243B15">
            <w:pPr>
              <w:spacing w:after="0"/>
              <w:rPr>
                <w:sz w:val="18"/>
                <w:szCs w:val="18"/>
              </w:rPr>
            </w:pPr>
            <w:proofErr w:type="spellStart"/>
            <w:r>
              <w:rPr>
                <w:sz w:val="18"/>
                <w:szCs w:val="18"/>
              </w:rPr>
              <w:t>Guidissi</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44101910" w14:textId="77777777" w:rsidR="00302BFE" w:rsidRDefault="00302BFE" w:rsidP="00243B15">
            <w:pPr>
              <w:spacing w:after="0"/>
              <w:rPr>
                <w:sz w:val="18"/>
                <w:szCs w:val="18"/>
              </w:rPr>
            </w:pPr>
            <w:r>
              <w:rPr>
                <w:sz w:val="18"/>
                <w:szCs w:val="18"/>
              </w:rPr>
              <w:t>10</w:t>
            </w:r>
          </w:p>
        </w:tc>
        <w:tc>
          <w:tcPr>
            <w:tcW w:w="1418" w:type="dxa"/>
            <w:tcBorders>
              <w:top w:val="single" w:sz="4" w:space="0" w:color="auto"/>
              <w:left w:val="single" w:sz="4" w:space="0" w:color="auto"/>
              <w:bottom w:val="single" w:sz="4" w:space="0" w:color="auto"/>
              <w:right w:val="single" w:sz="4" w:space="0" w:color="auto"/>
            </w:tcBorders>
            <w:hideMark/>
          </w:tcPr>
          <w:p w14:paraId="389E6523"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2F9ABFE4"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C04EF0"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A14779" w14:textId="77777777" w:rsidR="00302BFE" w:rsidRDefault="00302BFE" w:rsidP="00243B15">
            <w:pPr>
              <w:spacing w:after="0"/>
              <w:jc w:val="left"/>
              <w:rPr>
                <w:sz w:val="18"/>
                <w:szCs w:val="18"/>
                <w:lang w:val="fr-CA"/>
              </w:rPr>
            </w:pPr>
          </w:p>
        </w:tc>
      </w:tr>
      <w:tr w:rsidR="00302BFE" w14:paraId="2C285054"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367E7707" w14:textId="77777777" w:rsidR="00302BFE" w:rsidRDefault="00302BFE" w:rsidP="00243B15">
            <w:pPr>
              <w:spacing w:after="0"/>
              <w:rPr>
                <w:sz w:val="18"/>
                <w:szCs w:val="18"/>
              </w:rPr>
            </w:pPr>
            <w:proofErr w:type="spellStart"/>
            <w:r>
              <w:rPr>
                <w:sz w:val="18"/>
                <w:szCs w:val="18"/>
              </w:rPr>
              <w:t>Toebanega</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2CA91E89" w14:textId="77777777" w:rsidR="00302BFE" w:rsidRDefault="00302BFE" w:rsidP="00243B15">
            <w:pPr>
              <w:spacing w:after="0"/>
              <w:rPr>
                <w:sz w:val="18"/>
                <w:szCs w:val="18"/>
              </w:rPr>
            </w:pPr>
            <w:r>
              <w:rPr>
                <w:sz w:val="18"/>
                <w:szCs w:val="18"/>
              </w:rPr>
              <w:t>6</w:t>
            </w:r>
          </w:p>
        </w:tc>
        <w:tc>
          <w:tcPr>
            <w:tcW w:w="1418" w:type="dxa"/>
            <w:tcBorders>
              <w:top w:val="single" w:sz="4" w:space="0" w:color="auto"/>
              <w:left w:val="single" w:sz="4" w:space="0" w:color="auto"/>
              <w:bottom w:val="single" w:sz="4" w:space="0" w:color="auto"/>
              <w:right w:val="single" w:sz="4" w:space="0" w:color="auto"/>
            </w:tcBorders>
            <w:hideMark/>
          </w:tcPr>
          <w:p w14:paraId="6F05432F"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37EF64FA"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018AE2"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39E58E" w14:textId="77777777" w:rsidR="00302BFE" w:rsidRDefault="00302BFE" w:rsidP="00243B15">
            <w:pPr>
              <w:spacing w:after="0"/>
              <w:jc w:val="left"/>
              <w:rPr>
                <w:sz w:val="18"/>
                <w:szCs w:val="18"/>
                <w:lang w:val="fr-CA"/>
              </w:rPr>
            </w:pPr>
          </w:p>
        </w:tc>
      </w:tr>
      <w:tr w:rsidR="00302BFE" w14:paraId="6077A980"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219E74E5" w14:textId="77777777" w:rsidR="00302BFE" w:rsidRDefault="00302BFE" w:rsidP="00243B15">
            <w:pPr>
              <w:spacing w:after="0"/>
              <w:rPr>
                <w:sz w:val="18"/>
                <w:szCs w:val="18"/>
              </w:rPr>
            </w:pPr>
            <w:proofErr w:type="spellStart"/>
            <w:r>
              <w:rPr>
                <w:sz w:val="18"/>
                <w:szCs w:val="18"/>
              </w:rPr>
              <w:t>Nabdogo</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56F72884" w14:textId="77777777" w:rsidR="00302BFE" w:rsidRDefault="00302BFE" w:rsidP="00243B15">
            <w:pPr>
              <w:spacing w:after="0"/>
              <w:rPr>
                <w:sz w:val="18"/>
                <w:szCs w:val="18"/>
              </w:rPr>
            </w:pPr>
            <w:r>
              <w:rPr>
                <w:sz w:val="18"/>
                <w:szCs w:val="18"/>
              </w:rPr>
              <w:t>10</w:t>
            </w:r>
          </w:p>
        </w:tc>
        <w:tc>
          <w:tcPr>
            <w:tcW w:w="1418" w:type="dxa"/>
            <w:tcBorders>
              <w:top w:val="single" w:sz="4" w:space="0" w:color="auto"/>
              <w:left w:val="single" w:sz="4" w:space="0" w:color="auto"/>
              <w:bottom w:val="single" w:sz="4" w:space="0" w:color="auto"/>
              <w:right w:val="single" w:sz="4" w:space="0" w:color="auto"/>
            </w:tcBorders>
            <w:hideMark/>
          </w:tcPr>
          <w:p w14:paraId="62DA3A0D"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68F1E65A"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1EFE89"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17A090" w14:textId="77777777" w:rsidR="00302BFE" w:rsidRDefault="00302BFE" w:rsidP="00243B15">
            <w:pPr>
              <w:spacing w:after="0"/>
              <w:jc w:val="left"/>
              <w:rPr>
                <w:sz w:val="18"/>
                <w:szCs w:val="18"/>
                <w:lang w:val="fr-CA"/>
              </w:rPr>
            </w:pPr>
          </w:p>
        </w:tc>
      </w:tr>
      <w:tr w:rsidR="00302BFE" w14:paraId="00794C6A"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69AE70A2" w14:textId="77777777" w:rsidR="00302BFE" w:rsidRDefault="00302BFE" w:rsidP="00243B15">
            <w:pPr>
              <w:spacing w:after="0"/>
              <w:rPr>
                <w:sz w:val="18"/>
                <w:szCs w:val="18"/>
              </w:rPr>
            </w:pPr>
            <w:proofErr w:type="spellStart"/>
            <w:r>
              <w:rPr>
                <w:sz w:val="18"/>
                <w:szCs w:val="18"/>
              </w:rPr>
              <w:t>Toghin</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6423EE96" w14:textId="77777777" w:rsidR="00302BFE" w:rsidRDefault="00302BFE" w:rsidP="00243B15">
            <w:pPr>
              <w:spacing w:after="0"/>
              <w:rPr>
                <w:sz w:val="18"/>
                <w:szCs w:val="18"/>
              </w:rPr>
            </w:pPr>
            <w:r>
              <w:rPr>
                <w:sz w:val="18"/>
                <w:szCs w:val="18"/>
              </w:rPr>
              <w:t>20</w:t>
            </w:r>
          </w:p>
        </w:tc>
        <w:tc>
          <w:tcPr>
            <w:tcW w:w="1418" w:type="dxa"/>
            <w:tcBorders>
              <w:top w:val="single" w:sz="4" w:space="0" w:color="auto"/>
              <w:left w:val="single" w:sz="4" w:space="0" w:color="auto"/>
              <w:bottom w:val="single" w:sz="4" w:space="0" w:color="auto"/>
              <w:right w:val="single" w:sz="4" w:space="0" w:color="auto"/>
            </w:tcBorders>
            <w:hideMark/>
          </w:tcPr>
          <w:p w14:paraId="5184D45F"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6FD41F38"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BE97F6"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D89282" w14:textId="77777777" w:rsidR="00302BFE" w:rsidRDefault="00302BFE" w:rsidP="00243B15">
            <w:pPr>
              <w:spacing w:after="0"/>
              <w:jc w:val="left"/>
              <w:rPr>
                <w:sz w:val="18"/>
                <w:szCs w:val="18"/>
                <w:lang w:val="fr-CA"/>
              </w:rPr>
            </w:pPr>
          </w:p>
        </w:tc>
      </w:tr>
      <w:tr w:rsidR="00302BFE" w14:paraId="0D9CBE68"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4875210D" w14:textId="77777777" w:rsidR="00302BFE" w:rsidRDefault="00302BFE" w:rsidP="00243B15">
            <w:pPr>
              <w:spacing w:after="0"/>
              <w:rPr>
                <w:sz w:val="18"/>
                <w:szCs w:val="18"/>
              </w:rPr>
            </w:pPr>
            <w:r>
              <w:rPr>
                <w:sz w:val="18"/>
                <w:szCs w:val="18"/>
              </w:rPr>
              <w:t>Godin</w:t>
            </w:r>
          </w:p>
        </w:tc>
        <w:tc>
          <w:tcPr>
            <w:tcW w:w="1134" w:type="dxa"/>
            <w:tcBorders>
              <w:top w:val="single" w:sz="4" w:space="0" w:color="auto"/>
              <w:left w:val="single" w:sz="4" w:space="0" w:color="auto"/>
              <w:bottom w:val="single" w:sz="4" w:space="0" w:color="auto"/>
              <w:right w:val="single" w:sz="4" w:space="0" w:color="auto"/>
            </w:tcBorders>
            <w:hideMark/>
          </w:tcPr>
          <w:p w14:paraId="5081BF72" w14:textId="77777777" w:rsidR="00302BFE" w:rsidRDefault="00302BFE" w:rsidP="00243B15">
            <w:pPr>
              <w:spacing w:after="0"/>
              <w:rPr>
                <w:sz w:val="18"/>
                <w:szCs w:val="18"/>
              </w:rPr>
            </w:pPr>
            <w:r>
              <w:rPr>
                <w:sz w:val="18"/>
                <w:szCs w:val="18"/>
              </w:rPr>
              <w:t>10</w:t>
            </w:r>
          </w:p>
        </w:tc>
        <w:tc>
          <w:tcPr>
            <w:tcW w:w="1418" w:type="dxa"/>
            <w:tcBorders>
              <w:top w:val="single" w:sz="4" w:space="0" w:color="auto"/>
              <w:left w:val="single" w:sz="4" w:space="0" w:color="auto"/>
              <w:bottom w:val="single" w:sz="4" w:space="0" w:color="auto"/>
              <w:right w:val="single" w:sz="4" w:space="0" w:color="auto"/>
            </w:tcBorders>
            <w:hideMark/>
          </w:tcPr>
          <w:p w14:paraId="1C9A67E9"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6A9113E8"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B5A94F"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2D2979" w14:textId="77777777" w:rsidR="00302BFE" w:rsidRDefault="00302BFE" w:rsidP="00243B15">
            <w:pPr>
              <w:spacing w:after="0"/>
              <w:jc w:val="left"/>
              <w:rPr>
                <w:sz w:val="18"/>
                <w:szCs w:val="18"/>
                <w:lang w:val="fr-CA"/>
              </w:rPr>
            </w:pPr>
          </w:p>
        </w:tc>
      </w:tr>
      <w:tr w:rsidR="00302BFE" w14:paraId="5E128696"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51415F24" w14:textId="77777777" w:rsidR="00302BFE" w:rsidRDefault="00302BFE" w:rsidP="00243B15">
            <w:pPr>
              <w:spacing w:after="0"/>
              <w:rPr>
                <w:sz w:val="18"/>
                <w:szCs w:val="18"/>
              </w:rPr>
            </w:pPr>
            <w:proofErr w:type="spellStart"/>
            <w:r>
              <w:rPr>
                <w:sz w:val="18"/>
                <w:szCs w:val="18"/>
              </w:rPr>
              <w:t>Seloguin</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53EBCD3B" w14:textId="77777777" w:rsidR="00302BFE" w:rsidRDefault="00302BFE" w:rsidP="00243B15">
            <w:pPr>
              <w:spacing w:after="0"/>
              <w:rPr>
                <w:sz w:val="18"/>
                <w:szCs w:val="18"/>
              </w:rPr>
            </w:pPr>
            <w:r>
              <w:rPr>
                <w:sz w:val="18"/>
                <w:szCs w:val="18"/>
              </w:rPr>
              <w:t>10</w:t>
            </w:r>
          </w:p>
        </w:tc>
        <w:tc>
          <w:tcPr>
            <w:tcW w:w="1418" w:type="dxa"/>
            <w:tcBorders>
              <w:top w:val="single" w:sz="4" w:space="0" w:color="auto"/>
              <w:left w:val="single" w:sz="4" w:space="0" w:color="auto"/>
              <w:bottom w:val="single" w:sz="4" w:space="0" w:color="auto"/>
              <w:right w:val="single" w:sz="4" w:space="0" w:color="auto"/>
            </w:tcBorders>
            <w:hideMark/>
          </w:tcPr>
          <w:p w14:paraId="182D3284"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18F7C2E1"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FBEBCE"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923546" w14:textId="77777777" w:rsidR="00302BFE" w:rsidRDefault="00302BFE" w:rsidP="00243B15">
            <w:pPr>
              <w:spacing w:after="0"/>
              <w:jc w:val="left"/>
              <w:rPr>
                <w:sz w:val="18"/>
                <w:szCs w:val="18"/>
                <w:lang w:val="fr-CA"/>
              </w:rPr>
            </w:pPr>
          </w:p>
        </w:tc>
      </w:tr>
      <w:tr w:rsidR="00302BFE" w14:paraId="4B864BF4"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07C1FF43" w14:textId="77777777" w:rsidR="00302BFE" w:rsidRDefault="00302BFE" w:rsidP="00243B15">
            <w:pPr>
              <w:spacing w:after="0"/>
              <w:rPr>
                <w:sz w:val="18"/>
                <w:szCs w:val="18"/>
              </w:rPr>
            </w:pPr>
            <w:r>
              <w:rPr>
                <w:sz w:val="18"/>
                <w:szCs w:val="18"/>
              </w:rPr>
              <w:t>Yanga</w:t>
            </w:r>
          </w:p>
        </w:tc>
        <w:tc>
          <w:tcPr>
            <w:tcW w:w="1134" w:type="dxa"/>
            <w:tcBorders>
              <w:top w:val="single" w:sz="4" w:space="0" w:color="auto"/>
              <w:left w:val="single" w:sz="4" w:space="0" w:color="auto"/>
              <w:bottom w:val="single" w:sz="4" w:space="0" w:color="auto"/>
              <w:right w:val="single" w:sz="4" w:space="0" w:color="auto"/>
            </w:tcBorders>
            <w:hideMark/>
          </w:tcPr>
          <w:p w14:paraId="386A6DDB" w14:textId="77777777" w:rsidR="00302BFE" w:rsidRDefault="00302BFE" w:rsidP="00243B15">
            <w:pPr>
              <w:spacing w:after="0"/>
              <w:rPr>
                <w:sz w:val="18"/>
                <w:szCs w:val="18"/>
              </w:rPr>
            </w:pPr>
            <w:r>
              <w:rPr>
                <w:sz w:val="18"/>
                <w:szCs w:val="18"/>
              </w:rPr>
              <w:t>30</w:t>
            </w:r>
          </w:p>
        </w:tc>
        <w:tc>
          <w:tcPr>
            <w:tcW w:w="1418" w:type="dxa"/>
            <w:tcBorders>
              <w:top w:val="single" w:sz="4" w:space="0" w:color="auto"/>
              <w:left w:val="single" w:sz="4" w:space="0" w:color="auto"/>
              <w:bottom w:val="single" w:sz="4" w:space="0" w:color="auto"/>
              <w:right w:val="single" w:sz="4" w:space="0" w:color="auto"/>
            </w:tcBorders>
            <w:hideMark/>
          </w:tcPr>
          <w:p w14:paraId="66052D18"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6F9FD6F2"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05EAF6"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13D2AF" w14:textId="77777777" w:rsidR="00302BFE" w:rsidRDefault="00302BFE" w:rsidP="00243B15">
            <w:pPr>
              <w:spacing w:after="0"/>
              <w:jc w:val="left"/>
              <w:rPr>
                <w:sz w:val="18"/>
                <w:szCs w:val="18"/>
                <w:lang w:val="fr-CA"/>
              </w:rPr>
            </w:pPr>
          </w:p>
        </w:tc>
      </w:tr>
      <w:tr w:rsidR="00302BFE" w14:paraId="60852A04"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7A1CBB4F" w14:textId="77777777" w:rsidR="00302BFE" w:rsidRDefault="00302BFE" w:rsidP="00243B15">
            <w:pPr>
              <w:spacing w:after="0"/>
              <w:rPr>
                <w:sz w:val="18"/>
                <w:szCs w:val="18"/>
              </w:rPr>
            </w:pPr>
            <w:proofErr w:type="spellStart"/>
            <w:r>
              <w:rPr>
                <w:sz w:val="18"/>
                <w:szCs w:val="18"/>
              </w:rPr>
              <w:t>Thiougou</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3B4AC694" w14:textId="77777777" w:rsidR="00302BFE" w:rsidRDefault="00302BFE" w:rsidP="00243B15">
            <w:pPr>
              <w:spacing w:after="0"/>
              <w:rPr>
                <w:sz w:val="18"/>
                <w:szCs w:val="18"/>
              </w:rPr>
            </w:pPr>
            <w:proofErr w:type="spellStart"/>
            <w:r>
              <w:rPr>
                <w:sz w:val="18"/>
                <w:szCs w:val="18"/>
              </w:rPr>
              <w:t>nd</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3EB0DF6D"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22783343"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5362EF"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07639C" w14:textId="77777777" w:rsidR="00302BFE" w:rsidRDefault="00302BFE" w:rsidP="00243B15">
            <w:pPr>
              <w:spacing w:after="0"/>
              <w:jc w:val="left"/>
              <w:rPr>
                <w:sz w:val="18"/>
                <w:szCs w:val="18"/>
                <w:lang w:val="fr-CA"/>
              </w:rPr>
            </w:pPr>
          </w:p>
        </w:tc>
      </w:tr>
      <w:tr w:rsidR="00302BFE" w14:paraId="5025F536"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6FA9CD31" w14:textId="77777777" w:rsidR="00302BFE" w:rsidRDefault="00302BFE" w:rsidP="00243B15">
            <w:pPr>
              <w:spacing w:after="0"/>
              <w:rPr>
                <w:sz w:val="18"/>
                <w:szCs w:val="18"/>
              </w:rPr>
            </w:pPr>
            <w:proofErr w:type="spellStart"/>
            <w:r>
              <w:rPr>
                <w:sz w:val="18"/>
                <w:szCs w:val="18"/>
              </w:rPr>
              <w:t>Basbédo</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6031C6A9" w14:textId="77777777" w:rsidR="00302BFE" w:rsidRDefault="00302BFE" w:rsidP="00243B15">
            <w:pPr>
              <w:spacing w:after="0"/>
              <w:rPr>
                <w:sz w:val="18"/>
                <w:szCs w:val="18"/>
              </w:rPr>
            </w:pPr>
            <w:proofErr w:type="spellStart"/>
            <w:r>
              <w:rPr>
                <w:sz w:val="18"/>
                <w:szCs w:val="18"/>
              </w:rPr>
              <w:t>nd</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709F36F4"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270C2E9F"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654688"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4F8ECB" w14:textId="77777777" w:rsidR="00302BFE" w:rsidRDefault="00302BFE" w:rsidP="00243B15">
            <w:pPr>
              <w:spacing w:after="0"/>
              <w:jc w:val="left"/>
              <w:rPr>
                <w:sz w:val="18"/>
                <w:szCs w:val="18"/>
                <w:lang w:val="fr-CA"/>
              </w:rPr>
            </w:pPr>
          </w:p>
        </w:tc>
      </w:tr>
      <w:tr w:rsidR="00302BFE" w14:paraId="33BF7E7D"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5B3CEEEF" w14:textId="77777777" w:rsidR="00302BFE" w:rsidRDefault="00302BFE" w:rsidP="00243B15">
            <w:pPr>
              <w:spacing w:after="0"/>
              <w:rPr>
                <w:sz w:val="18"/>
                <w:szCs w:val="18"/>
              </w:rPr>
            </w:pPr>
            <w:proofErr w:type="spellStart"/>
            <w:r>
              <w:rPr>
                <w:sz w:val="18"/>
                <w:szCs w:val="18"/>
              </w:rPr>
              <w:t>Nagrigré</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4BA72A41" w14:textId="77777777" w:rsidR="00302BFE" w:rsidRDefault="00302BFE" w:rsidP="00243B15">
            <w:pPr>
              <w:spacing w:after="0"/>
              <w:rPr>
                <w:sz w:val="18"/>
                <w:szCs w:val="18"/>
              </w:rPr>
            </w:pPr>
            <w:proofErr w:type="spellStart"/>
            <w:r>
              <w:rPr>
                <w:sz w:val="18"/>
                <w:szCs w:val="18"/>
              </w:rPr>
              <w:t>nd</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670CDAE0"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7335A65A"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3BC8DF"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960EB8" w14:textId="77777777" w:rsidR="00302BFE" w:rsidRDefault="00302BFE" w:rsidP="00243B15">
            <w:pPr>
              <w:spacing w:after="0"/>
              <w:jc w:val="left"/>
              <w:rPr>
                <w:sz w:val="18"/>
                <w:szCs w:val="18"/>
                <w:lang w:val="fr-CA"/>
              </w:rPr>
            </w:pPr>
          </w:p>
        </w:tc>
      </w:tr>
      <w:tr w:rsidR="00302BFE" w14:paraId="250C1312"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54644C7D" w14:textId="77777777" w:rsidR="00302BFE" w:rsidRDefault="00302BFE" w:rsidP="00243B15">
            <w:pPr>
              <w:spacing w:after="0"/>
              <w:rPr>
                <w:sz w:val="18"/>
                <w:szCs w:val="18"/>
              </w:rPr>
            </w:pPr>
            <w:proofErr w:type="spellStart"/>
            <w:r>
              <w:rPr>
                <w:sz w:val="18"/>
                <w:szCs w:val="18"/>
              </w:rPr>
              <w:t>Mouzi</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26D73167" w14:textId="77777777" w:rsidR="00302BFE" w:rsidRDefault="00302BFE" w:rsidP="00243B15">
            <w:pPr>
              <w:spacing w:after="0"/>
              <w:rPr>
                <w:sz w:val="18"/>
                <w:szCs w:val="18"/>
              </w:rPr>
            </w:pPr>
            <w:proofErr w:type="spellStart"/>
            <w:r>
              <w:rPr>
                <w:sz w:val="18"/>
                <w:szCs w:val="18"/>
              </w:rPr>
              <w:t>nd</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88EF5AA"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0F734BE9"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33D241"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15F2B0" w14:textId="77777777" w:rsidR="00302BFE" w:rsidRDefault="00302BFE" w:rsidP="00243B15">
            <w:pPr>
              <w:spacing w:after="0"/>
              <w:jc w:val="left"/>
              <w:rPr>
                <w:sz w:val="18"/>
                <w:szCs w:val="18"/>
                <w:lang w:val="fr-CA"/>
              </w:rPr>
            </w:pPr>
          </w:p>
        </w:tc>
      </w:tr>
      <w:tr w:rsidR="00302BFE" w14:paraId="02D4C3C1"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5B4457CE" w14:textId="77777777" w:rsidR="00302BFE" w:rsidRDefault="00302BFE" w:rsidP="00243B15">
            <w:pPr>
              <w:spacing w:after="0"/>
              <w:rPr>
                <w:sz w:val="18"/>
                <w:szCs w:val="18"/>
              </w:rPr>
            </w:pPr>
            <w:proofErr w:type="spellStart"/>
            <w:r>
              <w:rPr>
                <w:sz w:val="18"/>
                <w:szCs w:val="18"/>
              </w:rPr>
              <w:t>Boala</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67E95180" w14:textId="77777777" w:rsidR="00302BFE" w:rsidRDefault="00302BFE" w:rsidP="00243B15">
            <w:pPr>
              <w:spacing w:after="0"/>
              <w:rPr>
                <w:sz w:val="18"/>
                <w:szCs w:val="18"/>
              </w:rPr>
            </w:pPr>
            <w:r>
              <w:rPr>
                <w:sz w:val="18"/>
                <w:szCs w:val="18"/>
              </w:rPr>
              <w:t>290</w:t>
            </w:r>
          </w:p>
        </w:tc>
        <w:tc>
          <w:tcPr>
            <w:tcW w:w="1418" w:type="dxa"/>
            <w:tcBorders>
              <w:top w:val="single" w:sz="4" w:space="0" w:color="auto"/>
              <w:left w:val="single" w:sz="4" w:space="0" w:color="auto"/>
              <w:bottom w:val="single" w:sz="4" w:space="0" w:color="auto"/>
              <w:right w:val="single" w:sz="4" w:space="0" w:color="auto"/>
            </w:tcBorders>
            <w:hideMark/>
          </w:tcPr>
          <w:p w14:paraId="7CE88944"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7FE6F9E0"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0CF019"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63D450" w14:textId="77777777" w:rsidR="00302BFE" w:rsidRDefault="00302BFE" w:rsidP="00243B15">
            <w:pPr>
              <w:spacing w:after="0"/>
              <w:jc w:val="left"/>
              <w:rPr>
                <w:sz w:val="18"/>
                <w:szCs w:val="18"/>
                <w:lang w:val="fr-CA"/>
              </w:rPr>
            </w:pPr>
          </w:p>
        </w:tc>
      </w:tr>
      <w:tr w:rsidR="00302BFE" w14:paraId="054902B3"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3766698D" w14:textId="77777777" w:rsidR="00302BFE" w:rsidRDefault="00302BFE" w:rsidP="00243B15">
            <w:pPr>
              <w:spacing w:after="0"/>
              <w:rPr>
                <w:sz w:val="18"/>
                <w:szCs w:val="18"/>
              </w:rPr>
            </w:pPr>
            <w:proofErr w:type="spellStart"/>
            <w:r>
              <w:rPr>
                <w:sz w:val="18"/>
                <w:szCs w:val="18"/>
              </w:rPr>
              <w:t>Boutougou</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6EEC2708" w14:textId="77777777" w:rsidR="00302BFE" w:rsidRDefault="00302BFE" w:rsidP="00243B15">
            <w:pPr>
              <w:spacing w:after="0"/>
              <w:rPr>
                <w:sz w:val="18"/>
                <w:szCs w:val="18"/>
              </w:rPr>
            </w:pPr>
            <w:r>
              <w:rPr>
                <w:sz w:val="18"/>
                <w:szCs w:val="18"/>
              </w:rPr>
              <w:t>40</w:t>
            </w:r>
          </w:p>
        </w:tc>
        <w:tc>
          <w:tcPr>
            <w:tcW w:w="1418" w:type="dxa"/>
            <w:tcBorders>
              <w:top w:val="single" w:sz="4" w:space="0" w:color="auto"/>
              <w:left w:val="single" w:sz="4" w:space="0" w:color="auto"/>
              <w:bottom w:val="single" w:sz="4" w:space="0" w:color="auto"/>
              <w:right w:val="single" w:sz="4" w:space="0" w:color="auto"/>
            </w:tcBorders>
            <w:hideMark/>
          </w:tcPr>
          <w:p w14:paraId="74A24275"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0FDC79B8"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363B06"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830AFA" w14:textId="77777777" w:rsidR="00302BFE" w:rsidRDefault="00302BFE" w:rsidP="00243B15">
            <w:pPr>
              <w:spacing w:after="0"/>
              <w:jc w:val="left"/>
              <w:rPr>
                <w:sz w:val="18"/>
                <w:szCs w:val="18"/>
                <w:lang w:val="fr-CA"/>
              </w:rPr>
            </w:pPr>
          </w:p>
        </w:tc>
      </w:tr>
      <w:tr w:rsidR="00302BFE" w14:paraId="6B7D89F7"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5CF93377" w14:textId="77777777" w:rsidR="00302BFE" w:rsidRDefault="00302BFE" w:rsidP="00243B15">
            <w:pPr>
              <w:spacing w:after="0"/>
              <w:rPr>
                <w:sz w:val="18"/>
                <w:szCs w:val="18"/>
              </w:rPr>
            </w:pPr>
            <w:proofErr w:type="spellStart"/>
            <w:r>
              <w:rPr>
                <w:sz w:val="18"/>
                <w:szCs w:val="18"/>
              </w:rPr>
              <w:t>Widi</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5F383D09" w14:textId="77777777" w:rsidR="00302BFE" w:rsidRDefault="00302BFE" w:rsidP="00243B15">
            <w:pPr>
              <w:spacing w:after="0"/>
              <w:rPr>
                <w:sz w:val="18"/>
                <w:szCs w:val="18"/>
              </w:rPr>
            </w:pPr>
            <w:r>
              <w:rPr>
                <w:sz w:val="18"/>
                <w:szCs w:val="18"/>
              </w:rPr>
              <w:t>20</w:t>
            </w:r>
          </w:p>
        </w:tc>
        <w:tc>
          <w:tcPr>
            <w:tcW w:w="1418" w:type="dxa"/>
            <w:tcBorders>
              <w:top w:val="single" w:sz="4" w:space="0" w:color="auto"/>
              <w:left w:val="single" w:sz="4" w:space="0" w:color="auto"/>
              <w:bottom w:val="single" w:sz="4" w:space="0" w:color="auto"/>
              <w:right w:val="single" w:sz="4" w:space="0" w:color="auto"/>
            </w:tcBorders>
            <w:hideMark/>
          </w:tcPr>
          <w:p w14:paraId="0B8A7630"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59E4C2D6"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137CCF"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A7EEB5" w14:textId="77777777" w:rsidR="00302BFE" w:rsidRDefault="00302BFE" w:rsidP="00243B15">
            <w:pPr>
              <w:spacing w:after="0"/>
              <w:jc w:val="left"/>
              <w:rPr>
                <w:sz w:val="18"/>
                <w:szCs w:val="18"/>
                <w:lang w:val="fr-CA"/>
              </w:rPr>
            </w:pPr>
          </w:p>
        </w:tc>
      </w:tr>
      <w:tr w:rsidR="00302BFE" w14:paraId="4B04879F"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4A22BE5E" w14:textId="77777777" w:rsidR="00302BFE" w:rsidRDefault="00302BFE" w:rsidP="00243B15">
            <w:pPr>
              <w:spacing w:after="0"/>
              <w:rPr>
                <w:sz w:val="18"/>
                <w:szCs w:val="18"/>
              </w:rPr>
            </w:pPr>
            <w:proofErr w:type="spellStart"/>
            <w:r>
              <w:rPr>
                <w:sz w:val="18"/>
                <w:szCs w:val="18"/>
              </w:rPr>
              <w:t>Guisma</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31EDFCE2" w14:textId="77777777" w:rsidR="00302BFE" w:rsidRDefault="00302BFE" w:rsidP="00243B15">
            <w:pPr>
              <w:spacing w:after="0"/>
              <w:rPr>
                <w:sz w:val="18"/>
                <w:szCs w:val="18"/>
              </w:rPr>
            </w:pPr>
            <w:r>
              <w:rPr>
                <w:sz w:val="18"/>
                <w:szCs w:val="18"/>
              </w:rPr>
              <w:t>104</w:t>
            </w:r>
          </w:p>
        </w:tc>
        <w:tc>
          <w:tcPr>
            <w:tcW w:w="1418" w:type="dxa"/>
            <w:tcBorders>
              <w:top w:val="single" w:sz="4" w:space="0" w:color="auto"/>
              <w:left w:val="single" w:sz="4" w:space="0" w:color="auto"/>
              <w:bottom w:val="single" w:sz="4" w:space="0" w:color="auto"/>
              <w:right w:val="single" w:sz="4" w:space="0" w:color="auto"/>
            </w:tcBorders>
            <w:hideMark/>
          </w:tcPr>
          <w:p w14:paraId="120B30B0"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52578775"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F48433"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805331" w14:textId="77777777" w:rsidR="00302BFE" w:rsidRDefault="00302BFE" w:rsidP="00243B15">
            <w:pPr>
              <w:spacing w:after="0"/>
              <w:jc w:val="left"/>
              <w:rPr>
                <w:sz w:val="18"/>
                <w:szCs w:val="18"/>
                <w:lang w:val="fr-CA"/>
              </w:rPr>
            </w:pPr>
          </w:p>
        </w:tc>
      </w:tr>
      <w:tr w:rsidR="00302BFE" w14:paraId="5B01C537"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07D3C33F" w14:textId="77777777" w:rsidR="00302BFE" w:rsidRDefault="00302BFE" w:rsidP="00243B15">
            <w:pPr>
              <w:spacing w:after="0"/>
              <w:rPr>
                <w:sz w:val="18"/>
                <w:szCs w:val="18"/>
              </w:rPr>
            </w:pPr>
            <w:proofErr w:type="spellStart"/>
            <w:r>
              <w:rPr>
                <w:sz w:val="18"/>
                <w:szCs w:val="18"/>
              </w:rPr>
              <w:t>Badbo</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61F5EB40" w14:textId="77777777" w:rsidR="00302BFE" w:rsidRDefault="00302BFE" w:rsidP="00243B15">
            <w:pPr>
              <w:spacing w:after="0"/>
              <w:rPr>
                <w:sz w:val="18"/>
                <w:szCs w:val="18"/>
              </w:rPr>
            </w:pPr>
            <w:r>
              <w:rPr>
                <w:sz w:val="18"/>
                <w:szCs w:val="18"/>
              </w:rPr>
              <w:t>11</w:t>
            </w:r>
          </w:p>
        </w:tc>
        <w:tc>
          <w:tcPr>
            <w:tcW w:w="1418" w:type="dxa"/>
            <w:tcBorders>
              <w:top w:val="single" w:sz="4" w:space="0" w:color="auto"/>
              <w:left w:val="single" w:sz="4" w:space="0" w:color="auto"/>
              <w:bottom w:val="single" w:sz="4" w:space="0" w:color="auto"/>
              <w:right w:val="single" w:sz="4" w:space="0" w:color="auto"/>
            </w:tcBorders>
            <w:hideMark/>
          </w:tcPr>
          <w:p w14:paraId="324EEC43"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18CAA367"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EB70D3"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54104A" w14:textId="77777777" w:rsidR="00302BFE" w:rsidRDefault="00302BFE" w:rsidP="00243B15">
            <w:pPr>
              <w:spacing w:after="0"/>
              <w:jc w:val="left"/>
              <w:rPr>
                <w:sz w:val="18"/>
                <w:szCs w:val="18"/>
                <w:lang w:val="fr-CA"/>
              </w:rPr>
            </w:pPr>
          </w:p>
        </w:tc>
      </w:tr>
      <w:tr w:rsidR="00302BFE" w14:paraId="775E5234"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6DF7C31E" w14:textId="77777777" w:rsidR="00302BFE" w:rsidRDefault="00302BFE" w:rsidP="00243B15">
            <w:pPr>
              <w:spacing w:after="0"/>
              <w:rPr>
                <w:sz w:val="18"/>
                <w:szCs w:val="18"/>
              </w:rPr>
            </w:pPr>
            <w:proofErr w:type="spellStart"/>
            <w:r>
              <w:rPr>
                <w:sz w:val="18"/>
                <w:szCs w:val="18"/>
              </w:rPr>
              <w:t>Bagpelgo</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55054491" w14:textId="77777777" w:rsidR="00302BFE" w:rsidRDefault="00302BFE" w:rsidP="00243B15">
            <w:pPr>
              <w:spacing w:after="0"/>
              <w:rPr>
                <w:sz w:val="18"/>
                <w:szCs w:val="18"/>
              </w:rPr>
            </w:pPr>
            <w:proofErr w:type="spellStart"/>
            <w:r>
              <w:rPr>
                <w:sz w:val="18"/>
                <w:szCs w:val="18"/>
              </w:rPr>
              <w:t>nd</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46245374"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7AA26EBD"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7F548D"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DB83DB" w14:textId="77777777" w:rsidR="00302BFE" w:rsidRDefault="00302BFE" w:rsidP="00243B15">
            <w:pPr>
              <w:spacing w:after="0"/>
              <w:jc w:val="left"/>
              <w:rPr>
                <w:sz w:val="18"/>
                <w:szCs w:val="18"/>
                <w:lang w:val="fr-CA"/>
              </w:rPr>
            </w:pPr>
          </w:p>
        </w:tc>
      </w:tr>
      <w:tr w:rsidR="00302BFE" w14:paraId="711E9AB1"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78849970" w14:textId="77777777" w:rsidR="00302BFE" w:rsidRDefault="00302BFE" w:rsidP="00243B15">
            <w:pPr>
              <w:spacing w:after="0"/>
              <w:rPr>
                <w:sz w:val="18"/>
                <w:szCs w:val="18"/>
              </w:rPr>
            </w:pPr>
            <w:r>
              <w:rPr>
                <w:sz w:val="18"/>
                <w:szCs w:val="18"/>
              </w:rPr>
              <w:t>Nobili</w:t>
            </w:r>
          </w:p>
        </w:tc>
        <w:tc>
          <w:tcPr>
            <w:tcW w:w="1134" w:type="dxa"/>
            <w:tcBorders>
              <w:top w:val="single" w:sz="4" w:space="0" w:color="auto"/>
              <w:left w:val="single" w:sz="4" w:space="0" w:color="auto"/>
              <w:bottom w:val="single" w:sz="4" w:space="0" w:color="auto"/>
              <w:right w:val="single" w:sz="4" w:space="0" w:color="auto"/>
            </w:tcBorders>
            <w:hideMark/>
          </w:tcPr>
          <w:p w14:paraId="11FF43F8" w14:textId="77777777" w:rsidR="00302BFE" w:rsidRDefault="00302BFE" w:rsidP="00243B15">
            <w:pPr>
              <w:spacing w:after="0"/>
              <w:rPr>
                <w:sz w:val="18"/>
                <w:szCs w:val="18"/>
              </w:rPr>
            </w:pPr>
            <w:proofErr w:type="spellStart"/>
            <w:r>
              <w:rPr>
                <w:sz w:val="18"/>
                <w:szCs w:val="18"/>
              </w:rPr>
              <w:t>nd</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08DF3253"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759A5A96"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9234CA"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FFEC72" w14:textId="77777777" w:rsidR="00302BFE" w:rsidRDefault="00302BFE" w:rsidP="00243B15">
            <w:pPr>
              <w:spacing w:after="0"/>
              <w:jc w:val="left"/>
              <w:rPr>
                <w:sz w:val="18"/>
                <w:szCs w:val="18"/>
                <w:lang w:val="fr-CA"/>
              </w:rPr>
            </w:pPr>
          </w:p>
        </w:tc>
      </w:tr>
      <w:tr w:rsidR="00302BFE" w14:paraId="1DAB43A4"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3E216ADE" w14:textId="77777777" w:rsidR="00302BFE" w:rsidRDefault="00302BFE" w:rsidP="00243B15">
            <w:pPr>
              <w:spacing w:after="0"/>
              <w:rPr>
                <w:sz w:val="18"/>
                <w:szCs w:val="18"/>
              </w:rPr>
            </w:pPr>
            <w:proofErr w:type="spellStart"/>
            <w:r>
              <w:rPr>
                <w:sz w:val="18"/>
                <w:szCs w:val="18"/>
              </w:rPr>
              <w:t>Sarogo</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230D9626" w14:textId="77777777" w:rsidR="00302BFE" w:rsidRDefault="00302BFE" w:rsidP="00243B15">
            <w:pPr>
              <w:spacing w:after="0"/>
              <w:rPr>
                <w:sz w:val="18"/>
                <w:szCs w:val="18"/>
              </w:rPr>
            </w:pPr>
            <w:r>
              <w:rPr>
                <w:sz w:val="18"/>
                <w:szCs w:val="18"/>
              </w:rPr>
              <w:t>13</w:t>
            </w:r>
          </w:p>
        </w:tc>
        <w:tc>
          <w:tcPr>
            <w:tcW w:w="1418" w:type="dxa"/>
            <w:tcBorders>
              <w:top w:val="single" w:sz="4" w:space="0" w:color="auto"/>
              <w:left w:val="single" w:sz="4" w:space="0" w:color="auto"/>
              <w:bottom w:val="single" w:sz="4" w:space="0" w:color="auto"/>
              <w:right w:val="single" w:sz="4" w:space="0" w:color="auto"/>
            </w:tcBorders>
            <w:hideMark/>
          </w:tcPr>
          <w:p w14:paraId="5B45FEED"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2751C31C"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B6CA10"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7286D4" w14:textId="77777777" w:rsidR="00302BFE" w:rsidRDefault="00302BFE" w:rsidP="00243B15">
            <w:pPr>
              <w:spacing w:after="0"/>
              <w:jc w:val="left"/>
              <w:rPr>
                <w:sz w:val="18"/>
                <w:szCs w:val="18"/>
                <w:lang w:val="fr-CA"/>
              </w:rPr>
            </w:pPr>
          </w:p>
        </w:tc>
      </w:tr>
      <w:tr w:rsidR="00302BFE" w14:paraId="15ACFAD5"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4E4EAF23" w14:textId="77777777" w:rsidR="00302BFE" w:rsidRDefault="00302BFE" w:rsidP="00243B15">
            <w:pPr>
              <w:spacing w:after="0"/>
              <w:rPr>
                <w:sz w:val="18"/>
                <w:szCs w:val="18"/>
              </w:rPr>
            </w:pPr>
            <w:proofErr w:type="spellStart"/>
            <w:r>
              <w:rPr>
                <w:sz w:val="18"/>
                <w:szCs w:val="18"/>
              </w:rPr>
              <w:t>Dariga</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3BA1B346" w14:textId="77777777" w:rsidR="00302BFE" w:rsidRDefault="00302BFE" w:rsidP="00243B15">
            <w:pPr>
              <w:spacing w:after="0"/>
              <w:rPr>
                <w:sz w:val="18"/>
                <w:szCs w:val="18"/>
              </w:rPr>
            </w:pPr>
            <w:proofErr w:type="spellStart"/>
            <w:r>
              <w:rPr>
                <w:sz w:val="18"/>
                <w:szCs w:val="18"/>
              </w:rPr>
              <w:t>nd</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45674AF0"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26B2B01B"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1ACA43"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CE26A3" w14:textId="77777777" w:rsidR="00302BFE" w:rsidRDefault="00302BFE" w:rsidP="00243B15">
            <w:pPr>
              <w:spacing w:after="0"/>
              <w:jc w:val="left"/>
              <w:rPr>
                <w:sz w:val="18"/>
                <w:szCs w:val="18"/>
                <w:lang w:val="fr-CA"/>
              </w:rPr>
            </w:pPr>
          </w:p>
        </w:tc>
      </w:tr>
      <w:tr w:rsidR="00302BFE" w14:paraId="1E7A385C"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281F7906" w14:textId="77777777" w:rsidR="00302BFE" w:rsidRDefault="00302BFE" w:rsidP="00243B15">
            <w:pPr>
              <w:spacing w:after="0"/>
              <w:rPr>
                <w:sz w:val="18"/>
                <w:szCs w:val="18"/>
              </w:rPr>
            </w:pPr>
            <w:proofErr w:type="spellStart"/>
            <w:r>
              <w:rPr>
                <w:sz w:val="18"/>
                <w:szCs w:val="18"/>
              </w:rPr>
              <w:t>Goundou</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5A72A522" w14:textId="77777777" w:rsidR="00302BFE" w:rsidRDefault="00302BFE" w:rsidP="00243B15">
            <w:pPr>
              <w:spacing w:after="0"/>
              <w:rPr>
                <w:sz w:val="18"/>
                <w:szCs w:val="18"/>
              </w:rPr>
            </w:pPr>
            <w:r>
              <w:rPr>
                <w:sz w:val="18"/>
                <w:szCs w:val="18"/>
              </w:rPr>
              <w:t>20</w:t>
            </w:r>
          </w:p>
        </w:tc>
        <w:tc>
          <w:tcPr>
            <w:tcW w:w="1418" w:type="dxa"/>
            <w:tcBorders>
              <w:top w:val="single" w:sz="4" w:space="0" w:color="auto"/>
              <w:left w:val="single" w:sz="4" w:space="0" w:color="auto"/>
              <w:bottom w:val="single" w:sz="4" w:space="0" w:color="auto"/>
              <w:right w:val="single" w:sz="4" w:space="0" w:color="auto"/>
            </w:tcBorders>
            <w:hideMark/>
          </w:tcPr>
          <w:p w14:paraId="7B35EDE7" w14:textId="77777777" w:rsidR="00302BFE" w:rsidRDefault="00302BFE" w:rsidP="00243B15">
            <w:pPr>
              <w:spacing w:after="0"/>
              <w:rPr>
                <w:sz w:val="18"/>
                <w:szCs w:val="18"/>
              </w:rPr>
            </w:pPr>
            <w:proofErr w:type="spellStart"/>
            <w:r>
              <w:rPr>
                <w:sz w:val="18"/>
                <w:szCs w:val="18"/>
              </w:rPr>
              <w:t>na</w:t>
            </w:r>
            <w:proofErr w:type="spellEnd"/>
          </w:p>
        </w:tc>
        <w:tc>
          <w:tcPr>
            <w:tcW w:w="1275" w:type="dxa"/>
            <w:tcBorders>
              <w:top w:val="single" w:sz="4" w:space="0" w:color="auto"/>
              <w:left w:val="single" w:sz="4" w:space="0" w:color="auto"/>
              <w:bottom w:val="single" w:sz="4" w:space="0" w:color="auto"/>
              <w:right w:val="single" w:sz="4" w:space="0" w:color="auto"/>
            </w:tcBorders>
          </w:tcPr>
          <w:p w14:paraId="5EF4ADFA"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C341C9" w14:textId="77777777" w:rsidR="00302BFE" w:rsidRDefault="00302BFE" w:rsidP="00243B15">
            <w:pPr>
              <w:spacing w:after="0"/>
              <w:jc w:val="left"/>
              <w:rPr>
                <w:sz w:val="18"/>
                <w:szCs w:val="18"/>
                <w:lang w:val="fr-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BFA06D" w14:textId="77777777" w:rsidR="00302BFE" w:rsidRDefault="00302BFE" w:rsidP="00243B15">
            <w:pPr>
              <w:spacing w:after="0"/>
              <w:jc w:val="left"/>
              <w:rPr>
                <w:sz w:val="18"/>
                <w:szCs w:val="18"/>
                <w:lang w:val="fr-CA"/>
              </w:rPr>
            </w:pPr>
          </w:p>
        </w:tc>
      </w:tr>
      <w:tr w:rsidR="00302BFE" w14:paraId="64A21B7C"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shd w:val="clear" w:color="auto" w:fill="D0CECE"/>
            <w:hideMark/>
          </w:tcPr>
          <w:p w14:paraId="51D0F531" w14:textId="77777777" w:rsidR="00302BFE" w:rsidRDefault="00302BFE" w:rsidP="00243B15">
            <w:pPr>
              <w:spacing w:after="0"/>
              <w:rPr>
                <w:b/>
                <w:sz w:val="18"/>
                <w:szCs w:val="18"/>
              </w:rPr>
            </w:pPr>
            <w:r>
              <w:rPr>
                <w:b/>
                <w:sz w:val="18"/>
                <w:szCs w:val="18"/>
              </w:rPr>
              <w:t>Total area of Village Forests</w:t>
            </w:r>
          </w:p>
        </w:tc>
        <w:tc>
          <w:tcPr>
            <w:tcW w:w="1134" w:type="dxa"/>
            <w:tcBorders>
              <w:top w:val="single" w:sz="4" w:space="0" w:color="auto"/>
              <w:left w:val="single" w:sz="4" w:space="0" w:color="auto"/>
              <w:bottom w:val="single" w:sz="4" w:space="0" w:color="auto"/>
              <w:right w:val="single" w:sz="4" w:space="0" w:color="auto"/>
            </w:tcBorders>
            <w:shd w:val="clear" w:color="auto" w:fill="D0CECE"/>
            <w:hideMark/>
          </w:tcPr>
          <w:p w14:paraId="585B357C" w14:textId="77777777" w:rsidR="00302BFE" w:rsidRDefault="00302BFE" w:rsidP="00243B15">
            <w:pPr>
              <w:spacing w:after="0"/>
              <w:rPr>
                <w:b/>
                <w:sz w:val="18"/>
                <w:szCs w:val="18"/>
              </w:rPr>
            </w:pPr>
            <w:r>
              <w:rPr>
                <w:b/>
                <w:sz w:val="18"/>
                <w:szCs w:val="18"/>
              </w:rPr>
              <w:t>&gt; 765</w:t>
            </w:r>
          </w:p>
        </w:tc>
        <w:tc>
          <w:tcPr>
            <w:tcW w:w="5245" w:type="dxa"/>
            <w:gridSpan w:val="4"/>
            <w:tcBorders>
              <w:top w:val="single" w:sz="4" w:space="0" w:color="auto"/>
              <w:left w:val="single" w:sz="4" w:space="0" w:color="auto"/>
              <w:bottom w:val="single" w:sz="4" w:space="0" w:color="auto"/>
              <w:right w:val="single" w:sz="4" w:space="0" w:color="auto"/>
            </w:tcBorders>
          </w:tcPr>
          <w:p w14:paraId="3E1FCA56" w14:textId="77777777" w:rsidR="00302BFE" w:rsidRDefault="00302BFE" w:rsidP="00243B15">
            <w:pPr>
              <w:spacing w:after="0"/>
              <w:rPr>
                <w:sz w:val="18"/>
                <w:szCs w:val="18"/>
              </w:rPr>
            </w:pPr>
          </w:p>
        </w:tc>
      </w:tr>
      <w:tr w:rsidR="00302BFE" w14:paraId="76889A9B" w14:textId="77777777" w:rsidTr="00243B15">
        <w:trPr>
          <w:jc w:val="center"/>
        </w:trPr>
        <w:tc>
          <w:tcPr>
            <w:tcW w:w="8784" w:type="dxa"/>
            <w:gridSpan w:val="6"/>
            <w:tcBorders>
              <w:top w:val="single" w:sz="4" w:space="0" w:color="auto"/>
              <w:left w:val="single" w:sz="4" w:space="0" w:color="auto"/>
              <w:bottom w:val="single" w:sz="4" w:space="0" w:color="auto"/>
              <w:right w:val="single" w:sz="4" w:space="0" w:color="auto"/>
            </w:tcBorders>
            <w:hideMark/>
          </w:tcPr>
          <w:p w14:paraId="3A054082" w14:textId="77777777" w:rsidR="00302BFE" w:rsidRDefault="00302BFE" w:rsidP="00243B15">
            <w:pPr>
              <w:spacing w:after="0"/>
              <w:rPr>
                <w:sz w:val="18"/>
                <w:szCs w:val="18"/>
              </w:rPr>
            </w:pPr>
            <w:r>
              <w:rPr>
                <w:b/>
                <w:sz w:val="18"/>
                <w:szCs w:val="18"/>
              </w:rPr>
              <w:t xml:space="preserve">Pastoral Areas </w:t>
            </w:r>
          </w:p>
        </w:tc>
      </w:tr>
      <w:tr w:rsidR="00302BFE" w:rsidRPr="00432006" w14:paraId="105A4E43"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71A03546" w14:textId="77777777" w:rsidR="00302BFE" w:rsidRDefault="00302BFE" w:rsidP="00243B15">
            <w:pPr>
              <w:spacing w:after="0"/>
              <w:rPr>
                <w:sz w:val="18"/>
                <w:szCs w:val="18"/>
              </w:rPr>
            </w:pPr>
            <w:proofErr w:type="spellStart"/>
            <w:r>
              <w:rPr>
                <w:sz w:val="18"/>
                <w:szCs w:val="18"/>
              </w:rPr>
              <w:t>Guirao</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2A28C022" w14:textId="77777777" w:rsidR="00302BFE" w:rsidRDefault="00302BFE" w:rsidP="00243B15">
            <w:pPr>
              <w:spacing w:after="0"/>
              <w:rPr>
                <w:sz w:val="18"/>
                <w:szCs w:val="18"/>
              </w:rPr>
            </w:pPr>
            <w:r>
              <w:rPr>
                <w:sz w:val="18"/>
                <w:szCs w:val="18"/>
              </w:rPr>
              <w:t>6,500</w:t>
            </w:r>
          </w:p>
        </w:tc>
        <w:tc>
          <w:tcPr>
            <w:tcW w:w="1418" w:type="dxa"/>
            <w:tcBorders>
              <w:top w:val="single" w:sz="4" w:space="0" w:color="auto"/>
              <w:left w:val="single" w:sz="4" w:space="0" w:color="auto"/>
              <w:bottom w:val="single" w:sz="4" w:space="0" w:color="auto"/>
              <w:right w:val="single" w:sz="4" w:space="0" w:color="auto"/>
            </w:tcBorders>
          </w:tcPr>
          <w:p w14:paraId="785F9C02" w14:textId="77777777" w:rsidR="00302BFE" w:rsidRDefault="00302BFE" w:rsidP="00243B15">
            <w:pPr>
              <w:spacing w:after="0"/>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06F0F9C2" w14:textId="77777777" w:rsidR="00302BFE" w:rsidRDefault="00302BFE" w:rsidP="00243B15">
            <w:pPr>
              <w:spacing w:after="0"/>
              <w:rPr>
                <w:sz w:val="18"/>
                <w:szCs w:val="18"/>
              </w:rPr>
            </w:pPr>
          </w:p>
        </w:tc>
        <w:tc>
          <w:tcPr>
            <w:tcW w:w="1276" w:type="dxa"/>
            <w:vMerge w:val="restart"/>
            <w:tcBorders>
              <w:top w:val="single" w:sz="4" w:space="0" w:color="auto"/>
              <w:left w:val="single" w:sz="4" w:space="0" w:color="auto"/>
              <w:bottom w:val="single" w:sz="4" w:space="0" w:color="auto"/>
              <w:right w:val="single" w:sz="4" w:space="0" w:color="auto"/>
            </w:tcBorders>
            <w:hideMark/>
          </w:tcPr>
          <w:p w14:paraId="65AA32DC" w14:textId="77777777" w:rsidR="00302BFE" w:rsidRPr="00432006" w:rsidRDefault="00302BFE" w:rsidP="00243B15">
            <w:pPr>
              <w:spacing w:after="0"/>
              <w:rPr>
                <w:sz w:val="18"/>
                <w:szCs w:val="18"/>
                <w:lang w:val="en-CA"/>
              </w:rPr>
            </w:pPr>
            <w:r>
              <w:rPr>
                <w:sz w:val="16"/>
                <w:szCs w:val="16"/>
                <w:lang w:val="en-CA"/>
              </w:rPr>
              <w:t>Management plans and specifications expired</w:t>
            </w:r>
          </w:p>
        </w:tc>
        <w:tc>
          <w:tcPr>
            <w:tcW w:w="1276" w:type="dxa"/>
            <w:tcBorders>
              <w:top w:val="single" w:sz="4" w:space="0" w:color="auto"/>
              <w:left w:val="single" w:sz="4" w:space="0" w:color="auto"/>
              <w:bottom w:val="single" w:sz="4" w:space="0" w:color="auto"/>
              <w:right w:val="single" w:sz="4" w:space="0" w:color="auto"/>
            </w:tcBorders>
          </w:tcPr>
          <w:p w14:paraId="4D6E0247" w14:textId="77777777" w:rsidR="00302BFE" w:rsidRPr="00432006" w:rsidRDefault="00302BFE" w:rsidP="00243B15">
            <w:pPr>
              <w:spacing w:after="0"/>
              <w:rPr>
                <w:sz w:val="16"/>
                <w:szCs w:val="16"/>
                <w:lang w:val="en-CA"/>
              </w:rPr>
            </w:pPr>
          </w:p>
        </w:tc>
      </w:tr>
      <w:tr w:rsidR="00302BFE" w14:paraId="3B2D659F"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73792C77" w14:textId="77777777" w:rsidR="00302BFE" w:rsidRDefault="00302BFE" w:rsidP="00243B15">
            <w:pPr>
              <w:spacing w:after="0"/>
              <w:rPr>
                <w:sz w:val="18"/>
                <w:szCs w:val="18"/>
              </w:rPr>
            </w:pPr>
            <w:proofErr w:type="spellStart"/>
            <w:r>
              <w:rPr>
                <w:sz w:val="18"/>
                <w:szCs w:val="18"/>
              </w:rPr>
              <w:t>Yalé</w:t>
            </w:r>
            <w:proofErr w:type="spellEnd"/>
            <w:r>
              <w:rPr>
                <w:sz w:val="18"/>
                <w:szCs w:val="18"/>
              </w:rPr>
              <w:t xml:space="preserve"> (</w:t>
            </w:r>
            <w:proofErr w:type="spellStart"/>
            <w:r>
              <w:rPr>
                <w:sz w:val="18"/>
                <w:szCs w:val="18"/>
              </w:rPr>
              <w:t>Biéha</w:t>
            </w:r>
            <w:proofErr w:type="spellEnd"/>
            <w:r>
              <w:rPr>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14:paraId="0AABC00E" w14:textId="77777777" w:rsidR="00302BFE" w:rsidRDefault="00302BFE" w:rsidP="00243B15">
            <w:pPr>
              <w:spacing w:after="0"/>
              <w:rPr>
                <w:sz w:val="18"/>
                <w:szCs w:val="18"/>
              </w:rPr>
            </w:pPr>
            <w:r>
              <w:rPr>
                <w:sz w:val="18"/>
                <w:szCs w:val="18"/>
              </w:rPr>
              <w:t>40,000</w:t>
            </w:r>
          </w:p>
        </w:tc>
        <w:tc>
          <w:tcPr>
            <w:tcW w:w="1418" w:type="dxa"/>
            <w:tcBorders>
              <w:top w:val="single" w:sz="4" w:space="0" w:color="auto"/>
              <w:left w:val="single" w:sz="4" w:space="0" w:color="auto"/>
              <w:bottom w:val="single" w:sz="4" w:space="0" w:color="auto"/>
              <w:right w:val="single" w:sz="4" w:space="0" w:color="auto"/>
            </w:tcBorders>
          </w:tcPr>
          <w:p w14:paraId="79F37F12" w14:textId="77777777" w:rsidR="00302BFE" w:rsidRDefault="00302BFE" w:rsidP="00243B15">
            <w:pPr>
              <w:spacing w:after="0"/>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0D5ED944"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C1C5C5" w14:textId="77777777" w:rsidR="00302BFE" w:rsidRDefault="00302BFE" w:rsidP="00243B15">
            <w:pPr>
              <w:spacing w:after="0"/>
              <w:jc w:val="left"/>
              <w:rPr>
                <w:sz w:val="18"/>
                <w:szCs w:val="18"/>
                <w:lang w:val="fr-CA"/>
              </w:rPr>
            </w:pPr>
          </w:p>
        </w:tc>
        <w:tc>
          <w:tcPr>
            <w:tcW w:w="1276" w:type="dxa"/>
            <w:tcBorders>
              <w:top w:val="single" w:sz="4" w:space="0" w:color="auto"/>
              <w:left w:val="single" w:sz="4" w:space="0" w:color="auto"/>
              <w:bottom w:val="single" w:sz="4" w:space="0" w:color="auto"/>
              <w:right w:val="single" w:sz="4" w:space="0" w:color="auto"/>
            </w:tcBorders>
          </w:tcPr>
          <w:p w14:paraId="46CCD5A8" w14:textId="77777777" w:rsidR="00302BFE" w:rsidRDefault="00302BFE" w:rsidP="00243B15">
            <w:pPr>
              <w:spacing w:after="0"/>
              <w:rPr>
                <w:sz w:val="18"/>
                <w:szCs w:val="18"/>
              </w:rPr>
            </w:pPr>
          </w:p>
        </w:tc>
      </w:tr>
      <w:tr w:rsidR="00302BFE" w14:paraId="12614002"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hideMark/>
          </w:tcPr>
          <w:p w14:paraId="57A06B90" w14:textId="77777777" w:rsidR="00302BFE" w:rsidRDefault="00302BFE" w:rsidP="00243B15">
            <w:pPr>
              <w:spacing w:after="0"/>
              <w:rPr>
                <w:sz w:val="18"/>
                <w:szCs w:val="18"/>
              </w:rPr>
            </w:pPr>
            <w:r>
              <w:rPr>
                <w:sz w:val="18"/>
                <w:szCs w:val="18"/>
              </w:rPr>
              <w:t>Niassa (Gogo)</w:t>
            </w:r>
          </w:p>
        </w:tc>
        <w:tc>
          <w:tcPr>
            <w:tcW w:w="1134" w:type="dxa"/>
            <w:tcBorders>
              <w:top w:val="single" w:sz="4" w:space="0" w:color="auto"/>
              <w:left w:val="single" w:sz="4" w:space="0" w:color="auto"/>
              <w:bottom w:val="single" w:sz="4" w:space="0" w:color="auto"/>
              <w:right w:val="single" w:sz="4" w:space="0" w:color="auto"/>
            </w:tcBorders>
            <w:hideMark/>
          </w:tcPr>
          <w:p w14:paraId="404B553E" w14:textId="77777777" w:rsidR="00302BFE" w:rsidRDefault="00302BFE" w:rsidP="00243B15">
            <w:pPr>
              <w:spacing w:after="0"/>
              <w:rPr>
                <w:sz w:val="18"/>
                <w:szCs w:val="18"/>
              </w:rPr>
            </w:pPr>
            <w:r>
              <w:rPr>
                <w:sz w:val="18"/>
                <w:szCs w:val="18"/>
              </w:rPr>
              <w:t>6,386</w:t>
            </w:r>
          </w:p>
        </w:tc>
        <w:tc>
          <w:tcPr>
            <w:tcW w:w="1418" w:type="dxa"/>
            <w:tcBorders>
              <w:top w:val="single" w:sz="4" w:space="0" w:color="auto"/>
              <w:left w:val="single" w:sz="4" w:space="0" w:color="auto"/>
              <w:bottom w:val="single" w:sz="4" w:space="0" w:color="auto"/>
              <w:right w:val="single" w:sz="4" w:space="0" w:color="auto"/>
            </w:tcBorders>
          </w:tcPr>
          <w:p w14:paraId="251214E0" w14:textId="77777777" w:rsidR="00302BFE" w:rsidRDefault="00302BFE" w:rsidP="00243B15">
            <w:pPr>
              <w:spacing w:after="0"/>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41B797B0" w14:textId="77777777" w:rsidR="00302BFE" w:rsidRDefault="00302BFE" w:rsidP="00243B15">
            <w:pPr>
              <w:spacing w:after="0"/>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430B43" w14:textId="77777777" w:rsidR="00302BFE" w:rsidRDefault="00302BFE" w:rsidP="00243B15">
            <w:pPr>
              <w:spacing w:after="0"/>
              <w:jc w:val="left"/>
              <w:rPr>
                <w:sz w:val="18"/>
                <w:szCs w:val="18"/>
                <w:lang w:val="fr-CA"/>
              </w:rPr>
            </w:pPr>
          </w:p>
        </w:tc>
        <w:tc>
          <w:tcPr>
            <w:tcW w:w="1276" w:type="dxa"/>
            <w:tcBorders>
              <w:top w:val="single" w:sz="4" w:space="0" w:color="auto"/>
              <w:left w:val="single" w:sz="4" w:space="0" w:color="auto"/>
              <w:bottom w:val="single" w:sz="4" w:space="0" w:color="auto"/>
              <w:right w:val="single" w:sz="4" w:space="0" w:color="auto"/>
            </w:tcBorders>
          </w:tcPr>
          <w:p w14:paraId="1613D864" w14:textId="77777777" w:rsidR="00302BFE" w:rsidRDefault="00302BFE" w:rsidP="00243B15">
            <w:pPr>
              <w:spacing w:after="0"/>
              <w:rPr>
                <w:sz w:val="18"/>
                <w:szCs w:val="18"/>
              </w:rPr>
            </w:pPr>
          </w:p>
        </w:tc>
      </w:tr>
      <w:tr w:rsidR="00302BFE" w14:paraId="46596C10"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shd w:val="clear" w:color="auto" w:fill="D0CECE"/>
            <w:hideMark/>
          </w:tcPr>
          <w:p w14:paraId="37E151BD" w14:textId="77777777" w:rsidR="00302BFE" w:rsidRDefault="00302BFE" w:rsidP="00243B15">
            <w:pPr>
              <w:spacing w:after="0"/>
              <w:rPr>
                <w:b/>
                <w:sz w:val="18"/>
                <w:szCs w:val="18"/>
              </w:rPr>
            </w:pPr>
            <w:r>
              <w:rPr>
                <w:b/>
                <w:sz w:val="18"/>
                <w:szCs w:val="18"/>
              </w:rPr>
              <w:t>Total Pastoral areas</w:t>
            </w:r>
          </w:p>
        </w:tc>
        <w:tc>
          <w:tcPr>
            <w:tcW w:w="1134" w:type="dxa"/>
            <w:tcBorders>
              <w:top w:val="single" w:sz="4" w:space="0" w:color="auto"/>
              <w:left w:val="single" w:sz="4" w:space="0" w:color="auto"/>
              <w:bottom w:val="single" w:sz="4" w:space="0" w:color="auto"/>
              <w:right w:val="single" w:sz="4" w:space="0" w:color="auto"/>
            </w:tcBorders>
            <w:shd w:val="clear" w:color="auto" w:fill="D0CECE"/>
            <w:hideMark/>
          </w:tcPr>
          <w:p w14:paraId="5A097E4D" w14:textId="77777777" w:rsidR="00302BFE" w:rsidRDefault="00302BFE" w:rsidP="00243B15">
            <w:pPr>
              <w:spacing w:after="0"/>
              <w:rPr>
                <w:b/>
                <w:sz w:val="18"/>
                <w:szCs w:val="18"/>
              </w:rPr>
            </w:pPr>
            <w:r>
              <w:rPr>
                <w:b/>
                <w:sz w:val="18"/>
                <w:szCs w:val="18"/>
              </w:rPr>
              <w:t>52,886</w:t>
            </w:r>
          </w:p>
        </w:tc>
        <w:tc>
          <w:tcPr>
            <w:tcW w:w="5245" w:type="dxa"/>
            <w:gridSpan w:val="4"/>
            <w:tcBorders>
              <w:top w:val="single" w:sz="4" w:space="0" w:color="auto"/>
              <w:left w:val="single" w:sz="4" w:space="0" w:color="auto"/>
              <w:bottom w:val="single" w:sz="4" w:space="0" w:color="auto"/>
              <w:right w:val="single" w:sz="4" w:space="0" w:color="auto"/>
            </w:tcBorders>
          </w:tcPr>
          <w:p w14:paraId="393F241E" w14:textId="77777777" w:rsidR="00302BFE" w:rsidRDefault="00302BFE" w:rsidP="00243B15">
            <w:pPr>
              <w:spacing w:after="0"/>
              <w:rPr>
                <w:sz w:val="18"/>
                <w:szCs w:val="18"/>
              </w:rPr>
            </w:pPr>
          </w:p>
        </w:tc>
      </w:tr>
      <w:tr w:rsidR="00302BFE" w14:paraId="7C8E8DAD" w14:textId="77777777" w:rsidTr="00243B15">
        <w:trPr>
          <w:jc w:val="center"/>
        </w:trPr>
        <w:tc>
          <w:tcPr>
            <w:tcW w:w="2405" w:type="dxa"/>
            <w:tcBorders>
              <w:top w:val="single" w:sz="4" w:space="0" w:color="auto"/>
              <w:left w:val="single" w:sz="4" w:space="0" w:color="auto"/>
              <w:bottom w:val="single" w:sz="4" w:space="0" w:color="auto"/>
              <w:right w:val="single" w:sz="4" w:space="0" w:color="auto"/>
            </w:tcBorders>
            <w:shd w:val="clear" w:color="auto" w:fill="D0CECE"/>
            <w:hideMark/>
          </w:tcPr>
          <w:p w14:paraId="6F93817E" w14:textId="77777777" w:rsidR="00302BFE" w:rsidRDefault="00302BFE" w:rsidP="00243B15">
            <w:pPr>
              <w:spacing w:after="0"/>
              <w:rPr>
                <w:b/>
                <w:sz w:val="18"/>
                <w:szCs w:val="18"/>
                <w:lang w:val="fr-CA"/>
              </w:rPr>
            </w:pPr>
            <w:r>
              <w:rPr>
                <w:b/>
                <w:sz w:val="18"/>
                <w:szCs w:val="18"/>
                <w:lang w:val="fr-CA"/>
              </w:rPr>
              <w:t>Total Community-</w:t>
            </w:r>
            <w:proofErr w:type="spellStart"/>
            <w:r>
              <w:rPr>
                <w:b/>
                <w:sz w:val="18"/>
                <w:szCs w:val="18"/>
                <w:lang w:val="fr-CA"/>
              </w:rPr>
              <w:t>managed</w:t>
            </w:r>
            <w:proofErr w:type="spellEnd"/>
            <w:r>
              <w:rPr>
                <w:b/>
                <w:sz w:val="18"/>
                <w:szCs w:val="18"/>
                <w:lang w:val="fr-CA"/>
              </w:rPr>
              <w:t xml:space="preserve"> areas</w:t>
            </w:r>
          </w:p>
        </w:tc>
        <w:tc>
          <w:tcPr>
            <w:tcW w:w="1134" w:type="dxa"/>
            <w:tcBorders>
              <w:top w:val="single" w:sz="4" w:space="0" w:color="auto"/>
              <w:left w:val="single" w:sz="4" w:space="0" w:color="auto"/>
              <w:bottom w:val="single" w:sz="4" w:space="0" w:color="auto"/>
              <w:right w:val="single" w:sz="4" w:space="0" w:color="auto"/>
            </w:tcBorders>
            <w:shd w:val="clear" w:color="auto" w:fill="D0CECE"/>
            <w:hideMark/>
          </w:tcPr>
          <w:p w14:paraId="08DBBD42" w14:textId="77777777" w:rsidR="00302BFE" w:rsidRDefault="00302BFE" w:rsidP="00243B15">
            <w:pPr>
              <w:spacing w:after="0"/>
              <w:rPr>
                <w:b/>
                <w:sz w:val="18"/>
                <w:szCs w:val="18"/>
              </w:rPr>
            </w:pPr>
            <w:r>
              <w:rPr>
                <w:b/>
                <w:sz w:val="18"/>
                <w:szCs w:val="18"/>
              </w:rPr>
              <w:t>&gt; 166,638</w:t>
            </w:r>
          </w:p>
        </w:tc>
        <w:tc>
          <w:tcPr>
            <w:tcW w:w="5245" w:type="dxa"/>
            <w:gridSpan w:val="4"/>
            <w:tcBorders>
              <w:top w:val="single" w:sz="4" w:space="0" w:color="auto"/>
              <w:left w:val="single" w:sz="4" w:space="0" w:color="auto"/>
              <w:bottom w:val="single" w:sz="4" w:space="0" w:color="auto"/>
              <w:right w:val="single" w:sz="4" w:space="0" w:color="auto"/>
            </w:tcBorders>
          </w:tcPr>
          <w:p w14:paraId="70F83177" w14:textId="77777777" w:rsidR="00302BFE" w:rsidRDefault="00302BFE" w:rsidP="00243B15">
            <w:pPr>
              <w:spacing w:after="0"/>
              <w:rPr>
                <w:sz w:val="18"/>
                <w:szCs w:val="18"/>
              </w:rPr>
            </w:pPr>
          </w:p>
        </w:tc>
      </w:tr>
    </w:tbl>
    <w:p w14:paraId="03DE11F9" w14:textId="77777777" w:rsidR="00302BFE" w:rsidRPr="00B16682" w:rsidRDefault="00302BFE" w:rsidP="00302BFE">
      <w:pPr>
        <w:pStyle w:val="Titre2"/>
        <w:ind w:left="0"/>
        <w:rPr>
          <w:rFonts w:ascii="Calibri" w:hAnsi="Calibri"/>
          <w:szCs w:val="22"/>
        </w:rPr>
      </w:pPr>
      <w:r>
        <w:rPr>
          <w:b w:val="0"/>
          <w:lang w:val="en-CA"/>
        </w:rPr>
        <w:br w:type="page"/>
      </w:r>
      <w:bookmarkStart w:id="117" w:name="_Toc9961812"/>
      <w:r w:rsidRPr="00B16682">
        <w:rPr>
          <w:rFonts w:ascii="Calibri" w:hAnsi="Calibri"/>
          <w:szCs w:val="22"/>
        </w:rPr>
        <w:lastRenderedPageBreak/>
        <w:t xml:space="preserve">Annex </w:t>
      </w:r>
      <w:r>
        <w:rPr>
          <w:rFonts w:ascii="Calibri" w:hAnsi="Calibri"/>
          <w:szCs w:val="22"/>
        </w:rPr>
        <w:t>L</w:t>
      </w:r>
      <w:r w:rsidRPr="00B16682">
        <w:rPr>
          <w:rFonts w:ascii="Calibri" w:hAnsi="Calibri"/>
          <w:szCs w:val="22"/>
        </w:rPr>
        <w:t>. Human-Wildlife Conflicts in the PONASI landscape and the SAFE Systems approach.</w:t>
      </w:r>
      <w:bookmarkEnd w:id="117"/>
    </w:p>
    <w:p w14:paraId="79643520" w14:textId="77777777" w:rsidR="00302BFE" w:rsidRPr="000E52FB" w:rsidRDefault="00302BFE" w:rsidP="00302BFE">
      <w:pPr>
        <w:pStyle w:val="Paragraphedeliste"/>
        <w:tabs>
          <w:tab w:val="left" w:pos="284"/>
        </w:tabs>
        <w:spacing w:before="120" w:after="120"/>
        <w:ind w:left="0"/>
        <w:jc w:val="both"/>
        <w:rPr>
          <w:rFonts w:ascii="Calibri" w:eastAsia="Times New Roman" w:hAnsi="Calibri"/>
          <w:iCs/>
          <w:sz w:val="20"/>
          <w:szCs w:val="20"/>
          <w:lang w:val="fr-CA"/>
        </w:rPr>
      </w:pPr>
      <w:r w:rsidRPr="000E52FB">
        <w:rPr>
          <w:rFonts w:ascii="Calibri" w:hAnsi="Calibri"/>
          <w:sz w:val="20"/>
          <w:szCs w:val="20"/>
          <w:lang w:val="fr-CA"/>
        </w:rPr>
        <w:t>Les conflits Hommes-Faune concernent plusieurs espèces présentes dans le paysage et sont plus fréquents et plus intenses dans les champs situés en bordure des zones protégées abritant des éléphants. Les hyènes (</w:t>
      </w:r>
      <w:proofErr w:type="spellStart"/>
      <w:r w:rsidRPr="000E52FB">
        <w:rPr>
          <w:rFonts w:ascii="Calibri" w:hAnsi="Calibri"/>
          <w:i/>
          <w:sz w:val="20"/>
          <w:szCs w:val="20"/>
          <w:lang w:val="fr-CA"/>
        </w:rPr>
        <w:t>Hyaena</w:t>
      </w:r>
      <w:proofErr w:type="spellEnd"/>
      <w:r w:rsidRPr="000E52FB">
        <w:rPr>
          <w:rFonts w:ascii="Calibri" w:hAnsi="Calibri"/>
          <w:i/>
          <w:sz w:val="20"/>
          <w:szCs w:val="20"/>
          <w:lang w:val="fr-CA"/>
        </w:rPr>
        <w:t xml:space="preserve"> </w:t>
      </w:r>
      <w:proofErr w:type="spellStart"/>
      <w:r w:rsidRPr="000E52FB">
        <w:rPr>
          <w:rFonts w:ascii="Calibri" w:hAnsi="Calibri"/>
          <w:i/>
          <w:sz w:val="20"/>
          <w:szCs w:val="20"/>
          <w:lang w:val="fr-CA"/>
        </w:rPr>
        <w:t>hyaena</w:t>
      </w:r>
      <w:proofErr w:type="spellEnd"/>
      <w:r w:rsidRPr="000E52FB">
        <w:rPr>
          <w:rFonts w:ascii="Calibri" w:hAnsi="Calibri"/>
          <w:sz w:val="20"/>
          <w:szCs w:val="20"/>
          <w:lang w:val="fr-CA"/>
        </w:rPr>
        <w:t xml:space="preserve"> - NT) s’attaquent aux chèvres et aux moutons, surtout en saison pluvieuse, lorsque les proies sauvages sont plus difficiles à capturer à cause des inondations et de la végétation. Les phacochères (</w:t>
      </w:r>
      <w:proofErr w:type="spellStart"/>
      <w:r w:rsidRPr="000E52FB">
        <w:rPr>
          <w:rFonts w:ascii="Calibri" w:hAnsi="Calibri"/>
          <w:i/>
          <w:sz w:val="20"/>
          <w:szCs w:val="20"/>
          <w:lang w:val="fr-CA"/>
        </w:rPr>
        <w:t>Phacochoerus</w:t>
      </w:r>
      <w:proofErr w:type="spellEnd"/>
      <w:r w:rsidRPr="000E52FB">
        <w:rPr>
          <w:rFonts w:ascii="Calibri" w:hAnsi="Calibri"/>
          <w:i/>
          <w:sz w:val="20"/>
          <w:szCs w:val="20"/>
          <w:lang w:val="fr-CA"/>
        </w:rPr>
        <w:t xml:space="preserve"> africanus </w:t>
      </w:r>
      <w:proofErr w:type="spellStart"/>
      <w:r w:rsidRPr="000E52FB">
        <w:rPr>
          <w:rFonts w:ascii="Calibri" w:hAnsi="Calibri"/>
          <w:i/>
          <w:sz w:val="20"/>
          <w:szCs w:val="20"/>
          <w:lang w:val="fr-CA"/>
        </w:rPr>
        <w:t>africanus</w:t>
      </w:r>
      <w:proofErr w:type="spellEnd"/>
      <w:r w:rsidRPr="000E52FB">
        <w:rPr>
          <w:rFonts w:ascii="Calibri" w:hAnsi="Calibri"/>
          <w:sz w:val="20"/>
          <w:szCs w:val="20"/>
          <w:lang w:val="fr-CA"/>
        </w:rPr>
        <w:t xml:space="preserve"> – LC) font des dégâts en fin d’hivernage surtout dans les champs de tubercules comme les ignames et le manioc. Les babouins (</w:t>
      </w:r>
      <w:r w:rsidRPr="000E52FB">
        <w:rPr>
          <w:rFonts w:ascii="Calibri" w:hAnsi="Calibri"/>
          <w:i/>
          <w:sz w:val="20"/>
          <w:szCs w:val="20"/>
          <w:lang w:val="fr-CA"/>
        </w:rPr>
        <w:t>Papio anubis</w:t>
      </w:r>
      <w:r w:rsidRPr="000E52FB">
        <w:rPr>
          <w:rFonts w:ascii="Calibri" w:hAnsi="Calibri"/>
          <w:sz w:val="20"/>
          <w:szCs w:val="20"/>
          <w:lang w:val="fr-CA"/>
        </w:rPr>
        <w:t xml:space="preserve"> – LC) qui sont omnivores s’attaquent aux récoltes, aux poulets et aux petites chèvres, surtout en saison pluvieuse. Il est possible qu’ils fassent des incursions dans les ZOVIC et les corridors. Les singes rouges aussi appelés patas (</w:t>
      </w:r>
      <w:proofErr w:type="spellStart"/>
      <w:r w:rsidRPr="000E52FB">
        <w:rPr>
          <w:rFonts w:ascii="Calibri" w:hAnsi="Calibri"/>
          <w:i/>
          <w:sz w:val="20"/>
          <w:szCs w:val="20"/>
          <w:lang w:val="fr-CA"/>
        </w:rPr>
        <w:t>Erythrocebus</w:t>
      </w:r>
      <w:proofErr w:type="spellEnd"/>
      <w:r w:rsidRPr="000E52FB">
        <w:rPr>
          <w:rFonts w:ascii="Calibri" w:hAnsi="Calibri"/>
          <w:i/>
          <w:sz w:val="20"/>
          <w:szCs w:val="20"/>
          <w:lang w:val="fr-CA"/>
        </w:rPr>
        <w:t xml:space="preserve"> patas</w:t>
      </w:r>
      <w:r w:rsidRPr="000E52FB">
        <w:rPr>
          <w:rFonts w:ascii="Calibri" w:hAnsi="Calibri"/>
          <w:sz w:val="20"/>
          <w:szCs w:val="20"/>
          <w:lang w:val="fr-CA"/>
        </w:rPr>
        <w:t xml:space="preserve"> - LC) font des dégâts dans les champs de maïs juste avant que les épis ne s’assèchent et ce, dans la quasi-totalité du complexe. Les oiseaux granivores s’attaquent à toutes les cultures céréalières incluant le maïs par les perroquets (</w:t>
      </w:r>
      <w:proofErr w:type="spellStart"/>
      <w:r w:rsidRPr="000E52FB">
        <w:rPr>
          <w:rFonts w:ascii="Calibri" w:hAnsi="Calibri"/>
          <w:i/>
          <w:sz w:val="20"/>
          <w:szCs w:val="20"/>
          <w:lang w:val="fr-CA"/>
        </w:rPr>
        <w:t>Poicephalus</w:t>
      </w:r>
      <w:proofErr w:type="spellEnd"/>
      <w:r w:rsidRPr="000E52FB">
        <w:rPr>
          <w:rFonts w:ascii="Calibri" w:hAnsi="Calibri"/>
          <w:i/>
          <w:sz w:val="20"/>
          <w:szCs w:val="20"/>
          <w:lang w:val="fr-CA"/>
        </w:rPr>
        <w:t xml:space="preserve"> </w:t>
      </w:r>
      <w:proofErr w:type="spellStart"/>
      <w:r w:rsidRPr="000E52FB">
        <w:rPr>
          <w:rFonts w:ascii="Calibri" w:hAnsi="Calibri"/>
          <w:i/>
          <w:sz w:val="20"/>
          <w:szCs w:val="20"/>
          <w:lang w:val="fr-CA"/>
        </w:rPr>
        <w:t>senegalus</w:t>
      </w:r>
      <w:proofErr w:type="spellEnd"/>
      <w:r w:rsidRPr="000E52FB">
        <w:rPr>
          <w:rFonts w:ascii="Calibri" w:hAnsi="Calibri"/>
          <w:sz w:val="20"/>
          <w:szCs w:val="20"/>
          <w:lang w:val="fr-CA"/>
        </w:rPr>
        <w:t xml:space="preserve"> - LC), le petit mil par les mange-mil, le riz par d’autres petits oiseaux. Cette prédation est sévère au point d’accroître l’insécurité alimentaire.</w:t>
      </w:r>
    </w:p>
    <w:p w14:paraId="14570B42" w14:textId="77777777" w:rsidR="00302BFE" w:rsidRPr="000E52FB" w:rsidRDefault="00302BFE" w:rsidP="00302BFE">
      <w:pPr>
        <w:pStyle w:val="Paragraphedeliste"/>
        <w:tabs>
          <w:tab w:val="left" w:pos="284"/>
        </w:tabs>
        <w:spacing w:before="120" w:after="120"/>
        <w:ind w:left="0"/>
        <w:jc w:val="both"/>
        <w:rPr>
          <w:rFonts w:ascii="Calibri" w:eastAsia="Times New Roman" w:hAnsi="Calibri"/>
          <w:iCs/>
          <w:sz w:val="20"/>
          <w:szCs w:val="20"/>
          <w:lang w:val="fr-CA"/>
        </w:rPr>
      </w:pPr>
      <w:r w:rsidRPr="000E52FB">
        <w:rPr>
          <w:rFonts w:ascii="Calibri" w:hAnsi="Calibri"/>
          <w:sz w:val="20"/>
          <w:szCs w:val="20"/>
          <w:lang w:val="fr-CA"/>
        </w:rPr>
        <w:t>Le braconnage des éléphants a lieu surtout en début et en fin d’hivernage (saison pluvieuse), dans les sites moins surveillés par les services forestiers (à cause de l’accès difficile) et les communautés riveraines. En début d’hivernage, les éléphants (</w:t>
      </w:r>
      <w:proofErr w:type="spellStart"/>
      <w:r w:rsidRPr="000E52FB">
        <w:rPr>
          <w:rFonts w:ascii="Calibri" w:hAnsi="Calibri"/>
          <w:i/>
          <w:sz w:val="20"/>
          <w:szCs w:val="20"/>
          <w:lang w:val="fr-CA"/>
        </w:rPr>
        <w:t>Loxodonta</w:t>
      </w:r>
      <w:proofErr w:type="spellEnd"/>
      <w:r w:rsidRPr="000E52FB">
        <w:rPr>
          <w:rFonts w:ascii="Calibri" w:hAnsi="Calibri"/>
          <w:i/>
          <w:sz w:val="20"/>
          <w:szCs w:val="20"/>
          <w:lang w:val="fr-CA"/>
        </w:rPr>
        <w:t xml:space="preserve"> </w:t>
      </w:r>
      <w:proofErr w:type="spellStart"/>
      <w:r w:rsidRPr="000E52FB">
        <w:rPr>
          <w:rFonts w:ascii="Calibri" w:hAnsi="Calibri"/>
          <w:i/>
          <w:sz w:val="20"/>
          <w:szCs w:val="20"/>
          <w:lang w:val="fr-CA"/>
        </w:rPr>
        <w:t>africana</w:t>
      </w:r>
      <w:proofErr w:type="spellEnd"/>
      <w:r w:rsidRPr="000E52FB">
        <w:rPr>
          <w:rFonts w:ascii="Calibri" w:hAnsi="Calibri"/>
          <w:sz w:val="20"/>
          <w:szCs w:val="20"/>
          <w:lang w:val="fr-CA"/>
        </w:rPr>
        <w:t xml:space="preserve"> – VU) migrent dans le Nord du Complexe PONASI, où il y a de l’eau, de l’herbe, des salines naturelles, et un vaste espace pour les déplacements, et retournent en fin de saison des pluies, lorsque le niveau d’eau baisse. À chaque déplacement, ils font des dégâts sur les terres (vergers, champs de maïs, etc.) des villages limitrophes.</w:t>
      </w:r>
      <w:r>
        <w:rPr>
          <w:rFonts w:ascii="Calibri" w:hAnsi="Calibri"/>
          <w:sz w:val="20"/>
          <w:szCs w:val="20"/>
          <w:lang w:val="fr-CA"/>
        </w:rPr>
        <w:t xml:space="preserve"> </w:t>
      </w:r>
      <w:r w:rsidRPr="000E52FB">
        <w:rPr>
          <w:rFonts w:ascii="Calibri" w:hAnsi="Calibri"/>
          <w:sz w:val="20"/>
          <w:szCs w:val="20"/>
          <w:lang w:val="fr-CA"/>
        </w:rPr>
        <w:t xml:space="preserve">Pour l’ensemble du complexe, au moins une dizaine de carcasses sont retrouvées chaque année, mais le nombre d’éléphants braconnés est difficile à estimer, certains étant cédés ou vendus aux populations dans les villages limitrophes du complexe. Les éléphants sont bien protégés par les lois coutumières locales; pour abattre un éléphant, il faut justifier de sa férocité. Les communautés riveraines des aires protégées au Burkina Faso, dans leur ensemble, ne mènent pas de représailles contre les éléphants, lorsque ceux-ci occasionnent des dégâts dans leurs champs. Le tableau A présente les sites où ont été rapportés des conflits Hommes-Éléphants dans le complexe PONASI ainsi que dans le corridor </w:t>
      </w:r>
      <w:proofErr w:type="spellStart"/>
      <w:r w:rsidRPr="000E52FB">
        <w:rPr>
          <w:rFonts w:ascii="Calibri" w:hAnsi="Calibri"/>
          <w:sz w:val="20"/>
          <w:szCs w:val="20"/>
          <w:lang w:val="fr-CA"/>
        </w:rPr>
        <w:t>Nazinga</w:t>
      </w:r>
      <w:proofErr w:type="spellEnd"/>
      <w:r w:rsidRPr="000E52FB">
        <w:rPr>
          <w:rFonts w:ascii="Calibri" w:hAnsi="Calibri"/>
          <w:sz w:val="20"/>
          <w:szCs w:val="20"/>
          <w:lang w:val="fr-CA"/>
        </w:rPr>
        <w:t xml:space="preserve">- Parc National des 2 </w:t>
      </w:r>
      <w:proofErr w:type="spellStart"/>
      <w:r w:rsidRPr="000E52FB">
        <w:rPr>
          <w:rFonts w:ascii="Calibri" w:hAnsi="Calibri"/>
          <w:sz w:val="20"/>
          <w:szCs w:val="20"/>
          <w:lang w:val="fr-CA"/>
        </w:rPr>
        <w:t>Balés</w:t>
      </w:r>
      <w:proofErr w:type="spellEnd"/>
      <w:r w:rsidRPr="000E52FB">
        <w:rPr>
          <w:rFonts w:ascii="Calibri" w:hAnsi="Calibri"/>
          <w:sz w:val="20"/>
          <w:szCs w:val="20"/>
          <w:lang w:val="fr-CA"/>
        </w:rPr>
        <w:t>.</w:t>
      </w:r>
    </w:p>
    <w:p w14:paraId="6A57958D" w14:textId="77777777" w:rsidR="00302BFE" w:rsidRPr="000E52FB" w:rsidRDefault="00302BFE" w:rsidP="00302BFE">
      <w:pPr>
        <w:pStyle w:val="Paragraphedeliste"/>
        <w:tabs>
          <w:tab w:val="left" w:pos="284"/>
        </w:tabs>
        <w:spacing w:before="120" w:after="120"/>
        <w:ind w:left="0"/>
        <w:jc w:val="both"/>
        <w:rPr>
          <w:rFonts w:ascii="Calibri" w:hAnsi="Calibri"/>
          <w:sz w:val="20"/>
          <w:szCs w:val="20"/>
          <w:lang w:val="fr-CA"/>
        </w:rPr>
      </w:pPr>
      <w:r w:rsidRPr="000E52FB">
        <w:rPr>
          <w:rFonts w:ascii="Calibri" w:hAnsi="Calibri"/>
          <w:sz w:val="20"/>
          <w:szCs w:val="20"/>
          <w:lang w:val="fr-CA"/>
        </w:rPr>
        <w:t xml:space="preserve">Les communautés ont été sensibilisées par les services forestiers sur la nécessité de protéger les éléphants, particulièrement lors de la création des corridors. Au Burkina Faso, dans certaines aires protégées comme le Parc National des 2 </w:t>
      </w:r>
      <w:proofErr w:type="spellStart"/>
      <w:r w:rsidRPr="000E52FB">
        <w:rPr>
          <w:rFonts w:ascii="Calibri" w:hAnsi="Calibri"/>
          <w:sz w:val="20"/>
          <w:szCs w:val="20"/>
          <w:lang w:val="fr-CA"/>
        </w:rPr>
        <w:t>Balés</w:t>
      </w:r>
      <w:proofErr w:type="spellEnd"/>
      <w:r w:rsidRPr="000E52FB">
        <w:rPr>
          <w:rFonts w:ascii="Calibri" w:hAnsi="Calibri"/>
          <w:sz w:val="20"/>
          <w:szCs w:val="20"/>
          <w:lang w:val="fr-CA"/>
        </w:rPr>
        <w:t>, on a enseigné aux producteurs la technique des "barrières à piment". En dehors de ces zones, et dans le complexe PONASI, on utilise les techniques "traditionnelles" de modération des conflits (refoulement et évitement), comme les manifestations sonores avec les récipients avec plus ou moins de succès. Les autres techniques comme l’installation de fil de fer, de branchages ou de cordes autour des parcelles, allumage de feu à l'approche des éléphants, présence aux champs pendant les nuits précédant la récolte et manifestations sonores (cris, sifflements, tambours et instruments de cuisine, boîtes de conserve ou clochettes...) ne sont pas bien connues dans l’aire paysagère PONASI.</w:t>
      </w:r>
    </w:p>
    <w:p w14:paraId="3D11335D" w14:textId="77777777" w:rsidR="00302BFE" w:rsidRPr="000E52FB" w:rsidRDefault="00302BFE" w:rsidP="00302BFE">
      <w:pPr>
        <w:pStyle w:val="Paragraphedeliste"/>
        <w:tabs>
          <w:tab w:val="left" w:pos="284"/>
        </w:tabs>
        <w:spacing w:before="120" w:after="120"/>
        <w:ind w:left="0"/>
        <w:jc w:val="both"/>
        <w:rPr>
          <w:rFonts w:ascii="Calibri" w:eastAsia="Times New Roman" w:hAnsi="Calibri"/>
          <w:iCs/>
          <w:sz w:val="20"/>
          <w:szCs w:val="20"/>
          <w:lang w:val="fr-CA"/>
        </w:rPr>
      </w:pPr>
      <w:r w:rsidRPr="000E52FB">
        <w:rPr>
          <w:rFonts w:ascii="Calibri" w:hAnsi="Calibri"/>
          <w:sz w:val="20"/>
          <w:szCs w:val="20"/>
          <w:lang w:val="fr-CA"/>
        </w:rPr>
        <w:t xml:space="preserve">La conservation et la gestion de la faune sont confiées à la Direction de l’eau et des forêts du </w:t>
      </w:r>
      <w:proofErr w:type="gramStart"/>
      <w:r w:rsidRPr="000E52FB">
        <w:rPr>
          <w:rFonts w:ascii="Calibri" w:hAnsi="Calibri"/>
          <w:sz w:val="20"/>
          <w:szCs w:val="20"/>
          <w:lang w:val="fr-CA"/>
        </w:rPr>
        <w:t>Ministère de l’environnement</w:t>
      </w:r>
      <w:proofErr w:type="gramEnd"/>
      <w:r w:rsidRPr="000E52FB">
        <w:rPr>
          <w:rFonts w:ascii="Calibri" w:hAnsi="Calibri"/>
          <w:sz w:val="20"/>
          <w:szCs w:val="20"/>
          <w:lang w:val="fr-CA"/>
        </w:rPr>
        <w:t>. Bien que la loi prévoie une indemnisation pour les dommages matériels, les dommages corporels ou le décès, le processus de contrôle et d’approbation des réclamations est centralisé au sein d’un comité national qui se réunit seulement deux fois par an. Une fois qu'un membre de la communauté a signalé le HWC, il doit être vérifié par les autorités locales, les rangers et les agents de l'agriculture, et les rapports doivent être envoyés au Comité national pour vérification. Ainsi, le processus est long et bureaucratique, le versement des indemnités est retardé pendant des années et le montant versé est très faible, voire inexistant. Les aires protégées et chaque district ont formé des équipes paramilitaires qui répondent aux incidents signalés de conflits homme-faune. Les gardes forestiers ou éco-gardes ont suivi une formation paramilitaire et une formation spécialisée en foresterie et en faune sauvage. Cependant, la rapidité de réaction aux conflits signalés est entravée par le manque de ressources, telles qu'un véhicule pour transporter les gardes forestiers. Les gardes forestiers mènent également des activités d'éducation et de sensibilisation à la conservation pour les communautés qui sont susceptibles de changer - avec le temps - la perception négative des populations à l'égard de la faune et de la flore dérivée de HWC. Parmi les autres mesures d'atténuation des conflits figurent les lois traditionnelles ou coutumières protégeant certaines espèces telles que les éléphants. De telles lois réduisent les meurtres d'éléphants par représailles à la suite des conflits homme-éléphant.</w:t>
      </w:r>
    </w:p>
    <w:p w14:paraId="57EC5B43" w14:textId="77777777" w:rsidR="00302BFE" w:rsidRPr="000E52FB" w:rsidRDefault="00302BFE" w:rsidP="00302BFE">
      <w:pPr>
        <w:pStyle w:val="Paragraphedeliste"/>
        <w:tabs>
          <w:tab w:val="left" w:pos="284"/>
        </w:tabs>
        <w:spacing w:before="120" w:after="120"/>
        <w:ind w:left="0"/>
        <w:jc w:val="both"/>
        <w:rPr>
          <w:rFonts w:ascii="Calibri" w:eastAsia="Times New Roman" w:hAnsi="Calibri"/>
          <w:iCs/>
          <w:sz w:val="20"/>
          <w:szCs w:val="20"/>
          <w:lang w:val="fr-CA"/>
        </w:rPr>
      </w:pPr>
      <w:r w:rsidRPr="000E52FB">
        <w:rPr>
          <w:rFonts w:ascii="Calibri" w:hAnsi="Calibri"/>
          <w:sz w:val="20"/>
          <w:szCs w:val="20"/>
          <w:lang w:val="fr-CA"/>
        </w:rPr>
        <w:t xml:space="preserve">Les victimes protestent surtout auprès des autorités locales et des services forestiers, qui s’organisent pour les repousser. Depuis 2017, les victimes sont dédommagées pour peu que les dégâts ne soient pas dans une aire protégée. Il n’y a pas d’assurances pour dédommager les victimes des conflits hommes-faune au Burkina, mais un processus impliquant une succession d’étapes. Le Procureur auprès du Tribunal de Grande Instance gère les cas où il y a mort humaine, après que la Gendarmerie Nationale </w:t>
      </w:r>
      <w:proofErr w:type="gramStart"/>
      <w:r w:rsidRPr="000E52FB">
        <w:rPr>
          <w:rFonts w:ascii="Calibri" w:hAnsi="Calibri"/>
          <w:sz w:val="20"/>
          <w:szCs w:val="20"/>
          <w:lang w:val="fr-CA"/>
        </w:rPr>
        <w:t>ait</w:t>
      </w:r>
      <w:proofErr w:type="gramEnd"/>
      <w:r w:rsidRPr="000E52FB">
        <w:rPr>
          <w:rFonts w:ascii="Calibri" w:hAnsi="Calibri"/>
          <w:sz w:val="20"/>
          <w:szCs w:val="20"/>
          <w:lang w:val="fr-CA"/>
        </w:rPr>
        <w:t xml:space="preserve"> établi les constats. Les dégâts occasionnés par la faune sont dédommagés à partir d’un fonds prévu à cette fin au niveau du Ministère en charge de l’Environnement. L’intéressé informe le </w:t>
      </w:r>
      <w:proofErr w:type="gramStart"/>
      <w:r w:rsidRPr="000E52FB">
        <w:rPr>
          <w:rFonts w:ascii="Calibri" w:hAnsi="Calibri"/>
          <w:sz w:val="20"/>
          <w:szCs w:val="20"/>
          <w:lang w:val="fr-CA"/>
        </w:rPr>
        <w:t>Préfet</w:t>
      </w:r>
      <w:proofErr w:type="gramEnd"/>
      <w:r w:rsidRPr="000E52FB">
        <w:rPr>
          <w:rFonts w:ascii="Calibri" w:hAnsi="Calibri"/>
          <w:sz w:val="20"/>
          <w:szCs w:val="20"/>
          <w:lang w:val="fr-CA"/>
        </w:rPr>
        <w:t>, qui mobilise les agents publics pour établir les constats, et dresse ensuite un procès-verbal après présentation des estimations financières au Tribunal Départemental. Une fiche est alors remplie et envoyée à Ouagadougou pour paiement. Le Fonds peut décider de venir vérifier l’exactitude des estimations.</w:t>
      </w:r>
    </w:p>
    <w:p w14:paraId="2176096F" w14:textId="77777777" w:rsidR="00302BFE" w:rsidRPr="000E52FB" w:rsidRDefault="00302BFE" w:rsidP="00302BFE">
      <w:pPr>
        <w:spacing w:before="240"/>
        <w:rPr>
          <w:b/>
          <w:lang w:val="fr-CA"/>
        </w:rPr>
      </w:pPr>
      <w:r>
        <w:rPr>
          <w:b/>
          <w:szCs w:val="20"/>
          <w:lang w:val="fr-CA"/>
        </w:rPr>
        <w:br w:type="page"/>
      </w:r>
      <w:r w:rsidRPr="000E52FB">
        <w:rPr>
          <w:b/>
          <w:szCs w:val="20"/>
          <w:lang w:val="fr-CA"/>
        </w:rPr>
        <w:lastRenderedPageBreak/>
        <w:t xml:space="preserve">Tableau A. Sites des conflits Hommes-Éléphants dans le complexe PONASI ainsi que dans le corridor </w:t>
      </w:r>
      <w:proofErr w:type="spellStart"/>
      <w:r w:rsidRPr="000E52FB">
        <w:rPr>
          <w:b/>
          <w:szCs w:val="20"/>
          <w:lang w:val="fr-CA"/>
        </w:rPr>
        <w:t>Nazinga</w:t>
      </w:r>
      <w:proofErr w:type="spellEnd"/>
      <w:r w:rsidRPr="000E52FB">
        <w:rPr>
          <w:b/>
          <w:szCs w:val="20"/>
          <w:lang w:val="fr-CA"/>
        </w:rPr>
        <w:t>-PN Deux-</w:t>
      </w:r>
      <w:proofErr w:type="spellStart"/>
      <w:r w:rsidRPr="000E52FB">
        <w:rPr>
          <w:b/>
          <w:szCs w:val="20"/>
          <w:lang w:val="fr-CA"/>
        </w:rPr>
        <w:t>Balés</w:t>
      </w:r>
      <w:proofErr w:type="spellEnd"/>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4602"/>
        <w:gridCol w:w="2710"/>
        <w:gridCol w:w="2340"/>
      </w:tblGrid>
      <w:tr w:rsidR="00302BFE" w:rsidRPr="00CF512D" w14:paraId="6C0E5DAC" w14:textId="77777777" w:rsidTr="00243B15">
        <w:trPr>
          <w:tblHeader/>
          <w:jc w:val="center"/>
        </w:trPr>
        <w:tc>
          <w:tcPr>
            <w:tcW w:w="1121" w:type="dxa"/>
            <w:shd w:val="clear" w:color="auto" w:fill="FFF2CC"/>
          </w:tcPr>
          <w:p w14:paraId="4854B6F9" w14:textId="77777777" w:rsidR="00302BFE" w:rsidRPr="00CF512D" w:rsidRDefault="00302BFE" w:rsidP="00243B15">
            <w:pPr>
              <w:spacing w:after="0"/>
              <w:rPr>
                <w:sz w:val="18"/>
                <w:szCs w:val="18"/>
              </w:rPr>
            </w:pPr>
            <w:r w:rsidRPr="00CF512D">
              <w:rPr>
                <w:sz w:val="18"/>
                <w:szCs w:val="18"/>
              </w:rPr>
              <w:t>Communes</w:t>
            </w:r>
          </w:p>
        </w:tc>
        <w:tc>
          <w:tcPr>
            <w:tcW w:w="4602" w:type="dxa"/>
            <w:shd w:val="clear" w:color="auto" w:fill="FFF2CC"/>
          </w:tcPr>
          <w:p w14:paraId="74FC4B84" w14:textId="77777777" w:rsidR="00302BFE" w:rsidRPr="00CF512D" w:rsidRDefault="00302BFE" w:rsidP="00243B15">
            <w:pPr>
              <w:spacing w:after="0"/>
              <w:rPr>
                <w:sz w:val="18"/>
                <w:szCs w:val="18"/>
              </w:rPr>
            </w:pPr>
            <w:r w:rsidRPr="00CF512D">
              <w:rPr>
                <w:sz w:val="18"/>
                <w:szCs w:val="18"/>
              </w:rPr>
              <w:t xml:space="preserve">Sites </w:t>
            </w:r>
            <w:proofErr w:type="spellStart"/>
            <w:r w:rsidRPr="00CF512D">
              <w:rPr>
                <w:sz w:val="18"/>
                <w:szCs w:val="18"/>
              </w:rPr>
              <w:t>ou</w:t>
            </w:r>
            <w:proofErr w:type="spellEnd"/>
            <w:r w:rsidRPr="00CF512D">
              <w:rPr>
                <w:sz w:val="18"/>
                <w:szCs w:val="18"/>
              </w:rPr>
              <w:t xml:space="preserve"> villages</w:t>
            </w:r>
          </w:p>
        </w:tc>
        <w:tc>
          <w:tcPr>
            <w:tcW w:w="2710" w:type="dxa"/>
            <w:shd w:val="clear" w:color="auto" w:fill="FFF2CC"/>
          </w:tcPr>
          <w:p w14:paraId="0DE9F7B9" w14:textId="77777777" w:rsidR="00302BFE" w:rsidRPr="00CF512D" w:rsidRDefault="00302BFE" w:rsidP="00243B15">
            <w:pPr>
              <w:spacing w:after="0"/>
              <w:rPr>
                <w:sz w:val="18"/>
                <w:szCs w:val="18"/>
              </w:rPr>
            </w:pPr>
            <w:r w:rsidRPr="00CF512D">
              <w:rPr>
                <w:sz w:val="18"/>
                <w:szCs w:val="18"/>
              </w:rPr>
              <w:t xml:space="preserve">Nature des </w:t>
            </w:r>
            <w:proofErr w:type="spellStart"/>
            <w:r w:rsidRPr="00CF512D">
              <w:rPr>
                <w:sz w:val="18"/>
                <w:szCs w:val="18"/>
              </w:rPr>
              <w:t>conflits</w:t>
            </w:r>
            <w:proofErr w:type="spellEnd"/>
          </w:p>
        </w:tc>
        <w:tc>
          <w:tcPr>
            <w:tcW w:w="2340" w:type="dxa"/>
            <w:shd w:val="clear" w:color="auto" w:fill="FFF2CC"/>
          </w:tcPr>
          <w:p w14:paraId="63D135EB" w14:textId="77777777" w:rsidR="00302BFE" w:rsidRPr="00CF512D" w:rsidRDefault="00302BFE" w:rsidP="00243B15">
            <w:pPr>
              <w:spacing w:after="0"/>
              <w:rPr>
                <w:sz w:val="18"/>
                <w:szCs w:val="18"/>
              </w:rPr>
            </w:pPr>
            <w:r w:rsidRPr="00CF512D">
              <w:rPr>
                <w:sz w:val="18"/>
                <w:szCs w:val="18"/>
              </w:rPr>
              <w:t>Impact</w:t>
            </w:r>
          </w:p>
        </w:tc>
      </w:tr>
      <w:tr w:rsidR="00302BFE" w:rsidRPr="00CF512D" w14:paraId="38626FC7" w14:textId="77777777" w:rsidTr="00243B15">
        <w:trPr>
          <w:jc w:val="center"/>
        </w:trPr>
        <w:tc>
          <w:tcPr>
            <w:tcW w:w="1121" w:type="dxa"/>
            <w:vMerge w:val="restart"/>
            <w:shd w:val="clear" w:color="auto" w:fill="auto"/>
          </w:tcPr>
          <w:p w14:paraId="7E2C7F80" w14:textId="77777777" w:rsidR="00302BFE" w:rsidRPr="00CF512D" w:rsidRDefault="00302BFE" w:rsidP="00243B15">
            <w:pPr>
              <w:spacing w:after="0"/>
              <w:rPr>
                <w:sz w:val="18"/>
                <w:szCs w:val="18"/>
              </w:rPr>
            </w:pPr>
            <w:proofErr w:type="spellStart"/>
            <w:r w:rsidRPr="00CF512D">
              <w:rPr>
                <w:sz w:val="18"/>
                <w:szCs w:val="18"/>
              </w:rPr>
              <w:t>Sapouy</w:t>
            </w:r>
            <w:proofErr w:type="spellEnd"/>
          </w:p>
        </w:tc>
        <w:tc>
          <w:tcPr>
            <w:tcW w:w="4602" w:type="dxa"/>
            <w:shd w:val="clear" w:color="auto" w:fill="auto"/>
          </w:tcPr>
          <w:p w14:paraId="0C24409F" w14:textId="77777777" w:rsidR="00302BFE" w:rsidRPr="00CF512D" w:rsidRDefault="00302BFE" w:rsidP="00243B15">
            <w:pPr>
              <w:spacing w:after="0"/>
              <w:rPr>
                <w:sz w:val="18"/>
                <w:szCs w:val="18"/>
              </w:rPr>
            </w:pPr>
            <w:proofErr w:type="spellStart"/>
            <w:r w:rsidRPr="00CF512D">
              <w:rPr>
                <w:sz w:val="18"/>
                <w:szCs w:val="18"/>
              </w:rPr>
              <w:t>Baouiga</w:t>
            </w:r>
            <w:proofErr w:type="spellEnd"/>
          </w:p>
        </w:tc>
        <w:tc>
          <w:tcPr>
            <w:tcW w:w="2710" w:type="dxa"/>
            <w:shd w:val="clear" w:color="auto" w:fill="auto"/>
          </w:tcPr>
          <w:p w14:paraId="65CFD59F"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71432800" w14:textId="77777777" w:rsidR="00302BFE" w:rsidRPr="00CF512D" w:rsidRDefault="00302BFE" w:rsidP="00243B15">
            <w:pPr>
              <w:spacing w:after="0"/>
              <w:rPr>
                <w:sz w:val="18"/>
                <w:szCs w:val="18"/>
              </w:rPr>
            </w:pPr>
            <w:r w:rsidRPr="00CF512D">
              <w:rPr>
                <w:sz w:val="18"/>
                <w:szCs w:val="18"/>
              </w:rPr>
              <w:t xml:space="preserve">Mort </w:t>
            </w:r>
            <w:proofErr w:type="spellStart"/>
            <w:r w:rsidRPr="00CF512D">
              <w:rPr>
                <w:sz w:val="18"/>
                <w:szCs w:val="18"/>
              </w:rPr>
              <w:t>d’homme</w:t>
            </w:r>
            <w:proofErr w:type="spellEnd"/>
          </w:p>
        </w:tc>
      </w:tr>
      <w:tr w:rsidR="00302BFE" w:rsidRPr="00CF512D" w14:paraId="0859E105" w14:textId="77777777" w:rsidTr="00243B15">
        <w:trPr>
          <w:jc w:val="center"/>
        </w:trPr>
        <w:tc>
          <w:tcPr>
            <w:tcW w:w="1121" w:type="dxa"/>
            <w:vMerge/>
            <w:shd w:val="clear" w:color="auto" w:fill="auto"/>
          </w:tcPr>
          <w:p w14:paraId="3366EECC" w14:textId="77777777" w:rsidR="00302BFE" w:rsidRPr="00CF512D" w:rsidRDefault="00302BFE" w:rsidP="00243B15">
            <w:pPr>
              <w:spacing w:after="0"/>
              <w:rPr>
                <w:sz w:val="18"/>
                <w:szCs w:val="18"/>
              </w:rPr>
            </w:pPr>
          </w:p>
        </w:tc>
        <w:tc>
          <w:tcPr>
            <w:tcW w:w="4602" w:type="dxa"/>
            <w:shd w:val="clear" w:color="auto" w:fill="auto"/>
          </w:tcPr>
          <w:p w14:paraId="0EE3E938" w14:textId="77777777" w:rsidR="00302BFE" w:rsidRPr="00CF512D" w:rsidRDefault="00302BFE" w:rsidP="00243B15">
            <w:pPr>
              <w:spacing w:after="0"/>
              <w:rPr>
                <w:sz w:val="18"/>
                <w:szCs w:val="18"/>
              </w:rPr>
            </w:pPr>
            <w:proofErr w:type="spellStart"/>
            <w:r w:rsidRPr="00CF512D">
              <w:rPr>
                <w:sz w:val="18"/>
                <w:szCs w:val="18"/>
              </w:rPr>
              <w:t>Nadono</w:t>
            </w:r>
            <w:proofErr w:type="spellEnd"/>
            <w:r w:rsidRPr="00CF512D">
              <w:rPr>
                <w:sz w:val="18"/>
                <w:szCs w:val="18"/>
              </w:rPr>
              <w:t xml:space="preserve">, </w:t>
            </w:r>
            <w:proofErr w:type="spellStart"/>
            <w:r w:rsidRPr="00CF512D">
              <w:rPr>
                <w:sz w:val="18"/>
                <w:szCs w:val="18"/>
              </w:rPr>
              <w:t>Tiaré</w:t>
            </w:r>
            <w:proofErr w:type="spellEnd"/>
          </w:p>
        </w:tc>
        <w:tc>
          <w:tcPr>
            <w:tcW w:w="2710" w:type="dxa"/>
            <w:shd w:val="clear" w:color="auto" w:fill="auto"/>
          </w:tcPr>
          <w:p w14:paraId="5876CC67"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608C7B0F" w14:textId="77777777" w:rsidR="00302BFE" w:rsidRPr="00CF512D" w:rsidRDefault="00302BFE" w:rsidP="00243B15">
            <w:pPr>
              <w:spacing w:after="0"/>
              <w:rPr>
                <w:sz w:val="18"/>
                <w:szCs w:val="18"/>
              </w:rPr>
            </w:pPr>
            <w:proofErr w:type="spellStart"/>
            <w:r w:rsidRPr="00CF512D">
              <w:rPr>
                <w:sz w:val="18"/>
                <w:szCs w:val="18"/>
              </w:rPr>
              <w:t>Présence</w:t>
            </w:r>
            <w:proofErr w:type="spellEnd"/>
            <w:r w:rsidRPr="00CF512D">
              <w:rPr>
                <w:sz w:val="18"/>
                <w:szCs w:val="18"/>
              </w:rPr>
              <w:t xml:space="preserve"> </w:t>
            </w:r>
            <w:proofErr w:type="spellStart"/>
            <w:r w:rsidRPr="00CF512D">
              <w:rPr>
                <w:sz w:val="18"/>
                <w:szCs w:val="18"/>
              </w:rPr>
              <w:t>seulement</w:t>
            </w:r>
            <w:proofErr w:type="spellEnd"/>
          </w:p>
        </w:tc>
      </w:tr>
      <w:tr w:rsidR="00302BFE" w:rsidRPr="00CF512D" w14:paraId="35F562AE" w14:textId="77777777" w:rsidTr="00243B15">
        <w:trPr>
          <w:jc w:val="center"/>
        </w:trPr>
        <w:tc>
          <w:tcPr>
            <w:tcW w:w="1121" w:type="dxa"/>
            <w:vMerge/>
            <w:shd w:val="clear" w:color="auto" w:fill="auto"/>
          </w:tcPr>
          <w:p w14:paraId="7B1A25E0" w14:textId="77777777" w:rsidR="00302BFE" w:rsidRPr="00CF512D" w:rsidRDefault="00302BFE" w:rsidP="00243B15">
            <w:pPr>
              <w:spacing w:after="0"/>
              <w:rPr>
                <w:sz w:val="18"/>
                <w:szCs w:val="18"/>
              </w:rPr>
            </w:pPr>
          </w:p>
        </w:tc>
        <w:tc>
          <w:tcPr>
            <w:tcW w:w="4602" w:type="dxa"/>
            <w:shd w:val="clear" w:color="auto" w:fill="auto"/>
          </w:tcPr>
          <w:p w14:paraId="352BF0E5" w14:textId="77777777" w:rsidR="00302BFE" w:rsidRPr="00CF512D" w:rsidRDefault="00302BFE" w:rsidP="00243B15">
            <w:pPr>
              <w:spacing w:after="0"/>
              <w:rPr>
                <w:sz w:val="18"/>
                <w:szCs w:val="18"/>
              </w:rPr>
            </w:pPr>
            <w:r w:rsidRPr="00CF512D">
              <w:rPr>
                <w:sz w:val="18"/>
                <w:szCs w:val="18"/>
              </w:rPr>
              <w:t>Galo</w:t>
            </w:r>
          </w:p>
        </w:tc>
        <w:tc>
          <w:tcPr>
            <w:tcW w:w="2710" w:type="dxa"/>
            <w:shd w:val="clear" w:color="auto" w:fill="auto"/>
          </w:tcPr>
          <w:p w14:paraId="71C55808"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3ACF18C0"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38919DF4" w14:textId="77777777" w:rsidTr="00243B15">
        <w:trPr>
          <w:jc w:val="center"/>
        </w:trPr>
        <w:tc>
          <w:tcPr>
            <w:tcW w:w="1121" w:type="dxa"/>
            <w:vMerge w:val="restart"/>
            <w:shd w:val="clear" w:color="auto" w:fill="auto"/>
          </w:tcPr>
          <w:p w14:paraId="21D77A64" w14:textId="77777777" w:rsidR="00302BFE" w:rsidRPr="00CF512D" w:rsidRDefault="00302BFE" w:rsidP="00243B15">
            <w:pPr>
              <w:spacing w:after="0"/>
              <w:rPr>
                <w:sz w:val="18"/>
                <w:szCs w:val="18"/>
                <w:lang w:val="en-CA"/>
              </w:rPr>
            </w:pPr>
            <w:proofErr w:type="spellStart"/>
            <w:r w:rsidRPr="00CF512D">
              <w:rPr>
                <w:sz w:val="18"/>
                <w:szCs w:val="18"/>
                <w:lang w:val="en-CA"/>
              </w:rPr>
              <w:t>Guiaro</w:t>
            </w:r>
            <w:proofErr w:type="spellEnd"/>
          </w:p>
        </w:tc>
        <w:tc>
          <w:tcPr>
            <w:tcW w:w="4602" w:type="dxa"/>
            <w:shd w:val="clear" w:color="auto" w:fill="auto"/>
          </w:tcPr>
          <w:p w14:paraId="627F0540" w14:textId="77777777" w:rsidR="00302BFE" w:rsidRPr="00CF512D" w:rsidRDefault="00302BFE" w:rsidP="00243B15">
            <w:pPr>
              <w:spacing w:after="0"/>
              <w:rPr>
                <w:sz w:val="18"/>
                <w:szCs w:val="18"/>
              </w:rPr>
            </w:pPr>
            <w:proofErr w:type="spellStart"/>
            <w:r w:rsidRPr="00CF512D">
              <w:rPr>
                <w:sz w:val="18"/>
                <w:szCs w:val="18"/>
              </w:rPr>
              <w:t>Saro</w:t>
            </w:r>
            <w:proofErr w:type="spellEnd"/>
            <w:r w:rsidRPr="00CF512D">
              <w:rPr>
                <w:sz w:val="18"/>
                <w:szCs w:val="18"/>
              </w:rPr>
              <w:t xml:space="preserve">, </w:t>
            </w:r>
            <w:proofErr w:type="spellStart"/>
            <w:r w:rsidRPr="00CF512D">
              <w:rPr>
                <w:sz w:val="18"/>
                <w:szCs w:val="18"/>
              </w:rPr>
              <w:t>Boassa</w:t>
            </w:r>
            <w:proofErr w:type="spellEnd"/>
            <w:r w:rsidRPr="00CF512D">
              <w:rPr>
                <w:sz w:val="18"/>
                <w:szCs w:val="18"/>
              </w:rPr>
              <w:t xml:space="preserve">, </w:t>
            </w:r>
            <w:proofErr w:type="spellStart"/>
            <w:r w:rsidRPr="00CF512D">
              <w:rPr>
                <w:sz w:val="18"/>
                <w:szCs w:val="18"/>
              </w:rPr>
              <w:t>Natiédougou</w:t>
            </w:r>
            <w:proofErr w:type="spellEnd"/>
            <w:r w:rsidRPr="00CF512D">
              <w:rPr>
                <w:sz w:val="18"/>
                <w:szCs w:val="18"/>
              </w:rPr>
              <w:t xml:space="preserve">, </w:t>
            </w:r>
            <w:proofErr w:type="spellStart"/>
            <w:r w:rsidRPr="00CF512D">
              <w:rPr>
                <w:sz w:val="18"/>
                <w:szCs w:val="18"/>
              </w:rPr>
              <w:t>Koussaro</w:t>
            </w:r>
            <w:proofErr w:type="spellEnd"/>
            <w:r w:rsidRPr="00CF512D">
              <w:rPr>
                <w:sz w:val="18"/>
                <w:szCs w:val="18"/>
              </w:rPr>
              <w:t>,</w:t>
            </w:r>
          </w:p>
        </w:tc>
        <w:tc>
          <w:tcPr>
            <w:tcW w:w="2710" w:type="dxa"/>
            <w:shd w:val="clear" w:color="auto" w:fill="auto"/>
          </w:tcPr>
          <w:p w14:paraId="3DF9478F"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1F3B1497"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7CC001AD" w14:textId="77777777" w:rsidTr="00243B15">
        <w:trPr>
          <w:jc w:val="center"/>
        </w:trPr>
        <w:tc>
          <w:tcPr>
            <w:tcW w:w="1121" w:type="dxa"/>
            <w:vMerge/>
            <w:shd w:val="clear" w:color="auto" w:fill="auto"/>
          </w:tcPr>
          <w:p w14:paraId="45655CDA" w14:textId="77777777" w:rsidR="00302BFE" w:rsidRPr="00CF512D" w:rsidRDefault="00302BFE" w:rsidP="00243B15">
            <w:pPr>
              <w:spacing w:after="0"/>
              <w:rPr>
                <w:sz w:val="18"/>
                <w:szCs w:val="18"/>
              </w:rPr>
            </w:pPr>
          </w:p>
        </w:tc>
        <w:tc>
          <w:tcPr>
            <w:tcW w:w="4602" w:type="dxa"/>
            <w:shd w:val="clear" w:color="auto" w:fill="auto"/>
          </w:tcPr>
          <w:p w14:paraId="5CA7EE69" w14:textId="77777777" w:rsidR="00302BFE" w:rsidRPr="00CF512D" w:rsidRDefault="00302BFE" w:rsidP="00243B15">
            <w:pPr>
              <w:spacing w:after="0"/>
              <w:rPr>
                <w:sz w:val="18"/>
                <w:szCs w:val="18"/>
              </w:rPr>
            </w:pPr>
            <w:proofErr w:type="spellStart"/>
            <w:r w:rsidRPr="00CF512D">
              <w:rPr>
                <w:sz w:val="18"/>
                <w:szCs w:val="18"/>
              </w:rPr>
              <w:t>Kollo</w:t>
            </w:r>
            <w:proofErr w:type="spellEnd"/>
            <w:r w:rsidRPr="00CF512D">
              <w:rPr>
                <w:sz w:val="18"/>
                <w:szCs w:val="18"/>
              </w:rPr>
              <w:t>,</w:t>
            </w:r>
          </w:p>
        </w:tc>
        <w:tc>
          <w:tcPr>
            <w:tcW w:w="2710" w:type="dxa"/>
            <w:shd w:val="clear" w:color="auto" w:fill="auto"/>
          </w:tcPr>
          <w:p w14:paraId="31721C78"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01BAF7C5" w14:textId="77777777" w:rsidR="00302BFE" w:rsidRPr="00CF512D" w:rsidRDefault="00302BFE" w:rsidP="00243B15">
            <w:pPr>
              <w:spacing w:after="0"/>
              <w:rPr>
                <w:sz w:val="18"/>
                <w:szCs w:val="18"/>
              </w:rPr>
            </w:pPr>
            <w:r w:rsidRPr="00CF512D">
              <w:rPr>
                <w:sz w:val="18"/>
                <w:szCs w:val="18"/>
              </w:rPr>
              <w:t xml:space="preserve">Un homme </w:t>
            </w:r>
            <w:proofErr w:type="spellStart"/>
            <w:r w:rsidRPr="00CF512D">
              <w:rPr>
                <w:sz w:val="18"/>
                <w:szCs w:val="18"/>
              </w:rPr>
              <w:t>blessé</w:t>
            </w:r>
            <w:proofErr w:type="spellEnd"/>
          </w:p>
        </w:tc>
      </w:tr>
      <w:tr w:rsidR="00302BFE" w:rsidRPr="00CF512D" w14:paraId="5B8D7080" w14:textId="77777777" w:rsidTr="00243B15">
        <w:trPr>
          <w:jc w:val="center"/>
        </w:trPr>
        <w:tc>
          <w:tcPr>
            <w:tcW w:w="1121" w:type="dxa"/>
            <w:vMerge/>
            <w:shd w:val="clear" w:color="auto" w:fill="auto"/>
          </w:tcPr>
          <w:p w14:paraId="6D0D4421" w14:textId="77777777" w:rsidR="00302BFE" w:rsidRPr="00CF512D" w:rsidRDefault="00302BFE" w:rsidP="00243B15">
            <w:pPr>
              <w:spacing w:after="0"/>
              <w:rPr>
                <w:sz w:val="18"/>
                <w:szCs w:val="18"/>
              </w:rPr>
            </w:pPr>
          </w:p>
        </w:tc>
        <w:tc>
          <w:tcPr>
            <w:tcW w:w="4602" w:type="dxa"/>
            <w:shd w:val="clear" w:color="auto" w:fill="auto"/>
          </w:tcPr>
          <w:p w14:paraId="30FBA7B1" w14:textId="77777777" w:rsidR="00302BFE" w:rsidRPr="00CF512D" w:rsidRDefault="00302BFE" w:rsidP="00243B15">
            <w:pPr>
              <w:spacing w:after="0"/>
              <w:rPr>
                <w:sz w:val="18"/>
                <w:szCs w:val="18"/>
              </w:rPr>
            </w:pPr>
            <w:proofErr w:type="spellStart"/>
            <w:r w:rsidRPr="00CF512D">
              <w:rPr>
                <w:sz w:val="18"/>
                <w:szCs w:val="18"/>
              </w:rPr>
              <w:t>Kollo</w:t>
            </w:r>
            <w:proofErr w:type="spellEnd"/>
            <w:r w:rsidRPr="00CF512D">
              <w:rPr>
                <w:sz w:val="18"/>
                <w:szCs w:val="18"/>
              </w:rPr>
              <w:t xml:space="preserve"> </w:t>
            </w:r>
          </w:p>
        </w:tc>
        <w:tc>
          <w:tcPr>
            <w:tcW w:w="2710" w:type="dxa"/>
            <w:shd w:val="clear" w:color="auto" w:fill="auto"/>
          </w:tcPr>
          <w:p w14:paraId="415CF4F6" w14:textId="77777777" w:rsidR="00302BFE" w:rsidRPr="00CF512D" w:rsidRDefault="00302BFE" w:rsidP="00243B15">
            <w:pPr>
              <w:spacing w:after="0"/>
              <w:rPr>
                <w:sz w:val="18"/>
                <w:szCs w:val="18"/>
              </w:rPr>
            </w:pPr>
            <w:r w:rsidRPr="00CF512D">
              <w:rPr>
                <w:sz w:val="18"/>
                <w:szCs w:val="18"/>
              </w:rPr>
              <w:t>Hommes -</w:t>
            </w:r>
            <w:proofErr w:type="spellStart"/>
            <w:r w:rsidRPr="00CF512D">
              <w:rPr>
                <w:sz w:val="18"/>
                <w:szCs w:val="18"/>
              </w:rPr>
              <w:t>Babouin</w:t>
            </w:r>
            <w:proofErr w:type="spellEnd"/>
          </w:p>
        </w:tc>
        <w:tc>
          <w:tcPr>
            <w:tcW w:w="2340" w:type="dxa"/>
            <w:shd w:val="clear" w:color="auto" w:fill="auto"/>
          </w:tcPr>
          <w:p w14:paraId="262E5C08" w14:textId="77777777" w:rsidR="00302BFE" w:rsidRPr="00CF512D" w:rsidRDefault="00302BFE" w:rsidP="00243B15">
            <w:pPr>
              <w:spacing w:after="0"/>
              <w:rPr>
                <w:sz w:val="18"/>
                <w:szCs w:val="18"/>
              </w:rPr>
            </w:pPr>
            <w:r w:rsidRPr="00CF512D">
              <w:rPr>
                <w:sz w:val="18"/>
                <w:szCs w:val="18"/>
              </w:rPr>
              <w:t xml:space="preserve">Un homme </w:t>
            </w:r>
            <w:proofErr w:type="spellStart"/>
            <w:r w:rsidRPr="00CF512D">
              <w:rPr>
                <w:sz w:val="18"/>
                <w:szCs w:val="18"/>
              </w:rPr>
              <w:t>mordu</w:t>
            </w:r>
            <w:proofErr w:type="spellEnd"/>
            <w:r w:rsidRPr="00CF512D">
              <w:rPr>
                <w:sz w:val="18"/>
                <w:szCs w:val="18"/>
              </w:rPr>
              <w:t xml:space="preserve"> </w:t>
            </w:r>
          </w:p>
        </w:tc>
      </w:tr>
      <w:tr w:rsidR="00302BFE" w:rsidRPr="00CF512D" w14:paraId="78E2421E" w14:textId="77777777" w:rsidTr="00243B15">
        <w:trPr>
          <w:jc w:val="center"/>
        </w:trPr>
        <w:tc>
          <w:tcPr>
            <w:tcW w:w="1121" w:type="dxa"/>
            <w:vMerge/>
            <w:shd w:val="clear" w:color="auto" w:fill="auto"/>
          </w:tcPr>
          <w:p w14:paraId="5C21D748" w14:textId="77777777" w:rsidR="00302BFE" w:rsidRPr="00CF512D" w:rsidRDefault="00302BFE" w:rsidP="00243B15">
            <w:pPr>
              <w:spacing w:after="0"/>
              <w:rPr>
                <w:sz w:val="18"/>
                <w:szCs w:val="18"/>
              </w:rPr>
            </w:pPr>
          </w:p>
        </w:tc>
        <w:tc>
          <w:tcPr>
            <w:tcW w:w="4602" w:type="dxa"/>
            <w:shd w:val="clear" w:color="auto" w:fill="auto"/>
          </w:tcPr>
          <w:p w14:paraId="194CDDDE" w14:textId="77777777" w:rsidR="00302BFE" w:rsidRPr="00CF512D" w:rsidRDefault="00302BFE" w:rsidP="00243B15">
            <w:pPr>
              <w:spacing w:after="0"/>
              <w:rPr>
                <w:sz w:val="18"/>
                <w:szCs w:val="18"/>
              </w:rPr>
            </w:pPr>
            <w:r w:rsidRPr="00CF512D">
              <w:rPr>
                <w:sz w:val="18"/>
                <w:szCs w:val="18"/>
              </w:rPr>
              <w:t>Sia</w:t>
            </w:r>
          </w:p>
        </w:tc>
        <w:tc>
          <w:tcPr>
            <w:tcW w:w="2710" w:type="dxa"/>
            <w:shd w:val="clear" w:color="auto" w:fill="auto"/>
          </w:tcPr>
          <w:p w14:paraId="34E85907" w14:textId="77777777" w:rsidR="00302BFE" w:rsidRPr="00CF512D" w:rsidRDefault="00302BFE" w:rsidP="00243B15">
            <w:pPr>
              <w:spacing w:after="0"/>
              <w:rPr>
                <w:sz w:val="18"/>
                <w:szCs w:val="18"/>
              </w:rPr>
            </w:pPr>
            <w:proofErr w:type="spellStart"/>
            <w:r w:rsidRPr="00CF512D">
              <w:rPr>
                <w:sz w:val="18"/>
                <w:szCs w:val="18"/>
              </w:rPr>
              <w:t>Babouin-Animaux</w:t>
            </w:r>
            <w:proofErr w:type="spellEnd"/>
            <w:r w:rsidRPr="00CF512D">
              <w:rPr>
                <w:sz w:val="18"/>
                <w:szCs w:val="18"/>
              </w:rPr>
              <w:t xml:space="preserve"> domestiques</w:t>
            </w:r>
          </w:p>
        </w:tc>
        <w:tc>
          <w:tcPr>
            <w:tcW w:w="2340" w:type="dxa"/>
            <w:shd w:val="clear" w:color="auto" w:fill="auto"/>
          </w:tcPr>
          <w:p w14:paraId="50AC310B" w14:textId="77777777" w:rsidR="00302BFE" w:rsidRPr="00CF512D" w:rsidRDefault="00302BFE" w:rsidP="00243B15">
            <w:pPr>
              <w:spacing w:after="0"/>
              <w:rPr>
                <w:sz w:val="18"/>
                <w:szCs w:val="18"/>
              </w:rPr>
            </w:pPr>
            <w:proofErr w:type="spellStart"/>
            <w:r w:rsidRPr="00CF512D">
              <w:rPr>
                <w:sz w:val="18"/>
                <w:szCs w:val="18"/>
              </w:rPr>
              <w:t>Poulets</w:t>
            </w:r>
            <w:proofErr w:type="spellEnd"/>
            <w:r w:rsidRPr="00CF512D">
              <w:rPr>
                <w:sz w:val="18"/>
                <w:szCs w:val="18"/>
              </w:rPr>
              <w:t xml:space="preserve"> et chèvres </w:t>
            </w:r>
            <w:proofErr w:type="spellStart"/>
            <w:r w:rsidRPr="00CF512D">
              <w:rPr>
                <w:sz w:val="18"/>
                <w:szCs w:val="18"/>
              </w:rPr>
              <w:t>dévorés</w:t>
            </w:r>
            <w:proofErr w:type="spellEnd"/>
            <w:r w:rsidRPr="00CF512D">
              <w:rPr>
                <w:sz w:val="18"/>
                <w:szCs w:val="18"/>
              </w:rPr>
              <w:t xml:space="preserve"> </w:t>
            </w:r>
          </w:p>
        </w:tc>
      </w:tr>
      <w:tr w:rsidR="00302BFE" w:rsidRPr="00CF512D" w14:paraId="18EB2FB5" w14:textId="77777777" w:rsidTr="00243B15">
        <w:trPr>
          <w:jc w:val="center"/>
        </w:trPr>
        <w:tc>
          <w:tcPr>
            <w:tcW w:w="1121" w:type="dxa"/>
            <w:vMerge/>
            <w:shd w:val="clear" w:color="auto" w:fill="auto"/>
          </w:tcPr>
          <w:p w14:paraId="1B0F71E9" w14:textId="77777777" w:rsidR="00302BFE" w:rsidRPr="00CF512D" w:rsidRDefault="00302BFE" w:rsidP="00243B15">
            <w:pPr>
              <w:spacing w:after="0"/>
              <w:rPr>
                <w:sz w:val="18"/>
                <w:szCs w:val="18"/>
              </w:rPr>
            </w:pPr>
          </w:p>
        </w:tc>
        <w:tc>
          <w:tcPr>
            <w:tcW w:w="4602" w:type="dxa"/>
            <w:shd w:val="clear" w:color="auto" w:fill="auto"/>
          </w:tcPr>
          <w:p w14:paraId="3A91B89C" w14:textId="77777777" w:rsidR="00302BFE" w:rsidRPr="004E072E" w:rsidRDefault="00302BFE" w:rsidP="00243B15">
            <w:pPr>
              <w:spacing w:after="0"/>
              <w:rPr>
                <w:sz w:val="18"/>
                <w:szCs w:val="18"/>
                <w:lang w:val="pt-PT"/>
              </w:rPr>
            </w:pPr>
            <w:r w:rsidRPr="004E072E">
              <w:rPr>
                <w:sz w:val="18"/>
                <w:szCs w:val="18"/>
                <w:lang w:val="pt-PT"/>
              </w:rPr>
              <w:t>Saro, Koumbili, Sia, Natiédougou, Boassa, Kountioro, Walem, Tiakané, Nessaré, Kadro, Bétaré,</w:t>
            </w:r>
          </w:p>
        </w:tc>
        <w:tc>
          <w:tcPr>
            <w:tcW w:w="2710" w:type="dxa"/>
            <w:shd w:val="clear" w:color="auto" w:fill="auto"/>
          </w:tcPr>
          <w:p w14:paraId="0363FEA9"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2E2D3F89"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0C221E88" w14:textId="77777777" w:rsidTr="00243B15">
        <w:trPr>
          <w:jc w:val="center"/>
        </w:trPr>
        <w:tc>
          <w:tcPr>
            <w:tcW w:w="1121" w:type="dxa"/>
            <w:vMerge/>
            <w:shd w:val="clear" w:color="auto" w:fill="auto"/>
          </w:tcPr>
          <w:p w14:paraId="1191EA6E" w14:textId="77777777" w:rsidR="00302BFE" w:rsidRPr="00CF512D" w:rsidRDefault="00302BFE" w:rsidP="00243B15">
            <w:pPr>
              <w:spacing w:after="0"/>
              <w:rPr>
                <w:sz w:val="18"/>
                <w:szCs w:val="18"/>
              </w:rPr>
            </w:pPr>
          </w:p>
        </w:tc>
        <w:tc>
          <w:tcPr>
            <w:tcW w:w="4602" w:type="dxa"/>
            <w:shd w:val="clear" w:color="auto" w:fill="auto"/>
          </w:tcPr>
          <w:p w14:paraId="25DB2FDD" w14:textId="77777777" w:rsidR="00302BFE" w:rsidRPr="00CF512D" w:rsidRDefault="00302BFE" w:rsidP="00243B15">
            <w:pPr>
              <w:spacing w:after="0"/>
              <w:rPr>
                <w:sz w:val="18"/>
                <w:szCs w:val="18"/>
                <w:lang w:val="fr-CA"/>
              </w:rPr>
            </w:pPr>
            <w:proofErr w:type="spellStart"/>
            <w:r w:rsidRPr="00CF512D">
              <w:rPr>
                <w:sz w:val="18"/>
                <w:szCs w:val="18"/>
                <w:lang w:val="fr-CA"/>
              </w:rPr>
              <w:t>Natiédougou</w:t>
            </w:r>
            <w:proofErr w:type="spellEnd"/>
            <w:r w:rsidRPr="00CF512D">
              <w:rPr>
                <w:sz w:val="18"/>
                <w:szCs w:val="18"/>
                <w:lang w:val="fr-CA"/>
              </w:rPr>
              <w:t xml:space="preserve"> et tous les villages riverains</w:t>
            </w:r>
          </w:p>
        </w:tc>
        <w:tc>
          <w:tcPr>
            <w:tcW w:w="2710" w:type="dxa"/>
            <w:shd w:val="clear" w:color="auto" w:fill="auto"/>
          </w:tcPr>
          <w:p w14:paraId="64C80A13"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Patas</w:t>
            </w:r>
            <w:proofErr w:type="spellEnd"/>
          </w:p>
        </w:tc>
        <w:tc>
          <w:tcPr>
            <w:tcW w:w="2340" w:type="dxa"/>
            <w:shd w:val="clear" w:color="auto" w:fill="auto"/>
          </w:tcPr>
          <w:p w14:paraId="69375E1B"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6EEC821B" w14:textId="77777777" w:rsidTr="00243B15">
        <w:trPr>
          <w:jc w:val="center"/>
        </w:trPr>
        <w:tc>
          <w:tcPr>
            <w:tcW w:w="1121" w:type="dxa"/>
            <w:vMerge/>
            <w:shd w:val="clear" w:color="auto" w:fill="auto"/>
          </w:tcPr>
          <w:p w14:paraId="13FA1064" w14:textId="77777777" w:rsidR="00302BFE" w:rsidRPr="00CF512D" w:rsidRDefault="00302BFE" w:rsidP="00243B15">
            <w:pPr>
              <w:spacing w:after="0"/>
              <w:rPr>
                <w:sz w:val="18"/>
                <w:szCs w:val="18"/>
              </w:rPr>
            </w:pPr>
          </w:p>
        </w:tc>
        <w:tc>
          <w:tcPr>
            <w:tcW w:w="4602" w:type="dxa"/>
            <w:shd w:val="clear" w:color="auto" w:fill="auto"/>
          </w:tcPr>
          <w:p w14:paraId="7B537CA7" w14:textId="77777777" w:rsidR="00302BFE" w:rsidRPr="00CF512D" w:rsidRDefault="00302BFE" w:rsidP="00243B15">
            <w:pPr>
              <w:spacing w:after="0"/>
              <w:rPr>
                <w:sz w:val="18"/>
                <w:szCs w:val="18"/>
              </w:rPr>
            </w:pPr>
            <w:proofErr w:type="spellStart"/>
            <w:r w:rsidRPr="00CF512D">
              <w:rPr>
                <w:sz w:val="18"/>
                <w:szCs w:val="18"/>
              </w:rPr>
              <w:t>Bétaré</w:t>
            </w:r>
            <w:proofErr w:type="spellEnd"/>
          </w:p>
        </w:tc>
        <w:tc>
          <w:tcPr>
            <w:tcW w:w="2710" w:type="dxa"/>
            <w:shd w:val="clear" w:color="auto" w:fill="auto"/>
          </w:tcPr>
          <w:p w14:paraId="4CE218F0"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Oiseaux</w:t>
            </w:r>
            <w:proofErr w:type="spellEnd"/>
          </w:p>
        </w:tc>
        <w:tc>
          <w:tcPr>
            <w:tcW w:w="2340" w:type="dxa"/>
            <w:shd w:val="clear" w:color="auto" w:fill="auto"/>
          </w:tcPr>
          <w:p w14:paraId="18E39C36"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59830A1E" w14:textId="77777777" w:rsidTr="00243B15">
        <w:trPr>
          <w:jc w:val="center"/>
        </w:trPr>
        <w:tc>
          <w:tcPr>
            <w:tcW w:w="1121" w:type="dxa"/>
            <w:vMerge w:val="restart"/>
            <w:shd w:val="clear" w:color="auto" w:fill="auto"/>
          </w:tcPr>
          <w:p w14:paraId="02483262" w14:textId="77777777" w:rsidR="00302BFE" w:rsidRPr="00CF512D" w:rsidRDefault="00302BFE" w:rsidP="00243B15">
            <w:pPr>
              <w:spacing w:after="0"/>
              <w:rPr>
                <w:sz w:val="18"/>
                <w:szCs w:val="18"/>
              </w:rPr>
            </w:pPr>
            <w:proofErr w:type="spellStart"/>
            <w:r w:rsidRPr="00CF512D">
              <w:rPr>
                <w:sz w:val="18"/>
                <w:szCs w:val="18"/>
              </w:rPr>
              <w:t>Ziou</w:t>
            </w:r>
            <w:proofErr w:type="spellEnd"/>
          </w:p>
        </w:tc>
        <w:tc>
          <w:tcPr>
            <w:tcW w:w="4602" w:type="dxa"/>
            <w:shd w:val="clear" w:color="auto" w:fill="auto"/>
          </w:tcPr>
          <w:p w14:paraId="26C194B9" w14:textId="77777777" w:rsidR="00302BFE" w:rsidRPr="00CF512D" w:rsidRDefault="00302BFE" w:rsidP="00243B15">
            <w:pPr>
              <w:spacing w:after="0"/>
              <w:rPr>
                <w:sz w:val="18"/>
                <w:szCs w:val="18"/>
                <w:lang w:val="fr-CA"/>
              </w:rPr>
            </w:pPr>
            <w:proofErr w:type="spellStart"/>
            <w:r w:rsidRPr="00CF512D">
              <w:rPr>
                <w:sz w:val="18"/>
                <w:szCs w:val="18"/>
                <w:lang w:val="fr-CA"/>
              </w:rPr>
              <w:t>Mantiongo</w:t>
            </w:r>
            <w:proofErr w:type="spellEnd"/>
            <w:r w:rsidRPr="00CF512D">
              <w:rPr>
                <w:sz w:val="18"/>
                <w:szCs w:val="18"/>
                <w:lang w:val="fr-CA"/>
              </w:rPr>
              <w:t xml:space="preserve">, </w:t>
            </w:r>
            <w:proofErr w:type="spellStart"/>
            <w:r w:rsidRPr="00CF512D">
              <w:rPr>
                <w:sz w:val="18"/>
                <w:szCs w:val="18"/>
                <w:lang w:val="fr-CA"/>
              </w:rPr>
              <w:t>Pingou</w:t>
            </w:r>
            <w:proofErr w:type="spellEnd"/>
            <w:r w:rsidRPr="00CF512D">
              <w:rPr>
                <w:sz w:val="18"/>
                <w:szCs w:val="18"/>
                <w:lang w:val="fr-CA"/>
              </w:rPr>
              <w:t xml:space="preserve">, </w:t>
            </w:r>
            <w:proofErr w:type="spellStart"/>
            <w:r w:rsidRPr="00CF512D">
              <w:rPr>
                <w:sz w:val="18"/>
                <w:szCs w:val="18"/>
                <w:lang w:val="fr-CA"/>
              </w:rPr>
              <w:t>Tanpelga</w:t>
            </w:r>
            <w:proofErr w:type="spellEnd"/>
            <w:r w:rsidRPr="00CF512D">
              <w:rPr>
                <w:sz w:val="18"/>
                <w:szCs w:val="18"/>
                <w:lang w:val="fr-CA"/>
              </w:rPr>
              <w:t xml:space="preserve">, </w:t>
            </w:r>
            <w:proofErr w:type="spellStart"/>
            <w:r w:rsidRPr="00CF512D">
              <w:rPr>
                <w:sz w:val="18"/>
                <w:szCs w:val="18"/>
                <w:lang w:val="fr-CA"/>
              </w:rPr>
              <w:t>Mouna</w:t>
            </w:r>
            <w:proofErr w:type="spellEnd"/>
            <w:r w:rsidRPr="00CF512D">
              <w:rPr>
                <w:sz w:val="18"/>
                <w:szCs w:val="18"/>
                <w:lang w:val="fr-CA"/>
              </w:rPr>
              <w:t xml:space="preserve"> et </w:t>
            </w:r>
            <w:proofErr w:type="spellStart"/>
            <w:r w:rsidRPr="00CF512D">
              <w:rPr>
                <w:sz w:val="18"/>
                <w:szCs w:val="18"/>
                <w:lang w:val="fr-CA"/>
              </w:rPr>
              <w:t>Yelbici</w:t>
            </w:r>
            <w:proofErr w:type="spellEnd"/>
          </w:p>
        </w:tc>
        <w:tc>
          <w:tcPr>
            <w:tcW w:w="2710" w:type="dxa"/>
            <w:shd w:val="clear" w:color="auto" w:fill="auto"/>
          </w:tcPr>
          <w:p w14:paraId="6B733CBF"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3EEE5D6E"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7473E2AF" w14:textId="77777777" w:rsidTr="00243B15">
        <w:trPr>
          <w:jc w:val="center"/>
        </w:trPr>
        <w:tc>
          <w:tcPr>
            <w:tcW w:w="1121" w:type="dxa"/>
            <w:vMerge/>
            <w:shd w:val="clear" w:color="auto" w:fill="auto"/>
          </w:tcPr>
          <w:p w14:paraId="132813D7" w14:textId="77777777" w:rsidR="00302BFE" w:rsidRPr="00CF512D" w:rsidRDefault="00302BFE" w:rsidP="00243B15">
            <w:pPr>
              <w:spacing w:after="0"/>
              <w:rPr>
                <w:sz w:val="18"/>
                <w:szCs w:val="18"/>
              </w:rPr>
            </w:pPr>
          </w:p>
        </w:tc>
        <w:tc>
          <w:tcPr>
            <w:tcW w:w="4602" w:type="dxa"/>
            <w:shd w:val="clear" w:color="auto" w:fill="auto"/>
          </w:tcPr>
          <w:p w14:paraId="038DEB03" w14:textId="77777777" w:rsidR="00302BFE" w:rsidRPr="00CF512D" w:rsidRDefault="00302BFE" w:rsidP="00243B15">
            <w:pPr>
              <w:spacing w:after="0"/>
              <w:rPr>
                <w:sz w:val="18"/>
                <w:szCs w:val="18"/>
              </w:rPr>
            </w:pPr>
            <w:r w:rsidRPr="00CF512D">
              <w:rPr>
                <w:sz w:val="18"/>
                <w:szCs w:val="18"/>
              </w:rPr>
              <w:t>corridor n°2</w:t>
            </w:r>
          </w:p>
        </w:tc>
        <w:tc>
          <w:tcPr>
            <w:tcW w:w="2710" w:type="dxa"/>
            <w:shd w:val="clear" w:color="auto" w:fill="auto"/>
          </w:tcPr>
          <w:p w14:paraId="767D85A3" w14:textId="77777777" w:rsidR="00302BFE" w:rsidRPr="00CF512D" w:rsidRDefault="00302BFE" w:rsidP="00243B15">
            <w:pPr>
              <w:spacing w:after="0"/>
              <w:rPr>
                <w:sz w:val="18"/>
                <w:szCs w:val="18"/>
              </w:rPr>
            </w:pPr>
            <w:r w:rsidRPr="00CF512D">
              <w:rPr>
                <w:sz w:val="18"/>
                <w:szCs w:val="18"/>
              </w:rPr>
              <w:t>Homme-</w:t>
            </w:r>
            <w:proofErr w:type="spellStart"/>
            <w:r w:rsidRPr="00CF512D">
              <w:rPr>
                <w:sz w:val="18"/>
                <w:szCs w:val="18"/>
              </w:rPr>
              <w:t>Eléphants</w:t>
            </w:r>
            <w:proofErr w:type="spellEnd"/>
          </w:p>
        </w:tc>
        <w:tc>
          <w:tcPr>
            <w:tcW w:w="2340" w:type="dxa"/>
            <w:shd w:val="clear" w:color="auto" w:fill="auto"/>
          </w:tcPr>
          <w:p w14:paraId="487CBD38" w14:textId="77777777" w:rsidR="00302BFE" w:rsidRPr="00CF512D" w:rsidRDefault="00302BFE" w:rsidP="00243B15">
            <w:pPr>
              <w:spacing w:after="0"/>
              <w:rPr>
                <w:sz w:val="18"/>
                <w:szCs w:val="18"/>
              </w:rPr>
            </w:pPr>
            <w:r w:rsidRPr="00CF512D">
              <w:rPr>
                <w:sz w:val="18"/>
                <w:szCs w:val="18"/>
              </w:rPr>
              <w:t xml:space="preserve">Mort </w:t>
            </w:r>
            <w:proofErr w:type="spellStart"/>
            <w:r w:rsidRPr="00CF512D">
              <w:rPr>
                <w:sz w:val="18"/>
                <w:szCs w:val="18"/>
              </w:rPr>
              <w:t>d’homme</w:t>
            </w:r>
            <w:proofErr w:type="spellEnd"/>
          </w:p>
        </w:tc>
      </w:tr>
      <w:tr w:rsidR="00302BFE" w:rsidRPr="00CF512D" w14:paraId="6A027188" w14:textId="77777777" w:rsidTr="00243B15">
        <w:trPr>
          <w:jc w:val="center"/>
        </w:trPr>
        <w:tc>
          <w:tcPr>
            <w:tcW w:w="1121" w:type="dxa"/>
            <w:vMerge w:val="restart"/>
            <w:shd w:val="clear" w:color="auto" w:fill="auto"/>
          </w:tcPr>
          <w:p w14:paraId="1CCC4F82" w14:textId="77777777" w:rsidR="00302BFE" w:rsidRPr="00CF512D" w:rsidRDefault="00302BFE" w:rsidP="00243B15">
            <w:pPr>
              <w:spacing w:after="0"/>
              <w:rPr>
                <w:sz w:val="18"/>
                <w:szCs w:val="18"/>
              </w:rPr>
            </w:pPr>
            <w:proofErr w:type="spellStart"/>
            <w:r w:rsidRPr="00CF512D">
              <w:rPr>
                <w:sz w:val="18"/>
                <w:szCs w:val="18"/>
              </w:rPr>
              <w:t>Nobéré</w:t>
            </w:r>
            <w:proofErr w:type="spellEnd"/>
          </w:p>
        </w:tc>
        <w:tc>
          <w:tcPr>
            <w:tcW w:w="4602" w:type="dxa"/>
            <w:shd w:val="clear" w:color="auto" w:fill="auto"/>
          </w:tcPr>
          <w:p w14:paraId="6512F27C" w14:textId="77777777" w:rsidR="00302BFE" w:rsidRPr="00CF512D" w:rsidRDefault="00302BFE" w:rsidP="00243B15">
            <w:pPr>
              <w:spacing w:after="0"/>
              <w:rPr>
                <w:sz w:val="18"/>
                <w:szCs w:val="18"/>
              </w:rPr>
            </w:pPr>
            <w:proofErr w:type="spellStart"/>
            <w:r w:rsidRPr="00CF512D">
              <w:rPr>
                <w:sz w:val="18"/>
                <w:szCs w:val="18"/>
              </w:rPr>
              <w:t>Nobéré</w:t>
            </w:r>
            <w:proofErr w:type="spellEnd"/>
            <w:r w:rsidRPr="00CF512D">
              <w:rPr>
                <w:sz w:val="18"/>
                <w:szCs w:val="18"/>
              </w:rPr>
              <w:t xml:space="preserve"> (PNKT)</w:t>
            </w:r>
          </w:p>
        </w:tc>
        <w:tc>
          <w:tcPr>
            <w:tcW w:w="2710" w:type="dxa"/>
            <w:shd w:val="clear" w:color="auto" w:fill="auto"/>
          </w:tcPr>
          <w:p w14:paraId="22ED6B18"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09324EB7" w14:textId="77777777" w:rsidR="00302BFE" w:rsidRPr="00CF512D" w:rsidRDefault="00302BFE" w:rsidP="00243B15">
            <w:pPr>
              <w:spacing w:after="0"/>
              <w:rPr>
                <w:sz w:val="18"/>
                <w:szCs w:val="18"/>
              </w:rPr>
            </w:pPr>
            <w:r w:rsidRPr="00CF512D">
              <w:rPr>
                <w:sz w:val="18"/>
                <w:szCs w:val="18"/>
              </w:rPr>
              <w:t xml:space="preserve">4 </w:t>
            </w:r>
            <w:proofErr w:type="spellStart"/>
            <w:r w:rsidRPr="00CF512D">
              <w:rPr>
                <w:sz w:val="18"/>
                <w:szCs w:val="18"/>
              </w:rPr>
              <w:t>morts</w:t>
            </w:r>
            <w:proofErr w:type="spellEnd"/>
            <w:r w:rsidRPr="00CF512D">
              <w:rPr>
                <w:sz w:val="18"/>
                <w:szCs w:val="18"/>
              </w:rPr>
              <w:t xml:space="preserve"> </w:t>
            </w:r>
            <w:proofErr w:type="spellStart"/>
            <w:r w:rsidRPr="00CF512D">
              <w:rPr>
                <w:sz w:val="18"/>
                <w:szCs w:val="18"/>
              </w:rPr>
              <w:t>d’hommes</w:t>
            </w:r>
            <w:proofErr w:type="spellEnd"/>
            <w:r w:rsidRPr="00CF512D">
              <w:rPr>
                <w:sz w:val="18"/>
                <w:szCs w:val="18"/>
              </w:rPr>
              <w:t xml:space="preserve"> </w:t>
            </w:r>
            <w:r w:rsidRPr="00091F0E">
              <w:rPr>
                <w:sz w:val="16"/>
                <w:szCs w:val="16"/>
              </w:rPr>
              <w:t>2016-2017</w:t>
            </w:r>
          </w:p>
        </w:tc>
      </w:tr>
      <w:tr w:rsidR="00302BFE" w:rsidRPr="00CF512D" w14:paraId="5EC47D1F" w14:textId="77777777" w:rsidTr="00243B15">
        <w:trPr>
          <w:jc w:val="center"/>
        </w:trPr>
        <w:tc>
          <w:tcPr>
            <w:tcW w:w="1121" w:type="dxa"/>
            <w:vMerge/>
            <w:shd w:val="clear" w:color="auto" w:fill="auto"/>
          </w:tcPr>
          <w:p w14:paraId="7ACA714D" w14:textId="77777777" w:rsidR="00302BFE" w:rsidRPr="00CF512D" w:rsidRDefault="00302BFE" w:rsidP="00243B15">
            <w:pPr>
              <w:spacing w:after="0"/>
              <w:rPr>
                <w:sz w:val="18"/>
                <w:szCs w:val="18"/>
              </w:rPr>
            </w:pPr>
          </w:p>
        </w:tc>
        <w:tc>
          <w:tcPr>
            <w:tcW w:w="4602" w:type="dxa"/>
            <w:shd w:val="clear" w:color="auto" w:fill="auto"/>
          </w:tcPr>
          <w:p w14:paraId="4369A3B0" w14:textId="77777777" w:rsidR="00302BFE" w:rsidRPr="00CF512D" w:rsidRDefault="00302BFE" w:rsidP="00243B15">
            <w:pPr>
              <w:spacing w:after="0"/>
              <w:rPr>
                <w:sz w:val="18"/>
                <w:szCs w:val="18"/>
              </w:rPr>
            </w:pPr>
            <w:proofErr w:type="spellStart"/>
            <w:r w:rsidRPr="00CF512D">
              <w:rPr>
                <w:sz w:val="18"/>
                <w:szCs w:val="18"/>
              </w:rPr>
              <w:t>Yougouri</w:t>
            </w:r>
            <w:proofErr w:type="spellEnd"/>
            <w:r w:rsidRPr="00CF512D">
              <w:rPr>
                <w:sz w:val="18"/>
                <w:szCs w:val="18"/>
              </w:rPr>
              <w:t xml:space="preserve">, </w:t>
            </w:r>
            <w:proofErr w:type="spellStart"/>
            <w:r w:rsidRPr="00CF512D">
              <w:rPr>
                <w:sz w:val="18"/>
                <w:szCs w:val="18"/>
              </w:rPr>
              <w:t>Baskoudré</w:t>
            </w:r>
            <w:proofErr w:type="spellEnd"/>
          </w:p>
        </w:tc>
        <w:tc>
          <w:tcPr>
            <w:tcW w:w="2710" w:type="dxa"/>
            <w:shd w:val="clear" w:color="auto" w:fill="auto"/>
          </w:tcPr>
          <w:p w14:paraId="46B97592"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53E04BB0"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675F11CE" w14:textId="77777777" w:rsidTr="00243B15">
        <w:trPr>
          <w:jc w:val="center"/>
        </w:trPr>
        <w:tc>
          <w:tcPr>
            <w:tcW w:w="1121" w:type="dxa"/>
            <w:shd w:val="clear" w:color="auto" w:fill="auto"/>
          </w:tcPr>
          <w:p w14:paraId="3300F477" w14:textId="77777777" w:rsidR="00302BFE" w:rsidRPr="00CF512D" w:rsidRDefault="00302BFE" w:rsidP="00243B15">
            <w:pPr>
              <w:spacing w:after="0"/>
              <w:rPr>
                <w:sz w:val="18"/>
                <w:szCs w:val="18"/>
              </w:rPr>
            </w:pPr>
            <w:proofErr w:type="spellStart"/>
            <w:r w:rsidRPr="00CF512D">
              <w:rPr>
                <w:sz w:val="18"/>
                <w:szCs w:val="18"/>
              </w:rPr>
              <w:t>Tiébélé</w:t>
            </w:r>
            <w:proofErr w:type="spellEnd"/>
          </w:p>
        </w:tc>
        <w:tc>
          <w:tcPr>
            <w:tcW w:w="4602" w:type="dxa"/>
            <w:shd w:val="clear" w:color="auto" w:fill="auto"/>
          </w:tcPr>
          <w:p w14:paraId="46AF49C7" w14:textId="77777777" w:rsidR="00302BFE" w:rsidRPr="004E072E" w:rsidRDefault="00302BFE" w:rsidP="00243B15">
            <w:pPr>
              <w:spacing w:after="0"/>
              <w:rPr>
                <w:sz w:val="18"/>
                <w:szCs w:val="18"/>
                <w:lang w:val="pt-PT"/>
              </w:rPr>
            </w:pPr>
            <w:r w:rsidRPr="004E072E">
              <w:rPr>
                <w:sz w:val="18"/>
                <w:szCs w:val="18"/>
                <w:lang w:val="pt-PT"/>
              </w:rPr>
              <w:t>Kiéba, Kabricobogo, Idenia/kora, villages AVV, Go, Dango, Dankoum</w:t>
            </w:r>
          </w:p>
        </w:tc>
        <w:tc>
          <w:tcPr>
            <w:tcW w:w="2710" w:type="dxa"/>
            <w:shd w:val="clear" w:color="auto" w:fill="auto"/>
          </w:tcPr>
          <w:p w14:paraId="4DAE3B3F"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3023C591"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12A7E3D1" w14:textId="77777777" w:rsidTr="00243B15">
        <w:trPr>
          <w:jc w:val="center"/>
        </w:trPr>
        <w:tc>
          <w:tcPr>
            <w:tcW w:w="1121" w:type="dxa"/>
            <w:shd w:val="clear" w:color="auto" w:fill="auto"/>
          </w:tcPr>
          <w:p w14:paraId="453B0CA3" w14:textId="77777777" w:rsidR="00302BFE" w:rsidRPr="00CF512D" w:rsidRDefault="00302BFE" w:rsidP="00243B15">
            <w:pPr>
              <w:spacing w:after="0"/>
              <w:rPr>
                <w:sz w:val="18"/>
                <w:szCs w:val="18"/>
              </w:rPr>
            </w:pPr>
            <w:proofErr w:type="spellStart"/>
            <w:r w:rsidRPr="00CF512D">
              <w:rPr>
                <w:sz w:val="18"/>
                <w:szCs w:val="18"/>
              </w:rPr>
              <w:t>Ipélcé</w:t>
            </w:r>
            <w:proofErr w:type="spellEnd"/>
          </w:p>
        </w:tc>
        <w:tc>
          <w:tcPr>
            <w:tcW w:w="4602" w:type="dxa"/>
            <w:shd w:val="clear" w:color="auto" w:fill="auto"/>
          </w:tcPr>
          <w:p w14:paraId="0560AC46" w14:textId="77777777" w:rsidR="00302BFE" w:rsidRPr="004E072E" w:rsidRDefault="00302BFE" w:rsidP="00243B15">
            <w:pPr>
              <w:spacing w:after="0"/>
              <w:rPr>
                <w:sz w:val="18"/>
                <w:szCs w:val="18"/>
                <w:lang w:val="pt-PT"/>
              </w:rPr>
            </w:pPr>
            <w:r w:rsidRPr="004E072E">
              <w:rPr>
                <w:sz w:val="18"/>
                <w:szCs w:val="18"/>
                <w:lang w:val="pt-PT"/>
              </w:rPr>
              <w:t>Sabin, Siltougdo, Sambiri, Bandeba, Gibsi, Nayinsma</w:t>
            </w:r>
          </w:p>
        </w:tc>
        <w:tc>
          <w:tcPr>
            <w:tcW w:w="2710" w:type="dxa"/>
            <w:shd w:val="clear" w:color="auto" w:fill="auto"/>
          </w:tcPr>
          <w:p w14:paraId="68BDB1D9"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505CC96B"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6FE5895C" w14:textId="77777777" w:rsidTr="00243B15">
        <w:trPr>
          <w:jc w:val="center"/>
        </w:trPr>
        <w:tc>
          <w:tcPr>
            <w:tcW w:w="1121" w:type="dxa"/>
            <w:vMerge w:val="restart"/>
            <w:shd w:val="clear" w:color="auto" w:fill="auto"/>
          </w:tcPr>
          <w:p w14:paraId="4DDB8983" w14:textId="77777777" w:rsidR="00302BFE" w:rsidRPr="00CF512D" w:rsidRDefault="00302BFE" w:rsidP="00243B15">
            <w:pPr>
              <w:spacing w:after="0"/>
              <w:rPr>
                <w:sz w:val="18"/>
                <w:szCs w:val="18"/>
              </w:rPr>
            </w:pPr>
            <w:proofErr w:type="spellStart"/>
            <w:r w:rsidRPr="00CF512D">
              <w:rPr>
                <w:sz w:val="18"/>
                <w:szCs w:val="18"/>
              </w:rPr>
              <w:t>Bieha</w:t>
            </w:r>
            <w:proofErr w:type="spellEnd"/>
          </w:p>
        </w:tc>
        <w:tc>
          <w:tcPr>
            <w:tcW w:w="4602" w:type="dxa"/>
            <w:shd w:val="clear" w:color="auto" w:fill="auto"/>
          </w:tcPr>
          <w:p w14:paraId="7A375674" w14:textId="77777777" w:rsidR="00302BFE" w:rsidRPr="00CF512D" w:rsidRDefault="00302BFE" w:rsidP="00243B15">
            <w:pPr>
              <w:spacing w:after="0"/>
              <w:rPr>
                <w:sz w:val="18"/>
                <w:szCs w:val="18"/>
                <w:lang w:val="fr-CA"/>
              </w:rPr>
            </w:pPr>
            <w:proofErr w:type="spellStart"/>
            <w:r w:rsidRPr="00CF512D">
              <w:rPr>
                <w:sz w:val="18"/>
                <w:szCs w:val="18"/>
                <w:lang w:val="fr-CA"/>
              </w:rPr>
              <w:t>Sya</w:t>
            </w:r>
            <w:proofErr w:type="spellEnd"/>
            <w:r w:rsidRPr="00CF512D">
              <w:rPr>
                <w:sz w:val="18"/>
                <w:szCs w:val="18"/>
                <w:lang w:val="fr-CA"/>
              </w:rPr>
              <w:t xml:space="preserve">, Boala, </w:t>
            </w:r>
            <w:proofErr w:type="spellStart"/>
            <w:r w:rsidRPr="00CF512D">
              <w:rPr>
                <w:sz w:val="18"/>
                <w:szCs w:val="18"/>
                <w:lang w:val="fr-CA"/>
              </w:rPr>
              <w:t>Bouré</w:t>
            </w:r>
            <w:proofErr w:type="spellEnd"/>
            <w:r w:rsidRPr="00CF512D">
              <w:rPr>
                <w:sz w:val="18"/>
                <w:szCs w:val="18"/>
                <w:lang w:val="fr-CA"/>
              </w:rPr>
              <w:t xml:space="preserve">, </w:t>
            </w:r>
            <w:proofErr w:type="spellStart"/>
            <w:r w:rsidRPr="00CF512D">
              <w:rPr>
                <w:sz w:val="18"/>
                <w:szCs w:val="18"/>
                <w:lang w:val="fr-CA"/>
              </w:rPr>
              <w:t>Nassaré</w:t>
            </w:r>
            <w:proofErr w:type="spellEnd"/>
            <w:r w:rsidRPr="00CF512D">
              <w:rPr>
                <w:sz w:val="18"/>
                <w:szCs w:val="18"/>
                <w:lang w:val="fr-CA"/>
              </w:rPr>
              <w:t xml:space="preserve">, </w:t>
            </w:r>
            <w:proofErr w:type="spellStart"/>
            <w:r w:rsidRPr="00CF512D">
              <w:rPr>
                <w:sz w:val="18"/>
                <w:szCs w:val="18"/>
                <w:lang w:val="fr-CA"/>
              </w:rPr>
              <w:t>Yelbouga</w:t>
            </w:r>
            <w:proofErr w:type="spellEnd"/>
            <w:r w:rsidRPr="00CF512D">
              <w:rPr>
                <w:sz w:val="18"/>
                <w:szCs w:val="18"/>
                <w:lang w:val="fr-CA"/>
              </w:rPr>
              <w:t xml:space="preserve">, </w:t>
            </w:r>
            <w:proofErr w:type="spellStart"/>
            <w:r w:rsidRPr="00CF512D">
              <w:rPr>
                <w:sz w:val="18"/>
                <w:szCs w:val="18"/>
                <w:lang w:val="fr-CA"/>
              </w:rPr>
              <w:t>Tassiens</w:t>
            </w:r>
            <w:proofErr w:type="spellEnd"/>
            <w:r w:rsidRPr="00CF512D">
              <w:rPr>
                <w:sz w:val="18"/>
                <w:szCs w:val="18"/>
                <w:lang w:val="fr-CA"/>
              </w:rPr>
              <w:t xml:space="preserve">, </w:t>
            </w:r>
            <w:proofErr w:type="spellStart"/>
            <w:r w:rsidRPr="00CF512D">
              <w:rPr>
                <w:sz w:val="18"/>
                <w:szCs w:val="18"/>
                <w:lang w:val="fr-CA"/>
              </w:rPr>
              <w:t>Kounou</w:t>
            </w:r>
            <w:proofErr w:type="spellEnd"/>
          </w:p>
        </w:tc>
        <w:tc>
          <w:tcPr>
            <w:tcW w:w="2710" w:type="dxa"/>
            <w:shd w:val="clear" w:color="auto" w:fill="auto"/>
          </w:tcPr>
          <w:p w14:paraId="37FCA79D"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72B6F518"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2CA8C0D9" w14:textId="77777777" w:rsidTr="00243B15">
        <w:trPr>
          <w:jc w:val="center"/>
        </w:trPr>
        <w:tc>
          <w:tcPr>
            <w:tcW w:w="1121" w:type="dxa"/>
            <w:vMerge/>
            <w:shd w:val="clear" w:color="auto" w:fill="auto"/>
          </w:tcPr>
          <w:p w14:paraId="53D38123" w14:textId="77777777" w:rsidR="00302BFE" w:rsidRPr="00CF512D" w:rsidRDefault="00302BFE" w:rsidP="00243B15">
            <w:pPr>
              <w:spacing w:after="0"/>
              <w:rPr>
                <w:sz w:val="18"/>
                <w:szCs w:val="18"/>
              </w:rPr>
            </w:pPr>
          </w:p>
        </w:tc>
        <w:tc>
          <w:tcPr>
            <w:tcW w:w="4602" w:type="dxa"/>
            <w:shd w:val="clear" w:color="auto" w:fill="auto"/>
          </w:tcPr>
          <w:p w14:paraId="740DF926" w14:textId="77777777" w:rsidR="00302BFE" w:rsidRPr="00CF512D" w:rsidRDefault="00302BFE" w:rsidP="00243B15">
            <w:pPr>
              <w:spacing w:after="0"/>
              <w:rPr>
                <w:sz w:val="18"/>
                <w:szCs w:val="18"/>
              </w:rPr>
            </w:pPr>
            <w:proofErr w:type="spellStart"/>
            <w:r w:rsidRPr="00CF512D">
              <w:rPr>
                <w:sz w:val="18"/>
                <w:szCs w:val="18"/>
              </w:rPr>
              <w:t>Boala</w:t>
            </w:r>
            <w:proofErr w:type="spellEnd"/>
          </w:p>
        </w:tc>
        <w:tc>
          <w:tcPr>
            <w:tcW w:w="2710" w:type="dxa"/>
            <w:shd w:val="clear" w:color="auto" w:fill="auto"/>
          </w:tcPr>
          <w:p w14:paraId="571C140D" w14:textId="77777777" w:rsidR="00302BFE" w:rsidRPr="00CF512D" w:rsidRDefault="00302BFE" w:rsidP="00243B15">
            <w:pPr>
              <w:spacing w:after="0"/>
              <w:rPr>
                <w:sz w:val="18"/>
                <w:szCs w:val="18"/>
              </w:rPr>
            </w:pPr>
            <w:proofErr w:type="spellStart"/>
            <w:r w:rsidRPr="00CF512D">
              <w:rPr>
                <w:sz w:val="18"/>
                <w:szCs w:val="18"/>
              </w:rPr>
              <w:t>Hyènes-Animaux</w:t>
            </w:r>
            <w:proofErr w:type="spellEnd"/>
            <w:r w:rsidRPr="00CF512D">
              <w:rPr>
                <w:sz w:val="18"/>
                <w:szCs w:val="18"/>
              </w:rPr>
              <w:t xml:space="preserve"> domestiques </w:t>
            </w:r>
          </w:p>
        </w:tc>
        <w:tc>
          <w:tcPr>
            <w:tcW w:w="2340" w:type="dxa"/>
            <w:shd w:val="clear" w:color="auto" w:fill="auto"/>
          </w:tcPr>
          <w:p w14:paraId="6B3A0A44" w14:textId="77777777" w:rsidR="00302BFE" w:rsidRPr="00CF512D" w:rsidRDefault="00302BFE" w:rsidP="00243B15">
            <w:pPr>
              <w:spacing w:after="0"/>
              <w:rPr>
                <w:sz w:val="18"/>
                <w:szCs w:val="18"/>
              </w:rPr>
            </w:pPr>
            <w:r w:rsidRPr="00CF512D">
              <w:rPr>
                <w:sz w:val="18"/>
                <w:szCs w:val="18"/>
              </w:rPr>
              <w:t xml:space="preserve">Chèvres </w:t>
            </w:r>
            <w:proofErr w:type="spellStart"/>
            <w:r w:rsidRPr="00CF512D">
              <w:rPr>
                <w:sz w:val="18"/>
                <w:szCs w:val="18"/>
              </w:rPr>
              <w:t>dévorées</w:t>
            </w:r>
            <w:proofErr w:type="spellEnd"/>
          </w:p>
        </w:tc>
      </w:tr>
      <w:tr w:rsidR="00302BFE" w:rsidRPr="00CF512D" w14:paraId="57364812" w14:textId="77777777" w:rsidTr="00243B15">
        <w:trPr>
          <w:jc w:val="center"/>
        </w:trPr>
        <w:tc>
          <w:tcPr>
            <w:tcW w:w="1121" w:type="dxa"/>
            <w:vMerge/>
            <w:shd w:val="clear" w:color="auto" w:fill="auto"/>
          </w:tcPr>
          <w:p w14:paraId="60FB1F45" w14:textId="77777777" w:rsidR="00302BFE" w:rsidRPr="00CF512D" w:rsidRDefault="00302BFE" w:rsidP="00243B15">
            <w:pPr>
              <w:spacing w:after="0"/>
              <w:rPr>
                <w:sz w:val="18"/>
                <w:szCs w:val="18"/>
              </w:rPr>
            </w:pPr>
          </w:p>
        </w:tc>
        <w:tc>
          <w:tcPr>
            <w:tcW w:w="4602" w:type="dxa"/>
            <w:shd w:val="clear" w:color="auto" w:fill="auto"/>
          </w:tcPr>
          <w:p w14:paraId="1CEB7D20" w14:textId="77777777" w:rsidR="00302BFE" w:rsidRPr="00CF512D" w:rsidRDefault="00302BFE" w:rsidP="00243B15">
            <w:pPr>
              <w:spacing w:after="0"/>
              <w:rPr>
                <w:sz w:val="18"/>
                <w:szCs w:val="18"/>
              </w:rPr>
            </w:pPr>
            <w:proofErr w:type="spellStart"/>
            <w:r w:rsidRPr="00CF512D">
              <w:rPr>
                <w:sz w:val="18"/>
                <w:szCs w:val="18"/>
              </w:rPr>
              <w:t>Pissai</w:t>
            </w:r>
            <w:proofErr w:type="spellEnd"/>
          </w:p>
        </w:tc>
        <w:tc>
          <w:tcPr>
            <w:tcW w:w="2710" w:type="dxa"/>
            <w:shd w:val="clear" w:color="auto" w:fill="auto"/>
          </w:tcPr>
          <w:p w14:paraId="112BED0D" w14:textId="77777777" w:rsidR="00302BFE" w:rsidRPr="00CF512D" w:rsidRDefault="00302BFE" w:rsidP="00243B15">
            <w:pPr>
              <w:spacing w:after="0"/>
              <w:rPr>
                <w:sz w:val="18"/>
                <w:szCs w:val="18"/>
              </w:rPr>
            </w:pPr>
            <w:r w:rsidRPr="00CF512D">
              <w:rPr>
                <w:sz w:val="18"/>
                <w:szCs w:val="18"/>
              </w:rPr>
              <w:t>Homme-</w:t>
            </w:r>
            <w:proofErr w:type="spellStart"/>
            <w:r w:rsidRPr="00CF512D">
              <w:rPr>
                <w:sz w:val="18"/>
                <w:szCs w:val="18"/>
              </w:rPr>
              <w:t>Phacochère</w:t>
            </w:r>
            <w:proofErr w:type="spellEnd"/>
          </w:p>
        </w:tc>
        <w:tc>
          <w:tcPr>
            <w:tcW w:w="2340" w:type="dxa"/>
            <w:shd w:val="clear" w:color="auto" w:fill="auto"/>
          </w:tcPr>
          <w:p w14:paraId="5D31B695"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6034D276" w14:textId="77777777" w:rsidTr="00243B15">
        <w:trPr>
          <w:jc w:val="center"/>
        </w:trPr>
        <w:tc>
          <w:tcPr>
            <w:tcW w:w="1121" w:type="dxa"/>
            <w:shd w:val="clear" w:color="auto" w:fill="auto"/>
          </w:tcPr>
          <w:p w14:paraId="5877C17D" w14:textId="77777777" w:rsidR="00302BFE" w:rsidRPr="00CF512D" w:rsidRDefault="00302BFE" w:rsidP="00243B15">
            <w:pPr>
              <w:spacing w:after="0"/>
              <w:rPr>
                <w:sz w:val="18"/>
                <w:szCs w:val="18"/>
              </w:rPr>
            </w:pPr>
            <w:proofErr w:type="spellStart"/>
            <w:r w:rsidRPr="00CF512D">
              <w:rPr>
                <w:sz w:val="18"/>
                <w:szCs w:val="18"/>
              </w:rPr>
              <w:t>Zoaga</w:t>
            </w:r>
            <w:proofErr w:type="spellEnd"/>
          </w:p>
        </w:tc>
        <w:tc>
          <w:tcPr>
            <w:tcW w:w="4602" w:type="dxa"/>
            <w:shd w:val="clear" w:color="auto" w:fill="auto"/>
          </w:tcPr>
          <w:p w14:paraId="0546C848" w14:textId="77777777" w:rsidR="00302BFE" w:rsidRPr="00CF512D" w:rsidRDefault="00302BFE" w:rsidP="00243B15">
            <w:pPr>
              <w:spacing w:after="0"/>
              <w:rPr>
                <w:sz w:val="18"/>
                <w:szCs w:val="18"/>
              </w:rPr>
            </w:pPr>
            <w:proofErr w:type="spellStart"/>
            <w:r w:rsidRPr="00CF512D">
              <w:rPr>
                <w:sz w:val="18"/>
                <w:szCs w:val="18"/>
              </w:rPr>
              <w:t>Mangagou</w:t>
            </w:r>
            <w:proofErr w:type="spellEnd"/>
            <w:r w:rsidRPr="00CF512D">
              <w:rPr>
                <w:sz w:val="18"/>
                <w:szCs w:val="18"/>
              </w:rPr>
              <w:t xml:space="preserve">, </w:t>
            </w:r>
            <w:proofErr w:type="spellStart"/>
            <w:r w:rsidRPr="00CF512D">
              <w:rPr>
                <w:sz w:val="18"/>
                <w:szCs w:val="18"/>
              </w:rPr>
              <w:t>Sioun</w:t>
            </w:r>
            <w:proofErr w:type="spellEnd"/>
            <w:r w:rsidRPr="00CF512D">
              <w:rPr>
                <w:sz w:val="18"/>
                <w:szCs w:val="18"/>
              </w:rPr>
              <w:t xml:space="preserve">, </w:t>
            </w:r>
            <w:proofErr w:type="spellStart"/>
            <w:r w:rsidRPr="00CF512D">
              <w:rPr>
                <w:sz w:val="18"/>
                <w:szCs w:val="18"/>
              </w:rPr>
              <w:t>Zabré</w:t>
            </w:r>
            <w:proofErr w:type="spellEnd"/>
            <w:r w:rsidRPr="00CF512D">
              <w:rPr>
                <w:sz w:val="18"/>
                <w:szCs w:val="18"/>
              </w:rPr>
              <w:t xml:space="preserve">, Gon, </w:t>
            </w:r>
            <w:proofErr w:type="spellStart"/>
            <w:r w:rsidRPr="00CF512D">
              <w:rPr>
                <w:sz w:val="18"/>
                <w:szCs w:val="18"/>
              </w:rPr>
              <w:t>Wangala</w:t>
            </w:r>
            <w:proofErr w:type="spellEnd"/>
            <w:r w:rsidRPr="00CF512D">
              <w:rPr>
                <w:sz w:val="18"/>
                <w:szCs w:val="18"/>
              </w:rPr>
              <w:t xml:space="preserve">, </w:t>
            </w:r>
            <w:proofErr w:type="spellStart"/>
            <w:r w:rsidRPr="00CF512D">
              <w:rPr>
                <w:sz w:val="18"/>
                <w:szCs w:val="18"/>
              </w:rPr>
              <w:t>Kipera</w:t>
            </w:r>
            <w:proofErr w:type="spellEnd"/>
            <w:r w:rsidRPr="00CF512D">
              <w:rPr>
                <w:sz w:val="18"/>
                <w:szCs w:val="18"/>
              </w:rPr>
              <w:t xml:space="preserve">, </w:t>
            </w:r>
            <w:proofErr w:type="spellStart"/>
            <w:r w:rsidRPr="00CF512D">
              <w:rPr>
                <w:sz w:val="18"/>
                <w:szCs w:val="18"/>
              </w:rPr>
              <w:t>BenyaPeul</w:t>
            </w:r>
            <w:proofErr w:type="spellEnd"/>
            <w:r w:rsidRPr="00CF512D">
              <w:rPr>
                <w:sz w:val="18"/>
                <w:szCs w:val="18"/>
              </w:rPr>
              <w:t xml:space="preserve">, </w:t>
            </w:r>
            <w:proofErr w:type="spellStart"/>
            <w:r w:rsidRPr="00CF512D">
              <w:rPr>
                <w:sz w:val="18"/>
                <w:szCs w:val="18"/>
              </w:rPr>
              <w:t>Medga</w:t>
            </w:r>
            <w:proofErr w:type="spellEnd"/>
            <w:r w:rsidRPr="00CF512D">
              <w:rPr>
                <w:sz w:val="18"/>
                <w:szCs w:val="18"/>
              </w:rPr>
              <w:t xml:space="preserve">, </w:t>
            </w:r>
            <w:proofErr w:type="spellStart"/>
            <w:r w:rsidRPr="00CF512D">
              <w:rPr>
                <w:sz w:val="18"/>
                <w:szCs w:val="18"/>
              </w:rPr>
              <w:t>Yaspiga</w:t>
            </w:r>
            <w:proofErr w:type="spellEnd"/>
            <w:r w:rsidRPr="00CF512D">
              <w:rPr>
                <w:sz w:val="18"/>
                <w:szCs w:val="18"/>
              </w:rPr>
              <w:t xml:space="preserve">, </w:t>
            </w:r>
            <w:proofErr w:type="spellStart"/>
            <w:r w:rsidRPr="00CF512D">
              <w:rPr>
                <w:sz w:val="18"/>
                <w:szCs w:val="18"/>
              </w:rPr>
              <w:t>Yarga</w:t>
            </w:r>
            <w:proofErr w:type="spellEnd"/>
            <w:r w:rsidRPr="00CF512D">
              <w:rPr>
                <w:sz w:val="18"/>
                <w:szCs w:val="18"/>
              </w:rPr>
              <w:t xml:space="preserve">, </w:t>
            </w:r>
            <w:proofErr w:type="spellStart"/>
            <w:r w:rsidRPr="00CF512D">
              <w:rPr>
                <w:sz w:val="18"/>
                <w:szCs w:val="18"/>
              </w:rPr>
              <w:t>Yembasso</w:t>
            </w:r>
            <w:proofErr w:type="spellEnd"/>
            <w:r w:rsidRPr="00CF512D">
              <w:rPr>
                <w:sz w:val="18"/>
                <w:szCs w:val="18"/>
              </w:rPr>
              <w:t xml:space="preserve">, Kina, Petit </w:t>
            </w:r>
            <w:proofErr w:type="spellStart"/>
            <w:r w:rsidRPr="00CF512D">
              <w:rPr>
                <w:sz w:val="18"/>
                <w:szCs w:val="18"/>
              </w:rPr>
              <w:t>Zabré</w:t>
            </w:r>
            <w:proofErr w:type="spellEnd"/>
          </w:p>
        </w:tc>
        <w:tc>
          <w:tcPr>
            <w:tcW w:w="2710" w:type="dxa"/>
            <w:shd w:val="clear" w:color="auto" w:fill="auto"/>
          </w:tcPr>
          <w:p w14:paraId="077E2CE7"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0E8D5CFB"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18D6C73D" w14:textId="77777777" w:rsidTr="00243B15">
        <w:trPr>
          <w:jc w:val="center"/>
        </w:trPr>
        <w:tc>
          <w:tcPr>
            <w:tcW w:w="1121" w:type="dxa"/>
            <w:vMerge w:val="restart"/>
            <w:shd w:val="clear" w:color="auto" w:fill="auto"/>
          </w:tcPr>
          <w:p w14:paraId="657AEB6E" w14:textId="77777777" w:rsidR="00302BFE" w:rsidRPr="00CF512D" w:rsidRDefault="00302BFE" w:rsidP="00243B15">
            <w:pPr>
              <w:spacing w:after="0"/>
              <w:rPr>
                <w:sz w:val="18"/>
                <w:szCs w:val="18"/>
              </w:rPr>
            </w:pPr>
            <w:r w:rsidRPr="00CF512D">
              <w:rPr>
                <w:sz w:val="18"/>
                <w:szCs w:val="18"/>
              </w:rPr>
              <w:t>Léo</w:t>
            </w:r>
          </w:p>
        </w:tc>
        <w:tc>
          <w:tcPr>
            <w:tcW w:w="4602" w:type="dxa"/>
            <w:shd w:val="clear" w:color="auto" w:fill="auto"/>
          </w:tcPr>
          <w:p w14:paraId="37A6D0C0" w14:textId="77777777" w:rsidR="00302BFE" w:rsidRPr="00CF512D" w:rsidRDefault="00302BFE" w:rsidP="00243B15">
            <w:pPr>
              <w:spacing w:after="0"/>
              <w:rPr>
                <w:sz w:val="18"/>
                <w:szCs w:val="18"/>
                <w:lang w:val="fr-CA"/>
              </w:rPr>
            </w:pPr>
            <w:proofErr w:type="spellStart"/>
            <w:r w:rsidRPr="00CF512D">
              <w:rPr>
                <w:sz w:val="18"/>
                <w:szCs w:val="18"/>
                <w:lang w:val="fr-CA"/>
              </w:rPr>
              <w:t>Outoulou</w:t>
            </w:r>
            <w:proofErr w:type="spellEnd"/>
            <w:r w:rsidRPr="00CF512D">
              <w:rPr>
                <w:sz w:val="18"/>
                <w:szCs w:val="18"/>
                <w:lang w:val="fr-CA"/>
              </w:rPr>
              <w:t xml:space="preserve">, corridor </w:t>
            </w:r>
            <w:proofErr w:type="spellStart"/>
            <w:r w:rsidRPr="00CF512D">
              <w:rPr>
                <w:sz w:val="18"/>
                <w:szCs w:val="18"/>
                <w:lang w:val="fr-CA"/>
              </w:rPr>
              <w:t>Nazinga</w:t>
            </w:r>
            <w:proofErr w:type="spellEnd"/>
            <w:r w:rsidRPr="00CF512D">
              <w:rPr>
                <w:sz w:val="18"/>
                <w:szCs w:val="18"/>
                <w:lang w:val="fr-CA"/>
              </w:rPr>
              <w:t>-PN Deux-</w:t>
            </w:r>
            <w:proofErr w:type="spellStart"/>
            <w:r w:rsidRPr="00CF512D">
              <w:rPr>
                <w:sz w:val="18"/>
                <w:szCs w:val="18"/>
                <w:lang w:val="fr-CA"/>
              </w:rPr>
              <w:t>Balés</w:t>
            </w:r>
            <w:proofErr w:type="spellEnd"/>
          </w:p>
        </w:tc>
        <w:tc>
          <w:tcPr>
            <w:tcW w:w="2710" w:type="dxa"/>
            <w:shd w:val="clear" w:color="auto" w:fill="auto"/>
          </w:tcPr>
          <w:p w14:paraId="15A31DE9"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2DBF240D"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4781BC3D" w14:textId="77777777" w:rsidTr="00243B15">
        <w:trPr>
          <w:jc w:val="center"/>
        </w:trPr>
        <w:tc>
          <w:tcPr>
            <w:tcW w:w="1121" w:type="dxa"/>
            <w:vMerge/>
            <w:shd w:val="clear" w:color="auto" w:fill="auto"/>
          </w:tcPr>
          <w:p w14:paraId="02A631B3" w14:textId="77777777" w:rsidR="00302BFE" w:rsidRPr="00CF512D" w:rsidRDefault="00302BFE" w:rsidP="00243B15">
            <w:pPr>
              <w:spacing w:after="0"/>
              <w:rPr>
                <w:sz w:val="18"/>
                <w:szCs w:val="18"/>
              </w:rPr>
            </w:pPr>
          </w:p>
        </w:tc>
        <w:tc>
          <w:tcPr>
            <w:tcW w:w="4602" w:type="dxa"/>
            <w:shd w:val="clear" w:color="auto" w:fill="auto"/>
          </w:tcPr>
          <w:p w14:paraId="3CCD5EE5" w14:textId="77777777" w:rsidR="00302BFE" w:rsidRPr="00CF512D" w:rsidRDefault="00302BFE" w:rsidP="00243B15">
            <w:pPr>
              <w:spacing w:after="0"/>
              <w:rPr>
                <w:sz w:val="18"/>
                <w:szCs w:val="18"/>
                <w:lang w:val="fr-CA"/>
              </w:rPr>
            </w:pPr>
            <w:proofErr w:type="spellStart"/>
            <w:r w:rsidRPr="00CF512D">
              <w:rPr>
                <w:sz w:val="18"/>
                <w:szCs w:val="18"/>
                <w:lang w:val="fr-CA"/>
              </w:rPr>
              <w:t>Oliansé</w:t>
            </w:r>
            <w:proofErr w:type="spellEnd"/>
            <w:r w:rsidRPr="00CF512D">
              <w:rPr>
                <w:sz w:val="18"/>
                <w:szCs w:val="18"/>
                <w:lang w:val="fr-CA"/>
              </w:rPr>
              <w:t xml:space="preserve"> (</w:t>
            </w:r>
            <w:r>
              <w:rPr>
                <w:sz w:val="18"/>
                <w:szCs w:val="18"/>
                <w:lang w:val="fr-CA"/>
              </w:rPr>
              <w:t>près</w:t>
            </w:r>
            <w:r w:rsidRPr="00CF512D">
              <w:rPr>
                <w:sz w:val="18"/>
                <w:szCs w:val="18"/>
                <w:lang w:val="fr-CA"/>
              </w:rPr>
              <w:t xml:space="preserve"> de </w:t>
            </w:r>
            <w:proofErr w:type="spellStart"/>
            <w:r w:rsidRPr="00CF512D">
              <w:rPr>
                <w:sz w:val="18"/>
                <w:szCs w:val="18"/>
                <w:lang w:val="fr-CA"/>
              </w:rPr>
              <w:t>Outoulou</w:t>
            </w:r>
            <w:proofErr w:type="spellEnd"/>
            <w:r w:rsidRPr="00CF512D">
              <w:rPr>
                <w:sz w:val="18"/>
                <w:szCs w:val="18"/>
                <w:lang w:val="fr-CA"/>
              </w:rPr>
              <w:t xml:space="preserve">), corridor </w:t>
            </w:r>
            <w:proofErr w:type="spellStart"/>
            <w:r w:rsidRPr="00CF512D">
              <w:rPr>
                <w:sz w:val="18"/>
                <w:szCs w:val="18"/>
                <w:lang w:val="fr-CA"/>
              </w:rPr>
              <w:t>Nazinga</w:t>
            </w:r>
            <w:proofErr w:type="spellEnd"/>
            <w:r w:rsidRPr="00CF512D">
              <w:rPr>
                <w:sz w:val="18"/>
                <w:szCs w:val="18"/>
                <w:lang w:val="fr-CA"/>
              </w:rPr>
              <w:t>-PN Deux-</w:t>
            </w:r>
            <w:proofErr w:type="spellStart"/>
            <w:r w:rsidRPr="00CF512D">
              <w:rPr>
                <w:sz w:val="18"/>
                <w:szCs w:val="18"/>
                <w:lang w:val="fr-CA"/>
              </w:rPr>
              <w:t>Balés</w:t>
            </w:r>
            <w:proofErr w:type="spellEnd"/>
          </w:p>
        </w:tc>
        <w:tc>
          <w:tcPr>
            <w:tcW w:w="2710" w:type="dxa"/>
            <w:shd w:val="clear" w:color="auto" w:fill="auto"/>
          </w:tcPr>
          <w:p w14:paraId="2DBE39E2"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75BF508A" w14:textId="77777777" w:rsidR="00302BFE" w:rsidRPr="00CF512D" w:rsidRDefault="00302BFE" w:rsidP="00243B15">
            <w:pPr>
              <w:spacing w:after="0"/>
              <w:rPr>
                <w:sz w:val="18"/>
                <w:szCs w:val="18"/>
              </w:rPr>
            </w:pPr>
            <w:r w:rsidRPr="00CF512D">
              <w:rPr>
                <w:sz w:val="18"/>
                <w:szCs w:val="18"/>
              </w:rPr>
              <w:t xml:space="preserve">Mort </w:t>
            </w:r>
            <w:proofErr w:type="spellStart"/>
            <w:r w:rsidRPr="00CF512D">
              <w:rPr>
                <w:sz w:val="18"/>
                <w:szCs w:val="18"/>
              </w:rPr>
              <w:t>d’homme</w:t>
            </w:r>
            <w:proofErr w:type="spellEnd"/>
          </w:p>
        </w:tc>
      </w:tr>
      <w:tr w:rsidR="00302BFE" w:rsidRPr="00CF512D" w14:paraId="2825D89D" w14:textId="77777777" w:rsidTr="00243B15">
        <w:trPr>
          <w:jc w:val="center"/>
        </w:trPr>
        <w:tc>
          <w:tcPr>
            <w:tcW w:w="1121" w:type="dxa"/>
            <w:shd w:val="clear" w:color="auto" w:fill="auto"/>
          </w:tcPr>
          <w:p w14:paraId="571F3E9C" w14:textId="77777777" w:rsidR="00302BFE" w:rsidRPr="00CF512D" w:rsidRDefault="00302BFE" w:rsidP="00243B15">
            <w:pPr>
              <w:spacing w:after="0"/>
              <w:rPr>
                <w:sz w:val="18"/>
                <w:szCs w:val="18"/>
              </w:rPr>
            </w:pPr>
            <w:proofErr w:type="spellStart"/>
            <w:r w:rsidRPr="00CF512D">
              <w:rPr>
                <w:sz w:val="18"/>
                <w:szCs w:val="18"/>
              </w:rPr>
              <w:t>Bourra</w:t>
            </w:r>
            <w:proofErr w:type="spellEnd"/>
          </w:p>
        </w:tc>
        <w:tc>
          <w:tcPr>
            <w:tcW w:w="4602" w:type="dxa"/>
            <w:shd w:val="clear" w:color="auto" w:fill="auto"/>
          </w:tcPr>
          <w:p w14:paraId="64B1C754" w14:textId="77777777" w:rsidR="00302BFE" w:rsidRPr="00CF512D" w:rsidRDefault="00302BFE" w:rsidP="00243B15">
            <w:pPr>
              <w:spacing w:after="0"/>
              <w:rPr>
                <w:sz w:val="18"/>
                <w:szCs w:val="18"/>
                <w:lang w:val="fr-CA"/>
              </w:rPr>
            </w:pPr>
            <w:r w:rsidRPr="00CF512D">
              <w:rPr>
                <w:sz w:val="18"/>
                <w:szCs w:val="18"/>
                <w:lang w:val="fr-CA"/>
              </w:rPr>
              <w:t xml:space="preserve">Bourra, corridor </w:t>
            </w:r>
            <w:proofErr w:type="spellStart"/>
            <w:r w:rsidRPr="00CF512D">
              <w:rPr>
                <w:sz w:val="18"/>
                <w:szCs w:val="18"/>
                <w:lang w:val="fr-CA"/>
              </w:rPr>
              <w:t>Nazinga</w:t>
            </w:r>
            <w:proofErr w:type="spellEnd"/>
            <w:r w:rsidRPr="00CF512D">
              <w:rPr>
                <w:sz w:val="18"/>
                <w:szCs w:val="18"/>
                <w:lang w:val="fr-CA"/>
              </w:rPr>
              <w:t>-PN Deux-</w:t>
            </w:r>
            <w:proofErr w:type="spellStart"/>
            <w:r w:rsidRPr="00CF512D">
              <w:rPr>
                <w:sz w:val="18"/>
                <w:szCs w:val="18"/>
                <w:lang w:val="fr-CA"/>
              </w:rPr>
              <w:t>Balés</w:t>
            </w:r>
            <w:proofErr w:type="spellEnd"/>
          </w:p>
        </w:tc>
        <w:tc>
          <w:tcPr>
            <w:tcW w:w="2710" w:type="dxa"/>
            <w:shd w:val="clear" w:color="auto" w:fill="auto"/>
          </w:tcPr>
          <w:p w14:paraId="1338C77F"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044A0EC9"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2FD40E6A" w14:textId="77777777" w:rsidTr="00243B15">
        <w:trPr>
          <w:jc w:val="center"/>
        </w:trPr>
        <w:tc>
          <w:tcPr>
            <w:tcW w:w="1121" w:type="dxa"/>
            <w:shd w:val="clear" w:color="auto" w:fill="auto"/>
          </w:tcPr>
          <w:p w14:paraId="4EF3BD3A" w14:textId="77777777" w:rsidR="00302BFE" w:rsidRPr="00CF512D" w:rsidRDefault="00302BFE" w:rsidP="00243B15">
            <w:pPr>
              <w:spacing w:after="0"/>
              <w:rPr>
                <w:sz w:val="18"/>
                <w:szCs w:val="18"/>
              </w:rPr>
            </w:pPr>
            <w:proofErr w:type="spellStart"/>
            <w:r w:rsidRPr="00CF512D">
              <w:rPr>
                <w:sz w:val="18"/>
                <w:szCs w:val="18"/>
              </w:rPr>
              <w:t>Tô</w:t>
            </w:r>
            <w:proofErr w:type="spellEnd"/>
          </w:p>
        </w:tc>
        <w:tc>
          <w:tcPr>
            <w:tcW w:w="4602" w:type="dxa"/>
            <w:shd w:val="clear" w:color="auto" w:fill="auto"/>
          </w:tcPr>
          <w:p w14:paraId="77AF2AC4" w14:textId="77777777" w:rsidR="00302BFE" w:rsidRPr="00CF512D" w:rsidRDefault="00302BFE" w:rsidP="00243B15">
            <w:pPr>
              <w:spacing w:after="0"/>
              <w:rPr>
                <w:sz w:val="18"/>
                <w:szCs w:val="18"/>
                <w:lang w:val="fr-CA"/>
              </w:rPr>
            </w:pPr>
            <w:proofErr w:type="spellStart"/>
            <w:r w:rsidRPr="00CF512D">
              <w:rPr>
                <w:sz w:val="18"/>
                <w:szCs w:val="18"/>
                <w:lang w:val="fr-CA"/>
              </w:rPr>
              <w:t>Tô</w:t>
            </w:r>
            <w:proofErr w:type="spellEnd"/>
            <w:r w:rsidRPr="00CF512D">
              <w:rPr>
                <w:sz w:val="18"/>
                <w:szCs w:val="18"/>
                <w:lang w:val="fr-CA"/>
              </w:rPr>
              <w:t xml:space="preserve">, corridor </w:t>
            </w:r>
            <w:proofErr w:type="spellStart"/>
            <w:r w:rsidRPr="00CF512D">
              <w:rPr>
                <w:sz w:val="18"/>
                <w:szCs w:val="18"/>
                <w:lang w:val="fr-CA"/>
              </w:rPr>
              <w:t>Nazinga</w:t>
            </w:r>
            <w:proofErr w:type="spellEnd"/>
            <w:r w:rsidRPr="00CF512D">
              <w:rPr>
                <w:sz w:val="18"/>
                <w:szCs w:val="18"/>
                <w:lang w:val="fr-CA"/>
              </w:rPr>
              <w:t>-PN Deux-</w:t>
            </w:r>
            <w:proofErr w:type="spellStart"/>
            <w:r w:rsidRPr="00CF512D">
              <w:rPr>
                <w:sz w:val="18"/>
                <w:szCs w:val="18"/>
                <w:lang w:val="fr-CA"/>
              </w:rPr>
              <w:t>Balés</w:t>
            </w:r>
            <w:proofErr w:type="spellEnd"/>
          </w:p>
        </w:tc>
        <w:tc>
          <w:tcPr>
            <w:tcW w:w="2710" w:type="dxa"/>
            <w:shd w:val="clear" w:color="auto" w:fill="auto"/>
          </w:tcPr>
          <w:p w14:paraId="16089319"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61FFDD27"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2DC27EA0" w14:textId="77777777" w:rsidTr="00243B15">
        <w:trPr>
          <w:jc w:val="center"/>
        </w:trPr>
        <w:tc>
          <w:tcPr>
            <w:tcW w:w="1121" w:type="dxa"/>
            <w:shd w:val="clear" w:color="auto" w:fill="auto"/>
          </w:tcPr>
          <w:p w14:paraId="7539CBE6" w14:textId="77777777" w:rsidR="00302BFE" w:rsidRPr="00CF512D" w:rsidRDefault="00302BFE" w:rsidP="00243B15">
            <w:pPr>
              <w:spacing w:after="0"/>
              <w:rPr>
                <w:sz w:val="18"/>
                <w:szCs w:val="18"/>
              </w:rPr>
            </w:pPr>
            <w:r w:rsidRPr="00CF512D">
              <w:rPr>
                <w:sz w:val="18"/>
                <w:szCs w:val="18"/>
              </w:rPr>
              <w:t>Silly</w:t>
            </w:r>
          </w:p>
        </w:tc>
        <w:tc>
          <w:tcPr>
            <w:tcW w:w="4602" w:type="dxa"/>
            <w:shd w:val="clear" w:color="auto" w:fill="auto"/>
          </w:tcPr>
          <w:p w14:paraId="45503D20" w14:textId="77777777" w:rsidR="00302BFE" w:rsidRPr="00CF512D" w:rsidRDefault="00302BFE" w:rsidP="00243B15">
            <w:pPr>
              <w:spacing w:after="0"/>
              <w:rPr>
                <w:sz w:val="18"/>
                <w:szCs w:val="18"/>
                <w:lang w:val="fr-CA"/>
              </w:rPr>
            </w:pPr>
            <w:r w:rsidRPr="00CF512D">
              <w:rPr>
                <w:sz w:val="18"/>
                <w:szCs w:val="18"/>
                <w:lang w:val="fr-CA"/>
              </w:rPr>
              <w:t xml:space="preserve">Ya, corridor </w:t>
            </w:r>
            <w:proofErr w:type="spellStart"/>
            <w:r w:rsidRPr="00CF512D">
              <w:rPr>
                <w:sz w:val="18"/>
                <w:szCs w:val="18"/>
                <w:lang w:val="fr-CA"/>
              </w:rPr>
              <w:t>Nazinga</w:t>
            </w:r>
            <w:proofErr w:type="spellEnd"/>
            <w:r w:rsidRPr="00CF512D">
              <w:rPr>
                <w:sz w:val="18"/>
                <w:szCs w:val="18"/>
                <w:lang w:val="fr-CA"/>
              </w:rPr>
              <w:t>-PN Deux-</w:t>
            </w:r>
            <w:proofErr w:type="spellStart"/>
            <w:r w:rsidRPr="00CF512D">
              <w:rPr>
                <w:sz w:val="18"/>
                <w:szCs w:val="18"/>
                <w:lang w:val="fr-CA"/>
              </w:rPr>
              <w:t>Balés</w:t>
            </w:r>
            <w:proofErr w:type="spellEnd"/>
            <w:r w:rsidRPr="00CF512D">
              <w:rPr>
                <w:sz w:val="18"/>
                <w:szCs w:val="18"/>
                <w:lang w:val="fr-CA"/>
              </w:rPr>
              <w:t xml:space="preserve"> </w:t>
            </w:r>
          </w:p>
        </w:tc>
        <w:tc>
          <w:tcPr>
            <w:tcW w:w="2710" w:type="dxa"/>
            <w:shd w:val="clear" w:color="auto" w:fill="auto"/>
          </w:tcPr>
          <w:p w14:paraId="3245D728"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3C5BEDE7"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r w:rsidR="00302BFE" w:rsidRPr="00CF512D" w14:paraId="5200F0FD" w14:textId="77777777" w:rsidTr="00243B15">
        <w:trPr>
          <w:jc w:val="center"/>
        </w:trPr>
        <w:tc>
          <w:tcPr>
            <w:tcW w:w="1121" w:type="dxa"/>
            <w:shd w:val="clear" w:color="auto" w:fill="auto"/>
          </w:tcPr>
          <w:p w14:paraId="19809373" w14:textId="77777777" w:rsidR="00302BFE" w:rsidRPr="00CF512D" w:rsidRDefault="00302BFE" w:rsidP="00243B15">
            <w:pPr>
              <w:spacing w:after="0"/>
              <w:rPr>
                <w:sz w:val="18"/>
                <w:szCs w:val="18"/>
              </w:rPr>
            </w:pPr>
            <w:proofErr w:type="spellStart"/>
            <w:r w:rsidRPr="00CF512D">
              <w:rPr>
                <w:sz w:val="18"/>
                <w:szCs w:val="18"/>
              </w:rPr>
              <w:t>Toécé</w:t>
            </w:r>
            <w:proofErr w:type="spellEnd"/>
          </w:p>
        </w:tc>
        <w:tc>
          <w:tcPr>
            <w:tcW w:w="4602" w:type="dxa"/>
            <w:shd w:val="clear" w:color="auto" w:fill="auto"/>
          </w:tcPr>
          <w:p w14:paraId="74A555A7" w14:textId="77777777" w:rsidR="00302BFE" w:rsidRPr="004E072E" w:rsidRDefault="00302BFE" w:rsidP="00243B15">
            <w:pPr>
              <w:spacing w:after="0"/>
              <w:rPr>
                <w:sz w:val="18"/>
                <w:szCs w:val="18"/>
                <w:lang w:val="pt-PT"/>
              </w:rPr>
            </w:pPr>
            <w:r w:rsidRPr="004E072E">
              <w:rPr>
                <w:sz w:val="18"/>
                <w:szCs w:val="18"/>
                <w:lang w:val="pt-PT"/>
              </w:rPr>
              <w:t>Yougoudri, Koumassogo, Tamsé, Zorgo, Lilbouré, corridor Nazinga-PN Deux-Balés</w:t>
            </w:r>
          </w:p>
        </w:tc>
        <w:tc>
          <w:tcPr>
            <w:tcW w:w="2710" w:type="dxa"/>
            <w:shd w:val="clear" w:color="auto" w:fill="auto"/>
          </w:tcPr>
          <w:p w14:paraId="05D3CE53" w14:textId="77777777" w:rsidR="00302BFE" w:rsidRPr="00CF512D" w:rsidRDefault="00302BFE" w:rsidP="00243B15">
            <w:pPr>
              <w:spacing w:after="0"/>
              <w:rPr>
                <w:sz w:val="18"/>
                <w:szCs w:val="18"/>
              </w:rPr>
            </w:pPr>
            <w:r w:rsidRPr="00CF512D">
              <w:rPr>
                <w:sz w:val="18"/>
                <w:szCs w:val="18"/>
              </w:rPr>
              <w:t>Hommes-</w:t>
            </w:r>
            <w:proofErr w:type="spellStart"/>
            <w:r w:rsidRPr="00CF512D">
              <w:rPr>
                <w:sz w:val="18"/>
                <w:szCs w:val="18"/>
              </w:rPr>
              <w:t>Eléphants</w:t>
            </w:r>
            <w:proofErr w:type="spellEnd"/>
          </w:p>
        </w:tc>
        <w:tc>
          <w:tcPr>
            <w:tcW w:w="2340" w:type="dxa"/>
            <w:shd w:val="clear" w:color="auto" w:fill="auto"/>
          </w:tcPr>
          <w:p w14:paraId="299EF3EF" w14:textId="77777777" w:rsidR="00302BFE" w:rsidRPr="00CF512D" w:rsidRDefault="00302BFE" w:rsidP="00243B15">
            <w:pPr>
              <w:spacing w:after="0"/>
              <w:rPr>
                <w:sz w:val="18"/>
                <w:szCs w:val="18"/>
              </w:rPr>
            </w:pPr>
            <w:proofErr w:type="spellStart"/>
            <w:r w:rsidRPr="00CF512D">
              <w:rPr>
                <w:sz w:val="18"/>
                <w:szCs w:val="18"/>
              </w:rPr>
              <w:t>Dégâts</w:t>
            </w:r>
            <w:proofErr w:type="spellEnd"/>
            <w:r w:rsidRPr="00CF512D">
              <w:rPr>
                <w:sz w:val="18"/>
                <w:szCs w:val="18"/>
              </w:rPr>
              <w:t xml:space="preserve"> </w:t>
            </w:r>
            <w:proofErr w:type="spellStart"/>
            <w:r w:rsidRPr="00CF512D">
              <w:rPr>
                <w:sz w:val="18"/>
                <w:szCs w:val="18"/>
              </w:rPr>
              <w:t>agricoles</w:t>
            </w:r>
            <w:proofErr w:type="spellEnd"/>
          </w:p>
        </w:tc>
      </w:tr>
    </w:tbl>
    <w:p w14:paraId="0929F999" w14:textId="77777777" w:rsidR="00302BFE" w:rsidRPr="00E5211E" w:rsidRDefault="00302BFE" w:rsidP="00302BFE">
      <w:pPr>
        <w:spacing w:before="120" w:after="120"/>
        <w:rPr>
          <w:b/>
          <w:sz w:val="22"/>
          <w:szCs w:val="22"/>
          <w:lang w:val="fr-CA"/>
        </w:rPr>
      </w:pPr>
      <w:r w:rsidRPr="00E5211E">
        <w:rPr>
          <w:b/>
          <w:sz w:val="22"/>
          <w:szCs w:val="22"/>
          <w:lang w:val="fr-CA"/>
        </w:rPr>
        <w:t>Questions pour l’évaluation du contexte des conflits homme-faune préalable aux évaluations rapides sur le terrain</w:t>
      </w:r>
    </w:p>
    <w:p w14:paraId="2A591456" w14:textId="77777777" w:rsidR="00302BFE" w:rsidRPr="00CF512D" w:rsidRDefault="00302BFE" w:rsidP="00302BFE">
      <w:pPr>
        <w:spacing w:before="120" w:after="120"/>
        <w:rPr>
          <w:rFonts w:eastAsia="Times New Roman"/>
          <w:szCs w:val="20"/>
          <w:lang w:val="fr-CA"/>
        </w:rPr>
      </w:pPr>
      <w:r w:rsidRPr="00CF512D">
        <w:rPr>
          <w:rFonts w:eastAsia="Times New Roman"/>
          <w:szCs w:val="20"/>
          <w:lang w:val="fr-CA"/>
        </w:rPr>
        <w:t>Le contexte des conflits homme-faune au Burkina Faso et dans le paysage PONASI sera évalué à travers les six éléments suivants pour élaborer une stratégie visant à résoudre ce problème.</w:t>
      </w:r>
    </w:p>
    <w:p w14:paraId="366DF219" w14:textId="77777777" w:rsidR="00302BFE" w:rsidRPr="00CF512D" w:rsidRDefault="00302BFE" w:rsidP="00302BFE">
      <w:pPr>
        <w:spacing w:before="120" w:after="120"/>
        <w:rPr>
          <w:rFonts w:eastAsia="Times New Roman"/>
          <w:b/>
          <w:bCs/>
          <w:color w:val="4472C4"/>
          <w:szCs w:val="20"/>
          <w:lang w:val="fr-CA"/>
        </w:rPr>
      </w:pPr>
      <w:r w:rsidRPr="00CF512D">
        <w:rPr>
          <w:rFonts w:eastAsia="Times New Roman"/>
          <w:b/>
          <w:bCs/>
          <w:color w:val="4472C4"/>
          <w:szCs w:val="20"/>
          <w:lang w:val="fr-CA"/>
        </w:rPr>
        <w:t>Identification et cartographie des points chauds</w:t>
      </w:r>
    </w:p>
    <w:p w14:paraId="32ED6E2B" w14:textId="77777777" w:rsidR="00302BFE" w:rsidRPr="00CF512D" w:rsidRDefault="00302BFE" w:rsidP="00302BFE">
      <w:pPr>
        <w:spacing w:before="120" w:after="120"/>
        <w:rPr>
          <w:i/>
          <w:szCs w:val="20"/>
          <w:lang w:val="fr-CA"/>
        </w:rPr>
      </w:pPr>
      <w:r w:rsidRPr="00CF512D">
        <w:rPr>
          <w:rFonts w:eastAsia="Times New Roman"/>
          <w:b/>
          <w:bCs/>
          <w:color w:val="4472C4"/>
          <w:szCs w:val="20"/>
          <w:lang w:val="fr-CA"/>
        </w:rPr>
        <w:t>Question</w:t>
      </w:r>
      <w:r w:rsidRPr="00CF512D">
        <w:rPr>
          <w:szCs w:val="20"/>
          <w:lang w:val="fr-CA"/>
        </w:rPr>
        <w:t xml:space="preserve">: </w:t>
      </w:r>
      <w:r w:rsidRPr="00CF512D">
        <w:rPr>
          <w:i/>
          <w:szCs w:val="20"/>
          <w:lang w:val="fr-CA"/>
        </w:rPr>
        <w:t>Les points chauds de conflit sont-ils connus, cartographiés et mis à jour régulièrement?</w:t>
      </w:r>
    </w:p>
    <w:p w14:paraId="59A82D3A" w14:textId="77777777" w:rsidR="00302BFE" w:rsidRPr="00CF512D" w:rsidRDefault="00302BFE" w:rsidP="00302BFE">
      <w:pPr>
        <w:spacing w:before="120" w:after="0"/>
        <w:rPr>
          <w:szCs w:val="20"/>
        </w:rPr>
      </w:pPr>
      <w:proofErr w:type="spellStart"/>
      <w:r w:rsidRPr="00CF512D">
        <w:rPr>
          <w:szCs w:val="20"/>
        </w:rPr>
        <w:t>Statistiques</w:t>
      </w:r>
      <w:proofErr w:type="spellEnd"/>
      <w:r w:rsidRPr="00CF512D">
        <w:rPr>
          <w:szCs w:val="20"/>
        </w:rPr>
        <w:t xml:space="preserve"> </w:t>
      </w:r>
      <w:proofErr w:type="spellStart"/>
      <w:r w:rsidRPr="00CF512D">
        <w:rPr>
          <w:szCs w:val="20"/>
        </w:rPr>
        <w:t>clés</w:t>
      </w:r>
      <w:proofErr w:type="spellEnd"/>
      <w:r w:rsidRPr="00CF512D">
        <w:rPr>
          <w:szCs w:val="20"/>
        </w:rPr>
        <w:t xml:space="preserve"> </w:t>
      </w:r>
      <w:proofErr w:type="spellStart"/>
      <w:r w:rsidRPr="00CF512D">
        <w:rPr>
          <w:szCs w:val="20"/>
        </w:rPr>
        <w:t>nécessaires</w:t>
      </w:r>
      <w:proofErr w:type="spellEnd"/>
      <w:r w:rsidRPr="00CF512D">
        <w:rPr>
          <w:szCs w:val="20"/>
        </w:rPr>
        <w:t>:</w:t>
      </w:r>
    </w:p>
    <w:p w14:paraId="23DC0076" w14:textId="77777777" w:rsidR="00302BFE" w:rsidRPr="00CF512D" w:rsidRDefault="00302BFE" w:rsidP="00C46720">
      <w:pPr>
        <w:pStyle w:val="Paragraphedeliste"/>
        <w:numPr>
          <w:ilvl w:val="0"/>
          <w:numId w:val="37"/>
        </w:numPr>
        <w:spacing w:after="120"/>
        <w:ind w:left="714" w:hanging="357"/>
        <w:contextualSpacing/>
        <w:rPr>
          <w:rFonts w:ascii="Calibri" w:hAnsi="Calibri"/>
          <w:sz w:val="20"/>
          <w:szCs w:val="20"/>
          <w:lang w:val="fr-CA"/>
        </w:rPr>
      </w:pPr>
      <w:r w:rsidRPr="00CF512D">
        <w:rPr>
          <w:rFonts w:ascii="Calibri" w:hAnsi="Calibri"/>
          <w:sz w:val="20"/>
          <w:szCs w:val="20"/>
          <w:lang w:val="fr-CA"/>
        </w:rPr>
        <w:t>Nombre et emplacement des animaux sauvages tués en représailles à un conflit</w:t>
      </w:r>
    </w:p>
    <w:p w14:paraId="4A0A620B"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Nombre et emplacement des animaux sauvages tués (par exemple, empoisonnés) avant la survenue des conflits</w:t>
      </w:r>
    </w:p>
    <w:p w14:paraId="0B601C29"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Nombre et localisation des cas de criminalité de la faune enregistrées (impliquant la prise au collet, le piégeage, l'empoisonnement, l'électrocution, la chasse, etc.)</w:t>
      </w:r>
    </w:p>
    <w:p w14:paraId="01251469"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Population humaine et lieux d'implantation (des établissements humains)</w:t>
      </w:r>
    </w:p>
    <w:p w14:paraId="068CA683" w14:textId="77777777" w:rsidR="00302BFE" w:rsidRPr="00CF512D" w:rsidRDefault="00302BFE" w:rsidP="00C46720">
      <w:pPr>
        <w:pStyle w:val="Paragraphedeliste"/>
        <w:numPr>
          <w:ilvl w:val="0"/>
          <w:numId w:val="37"/>
        </w:numPr>
        <w:spacing w:before="120" w:after="120"/>
        <w:contextualSpacing/>
        <w:rPr>
          <w:rFonts w:ascii="Calibri" w:hAnsi="Calibri"/>
          <w:sz w:val="20"/>
          <w:szCs w:val="20"/>
        </w:rPr>
      </w:pPr>
      <w:proofErr w:type="spellStart"/>
      <w:r w:rsidRPr="00CF512D">
        <w:rPr>
          <w:rFonts w:ascii="Calibri" w:hAnsi="Calibri"/>
          <w:sz w:val="20"/>
          <w:szCs w:val="20"/>
        </w:rPr>
        <w:t>Densité</w:t>
      </w:r>
      <w:proofErr w:type="spellEnd"/>
      <w:r w:rsidRPr="00CF512D">
        <w:rPr>
          <w:rFonts w:ascii="Calibri" w:hAnsi="Calibri"/>
          <w:sz w:val="20"/>
          <w:szCs w:val="20"/>
        </w:rPr>
        <w:t xml:space="preserve"> de population </w:t>
      </w:r>
      <w:proofErr w:type="spellStart"/>
      <w:r w:rsidRPr="00CF512D">
        <w:rPr>
          <w:rFonts w:ascii="Calibri" w:hAnsi="Calibri"/>
          <w:sz w:val="20"/>
          <w:szCs w:val="20"/>
        </w:rPr>
        <w:t>humaine</w:t>
      </w:r>
      <w:proofErr w:type="spellEnd"/>
    </w:p>
    <w:p w14:paraId="5CDCA311" w14:textId="77777777" w:rsidR="00302BFE" w:rsidRPr="00CF512D" w:rsidRDefault="00302BFE" w:rsidP="00C46720">
      <w:pPr>
        <w:pStyle w:val="Paragraphedeliste"/>
        <w:numPr>
          <w:ilvl w:val="0"/>
          <w:numId w:val="37"/>
        </w:numPr>
        <w:spacing w:before="120" w:after="120"/>
        <w:contextualSpacing/>
        <w:rPr>
          <w:rFonts w:ascii="Calibri" w:hAnsi="Calibri"/>
          <w:sz w:val="20"/>
          <w:szCs w:val="20"/>
        </w:rPr>
      </w:pPr>
      <w:proofErr w:type="spellStart"/>
      <w:r w:rsidRPr="00CF512D">
        <w:rPr>
          <w:rFonts w:ascii="Calibri" w:hAnsi="Calibri"/>
          <w:sz w:val="20"/>
          <w:szCs w:val="20"/>
        </w:rPr>
        <w:t>Nombre</w:t>
      </w:r>
      <w:proofErr w:type="spellEnd"/>
      <w:r w:rsidRPr="00CF512D">
        <w:rPr>
          <w:rFonts w:ascii="Calibri" w:hAnsi="Calibri"/>
          <w:sz w:val="20"/>
          <w:szCs w:val="20"/>
        </w:rPr>
        <w:t xml:space="preserve"> </w:t>
      </w:r>
      <w:proofErr w:type="spellStart"/>
      <w:r w:rsidRPr="00CF512D">
        <w:rPr>
          <w:rFonts w:ascii="Calibri" w:hAnsi="Calibri"/>
          <w:sz w:val="20"/>
          <w:szCs w:val="20"/>
        </w:rPr>
        <w:t>d'incidents</w:t>
      </w:r>
      <w:proofErr w:type="spellEnd"/>
      <w:r w:rsidRPr="00CF512D">
        <w:rPr>
          <w:rFonts w:ascii="Calibri" w:hAnsi="Calibri"/>
          <w:sz w:val="20"/>
          <w:szCs w:val="20"/>
        </w:rPr>
        <w:t xml:space="preserve"> </w:t>
      </w:r>
      <w:proofErr w:type="spellStart"/>
      <w:r w:rsidRPr="00CF512D">
        <w:rPr>
          <w:rFonts w:ascii="Calibri" w:hAnsi="Calibri"/>
          <w:sz w:val="20"/>
          <w:szCs w:val="20"/>
        </w:rPr>
        <w:t>signalés</w:t>
      </w:r>
      <w:proofErr w:type="spellEnd"/>
    </w:p>
    <w:p w14:paraId="1768A059"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Nombre d'incidents de conflit vérifiés</w:t>
      </w:r>
    </w:p>
    <w:p w14:paraId="23DC3067"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Temps moyen pour répondre à un événement</w:t>
      </w:r>
    </w:p>
    <w:p w14:paraId="5139B07D"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Nombre de réclamations d'assurance faites</w:t>
      </w:r>
    </w:p>
    <w:p w14:paraId="2D3499C8"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Longueur des barrières préventives installées</w:t>
      </w:r>
    </w:p>
    <w:p w14:paraId="55FC567C"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Nombre d'espèces rares ou en voie de disparition, par exemple éléphant, lion, etc.</w:t>
      </w:r>
    </w:p>
    <w:p w14:paraId="4C8EC22A"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Densité des espèces en voie de disparition / rares</w:t>
      </w:r>
    </w:p>
    <w:p w14:paraId="1BBBAD69"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Densité des proies pour les prédateurs</w:t>
      </w:r>
    </w:p>
    <w:p w14:paraId="09F85B0E"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Nombre d'espèces sauvages tuées par braconnage</w:t>
      </w:r>
    </w:p>
    <w:p w14:paraId="17C9ED9F"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Nombre d'espèces sauvages blessées lors de tentatives de braconnage</w:t>
      </w:r>
    </w:p>
    <w:p w14:paraId="38ADB5D1"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lastRenderedPageBreak/>
        <w:t>Nombre d'espèces sauvages supprimées / euthanasiées</w:t>
      </w:r>
    </w:p>
    <w:p w14:paraId="7B24F095"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Nombre de cas de criminalité liée aux espèces sauvages enregistrés (impliquant prise au collet, piégeage, empoisonnement, électrocution, chasse, etc.)</w:t>
      </w:r>
    </w:p>
    <w:p w14:paraId="532E8647"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Nombre d'espèces fauniques en divagation en dehors des zones protégées</w:t>
      </w:r>
    </w:p>
    <w:p w14:paraId="3AE23F44"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Nombre de plans spatiaux en place sur les sites de conflit élevé (c.-à-zones tampons de PA / NP)</w:t>
      </w:r>
    </w:p>
    <w:p w14:paraId="14A1D5A5"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Hectares d'habitat perdus</w:t>
      </w:r>
    </w:p>
    <w:p w14:paraId="1F8DC86D"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 xml:space="preserve">Hectares d’habitat gagnés </w:t>
      </w:r>
    </w:p>
    <w:p w14:paraId="1D4EBAE4"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 xml:space="preserve">Taux de perte d'habitat Ha / an </w:t>
      </w:r>
    </w:p>
    <w:p w14:paraId="706486A1"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 xml:space="preserve">Taux d’occupation des espèces prioritaires </w:t>
      </w:r>
    </w:p>
    <w:p w14:paraId="5B8DCB78"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 xml:space="preserve">Hectares d’aires protégées sous régime de gestion reconnu </w:t>
      </w:r>
    </w:p>
    <w:p w14:paraId="69C39388"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 xml:space="preserve">Durée de vie des corridors écologiques </w:t>
      </w:r>
    </w:p>
    <w:p w14:paraId="0EFFB98D"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Proportion des liens critiques avec les plans et les directives d'utilisation des terres qui sont opérationnels</w:t>
      </w:r>
    </w:p>
    <w:p w14:paraId="037E1458" w14:textId="77777777" w:rsidR="00302BFE" w:rsidRPr="00CF512D" w:rsidRDefault="00302BFE" w:rsidP="00302BFE">
      <w:pPr>
        <w:spacing w:before="120" w:after="120"/>
        <w:rPr>
          <w:rFonts w:eastAsia="Times New Roman"/>
          <w:b/>
          <w:bCs/>
          <w:color w:val="4472C4"/>
          <w:szCs w:val="20"/>
          <w:lang w:val="fr-CA"/>
        </w:rPr>
      </w:pPr>
      <w:r w:rsidRPr="00CF512D">
        <w:rPr>
          <w:rFonts w:eastAsia="Times New Roman"/>
          <w:b/>
          <w:bCs/>
          <w:color w:val="4472C4"/>
          <w:szCs w:val="20"/>
          <w:lang w:val="fr-CA"/>
        </w:rPr>
        <w:t>Suivi de l'impact et de la gravité</w:t>
      </w:r>
    </w:p>
    <w:p w14:paraId="16DF1756" w14:textId="77777777" w:rsidR="00302BFE" w:rsidRPr="00CF512D" w:rsidRDefault="00302BFE" w:rsidP="00302BFE">
      <w:pPr>
        <w:spacing w:before="120" w:after="120"/>
        <w:rPr>
          <w:i/>
          <w:szCs w:val="20"/>
          <w:lang w:val="fr-CA"/>
        </w:rPr>
      </w:pPr>
      <w:r w:rsidRPr="00CF512D">
        <w:rPr>
          <w:rFonts w:eastAsia="Times New Roman"/>
          <w:b/>
          <w:bCs/>
          <w:color w:val="4472C4"/>
          <w:szCs w:val="20"/>
          <w:lang w:val="fr-CA"/>
        </w:rPr>
        <w:t xml:space="preserve">Question: </w:t>
      </w:r>
      <w:r w:rsidRPr="00CF512D">
        <w:rPr>
          <w:i/>
          <w:szCs w:val="20"/>
          <w:lang w:val="fr-CA"/>
        </w:rPr>
        <w:t>Existe-t-il une compréhension claire du coût humain et financier local du conflit ?</w:t>
      </w:r>
    </w:p>
    <w:p w14:paraId="078F0DE5" w14:textId="77777777" w:rsidR="00302BFE" w:rsidRPr="00CF512D" w:rsidRDefault="00302BFE" w:rsidP="00302BFE">
      <w:pPr>
        <w:spacing w:before="120" w:after="120"/>
        <w:rPr>
          <w:szCs w:val="20"/>
          <w:lang w:val="fr-CA"/>
        </w:rPr>
      </w:pPr>
      <w:r w:rsidRPr="00CF512D">
        <w:rPr>
          <w:szCs w:val="20"/>
          <w:lang w:val="fr-CA"/>
        </w:rPr>
        <w:t>Le coût financier et humain du conflit est connu et suivi. Cela peut inclure: fréquence, intensité, durée, coût monétaire, coûts d'opportunité, coûts indirects et impacts des conflits à court et à long terme.</w:t>
      </w:r>
    </w:p>
    <w:p w14:paraId="1614C0E4" w14:textId="77777777" w:rsidR="00302BFE" w:rsidRPr="00CF512D" w:rsidRDefault="00302BFE" w:rsidP="00302BFE">
      <w:pPr>
        <w:spacing w:before="120" w:after="0"/>
        <w:rPr>
          <w:szCs w:val="20"/>
        </w:rPr>
      </w:pPr>
      <w:proofErr w:type="spellStart"/>
      <w:r w:rsidRPr="00CF512D">
        <w:rPr>
          <w:szCs w:val="20"/>
        </w:rPr>
        <w:t>Statistiques</w:t>
      </w:r>
      <w:proofErr w:type="spellEnd"/>
      <w:r w:rsidRPr="00CF512D">
        <w:rPr>
          <w:szCs w:val="20"/>
        </w:rPr>
        <w:t xml:space="preserve"> </w:t>
      </w:r>
      <w:proofErr w:type="spellStart"/>
      <w:r w:rsidRPr="00CF512D">
        <w:rPr>
          <w:szCs w:val="20"/>
        </w:rPr>
        <w:t>clés</w:t>
      </w:r>
      <w:proofErr w:type="spellEnd"/>
      <w:r w:rsidRPr="00CF512D">
        <w:rPr>
          <w:szCs w:val="20"/>
        </w:rPr>
        <w:t xml:space="preserve"> </w:t>
      </w:r>
      <w:proofErr w:type="spellStart"/>
      <w:r w:rsidRPr="00CF512D">
        <w:rPr>
          <w:szCs w:val="20"/>
        </w:rPr>
        <w:t>nécessaires</w:t>
      </w:r>
      <w:proofErr w:type="spellEnd"/>
      <w:r w:rsidRPr="00CF512D">
        <w:rPr>
          <w:szCs w:val="20"/>
        </w:rPr>
        <w:t>:</w:t>
      </w:r>
    </w:p>
    <w:p w14:paraId="3538B53C" w14:textId="77777777" w:rsidR="00302BFE" w:rsidRPr="00CF512D" w:rsidRDefault="00302BFE" w:rsidP="00C46720">
      <w:pPr>
        <w:pStyle w:val="Paragraphedeliste"/>
        <w:numPr>
          <w:ilvl w:val="0"/>
          <w:numId w:val="37"/>
        </w:numPr>
        <w:spacing w:after="120"/>
        <w:ind w:left="714" w:hanging="357"/>
        <w:contextualSpacing/>
        <w:rPr>
          <w:rFonts w:ascii="Calibri" w:hAnsi="Calibri"/>
          <w:sz w:val="20"/>
          <w:szCs w:val="20"/>
          <w:lang w:val="fr-CA"/>
        </w:rPr>
      </w:pPr>
      <w:r w:rsidRPr="00CF512D">
        <w:rPr>
          <w:rFonts w:ascii="Calibri" w:hAnsi="Calibri"/>
          <w:sz w:val="20"/>
          <w:szCs w:val="20"/>
          <w:lang w:val="fr-CA"/>
        </w:rPr>
        <w:t>Nombre, emplacement et coût du bétail tué ou blessé p / mois; p / an</w:t>
      </w:r>
    </w:p>
    <w:p w14:paraId="5B8D806F"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Nombre, emplacement et le coût des incidents de pillage des récoltes p / mois; p / an</w:t>
      </w:r>
    </w:p>
    <w:p w14:paraId="5E8500A8"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Nombre et emplacement des personnes tuées ou blessées p / mois; p / an</w:t>
      </w:r>
    </w:p>
    <w:p w14:paraId="2F77212C"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Statistiques de perte de récolte</w:t>
      </w:r>
    </w:p>
    <w:p w14:paraId="08405D4B"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Fréquence des raids sur les cultures; fois / mois</w:t>
      </w:r>
    </w:p>
    <w:p w14:paraId="2847C497"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Gravité des coûts de destruction des cultures $ / mois</w:t>
      </w:r>
    </w:p>
    <w:p w14:paraId="644D8D20"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Calendrier des mois et des moments de la journée pour les raids sur les cultures</w:t>
      </w:r>
    </w:p>
    <w:p w14:paraId="0E2BEE47"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Localisation des cultures perdues à côté de l'AP / à l'intérieur de l'AP / au village</w:t>
      </w:r>
    </w:p>
    <w:p w14:paraId="4660D19D"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Compensation $ décaissée / mois / année</w:t>
      </w:r>
    </w:p>
    <w:p w14:paraId="0B565A3E"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Adhésion à un programme d'assurance; nombre de membres</w:t>
      </w:r>
    </w:p>
    <w:p w14:paraId="0AD0A6B6"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 xml:space="preserve">Nombre </w:t>
      </w:r>
      <w:r>
        <w:rPr>
          <w:rFonts w:ascii="Calibri" w:hAnsi="Calibri"/>
          <w:sz w:val="20"/>
          <w:szCs w:val="20"/>
          <w:lang w:val="fr-CA"/>
        </w:rPr>
        <w:t xml:space="preserve">et densité </w:t>
      </w:r>
      <w:r w:rsidRPr="00CF512D">
        <w:rPr>
          <w:rFonts w:ascii="Calibri" w:hAnsi="Calibri"/>
          <w:sz w:val="20"/>
          <w:szCs w:val="20"/>
          <w:lang w:val="fr-CA"/>
        </w:rPr>
        <w:t>d</w:t>
      </w:r>
      <w:r>
        <w:rPr>
          <w:rFonts w:ascii="Calibri" w:hAnsi="Calibri"/>
          <w:sz w:val="20"/>
          <w:szCs w:val="20"/>
          <w:lang w:val="fr-CA"/>
        </w:rPr>
        <w:t>u</w:t>
      </w:r>
      <w:r w:rsidRPr="00CF512D">
        <w:rPr>
          <w:rFonts w:ascii="Calibri" w:hAnsi="Calibri"/>
          <w:sz w:val="20"/>
          <w:szCs w:val="20"/>
          <w:lang w:val="fr-CA"/>
        </w:rPr>
        <w:t xml:space="preserve"> bétail</w:t>
      </w:r>
    </w:p>
    <w:p w14:paraId="019851B6"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Bétail tué dans une aire protégée</w:t>
      </w:r>
    </w:p>
    <w:p w14:paraId="4B83726E"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Bétail tué en dehors des aires protégées</w:t>
      </w:r>
    </w:p>
    <w:p w14:paraId="0CC9D276"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Bétail tué la nuit</w:t>
      </w:r>
    </w:p>
    <w:p w14:paraId="359BB868"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Bétail tué pendant la journée</w:t>
      </w:r>
    </w:p>
    <w:p w14:paraId="31FE48D2"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Bétail tué tout en étant parqué / surveillé</w:t>
      </w:r>
    </w:p>
    <w:p w14:paraId="033C6E5E"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Taux de prédation du bétail; nombre / année / mois</w:t>
      </w:r>
    </w:p>
    <w:p w14:paraId="4062C9F7"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Recettes provenant de la gestion sur site par le biais d'un mécanisme économique local vert</w:t>
      </w:r>
    </w:p>
    <w:p w14:paraId="28EADCF4" w14:textId="77777777" w:rsidR="00302BFE" w:rsidRPr="00CF512D" w:rsidRDefault="00302BFE" w:rsidP="00302BFE">
      <w:pPr>
        <w:spacing w:before="120" w:after="120"/>
        <w:rPr>
          <w:rFonts w:eastAsia="Times New Roman"/>
          <w:b/>
          <w:bCs/>
          <w:color w:val="4472C4"/>
          <w:szCs w:val="20"/>
          <w:lang w:val="fr-CA"/>
        </w:rPr>
      </w:pPr>
      <w:r w:rsidRPr="00CF512D">
        <w:rPr>
          <w:rFonts w:eastAsia="Times New Roman"/>
          <w:b/>
          <w:bCs/>
          <w:color w:val="4472C4"/>
          <w:szCs w:val="20"/>
          <w:lang w:val="fr-CA"/>
        </w:rPr>
        <w:t>Suivi de l'attitude de la communauté</w:t>
      </w:r>
    </w:p>
    <w:p w14:paraId="552B4D6A" w14:textId="77777777" w:rsidR="00302BFE" w:rsidRPr="00CF512D" w:rsidRDefault="00302BFE" w:rsidP="00302BFE">
      <w:pPr>
        <w:spacing w:before="120" w:after="120"/>
        <w:rPr>
          <w:i/>
          <w:szCs w:val="20"/>
          <w:lang w:val="fr-CA"/>
        </w:rPr>
      </w:pPr>
      <w:r w:rsidRPr="00CF512D">
        <w:rPr>
          <w:rFonts w:eastAsia="Times New Roman"/>
          <w:b/>
          <w:bCs/>
          <w:color w:val="4472C4"/>
          <w:szCs w:val="20"/>
          <w:lang w:val="fr-CA"/>
        </w:rPr>
        <w:t xml:space="preserve">Question: </w:t>
      </w:r>
      <w:r w:rsidRPr="00CF512D">
        <w:rPr>
          <w:i/>
          <w:szCs w:val="20"/>
          <w:lang w:val="fr-CA"/>
        </w:rPr>
        <w:t>Les attitudes de la communauté et la tolérance envers la faune sont-elles connues?</w:t>
      </w:r>
    </w:p>
    <w:p w14:paraId="7945AE00" w14:textId="77777777" w:rsidR="00302BFE" w:rsidRPr="00CF512D" w:rsidRDefault="00302BFE" w:rsidP="00302BFE">
      <w:pPr>
        <w:spacing w:before="120" w:after="120"/>
        <w:rPr>
          <w:szCs w:val="20"/>
          <w:lang w:val="fr-CA"/>
        </w:rPr>
      </w:pPr>
      <w:r w:rsidRPr="00CF512D">
        <w:rPr>
          <w:szCs w:val="20"/>
          <w:lang w:val="fr-CA"/>
        </w:rPr>
        <w:t>Une approche d'enquête reproductible doit être en place pour permettre de suivre les attitudes de la communauté au fil du temps.</w:t>
      </w:r>
    </w:p>
    <w:p w14:paraId="013135AF" w14:textId="77777777" w:rsidR="00302BFE" w:rsidRPr="00CF512D" w:rsidRDefault="00302BFE" w:rsidP="00302BFE">
      <w:pPr>
        <w:spacing w:before="120" w:after="0"/>
        <w:rPr>
          <w:szCs w:val="20"/>
        </w:rPr>
      </w:pPr>
      <w:proofErr w:type="spellStart"/>
      <w:r w:rsidRPr="00CF512D">
        <w:rPr>
          <w:szCs w:val="20"/>
        </w:rPr>
        <w:t>Statistiques</w:t>
      </w:r>
      <w:proofErr w:type="spellEnd"/>
      <w:r w:rsidRPr="00CF512D">
        <w:rPr>
          <w:szCs w:val="20"/>
        </w:rPr>
        <w:t xml:space="preserve"> </w:t>
      </w:r>
      <w:proofErr w:type="spellStart"/>
      <w:r w:rsidRPr="00CF512D">
        <w:rPr>
          <w:szCs w:val="20"/>
        </w:rPr>
        <w:t>clés</w:t>
      </w:r>
      <w:proofErr w:type="spellEnd"/>
      <w:r w:rsidRPr="00CF512D">
        <w:rPr>
          <w:szCs w:val="20"/>
        </w:rPr>
        <w:t xml:space="preserve"> </w:t>
      </w:r>
      <w:proofErr w:type="spellStart"/>
      <w:r w:rsidRPr="00CF512D">
        <w:rPr>
          <w:szCs w:val="20"/>
        </w:rPr>
        <w:t>nécessaires</w:t>
      </w:r>
      <w:proofErr w:type="spellEnd"/>
      <w:r w:rsidRPr="00CF512D">
        <w:rPr>
          <w:szCs w:val="20"/>
        </w:rPr>
        <w:t>:</w:t>
      </w:r>
    </w:p>
    <w:p w14:paraId="57E51B77" w14:textId="77777777" w:rsidR="00302BFE" w:rsidRPr="00CF512D" w:rsidRDefault="00302BFE" w:rsidP="00C46720">
      <w:pPr>
        <w:pStyle w:val="Paragraphedeliste"/>
        <w:numPr>
          <w:ilvl w:val="0"/>
          <w:numId w:val="37"/>
        </w:numPr>
        <w:spacing w:after="120"/>
        <w:ind w:left="714" w:hanging="357"/>
        <w:contextualSpacing/>
        <w:rPr>
          <w:rFonts w:ascii="Calibri" w:hAnsi="Calibri"/>
          <w:sz w:val="20"/>
          <w:szCs w:val="20"/>
          <w:lang w:val="fr-CA"/>
        </w:rPr>
      </w:pPr>
      <w:r w:rsidRPr="00CF512D">
        <w:rPr>
          <w:rFonts w:ascii="Calibri" w:hAnsi="Calibri"/>
          <w:sz w:val="20"/>
          <w:szCs w:val="20"/>
          <w:lang w:val="fr-CA"/>
        </w:rPr>
        <w:t>Attitudes de la communauté envers la faune et les espèces prioritaires</w:t>
      </w:r>
    </w:p>
    <w:p w14:paraId="0B5B9A79"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Aiment-ils avoir de la faune dans leur région?</w:t>
      </w:r>
    </w:p>
    <w:p w14:paraId="5441C4A9"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Seraient-ils heureux s'il n'y avait pas d'animaux sauvages dans leur région?</w:t>
      </w:r>
    </w:p>
    <w:p w14:paraId="7A2263C7"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Quelle quantité d’espèces sauvages préféreraient-ils voir fréquenter leur région dans 10 ans? /espèce</w:t>
      </w:r>
    </w:p>
    <w:p w14:paraId="145AC813"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Vulnérabilité sociale: âge, sexe, appartenance ethnique, éducation, profession, provenance des revenus du ménage</w:t>
      </w:r>
    </w:p>
    <w:p w14:paraId="79BA4143"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Jours en forêt par an</w:t>
      </w:r>
    </w:p>
    <w:p w14:paraId="7966A8AA"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Années vécues dans la région</w:t>
      </w:r>
    </w:p>
    <w:p w14:paraId="72616F60"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Ont-ils subi une attaque des cultures / du bétail?</w:t>
      </w:r>
    </w:p>
    <w:p w14:paraId="1EFAAC30"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 xml:space="preserve">Leurs amis / voisins ont-ils subi une attaque des cultures / du bétail </w:t>
      </w:r>
    </w:p>
    <w:p w14:paraId="11AC8016" w14:textId="77777777" w:rsidR="00302BFE" w:rsidRPr="00CF512D" w:rsidRDefault="00302BFE" w:rsidP="00C46720">
      <w:pPr>
        <w:pStyle w:val="Paragraphedeliste"/>
        <w:numPr>
          <w:ilvl w:val="0"/>
          <w:numId w:val="37"/>
        </w:numPr>
        <w:spacing w:before="120" w:after="120"/>
        <w:contextualSpacing/>
        <w:rPr>
          <w:rFonts w:ascii="Calibri" w:hAnsi="Calibri"/>
          <w:sz w:val="20"/>
          <w:szCs w:val="20"/>
          <w:lang w:val="fr-CA"/>
        </w:rPr>
      </w:pPr>
      <w:r w:rsidRPr="00CF512D">
        <w:rPr>
          <w:rFonts w:ascii="Calibri" w:hAnsi="Calibri"/>
          <w:sz w:val="20"/>
          <w:szCs w:val="20"/>
          <w:lang w:val="fr-CA"/>
        </w:rPr>
        <w:t>Avez-vous entendu parler d'une attaque des cultures / du bétail survenue à d'autres personnes?</w:t>
      </w:r>
    </w:p>
    <w:p w14:paraId="21BA8CE2" w14:textId="77777777" w:rsidR="00302BFE" w:rsidRPr="007627B4" w:rsidRDefault="00302BFE" w:rsidP="00302BFE">
      <w:pPr>
        <w:spacing w:before="120" w:after="120"/>
        <w:rPr>
          <w:b/>
          <w:lang w:val="fr-CA"/>
        </w:rPr>
      </w:pPr>
    </w:p>
    <w:p w14:paraId="0CBB791F" w14:textId="77777777" w:rsidR="00302BFE" w:rsidRPr="007627B4" w:rsidRDefault="00302BFE" w:rsidP="00302BFE">
      <w:pPr>
        <w:spacing w:after="240"/>
        <w:rPr>
          <w:b/>
          <w:lang w:val="fr-CA"/>
        </w:rPr>
        <w:sectPr w:rsidR="00302BFE" w:rsidRPr="007627B4" w:rsidSect="00243B15">
          <w:pgSz w:w="12240" w:h="15840" w:code="1"/>
          <w:pgMar w:top="720" w:right="720" w:bottom="720" w:left="720" w:header="720" w:footer="720" w:gutter="0"/>
          <w:cols w:space="720"/>
          <w:docGrid w:linePitch="360"/>
        </w:sectPr>
      </w:pPr>
    </w:p>
    <w:p w14:paraId="0F224486" w14:textId="77777777" w:rsidR="00302BFE" w:rsidRPr="0075595E" w:rsidRDefault="00302BFE" w:rsidP="00302BFE">
      <w:pPr>
        <w:pStyle w:val="Titre2"/>
        <w:ind w:left="0"/>
        <w:rPr>
          <w:rFonts w:ascii="Calibri" w:hAnsi="Calibri"/>
          <w:lang w:val="en-CA"/>
        </w:rPr>
      </w:pPr>
      <w:bookmarkStart w:id="118" w:name="_Toc9961813"/>
      <w:r w:rsidRPr="0075595E">
        <w:rPr>
          <w:rFonts w:ascii="Calibri" w:hAnsi="Calibri"/>
          <w:lang w:val="en-CA"/>
        </w:rPr>
        <w:lastRenderedPageBreak/>
        <w:t xml:space="preserve">Annex </w:t>
      </w:r>
      <w:r>
        <w:rPr>
          <w:rFonts w:ascii="Calibri" w:hAnsi="Calibri"/>
          <w:lang w:val="en-CA"/>
        </w:rPr>
        <w:t>M</w:t>
      </w:r>
      <w:r w:rsidRPr="0075595E">
        <w:rPr>
          <w:rFonts w:ascii="Calibri" w:hAnsi="Calibri"/>
          <w:lang w:val="en-CA"/>
        </w:rPr>
        <w:t>. People consulted during project development</w:t>
      </w:r>
      <w:bookmarkEnd w:id="118"/>
    </w:p>
    <w:p w14:paraId="30AB8D3E" w14:textId="77777777" w:rsidR="00302BFE" w:rsidRPr="00F06854" w:rsidRDefault="00302BFE" w:rsidP="00302BFE">
      <w:pPr>
        <w:spacing w:before="120" w:after="120"/>
        <w:rPr>
          <w:lang w:val="en-CA"/>
        </w:rPr>
      </w:pPr>
      <w:r w:rsidRPr="00F06854">
        <w:rPr>
          <w:lang w:val="en-CA"/>
        </w:rPr>
        <w:t>PARTICIPAT</w:t>
      </w:r>
      <w:bookmarkStart w:id="119" w:name="_Toc2166304"/>
      <w:r>
        <w:rPr>
          <w:lang w:val="en-CA"/>
        </w:rPr>
        <w:t>ORY</w:t>
      </w:r>
      <w:r w:rsidRPr="00F06854">
        <w:rPr>
          <w:lang w:val="en-CA"/>
        </w:rPr>
        <w:t xml:space="preserve"> APPRO</w:t>
      </w:r>
      <w:r>
        <w:rPr>
          <w:lang w:val="en-CA"/>
        </w:rPr>
        <w:t>A</w:t>
      </w:r>
      <w:r w:rsidRPr="00F06854">
        <w:rPr>
          <w:lang w:val="en-CA"/>
        </w:rPr>
        <w:t>CH</w:t>
      </w:r>
      <w:bookmarkEnd w:id="119"/>
    </w:p>
    <w:p w14:paraId="40563EB8" w14:textId="77777777" w:rsidR="00302BFE" w:rsidRPr="00F06854" w:rsidRDefault="00302BFE" w:rsidP="00302BFE">
      <w:pPr>
        <w:spacing w:before="120" w:after="120"/>
        <w:rPr>
          <w:lang w:val="en-CA"/>
        </w:rPr>
      </w:pPr>
      <w:r w:rsidRPr="00F06854">
        <w:rPr>
          <w:lang w:val="en-CA"/>
        </w:rPr>
        <w:t xml:space="preserve">The approach taken for gathering and analyzing information about the environment, resources and their use, the problems encountered, and the proposal of solutions was highly participatory throughout the process and was primarily based on the Participatory Action Research Method. </w:t>
      </w:r>
    </w:p>
    <w:p w14:paraId="47B0DF5A" w14:textId="77777777" w:rsidR="00302BFE" w:rsidRPr="00F06854" w:rsidRDefault="00302BFE" w:rsidP="00302BFE">
      <w:pPr>
        <w:spacing w:before="120" w:after="120"/>
        <w:rPr>
          <w:lang w:val="en-CA"/>
        </w:rPr>
      </w:pPr>
      <w:r w:rsidRPr="00F06854">
        <w:rPr>
          <w:lang w:val="en-CA"/>
        </w:rPr>
        <w:t xml:space="preserve">The pilot sites for the interventions of components 3 and 4 of the project were identified with the participation of all stakeholders </w:t>
      </w:r>
      <w:proofErr w:type="gramStart"/>
      <w:r w:rsidRPr="00F06854">
        <w:rPr>
          <w:lang w:val="en-CA"/>
        </w:rPr>
        <w:t>on the basis of</w:t>
      </w:r>
      <w:proofErr w:type="gramEnd"/>
      <w:r w:rsidRPr="00F06854">
        <w:rPr>
          <w:lang w:val="en-CA"/>
        </w:rPr>
        <w:t xml:space="preserve"> predefined criteria including the area of influence of protected areas, predominant land and resource use patterns of the site, and environmental, governance, socio-economic and representativeness criteria for the scaling up of effective practices developed within these sites. A provisional list of 15 sites within the 9 riparian communes of the protected area complex based on the criteria was subjected to a participatory validation at the commune level that took place in two stages: i) In each of the 9 communes, the consultants presented the outline of the project and its formulation process, explained the criteria applied and submitted the results of the site pre-selection to a local consultative body at the commune level. This advisory group consisted at least of the prefect of the department, the mayor of the commune, two chairpersons of permanent commissions of the </w:t>
      </w:r>
      <w:r w:rsidR="009363D6">
        <w:rPr>
          <w:lang w:val="en-CA"/>
        </w:rPr>
        <w:t>communal</w:t>
      </w:r>
      <w:r w:rsidRPr="00F06854">
        <w:rPr>
          <w:lang w:val="en-CA"/>
        </w:rPr>
        <w:t xml:space="preserve"> council, decentralized technical services at the commune level in environment, livestock, and agriculture, NGOs (national or international) that implement relevant projects in the commune, three main local development associations governed by the law 064-2015 / CNT), and organizations at the commune level representing the agricultural, pastoral and forestry sectors and governed by the OHADA Code . ii) The relevance of the choice of sites in relation to the defined criteria was examined and analyzed by the advisory group and, where appropriate, alternative sites were proposed, </w:t>
      </w:r>
      <w:proofErr w:type="gramStart"/>
      <w:r w:rsidRPr="00F06854">
        <w:rPr>
          <w:lang w:val="en-CA"/>
        </w:rPr>
        <w:t>discussed</w:t>
      </w:r>
      <w:proofErr w:type="gramEnd"/>
      <w:r w:rsidRPr="00F06854">
        <w:rPr>
          <w:lang w:val="en-CA"/>
        </w:rPr>
        <w:t xml:space="preserve"> and validated. The collection of baseline data as part of the project document development process was then conducted in the pilot sites validated through this participatory process.</w:t>
      </w:r>
    </w:p>
    <w:p w14:paraId="6775569C" w14:textId="77777777" w:rsidR="00302BFE" w:rsidRPr="00F06854" w:rsidRDefault="00302BFE" w:rsidP="00302BFE">
      <w:pPr>
        <w:spacing w:before="120" w:after="120"/>
        <w:rPr>
          <w:lang w:val="en-CA"/>
        </w:rPr>
      </w:pPr>
      <w:r w:rsidRPr="00F06854">
        <w:rPr>
          <w:lang w:val="en-CA"/>
        </w:rPr>
        <w:t>The collection of data in the 15 selected villages was carried out during meetings in the form of focus groups and individual interviews.</w:t>
      </w:r>
    </w:p>
    <w:p w14:paraId="1B88937D" w14:textId="77777777" w:rsidR="00302BFE" w:rsidRPr="00F06854" w:rsidRDefault="00302BFE" w:rsidP="00302BFE">
      <w:pPr>
        <w:spacing w:before="120" w:after="120"/>
        <w:rPr>
          <w:b/>
          <w:lang w:val="en-CA"/>
        </w:rPr>
      </w:pPr>
      <w:bookmarkStart w:id="120" w:name="_Toc2166331"/>
      <w:bookmarkStart w:id="121" w:name="_Toc534626769"/>
      <w:r w:rsidRPr="00F06854">
        <w:rPr>
          <w:b/>
          <w:lang w:val="en-CA"/>
        </w:rPr>
        <w:t xml:space="preserve">Table </w:t>
      </w:r>
      <w:proofErr w:type="gramStart"/>
      <w:r w:rsidRPr="00F06854">
        <w:rPr>
          <w:b/>
          <w:lang w:val="en-CA"/>
        </w:rPr>
        <w:t>A :</w:t>
      </w:r>
      <w:proofErr w:type="gramEnd"/>
      <w:r w:rsidRPr="00F06854">
        <w:rPr>
          <w:b/>
          <w:lang w:val="en-CA"/>
        </w:rPr>
        <w:t xml:space="preserve"> </w:t>
      </w:r>
      <w:bookmarkEnd w:id="120"/>
      <w:bookmarkEnd w:id="121"/>
      <w:r w:rsidRPr="00F06854">
        <w:rPr>
          <w:b/>
          <w:lang w:val="en-CA"/>
        </w:rPr>
        <w:t>Units surveyed</w:t>
      </w:r>
    </w:p>
    <w:tbl>
      <w:tblPr>
        <w:tblW w:w="11412" w:type="dxa"/>
        <w:jc w:val="center"/>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ook w:val="04A0" w:firstRow="1" w:lastRow="0" w:firstColumn="1" w:lastColumn="0" w:noHBand="0" w:noVBand="1"/>
      </w:tblPr>
      <w:tblGrid>
        <w:gridCol w:w="7717"/>
        <w:gridCol w:w="2250"/>
        <w:gridCol w:w="1445"/>
      </w:tblGrid>
      <w:tr w:rsidR="00302BFE" w:rsidRPr="0075595E" w14:paraId="6F4A437C" w14:textId="77777777" w:rsidTr="00243B15">
        <w:trPr>
          <w:jc w:val="center"/>
        </w:trPr>
        <w:tc>
          <w:tcPr>
            <w:tcW w:w="7717" w:type="dxa"/>
            <w:tcBorders>
              <w:top w:val="single" w:sz="4" w:space="0" w:color="C5E0B3"/>
              <w:left w:val="single" w:sz="4" w:space="0" w:color="C5E0B3"/>
              <w:bottom w:val="single" w:sz="12" w:space="0" w:color="A8D08D"/>
              <w:right w:val="single" w:sz="4" w:space="0" w:color="C5E0B3"/>
            </w:tcBorders>
            <w:shd w:val="clear" w:color="auto" w:fill="auto"/>
            <w:hideMark/>
          </w:tcPr>
          <w:p w14:paraId="618EDCB4" w14:textId="77777777" w:rsidR="00302BFE" w:rsidRPr="0075595E" w:rsidRDefault="00302BFE" w:rsidP="00243B15">
            <w:pPr>
              <w:autoSpaceDE w:val="0"/>
              <w:autoSpaceDN w:val="0"/>
              <w:adjustRightInd w:val="0"/>
              <w:spacing w:after="0"/>
              <w:rPr>
                <w:rFonts w:eastAsia="Times New Roman"/>
                <w:b/>
                <w:bCs/>
                <w:sz w:val="18"/>
                <w:szCs w:val="18"/>
                <w:lang w:eastAsia="fr-FR"/>
              </w:rPr>
            </w:pPr>
            <w:r w:rsidRPr="0075595E">
              <w:rPr>
                <w:rFonts w:eastAsia="Times New Roman"/>
                <w:b/>
                <w:bCs/>
                <w:sz w:val="18"/>
                <w:szCs w:val="18"/>
                <w:lang w:eastAsia="fr-FR"/>
              </w:rPr>
              <w:t>Survey units</w:t>
            </w:r>
          </w:p>
        </w:tc>
        <w:tc>
          <w:tcPr>
            <w:tcW w:w="2250" w:type="dxa"/>
            <w:tcBorders>
              <w:top w:val="single" w:sz="4" w:space="0" w:color="C5E0B3"/>
              <w:left w:val="single" w:sz="4" w:space="0" w:color="C5E0B3"/>
              <w:bottom w:val="single" w:sz="12" w:space="0" w:color="A8D08D"/>
              <w:right w:val="single" w:sz="4" w:space="0" w:color="C5E0B3"/>
            </w:tcBorders>
            <w:shd w:val="clear" w:color="auto" w:fill="auto"/>
            <w:hideMark/>
          </w:tcPr>
          <w:p w14:paraId="40B5CB5E" w14:textId="77777777" w:rsidR="00302BFE" w:rsidRPr="0075595E" w:rsidRDefault="00302BFE" w:rsidP="00243B15">
            <w:pPr>
              <w:autoSpaceDE w:val="0"/>
              <w:autoSpaceDN w:val="0"/>
              <w:adjustRightInd w:val="0"/>
              <w:spacing w:after="0"/>
              <w:rPr>
                <w:rFonts w:eastAsia="Times New Roman"/>
                <w:b/>
                <w:bCs/>
                <w:sz w:val="18"/>
                <w:szCs w:val="18"/>
                <w:lang w:eastAsia="fr-FR"/>
              </w:rPr>
            </w:pPr>
            <w:r w:rsidRPr="0075595E">
              <w:rPr>
                <w:rFonts w:eastAsia="Times New Roman"/>
                <w:b/>
                <w:bCs/>
                <w:sz w:val="18"/>
                <w:szCs w:val="18"/>
                <w:lang w:eastAsia="fr-FR"/>
              </w:rPr>
              <w:t>Survey technique</w:t>
            </w:r>
          </w:p>
        </w:tc>
        <w:tc>
          <w:tcPr>
            <w:tcW w:w="1445" w:type="dxa"/>
            <w:tcBorders>
              <w:top w:val="single" w:sz="4" w:space="0" w:color="C5E0B3"/>
              <w:left w:val="single" w:sz="4" w:space="0" w:color="C5E0B3"/>
              <w:bottom w:val="single" w:sz="12" w:space="0" w:color="A8D08D"/>
              <w:right w:val="single" w:sz="4" w:space="0" w:color="C5E0B3"/>
            </w:tcBorders>
            <w:shd w:val="clear" w:color="auto" w:fill="auto"/>
            <w:hideMark/>
          </w:tcPr>
          <w:p w14:paraId="1947B728" w14:textId="77777777" w:rsidR="00302BFE" w:rsidRPr="0075595E" w:rsidRDefault="00302BFE" w:rsidP="00243B15">
            <w:pPr>
              <w:autoSpaceDE w:val="0"/>
              <w:autoSpaceDN w:val="0"/>
              <w:adjustRightInd w:val="0"/>
              <w:spacing w:after="0"/>
              <w:rPr>
                <w:rFonts w:eastAsia="Times New Roman"/>
                <w:b/>
                <w:bCs/>
                <w:sz w:val="18"/>
                <w:szCs w:val="18"/>
                <w:lang w:eastAsia="fr-FR"/>
              </w:rPr>
            </w:pPr>
            <w:r w:rsidRPr="0075595E">
              <w:rPr>
                <w:rFonts w:eastAsia="Times New Roman"/>
                <w:b/>
                <w:bCs/>
                <w:sz w:val="18"/>
                <w:szCs w:val="18"/>
                <w:lang w:eastAsia="fr-FR"/>
              </w:rPr>
              <w:t>No people surveyed</w:t>
            </w:r>
          </w:p>
        </w:tc>
      </w:tr>
      <w:tr w:rsidR="00302BFE" w:rsidRPr="0075595E" w14:paraId="464811D0" w14:textId="77777777" w:rsidTr="00243B15">
        <w:trPr>
          <w:jc w:val="center"/>
        </w:trPr>
        <w:tc>
          <w:tcPr>
            <w:tcW w:w="7717" w:type="dxa"/>
            <w:tcBorders>
              <w:top w:val="single" w:sz="4" w:space="0" w:color="C5E0B3"/>
              <w:left w:val="single" w:sz="4" w:space="0" w:color="C5E0B3"/>
              <w:bottom w:val="single" w:sz="4" w:space="0" w:color="C5E0B3"/>
              <w:right w:val="single" w:sz="4" w:space="0" w:color="C5E0B3"/>
            </w:tcBorders>
            <w:shd w:val="clear" w:color="auto" w:fill="auto"/>
            <w:hideMark/>
          </w:tcPr>
          <w:p w14:paraId="0F0BD09B" w14:textId="77777777" w:rsidR="00302BFE" w:rsidRPr="0075595E" w:rsidRDefault="00302BFE" w:rsidP="00243B15">
            <w:pPr>
              <w:spacing w:after="0"/>
              <w:rPr>
                <w:rFonts w:eastAsia="Calibri"/>
                <w:b/>
                <w:bCs/>
                <w:sz w:val="18"/>
                <w:szCs w:val="18"/>
                <w:lang w:val="en-CA"/>
              </w:rPr>
            </w:pPr>
            <w:r w:rsidRPr="0075595E">
              <w:rPr>
                <w:rFonts w:eastAsia="Times New Roman"/>
                <w:b/>
                <w:bCs/>
                <w:sz w:val="18"/>
                <w:szCs w:val="18"/>
                <w:lang w:val="en-CA" w:eastAsia="fr-FR"/>
              </w:rPr>
              <w:t>Devolved technical services (environment, agriculture, livestock, farming)</w:t>
            </w:r>
          </w:p>
        </w:tc>
        <w:tc>
          <w:tcPr>
            <w:tcW w:w="2250" w:type="dxa"/>
            <w:tcBorders>
              <w:top w:val="single" w:sz="4" w:space="0" w:color="C5E0B3"/>
              <w:left w:val="single" w:sz="4" w:space="0" w:color="C5E0B3"/>
              <w:bottom w:val="single" w:sz="4" w:space="0" w:color="C5E0B3"/>
              <w:right w:val="single" w:sz="4" w:space="0" w:color="C5E0B3"/>
            </w:tcBorders>
            <w:shd w:val="clear" w:color="auto" w:fill="auto"/>
            <w:hideMark/>
          </w:tcPr>
          <w:p w14:paraId="534E74CB" w14:textId="77777777" w:rsidR="00302BFE" w:rsidRPr="0075595E" w:rsidRDefault="00302BFE" w:rsidP="00243B15">
            <w:pPr>
              <w:autoSpaceDE w:val="0"/>
              <w:autoSpaceDN w:val="0"/>
              <w:adjustRightInd w:val="0"/>
              <w:spacing w:after="0"/>
              <w:rPr>
                <w:rFonts w:eastAsia="Times New Roman"/>
                <w:sz w:val="18"/>
                <w:szCs w:val="18"/>
                <w:lang w:val="fr-FR" w:eastAsia="fr-FR"/>
              </w:rPr>
            </w:pPr>
            <w:r w:rsidRPr="0075595E">
              <w:rPr>
                <w:rFonts w:eastAsia="Times New Roman"/>
                <w:sz w:val="18"/>
                <w:szCs w:val="18"/>
                <w:lang w:eastAsia="fr-FR"/>
              </w:rPr>
              <w:t>Individual interviews</w:t>
            </w:r>
          </w:p>
        </w:tc>
        <w:tc>
          <w:tcPr>
            <w:tcW w:w="1445" w:type="dxa"/>
            <w:tcBorders>
              <w:top w:val="single" w:sz="4" w:space="0" w:color="C5E0B3"/>
              <w:left w:val="single" w:sz="4" w:space="0" w:color="C5E0B3"/>
              <w:bottom w:val="single" w:sz="4" w:space="0" w:color="C5E0B3"/>
              <w:right w:val="single" w:sz="4" w:space="0" w:color="C5E0B3"/>
            </w:tcBorders>
            <w:shd w:val="clear" w:color="auto" w:fill="auto"/>
            <w:hideMark/>
          </w:tcPr>
          <w:p w14:paraId="03E36937" w14:textId="77777777" w:rsidR="00302BFE" w:rsidRPr="0075595E" w:rsidRDefault="00302BFE" w:rsidP="00243B15">
            <w:pPr>
              <w:autoSpaceDE w:val="0"/>
              <w:autoSpaceDN w:val="0"/>
              <w:adjustRightInd w:val="0"/>
              <w:spacing w:after="0"/>
              <w:rPr>
                <w:rFonts w:eastAsia="Times New Roman"/>
                <w:sz w:val="18"/>
                <w:szCs w:val="18"/>
                <w:lang w:eastAsia="fr-FR"/>
              </w:rPr>
            </w:pPr>
            <w:r w:rsidRPr="0075595E">
              <w:rPr>
                <w:rFonts w:eastAsia="Times New Roman"/>
                <w:sz w:val="18"/>
                <w:szCs w:val="18"/>
                <w:lang w:eastAsia="fr-FR"/>
              </w:rPr>
              <w:t>27</w:t>
            </w:r>
          </w:p>
        </w:tc>
      </w:tr>
      <w:tr w:rsidR="00302BFE" w:rsidRPr="0075595E" w14:paraId="4E58771F" w14:textId="77777777" w:rsidTr="00243B15">
        <w:trPr>
          <w:trHeight w:val="707"/>
          <w:jc w:val="center"/>
        </w:trPr>
        <w:tc>
          <w:tcPr>
            <w:tcW w:w="7717" w:type="dxa"/>
            <w:tcBorders>
              <w:top w:val="single" w:sz="4" w:space="0" w:color="C5E0B3"/>
              <w:left w:val="single" w:sz="4" w:space="0" w:color="C5E0B3"/>
              <w:bottom w:val="single" w:sz="4" w:space="0" w:color="C5E0B3"/>
              <w:right w:val="single" w:sz="4" w:space="0" w:color="C5E0B3"/>
            </w:tcBorders>
            <w:shd w:val="clear" w:color="auto" w:fill="auto"/>
            <w:hideMark/>
          </w:tcPr>
          <w:p w14:paraId="55E02031" w14:textId="77777777" w:rsidR="00302BFE" w:rsidRPr="0075595E" w:rsidRDefault="00302BFE" w:rsidP="00243B15">
            <w:pPr>
              <w:spacing w:after="0"/>
              <w:rPr>
                <w:rFonts w:eastAsia="Times New Roman"/>
                <w:b/>
                <w:bCs/>
                <w:sz w:val="18"/>
                <w:szCs w:val="18"/>
                <w:lang w:val="en-CA" w:eastAsia="fr-FR"/>
              </w:rPr>
            </w:pPr>
            <w:r w:rsidRPr="0075595E">
              <w:rPr>
                <w:rFonts w:eastAsia="Calibri"/>
                <w:b/>
                <w:bCs/>
                <w:sz w:val="18"/>
                <w:szCs w:val="18"/>
                <w:lang w:val="en-CA"/>
              </w:rPr>
              <w:t>Communities including women's group, customary and religious authorities (village chiefs, land chiefs), farmers, pastoralists, civil society organizations, forest management groups, village development councils and councillors</w:t>
            </w:r>
          </w:p>
        </w:tc>
        <w:tc>
          <w:tcPr>
            <w:tcW w:w="2250" w:type="dxa"/>
            <w:tcBorders>
              <w:top w:val="single" w:sz="4" w:space="0" w:color="C5E0B3"/>
              <w:left w:val="single" w:sz="4" w:space="0" w:color="C5E0B3"/>
              <w:bottom w:val="single" w:sz="4" w:space="0" w:color="C5E0B3"/>
              <w:right w:val="single" w:sz="4" w:space="0" w:color="C5E0B3"/>
            </w:tcBorders>
            <w:shd w:val="clear" w:color="auto" w:fill="auto"/>
            <w:hideMark/>
          </w:tcPr>
          <w:p w14:paraId="123FEA85" w14:textId="77777777" w:rsidR="00302BFE" w:rsidRPr="0075595E" w:rsidRDefault="00302BFE" w:rsidP="00243B15">
            <w:pPr>
              <w:autoSpaceDE w:val="0"/>
              <w:autoSpaceDN w:val="0"/>
              <w:adjustRightInd w:val="0"/>
              <w:spacing w:after="0"/>
              <w:rPr>
                <w:rFonts w:eastAsia="Times New Roman"/>
                <w:sz w:val="18"/>
                <w:szCs w:val="18"/>
                <w:lang w:val="fr-FR" w:eastAsia="fr-FR"/>
              </w:rPr>
            </w:pPr>
            <w:r w:rsidRPr="0075595E">
              <w:rPr>
                <w:rFonts w:eastAsia="Times New Roman"/>
                <w:sz w:val="18"/>
                <w:szCs w:val="18"/>
                <w:lang w:eastAsia="fr-FR"/>
              </w:rPr>
              <w:t>Village assembly</w:t>
            </w:r>
          </w:p>
        </w:tc>
        <w:tc>
          <w:tcPr>
            <w:tcW w:w="1445" w:type="dxa"/>
            <w:tcBorders>
              <w:top w:val="single" w:sz="4" w:space="0" w:color="C5E0B3"/>
              <w:left w:val="single" w:sz="4" w:space="0" w:color="C5E0B3"/>
              <w:bottom w:val="single" w:sz="4" w:space="0" w:color="C5E0B3"/>
              <w:right w:val="single" w:sz="4" w:space="0" w:color="C5E0B3"/>
            </w:tcBorders>
            <w:shd w:val="clear" w:color="auto" w:fill="auto"/>
            <w:hideMark/>
          </w:tcPr>
          <w:p w14:paraId="3914A751" w14:textId="77777777" w:rsidR="00302BFE" w:rsidRPr="0075595E" w:rsidRDefault="00302BFE" w:rsidP="00243B15">
            <w:pPr>
              <w:pStyle w:val="Paragraphedeliste"/>
              <w:autoSpaceDE w:val="0"/>
              <w:autoSpaceDN w:val="0"/>
              <w:adjustRightInd w:val="0"/>
              <w:ind w:left="0"/>
              <w:jc w:val="both"/>
              <w:rPr>
                <w:rFonts w:ascii="Calibri" w:eastAsia="Times New Roman" w:hAnsi="Calibri"/>
                <w:sz w:val="18"/>
                <w:szCs w:val="18"/>
                <w:lang w:eastAsia="fr-FR"/>
              </w:rPr>
            </w:pPr>
            <w:r w:rsidRPr="0075595E">
              <w:rPr>
                <w:rFonts w:ascii="Calibri" w:eastAsia="Times New Roman" w:hAnsi="Calibri"/>
                <w:sz w:val="18"/>
                <w:szCs w:val="18"/>
                <w:lang w:eastAsia="fr-FR"/>
              </w:rPr>
              <w:t>272 men</w:t>
            </w:r>
          </w:p>
          <w:p w14:paraId="68638E56" w14:textId="77777777" w:rsidR="00302BFE" w:rsidRPr="0075595E" w:rsidRDefault="00302BFE" w:rsidP="00243B15">
            <w:pPr>
              <w:pStyle w:val="Paragraphedeliste"/>
              <w:autoSpaceDE w:val="0"/>
              <w:autoSpaceDN w:val="0"/>
              <w:adjustRightInd w:val="0"/>
              <w:ind w:left="0"/>
              <w:jc w:val="both"/>
              <w:rPr>
                <w:rFonts w:ascii="Calibri" w:eastAsia="Times New Roman" w:hAnsi="Calibri"/>
                <w:sz w:val="18"/>
                <w:szCs w:val="18"/>
                <w:lang w:eastAsia="fr-FR"/>
              </w:rPr>
            </w:pPr>
            <w:r w:rsidRPr="0075595E">
              <w:rPr>
                <w:rFonts w:ascii="Calibri" w:eastAsia="Times New Roman" w:hAnsi="Calibri"/>
                <w:sz w:val="18"/>
                <w:szCs w:val="18"/>
                <w:lang w:eastAsia="fr-FR"/>
              </w:rPr>
              <w:t>119 women</w:t>
            </w:r>
          </w:p>
        </w:tc>
      </w:tr>
      <w:tr w:rsidR="00302BFE" w:rsidRPr="0075595E" w14:paraId="178E0172" w14:textId="77777777" w:rsidTr="00243B15">
        <w:trPr>
          <w:jc w:val="center"/>
        </w:trPr>
        <w:tc>
          <w:tcPr>
            <w:tcW w:w="7717" w:type="dxa"/>
            <w:tcBorders>
              <w:top w:val="single" w:sz="4" w:space="0" w:color="C5E0B3"/>
              <w:left w:val="single" w:sz="4" w:space="0" w:color="C5E0B3"/>
              <w:bottom w:val="single" w:sz="4" w:space="0" w:color="C5E0B3"/>
              <w:right w:val="single" w:sz="4" w:space="0" w:color="C5E0B3"/>
            </w:tcBorders>
            <w:shd w:val="clear" w:color="auto" w:fill="auto"/>
            <w:hideMark/>
          </w:tcPr>
          <w:p w14:paraId="32DEC019" w14:textId="77777777" w:rsidR="00302BFE" w:rsidRPr="0075595E" w:rsidRDefault="00302BFE" w:rsidP="00243B15">
            <w:pPr>
              <w:spacing w:after="0"/>
              <w:rPr>
                <w:rFonts w:eastAsia="Times New Roman"/>
                <w:b/>
                <w:bCs/>
                <w:sz w:val="18"/>
                <w:szCs w:val="18"/>
                <w:lang w:val="en-CA" w:eastAsia="fr-FR"/>
              </w:rPr>
            </w:pPr>
            <w:r w:rsidRPr="0075595E">
              <w:rPr>
                <w:rFonts w:eastAsia="Times New Roman"/>
                <w:b/>
                <w:bCs/>
                <w:sz w:val="18"/>
                <w:szCs w:val="18"/>
                <w:lang w:val="en-CA" w:eastAsia="fr-FR"/>
              </w:rPr>
              <w:t>Women's groups for non-timber forest products</w:t>
            </w:r>
          </w:p>
        </w:tc>
        <w:tc>
          <w:tcPr>
            <w:tcW w:w="2250" w:type="dxa"/>
            <w:tcBorders>
              <w:top w:val="single" w:sz="4" w:space="0" w:color="C5E0B3"/>
              <w:left w:val="single" w:sz="4" w:space="0" w:color="C5E0B3"/>
              <w:bottom w:val="single" w:sz="4" w:space="0" w:color="C5E0B3"/>
              <w:right w:val="single" w:sz="4" w:space="0" w:color="C5E0B3"/>
            </w:tcBorders>
            <w:shd w:val="clear" w:color="auto" w:fill="auto"/>
            <w:hideMark/>
          </w:tcPr>
          <w:p w14:paraId="267C3EC6" w14:textId="77777777" w:rsidR="00302BFE" w:rsidRPr="0075595E" w:rsidRDefault="00302BFE" w:rsidP="00243B15">
            <w:pPr>
              <w:autoSpaceDE w:val="0"/>
              <w:autoSpaceDN w:val="0"/>
              <w:adjustRightInd w:val="0"/>
              <w:spacing w:after="0"/>
              <w:rPr>
                <w:rFonts w:eastAsia="Times New Roman"/>
                <w:sz w:val="18"/>
                <w:szCs w:val="18"/>
                <w:lang w:val="en-CA" w:eastAsia="fr-FR"/>
              </w:rPr>
            </w:pPr>
            <w:r w:rsidRPr="0075595E">
              <w:rPr>
                <w:rFonts w:eastAsia="Times New Roman"/>
                <w:sz w:val="18"/>
                <w:szCs w:val="18"/>
                <w:lang w:val="en-CA" w:eastAsia="fr-FR"/>
              </w:rPr>
              <w:t>Individual interviews</w:t>
            </w:r>
          </w:p>
          <w:p w14:paraId="0780F48B" w14:textId="77777777" w:rsidR="00302BFE" w:rsidRPr="0075595E" w:rsidRDefault="00302BFE" w:rsidP="00243B15">
            <w:pPr>
              <w:autoSpaceDE w:val="0"/>
              <w:autoSpaceDN w:val="0"/>
              <w:adjustRightInd w:val="0"/>
              <w:spacing w:after="0"/>
              <w:rPr>
                <w:rFonts w:eastAsia="Times New Roman"/>
                <w:sz w:val="18"/>
                <w:szCs w:val="18"/>
                <w:lang w:val="en-CA" w:eastAsia="fr-FR"/>
              </w:rPr>
            </w:pPr>
            <w:r w:rsidRPr="0075595E">
              <w:rPr>
                <w:rFonts w:eastAsia="Times New Roman"/>
                <w:sz w:val="18"/>
                <w:szCs w:val="18"/>
                <w:lang w:val="en-CA" w:eastAsia="fr-FR"/>
              </w:rPr>
              <w:t>Visit of units</w:t>
            </w:r>
          </w:p>
        </w:tc>
        <w:tc>
          <w:tcPr>
            <w:tcW w:w="1445" w:type="dxa"/>
            <w:tcBorders>
              <w:top w:val="single" w:sz="4" w:space="0" w:color="C5E0B3"/>
              <w:left w:val="single" w:sz="4" w:space="0" w:color="C5E0B3"/>
              <w:bottom w:val="single" w:sz="4" w:space="0" w:color="C5E0B3"/>
              <w:right w:val="single" w:sz="4" w:space="0" w:color="C5E0B3"/>
            </w:tcBorders>
            <w:shd w:val="clear" w:color="auto" w:fill="auto"/>
            <w:hideMark/>
          </w:tcPr>
          <w:p w14:paraId="79323E53" w14:textId="77777777" w:rsidR="00302BFE" w:rsidRPr="0075595E" w:rsidRDefault="00302BFE" w:rsidP="00243B15">
            <w:pPr>
              <w:autoSpaceDE w:val="0"/>
              <w:autoSpaceDN w:val="0"/>
              <w:adjustRightInd w:val="0"/>
              <w:spacing w:after="0"/>
              <w:rPr>
                <w:rFonts w:eastAsia="Times New Roman"/>
                <w:sz w:val="18"/>
                <w:szCs w:val="18"/>
                <w:lang w:val="fr-FR" w:eastAsia="fr-FR"/>
              </w:rPr>
            </w:pPr>
            <w:r w:rsidRPr="0075595E">
              <w:rPr>
                <w:rFonts w:eastAsia="Times New Roman"/>
                <w:sz w:val="18"/>
                <w:szCs w:val="18"/>
                <w:lang w:eastAsia="fr-FR"/>
              </w:rPr>
              <w:t>15</w:t>
            </w:r>
          </w:p>
        </w:tc>
      </w:tr>
      <w:tr w:rsidR="00302BFE" w:rsidRPr="0075595E" w14:paraId="5281DEE1" w14:textId="77777777" w:rsidTr="00243B15">
        <w:trPr>
          <w:trHeight w:val="207"/>
          <w:jc w:val="center"/>
        </w:trPr>
        <w:tc>
          <w:tcPr>
            <w:tcW w:w="7717" w:type="dxa"/>
            <w:tcBorders>
              <w:top w:val="single" w:sz="4" w:space="0" w:color="C5E0B3"/>
              <w:left w:val="single" w:sz="4" w:space="0" w:color="C5E0B3"/>
              <w:bottom w:val="single" w:sz="4" w:space="0" w:color="C5E0B3"/>
              <w:right w:val="single" w:sz="4" w:space="0" w:color="C5E0B3"/>
            </w:tcBorders>
            <w:shd w:val="clear" w:color="auto" w:fill="auto"/>
            <w:hideMark/>
          </w:tcPr>
          <w:p w14:paraId="3DDA3FAA" w14:textId="77777777" w:rsidR="00302BFE" w:rsidRPr="0075595E" w:rsidRDefault="00302BFE" w:rsidP="00243B15">
            <w:pPr>
              <w:spacing w:after="0"/>
              <w:rPr>
                <w:rFonts w:eastAsia="Times New Roman"/>
                <w:b/>
                <w:bCs/>
                <w:sz w:val="18"/>
                <w:szCs w:val="18"/>
                <w:lang w:eastAsia="fr-FR"/>
              </w:rPr>
            </w:pPr>
            <w:r w:rsidRPr="0075595E">
              <w:rPr>
                <w:rFonts w:eastAsia="Times New Roman"/>
                <w:b/>
                <w:bCs/>
                <w:sz w:val="18"/>
                <w:szCs w:val="18"/>
                <w:lang w:eastAsia="fr-FR"/>
              </w:rPr>
              <w:t>Local development NGOs</w:t>
            </w:r>
          </w:p>
        </w:tc>
        <w:tc>
          <w:tcPr>
            <w:tcW w:w="2250" w:type="dxa"/>
            <w:tcBorders>
              <w:top w:val="single" w:sz="4" w:space="0" w:color="C5E0B3"/>
              <w:left w:val="single" w:sz="4" w:space="0" w:color="C5E0B3"/>
              <w:bottom w:val="single" w:sz="4" w:space="0" w:color="C5E0B3"/>
              <w:right w:val="single" w:sz="4" w:space="0" w:color="C5E0B3"/>
            </w:tcBorders>
            <w:shd w:val="clear" w:color="auto" w:fill="auto"/>
            <w:hideMark/>
          </w:tcPr>
          <w:p w14:paraId="78C94102" w14:textId="77777777" w:rsidR="00302BFE" w:rsidRPr="0075595E" w:rsidRDefault="00302BFE" w:rsidP="00243B15">
            <w:pPr>
              <w:autoSpaceDE w:val="0"/>
              <w:autoSpaceDN w:val="0"/>
              <w:adjustRightInd w:val="0"/>
              <w:spacing w:after="0"/>
              <w:rPr>
                <w:rFonts w:eastAsia="Times New Roman"/>
                <w:sz w:val="18"/>
                <w:szCs w:val="18"/>
                <w:lang w:eastAsia="fr-FR"/>
              </w:rPr>
            </w:pPr>
            <w:r w:rsidRPr="0075595E">
              <w:rPr>
                <w:rFonts w:eastAsia="Times New Roman"/>
                <w:sz w:val="18"/>
                <w:szCs w:val="18"/>
                <w:lang w:eastAsia="fr-FR"/>
              </w:rPr>
              <w:t>Individual interviews</w:t>
            </w:r>
          </w:p>
        </w:tc>
        <w:tc>
          <w:tcPr>
            <w:tcW w:w="1445" w:type="dxa"/>
            <w:tcBorders>
              <w:top w:val="single" w:sz="4" w:space="0" w:color="C5E0B3"/>
              <w:left w:val="single" w:sz="4" w:space="0" w:color="C5E0B3"/>
              <w:bottom w:val="single" w:sz="4" w:space="0" w:color="C5E0B3"/>
              <w:right w:val="single" w:sz="4" w:space="0" w:color="C5E0B3"/>
            </w:tcBorders>
            <w:shd w:val="clear" w:color="auto" w:fill="auto"/>
            <w:hideMark/>
          </w:tcPr>
          <w:p w14:paraId="5BCFEB47" w14:textId="77777777" w:rsidR="00302BFE" w:rsidRPr="0075595E" w:rsidRDefault="00302BFE" w:rsidP="00243B15">
            <w:pPr>
              <w:autoSpaceDE w:val="0"/>
              <w:autoSpaceDN w:val="0"/>
              <w:adjustRightInd w:val="0"/>
              <w:spacing w:after="0"/>
              <w:rPr>
                <w:rFonts w:eastAsia="Times New Roman"/>
                <w:sz w:val="18"/>
                <w:szCs w:val="18"/>
                <w:lang w:eastAsia="fr-FR"/>
              </w:rPr>
            </w:pPr>
            <w:r w:rsidRPr="0075595E">
              <w:rPr>
                <w:rFonts w:eastAsia="Times New Roman"/>
                <w:sz w:val="18"/>
                <w:szCs w:val="18"/>
                <w:lang w:eastAsia="fr-FR"/>
              </w:rPr>
              <w:t>07</w:t>
            </w:r>
          </w:p>
        </w:tc>
      </w:tr>
      <w:tr w:rsidR="00302BFE" w:rsidRPr="0075595E" w14:paraId="1837DA07" w14:textId="77777777" w:rsidTr="00243B15">
        <w:trPr>
          <w:jc w:val="center"/>
        </w:trPr>
        <w:tc>
          <w:tcPr>
            <w:tcW w:w="7717" w:type="dxa"/>
            <w:tcBorders>
              <w:top w:val="single" w:sz="4" w:space="0" w:color="C5E0B3"/>
              <w:left w:val="single" w:sz="4" w:space="0" w:color="C5E0B3"/>
              <w:bottom w:val="single" w:sz="4" w:space="0" w:color="C5E0B3"/>
              <w:right w:val="single" w:sz="4" w:space="0" w:color="C5E0B3"/>
            </w:tcBorders>
            <w:shd w:val="clear" w:color="auto" w:fill="auto"/>
            <w:hideMark/>
          </w:tcPr>
          <w:p w14:paraId="5B5040A4" w14:textId="77777777" w:rsidR="00302BFE" w:rsidRPr="0075595E" w:rsidRDefault="00302BFE" w:rsidP="00243B15">
            <w:pPr>
              <w:autoSpaceDE w:val="0"/>
              <w:autoSpaceDN w:val="0"/>
              <w:adjustRightInd w:val="0"/>
              <w:spacing w:after="0"/>
              <w:rPr>
                <w:rFonts w:eastAsia="Times New Roman"/>
                <w:b/>
                <w:bCs/>
                <w:sz w:val="18"/>
                <w:szCs w:val="18"/>
                <w:lang w:eastAsia="fr-FR"/>
              </w:rPr>
            </w:pPr>
            <w:r w:rsidRPr="0075595E">
              <w:rPr>
                <w:rFonts w:eastAsia="Times New Roman"/>
                <w:b/>
                <w:bCs/>
                <w:sz w:val="18"/>
                <w:szCs w:val="18"/>
                <w:lang w:eastAsia="fr-FR"/>
              </w:rPr>
              <w:t>City councils</w:t>
            </w:r>
          </w:p>
        </w:tc>
        <w:tc>
          <w:tcPr>
            <w:tcW w:w="2250" w:type="dxa"/>
            <w:tcBorders>
              <w:top w:val="single" w:sz="4" w:space="0" w:color="C5E0B3"/>
              <w:left w:val="single" w:sz="4" w:space="0" w:color="C5E0B3"/>
              <w:bottom w:val="single" w:sz="4" w:space="0" w:color="C5E0B3"/>
              <w:right w:val="single" w:sz="4" w:space="0" w:color="C5E0B3"/>
            </w:tcBorders>
            <w:shd w:val="clear" w:color="auto" w:fill="auto"/>
            <w:hideMark/>
          </w:tcPr>
          <w:p w14:paraId="30CCCACA" w14:textId="77777777" w:rsidR="00302BFE" w:rsidRPr="0075595E" w:rsidRDefault="00302BFE" w:rsidP="00243B15">
            <w:pPr>
              <w:autoSpaceDE w:val="0"/>
              <w:autoSpaceDN w:val="0"/>
              <w:adjustRightInd w:val="0"/>
              <w:spacing w:after="0"/>
              <w:rPr>
                <w:rFonts w:eastAsia="Times New Roman"/>
                <w:sz w:val="18"/>
                <w:szCs w:val="18"/>
                <w:lang w:eastAsia="fr-FR"/>
              </w:rPr>
            </w:pPr>
            <w:r w:rsidRPr="0075595E">
              <w:rPr>
                <w:rFonts w:eastAsia="Times New Roman"/>
                <w:sz w:val="18"/>
                <w:szCs w:val="18"/>
                <w:lang w:eastAsia="fr-FR"/>
              </w:rPr>
              <w:t>Individual interviews</w:t>
            </w:r>
          </w:p>
        </w:tc>
        <w:tc>
          <w:tcPr>
            <w:tcW w:w="1445" w:type="dxa"/>
            <w:tcBorders>
              <w:top w:val="single" w:sz="4" w:space="0" w:color="C5E0B3"/>
              <w:left w:val="single" w:sz="4" w:space="0" w:color="C5E0B3"/>
              <w:bottom w:val="single" w:sz="4" w:space="0" w:color="C5E0B3"/>
              <w:right w:val="single" w:sz="4" w:space="0" w:color="C5E0B3"/>
            </w:tcBorders>
            <w:shd w:val="clear" w:color="auto" w:fill="auto"/>
            <w:hideMark/>
          </w:tcPr>
          <w:p w14:paraId="3B8C80D9" w14:textId="77777777" w:rsidR="00302BFE" w:rsidRPr="0075595E" w:rsidRDefault="00302BFE" w:rsidP="00243B15">
            <w:pPr>
              <w:autoSpaceDE w:val="0"/>
              <w:autoSpaceDN w:val="0"/>
              <w:adjustRightInd w:val="0"/>
              <w:spacing w:after="0"/>
              <w:rPr>
                <w:rFonts w:eastAsia="Times New Roman"/>
                <w:sz w:val="18"/>
                <w:szCs w:val="18"/>
                <w:lang w:eastAsia="fr-FR"/>
              </w:rPr>
            </w:pPr>
            <w:r w:rsidRPr="0075595E">
              <w:rPr>
                <w:rFonts w:eastAsia="Times New Roman"/>
                <w:sz w:val="18"/>
                <w:szCs w:val="18"/>
                <w:lang w:eastAsia="fr-FR"/>
              </w:rPr>
              <w:t>09</w:t>
            </w:r>
          </w:p>
        </w:tc>
      </w:tr>
      <w:tr w:rsidR="00302BFE" w:rsidRPr="0075595E" w14:paraId="1114243F" w14:textId="77777777" w:rsidTr="00243B15">
        <w:trPr>
          <w:jc w:val="center"/>
        </w:trPr>
        <w:tc>
          <w:tcPr>
            <w:tcW w:w="7717" w:type="dxa"/>
            <w:tcBorders>
              <w:top w:val="single" w:sz="4" w:space="0" w:color="C5E0B3"/>
              <w:left w:val="single" w:sz="4" w:space="0" w:color="C5E0B3"/>
              <w:bottom w:val="single" w:sz="4" w:space="0" w:color="C5E0B3"/>
              <w:right w:val="single" w:sz="4" w:space="0" w:color="C5E0B3"/>
            </w:tcBorders>
            <w:shd w:val="clear" w:color="auto" w:fill="auto"/>
            <w:hideMark/>
          </w:tcPr>
          <w:p w14:paraId="31B4062D" w14:textId="77777777" w:rsidR="00302BFE" w:rsidRPr="0075595E" w:rsidRDefault="00302BFE" w:rsidP="00243B15">
            <w:pPr>
              <w:autoSpaceDE w:val="0"/>
              <w:autoSpaceDN w:val="0"/>
              <w:adjustRightInd w:val="0"/>
              <w:spacing w:after="0"/>
              <w:rPr>
                <w:rFonts w:eastAsia="Times New Roman"/>
                <w:b/>
                <w:bCs/>
                <w:sz w:val="18"/>
                <w:szCs w:val="18"/>
                <w:lang w:eastAsia="fr-FR"/>
              </w:rPr>
            </w:pPr>
            <w:r w:rsidRPr="0075595E">
              <w:rPr>
                <w:rFonts w:eastAsia="Times New Roman"/>
                <w:b/>
                <w:bCs/>
                <w:sz w:val="18"/>
                <w:szCs w:val="18"/>
                <w:lang w:eastAsia="fr-FR"/>
              </w:rPr>
              <w:t>Prefectures</w:t>
            </w:r>
          </w:p>
        </w:tc>
        <w:tc>
          <w:tcPr>
            <w:tcW w:w="2250" w:type="dxa"/>
            <w:tcBorders>
              <w:top w:val="single" w:sz="4" w:space="0" w:color="C5E0B3"/>
              <w:left w:val="single" w:sz="4" w:space="0" w:color="C5E0B3"/>
              <w:bottom w:val="single" w:sz="4" w:space="0" w:color="C5E0B3"/>
              <w:right w:val="single" w:sz="4" w:space="0" w:color="C5E0B3"/>
            </w:tcBorders>
            <w:shd w:val="clear" w:color="auto" w:fill="auto"/>
            <w:hideMark/>
          </w:tcPr>
          <w:p w14:paraId="625DB8B3" w14:textId="77777777" w:rsidR="00302BFE" w:rsidRPr="0075595E" w:rsidRDefault="00302BFE" w:rsidP="00243B15">
            <w:pPr>
              <w:autoSpaceDE w:val="0"/>
              <w:autoSpaceDN w:val="0"/>
              <w:adjustRightInd w:val="0"/>
              <w:spacing w:after="0"/>
              <w:rPr>
                <w:rFonts w:eastAsia="Times New Roman"/>
                <w:sz w:val="18"/>
                <w:szCs w:val="18"/>
                <w:lang w:eastAsia="fr-FR"/>
              </w:rPr>
            </w:pPr>
            <w:r w:rsidRPr="0075595E">
              <w:rPr>
                <w:rFonts w:eastAsia="Times New Roman"/>
                <w:sz w:val="18"/>
                <w:szCs w:val="18"/>
                <w:lang w:eastAsia="fr-FR"/>
              </w:rPr>
              <w:t>Individual interviews</w:t>
            </w:r>
          </w:p>
        </w:tc>
        <w:tc>
          <w:tcPr>
            <w:tcW w:w="1445" w:type="dxa"/>
            <w:tcBorders>
              <w:top w:val="single" w:sz="4" w:space="0" w:color="C5E0B3"/>
              <w:left w:val="single" w:sz="4" w:space="0" w:color="C5E0B3"/>
              <w:bottom w:val="single" w:sz="4" w:space="0" w:color="C5E0B3"/>
              <w:right w:val="single" w:sz="4" w:space="0" w:color="C5E0B3"/>
            </w:tcBorders>
            <w:shd w:val="clear" w:color="auto" w:fill="auto"/>
            <w:hideMark/>
          </w:tcPr>
          <w:p w14:paraId="40838863" w14:textId="77777777" w:rsidR="00302BFE" w:rsidRPr="0075595E" w:rsidRDefault="00302BFE" w:rsidP="00243B15">
            <w:pPr>
              <w:autoSpaceDE w:val="0"/>
              <w:autoSpaceDN w:val="0"/>
              <w:adjustRightInd w:val="0"/>
              <w:spacing w:after="0"/>
              <w:rPr>
                <w:rFonts w:eastAsia="Times New Roman"/>
                <w:sz w:val="18"/>
                <w:szCs w:val="18"/>
                <w:lang w:eastAsia="fr-FR"/>
              </w:rPr>
            </w:pPr>
            <w:r w:rsidRPr="0075595E">
              <w:rPr>
                <w:rFonts w:eastAsia="Times New Roman"/>
                <w:sz w:val="18"/>
                <w:szCs w:val="18"/>
                <w:lang w:eastAsia="fr-FR"/>
              </w:rPr>
              <w:t>04</w:t>
            </w:r>
          </w:p>
        </w:tc>
      </w:tr>
      <w:tr w:rsidR="00302BFE" w:rsidRPr="0075595E" w14:paraId="4870A448" w14:textId="77777777" w:rsidTr="00243B15">
        <w:trPr>
          <w:jc w:val="center"/>
        </w:trPr>
        <w:tc>
          <w:tcPr>
            <w:tcW w:w="9967" w:type="dxa"/>
            <w:gridSpan w:val="2"/>
            <w:tcBorders>
              <w:top w:val="single" w:sz="4" w:space="0" w:color="C5E0B3"/>
              <w:left w:val="single" w:sz="4" w:space="0" w:color="C5E0B3"/>
              <w:bottom w:val="single" w:sz="4" w:space="0" w:color="C5E0B3"/>
              <w:right w:val="single" w:sz="4" w:space="0" w:color="C5E0B3"/>
            </w:tcBorders>
            <w:shd w:val="clear" w:color="auto" w:fill="auto"/>
            <w:hideMark/>
          </w:tcPr>
          <w:p w14:paraId="4CBF360A" w14:textId="77777777" w:rsidR="00302BFE" w:rsidRPr="0075595E" w:rsidRDefault="00302BFE" w:rsidP="00243B15">
            <w:pPr>
              <w:pStyle w:val="Paragraphedeliste"/>
              <w:autoSpaceDE w:val="0"/>
              <w:autoSpaceDN w:val="0"/>
              <w:adjustRightInd w:val="0"/>
              <w:ind w:left="0"/>
              <w:jc w:val="both"/>
              <w:rPr>
                <w:rFonts w:ascii="Calibri" w:eastAsia="Times New Roman" w:hAnsi="Calibri"/>
                <w:b/>
                <w:bCs/>
                <w:sz w:val="18"/>
                <w:szCs w:val="18"/>
                <w:lang w:eastAsia="fr-FR"/>
              </w:rPr>
            </w:pPr>
            <w:r w:rsidRPr="0075595E">
              <w:rPr>
                <w:rFonts w:ascii="Calibri" w:eastAsia="Times New Roman" w:hAnsi="Calibri"/>
                <w:b/>
                <w:bCs/>
                <w:sz w:val="18"/>
                <w:szCs w:val="18"/>
                <w:lang w:eastAsia="fr-FR"/>
              </w:rPr>
              <w:t xml:space="preserve">Total </w:t>
            </w:r>
          </w:p>
        </w:tc>
        <w:tc>
          <w:tcPr>
            <w:tcW w:w="1445" w:type="dxa"/>
            <w:tcBorders>
              <w:top w:val="single" w:sz="4" w:space="0" w:color="C5E0B3"/>
              <w:left w:val="single" w:sz="4" w:space="0" w:color="C5E0B3"/>
              <w:bottom w:val="single" w:sz="4" w:space="0" w:color="C5E0B3"/>
              <w:right w:val="single" w:sz="4" w:space="0" w:color="C5E0B3"/>
            </w:tcBorders>
            <w:shd w:val="clear" w:color="auto" w:fill="auto"/>
            <w:hideMark/>
          </w:tcPr>
          <w:p w14:paraId="5E88FD77" w14:textId="77777777" w:rsidR="00302BFE" w:rsidRPr="0075595E" w:rsidRDefault="00302BFE" w:rsidP="00243B15">
            <w:pPr>
              <w:autoSpaceDE w:val="0"/>
              <w:autoSpaceDN w:val="0"/>
              <w:adjustRightInd w:val="0"/>
              <w:spacing w:after="0"/>
              <w:rPr>
                <w:rFonts w:eastAsia="Times New Roman"/>
                <w:b/>
                <w:sz w:val="18"/>
                <w:szCs w:val="18"/>
                <w:lang w:eastAsia="fr-FR"/>
              </w:rPr>
            </w:pPr>
            <w:r w:rsidRPr="0075595E">
              <w:rPr>
                <w:rFonts w:eastAsia="Times New Roman"/>
                <w:b/>
                <w:sz w:val="18"/>
                <w:szCs w:val="18"/>
                <w:lang w:eastAsia="fr-FR"/>
              </w:rPr>
              <w:t>453</w:t>
            </w:r>
          </w:p>
        </w:tc>
      </w:tr>
    </w:tbl>
    <w:p w14:paraId="245B4722" w14:textId="77777777" w:rsidR="00302BFE" w:rsidRDefault="00302BFE" w:rsidP="00302BFE">
      <w:pPr>
        <w:spacing w:after="240"/>
        <w:rPr>
          <w:b/>
          <w:lang w:val="en-CA"/>
        </w:rPr>
      </w:pPr>
    </w:p>
    <w:p w14:paraId="5CC4A92F" w14:textId="77777777" w:rsidR="00302BFE" w:rsidRDefault="00302BFE" w:rsidP="00302BFE">
      <w:pPr>
        <w:spacing w:after="240"/>
        <w:rPr>
          <w:b/>
          <w:lang w:val="en-CA"/>
        </w:rPr>
      </w:pPr>
      <w:r>
        <w:rPr>
          <w:b/>
          <w:lang w:val="en-CA"/>
        </w:rPr>
        <w:br w:type="page"/>
      </w:r>
      <w:r>
        <w:rPr>
          <w:b/>
          <w:lang w:val="en-CA"/>
        </w:rPr>
        <w:lastRenderedPageBreak/>
        <w:t>List of people consulted during project development</w:t>
      </w:r>
    </w:p>
    <w:tbl>
      <w:tblPr>
        <w:tblW w:w="1374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CellMar>
          <w:left w:w="0" w:type="dxa"/>
          <w:right w:w="0" w:type="dxa"/>
        </w:tblCellMar>
        <w:tblLook w:val="04A0" w:firstRow="1" w:lastRow="0" w:firstColumn="1" w:lastColumn="0" w:noHBand="0" w:noVBand="1"/>
      </w:tblPr>
      <w:tblGrid>
        <w:gridCol w:w="1880"/>
        <w:gridCol w:w="2617"/>
        <w:gridCol w:w="1620"/>
        <w:gridCol w:w="1218"/>
        <w:gridCol w:w="2849"/>
        <w:gridCol w:w="712"/>
        <w:gridCol w:w="712"/>
        <w:gridCol w:w="712"/>
        <w:gridCol w:w="712"/>
        <w:gridCol w:w="712"/>
      </w:tblGrid>
      <w:tr w:rsidR="00302BFE" w:rsidRPr="0075595E" w14:paraId="61E10590" w14:textId="77777777" w:rsidTr="008215D2">
        <w:trPr>
          <w:tblHeader/>
          <w:jc w:val="center"/>
        </w:trPr>
        <w:tc>
          <w:tcPr>
            <w:tcW w:w="1880" w:type="dxa"/>
            <w:vMerge w:val="restart"/>
            <w:tcBorders>
              <w:top w:val="single" w:sz="2" w:space="0" w:color="000000"/>
              <w:left w:val="single" w:sz="2" w:space="0" w:color="000000"/>
              <w:right w:val="single" w:sz="2" w:space="0" w:color="000000"/>
            </w:tcBorders>
            <w:shd w:val="clear" w:color="auto" w:fill="auto"/>
            <w:tcMar>
              <w:top w:w="80" w:type="dxa"/>
              <w:left w:w="80" w:type="dxa"/>
              <w:bottom w:w="80" w:type="dxa"/>
              <w:right w:w="80" w:type="dxa"/>
            </w:tcMar>
            <w:vAlign w:val="center"/>
          </w:tcPr>
          <w:p w14:paraId="7F9B5500" w14:textId="77777777" w:rsidR="00302BFE" w:rsidRPr="0075595E" w:rsidRDefault="00302BFE" w:rsidP="00243B15">
            <w:pPr>
              <w:pStyle w:val="TableStyle2A"/>
              <w:jc w:val="center"/>
              <w:rPr>
                <w:rStyle w:val="NoneA"/>
                <w:rFonts w:ascii="Calibri" w:hAnsi="Calibri"/>
                <w:b/>
                <w:sz w:val="18"/>
                <w:szCs w:val="18"/>
              </w:rPr>
            </w:pPr>
            <w:r w:rsidRPr="0075595E">
              <w:rPr>
                <w:rStyle w:val="NoneA"/>
                <w:rFonts w:ascii="Calibri" w:hAnsi="Calibri"/>
                <w:b/>
                <w:sz w:val="18"/>
                <w:szCs w:val="18"/>
              </w:rPr>
              <w:t>Name</w:t>
            </w:r>
          </w:p>
        </w:tc>
        <w:tc>
          <w:tcPr>
            <w:tcW w:w="2617" w:type="dxa"/>
            <w:vMerge w:val="restart"/>
            <w:tcBorders>
              <w:top w:val="single" w:sz="2" w:space="0" w:color="000000"/>
              <w:left w:val="single" w:sz="2" w:space="0" w:color="000000"/>
              <w:right w:val="single" w:sz="2" w:space="0" w:color="000000"/>
            </w:tcBorders>
            <w:vAlign w:val="center"/>
          </w:tcPr>
          <w:p w14:paraId="0518D48B" w14:textId="77777777" w:rsidR="00302BFE" w:rsidRPr="0075595E" w:rsidRDefault="00302BFE" w:rsidP="00243B15">
            <w:pPr>
              <w:pStyle w:val="TableStyle2A"/>
              <w:jc w:val="center"/>
              <w:rPr>
                <w:rStyle w:val="NoneA"/>
                <w:rFonts w:ascii="Calibri" w:hAnsi="Calibri"/>
                <w:b/>
                <w:sz w:val="18"/>
                <w:szCs w:val="18"/>
              </w:rPr>
            </w:pPr>
            <w:r w:rsidRPr="0075595E">
              <w:rPr>
                <w:rStyle w:val="NoneA"/>
                <w:rFonts w:ascii="Calibri" w:hAnsi="Calibri"/>
                <w:b/>
                <w:sz w:val="18"/>
                <w:szCs w:val="18"/>
              </w:rPr>
              <w:t>Position</w:t>
            </w:r>
          </w:p>
        </w:tc>
        <w:tc>
          <w:tcPr>
            <w:tcW w:w="1620" w:type="dxa"/>
            <w:vMerge w:val="restart"/>
            <w:tcBorders>
              <w:top w:val="single" w:sz="2" w:space="0" w:color="000000"/>
              <w:left w:val="single" w:sz="2" w:space="0" w:color="000000"/>
              <w:right w:val="single" w:sz="2" w:space="0" w:color="000000"/>
            </w:tcBorders>
            <w:shd w:val="clear" w:color="auto" w:fill="auto"/>
            <w:tcMar>
              <w:top w:w="80" w:type="dxa"/>
              <w:left w:w="80" w:type="dxa"/>
              <w:bottom w:w="80" w:type="dxa"/>
              <w:right w:w="80" w:type="dxa"/>
            </w:tcMar>
            <w:vAlign w:val="center"/>
          </w:tcPr>
          <w:p w14:paraId="249E8F92" w14:textId="77777777" w:rsidR="00302BFE" w:rsidRPr="0075595E" w:rsidRDefault="00302BFE" w:rsidP="00243B15">
            <w:pPr>
              <w:pStyle w:val="TableStyle2A"/>
              <w:jc w:val="center"/>
              <w:rPr>
                <w:rStyle w:val="NoneA"/>
                <w:rFonts w:ascii="Calibri" w:hAnsi="Calibri"/>
                <w:b/>
                <w:sz w:val="18"/>
                <w:szCs w:val="18"/>
              </w:rPr>
            </w:pPr>
            <w:r w:rsidRPr="0075595E">
              <w:rPr>
                <w:rStyle w:val="NoneA"/>
                <w:rFonts w:ascii="Calibri" w:hAnsi="Calibri"/>
                <w:b/>
                <w:sz w:val="18"/>
                <w:szCs w:val="18"/>
              </w:rPr>
              <w:t>Institution</w:t>
            </w:r>
          </w:p>
        </w:tc>
        <w:tc>
          <w:tcPr>
            <w:tcW w:w="1218" w:type="dxa"/>
            <w:vMerge w:val="restart"/>
            <w:tcBorders>
              <w:top w:val="single" w:sz="2" w:space="0" w:color="000000"/>
              <w:left w:val="single" w:sz="2" w:space="0" w:color="000000"/>
              <w:right w:val="single" w:sz="2" w:space="0" w:color="000000"/>
            </w:tcBorders>
            <w:shd w:val="clear" w:color="auto" w:fill="auto"/>
            <w:tcMar>
              <w:top w:w="80" w:type="dxa"/>
              <w:left w:w="80" w:type="dxa"/>
              <w:bottom w:w="80" w:type="dxa"/>
              <w:right w:w="80" w:type="dxa"/>
            </w:tcMar>
            <w:vAlign w:val="center"/>
          </w:tcPr>
          <w:p w14:paraId="71F69AEB" w14:textId="77777777" w:rsidR="00302BFE" w:rsidRPr="0075595E" w:rsidRDefault="00302BFE" w:rsidP="00243B15">
            <w:pPr>
              <w:pStyle w:val="TableStyle2A"/>
              <w:jc w:val="center"/>
              <w:rPr>
                <w:rStyle w:val="NoneA"/>
                <w:rFonts w:ascii="Calibri" w:hAnsi="Calibri"/>
                <w:b/>
                <w:sz w:val="18"/>
                <w:szCs w:val="18"/>
              </w:rPr>
            </w:pPr>
            <w:r w:rsidRPr="0075595E">
              <w:rPr>
                <w:rStyle w:val="NoneA"/>
                <w:rFonts w:ascii="Calibri" w:hAnsi="Calibri"/>
                <w:b/>
                <w:sz w:val="18"/>
                <w:szCs w:val="18"/>
              </w:rPr>
              <w:t>Tel.</w:t>
            </w:r>
          </w:p>
        </w:tc>
        <w:tc>
          <w:tcPr>
            <w:tcW w:w="2849" w:type="dxa"/>
            <w:vMerge w:val="restart"/>
            <w:tcBorders>
              <w:top w:val="single" w:sz="2" w:space="0" w:color="000000"/>
              <w:left w:val="single" w:sz="2" w:space="0" w:color="000000"/>
              <w:right w:val="single" w:sz="2" w:space="0" w:color="000000"/>
            </w:tcBorders>
            <w:shd w:val="clear" w:color="auto" w:fill="auto"/>
            <w:tcMar>
              <w:top w:w="80" w:type="dxa"/>
              <w:left w:w="80" w:type="dxa"/>
              <w:bottom w:w="80" w:type="dxa"/>
              <w:right w:w="80" w:type="dxa"/>
            </w:tcMar>
            <w:vAlign w:val="center"/>
          </w:tcPr>
          <w:p w14:paraId="1CA22322" w14:textId="77777777" w:rsidR="00302BFE" w:rsidRPr="002854BE" w:rsidRDefault="00302BFE" w:rsidP="00243B15">
            <w:pPr>
              <w:pStyle w:val="TableStyle2A"/>
              <w:jc w:val="center"/>
              <w:rPr>
                <w:rStyle w:val="Hyperlink0"/>
                <w:rFonts w:ascii="Calibri" w:hAnsi="Calibri"/>
                <w:b/>
                <w:sz w:val="18"/>
                <w:szCs w:val="18"/>
                <w:u w:val="none"/>
              </w:rPr>
            </w:pPr>
            <w:r w:rsidRPr="002854BE">
              <w:rPr>
                <w:rStyle w:val="Hyperlink0"/>
                <w:rFonts w:ascii="Calibri" w:hAnsi="Calibri"/>
                <w:b/>
                <w:sz w:val="18"/>
                <w:szCs w:val="18"/>
                <w:u w:val="none"/>
              </w:rPr>
              <w:t>Email</w:t>
            </w:r>
          </w:p>
        </w:tc>
        <w:tc>
          <w:tcPr>
            <w:tcW w:w="3560" w:type="dxa"/>
            <w:gridSpan w:val="5"/>
            <w:tcBorders>
              <w:top w:val="single" w:sz="2" w:space="0" w:color="000000"/>
              <w:left w:val="single" w:sz="2" w:space="0" w:color="000000"/>
              <w:bottom w:val="single" w:sz="2" w:space="0" w:color="000000"/>
              <w:right w:val="single" w:sz="2" w:space="0" w:color="000000"/>
            </w:tcBorders>
            <w:vAlign w:val="center"/>
          </w:tcPr>
          <w:p w14:paraId="132A8946" w14:textId="77777777" w:rsidR="00302BFE" w:rsidRPr="0075595E" w:rsidRDefault="00302BFE" w:rsidP="00243B15">
            <w:pPr>
              <w:pStyle w:val="TableStyle2A"/>
              <w:jc w:val="center"/>
              <w:rPr>
                <w:rStyle w:val="Hyperlink0"/>
                <w:rFonts w:ascii="Calibri" w:hAnsi="Calibri"/>
                <w:b/>
                <w:sz w:val="18"/>
                <w:szCs w:val="18"/>
                <w:u w:val="none"/>
              </w:rPr>
            </w:pPr>
            <w:r w:rsidRPr="0075595E">
              <w:rPr>
                <w:rStyle w:val="Hyperlink0"/>
                <w:rFonts w:ascii="Calibri" w:hAnsi="Calibri"/>
                <w:b/>
                <w:sz w:val="18"/>
                <w:szCs w:val="18"/>
                <w:u w:val="none"/>
              </w:rPr>
              <w:t>Participation/Consultation</w:t>
            </w:r>
          </w:p>
        </w:tc>
      </w:tr>
      <w:tr w:rsidR="00302BFE" w:rsidRPr="0075595E" w14:paraId="0413B958" w14:textId="77777777" w:rsidTr="008215D2">
        <w:trPr>
          <w:tblHeader/>
          <w:jc w:val="center"/>
        </w:trPr>
        <w:tc>
          <w:tcPr>
            <w:tcW w:w="1880" w:type="dxa"/>
            <w:vMerge/>
            <w:tcBorders>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09F5BED" w14:textId="77777777" w:rsidR="00302BFE" w:rsidRPr="0075595E" w:rsidRDefault="00302BFE" w:rsidP="00243B15">
            <w:pPr>
              <w:pStyle w:val="TableStyle2A"/>
              <w:jc w:val="center"/>
              <w:rPr>
                <w:rStyle w:val="NoneA"/>
                <w:rFonts w:ascii="Calibri" w:hAnsi="Calibri"/>
                <w:b/>
                <w:sz w:val="18"/>
                <w:szCs w:val="18"/>
              </w:rPr>
            </w:pPr>
          </w:p>
        </w:tc>
        <w:tc>
          <w:tcPr>
            <w:tcW w:w="2617" w:type="dxa"/>
            <w:vMerge/>
            <w:tcBorders>
              <w:left w:val="single" w:sz="2" w:space="0" w:color="000000"/>
              <w:bottom w:val="single" w:sz="2" w:space="0" w:color="000000"/>
              <w:right w:val="single" w:sz="2" w:space="0" w:color="000000"/>
            </w:tcBorders>
            <w:vAlign w:val="center"/>
          </w:tcPr>
          <w:p w14:paraId="4C965B2E" w14:textId="77777777" w:rsidR="00302BFE" w:rsidRPr="0075595E" w:rsidRDefault="00302BFE" w:rsidP="00243B15">
            <w:pPr>
              <w:pStyle w:val="TableStyle2A"/>
              <w:jc w:val="center"/>
              <w:rPr>
                <w:rStyle w:val="NoneA"/>
                <w:rFonts w:ascii="Calibri" w:hAnsi="Calibri"/>
                <w:b/>
                <w:sz w:val="18"/>
                <w:szCs w:val="18"/>
              </w:rPr>
            </w:pPr>
          </w:p>
        </w:tc>
        <w:tc>
          <w:tcPr>
            <w:tcW w:w="1620" w:type="dxa"/>
            <w:vMerge/>
            <w:tcBorders>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F34C383" w14:textId="77777777" w:rsidR="00302BFE" w:rsidRPr="0075595E" w:rsidRDefault="00302BFE" w:rsidP="00243B15">
            <w:pPr>
              <w:pStyle w:val="TableStyle2A"/>
              <w:jc w:val="center"/>
              <w:rPr>
                <w:rStyle w:val="NoneA"/>
                <w:rFonts w:ascii="Calibri" w:hAnsi="Calibri"/>
                <w:b/>
                <w:sz w:val="18"/>
                <w:szCs w:val="18"/>
              </w:rPr>
            </w:pPr>
          </w:p>
        </w:tc>
        <w:tc>
          <w:tcPr>
            <w:tcW w:w="1218" w:type="dxa"/>
            <w:vMerge/>
            <w:tcBorders>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63D3D39" w14:textId="77777777" w:rsidR="00302BFE" w:rsidRPr="0075595E" w:rsidRDefault="00302BFE" w:rsidP="00243B15">
            <w:pPr>
              <w:pStyle w:val="TableStyle2A"/>
              <w:jc w:val="center"/>
              <w:rPr>
                <w:rStyle w:val="NoneA"/>
                <w:rFonts w:ascii="Calibri" w:hAnsi="Calibri"/>
                <w:b/>
                <w:sz w:val="18"/>
                <w:szCs w:val="18"/>
              </w:rPr>
            </w:pPr>
          </w:p>
        </w:tc>
        <w:tc>
          <w:tcPr>
            <w:tcW w:w="2849" w:type="dxa"/>
            <w:vMerge/>
            <w:tcBorders>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6629C3B" w14:textId="77777777" w:rsidR="00302BFE" w:rsidRPr="002854BE" w:rsidRDefault="00302BFE" w:rsidP="00243B15">
            <w:pPr>
              <w:pStyle w:val="TableStyle2A"/>
              <w:jc w:val="center"/>
              <w:rPr>
                <w:rStyle w:val="Hyperlink0"/>
                <w:rFonts w:ascii="Calibri" w:hAnsi="Calibri"/>
                <w:b/>
                <w:sz w:val="18"/>
                <w:szCs w:val="18"/>
                <w:u w:val="none"/>
              </w:rPr>
            </w:pPr>
          </w:p>
        </w:tc>
        <w:tc>
          <w:tcPr>
            <w:tcW w:w="712" w:type="dxa"/>
            <w:tcBorders>
              <w:top w:val="single" w:sz="2" w:space="0" w:color="000000"/>
              <w:left w:val="single" w:sz="2" w:space="0" w:color="000000"/>
              <w:bottom w:val="single" w:sz="2" w:space="0" w:color="000000"/>
              <w:right w:val="single" w:sz="2" w:space="0" w:color="000000"/>
            </w:tcBorders>
            <w:noWrap/>
            <w:tcMar>
              <w:left w:w="0" w:type="dxa"/>
              <w:right w:w="0" w:type="dxa"/>
            </w:tcMar>
            <w:vAlign w:val="center"/>
          </w:tcPr>
          <w:p w14:paraId="20106C30"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t>Incept</w:t>
            </w:r>
          </w:p>
        </w:tc>
        <w:tc>
          <w:tcPr>
            <w:tcW w:w="712" w:type="dxa"/>
            <w:tcBorders>
              <w:top w:val="single" w:sz="2" w:space="0" w:color="000000"/>
              <w:left w:val="single" w:sz="2" w:space="0" w:color="000000"/>
              <w:bottom w:val="single" w:sz="2" w:space="0" w:color="000000"/>
              <w:right w:val="single" w:sz="2" w:space="0" w:color="000000"/>
            </w:tcBorders>
            <w:noWrap/>
            <w:tcMar>
              <w:left w:w="0" w:type="dxa"/>
              <w:right w:w="0" w:type="dxa"/>
            </w:tcMar>
            <w:vAlign w:val="center"/>
          </w:tcPr>
          <w:p w14:paraId="31131E5E"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t>Consult</w:t>
            </w:r>
          </w:p>
        </w:tc>
        <w:tc>
          <w:tcPr>
            <w:tcW w:w="712" w:type="dxa"/>
            <w:tcBorders>
              <w:top w:val="single" w:sz="2" w:space="0" w:color="000000"/>
              <w:left w:val="single" w:sz="2" w:space="0" w:color="000000"/>
              <w:bottom w:val="single" w:sz="2" w:space="0" w:color="000000"/>
              <w:right w:val="single" w:sz="2" w:space="0" w:color="000000"/>
            </w:tcBorders>
            <w:noWrap/>
            <w:tcMar>
              <w:left w:w="0" w:type="dxa"/>
              <w:right w:w="0" w:type="dxa"/>
            </w:tcMar>
            <w:vAlign w:val="center"/>
          </w:tcPr>
          <w:p w14:paraId="4580C714"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t xml:space="preserve">SRF </w:t>
            </w:r>
            <w:proofErr w:type="spellStart"/>
            <w:r w:rsidRPr="0075595E">
              <w:rPr>
                <w:rStyle w:val="Hyperlink0"/>
                <w:rFonts w:ascii="Calibri" w:hAnsi="Calibri"/>
                <w:sz w:val="18"/>
                <w:szCs w:val="18"/>
                <w:u w:val="none"/>
              </w:rPr>
              <w:t>wrk</w:t>
            </w:r>
            <w:proofErr w:type="spellEnd"/>
          </w:p>
        </w:tc>
        <w:tc>
          <w:tcPr>
            <w:tcW w:w="712" w:type="dxa"/>
            <w:tcBorders>
              <w:top w:val="single" w:sz="2" w:space="0" w:color="000000"/>
              <w:left w:val="single" w:sz="2" w:space="0" w:color="000000"/>
              <w:bottom w:val="single" w:sz="2" w:space="0" w:color="000000"/>
              <w:right w:val="single" w:sz="2" w:space="0" w:color="000000"/>
            </w:tcBorders>
            <w:noWrap/>
            <w:tcMar>
              <w:left w:w="0" w:type="dxa"/>
              <w:right w:w="0" w:type="dxa"/>
            </w:tcMar>
            <w:vAlign w:val="center"/>
          </w:tcPr>
          <w:p w14:paraId="78621651"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t xml:space="preserve">Cap </w:t>
            </w:r>
            <w:proofErr w:type="spellStart"/>
            <w:r w:rsidRPr="0075595E">
              <w:rPr>
                <w:rStyle w:val="Hyperlink0"/>
                <w:rFonts w:ascii="Calibri" w:hAnsi="Calibri"/>
                <w:sz w:val="18"/>
                <w:szCs w:val="18"/>
                <w:u w:val="none"/>
              </w:rPr>
              <w:t>assmt</w:t>
            </w:r>
            <w:proofErr w:type="spellEnd"/>
          </w:p>
        </w:tc>
        <w:tc>
          <w:tcPr>
            <w:tcW w:w="712" w:type="dxa"/>
            <w:tcBorders>
              <w:top w:val="single" w:sz="2" w:space="0" w:color="000000"/>
              <w:left w:val="single" w:sz="2" w:space="0" w:color="000000"/>
              <w:bottom w:val="single" w:sz="2" w:space="0" w:color="000000"/>
              <w:right w:val="single" w:sz="2" w:space="0" w:color="000000"/>
            </w:tcBorders>
            <w:noWrap/>
            <w:tcMar>
              <w:left w:w="0" w:type="dxa"/>
              <w:right w:w="0" w:type="dxa"/>
            </w:tcMar>
            <w:vAlign w:val="center"/>
          </w:tcPr>
          <w:p w14:paraId="65FF0946" w14:textId="77777777" w:rsidR="00302BFE" w:rsidRPr="0075595E" w:rsidRDefault="00302BFE" w:rsidP="00243B15">
            <w:pPr>
              <w:pStyle w:val="TableStyle2A"/>
              <w:rPr>
                <w:rStyle w:val="Hyperlink0"/>
                <w:rFonts w:ascii="Calibri" w:hAnsi="Calibri"/>
                <w:sz w:val="18"/>
                <w:szCs w:val="18"/>
                <w:u w:val="none"/>
              </w:rPr>
            </w:pPr>
            <w:r w:rsidRPr="0075595E">
              <w:rPr>
                <w:rStyle w:val="Hyperlink0"/>
                <w:rFonts w:ascii="Calibri" w:hAnsi="Calibri"/>
                <w:sz w:val="18"/>
                <w:szCs w:val="18"/>
                <w:u w:val="none"/>
              </w:rPr>
              <w:t xml:space="preserve">Valid </w:t>
            </w:r>
            <w:proofErr w:type="spellStart"/>
            <w:r w:rsidRPr="0075595E">
              <w:rPr>
                <w:rStyle w:val="Hyperlink0"/>
                <w:rFonts w:ascii="Calibri" w:hAnsi="Calibri"/>
                <w:sz w:val="18"/>
                <w:szCs w:val="18"/>
                <w:u w:val="none"/>
              </w:rPr>
              <w:t>wrk</w:t>
            </w:r>
            <w:proofErr w:type="spellEnd"/>
          </w:p>
        </w:tc>
      </w:tr>
      <w:tr w:rsidR="00302BFE" w:rsidRPr="0075595E" w14:paraId="16CCADA1" w14:textId="77777777" w:rsidTr="00243B15">
        <w:trPr>
          <w:jc w:val="center"/>
        </w:trPr>
        <w:tc>
          <w:tcPr>
            <w:tcW w:w="13744" w:type="dxa"/>
            <w:gridSpan w:val="10"/>
            <w:tcBorders>
              <w:top w:val="single" w:sz="2" w:space="0" w:color="000000"/>
              <w:left w:val="single" w:sz="2" w:space="0" w:color="000000"/>
              <w:bottom w:val="single" w:sz="2" w:space="0" w:color="000000"/>
              <w:right w:val="single" w:sz="2" w:space="0" w:color="000000"/>
            </w:tcBorders>
            <w:shd w:val="clear" w:color="auto" w:fill="FFF2CC"/>
            <w:tcMar>
              <w:top w:w="80" w:type="dxa"/>
              <w:left w:w="80" w:type="dxa"/>
              <w:bottom w:w="80" w:type="dxa"/>
              <w:right w:w="80" w:type="dxa"/>
            </w:tcMar>
          </w:tcPr>
          <w:p w14:paraId="03BA2290" w14:textId="77777777" w:rsidR="00302BFE" w:rsidRPr="002854BE" w:rsidRDefault="00302BFE" w:rsidP="00243B15">
            <w:pPr>
              <w:pStyle w:val="TableStyle2A"/>
              <w:rPr>
                <w:rStyle w:val="Hyperlink0"/>
                <w:rFonts w:ascii="Calibri" w:hAnsi="Calibri"/>
                <w:sz w:val="18"/>
                <w:szCs w:val="18"/>
                <w:u w:val="none"/>
                <w:lang w:val="en-CA"/>
              </w:rPr>
            </w:pPr>
            <w:r w:rsidRPr="002854BE">
              <w:rPr>
                <w:rFonts w:ascii="Calibri" w:hAnsi="Calibri"/>
                <w:b/>
                <w:sz w:val="18"/>
                <w:szCs w:val="18"/>
                <w:lang w:val="en-CA"/>
              </w:rPr>
              <w:t>TIÉBÉLÉ/ GUIARO, 22 and 23 December 2018 –HWC / SAFE Systems Rapid Assessment</w:t>
            </w:r>
          </w:p>
        </w:tc>
      </w:tr>
      <w:tr w:rsidR="00302BFE" w:rsidRPr="0075595E" w14:paraId="1DD21425"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52DBF9F"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GOUBA </w:t>
            </w:r>
            <w:proofErr w:type="spellStart"/>
            <w:r w:rsidRPr="0075595E">
              <w:rPr>
                <w:rFonts w:ascii="Calibri" w:hAnsi="Calibri"/>
                <w:sz w:val="18"/>
                <w:szCs w:val="18"/>
              </w:rPr>
              <w:t>Kassoum</w:t>
            </w:r>
            <w:proofErr w:type="spellEnd"/>
          </w:p>
        </w:tc>
        <w:tc>
          <w:tcPr>
            <w:tcW w:w="2617" w:type="dxa"/>
            <w:tcBorders>
              <w:top w:val="single" w:sz="2" w:space="0" w:color="000000"/>
              <w:left w:val="single" w:sz="2" w:space="0" w:color="000000"/>
              <w:bottom w:val="single" w:sz="2" w:space="0" w:color="000000"/>
              <w:right w:val="single" w:sz="2" w:space="0" w:color="000000"/>
            </w:tcBorders>
          </w:tcPr>
          <w:p w14:paraId="071D1134"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 xml:space="preserve">Préfet </w:t>
            </w:r>
            <w:proofErr w:type="spellStart"/>
            <w:r w:rsidRPr="0075595E">
              <w:rPr>
                <w:rStyle w:val="NoneA"/>
                <w:rFonts w:ascii="Calibri" w:hAnsi="Calibri"/>
                <w:sz w:val="18"/>
                <w:szCs w:val="18"/>
                <w:lang w:val="fr-FR"/>
              </w:rPr>
              <w:t>Tiébelé</w:t>
            </w:r>
            <w:proofErr w:type="spellEnd"/>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129B496"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Préfecture</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0196EA"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71129778</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007603C"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260398D8"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730B4F09"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vAlign w:val="center"/>
          </w:tcPr>
          <w:p w14:paraId="13E411CB"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2F8B6699"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11EBCADC"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24EE0856"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F5B8817"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ABASSAGUE Fidèle</w:t>
            </w:r>
          </w:p>
        </w:tc>
        <w:tc>
          <w:tcPr>
            <w:tcW w:w="2617" w:type="dxa"/>
            <w:tcBorders>
              <w:top w:val="single" w:sz="2" w:space="0" w:color="000000"/>
              <w:left w:val="single" w:sz="2" w:space="0" w:color="000000"/>
              <w:bottom w:val="single" w:sz="2" w:space="0" w:color="000000"/>
              <w:right w:val="single" w:sz="2" w:space="0" w:color="000000"/>
            </w:tcBorders>
          </w:tcPr>
          <w:p w14:paraId="15809A1F"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2</w:t>
            </w:r>
            <w:r>
              <w:rPr>
                <w:rStyle w:val="NoneA"/>
                <w:rFonts w:ascii="Calibri" w:hAnsi="Calibri"/>
                <w:sz w:val="18"/>
                <w:szCs w:val="18"/>
                <w:lang w:val="fr-FR"/>
              </w:rPr>
              <w:t>e</w:t>
            </w:r>
            <w:r w:rsidRPr="0075595E">
              <w:rPr>
                <w:rStyle w:val="NoneA"/>
                <w:rFonts w:ascii="Calibri" w:hAnsi="Calibri"/>
                <w:sz w:val="18"/>
                <w:szCs w:val="18"/>
                <w:lang w:val="fr-FR"/>
              </w:rPr>
              <w:t xml:space="preserve"> adjoint Maire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1A560D8"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Mairie</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081002E"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76635445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FF0CA04"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4382D09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0C885812"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vAlign w:val="center"/>
          </w:tcPr>
          <w:p w14:paraId="65A754A6"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5F67414A"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17409DAF"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54407588"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AC282D6"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SAWADOGO </w:t>
            </w:r>
            <w:proofErr w:type="spellStart"/>
            <w:r w:rsidRPr="0075595E">
              <w:rPr>
                <w:rFonts w:ascii="Calibri" w:hAnsi="Calibri"/>
                <w:sz w:val="18"/>
                <w:szCs w:val="18"/>
              </w:rPr>
              <w:t>Rassido</w:t>
            </w:r>
            <w:proofErr w:type="spellEnd"/>
          </w:p>
        </w:tc>
        <w:tc>
          <w:tcPr>
            <w:tcW w:w="2617" w:type="dxa"/>
            <w:tcBorders>
              <w:top w:val="single" w:sz="2" w:space="0" w:color="000000"/>
              <w:left w:val="single" w:sz="2" w:space="0" w:color="000000"/>
              <w:bottom w:val="single" w:sz="2" w:space="0" w:color="000000"/>
              <w:right w:val="single" w:sz="2" w:space="0" w:color="000000"/>
            </w:tcBorders>
          </w:tcPr>
          <w:p w14:paraId="73224366"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Chef/ZAT IP</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480A355"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ZAT/Tiébélé</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606B058"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75293150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9A81036"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1F82C534"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76D430B5"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vAlign w:val="center"/>
          </w:tcPr>
          <w:p w14:paraId="455D8145"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2F35151A"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2277428A"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61EE6655"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7E9D499"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OUEDRAOGO Seydou</w:t>
            </w:r>
          </w:p>
        </w:tc>
        <w:tc>
          <w:tcPr>
            <w:tcW w:w="2617" w:type="dxa"/>
            <w:tcBorders>
              <w:top w:val="single" w:sz="2" w:space="0" w:color="000000"/>
              <w:left w:val="single" w:sz="2" w:space="0" w:color="000000"/>
              <w:bottom w:val="single" w:sz="2" w:space="0" w:color="000000"/>
              <w:right w:val="single" w:sz="2" w:space="0" w:color="000000"/>
            </w:tcBorders>
          </w:tcPr>
          <w:p w14:paraId="708DC486"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Adjoint</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9B94BCF"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SDEEVCC/Tiébélé</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49DF2E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71672211</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A7B81CC"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4F2F43B4"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63452D00"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vAlign w:val="center"/>
          </w:tcPr>
          <w:p w14:paraId="6FDC4651"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70829226"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5C2DBE67"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029A2D60"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1D8C0D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HIEN Ludovic</w:t>
            </w:r>
          </w:p>
        </w:tc>
        <w:tc>
          <w:tcPr>
            <w:tcW w:w="2617" w:type="dxa"/>
            <w:tcBorders>
              <w:top w:val="single" w:sz="2" w:space="0" w:color="000000"/>
              <w:left w:val="single" w:sz="2" w:space="0" w:color="000000"/>
              <w:bottom w:val="single" w:sz="2" w:space="0" w:color="000000"/>
              <w:right w:val="single" w:sz="2" w:space="0" w:color="000000"/>
            </w:tcBorders>
          </w:tcPr>
          <w:p w14:paraId="4369E805"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 xml:space="preserve">Chef WAT de </w:t>
            </w:r>
            <w:proofErr w:type="spellStart"/>
            <w:r w:rsidRPr="0075595E">
              <w:rPr>
                <w:rStyle w:val="NoneA"/>
                <w:rFonts w:ascii="Calibri" w:hAnsi="Calibri"/>
                <w:sz w:val="18"/>
                <w:szCs w:val="18"/>
                <w:lang w:val="fr-FR"/>
              </w:rPr>
              <w:t>Gowmpia</w:t>
            </w:r>
            <w:proofErr w:type="spellEnd"/>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0F6D657"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ZAT/Tiébélé</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889AF3C"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78943286</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5144C4A"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36BF9544"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6ECE1822"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vAlign w:val="center"/>
          </w:tcPr>
          <w:p w14:paraId="7380C6A9"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2E523A68"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239768BF"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4CBCCBE6"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FCB6203"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 xml:space="preserve">ZIBARE </w:t>
            </w:r>
            <w:proofErr w:type="spellStart"/>
            <w:proofErr w:type="gramStart"/>
            <w:r w:rsidRPr="0075595E">
              <w:rPr>
                <w:rFonts w:ascii="Calibri" w:hAnsi="Calibri"/>
                <w:sz w:val="18"/>
                <w:szCs w:val="18"/>
                <w:lang w:val="fr-FR"/>
              </w:rPr>
              <w:t>G.Abouga</w:t>
            </w:r>
            <w:proofErr w:type="spellEnd"/>
            <w:proofErr w:type="gramEnd"/>
          </w:p>
        </w:tc>
        <w:tc>
          <w:tcPr>
            <w:tcW w:w="2617" w:type="dxa"/>
            <w:tcBorders>
              <w:top w:val="single" w:sz="2" w:space="0" w:color="000000"/>
              <w:left w:val="single" w:sz="2" w:space="0" w:color="000000"/>
              <w:bottom w:val="single" w:sz="2" w:space="0" w:color="000000"/>
              <w:right w:val="single" w:sz="2" w:space="0" w:color="000000"/>
            </w:tcBorders>
          </w:tcPr>
          <w:p w14:paraId="687BF863"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1er adjoint au maire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6F4E313"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Mairie</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BB84C6F"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66858452</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85913F7"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6C5FDC2B"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348E5DF9" w14:textId="77777777" w:rsidR="00302BFE" w:rsidRPr="0075595E" w:rsidRDefault="00302BFE" w:rsidP="00243B15">
            <w:pPr>
              <w:pStyle w:val="TableStyle2A"/>
              <w:jc w:val="center"/>
              <w:rPr>
                <w:rStyle w:val="Hyperlink0"/>
                <w:rFonts w:ascii="Calibri" w:hAnsi="Calibri"/>
                <w:sz w:val="18"/>
                <w:szCs w:val="18"/>
                <w:u w:val="none"/>
                <w:lang w:val="fr-FR"/>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vAlign w:val="center"/>
          </w:tcPr>
          <w:p w14:paraId="54B7F924"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30DDB232"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4409F304"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7A476623"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1E72288"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KOURAOGO Achille</w:t>
            </w:r>
          </w:p>
        </w:tc>
        <w:tc>
          <w:tcPr>
            <w:tcW w:w="2617" w:type="dxa"/>
            <w:tcBorders>
              <w:top w:val="single" w:sz="2" w:space="0" w:color="000000"/>
              <w:left w:val="single" w:sz="2" w:space="0" w:color="000000"/>
              <w:bottom w:val="single" w:sz="2" w:space="0" w:color="000000"/>
              <w:right w:val="single" w:sz="2" w:space="0" w:color="000000"/>
            </w:tcBorders>
          </w:tcPr>
          <w:p w14:paraId="1B246512"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CBT Guiaro</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E4616B7"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Gendarmerie</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1E25DA5"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76737575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42F63C0"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49128A4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675085BC" w14:textId="77777777" w:rsidR="00302BFE" w:rsidRPr="0075595E" w:rsidRDefault="00302BFE" w:rsidP="00243B15">
            <w:pPr>
              <w:pStyle w:val="TableStyle2A"/>
              <w:jc w:val="center"/>
              <w:rPr>
                <w:rStyle w:val="Hyperlink0"/>
                <w:rFonts w:ascii="Calibri" w:hAnsi="Calibri"/>
                <w:sz w:val="18"/>
                <w:szCs w:val="18"/>
                <w:u w:val="none"/>
                <w:lang w:val="fr-FR"/>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vAlign w:val="center"/>
          </w:tcPr>
          <w:p w14:paraId="17276E5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5EC1C34B"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4A6E0876"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7BCCFF40"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02653AA"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IDIGO Salifou</w:t>
            </w:r>
          </w:p>
        </w:tc>
        <w:tc>
          <w:tcPr>
            <w:tcW w:w="2617" w:type="dxa"/>
            <w:tcBorders>
              <w:top w:val="single" w:sz="2" w:space="0" w:color="000000"/>
              <w:left w:val="single" w:sz="2" w:space="0" w:color="000000"/>
              <w:bottom w:val="single" w:sz="2" w:space="0" w:color="000000"/>
              <w:right w:val="single" w:sz="2" w:space="0" w:color="000000"/>
            </w:tcBorders>
          </w:tcPr>
          <w:p w14:paraId="7964597A"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Président CVD Guiaro</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9C98A6B"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CVD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3CFF054"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71438868</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B43AEF7"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2E9C1B83"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35D84C01" w14:textId="77777777" w:rsidR="00302BFE" w:rsidRPr="0075595E" w:rsidRDefault="00302BFE" w:rsidP="00243B15">
            <w:pPr>
              <w:pStyle w:val="TableStyle2A"/>
              <w:jc w:val="center"/>
              <w:rPr>
                <w:rStyle w:val="Hyperlink0"/>
                <w:rFonts w:ascii="Calibri" w:hAnsi="Calibri"/>
                <w:sz w:val="18"/>
                <w:szCs w:val="18"/>
                <w:u w:val="none"/>
                <w:lang w:val="fr-FR"/>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vAlign w:val="center"/>
          </w:tcPr>
          <w:p w14:paraId="45E88CEB"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0572E2F3"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23793402"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10247F08"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26921E1"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 xml:space="preserve">OUEDRAOGO </w:t>
            </w:r>
            <w:proofErr w:type="spellStart"/>
            <w:r w:rsidRPr="0075595E">
              <w:rPr>
                <w:rFonts w:ascii="Calibri" w:hAnsi="Calibri"/>
                <w:sz w:val="18"/>
                <w:szCs w:val="18"/>
                <w:lang w:val="fr-FR"/>
              </w:rPr>
              <w:t>Halidou</w:t>
            </w:r>
            <w:proofErr w:type="spellEnd"/>
          </w:p>
        </w:tc>
        <w:tc>
          <w:tcPr>
            <w:tcW w:w="2617" w:type="dxa"/>
            <w:tcBorders>
              <w:top w:val="single" w:sz="2" w:space="0" w:color="000000"/>
              <w:left w:val="single" w:sz="2" w:space="0" w:color="000000"/>
              <w:bottom w:val="single" w:sz="2" w:space="0" w:color="000000"/>
              <w:right w:val="single" w:sz="2" w:space="0" w:color="000000"/>
            </w:tcBorders>
          </w:tcPr>
          <w:p w14:paraId="1645704F"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Agent de la préfecture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0F249B1"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Préfecture</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01BE40"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FEC8ADF"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1098685A"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41E80848" w14:textId="77777777" w:rsidR="00302BFE" w:rsidRPr="0075595E" w:rsidRDefault="00302BFE" w:rsidP="00243B15">
            <w:pPr>
              <w:pStyle w:val="TableStyle2A"/>
              <w:jc w:val="center"/>
              <w:rPr>
                <w:rStyle w:val="Hyperlink0"/>
                <w:rFonts w:ascii="Calibri" w:hAnsi="Calibri"/>
                <w:sz w:val="18"/>
                <w:szCs w:val="18"/>
                <w:u w:val="none"/>
                <w:lang w:val="fr-FR"/>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vAlign w:val="center"/>
          </w:tcPr>
          <w:p w14:paraId="7D9285D9"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7925D1E9"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3AF2D00E"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5C13021B"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32A167E"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ZONGO Lucien</w:t>
            </w:r>
          </w:p>
        </w:tc>
        <w:tc>
          <w:tcPr>
            <w:tcW w:w="2617" w:type="dxa"/>
            <w:tcBorders>
              <w:top w:val="single" w:sz="2" w:space="0" w:color="000000"/>
              <w:left w:val="single" w:sz="2" w:space="0" w:color="000000"/>
              <w:bottom w:val="single" w:sz="2" w:space="0" w:color="000000"/>
              <w:right w:val="single" w:sz="2" w:space="0" w:color="000000"/>
            </w:tcBorders>
          </w:tcPr>
          <w:p w14:paraId="60ADCFA4"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Chef adjoint SDEEVCC de Guiaro</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703A7B0"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Environnement</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244CE00"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76278900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9F9F48"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4AAE595C"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1DA6EDD9" w14:textId="77777777" w:rsidR="00302BFE" w:rsidRPr="0075595E" w:rsidRDefault="00302BFE" w:rsidP="00243B15">
            <w:pPr>
              <w:pStyle w:val="TableStyle2A"/>
              <w:jc w:val="center"/>
              <w:rPr>
                <w:rStyle w:val="Hyperlink0"/>
                <w:rFonts w:ascii="Calibri" w:hAnsi="Calibri"/>
                <w:sz w:val="18"/>
                <w:szCs w:val="18"/>
                <w:u w:val="none"/>
                <w:lang w:val="fr-FR"/>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vAlign w:val="center"/>
          </w:tcPr>
          <w:p w14:paraId="27FF65F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0BF871A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552DE0B9"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3760310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044AB09" w14:textId="77777777" w:rsidR="00302BFE" w:rsidRPr="0075595E" w:rsidRDefault="00302BFE" w:rsidP="00243B15">
            <w:pPr>
              <w:pStyle w:val="TableStyle2A"/>
              <w:rPr>
                <w:rFonts w:ascii="Calibri" w:hAnsi="Calibri"/>
                <w:sz w:val="18"/>
                <w:szCs w:val="18"/>
                <w:lang w:val="fr-FR"/>
              </w:rPr>
            </w:pPr>
            <w:proofErr w:type="spellStart"/>
            <w:proofErr w:type="gramStart"/>
            <w:r w:rsidRPr="0075595E">
              <w:rPr>
                <w:rFonts w:ascii="Calibri" w:hAnsi="Calibri"/>
                <w:sz w:val="18"/>
                <w:szCs w:val="18"/>
                <w:lang w:val="fr-FR"/>
              </w:rPr>
              <w:t>IDIOGO.S.Abel</w:t>
            </w:r>
            <w:proofErr w:type="spellEnd"/>
            <w:proofErr w:type="gramEnd"/>
          </w:p>
        </w:tc>
        <w:tc>
          <w:tcPr>
            <w:tcW w:w="2617" w:type="dxa"/>
            <w:tcBorders>
              <w:top w:val="single" w:sz="2" w:space="0" w:color="000000"/>
              <w:left w:val="single" w:sz="2" w:space="0" w:color="000000"/>
              <w:bottom w:val="single" w:sz="2" w:space="0" w:color="000000"/>
              <w:right w:val="single" w:sz="2" w:space="0" w:color="000000"/>
            </w:tcBorders>
          </w:tcPr>
          <w:p w14:paraId="45626152"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Agent SFR</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3C5397"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Mairie</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75FA8AA"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71043880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BD64F50"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07AD6378"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21CD96F0" w14:textId="77777777" w:rsidR="00302BFE" w:rsidRPr="0075595E" w:rsidRDefault="00302BFE" w:rsidP="00243B15">
            <w:pPr>
              <w:pStyle w:val="TableStyle2A"/>
              <w:jc w:val="center"/>
              <w:rPr>
                <w:rStyle w:val="Hyperlink0"/>
                <w:rFonts w:ascii="Calibri" w:hAnsi="Calibri"/>
                <w:sz w:val="18"/>
                <w:szCs w:val="18"/>
                <w:u w:val="none"/>
                <w:lang w:val="fr-FR"/>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vAlign w:val="center"/>
          </w:tcPr>
          <w:p w14:paraId="67242C55"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71C5AD17"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478E40FE"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3337B0C8"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044E050"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 xml:space="preserve">ZIBARE </w:t>
            </w:r>
            <w:proofErr w:type="spellStart"/>
            <w:r w:rsidRPr="0075595E">
              <w:rPr>
                <w:rFonts w:ascii="Calibri" w:hAnsi="Calibri"/>
                <w:sz w:val="18"/>
                <w:szCs w:val="18"/>
                <w:lang w:val="fr-FR"/>
              </w:rPr>
              <w:t>Boumon</w:t>
            </w:r>
            <w:proofErr w:type="spellEnd"/>
          </w:p>
        </w:tc>
        <w:tc>
          <w:tcPr>
            <w:tcW w:w="2617" w:type="dxa"/>
            <w:tcBorders>
              <w:top w:val="single" w:sz="2" w:space="0" w:color="000000"/>
              <w:left w:val="single" w:sz="2" w:space="0" w:color="000000"/>
              <w:bottom w:val="single" w:sz="2" w:space="0" w:color="000000"/>
              <w:right w:val="single" w:sz="2" w:space="0" w:color="000000"/>
            </w:tcBorders>
          </w:tcPr>
          <w:p w14:paraId="6D5E1495"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Agriculteur</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D4888D2"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CVD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2B5CFB4"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71513435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3EE306A"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23C42E72"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3836A062" w14:textId="77777777" w:rsidR="00302BFE" w:rsidRPr="0075595E" w:rsidRDefault="00302BFE" w:rsidP="00243B15">
            <w:pPr>
              <w:pStyle w:val="TableStyle2A"/>
              <w:jc w:val="center"/>
              <w:rPr>
                <w:rStyle w:val="Hyperlink0"/>
                <w:rFonts w:ascii="Calibri" w:hAnsi="Calibri"/>
                <w:sz w:val="18"/>
                <w:szCs w:val="18"/>
                <w:u w:val="none"/>
                <w:lang w:val="fr-FR"/>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vAlign w:val="center"/>
          </w:tcPr>
          <w:p w14:paraId="22B3A8B2"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615B6704"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0A8BE0B2"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73152ACE"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A85B142"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 xml:space="preserve">DA </w:t>
            </w:r>
            <w:proofErr w:type="spellStart"/>
            <w:r w:rsidRPr="0075595E">
              <w:rPr>
                <w:rFonts w:ascii="Calibri" w:hAnsi="Calibri"/>
                <w:sz w:val="18"/>
                <w:szCs w:val="18"/>
                <w:lang w:val="fr-FR"/>
              </w:rPr>
              <w:t>Cro</w:t>
            </w:r>
            <w:proofErr w:type="spellEnd"/>
            <w:r w:rsidRPr="0075595E">
              <w:rPr>
                <w:rFonts w:ascii="Calibri" w:hAnsi="Calibri"/>
                <w:sz w:val="18"/>
                <w:szCs w:val="18"/>
                <w:lang w:val="fr-FR"/>
              </w:rPr>
              <w:t xml:space="preserve"> </w:t>
            </w:r>
            <w:proofErr w:type="spellStart"/>
            <w:r w:rsidRPr="0075595E">
              <w:rPr>
                <w:rFonts w:ascii="Calibri" w:hAnsi="Calibri"/>
                <w:sz w:val="18"/>
                <w:szCs w:val="18"/>
                <w:lang w:val="fr-FR"/>
              </w:rPr>
              <w:t>Atimon</w:t>
            </w:r>
            <w:proofErr w:type="spellEnd"/>
          </w:p>
        </w:tc>
        <w:tc>
          <w:tcPr>
            <w:tcW w:w="2617" w:type="dxa"/>
            <w:tcBorders>
              <w:top w:val="single" w:sz="2" w:space="0" w:color="000000"/>
              <w:left w:val="single" w:sz="2" w:space="0" w:color="000000"/>
              <w:bottom w:val="single" w:sz="2" w:space="0" w:color="000000"/>
              <w:right w:val="single" w:sz="2" w:space="0" w:color="000000"/>
            </w:tcBorders>
          </w:tcPr>
          <w:p w14:paraId="75EE318D"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Agriculteur</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DEFE2BC"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CVD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6DA3186"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67870095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BAA9261"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59BE95F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7F8CE366" w14:textId="77777777" w:rsidR="00302BFE" w:rsidRPr="0075595E" w:rsidRDefault="00302BFE" w:rsidP="00243B15">
            <w:pPr>
              <w:pStyle w:val="TableStyle2A"/>
              <w:jc w:val="center"/>
              <w:rPr>
                <w:rStyle w:val="Hyperlink0"/>
                <w:rFonts w:ascii="Calibri" w:hAnsi="Calibri"/>
                <w:sz w:val="18"/>
                <w:szCs w:val="18"/>
                <w:u w:val="none"/>
                <w:lang w:val="fr-FR"/>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vAlign w:val="center"/>
          </w:tcPr>
          <w:p w14:paraId="5AFCADC0"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2AA27598"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35860FB4"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73A0E8C1"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180671"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 xml:space="preserve">ADANA </w:t>
            </w:r>
            <w:proofErr w:type="spellStart"/>
            <w:r w:rsidRPr="0075595E">
              <w:rPr>
                <w:rFonts w:ascii="Calibri" w:hAnsi="Calibri"/>
                <w:sz w:val="18"/>
                <w:szCs w:val="18"/>
                <w:lang w:val="fr-FR"/>
              </w:rPr>
              <w:t>Yiribidjié</w:t>
            </w:r>
            <w:proofErr w:type="spellEnd"/>
          </w:p>
        </w:tc>
        <w:tc>
          <w:tcPr>
            <w:tcW w:w="2617" w:type="dxa"/>
            <w:tcBorders>
              <w:top w:val="single" w:sz="2" w:space="0" w:color="000000"/>
              <w:left w:val="single" w:sz="2" w:space="0" w:color="000000"/>
              <w:bottom w:val="single" w:sz="2" w:space="0" w:color="000000"/>
              <w:right w:val="single" w:sz="2" w:space="0" w:color="000000"/>
            </w:tcBorders>
          </w:tcPr>
          <w:p w14:paraId="4ABBDC37"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Secrétaire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3FC088B"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Mairie</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6E078D1"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70531357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87A5DE"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3AF31B7A"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1B71EB64" w14:textId="77777777" w:rsidR="00302BFE" w:rsidRPr="0075595E" w:rsidRDefault="00302BFE" w:rsidP="00243B15">
            <w:pPr>
              <w:pStyle w:val="TableStyle2A"/>
              <w:jc w:val="center"/>
              <w:rPr>
                <w:rStyle w:val="Hyperlink0"/>
                <w:rFonts w:ascii="Calibri" w:hAnsi="Calibri"/>
                <w:sz w:val="18"/>
                <w:szCs w:val="18"/>
                <w:u w:val="none"/>
                <w:lang w:val="fr-FR"/>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vAlign w:val="center"/>
          </w:tcPr>
          <w:p w14:paraId="7C602D85"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10BF517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vAlign w:val="center"/>
          </w:tcPr>
          <w:p w14:paraId="16A5D9CA"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5EF4196E" w14:textId="77777777" w:rsidTr="00243B15">
        <w:trPr>
          <w:jc w:val="center"/>
        </w:trPr>
        <w:tc>
          <w:tcPr>
            <w:tcW w:w="13744" w:type="dxa"/>
            <w:gridSpan w:val="10"/>
            <w:tcBorders>
              <w:top w:val="single" w:sz="2" w:space="0" w:color="000000"/>
              <w:left w:val="single" w:sz="2" w:space="0" w:color="000000"/>
              <w:bottom w:val="single" w:sz="2" w:space="0" w:color="000000"/>
              <w:right w:val="single" w:sz="2" w:space="0" w:color="000000"/>
            </w:tcBorders>
            <w:shd w:val="clear" w:color="auto" w:fill="FFF2CC"/>
            <w:tcMar>
              <w:top w:w="80" w:type="dxa"/>
              <w:left w:w="80" w:type="dxa"/>
              <w:bottom w:w="80" w:type="dxa"/>
              <w:right w:w="80" w:type="dxa"/>
            </w:tcMar>
            <w:hideMark/>
          </w:tcPr>
          <w:p w14:paraId="7F0E342A" w14:textId="77777777" w:rsidR="00302BFE" w:rsidRPr="002854BE" w:rsidRDefault="00302BFE" w:rsidP="00243B15">
            <w:pPr>
              <w:pStyle w:val="TableStyle2A"/>
              <w:rPr>
                <w:rStyle w:val="Hyperlink0"/>
                <w:rFonts w:ascii="Calibri" w:hAnsi="Calibri"/>
                <w:sz w:val="18"/>
                <w:szCs w:val="18"/>
                <w:u w:val="none"/>
              </w:rPr>
            </w:pPr>
            <w:r w:rsidRPr="002854BE">
              <w:rPr>
                <w:rFonts w:ascii="Calibri" w:hAnsi="Calibri"/>
                <w:b/>
                <w:sz w:val="18"/>
                <w:szCs w:val="18"/>
              </w:rPr>
              <w:t>Commune of DOULOUGOU, 09/27/2018</w:t>
            </w:r>
          </w:p>
        </w:tc>
      </w:tr>
      <w:tr w:rsidR="00302BFE" w:rsidRPr="0075595E" w14:paraId="1D6AD757"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58079A3"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TIEMTORE Guillaume</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CC7328A"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Agent d’agriculture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0EAA72F"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51C81C1"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71652131</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1AA8E20"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1B204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B1A4D8"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80DF21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A0C8331"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11C2CC"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62A199FF"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6D3E62B"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TRAORE Alassane</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2A31D6FD"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Chef ZATE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51179CE"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A7AC22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70602170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2765436" w14:textId="77777777" w:rsidR="00302BFE" w:rsidRPr="002854BE" w:rsidRDefault="00000000" w:rsidP="00243B15">
            <w:pPr>
              <w:pStyle w:val="TableStyle2A"/>
              <w:rPr>
                <w:rFonts w:ascii="Calibri" w:hAnsi="Calibri"/>
                <w:sz w:val="18"/>
                <w:szCs w:val="18"/>
              </w:rPr>
            </w:pPr>
            <w:hyperlink r:id="rId56" w:history="1">
              <w:r w:rsidR="00302BFE" w:rsidRPr="002854BE">
                <w:rPr>
                  <w:rStyle w:val="Lienhypertexte"/>
                  <w:rFonts w:ascii="Calibri" w:hAnsi="Calibri"/>
                  <w:sz w:val="18"/>
                  <w:szCs w:val="18"/>
                </w:rPr>
                <w:t>monalastraore@yahoo.fr</w:t>
              </w:r>
            </w:hyperlink>
            <w:r w:rsidR="00302BFE" w:rsidRPr="002854BE">
              <w:rPr>
                <w:rFonts w:ascii="Calibri" w:hAnsi="Calibri"/>
                <w:sz w:val="18"/>
                <w:szCs w:val="18"/>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898EDB"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3A4F7B"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081F69"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A9F78F"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8AD887"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08157C26"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C9DAC24"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YODA Issouf</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77E1DF7B"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Environnement</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F475C02"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FA188F9"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70451263</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310A6E7" w14:textId="77777777" w:rsidR="00302BFE" w:rsidRPr="002854BE" w:rsidRDefault="00000000" w:rsidP="00243B15">
            <w:pPr>
              <w:pStyle w:val="TableStyle2A"/>
              <w:rPr>
                <w:rFonts w:ascii="Calibri" w:hAnsi="Calibri"/>
                <w:sz w:val="18"/>
                <w:szCs w:val="18"/>
              </w:rPr>
            </w:pPr>
            <w:hyperlink r:id="rId57" w:history="1">
              <w:r w:rsidR="00302BFE" w:rsidRPr="002854BE">
                <w:rPr>
                  <w:rStyle w:val="Lienhypertexte"/>
                  <w:rFonts w:ascii="Calibri" w:hAnsi="Calibri"/>
                  <w:sz w:val="18"/>
                  <w:szCs w:val="18"/>
                </w:rPr>
                <w:t>yssoufyodah@gmail.com</w:t>
              </w:r>
            </w:hyperlink>
            <w:r w:rsidR="00302BFE" w:rsidRPr="002854BE">
              <w:rPr>
                <w:rFonts w:ascii="Calibri" w:hAnsi="Calibri"/>
                <w:sz w:val="18"/>
                <w:szCs w:val="18"/>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DFBBB8"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31467A"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7699ED9"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FFAD38"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A514A2"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4DC03A83"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B48637F"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TIENDREBEOGO Tibo</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31DC09F"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Commission environnement</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7738A87"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6960CB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73701855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571F695"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00D9DF4"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715BCE"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DBB039"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0451FF"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3CA94EE"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3167BB1A"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2919B70"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lastRenderedPageBreak/>
              <w:t>COMPAORE Z. Laurent</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07050E74"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80827CB"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Assoc. Bas-</w:t>
            </w:r>
            <w:proofErr w:type="spellStart"/>
            <w:r w:rsidRPr="0075595E">
              <w:rPr>
                <w:rFonts w:ascii="Calibri" w:hAnsi="Calibri"/>
                <w:sz w:val="18"/>
                <w:szCs w:val="18"/>
                <w:lang w:val="fr-FR"/>
              </w:rPr>
              <w:t>yando</w:t>
            </w:r>
            <w:proofErr w:type="spellEnd"/>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BEB84AB"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78063573</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54D5981"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6F8B58"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4194E0"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F90A0E"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0362CD"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F2104B"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69BAE5AB"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381B493"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NIKIEMA MAHAMA</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51F96D54"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Commission aménagement</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8E40827"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F19BBCE"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76111019</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9467612"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F2C7F2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161915"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CD43BF"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ACDFCF"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312F7D7"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12FEC1F6"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209C6E9"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ILBOUDO Hamidou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0C20A0CE"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AC5AF3D"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Assoc. </w:t>
            </w:r>
            <w:proofErr w:type="spellStart"/>
            <w:r w:rsidRPr="0075595E">
              <w:rPr>
                <w:rFonts w:ascii="Calibri" w:hAnsi="Calibri"/>
                <w:sz w:val="18"/>
                <w:szCs w:val="18"/>
                <w:lang w:val="fr-FR"/>
              </w:rPr>
              <w:t>Watinoma</w:t>
            </w:r>
            <w:proofErr w:type="spellEnd"/>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CE09E09"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76971281</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01BA82C"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0F5ED9"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8B693E2"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542049"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6792E5"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57B3720"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2C2ED86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263AD3E"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GUIGMA Eulalie</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54FA0A2D"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Président CRA</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653458"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095DF33"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69931938</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0A06917"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EC6EBA"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60811A"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45B0BE"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9A2AE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6C1357"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776670A8"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C2FF11C"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COMPAORE Leonard</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764179EA"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1</w:t>
            </w:r>
            <w:r w:rsidRPr="0075595E">
              <w:rPr>
                <w:rStyle w:val="NoneA"/>
                <w:rFonts w:ascii="Calibri" w:hAnsi="Calibri"/>
                <w:sz w:val="18"/>
                <w:szCs w:val="18"/>
                <w:vertAlign w:val="superscript"/>
                <w:lang w:val="fr-FR"/>
              </w:rPr>
              <w:t>er</w:t>
            </w:r>
            <w:r w:rsidRPr="0075595E">
              <w:rPr>
                <w:rStyle w:val="NoneA"/>
                <w:rFonts w:ascii="Calibri" w:hAnsi="Calibri"/>
                <w:sz w:val="18"/>
                <w:szCs w:val="18"/>
                <w:lang w:val="fr-FR"/>
              </w:rPr>
              <w:t xml:space="preserve"> adjoint du Maire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8EEEF6F"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1643EAF"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78040620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DC56C61"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DBB6E8"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04AACF"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719C0CE"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06978B"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F0A13D"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6B4B4491"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FFCD285"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OUATTARA </w:t>
            </w:r>
            <w:proofErr w:type="spellStart"/>
            <w:r w:rsidRPr="0075595E">
              <w:rPr>
                <w:rFonts w:ascii="Calibri" w:hAnsi="Calibri"/>
                <w:sz w:val="18"/>
                <w:szCs w:val="18"/>
              </w:rPr>
              <w:t>Cathérine</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11250AF7"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Préfet</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522669E"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3C7A0C7"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70226296</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6FC2EB"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69575EF"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EDA0D04"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323F54"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8B42A1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BEC2FE"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5814C517"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19254A8"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ZOUNGRANA Amadou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5C683AE"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BB66B19"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SP/CNDD/MEEVCC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0378376"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70715967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CBB167D" w14:textId="77777777" w:rsidR="00302BFE" w:rsidRPr="002854BE" w:rsidRDefault="00000000" w:rsidP="00243B15">
            <w:pPr>
              <w:pStyle w:val="TableStyle2A"/>
              <w:rPr>
                <w:rStyle w:val="Hyperlink0"/>
                <w:rFonts w:ascii="Calibri" w:hAnsi="Calibri"/>
                <w:sz w:val="18"/>
                <w:szCs w:val="18"/>
                <w:u w:val="none"/>
                <w:lang w:val="fr-FR"/>
              </w:rPr>
            </w:pPr>
            <w:hyperlink r:id="rId58" w:history="1">
              <w:r w:rsidR="00302BFE" w:rsidRPr="002854BE">
                <w:rPr>
                  <w:rStyle w:val="Lienhypertexte"/>
                  <w:rFonts w:ascii="Calibri" w:hAnsi="Calibri"/>
                  <w:sz w:val="18"/>
                  <w:szCs w:val="18"/>
                  <w:lang w:val="fr-FR"/>
                </w:rPr>
                <w:t>zoungramadou@gmail.com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5AA456"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5F3271"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1EB93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B38A15"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AC52477"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58012B0E" w14:textId="77777777" w:rsidTr="00243B15">
        <w:trPr>
          <w:jc w:val="center"/>
        </w:trPr>
        <w:tc>
          <w:tcPr>
            <w:tcW w:w="13744" w:type="dxa"/>
            <w:gridSpan w:val="10"/>
            <w:tcBorders>
              <w:top w:val="single" w:sz="2" w:space="0" w:color="000000"/>
              <w:left w:val="single" w:sz="2" w:space="0" w:color="000000"/>
              <w:bottom w:val="single" w:sz="2" w:space="0" w:color="000000"/>
              <w:right w:val="single" w:sz="2" w:space="0" w:color="000000"/>
            </w:tcBorders>
            <w:shd w:val="clear" w:color="auto" w:fill="FFF2CC"/>
            <w:tcMar>
              <w:top w:w="80" w:type="dxa"/>
              <w:left w:w="80" w:type="dxa"/>
              <w:bottom w:w="80" w:type="dxa"/>
              <w:right w:w="80" w:type="dxa"/>
            </w:tcMar>
            <w:hideMark/>
          </w:tcPr>
          <w:p w14:paraId="2FD9F7B8" w14:textId="77777777" w:rsidR="00302BFE" w:rsidRPr="002854BE" w:rsidRDefault="00302BFE" w:rsidP="00243B15">
            <w:pPr>
              <w:pStyle w:val="TableStyle2A"/>
              <w:rPr>
                <w:rStyle w:val="Hyperlink0"/>
                <w:rFonts w:ascii="Calibri" w:hAnsi="Calibri"/>
                <w:sz w:val="18"/>
                <w:szCs w:val="18"/>
                <w:u w:val="none"/>
              </w:rPr>
            </w:pPr>
            <w:r w:rsidRPr="002854BE">
              <w:rPr>
                <w:rFonts w:ascii="Calibri" w:hAnsi="Calibri"/>
                <w:b/>
                <w:sz w:val="18"/>
                <w:szCs w:val="18"/>
              </w:rPr>
              <w:t>Commune of BEHIA, 09/28/2018</w:t>
            </w:r>
          </w:p>
        </w:tc>
      </w:tr>
      <w:tr w:rsidR="00302BFE" w:rsidRPr="0075595E" w14:paraId="5FBD27EB"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FDD906D"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NACRO Bassirou</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1FA855B"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Maire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2DAD324"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FE2F92C"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71502021</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17DF8CE" w14:textId="77777777" w:rsidR="00302BFE" w:rsidRPr="002854BE" w:rsidRDefault="00000000" w:rsidP="00243B15">
            <w:pPr>
              <w:pStyle w:val="TableStyle2A"/>
              <w:rPr>
                <w:rStyle w:val="Hyperlink0"/>
                <w:rFonts w:ascii="Calibri" w:hAnsi="Calibri"/>
                <w:sz w:val="18"/>
                <w:szCs w:val="18"/>
                <w:u w:val="none"/>
                <w:lang w:val="fr-FR"/>
              </w:rPr>
            </w:pPr>
            <w:hyperlink r:id="rId59" w:history="1">
              <w:r w:rsidR="00302BFE" w:rsidRPr="002854BE">
                <w:rPr>
                  <w:rStyle w:val="Lienhypertexte"/>
                  <w:rFonts w:ascii="Calibri" w:hAnsi="Calibri"/>
                  <w:sz w:val="18"/>
                  <w:szCs w:val="18"/>
                  <w:lang w:val="fr-FR"/>
                </w:rPr>
                <w:t>nacro-bassirou@yahoo.fr</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8BEDF49"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88D54C"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6BC664"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A68E86"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B653E5"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49B7EAFB"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6B1574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NIGNAN O. Désiré</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0C6D669B" w14:textId="77777777" w:rsidR="00302BFE" w:rsidRPr="0075595E" w:rsidRDefault="00302BFE" w:rsidP="00243B15">
            <w:pPr>
              <w:pStyle w:val="TableStyle2A"/>
              <w:rPr>
                <w:rStyle w:val="NoneA"/>
                <w:rFonts w:ascii="Calibri" w:hAnsi="Calibri"/>
                <w:sz w:val="18"/>
                <w:szCs w:val="18"/>
                <w:lang w:val="fr-CA"/>
              </w:rPr>
            </w:pPr>
            <w:r w:rsidRPr="0075595E">
              <w:rPr>
                <w:rFonts w:ascii="Calibri" w:hAnsi="Calibri"/>
                <w:sz w:val="18"/>
                <w:szCs w:val="18"/>
                <w:lang w:val="fr-CA"/>
              </w:rPr>
              <w:t xml:space="preserve">Président </w:t>
            </w:r>
            <w:proofErr w:type="spellStart"/>
            <w:r w:rsidRPr="0075595E">
              <w:rPr>
                <w:rFonts w:ascii="Calibri" w:hAnsi="Calibri"/>
                <w:sz w:val="18"/>
                <w:szCs w:val="18"/>
                <w:lang w:val="fr-CA"/>
              </w:rPr>
              <w:t>Neboun</w:t>
            </w:r>
            <w:proofErr w:type="spellEnd"/>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C0603E0" w14:textId="77777777" w:rsidR="00302BFE" w:rsidRPr="0075595E" w:rsidRDefault="00302BFE" w:rsidP="00243B15">
            <w:pPr>
              <w:pStyle w:val="TableStyle2A"/>
              <w:rPr>
                <w:rFonts w:ascii="Calibri" w:hAnsi="Calibri"/>
                <w:sz w:val="18"/>
                <w:szCs w:val="18"/>
                <w:lang w:val="fr-FR"/>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DCF91B9" w14:textId="77777777" w:rsidR="00302BFE" w:rsidRPr="0075595E" w:rsidRDefault="00302BFE" w:rsidP="00243B15">
            <w:pPr>
              <w:pStyle w:val="TableStyle2A"/>
              <w:rPr>
                <w:rStyle w:val="NoneA"/>
                <w:rFonts w:ascii="Calibri" w:hAnsi="Calibri"/>
                <w:sz w:val="18"/>
                <w:szCs w:val="18"/>
                <w:lang w:val="fr-CA"/>
              </w:rPr>
            </w:pPr>
            <w:r w:rsidRPr="0075595E">
              <w:rPr>
                <w:rFonts w:ascii="Calibri" w:hAnsi="Calibri"/>
                <w:sz w:val="18"/>
                <w:szCs w:val="18"/>
                <w:lang w:val="fr-CA"/>
              </w:rPr>
              <w:t>75193737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F164EE2"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5DD0480"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B027885"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8D64DE0"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764FC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DEA6F6"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07F5AC1F"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FBE8131"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SAWADOGO Mamoudou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A6EFEC1" w14:textId="77777777" w:rsidR="00302BFE" w:rsidRPr="0075595E" w:rsidRDefault="00302BFE" w:rsidP="00243B15">
            <w:pPr>
              <w:pStyle w:val="TableStyle2A"/>
              <w:rPr>
                <w:rStyle w:val="NoneA"/>
                <w:rFonts w:ascii="Calibri" w:hAnsi="Calibri"/>
                <w:sz w:val="18"/>
                <w:szCs w:val="18"/>
                <w:lang w:val="fr-CA"/>
              </w:rPr>
            </w:pPr>
            <w:r w:rsidRPr="0075595E">
              <w:rPr>
                <w:rFonts w:ascii="Calibri" w:hAnsi="Calibri"/>
                <w:sz w:val="18"/>
                <w:szCs w:val="18"/>
                <w:lang w:val="fr-CA"/>
              </w:rPr>
              <w:t>ZAT Agriculture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F3016AB" w14:textId="77777777" w:rsidR="00302BFE" w:rsidRPr="0075595E" w:rsidRDefault="00302BFE" w:rsidP="00243B15">
            <w:pPr>
              <w:pStyle w:val="TableStyle2A"/>
              <w:rPr>
                <w:rFonts w:ascii="Calibri" w:hAnsi="Calibri"/>
                <w:sz w:val="18"/>
                <w:szCs w:val="18"/>
                <w:lang w:val="fr-FR"/>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2E26ED3" w14:textId="77777777" w:rsidR="00302BFE" w:rsidRPr="0075595E" w:rsidRDefault="00302BFE" w:rsidP="00243B15">
            <w:pPr>
              <w:pStyle w:val="TableStyle2A"/>
              <w:rPr>
                <w:rStyle w:val="NoneA"/>
                <w:rFonts w:ascii="Calibri" w:hAnsi="Calibri"/>
                <w:sz w:val="18"/>
                <w:szCs w:val="18"/>
                <w:lang w:val="fr-CA"/>
              </w:rPr>
            </w:pPr>
            <w:r w:rsidRPr="0075595E">
              <w:rPr>
                <w:rFonts w:ascii="Calibri" w:hAnsi="Calibri"/>
                <w:sz w:val="18"/>
                <w:szCs w:val="18"/>
                <w:lang w:val="fr-CA"/>
              </w:rPr>
              <w:t>77882275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3C239D1" w14:textId="77777777" w:rsidR="00302BFE" w:rsidRPr="002854BE" w:rsidRDefault="00000000" w:rsidP="00243B15">
            <w:pPr>
              <w:pStyle w:val="TableStyle2A"/>
              <w:rPr>
                <w:rStyle w:val="Hyperlink0"/>
                <w:rFonts w:ascii="Calibri" w:hAnsi="Calibri"/>
                <w:sz w:val="18"/>
                <w:szCs w:val="18"/>
                <w:u w:val="none"/>
                <w:lang w:val="fr-CA"/>
              </w:rPr>
            </w:pPr>
            <w:hyperlink r:id="rId60" w:history="1">
              <w:r w:rsidR="00302BFE" w:rsidRPr="002854BE">
                <w:rPr>
                  <w:rStyle w:val="Lienhypertexte"/>
                  <w:rFonts w:ascii="Calibri" w:hAnsi="Calibri"/>
                  <w:sz w:val="18"/>
                  <w:szCs w:val="18"/>
                </w:rPr>
                <w:t>samamoud1@yahoo.fr</w:t>
              </w:r>
            </w:hyperlink>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D30E45E"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B5A1AC"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080DCF"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06C599"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CD73AC0"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7A52905E"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6D8E8F7"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NEBIE Boukary</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7A6E4569" w14:textId="77777777" w:rsidR="00302BFE" w:rsidRPr="0075595E" w:rsidRDefault="00302BFE" w:rsidP="00243B15">
            <w:pPr>
              <w:pStyle w:val="TableStyle2A"/>
              <w:rPr>
                <w:rStyle w:val="NoneA"/>
                <w:rFonts w:ascii="Calibri" w:hAnsi="Calibri"/>
                <w:sz w:val="18"/>
                <w:szCs w:val="18"/>
                <w:lang w:val="fr-FR"/>
              </w:rPr>
            </w:pPr>
            <w:proofErr w:type="spellStart"/>
            <w:r w:rsidRPr="0075595E">
              <w:rPr>
                <w:rStyle w:val="NoneA"/>
                <w:rFonts w:ascii="Calibri" w:hAnsi="Calibri"/>
                <w:sz w:val="18"/>
                <w:szCs w:val="18"/>
                <w:lang w:val="fr-FR"/>
              </w:rPr>
              <w:t>President</w:t>
            </w:r>
            <w:proofErr w:type="spellEnd"/>
            <w:r w:rsidRPr="0075595E">
              <w:rPr>
                <w:rStyle w:val="NoneA"/>
                <w:rFonts w:ascii="Calibri" w:hAnsi="Calibri"/>
                <w:sz w:val="18"/>
                <w:szCs w:val="18"/>
                <w:lang w:val="fr-FR"/>
              </w:rPr>
              <w:t xml:space="preserve"> CATG Foncière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369CCBF"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CE0A21D"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74303169</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0B80D94" w14:textId="77777777" w:rsidR="00302BFE" w:rsidRPr="002854BE" w:rsidRDefault="00000000" w:rsidP="00243B15">
            <w:pPr>
              <w:pStyle w:val="TableStyle2A"/>
              <w:rPr>
                <w:rStyle w:val="Hyperlink0"/>
                <w:rFonts w:ascii="Calibri" w:hAnsi="Calibri"/>
                <w:sz w:val="18"/>
                <w:szCs w:val="18"/>
                <w:u w:val="none"/>
                <w:lang w:val="fr-FR"/>
              </w:rPr>
            </w:pPr>
            <w:hyperlink r:id="rId61" w:history="1">
              <w:r w:rsidR="00302BFE" w:rsidRPr="002854BE">
                <w:rPr>
                  <w:rStyle w:val="Lienhypertexte"/>
                  <w:rFonts w:ascii="Calibri" w:hAnsi="Calibri"/>
                  <w:sz w:val="18"/>
                  <w:szCs w:val="18"/>
                  <w:lang w:val="fr-FR"/>
                </w:rPr>
                <w:t>nebieboukary@gmail.com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ED8E79"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7FC280"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B557CCB"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A15ED8"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EC08246"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19050AE0"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C79574A"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OUEDRAOGO </w:t>
            </w:r>
            <w:proofErr w:type="spellStart"/>
            <w:r w:rsidRPr="0075595E">
              <w:rPr>
                <w:rFonts w:ascii="Calibri" w:hAnsi="Calibri"/>
                <w:sz w:val="18"/>
                <w:szCs w:val="18"/>
              </w:rPr>
              <w:t>Yemdaogo</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6169682"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Chef SDEEVCC</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B98F742"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6526663"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70415354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22E9B6A"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0CF4DE"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1ACDCE"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5613B4"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3EBF3F"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3BD271"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422CAB3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17EF456"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GANSAONRE O. Simon</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2E707397"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Chef ZAT</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B0F3482"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15E321A"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71043815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5B4BEE1" w14:textId="77777777" w:rsidR="00302BFE" w:rsidRPr="002854BE" w:rsidRDefault="00000000" w:rsidP="00243B15">
            <w:pPr>
              <w:pStyle w:val="TableStyle2A"/>
              <w:rPr>
                <w:rStyle w:val="Hyperlink0"/>
                <w:rFonts w:ascii="Calibri" w:hAnsi="Calibri"/>
                <w:sz w:val="18"/>
                <w:szCs w:val="18"/>
                <w:u w:val="none"/>
                <w:lang w:val="fr-FR"/>
              </w:rPr>
            </w:pPr>
            <w:hyperlink r:id="rId62" w:history="1">
              <w:r w:rsidR="00302BFE" w:rsidRPr="002854BE">
                <w:rPr>
                  <w:rStyle w:val="Lienhypertexte"/>
                  <w:rFonts w:ascii="Calibri" w:hAnsi="Calibri"/>
                  <w:sz w:val="18"/>
                  <w:szCs w:val="18"/>
                  <w:lang w:val="fr-FR"/>
                </w:rPr>
                <w:t>gansimobf91@gmail.com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20B7064"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E38994"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21BB7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20E599"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14E89D"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5139B1BE"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6B0870A"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ZOUNGRANA Amadou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7D39575B"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BD93E43" w14:textId="77777777" w:rsidR="00302BFE" w:rsidRPr="0075595E" w:rsidRDefault="00302BFE" w:rsidP="00243B15">
            <w:pPr>
              <w:pStyle w:val="TableStyle2A"/>
              <w:rPr>
                <w:rFonts w:ascii="Calibri" w:hAnsi="Calibri"/>
                <w:sz w:val="16"/>
                <w:szCs w:val="16"/>
              </w:rPr>
            </w:pPr>
            <w:r w:rsidRPr="0075595E">
              <w:rPr>
                <w:rFonts w:ascii="Calibri" w:hAnsi="Calibri"/>
                <w:sz w:val="16"/>
                <w:szCs w:val="16"/>
                <w:lang w:val="fr-FR"/>
              </w:rPr>
              <w:t>SP/CNDD/MEEVCC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8366215"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70715967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95DC659" w14:textId="77777777" w:rsidR="00302BFE" w:rsidRPr="002854BE" w:rsidRDefault="00000000" w:rsidP="00243B15">
            <w:pPr>
              <w:pStyle w:val="TableStyle2A"/>
              <w:rPr>
                <w:rStyle w:val="Hyperlink0"/>
                <w:rFonts w:ascii="Calibri" w:hAnsi="Calibri"/>
                <w:sz w:val="18"/>
                <w:szCs w:val="18"/>
                <w:u w:val="none"/>
                <w:lang w:val="fr-FR"/>
              </w:rPr>
            </w:pPr>
            <w:hyperlink r:id="rId63" w:history="1">
              <w:r w:rsidR="00302BFE" w:rsidRPr="002854BE">
                <w:rPr>
                  <w:rStyle w:val="Lienhypertexte"/>
                  <w:rFonts w:ascii="Calibri" w:hAnsi="Calibri"/>
                  <w:sz w:val="18"/>
                  <w:szCs w:val="18"/>
                  <w:lang w:val="fr-FR"/>
                </w:rPr>
                <w:t>zoungramadou@gmail.com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8F34F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EF2857"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EB7855"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742FEA"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E5F1872"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0B56942C"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D64A84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TAGNAN </w:t>
            </w:r>
            <w:proofErr w:type="spellStart"/>
            <w:r w:rsidRPr="0075595E">
              <w:rPr>
                <w:rFonts w:ascii="Calibri" w:hAnsi="Calibri"/>
                <w:sz w:val="18"/>
                <w:szCs w:val="18"/>
              </w:rPr>
              <w:t>Bapouri</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0997A47A"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Président CRA Biéha</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98D8E26"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69319A0"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76727042</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44AF674"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ADD8620"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6F4620"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E224EC"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AF4FC5"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9410D5"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11D963D8"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37F18D4"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NACRO </w:t>
            </w:r>
            <w:proofErr w:type="spellStart"/>
            <w:r w:rsidRPr="0075595E">
              <w:rPr>
                <w:rFonts w:ascii="Calibri" w:hAnsi="Calibri"/>
                <w:sz w:val="18"/>
                <w:szCs w:val="18"/>
              </w:rPr>
              <w:t>Nouhoun</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0DE84360"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Membre tribunal</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26D82DB"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E41E240"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75644672</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0919129"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B7A988E"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3B3E13"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C94B79"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5614270"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3EA8AB"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1BD4B64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BD80007"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BANDE Salou</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0885ECFB"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Éleveur</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E103E5"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75F3033"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74648824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9C8DD5C"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E0DB2D"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45357F"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4223568"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F67C2C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A73624"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12A29A9C"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A60B7C6"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NACRO </w:t>
            </w:r>
            <w:proofErr w:type="spellStart"/>
            <w:r w:rsidRPr="0075595E">
              <w:rPr>
                <w:rFonts w:ascii="Calibri" w:hAnsi="Calibri"/>
                <w:sz w:val="18"/>
                <w:szCs w:val="18"/>
              </w:rPr>
              <w:t>Aminatou</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7B7710CD"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Présidente/ Femme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1CC7B91"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CAD1D27"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56520574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84432D7"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B5F3B7F"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7A455D"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0C3CC8A"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8A961C"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AD910D"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7BFEC978"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31201F5"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NACRO Aziz</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4E1B8B8"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Président des jeunes</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27844D6"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AF595FE"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75610701</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A87F95A"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75E7DC"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4CA78F"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AC4DB1C"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16A9EC"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819A06"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45AA7FF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883F30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lastRenderedPageBreak/>
              <w:t xml:space="preserve">NACRO </w:t>
            </w:r>
            <w:proofErr w:type="spellStart"/>
            <w:r w:rsidRPr="0075595E">
              <w:rPr>
                <w:rFonts w:ascii="Calibri" w:hAnsi="Calibri"/>
                <w:sz w:val="18"/>
                <w:szCs w:val="18"/>
              </w:rPr>
              <w:t>Temozin</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790E7BA6"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Femmes</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BAA8D1C"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8F4441D"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75631474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DE5D750"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581FC8B"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C22A4E"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DDA297"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B353CC"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A283E4"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1785F998" w14:textId="77777777" w:rsidTr="00243B15">
        <w:trPr>
          <w:jc w:val="center"/>
        </w:trPr>
        <w:tc>
          <w:tcPr>
            <w:tcW w:w="13744" w:type="dxa"/>
            <w:gridSpan w:val="10"/>
            <w:tcBorders>
              <w:top w:val="single" w:sz="2" w:space="0" w:color="000000"/>
              <w:left w:val="single" w:sz="2" w:space="0" w:color="000000"/>
              <w:bottom w:val="single" w:sz="2" w:space="0" w:color="000000"/>
              <w:right w:val="single" w:sz="2" w:space="0" w:color="000000"/>
            </w:tcBorders>
            <w:shd w:val="clear" w:color="auto" w:fill="FFF2CC"/>
            <w:tcMar>
              <w:top w:w="80" w:type="dxa"/>
              <w:left w:w="80" w:type="dxa"/>
              <w:bottom w:w="80" w:type="dxa"/>
              <w:right w:w="80" w:type="dxa"/>
            </w:tcMar>
            <w:hideMark/>
          </w:tcPr>
          <w:p w14:paraId="38FB30A5" w14:textId="77777777" w:rsidR="00302BFE" w:rsidRPr="002854BE" w:rsidRDefault="00302BFE" w:rsidP="00243B15">
            <w:pPr>
              <w:pStyle w:val="TableStyle2A"/>
              <w:rPr>
                <w:rStyle w:val="Hyperlink0"/>
                <w:rFonts w:ascii="Calibri" w:hAnsi="Calibri"/>
                <w:sz w:val="18"/>
                <w:szCs w:val="18"/>
                <w:u w:val="none"/>
              </w:rPr>
            </w:pPr>
            <w:r w:rsidRPr="002854BE">
              <w:rPr>
                <w:rFonts w:ascii="Calibri" w:hAnsi="Calibri"/>
                <w:b/>
                <w:sz w:val="18"/>
                <w:szCs w:val="18"/>
              </w:rPr>
              <w:t>Commune of ZABRE, 09/24/2018</w:t>
            </w:r>
          </w:p>
        </w:tc>
      </w:tr>
      <w:tr w:rsidR="00302BFE" w:rsidRPr="0075595E" w14:paraId="79E05B79"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9C4F2EC"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YABRE </w:t>
            </w:r>
            <w:proofErr w:type="spellStart"/>
            <w:r w:rsidRPr="0075595E">
              <w:rPr>
                <w:rFonts w:ascii="Calibri" w:hAnsi="Calibri"/>
                <w:sz w:val="18"/>
                <w:szCs w:val="18"/>
              </w:rPr>
              <w:t>Doudoma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3A7EBC6"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 xml:space="preserve">Président </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0CF2EE" w14:textId="77777777" w:rsidR="00302BFE" w:rsidRPr="0075595E" w:rsidRDefault="00302BFE" w:rsidP="00243B15">
            <w:pPr>
              <w:pStyle w:val="TableStyle2A"/>
              <w:rPr>
                <w:rFonts w:ascii="Calibri" w:hAnsi="Calibri"/>
                <w:sz w:val="18"/>
                <w:szCs w:val="18"/>
                <w:lang w:val="fr-CA"/>
              </w:rPr>
            </w:pPr>
            <w:proofErr w:type="spellStart"/>
            <w:r w:rsidRPr="0075595E">
              <w:rPr>
                <w:rStyle w:val="NoneA"/>
                <w:rFonts w:ascii="Calibri" w:hAnsi="Calibri"/>
                <w:sz w:val="18"/>
                <w:szCs w:val="18"/>
                <w:lang w:val="fr-FR"/>
              </w:rPr>
              <w:t>Comm</w:t>
            </w:r>
            <w:proofErr w:type="spellEnd"/>
            <w:r w:rsidRPr="0075595E">
              <w:rPr>
                <w:rStyle w:val="NoneA"/>
                <w:rFonts w:ascii="Calibri" w:hAnsi="Calibri"/>
                <w:sz w:val="18"/>
                <w:szCs w:val="18"/>
                <w:lang w:val="fr-FR"/>
              </w:rPr>
              <w:t>. affaires générale sociale</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7D072CB" w14:textId="77777777" w:rsidR="00302BFE" w:rsidRPr="0075595E" w:rsidRDefault="00302BFE" w:rsidP="00243B15">
            <w:pPr>
              <w:pStyle w:val="TableStyle2A"/>
              <w:rPr>
                <w:rFonts w:ascii="Calibri" w:hAnsi="Calibri"/>
                <w:sz w:val="18"/>
                <w:szCs w:val="18"/>
              </w:rPr>
            </w:pPr>
            <w:r w:rsidRPr="0075595E">
              <w:rPr>
                <w:rStyle w:val="NoneA"/>
                <w:rFonts w:ascii="Calibri" w:hAnsi="Calibri"/>
                <w:sz w:val="18"/>
                <w:szCs w:val="18"/>
              </w:rPr>
              <w:t>76703808</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2D0C9E2"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EDDD1C5"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C55759"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3B4B09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5E6B69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F6B73D"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7355A958"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F2239A1"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KONATE Aboubacar</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4F0994F4"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Agent agriculture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A428B6"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DBAA050"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70758698</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BA500DE" w14:textId="77777777" w:rsidR="00302BFE" w:rsidRPr="002854BE" w:rsidRDefault="00302BFE" w:rsidP="00243B15">
            <w:pPr>
              <w:pStyle w:val="TableStyle2A"/>
              <w:rPr>
                <w:rStyle w:val="Hyperlink0"/>
                <w:rFonts w:ascii="Calibri" w:hAnsi="Calibri"/>
                <w:sz w:val="18"/>
                <w:szCs w:val="18"/>
                <w:u w:val="none"/>
              </w:rPr>
            </w:pPr>
            <w:r w:rsidRPr="002854BE">
              <w:rPr>
                <w:rStyle w:val="Hyperlink0"/>
                <w:rFonts w:ascii="Calibri" w:hAnsi="Calibri"/>
                <w:sz w:val="18"/>
                <w:szCs w:val="18"/>
                <w:u w:val="none"/>
              </w:rPr>
              <w:t>sidikonat79@gmail.com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41F1C6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890F6B5"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553115"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48B65D"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88EF6A"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1FFF0DCC"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84E8E47"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OUEDRAOGO Yacouba</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8B516A1"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 xml:space="preserve">Agent </w:t>
            </w:r>
            <w:proofErr w:type="spellStart"/>
            <w:r w:rsidRPr="0075595E">
              <w:rPr>
                <w:rStyle w:val="NoneA"/>
                <w:rFonts w:ascii="Calibri" w:hAnsi="Calibri"/>
                <w:sz w:val="18"/>
                <w:szCs w:val="18"/>
              </w:rPr>
              <w:t>d’élevage</w:t>
            </w:r>
            <w:proofErr w:type="spellEnd"/>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631FA5A"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65E1CB3"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70604063</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37FB5E0" w14:textId="77777777" w:rsidR="00302BFE" w:rsidRPr="002854BE" w:rsidRDefault="00302BFE" w:rsidP="00243B15">
            <w:pPr>
              <w:pStyle w:val="TableStyle2A"/>
              <w:rPr>
                <w:rStyle w:val="Hyperlink0"/>
                <w:rFonts w:ascii="Calibri" w:hAnsi="Calibri"/>
                <w:sz w:val="18"/>
                <w:szCs w:val="18"/>
                <w:u w:val="none"/>
              </w:rPr>
            </w:pPr>
            <w:r w:rsidRPr="002854BE">
              <w:rPr>
                <w:rStyle w:val="Hyperlink0"/>
                <w:rFonts w:ascii="Calibri" w:hAnsi="Calibri"/>
                <w:sz w:val="18"/>
                <w:szCs w:val="18"/>
                <w:u w:val="none"/>
              </w:rPr>
              <w:t>ouedraogoyacouba78@yahoo.fr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712AB7"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1808E3E"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BDD993E"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4CCC9E"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052B539"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5E53C6CA"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6C10688"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SANGO Hassane</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06244476" w14:textId="77777777" w:rsidR="00302BFE" w:rsidRPr="0075595E" w:rsidRDefault="00302BFE" w:rsidP="00243B15">
            <w:pPr>
              <w:pStyle w:val="TableStyle2A"/>
              <w:rPr>
                <w:rStyle w:val="NoneA"/>
                <w:rFonts w:ascii="Calibri" w:hAnsi="Calibri"/>
                <w:sz w:val="18"/>
                <w:szCs w:val="18"/>
              </w:rPr>
            </w:pPr>
            <w:proofErr w:type="spellStart"/>
            <w:r w:rsidRPr="0075595E">
              <w:rPr>
                <w:rStyle w:val="NoneA"/>
                <w:rFonts w:ascii="Calibri" w:hAnsi="Calibri"/>
                <w:sz w:val="18"/>
                <w:szCs w:val="18"/>
              </w:rPr>
              <w:t>Pastoralisme</w:t>
            </w:r>
            <w:proofErr w:type="spellEnd"/>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63070F"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A129A06"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75035193</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6ABAE46" w14:textId="77777777" w:rsidR="00302BFE" w:rsidRPr="002854BE" w:rsidRDefault="00302BFE" w:rsidP="00243B15">
            <w:pPr>
              <w:pStyle w:val="TableStyle2A"/>
              <w:rPr>
                <w:rStyle w:val="Hyperlink0"/>
                <w:rFonts w:ascii="Calibri" w:hAnsi="Calibri"/>
                <w:sz w:val="18"/>
                <w:szCs w:val="18"/>
                <w:u w:val="none"/>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34981F4"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0B5543"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BD2F390"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D6977B"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17E1E0F"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7B014ADE"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EFE2D11"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MARE Yves </w:t>
            </w:r>
            <w:proofErr w:type="gramStart"/>
            <w:r w:rsidRPr="0075595E">
              <w:rPr>
                <w:rFonts w:ascii="Calibri" w:hAnsi="Calibri"/>
                <w:sz w:val="18"/>
                <w:szCs w:val="18"/>
              </w:rPr>
              <w:t>H.I</w:t>
            </w:r>
            <w:proofErr w:type="gram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0813C9E2"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 xml:space="preserve">President </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A349B5F" w14:textId="77777777" w:rsidR="00302BFE" w:rsidRPr="0075595E" w:rsidRDefault="00302BFE" w:rsidP="00243B15">
            <w:pPr>
              <w:pStyle w:val="TableStyle2A"/>
              <w:rPr>
                <w:rFonts w:ascii="Calibri" w:hAnsi="Calibri"/>
                <w:sz w:val="18"/>
                <w:szCs w:val="18"/>
              </w:rPr>
            </w:pPr>
            <w:r w:rsidRPr="0075595E">
              <w:rPr>
                <w:rStyle w:val="NoneA"/>
                <w:rFonts w:ascii="Calibri" w:hAnsi="Calibri"/>
                <w:sz w:val="18"/>
                <w:szCs w:val="18"/>
              </w:rPr>
              <w:t>Association AFNA</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F397529"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70984618</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A50843A" w14:textId="77777777" w:rsidR="00302BFE" w:rsidRPr="002854BE" w:rsidRDefault="00302BFE" w:rsidP="00243B15">
            <w:pPr>
              <w:pStyle w:val="TableStyle2A"/>
              <w:rPr>
                <w:rStyle w:val="Hyperlink0"/>
                <w:rFonts w:ascii="Calibri" w:hAnsi="Calibri"/>
                <w:sz w:val="18"/>
                <w:szCs w:val="18"/>
                <w:u w:val="none"/>
              </w:rPr>
            </w:pPr>
            <w:r w:rsidRPr="002854BE">
              <w:rPr>
                <w:rStyle w:val="Hyperlink0"/>
                <w:rFonts w:ascii="Calibri" w:hAnsi="Calibri"/>
                <w:sz w:val="18"/>
                <w:szCs w:val="18"/>
                <w:u w:val="none"/>
              </w:rPr>
              <w:t>mareherman77@gmail.com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ED9936"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F1B74ED"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B616671"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2A3B55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6FF46F"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0BFA91B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BA23349"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GOUBA </w:t>
            </w:r>
            <w:proofErr w:type="spellStart"/>
            <w:r w:rsidRPr="0075595E">
              <w:rPr>
                <w:rFonts w:ascii="Calibri" w:hAnsi="Calibri"/>
                <w:sz w:val="18"/>
                <w:szCs w:val="18"/>
              </w:rPr>
              <w:t>Windmi</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1896757A" w14:textId="77777777" w:rsidR="00302BFE" w:rsidRPr="0075595E" w:rsidRDefault="00302BFE" w:rsidP="00243B15">
            <w:pPr>
              <w:pStyle w:val="TableStyle2A"/>
              <w:rPr>
                <w:rStyle w:val="NoneA"/>
                <w:rFonts w:ascii="Calibri" w:hAnsi="Calibri"/>
                <w:sz w:val="18"/>
                <w:szCs w:val="18"/>
              </w:rPr>
            </w:pPr>
            <w:proofErr w:type="spellStart"/>
            <w:r w:rsidRPr="0075595E">
              <w:rPr>
                <w:rStyle w:val="NoneA"/>
                <w:rFonts w:ascii="Calibri" w:hAnsi="Calibri"/>
                <w:sz w:val="18"/>
                <w:szCs w:val="18"/>
              </w:rPr>
              <w:t>Pdt</w:t>
            </w:r>
            <w:proofErr w:type="spellEnd"/>
            <w:r w:rsidRPr="0075595E">
              <w:rPr>
                <w:rStyle w:val="NoneA"/>
                <w:rFonts w:ascii="Calibri" w:hAnsi="Calibri"/>
                <w:sz w:val="18"/>
                <w:szCs w:val="18"/>
              </w:rPr>
              <w:t xml:space="preserve"> CEDL </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F2589D5" w14:textId="77777777" w:rsidR="00302BFE" w:rsidRPr="0075595E" w:rsidRDefault="00302BFE" w:rsidP="00243B15">
            <w:pPr>
              <w:pStyle w:val="TableStyle2A"/>
              <w:rPr>
                <w:rFonts w:ascii="Calibri" w:hAnsi="Calibri"/>
                <w:sz w:val="18"/>
                <w:szCs w:val="18"/>
              </w:rPr>
            </w:pPr>
            <w:proofErr w:type="spellStart"/>
            <w:r w:rsidRPr="0075595E">
              <w:rPr>
                <w:rStyle w:val="NoneA"/>
                <w:rFonts w:ascii="Calibri" w:hAnsi="Calibri"/>
                <w:sz w:val="18"/>
                <w:szCs w:val="18"/>
              </w:rPr>
              <w:t>Mairie</w:t>
            </w:r>
            <w:proofErr w:type="spellEnd"/>
            <w:r w:rsidRPr="0075595E">
              <w:rPr>
                <w:rStyle w:val="NoneA"/>
                <w:rFonts w:ascii="Calibri" w:hAnsi="Calibri"/>
                <w:sz w:val="18"/>
                <w:szCs w:val="18"/>
              </w:rPr>
              <w:t>/</w:t>
            </w:r>
            <w:proofErr w:type="spellStart"/>
            <w:r w:rsidRPr="0075595E">
              <w:rPr>
                <w:rStyle w:val="NoneA"/>
                <w:rFonts w:ascii="Calibri" w:hAnsi="Calibri"/>
                <w:sz w:val="18"/>
                <w:szCs w:val="18"/>
              </w:rPr>
              <w:t>Zabré</w:t>
            </w:r>
            <w:proofErr w:type="spellEnd"/>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E259947"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70111814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3761E05" w14:textId="77777777" w:rsidR="00302BFE" w:rsidRPr="002854BE" w:rsidRDefault="00302BFE" w:rsidP="00243B15">
            <w:pPr>
              <w:pStyle w:val="TableStyle2A"/>
              <w:rPr>
                <w:rStyle w:val="Hyperlink0"/>
                <w:rFonts w:ascii="Calibri" w:hAnsi="Calibri"/>
                <w:sz w:val="18"/>
                <w:szCs w:val="18"/>
                <w:u w:val="none"/>
              </w:rPr>
            </w:pPr>
            <w:r w:rsidRPr="002854BE">
              <w:rPr>
                <w:rStyle w:val="Hyperlink0"/>
                <w:rFonts w:ascii="Calibri" w:hAnsi="Calibri"/>
                <w:sz w:val="18"/>
                <w:szCs w:val="18"/>
                <w:u w:val="none"/>
              </w:rPr>
              <w:t>goubawindmi1@gmail.com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56A8EDE"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F7A774"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EDFC796"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F8930A"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02DE6C2"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2A788F1F"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6B41EC0"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WARE Y. Justin</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670C715B" w14:textId="77777777" w:rsidR="00302BFE" w:rsidRPr="0075595E" w:rsidRDefault="00302BFE" w:rsidP="00243B15">
            <w:pPr>
              <w:pStyle w:val="TableStyle2A"/>
              <w:rPr>
                <w:rStyle w:val="NoneA"/>
                <w:rFonts w:ascii="Calibri" w:hAnsi="Calibri"/>
                <w:sz w:val="18"/>
                <w:szCs w:val="18"/>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365A67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Assoc. Pag-la-</w:t>
            </w:r>
            <w:proofErr w:type="spellStart"/>
            <w:r w:rsidRPr="0075595E">
              <w:rPr>
                <w:rFonts w:ascii="Calibri" w:hAnsi="Calibri"/>
                <w:sz w:val="18"/>
                <w:szCs w:val="18"/>
              </w:rPr>
              <w:t>yiri</w:t>
            </w:r>
            <w:proofErr w:type="spellEnd"/>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DAF3CF4"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76092708</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6C238CD" w14:textId="77777777" w:rsidR="00302BFE" w:rsidRPr="002854BE" w:rsidRDefault="00302BFE" w:rsidP="00243B15">
            <w:pPr>
              <w:pStyle w:val="TableStyle2A"/>
              <w:rPr>
                <w:rStyle w:val="Hyperlink0"/>
                <w:rFonts w:ascii="Calibri" w:hAnsi="Calibri"/>
                <w:sz w:val="18"/>
                <w:szCs w:val="18"/>
                <w:u w:val="none"/>
              </w:rPr>
            </w:pPr>
            <w:r w:rsidRPr="002854BE">
              <w:rPr>
                <w:rStyle w:val="Hyperlink0"/>
                <w:rFonts w:ascii="Calibri" w:hAnsi="Calibri"/>
                <w:sz w:val="18"/>
                <w:szCs w:val="18"/>
                <w:u w:val="none"/>
              </w:rPr>
              <w:t>warjust@gmail.com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09FA58"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D5F50F"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4271A4A"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B285A8D"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26D2F9"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274EA3B8"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E176AFB"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BANDE Issa</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13700D68" w14:textId="77777777" w:rsidR="00302BFE" w:rsidRPr="0075595E" w:rsidRDefault="00302BFE" w:rsidP="00243B15">
            <w:pPr>
              <w:pStyle w:val="TableStyle2A"/>
              <w:rPr>
                <w:rStyle w:val="NoneA"/>
                <w:rFonts w:ascii="Calibri" w:hAnsi="Calibri"/>
                <w:sz w:val="18"/>
                <w:szCs w:val="18"/>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CBF09C0"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7E5E2B7"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76996663</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93769C3" w14:textId="77777777" w:rsidR="00302BFE" w:rsidRPr="002854BE" w:rsidRDefault="00302BFE" w:rsidP="00243B15">
            <w:pPr>
              <w:pStyle w:val="TableStyle2A"/>
              <w:rPr>
                <w:rStyle w:val="Hyperlink0"/>
                <w:rFonts w:ascii="Calibri" w:hAnsi="Calibri"/>
                <w:sz w:val="18"/>
                <w:szCs w:val="18"/>
                <w:u w:val="none"/>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E12B2A"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241D57B"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A7A6C0"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B4F02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C6D4722"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1FFC98FE"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EEB7E7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DIAGNAM Abdou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7B5EA285" w14:textId="77777777" w:rsidR="00302BFE" w:rsidRPr="0075595E" w:rsidRDefault="00302BFE" w:rsidP="00243B15">
            <w:pPr>
              <w:pStyle w:val="TableStyle2A"/>
              <w:rPr>
                <w:rStyle w:val="NoneA"/>
                <w:rFonts w:ascii="Calibri" w:hAnsi="Calibri"/>
                <w:sz w:val="18"/>
                <w:szCs w:val="18"/>
              </w:rPr>
            </w:pPr>
            <w:proofErr w:type="spellStart"/>
            <w:r w:rsidRPr="0075595E">
              <w:rPr>
                <w:rStyle w:val="NoneA"/>
                <w:rFonts w:ascii="Calibri" w:hAnsi="Calibri"/>
                <w:sz w:val="18"/>
                <w:szCs w:val="18"/>
              </w:rPr>
              <w:t>Sécretaire</w:t>
            </w:r>
            <w:proofErr w:type="spellEnd"/>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88DB09D"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Assoc. LEGAKOU</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EBD713E"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76620542</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4AE3B40" w14:textId="77777777" w:rsidR="00302BFE" w:rsidRPr="002854BE" w:rsidRDefault="00302BFE" w:rsidP="00243B15">
            <w:pPr>
              <w:pStyle w:val="TableStyle2A"/>
              <w:rPr>
                <w:rStyle w:val="Hyperlink0"/>
                <w:rFonts w:ascii="Calibri" w:hAnsi="Calibri"/>
                <w:sz w:val="18"/>
                <w:szCs w:val="18"/>
                <w:u w:val="none"/>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B23FD76"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BF7169"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6E7EF1"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708CD6C"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BD9B53"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335111A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88619F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GOUBA S. </w:t>
            </w:r>
            <w:proofErr w:type="spellStart"/>
            <w:r w:rsidRPr="0075595E">
              <w:rPr>
                <w:rFonts w:ascii="Calibri" w:hAnsi="Calibri"/>
                <w:sz w:val="18"/>
                <w:szCs w:val="18"/>
              </w:rPr>
              <w:t>Gatien</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0B9E324F"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 xml:space="preserve">President </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EFCA88F"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Assoc. des </w:t>
            </w:r>
            <w:proofErr w:type="spellStart"/>
            <w:r w:rsidRPr="0075595E">
              <w:rPr>
                <w:rFonts w:ascii="Calibri" w:hAnsi="Calibri"/>
                <w:sz w:val="18"/>
                <w:szCs w:val="18"/>
              </w:rPr>
              <w:t>Jeunes</w:t>
            </w:r>
            <w:proofErr w:type="spellEnd"/>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DDB6811"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64110599</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5342026" w14:textId="77777777" w:rsidR="00302BFE" w:rsidRPr="002854BE" w:rsidRDefault="00302BFE" w:rsidP="00243B15">
            <w:pPr>
              <w:pStyle w:val="TableStyle2A"/>
              <w:rPr>
                <w:rStyle w:val="Hyperlink0"/>
                <w:rFonts w:ascii="Calibri" w:hAnsi="Calibri"/>
                <w:sz w:val="18"/>
                <w:szCs w:val="18"/>
                <w:u w:val="none"/>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C2590C"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DF1C52"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4E2C1D"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FF2277"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D9DF1D"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31BFFCE5"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81E533C"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GOUBA Z. Mare</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4E6C0767"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President</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164D5C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UDGPM</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4693710"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76989703</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3723482" w14:textId="77777777" w:rsidR="00302BFE" w:rsidRPr="002854BE" w:rsidRDefault="00302BFE" w:rsidP="00243B15">
            <w:pPr>
              <w:pStyle w:val="TableStyle2A"/>
              <w:rPr>
                <w:rStyle w:val="Hyperlink0"/>
                <w:rFonts w:ascii="Calibri" w:hAnsi="Calibri"/>
                <w:sz w:val="18"/>
                <w:szCs w:val="18"/>
                <w:u w:val="none"/>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F5534F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2DCF9F6"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6E283D"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0A65C7"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4EF7749"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31063C73"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D559AB6"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KOUMA Sambo</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481CF077" w14:textId="77777777" w:rsidR="00302BFE" w:rsidRPr="0075595E" w:rsidRDefault="00302BFE" w:rsidP="00243B15">
            <w:pPr>
              <w:pStyle w:val="TableStyle2A"/>
              <w:rPr>
                <w:rStyle w:val="NoneA"/>
                <w:rFonts w:ascii="Calibri" w:hAnsi="Calibri"/>
                <w:sz w:val="18"/>
                <w:szCs w:val="18"/>
              </w:rPr>
            </w:pPr>
            <w:proofErr w:type="spellStart"/>
            <w:r w:rsidRPr="0075595E">
              <w:rPr>
                <w:rStyle w:val="NoneA"/>
                <w:rFonts w:ascii="Calibri" w:hAnsi="Calibri"/>
                <w:sz w:val="18"/>
                <w:szCs w:val="18"/>
              </w:rPr>
              <w:t>Sécretaire</w:t>
            </w:r>
            <w:proofErr w:type="spellEnd"/>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941CF7D"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UDGPM</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CC1A21D"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70104412</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B74F2BF" w14:textId="77777777" w:rsidR="00302BFE" w:rsidRPr="002854BE" w:rsidRDefault="00302BFE" w:rsidP="00243B15">
            <w:pPr>
              <w:pStyle w:val="TableStyle2A"/>
              <w:rPr>
                <w:rStyle w:val="Hyperlink0"/>
                <w:rFonts w:ascii="Calibri" w:hAnsi="Calibri"/>
                <w:sz w:val="18"/>
                <w:szCs w:val="18"/>
                <w:u w:val="none"/>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0917CC7"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6CADA4"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4E5420"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3FE5106"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7747B2"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133CDEC1"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749D7E0"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TARNADGA </w:t>
            </w:r>
            <w:proofErr w:type="spellStart"/>
            <w:r w:rsidRPr="0075595E">
              <w:rPr>
                <w:rFonts w:ascii="Calibri" w:hAnsi="Calibri"/>
                <w:sz w:val="18"/>
                <w:szCs w:val="18"/>
              </w:rPr>
              <w:t>Mamini</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46EB8CE2" w14:textId="77777777" w:rsidR="00302BFE" w:rsidRPr="0075595E" w:rsidRDefault="00302BFE" w:rsidP="00243B15">
            <w:pPr>
              <w:pStyle w:val="TableStyle2A"/>
              <w:rPr>
                <w:rStyle w:val="NoneA"/>
                <w:rFonts w:ascii="Calibri" w:hAnsi="Calibri"/>
                <w:sz w:val="18"/>
                <w:szCs w:val="18"/>
              </w:rPr>
            </w:pPr>
            <w:proofErr w:type="spellStart"/>
            <w:r w:rsidRPr="0075595E">
              <w:rPr>
                <w:rStyle w:val="NoneA"/>
                <w:rFonts w:ascii="Calibri" w:hAnsi="Calibri"/>
                <w:sz w:val="18"/>
                <w:szCs w:val="18"/>
              </w:rPr>
              <w:t>Coordonnateur</w:t>
            </w:r>
            <w:proofErr w:type="spellEnd"/>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5889224"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AYAA</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35B5953"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70776026</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27EB4B9" w14:textId="77777777" w:rsidR="00302BFE" w:rsidRPr="002854BE" w:rsidRDefault="00302BFE" w:rsidP="00243B15">
            <w:pPr>
              <w:pStyle w:val="TableStyle2A"/>
              <w:rPr>
                <w:rStyle w:val="Hyperlink0"/>
                <w:rFonts w:ascii="Calibri" w:hAnsi="Calibri"/>
                <w:sz w:val="18"/>
                <w:szCs w:val="18"/>
                <w:u w:val="none"/>
              </w:rPr>
            </w:pPr>
            <w:r w:rsidRPr="002854BE">
              <w:rPr>
                <w:rStyle w:val="Hyperlink0"/>
                <w:rFonts w:ascii="Calibri" w:hAnsi="Calibri"/>
                <w:sz w:val="18"/>
                <w:szCs w:val="18"/>
                <w:u w:val="none"/>
              </w:rPr>
              <w:t>tarnagda_mamini@yahoo.fr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1E7E285"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E9BC77"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F00B41"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EC9746"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745065"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4031664E"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13A3E19"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ZUSORRI Maria</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526D1076" w14:textId="77777777" w:rsidR="00302BFE" w:rsidRPr="0075595E" w:rsidRDefault="00302BFE" w:rsidP="00243B15">
            <w:pPr>
              <w:pStyle w:val="TableStyle2A"/>
              <w:rPr>
                <w:rStyle w:val="NoneA"/>
                <w:rFonts w:ascii="Calibri" w:hAnsi="Calibri"/>
                <w:sz w:val="18"/>
                <w:szCs w:val="18"/>
              </w:rPr>
            </w:pPr>
            <w:proofErr w:type="spellStart"/>
            <w:r w:rsidRPr="0075595E">
              <w:rPr>
                <w:rStyle w:val="NoneA"/>
                <w:rFonts w:ascii="Calibri" w:hAnsi="Calibri"/>
                <w:sz w:val="18"/>
                <w:szCs w:val="18"/>
              </w:rPr>
              <w:t>Coordonnateur</w:t>
            </w:r>
            <w:proofErr w:type="spellEnd"/>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1D4E5E"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8543B46"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73011158</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272BF13" w14:textId="77777777" w:rsidR="00302BFE" w:rsidRPr="002854BE" w:rsidRDefault="00302BFE" w:rsidP="00243B15">
            <w:pPr>
              <w:pStyle w:val="TableStyle2A"/>
              <w:rPr>
                <w:rStyle w:val="Hyperlink0"/>
                <w:rFonts w:ascii="Calibri" w:hAnsi="Calibri"/>
                <w:sz w:val="18"/>
                <w:szCs w:val="18"/>
                <w:u w:val="none"/>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7192327"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66748C"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791EF7C"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9D2C9A"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C517DD"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07E18B43"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22EA331"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ZOUNGRANA Amadou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12375503" w14:textId="77777777" w:rsidR="00302BFE" w:rsidRPr="0075595E" w:rsidRDefault="00302BFE" w:rsidP="00243B15">
            <w:pPr>
              <w:pStyle w:val="TableStyle2A"/>
              <w:rPr>
                <w:rStyle w:val="NoneA"/>
                <w:rFonts w:ascii="Calibri" w:hAnsi="Calibri"/>
                <w:sz w:val="18"/>
                <w:szCs w:val="18"/>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FC50F21" w14:textId="77777777" w:rsidR="00302BFE" w:rsidRPr="0075595E" w:rsidRDefault="00302BFE" w:rsidP="00243B15">
            <w:pPr>
              <w:pStyle w:val="TableStyle2A"/>
              <w:rPr>
                <w:rFonts w:ascii="Calibri" w:hAnsi="Calibri"/>
                <w:sz w:val="16"/>
                <w:szCs w:val="16"/>
              </w:rPr>
            </w:pPr>
            <w:r w:rsidRPr="0075595E">
              <w:rPr>
                <w:rFonts w:ascii="Calibri" w:hAnsi="Calibri"/>
                <w:sz w:val="16"/>
                <w:szCs w:val="16"/>
              </w:rPr>
              <w:t>SP/CNDD/MEEVCC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5E26A48"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70715967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A1451C2" w14:textId="77777777" w:rsidR="00302BFE" w:rsidRPr="002854BE" w:rsidRDefault="00302BFE" w:rsidP="00243B15">
            <w:pPr>
              <w:pStyle w:val="TableStyle2A"/>
              <w:rPr>
                <w:rStyle w:val="Hyperlink0"/>
                <w:rFonts w:ascii="Calibri" w:hAnsi="Calibri"/>
                <w:sz w:val="18"/>
                <w:szCs w:val="18"/>
                <w:u w:val="none"/>
              </w:rPr>
            </w:pPr>
            <w:r w:rsidRPr="002854BE">
              <w:rPr>
                <w:rStyle w:val="Hyperlink0"/>
                <w:rFonts w:ascii="Calibri" w:hAnsi="Calibri"/>
                <w:sz w:val="18"/>
                <w:szCs w:val="18"/>
                <w:u w:val="none"/>
              </w:rPr>
              <w:t>zoungramadou@gmail.com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8912DDB"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99151C"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CB91E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A88C94"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25DECF"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606C4921"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2A83791"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KOUMBEM Issaka</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A68B8A7"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Agent environnement</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E80A5A0"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85EC57E"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71829989</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6CB287F" w14:textId="77777777" w:rsidR="00302BFE" w:rsidRPr="002854BE" w:rsidRDefault="00302BFE" w:rsidP="00243B15">
            <w:pPr>
              <w:pStyle w:val="TableStyle2A"/>
              <w:rPr>
                <w:rStyle w:val="Hyperlink0"/>
                <w:rFonts w:ascii="Calibri" w:hAnsi="Calibri"/>
                <w:sz w:val="18"/>
                <w:szCs w:val="18"/>
                <w:u w:val="none"/>
                <w:lang w:val="fr-FR"/>
              </w:rPr>
            </w:pPr>
            <w:r w:rsidRPr="002854BE">
              <w:rPr>
                <w:rStyle w:val="Hyperlink0"/>
                <w:rFonts w:ascii="Calibri" w:hAnsi="Calibri"/>
                <w:sz w:val="18"/>
                <w:szCs w:val="18"/>
                <w:u w:val="none"/>
                <w:lang w:val="fr-FR"/>
              </w:rPr>
              <w:t>issakakoumbem@gmail.com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DD730B"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933DD9"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7B860F0"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76B8604"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013574"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5F357DEF"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53E545A"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YAO S. Jean Pierre</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336D79D"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Représentant/ Préfet</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9FA707C"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7BA25B4"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74427372</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B45505E"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29083A"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A2D905B"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107D37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44959D9"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08A1D6"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5DFDC78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22D28F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SOUGA </w:t>
            </w:r>
            <w:proofErr w:type="spellStart"/>
            <w:r w:rsidRPr="0075595E">
              <w:rPr>
                <w:rFonts w:ascii="Calibri" w:hAnsi="Calibri"/>
                <w:sz w:val="18"/>
                <w:szCs w:val="18"/>
                <w:lang w:val="fr-FR"/>
              </w:rPr>
              <w:t>Yembiga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9888DB4"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1</w:t>
            </w:r>
            <w:r w:rsidRPr="0075595E">
              <w:rPr>
                <w:rStyle w:val="NoneA"/>
                <w:rFonts w:ascii="Calibri" w:hAnsi="Calibri"/>
                <w:sz w:val="18"/>
                <w:szCs w:val="18"/>
                <w:vertAlign w:val="superscript"/>
                <w:lang w:val="fr-FR"/>
              </w:rPr>
              <w:t>er</w:t>
            </w:r>
            <w:r w:rsidRPr="0075595E">
              <w:rPr>
                <w:rStyle w:val="NoneA"/>
                <w:rFonts w:ascii="Calibri" w:hAnsi="Calibri"/>
                <w:sz w:val="18"/>
                <w:szCs w:val="18"/>
                <w:lang w:val="fr-FR"/>
              </w:rPr>
              <w:t xml:space="preserve"> adjoint au Maire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6B0F84C"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E326782"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70672326</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EB9AF48"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863AD0"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8B3FB6"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181696"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82760CA"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B91F97"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66F1174E" w14:textId="77777777" w:rsidTr="00243B15">
        <w:trPr>
          <w:jc w:val="center"/>
        </w:trPr>
        <w:tc>
          <w:tcPr>
            <w:tcW w:w="13744" w:type="dxa"/>
            <w:gridSpan w:val="10"/>
            <w:tcBorders>
              <w:top w:val="single" w:sz="2" w:space="0" w:color="000000"/>
              <w:left w:val="single" w:sz="2" w:space="0" w:color="000000"/>
              <w:bottom w:val="single" w:sz="2" w:space="0" w:color="000000"/>
              <w:right w:val="single" w:sz="2" w:space="0" w:color="000000"/>
            </w:tcBorders>
            <w:shd w:val="clear" w:color="auto" w:fill="FFF2CC"/>
            <w:tcMar>
              <w:top w:w="80" w:type="dxa"/>
              <w:left w:w="80" w:type="dxa"/>
              <w:bottom w:w="80" w:type="dxa"/>
              <w:right w:w="80" w:type="dxa"/>
            </w:tcMar>
            <w:hideMark/>
          </w:tcPr>
          <w:p w14:paraId="6BDBB664" w14:textId="77777777" w:rsidR="00302BFE" w:rsidRPr="002854BE" w:rsidRDefault="00302BFE" w:rsidP="00243B15">
            <w:pPr>
              <w:pStyle w:val="TableStyle2A"/>
              <w:rPr>
                <w:rStyle w:val="Hyperlink0"/>
                <w:rFonts w:ascii="Calibri" w:hAnsi="Calibri"/>
                <w:sz w:val="18"/>
                <w:szCs w:val="18"/>
                <w:u w:val="none"/>
              </w:rPr>
            </w:pPr>
            <w:r w:rsidRPr="002854BE">
              <w:rPr>
                <w:rFonts w:ascii="Calibri" w:hAnsi="Calibri"/>
                <w:b/>
                <w:sz w:val="18"/>
                <w:szCs w:val="18"/>
              </w:rPr>
              <w:t>Commune of ZOAGA, 09/24/2018</w:t>
            </w:r>
          </w:p>
        </w:tc>
      </w:tr>
      <w:tr w:rsidR="00302BFE" w:rsidRPr="0075595E" w14:paraId="3CFBD85D"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A180AA4"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lastRenderedPageBreak/>
              <w:t xml:space="preserve">SAHOUNA </w:t>
            </w:r>
            <w:proofErr w:type="spellStart"/>
            <w:r w:rsidRPr="0075595E">
              <w:rPr>
                <w:rFonts w:ascii="Calibri" w:hAnsi="Calibri"/>
                <w:sz w:val="18"/>
                <w:szCs w:val="18"/>
              </w:rPr>
              <w:t>Zoua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175D005C"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Maire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5E38789"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4D382DC" w14:textId="77777777" w:rsidR="00302BFE" w:rsidRPr="0075595E" w:rsidRDefault="00302BFE" w:rsidP="00243B15">
            <w:pPr>
              <w:pStyle w:val="TableStyle2A"/>
              <w:rPr>
                <w:rFonts w:ascii="Calibri" w:hAnsi="Calibri"/>
                <w:sz w:val="18"/>
                <w:szCs w:val="18"/>
              </w:rPr>
            </w:pPr>
            <w:r w:rsidRPr="0075595E">
              <w:rPr>
                <w:rStyle w:val="NoneA"/>
                <w:rFonts w:ascii="Calibri" w:hAnsi="Calibri"/>
                <w:sz w:val="18"/>
                <w:szCs w:val="18"/>
              </w:rPr>
              <w:t>70746042</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15027F0" w14:textId="77777777" w:rsidR="00302BFE" w:rsidRPr="002854BE" w:rsidRDefault="00302BFE" w:rsidP="00243B15">
            <w:pPr>
              <w:pStyle w:val="TableStyle2A"/>
              <w:rPr>
                <w:rFonts w:ascii="Calibri" w:hAnsi="Calibri"/>
                <w:sz w:val="18"/>
                <w:szCs w:val="18"/>
              </w:rPr>
            </w:pPr>
            <w:r w:rsidRPr="002854BE">
              <w:rPr>
                <w:rStyle w:val="Hyperlink0"/>
                <w:rFonts w:ascii="Calibri" w:hAnsi="Calibri"/>
                <w:sz w:val="18"/>
                <w:szCs w:val="18"/>
                <w:u w:val="none"/>
              </w:rPr>
              <w:t>zsamsou77@yahoo.fr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18D8E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4546DF"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BC9AA6"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85B0A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4D6515A"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27067F6E"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4A84C7E"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TAPSOBA Mahamadi</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78B360B" w14:textId="77777777" w:rsidR="00302BFE" w:rsidRPr="0075595E" w:rsidRDefault="00302BFE" w:rsidP="00243B15">
            <w:pPr>
              <w:pStyle w:val="TableStyle2A"/>
              <w:rPr>
                <w:rStyle w:val="NoneA"/>
                <w:rFonts w:ascii="Calibri" w:hAnsi="Calibri"/>
                <w:sz w:val="18"/>
                <w:szCs w:val="18"/>
              </w:rPr>
            </w:pPr>
            <w:proofErr w:type="spellStart"/>
            <w:r w:rsidRPr="0075595E">
              <w:rPr>
                <w:rStyle w:val="NoneA"/>
                <w:rFonts w:ascii="Calibri" w:hAnsi="Calibri"/>
                <w:sz w:val="18"/>
                <w:szCs w:val="18"/>
              </w:rPr>
              <w:t>Prefet</w:t>
            </w:r>
            <w:proofErr w:type="spellEnd"/>
            <w:r w:rsidRPr="0075595E">
              <w:rPr>
                <w:rStyle w:val="NoneA"/>
                <w:rFonts w:ascii="Calibri" w:hAnsi="Calibri"/>
                <w:sz w:val="18"/>
                <w:szCs w:val="18"/>
              </w:rPr>
              <w:t>/</w:t>
            </w:r>
            <w:proofErr w:type="spellStart"/>
            <w:r w:rsidRPr="0075595E">
              <w:rPr>
                <w:rStyle w:val="NoneA"/>
                <w:rFonts w:ascii="Calibri" w:hAnsi="Calibri"/>
                <w:sz w:val="18"/>
                <w:szCs w:val="18"/>
              </w:rPr>
              <w:t>Zoaga</w:t>
            </w:r>
            <w:proofErr w:type="spellEnd"/>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2A52DA5" w14:textId="77777777" w:rsidR="00302BFE" w:rsidRPr="0075595E" w:rsidRDefault="00302BFE" w:rsidP="00243B15">
            <w:pPr>
              <w:pStyle w:val="TableStyle2A"/>
              <w:rPr>
                <w:rStyle w:val="NoneA"/>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5D4F120"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70958179</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5333ED5" w14:textId="77777777" w:rsidR="00302BFE" w:rsidRPr="002854BE" w:rsidRDefault="00302BFE" w:rsidP="00243B15">
            <w:pPr>
              <w:pStyle w:val="TableStyle2A"/>
              <w:rPr>
                <w:rStyle w:val="Hyperlink0"/>
                <w:rFonts w:ascii="Calibri" w:hAnsi="Calibri"/>
                <w:sz w:val="18"/>
                <w:szCs w:val="18"/>
                <w:u w:val="none"/>
              </w:rPr>
            </w:pPr>
            <w:r w:rsidRPr="002854BE">
              <w:rPr>
                <w:rStyle w:val="Hyperlink0"/>
                <w:rFonts w:ascii="Calibri" w:hAnsi="Calibri"/>
                <w:sz w:val="18"/>
                <w:szCs w:val="18"/>
                <w:u w:val="none"/>
              </w:rPr>
              <w:t>maditapsoba88@yahoo.fr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FE1B91"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4744744"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DEE16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7932BB"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9C30BC"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3AB7B8AE"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F535E6D"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ZOUNGRANA Amadou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7C5A4FAA"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FAF2552" w14:textId="77777777" w:rsidR="00302BFE" w:rsidRPr="0075595E" w:rsidRDefault="00302BFE" w:rsidP="00243B15">
            <w:pPr>
              <w:pStyle w:val="TableStyle2A"/>
              <w:rPr>
                <w:rStyle w:val="NoneA"/>
                <w:rFonts w:ascii="Calibri" w:hAnsi="Calibri"/>
                <w:sz w:val="16"/>
                <w:szCs w:val="16"/>
                <w:lang w:val="fr-FR"/>
              </w:rPr>
            </w:pPr>
            <w:r w:rsidRPr="0075595E">
              <w:rPr>
                <w:rStyle w:val="NoneA"/>
                <w:rFonts w:ascii="Calibri" w:hAnsi="Calibri"/>
                <w:sz w:val="16"/>
                <w:szCs w:val="16"/>
                <w:lang w:val="fr-FR"/>
              </w:rPr>
              <w:t>SP/CNDD/MEEVCC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D37784E"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70715957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40F270D" w14:textId="77777777" w:rsidR="00302BFE" w:rsidRPr="002854BE" w:rsidRDefault="00302BFE" w:rsidP="00243B15">
            <w:pPr>
              <w:pStyle w:val="TableStyle2A"/>
              <w:rPr>
                <w:rStyle w:val="Hyperlink0"/>
                <w:rFonts w:ascii="Calibri" w:hAnsi="Calibri"/>
                <w:sz w:val="18"/>
                <w:szCs w:val="18"/>
                <w:u w:val="none"/>
                <w:lang w:val="fr-FR"/>
              </w:rPr>
            </w:pPr>
            <w:r w:rsidRPr="002854BE">
              <w:rPr>
                <w:rStyle w:val="Hyperlink0"/>
                <w:rFonts w:ascii="Calibri" w:hAnsi="Calibri"/>
                <w:sz w:val="18"/>
                <w:szCs w:val="18"/>
                <w:u w:val="none"/>
                <w:lang w:val="fr-FR"/>
              </w:rPr>
              <w:t>zoungramadou@gmail.com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459C19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657E1A"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AA36BA8"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65FF6C"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04A195"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35DA5241"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534C61A"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SANGO Bernard</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44A09395"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SG-Mairie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F4AA78C" w14:textId="77777777" w:rsidR="00302BFE" w:rsidRPr="0075595E" w:rsidRDefault="00302BFE" w:rsidP="00243B15">
            <w:pPr>
              <w:pStyle w:val="TableStyle2A"/>
              <w:rPr>
                <w:rStyle w:val="NoneA"/>
                <w:rFonts w:ascii="Calibri" w:hAnsi="Calibri"/>
                <w:sz w:val="18"/>
                <w:szCs w:val="18"/>
                <w:lang w:val="fr-FR"/>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E0A9FB1"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71715420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89D307B" w14:textId="77777777" w:rsidR="00302BFE" w:rsidRPr="002854BE" w:rsidRDefault="00302BFE" w:rsidP="00243B15">
            <w:pPr>
              <w:pStyle w:val="TableStyle2A"/>
              <w:rPr>
                <w:rStyle w:val="Hyperlink0"/>
                <w:rFonts w:ascii="Calibri" w:hAnsi="Calibri"/>
                <w:sz w:val="18"/>
                <w:szCs w:val="18"/>
                <w:u w:val="none"/>
                <w:lang w:val="fr-FR"/>
              </w:rPr>
            </w:pPr>
            <w:r w:rsidRPr="002854BE">
              <w:rPr>
                <w:rStyle w:val="Hyperlink0"/>
                <w:rFonts w:ascii="Calibri" w:hAnsi="Calibri"/>
                <w:sz w:val="18"/>
                <w:szCs w:val="18"/>
                <w:u w:val="none"/>
                <w:lang w:val="fr-FR"/>
              </w:rPr>
              <w:t>bernard.sango@yahoo.fr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15996BC"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F858AE"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66ECF66"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4173AC5"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3672AF"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3095770C"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39267AD"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YELEMCOURE </w:t>
            </w:r>
            <w:proofErr w:type="spellStart"/>
            <w:r w:rsidRPr="0075595E">
              <w:rPr>
                <w:rFonts w:ascii="Calibri" w:hAnsi="Calibri"/>
                <w:sz w:val="18"/>
                <w:szCs w:val="18"/>
                <w:lang w:val="fr-FR"/>
              </w:rPr>
              <w:t>Kdogo</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72A00613"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 xml:space="preserve">Pdt. </w:t>
            </w:r>
            <w:proofErr w:type="spellStart"/>
            <w:r w:rsidRPr="0075595E">
              <w:rPr>
                <w:rStyle w:val="NoneA"/>
                <w:rFonts w:ascii="Calibri" w:hAnsi="Calibri"/>
                <w:sz w:val="18"/>
                <w:szCs w:val="18"/>
                <w:lang w:val="fr-FR"/>
              </w:rPr>
              <w:t>Comm</w:t>
            </w:r>
            <w:proofErr w:type="spellEnd"/>
            <w:r w:rsidRPr="0075595E">
              <w:rPr>
                <w:rStyle w:val="NoneA"/>
                <w:rFonts w:ascii="Calibri" w:hAnsi="Calibri"/>
                <w:sz w:val="18"/>
                <w:szCs w:val="18"/>
                <w:lang w:val="fr-FR"/>
              </w:rPr>
              <w:t xml:space="preserve">. Environnement </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01609E2" w14:textId="77777777" w:rsidR="00302BFE" w:rsidRPr="0075595E" w:rsidRDefault="00302BFE" w:rsidP="00243B15">
            <w:pPr>
              <w:pStyle w:val="TableStyle2A"/>
              <w:rPr>
                <w:rStyle w:val="NoneA"/>
                <w:rFonts w:ascii="Calibri" w:hAnsi="Calibri"/>
                <w:sz w:val="18"/>
                <w:szCs w:val="18"/>
                <w:lang w:val="fr-FR"/>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885C3B1"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72749397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EB15E07"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5711C45"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5641ED"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B2C3083"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4DDE8A"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5F42E1"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46405B97"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104E1DF"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KOUISUKIRMA Etienne</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35A1209"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Environnement Zoaga</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172BE03" w14:textId="77777777" w:rsidR="00302BFE" w:rsidRPr="0075595E" w:rsidRDefault="00302BFE" w:rsidP="00243B15">
            <w:pPr>
              <w:pStyle w:val="TableStyle2A"/>
              <w:rPr>
                <w:rStyle w:val="NoneA"/>
                <w:rFonts w:ascii="Calibri" w:hAnsi="Calibri"/>
                <w:sz w:val="18"/>
                <w:szCs w:val="18"/>
                <w:lang w:val="fr-FR"/>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9F02B4A"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64717375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DB9AA8D"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6D08FA8"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23EEDC"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8F24B2"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7F9209"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124726"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2D465313"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E068114"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ZONGO Yacouba</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4A92B235"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ZATE/ Zoaga</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8CB8234" w14:textId="77777777" w:rsidR="00302BFE" w:rsidRPr="0075595E" w:rsidRDefault="00302BFE" w:rsidP="00243B15">
            <w:pPr>
              <w:pStyle w:val="TableStyle2A"/>
              <w:rPr>
                <w:rStyle w:val="NoneA"/>
                <w:rFonts w:ascii="Calibri" w:hAnsi="Calibri"/>
                <w:sz w:val="18"/>
                <w:szCs w:val="18"/>
                <w:lang w:val="fr-FR"/>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24EF4C2"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73633496</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A1097A9"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96F86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C532C1"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B39090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1D2A23"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7E66892"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0613BAAE"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DEDD5EB"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GUIGMA A </w:t>
            </w:r>
            <w:proofErr w:type="spellStart"/>
            <w:r w:rsidRPr="0075595E">
              <w:rPr>
                <w:rFonts w:ascii="Calibri" w:hAnsi="Calibri"/>
                <w:sz w:val="18"/>
                <w:szCs w:val="18"/>
                <w:lang w:val="fr-FR"/>
              </w:rPr>
              <w:t>Samadou</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2834864B"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ZATA/ Zoaga</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210B0B5" w14:textId="77777777" w:rsidR="00302BFE" w:rsidRPr="0075595E" w:rsidRDefault="00302BFE" w:rsidP="00243B15">
            <w:pPr>
              <w:pStyle w:val="TableStyle2A"/>
              <w:rPr>
                <w:rStyle w:val="NoneA"/>
                <w:rFonts w:ascii="Calibri" w:hAnsi="Calibri"/>
                <w:sz w:val="18"/>
                <w:szCs w:val="18"/>
                <w:lang w:val="fr-FR"/>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557D1D7"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70023014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51A06E4" w14:textId="77777777" w:rsidR="00302BFE" w:rsidRPr="002854BE" w:rsidRDefault="00302BFE" w:rsidP="00243B15">
            <w:pPr>
              <w:pStyle w:val="TableStyle2A"/>
              <w:rPr>
                <w:rStyle w:val="Hyperlink0"/>
                <w:rFonts w:ascii="Calibri" w:hAnsi="Calibri"/>
                <w:sz w:val="18"/>
                <w:szCs w:val="18"/>
                <w:u w:val="none"/>
                <w:lang w:val="fr-FR"/>
              </w:rPr>
            </w:pPr>
            <w:r w:rsidRPr="002854BE">
              <w:rPr>
                <w:rStyle w:val="Hyperlink0"/>
                <w:rFonts w:ascii="Calibri" w:hAnsi="Calibri"/>
                <w:sz w:val="18"/>
                <w:szCs w:val="18"/>
                <w:u w:val="none"/>
                <w:lang w:val="fr-FR"/>
              </w:rPr>
              <w:t>abdusamadguigma@gmail.com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8724E1"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9EB397"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5C7867"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83EB60"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1E98157"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61B9620C"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DED510B"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SIDIBE Mahamoudou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544AF6CD"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AEAEE36"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Union-éleveurs-Zoaga</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1C1825C"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74341643</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7B2B6BF"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19A77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3B38C1"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FFD35DB"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07E20F"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782894"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2E520C4A"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FF34D9D"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DABRE Amidou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53F53F0D"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280A659"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 xml:space="preserve">Association </w:t>
            </w:r>
            <w:proofErr w:type="spellStart"/>
            <w:r w:rsidRPr="0075595E">
              <w:rPr>
                <w:rStyle w:val="NoneA"/>
                <w:rFonts w:ascii="Calibri" w:hAnsi="Calibri"/>
                <w:sz w:val="18"/>
                <w:szCs w:val="18"/>
                <w:lang w:val="fr-FR"/>
              </w:rPr>
              <w:t>Léerè</w:t>
            </w:r>
            <w:proofErr w:type="spellEnd"/>
            <w:r w:rsidRPr="0075595E">
              <w:rPr>
                <w:rStyle w:val="NoneA"/>
                <w:rFonts w:ascii="Calibri" w:hAnsi="Calibri"/>
                <w:sz w:val="18"/>
                <w:szCs w:val="18"/>
                <w:lang w:val="fr-FR"/>
              </w:rPr>
              <w:t>-Banka</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C7A68E5"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77871134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F16D464" w14:textId="77777777" w:rsidR="00302BFE" w:rsidRPr="002854BE" w:rsidRDefault="00302BFE" w:rsidP="00243B15">
            <w:pPr>
              <w:pStyle w:val="TableStyle2A"/>
              <w:rPr>
                <w:rStyle w:val="Hyperlink0"/>
                <w:rFonts w:ascii="Calibri" w:hAnsi="Calibri"/>
                <w:sz w:val="18"/>
                <w:szCs w:val="18"/>
                <w:u w:val="none"/>
                <w:lang w:val="fr-FR"/>
              </w:rPr>
            </w:pPr>
            <w:r w:rsidRPr="002854BE">
              <w:rPr>
                <w:rStyle w:val="Hyperlink0"/>
                <w:rFonts w:ascii="Calibri" w:hAnsi="Calibri"/>
                <w:sz w:val="18"/>
                <w:szCs w:val="18"/>
                <w:u w:val="none"/>
                <w:lang w:val="fr-FR"/>
              </w:rPr>
              <w:t>contact@leerebanka.org</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DEB77A"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31912D"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89B1443"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650890"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064355"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695E4965"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CAE48D4"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GUARE F. Achille</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52CAD9A"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1</w:t>
            </w:r>
            <w:r w:rsidRPr="0075595E">
              <w:rPr>
                <w:rStyle w:val="NoneA"/>
                <w:rFonts w:ascii="Calibri" w:hAnsi="Calibri"/>
                <w:sz w:val="18"/>
                <w:szCs w:val="18"/>
                <w:vertAlign w:val="superscript"/>
                <w:lang w:val="fr-FR"/>
              </w:rPr>
              <w:t>er</w:t>
            </w:r>
            <w:r w:rsidRPr="0075595E">
              <w:rPr>
                <w:rStyle w:val="NoneA"/>
                <w:rFonts w:ascii="Calibri" w:hAnsi="Calibri"/>
                <w:sz w:val="18"/>
                <w:szCs w:val="18"/>
                <w:lang w:val="fr-FR"/>
              </w:rPr>
              <w:t xml:space="preserve"> </w:t>
            </w:r>
            <w:proofErr w:type="spellStart"/>
            <w:r w:rsidRPr="0075595E">
              <w:rPr>
                <w:rStyle w:val="NoneA"/>
                <w:rFonts w:ascii="Calibri" w:hAnsi="Calibri"/>
                <w:sz w:val="18"/>
                <w:szCs w:val="18"/>
                <w:lang w:val="fr-FR"/>
              </w:rPr>
              <w:t>Adgoint</w:t>
            </w:r>
            <w:proofErr w:type="spellEnd"/>
            <w:r w:rsidRPr="0075595E">
              <w:rPr>
                <w:rStyle w:val="NoneA"/>
                <w:rFonts w:ascii="Calibri" w:hAnsi="Calibri"/>
                <w:sz w:val="18"/>
                <w:szCs w:val="18"/>
                <w:lang w:val="fr-FR"/>
              </w:rPr>
              <w:t xml:space="preserve"> au Maire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E0CDCCF" w14:textId="77777777" w:rsidR="00302BFE" w:rsidRPr="0075595E" w:rsidRDefault="00302BFE" w:rsidP="00243B15">
            <w:pPr>
              <w:pStyle w:val="TableStyle2A"/>
              <w:rPr>
                <w:rStyle w:val="NoneA"/>
                <w:rFonts w:ascii="Calibri" w:hAnsi="Calibri"/>
                <w:sz w:val="18"/>
                <w:szCs w:val="18"/>
                <w:lang w:val="fr-FR"/>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E7FF8AB"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72050813</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E73A18C"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094123"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14CE47"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3A6F95"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8D76F49"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D51A49"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189620D1"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13290AA"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BONKOUNGOU Daouda</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BE4B5F4"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 xml:space="preserve">UAT </w:t>
            </w:r>
            <w:proofErr w:type="spellStart"/>
            <w:r w:rsidRPr="0075595E">
              <w:rPr>
                <w:rStyle w:val="NoneA"/>
                <w:rFonts w:ascii="Calibri" w:hAnsi="Calibri"/>
                <w:sz w:val="18"/>
                <w:szCs w:val="18"/>
                <w:lang w:val="fr-FR"/>
              </w:rPr>
              <w:t>Bougré</w:t>
            </w:r>
            <w:proofErr w:type="spellEnd"/>
            <w:r w:rsidRPr="0075595E">
              <w:rPr>
                <w:rStyle w:val="NoneA"/>
                <w:rFonts w:ascii="Calibri" w:hAnsi="Calibri"/>
                <w:sz w:val="18"/>
                <w:szCs w:val="18"/>
                <w:lang w:val="fr-FR"/>
              </w:rPr>
              <w:t>/Zoaga</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0253692" w14:textId="77777777" w:rsidR="00302BFE" w:rsidRPr="0075595E" w:rsidRDefault="00302BFE" w:rsidP="00243B15">
            <w:pPr>
              <w:pStyle w:val="TableStyle2A"/>
              <w:rPr>
                <w:rStyle w:val="NoneA"/>
                <w:rFonts w:ascii="Calibri" w:hAnsi="Calibri"/>
                <w:sz w:val="18"/>
                <w:szCs w:val="18"/>
                <w:lang w:val="fr-FR"/>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EAB4C4A"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60857145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9A9723"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1A4F50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59DDAD"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99E32F"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AD316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4E295F"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09D809BE" w14:textId="77777777" w:rsidTr="00243B15">
        <w:trPr>
          <w:jc w:val="center"/>
        </w:trPr>
        <w:tc>
          <w:tcPr>
            <w:tcW w:w="13744" w:type="dxa"/>
            <w:gridSpan w:val="10"/>
            <w:tcBorders>
              <w:top w:val="single" w:sz="2" w:space="0" w:color="000000"/>
              <w:left w:val="single" w:sz="2" w:space="0" w:color="000000"/>
              <w:bottom w:val="single" w:sz="2" w:space="0" w:color="000000"/>
              <w:right w:val="single" w:sz="2" w:space="0" w:color="000000"/>
            </w:tcBorders>
            <w:shd w:val="clear" w:color="auto" w:fill="FFF2CC"/>
            <w:tcMar>
              <w:top w:w="80" w:type="dxa"/>
              <w:left w:w="80" w:type="dxa"/>
              <w:bottom w:w="80" w:type="dxa"/>
              <w:right w:w="80" w:type="dxa"/>
            </w:tcMar>
            <w:hideMark/>
          </w:tcPr>
          <w:p w14:paraId="5275BCC7" w14:textId="77777777" w:rsidR="00302BFE" w:rsidRPr="002854BE" w:rsidRDefault="00302BFE" w:rsidP="00243B15">
            <w:pPr>
              <w:pStyle w:val="TableStyle2A"/>
              <w:rPr>
                <w:rStyle w:val="Hyperlink0"/>
                <w:rFonts w:ascii="Calibri" w:hAnsi="Calibri"/>
                <w:sz w:val="18"/>
                <w:szCs w:val="18"/>
                <w:u w:val="none"/>
              </w:rPr>
            </w:pPr>
            <w:r w:rsidRPr="002854BE">
              <w:rPr>
                <w:rFonts w:ascii="Calibri" w:hAnsi="Calibri"/>
                <w:b/>
                <w:sz w:val="18"/>
                <w:szCs w:val="18"/>
              </w:rPr>
              <w:t>Commune of TOECE, 09/26/2018</w:t>
            </w:r>
          </w:p>
        </w:tc>
      </w:tr>
      <w:tr w:rsidR="00302BFE" w:rsidRPr="0075595E" w14:paraId="46A27BD3"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FFA83A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ZONGO Clement</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0898ADE1"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Maire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45343EA"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961442B"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70273522</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3810F7E" w14:textId="77777777" w:rsidR="00302BFE" w:rsidRPr="002854BE" w:rsidRDefault="00000000" w:rsidP="00243B15">
            <w:pPr>
              <w:pStyle w:val="TableStyle2A"/>
              <w:rPr>
                <w:rStyle w:val="Hyperlink0"/>
                <w:rFonts w:ascii="Calibri" w:hAnsi="Calibri"/>
                <w:sz w:val="18"/>
                <w:szCs w:val="18"/>
                <w:u w:val="none"/>
                <w:lang w:val="fr-FR"/>
              </w:rPr>
            </w:pPr>
            <w:hyperlink r:id="rId64" w:history="1">
              <w:r w:rsidR="00302BFE" w:rsidRPr="002854BE">
                <w:rPr>
                  <w:rStyle w:val="Lienhypertexte"/>
                  <w:rFonts w:ascii="Calibri" w:hAnsi="Calibri"/>
                  <w:sz w:val="18"/>
                  <w:szCs w:val="18"/>
                  <w:lang w:val="fr-FR"/>
                </w:rPr>
                <w:t>zclement@fasonet.bf</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3C47DE"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9DC320"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753744D"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A160FF"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130B3B"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12282F46"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27519A1"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SONDO Valerie</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4165165F"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SG/Maire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E180F08"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C057B8C"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78879684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9619B4D" w14:textId="77777777" w:rsidR="00302BFE" w:rsidRPr="002854BE" w:rsidRDefault="00000000" w:rsidP="00243B15">
            <w:pPr>
              <w:pStyle w:val="TableStyle2A"/>
              <w:rPr>
                <w:rStyle w:val="Hyperlink0"/>
                <w:rFonts w:ascii="Calibri" w:hAnsi="Calibri"/>
                <w:sz w:val="18"/>
                <w:szCs w:val="18"/>
                <w:u w:val="none"/>
                <w:lang w:val="fr-FR"/>
              </w:rPr>
            </w:pPr>
            <w:hyperlink r:id="rId65" w:history="1">
              <w:r w:rsidR="00302BFE" w:rsidRPr="002854BE">
                <w:rPr>
                  <w:rStyle w:val="Lienhypertexte"/>
                  <w:rFonts w:ascii="Calibri" w:hAnsi="Calibri"/>
                  <w:sz w:val="18"/>
                  <w:szCs w:val="18"/>
                  <w:lang w:val="fr-FR"/>
                </w:rPr>
                <w:t>valeriesondo@yahoo.fr</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8FB2F7"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D166F9"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36855F8"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B6DA25"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DB891E"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6A155928"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AAA4F1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RAMDE </w:t>
            </w:r>
            <w:proofErr w:type="spellStart"/>
            <w:r w:rsidRPr="0075595E">
              <w:rPr>
                <w:rFonts w:ascii="Calibri" w:hAnsi="Calibri"/>
                <w:sz w:val="18"/>
                <w:szCs w:val="18"/>
              </w:rPr>
              <w:t>Aîssa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2A839AF"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Préfet</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B9C7BD"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4307D57"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70301925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3457117"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1023D9"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3C00EA"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0FC13FC"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1977181"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9EA3C3A"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4131DCC9"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00A3670"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BOUDA Alexandre</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2D73789"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OSC</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7A5C3D"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2313EFE"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78387420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64A5DE7" w14:textId="77777777" w:rsidR="00302BFE" w:rsidRPr="002854BE" w:rsidRDefault="00000000" w:rsidP="00243B15">
            <w:pPr>
              <w:pStyle w:val="TableStyle2A"/>
              <w:rPr>
                <w:rStyle w:val="Hyperlink0"/>
                <w:rFonts w:ascii="Calibri" w:hAnsi="Calibri"/>
                <w:sz w:val="18"/>
                <w:szCs w:val="18"/>
                <w:u w:val="none"/>
                <w:lang w:val="fr-FR"/>
              </w:rPr>
            </w:pPr>
            <w:hyperlink r:id="rId66" w:history="1">
              <w:r w:rsidR="00302BFE" w:rsidRPr="002854BE">
                <w:rPr>
                  <w:rStyle w:val="Lienhypertexte"/>
                  <w:rFonts w:ascii="Calibri" w:hAnsi="Calibri"/>
                  <w:sz w:val="18"/>
                  <w:szCs w:val="18"/>
                  <w:lang w:val="fr-FR"/>
                </w:rPr>
                <w:t>boudaalexandre@yahoo.fr</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0159A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D8794A"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B1D2C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EF7C9A"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8BD9DD"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03F6DF9C"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0EFDB45"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OUEDRAOGO Mahamoudou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7CBBAE25"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Conseiller</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714B79A"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0D47A06"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78470227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259DAF2"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315A8A"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6B69C8"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FC5C4B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17AC7E"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4130B7"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16977AE7"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0ED125A"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ILBOUDO Inoussa</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11E5E6C2"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Conseiller</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BD24EB5"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E22525E"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78388354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5BEA71B"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1D912D"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572113"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9C9271"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AAF04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D013E1"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1AD1E5C8"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C52B36E"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lastRenderedPageBreak/>
              <w:t>TIENDREBEOGO Mathias</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1BBA4FB1"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1</w:t>
            </w:r>
            <w:r w:rsidRPr="0075595E">
              <w:rPr>
                <w:rStyle w:val="NoneA"/>
                <w:rFonts w:ascii="Calibri" w:hAnsi="Calibri"/>
                <w:sz w:val="18"/>
                <w:szCs w:val="18"/>
                <w:vertAlign w:val="superscript"/>
                <w:lang w:val="fr-FR"/>
              </w:rPr>
              <w:t>er</w:t>
            </w:r>
            <w:r w:rsidRPr="0075595E">
              <w:rPr>
                <w:rStyle w:val="NoneA"/>
                <w:rFonts w:ascii="Calibri" w:hAnsi="Calibri"/>
                <w:sz w:val="18"/>
                <w:szCs w:val="18"/>
                <w:lang w:val="fr-FR"/>
              </w:rPr>
              <w:t xml:space="preserve"> adjoint au Maire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58FECC7"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D7B5FF8"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78557215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11D601F" w14:textId="77777777" w:rsidR="00302BFE" w:rsidRPr="002854BE" w:rsidRDefault="00000000" w:rsidP="00243B15">
            <w:pPr>
              <w:pStyle w:val="TableStyle2A"/>
              <w:rPr>
                <w:rStyle w:val="Hyperlink0"/>
                <w:rFonts w:ascii="Calibri" w:hAnsi="Calibri"/>
                <w:sz w:val="18"/>
                <w:szCs w:val="18"/>
                <w:u w:val="none"/>
                <w:lang w:val="fr-FR"/>
              </w:rPr>
            </w:pPr>
            <w:hyperlink r:id="rId67" w:history="1">
              <w:r w:rsidR="00302BFE" w:rsidRPr="002854BE">
                <w:rPr>
                  <w:rStyle w:val="Lienhypertexte"/>
                  <w:rFonts w:ascii="Calibri" w:hAnsi="Calibri"/>
                  <w:sz w:val="18"/>
                  <w:szCs w:val="18"/>
                  <w:lang w:val="fr-FR"/>
                </w:rPr>
                <w:t>tmathias.cde@gmail.com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EFD537C"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778AE2B"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BE4D50"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A8B78E"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966C9E"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1DEF0134"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168F138"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SIMPORE Sana</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1FA905E"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2</w:t>
            </w:r>
            <w:r w:rsidRPr="0075595E">
              <w:rPr>
                <w:rStyle w:val="NoneA"/>
                <w:rFonts w:ascii="Calibri" w:hAnsi="Calibri"/>
                <w:sz w:val="18"/>
                <w:szCs w:val="18"/>
                <w:vertAlign w:val="superscript"/>
                <w:lang w:val="fr-FR"/>
              </w:rPr>
              <w:t>e</w:t>
            </w:r>
            <w:r w:rsidRPr="0075595E">
              <w:rPr>
                <w:rStyle w:val="NoneA"/>
                <w:rFonts w:ascii="Calibri" w:hAnsi="Calibri"/>
                <w:sz w:val="18"/>
                <w:szCs w:val="18"/>
                <w:lang w:val="fr-FR"/>
              </w:rPr>
              <w:t xml:space="preserve"> adjoint au Maire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4812144"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8E61F1C"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78940914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F443888"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7399E90"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884B608"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64821D5"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46A27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8D2E6DA"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382FCB38"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50DF0B8"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OUEDRAOGO Moussa</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32D8B1F7"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E301298"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Assoc. AGEDT</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5461E18"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68026160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DFD667E"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51DF90"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8FA97D0"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09EF42F"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0A7EF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B4FBE2"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2597196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C93ED13"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KIENDREBEOGO </w:t>
            </w:r>
            <w:proofErr w:type="spellStart"/>
            <w:r w:rsidRPr="0075595E">
              <w:rPr>
                <w:rFonts w:ascii="Calibri" w:hAnsi="Calibri"/>
                <w:sz w:val="18"/>
                <w:szCs w:val="18"/>
              </w:rPr>
              <w:t>Zarata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71FAC18C"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BE01B49"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Assoc. Me-</w:t>
            </w:r>
            <w:proofErr w:type="spellStart"/>
            <w:r w:rsidRPr="0075595E">
              <w:rPr>
                <w:rFonts w:ascii="Calibri" w:hAnsi="Calibri"/>
                <w:sz w:val="18"/>
                <w:szCs w:val="18"/>
                <w:lang w:val="fr-FR"/>
              </w:rPr>
              <w:t>Toéce</w:t>
            </w:r>
            <w:proofErr w:type="spellEnd"/>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F838A13"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79027742</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54CA7B"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E8806A"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933108"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CCE787"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DB2E44"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8AA2E0"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5233E5C1"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0B58C4F"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GOUBA Firmin</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FD48605"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Chef ZATE/Toécé</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726470E"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280CABC"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78326278</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1EE88A7" w14:textId="77777777" w:rsidR="00302BFE" w:rsidRPr="002854BE" w:rsidRDefault="00000000" w:rsidP="00243B15">
            <w:pPr>
              <w:pStyle w:val="TableStyle2A"/>
              <w:rPr>
                <w:rStyle w:val="Hyperlink0"/>
                <w:rFonts w:ascii="Calibri" w:hAnsi="Calibri"/>
                <w:sz w:val="18"/>
                <w:szCs w:val="18"/>
                <w:u w:val="none"/>
                <w:lang w:val="fr-FR"/>
              </w:rPr>
            </w:pPr>
            <w:hyperlink r:id="rId68" w:history="1">
              <w:r w:rsidR="00302BFE" w:rsidRPr="002854BE">
                <w:rPr>
                  <w:rStyle w:val="Lienhypertexte"/>
                  <w:rFonts w:ascii="Calibri" w:hAnsi="Calibri"/>
                  <w:sz w:val="18"/>
                  <w:szCs w:val="18"/>
                  <w:lang w:val="fr-FR"/>
                </w:rPr>
                <w:t>specialfirminho3@gmail.com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FD6056"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1658BC7"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AFFE2D"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DB6D6A0"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A5461AC"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6E0C7909"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C01EC3D"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ZONGO G.M. Narcisse</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0D0B2CE"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Chef ZATE/Toécé</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1687016"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EA0E15E"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79639665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CF2CA22" w14:textId="77777777" w:rsidR="00302BFE" w:rsidRPr="002854BE" w:rsidRDefault="00000000" w:rsidP="00243B15">
            <w:pPr>
              <w:pStyle w:val="TableStyle2A"/>
              <w:rPr>
                <w:rStyle w:val="Hyperlink0"/>
                <w:rFonts w:ascii="Calibri" w:hAnsi="Calibri"/>
                <w:sz w:val="18"/>
                <w:szCs w:val="18"/>
                <w:u w:val="none"/>
                <w:lang w:val="fr-FR"/>
              </w:rPr>
            </w:pPr>
            <w:hyperlink r:id="rId69" w:history="1">
              <w:r w:rsidR="00302BFE" w:rsidRPr="002854BE">
                <w:rPr>
                  <w:rStyle w:val="Lienhypertexte"/>
                  <w:rFonts w:ascii="Calibri" w:hAnsi="Calibri"/>
                  <w:sz w:val="18"/>
                  <w:szCs w:val="18"/>
                </w:rPr>
                <w:t>n</w:t>
              </w:r>
              <w:r w:rsidR="00302BFE" w:rsidRPr="002854BE">
                <w:rPr>
                  <w:rStyle w:val="Lienhypertexte"/>
                  <w:rFonts w:ascii="Calibri" w:hAnsi="Calibri"/>
                  <w:sz w:val="18"/>
                  <w:szCs w:val="18"/>
                  <w:lang w:val="fr-FR"/>
                </w:rPr>
                <w:t>arcissezongo3@gmail.com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416546"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D70FFD"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8D236B"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9496CB"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56991D4"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41A90D14"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F8C3465"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ZOUNGRANA Amadou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70C2F6B5"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27F6CE0" w14:textId="77777777" w:rsidR="00302BFE" w:rsidRPr="0075595E" w:rsidRDefault="00302BFE" w:rsidP="00243B15">
            <w:pPr>
              <w:pStyle w:val="TableStyle2A"/>
              <w:rPr>
                <w:rFonts w:ascii="Calibri" w:hAnsi="Calibri"/>
                <w:sz w:val="16"/>
                <w:szCs w:val="16"/>
              </w:rPr>
            </w:pPr>
            <w:r w:rsidRPr="0075595E">
              <w:rPr>
                <w:rFonts w:ascii="Calibri" w:hAnsi="Calibri"/>
                <w:sz w:val="16"/>
                <w:szCs w:val="16"/>
                <w:lang w:val="fr-FR"/>
              </w:rPr>
              <w:t>SP/CNDD/MEEVCC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D808F3C"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70715967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803E409" w14:textId="77777777" w:rsidR="00302BFE" w:rsidRPr="002854BE" w:rsidRDefault="00000000" w:rsidP="00243B15">
            <w:pPr>
              <w:pStyle w:val="TableStyle2A"/>
              <w:rPr>
                <w:rStyle w:val="Hyperlink0"/>
                <w:rFonts w:ascii="Calibri" w:hAnsi="Calibri"/>
                <w:sz w:val="18"/>
                <w:szCs w:val="18"/>
                <w:u w:val="none"/>
                <w:lang w:val="fr-FR"/>
              </w:rPr>
            </w:pPr>
            <w:hyperlink r:id="rId70" w:history="1">
              <w:r w:rsidR="00302BFE" w:rsidRPr="002854BE">
                <w:rPr>
                  <w:rStyle w:val="Lienhypertexte"/>
                  <w:rFonts w:ascii="Calibri" w:hAnsi="Calibri"/>
                  <w:sz w:val="18"/>
                  <w:szCs w:val="18"/>
                  <w:lang w:val="fr-FR"/>
                </w:rPr>
                <w:t>zoungramadou@gmail.com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8502C1F"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B98F08"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B103B7"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E86D34"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B2490B"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747BA76E"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D678931"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ALAMPOUA </w:t>
            </w:r>
            <w:proofErr w:type="spellStart"/>
            <w:r w:rsidRPr="0075595E">
              <w:rPr>
                <w:rFonts w:ascii="Calibri" w:hAnsi="Calibri"/>
                <w:sz w:val="18"/>
                <w:szCs w:val="18"/>
              </w:rPr>
              <w:t>Réné</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5806D6DE"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96DFA16"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Environnement/ Toécé</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B1FE600"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78887639</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1C756D6" w14:textId="77777777" w:rsidR="00302BFE" w:rsidRPr="002854BE" w:rsidRDefault="00000000" w:rsidP="00243B15">
            <w:pPr>
              <w:pStyle w:val="TableStyle2A"/>
              <w:rPr>
                <w:rStyle w:val="Hyperlink0"/>
                <w:rFonts w:ascii="Calibri" w:hAnsi="Calibri"/>
                <w:sz w:val="18"/>
                <w:szCs w:val="18"/>
                <w:u w:val="none"/>
                <w:lang w:val="fr-FR"/>
              </w:rPr>
            </w:pPr>
            <w:hyperlink r:id="rId71" w:history="1">
              <w:r w:rsidR="00302BFE" w:rsidRPr="002854BE">
                <w:rPr>
                  <w:rStyle w:val="Lienhypertexte"/>
                  <w:rFonts w:ascii="Calibri" w:hAnsi="Calibri"/>
                  <w:sz w:val="18"/>
                  <w:szCs w:val="18"/>
                  <w:lang w:val="fr-FR"/>
                </w:rPr>
                <w:t>ReneAlampoua@mal.com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5AF22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07EA81"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BC33C6"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1B15C4"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1EA3B9"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5BBBABB0"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6D30A2A"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BILGO </w:t>
            </w:r>
            <w:proofErr w:type="spellStart"/>
            <w:r w:rsidRPr="0075595E">
              <w:rPr>
                <w:rFonts w:ascii="Calibri" w:hAnsi="Calibri"/>
                <w:sz w:val="18"/>
                <w:szCs w:val="18"/>
              </w:rPr>
              <w:t>Lassané</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939D9FB"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B6C3B2A"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Association ASAMT</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22690F2"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79303645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C939A2F"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8EEA18"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B77F92"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8A5F09D"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10C7215"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814833"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450C7867"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9B6581A"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BILGO Ousmane</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735EBD20"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48A731B"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Association ASAMT</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E6E9DAA"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76582504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A347D8" w14:textId="77777777" w:rsidR="00302BFE" w:rsidRPr="002854BE" w:rsidRDefault="00302BFE" w:rsidP="00243B15">
            <w:pPr>
              <w:pStyle w:val="TableStyle2A"/>
              <w:rPr>
                <w:rStyle w:val="Hyperlink0"/>
                <w:rFonts w:ascii="Calibri" w:hAnsi="Calibri"/>
                <w:sz w:val="18"/>
                <w:szCs w:val="18"/>
                <w:u w:val="none"/>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07EF1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6BA249"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3DCA6C"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8B6D66"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F0A590"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1A9572A7" w14:textId="77777777" w:rsidTr="00243B15">
        <w:trPr>
          <w:jc w:val="center"/>
        </w:trPr>
        <w:tc>
          <w:tcPr>
            <w:tcW w:w="13744" w:type="dxa"/>
            <w:gridSpan w:val="10"/>
            <w:tcBorders>
              <w:top w:val="single" w:sz="2" w:space="0" w:color="000000"/>
              <w:left w:val="single" w:sz="2" w:space="0" w:color="000000"/>
              <w:bottom w:val="single" w:sz="2" w:space="0" w:color="000000"/>
              <w:right w:val="single" w:sz="2" w:space="0" w:color="000000"/>
            </w:tcBorders>
            <w:shd w:val="clear" w:color="auto" w:fill="FFF2CC"/>
            <w:tcMar>
              <w:top w:w="80" w:type="dxa"/>
              <w:left w:w="80" w:type="dxa"/>
              <w:bottom w:w="80" w:type="dxa"/>
              <w:right w:w="80" w:type="dxa"/>
            </w:tcMar>
            <w:hideMark/>
          </w:tcPr>
          <w:p w14:paraId="0A73E143" w14:textId="77777777" w:rsidR="00302BFE" w:rsidRPr="002854BE" w:rsidRDefault="00302BFE" w:rsidP="00243B15">
            <w:pPr>
              <w:pStyle w:val="TableStyle2A"/>
              <w:rPr>
                <w:rStyle w:val="Hyperlink0"/>
                <w:rFonts w:ascii="Calibri" w:hAnsi="Calibri"/>
                <w:sz w:val="18"/>
                <w:szCs w:val="18"/>
                <w:u w:val="none"/>
              </w:rPr>
            </w:pPr>
            <w:r w:rsidRPr="002854BE">
              <w:rPr>
                <w:rFonts w:ascii="Calibri" w:hAnsi="Calibri"/>
                <w:b/>
                <w:sz w:val="18"/>
                <w:szCs w:val="18"/>
              </w:rPr>
              <w:t>Commune of GUIARO, 09/25/2018</w:t>
            </w:r>
          </w:p>
        </w:tc>
      </w:tr>
      <w:tr w:rsidR="00302BFE" w:rsidRPr="0075595E" w14:paraId="3542B5CD"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25C23B1"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OUDOUGA B. Francois</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53D231E3"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 xml:space="preserve">Président </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1D0C395" w14:textId="77777777" w:rsidR="00302BFE" w:rsidRPr="0075595E" w:rsidRDefault="00302BFE" w:rsidP="00243B15">
            <w:pPr>
              <w:pStyle w:val="TableStyle2A"/>
              <w:rPr>
                <w:rFonts w:ascii="Calibri" w:hAnsi="Calibri"/>
                <w:sz w:val="18"/>
                <w:szCs w:val="18"/>
              </w:rPr>
            </w:pPr>
            <w:r w:rsidRPr="0075595E">
              <w:rPr>
                <w:rStyle w:val="NoneA"/>
                <w:rFonts w:ascii="Calibri" w:hAnsi="Calibri"/>
                <w:sz w:val="18"/>
                <w:szCs w:val="18"/>
                <w:lang w:val="fr-FR"/>
              </w:rPr>
              <w:t>Commission finance</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0EBF71C" w14:textId="77777777" w:rsidR="00302BFE" w:rsidRPr="0075595E" w:rsidRDefault="00302BFE" w:rsidP="00243B15">
            <w:pPr>
              <w:pStyle w:val="TableStyle2A"/>
              <w:rPr>
                <w:rFonts w:ascii="Calibri" w:hAnsi="Calibri"/>
                <w:sz w:val="18"/>
                <w:szCs w:val="18"/>
              </w:rPr>
            </w:pP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773A7B0"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F505D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ED2A79"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832DFC"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8880811"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AA671E"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5DBCA9D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B455363"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KABEROU </w:t>
            </w:r>
            <w:proofErr w:type="spellStart"/>
            <w:r w:rsidRPr="0075595E">
              <w:rPr>
                <w:rFonts w:ascii="Calibri" w:hAnsi="Calibri"/>
                <w:sz w:val="18"/>
                <w:szCs w:val="18"/>
              </w:rPr>
              <w:t>Arzouma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0D9CD59C"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 xml:space="preserve">Président </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4BB7093" w14:textId="77777777" w:rsidR="00302BFE" w:rsidRPr="0075595E" w:rsidRDefault="00302BFE" w:rsidP="00243B15">
            <w:pPr>
              <w:pStyle w:val="TableStyle2A"/>
              <w:rPr>
                <w:rFonts w:ascii="Calibri" w:hAnsi="Calibri"/>
                <w:sz w:val="18"/>
                <w:szCs w:val="18"/>
                <w:lang w:val="fr-CA"/>
              </w:rPr>
            </w:pPr>
            <w:proofErr w:type="spellStart"/>
            <w:r w:rsidRPr="0075595E">
              <w:rPr>
                <w:rStyle w:val="NoneA"/>
                <w:rFonts w:ascii="Calibri" w:hAnsi="Calibri"/>
                <w:sz w:val="18"/>
                <w:szCs w:val="18"/>
                <w:lang w:val="fr-FR"/>
              </w:rPr>
              <w:t>Comm</w:t>
            </w:r>
            <w:proofErr w:type="spellEnd"/>
            <w:r w:rsidRPr="0075595E">
              <w:rPr>
                <w:rStyle w:val="NoneA"/>
                <w:rFonts w:ascii="Calibri" w:hAnsi="Calibri"/>
                <w:sz w:val="18"/>
                <w:szCs w:val="18"/>
                <w:lang w:val="fr-FR"/>
              </w:rPr>
              <w:t>. affaire générales culturelle sociale</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5DAAC5E"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76067641</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1135A62"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7F18F8"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EDEB36"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65600A"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224F5B"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4B02F1"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513E9DF6"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9CBC810"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IDOGO Mariam</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09C6E170"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Coordonnateur de l’association</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DC32E13"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3CB6512"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71438880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CF13909"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25CB69"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F95D60"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800ACF"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2B865C"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CE4520"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7266DC30"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A3ECF31"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OUEDRAOGO </w:t>
            </w:r>
            <w:proofErr w:type="spellStart"/>
            <w:r w:rsidRPr="0075595E">
              <w:rPr>
                <w:rFonts w:ascii="Calibri" w:hAnsi="Calibri"/>
                <w:sz w:val="18"/>
                <w:szCs w:val="18"/>
                <w:lang w:val="fr-FR"/>
              </w:rPr>
              <w:t>Halidou</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069F6910"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 xml:space="preserve">Agent/ Représentant </w:t>
            </w:r>
            <w:proofErr w:type="gramStart"/>
            <w:r w:rsidRPr="0075595E">
              <w:rPr>
                <w:rStyle w:val="NoneA"/>
                <w:rFonts w:ascii="Calibri" w:hAnsi="Calibri"/>
                <w:sz w:val="18"/>
                <w:szCs w:val="18"/>
                <w:lang w:val="fr-FR"/>
              </w:rPr>
              <w:t>Préfet</w:t>
            </w:r>
            <w:proofErr w:type="gramEnd"/>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C8E519F"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ADE0D30"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71033146</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3ACCEC4"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85176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7E0DC2F"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86BCF6B"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B00F543"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ECE10C9"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0860EE49"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F1A104D"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SORO Zakaria</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55F04558"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Chef ZAT/Guiaro</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DA1260B"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A3D7579"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71843676</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2D07801" w14:textId="77777777" w:rsidR="00302BFE" w:rsidRPr="002854BE" w:rsidRDefault="00000000" w:rsidP="00243B15">
            <w:pPr>
              <w:pStyle w:val="TableStyle2A"/>
              <w:rPr>
                <w:rFonts w:ascii="Calibri" w:hAnsi="Calibri"/>
                <w:sz w:val="18"/>
                <w:szCs w:val="18"/>
                <w:lang w:val="fr-FR"/>
              </w:rPr>
            </w:pPr>
            <w:hyperlink r:id="rId72" w:history="1">
              <w:r w:rsidR="00302BFE" w:rsidRPr="002854BE">
                <w:rPr>
                  <w:rStyle w:val="Lienhypertexte"/>
                  <w:rFonts w:ascii="Calibri" w:hAnsi="Calibri"/>
                  <w:sz w:val="18"/>
                  <w:szCs w:val="18"/>
                </w:rPr>
                <w:t>s</w:t>
              </w:r>
              <w:r w:rsidR="00302BFE" w:rsidRPr="002854BE">
                <w:rPr>
                  <w:rStyle w:val="Lienhypertexte"/>
                  <w:rFonts w:ascii="Calibri" w:hAnsi="Calibri"/>
                  <w:sz w:val="18"/>
                  <w:szCs w:val="18"/>
                  <w:lang w:val="fr-FR"/>
                </w:rPr>
                <w:t>oro.z@yahoo.com</w:t>
              </w:r>
            </w:hyperlink>
            <w:r w:rsidR="00302BFE" w:rsidRPr="002854BE">
              <w:rPr>
                <w:rFonts w:ascii="Calibri" w:hAnsi="Calibri"/>
                <w:sz w:val="18"/>
                <w:szCs w:val="18"/>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98780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42AC0C"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CEFE9C"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0A6DA1"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1C93DA"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786CFA7B"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9A22311"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YOGO </w:t>
            </w:r>
            <w:proofErr w:type="spellStart"/>
            <w:r w:rsidRPr="0075595E">
              <w:rPr>
                <w:rFonts w:ascii="Calibri" w:hAnsi="Calibri"/>
                <w:sz w:val="18"/>
                <w:szCs w:val="18"/>
                <w:lang w:val="fr-FR"/>
              </w:rPr>
              <w:t>Aouya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2C27EDA9" w14:textId="77777777" w:rsidR="00302BFE" w:rsidRPr="0075595E" w:rsidRDefault="00302BFE" w:rsidP="00243B15">
            <w:pPr>
              <w:pStyle w:val="TableStyle2A"/>
              <w:rPr>
                <w:rStyle w:val="NoneA"/>
                <w:rFonts w:ascii="Calibri" w:hAnsi="Calibri"/>
                <w:sz w:val="18"/>
                <w:szCs w:val="18"/>
                <w:lang w:val="fr-FR"/>
              </w:rPr>
            </w:pPr>
            <w:proofErr w:type="spellStart"/>
            <w:r w:rsidRPr="0075595E">
              <w:rPr>
                <w:rStyle w:val="NoneA"/>
                <w:rFonts w:ascii="Calibri" w:hAnsi="Calibri"/>
                <w:sz w:val="18"/>
                <w:szCs w:val="18"/>
                <w:lang w:val="fr-FR"/>
              </w:rPr>
              <w:t>Répresentant</w:t>
            </w:r>
            <w:proofErr w:type="spellEnd"/>
            <w:r w:rsidRPr="0075595E">
              <w:rPr>
                <w:rStyle w:val="NoneA"/>
                <w:rFonts w:ascii="Calibri" w:hAnsi="Calibri"/>
                <w:sz w:val="18"/>
                <w:szCs w:val="18"/>
                <w:lang w:val="fr-FR"/>
              </w:rPr>
              <w:t xml:space="preserve"> </w:t>
            </w:r>
            <w:proofErr w:type="spellStart"/>
            <w:r w:rsidRPr="0075595E">
              <w:rPr>
                <w:rStyle w:val="NoneA"/>
                <w:rFonts w:ascii="Calibri" w:hAnsi="Calibri"/>
                <w:sz w:val="18"/>
                <w:szCs w:val="18"/>
                <w:lang w:val="fr-FR"/>
              </w:rPr>
              <w:t>Koumbili</w:t>
            </w:r>
            <w:proofErr w:type="spellEnd"/>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2D545DD"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AE5DE1E"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76139437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F86EC87" w14:textId="77777777" w:rsidR="00302BFE" w:rsidRPr="002854BE" w:rsidRDefault="00000000" w:rsidP="00243B15">
            <w:pPr>
              <w:pStyle w:val="TableStyle2A"/>
              <w:rPr>
                <w:rFonts w:ascii="Calibri" w:hAnsi="Calibri"/>
                <w:sz w:val="18"/>
                <w:szCs w:val="18"/>
                <w:lang w:val="fr-FR"/>
              </w:rPr>
            </w:pPr>
            <w:hyperlink r:id="rId73" w:history="1">
              <w:r w:rsidR="00302BFE" w:rsidRPr="002854BE">
                <w:rPr>
                  <w:rStyle w:val="Lienhypertexte"/>
                  <w:rFonts w:ascii="Calibri" w:hAnsi="Calibri"/>
                  <w:sz w:val="18"/>
                  <w:szCs w:val="18"/>
                  <w:lang w:val="fr-FR"/>
                </w:rPr>
                <w:t>yogoaouya@yahoo.fr</w:t>
              </w:r>
            </w:hyperlink>
            <w:r w:rsidR="00302BFE" w:rsidRPr="002854BE">
              <w:rPr>
                <w:rFonts w:ascii="Calibri" w:hAnsi="Calibri"/>
                <w:sz w:val="18"/>
                <w:szCs w:val="18"/>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2CE9C1"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1094EA"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B2D9BF6"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C52D19"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A5FCDF4"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675ACD5C"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7D22FA8"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NIKIEMA Adama</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257AF3F5"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 xml:space="preserve">Président </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8EDD31F" w14:textId="77777777" w:rsidR="00302BFE" w:rsidRPr="0075595E" w:rsidRDefault="00302BFE" w:rsidP="00243B15">
            <w:pPr>
              <w:pStyle w:val="TableStyle2A"/>
              <w:rPr>
                <w:rFonts w:ascii="Calibri" w:hAnsi="Calibri"/>
                <w:sz w:val="18"/>
                <w:szCs w:val="18"/>
              </w:rPr>
            </w:pPr>
            <w:r w:rsidRPr="0075595E">
              <w:rPr>
                <w:rStyle w:val="NoneA"/>
                <w:rFonts w:ascii="Calibri" w:hAnsi="Calibri"/>
                <w:sz w:val="18"/>
                <w:szCs w:val="18"/>
                <w:lang w:val="fr-FR"/>
              </w:rPr>
              <w:t>CRA Guiaro</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6C93349"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70368114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FC16E6D"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AB655EA"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0AD7D7"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0700D0"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B6FDC3"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31ECEC"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685E00F1"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1852208"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lastRenderedPageBreak/>
              <w:t>ZONGO Lucien</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0B775E0F"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D600E0F" w14:textId="77777777" w:rsidR="00302BFE" w:rsidRPr="0075595E" w:rsidRDefault="00302BFE" w:rsidP="00243B15">
            <w:pPr>
              <w:pStyle w:val="TableStyle2A"/>
              <w:rPr>
                <w:rFonts w:ascii="Calibri" w:hAnsi="Calibri"/>
                <w:sz w:val="18"/>
                <w:szCs w:val="18"/>
                <w:lang w:val="fr-CA"/>
              </w:rPr>
            </w:pPr>
            <w:r w:rsidRPr="0075595E">
              <w:rPr>
                <w:rStyle w:val="NoneA"/>
                <w:rFonts w:ascii="Calibri" w:hAnsi="Calibri"/>
                <w:sz w:val="18"/>
                <w:szCs w:val="18"/>
                <w:lang w:val="fr-FR"/>
              </w:rPr>
              <w:t xml:space="preserve">Service départ. </w:t>
            </w:r>
            <w:proofErr w:type="gramStart"/>
            <w:r w:rsidRPr="0075595E">
              <w:rPr>
                <w:rStyle w:val="NoneA"/>
                <w:rFonts w:ascii="Calibri" w:hAnsi="Calibri"/>
                <w:sz w:val="18"/>
                <w:szCs w:val="18"/>
                <w:lang w:val="fr-FR"/>
              </w:rPr>
              <w:t>environnement</w:t>
            </w:r>
            <w:proofErr w:type="gramEnd"/>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9084085"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73074927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CA01DE2" w14:textId="77777777" w:rsidR="00302BFE" w:rsidRPr="002854BE" w:rsidRDefault="00000000" w:rsidP="00243B15">
            <w:pPr>
              <w:pStyle w:val="TableStyle2A"/>
              <w:rPr>
                <w:rFonts w:ascii="Calibri" w:hAnsi="Calibri"/>
                <w:sz w:val="18"/>
                <w:szCs w:val="18"/>
                <w:lang w:val="fr-FR"/>
              </w:rPr>
            </w:pPr>
            <w:hyperlink r:id="rId74" w:history="1">
              <w:r w:rsidR="00302BFE" w:rsidRPr="002854BE">
                <w:rPr>
                  <w:rStyle w:val="Lienhypertexte"/>
                  <w:rFonts w:ascii="Calibri" w:hAnsi="Calibri"/>
                  <w:sz w:val="18"/>
                  <w:szCs w:val="18"/>
                  <w:lang w:val="fr-FR"/>
                </w:rPr>
                <w:t>zongo.lucien@yahoo.fr</w:t>
              </w:r>
            </w:hyperlink>
            <w:r w:rsidR="00302BFE" w:rsidRPr="002854BE">
              <w:rPr>
                <w:rFonts w:ascii="Calibri" w:hAnsi="Calibri"/>
                <w:sz w:val="18"/>
                <w:szCs w:val="18"/>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5A752B3"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1C7093"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1177F30"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D77085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A88ACE7"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1E38E124"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9571475"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OUADIGABOU </w:t>
            </w:r>
            <w:proofErr w:type="spellStart"/>
            <w:r w:rsidRPr="0075595E">
              <w:rPr>
                <w:rFonts w:ascii="Calibri" w:hAnsi="Calibri"/>
                <w:sz w:val="18"/>
                <w:szCs w:val="18"/>
                <w:lang w:val="fr-FR"/>
              </w:rPr>
              <w:t>Logokoua</w:t>
            </w:r>
            <w:proofErr w:type="spellEnd"/>
            <w:r w:rsidRPr="0075595E">
              <w:rPr>
                <w:rFonts w:ascii="Calibri" w:hAnsi="Calibri"/>
                <w:sz w:val="18"/>
                <w:szCs w:val="18"/>
                <w:lang w:val="fr-FR"/>
              </w:rPr>
              <w:t xml:space="preserve"> Arouna</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1CB8D6D3"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A161C1D"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GAMIWIAN</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D417EF8"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71650522</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B0C271"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20346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A882F75"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59190F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C7432EC"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D248A0"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21532FFC"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721F2B5"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SAKANDE </w:t>
            </w:r>
            <w:proofErr w:type="spellStart"/>
            <w:r w:rsidRPr="0075595E">
              <w:rPr>
                <w:rFonts w:ascii="Calibri" w:hAnsi="Calibri"/>
                <w:sz w:val="18"/>
                <w:szCs w:val="18"/>
                <w:lang w:val="fr-FR"/>
              </w:rPr>
              <w:t>Hamado</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C68B374"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SG/Maire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B932FC"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6E5B46E"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70044405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547B35C"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B88A44"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9D353C"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E10132B"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BC2055"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13109D7"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198C933D"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F6496D7"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ZIBARE </w:t>
            </w:r>
            <w:proofErr w:type="spellStart"/>
            <w:r w:rsidRPr="0075595E">
              <w:rPr>
                <w:rFonts w:ascii="Calibri" w:hAnsi="Calibri"/>
                <w:sz w:val="18"/>
                <w:szCs w:val="18"/>
                <w:lang w:val="fr-FR"/>
              </w:rPr>
              <w:t>Boumon</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20FB63BD"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CVD/</w:t>
            </w:r>
            <w:proofErr w:type="spellStart"/>
            <w:r w:rsidRPr="0075595E">
              <w:rPr>
                <w:rStyle w:val="NoneA"/>
                <w:rFonts w:ascii="Calibri" w:hAnsi="Calibri"/>
                <w:sz w:val="18"/>
                <w:szCs w:val="18"/>
                <w:lang w:val="fr-FR"/>
              </w:rPr>
              <w:t>Saro</w:t>
            </w:r>
            <w:proofErr w:type="spellEnd"/>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72E14E3"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DE43063"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71514435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62143B1"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52ED5B6"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C97CFD"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CCCAF88"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76C207"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FE8DA4"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62635668"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0F949A7"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ADA </w:t>
            </w:r>
            <w:proofErr w:type="spellStart"/>
            <w:r w:rsidRPr="0075595E">
              <w:rPr>
                <w:rFonts w:ascii="Calibri" w:hAnsi="Calibri"/>
                <w:sz w:val="18"/>
                <w:szCs w:val="18"/>
                <w:lang w:val="fr-FR"/>
              </w:rPr>
              <w:t>Ouelamma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68B51E0"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Coordonnatrice/ Guiaro</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9D0DFC9"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D25DA96"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73050318</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03FB204"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9D114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ADAC9D"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BC3BD40"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4045A0"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BBCAE3"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4898DC27"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7F6BC0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YIRIBIDJIE Adama</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F97659A"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Secrétaire Mairie/ Guiaro</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E21ACB9"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CEBFEB7"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70531357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4976D39"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0460D21"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729AA2"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A3050F"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E05B982"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AA9EBF"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3E54CEEE"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B42AB0C"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TANKOANO </w:t>
            </w:r>
            <w:proofErr w:type="spellStart"/>
            <w:r w:rsidRPr="0075595E">
              <w:rPr>
                <w:rFonts w:ascii="Calibri" w:hAnsi="Calibri"/>
                <w:sz w:val="18"/>
                <w:szCs w:val="18"/>
                <w:lang w:val="fr-FR"/>
              </w:rPr>
              <w:t>Adjima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7A8ADE6"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ZATE/Guiaro</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D240F6B"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B7064EC"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77666439</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1DC7E89"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EF2E93"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DAB151"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D14A44"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1AE461"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B81043"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62F17B57"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6934C36"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NISSA </w:t>
            </w:r>
            <w:proofErr w:type="spellStart"/>
            <w:r w:rsidRPr="0075595E">
              <w:rPr>
                <w:rFonts w:ascii="Calibri" w:hAnsi="Calibri"/>
                <w:sz w:val="18"/>
                <w:szCs w:val="18"/>
                <w:lang w:val="fr-FR"/>
              </w:rPr>
              <w:t>Ouonyoué</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BDFA5F5"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Commission foncier</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DEE88E2"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306410F"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70699100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1FAB922"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A9D41A3"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EC06D2"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2CE82C0"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7ADF22"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CEFDF6"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3B1AD7BA"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515A28D"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NAMA </w:t>
            </w:r>
            <w:proofErr w:type="spellStart"/>
            <w:r w:rsidRPr="0075595E">
              <w:rPr>
                <w:rFonts w:ascii="Calibri" w:hAnsi="Calibri"/>
                <w:sz w:val="18"/>
                <w:szCs w:val="18"/>
                <w:lang w:val="fr-FR"/>
              </w:rPr>
              <w:t>Boubola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0A09F549"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Commission environnement</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B13A0E0"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B0F836B" w14:textId="77777777" w:rsidR="00302BFE" w:rsidRPr="0075595E" w:rsidRDefault="00302BFE" w:rsidP="00243B15">
            <w:pPr>
              <w:pStyle w:val="TableStyle2A"/>
              <w:rPr>
                <w:rFonts w:ascii="Calibri" w:hAnsi="Calibri"/>
                <w:sz w:val="18"/>
                <w:szCs w:val="18"/>
                <w:lang w:val="fr-FR"/>
              </w:rPr>
            </w:pP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D319C1B"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3E7195"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981654"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9D6D02"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86BAD0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DAEF4C"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025CD7CE"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FD2DF5A"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ZOUNGRANA Amadou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7CF3EF0"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4AE3C5A" w14:textId="77777777" w:rsidR="00302BFE" w:rsidRPr="0075595E" w:rsidRDefault="00302BFE" w:rsidP="00243B15">
            <w:pPr>
              <w:pStyle w:val="TableStyle2A"/>
              <w:rPr>
                <w:rFonts w:ascii="Calibri" w:hAnsi="Calibri"/>
                <w:sz w:val="16"/>
                <w:szCs w:val="16"/>
              </w:rPr>
            </w:pPr>
            <w:r w:rsidRPr="0075595E">
              <w:rPr>
                <w:rFonts w:ascii="Calibri" w:hAnsi="Calibri"/>
                <w:sz w:val="16"/>
                <w:szCs w:val="16"/>
                <w:lang w:val="fr-FR"/>
              </w:rPr>
              <w:t>SP/CNDD/MEEVCC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B4E2741"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70715967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044CB4B" w14:textId="77777777" w:rsidR="00302BFE" w:rsidRPr="002854BE" w:rsidRDefault="00000000" w:rsidP="00243B15">
            <w:pPr>
              <w:pStyle w:val="TableStyle2A"/>
              <w:rPr>
                <w:rStyle w:val="Hyperlink0"/>
                <w:rFonts w:ascii="Calibri" w:hAnsi="Calibri"/>
                <w:sz w:val="18"/>
                <w:szCs w:val="18"/>
                <w:u w:val="none"/>
                <w:lang w:val="fr-FR"/>
              </w:rPr>
            </w:pPr>
            <w:hyperlink r:id="rId75" w:history="1">
              <w:r w:rsidR="00302BFE" w:rsidRPr="002854BE">
                <w:rPr>
                  <w:rStyle w:val="Lienhypertexte"/>
                  <w:rFonts w:ascii="Calibri" w:hAnsi="Calibri"/>
                  <w:sz w:val="18"/>
                  <w:szCs w:val="18"/>
                  <w:lang w:val="fr-FR"/>
                </w:rPr>
                <w:t>zoungramadou@gmail.com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37DE8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61AD0D"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389FCC"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95700F1"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CC015B"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611B75DB"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ECFA1D9"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NEBIE Amina</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E80DB86"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CVD/</w:t>
            </w:r>
            <w:proofErr w:type="spellStart"/>
            <w:r w:rsidRPr="0075595E">
              <w:rPr>
                <w:rStyle w:val="NoneA"/>
                <w:rFonts w:ascii="Calibri" w:hAnsi="Calibri"/>
                <w:sz w:val="18"/>
                <w:szCs w:val="18"/>
                <w:lang w:val="fr-FR"/>
              </w:rPr>
              <w:t>Oualem</w:t>
            </w:r>
            <w:proofErr w:type="spellEnd"/>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0727E6A"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368A76F"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71434240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0EC4224" w14:textId="77777777" w:rsidR="00302BFE" w:rsidRPr="002854BE" w:rsidRDefault="00302BFE" w:rsidP="00243B15">
            <w:pPr>
              <w:pStyle w:val="TableStyle2A"/>
              <w:rPr>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2B21972"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87175D"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A98024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9D5B07"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B9FC94"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34E0BC73"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585465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ZIBARE A. </w:t>
            </w:r>
            <w:proofErr w:type="spellStart"/>
            <w:r w:rsidRPr="0075595E">
              <w:rPr>
                <w:rFonts w:ascii="Calibri" w:hAnsi="Calibri"/>
                <w:sz w:val="18"/>
                <w:szCs w:val="18"/>
                <w:lang w:val="fr-FR"/>
              </w:rPr>
              <w:t>Oueziba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14E7A9FC"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1</w:t>
            </w:r>
            <w:r w:rsidRPr="0075595E">
              <w:rPr>
                <w:rStyle w:val="NoneA"/>
                <w:rFonts w:ascii="Calibri" w:hAnsi="Calibri"/>
                <w:sz w:val="18"/>
                <w:szCs w:val="18"/>
                <w:vertAlign w:val="superscript"/>
                <w:lang w:val="fr-FR"/>
              </w:rPr>
              <w:t>er</w:t>
            </w:r>
            <w:r w:rsidRPr="0075595E">
              <w:rPr>
                <w:rStyle w:val="NoneA"/>
                <w:rFonts w:ascii="Calibri" w:hAnsi="Calibri"/>
                <w:sz w:val="18"/>
                <w:szCs w:val="18"/>
                <w:lang w:val="fr-FR"/>
              </w:rPr>
              <w:t xml:space="preserve"> adjoint du maire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670D522"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1AD2FC1" w14:textId="77777777" w:rsidR="00302BFE" w:rsidRPr="0075595E" w:rsidRDefault="00302BFE" w:rsidP="00243B15">
            <w:pPr>
              <w:pStyle w:val="TableStyle2A"/>
              <w:rPr>
                <w:rFonts w:ascii="Calibri" w:hAnsi="Calibri"/>
                <w:sz w:val="18"/>
                <w:szCs w:val="18"/>
                <w:lang w:val="fr-FR"/>
              </w:rPr>
            </w:pPr>
            <w:r w:rsidRPr="0075595E">
              <w:rPr>
                <w:rFonts w:ascii="Calibri" w:hAnsi="Calibri"/>
                <w:sz w:val="18"/>
                <w:szCs w:val="18"/>
                <w:lang w:val="fr-FR"/>
              </w:rPr>
              <w:t>70756077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C0DADA4" w14:textId="77777777" w:rsidR="00302BFE" w:rsidRPr="002854BE" w:rsidRDefault="00000000" w:rsidP="00243B15">
            <w:pPr>
              <w:pStyle w:val="TableStyle2A"/>
              <w:rPr>
                <w:rFonts w:ascii="Calibri" w:hAnsi="Calibri"/>
                <w:sz w:val="18"/>
                <w:szCs w:val="18"/>
                <w:lang w:val="fr-FR"/>
              </w:rPr>
            </w:pPr>
            <w:hyperlink r:id="rId76" w:history="1">
              <w:r w:rsidR="00302BFE" w:rsidRPr="002854BE">
                <w:rPr>
                  <w:rStyle w:val="Lienhypertexte"/>
                  <w:rFonts w:ascii="Calibri" w:hAnsi="Calibri"/>
                  <w:sz w:val="18"/>
                  <w:szCs w:val="18"/>
                  <w:lang w:val="fr-FR"/>
                </w:rPr>
                <w:t>wezibaz@gmail.com</w:t>
              </w:r>
            </w:hyperlink>
            <w:r w:rsidR="00302BFE" w:rsidRPr="002854BE">
              <w:rPr>
                <w:rFonts w:ascii="Calibri" w:hAnsi="Calibri"/>
                <w:sz w:val="18"/>
                <w:szCs w:val="18"/>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3CB6510"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F10ABB"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355B56"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7FDBCF3"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466D6C"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1DDD4E2E" w14:textId="77777777" w:rsidTr="00243B15">
        <w:trPr>
          <w:jc w:val="center"/>
        </w:trPr>
        <w:tc>
          <w:tcPr>
            <w:tcW w:w="13744" w:type="dxa"/>
            <w:gridSpan w:val="10"/>
            <w:tcBorders>
              <w:top w:val="single" w:sz="2" w:space="0" w:color="000000"/>
              <w:left w:val="single" w:sz="2" w:space="0" w:color="000000"/>
              <w:bottom w:val="single" w:sz="2" w:space="0" w:color="000000"/>
              <w:right w:val="single" w:sz="2" w:space="0" w:color="000000"/>
            </w:tcBorders>
            <w:shd w:val="clear" w:color="auto" w:fill="FFF2CC"/>
            <w:tcMar>
              <w:top w:w="80" w:type="dxa"/>
              <w:left w:w="80" w:type="dxa"/>
              <w:bottom w:w="80" w:type="dxa"/>
              <w:right w:w="80" w:type="dxa"/>
            </w:tcMar>
            <w:hideMark/>
          </w:tcPr>
          <w:p w14:paraId="2CAA5721" w14:textId="77777777" w:rsidR="00302BFE" w:rsidRPr="002854BE" w:rsidRDefault="00302BFE" w:rsidP="00243B15">
            <w:pPr>
              <w:pStyle w:val="TableStyle2A"/>
              <w:rPr>
                <w:rStyle w:val="Hyperlink0"/>
                <w:rFonts w:ascii="Calibri" w:hAnsi="Calibri"/>
                <w:sz w:val="18"/>
                <w:szCs w:val="18"/>
                <w:u w:val="none"/>
              </w:rPr>
            </w:pPr>
            <w:r w:rsidRPr="002854BE">
              <w:rPr>
                <w:rFonts w:ascii="Calibri" w:hAnsi="Calibri"/>
                <w:b/>
                <w:sz w:val="18"/>
                <w:szCs w:val="18"/>
              </w:rPr>
              <w:t>Commune of PO, 09/26/2018</w:t>
            </w:r>
          </w:p>
        </w:tc>
      </w:tr>
      <w:tr w:rsidR="00302BFE" w:rsidRPr="0075595E" w14:paraId="07576A9D"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E0CEF3C"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GOMGNIMBOU </w:t>
            </w:r>
            <w:proofErr w:type="spellStart"/>
            <w:r w:rsidRPr="0075595E">
              <w:rPr>
                <w:rFonts w:ascii="Calibri" w:hAnsi="Calibri"/>
                <w:sz w:val="18"/>
                <w:szCs w:val="18"/>
              </w:rPr>
              <w:t>Assane</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142B74C"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1</w:t>
            </w:r>
            <w:r w:rsidRPr="0075595E">
              <w:rPr>
                <w:rStyle w:val="NoneA"/>
                <w:rFonts w:ascii="Calibri" w:hAnsi="Calibri"/>
                <w:sz w:val="18"/>
                <w:szCs w:val="18"/>
                <w:vertAlign w:val="superscript"/>
                <w:lang w:val="fr-FR"/>
              </w:rPr>
              <w:t>er</w:t>
            </w:r>
            <w:r w:rsidRPr="0075595E">
              <w:rPr>
                <w:rStyle w:val="NoneA"/>
                <w:rFonts w:ascii="Calibri" w:hAnsi="Calibri"/>
                <w:sz w:val="18"/>
                <w:szCs w:val="18"/>
                <w:lang w:val="fr-FR"/>
              </w:rPr>
              <w:t xml:space="preserve"> adjoint au Maire de Pô</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77ECB08" w14:textId="77777777" w:rsidR="00302BFE" w:rsidRPr="0075595E" w:rsidRDefault="00302BFE" w:rsidP="00243B15">
            <w:pPr>
              <w:pStyle w:val="TableStyle2A"/>
              <w:rPr>
                <w:rFonts w:ascii="Calibri" w:hAnsi="Calibri"/>
                <w:sz w:val="18"/>
                <w:szCs w:val="18"/>
                <w:lang w:val="fr-CA"/>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63FC561" w14:textId="77777777" w:rsidR="00302BFE" w:rsidRPr="0075595E" w:rsidRDefault="00302BFE" w:rsidP="00243B15">
            <w:pPr>
              <w:pStyle w:val="TableStyle2A"/>
              <w:rPr>
                <w:rFonts w:ascii="Calibri" w:hAnsi="Calibri"/>
                <w:sz w:val="18"/>
                <w:szCs w:val="18"/>
              </w:rPr>
            </w:pPr>
            <w:r w:rsidRPr="0075595E">
              <w:rPr>
                <w:rStyle w:val="NoneA"/>
                <w:rFonts w:ascii="Calibri" w:hAnsi="Calibri"/>
                <w:sz w:val="18"/>
                <w:szCs w:val="18"/>
              </w:rPr>
              <w:t>70762758</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783DB0D"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8776022"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AFCD19"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15BFC45"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E9A1C8"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F050C4"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7C3F511D"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FA1C2CE"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PETIRA A. Jacob</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BBB3466"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2</w:t>
            </w:r>
            <w:r w:rsidRPr="0075595E">
              <w:rPr>
                <w:rStyle w:val="NoneA"/>
                <w:rFonts w:ascii="Calibri" w:hAnsi="Calibri"/>
                <w:sz w:val="18"/>
                <w:szCs w:val="18"/>
                <w:vertAlign w:val="superscript"/>
                <w:lang w:val="fr-FR"/>
              </w:rPr>
              <w:t>e</w:t>
            </w:r>
            <w:r w:rsidRPr="0075595E">
              <w:rPr>
                <w:rStyle w:val="NoneA"/>
                <w:rFonts w:ascii="Calibri" w:hAnsi="Calibri"/>
                <w:sz w:val="18"/>
                <w:szCs w:val="18"/>
                <w:lang w:val="fr-FR"/>
              </w:rPr>
              <w:t xml:space="preserve"> adjoint au Maire de Pô</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D6058C" w14:textId="77777777" w:rsidR="00302BFE" w:rsidRPr="0075595E" w:rsidRDefault="00302BFE" w:rsidP="00243B15">
            <w:pPr>
              <w:pStyle w:val="TableStyle2A"/>
              <w:rPr>
                <w:rFonts w:ascii="Calibri" w:hAnsi="Calibri"/>
                <w:sz w:val="18"/>
                <w:szCs w:val="18"/>
                <w:lang w:val="fr-CA"/>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89F9332"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70804616</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CDE95A4" w14:textId="77777777" w:rsidR="00302BFE" w:rsidRPr="002854BE" w:rsidRDefault="00000000" w:rsidP="00243B15">
            <w:pPr>
              <w:pStyle w:val="TableStyle2A"/>
              <w:rPr>
                <w:rFonts w:ascii="Calibri" w:hAnsi="Calibri"/>
                <w:sz w:val="18"/>
                <w:szCs w:val="18"/>
              </w:rPr>
            </w:pPr>
            <w:hyperlink r:id="rId77" w:history="1">
              <w:r w:rsidR="00302BFE" w:rsidRPr="002854BE">
                <w:rPr>
                  <w:rStyle w:val="Lienhypertexte"/>
                  <w:rFonts w:ascii="Calibri" w:hAnsi="Calibri"/>
                  <w:sz w:val="18"/>
                  <w:szCs w:val="18"/>
                  <w:lang w:val="fr-FR"/>
                </w:rPr>
                <w:t>Petiraaouya05@gmail.com</w:t>
              </w:r>
            </w:hyperlink>
            <w:r w:rsidR="00302BFE" w:rsidRPr="002854BE">
              <w:rPr>
                <w:rFonts w:ascii="Calibri" w:hAnsi="Calibri"/>
                <w:sz w:val="18"/>
                <w:szCs w:val="18"/>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1FA26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A6EE2B"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0B8E6F"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B64159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99DF7FC"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5782E291"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417CC2F"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DIALLO Adama</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4000EA49"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Préfet Pô</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E28C9BC"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DD01B9E"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72052048</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3C07303" w14:textId="77777777" w:rsidR="00302BFE" w:rsidRPr="002854BE" w:rsidRDefault="00000000" w:rsidP="00243B15">
            <w:pPr>
              <w:pStyle w:val="TableStyle2A"/>
              <w:rPr>
                <w:rFonts w:ascii="Calibri" w:hAnsi="Calibri"/>
                <w:sz w:val="18"/>
                <w:szCs w:val="18"/>
              </w:rPr>
            </w:pPr>
            <w:hyperlink r:id="rId78" w:history="1">
              <w:r w:rsidR="00302BFE" w:rsidRPr="002854BE">
                <w:rPr>
                  <w:rStyle w:val="Lienhypertexte"/>
                  <w:rFonts w:ascii="Calibri" w:hAnsi="Calibri"/>
                  <w:sz w:val="18"/>
                  <w:szCs w:val="18"/>
                </w:rPr>
                <w:t>d</w:t>
              </w:r>
              <w:r w:rsidR="00302BFE" w:rsidRPr="002854BE">
                <w:rPr>
                  <w:rStyle w:val="Lienhypertexte"/>
                  <w:rFonts w:ascii="Calibri" w:hAnsi="Calibri"/>
                  <w:sz w:val="18"/>
                  <w:szCs w:val="18"/>
                  <w:lang w:val="fr-FR"/>
                </w:rPr>
                <w:t>iallodam17@gmail.com</w:t>
              </w:r>
            </w:hyperlink>
            <w:r w:rsidR="00302BFE" w:rsidRPr="002854BE">
              <w:rPr>
                <w:rFonts w:ascii="Calibri" w:hAnsi="Calibri"/>
                <w:sz w:val="18"/>
                <w:szCs w:val="18"/>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09023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A801A7"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544AB1"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C25F23"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CC89EDA"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053EFE15"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33AB88E"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SAWADOGO R. Pascal</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0EC6FE4C"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31673DE" w14:textId="77777777" w:rsidR="00302BFE" w:rsidRPr="0075595E" w:rsidRDefault="00A52B7F" w:rsidP="00243B15">
            <w:pPr>
              <w:pStyle w:val="TableStyle2A"/>
              <w:rPr>
                <w:rFonts w:ascii="Calibri" w:hAnsi="Calibri"/>
                <w:sz w:val="18"/>
                <w:szCs w:val="18"/>
              </w:rPr>
            </w:pPr>
            <w:r w:rsidRPr="0075595E">
              <w:rPr>
                <w:rStyle w:val="NoneA"/>
                <w:rFonts w:ascii="Calibri" w:hAnsi="Calibri"/>
                <w:sz w:val="18"/>
                <w:szCs w:val="18"/>
                <w:lang w:val="fr-FR"/>
              </w:rPr>
              <w:t>C-SDEEVCC/Pô</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F67BF5A"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70125795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A249FEA"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1791A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3C6021"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40BA5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63A5C9A"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FF391E"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54571048"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CA6185C"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BANCE Drissa</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B016C1E"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Chef</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09DADEA" w14:textId="77777777" w:rsidR="00302BFE" w:rsidRPr="0075595E" w:rsidRDefault="00302BFE" w:rsidP="00243B15">
            <w:pPr>
              <w:pStyle w:val="TableStyle2A"/>
              <w:rPr>
                <w:rFonts w:ascii="Calibri" w:hAnsi="Calibri"/>
                <w:sz w:val="18"/>
                <w:szCs w:val="18"/>
              </w:rPr>
            </w:pPr>
            <w:r w:rsidRPr="0075595E">
              <w:rPr>
                <w:rStyle w:val="NoneA"/>
                <w:rFonts w:ascii="Calibri" w:hAnsi="Calibri"/>
                <w:sz w:val="18"/>
                <w:szCs w:val="18"/>
                <w:lang w:val="fr-FR"/>
              </w:rPr>
              <w:t xml:space="preserve">UPC </w:t>
            </w:r>
            <w:proofErr w:type="spellStart"/>
            <w:r w:rsidRPr="0075595E">
              <w:rPr>
                <w:rStyle w:val="NoneA"/>
                <w:rFonts w:ascii="Calibri" w:hAnsi="Calibri"/>
                <w:sz w:val="18"/>
                <w:szCs w:val="18"/>
                <w:lang w:val="fr-FR"/>
              </w:rPr>
              <w:t>Pighiri</w:t>
            </w:r>
            <w:proofErr w:type="spellEnd"/>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C25BCF4"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76774896</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ECEB967" w14:textId="77777777" w:rsidR="00302BFE" w:rsidRPr="002854BE" w:rsidRDefault="00000000" w:rsidP="00243B15">
            <w:pPr>
              <w:pStyle w:val="TableStyle2A"/>
              <w:rPr>
                <w:rFonts w:ascii="Calibri" w:hAnsi="Calibri"/>
                <w:sz w:val="18"/>
                <w:szCs w:val="18"/>
              </w:rPr>
            </w:pPr>
            <w:hyperlink r:id="rId79" w:history="1">
              <w:r w:rsidR="00302BFE" w:rsidRPr="002854BE">
                <w:rPr>
                  <w:rStyle w:val="Lienhypertexte"/>
                  <w:rFonts w:ascii="Calibri" w:hAnsi="Calibri"/>
                  <w:sz w:val="18"/>
                  <w:szCs w:val="18"/>
                  <w:lang w:val="fr-FR"/>
                </w:rPr>
                <w:t>kirkarabance@gmail.com</w:t>
              </w:r>
            </w:hyperlink>
            <w:r w:rsidR="00302BFE" w:rsidRPr="002854BE">
              <w:rPr>
                <w:rFonts w:ascii="Calibri" w:hAnsi="Calibri"/>
                <w:sz w:val="18"/>
                <w:szCs w:val="18"/>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AB7950"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C59C430"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AC81BE9"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E39582"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EB6A3B"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582AF774"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B187280"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ATIGA Joseph</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3ED51E5"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Foncier</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26B9D47"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57D7387"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70120081</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8C5C781"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68361F4"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518910"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803DFDC"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AFEBD6"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F766AE"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1226C3D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363F99B"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DALLY A. Jonas</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2D6B6855"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Président</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C8E4120"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CEDL</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8651D99"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70228094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2D6087"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DD1519"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7F5C29"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FF894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434B33"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A8EA06"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53392139"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433086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lastRenderedPageBreak/>
              <w:t xml:space="preserve">ZOULABOU </w:t>
            </w:r>
            <w:proofErr w:type="spellStart"/>
            <w:r w:rsidRPr="0075595E">
              <w:rPr>
                <w:rFonts w:ascii="Calibri" w:hAnsi="Calibri"/>
                <w:sz w:val="18"/>
                <w:szCs w:val="18"/>
                <w:lang w:val="fr-FR"/>
              </w:rPr>
              <w:t>Ouékana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64D5812C"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SG-</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DC972A3" w14:textId="77777777" w:rsidR="00302BFE" w:rsidRPr="0075595E" w:rsidRDefault="00302BFE" w:rsidP="00243B15">
            <w:pPr>
              <w:pStyle w:val="TableStyle2A"/>
              <w:rPr>
                <w:rFonts w:ascii="Calibri" w:hAnsi="Calibri"/>
                <w:sz w:val="18"/>
                <w:szCs w:val="18"/>
              </w:rPr>
            </w:pPr>
            <w:r w:rsidRPr="0075595E">
              <w:rPr>
                <w:rStyle w:val="NoneA"/>
                <w:rFonts w:ascii="Calibri" w:hAnsi="Calibri"/>
                <w:sz w:val="18"/>
                <w:szCs w:val="18"/>
                <w:lang w:val="fr-FR"/>
              </w:rPr>
              <w:t xml:space="preserve">Association </w:t>
            </w:r>
            <w:proofErr w:type="spellStart"/>
            <w:r w:rsidRPr="0075595E">
              <w:rPr>
                <w:rStyle w:val="NoneA"/>
                <w:rFonts w:ascii="Calibri" w:hAnsi="Calibri"/>
                <w:sz w:val="18"/>
                <w:szCs w:val="18"/>
                <w:lang w:val="fr-FR"/>
              </w:rPr>
              <w:t>GaMoWigna</w:t>
            </w:r>
            <w:proofErr w:type="spellEnd"/>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43FC881"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70135254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DFBEF46" w14:textId="77777777" w:rsidR="00302BFE" w:rsidRPr="002854BE" w:rsidRDefault="00000000" w:rsidP="00243B15">
            <w:pPr>
              <w:pStyle w:val="TableStyle2A"/>
              <w:rPr>
                <w:rFonts w:ascii="Calibri" w:hAnsi="Calibri"/>
                <w:sz w:val="18"/>
                <w:szCs w:val="18"/>
              </w:rPr>
            </w:pPr>
            <w:hyperlink r:id="rId80" w:history="1">
              <w:r w:rsidR="00302BFE" w:rsidRPr="002854BE">
                <w:rPr>
                  <w:rStyle w:val="Lienhypertexte"/>
                  <w:rFonts w:ascii="Calibri" w:hAnsi="Calibri"/>
                  <w:sz w:val="18"/>
                  <w:szCs w:val="18"/>
                  <w:lang w:val="fr-FR"/>
                </w:rPr>
                <w:t>Ouekane29@gmail.com</w:t>
              </w:r>
            </w:hyperlink>
            <w:r w:rsidR="00302BFE" w:rsidRPr="002854BE">
              <w:rPr>
                <w:rFonts w:ascii="Calibri" w:hAnsi="Calibri"/>
                <w:sz w:val="18"/>
                <w:szCs w:val="18"/>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175EA5"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C96B07E"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BFD8F5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971C877"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24435D"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4D62888F"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1BC6AC3"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TAHOURA </w:t>
            </w:r>
            <w:proofErr w:type="spellStart"/>
            <w:r w:rsidRPr="0075595E">
              <w:rPr>
                <w:rFonts w:ascii="Calibri" w:hAnsi="Calibri"/>
                <w:sz w:val="18"/>
                <w:szCs w:val="18"/>
                <w:lang w:val="fr-FR"/>
              </w:rPr>
              <w:t>Bahoupé</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445899A0"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CTC/Pô</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60A605A"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71F0C47"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78205520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D26C061" w14:textId="77777777" w:rsidR="00302BFE" w:rsidRPr="002854BE" w:rsidRDefault="00000000" w:rsidP="00243B15">
            <w:pPr>
              <w:pStyle w:val="TableStyle2A"/>
              <w:rPr>
                <w:rFonts w:ascii="Calibri" w:hAnsi="Calibri"/>
                <w:sz w:val="18"/>
                <w:szCs w:val="18"/>
              </w:rPr>
            </w:pPr>
            <w:hyperlink r:id="rId81" w:history="1">
              <w:r w:rsidR="00302BFE" w:rsidRPr="002854BE">
                <w:rPr>
                  <w:rStyle w:val="Lienhypertexte"/>
                  <w:rFonts w:ascii="Calibri" w:hAnsi="Calibri"/>
                  <w:sz w:val="18"/>
                  <w:szCs w:val="18"/>
                  <w:lang w:val="fr-FR"/>
                </w:rPr>
                <w:t>bahoupeta@yahoo.fr</w:t>
              </w:r>
            </w:hyperlink>
            <w:r w:rsidR="00302BFE" w:rsidRPr="002854BE">
              <w:rPr>
                <w:rFonts w:ascii="Calibri" w:hAnsi="Calibri"/>
                <w:sz w:val="18"/>
                <w:szCs w:val="18"/>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AF391C"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72EA1FE"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09574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867277F"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631D29"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1C8CE404"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81DA78C"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KAZAGABOU T. Luc</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04B17849"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7603481"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Association </w:t>
            </w:r>
            <w:proofErr w:type="spellStart"/>
            <w:r w:rsidRPr="0075595E">
              <w:rPr>
                <w:rFonts w:ascii="Calibri" w:hAnsi="Calibri"/>
                <w:sz w:val="18"/>
                <w:szCs w:val="18"/>
                <w:lang w:val="fr-FR"/>
              </w:rPr>
              <w:t>Tiou</w:t>
            </w:r>
            <w:proofErr w:type="spellEnd"/>
            <w:r w:rsidRPr="0075595E">
              <w:rPr>
                <w:rFonts w:ascii="Calibri" w:hAnsi="Calibri"/>
                <w:sz w:val="18"/>
                <w:szCs w:val="18"/>
                <w:lang w:val="fr-FR"/>
              </w:rPr>
              <w:t>-yi-</w:t>
            </w:r>
            <w:proofErr w:type="spellStart"/>
            <w:r w:rsidRPr="0075595E">
              <w:rPr>
                <w:rFonts w:ascii="Calibri" w:hAnsi="Calibri"/>
                <w:sz w:val="18"/>
                <w:szCs w:val="18"/>
                <w:lang w:val="fr-FR"/>
              </w:rPr>
              <w:t>Wignam</w:t>
            </w:r>
            <w:proofErr w:type="spellEnd"/>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0CB043E"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 xml:space="preserve">68692468 </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76E8E05"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74B4B4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E94C1FB"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E2A16F"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5804B5"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BB93E03"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66431EA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4143708"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ZOUNGRANA Amadou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769015FB"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0A8237D" w14:textId="77777777" w:rsidR="00302BFE" w:rsidRPr="0075595E" w:rsidRDefault="00302BFE" w:rsidP="00243B15">
            <w:pPr>
              <w:pStyle w:val="TableStyle2A"/>
              <w:rPr>
                <w:rFonts w:ascii="Calibri" w:hAnsi="Calibri"/>
                <w:sz w:val="16"/>
                <w:szCs w:val="16"/>
              </w:rPr>
            </w:pPr>
            <w:r w:rsidRPr="0075595E">
              <w:rPr>
                <w:rFonts w:ascii="Calibri" w:hAnsi="Calibri"/>
                <w:sz w:val="16"/>
                <w:szCs w:val="16"/>
                <w:lang w:val="fr-FR"/>
              </w:rPr>
              <w:t>SP/CNDD/MEEVCC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D663C11"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70715967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761B20DA" w14:textId="77777777" w:rsidR="00302BFE" w:rsidRPr="002854BE" w:rsidRDefault="00000000" w:rsidP="00243B15">
            <w:pPr>
              <w:pStyle w:val="TableStyle2A"/>
              <w:rPr>
                <w:rStyle w:val="Hyperlink0"/>
                <w:rFonts w:ascii="Calibri" w:hAnsi="Calibri"/>
                <w:sz w:val="18"/>
                <w:szCs w:val="18"/>
                <w:u w:val="none"/>
                <w:lang w:val="fr-FR"/>
              </w:rPr>
            </w:pPr>
            <w:hyperlink r:id="rId82" w:history="1">
              <w:r w:rsidR="00302BFE" w:rsidRPr="002854BE">
                <w:rPr>
                  <w:rStyle w:val="Lienhypertexte"/>
                  <w:rFonts w:ascii="Calibri" w:hAnsi="Calibri"/>
                  <w:sz w:val="18"/>
                  <w:szCs w:val="18"/>
                  <w:lang w:val="fr-FR"/>
                </w:rPr>
                <w:t>zoungramadou@gmail.com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C852BF"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1B0D20" w14:textId="77777777" w:rsidR="00302BFE" w:rsidRPr="0075595E" w:rsidRDefault="00302BFE" w:rsidP="00243B15">
            <w:pPr>
              <w:pStyle w:val="TableStyle2A"/>
              <w:jc w:val="center"/>
              <w:rPr>
                <w:rStyle w:val="Hyperlink0"/>
                <w:rFonts w:ascii="Calibri" w:hAnsi="Calibri"/>
                <w:sz w:val="18"/>
                <w:szCs w:val="18"/>
                <w:u w:val="none"/>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D3771D"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08D825B"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CEA955"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18923BCD"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7FB1753"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 xml:space="preserve">OUEDRAOGO </w:t>
            </w:r>
            <w:proofErr w:type="spellStart"/>
            <w:r w:rsidRPr="0075595E">
              <w:rPr>
                <w:rFonts w:ascii="Calibri" w:hAnsi="Calibri"/>
                <w:sz w:val="18"/>
                <w:szCs w:val="18"/>
                <w:lang w:val="fr-FR"/>
              </w:rPr>
              <w:t>Zoenabo</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6BAA943"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ZAT/Pô</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1FC4E93"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75F3212"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68760100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A10C01E" w14:textId="77777777" w:rsidR="00302BFE" w:rsidRPr="002854BE" w:rsidRDefault="00000000" w:rsidP="00243B15">
            <w:pPr>
              <w:pStyle w:val="TableStyle2A"/>
              <w:rPr>
                <w:rStyle w:val="Hyperlink0"/>
                <w:rFonts w:ascii="Calibri" w:hAnsi="Calibri"/>
                <w:sz w:val="18"/>
                <w:szCs w:val="18"/>
                <w:u w:val="none"/>
                <w:lang w:val="fr-FR"/>
              </w:rPr>
            </w:pPr>
            <w:hyperlink r:id="rId83" w:history="1">
              <w:r w:rsidR="00302BFE" w:rsidRPr="002854BE">
                <w:rPr>
                  <w:rStyle w:val="Lienhypertexte"/>
                  <w:rFonts w:ascii="Calibri" w:hAnsi="Calibri"/>
                  <w:sz w:val="18"/>
                  <w:szCs w:val="18"/>
                  <w:lang w:val="fr-FR"/>
                </w:rPr>
                <w:t>Ouedraogozoena03@gmail.com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FA72819"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ABA21D2" w14:textId="77777777" w:rsidR="00302BFE" w:rsidRPr="0075595E" w:rsidRDefault="00302BFE" w:rsidP="00243B15">
            <w:pPr>
              <w:pStyle w:val="TableStyle2A"/>
              <w:jc w:val="center"/>
              <w:rPr>
                <w:rStyle w:val="Hyperlink0"/>
                <w:rFonts w:ascii="Calibri" w:hAnsi="Calibri"/>
                <w:sz w:val="18"/>
                <w:szCs w:val="18"/>
                <w:u w:val="none"/>
                <w:lang w:val="fr-FR"/>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B04DDB"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A798DC"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A002A4"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32550126" w14:textId="77777777" w:rsidTr="00243B15">
        <w:trPr>
          <w:jc w:val="center"/>
        </w:trPr>
        <w:tc>
          <w:tcPr>
            <w:tcW w:w="13744" w:type="dxa"/>
            <w:gridSpan w:val="10"/>
            <w:tcBorders>
              <w:top w:val="single" w:sz="2" w:space="0" w:color="000000"/>
              <w:left w:val="single" w:sz="2" w:space="0" w:color="000000"/>
              <w:bottom w:val="single" w:sz="2" w:space="0" w:color="000000"/>
              <w:right w:val="single" w:sz="2" w:space="0" w:color="000000"/>
            </w:tcBorders>
            <w:shd w:val="clear" w:color="auto" w:fill="FFF2CC"/>
            <w:tcMar>
              <w:top w:w="80" w:type="dxa"/>
              <w:left w:w="80" w:type="dxa"/>
              <w:bottom w:w="80" w:type="dxa"/>
              <w:right w:w="80" w:type="dxa"/>
            </w:tcMar>
            <w:hideMark/>
          </w:tcPr>
          <w:p w14:paraId="3D0CE25E" w14:textId="77777777" w:rsidR="00302BFE" w:rsidRPr="002854BE" w:rsidRDefault="00302BFE" w:rsidP="00243B15">
            <w:pPr>
              <w:pStyle w:val="TableStyle2A"/>
              <w:rPr>
                <w:rStyle w:val="Hyperlink0"/>
                <w:rFonts w:ascii="Calibri" w:hAnsi="Calibri"/>
                <w:sz w:val="18"/>
                <w:szCs w:val="18"/>
                <w:u w:val="none"/>
              </w:rPr>
            </w:pPr>
            <w:r w:rsidRPr="002854BE">
              <w:rPr>
                <w:rFonts w:ascii="Calibri" w:hAnsi="Calibri"/>
                <w:b/>
                <w:sz w:val="18"/>
                <w:szCs w:val="18"/>
              </w:rPr>
              <w:t>Commune of SAPOUY, 09/28/2018</w:t>
            </w:r>
          </w:p>
        </w:tc>
      </w:tr>
      <w:tr w:rsidR="00302BFE" w:rsidRPr="0075595E" w14:paraId="3DC4F013"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219CFD9"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NAMA Sidiki</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3475E6C"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1</w:t>
            </w:r>
            <w:r w:rsidRPr="0075595E">
              <w:rPr>
                <w:rStyle w:val="NoneA"/>
                <w:rFonts w:ascii="Calibri" w:hAnsi="Calibri"/>
                <w:sz w:val="18"/>
                <w:szCs w:val="18"/>
                <w:vertAlign w:val="superscript"/>
                <w:lang w:val="fr-FR"/>
              </w:rPr>
              <w:t>er</w:t>
            </w:r>
            <w:r w:rsidRPr="0075595E">
              <w:rPr>
                <w:rStyle w:val="NoneA"/>
                <w:rFonts w:ascii="Calibri" w:hAnsi="Calibri"/>
                <w:sz w:val="18"/>
                <w:szCs w:val="18"/>
                <w:lang w:val="fr-FR"/>
              </w:rPr>
              <w:t xml:space="preserve"> adjoint au Maire</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3FE1D9E"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6C312B6" w14:textId="77777777" w:rsidR="00302BFE" w:rsidRPr="0075595E" w:rsidRDefault="00302BFE" w:rsidP="00243B15">
            <w:pPr>
              <w:pStyle w:val="TableStyle2A"/>
              <w:rPr>
                <w:rFonts w:ascii="Calibri" w:hAnsi="Calibri"/>
                <w:sz w:val="18"/>
                <w:szCs w:val="18"/>
              </w:rPr>
            </w:pPr>
            <w:r w:rsidRPr="0075595E">
              <w:rPr>
                <w:rStyle w:val="NoneA"/>
                <w:rFonts w:ascii="Calibri" w:hAnsi="Calibri"/>
                <w:sz w:val="18"/>
                <w:szCs w:val="18"/>
              </w:rPr>
              <w:t>70344330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4B1A191" w14:textId="77777777" w:rsidR="00302BFE" w:rsidRPr="002854BE" w:rsidRDefault="00000000" w:rsidP="00243B15">
            <w:pPr>
              <w:pStyle w:val="TableStyle2A"/>
              <w:rPr>
                <w:rFonts w:ascii="Calibri" w:hAnsi="Calibri"/>
                <w:sz w:val="18"/>
                <w:szCs w:val="18"/>
              </w:rPr>
            </w:pPr>
            <w:hyperlink r:id="rId84" w:history="1">
              <w:r w:rsidR="00302BFE" w:rsidRPr="002854BE">
                <w:rPr>
                  <w:rStyle w:val="Lienhypertexte"/>
                  <w:rFonts w:ascii="Calibri" w:hAnsi="Calibri"/>
                  <w:sz w:val="18"/>
                  <w:szCs w:val="18"/>
                  <w:lang w:val="fr-FR"/>
                </w:rPr>
                <w:t>sidikinama@yahoo.fr</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8FFC28"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17C98B7C" w14:textId="77777777" w:rsidR="00302BFE" w:rsidRPr="0075595E" w:rsidRDefault="00302BFE" w:rsidP="00243B15">
            <w:pPr>
              <w:spacing w:after="0"/>
              <w:jc w:val="center"/>
              <w:rPr>
                <w:sz w:val="18"/>
                <w:szCs w:val="18"/>
              </w:rPr>
            </w:pPr>
            <w:r w:rsidRPr="0075595E">
              <w:rPr>
                <w:rStyle w:val="Hyperlink0"/>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F8DEC1"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B864943"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B55D30"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0594F18A"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73AE9A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TIENDREBEOGO </w:t>
            </w:r>
            <w:proofErr w:type="spellStart"/>
            <w:r w:rsidRPr="0075595E">
              <w:rPr>
                <w:rFonts w:ascii="Calibri" w:hAnsi="Calibri"/>
                <w:sz w:val="18"/>
                <w:szCs w:val="18"/>
              </w:rPr>
              <w:t>Amedée</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3A21D8CC"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Chef ZATE/Sapouy</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F86E7FF"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57EEBF7"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70827425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12F43C3" w14:textId="77777777" w:rsidR="00302BFE" w:rsidRPr="002854BE" w:rsidRDefault="00000000" w:rsidP="00243B15">
            <w:pPr>
              <w:pStyle w:val="TableStyle2A"/>
              <w:rPr>
                <w:rStyle w:val="Hyperlink0"/>
                <w:rFonts w:ascii="Calibri" w:hAnsi="Calibri"/>
                <w:sz w:val="18"/>
                <w:szCs w:val="18"/>
                <w:u w:val="none"/>
                <w:lang w:val="fr-FR"/>
              </w:rPr>
            </w:pPr>
            <w:hyperlink r:id="rId85" w:history="1">
              <w:r w:rsidR="00302BFE" w:rsidRPr="002854BE">
                <w:rPr>
                  <w:rStyle w:val="Lienhypertexte"/>
                  <w:rFonts w:ascii="Calibri" w:hAnsi="Calibri"/>
                  <w:sz w:val="18"/>
                  <w:szCs w:val="18"/>
                  <w:lang w:val="fr-FR"/>
                </w:rPr>
                <w:t>Tamedee13@gmail.com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47724B"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68F89B02" w14:textId="77777777" w:rsidR="00302BFE" w:rsidRPr="0075595E" w:rsidRDefault="00302BFE" w:rsidP="00243B15">
            <w:pPr>
              <w:spacing w:after="0"/>
              <w:jc w:val="center"/>
              <w:rPr>
                <w:sz w:val="18"/>
                <w:szCs w:val="18"/>
              </w:rPr>
            </w:pPr>
            <w:r w:rsidRPr="0075595E">
              <w:rPr>
                <w:rStyle w:val="Hyperlink0"/>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5F8DFF"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D72331" w14:textId="77777777" w:rsidR="00302BFE" w:rsidRPr="0075595E" w:rsidRDefault="00302BFE" w:rsidP="00243B15">
            <w:pPr>
              <w:pStyle w:val="TableStyle2A"/>
              <w:jc w:val="center"/>
              <w:rPr>
                <w:rStyle w:val="Hyperlink0"/>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86DC114" w14:textId="77777777" w:rsidR="00302BFE" w:rsidRPr="0075595E" w:rsidRDefault="00302BFE" w:rsidP="00243B15">
            <w:pPr>
              <w:pStyle w:val="TableStyle2A"/>
              <w:jc w:val="center"/>
              <w:rPr>
                <w:rStyle w:val="Hyperlink0"/>
                <w:rFonts w:ascii="Calibri" w:hAnsi="Calibri"/>
                <w:sz w:val="18"/>
                <w:szCs w:val="18"/>
              </w:rPr>
            </w:pPr>
          </w:p>
        </w:tc>
      </w:tr>
      <w:tr w:rsidR="00302BFE" w:rsidRPr="0075595E" w14:paraId="3A8F5ED5"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3E02EED5"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YAMEOGO D. Wilfried</w:t>
            </w:r>
          </w:p>
        </w:tc>
        <w:tc>
          <w:tcPr>
            <w:tcW w:w="2617" w:type="dxa"/>
            <w:tcBorders>
              <w:top w:val="single" w:sz="2" w:space="0" w:color="000000"/>
              <w:left w:val="single" w:sz="2" w:space="0" w:color="000000"/>
              <w:bottom w:val="single" w:sz="2" w:space="0" w:color="000000"/>
              <w:right w:val="single" w:sz="2" w:space="0" w:color="000000"/>
            </w:tcBorders>
            <w:shd w:val="clear" w:color="auto" w:fill="auto"/>
            <w:hideMark/>
          </w:tcPr>
          <w:p w14:paraId="119147F5" w14:textId="77777777" w:rsidR="00302BFE" w:rsidRPr="0075595E" w:rsidRDefault="00302BFE" w:rsidP="00243B15">
            <w:pPr>
              <w:pStyle w:val="TableStyle2A"/>
              <w:rPr>
                <w:rStyle w:val="NoneA"/>
                <w:rFonts w:ascii="Calibri" w:hAnsi="Calibri"/>
                <w:sz w:val="18"/>
                <w:szCs w:val="18"/>
                <w:lang w:val="fr-FR"/>
              </w:rPr>
            </w:pPr>
            <w:proofErr w:type="spellStart"/>
            <w:r w:rsidRPr="0075595E">
              <w:rPr>
                <w:rStyle w:val="NoneA"/>
                <w:rFonts w:ascii="Calibri" w:hAnsi="Calibri"/>
                <w:sz w:val="18"/>
                <w:szCs w:val="18"/>
                <w:lang w:val="fr-FR"/>
              </w:rPr>
              <w:t>Chet</w:t>
            </w:r>
            <w:proofErr w:type="spellEnd"/>
            <w:r w:rsidRPr="0075595E">
              <w:rPr>
                <w:rStyle w:val="NoneA"/>
                <w:rFonts w:ascii="Calibri" w:hAnsi="Calibri"/>
                <w:sz w:val="18"/>
                <w:szCs w:val="18"/>
                <w:lang w:val="fr-FR"/>
              </w:rPr>
              <w:t xml:space="preserve"> UAT/</w:t>
            </w:r>
            <w:proofErr w:type="spellStart"/>
            <w:r w:rsidRPr="0075595E">
              <w:rPr>
                <w:rStyle w:val="NoneA"/>
                <w:rFonts w:ascii="Calibri" w:hAnsi="Calibri"/>
                <w:sz w:val="18"/>
                <w:szCs w:val="18"/>
                <w:lang w:val="fr-FR"/>
              </w:rPr>
              <w:t>Latian</w:t>
            </w:r>
            <w:proofErr w:type="spellEnd"/>
            <w:r w:rsidRPr="0075595E">
              <w:rPr>
                <w:rStyle w:val="NoneA"/>
                <w:rFonts w:ascii="Calibri" w:hAnsi="Calibri"/>
                <w:sz w:val="18"/>
                <w:szCs w:val="18"/>
                <w:lang w:val="fr-FR"/>
              </w:rPr>
              <w:t xml:space="preserve"> (ZATA Sapouy)</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D824F09" w14:textId="77777777" w:rsidR="00302BFE" w:rsidRPr="0075595E" w:rsidRDefault="00302BFE" w:rsidP="00243B15">
            <w:pPr>
              <w:pStyle w:val="TableStyle2A"/>
              <w:rPr>
                <w:rFonts w:ascii="Calibri" w:hAnsi="Calibri"/>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B1EB541"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70617189</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41C662A" w14:textId="77777777" w:rsidR="00302BFE" w:rsidRPr="002854BE" w:rsidRDefault="00000000" w:rsidP="00243B15">
            <w:pPr>
              <w:pStyle w:val="TableStyle2A"/>
              <w:rPr>
                <w:rStyle w:val="Hyperlink0"/>
                <w:rFonts w:ascii="Calibri" w:hAnsi="Calibri"/>
                <w:sz w:val="18"/>
                <w:szCs w:val="18"/>
                <w:u w:val="none"/>
                <w:lang w:val="fr-FR"/>
              </w:rPr>
            </w:pPr>
            <w:hyperlink r:id="rId86" w:history="1">
              <w:r w:rsidR="00302BFE" w:rsidRPr="002854BE">
                <w:rPr>
                  <w:rStyle w:val="Lienhypertexte"/>
                  <w:rFonts w:ascii="Calibri" w:hAnsi="Calibri"/>
                  <w:sz w:val="18"/>
                  <w:szCs w:val="18"/>
                  <w:lang w:val="fr-FR"/>
                </w:rPr>
                <w:t>Willyamday12@gmail.com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883426"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544555F1" w14:textId="77777777" w:rsidR="00302BFE" w:rsidRPr="0075595E" w:rsidRDefault="00302BFE" w:rsidP="00243B15">
            <w:pPr>
              <w:spacing w:after="0"/>
              <w:jc w:val="center"/>
              <w:rPr>
                <w:sz w:val="18"/>
                <w:szCs w:val="18"/>
              </w:rPr>
            </w:pPr>
            <w:r w:rsidRPr="0075595E">
              <w:rPr>
                <w:rStyle w:val="Hyperlink0"/>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FEEAFA"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88925EE"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80DC48"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1E3C92EE"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2935F42C" w14:textId="77777777" w:rsidR="00302BFE" w:rsidRPr="0075595E" w:rsidRDefault="00302BFE" w:rsidP="00243B15">
            <w:pPr>
              <w:pStyle w:val="TableStyle2A"/>
              <w:rPr>
                <w:rFonts w:ascii="Calibri" w:hAnsi="Calibri"/>
                <w:sz w:val="18"/>
                <w:szCs w:val="18"/>
              </w:rPr>
            </w:pPr>
            <w:r w:rsidRPr="0075595E">
              <w:rPr>
                <w:rFonts w:ascii="Calibri" w:hAnsi="Calibri"/>
                <w:sz w:val="18"/>
                <w:szCs w:val="18"/>
                <w:lang w:val="fr-FR"/>
              </w:rPr>
              <w:t>WANGARA Aliou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15E5159A"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07A71B7" w14:textId="77777777" w:rsidR="00302BFE" w:rsidRPr="0075595E" w:rsidRDefault="00302BFE" w:rsidP="00243B15">
            <w:pPr>
              <w:pStyle w:val="TableStyle2A"/>
              <w:rPr>
                <w:rFonts w:ascii="Calibri" w:hAnsi="Calibri"/>
                <w:sz w:val="16"/>
                <w:szCs w:val="16"/>
              </w:rPr>
            </w:pPr>
            <w:r w:rsidRPr="0075595E">
              <w:rPr>
                <w:rFonts w:ascii="Calibri" w:hAnsi="Calibri"/>
                <w:sz w:val="16"/>
                <w:szCs w:val="16"/>
                <w:lang w:val="fr-FR"/>
              </w:rPr>
              <w:t>S/SDEEVCC (Sapouy)</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446938DF" w14:textId="77777777" w:rsidR="00302BFE" w:rsidRPr="0075595E" w:rsidRDefault="00302BFE" w:rsidP="00243B15">
            <w:pPr>
              <w:pStyle w:val="TableStyle2A"/>
              <w:rPr>
                <w:rStyle w:val="NoneA"/>
                <w:rFonts w:ascii="Calibri" w:hAnsi="Calibri"/>
                <w:sz w:val="18"/>
                <w:szCs w:val="18"/>
                <w:lang w:val="fr-FR"/>
              </w:rPr>
            </w:pPr>
            <w:r w:rsidRPr="0075595E">
              <w:rPr>
                <w:rStyle w:val="NoneA"/>
                <w:rFonts w:ascii="Calibri" w:hAnsi="Calibri"/>
                <w:sz w:val="18"/>
                <w:szCs w:val="18"/>
                <w:lang w:val="fr-FR"/>
              </w:rPr>
              <w:t>70589182</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3B7901E" w14:textId="77777777" w:rsidR="00302BFE" w:rsidRPr="002854BE" w:rsidRDefault="00000000" w:rsidP="00243B15">
            <w:pPr>
              <w:pStyle w:val="TableStyle2A"/>
              <w:rPr>
                <w:rStyle w:val="Hyperlink0"/>
                <w:rFonts w:ascii="Calibri" w:hAnsi="Calibri"/>
                <w:sz w:val="18"/>
                <w:szCs w:val="18"/>
                <w:u w:val="none"/>
                <w:lang w:val="fr-FR"/>
              </w:rPr>
            </w:pPr>
            <w:hyperlink r:id="rId87" w:history="1">
              <w:r w:rsidR="00302BFE" w:rsidRPr="002854BE">
                <w:rPr>
                  <w:rStyle w:val="Lienhypertexte"/>
                  <w:rFonts w:ascii="Calibri" w:hAnsi="Calibri"/>
                  <w:sz w:val="18"/>
                  <w:szCs w:val="18"/>
                  <w:lang w:val="fr-FR"/>
                </w:rPr>
                <w:t>aliouwangr@gmail.com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207EDB"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6DAF549F" w14:textId="77777777" w:rsidR="00302BFE" w:rsidRPr="0075595E" w:rsidRDefault="00302BFE" w:rsidP="00243B15">
            <w:pPr>
              <w:spacing w:after="0"/>
              <w:jc w:val="center"/>
              <w:rPr>
                <w:sz w:val="18"/>
                <w:szCs w:val="18"/>
              </w:rPr>
            </w:pPr>
            <w:r w:rsidRPr="0075595E">
              <w:rPr>
                <w:rStyle w:val="Hyperlink0"/>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A4E5962"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C80E19"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D1948C"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00653395"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14DD86A9"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ZOUNGRANA Amadou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1183BED7" w14:textId="77777777" w:rsidR="00302BFE" w:rsidRPr="0075595E" w:rsidRDefault="00302BFE" w:rsidP="00243B15">
            <w:pPr>
              <w:pStyle w:val="TableStyle2A"/>
              <w:rPr>
                <w:rStyle w:val="NoneA"/>
                <w:rFonts w:ascii="Calibri" w:hAnsi="Calibri"/>
                <w:sz w:val="18"/>
                <w:szCs w:val="18"/>
                <w:lang w:val="fr-FR"/>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063CEF7D" w14:textId="77777777" w:rsidR="00302BFE" w:rsidRPr="0075595E" w:rsidRDefault="00302BFE" w:rsidP="00243B15">
            <w:pPr>
              <w:pStyle w:val="TableStyle2A"/>
              <w:rPr>
                <w:rFonts w:ascii="Calibri" w:hAnsi="Calibri"/>
                <w:sz w:val="16"/>
                <w:szCs w:val="16"/>
              </w:rPr>
            </w:pPr>
            <w:r w:rsidRPr="0075595E">
              <w:rPr>
                <w:rFonts w:ascii="Calibri" w:hAnsi="Calibri"/>
                <w:sz w:val="16"/>
                <w:szCs w:val="16"/>
                <w:lang w:val="fr-FR"/>
              </w:rPr>
              <w:t>SP/CNDD/MEEVCC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6ABC366B" w14:textId="77777777" w:rsidR="00302BFE" w:rsidRPr="0075595E" w:rsidRDefault="00302BFE" w:rsidP="00243B15">
            <w:pPr>
              <w:pStyle w:val="TableStyle2A"/>
              <w:rPr>
                <w:rStyle w:val="NoneA"/>
                <w:rFonts w:ascii="Calibri" w:hAnsi="Calibri"/>
                <w:sz w:val="18"/>
                <w:szCs w:val="18"/>
              </w:rPr>
            </w:pPr>
            <w:r w:rsidRPr="0075595E">
              <w:rPr>
                <w:rStyle w:val="NoneA"/>
                <w:rFonts w:ascii="Calibri" w:hAnsi="Calibri"/>
                <w:sz w:val="18"/>
                <w:szCs w:val="18"/>
              </w:rPr>
              <w:t>70715967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hideMark/>
          </w:tcPr>
          <w:p w14:paraId="5180A6EC" w14:textId="77777777" w:rsidR="00302BFE" w:rsidRPr="002854BE" w:rsidRDefault="00000000" w:rsidP="00243B15">
            <w:pPr>
              <w:pStyle w:val="TableStyle2A"/>
              <w:rPr>
                <w:rStyle w:val="Hyperlink0"/>
                <w:rFonts w:ascii="Calibri" w:hAnsi="Calibri"/>
                <w:sz w:val="18"/>
                <w:szCs w:val="18"/>
                <w:u w:val="none"/>
                <w:lang w:val="fr-FR"/>
              </w:rPr>
            </w:pPr>
            <w:hyperlink r:id="rId88" w:history="1">
              <w:r w:rsidR="00302BFE" w:rsidRPr="002854BE">
                <w:rPr>
                  <w:rStyle w:val="Lienhypertexte"/>
                  <w:rFonts w:ascii="Calibri" w:hAnsi="Calibri"/>
                  <w:sz w:val="18"/>
                  <w:szCs w:val="18"/>
                  <w:lang w:val="fr-FR"/>
                </w:rPr>
                <w:t>zoungramadou@gmail.com</w:t>
              </w:r>
            </w:hyperlink>
            <w:r w:rsidR="00302BFE" w:rsidRPr="002854BE">
              <w:rPr>
                <w:rStyle w:val="Hyperlink0"/>
                <w:rFonts w:ascii="Calibri" w:hAnsi="Calibri"/>
                <w:sz w:val="18"/>
                <w:szCs w:val="18"/>
                <w:u w:val="none"/>
                <w:lang w:val="fr-FR"/>
              </w:rPr>
              <w:t xml:space="preserve"> </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F9095D5"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78D0EE02" w14:textId="77777777" w:rsidR="00302BFE" w:rsidRPr="0075595E" w:rsidRDefault="00302BFE" w:rsidP="00243B15">
            <w:pPr>
              <w:spacing w:after="0"/>
              <w:jc w:val="center"/>
              <w:rPr>
                <w:sz w:val="18"/>
                <w:szCs w:val="18"/>
              </w:rPr>
            </w:pPr>
            <w:r w:rsidRPr="0075595E">
              <w:rPr>
                <w:rStyle w:val="Hyperlink0"/>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47B692"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33ABA0" w14:textId="77777777" w:rsidR="00302BFE" w:rsidRPr="0075595E" w:rsidRDefault="00302BFE" w:rsidP="00243B15">
            <w:pPr>
              <w:pStyle w:val="TableStyle2A"/>
              <w:jc w:val="center"/>
              <w:rPr>
                <w:rStyle w:val="Hyperlink0"/>
                <w:rFonts w:ascii="Calibri" w:hAnsi="Calibri"/>
                <w:sz w:val="18"/>
                <w:szCs w:val="18"/>
                <w:lang w:val="fr-FR"/>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D4BCF87"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2854BE" w14:paraId="3A7FBEF4" w14:textId="77777777" w:rsidTr="00243B15">
        <w:trPr>
          <w:jc w:val="center"/>
        </w:trPr>
        <w:tc>
          <w:tcPr>
            <w:tcW w:w="13744" w:type="dxa"/>
            <w:gridSpan w:val="10"/>
            <w:tcBorders>
              <w:top w:val="single" w:sz="2" w:space="0" w:color="000000"/>
              <w:left w:val="single" w:sz="2" w:space="0" w:color="000000"/>
              <w:bottom w:val="single" w:sz="2" w:space="0" w:color="000000"/>
              <w:right w:val="single" w:sz="2" w:space="0" w:color="000000"/>
            </w:tcBorders>
            <w:shd w:val="clear" w:color="auto" w:fill="FFF2CC"/>
            <w:tcMar>
              <w:top w:w="80" w:type="dxa"/>
              <w:left w:w="80" w:type="dxa"/>
              <w:bottom w:w="80" w:type="dxa"/>
              <w:right w:w="80" w:type="dxa"/>
            </w:tcMar>
            <w:hideMark/>
          </w:tcPr>
          <w:p w14:paraId="45787DD2" w14:textId="77777777" w:rsidR="00302BFE" w:rsidRPr="002854BE" w:rsidRDefault="00302BFE" w:rsidP="00243B15">
            <w:pPr>
              <w:pStyle w:val="TableStyle2A"/>
              <w:rPr>
                <w:rStyle w:val="Hyperlink0"/>
                <w:rFonts w:ascii="Calibri" w:hAnsi="Calibri"/>
                <w:sz w:val="18"/>
                <w:szCs w:val="18"/>
                <w:u w:val="none"/>
                <w:lang w:val="en-CA"/>
              </w:rPr>
            </w:pPr>
            <w:r w:rsidRPr="002854BE">
              <w:rPr>
                <w:rFonts w:ascii="Calibri" w:hAnsi="Calibri"/>
                <w:b/>
                <w:sz w:val="18"/>
                <w:szCs w:val="18"/>
                <w:lang w:val="en-CA"/>
              </w:rPr>
              <w:t xml:space="preserve">Workshop launching the project document development process </w:t>
            </w:r>
            <w:r w:rsidR="00714F9A">
              <w:rPr>
                <w:rFonts w:ascii="Calibri" w:hAnsi="Calibri"/>
                <w:b/>
                <w:sz w:val="18"/>
                <w:szCs w:val="18"/>
                <w:lang w:val="en-CA"/>
              </w:rPr>
              <w:t xml:space="preserve">(July </w:t>
            </w:r>
            <w:r w:rsidR="009B7849" w:rsidRPr="002854BE">
              <w:rPr>
                <w:rFonts w:ascii="Calibri" w:hAnsi="Calibri"/>
                <w:b/>
                <w:sz w:val="18"/>
                <w:szCs w:val="18"/>
                <w:lang w:val="en-CA"/>
              </w:rPr>
              <w:t>26,</w:t>
            </w:r>
            <w:r w:rsidR="00714F9A">
              <w:rPr>
                <w:rFonts w:ascii="Calibri" w:hAnsi="Calibri"/>
                <w:b/>
                <w:sz w:val="18"/>
                <w:szCs w:val="18"/>
                <w:lang w:val="en-CA"/>
              </w:rPr>
              <w:t xml:space="preserve"> </w:t>
            </w:r>
            <w:r w:rsidRPr="002854BE">
              <w:rPr>
                <w:rFonts w:ascii="Calibri" w:hAnsi="Calibri"/>
                <w:b/>
                <w:sz w:val="18"/>
                <w:szCs w:val="18"/>
                <w:lang w:val="en-CA"/>
              </w:rPr>
              <w:t>2018</w:t>
            </w:r>
            <w:r w:rsidR="00714F9A">
              <w:rPr>
                <w:rFonts w:ascii="Calibri" w:hAnsi="Calibri"/>
                <w:b/>
                <w:sz w:val="18"/>
                <w:szCs w:val="18"/>
                <w:lang w:val="en-CA"/>
              </w:rPr>
              <w:t>)</w:t>
            </w:r>
          </w:p>
        </w:tc>
      </w:tr>
      <w:tr w:rsidR="00302BFE" w:rsidRPr="0075595E" w14:paraId="518A617D"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1CD5A73" w14:textId="77777777" w:rsidR="00302BFE" w:rsidRPr="0075595E" w:rsidRDefault="00302BFE" w:rsidP="00243B15">
            <w:pPr>
              <w:pStyle w:val="TableStyle2A"/>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sz w:val="18"/>
                <w:szCs w:val="18"/>
              </w:rPr>
            </w:pPr>
            <w:proofErr w:type="spellStart"/>
            <w:r w:rsidRPr="0075595E">
              <w:rPr>
                <w:rFonts w:ascii="Calibri" w:hAnsi="Calibri"/>
                <w:sz w:val="18"/>
                <w:szCs w:val="18"/>
              </w:rPr>
              <w:t>Tiendrébeogo</w:t>
            </w:r>
            <w:proofErr w:type="spellEnd"/>
            <w:r w:rsidRPr="0075595E">
              <w:rPr>
                <w:rFonts w:ascii="Calibri" w:hAnsi="Calibri"/>
                <w:sz w:val="18"/>
                <w:szCs w:val="18"/>
              </w:rPr>
              <w:t xml:space="preserve"> Mahamoudou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4E13D660"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141097"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DCCI/SPCNDD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ECD6A64"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71063445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97749A1"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509463"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2E5946D9"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FFC51B"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396F9B"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7B5C23"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6255134A" w14:textId="77777777" w:rsidTr="008215D2">
        <w:trPr>
          <w:trHeight w:val="298"/>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4CAC9C9"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Bouda Y Valentin</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32ABF88A"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A6A9BC8"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DGESS/MINEFID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6E6EC5F"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70014264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406D280"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valentinbouda@gmail.com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C6581C"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682EFB51"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6C47C3"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E09EEE9"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1F5037"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3AA5E7E1"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4D1D865"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Sana Youssouf</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316784B7"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B5B3B37"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DGPE</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5FBABE9"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70748137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2FED818"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sanayoussouf@yahoo.fr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B4F160"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499CD5DA"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0C4EE34"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F30AD8"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F3E506"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38413786"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9BD6E45" w14:textId="77777777" w:rsidR="00302BFE" w:rsidRPr="0075595E" w:rsidRDefault="00302BFE" w:rsidP="00243B15">
            <w:pPr>
              <w:spacing w:after="0"/>
              <w:ind w:left="599" w:hanging="599"/>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 xml:space="preserve">Sia </w:t>
            </w:r>
            <w:proofErr w:type="spellStart"/>
            <w:r w:rsidRPr="0075595E">
              <w:rPr>
                <w:rFonts w:eastAsia="Arial Unicode MS" w:cs="Arial Unicode MS"/>
                <w:color w:val="314924"/>
                <w:sz w:val="18"/>
                <w:szCs w:val="18"/>
                <w:u w:color="314924"/>
                <w:bdr w:val="nil"/>
              </w:rPr>
              <w:t>Koudaga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433C0424"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0779FF5"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BUNEE</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4073C3"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70743993</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BA5E020"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siakoudaga@yahoo.fr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93EEC3"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573B7F16"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0875D70"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18617D"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660BD0C"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379C0447"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FBD211"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Yaméogo Dieudonné</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FB6AD78"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299F87" w14:textId="77777777" w:rsidR="00302BFE" w:rsidRPr="0075595E" w:rsidRDefault="00302BFE" w:rsidP="00243B15">
            <w:pPr>
              <w:spacing w:after="0"/>
              <w:rPr>
                <w:rFonts w:eastAsia="Arial Unicode MS" w:cs="Arial Unicode MS"/>
                <w:color w:val="314924"/>
                <w:sz w:val="18"/>
                <w:szCs w:val="18"/>
                <w:u w:color="314924"/>
                <w:bdr w:val="nil"/>
                <w:lang w:val="fr-CA"/>
              </w:rPr>
            </w:pPr>
            <w:proofErr w:type="spellStart"/>
            <w:r w:rsidRPr="0075595E">
              <w:rPr>
                <w:rFonts w:eastAsia="Arial Unicode MS" w:cs="Arial Unicode MS"/>
                <w:color w:val="314924"/>
                <w:sz w:val="18"/>
                <w:szCs w:val="18"/>
                <w:u w:color="314924"/>
                <w:bdr w:val="nil"/>
                <w:lang w:val="fr-CA"/>
              </w:rPr>
              <w:t>Uinté</w:t>
            </w:r>
            <w:proofErr w:type="spellEnd"/>
            <w:r w:rsidRPr="0075595E">
              <w:rPr>
                <w:rFonts w:eastAsia="Arial Unicode MS" w:cs="Arial Unicode MS"/>
                <w:color w:val="314924"/>
                <w:sz w:val="18"/>
                <w:szCs w:val="18"/>
                <w:u w:color="314924"/>
                <w:bdr w:val="nil"/>
                <w:lang w:val="fr-CA"/>
              </w:rPr>
              <w:t xml:space="preserve"> de Gestion du </w:t>
            </w:r>
            <w:proofErr w:type="spellStart"/>
            <w:r w:rsidRPr="0075595E">
              <w:rPr>
                <w:rFonts w:eastAsia="Arial Unicode MS" w:cs="Arial Unicode MS"/>
                <w:color w:val="314924"/>
                <w:sz w:val="18"/>
                <w:szCs w:val="18"/>
                <w:u w:color="314924"/>
                <w:bdr w:val="nil"/>
                <w:lang w:val="fr-CA"/>
              </w:rPr>
              <w:t>Nazinga</w:t>
            </w:r>
            <w:proofErr w:type="spellEnd"/>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DD9A3BB"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70-75-23-39</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16B24C9"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Yam_dieu@yahoo.fr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6F0392"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3BE8B5A1"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8CC72A"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8C182C1"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C2008E"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6C8EFE8E"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75CF693" w14:textId="77777777" w:rsidR="00302BFE" w:rsidRPr="0075595E" w:rsidRDefault="00302BFE" w:rsidP="00243B15">
            <w:pPr>
              <w:spacing w:after="0"/>
              <w:rPr>
                <w:rFonts w:eastAsia="Arial Unicode MS" w:cs="Arial Unicode MS"/>
                <w:color w:val="314924"/>
                <w:sz w:val="18"/>
                <w:szCs w:val="18"/>
                <w:u w:color="314924"/>
                <w:bdr w:val="nil"/>
              </w:rPr>
            </w:pPr>
            <w:proofErr w:type="spellStart"/>
            <w:r w:rsidRPr="0075595E">
              <w:rPr>
                <w:rFonts w:eastAsia="Arial Unicode MS" w:cs="Arial Unicode MS"/>
                <w:color w:val="314924"/>
                <w:sz w:val="18"/>
                <w:szCs w:val="18"/>
                <w:u w:color="314924"/>
                <w:bdr w:val="nil"/>
              </w:rPr>
              <w:t>Zingdé</w:t>
            </w:r>
            <w:proofErr w:type="spellEnd"/>
            <w:r w:rsidRPr="0075595E">
              <w:rPr>
                <w:rFonts w:eastAsia="Arial Unicode MS" w:cs="Arial Unicode MS"/>
                <w:color w:val="314924"/>
                <w:sz w:val="18"/>
                <w:szCs w:val="18"/>
                <w:u w:color="314924"/>
                <w:bdr w:val="nil"/>
              </w:rPr>
              <w:t xml:space="preserve"> Kamou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446C5CFD"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C382BDB"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DGEVCC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1F73125"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70-12-86-57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325484F"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zbihime@gmail.com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853DFCF"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34BDCB43"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2B929E"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2A4A9F7"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19383C"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78069C9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4C88698" w14:textId="77777777" w:rsidR="00302BFE" w:rsidRPr="0075595E" w:rsidRDefault="00302BFE" w:rsidP="00243B15">
            <w:pPr>
              <w:spacing w:after="0"/>
              <w:rPr>
                <w:rFonts w:eastAsia="Arial Unicode MS" w:cs="Arial Unicode MS"/>
                <w:color w:val="314924"/>
                <w:sz w:val="18"/>
                <w:szCs w:val="18"/>
                <w:u w:color="314924"/>
                <w:bdr w:val="nil"/>
              </w:rPr>
            </w:pPr>
            <w:proofErr w:type="spellStart"/>
            <w:r w:rsidRPr="0075595E">
              <w:rPr>
                <w:rFonts w:eastAsia="Arial Unicode MS" w:cs="Arial Unicode MS"/>
                <w:color w:val="314924"/>
                <w:sz w:val="18"/>
                <w:szCs w:val="18"/>
                <w:u w:color="314924"/>
                <w:bdr w:val="nil"/>
              </w:rPr>
              <w:lastRenderedPageBreak/>
              <w:t>Belemsebgo</w:t>
            </w:r>
            <w:proofErr w:type="spellEnd"/>
            <w:r w:rsidRPr="0075595E">
              <w:rPr>
                <w:rFonts w:eastAsia="Arial Unicode MS" w:cs="Arial Unicode MS"/>
                <w:color w:val="314924"/>
                <w:sz w:val="18"/>
                <w:szCs w:val="18"/>
                <w:u w:color="314924"/>
                <w:bdr w:val="nil"/>
              </w:rPr>
              <w:t xml:space="preserve"> Urbain</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5BE05C8B"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94B2CD8"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PAPSA</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40426F8"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70-24-78-04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57E365"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ubelemsebgo@hotmail.com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BB515D"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192D350E"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590C82"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141E0CB"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759B877"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42C7457C"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0B18A18"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Compaoré Louis Dimitri</w:t>
            </w:r>
          </w:p>
        </w:tc>
        <w:tc>
          <w:tcPr>
            <w:tcW w:w="26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60B9AB4"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63AB905"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DGPE/MINEFID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5D8AF30"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71-09-70-50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4C58B05"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Colodi2002@yahoo.fr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9731CB4" w14:textId="77777777" w:rsidR="00302BFE" w:rsidRPr="0075595E" w:rsidRDefault="00302BFE" w:rsidP="00243B15">
            <w:pPr>
              <w:pStyle w:val="TableStyle2A"/>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20EFB9" w14:textId="77777777" w:rsidR="00302BFE" w:rsidRPr="0075595E" w:rsidRDefault="00302BFE" w:rsidP="00243B15">
            <w:pPr>
              <w:spacing w:after="0"/>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A9946E0" w14:textId="77777777" w:rsidR="00302BFE" w:rsidRPr="0075595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40E1D5" w14:textId="77777777" w:rsidR="00302BFE" w:rsidRPr="0075595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2475C7" w14:textId="77777777" w:rsidR="00302BFE" w:rsidRPr="0075595E" w:rsidRDefault="00302BFE" w:rsidP="00243B15">
            <w:pPr>
              <w:pStyle w:val="TableStyle2A"/>
              <w:rPr>
                <w:rStyle w:val="Hyperlink0"/>
                <w:rFonts w:ascii="Calibri" w:hAnsi="Calibri"/>
                <w:sz w:val="18"/>
                <w:szCs w:val="18"/>
                <w:lang w:val="fr-FR"/>
              </w:rPr>
            </w:pPr>
          </w:p>
        </w:tc>
      </w:tr>
      <w:tr w:rsidR="00302BFE" w:rsidRPr="0075595E" w14:paraId="7F7306F8"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1C178FD"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 xml:space="preserve">Somé </w:t>
            </w:r>
            <w:proofErr w:type="spellStart"/>
            <w:r w:rsidRPr="0075595E">
              <w:rPr>
                <w:rFonts w:eastAsia="Arial Unicode MS" w:cs="Arial Unicode MS"/>
                <w:color w:val="314924"/>
                <w:sz w:val="18"/>
                <w:szCs w:val="18"/>
                <w:u w:color="314924"/>
                <w:bdr w:val="nil"/>
              </w:rPr>
              <w:t>Irifaar</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64B8509"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A3B7F50"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PASF/MEEVCC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900020"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72-71-42-40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A6179DC"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Irsom74@yahoo.fr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88CA32B"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265C95F2"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8F118EA"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455A518"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4AB6CA0"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20454799"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ADF57EB"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Compaoré Prospert</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653CCE13"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8BAAAE8"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OFINAF</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C3B77B9"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70-75-56-50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06CCE31"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compaoreprospert@yahoo.fr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2F33C6"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42E20414"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C3423D"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D1093C"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5C0C02"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02719607"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CD88C22" w14:textId="77777777" w:rsidR="00302BFE" w:rsidRPr="0075595E" w:rsidRDefault="00302BFE" w:rsidP="00243B15">
            <w:pPr>
              <w:tabs>
                <w:tab w:val="left" w:pos="734"/>
              </w:tabs>
              <w:spacing w:after="0"/>
              <w:rPr>
                <w:rFonts w:eastAsia="Arial Unicode MS" w:cs="Arial Unicode MS"/>
                <w:color w:val="314924"/>
                <w:sz w:val="18"/>
                <w:szCs w:val="18"/>
                <w:u w:color="314924"/>
                <w:bdr w:val="nil"/>
              </w:rPr>
            </w:pPr>
            <w:proofErr w:type="spellStart"/>
            <w:r w:rsidRPr="0075595E">
              <w:rPr>
                <w:rFonts w:eastAsia="Arial Unicode MS" w:cs="Arial Unicode MS"/>
                <w:color w:val="314924"/>
                <w:sz w:val="18"/>
                <w:szCs w:val="18"/>
                <w:u w:color="314924"/>
                <w:bdr w:val="nil"/>
              </w:rPr>
              <w:t>Maïga</w:t>
            </w:r>
            <w:proofErr w:type="spellEnd"/>
            <w:r w:rsidRPr="0075595E">
              <w:rPr>
                <w:rFonts w:eastAsia="Arial Unicode MS" w:cs="Arial Unicode MS"/>
                <w:color w:val="314924"/>
                <w:sz w:val="18"/>
                <w:szCs w:val="18"/>
                <w:u w:color="314924"/>
                <w:bdr w:val="nil"/>
              </w:rPr>
              <w:t xml:space="preserve"> Boureima</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3A84ACC6"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E4F928"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DREEVCC-C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137231D" w14:textId="77777777" w:rsidR="00302BFE" w:rsidRPr="0075595E" w:rsidRDefault="00302BFE" w:rsidP="00243B15">
            <w:pPr>
              <w:spacing w:after="0"/>
              <w:rPr>
                <w:rFonts w:eastAsia="Arial Unicode MS" w:cs="Arial Unicode MS"/>
                <w:color w:val="314924"/>
                <w:sz w:val="18"/>
                <w:szCs w:val="18"/>
                <w:u w:color="314924"/>
                <w:bdr w:val="nil"/>
              </w:rPr>
            </w:pP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B4AD020"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brahimmaïga@gmail.com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1F2522"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05E04F90"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59025C"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6BC3BFE"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E565E6E"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4666CFF7"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A954BF4"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Ouédraogo Jean Roger</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C8FBF70"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1AFF678"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OFINAP</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68F17B5"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70-29-00-60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8D6AD8"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E48D67B"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5B5909BE"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1D7AECB"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596362"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4684F0"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383F085A"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1451C55"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Tapsoba Aïcha</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035CCE69"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A674A6B"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DNERA/DEP</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79EAE29" w14:textId="77777777" w:rsidR="00302BFE" w:rsidRPr="0075595E" w:rsidRDefault="00302BFE" w:rsidP="00243B15">
            <w:pPr>
              <w:spacing w:after="0"/>
              <w:rPr>
                <w:rFonts w:eastAsia="Arial Unicode MS" w:cs="Arial Unicode MS"/>
                <w:color w:val="314924"/>
                <w:sz w:val="18"/>
                <w:szCs w:val="18"/>
                <w:u w:color="314924"/>
                <w:bdr w:val="nil"/>
              </w:rPr>
            </w:pP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D8C12B7"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Aïcha_taps@yahoo.fr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B6DCAF"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4F3CF61F"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BAE737"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450EA8"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502F9A"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2610F0A6"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53043A1"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Ouédraogo Valentin</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079F56A7"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6CBEC02"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DGPV/MAAH</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829CA10"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73-43-42-30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639B0A3"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Valentinoued@gmail.com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3A3B79"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1B087E21"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DB847E"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769AB6"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819EFCA"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363994ED"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2ECE918"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 xml:space="preserve">Congo </w:t>
            </w:r>
            <w:proofErr w:type="spellStart"/>
            <w:r w:rsidRPr="0075595E">
              <w:rPr>
                <w:rFonts w:eastAsia="Arial Unicode MS" w:cs="Arial Unicode MS"/>
                <w:color w:val="314924"/>
                <w:sz w:val="18"/>
                <w:szCs w:val="18"/>
                <w:u w:color="314924"/>
                <w:bdr w:val="nil"/>
              </w:rPr>
              <w:t>Moustapha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05B720ED"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D76EA74"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SP/GIRE-MEA</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60D537C"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70-39-70-08</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4892BD"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congombf@yahoo.fr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323C91"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494A73B2"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8455884"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61AC87"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247216"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0D70B5B7"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A132741" w14:textId="77777777" w:rsidR="00302BFE" w:rsidRPr="0075595E" w:rsidRDefault="00302BFE" w:rsidP="00243B15">
            <w:pPr>
              <w:spacing w:after="0"/>
              <w:rPr>
                <w:rFonts w:eastAsia="Arial Unicode MS" w:cs="Arial Unicode MS"/>
                <w:color w:val="314924"/>
                <w:sz w:val="18"/>
                <w:szCs w:val="18"/>
                <w:u w:color="314924"/>
                <w:bdr w:val="nil"/>
              </w:rPr>
            </w:pPr>
            <w:proofErr w:type="spellStart"/>
            <w:r w:rsidRPr="0075595E">
              <w:rPr>
                <w:rFonts w:eastAsia="Arial Unicode MS" w:cs="Arial Unicode MS"/>
                <w:color w:val="314924"/>
                <w:sz w:val="18"/>
                <w:szCs w:val="18"/>
                <w:u w:color="314924"/>
                <w:bdr w:val="nil"/>
              </w:rPr>
              <w:t>N’do</w:t>
            </w:r>
            <w:proofErr w:type="spellEnd"/>
            <w:r w:rsidRPr="0075595E">
              <w:rPr>
                <w:rFonts w:eastAsia="Arial Unicode MS" w:cs="Arial Unicode MS"/>
                <w:color w:val="314924"/>
                <w:sz w:val="18"/>
                <w:szCs w:val="18"/>
                <w:u w:color="314924"/>
                <w:bdr w:val="nil"/>
              </w:rPr>
              <w:t xml:space="preserve"> Antoine</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BD5DCAE"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67FC08C"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SP/GIRE</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E0AA3AF"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70-32-55-01</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9364ED5"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ndoantoine@yahoo.fr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37B2E8C"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07B5A3A7"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53FBA2"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E95802"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0E21C9E"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29D82DCA"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7F7D891" w14:textId="77777777" w:rsidR="00302BFE" w:rsidRPr="0075595E" w:rsidRDefault="00302BFE" w:rsidP="00243B15">
            <w:pPr>
              <w:spacing w:after="0"/>
              <w:rPr>
                <w:rFonts w:eastAsia="Arial Unicode MS" w:cs="Arial Unicode MS"/>
                <w:color w:val="314924"/>
                <w:sz w:val="18"/>
                <w:szCs w:val="18"/>
                <w:u w:color="314924"/>
                <w:bdr w:val="nil"/>
              </w:rPr>
            </w:pPr>
            <w:proofErr w:type="spellStart"/>
            <w:r w:rsidRPr="0075595E">
              <w:rPr>
                <w:rFonts w:eastAsia="Arial Unicode MS" w:cs="Arial Unicode MS"/>
                <w:color w:val="314924"/>
                <w:sz w:val="18"/>
                <w:szCs w:val="18"/>
                <w:u w:color="314924"/>
                <w:bdr w:val="nil"/>
              </w:rPr>
              <w:t>Daboné</w:t>
            </w:r>
            <w:proofErr w:type="spellEnd"/>
            <w:r w:rsidRPr="0075595E">
              <w:rPr>
                <w:rFonts w:eastAsia="Arial Unicode MS" w:cs="Arial Unicode MS"/>
                <w:color w:val="314924"/>
                <w:sz w:val="18"/>
                <w:szCs w:val="18"/>
                <w:u w:color="314924"/>
                <w:bdr w:val="nil"/>
              </w:rPr>
              <w:t xml:space="preserve"> Ali</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3A3BF729"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985BA7C"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CNSF</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A4FF1AE" w14:textId="77777777" w:rsidR="00302BFE" w:rsidRPr="0075595E" w:rsidRDefault="00302BFE" w:rsidP="00243B15">
            <w:pPr>
              <w:spacing w:after="0"/>
              <w:rPr>
                <w:rFonts w:eastAsia="Arial Unicode MS" w:cs="Arial Unicode MS"/>
                <w:color w:val="314924"/>
                <w:sz w:val="18"/>
                <w:szCs w:val="18"/>
                <w:u w:color="314924"/>
                <w:bdr w:val="nil"/>
              </w:rPr>
            </w:pP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7F75064"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dabonali@yahoo.fr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5D3DE4D"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4C03FEDF"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055951E"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466D25"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ED62F0E"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51767A2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561620B"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MEDA/Kaboré Louise Marie</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63FB1AA8"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33A96FE"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DPPPC/MEEVCC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9BF60B1" w14:textId="77777777" w:rsidR="00302BFE" w:rsidRPr="0075595E" w:rsidRDefault="00302BFE" w:rsidP="00243B15">
            <w:pPr>
              <w:spacing w:after="0"/>
              <w:rPr>
                <w:rFonts w:eastAsia="Arial Unicode MS" w:cs="Arial Unicode MS"/>
                <w:color w:val="314924"/>
                <w:sz w:val="18"/>
                <w:szCs w:val="18"/>
                <w:u w:color="314924"/>
                <w:bdr w:val="nil"/>
              </w:rPr>
            </w:pP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DED5F02"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62C178"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55A4E83E"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6E6F96"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1BB97E5"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BF1432"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10F0CF2B"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9385E7D"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Ouédraogo Idrissa</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128DD015"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57473F8"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DGEF/DFRC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F91CFBB"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70140646</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7DAFC38"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Drilami14@gmail.com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70ACE88"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44A1F73F"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96FC70"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5F1246"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4D1378"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48677DD7"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1485FBE"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 xml:space="preserve">Traoré </w:t>
            </w:r>
            <w:proofErr w:type="spellStart"/>
            <w:r w:rsidRPr="0075595E">
              <w:rPr>
                <w:rFonts w:eastAsia="Arial Unicode MS" w:cs="Arial Unicode MS"/>
                <w:color w:val="314924"/>
                <w:sz w:val="18"/>
                <w:szCs w:val="18"/>
                <w:u w:color="314924"/>
                <w:bdr w:val="nil"/>
              </w:rPr>
              <w:t>Kalifa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508DBB90"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8615E59"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P.O TREE AID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A6D7C3B"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70779485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543E5F5"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Kalifa.traore@treeaide.org</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8D9D207"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475B3135"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7B8FDB"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4A709D"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CF2FBF"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1134CF4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5537793"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Coulibaly Mamadou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E1F0D68"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85221CC"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SG/MEEVCC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1E79935" w14:textId="77777777" w:rsidR="00302BFE" w:rsidRPr="0075595E" w:rsidRDefault="00302BFE" w:rsidP="00243B15">
            <w:pPr>
              <w:spacing w:after="0"/>
              <w:rPr>
                <w:rFonts w:eastAsia="Arial Unicode MS" w:cs="Arial Unicode MS"/>
                <w:color w:val="314924"/>
                <w:sz w:val="18"/>
                <w:szCs w:val="18"/>
                <w:u w:color="314924"/>
                <w:bdr w:val="nil"/>
              </w:rPr>
            </w:pP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CED30BD" w14:textId="77777777" w:rsidR="00302BFE" w:rsidRPr="002854BE" w:rsidRDefault="00302BFE" w:rsidP="00243B15">
            <w:pPr>
              <w:spacing w:after="0"/>
              <w:rPr>
                <w:rFonts w:eastAsia="Arial Unicode MS" w:cs="Arial Unicode MS"/>
                <w:color w:val="314924"/>
                <w:sz w:val="18"/>
                <w:szCs w:val="18"/>
                <w:bdr w:val="nil"/>
              </w:rPr>
            </w:pPr>
            <w:r w:rsidRPr="002854BE">
              <w:rPr>
                <w:rFonts w:eastAsia="Arial Unicode MS" w:cs="Arial Unicode MS"/>
                <w:color w:val="314924"/>
                <w:sz w:val="18"/>
                <w:szCs w:val="18"/>
                <w:bdr w:val="nil"/>
              </w:rPr>
              <w:t>Coulimad7@yahoo.fr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739C21"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483963D2"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B75437"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26B586"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80E8C9A"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5FEC89BD"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1FFDAA3"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Sawadogo R.</w:t>
            </w:r>
            <w:r w:rsidR="000344D0">
              <w:rPr>
                <w:rFonts w:eastAsia="Arial Unicode MS" w:cs="Arial Unicode MS"/>
                <w:color w:val="314924"/>
                <w:sz w:val="18"/>
                <w:szCs w:val="18"/>
                <w:u w:color="314924"/>
                <w:bdr w:val="nil"/>
              </w:rPr>
              <w:t xml:space="preserve"> </w:t>
            </w:r>
            <w:r w:rsidRPr="0075595E">
              <w:rPr>
                <w:rFonts w:eastAsia="Arial Unicode MS" w:cs="Arial Unicode MS"/>
                <w:color w:val="314924"/>
                <w:sz w:val="18"/>
                <w:szCs w:val="18"/>
                <w:u w:color="314924"/>
                <w:bdr w:val="nil"/>
              </w:rPr>
              <w:t>Bruno</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3F7379E1"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C177E56"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DGESS/MESF</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567BAA"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70464525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CD2FB1A"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Rakisson1@gmail.com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F80630"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5A122EEF"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9F7C51"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70DBB6"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7A99602"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779517B9"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06D0EA6"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 xml:space="preserve">Pedabga </w:t>
            </w:r>
            <w:proofErr w:type="spellStart"/>
            <w:r w:rsidRPr="0075595E">
              <w:rPr>
                <w:rFonts w:eastAsia="Arial Unicode MS" w:cs="Arial Unicode MS"/>
                <w:color w:val="314924"/>
                <w:sz w:val="18"/>
                <w:szCs w:val="18"/>
                <w:u w:color="314924"/>
                <w:bdr w:val="nil"/>
              </w:rPr>
              <w:t>Arzoumbila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42D7BADD"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92891D7" w14:textId="27D939C1" w:rsidR="00302BFE" w:rsidRPr="00AB47BD" w:rsidRDefault="00F349B9" w:rsidP="00243B15">
            <w:pPr>
              <w:spacing w:after="0"/>
              <w:rPr>
                <w:rFonts w:eastAsia="Arial Unicode MS" w:cs="Arial Unicode MS"/>
                <w:color w:val="314924"/>
                <w:sz w:val="18"/>
                <w:szCs w:val="18"/>
                <w:u w:color="314924"/>
                <w:bdr w:val="nil"/>
                <w:lang w:val="fr-FR"/>
              </w:rPr>
            </w:pPr>
            <w:r w:rsidRPr="00AB47BD">
              <w:rPr>
                <w:rFonts w:eastAsia="Times New Roman" w:cs="Calibri"/>
                <w:sz w:val="22"/>
                <w:szCs w:val="22"/>
                <w:highlight w:val="green"/>
                <w:lang w:val="fr-FR"/>
              </w:rPr>
              <w:t>Ministre de l’enviro</w:t>
            </w:r>
            <w:r w:rsidR="00984D20" w:rsidRPr="00AB47BD">
              <w:rPr>
                <w:rFonts w:eastAsia="Times New Roman" w:cs="Calibri"/>
                <w:sz w:val="22"/>
                <w:szCs w:val="22"/>
                <w:highlight w:val="green"/>
                <w:lang w:val="fr-FR"/>
              </w:rPr>
              <w:t xml:space="preserve">nnement, de l’eau et de l’assainissement </w:t>
            </w:r>
            <w:r w:rsidR="00CF65C6" w:rsidRPr="00AB47BD">
              <w:rPr>
                <w:rFonts w:eastAsia="Arial Unicode MS" w:cs="Arial Unicode MS"/>
                <w:color w:val="314924"/>
                <w:sz w:val="18"/>
                <w:szCs w:val="18"/>
                <w:u w:color="314924"/>
                <w:bdr w:val="nil"/>
                <w:lang w:val="fr-FR"/>
              </w:rPr>
              <w:t xml:space="preserve">THE MINISTRY IN CHARGE OF THE </w:t>
            </w:r>
            <w:r w:rsidR="00CF65C6" w:rsidRPr="00AB47BD">
              <w:rPr>
                <w:rFonts w:eastAsia="Arial Unicode MS" w:cs="Arial Unicode MS"/>
                <w:color w:val="314924"/>
                <w:sz w:val="18"/>
                <w:szCs w:val="18"/>
                <w:u w:color="314924"/>
                <w:bdr w:val="nil"/>
                <w:lang w:val="fr-FR"/>
              </w:rPr>
              <w:lastRenderedPageBreak/>
              <w:t>ENVIRONMENT</w:t>
            </w:r>
            <w:r w:rsidR="00DF7BF1" w:rsidRPr="00AB47BD">
              <w:rPr>
                <w:rFonts w:eastAsia="Arial Unicode MS" w:cs="Arial Unicode MS"/>
                <w:color w:val="314924"/>
                <w:sz w:val="18"/>
                <w:szCs w:val="18"/>
                <w:u w:color="314924"/>
                <w:bdr w:val="nil"/>
                <w:lang w:val="fr-FR"/>
              </w:rPr>
              <w:t xml:space="preserve"> </w:t>
            </w:r>
            <w:r w:rsidR="00302BFE" w:rsidRPr="00AB47BD">
              <w:rPr>
                <w:rFonts w:eastAsia="Arial Unicode MS" w:cs="Arial Unicode MS"/>
                <w:color w:val="314924"/>
                <w:sz w:val="18"/>
                <w:szCs w:val="18"/>
                <w:u w:color="314924"/>
                <w:bdr w:val="nil"/>
                <w:lang w:val="fr-FR"/>
              </w:rPr>
              <w:t xml:space="preserve">cellule </w:t>
            </w:r>
            <w:bookmarkStart w:id="122" w:name="_Hlk119327863"/>
            <w:r w:rsidR="00302BFE" w:rsidRPr="00AB47BD">
              <w:rPr>
                <w:rFonts w:eastAsia="Arial Unicode MS" w:cs="Arial Unicode MS"/>
                <w:color w:val="314924"/>
                <w:sz w:val="18"/>
                <w:szCs w:val="18"/>
                <w:u w:color="314924"/>
                <w:bdr w:val="nil"/>
                <w:lang w:val="fr-FR"/>
              </w:rPr>
              <w:t>Ramsar</w:t>
            </w:r>
            <w:bookmarkEnd w:id="122"/>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46FD1FA"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lastRenderedPageBreak/>
              <w:t>70482062</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0D73ABC"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F5331C"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48B699D4"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0383FFF"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8FBD548"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31F51C"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48E2B6A1" w14:textId="77777777" w:rsidTr="008215D2">
        <w:trPr>
          <w:trHeight w:val="298"/>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DBC0B45" w14:textId="77777777" w:rsidR="00302BFE" w:rsidRPr="0075595E" w:rsidRDefault="00302BFE" w:rsidP="00243B15">
            <w:pPr>
              <w:spacing w:after="0"/>
              <w:rPr>
                <w:rFonts w:eastAsia="Arial Unicode MS" w:cs="Arial Unicode MS"/>
                <w:color w:val="314924"/>
                <w:sz w:val="18"/>
                <w:szCs w:val="18"/>
                <w:u w:color="314924"/>
                <w:bdr w:val="nil"/>
              </w:rPr>
            </w:pPr>
            <w:proofErr w:type="spellStart"/>
            <w:r w:rsidRPr="0075595E">
              <w:rPr>
                <w:rFonts w:eastAsia="Arial Unicode MS" w:cs="Arial Unicode MS"/>
                <w:color w:val="314924"/>
                <w:sz w:val="18"/>
                <w:szCs w:val="18"/>
                <w:u w:color="314924"/>
                <w:bdr w:val="nil"/>
              </w:rPr>
              <w:t>Pananditigiri</w:t>
            </w:r>
            <w:proofErr w:type="spellEnd"/>
            <w:r w:rsidRPr="0075595E">
              <w:rPr>
                <w:rFonts w:eastAsia="Arial Unicode MS" w:cs="Arial Unicode MS"/>
                <w:color w:val="314924"/>
                <w:sz w:val="18"/>
                <w:szCs w:val="18"/>
                <w:u w:color="314924"/>
                <w:bdr w:val="nil"/>
              </w:rPr>
              <w:t xml:space="preserve"> Roch</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20921AC"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CN</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35D8186"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IGMVSS</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53EDACE"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70295291</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5CE49C"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Rochpan3@yahoo.fr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BAEAFE"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5AD60690"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C6988E"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D75C0C"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F317BE"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1334F56A" w14:textId="77777777" w:rsidTr="008215D2">
        <w:trPr>
          <w:trHeight w:val="326"/>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8519D4"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 xml:space="preserve">Ouoba </w:t>
            </w:r>
            <w:proofErr w:type="spellStart"/>
            <w:r w:rsidRPr="0075595E">
              <w:rPr>
                <w:rFonts w:eastAsia="Arial Unicode MS" w:cs="Arial Unicode MS"/>
                <w:color w:val="314924"/>
                <w:sz w:val="18"/>
                <w:szCs w:val="18"/>
                <w:u w:color="314924"/>
                <w:bdr w:val="nil"/>
              </w:rPr>
              <w:t>Mambagri</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593C9D9A"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76F0A5"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DDIAJ/MEEVCC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EFA994C"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61163767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ED7CAA8"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Ouoba_mambagri@yahoo.fr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8664E7"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69D9AB89"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969AC2"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2BBE535"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D550F34"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5B6B5CDE"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1B7ADD5"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 xml:space="preserve">Sam </w:t>
            </w:r>
            <w:proofErr w:type="spellStart"/>
            <w:r w:rsidRPr="0075595E">
              <w:rPr>
                <w:rFonts w:eastAsia="Arial Unicode MS" w:cs="Arial Unicode MS"/>
                <w:color w:val="314924"/>
                <w:sz w:val="18"/>
                <w:szCs w:val="18"/>
                <w:u w:color="314924"/>
                <w:bdr w:val="nil"/>
              </w:rPr>
              <w:t>O</w:t>
            </w:r>
            <w:r w:rsidR="009B7849">
              <w:rPr>
                <w:rFonts w:eastAsia="Arial Unicode MS" w:cs="Arial Unicode MS"/>
                <w:color w:val="314924"/>
                <w:sz w:val="18"/>
                <w:szCs w:val="18"/>
                <w:u w:color="314924"/>
                <w:bdr w:val="nil"/>
              </w:rPr>
              <w:t>ll</w:t>
            </w:r>
            <w:r w:rsidRPr="0075595E">
              <w:rPr>
                <w:rFonts w:eastAsia="Arial Unicode MS" w:cs="Arial Unicode MS"/>
                <w:color w:val="314924"/>
                <w:sz w:val="18"/>
                <w:szCs w:val="18"/>
                <w:u w:color="314924"/>
                <w:bdr w:val="nil"/>
              </w:rPr>
              <w:t>é</w:t>
            </w:r>
            <w:proofErr w:type="spellEnd"/>
            <w:r w:rsidRPr="0075595E">
              <w:rPr>
                <w:rFonts w:eastAsia="Arial Unicode MS" w:cs="Arial Unicode MS"/>
                <w:color w:val="314924"/>
                <w:sz w:val="18"/>
                <w:szCs w:val="18"/>
                <w:u w:color="314924"/>
                <w:bdr w:val="nil"/>
              </w:rPr>
              <w:t xml:space="preserve"> Arnaud</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E94CBC7"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D5A4D76"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DGESS/MAAH</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C5A7C3D" w14:textId="77777777" w:rsidR="00302BFE" w:rsidRPr="0075595E" w:rsidRDefault="00302BFE" w:rsidP="00243B15">
            <w:pPr>
              <w:spacing w:after="0"/>
              <w:rPr>
                <w:rFonts w:eastAsia="Arial Unicode MS" w:cs="Arial Unicode MS"/>
                <w:color w:val="314924"/>
                <w:sz w:val="18"/>
                <w:szCs w:val="18"/>
                <w:u w:color="314924"/>
                <w:bdr w:val="nil"/>
              </w:rPr>
            </w:pP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65CF7DE"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arnaudkam@gmail.com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9DD2F8"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5CB34D55"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AA9C87"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43E166"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2AF7A6"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4DC06C1A"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0D68804"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 xml:space="preserve">Yaméogo </w:t>
            </w:r>
            <w:proofErr w:type="spellStart"/>
            <w:r w:rsidRPr="0075595E">
              <w:rPr>
                <w:rFonts w:eastAsia="Arial Unicode MS" w:cs="Arial Unicode MS"/>
                <w:color w:val="314924"/>
                <w:sz w:val="18"/>
                <w:szCs w:val="18"/>
                <w:u w:color="314924"/>
                <w:bdr w:val="nil"/>
              </w:rPr>
              <w:t>Léandre</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012CD35B"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FB4EBA1"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Banque Mondiale</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AC0415A"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65046463</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C97F213"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lyameogo@worldbank.org</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2E92EC"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21C767A4"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DFB473"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1A909F"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2AEC85"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63425D55"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000DB7"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 xml:space="preserve">Sawadogo </w:t>
            </w:r>
            <w:proofErr w:type="spellStart"/>
            <w:r w:rsidRPr="0075595E">
              <w:rPr>
                <w:rFonts w:eastAsia="Arial Unicode MS" w:cs="Arial Unicode MS"/>
                <w:color w:val="314924"/>
                <w:sz w:val="18"/>
                <w:szCs w:val="18"/>
                <w:u w:color="314924"/>
                <w:bdr w:val="nil"/>
              </w:rPr>
              <w:t>Bobodo</w:t>
            </w:r>
            <w:proofErr w:type="spellEnd"/>
            <w:r w:rsidRPr="0075595E">
              <w:rPr>
                <w:rFonts w:eastAsia="Arial Unicode MS" w:cs="Arial Unicode MS"/>
                <w:color w:val="314924"/>
                <w:sz w:val="18"/>
                <w:szCs w:val="18"/>
                <w:u w:color="314924"/>
                <w:bdr w:val="nil"/>
              </w:rPr>
              <w:t xml:space="preserve"> </w:t>
            </w:r>
            <w:proofErr w:type="spellStart"/>
            <w:r w:rsidRPr="0075595E">
              <w:rPr>
                <w:rFonts w:eastAsia="Arial Unicode MS" w:cs="Arial Unicode MS"/>
                <w:color w:val="314924"/>
                <w:sz w:val="18"/>
                <w:szCs w:val="18"/>
                <w:u w:color="314924"/>
                <w:bdr w:val="nil"/>
              </w:rPr>
              <w:t>dit</w:t>
            </w:r>
            <w:proofErr w:type="spellEnd"/>
            <w:r w:rsidRPr="0075595E">
              <w:rPr>
                <w:rFonts w:eastAsia="Arial Unicode MS" w:cs="Arial Unicode MS"/>
                <w:color w:val="314924"/>
                <w:sz w:val="18"/>
                <w:szCs w:val="18"/>
                <w:u w:color="314924"/>
                <w:bdr w:val="nil"/>
              </w:rPr>
              <w:t xml:space="preserve"> Blaise</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1F1B1161"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C767F4A"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DPDD/SP CNDD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8FE3DE9"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71845407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C99C937"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bobodo@yahoo.fr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C93E50"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5D685C4D"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7A9DCA1"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81BA1F"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CE027C"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1368184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40383B0"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 xml:space="preserve">Nana </w:t>
            </w:r>
            <w:proofErr w:type="spellStart"/>
            <w:r w:rsidRPr="0075595E">
              <w:rPr>
                <w:rFonts w:eastAsia="Arial Unicode MS" w:cs="Arial Unicode MS"/>
                <w:color w:val="314924"/>
                <w:sz w:val="18"/>
                <w:szCs w:val="18"/>
                <w:u w:color="314924"/>
                <w:bdr w:val="nil"/>
              </w:rPr>
              <w:t>Somnanegré</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15DFA971"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07417DC"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CT/SP CNDD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0C43B86"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78142650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32C4D09"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nanasomnanegre@yahoo.fr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942571"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6F6D2B5A"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250A97"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14161B"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A0B5B8" w14:textId="77777777" w:rsidR="00302BFE" w:rsidRPr="0075595E" w:rsidRDefault="000344D0" w:rsidP="00243B15">
            <w:pPr>
              <w:pStyle w:val="TableStyle2A"/>
              <w:jc w:val="center"/>
              <w:rPr>
                <w:rStyle w:val="Hyperlink0"/>
                <w:rFonts w:ascii="Calibri" w:hAnsi="Calibri"/>
                <w:sz w:val="18"/>
                <w:szCs w:val="18"/>
                <w:lang w:val="fr-FR"/>
              </w:rPr>
            </w:pPr>
            <w:r w:rsidRPr="0075595E">
              <w:rPr>
                <w:rStyle w:val="Hyperlink0"/>
                <w:rFonts w:ascii="Calibri" w:hAnsi="Calibri"/>
                <w:sz w:val="18"/>
                <w:szCs w:val="18"/>
                <w:u w:val="none"/>
              </w:rPr>
              <w:sym w:font="Wingdings" w:char="F0FC"/>
            </w:r>
          </w:p>
        </w:tc>
      </w:tr>
      <w:tr w:rsidR="00302BFE" w:rsidRPr="0075595E" w14:paraId="4AD8F946"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B77493C"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 xml:space="preserve">Goungounga Justin </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4A41518C"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6E23E07"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SP/CNDD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0726809"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70237579</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00E04C6" w14:textId="77777777" w:rsidR="00302BFE" w:rsidRPr="002854BE" w:rsidRDefault="00000000" w:rsidP="00243B15">
            <w:pPr>
              <w:spacing w:after="0"/>
              <w:rPr>
                <w:rFonts w:eastAsia="Arial Unicode MS" w:cs="Arial Unicode MS"/>
                <w:color w:val="314924"/>
                <w:sz w:val="18"/>
                <w:szCs w:val="18"/>
                <w:bdr w:val="nil"/>
              </w:rPr>
            </w:pPr>
            <w:hyperlink r:id="rId89" w:history="1">
              <w:r w:rsidR="00302BFE" w:rsidRPr="002854BE">
                <w:rPr>
                  <w:rFonts w:eastAsia="Arial Unicode MS" w:cs="Arial Unicode MS"/>
                  <w:color w:val="314924"/>
                  <w:sz w:val="18"/>
                  <w:szCs w:val="18"/>
                  <w:bdr w:val="nil"/>
                </w:rPr>
                <w:t>jgoungounga@yahoo.fr</w:t>
              </w:r>
            </w:hyperlink>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4DA0229"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1A91BDD5"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42C4D2C"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99850D"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6920510" w14:textId="77777777" w:rsidR="00302BFE" w:rsidRPr="0075595E" w:rsidRDefault="000344D0" w:rsidP="00243B15">
            <w:pPr>
              <w:pStyle w:val="TableStyle2A"/>
              <w:jc w:val="center"/>
              <w:rPr>
                <w:rStyle w:val="Hyperlink0"/>
                <w:rFonts w:ascii="Calibri" w:hAnsi="Calibri"/>
                <w:sz w:val="18"/>
                <w:szCs w:val="18"/>
                <w:lang w:val="fr-FR"/>
              </w:rPr>
            </w:pPr>
            <w:r w:rsidRPr="0075595E">
              <w:rPr>
                <w:rStyle w:val="Hyperlink0"/>
                <w:rFonts w:ascii="Calibri" w:hAnsi="Calibri"/>
                <w:sz w:val="18"/>
                <w:szCs w:val="18"/>
                <w:u w:val="none"/>
              </w:rPr>
              <w:sym w:font="Wingdings" w:char="F0FC"/>
            </w:r>
          </w:p>
        </w:tc>
      </w:tr>
      <w:tr w:rsidR="00302BFE" w:rsidRPr="0075595E" w14:paraId="4F041D9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0DFD0B2" w14:textId="77777777" w:rsidR="00302BFE" w:rsidRPr="0075595E" w:rsidRDefault="00302BFE" w:rsidP="00243B15">
            <w:pPr>
              <w:spacing w:after="0"/>
              <w:rPr>
                <w:rFonts w:eastAsia="Arial Unicode MS" w:cs="Arial Unicode MS"/>
                <w:color w:val="314924"/>
                <w:sz w:val="18"/>
                <w:szCs w:val="18"/>
                <w:u w:color="314924"/>
                <w:bdr w:val="nil"/>
              </w:rPr>
            </w:pPr>
            <w:proofErr w:type="spellStart"/>
            <w:r w:rsidRPr="0075595E">
              <w:rPr>
                <w:rFonts w:eastAsia="Arial Unicode MS" w:cs="Arial Unicode MS"/>
                <w:color w:val="314924"/>
                <w:sz w:val="18"/>
                <w:szCs w:val="18"/>
                <w:u w:color="314924"/>
                <w:bdr w:val="nil"/>
              </w:rPr>
              <w:t>Koudougou</w:t>
            </w:r>
            <w:proofErr w:type="spellEnd"/>
            <w:r w:rsidRPr="0075595E">
              <w:rPr>
                <w:rFonts w:eastAsia="Arial Unicode MS" w:cs="Arial Unicode MS"/>
                <w:color w:val="314924"/>
                <w:sz w:val="18"/>
                <w:szCs w:val="18"/>
                <w:u w:color="314924"/>
                <w:bdr w:val="nil"/>
              </w:rPr>
              <w:t xml:space="preserve"> L Mathias</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555DD1C"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104799"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SP/CNDD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D97A86A" w14:textId="77777777" w:rsidR="00302BFE" w:rsidRPr="0075595E" w:rsidRDefault="00302BFE" w:rsidP="00243B15">
            <w:pPr>
              <w:spacing w:after="0"/>
              <w:rPr>
                <w:rFonts w:eastAsia="Arial Unicode MS" w:cs="Arial Unicode MS"/>
                <w:color w:val="314924"/>
                <w:sz w:val="18"/>
                <w:szCs w:val="18"/>
                <w:u w:color="314924"/>
                <w:bdr w:val="nil"/>
              </w:rPr>
            </w:pP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24B4FD"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401684"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02ACA02C"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895FC6"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2BF3B8"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319A96"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7E90F5B5"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BEF42E7" w14:textId="77777777" w:rsidR="00302BFE" w:rsidRPr="0075595E" w:rsidRDefault="00302BFE" w:rsidP="00243B15">
            <w:pPr>
              <w:spacing w:after="0"/>
              <w:rPr>
                <w:rFonts w:eastAsia="Arial Unicode MS" w:cs="Arial Unicode MS"/>
                <w:color w:val="314924"/>
                <w:sz w:val="18"/>
                <w:szCs w:val="18"/>
                <w:u w:color="314924"/>
                <w:bdr w:val="nil"/>
              </w:rPr>
            </w:pPr>
            <w:proofErr w:type="spellStart"/>
            <w:r w:rsidRPr="0075595E">
              <w:rPr>
                <w:rFonts w:eastAsia="Arial Unicode MS" w:cs="Arial Unicode MS"/>
                <w:color w:val="314924"/>
                <w:sz w:val="18"/>
                <w:szCs w:val="18"/>
                <w:u w:color="314924"/>
                <w:bdr w:val="nil"/>
              </w:rPr>
              <w:t>Tahoura</w:t>
            </w:r>
            <w:proofErr w:type="spellEnd"/>
            <w:r w:rsidRPr="0075595E">
              <w:rPr>
                <w:rFonts w:eastAsia="Arial Unicode MS" w:cs="Arial Unicode MS"/>
                <w:color w:val="314924"/>
                <w:sz w:val="18"/>
                <w:szCs w:val="18"/>
                <w:u w:color="314924"/>
                <w:bdr w:val="nil"/>
              </w:rPr>
              <w:t xml:space="preserve"> </w:t>
            </w:r>
            <w:proofErr w:type="spellStart"/>
            <w:r w:rsidRPr="0075595E">
              <w:rPr>
                <w:rFonts w:eastAsia="Arial Unicode MS" w:cs="Arial Unicode MS"/>
                <w:color w:val="314924"/>
                <w:sz w:val="18"/>
                <w:szCs w:val="18"/>
                <w:u w:color="314924"/>
                <w:bdr w:val="nil"/>
              </w:rPr>
              <w:t>Bahoupè</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54E68217"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A199508"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TREE AID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277243B"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78205520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FB5BA7C"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bahoupeta@yahoo.fr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BFF2BA"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73CF8E94"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9DA8C4"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76061B6"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915C5B"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3803CC7A"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A2F1B1D"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Bambara Jean Charles</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1C2FF2D7"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683EAA2"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DGESS/MEA</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CD4276"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70066224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67B7B38"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Bam_jeanso@yahoo.fr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32B85C"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16D770EC"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13DCDB"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0CB692"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C4BFEE"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4771F0E6"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4C834F2"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Bako E Florence</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0FA3EC7A"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EB3BF84"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SP/CNDD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0C6F175"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70509563</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B2A12C9"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fleurebako@gmail.com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1F7778"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2A371741"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83D83B"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30B0B14"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B4C839"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55CD50C3"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9337840"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Ouédraogo Abdoul Salam</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46992124"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B993F83"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SP/CNDD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12671D6"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70110835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AE9F249"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00C8A9"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451EFC32"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0BDED4B"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1453C00"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1B9919"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72392F23" w14:textId="77777777" w:rsidTr="008215D2">
        <w:trPr>
          <w:trHeight w:val="137"/>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0A02C45" w14:textId="77777777" w:rsidR="00302BFE" w:rsidRPr="0075595E" w:rsidRDefault="00302BFE" w:rsidP="00243B15">
            <w:pPr>
              <w:spacing w:after="0"/>
              <w:rPr>
                <w:rFonts w:eastAsia="Arial Unicode MS" w:cs="Arial Unicode MS"/>
                <w:color w:val="314924"/>
                <w:sz w:val="18"/>
                <w:szCs w:val="18"/>
                <w:u w:color="314924"/>
                <w:bdr w:val="nil"/>
              </w:rPr>
            </w:pPr>
            <w:proofErr w:type="spellStart"/>
            <w:r w:rsidRPr="0075595E">
              <w:rPr>
                <w:rFonts w:eastAsia="Arial Unicode MS" w:cs="Arial Unicode MS"/>
                <w:color w:val="314924"/>
                <w:sz w:val="18"/>
                <w:szCs w:val="18"/>
                <w:u w:color="314924"/>
                <w:bdr w:val="nil"/>
              </w:rPr>
              <w:t>Nonguierma</w:t>
            </w:r>
            <w:proofErr w:type="spellEnd"/>
            <w:r w:rsidRPr="0075595E">
              <w:rPr>
                <w:rFonts w:eastAsia="Arial Unicode MS" w:cs="Arial Unicode MS"/>
                <w:color w:val="314924"/>
                <w:sz w:val="18"/>
                <w:szCs w:val="18"/>
                <w:u w:color="314924"/>
                <w:bdr w:val="nil"/>
              </w:rPr>
              <w:t>/Tapsoba Pascaline</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5BCF2E54"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6312F7F" w14:textId="77777777" w:rsidR="00302BFE" w:rsidRPr="0075595E" w:rsidRDefault="00302BFE" w:rsidP="00243B15">
            <w:pPr>
              <w:spacing w:after="0"/>
              <w:rPr>
                <w:rFonts w:eastAsia="Arial Unicode MS" w:cs="Arial Unicode MS"/>
                <w:color w:val="314924"/>
                <w:sz w:val="18"/>
                <w:szCs w:val="18"/>
                <w:u w:color="314924"/>
                <w:bdr w:val="nil"/>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F7F2F5"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70-66-70-46</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E304FFD"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E794C1E"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4E69DF02"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E9D2DD6"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F449F9"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C6D07C"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40FB08F6"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6D248EE"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Sib Ollo Arnaud</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1C4485A4"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BC79A61" w14:textId="77777777" w:rsidR="00302BFE" w:rsidRPr="0075595E" w:rsidRDefault="00302BFE" w:rsidP="00243B15">
            <w:pPr>
              <w:spacing w:after="0"/>
              <w:rPr>
                <w:rFonts w:eastAsia="Arial Unicode MS" w:cs="Arial Unicode MS"/>
                <w:color w:val="314924"/>
                <w:sz w:val="18"/>
                <w:szCs w:val="18"/>
                <w:u w:color="314924"/>
                <w:bdr w:val="nil"/>
              </w:rPr>
            </w:pP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37A3EC1"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70-22-83-38</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3C6187B"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A5DA28"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32AF2891"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B41C12"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A58668"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21E92C"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720D97CC"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993A63F" w14:textId="77777777" w:rsidR="00302BFE" w:rsidRPr="0075595E" w:rsidRDefault="00302BFE" w:rsidP="00243B15">
            <w:pPr>
              <w:spacing w:after="0"/>
              <w:rPr>
                <w:rFonts w:eastAsia="Arial Unicode MS" w:cs="Arial Unicode MS"/>
                <w:color w:val="314924"/>
                <w:sz w:val="18"/>
                <w:szCs w:val="18"/>
                <w:u w:color="314924"/>
                <w:bdr w:val="nil"/>
              </w:rPr>
            </w:pPr>
            <w:proofErr w:type="spellStart"/>
            <w:r w:rsidRPr="0075595E">
              <w:rPr>
                <w:rFonts w:eastAsia="Arial Unicode MS" w:cs="Arial Unicode MS"/>
                <w:color w:val="314924"/>
                <w:sz w:val="18"/>
                <w:szCs w:val="18"/>
                <w:u w:color="314924"/>
                <w:bdr w:val="nil"/>
              </w:rPr>
              <w:t>Baziomo</w:t>
            </w:r>
            <w:proofErr w:type="spellEnd"/>
            <w:r w:rsidRPr="0075595E">
              <w:rPr>
                <w:rFonts w:eastAsia="Arial Unicode MS" w:cs="Arial Unicode MS"/>
                <w:color w:val="314924"/>
                <w:sz w:val="18"/>
                <w:szCs w:val="18"/>
                <w:u w:color="314924"/>
                <w:bdr w:val="nil"/>
              </w:rPr>
              <w:t xml:space="preserve"> Donald</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305DB9C5"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6AC9036"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SP-CNDD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52532B1"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72-41-39-82</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F16B0A8"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83D65B"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20C312D0"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B5806A"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C0C4DF5"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1775C2"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7B4B5653"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8564EC"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Ouédraogo W Guy</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E7D764C"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E2FFCCE"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MEEVCC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2023158" w14:textId="77777777" w:rsidR="00302BFE" w:rsidRPr="0075595E" w:rsidRDefault="00302BFE" w:rsidP="00243B15">
            <w:pPr>
              <w:spacing w:after="0"/>
              <w:rPr>
                <w:rFonts w:eastAsia="Arial Unicode MS" w:cs="Arial Unicode MS"/>
                <w:color w:val="314924"/>
                <w:sz w:val="18"/>
                <w:szCs w:val="18"/>
                <w:u w:color="314924"/>
                <w:bdr w:val="nil"/>
              </w:rPr>
            </w:pP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92BD3E3"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wguyouedraogo@gmail.com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6C79EA"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798DE6AA"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D6EDBC"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6B2760"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4D28529"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41864500" w14:textId="77777777" w:rsidTr="008215D2">
        <w:trPr>
          <w:trHeight w:val="210"/>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3BA597"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Diallo Bassirou</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4F4C5A03"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F25FBDB"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MEEVCC</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F3BE770" w14:textId="77777777" w:rsidR="00302BFE" w:rsidRPr="0075595E" w:rsidRDefault="00302BFE" w:rsidP="00243B15">
            <w:pPr>
              <w:spacing w:after="0"/>
              <w:rPr>
                <w:rFonts w:eastAsia="Arial Unicode MS" w:cs="Arial Unicode MS"/>
                <w:color w:val="314924"/>
                <w:sz w:val="18"/>
                <w:szCs w:val="18"/>
                <w:u w:color="314924"/>
                <w:bdr w:val="nil"/>
              </w:rPr>
            </w:pP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82A763A"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064DF0"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0CE8B2E1"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23082D"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8FD94D0"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42B77E"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48A811C5"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711DDE0"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lastRenderedPageBreak/>
              <w:t xml:space="preserve">Sango </w:t>
            </w:r>
            <w:proofErr w:type="spellStart"/>
            <w:r w:rsidRPr="0075595E">
              <w:rPr>
                <w:rFonts w:eastAsia="Arial Unicode MS" w:cs="Arial Unicode MS"/>
                <w:color w:val="314924"/>
                <w:sz w:val="18"/>
                <w:szCs w:val="18"/>
                <w:u w:color="314924"/>
                <w:bdr w:val="nil"/>
              </w:rPr>
              <w:t>Lassina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6379C226"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11A1B99"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SP/CNDD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1A196B8"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72-87-90-64</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F1FFE63"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6F0B62"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64148C43"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55C222"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053306"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E832826"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5063B878"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2BE95D8" w14:textId="77777777" w:rsidR="00302BFE" w:rsidRPr="0075595E" w:rsidRDefault="00302BFE" w:rsidP="00243B15">
            <w:pPr>
              <w:spacing w:after="0"/>
              <w:rPr>
                <w:rFonts w:eastAsia="Arial Unicode MS" w:cs="Arial Unicode MS"/>
                <w:color w:val="314924"/>
                <w:sz w:val="18"/>
                <w:szCs w:val="18"/>
                <w:u w:color="314924"/>
                <w:bdr w:val="nil"/>
              </w:rPr>
            </w:pPr>
            <w:proofErr w:type="spellStart"/>
            <w:r w:rsidRPr="0075595E">
              <w:rPr>
                <w:rFonts w:eastAsia="Arial Unicode MS" w:cs="Arial Unicode MS"/>
                <w:color w:val="314924"/>
                <w:sz w:val="18"/>
                <w:szCs w:val="18"/>
                <w:u w:color="314924"/>
                <w:bdr w:val="nil"/>
              </w:rPr>
              <w:t>Kedré</w:t>
            </w:r>
            <w:proofErr w:type="spellEnd"/>
            <w:r w:rsidRPr="0075595E">
              <w:rPr>
                <w:rFonts w:eastAsia="Arial Unicode MS" w:cs="Arial Unicode MS"/>
                <w:color w:val="314924"/>
                <w:sz w:val="18"/>
                <w:szCs w:val="18"/>
                <w:u w:color="314924"/>
                <w:bdr w:val="nil"/>
              </w:rPr>
              <w:t xml:space="preserve"> Idrissa</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14877329" w14:textId="77777777" w:rsidR="00302BFE" w:rsidRPr="0075595E" w:rsidRDefault="00302BFE"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B59B0C1"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SP-CNDD</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ADEB32E" w14:textId="77777777" w:rsidR="00302BFE" w:rsidRPr="0075595E" w:rsidRDefault="00302BFE" w:rsidP="00243B15">
            <w:pPr>
              <w:spacing w:after="0"/>
              <w:rPr>
                <w:rFonts w:eastAsia="Arial Unicode MS" w:cs="Arial Unicode MS"/>
                <w:color w:val="314924"/>
                <w:sz w:val="18"/>
                <w:szCs w:val="18"/>
                <w:u w:color="314924"/>
                <w:bdr w:val="nil"/>
              </w:rPr>
            </w:pPr>
            <w:r w:rsidRPr="0075595E">
              <w:rPr>
                <w:rFonts w:eastAsia="Arial Unicode MS" w:cs="Arial Unicode MS"/>
                <w:color w:val="314924"/>
                <w:sz w:val="18"/>
                <w:szCs w:val="18"/>
                <w:u w:color="314924"/>
                <w:bdr w:val="nil"/>
              </w:rPr>
              <w:t>70-34-14-00</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8CC819" w14:textId="77777777" w:rsidR="00302BFE" w:rsidRPr="002854BE" w:rsidRDefault="00302BFE" w:rsidP="00243B15">
            <w:pPr>
              <w:pStyle w:val="TableStyle2A"/>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E53F7E"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18C1D1DE"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9CE652"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43CCC3A"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73B13F" w14:textId="77777777" w:rsidR="00302BFE" w:rsidRPr="0075595E" w:rsidRDefault="00302BFE" w:rsidP="00243B15">
            <w:pPr>
              <w:pStyle w:val="TableStyle2A"/>
              <w:jc w:val="center"/>
              <w:rPr>
                <w:rStyle w:val="Hyperlink0"/>
                <w:rFonts w:ascii="Calibri" w:hAnsi="Calibri"/>
                <w:sz w:val="18"/>
                <w:szCs w:val="18"/>
                <w:lang w:val="fr-FR"/>
              </w:rPr>
            </w:pPr>
          </w:p>
        </w:tc>
      </w:tr>
      <w:tr w:rsidR="00714F9A" w:rsidRPr="0075595E" w14:paraId="6A33FEE1"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CA8B3BB" w14:textId="77777777" w:rsidR="00714F9A" w:rsidRPr="0075595E" w:rsidRDefault="00714F9A" w:rsidP="00243B15">
            <w:pPr>
              <w:spacing w:after="0"/>
              <w:rPr>
                <w:rFonts w:eastAsia="Arial Unicode MS" w:cs="Arial Unicode MS"/>
                <w:color w:val="314924"/>
                <w:sz w:val="18"/>
                <w:szCs w:val="18"/>
                <w:u w:color="314924"/>
                <w:bdr w:val="nil"/>
              </w:rPr>
            </w:pPr>
            <w:r>
              <w:rPr>
                <w:rFonts w:eastAsia="Arial Unicode MS" w:cs="Arial Unicode MS"/>
                <w:color w:val="314924"/>
                <w:sz w:val="18"/>
                <w:szCs w:val="18"/>
                <w:u w:color="314924"/>
                <w:bdr w:val="nil"/>
              </w:rPr>
              <w:t>Sanou Z.H. Rodrig</w:t>
            </w:r>
            <w:r w:rsidR="000344D0">
              <w:rPr>
                <w:rFonts w:eastAsia="Arial Unicode MS" w:cs="Arial Unicode MS"/>
                <w:color w:val="314924"/>
                <w:sz w:val="18"/>
                <w:szCs w:val="18"/>
                <w:u w:color="314924"/>
                <w:bdr w:val="nil"/>
              </w:rPr>
              <w:t>ue</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0F03C223" w14:textId="77777777" w:rsidR="00714F9A" w:rsidRPr="0075595E" w:rsidRDefault="00714F9A" w:rsidP="00243B15">
            <w:pPr>
              <w:spacing w:after="0"/>
              <w:rPr>
                <w:rFonts w:eastAsia="Arial Unicode MS" w:cs="Arial Unicode MS"/>
                <w:color w:val="314924"/>
                <w:sz w:val="18"/>
                <w:szCs w:val="18"/>
                <w:u w:color="314924"/>
                <w:bdr w:val="nil"/>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E3B6AD8" w14:textId="77777777" w:rsidR="00714F9A" w:rsidRPr="0075595E" w:rsidRDefault="000344D0" w:rsidP="00243B15">
            <w:pPr>
              <w:spacing w:after="0"/>
              <w:rPr>
                <w:rFonts w:eastAsia="Arial Unicode MS" w:cs="Arial Unicode MS"/>
                <w:color w:val="314924"/>
                <w:sz w:val="18"/>
                <w:szCs w:val="18"/>
                <w:u w:color="314924"/>
                <w:bdr w:val="nil"/>
              </w:rPr>
            </w:pPr>
            <w:r>
              <w:rPr>
                <w:rFonts w:eastAsia="Arial Unicode MS" w:cs="Arial Unicode MS"/>
                <w:color w:val="314924"/>
                <w:sz w:val="18"/>
                <w:szCs w:val="18"/>
                <w:u w:color="314924"/>
                <w:bdr w:val="nil"/>
              </w:rPr>
              <w:t xml:space="preserve">DGESS </w:t>
            </w:r>
            <w:proofErr w:type="spellStart"/>
            <w:r>
              <w:rPr>
                <w:rFonts w:eastAsia="Arial Unicode MS" w:cs="Arial Unicode MS"/>
                <w:color w:val="314924"/>
                <w:sz w:val="18"/>
                <w:szCs w:val="18"/>
                <w:u w:color="314924"/>
                <w:bdr w:val="nil"/>
              </w:rPr>
              <w:t>Environnement</w:t>
            </w:r>
            <w:proofErr w:type="spellEnd"/>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87EA7CC" w14:textId="77777777" w:rsidR="00714F9A" w:rsidRPr="0075595E" w:rsidRDefault="000344D0" w:rsidP="00243B15">
            <w:pPr>
              <w:spacing w:after="0"/>
              <w:rPr>
                <w:rFonts w:eastAsia="Arial Unicode MS" w:cs="Arial Unicode MS"/>
                <w:color w:val="314924"/>
                <w:sz w:val="18"/>
                <w:szCs w:val="18"/>
                <w:u w:color="314924"/>
                <w:bdr w:val="nil"/>
              </w:rPr>
            </w:pPr>
            <w:r>
              <w:rPr>
                <w:rFonts w:eastAsia="Arial Unicode MS" w:cs="Arial Unicode MS"/>
                <w:color w:val="314924"/>
                <w:sz w:val="18"/>
                <w:szCs w:val="18"/>
                <w:u w:color="314924"/>
                <w:bdr w:val="nil"/>
              </w:rPr>
              <w:t>76319109</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DF83A50" w14:textId="77777777" w:rsidR="00714F9A" w:rsidRPr="002854BE" w:rsidRDefault="000344D0" w:rsidP="00243B15">
            <w:pPr>
              <w:pStyle w:val="TableStyle2A"/>
              <w:rPr>
                <w:rFonts w:ascii="Calibri" w:hAnsi="Calibri"/>
                <w:sz w:val="18"/>
                <w:szCs w:val="18"/>
              </w:rPr>
            </w:pPr>
            <w:r>
              <w:rPr>
                <w:rFonts w:ascii="Calibri" w:hAnsi="Calibri"/>
                <w:sz w:val="18"/>
                <w:szCs w:val="18"/>
              </w:rPr>
              <w:t>rodoanhyacinthe@yahoo.fr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E1FCE9" w14:textId="77777777" w:rsidR="00714F9A" w:rsidRPr="0075595E" w:rsidRDefault="00714F9A" w:rsidP="00243B15">
            <w:pPr>
              <w:pStyle w:val="TableStyle2A"/>
              <w:jc w:val="center"/>
              <w:rPr>
                <w:rStyle w:val="Hyperlink0"/>
                <w:rFonts w:ascii="Calibri" w:hAnsi="Calibri"/>
                <w:sz w:val="18"/>
                <w:szCs w:val="18"/>
                <w:u w:val="none"/>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76B0350F" w14:textId="77777777" w:rsidR="00714F9A" w:rsidRPr="0075595E" w:rsidRDefault="00714F9A"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F0660D" w14:textId="77777777" w:rsidR="00714F9A" w:rsidRPr="0075595E" w:rsidRDefault="00714F9A"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187E641" w14:textId="77777777" w:rsidR="00714F9A" w:rsidRPr="0075595E" w:rsidRDefault="00714F9A"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9903CF" w14:textId="77777777" w:rsidR="00714F9A" w:rsidRPr="0075595E" w:rsidRDefault="000344D0" w:rsidP="00243B15">
            <w:pPr>
              <w:pStyle w:val="TableStyle2A"/>
              <w:jc w:val="center"/>
              <w:rPr>
                <w:rStyle w:val="Hyperlink0"/>
                <w:rFonts w:ascii="Calibri" w:hAnsi="Calibri"/>
                <w:sz w:val="18"/>
                <w:szCs w:val="18"/>
                <w:lang w:val="fr-FR"/>
              </w:rPr>
            </w:pPr>
            <w:r w:rsidRPr="0075595E">
              <w:rPr>
                <w:rStyle w:val="Hyperlink0"/>
                <w:rFonts w:ascii="Calibri" w:hAnsi="Calibri"/>
                <w:sz w:val="18"/>
                <w:szCs w:val="18"/>
                <w:u w:val="none"/>
              </w:rPr>
              <w:sym w:font="Wingdings" w:char="F0FC"/>
            </w:r>
          </w:p>
        </w:tc>
      </w:tr>
      <w:tr w:rsidR="00302BFE" w:rsidRPr="002854BE" w14:paraId="2EE8B80A" w14:textId="77777777" w:rsidTr="00243B15">
        <w:trPr>
          <w:jc w:val="center"/>
        </w:trPr>
        <w:tc>
          <w:tcPr>
            <w:tcW w:w="13744" w:type="dxa"/>
            <w:gridSpan w:val="10"/>
            <w:tcBorders>
              <w:top w:val="single" w:sz="2" w:space="0" w:color="000000"/>
              <w:left w:val="single" w:sz="2" w:space="0" w:color="000000"/>
              <w:bottom w:val="single" w:sz="2" w:space="0" w:color="000000"/>
              <w:right w:val="single" w:sz="2" w:space="0" w:color="000000"/>
            </w:tcBorders>
            <w:shd w:val="clear" w:color="auto" w:fill="FFF2CC"/>
            <w:tcMar>
              <w:top w:w="80" w:type="dxa"/>
              <w:left w:w="80" w:type="dxa"/>
              <w:bottom w:w="80" w:type="dxa"/>
              <w:right w:w="80" w:type="dxa"/>
            </w:tcMar>
          </w:tcPr>
          <w:p w14:paraId="67C5EB82" w14:textId="77777777" w:rsidR="00302BFE" w:rsidRPr="002854BE" w:rsidRDefault="00302BFE" w:rsidP="00243B15">
            <w:pPr>
              <w:pStyle w:val="TableStyle2A"/>
              <w:rPr>
                <w:rStyle w:val="Hyperlink0"/>
                <w:rFonts w:ascii="Calibri" w:hAnsi="Calibri"/>
                <w:b/>
                <w:sz w:val="18"/>
                <w:szCs w:val="18"/>
                <w:u w:val="none"/>
                <w:lang w:val="en-CA"/>
              </w:rPr>
            </w:pPr>
            <w:r w:rsidRPr="002854BE">
              <w:rPr>
                <w:rStyle w:val="Hyperlink0"/>
                <w:rFonts w:ascii="Calibri" w:hAnsi="Calibri"/>
                <w:b/>
                <w:sz w:val="18"/>
                <w:szCs w:val="18"/>
                <w:u w:val="none"/>
                <w:lang w:val="en-CA"/>
              </w:rPr>
              <w:t>Capacity assessment with the General Directorate of Water and Forests and the National Office of Protected Areas, 1</w:t>
            </w:r>
            <w:r>
              <w:rPr>
                <w:rStyle w:val="Hyperlink0"/>
                <w:rFonts w:ascii="Calibri" w:hAnsi="Calibri"/>
                <w:b/>
                <w:sz w:val="18"/>
                <w:szCs w:val="18"/>
                <w:u w:val="none"/>
                <w:lang w:val="en-CA"/>
              </w:rPr>
              <w:t>2</w:t>
            </w:r>
            <w:r w:rsidRPr="002854BE">
              <w:rPr>
                <w:rStyle w:val="Hyperlink0"/>
                <w:rFonts w:ascii="Calibri" w:hAnsi="Calibri"/>
                <w:b/>
                <w:sz w:val="18"/>
                <w:szCs w:val="18"/>
                <w:u w:val="none"/>
                <w:lang w:val="en-CA"/>
              </w:rPr>
              <w:t>/1</w:t>
            </w:r>
            <w:r>
              <w:rPr>
                <w:rStyle w:val="Hyperlink0"/>
                <w:rFonts w:ascii="Calibri" w:hAnsi="Calibri"/>
                <w:b/>
                <w:sz w:val="18"/>
                <w:szCs w:val="18"/>
                <w:u w:val="none"/>
                <w:lang w:val="en-CA"/>
              </w:rPr>
              <w:t>4</w:t>
            </w:r>
            <w:r w:rsidRPr="002854BE">
              <w:rPr>
                <w:rStyle w:val="Hyperlink0"/>
                <w:rFonts w:ascii="Calibri" w:hAnsi="Calibri"/>
                <w:b/>
                <w:sz w:val="18"/>
                <w:szCs w:val="18"/>
                <w:u w:val="none"/>
                <w:lang w:val="en-CA"/>
              </w:rPr>
              <w:t>/2018</w:t>
            </w:r>
          </w:p>
        </w:tc>
      </w:tr>
      <w:tr w:rsidR="00302BFE" w:rsidRPr="0075595E" w14:paraId="7B0E8FB2"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0E91AFF"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Traoré A. </w:t>
            </w:r>
            <w:proofErr w:type="spellStart"/>
            <w:r w:rsidRPr="0075595E">
              <w:rPr>
                <w:rFonts w:ascii="Calibri" w:hAnsi="Calibri"/>
                <w:sz w:val="18"/>
                <w:szCs w:val="18"/>
              </w:rPr>
              <w:t>Maurille</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79BD676C" w14:textId="77777777" w:rsidR="00302BFE" w:rsidRPr="0075595E" w:rsidRDefault="00302BFE" w:rsidP="00243B15">
            <w:pPr>
              <w:pStyle w:val="TableStyle2A"/>
              <w:rPr>
                <w:rFonts w:ascii="Calibri" w:hAnsi="Calibri"/>
                <w:sz w:val="18"/>
                <w:szCs w:val="18"/>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235A2AD"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OFINAP</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AEBE36"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70168862</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0C3DEBA"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Traorealain47@yahoo.com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447FDA"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3FE9B8D2"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6415FA"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ABC874"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35B931"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10D8C903"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8ABAC74"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Lompo Hamidou </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6D03C3AB" w14:textId="77777777" w:rsidR="00302BFE" w:rsidRPr="0075595E" w:rsidRDefault="00302BFE" w:rsidP="00243B15">
            <w:pPr>
              <w:pStyle w:val="TableStyle2A"/>
              <w:rPr>
                <w:rFonts w:ascii="Calibri" w:hAnsi="Calibri"/>
                <w:sz w:val="18"/>
                <w:szCs w:val="18"/>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47655C1"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OFINAP</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AC4B6D7"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70804819</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7A714E5"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koiladja@yahoo.fr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D97746"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74C18959"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BF2221"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8D1D23"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A396B1"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7A634715"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7A44138"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Gnoumou Isaac</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366E5F9"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DFRC</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915920"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DGEF</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C14E809"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71227201</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91658B8"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godporipisaac@yahoo.fr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564E35"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4F03060B"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0BB614"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54EE30"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4287E0"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6DF14E36"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DAADEFF"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Traoré Daouda </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F39CBE8" w14:textId="77777777" w:rsidR="00302BFE" w:rsidRPr="0075595E" w:rsidRDefault="00302BFE" w:rsidP="00243B15">
            <w:pPr>
              <w:pStyle w:val="TableStyle2A"/>
              <w:rPr>
                <w:rFonts w:ascii="Calibri" w:hAnsi="Calibri"/>
                <w:sz w:val="18"/>
                <w:szCs w:val="18"/>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7505301"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OFINAP</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F8D3165"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70426852</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6ACB5FA"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Traore_daou@yahoo.fr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CDF9D5"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5AF63B31"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49A656"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B7EFB6C"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803155"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236043CD"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D5260A1"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Yaméogo Dieudonné</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3C51F9CC" w14:textId="77777777" w:rsidR="00302BFE" w:rsidRPr="0075595E" w:rsidRDefault="00302BFE" w:rsidP="00243B15">
            <w:pPr>
              <w:pStyle w:val="TableStyle2A"/>
              <w:rPr>
                <w:rFonts w:ascii="Calibri" w:hAnsi="Calibri"/>
                <w:sz w:val="18"/>
                <w:szCs w:val="18"/>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FE8E3DF" w14:textId="77777777" w:rsidR="00302BFE" w:rsidRPr="0075595E" w:rsidRDefault="00302BFE" w:rsidP="00243B15">
            <w:pPr>
              <w:pStyle w:val="TableStyle2A"/>
              <w:rPr>
                <w:rFonts w:ascii="Calibri" w:hAnsi="Calibri"/>
                <w:sz w:val="18"/>
                <w:szCs w:val="18"/>
                <w:lang w:val="fr-CA"/>
              </w:rPr>
            </w:pPr>
            <w:r w:rsidRPr="0075595E">
              <w:rPr>
                <w:rFonts w:ascii="Calibri" w:hAnsi="Calibri"/>
                <w:sz w:val="18"/>
                <w:szCs w:val="18"/>
                <w:lang w:val="fr-CA"/>
              </w:rPr>
              <w:t xml:space="preserve">Unité de gestion de </w:t>
            </w:r>
            <w:proofErr w:type="spellStart"/>
            <w:r w:rsidRPr="0075595E">
              <w:rPr>
                <w:rFonts w:ascii="Calibri" w:hAnsi="Calibri"/>
                <w:sz w:val="18"/>
                <w:szCs w:val="18"/>
                <w:lang w:val="fr-CA"/>
              </w:rPr>
              <w:t>Nazinga</w:t>
            </w:r>
            <w:proofErr w:type="spellEnd"/>
            <w:r w:rsidRPr="0075595E">
              <w:rPr>
                <w:rFonts w:ascii="Calibri" w:hAnsi="Calibri"/>
                <w:sz w:val="18"/>
                <w:szCs w:val="18"/>
                <w:lang w:val="fr-CA"/>
              </w:rPr>
              <w:t xml:space="preserve"> </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7AB6E9"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70752339</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2C7B467"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Yam_dieu@yahoo.fr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60B042"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52568979"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E4DB52"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2BECD01"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CB6EA2"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11EF3FF0"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F15C832"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Doamba B</w:t>
            </w:r>
            <w:r>
              <w:rPr>
                <w:rFonts w:ascii="Calibri" w:hAnsi="Calibri"/>
                <w:sz w:val="18"/>
                <w:szCs w:val="18"/>
              </w:rPr>
              <w:t>e</w:t>
            </w:r>
            <w:r w:rsidRPr="0075595E">
              <w:rPr>
                <w:rFonts w:ascii="Calibri" w:hAnsi="Calibri"/>
                <w:sz w:val="18"/>
                <w:szCs w:val="18"/>
              </w:rPr>
              <w:t xml:space="preserve">noit </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41ADECE6"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DPRC</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865F903"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DGEF</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B0ED08B"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70097177</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2631FEA"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benoitdoamba@hotmail.com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CC2F6C"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tcPr>
          <w:p w14:paraId="17440CCA" w14:textId="77777777" w:rsidR="00302BFE" w:rsidRPr="0075595E" w:rsidRDefault="00302BFE" w:rsidP="00243B15">
            <w:pPr>
              <w:spacing w:after="0"/>
              <w:jc w:val="center"/>
              <w:rPr>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8AB70F5"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4193D18"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749B69B"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75595E" w14:paraId="264FF74C"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27495AF"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 xml:space="preserve">Yaméogo </w:t>
            </w:r>
            <w:proofErr w:type="spellStart"/>
            <w:r w:rsidRPr="0075595E">
              <w:rPr>
                <w:rFonts w:ascii="Calibri" w:hAnsi="Calibri"/>
                <w:sz w:val="18"/>
                <w:szCs w:val="18"/>
              </w:rPr>
              <w:t>Nongma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6D9F1697" w14:textId="77777777" w:rsidR="00302BFE" w:rsidRPr="0075595E" w:rsidRDefault="00302BFE" w:rsidP="00243B15">
            <w:pPr>
              <w:pStyle w:val="TableStyle2A"/>
              <w:rPr>
                <w:rFonts w:ascii="Calibri" w:hAnsi="Calibri"/>
                <w:sz w:val="18"/>
                <w:szCs w:val="18"/>
              </w:rPr>
            </w:pP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B328BA8"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OFINAP</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D24559E" w14:textId="77777777" w:rsidR="00302BFE" w:rsidRPr="0075595E" w:rsidRDefault="00302BFE" w:rsidP="00243B15">
            <w:pPr>
              <w:pStyle w:val="TableStyle2A"/>
              <w:rPr>
                <w:rFonts w:ascii="Calibri" w:hAnsi="Calibri"/>
                <w:sz w:val="18"/>
                <w:szCs w:val="18"/>
              </w:rPr>
            </w:pPr>
            <w:r w:rsidRPr="0075595E">
              <w:rPr>
                <w:rFonts w:ascii="Calibri" w:hAnsi="Calibri"/>
                <w:sz w:val="18"/>
                <w:szCs w:val="18"/>
              </w:rPr>
              <w:t>70003326</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5F560F8" w14:textId="77777777" w:rsidR="00302BFE" w:rsidRPr="002854BE" w:rsidRDefault="00302BFE" w:rsidP="00243B15">
            <w:pPr>
              <w:pStyle w:val="TableStyle2A"/>
              <w:rPr>
                <w:rFonts w:ascii="Calibri" w:hAnsi="Calibri"/>
                <w:sz w:val="18"/>
                <w:szCs w:val="18"/>
              </w:rPr>
            </w:pPr>
            <w:r w:rsidRPr="002854BE">
              <w:rPr>
                <w:rFonts w:ascii="Calibri" w:hAnsi="Calibri"/>
                <w:sz w:val="18"/>
                <w:szCs w:val="18"/>
              </w:rPr>
              <w:t>yameogogonjoseph@yahoo.fr</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195EA61"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4D4E60"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C48920" w14:textId="77777777" w:rsidR="00302BFE" w:rsidRPr="0075595E" w:rsidRDefault="00302BFE" w:rsidP="00243B15">
            <w:pPr>
              <w:pStyle w:val="TableStyle2A"/>
              <w:jc w:val="center"/>
              <w:rPr>
                <w:rFonts w:ascii="Calibri" w:hAnsi="Calibri"/>
                <w:sz w:val="18"/>
                <w:szCs w:val="18"/>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5CD58B4" w14:textId="77777777" w:rsidR="00302BFE" w:rsidRPr="0075595E" w:rsidRDefault="00302BFE" w:rsidP="00243B15">
            <w:pPr>
              <w:pStyle w:val="TableStyle2A"/>
              <w:jc w:val="center"/>
              <w:rPr>
                <w:rFonts w:ascii="Calibri" w:hAnsi="Calibri"/>
                <w:sz w:val="18"/>
                <w:szCs w:val="18"/>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D0E78D"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305FF7" w14:paraId="709D2249" w14:textId="77777777" w:rsidTr="00243B15">
        <w:trPr>
          <w:jc w:val="center"/>
        </w:trPr>
        <w:tc>
          <w:tcPr>
            <w:tcW w:w="13744" w:type="dxa"/>
            <w:gridSpan w:val="10"/>
            <w:tcBorders>
              <w:top w:val="single" w:sz="2" w:space="0" w:color="000000"/>
              <w:left w:val="single" w:sz="2" w:space="0" w:color="000000"/>
              <w:bottom w:val="single" w:sz="2" w:space="0" w:color="000000"/>
              <w:right w:val="single" w:sz="2" w:space="0" w:color="000000"/>
            </w:tcBorders>
            <w:shd w:val="clear" w:color="auto" w:fill="FFF2CC"/>
            <w:tcMar>
              <w:top w:w="80" w:type="dxa"/>
              <w:left w:w="80" w:type="dxa"/>
              <w:bottom w:w="80" w:type="dxa"/>
              <w:right w:w="80" w:type="dxa"/>
            </w:tcMar>
          </w:tcPr>
          <w:p w14:paraId="64CEE7BD" w14:textId="77777777" w:rsidR="00302BFE" w:rsidRPr="00A26F12" w:rsidRDefault="00302BFE" w:rsidP="00243B15">
            <w:pPr>
              <w:pStyle w:val="TableStyle2A"/>
              <w:rPr>
                <w:rStyle w:val="Hyperlink0"/>
                <w:rFonts w:ascii="Calibri" w:hAnsi="Calibri"/>
                <w:b/>
                <w:sz w:val="18"/>
                <w:szCs w:val="18"/>
                <w:u w:val="none"/>
                <w:lang w:val="en-CA"/>
              </w:rPr>
            </w:pPr>
            <w:r w:rsidRPr="00A26F12">
              <w:rPr>
                <w:rStyle w:val="Hyperlink0"/>
                <w:rFonts w:ascii="Calibri" w:hAnsi="Calibri"/>
                <w:b/>
                <w:sz w:val="18"/>
                <w:szCs w:val="18"/>
                <w:u w:val="none"/>
                <w:lang w:val="en-CA"/>
              </w:rPr>
              <w:t xml:space="preserve">Meetings with Ghana's partners to discuss collaboration for the protection of shared resources, held in </w:t>
            </w:r>
            <w:proofErr w:type="spellStart"/>
            <w:r w:rsidRPr="00A26F12">
              <w:rPr>
                <w:rStyle w:val="Hyperlink0"/>
                <w:rFonts w:ascii="Calibri" w:hAnsi="Calibri"/>
                <w:b/>
                <w:sz w:val="18"/>
                <w:szCs w:val="18"/>
                <w:u w:val="none"/>
                <w:lang w:val="en-CA"/>
              </w:rPr>
              <w:t>Bolgatenga</w:t>
            </w:r>
            <w:proofErr w:type="spellEnd"/>
            <w:r w:rsidRPr="00A26F12">
              <w:rPr>
                <w:rStyle w:val="Hyperlink0"/>
                <w:rFonts w:ascii="Calibri" w:hAnsi="Calibri"/>
                <w:b/>
                <w:sz w:val="18"/>
                <w:szCs w:val="18"/>
                <w:u w:val="none"/>
                <w:lang w:val="en-CA"/>
              </w:rPr>
              <w:t xml:space="preserve"> and </w:t>
            </w:r>
            <w:proofErr w:type="spellStart"/>
            <w:r w:rsidRPr="00A26F12">
              <w:rPr>
                <w:rStyle w:val="Hyperlink0"/>
                <w:rFonts w:ascii="Calibri" w:hAnsi="Calibri"/>
                <w:b/>
                <w:sz w:val="18"/>
                <w:szCs w:val="18"/>
                <w:u w:val="none"/>
                <w:lang w:val="en-CA"/>
              </w:rPr>
              <w:t>Paga</w:t>
            </w:r>
            <w:proofErr w:type="spellEnd"/>
            <w:r w:rsidRPr="00A26F12">
              <w:rPr>
                <w:rStyle w:val="Hyperlink0"/>
                <w:rFonts w:ascii="Calibri" w:hAnsi="Calibri"/>
                <w:b/>
                <w:sz w:val="18"/>
                <w:szCs w:val="18"/>
                <w:u w:val="none"/>
                <w:lang w:val="en-CA"/>
              </w:rPr>
              <w:t xml:space="preserve"> (Ghana) on 29 and 30 October 2018</w:t>
            </w:r>
          </w:p>
        </w:tc>
      </w:tr>
      <w:tr w:rsidR="00302BFE" w:rsidRPr="002C0222" w14:paraId="73E3CFA4"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739488C" w14:textId="77777777" w:rsidR="00302BFE" w:rsidRPr="002C0222" w:rsidRDefault="00302BFE" w:rsidP="00243B15">
            <w:pPr>
              <w:pStyle w:val="TableStyle2A"/>
              <w:rPr>
                <w:rFonts w:ascii="Calibri" w:hAnsi="Calibri"/>
                <w:sz w:val="18"/>
                <w:szCs w:val="18"/>
              </w:rPr>
            </w:pPr>
            <w:r w:rsidRPr="002C0222">
              <w:rPr>
                <w:rFonts w:ascii="Calibri" w:hAnsi="Calibri"/>
                <w:sz w:val="18"/>
                <w:szCs w:val="18"/>
              </w:rPr>
              <w:t xml:space="preserve">SIMON </w:t>
            </w:r>
            <w:proofErr w:type="spellStart"/>
            <w:r w:rsidRPr="002C0222">
              <w:rPr>
                <w:rFonts w:ascii="Calibri" w:hAnsi="Calibri"/>
                <w:sz w:val="18"/>
                <w:szCs w:val="18"/>
              </w:rPr>
              <w:t>Segbedzi</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4BA110C7" w14:textId="77777777" w:rsidR="00302BFE" w:rsidRPr="002C0222" w:rsidRDefault="00302BFE" w:rsidP="00243B15">
            <w:pPr>
              <w:pStyle w:val="TableStyle2A"/>
              <w:rPr>
                <w:rFonts w:ascii="Calibri" w:hAnsi="Calibri"/>
                <w:sz w:val="18"/>
                <w:szCs w:val="18"/>
              </w:rPr>
            </w:pPr>
            <w:r w:rsidRPr="006D681F">
              <w:rPr>
                <w:rFonts w:ascii="Calibri" w:hAnsi="Calibri"/>
                <w:sz w:val="18"/>
                <w:szCs w:val="18"/>
              </w:rPr>
              <w:t>Forest</w:t>
            </w:r>
            <w:r>
              <w:rPr>
                <w:rFonts w:ascii="Calibri" w:hAnsi="Calibri"/>
                <w:sz w:val="18"/>
                <w:szCs w:val="18"/>
              </w:rPr>
              <w:t xml:space="preserve"> officer</w:t>
            </w:r>
            <w:r w:rsidRPr="006D681F">
              <w:rPr>
                <w:rFonts w:ascii="Calibri" w:hAnsi="Calibri"/>
                <w:sz w:val="18"/>
                <w:szCs w:val="18"/>
              </w:rPr>
              <w:t>, in charge of corridors</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D0D8E09" w14:textId="77777777" w:rsidR="00302BFE" w:rsidRPr="002C0222" w:rsidRDefault="00302BFE" w:rsidP="00243B15">
            <w:pPr>
              <w:pStyle w:val="TableStyle2A"/>
              <w:rPr>
                <w:rFonts w:ascii="Calibri" w:hAnsi="Calibri"/>
                <w:sz w:val="18"/>
                <w:szCs w:val="18"/>
              </w:rPr>
            </w:pPr>
            <w:r w:rsidRPr="002C0222">
              <w:rPr>
                <w:rFonts w:ascii="Calibri" w:hAnsi="Calibri"/>
                <w:sz w:val="18"/>
                <w:szCs w:val="18"/>
              </w:rPr>
              <w:t>Wildlife Division</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C0EF71E" w14:textId="77777777" w:rsidR="00302BFE" w:rsidRPr="002C0222" w:rsidRDefault="00302BFE" w:rsidP="00243B15">
            <w:pPr>
              <w:pStyle w:val="TableStyle2A"/>
              <w:rPr>
                <w:rFonts w:ascii="Calibri" w:hAnsi="Calibri"/>
                <w:sz w:val="18"/>
                <w:szCs w:val="18"/>
              </w:rPr>
            </w:pPr>
            <w:r w:rsidRPr="002C0222">
              <w:rPr>
                <w:rFonts w:ascii="Calibri" w:hAnsi="Calibri"/>
                <w:sz w:val="18"/>
                <w:szCs w:val="18"/>
              </w:rPr>
              <w:t>0243510995</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52AF983" w14:textId="77777777" w:rsidR="00302BFE" w:rsidRPr="002854BE" w:rsidRDefault="00302BFE" w:rsidP="00243B15">
            <w:pPr>
              <w:pStyle w:val="TableStyle2A"/>
              <w:rPr>
                <w:rFonts w:ascii="Calibri" w:hAnsi="Calibri"/>
                <w:sz w:val="18"/>
                <w:szCs w:val="18"/>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B2F898" w14:textId="77777777" w:rsidR="00302BFE" w:rsidRPr="002C0222" w:rsidRDefault="00302BFE" w:rsidP="00243B15">
            <w:pPr>
              <w:pStyle w:val="TableStyle2A"/>
              <w:jc w:val="center"/>
              <w:rPr>
                <w:rFonts w:ascii="Calibri" w:hAnsi="Calibri"/>
                <w:sz w:val="18"/>
                <w:szCs w:val="18"/>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8F7CF8A" w14:textId="77777777" w:rsidR="00302BFE" w:rsidRPr="002C0222" w:rsidRDefault="00302BFE" w:rsidP="00243B15">
            <w:pPr>
              <w:pStyle w:val="TableStyle2A"/>
              <w:jc w:val="center"/>
              <w:rPr>
                <w:rFonts w:ascii="Calibri" w:hAnsi="Calibri"/>
                <w:sz w:val="18"/>
                <w:szCs w:val="18"/>
                <w:lang w:val="fr-CA"/>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5E19F53" w14:textId="77777777" w:rsidR="00302BFE" w:rsidRPr="002C0222" w:rsidRDefault="00302BFE" w:rsidP="00243B15">
            <w:pPr>
              <w:pStyle w:val="TableStyle2A"/>
              <w:jc w:val="center"/>
              <w:rPr>
                <w:rFonts w:ascii="Calibri" w:hAnsi="Calibri"/>
                <w:sz w:val="18"/>
                <w:szCs w:val="18"/>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BAA03D9" w14:textId="77777777" w:rsidR="00302BFE" w:rsidRPr="002C0222" w:rsidRDefault="00302BFE" w:rsidP="00243B15">
            <w:pPr>
              <w:pStyle w:val="TableStyle2A"/>
              <w:jc w:val="center"/>
              <w:rPr>
                <w:rStyle w:val="Hyperlink0"/>
                <w:rFonts w:ascii="Calibri" w:hAnsi="Calibri"/>
                <w:sz w:val="18"/>
                <w:szCs w:val="18"/>
                <w:u w:val="none"/>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628DBA"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2C0222" w14:paraId="3F7DED4A"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A1B3D4" w14:textId="77777777" w:rsidR="00302BFE" w:rsidRPr="002C0222" w:rsidRDefault="00302BFE" w:rsidP="00243B15">
            <w:pPr>
              <w:pStyle w:val="TableStyle2A"/>
              <w:rPr>
                <w:rFonts w:ascii="Calibri" w:hAnsi="Calibri"/>
                <w:sz w:val="18"/>
                <w:szCs w:val="18"/>
              </w:rPr>
            </w:pPr>
            <w:r w:rsidRPr="002C0222">
              <w:rPr>
                <w:rFonts w:ascii="Calibri" w:hAnsi="Calibri"/>
                <w:sz w:val="18"/>
                <w:szCs w:val="18"/>
              </w:rPr>
              <w:t>Julius AWAREGGA</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77C7933" w14:textId="77777777" w:rsidR="00302BFE" w:rsidRPr="002C0222" w:rsidRDefault="00302BFE" w:rsidP="00243B15">
            <w:pPr>
              <w:pStyle w:val="TableStyle2A"/>
              <w:rPr>
                <w:rFonts w:ascii="Calibri" w:hAnsi="Calibri"/>
                <w:sz w:val="18"/>
                <w:szCs w:val="18"/>
              </w:rPr>
            </w:pPr>
            <w:r w:rsidRPr="002C0222">
              <w:rPr>
                <w:rFonts w:ascii="Calibri" w:hAnsi="Calibri"/>
                <w:sz w:val="18"/>
                <w:szCs w:val="18"/>
              </w:rPr>
              <w:t>Director</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D42614E" w14:textId="77777777" w:rsidR="00302BFE" w:rsidRPr="00F34497" w:rsidRDefault="00714F9A" w:rsidP="00243B15">
            <w:pPr>
              <w:pStyle w:val="TableStyle2A"/>
              <w:rPr>
                <w:rFonts w:ascii="Arial" w:hAnsi="Arial" w:cs="Arial"/>
                <w:color w:val="545454"/>
                <w:shd w:val="clear" w:color="auto" w:fill="FFFFFF"/>
              </w:rPr>
            </w:pPr>
            <w:r w:rsidRPr="00714F9A">
              <w:rPr>
                <w:rFonts w:ascii="Calibri" w:hAnsi="Calibri" w:cs="Arial"/>
                <w:color w:val="545454"/>
                <w:sz w:val="16"/>
                <w:szCs w:val="16"/>
                <w:shd w:val="clear" w:color="auto" w:fill="FFFFFF"/>
                <w:lang w:val="en-CA"/>
              </w:rPr>
              <w:t>Organization</w:t>
            </w:r>
            <w:r w:rsidR="00302BFE" w:rsidRPr="00714F9A">
              <w:rPr>
                <w:rFonts w:ascii="Calibri" w:hAnsi="Calibri" w:cs="Arial"/>
                <w:color w:val="545454"/>
                <w:sz w:val="16"/>
                <w:szCs w:val="16"/>
                <w:shd w:val="clear" w:color="auto" w:fill="FFFFFF"/>
                <w:lang w:val="en-CA"/>
              </w:rPr>
              <w:t xml:space="preserve"> for Indigenous Initiatives and sustainability (ORGIIS)</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69BEDFD" w14:textId="77777777" w:rsidR="00302BFE" w:rsidRPr="002C0222" w:rsidRDefault="00302BFE" w:rsidP="00243B15">
            <w:pPr>
              <w:pStyle w:val="TableStyle2A"/>
              <w:rPr>
                <w:rFonts w:ascii="Calibri" w:hAnsi="Calibri"/>
                <w:sz w:val="18"/>
                <w:szCs w:val="18"/>
              </w:rPr>
            </w:pP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705D81B" w14:textId="77777777" w:rsidR="00302BFE" w:rsidRPr="00BA18F6" w:rsidRDefault="00000000" w:rsidP="00243B15">
            <w:pPr>
              <w:pStyle w:val="TableStyle2A"/>
              <w:rPr>
                <w:rFonts w:ascii="Calibri" w:hAnsi="Calibri"/>
                <w:sz w:val="18"/>
                <w:szCs w:val="18"/>
                <w:lang w:val="fr-CA"/>
              </w:rPr>
            </w:pPr>
            <w:hyperlink r:id="rId90" w:history="1">
              <w:r w:rsidR="00302BFE" w:rsidRPr="00BA18F6">
                <w:rPr>
                  <w:rStyle w:val="Lienhypertexte"/>
                  <w:rFonts w:ascii="Calibri" w:hAnsi="Calibri"/>
                  <w:sz w:val="18"/>
                  <w:szCs w:val="18"/>
                </w:rPr>
                <w:t>orgiisghana@yahoo.com</w:t>
              </w:r>
            </w:hyperlink>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404B71" w14:textId="77777777" w:rsidR="00302BFE" w:rsidRPr="002C0222" w:rsidRDefault="00302BFE" w:rsidP="00243B15">
            <w:pPr>
              <w:pStyle w:val="TableStyle2A"/>
              <w:jc w:val="center"/>
              <w:rPr>
                <w:rFonts w:ascii="Calibri" w:hAnsi="Calibri"/>
                <w:sz w:val="18"/>
                <w:szCs w:val="18"/>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B9AFA67" w14:textId="77777777" w:rsidR="00302BFE" w:rsidRPr="002C0222" w:rsidRDefault="00302BFE" w:rsidP="00243B15">
            <w:pPr>
              <w:pStyle w:val="TableStyle2A"/>
              <w:jc w:val="center"/>
              <w:rPr>
                <w:rFonts w:ascii="Calibri" w:hAnsi="Calibri"/>
                <w:sz w:val="18"/>
                <w:szCs w:val="18"/>
                <w:lang w:val="fr-CA"/>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851EC7" w14:textId="77777777" w:rsidR="00302BFE" w:rsidRPr="002C0222" w:rsidRDefault="00302BFE" w:rsidP="00243B15">
            <w:pPr>
              <w:pStyle w:val="TableStyle2A"/>
              <w:jc w:val="center"/>
              <w:rPr>
                <w:rFonts w:ascii="Calibri" w:hAnsi="Calibri"/>
                <w:sz w:val="18"/>
                <w:szCs w:val="18"/>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4FA9E92" w14:textId="77777777" w:rsidR="00302BFE" w:rsidRPr="002C0222" w:rsidRDefault="00302BFE" w:rsidP="00243B15">
            <w:pPr>
              <w:pStyle w:val="TableStyle2A"/>
              <w:jc w:val="center"/>
              <w:rPr>
                <w:rStyle w:val="Hyperlink0"/>
                <w:rFonts w:ascii="Calibri" w:hAnsi="Calibri"/>
                <w:sz w:val="18"/>
                <w:szCs w:val="18"/>
                <w:u w:val="none"/>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A21EA2"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2C0222" w14:paraId="5A706F61"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D0511D0" w14:textId="77777777" w:rsidR="00302BFE" w:rsidRPr="002C0222" w:rsidRDefault="00302BFE" w:rsidP="00243B15">
            <w:pPr>
              <w:pStyle w:val="TableStyle2A"/>
              <w:rPr>
                <w:rFonts w:ascii="Calibri" w:hAnsi="Calibri"/>
                <w:sz w:val="18"/>
                <w:szCs w:val="18"/>
              </w:rPr>
            </w:pPr>
            <w:r w:rsidRPr="002C0222">
              <w:rPr>
                <w:rFonts w:ascii="Calibri" w:hAnsi="Calibri"/>
                <w:sz w:val="18"/>
                <w:szCs w:val="18"/>
              </w:rPr>
              <w:t xml:space="preserve">John </w:t>
            </w:r>
            <w:proofErr w:type="spellStart"/>
            <w:r w:rsidRPr="002C0222">
              <w:rPr>
                <w:rFonts w:ascii="Calibri" w:hAnsi="Calibri"/>
                <w:sz w:val="18"/>
                <w:szCs w:val="18"/>
              </w:rPr>
              <w:t>Naada</w:t>
            </w:r>
            <w:proofErr w:type="spellEnd"/>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268941EA" w14:textId="77777777" w:rsidR="00302BFE" w:rsidRPr="002C0222" w:rsidRDefault="00302BFE" w:rsidP="00243B15">
            <w:pPr>
              <w:pStyle w:val="TableStyle2A"/>
              <w:rPr>
                <w:rFonts w:ascii="Calibri" w:hAnsi="Calibri"/>
                <w:sz w:val="18"/>
                <w:szCs w:val="18"/>
              </w:rPr>
            </w:pPr>
            <w:r w:rsidRPr="002C0222">
              <w:rPr>
                <w:rFonts w:ascii="Calibri" w:hAnsi="Calibri"/>
                <w:sz w:val="18"/>
                <w:szCs w:val="18"/>
              </w:rPr>
              <w:t>Regional Manager</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AB27051" w14:textId="77777777" w:rsidR="00302BFE" w:rsidRPr="002C0222" w:rsidRDefault="00302BFE" w:rsidP="00243B15">
            <w:pPr>
              <w:pStyle w:val="TableStyle2A"/>
              <w:rPr>
                <w:rFonts w:ascii="Calibri" w:hAnsi="Calibri"/>
                <w:sz w:val="18"/>
                <w:szCs w:val="18"/>
              </w:rPr>
            </w:pPr>
            <w:r w:rsidRPr="002C0222">
              <w:rPr>
                <w:rFonts w:ascii="Calibri" w:hAnsi="Calibri"/>
                <w:sz w:val="18"/>
                <w:szCs w:val="18"/>
              </w:rPr>
              <w:t>Wildlife Division</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A8BCA1D" w14:textId="77777777" w:rsidR="00302BFE" w:rsidRPr="002C0222" w:rsidRDefault="00302BFE" w:rsidP="00243B15">
            <w:pPr>
              <w:pStyle w:val="TableStyle2A"/>
              <w:rPr>
                <w:rFonts w:ascii="Calibri" w:hAnsi="Calibri"/>
                <w:sz w:val="18"/>
                <w:szCs w:val="18"/>
              </w:rPr>
            </w:pPr>
            <w:r w:rsidRPr="002C0222">
              <w:rPr>
                <w:rFonts w:ascii="Calibri" w:hAnsi="Calibri"/>
                <w:sz w:val="18"/>
                <w:szCs w:val="18"/>
              </w:rPr>
              <w:t>0244167419</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FD58995" w14:textId="77777777" w:rsidR="00302BFE" w:rsidRPr="002854BE" w:rsidRDefault="00302BFE" w:rsidP="00243B15">
            <w:pPr>
              <w:pStyle w:val="TableStyle2A"/>
              <w:rPr>
                <w:rFonts w:ascii="Calibri" w:hAnsi="Calibri"/>
                <w:sz w:val="18"/>
                <w:szCs w:val="18"/>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E0C0B2B" w14:textId="77777777" w:rsidR="00302BFE" w:rsidRPr="002C0222" w:rsidRDefault="00302BFE" w:rsidP="00243B15">
            <w:pPr>
              <w:pStyle w:val="TableStyle2A"/>
              <w:jc w:val="center"/>
              <w:rPr>
                <w:rFonts w:ascii="Calibri" w:hAnsi="Calibri"/>
                <w:sz w:val="18"/>
                <w:szCs w:val="18"/>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155BFE" w14:textId="77777777" w:rsidR="00302BFE" w:rsidRPr="002C0222" w:rsidRDefault="00302BFE" w:rsidP="00243B15">
            <w:pPr>
              <w:pStyle w:val="TableStyle2A"/>
              <w:jc w:val="center"/>
              <w:rPr>
                <w:rFonts w:ascii="Calibri" w:hAnsi="Calibri"/>
                <w:sz w:val="18"/>
                <w:szCs w:val="18"/>
                <w:lang w:val="fr-CA"/>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770447" w14:textId="77777777" w:rsidR="00302BFE" w:rsidRPr="002C0222" w:rsidRDefault="00302BFE" w:rsidP="00243B15">
            <w:pPr>
              <w:pStyle w:val="TableStyle2A"/>
              <w:jc w:val="center"/>
              <w:rPr>
                <w:rFonts w:ascii="Calibri" w:hAnsi="Calibri"/>
                <w:sz w:val="18"/>
                <w:szCs w:val="18"/>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EBEBF0" w14:textId="77777777" w:rsidR="00302BFE" w:rsidRPr="002C0222" w:rsidRDefault="00302BFE" w:rsidP="00243B15">
            <w:pPr>
              <w:pStyle w:val="TableStyle2A"/>
              <w:jc w:val="center"/>
              <w:rPr>
                <w:rStyle w:val="Hyperlink0"/>
                <w:rFonts w:ascii="Calibri" w:hAnsi="Calibri"/>
                <w:sz w:val="18"/>
                <w:szCs w:val="18"/>
                <w:u w:val="none"/>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C72F5B"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2C0222" w14:paraId="189D3C55"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66DB45B" w14:textId="77777777" w:rsidR="00302BFE" w:rsidRPr="002C0222" w:rsidRDefault="00302BFE" w:rsidP="00243B15">
            <w:pPr>
              <w:pStyle w:val="TableStyle2A"/>
              <w:rPr>
                <w:rFonts w:ascii="Calibri" w:hAnsi="Calibri"/>
                <w:sz w:val="18"/>
                <w:szCs w:val="18"/>
              </w:rPr>
            </w:pPr>
            <w:r w:rsidRPr="002C0222">
              <w:rPr>
                <w:rFonts w:ascii="Calibri" w:hAnsi="Calibri"/>
                <w:sz w:val="18"/>
                <w:szCs w:val="18"/>
              </w:rPr>
              <w:t>Jacob KANBANDS</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59ACD1E9" w14:textId="77777777" w:rsidR="00302BFE" w:rsidRPr="002C0222" w:rsidRDefault="00302BFE" w:rsidP="00243B15">
            <w:pPr>
              <w:pStyle w:val="TableStyle2A"/>
              <w:rPr>
                <w:rFonts w:ascii="Calibri" w:hAnsi="Calibri"/>
                <w:sz w:val="18"/>
                <w:szCs w:val="18"/>
              </w:rPr>
            </w:pPr>
            <w:r w:rsidRPr="002C0222">
              <w:rPr>
                <w:rFonts w:ascii="Calibri" w:hAnsi="Calibri"/>
                <w:sz w:val="18"/>
                <w:szCs w:val="18"/>
              </w:rPr>
              <w:t>Senior Manager</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5FDC317" w14:textId="77777777" w:rsidR="00302BFE" w:rsidRPr="002C0222" w:rsidRDefault="00302BFE" w:rsidP="00243B15">
            <w:pPr>
              <w:pStyle w:val="TableStyle2A"/>
              <w:rPr>
                <w:rFonts w:ascii="Calibri" w:hAnsi="Calibri"/>
                <w:sz w:val="18"/>
                <w:szCs w:val="18"/>
              </w:rPr>
            </w:pPr>
            <w:r w:rsidRPr="002C0222">
              <w:rPr>
                <w:rFonts w:ascii="Calibri" w:hAnsi="Calibri"/>
                <w:sz w:val="18"/>
                <w:szCs w:val="18"/>
              </w:rPr>
              <w:t>Wildlife Division</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3323555" w14:textId="77777777" w:rsidR="00302BFE" w:rsidRPr="002C0222" w:rsidRDefault="00302BFE" w:rsidP="00243B15">
            <w:pPr>
              <w:pStyle w:val="TableStyle2A"/>
              <w:rPr>
                <w:rFonts w:ascii="Calibri" w:hAnsi="Calibri"/>
                <w:sz w:val="18"/>
                <w:szCs w:val="18"/>
              </w:rPr>
            </w:pPr>
            <w:r w:rsidRPr="002C0222">
              <w:rPr>
                <w:rFonts w:ascii="Calibri" w:hAnsi="Calibri"/>
                <w:sz w:val="18"/>
                <w:szCs w:val="18"/>
              </w:rPr>
              <w:t>0205333533</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34A78A" w14:textId="77777777" w:rsidR="00302BFE" w:rsidRPr="002854BE" w:rsidRDefault="00302BFE" w:rsidP="00243B15">
            <w:pPr>
              <w:pStyle w:val="TableStyle2A"/>
              <w:rPr>
                <w:rFonts w:ascii="Calibri" w:hAnsi="Calibri"/>
                <w:sz w:val="18"/>
                <w:szCs w:val="18"/>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0C32AC" w14:textId="77777777" w:rsidR="00302BFE" w:rsidRPr="002C0222" w:rsidRDefault="00302BFE" w:rsidP="00243B15">
            <w:pPr>
              <w:pStyle w:val="TableStyle2A"/>
              <w:jc w:val="center"/>
              <w:rPr>
                <w:rFonts w:ascii="Calibri" w:hAnsi="Calibri"/>
                <w:sz w:val="18"/>
                <w:szCs w:val="18"/>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00E3A7" w14:textId="77777777" w:rsidR="00302BFE" w:rsidRPr="002C0222" w:rsidRDefault="00302BFE" w:rsidP="00243B15">
            <w:pPr>
              <w:pStyle w:val="TableStyle2A"/>
              <w:jc w:val="center"/>
              <w:rPr>
                <w:rFonts w:ascii="Calibri" w:hAnsi="Calibri"/>
                <w:sz w:val="18"/>
                <w:szCs w:val="18"/>
                <w:lang w:val="fr-CA"/>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2A381C" w14:textId="77777777" w:rsidR="00302BFE" w:rsidRPr="002C0222" w:rsidRDefault="00302BFE" w:rsidP="00243B15">
            <w:pPr>
              <w:pStyle w:val="TableStyle2A"/>
              <w:jc w:val="center"/>
              <w:rPr>
                <w:rFonts w:ascii="Calibri" w:hAnsi="Calibri"/>
                <w:sz w:val="18"/>
                <w:szCs w:val="18"/>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B77E15" w14:textId="77777777" w:rsidR="00302BFE" w:rsidRPr="002C0222" w:rsidRDefault="00302BFE" w:rsidP="00243B15">
            <w:pPr>
              <w:pStyle w:val="TableStyle2A"/>
              <w:jc w:val="center"/>
              <w:rPr>
                <w:rStyle w:val="Hyperlink0"/>
                <w:rFonts w:ascii="Calibri" w:hAnsi="Calibri"/>
                <w:sz w:val="18"/>
                <w:szCs w:val="18"/>
                <w:u w:val="none"/>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6CEBC2" w14:textId="77777777" w:rsidR="00302BFE" w:rsidRPr="0075595E" w:rsidRDefault="00302BFE" w:rsidP="00243B15">
            <w:pPr>
              <w:pStyle w:val="TableStyle2A"/>
              <w:jc w:val="center"/>
              <w:rPr>
                <w:rStyle w:val="Hyperlink0"/>
                <w:rFonts w:ascii="Calibri" w:hAnsi="Calibri"/>
                <w:sz w:val="18"/>
                <w:szCs w:val="18"/>
                <w:lang w:val="fr-FR"/>
              </w:rPr>
            </w:pPr>
          </w:p>
        </w:tc>
      </w:tr>
      <w:tr w:rsidR="00302BFE" w:rsidRPr="002C0222" w14:paraId="4A034FA4" w14:textId="77777777" w:rsidTr="008215D2">
        <w:trPr>
          <w:jc w:val="center"/>
        </w:trPr>
        <w:tc>
          <w:tcPr>
            <w:tcW w:w="18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3204DF6" w14:textId="77777777" w:rsidR="00302BFE" w:rsidRPr="00BA18F6" w:rsidRDefault="00302BFE" w:rsidP="00243B15">
            <w:pPr>
              <w:pStyle w:val="TableStyle2A"/>
              <w:rPr>
                <w:rFonts w:ascii="Calibri" w:hAnsi="Calibri"/>
                <w:sz w:val="18"/>
                <w:szCs w:val="18"/>
                <w:lang w:val="fr-CA"/>
              </w:rPr>
            </w:pPr>
            <w:r w:rsidRPr="00BA18F6">
              <w:rPr>
                <w:rFonts w:ascii="Calibri" w:hAnsi="Calibri"/>
                <w:sz w:val="18"/>
                <w:szCs w:val="18"/>
              </w:rPr>
              <w:t>Clark LUNGREN</w:t>
            </w:r>
          </w:p>
        </w:tc>
        <w:tc>
          <w:tcPr>
            <w:tcW w:w="2617" w:type="dxa"/>
            <w:tcBorders>
              <w:top w:val="single" w:sz="2" w:space="0" w:color="000000"/>
              <w:left w:val="single" w:sz="2" w:space="0" w:color="000000"/>
              <w:bottom w:val="single" w:sz="2" w:space="0" w:color="000000"/>
              <w:right w:val="single" w:sz="2" w:space="0" w:color="000000"/>
            </w:tcBorders>
            <w:shd w:val="clear" w:color="auto" w:fill="auto"/>
          </w:tcPr>
          <w:p w14:paraId="695BC256" w14:textId="77777777" w:rsidR="00302BFE" w:rsidRPr="00BA18F6" w:rsidRDefault="00302BFE" w:rsidP="00243B15">
            <w:pPr>
              <w:pStyle w:val="TableStyle2A"/>
              <w:rPr>
                <w:rFonts w:ascii="Calibri" w:hAnsi="Calibri"/>
                <w:sz w:val="18"/>
                <w:szCs w:val="18"/>
                <w:lang w:val="fr-CA"/>
              </w:rPr>
            </w:pPr>
            <w:r w:rsidRPr="00BA18F6">
              <w:rPr>
                <w:rFonts w:ascii="Calibri" w:hAnsi="Calibri"/>
                <w:sz w:val="18"/>
                <w:szCs w:val="18"/>
              </w:rPr>
              <w:t>President</w:t>
            </w:r>
          </w:p>
        </w:tc>
        <w:tc>
          <w:tcPr>
            <w:tcW w:w="1620" w:type="dxa"/>
            <w:tcBorders>
              <w:top w:val="single" w:sz="2" w:space="0" w:color="000000"/>
              <w:left w:val="single" w:sz="2" w:space="0" w:color="000000"/>
              <w:bottom w:val="single" w:sz="2" w:space="0" w:color="000000"/>
              <w:right w:val="single" w:sz="2" w:space="0" w:color="000000"/>
            </w:tcBorders>
            <w:shd w:val="clear" w:color="auto" w:fill="auto"/>
            <w:tcMar>
              <w:top w:w="80" w:type="dxa"/>
              <w:left w:w="0" w:type="dxa"/>
              <w:bottom w:w="80" w:type="dxa"/>
              <w:right w:w="0" w:type="dxa"/>
            </w:tcMar>
          </w:tcPr>
          <w:p w14:paraId="003B53A2" w14:textId="77777777" w:rsidR="00302BFE" w:rsidRPr="00714F9A" w:rsidRDefault="00302BFE" w:rsidP="00243B15">
            <w:pPr>
              <w:pStyle w:val="TableStyle2A"/>
              <w:rPr>
                <w:rFonts w:ascii="Calibri" w:hAnsi="Calibri"/>
                <w:sz w:val="16"/>
                <w:szCs w:val="16"/>
                <w:lang w:val="en-CA"/>
              </w:rPr>
            </w:pPr>
            <w:r w:rsidRPr="00714F9A">
              <w:rPr>
                <w:rFonts w:ascii="Calibri" w:hAnsi="Calibri" w:cs="Arial"/>
                <w:color w:val="545454"/>
                <w:sz w:val="16"/>
                <w:szCs w:val="16"/>
                <w:shd w:val="clear" w:color="auto" w:fill="FFFFFF"/>
                <w:lang w:val="en-CA"/>
              </w:rPr>
              <w:t>Center for the Development of Wildlife Production</w:t>
            </w:r>
            <w:r w:rsidRPr="00714F9A">
              <w:rPr>
                <w:rFonts w:ascii="Calibri" w:hAnsi="Calibri"/>
                <w:sz w:val="16"/>
                <w:szCs w:val="16"/>
                <w:lang w:val="en-CA"/>
              </w:rPr>
              <w:t xml:space="preserve">/ West </w:t>
            </w:r>
            <w:r w:rsidRPr="00714F9A">
              <w:rPr>
                <w:rFonts w:ascii="Calibri" w:hAnsi="Calibri"/>
                <w:sz w:val="16"/>
                <w:szCs w:val="16"/>
                <w:lang w:val="en-CA"/>
              </w:rPr>
              <w:lastRenderedPageBreak/>
              <w:t>African Elephant Corridors Coalition</w:t>
            </w:r>
          </w:p>
        </w:tc>
        <w:tc>
          <w:tcPr>
            <w:tcW w:w="12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F042106" w14:textId="77777777" w:rsidR="00302BFE" w:rsidRPr="00BA18F6" w:rsidRDefault="00302BFE" w:rsidP="00243B15">
            <w:pPr>
              <w:pStyle w:val="TableStyle2A"/>
              <w:rPr>
                <w:rFonts w:ascii="Calibri" w:hAnsi="Calibri"/>
                <w:sz w:val="18"/>
                <w:szCs w:val="18"/>
                <w:lang w:val="en-CA"/>
              </w:rPr>
            </w:pPr>
            <w:r w:rsidRPr="00BA18F6">
              <w:rPr>
                <w:rFonts w:ascii="Calibri" w:hAnsi="Calibri"/>
                <w:sz w:val="18"/>
                <w:szCs w:val="18"/>
              </w:rPr>
              <w:lastRenderedPageBreak/>
              <w:t>78836577 (Burkina Faso)</w:t>
            </w:r>
          </w:p>
        </w:tc>
        <w:tc>
          <w:tcPr>
            <w:tcW w:w="2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C73E5B4" w14:textId="77777777" w:rsidR="00302BFE" w:rsidRPr="00BA18F6" w:rsidRDefault="00302BFE" w:rsidP="00243B15">
            <w:pPr>
              <w:pStyle w:val="TableStyle2A"/>
              <w:rPr>
                <w:rFonts w:ascii="Calibri" w:hAnsi="Calibri"/>
                <w:sz w:val="18"/>
                <w:szCs w:val="18"/>
                <w:lang w:val="en-CA"/>
              </w:rPr>
            </w:pPr>
            <w:r w:rsidRPr="00BA18F6">
              <w:rPr>
                <w:rFonts w:ascii="Calibri" w:hAnsi="Calibri"/>
                <w:sz w:val="18"/>
                <w:szCs w:val="18"/>
              </w:rPr>
              <w:t>cdpfwedbila@yahoo.com</w:t>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4022A6" w14:textId="77777777" w:rsidR="00302BFE" w:rsidRPr="006D681F" w:rsidRDefault="00302BFE" w:rsidP="00243B15">
            <w:pPr>
              <w:pStyle w:val="TableStyle2A"/>
              <w:jc w:val="center"/>
              <w:rPr>
                <w:rFonts w:ascii="Calibri" w:hAnsi="Calibri"/>
                <w:sz w:val="18"/>
                <w:szCs w:val="18"/>
                <w:lang w:val="en-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87E2899" w14:textId="77777777" w:rsidR="00302BFE" w:rsidRPr="002C0222" w:rsidRDefault="00302BFE" w:rsidP="00243B15">
            <w:pPr>
              <w:pStyle w:val="TableStyle2A"/>
              <w:jc w:val="center"/>
              <w:rPr>
                <w:rFonts w:ascii="Calibri" w:hAnsi="Calibri"/>
                <w:sz w:val="18"/>
                <w:szCs w:val="18"/>
                <w:lang w:val="fr-CA"/>
              </w:rPr>
            </w:pPr>
            <w:r w:rsidRPr="0075595E">
              <w:rPr>
                <w:rStyle w:val="Hyperlink0"/>
                <w:rFonts w:ascii="Calibri" w:hAnsi="Calibri"/>
                <w:sz w:val="18"/>
                <w:szCs w:val="18"/>
                <w:u w:val="none"/>
              </w:rPr>
              <w:sym w:font="Wingdings" w:char="F0FC"/>
            </w: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E85DCF" w14:textId="77777777" w:rsidR="00302BFE" w:rsidRPr="002C0222" w:rsidRDefault="00302BFE" w:rsidP="00243B15">
            <w:pPr>
              <w:pStyle w:val="TableStyle2A"/>
              <w:jc w:val="center"/>
              <w:rPr>
                <w:rFonts w:ascii="Calibri" w:hAnsi="Calibri"/>
                <w:sz w:val="18"/>
                <w:szCs w:val="18"/>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F639B13" w14:textId="77777777" w:rsidR="00302BFE" w:rsidRPr="002C0222" w:rsidRDefault="00302BFE" w:rsidP="00243B15">
            <w:pPr>
              <w:pStyle w:val="TableStyle2A"/>
              <w:jc w:val="center"/>
              <w:rPr>
                <w:rStyle w:val="Hyperlink0"/>
                <w:rFonts w:ascii="Calibri" w:hAnsi="Calibri"/>
                <w:sz w:val="18"/>
                <w:szCs w:val="18"/>
                <w:u w:val="none"/>
                <w:lang w:val="fr-CA"/>
              </w:rPr>
            </w:pPr>
          </w:p>
        </w:tc>
        <w:tc>
          <w:tcPr>
            <w:tcW w:w="71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410FAE" w14:textId="77777777" w:rsidR="00302BFE" w:rsidRPr="0075595E" w:rsidRDefault="00302BFE" w:rsidP="00243B15">
            <w:pPr>
              <w:pStyle w:val="TableStyle2A"/>
              <w:jc w:val="center"/>
              <w:rPr>
                <w:rStyle w:val="Hyperlink0"/>
                <w:rFonts w:ascii="Calibri" w:hAnsi="Calibri"/>
                <w:sz w:val="18"/>
                <w:szCs w:val="18"/>
                <w:lang w:val="fr-FR"/>
              </w:rPr>
            </w:pPr>
          </w:p>
        </w:tc>
      </w:tr>
    </w:tbl>
    <w:p w14:paraId="7C1320B7" w14:textId="77777777" w:rsidR="00302BFE" w:rsidRPr="002C0222" w:rsidRDefault="00302BFE" w:rsidP="00302BFE">
      <w:pPr>
        <w:spacing w:before="120" w:after="120"/>
        <w:rPr>
          <w:b/>
          <w:lang w:val="fr-CA"/>
        </w:rPr>
      </w:pPr>
    </w:p>
    <w:p w14:paraId="04DAFA08" w14:textId="77777777" w:rsidR="00302BFE" w:rsidRPr="002C0222" w:rsidRDefault="00302BFE" w:rsidP="00302BFE">
      <w:pPr>
        <w:spacing w:after="240"/>
        <w:rPr>
          <w:b/>
          <w:lang w:val="fr-CA"/>
        </w:rPr>
        <w:sectPr w:rsidR="00302BFE" w:rsidRPr="002C0222" w:rsidSect="00243B15">
          <w:pgSz w:w="15840" w:h="12240" w:orient="landscape" w:code="1"/>
          <w:pgMar w:top="1440" w:right="1440" w:bottom="1440" w:left="1440" w:header="720" w:footer="720" w:gutter="0"/>
          <w:cols w:space="720"/>
          <w:docGrid w:linePitch="360"/>
        </w:sectPr>
      </w:pPr>
    </w:p>
    <w:p w14:paraId="5FB6A799" w14:textId="77777777" w:rsidR="00302BFE" w:rsidRPr="004D4690" w:rsidRDefault="00302BFE" w:rsidP="00302BFE">
      <w:pPr>
        <w:pStyle w:val="Titre2"/>
        <w:ind w:left="0"/>
        <w:rPr>
          <w:rFonts w:ascii="Calibri" w:hAnsi="Calibri"/>
          <w:lang w:val="fr-CA"/>
        </w:rPr>
      </w:pPr>
      <w:bookmarkStart w:id="123" w:name="_Toc9961814"/>
      <w:r w:rsidRPr="004D4690">
        <w:rPr>
          <w:rFonts w:ascii="Calibri" w:hAnsi="Calibri"/>
          <w:lang w:val="fr-CA"/>
        </w:rPr>
        <w:lastRenderedPageBreak/>
        <w:t xml:space="preserve">Annex N. </w:t>
      </w:r>
      <w:proofErr w:type="spellStart"/>
      <w:r w:rsidRPr="004D4690">
        <w:rPr>
          <w:rFonts w:ascii="Calibri" w:hAnsi="Calibri"/>
          <w:lang w:val="fr-CA"/>
        </w:rPr>
        <w:t>Provisional</w:t>
      </w:r>
      <w:proofErr w:type="spellEnd"/>
      <w:r w:rsidRPr="004D4690">
        <w:rPr>
          <w:rFonts w:ascii="Calibri" w:hAnsi="Calibri"/>
          <w:lang w:val="fr-CA"/>
        </w:rPr>
        <w:t xml:space="preserve"> Procurement Plan</w:t>
      </w:r>
      <w:bookmarkEnd w:id="123"/>
    </w:p>
    <w:p w14:paraId="7D48763D" w14:textId="77777777" w:rsidR="00302BFE" w:rsidRPr="004D4690" w:rsidRDefault="00302BFE" w:rsidP="00302BFE">
      <w:pPr>
        <w:rPr>
          <w:lang w:val="fr-CA"/>
        </w:rPr>
      </w:pPr>
    </w:p>
    <w:tbl>
      <w:tblPr>
        <w:tblW w:w="13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134"/>
        <w:gridCol w:w="1134"/>
        <w:gridCol w:w="1418"/>
        <w:gridCol w:w="1154"/>
      </w:tblGrid>
      <w:tr w:rsidR="00302BFE" w:rsidRPr="00CF512D" w14:paraId="52BD1430" w14:textId="77777777" w:rsidTr="00243B15">
        <w:trPr>
          <w:trHeight w:val="228"/>
          <w:jc w:val="center"/>
        </w:trPr>
        <w:tc>
          <w:tcPr>
            <w:tcW w:w="8505" w:type="dxa"/>
            <w:tcBorders>
              <w:bottom w:val="single" w:sz="4" w:space="0" w:color="auto"/>
            </w:tcBorders>
          </w:tcPr>
          <w:p w14:paraId="5FED044F" w14:textId="77777777" w:rsidR="00302BFE" w:rsidRPr="00CF512D" w:rsidRDefault="00302BFE" w:rsidP="00243B15">
            <w:pPr>
              <w:pStyle w:val="Default"/>
              <w:rPr>
                <w:rFonts w:ascii="Calibri" w:hAnsi="Calibri" w:cs="Calibri"/>
                <w:color w:val="auto"/>
                <w:sz w:val="20"/>
                <w:szCs w:val="20"/>
              </w:rPr>
            </w:pPr>
            <w:r w:rsidRPr="00CF512D">
              <w:rPr>
                <w:rFonts w:ascii="Calibri" w:hAnsi="Calibri" w:cs="Calibri"/>
                <w:b/>
                <w:bCs/>
                <w:color w:val="auto"/>
                <w:sz w:val="20"/>
                <w:szCs w:val="20"/>
              </w:rPr>
              <w:t>Description</w:t>
            </w:r>
          </w:p>
        </w:tc>
        <w:tc>
          <w:tcPr>
            <w:tcW w:w="1134" w:type="dxa"/>
            <w:tcBorders>
              <w:bottom w:val="single" w:sz="4" w:space="0" w:color="auto"/>
            </w:tcBorders>
            <w:vAlign w:val="center"/>
          </w:tcPr>
          <w:p w14:paraId="22CB382C" w14:textId="77777777" w:rsidR="00302BFE" w:rsidRPr="00CF512D" w:rsidRDefault="00302BFE" w:rsidP="00243B15">
            <w:pPr>
              <w:pStyle w:val="Default"/>
              <w:jc w:val="center"/>
              <w:rPr>
                <w:rFonts w:ascii="Calibri" w:hAnsi="Calibri" w:cs="Calibri"/>
                <w:color w:val="auto"/>
                <w:sz w:val="18"/>
                <w:szCs w:val="18"/>
              </w:rPr>
            </w:pPr>
            <w:r w:rsidRPr="00CF512D">
              <w:rPr>
                <w:rFonts w:ascii="Calibri" w:hAnsi="Calibri" w:cs="Calibri"/>
                <w:b/>
                <w:bCs/>
                <w:color w:val="auto"/>
                <w:sz w:val="18"/>
                <w:szCs w:val="18"/>
              </w:rPr>
              <w:t>Cost ($US)</w:t>
            </w:r>
          </w:p>
        </w:tc>
        <w:tc>
          <w:tcPr>
            <w:tcW w:w="1134" w:type="dxa"/>
            <w:tcBorders>
              <w:bottom w:val="single" w:sz="4" w:space="0" w:color="auto"/>
            </w:tcBorders>
            <w:vAlign w:val="center"/>
          </w:tcPr>
          <w:p w14:paraId="6936B1EB" w14:textId="77777777" w:rsidR="00302BFE" w:rsidRPr="00CF512D" w:rsidRDefault="00302BFE" w:rsidP="00243B15">
            <w:pPr>
              <w:pStyle w:val="Default"/>
              <w:jc w:val="center"/>
              <w:rPr>
                <w:rFonts w:ascii="Calibri" w:hAnsi="Calibri" w:cs="Calibri"/>
                <w:color w:val="auto"/>
                <w:sz w:val="18"/>
                <w:szCs w:val="18"/>
              </w:rPr>
            </w:pPr>
            <w:r w:rsidRPr="00CF512D">
              <w:rPr>
                <w:rFonts w:ascii="Calibri" w:hAnsi="Calibri" w:cs="Calibri"/>
                <w:b/>
                <w:bCs/>
                <w:color w:val="auto"/>
                <w:sz w:val="18"/>
                <w:szCs w:val="18"/>
              </w:rPr>
              <w:t>Responsible party</w:t>
            </w:r>
          </w:p>
        </w:tc>
        <w:tc>
          <w:tcPr>
            <w:tcW w:w="1418" w:type="dxa"/>
            <w:tcBorders>
              <w:bottom w:val="single" w:sz="4" w:space="0" w:color="auto"/>
            </w:tcBorders>
            <w:vAlign w:val="center"/>
          </w:tcPr>
          <w:p w14:paraId="72547E94" w14:textId="77777777" w:rsidR="00302BFE" w:rsidRPr="00CF512D" w:rsidRDefault="00302BFE" w:rsidP="00243B15">
            <w:pPr>
              <w:pStyle w:val="Default"/>
              <w:jc w:val="center"/>
              <w:rPr>
                <w:rFonts w:ascii="Calibri" w:hAnsi="Calibri" w:cs="Calibri"/>
                <w:color w:val="auto"/>
                <w:sz w:val="18"/>
                <w:szCs w:val="18"/>
              </w:rPr>
            </w:pPr>
            <w:r w:rsidRPr="00CF512D">
              <w:rPr>
                <w:rFonts w:ascii="Calibri" w:hAnsi="Calibri" w:cs="Calibri"/>
                <w:b/>
                <w:bCs/>
                <w:color w:val="auto"/>
                <w:sz w:val="18"/>
                <w:szCs w:val="18"/>
              </w:rPr>
              <w:t>Expected date of purchase</w:t>
            </w:r>
          </w:p>
        </w:tc>
        <w:tc>
          <w:tcPr>
            <w:tcW w:w="1154" w:type="dxa"/>
            <w:tcBorders>
              <w:bottom w:val="single" w:sz="4" w:space="0" w:color="auto"/>
            </w:tcBorders>
            <w:vAlign w:val="center"/>
          </w:tcPr>
          <w:p w14:paraId="2E88D76C" w14:textId="77777777" w:rsidR="00302BFE" w:rsidRPr="00CF512D" w:rsidRDefault="00302BFE" w:rsidP="00243B15">
            <w:pPr>
              <w:pStyle w:val="Default"/>
              <w:jc w:val="center"/>
              <w:rPr>
                <w:rFonts w:ascii="Calibri" w:hAnsi="Calibri" w:cs="Calibri"/>
                <w:color w:val="auto"/>
                <w:sz w:val="18"/>
                <w:szCs w:val="18"/>
              </w:rPr>
            </w:pPr>
            <w:r w:rsidRPr="00CF512D">
              <w:rPr>
                <w:rFonts w:ascii="Calibri" w:hAnsi="Calibri" w:cs="Calibri"/>
                <w:b/>
                <w:bCs/>
                <w:color w:val="auto"/>
                <w:sz w:val="18"/>
                <w:szCs w:val="18"/>
              </w:rPr>
              <w:t>Observation</w:t>
            </w:r>
          </w:p>
        </w:tc>
      </w:tr>
      <w:tr w:rsidR="00302BFE" w:rsidRPr="00CF512D" w14:paraId="66D535F8" w14:textId="77777777" w:rsidTr="00243B15">
        <w:trPr>
          <w:trHeight w:val="222"/>
          <w:jc w:val="center"/>
        </w:trPr>
        <w:tc>
          <w:tcPr>
            <w:tcW w:w="13345" w:type="dxa"/>
            <w:gridSpan w:val="5"/>
            <w:shd w:val="clear" w:color="auto" w:fill="FFF2CC"/>
            <w:vAlign w:val="center"/>
          </w:tcPr>
          <w:p w14:paraId="3ABC59FE" w14:textId="77777777" w:rsidR="00302BFE" w:rsidRPr="00CF512D" w:rsidRDefault="00302BFE" w:rsidP="00243B15">
            <w:pPr>
              <w:pStyle w:val="Default"/>
              <w:rPr>
                <w:rFonts w:ascii="Calibri" w:hAnsi="Calibri"/>
                <w:b/>
                <w:color w:val="auto"/>
                <w:sz w:val="20"/>
                <w:szCs w:val="20"/>
                <w:lang w:val="en-CA"/>
              </w:rPr>
            </w:pPr>
            <w:r w:rsidRPr="00CF512D">
              <w:rPr>
                <w:rFonts w:ascii="Calibri" w:hAnsi="Calibri" w:cs="Lucida Grande"/>
                <w:b/>
                <w:color w:val="auto"/>
                <w:sz w:val="20"/>
                <w:szCs w:val="20"/>
              </w:rPr>
              <w:t>Component 1.</w:t>
            </w:r>
          </w:p>
        </w:tc>
      </w:tr>
      <w:tr w:rsidR="00302BFE" w:rsidRPr="00CF512D" w14:paraId="381B2F3C" w14:textId="77777777" w:rsidTr="00243B15">
        <w:trPr>
          <w:trHeight w:val="222"/>
          <w:jc w:val="center"/>
        </w:trPr>
        <w:tc>
          <w:tcPr>
            <w:tcW w:w="8505" w:type="dxa"/>
          </w:tcPr>
          <w:p w14:paraId="1C845CFD" w14:textId="77777777" w:rsidR="00302BFE" w:rsidRPr="00CF512D" w:rsidRDefault="00302BFE" w:rsidP="00243B15">
            <w:pPr>
              <w:pStyle w:val="Default"/>
              <w:rPr>
                <w:rFonts w:ascii="Calibri" w:hAnsi="Calibri"/>
                <w:color w:val="auto"/>
                <w:sz w:val="20"/>
                <w:szCs w:val="20"/>
                <w:lang w:val="en-CA"/>
              </w:rPr>
            </w:pPr>
            <w:r w:rsidRPr="00CF512D">
              <w:rPr>
                <w:rFonts w:ascii="Calibri" w:eastAsia="Times New Roman" w:hAnsi="Calibri" w:cs="Calibri"/>
                <w:sz w:val="20"/>
                <w:szCs w:val="20"/>
                <w:lang w:val="en-GB"/>
              </w:rPr>
              <w:t>4x4 vehicle for the Project Coordination Unit to support all project activities (cost split between all components and management in the budget)</w:t>
            </w:r>
          </w:p>
        </w:tc>
        <w:tc>
          <w:tcPr>
            <w:tcW w:w="1134" w:type="dxa"/>
            <w:vAlign w:val="center"/>
          </w:tcPr>
          <w:p w14:paraId="1CF00CFC" w14:textId="77777777" w:rsidR="00302BFE" w:rsidRPr="00CF512D" w:rsidRDefault="00302BFE" w:rsidP="00243B15">
            <w:pPr>
              <w:pStyle w:val="Default"/>
              <w:jc w:val="center"/>
              <w:rPr>
                <w:rFonts w:ascii="Calibri" w:hAnsi="Calibri" w:cs="Calibri"/>
                <w:color w:val="auto"/>
                <w:sz w:val="20"/>
                <w:szCs w:val="20"/>
              </w:rPr>
            </w:pPr>
            <w:r w:rsidRPr="00CF512D">
              <w:rPr>
                <w:rFonts w:ascii="Calibri" w:eastAsia="Times New Roman" w:hAnsi="Calibri" w:cs="Calibri"/>
                <w:sz w:val="20"/>
                <w:szCs w:val="20"/>
                <w:lang w:val="en-GB"/>
              </w:rPr>
              <w:t>52,000</w:t>
            </w:r>
          </w:p>
        </w:tc>
        <w:tc>
          <w:tcPr>
            <w:tcW w:w="1134" w:type="dxa"/>
            <w:vAlign w:val="center"/>
          </w:tcPr>
          <w:p w14:paraId="402EE66E"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Implementing partner</w:t>
            </w:r>
          </w:p>
        </w:tc>
        <w:tc>
          <w:tcPr>
            <w:tcW w:w="1418" w:type="dxa"/>
            <w:vAlign w:val="center"/>
          </w:tcPr>
          <w:p w14:paraId="624ADD5B" w14:textId="77777777" w:rsidR="00302BFE" w:rsidRPr="00CF512D" w:rsidRDefault="00302BFE" w:rsidP="00243B15">
            <w:pPr>
              <w:pStyle w:val="Default"/>
              <w:jc w:val="center"/>
              <w:rPr>
                <w:rFonts w:ascii="Calibri" w:hAnsi="Calibri" w:cs="Calibri"/>
                <w:color w:val="auto"/>
                <w:sz w:val="20"/>
                <w:szCs w:val="20"/>
              </w:rPr>
            </w:pPr>
            <w:r w:rsidRPr="00CF512D">
              <w:rPr>
                <w:rFonts w:ascii="Calibri" w:eastAsia="Times New Roman" w:hAnsi="Calibri" w:cs="Calibri"/>
                <w:sz w:val="20"/>
                <w:szCs w:val="20"/>
                <w:lang w:val="en-GB"/>
              </w:rPr>
              <w:t>Year 1</w:t>
            </w:r>
          </w:p>
        </w:tc>
        <w:tc>
          <w:tcPr>
            <w:tcW w:w="1154" w:type="dxa"/>
            <w:vAlign w:val="center"/>
          </w:tcPr>
          <w:p w14:paraId="6D1ACC44"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0DCF10B9" w14:textId="77777777" w:rsidTr="00243B15">
        <w:trPr>
          <w:trHeight w:val="222"/>
          <w:jc w:val="center"/>
        </w:trPr>
        <w:tc>
          <w:tcPr>
            <w:tcW w:w="8505" w:type="dxa"/>
          </w:tcPr>
          <w:p w14:paraId="05EFE53F" w14:textId="77777777" w:rsidR="00302BFE" w:rsidRPr="00CF512D" w:rsidRDefault="00302BFE" w:rsidP="00243B15">
            <w:pPr>
              <w:pStyle w:val="Default"/>
              <w:rPr>
                <w:rFonts w:ascii="Calibri" w:hAnsi="Calibri"/>
                <w:color w:val="auto"/>
                <w:sz w:val="20"/>
                <w:szCs w:val="20"/>
                <w:lang w:val="en-CA"/>
              </w:rPr>
            </w:pPr>
            <w:r w:rsidRPr="00CF512D">
              <w:rPr>
                <w:rFonts w:ascii="Calibri" w:hAnsi="Calibri" w:cs="Calibri"/>
                <w:sz w:val="20"/>
                <w:szCs w:val="20"/>
                <w:lang w:val="en-GB"/>
              </w:rPr>
              <w:t xml:space="preserve">Forest equipment for carbon stock assessment under Output 1.3 (including a </w:t>
            </w:r>
            <w:proofErr w:type="spellStart"/>
            <w:r w:rsidRPr="00CF512D">
              <w:rPr>
                <w:rFonts w:ascii="Calibri" w:hAnsi="Calibri" w:cs="Calibri"/>
                <w:sz w:val="20"/>
                <w:szCs w:val="20"/>
                <w:lang w:val="en-GB"/>
              </w:rPr>
              <w:t>ProLaser</w:t>
            </w:r>
            <w:proofErr w:type="spellEnd"/>
            <w:r w:rsidRPr="00CF512D">
              <w:rPr>
                <w:rFonts w:ascii="Calibri" w:hAnsi="Calibri" w:cs="Calibri"/>
                <w:sz w:val="20"/>
                <w:szCs w:val="20"/>
                <w:lang w:val="en-GB"/>
              </w:rPr>
              <w:t xml:space="preserve"> Rangefinder / Hypsometer, Garmin GPS, vernier </w:t>
            </w:r>
            <w:proofErr w:type="spellStart"/>
            <w:r w:rsidRPr="00CF512D">
              <w:rPr>
                <w:rFonts w:ascii="Calibri" w:hAnsi="Calibri" w:cs="Calibri"/>
                <w:sz w:val="20"/>
                <w:szCs w:val="20"/>
                <w:lang w:val="en-GB"/>
              </w:rPr>
              <w:t>caliper</w:t>
            </w:r>
            <w:proofErr w:type="spellEnd"/>
            <w:r w:rsidRPr="00CF512D">
              <w:rPr>
                <w:rFonts w:ascii="Calibri" w:hAnsi="Calibri" w:cs="Calibri"/>
                <w:sz w:val="20"/>
                <w:szCs w:val="20"/>
                <w:lang w:val="en-GB"/>
              </w:rPr>
              <w:t>, compass, tape measure)</w:t>
            </w:r>
          </w:p>
        </w:tc>
        <w:tc>
          <w:tcPr>
            <w:tcW w:w="1134" w:type="dxa"/>
            <w:vAlign w:val="center"/>
          </w:tcPr>
          <w:p w14:paraId="5F3A4A32" w14:textId="77777777" w:rsidR="00302BFE" w:rsidRPr="00CF512D" w:rsidRDefault="00302BFE" w:rsidP="00243B15">
            <w:pPr>
              <w:pStyle w:val="Default"/>
              <w:jc w:val="center"/>
              <w:rPr>
                <w:rFonts w:ascii="Calibri" w:hAnsi="Calibri" w:cs="Calibri"/>
                <w:color w:val="auto"/>
                <w:sz w:val="20"/>
                <w:szCs w:val="20"/>
                <w:lang w:val="en-CA"/>
              </w:rPr>
            </w:pPr>
            <w:r w:rsidRPr="00CF512D">
              <w:rPr>
                <w:rFonts w:ascii="Calibri" w:hAnsi="Calibri" w:cs="Calibri"/>
                <w:sz w:val="20"/>
                <w:szCs w:val="20"/>
                <w:lang w:val="en-GB"/>
              </w:rPr>
              <w:t>1,000</w:t>
            </w:r>
          </w:p>
        </w:tc>
        <w:tc>
          <w:tcPr>
            <w:tcW w:w="1134" w:type="dxa"/>
            <w:vAlign w:val="center"/>
          </w:tcPr>
          <w:p w14:paraId="5A3D55BA" w14:textId="77777777" w:rsidR="00302BFE" w:rsidRPr="00CF512D" w:rsidRDefault="00302BFE" w:rsidP="00243B15">
            <w:pPr>
              <w:pStyle w:val="Default"/>
              <w:jc w:val="center"/>
              <w:rPr>
                <w:rFonts w:ascii="Calibri" w:hAnsi="Calibri" w:cs="Calibri"/>
                <w:color w:val="auto"/>
                <w:sz w:val="20"/>
                <w:szCs w:val="20"/>
                <w:lang w:val="en-CA"/>
              </w:rPr>
            </w:pPr>
          </w:p>
        </w:tc>
        <w:tc>
          <w:tcPr>
            <w:tcW w:w="1418" w:type="dxa"/>
            <w:vAlign w:val="center"/>
          </w:tcPr>
          <w:p w14:paraId="7E0E9A2E" w14:textId="77777777" w:rsidR="00302BFE" w:rsidRPr="00CF512D" w:rsidRDefault="00302BFE" w:rsidP="00243B15">
            <w:pPr>
              <w:pStyle w:val="Default"/>
              <w:jc w:val="center"/>
              <w:rPr>
                <w:rFonts w:ascii="Calibri" w:hAnsi="Calibri" w:cs="Calibri"/>
                <w:color w:val="auto"/>
                <w:sz w:val="20"/>
                <w:szCs w:val="20"/>
              </w:rPr>
            </w:pPr>
            <w:r w:rsidRPr="00CF512D">
              <w:rPr>
                <w:rFonts w:ascii="Calibri" w:eastAsia="Times New Roman" w:hAnsi="Calibri" w:cs="Calibri"/>
                <w:sz w:val="20"/>
                <w:szCs w:val="20"/>
                <w:lang w:val="en-GB"/>
              </w:rPr>
              <w:t>Year 1</w:t>
            </w:r>
          </w:p>
        </w:tc>
        <w:tc>
          <w:tcPr>
            <w:tcW w:w="1154" w:type="dxa"/>
            <w:vAlign w:val="center"/>
          </w:tcPr>
          <w:p w14:paraId="113DE035"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1F018739" w14:textId="77777777" w:rsidTr="00243B15">
        <w:trPr>
          <w:trHeight w:val="222"/>
          <w:jc w:val="center"/>
        </w:trPr>
        <w:tc>
          <w:tcPr>
            <w:tcW w:w="8505" w:type="dxa"/>
            <w:tcBorders>
              <w:bottom w:val="single" w:sz="4" w:space="0" w:color="auto"/>
            </w:tcBorders>
          </w:tcPr>
          <w:p w14:paraId="5BC136E9" w14:textId="77777777" w:rsidR="00302BFE" w:rsidRPr="00CF512D" w:rsidRDefault="00302BFE" w:rsidP="00243B15">
            <w:pPr>
              <w:pStyle w:val="Default"/>
              <w:rPr>
                <w:rFonts w:ascii="Calibri" w:hAnsi="Calibri"/>
                <w:color w:val="auto"/>
                <w:sz w:val="20"/>
                <w:szCs w:val="20"/>
                <w:lang w:val="fr-CA"/>
              </w:rPr>
            </w:pPr>
            <w:r w:rsidRPr="00CF512D">
              <w:rPr>
                <w:rFonts w:ascii="Calibri" w:hAnsi="Calibri"/>
                <w:color w:val="auto"/>
                <w:sz w:val="20"/>
                <w:szCs w:val="20"/>
                <w:lang w:val="en-CA"/>
              </w:rPr>
              <w:t xml:space="preserve">Satellite images / aerial photographs to assess changes in land use and vegetation cover in the priority forest areas of the PONASI landscape and to plan field inventories. </w:t>
            </w:r>
            <w:r w:rsidRPr="00CF512D">
              <w:rPr>
                <w:rFonts w:ascii="Calibri" w:hAnsi="Calibri"/>
                <w:color w:val="auto"/>
                <w:sz w:val="20"/>
                <w:szCs w:val="20"/>
                <w:lang w:val="fr-CA"/>
              </w:rPr>
              <w:t>(Output 1.3)</w:t>
            </w:r>
          </w:p>
        </w:tc>
        <w:tc>
          <w:tcPr>
            <w:tcW w:w="1134" w:type="dxa"/>
            <w:tcBorders>
              <w:bottom w:val="single" w:sz="4" w:space="0" w:color="auto"/>
            </w:tcBorders>
            <w:vAlign w:val="center"/>
          </w:tcPr>
          <w:p w14:paraId="1E648135" w14:textId="77777777" w:rsidR="00302BFE" w:rsidRPr="00CF512D" w:rsidRDefault="00302BFE" w:rsidP="00243B15">
            <w:pPr>
              <w:pStyle w:val="Default"/>
              <w:jc w:val="center"/>
              <w:rPr>
                <w:rFonts w:ascii="Calibri" w:hAnsi="Calibri" w:cs="Calibri"/>
                <w:color w:val="auto"/>
                <w:sz w:val="20"/>
                <w:szCs w:val="20"/>
                <w:lang w:val="fr-CA"/>
              </w:rPr>
            </w:pPr>
            <w:r w:rsidRPr="00CF512D">
              <w:rPr>
                <w:rFonts w:ascii="Calibri" w:hAnsi="Calibri"/>
                <w:color w:val="auto"/>
                <w:sz w:val="20"/>
                <w:szCs w:val="20"/>
                <w:lang w:val="fr-CA"/>
              </w:rPr>
              <w:t>20,000</w:t>
            </w:r>
          </w:p>
        </w:tc>
        <w:tc>
          <w:tcPr>
            <w:tcW w:w="1134" w:type="dxa"/>
            <w:tcBorders>
              <w:bottom w:val="single" w:sz="4" w:space="0" w:color="auto"/>
            </w:tcBorders>
            <w:vAlign w:val="center"/>
          </w:tcPr>
          <w:p w14:paraId="10BD8BB3" w14:textId="77777777" w:rsidR="00302BFE" w:rsidRPr="00CF512D" w:rsidRDefault="00302BFE" w:rsidP="00243B15">
            <w:pPr>
              <w:pStyle w:val="Default"/>
              <w:jc w:val="center"/>
              <w:rPr>
                <w:rFonts w:ascii="Calibri" w:hAnsi="Calibri" w:cs="Calibri"/>
                <w:color w:val="auto"/>
                <w:sz w:val="20"/>
                <w:szCs w:val="20"/>
                <w:lang w:val="fr-CA"/>
              </w:rPr>
            </w:pPr>
          </w:p>
        </w:tc>
        <w:tc>
          <w:tcPr>
            <w:tcW w:w="1418" w:type="dxa"/>
            <w:tcBorders>
              <w:bottom w:val="single" w:sz="4" w:space="0" w:color="auto"/>
            </w:tcBorders>
            <w:vAlign w:val="center"/>
          </w:tcPr>
          <w:p w14:paraId="52A50367"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Years 1 and 6</w:t>
            </w:r>
          </w:p>
        </w:tc>
        <w:tc>
          <w:tcPr>
            <w:tcW w:w="1154" w:type="dxa"/>
            <w:tcBorders>
              <w:bottom w:val="single" w:sz="4" w:space="0" w:color="auto"/>
            </w:tcBorders>
            <w:vAlign w:val="center"/>
          </w:tcPr>
          <w:p w14:paraId="1F807B29"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4D4D25AF" w14:textId="77777777" w:rsidTr="00243B15">
        <w:trPr>
          <w:trHeight w:val="222"/>
          <w:jc w:val="center"/>
        </w:trPr>
        <w:tc>
          <w:tcPr>
            <w:tcW w:w="13345" w:type="dxa"/>
            <w:gridSpan w:val="5"/>
            <w:shd w:val="clear" w:color="auto" w:fill="FFF2CC"/>
          </w:tcPr>
          <w:p w14:paraId="18AD5972" w14:textId="77777777" w:rsidR="00302BFE" w:rsidRPr="00CF512D" w:rsidRDefault="00302BFE" w:rsidP="00243B15">
            <w:pPr>
              <w:pStyle w:val="Default"/>
              <w:rPr>
                <w:rFonts w:ascii="Calibri" w:hAnsi="Calibri" w:cs="Calibri"/>
                <w:color w:val="auto"/>
                <w:sz w:val="20"/>
                <w:szCs w:val="20"/>
              </w:rPr>
            </w:pPr>
            <w:r w:rsidRPr="00CF512D">
              <w:rPr>
                <w:rFonts w:ascii="Calibri" w:hAnsi="Calibri" w:cs="Lucida Grande"/>
                <w:b/>
                <w:color w:val="auto"/>
                <w:sz w:val="20"/>
                <w:szCs w:val="20"/>
              </w:rPr>
              <w:t>Component 2.</w:t>
            </w:r>
          </w:p>
        </w:tc>
      </w:tr>
      <w:tr w:rsidR="00302BFE" w:rsidRPr="00CF512D" w14:paraId="18864394" w14:textId="77777777" w:rsidTr="00243B15">
        <w:trPr>
          <w:trHeight w:val="222"/>
          <w:jc w:val="center"/>
        </w:trPr>
        <w:tc>
          <w:tcPr>
            <w:tcW w:w="8505" w:type="dxa"/>
          </w:tcPr>
          <w:p w14:paraId="23AB780D" w14:textId="77777777" w:rsidR="00302BFE" w:rsidRPr="00CF512D" w:rsidRDefault="00302BFE" w:rsidP="00243B15">
            <w:pPr>
              <w:pStyle w:val="Default"/>
              <w:rPr>
                <w:rFonts w:ascii="Calibri" w:hAnsi="Calibri" w:cs="Calibri"/>
                <w:color w:val="auto"/>
                <w:sz w:val="20"/>
                <w:szCs w:val="20"/>
                <w:lang w:val="en-CA"/>
              </w:rPr>
            </w:pPr>
            <w:r w:rsidRPr="00CF512D">
              <w:rPr>
                <w:rFonts w:ascii="Calibri" w:eastAsia="Times New Roman" w:hAnsi="Calibri" w:cs="Calibri"/>
                <w:sz w:val="20"/>
                <w:szCs w:val="20"/>
                <w:lang w:val="en-GB"/>
              </w:rPr>
              <w:t xml:space="preserve">Purchase of 8 motorcycles for travel related to the field activities of components 2 and 3, especially technical assistants and community mobilization assistants @ $ 2,300 / motorcycle </w:t>
            </w:r>
            <w:r>
              <w:rPr>
                <w:rFonts w:ascii="Calibri" w:eastAsia="Times New Roman" w:hAnsi="Calibri" w:cs="Calibri"/>
                <w:sz w:val="20"/>
                <w:szCs w:val="20"/>
                <w:lang w:val="en-GB"/>
              </w:rPr>
              <w:t>–</w:t>
            </w:r>
            <w:r w:rsidRPr="00CF512D">
              <w:rPr>
                <w:rFonts w:ascii="Calibri" w:eastAsia="Times New Roman" w:hAnsi="Calibri" w:cs="Calibri"/>
                <w:sz w:val="20"/>
                <w:szCs w:val="20"/>
                <w:lang w:val="en-GB"/>
              </w:rPr>
              <w:t xml:space="preserve"> Total </w:t>
            </w:r>
            <w:r>
              <w:rPr>
                <w:rFonts w:ascii="Calibri" w:eastAsia="Times New Roman" w:hAnsi="Calibri" w:cs="Calibri"/>
                <w:sz w:val="20"/>
                <w:szCs w:val="20"/>
                <w:lang w:val="en-GB"/>
              </w:rPr>
              <w:t>cost ($18,400) shared under components 2 and 3 (</w:t>
            </w:r>
            <w:r w:rsidRPr="00CF512D">
              <w:rPr>
                <w:rFonts w:ascii="Calibri" w:eastAsia="Times New Roman" w:hAnsi="Calibri" w:cs="Calibri"/>
                <w:sz w:val="20"/>
                <w:szCs w:val="20"/>
                <w:lang w:val="en-GB"/>
              </w:rPr>
              <w:t>cost per component: $ 9,200</w:t>
            </w:r>
            <w:r>
              <w:rPr>
                <w:rFonts w:ascii="Calibri" w:eastAsia="Times New Roman" w:hAnsi="Calibri" w:cs="Calibri"/>
                <w:sz w:val="20"/>
                <w:szCs w:val="20"/>
                <w:lang w:val="en-GB"/>
              </w:rPr>
              <w:t>)</w:t>
            </w:r>
            <w:r w:rsidRPr="00CF512D">
              <w:rPr>
                <w:rFonts w:ascii="Calibri" w:eastAsia="Times New Roman" w:hAnsi="Calibri" w:cs="Calibri"/>
                <w:sz w:val="20"/>
                <w:szCs w:val="20"/>
                <w:lang w:val="en-GB"/>
              </w:rPr>
              <w:t xml:space="preserve"> year 1</w:t>
            </w:r>
            <w:r>
              <w:rPr>
                <w:rFonts w:ascii="Calibri" w:eastAsia="Times New Roman" w:hAnsi="Calibri" w:cs="Calibri"/>
                <w:sz w:val="20"/>
                <w:szCs w:val="20"/>
                <w:lang w:val="en-GB"/>
              </w:rPr>
              <w:t xml:space="preserve"> (Output 2.1.3</w:t>
            </w:r>
          </w:p>
        </w:tc>
        <w:tc>
          <w:tcPr>
            <w:tcW w:w="1134" w:type="dxa"/>
            <w:vAlign w:val="center"/>
          </w:tcPr>
          <w:p w14:paraId="04295D86"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18,400</w:t>
            </w:r>
          </w:p>
        </w:tc>
        <w:tc>
          <w:tcPr>
            <w:tcW w:w="1134" w:type="dxa"/>
            <w:vAlign w:val="center"/>
          </w:tcPr>
          <w:p w14:paraId="41F58624"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0327F038"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year 1</w:t>
            </w:r>
          </w:p>
        </w:tc>
        <w:tc>
          <w:tcPr>
            <w:tcW w:w="1154" w:type="dxa"/>
            <w:vAlign w:val="center"/>
          </w:tcPr>
          <w:p w14:paraId="2E373F5B"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75F827BE" w14:textId="77777777" w:rsidTr="00243B15">
        <w:trPr>
          <w:trHeight w:val="222"/>
          <w:jc w:val="center"/>
        </w:trPr>
        <w:tc>
          <w:tcPr>
            <w:tcW w:w="8505" w:type="dxa"/>
          </w:tcPr>
          <w:p w14:paraId="71DB541D" w14:textId="77777777" w:rsidR="00302BFE" w:rsidRPr="00CF512D" w:rsidRDefault="00302BFE" w:rsidP="00243B15">
            <w:pPr>
              <w:pStyle w:val="Default"/>
              <w:rPr>
                <w:rFonts w:ascii="Calibri" w:eastAsia="Times New Roman" w:hAnsi="Calibri" w:cs="Calibri"/>
                <w:sz w:val="20"/>
                <w:szCs w:val="20"/>
                <w:lang w:val="en-GB"/>
              </w:rPr>
            </w:pPr>
            <w:r w:rsidRPr="00CF512D">
              <w:rPr>
                <w:rFonts w:ascii="Calibri" w:hAnsi="Calibri" w:cs="Calibri"/>
                <w:color w:val="auto"/>
                <w:sz w:val="20"/>
                <w:szCs w:val="20"/>
              </w:rPr>
              <w:t>4x4 vehicle for the Kaboré-</w:t>
            </w:r>
            <w:proofErr w:type="spellStart"/>
            <w:r w:rsidRPr="00CF512D">
              <w:rPr>
                <w:rFonts w:ascii="Calibri" w:hAnsi="Calibri" w:cs="Calibri"/>
                <w:color w:val="auto"/>
                <w:sz w:val="20"/>
                <w:szCs w:val="20"/>
              </w:rPr>
              <w:t>Tambi</w:t>
            </w:r>
            <w:proofErr w:type="spellEnd"/>
            <w:r w:rsidRPr="00CF512D">
              <w:rPr>
                <w:rFonts w:ascii="Calibri" w:hAnsi="Calibri" w:cs="Calibri"/>
                <w:color w:val="auto"/>
                <w:sz w:val="20"/>
                <w:szCs w:val="20"/>
              </w:rPr>
              <w:t xml:space="preserve"> National Park management unit</w:t>
            </w:r>
          </w:p>
        </w:tc>
        <w:tc>
          <w:tcPr>
            <w:tcW w:w="1134" w:type="dxa"/>
            <w:vAlign w:val="center"/>
          </w:tcPr>
          <w:p w14:paraId="0636C417"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52,000</w:t>
            </w:r>
          </w:p>
        </w:tc>
        <w:tc>
          <w:tcPr>
            <w:tcW w:w="1134" w:type="dxa"/>
            <w:vAlign w:val="center"/>
          </w:tcPr>
          <w:p w14:paraId="7E0D5B07"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616A0FFB"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year</w:t>
            </w:r>
          </w:p>
        </w:tc>
        <w:tc>
          <w:tcPr>
            <w:tcW w:w="1154" w:type="dxa"/>
            <w:vAlign w:val="center"/>
          </w:tcPr>
          <w:p w14:paraId="3CF3F483"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2B608260" w14:textId="77777777" w:rsidTr="00243B15">
        <w:trPr>
          <w:trHeight w:val="222"/>
          <w:jc w:val="center"/>
        </w:trPr>
        <w:tc>
          <w:tcPr>
            <w:tcW w:w="8505" w:type="dxa"/>
          </w:tcPr>
          <w:p w14:paraId="4C19A247" w14:textId="77777777" w:rsidR="00302BFE" w:rsidRPr="00714F9A" w:rsidRDefault="00302BFE" w:rsidP="00243B15">
            <w:pPr>
              <w:pStyle w:val="Default"/>
              <w:rPr>
                <w:rFonts w:ascii="Calibri" w:hAnsi="Calibri" w:cs="Calibri"/>
                <w:color w:val="auto"/>
                <w:sz w:val="20"/>
                <w:szCs w:val="20"/>
              </w:rPr>
            </w:pPr>
            <w:r w:rsidRPr="00714F9A">
              <w:rPr>
                <w:rFonts w:ascii="Calibri" w:hAnsi="Calibri" w:cs="Calibri"/>
                <w:color w:val="auto"/>
                <w:sz w:val="20"/>
                <w:szCs w:val="20"/>
              </w:rPr>
              <w:t xml:space="preserve">Equipment for monitoring and surveillance activities for 3 PAs (output 2.1.2), including 6 cameras with integrated GPS @ $ 600, 6 Garmin GPS @ $ 250, 12 binoculars @ $ 125, 12 compasses @ $ 40, 12 notebooks @ $ 30, 12 motorcycles @ $ 2,300, 6 tents @ $ 300, 24 personal equipment (uniform, sleeping bag, mattress, backpack, torch, water bottle, lunch box, first aid kit) @ $ 365, 12 long-range VHF-UHF dual band walkie-talkie radios @ 200, 3 first-aid office kits @ $ 50, etc. (Output 2.1.2) </w:t>
            </w:r>
          </w:p>
        </w:tc>
        <w:tc>
          <w:tcPr>
            <w:tcW w:w="1134" w:type="dxa"/>
            <w:vAlign w:val="center"/>
          </w:tcPr>
          <w:p w14:paraId="0E735A2F" w14:textId="77777777" w:rsidR="00302BFE" w:rsidRPr="00714F9A" w:rsidRDefault="00302BFE" w:rsidP="00243B15">
            <w:pPr>
              <w:pStyle w:val="Default"/>
              <w:jc w:val="center"/>
              <w:rPr>
                <w:rFonts w:ascii="Calibri" w:hAnsi="Calibri" w:cs="Calibri"/>
                <w:color w:val="auto"/>
                <w:sz w:val="20"/>
                <w:szCs w:val="20"/>
              </w:rPr>
            </w:pPr>
            <w:r w:rsidRPr="00714F9A">
              <w:rPr>
                <w:rFonts w:ascii="Calibri" w:hAnsi="Calibri" w:cs="Calibri"/>
                <w:color w:val="auto"/>
                <w:sz w:val="20"/>
                <w:szCs w:val="20"/>
              </w:rPr>
              <w:t>100,000</w:t>
            </w:r>
          </w:p>
        </w:tc>
        <w:tc>
          <w:tcPr>
            <w:tcW w:w="1134" w:type="dxa"/>
            <w:vAlign w:val="center"/>
          </w:tcPr>
          <w:p w14:paraId="7A576F20"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074F055B"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year 1</w:t>
            </w:r>
          </w:p>
        </w:tc>
        <w:tc>
          <w:tcPr>
            <w:tcW w:w="1154" w:type="dxa"/>
            <w:vAlign w:val="center"/>
          </w:tcPr>
          <w:p w14:paraId="7D8D28BB"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2CFF074E" w14:textId="77777777" w:rsidTr="00243B15">
        <w:trPr>
          <w:trHeight w:val="184"/>
          <w:jc w:val="center"/>
        </w:trPr>
        <w:tc>
          <w:tcPr>
            <w:tcW w:w="8505" w:type="dxa"/>
          </w:tcPr>
          <w:p w14:paraId="30765AD8" w14:textId="77777777" w:rsidR="00302BFE" w:rsidRPr="00CF512D" w:rsidRDefault="00302BFE" w:rsidP="00243B15">
            <w:pPr>
              <w:pStyle w:val="Default"/>
              <w:rPr>
                <w:rFonts w:ascii="Calibri" w:hAnsi="Calibri" w:cs="Calibri"/>
                <w:color w:val="auto"/>
                <w:sz w:val="20"/>
                <w:szCs w:val="20"/>
              </w:rPr>
            </w:pPr>
            <w:r w:rsidRPr="00CF512D">
              <w:rPr>
                <w:rFonts w:ascii="Calibri" w:hAnsi="Calibri" w:cs="Calibri"/>
                <w:color w:val="auto"/>
                <w:sz w:val="20"/>
                <w:szCs w:val="20"/>
              </w:rPr>
              <w:t xml:space="preserve">Furniture for the Visitors reception Center / PNKT office (Output 2.1.2) including conference room tables @ $ 1,000, 20 chairs @ $ 100, 1 video projector @ $ 1,000, screen, filing cabinets, shelves, showcases, 3 workstations, etc. in </w:t>
            </w:r>
          </w:p>
        </w:tc>
        <w:tc>
          <w:tcPr>
            <w:tcW w:w="1134" w:type="dxa"/>
            <w:vAlign w:val="center"/>
          </w:tcPr>
          <w:p w14:paraId="4787CC43"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10,000</w:t>
            </w:r>
          </w:p>
        </w:tc>
        <w:tc>
          <w:tcPr>
            <w:tcW w:w="1134" w:type="dxa"/>
            <w:vAlign w:val="center"/>
          </w:tcPr>
          <w:p w14:paraId="3FB3FE3B"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772CF9BE"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year 3</w:t>
            </w:r>
          </w:p>
        </w:tc>
        <w:tc>
          <w:tcPr>
            <w:tcW w:w="1154" w:type="dxa"/>
            <w:vAlign w:val="center"/>
          </w:tcPr>
          <w:p w14:paraId="1375E5D6"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6259B714" w14:textId="77777777" w:rsidTr="00243B15">
        <w:trPr>
          <w:trHeight w:val="222"/>
          <w:jc w:val="center"/>
        </w:trPr>
        <w:tc>
          <w:tcPr>
            <w:tcW w:w="8505" w:type="dxa"/>
          </w:tcPr>
          <w:p w14:paraId="4EC7F687" w14:textId="77777777" w:rsidR="00302BFE" w:rsidRPr="00CF512D" w:rsidRDefault="00302BFE" w:rsidP="00243B15">
            <w:pPr>
              <w:pStyle w:val="Default"/>
              <w:rPr>
                <w:rFonts w:ascii="Calibri" w:hAnsi="Calibri" w:cs="Calibri"/>
                <w:color w:val="auto"/>
                <w:sz w:val="20"/>
                <w:szCs w:val="20"/>
              </w:rPr>
            </w:pPr>
            <w:r w:rsidRPr="00CF512D">
              <w:rPr>
                <w:rFonts w:ascii="Calibri" w:hAnsi="Calibri" w:cs="Calibri"/>
                <w:color w:val="auto"/>
                <w:sz w:val="20"/>
                <w:szCs w:val="20"/>
              </w:rPr>
              <w:t>Signposts for PAs, ZOVICs and Corridors in Year 3 (Outputs 2.2.1 and 2.3.1)</w:t>
            </w:r>
          </w:p>
        </w:tc>
        <w:tc>
          <w:tcPr>
            <w:tcW w:w="1134" w:type="dxa"/>
            <w:vAlign w:val="center"/>
          </w:tcPr>
          <w:p w14:paraId="684985E9"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80,000</w:t>
            </w:r>
          </w:p>
        </w:tc>
        <w:tc>
          <w:tcPr>
            <w:tcW w:w="1134" w:type="dxa"/>
            <w:vAlign w:val="center"/>
          </w:tcPr>
          <w:p w14:paraId="67A338EC"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7BCBAA8B"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year 3</w:t>
            </w:r>
          </w:p>
        </w:tc>
        <w:tc>
          <w:tcPr>
            <w:tcW w:w="1154" w:type="dxa"/>
            <w:vAlign w:val="center"/>
          </w:tcPr>
          <w:p w14:paraId="4F5A9D84"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7A1BBF66" w14:textId="77777777" w:rsidTr="00243B15">
        <w:trPr>
          <w:trHeight w:val="222"/>
          <w:jc w:val="center"/>
        </w:trPr>
        <w:tc>
          <w:tcPr>
            <w:tcW w:w="8505" w:type="dxa"/>
          </w:tcPr>
          <w:p w14:paraId="26D16A36" w14:textId="77777777" w:rsidR="00302BFE" w:rsidRPr="00CF512D" w:rsidRDefault="00302BFE" w:rsidP="00243B15">
            <w:pPr>
              <w:pStyle w:val="Default"/>
              <w:rPr>
                <w:rFonts w:ascii="Calibri" w:hAnsi="Calibri" w:cs="Calibri"/>
                <w:color w:val="auto"/>
                <w:sz w:val="20"/>
                <w:szCs w:val="20"/>
              </w:rPr>
            </w:pPr>
            <w:r w:rsidRPr="00CF512D">
              <w:rPr>
                <w:rFonts w:ascii="Calibri" w:hAnsi="Calibri" w:cs="Calibri"/>
                <w:color w:val="auto"/>
                <w:sz w:val="20"/>
                <w:szCs w:val="20"/>
              </w:rPr>
              <w:t xml:space="preserve">Trails interpretative signs for self-guided tours, accompanying awareness material (brochures, field guides, printed documents) on flora, fauna, natural and cultural heritage in the PONASI landscape for the PNKT Reception center. and for the </w:t>
            </w:r>
            <w:proofErr w:type="spellStart"/>
            <w:r w:rsidRPr="00CF512D">
              <w:rPr>
                <w:rFonts w:ascii="Calibri" w:hAnsi="Calibri" w:cs="Calibri"/>
                <w:color w:val="auto"/>
                <w:sz w:val="20"/>
                <w:szCs w:val="20"/>
              </w:rPr>
              <w:t>Sissili</w:t>
            </w:r>
            <w:proofErr w:type="spellEnd"/>
            <w:r w:rsidRPr="00CF512D">
              <w:rPr>
                <w:rFonts w:ascii="Calibri" w:hAnsi="Calibri" w:cs="Calibri"/>
                <w:color w:val="auto"/>
                <w:sz w:val="20"/>
                <w:szCs w:val="20"/>
              </w:rPr>
              <w:t xml:space="preserve"> Classified Forest and the RGN</w:t>
            </w:r>
          </w:p>
        </w:tc>
        <w:tc>
          <w:tcPr>
            <w:tcW w:w="1134" w:type="dxa"/>
            <w:vAlign w:val="center"/>
          </w:tcPr>
          <w:p w14:paraId="4AE45B54"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100,000</w:t>
            </w:r>
          </w:p>
        </w:tc>
        <w:tc>
          <w:tcPr>
            <w:tcW w:w="1134" w:type="dxa"/>
            <w:vAlign w:val="center"/>
          </w:tcPr>
          <w:p w14:paraId="35908AD2"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052A63F3"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year 4</w:t>
            </w:r>
          </w:p>
        </w:tc>
        <w:tc>
          <w:tcPr>
            <w:tcW w:w="1154" w:type="dxa"/>
            <w:vAlign w:val="center"/>
          </w:tcPr>
          <w:p w14:paraId="46490398"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5189FD08" w14:textId="77777777" w:rsidTr="00243B15">
        <w:trPr>
          <w:trHeight w:val="222"/>
          <w:jc w:val="center"/>
        </w:trPr>
        <w:tc>
          <w:tcPr>
            <w:tcW w:w="8505" w:type="dxa"/>
          </w:tcPr>
          <w:p w14:paraId="158A9C73" w14:textId="77777777" w:rsidR="00302BFE" w:rsidRPr="00CF512D" w:rsidRDefault="00302BFE" w:rsidP="00243B15">
            <w:pPr>
              <w:pStyle w:val="Default"/>
              <w:rPr>
                <w:rFonts w:ascii="Calibri" w:hAnsi="Calibri" w:cs="Calibri"/>
                <w:color w:val="auto"/>
                <w:sz w:val="20"/>
                <w:szCs w:val="20"/>
              </w:rPr>
            </w:pPr>
            <w:r w:rsidRPr="00CF512D">
              <w:rPr>
                <w:rFonts w:ascii="Calibri" w:hAnsi="Calibri" w:cs="Calibri"/>
                <w:sz w:val="20"/>
                <w:szCs w:val="20"/>
                <w:lang w:val="en-GB"/>
              </w:rPr>
              <w:t xml:space="preserve">Solar equipment for the Protected Area Office / Biodiversity Interpretation </w:t>
            </w:r>
            <w:proofErr w:type="spellStart"/>
            <w:r w:rsidRPr="00CF512D">
              <w:rPr>
                <w:rFonts w:ascii="Calibri" w:hAnsi="Calibri" w:cs="Calibri"/>
                <w:sz w:val="20"/>
                <w:szCs w:val="20"/>
                <w:lang w:val="en-GB"/>
              </w:rPr>
              <w:t>Center</w:t>
            </w:r>
            <w:proofErr w:type="spellEnd"/>
            <w:r w:rsidRPr="00CF512D">
              <w:rPr>
                <w:rFonts w:ascii="Calibri" w:hAnsi="Calibri" w:cs="Calibri"/>
                <w:sz w:val="20"/>
                <w:szCs w:val="20"/>
                <w:lang w:val="en-GB"/>
              </w:rPr>
              <w:t xml:space="preserve"> / Visitors Reception </w:t>
            </w:r>
            <w:proofErr w:type="spellStart"/>
            <w:r w:rsidRPr="00CF512D">
              <w:rPr>
                <w:rFonts w:ascii="Calibri" w:hAnsi="Calibri" w:cs="Calibri"/>
                <w:sz w:val="20"/>
                <w:szCs w:val="20"/>
                <w:lang w:val="en-GB"/>
              </w:rPr>
              <w:t>Center</w:t>
            </w:r>
            <w:proofErr w:type="spellEnd"/>
            <w:r w:rsidRPr="00CF512D">
              <w:rPr>
                <w:rFonts w:ascii="Calibri" w:hAnsi="Calibri" w:cs="Calibri"/>
                <w:sz w:val="20"/>
                <w:szCs w:val="20"/>
                <w:lang w:val="en-GB"/>
              </w:rPr>
              <w:t xml:space="preserve"> for PNKT (Output 2.1.3)</w:t>
            </w:r>
          </w:p>
        </w:tc>
        <w:tc>
          <w:tcPr>
            <w:tcW w:w="1134" w:type="dxa"/>
            <w:vAlign w:val="center"/>
          </w:tcPr>
          <w:p w14:paraId="01A0ACF1"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sz w:val="20"/>
                <w:szCs w:val="20"/>
                <w:lang w:val="en-GB"/>
              </w:rPr>
              <w:t>15,000</w:t>
            </w:r>
          </w:p>
        </w:tc>
        <w:tc>
          <w:tcPr>
            <w:tcW w:w="1134" w:type="dxa"/>
            <w:vAlign w:val="center"/>
          </w:tcPr>
          <w:p w14:paraId="0C173FC5"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72F60E1B"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year 3</w:t>
            </w:r>
          </w:p>
        </w:tc>
        <w:tc>
          <w:tcPr>
            <w:tcW w:w="1154" w:type="dxa"/>
            <w:vAlign w:val="center"/>
          </w:tcPr>
          <w:p w14:paraId="64880739"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43405FB9" w14:textId="77777777" w:rsidTr="00243B15">
        <w:trPr>
          <w:trHeight w:val="222"/>
          <w:jc w:val="center"/>
        </w:trPr>
        <w:tc>
          <w:tcPr>
            <w:tcW w:w="8505" w:type="dxa"/>
          </w:tcPr>
          <w:p w14:paraId="35BD0841" w14:textId="77777777" w:rsidR="00302BFE" w:rsidRPr="00CF512D" w:rsidRDefault="00302BFE" w:rsidP="00243B15">
            <w:pPr>
              <w:pStyle w:val="Default"/>
              <w:rPr>
                <w:rFonts w:ascii="Calibri" w:hAnsi="Calibri" w:cs="Calibri"/>
                <w:color w:val="auto"/>
                <w:sz w:val="20"/>
                <w:szCs w:val="20"/>
              </w:rPr>
            </w:pPr>
            <w:r w:rsidRPr="00CF512D">
              <w:rPr>
                <w:rFonts w:ascii="Calibri" w:hAnsi="Calibri" w:cs="Calibri"/>
                <w:sz w:val="20"/>
                <w:szCs w:val="20"/>
                <w:lang w:val="en-GB"/>
              </w:rPr>
              <w:t xml:space="preserve">Construction of 8 ECOSAN-type public toilets @ $ 800 for visitors to PNKT and </w:t>
            </w:r>
            <w:proofErr w:type="spellStart"/>
            <w:r w:rsidRPr="00CF512D">
              <w:rPr>
                <w:rFonts w:ascii="Calibri" w:hAnsi="Calibri" w:cs="Calibri"/>
                <w:sz w:val="20"/>
                <w:szCs w:val="20"/>
                <w:lang w:val="en-GB"/>
              </w:rPr>
              <w:t>Sissili</w:t>
            </w:r>
            <w:proofErr w:type="spellEnd"/>
            <w:r w:rsidRPr="00CF512D">
              <w:rPr>
                <w:rFonts w:ascii="Calibri" w:hAnsi="Calibri" w:cs="Calibri"/>
                <w:sz w:val="20"/>
                <w:szCs w:val="20"/>
                <w:lang w:val="en-GB"/>
              </w:rPr>
              <w:t xml:space="preserve"> FC, including 2 for the interpretation </w:t>
            </w:r>
            <w:proofErr w:type="spellStart"/>
            <w:r w:rsidRPr="00CF512D">
              <w:rPr>
                <w:rFonts w:ascii="Calibri" w:hAnsi="Calibri" w:cs="Calibri"/>
                <w:sz w:val="20"/>
                <w:szCs w:val="20"/>
                <w:lang w:val="en-GB"/>
              </w:rPr>
              <w:t>center</w:t>
            </w:r>
            <w:proofErr w:type="spellEnd"/>
            <w:r w:rsidRPr="00CF512D">
              <w:rPr>
                <w:rFonts w:ascii="Calibri" w:hAnsi="Calibri" w:cs="Calibri"/>
                <w:sz w:val="20"/>
                <w:szCs w:val="20"/>
                <w:lang w:val="en-GB"/>
              </w:rPr>
              <w:t xml:space="preserve"> / visitors reception </w:t>
            </w:r>
            <w:proofErr w:type="spellStart"/>
            <w:r w:rsidRPr="00CF512D">
              <w:rPr>
                <w:rFonts w:ascii="Calibri" w:hAnsi="Calibri" w:cs="Calibri"/>
                <w:sz w:val="20"/>
                <w:szCs w:val="20"/>
                <w:lang w:val="en-GB"/>
              </w:rPr>
              <w:t>center</w:t>
            </w:r>
            <w:proofErr w:type="spellEnd"/>
            <w:r w:rsidRPr="00CF512D">
              <w:rPr>
                <w:rFonts w:ascii="Calibri" w:hAnsi="Calibri" w:cs="Calibri"/>
                <w:sz w:val="20"/>
                <w:szCs w:val="20"/>
                <w:lang w:val="en-GB"/>
              </w:rPr>
              <w:t xml:space="preserve"> (Output 2.1.3)</w:t>
            </w:r>
          </w:p>
        </w:tc>
        <w:tc>
          <w:tcPr>
            <w:tcW w:w="1134" w:type="dxa"/>
            <w:vAlign w:val="center"/>
          </w:tcPr>
          <w:p w14:paraId="2FF2721E"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sz w:val="20"/>
                <w:szCs w:val="20"/>
                <w:lang w:val="en-GB"/>
              </w:rPr>
              <w:t>6,400</w:t>
            </w:r>
          </w:p>
        </w:tc>
        <w:tc>
          <w:tcPr>
            <w:tcW w:w="1134" w:type="dxa"/>
            <w:vAlign w:val="center"/>
          </w:tcPr>
          <w:p w14:paraId="0310ADD6"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31E9A26A"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year 3</w:t>
            </w:r>
          </w:p>
        </w:tc>
        <w:tc>
          <w:tcPr>
            <w:tcW w:w="1154" w:type="dxa"/>
            <w:vAlign w:val="center"/>
          </w:tcPr>
          <w:p w14:paraId="6B0894C6"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272339BE" w14:textId="77777777" w:rsidTr="00243B15">
        <w:trPr>
          <w:trHeight w:val="222"/>
          <w:jc w:val="center"/>
        </w:trPr>
        <w:tc>
          <w:tcPr>
            <w:tcW w:w="8505" w:type="dxa"/>
          </w:tcPr>
          <w:p w14:paraId="17A51659" w14:textId="77777777" w:rsidR="00302BFE" w:rsidRPr="00714F9A" w:rsidRDefault="00302BFE" w:rsidP="00243B15">
            <w:pPr>
              <w:pStyle w:val="Default"/>
              <w:rPr>
                <w:rFonts w:ascii="Calibri" w:hAnsi="Calibri" w:cs="Calibri"/>
                <w:color w:val="auto"/>
                <w:sz w:val="20"/>
                <w:szCs w:val="20"/>
              </w:rPr>
            </w:pPr>
            <w:r w:rsidRPr="00714F9A">
              <w:rPr>
                <w:rFonts w:ascii="Calibri" w:hAnsi="Calibri" w:cs="Calibri"/>
                <w:sz w:val="20"/>
                <w:szCs w:val="20"/>
                <w:lang w:val="en-GB"/>
              </w:rPr>
              <w:t>Office computer equipment for 3 protected areas for GIS data input and analysis (output 2.1.2), including 6 desktops @ $ 1,500, 6 inverters @ $ 200, 3 printers @ $ 250, 3 large capacity hard drives @ $ 250, 6 Microsoft software licenses @ $ 600, 1 ArcGIS Pro license @ $ 8,500, 1 large format printer + ink reserve @ $ 3,500</w:t>
            </w:r>
          </w:p>
        </w:tc>
        <w:tc>
          <w:tcPr>
            <w:tcW w:w="1134" w:type="dxa"/>
            <w:vAlign w:val="center"/>
          </w:tcPr>
          <w:p w14:paraId="33571B84" w14:textId="77777777" w:rsidR="00302BFE" w:rsidRPr="00714F9A" w:rsidRDefault="00302BFE" w:rsidP="00243B15">
            <w:pPr>
              <w:pStyle w:val="Default"/>
              <w:jc w:val="center"/>
              <w:rPr>
                <w:rFonts w:ascii="Calibri" w:hAnsi="Calibri" w:cs="Calibri"/>
                <w:color w:val="auto"/>
                <w:sz w:val="20"/>
                <w:szCs w:val="20"/>
              </w:rPr>
            </w:pPr>
            <w:r w:rsidRPr="00714F9A">
              <w:rPr>
                <w:rFonts w:ascii="Calibri" w:hAnsi="Calibri" w:cs="Calibri"/>
                <w:sz w:val="20"/>
                <w:szCs w:val="20"/>
                <w:lang w:val="en-GB"/>
              </w:rPr>
              <w:t>100,000</w:t>
            </w:r>
          </w:p>
        </w:tc>
        <w:tc>
          <w:tcPr>
            <w:tcW w:w="1134" w:type="dxa"/>
            <w:vAlign w:val="center"/>
          </w:tcPr>
          <w:p w14:paraId="2FC75FDC"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0EB54AA6"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year 1</w:t>
            </w:r>
          </w:p>
        </w:tc>
        <w:tc>
          <w:tcPr>
            <w:tcW w:w="1154" w:type="dxa"/>
            <w:vAlign w:val="center"/>
          </w:tcPr>
          <w:p w14:paraId="5BFD7FF8"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5A876415" w14:textId="77777777" w:rsidTr="00243B15">
        <w:trPr>
          <w:trHeight w:val="222"/>
          <w:jc w:val="center"/>
        </w:trPr>
        <w:tc>
          <w:tcPr>
            <w:tcW w:w="13345" w:type="dxa"/>
            <w:gridSpan w:val="5"/>
            <w:shd w:val="clear" w:color="auto" w:fill="FFF2CC"/>
          </w:tcPr>
          <w:p w14:paraId="0D6AF00A" w14:textId="77777777" w:rsidR="00302BFE" w:rsidRPr="00CF512D" w:rsidRDefault="00302BFE" w:rsidP="00243B15">
            <w:pPr>
              <w:pStyle w:val="Default"/>
              <w:rPr>
                <w:rFonts w:ascii="Calibri" w:hAnsi="Calibri" w:cs="Calibri"/>
                <w:b/>
                <w:color w:val="auto"/>
                <w:sz w:val="20"/>
                <w:szCs w:val="20"/>
              </w:rPr>
            </w:pPr>
            <w:r w:rsidRPr="00CF512D">
              <w:rPr>
                <w:rFonts w:ascii="Calibri" w:hAnsi="Calibri" w:cs="Lucida Grande"/>
                <w:b/>
                <w:color w:val="auto"/>
                <w:sz w:val="20"/>
                <w:szCs w:val="20"/>
              </w:rPr>
              <w:t xml:space="preserve">Component </w:t>
            </w:r>
            <w:r w:rsidRPr="00CF512D">
              <w:rPr>
                <w:rFonts w:ascii="Calibri" w:hAnsi="Calibri" w:cs="Calibri"/>
                <w:b/>
                <w:color w:val="auto"/>
                <w:sz w:val="20"/>
                <w:szCs w:val="20"/>
              </w:rPr>
              <w:t xml:space="preserve">3. </w:t>
            </w:r>
          </w:p>
        </w:tc>
      </w:tr>
      <w:tr w:rsidR="00302BFE" w:rsidRPr="00CF512D" w14:paraId="7F72A1E0" w14:textId="77777777" w:rsidTr="00243B15">
        <w:trPr>
          <w:trHeight w:val="222"/>
          <w:jc w:val="center"/>
        </w:trPr>
        <w:tc>
          <w:tcPr>
            <w:tcW w:w="8505" w:type="dxa"/>
          </w:tcPr>
          <w:p w14:paraId="1717592A" w14:textId="77777777" w:rsidR="00302BFE" w:rsidRPr="00CF512D" w:rsidRDefault="00302BFE" w:rsidP="00243B15">
            <w:pPr>
              <w:pStyle w:val="Default"/>
              <w:rPr>
                <w:rFonts w:ascii="Calibri" w:hAnsi="Calibri" w:cs="Calibri"/>
                <w:color w:val="auto"/>
                <w:sz w:val="20"/>
                <w:szCs w:val="20"/>
              </w:rPr>
            </w:pPr>
            <w:r w:rsidRPr="00CF512D">
              <w:rPr>
                <w:rFonts w:ascii="Calibri" w:hAnsi="Calibri" w:cs="Calibri"/>
                <w:color w:val="auto"/>
                <w:sz w:val="20"/>
                <w:szCs w:val="20"/>
              </w:rPr>
              <w:lastRenderedPageBreak/>
              <w:t xml:space="preserve">Equipment for a honey production unit (40 Kenyan hives, 40 honey presses, 40 </w:t>
            </w:r>
            <w:proofErr w:type="spellStart"/>
            <w:r w:rsidRPr="00CF512D">
              <w:rPr>
                <w:rFonts w:ascii="Calibri" w:hAnsi="Calibri" w:cs="Calibri"/>
                <w:color w:val="auto"/>
                <w:sz w:val="20"/>
                <w:szCs w:val="20"/>
              </w:rPr>
              <w:t>ripeners</w:t>
            </w:r>
            <w:proofErr w:type="spellEnd"/>
            <w:r w:rsidRPr="00CF512D">
              <w:rPr>
                <w:rFonts w:ascii="Calibri" w:hAnsi="Calibri" w:cs="Calibri"/>
                <w:color w:val="auto"/>
                <w:sz w:val="20"/>
                <w:szCs w:val="20"/>
              </w:rPr>
              <w:t xml:space="preserve">, 40 extractors, 40 stainless steel drums, 80 bee brushes, 80 smokers, 80 hive tools, 400 coveralls, 400 boots, 400 pairs of gloves), </w:t>
            </w:r>
          </w:p>
        </w:tc>
        <w:tc>
          <w:tcPr>
            <w:tcW w:w="1134" w:type="dxa"/>
            <w:vAlign w:val="center"/>
          </w:tcPr>
          <w:p w14:paraId="75C46A6F"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75,000</w:t>
            </w:r>
          </w:p>
        </w:tc>
        <w:tc>
          <w:tcPr>
            <w:tcW w:w="1134" w:type="dxa"/>
            <w:vAlign w:val="center"/>
          </w:tcPr>
          <w:p w14:paraId="0B341DC9"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69676C6D"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year 3</w:t>
            </w:r>
          </w:p>
        </w:tc>
        <w:tc>
          <w:tcPr>
            <w:tcW w:w="1154" w:type="dxa"/>
            <w:vAlign w:val="center"/>
          </w:tcPr>
          <w:p w14:paraId="3FB78B95"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2FF6548C" w14:textId="77777777" w:rsidTr="00243B15">
        <w:trPr>
          <w:trHeight w:val="222"/>
          <w:jc w:val="center"/>
        </w:trPr>
        <w:tc>
          <w:tcPr>
            <w:tcW w:w="8505" w:type="dxa"/>
          </w:tcPr>
          <w:p w14:paraId="6BB90AE7" w14:textId="77777777" w:rsidR="00302BFE" w:rsidRPr="00CF512D" w:rsidRDefault="00302BFE" w:rsidP="00243B15">
            <w:pPr>
              <w:pStyle w:val="Default"/>
              <w:rPr>
                <w:rFonts w:ascii="Calibri" w:hAnsi="Calibri" w:cs="Calibri"/>
                <w:color w:val="auto"/>
                <w:sz w:val="20"/>
                <w:szCs w:val="20"/>
              </w:rPr>
            </w:pPr>
            <w:r w:rsidRPr="00CF512D">
              <w:rPr>
                <w:rFonts w:ascii="Calibri" w:hAnsi="Calibri" w:cs="Calibri"/>
                <w:color w:val="auto"/>
                <w:sz w:val="20"/>
                <w:szCs w:val="20"/>
              </w:rPr>
              <w:t>Equipment for two shea butter production units (2 gas fire stoves and gas cylinder, 2 churns, 2 shea butter roasters, 2 stainless steel crushers, 2 stainless steel mills, 2 motors, 2 stainless steel manual packaging filters, 2 boilers, 2 briquetting machines, 2 pyrolysis furnaces, 2 cooling systems, 2 mounting brackets, 2 tricycles, small production equipment (barrels, pots, overalls, basins ...),</w:t>
            </w:r>
          </w:p>
        </w:tc>
        <w:tc>
          <w:tcPr>
            <w:tcW w:w="1134" w:type="dxa"/>
            <w:vAlign w:val="center"/>
          </w:tcPr>
          <w:p w14:paraId="34E43BED"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40,000</w:t>
            </w:r>
          </w:p>
        </w:tc>
        <w:tc>
          <w:tcPr>
            <w:tcW w:w="1134" w:type="dxa"/>
            <w:vAlign w:val="center"/>
          </w:tcPr>
          <w:p w14:paraId="32DBBE40"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331E7E35"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year 3</w:t>
            </w:r>
          </w:p>
        </w:tc>
        <w:tc>
          <w:tcPr>
            <w:tcW w:w="1154" w:type="dxa"/>
            <w:vAlign w:val="center"/>
          </w:tcPr>
          <w:p w14:paraId="33DC92BE"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032758B0" w14:textId="77777777" w:rsidTr="00243B15">
        <w:trPr>
          <w:trHeight w:val="222"/>
          <w:jc w:val="center"/>
        </w:trPr>
        <w:tc>
          <w:tcPr>
            <w:tcW w:w="8505" w:type="dxa"/>
          </w:tcPr>
          <w:p w14:paraId="18164A51" w14:textId="77777777" w:rsidR="00302BFE" w:rsidRPr="00CF512D" w:rsidRDefault="00302BFE" w:rsidP="00243B15">
            <w:pPr>
              <w:pStyle w:val="Default"/>
              <w:rPr>
                <w:rFonts w:ascii="Calibri" w:hAnsi="Calibri" w:cs="Calibri"/>
                <w:color w:val="auto"/>
                <w:sz w:val="20"/>
                <w:szCs w:val="20"/>
              </w:rPr>
            </w:pPr>
            <w:r w:rsidRPr="00CF512D">
              <w:rPr>
                <w:rFonts w:ascii="Calibri" w:hAnsi="Calibri" w:cs="Calibri"/>
                <w:color w:val="auto"/>
                <w:sz w:val="20"/>
                <w:szCs w:val="20"/>
              </w:rPr>
              <w:t xml:space="preserve">Equipment for a production unit of liana juice </w:t>
            </w:r>
            <w:proofErr w:type="spellStart"/>
            <w:r w:rsidRPr="00CF512D">
              <w:rPr>
                <w:rFonts w:ascii="Calibri" w:hAnsi="Calibri" w:cs="Calibri"/>
                <w:color w:val="auto"/>
                <w:sz w:val="20"/>
                <w:szCs w:val="20"/>
              </w:rPr>
              <w:t>goïne</w:t>
            </w:r>
            <w:proofErr w:type="spellEnd"/>
            <w:r w:rsidRPr="00CF512D">
              <w:rPr>
                <w:rFonts w:ascii="Calibri" w:hAnsi="Calibri" w:cs="Calibri"/>
                <w:color w:val="auto"/>
                <w:sz w:val="20"/>
                <w:szCs w:val="20"/>
              </w:rPr>
              <w:t xml:space="preserve"> (1 motorized fruit grinder in stainless steel, 1 stainless steel juice mixer, 1 pasteurizer, 1 stainless steel mold, 1 filter packer, 1 stainless steel table)</w:t>
            </w:r>
          </w:p>
        </w:tc>
        <w:tc>
          <w:tcPr>
            <w:tcW w:w="1134" w:type="dxa"/>
            <w:vAlign w:val="center"/>
          </w:tcPr>
          <w:p w14:paraId="2A2DB588"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10,000</w:t>
            </w:r>
          </w:p>
        </w:tc>
        <w:tc>
          <w:tcPr>
            <w:tcW w:w="1134" w:type="dxa"/>
            <w:vAlign w:val="center"/>
          </w:tcPr>
          <w:p w14:paraId="3699ED69"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4A35A82A"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year 3</w:t>
            </w:r>
          </w:p>
        </w:tc>
        <w:tc>
          <w:tcPr>
            <w:tcW w:w="1154" w:type="dxa"/>
            <w:vAlign w:val="center"/>
          </w:tcPr>
          <w:p w14:paraId="078136FE"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6719C356" w14:textId="77777777" w:rsidTr="00243B15">
        <w:trPr>
          <w:trHeight w:val="222"/>
          <w:jc w:val="center"/>
        </w:trPr>
        <w:tc>
          <w:tcPr>
            <w:tcW w:w="8505" w:type="dxa"/>
          </w:tcPr>
          <w:p w14:paraId="17820413" w14:textId="77777777" w:rsidR="00302BFE" w:rsidRPr="00CF512D" w:rsidRDefault="00302BFE" w:rsidP="00243B15">
            <w:pPr>
              <w:pStyle w:val="Default"/>
              <w:rPr>
                <w:rFonts w:ascii="Calibri" w:hAnsi="Calibri" w:cs="Calibri"/>
                <w:color w:val="auto"/>
                <w:sz w:val="20"/>
                <w:szCs w:val="20"/>
              </w:rPr>
            </w:pPr>
            <w:r w:rsidRPr="00CF512D">
              <w:rPr>
                <w:rFonts w:ascii="Calibri" w:hAnsi="Calibri" w:cs="Calibri"/>
                <w:color w:val="auto"/>
                <w:sz w:val="20"/>
                <w:szCs w:val="20"/>
              </w:rPr>
              <w:t>Construction of 6 ECOSAN-type public toilets for tourists in strategic places for tourist activities (Output 3.4.4)</w:t>
            </w:r>
          </w:p>
        </w:tc>
        <w:tc>
          <w:tcPr>
            <w:tcW w:w="1134" w:type="dxa"/>
            <w:vAlign w:val="center"/>
          </w:tcPr>
          <w:p w14:paraId="71E2FFDA"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4,800</w:t>
            </w:r>
          </w:p>
        </w:tc>
        <w:tc>
          <w:tcPr>
            <w:tcW w:w="1134" w:type="dxa"/>
            <w:vAlign w:val="center"/>
          </w:tcPr>
          <w:p w14:paraId="2C7E52D2"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053C0940"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s="Calibri"/>
                <w:color w:val="auto"/>
                <w:sz w:val="20"/>
                <w:szCs w:val="20"/>
              </w:rPr>
              <w:t>year 3</w:t>
            </w:r>
          </w:p>
        </w:tc>
        <w:tc>
          <w:tcPr>
            <w:tcW w:w="1154" w:type="dxa"/>
            <w:vAlign w:val="center"/>
          </w:tcPr>
          <w:p w14:paraId="6B3B903F"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3C076B86" w14:textId="77777777" w:rsidTr="00243B15">
        <w:trPr>
          <w:trHeight w:val="222"/>
          <w:jc w:val="center"/>
        </w:trPr>
        <w:tc>
          <w:tcPr>
            <w:tcW w:w="13345" w:type="dxa"/>
            <w:gridSpan w:val="5"/>
            <w:shd w:val="clear" w:color="auto" w:fill="FFF2CC"/>
          </w:tcPr>
          <w:p w14:paraId="62679D38" w14:textId="77777777" w:rsidR="00302BFE" w:rsidRPr="00CF512D" w:rsidRDefault="00302BFE" w:rsidP="00243B15">
            <w:pPr>
              <w:pStyle w:val="Default"/>
              <w:rPr>
                <w:rFonts w:ascii="Calibri" w:hAnsi="Calibri" w:cs="Calibri"/>
                <w:b/>
                <w:color w:val="auto"/>
                <w:sz w:val="20"/>
                <w:szCs w:val="20"/>
                <w:lang w:val="fr-CA"/>
              </w:rPr>
            </w:pPr>
            <w:r w:rsidRPr="00CF512D">
              <w:rPr>
                <w:rFonts w:ascii="Calibri" w:hAnsi="Calibri"/>
                <w:b/>
                <w:color w:val="auto"/>
                <w:sz w:val="20"/>
                <w:szCs w:val="20"/>
                <w:lang w:val="fr-CA"/>
              </w:rPr>
              <w:t>Project management unit</w:t>
            </w:r>
          </w:p>
        </w:tc>
      </w:tr>
      <w:tr w:rsidR="00302BFE" w:rsidRPr="00CF512D" w14:paraId="101A36C0" w14:textId="77777777" w:rsidTr="00243B15">
        <w:trPr>
          <w:trHeight w:val="265"/>
          <w:jc w:val="center"/>
        </w:trPr>
        <w:tc>
          <w:tcPr>
            <w:tcW w:w="8505" w:type="dxa"/>
          </w:tcPr>
          <w:p w14:paraId="03B4C907" w14:textId="77777777" w:rsidR="00302BFE" w:rsidRPr="00CF512D" w:rsidRDefault="00302BFE" w:rsidP="00243B15">
            <w:pPr>
              <w:pStyle w:val="Default"/>
              <w:rPr>
                <w:rFonts w:ascii="Calibri" w:hAnsi="Calibri"/>
                <w:color w:val="auto"/>
                <w:sz w:val="20"/>
                <w:szCs w:val="20"/>
                <w:lang w:val="en-CA"/>
              </w:rPr>
            </w:pPr>
            <w:r w:rsidRPr="00CF512D">
              <w:rPr>
                <w:rFonts w:ascii="Calibri" w:hAnsi="Calibri"/>
                <w:color w:val="auto"/>
                <w:sz w:val="20"/>
                <w:szCs w:val="20"/>
              </w:rPr>
              <w:t>Laptop for the Project Coordinator, external monitor and docking station</w:t>
            </w:r>
          </w:p>
        </w:tc>
        <w:tc>
          <w:tcPr>
            <w:tcW w:w="1134" w:type="dxa"/>
            <w:vAlign w:val="center"/>
          </w:tcPr>
          <w:p w14:paraId="4990C0BF" w14:textId="77777777" w:rsidR="00302BFE" w:rsidRPr="00CF512D" w:rsidRDefault="00302BFE" w:rsidP="00243B15">
            <w:pPr>
              <w:jc w:val="center"/>
              <w:rPr>
                <w:szCs w:val="20"/>
              </w:rPr>
            </w:pPr>
            <w:r w:rsidRPr="00CF512D">
              <w:rPr>
                <w:szCs w:val="20"/>
              </w:rPr>
              <w:t>2,500</w:t>
            </w:r>
          </w:p>
        </w:tc>
        <w:tc>
          <w:tcPr>
            <w:tcW w:w="1134" w:type="dxa"/>
            <w:vAlign w:val="center"/>
          </w:tcPr>
          <w:p w14:paraId="513F49DC"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04015B09"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olor w:val="auto"/>
                <w:sz w:val="20"/>
                <w:szCs w:val="20"/>
              </w:rPr>
              <w:t>Year 1</w:t>
            </w:r>
          </w:p>
        </w:tc>
        <w:tc>
          <w:tcPr>
            <w:tcW w:w="1154" w:type="dxa"/>
            <w:vAlign w:val="center"/>
          </w:tcPr>
          <w:p w14:paraId="430E2124"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35D7716E" w14:textId="77777777" w:rsidTr="00243B15">
        <w:trPr>
          <w:trHeight w:val="222"/>
          <w:jc w:val="center"/>
        </w:trPr>
        <w:tc>
          <w:tcPr>
            <w:tcW w:w="8505" w:type="dxa"/>
          </w:tcPr>
          <w:p w14:paraId="58B320F7" w14:textId="77777777" w:rsidR="00302BFE" w:rsidRPr="00CF512D" w:rsidRDefault="00302BFE" w:rsidP="00243B15">
            <w:pPr>
              <w:pStyle w:val="Default"/>
              <w:rPr>
                <w:rFonts w:ascii="Calibri" w:hAnsi="Calibri"/>
                <w:color w:val="auto"/>
                <w:sz w:val="20"/>
                <w:szCs w:val="20"/>
              </w:rPr>
            </w:pPr>
            <w:r w:rsidRPr="00CF512D">
              <w:rPr>
                <w:rFonts w:ascii="Calibri" w:hAnsi="Calibri"/>
                <w:color w:val="auto"/>
                <w:sz w:val="20"/>
                <w:szCs w:val="20"/>
              </w:rPr>
              <w:t xml:space="preserve">Laptop Financial Assistant, external monitor and docking station @ </w:t>
            </w:r>
          </w:p>
        </w:tc>
        <w:tc>
          <w:tcPr>
            <w:tcW w:w="1134" w:type="dxa"/>
            <w:vAlign w:val="center"/>
          </w:tcPr>
          <w:p w14:paraId="6B048CED"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olor w:val="auto"/>
                <w:sz w:val="20"/>
                <w:szCs w:val="20"/>
              </w:rPr>
              <w:t>2,500</w:t>
            </w:r>
          </w:p>
        </w:tc>
        <w:tc>
          <w:tcPr>
            <w:tcW w:w="1134" w:type="dxa"/>
            <w:vAlign w:val="center"/>
          </w:tcPr>
          <w:p w14:paraId="289F6133"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0560BA2C"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olor w:val="auto"/>
                <w:sz w:val="20"/>
                <w:szCs w:val="20"/>
              </w:rPr>
              <w:t>Year 1</w:t>
            </w:r>
          </w:p>
        </w:tc>
        <w:tc>
          <w:tcPr>
            <w:tcW w:w="1154" w:type="dxa"/>
            <w:vAlign w:val="center"/>
          </w:tcPr>
          <w:p w14:paraId="6AD2D8E3"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2484460A" w14:textId="77777777" w:rsidTr="00243B15">
        <w:trPr>
          <w:trHeight w:val="222"/>
          <w:jc w:val="center"/>
        </w:trPr>
        <w:tc>
          <w:tcPr>
            <w:tcW w:w="8505" w:type="dxa"/>
          </w:tcPr>
          <w:p w14:paraId="25275145" w14:textId="77777777" w:rsidR="00302BFE" w:rsidRPr="00CF512D" w:rsidRDefault="00302BFE" w:rsidP="00243B15">
            <w:pPr>
              <w:pStyle w:val="Default"/>
              <w:rPr>
                <w:rFonts w:ascii="Calibri" w:hAnsi="Calibri"/>
                <w:color w:val="auto"/>
                <w:sz w:val="20"/>
                <w:szCs w:val="20"/>
              </w:rPr>
            </w:pPr>
            <w:r w:rsidRPr="00CF512D">
              <w:rPr>
                <w:rFonts w:ascii="Calibri" w:hAnsi="Calibri"/>
                <w:color w:val="auto"/>
                <w:sz w:val="20"/>
                <w:szCs w:val="20"/>
              </w:rPr>
              <w:t>Video Projector</w:t>
            </w:r>
          </w:p>
        </w:tc>
        <w:tc>
          <w:tcPr>
            <w:tcW w:w="1134" w:type="dxa"/>
            <w:vAlign w:val="center"/>
          </w:tcPr>
          <w:p w14:paraId="70658267" w14:textId="77777777" w:rsidR="00302BFE" w:rsidRPr="00CF512D" w:rsidRDefault="00302BFE" w:rsidP="00243B15">
            <w:pPr>
              <w:pStyle w:val="Default"/>
              <w:jc w:val="center"/>
              <w:rPr>
                <w:rFonts w:ascii="Calibri" w:hAnsi="Calibri"/>
                <w:color w:val="auto"/>
                <w:sz w:val="20"/>
                <w:szCs w:val="20"/>
              </w:rPr>
            </w:pPr>
            <w:r w:rsidRPr="00CF512D">
              <w:rPr>
                <w:rFonts w:ascii="Calibri" w:hAnsi="Calibri"/>
                <w:color w:val="auto"/>
                <w:sz w:val="20"/>
                <w:szCs w:val="20"/>
              </w:rPr>
              <w:t>350</w:t>
            </w:r>
          </w:p>
        </w:tc>
        <w:tc>
          <w:tcPr>
            <w:tcW w:w="1134" w:type="dxa"/>
            <w:vAlign w:val="center"/>
          </w:tcPr>
          <w:p w14:paraId="0148AE6B"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5C58023B"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olor w:val="auto"/>
                <w:sz w:val="20"/>
                <w:szCs w:val="20"/>
              </w:rPr>
              <w:t>Year 1</w:t>
            </w:r>
          </w:p>
        </w:tc>
        <w:tc>
          <w:tcPr>
            <w:tcW w:w="1154" w:type="dxa"/>
            <w:vAlign w:val="center"/>
          </w:tcPr>
          <w:p w14:paraId="375A7697"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1953E96D" w14:textId="77777777" w:rsidTr="00243B15">
        <w:trPr>
          <w:trHeight w:val="222"/>
          <w:jc w:val="center"/>
        </w:trPr>
        <w:tc>
          <w:tcPr>
            <w:tcW w:w="8505" w:type="dxa"/>
          </w:tcPr>
          <w:p w14:paraId="017FB68B" w14:textId="77777777" w:rsidR="00302BFE" w:rsidRPr="00CF512D" w:rsidRDefault="00302BFE" w:rsidP="00243B15">
            <w:pPr>
              <w:pStyle w:val="Default"/>
              <w:rPr>
                <w:rFonts w:ascii="Calibri" w:hAnsi="Calibri"/>
                <w:color w:val="auto"/>
                <w:sz w:val="20"/>
                <w:szCs w:val="20"/>
              </w:rPr>
            </w:pPr>
            <w:r w:rsidRPr="00CF512D">
              <w:rPr>
                <w:rFonts w:ascii="Calibri" w:hAnsi="Calibri"/>
                <w:color w:val="auto"/>
                <w:sz w:val="20"/>
                <w:szCs w:val="20"/>
              </w:rPr>
              <w:t>Digitizer</w:t>
            </w:r>
          </w:p>
        </w:tc>
        <w:tc>
          <w:tcPr>
            <w:tcW w:w="1134" w:type="dxa"/>
            <w:vAlign w:val="center"/>
          </w:tcPr>
          <w:p w14:paraId="1B8A9BDC" w14:textId="77777777" w:rsidR="00302BFE" w:rsidRPr="00CF512D" w:rsidRDefault="00302BFE" w:rsidP="00243B15">
            <w:pPr>
              <w:pStyle w:val="Default"/>
              <w:jc w:val="center"/>
              <w:rPr>
                <w:rFonts w:ascii="Calibri" w:hAnsi="Calibri"/>
                <w:color w:val="auto"/>
                <w:sz w:val="20"/>
                <w:szCs w:val="20"/>
              </w:rPr>
            </w:pPr>
            <w:r w:rsidRPr="00CF512D">
              <w:rPr>
                <w:rFonts w:ascii="Calibri" w:hAnsi="Calibri"/>
                <w:color w:val="auto"/>
                <w:sz w:val="20"/>
                <w:szCs w:val="20"/>
              </w:rPr>
              <w:t>250</w:t>
            </w:r>
          </w:p>
        </w:tc>
        <w:tc>
          <w:tcPr>
            <w:tcW w:w="1134" w:type="dxa"/>
            <w:vAlign w:val="center"/>
          </w:tcPr>
          <w:p w14:paraId="2F8A0497"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5CDEE6A3"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olor w:val="auto"/>
                <w:sz w:val="20"/>
                <w:szCs w:val="20"/>
              </w:rPr>
              <w:t>Year 1</w:t>
            </w:r>
          </w:p>
        </w:tc>
        <w:tc>
          <w:tcPr>
            <w:tcW w:w="1154" w:type="dxa"/>
            <w:vAlign w:val="center"/>
          </w:tcPr>
          <w:p w14:paraId="6E42F23C"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7B21E2E1" w14:textId="77777777" w:rsidTr="00243B15">
        <w:trPr>
          <w:trHeight w:val="222"/>
          <w:jc w:val="center"/>
        </w:trPr>
        <w:tc>
          <w:tcPr>
            <w:tcW w:w="8505" w:type="dxa"/>
          </w:tcPr>
          <w:p w14:paraId="432EB75D" w14:textId="77777777" w:rsidR="00302BFE" w:rsidRPr="00CF512D" w:rsidRDefault="00302BFE" w:rsidP="00243B15">
            <w:pPr>
              <w:pStyle w:val="Default"/>
              <w:rPr>
                <w:rFonts w:ascii="Calibri" w:hAnsi="Calibri"/>
                <w:color w:val="auto"/>
                <w:sz w:val="20"/>
                <w:szCs w:val="20"/>
              </w:rPr>
            </w:pPr>
            <w:r w:rsidRPr="00CF512D">
              <w:rPr>
                <w:rFonts w:ascii="Calibri" w:hAnsi="Calibri"/>
                <w:color w:val="auto"/>
                <w:sz w:val="20"/>
                <w:szCs w:val="20"/>
              </w:rPr>
              <w:t>Multifunction Printer</w:t>
            </w:r>
          </w:p>
        </w:tc>
        <w:tc>
          <w:tcPr>
            <w:tcW w:w="1134" w:type="dxa"/>
            <w:vAlign w:val="center"/>
          </w:tcPr>
          <w:p w14:paraId="723D5089" w14:textId="77777777" w:rsidR="00302BFE" w:rsidRPr="00CF512D" w:rsidRDefault="00302BFE" w:rsidP="00243B15">
            <w:pPr>
              <w:pStyle w:val="Default"/>
              <w:jc w:val="center"/>
              <w:rPr>
                <w:rFonts w:ascii="Calibri" w:hAnsi="Calibri"/>
                <w:color w:val="auto"/>
                <w:sz w:val="20"/>
                <w:szCs w:val="20"/>
              </w:rPr>
            </w:pPr>
            <w:r w:rsidRPr="00CF512D">
              <w:rPr>
                <w:rFonts w:ascii="Calibri" w:hAnsi="Calibri"/>
                <w:color w:val="auto"/>
                <w:sz w:val="20"/>
                <w:szCs w:val="20"/>
              </w:rPr>
              <w:t>550</w:t>
            </w:r>
          </w:p>
        </w:tc>
        <w:tc>
          <w:tcPr>
            <w:tcW w:w="1134" w:type="dxa"/>
            <w:vAlign w:val="center"/>
          </w:tcPr>
          <w:p w14:paraId="35478B3C"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14B55331"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olor w:val="auto"/>
                <w:sz w:val="20"/>
                <w:szCs w:val="20"/>
              </w:rPr>
              <w:t>Year 1</w:t>
            </w:r>
          </w:p>
        </w:tc>
        <w:tc>
          <w:tcPr>
            <w:tcW w:w="1154" w:type="dxa"/>
            <w:vAlign w:val="center"/>
          </w:tcPr>
          <w:p w14:paraId="0B4542D7"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7D6E0CD7" w14:textId="77777777" w:rsidTr="00243B15">
        <w:trPr>
          <w:trHeight w:val="222"/>
          <w:jc w:val="center"/>
        </w:trPr>
        <w:tc>
          <w:tcPr>
            <w:tcW w:w="8505" w:type="dxa"/>
          </w:tcPr>
          <w:p w14:paraId="5E09DB74" w14:textId="77777777" w:rsidR="00302BFE" w:rsidRPr="00CF512D" w:rsidRDefault="00302BFE" w:rsidP="00243B15">
            <w:pPr>
              <w:pStyle w:val="Default"/>
              <w:rPr>
                <w:rFonts w:ascii="Calibri" w:hAnsi="Calibri"/>
                <w:color w:val="auto"/>
                <w:sz w:val="20"/>
                <w:szCs w:val="20"/>
              </w:rPr>
            </w:pPr>
            <w:r w:rsidRPr="00CF512D">
              <w:rPr>
                <w:rFonts w:ascii="Calibri" w:hAnsi="Calibri"/>
                <w:color w:val="auto"/>
                <w:sz w:val="20"/>
                <w:szCs w:val="20"/>
              </w:rPr>
              <w:t>Digital Camera</w:t>
            </w:r>
          </w:p>
        </w:tc>
        <w:tc>
          <w:tcPr>
            <w:tcW w:w="1134" w:type="dxa"/>
            <w:vAlign w:val="center"/>
          </w:tcPr>
          <w:p w14:paraId="3B34EBF3" w14:textId="77777777" w:rsidR="00302BFE" w:rsidRPr="00CF512D" w:rsidRDefault="00302BFE" w:rsidP="00243B15">
            <w:pPr>
              <w:pStyle w:val="Default"/>
              <w:jc w:val="center"/>
              <w:rPr>
                <w:rFonts w:ascii="Calibri" w:hAnsi="Calibri"/>
                <w:color w:val="auto"/>
                <w:sz w:val="20"/>
                <w:szCs w:val="20"/>
              </w:rPr>
            </w:pPr>
            <w:r w:rsidRPr="00CF512D">
              <w:rPr>
                <w:rFonts w:ascii="Calibri" w:hAnsi="Calibri"/>
                <w:color w:val="auto"/>
                <w:sz w:val="20"/>
                <w:szCs w:val="20"/>
              </w:rPr>
              <w:t>250</w:t>
            </w:r>
          </w:p>
        </w:tc>
        <w:tc>
          <w:tcPr>
            <w:tcW w:w="1134" w:type="dxa"/>
            <w:vAlign w:val="center"/>
          </w:tcPr>
          <w:p w14:paraId="784C97F3"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2D6E3AD7"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olor w:val="auto"/>
                <w:sz w:val="20"/>
                <w:szCs w:val="20"/>
              </w:rPr>
              <w:t>Year 1</w:t>
            </w:r>
          </w:p>
        </w:tc>
        <w:tc>
          <w:tcPr>
            <w:tcW w:w="1154" w:type="dxa"/>
            <w:vAlign w:val="center"/>
          </w:tcPr>
          <w:p w14:paraId="78D423CB" w14:textId="77777777" w:rsidR="00302BFE" w:rsidRPr="00CF512D" w:rsidRDefault="00302BFE" w:rsidP="00243B15">
            <w:pPr>
              <w:pStyle w:val="Default"/>
              <w:jc w:val="center"/>
              <w:rPr>
                <w:rFonts w:ascii="Calibri" w:hAnsi="Calibri" w:cs="Calibri"/>
                <w:color w:val="auto"/>
                <w:sz w:val="20"/>
                <w:szCs w:val="20"/>
              </w:rPr>
            </w:pPr>
          </w:p>
        </w:tc>
      </w:tr>
      <w:tr w:rsidR="00302BFE" w:rsidRPr="00CF512D" w14:paraId="24614837" w14:textId="77777777" w:rsidTr="00243B15">
        <w:trPr>
          <w:trHeight w:val="222"/>
          <w:jc w:val="center"/>
        </w:trPr>
        <w:tc>
          <w:tcPr>
            <w:tcW w:w="8505" w:type="dxa"/>
          </w:tcPr>
          <w:p w14:paraId="01EF9C1B" w14:textId="77777777" w:rsidR="00302BFE" w:rsidRPr="00CF512D" w:rsidRDefault="00302BFE" w:rsidP="00243B15">
            <w:pPr>
              <w:pStyle w:val="Default"/>
              <w:rPr>
                <w:rFonts w:ascii="Calibri" w:hAnsi="Calibri"/>
                <w:color w:val="auto"/>
                <w:sz w:val="20"/>
                <w:szCs w:val="20"/>
              </w:rPr>
            </w:pPr>
            <w:r w:rsidRPr="00CF512D">
              <w:rPr>
                <w:rFonts w:ascii="Calibri" w:hAnsi="Calibri"/>
                <w:color w:val="auto"/>
                <w:sz w:val="20"/>
                <w:szCs w:val="20"/>
              </w:rPr>
              <w:t>Office furniture including 3 work desks, 3 fixed phones, filing cabinets, shelves, etc.</w:t>
            </w:r>
          </w:p>
        </w:tc>
        <w:tc>
          <w:tcPr>
            <w:tcW w:w="1134" w:type="dxa"/>
            <w:vAlign w:val="center"/>
          </w:tcPr>
          <w:p w14:paraId="60445EFF"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olor w:val="auto"/>
                <w:sz w:val="20"/>
                <w:szCs w:val="20"/>
              </w:rPr>
              <w:t>5,000</w:t>
            </w:r>
          </w:p>
        </w:tc>
        <w:tc>
          <w:tcPr>
            <w:tcW w:w="1134" w:type="dxa"/>
            <w:vAlign w:val="center"/>
          </w:tcPr>
          <w:p w14:paraId="39FD3667" w14:textId="77777777" w:rsidR="00302BFE" w:rsidRPr="00CF512D" w:rsidRDefault="00302BFE" w:rsidP="00243B15">
            <w:pPr>
              <w:pStyle w:val="Default"/>
              <w:jc w:val="center"/>
              <w:rPr>
                <w:rFonts w:ascii="Calibri" w:hAnsi="Calibri" w:cs="Calibri"/>
                <w:color w:val="auto"/>
                <w:sz w:val="20"/>
                <w:szCs w:val="20"/>
              </w:rPr>
            </w:pPr>
          </w:p>
        </w:tc>
        <w:tc>
          <w:tcPr>
            <w:tcW w:w="1418" w:type="dxa"/>
            <w:vAlign w:val="center"/>
          </w:tcPr>
          <w:p w14:paraId="421CEF20" w14:textId="77777777" w:rsidR="00302BFE" w:rsidRPr="00CF512D" w:rsidRDefault="00302BFE" w:rsidP="00243B15">
            <w:pPr>
              <w:pStyle w:val="Default"/>
              <w:jc w:val="center"/>
              <w:rPr>
                <w:rFonts w:ascii="Calibri" w:hAnsi="Calibri" w:cs="Calibri"/>
                <w:color w:val="auto"/>
                <w:sz w:val="20"/>
                <w:szCs w:val="20"/>
              </w:rPr>
            </w:pPr>
            <w:r w:rsidRPr="00CF512D">
              <w:rPr>
                <w:rFonts w:ascii="Calibri" w:hAnsi="Calibri"/>
                <w:color w:val="auto"/>
                <w:sz w:val="20"/>
                <w:szCs w:val="20"/>
              </w:rPr>
              <w:t>Year 1</w:t>
            </w:r>
          </w:p>
        </w:tc>
        <w:tc>
          <w:tcPr>
            <w:tcW w:w="1154" w:type="dxa"/>
            <w:vAlign w:val="center"/>
          </w:tcPr>
          <w:p w14:paraId="6B0E7311" w14:textId="77777777" w:rsidR="00302BFE" w:rsidRPr="00CF512D" w:rsidRDefault="00302BFE" w:rsidP="00243B15">
            <w:pPr>
              <w:pStyle w:val="Default"/>
              <w:jc w:val="center"/>
              <w:rPr>
                <w:rFonts w:ascii="Calibri" w:hAnsi="Calibri" w:cs="Calibri"/>
                <w:color w:val="auto"/>
                <w:sz w:val="20"/>
                <w:szCs w:val="20"/>
              </w:rPr>
            </w:pPr>
          </w:p>
        </w:tc>
      </w:tr>
    </w:tbl>
    <w:p w14:paraId="431C3554" w14:textId="77777777" w:rsidR="00302BFE" w:rsidRDefault="00302BFE" w:rsidP="00302BFE"/>
    <w:p w14:paraId="2C36BF11" w14:textId="77777777" w:rsidR="00302BFE" w:rsidRDefault="00302BFE" w:rsidP="00302BFE">
      <w:pPr>
        <w:spacing w:after="240"/>
        <w:rPr>
          <w:b/>
          <w:lang w:val="en-CA"/>
        </w:rPr>
        <w:sectPr w:rsidR="00302BFE" w:rsidSect="00243B15">
          <w:pgSz w:w="15840" w:h="12240" w:orient="landscape" w:code="1"/>
          <w:pgMar w:top="1440" w:right="1440" w:bottom="1440" w:left="1440" w:header="720" w:footer="720" w:gutter="0"/>
          <w:cols w:space="720"/>
          <w:docGrid w:linePitch="360"/>
        </w:sectPr>
      </w:pPr>
    </w:p>
    <w:p w14:paraId="4B4CCA10" w14:textId="77777777" w:rsidR="00302BFE" w:rsidRPr="0075595E" w:rsidRDefault="00302BFE" w:rsidP="00302BFE">
      <w:pPr>
        <w:pStyle w:val="Titre2"/>
        <w:ind w:left="0"/>
        <w:rPr>
          <w:rFonts w:ascii="Calibri" w:hAnsi="Calibri"/>
          <w:lang w:val="en-CA"/>
        </w:rPr>
      </w:pPr>
      <w:bookmarkStart w:id="124" w:name="_Toc9961815"/>
      <w:r w:rsidRPr="0075595E">
        <w:rPr>
          <w:rFonts w:ascii="Calibri" w:hAnsi="Calibri"/>
          <w:lang w:val="en-CA"/>
        </w:rPr>
        <w:lastRenderedPageBreak/>
        <w:t xml:space="preserve">Annex </w:t>
      </w:r>
      <w:r>
        <w:rPr>
          <w:rFonts w:ascii="Calibri" w:hAnsi="Calibri"/>
          <w:lang w:val="en-CA"/>
        </w:rPr>
        <w:t>O</w:t>
      </w:r>
      <w:r w:rsidRPr="0075595E">
        <w:rPr>
          <w:rFonts w:ascii="Calibri" w:hAnsi="Calibri"/>
          <w:lang w:val="en-CA"/>
        </w:rPr>
        <w:t>. Calculations of Greenhouse Gas Emissions Mitigated</w:t>
      </w:r>
      <w:bookmarkEnd w:id="124"/>
    </w:p>
    <w:p w14:paraId="5BF0AE50" w14:textId="77777777" w:rsidR="00CD025C" w:rsidRDefault="00302BFE" w:rsidP="00302BFE">
      <w:pPr>
        <w:spacing w:before="120" w:after="120"/>
        <w:rPr>
          <w:szCs w:val="20"/>
          <w:lang w:val="en-GB"/>
        </w:rPr>
      </w:pPr>
      <w:r w:rsidRPr="00D61C93">
        <w:rPr>
          <w:szCs w:val="20"/>
          <w:lang w:val="en-GB"/>
        </w:rPr>
        <w:t xml:space="preserve">The carbon sequestration estimates have been computed using the Ex-Ante Carbon-Balance Tool (EX-ACT) Tier Standard Edition, developed by FAO. The forest-type selected for the calculations is Tropical Dry Forest, building on a baseline of degraded land in a Dry Tropical climate. The soil-type generally consists of fertile Low Activity Clay loams derived from a basaltic substrate, albeit highly degraded through prior deforestation activity and subsequent over-grazing/agriculture. </w:t>
      </w:r>
      <w:r w:rsidR="00CD025C" w:rsidRPr="00D61C93">
        <w:rPr>
          <w:szCs w:val="20"/>
          <w:lang w:val="en-GB"/>
        </w:rPr>
        <w:t>The annual deforestation rate used is 1</w:t>
      </w:r>
      <w:r w:rsidR="00980295" w:rsidRPr="00D61C93">
        <w:rPr>
          <w:szCs w:val="20"/>
        </w:rPr>
        <w:t> </w:t>
      </w:r>
      <w:r w:rsidR="00CD025C" w:rsidRPr="00D61C93">
        <w:rPr>
          <w:szCs w:val="20"/>
          <w:lang w:val="en-GB"/>
        </w:rPr>
        <w:t xml:space="preserve">%. The project involves a </w:t>
      </w:r>
      <w:r w:rsidR="005453A0" w:rsidRPr="00D61C93">
        <w:rPr>
          <w:szCs w:val="20"/>
          <w:lang w:val="en-GB"/>
        </w:rPr>
        <w:t xml:space="preserve">conservative </w:t>
      </w:r>
      <w:r w:rsidR="00CD025C" w:rsidRPr="00D61C93">
        <w:rPr>
          <w:szCs w:val="20"/>
          <w:lang w:val="en-GB"/>
        </w:rPr>
        <w:t xml:space="preserve">50% reduction of the deforestation rate over 394,564 ha and the restoration of 11,000 ha of agroforestry ecosystems using indigenous species. Conservatively, </w:t>
      </w:r>
      <w:r w:rsidR="005453A0" w:rsidRPr="00D61C93">
        <w:rPr>
          <w:szCs w:val="20"/>
          <w:lang w:val="en-GB"/>
        </w:rPr>
        <w:t xml:space="preserve">instead of the entire 952,000 ha of the PONASI landscape, </w:t>
      </w:r>
      <w:r w:rsidR="00CD025C" w:rsidRPr="00D61C93">
        <w:rPr>
          <w:szCs w:val="20"/>
          <w:lang w:val="en-GB"/>
        </w:rPr>
        <w:t>394,564 ha were used in the calculation,</w:t>
      </w:r>
      <w:r w:rsidR="005453A0" w:rsidRPr="00D61C93">
        <w:rPr>
          <w:szCs w:val="20"/>
          <w:lang w:val="en-GB"/>
        </w:rPr>
        <w:t xml:space="preserve"> which corresponds to </w:t>
      </w:r>
      <w:r w:rsidR="00980295" w:rsidRPr="00D61C93">
        <w:rPr>
          <w:szCs w:val="20"/>
          <w:lang w:val="en-GB"/>
        </w:rPr>
        <w:t>354,781 ha of State and community protected areas, including corridors</w:t>
      </w:r>
      <w:r w:rsidR="001274DA" w:rsidRPr="00D61C93">
        <w:rPr>
          <w:szCs w:val="20"/>
          <w:lang w:val="en-GB"/>
        </w:rPr>
        <w:t>,</w:t>
      </w:r>
      <w:r w:rsidR="00980295" w:rsidRPr="00D61C93">
        <w:rPr>
          <w:szCs w:val="20"/>
          <w:lang w:val="en-GB"/>
        </w:rPr>
        <w:t xml:space="preserve"> and </w:t>
      </w:r>
      <w:r w:rsidR="001274DA" w:rsidRPr="00D61C93">
        <w:rPr>
          <w:szCs w:val="20"/>
          <w:lang w:val="en-GB"/>
        </w:rPr>
        <w:t>39</w:t>
      </w:r>
      <w:r w:rsidR="00980295" w:rsidRPr="00D61C93">
        <w:rPr>
          <w:szCs w:val="20"/>
          <w:lang w:val="en-GB"/>
        </w:rPr>
        <w:t>,78</w:t>
      </w:r>
      <w:r w:rsidR="001274DA" w:rsidRPr="00D61C93">
        <w:rPr>
          <w:szCs w:val="20"/>
          <w:lang w:val="en-GB"/>
        </w:rPr>
        <w:t>3</w:t>
      </w:r>
      <w:r w:rsidR="00980295" w:rsidRPr="00D61C93">
        <w:rPr>
          <w:szCs w:val="20"/>
          <w:lang w:val="en-GB"/>
        </w:rPr>
        <w:t xml:space="preserve"> ha of forests (38,891 ha of large forests, 127 ha commune forests and 765 ha village forests) where </w:t>
      </w:r>
      <w:r w:rsidR="001274DA" w:rsidRPr="00D61C93">
        <w:rPr>
          <w:szCs w:val="20"/>
          <w:lang w:val="en-GB"/>
        </w:rPr>
        <w:t xml:space="preserve">improved management effectiveness </w:t>
      </w:r>
      <w:r w:rsidR="00980295" w:rsidRPr="00D61C93">
        <w:rPr>
          <w:szCs w:val="20"/>
          <w:lang w:val="en-GB"/>
        </w:rPr>
        <w:t xml:space="preserve">will </w:t>
      </w:r>
      <w:r w:rsidR="001274DA" w:rsidRPr="00D61C93">
        <w:rPr>
          <w:szCs w:val="20"/>
          <w:lang w:val="en-GB"/>
        </w:rPr>
        <w:t>reduce deforestation</w:t>
      </w:r>
      <w:r w:rsidR="00CD025C" w:rsidRPr="00D61C93">
        <w:rPr>
          <w:szCs w:val="20"/>
          <w:lang w:val="en-GB"/>
        </w:rPr>
        <w:t>. Over a period of 20 years, approximately 5.4 million tCO</w:t>
      </w:r>
      <w:r w:rsidR="00CD025C" w:rsidRPr="00D61C93">
        <w:rPr>
          <w:szCs w:val="20"/>
          <w:vertAlign w:val="subscript"/>
          <w:lang w:val="en-GB"/>
        </w:rPr>
        <w:t>2</w:t>
      </w:r>
      <w:r w:rsidR="001274DA" w:rsidRPr="00D61C93">
        <w:rPr>
          <w:szCs w:val="20"/>
          <w:vertAlign w:val="subscript"/>
          <w:lang w:val="en-GB"/>
        </w:rPr>
        <w:t>eq</w:t>
      </w:r>
      <w:r w:rsidR="00CD025C" w:rsidRPr="00D61C93">
        <w:rPr>
          <w:szCs w:val="20"/>
          <w:lang w:val="en-GB"/>
        </w:rPr>
        <w:t xml:space="preserve"> will be sequestered through the project’s intervention.</w:t>
      </w:r>
      <w:r w:rsidR="00CD025C" w:rsidRPr="005453A0">
        <w:rPr>
          <w:szCs w:val="20"/>
          <w:lang w:val="en-GB"/>
        </w:rPr>
        <w:t xml:space="preserve"> </w:t>
      </w:r>
    </w:p>
    <w:p w14:paraId="3B5C1F7C" w14:textId="77777777" w:rsidR="005453A0" w:rsidRDefault="005453A0" w:rsidP="00302BFE">
      <w:pPr>
        <w:spacing w:before="120" w:after="120"/>
        <w:rPr>
          <w:szCs w:val="20"/>
          <w:highlight w:val="yellow"/>
        </w:rPr>
      </w:pPr>
    </w:p>
    <w:p w14:paraId="5830AB84" w14:textId="77777777" w:rsidR="00DD5172" w:rsidRPr="005453A0" w:rsidRDefault="00DD5172" w:rsidP="00302BFE">
      <w:pPr>
        <w:spacing w:before="120" w:after="120"/>
        <w:rPr>
          <w:szCs w:val="20"/>
          <w:highlight w:val="yellow"/>
        </w:rPr>
      </w:pPr>
      <w:r>
        <w:rPr>
          <w:noProof/>
        </w:rPr>
        <w:drawing>
          <wp:inline distT="0" distB="0" distL="0" distR="0" wp14:anchorId="5D6A7DA3" wp14:editId="5962B3F3">
            <wp:extent cx="5943600" cy="331851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943600" cy="3318510"/>
                    </a:xfrm>
                    <a:prstGeom prst="rect">
                      <a:avLst/>
                    </a:prstGeom>
                  </pic:spPr>
                </pic:pic>
              </a:graphicData>
            </a:graphic>
          </wp:inline>
        </w:drawing>
      </w:r>
    </w:p>
    <w:p w14:paraId="5E30CE21" w14:textId="77777777" w:rsidR="00302BFE" w:rsidRPr="0075595E" w:rsidRDefault="00302BFE" w:rsidP="00302BFE">
      <w:pPr>
        <w:pStyle w:val="Titre2"/>
        <w:ind w:left="0"/>
        <w:rPr>
          <w:rFonts w:ascii="Calibri" w:hAnsi="Calibri"/>
          <w:lang w:val="en-CA"/>
        </w:rPr>
      </w:pPr>
      <w:r w:rsidRPr="00CE7992">
        <w:rPr>
          <w:b w:val="0"/>
          <w:lang w:val="en-CA"/>
        </w:rPr>
        <w:br w:type="page"/>
      </w:r>
      <w:bookmarkStart w:id="125" w:name="_Toc9961816"/>
      <w:r w:rsidRPr="0075595E">
        <w:rPr>
          <w:rFonts w:ascii="Calibri" w:hAnsi="Calibri"/>
          <w:lang w:val="en-CA"/>
        </w:rPr>
        <w:lastRenderedPageBreak/>
        <w:t xml:space="preserve">Annex </w:t>
      </w:r>
      <w:r>
        <w:rPr>
          <w:rFonts w:ascii="Calibri" w:hAnsi="Calibri"/>
          <w:lang w:val="en-CA"/>
        </w:rPr>
        <w:t>P</w:t>
      </w:r>
      <w:r w:rsidRPr="0075595E">
        <w:rPr>
          <w:rFonts w:ascii="Calibri" w:hAnsi="Calibri"/>
          <w:lang w:val="en-CA"/>
        </w:rPr>
        <w:t>. Co-financing Letters</w:t>
      </w:r>
      <w:bookmarkEnd w:id="125"/>
    </w:p>
    <w:p w14:paraId="1160A667" w14:textId="77777777" w:rsidR="00302BFE" w:rsidRDefault="00302BFE" w:rsidP="00302BFE">
      <w:r w:rsidRPr="003111CF">
        <w:t>(</w:t>
      </w:r>
      <w:proofErr w:type="gramStart"/>
      <w:r w:rsidRPr="003111CF">
        <w:t>see</w:t>
      </w:r>
      <w:proofErr w:type="gramEnd"/>
      <w:r w:rsidRPr="003111CF">
        <w:t xml:space="preserve"> separate file)</w:t>
      </w:r>
    </w:p>
    <w:p w14:paraId="43DC6BCC" w14:textId="77777777" w:rsidR="00302BFE" w:rsidRPr="00B43F59" w:rsidRDefault="00302BFE" w:rsidP="00302BFE"/>
    <w:p w14:paraId="7A205BA7" w14:textId="77777777" w:rsidR="00302BFE" w:rsidRPr="00CE7992" w:rsidRDefault="00302BFE" w:rsidP="00302BFE">
      <w:pPr>
        <w:pStyle w:val="Titre2"/>
        <w:spacing w:after="240"/>
        <w:ind w:left="0"/>
        <w:rPr>
          <w:rFonts w:ascii="Calibri" w:hAnsi="Calibri"/>
          <w:lang w:val="en-CA"/>
        </w:rPr>
        <w:sectPr w:rsidR="00302BFE" w:rsidRPr="00CE7992" w:rsidSect="00243B15">
          <w:pgSz w:w="12240" w:h="15840" w:code="1"/>
          <w:pgMar w:top="1440" w:right="1440" w:bottom="1440" w:left="1440" w:header="720" w:footer="720" w:gutter="0"/>
          <w:cols w:space="720"/>
          <w:docGrid w:linePitch="360"/>
        </w:sectPr>
      </w:pPr>
    </w:p>
    <w:p w14:paraId="4669211C" w14:textId="77777777" w:rsidR="00302BFE" w:rsidRPr="00243B15" w:rsidRDefault="00302BFE" w:rsidP="00302BFE">
      <w:pPr>
        <w:pStyle w:val="Titre2"/>
        <w:ind w:left="0"/>
        <w:rPr>
          <w:rFonts w:ascii="Calibri" w:hAnsi="Calibri"/>
          <w:lang w:val="fr-CA"/>
        </w:rPr>
      </w:pPr>
      <w:bookmarkStart w:id="126" w:name="_Toc9961817"/>
      <w:r w:rsidRPr="00243B15">
        <w:rPr>
          <w:rFonts w:ascii="Calibri" w:hAnsi="Calibri"/>
          <w:lang w:val="fr-CA"/>
        </w:rPr>
        <w:lastRenderedPageBreak/>
        <w:t xml:space="preserve">Annex Q: </w:t>
      </w:r>
      <w:proofErr w:type="spellStart"/>
      <w:r w:rsidRPr="00243B15">
        <w:rPr>
          <w:rFonts w:ascii="Calibri" w:hAnsi="Calibri"/>
          <w:lang w:val="fr-CA"/>
        </w:rPr>
        <w:t>Capacity</w:t>
      </w:r>
      <w:proofErr w:type="spellEnd"/>
      <w:r w:rsidRPr="00243B15">
        <w:rPr>
          <w:rFonts w:ascii="Calibri" w:hAnsi="Calibri"/>
          <w:lang w:val="fr-CA"/>
        </w:rPr>
        <w:t xml:space="preserve"> </w:t>
      </w:r>
      <w:proofErr w:type="spellStart"/>
      <w:r w:rsidRPr="00243B15">
        <w:rPr>
          <w:rFonts w:ascii="Calibri" w:hAnsi="Calibri"/>
          <w:lang w:val="fr-CA"/>
        </w:rPr>
        <w:t>Development</w:t>
      </w:r>
      <w:proofErr w:type="spellEnd"/>
      <w:r w:rsidRPr="00243B15">
        <w:rPr>
          <w:rFonts w:ascii="Calibri" w:hAnsi="Calibri"/>
          <w:lang w:val="fr-CA"/>
        </w:rPr>
        <w:t xml:space="preserve"> </w:t>
      </w:r>
      <w:proofErr w:type="spellStart"/>
      <w:r w:rsidRPr="00243B15">
        <w:rPr>
          <w:rFonts w:ascii="Calibri" w:hAnsi="Calibri"/>
          <w:lang w:val="fr-CA"/>
        </w:rPr>
        <w:t>Scorecard</w:t>
      </w:r>
      <w:bookmarkEnd w:id="126"/>
      <w:proofErr w:type="spellEnd"/>
    </w:p>
    <w:p w14:paraId="4A280A5C" w14:textId="77777777" w:rsidR="00302BFE" w:rsidRPr="000B58BF" w:rsidRDefault="00302BFE" w:rsidP="00302BFE">
      <w:pPr>
        <w:spacing w:before="240"/>
        <w:ind w:left="119" w:right="-68"/>
        <w:rPr>
          <w:b/>
          <w:szCs w:val="20"/>
          <w:lang w:val="fr-CA"/>
        </w:rPr>
      </w:pPr>
      <w:r w:rsidRPr="000B58BF">
        <w:rPr>
          <w:b/>
          <w:szCs w:val="20"/>
          <w:lang w:val="fr-CA"/>
        </w:rPr>
        <w:t xml:space="preserve">Nom du projet: PONASI - </w:t>
      </w:r>
      <w:r w:rsidRPr="000B58BF">
        <w:rPr>
          <w:b/>
          <w:bCs/>
          <w:szCs w:val="20"/>
          <w:lang w:val="fr-CA"/>
        </w:rPr>
        <w:t>Gestion intégrée et durable du paysage d’aires protégées du PONASI</w:t>
      </w:r>
    </w:p>
    <w:p w14:paraId="7D22476E" w14:textId="77777777" w:rsidR="00302BFE" w:rsidRPr="000B58BF" w:rsidRDefault="00302BFE" w:rsidP="00302BFE">
      <w:pPr>
        <w:ind w:left="119" w:right="-68"/>
        <w:rPr>
          <w:b/>
          <w:szCs w:val="20"/>
          <w:lang w:val="fr-CA"/>
        </w:rPr>
      </w:pPr>
      <w:r w:rsidRPr="00930BD3">
        <w:rPr>
          <w:b/>
          <w:szCs w:val="20"/>
          <w:lang w:val="fr-CA"/>
        </w:rPr>
        <w:t xml:space="preserve">Phase du cycle : </w:t>
      </w:r>
      <w:r w:rsidRPr="00930BD3">
        <w:rPr>
          <w:b/>
          <w:i/>
          <w:szCs w:val="20"/>
          <w:lang w:val="fr-CA"/>
        </w:rPr>
        <w:t>Situation de référence (</w:t>
      </w:r>
      <w:r w:rsidRPr="00930BD3">
        <w:rPr>
          <w:b/>
          <w:i/>
          <w:szCs w:val="20"/>
          <w:u w:val="single"/>
          <w:lang w:val="fr-CA"/>
        </w:rPr>
        <w:t>à compléter à mi-parcours et en fin de projet</w:t>
      </w:r>
      <w:r w:rsidRPr="00930BD3">
        <w:rPr>
          <w:b/>
          <w:i/>
          <w:szCs w:val="20"/>
          <w:lang w:val="fr-CA"/>
        </w:rPr>
        <w:t>)</w:t>
      </w:r>
    </w:p>
    <w:p w14:paraId="271B4943" w14:textId="77777777" w:rsidR="00302BFE" w:rsidRPr="000B58BF" w:rsidRDefault="00302BFE" w:rsidP="00302BFE">
      <w:pPr>
        <w:ind w:left="119" w:right="-68"/>
        <w:rPr>
          <w:b/>
          <w:szCs w:val="20"/>
          <w:lang w:val="fr-CA"/>
        </w:rPr>
      </w:pPr>
      <w:r w:rsidRPr="000B58BF">
        <w:rPr>
          <w:b/>
          <w:szCs w:val="20"/>
          <w:lang w:val="fr-CA"/>
        </w:rPr>
        <w:t>Date : 14 décembre 2018</w:t>
      </w:r>
    </w:p>
    <w:p w14:paraId="5CD66462" w14:textId="77777777" w:rsidR="00302BFE" w:rsidRPr="000B58BF" w:rsidRDefault="00302BFE" w:rsidP="00302BFE">
      <w:pPr>
        <w:ind w:left="119" w:right="-68"/>
        <w:rPr>
          <w:b/>
          <w:szCs w:val="20"/>
          <w:lang w:val="fr-CA"/>
        </w:rPr>
      </w:pPr>
      <w:r w:rsidRPr="000B58BF">
        <w:rPr>
          <w:b/>
          <w:szCs w:val="20"/>
          <w:lang w:val="fr-CA"/>
        </w:rPr>
        <w:t>Parties prenantes concernées : OFINAP, DGEF</w:t>
      </w:r>
    </w:p>
    <w:tbl>
      <w:tblPr>
        <w:tblW w:w="14166" w:type="dxa"/>
        <w:jc w:val="center"/>
        <w:tblBorders>
          <w:top w:val="single" w:sz="6" w:space="0" w:color="16459A"/>
          <w:left w:val="single" w:sz="6" w:space="0" w:color="16459A"/>
          <w:bottom w:val="single" w:sz="6" w:space="0" w:color="16459A"/>
          <w:right w:val="single" w:sz="6" w:space="0" w:color="16459A"/>
          <w:insideH w:val="single" w:sz="6" w:space="0" w:color="16459A"/>
          <w:insideV w:val="single" w:sz="6" w:space="0" w:color="16459A"/>
        </w:tblBorders>
        <w:tblLayout w:type="fixed"/>
        <w:tblCellMar>
          <w:left w:w="0" w:type="dxa"/>
          <w:right w:w="0" w:type="dxa"/>
        </w:tblCellMar>
        <w:tblLook w:val="01E0" w:firstRow="1" w:lastRow="1" w:firstColumn="1" w:lastColumn="1" w:noHBand="0" w:noVBand="0"/>
      </w:tblPr>
      <w:tblGrid>
        <w:gridCol w:w="1246"/>
        <w:gridCol w:w="4297"/>
        <w:gridCol w:w="567"/>
        <w:gridCol w:w="567"/>
        <w:gridCol w:w="567"/>
        <w:gridCol w:w="3261"/>
        <w:gridCol w:w="3661"/>
      </w:tblGrid>
      <w:tr w:rsidR="00302BFE" w:rsidRPr="00B43F59" w14:paraId="79EEA3D9" w14:textId="77777777" w:rsidTr="00243B15">
        <w:trPr>
          <w:cantSplit/>
          <w:trHeight w:val="247"/>
          <w:tblHeader/>
          <w:jc w:val="center"/>
        </w:trPr>
        <w:tc>
          <w:tcPr>
            <w:tcW w:w="1246" w:type="dxa"/>
            <w:vMerge w:val="restart"/>
            <w:tcBorders>
              <w:top w:val="single" w:sz="4" w:space="0" w:color="auto"/>
              <w:left w:val="single" w:sz="4" w:space="0" w:color="auto"/>
              <w:bottom w:val="single" w:sz="4" w:space="0" w:color="auto"/>
              <w:right w:val="single" w:sz="4" w:space="0" w:color="auto"/>
            </w:tcBorders>
            <w:shd w:val="clear" w:color="auto" w:fill="16459A"/>
            <w:vAlign w:val="center"/>
            <w:hideMark/>
          </w:tcPr>
          <w:p w14:paraId="27D5E3A9" w14:textId="77777777" w:rsidR="00302BFE" w:rsidRPr="00B43F59" w:rsidRDefault="00302BFE" w:rsidP="00243B15">
            <w:pPr>
              <w:pStyle w:val="TableParagraph"/>
              <w:spacing w:before="20" w:line="220" w:lineRule="atLeast"/>
              <w:ind w:left="84"/>
              <w:jc w:val="center"/>
              <w:rPr>
                <w:rFonts w:ascii="Calibri" w:hAnsi="Calibri"/>
                <w:b/>
                <w:sz w:val="16"/>
                <w:lang w:val="fr-CA"/>
              </w:rPr>
            </w:pPr>
            <w:r w:rsidRPr="00B43F59">
              <w:rPr>
                <w:rFonts w:ascii="Calibri" w:hAnsi="Calibri"/>
                <w:b/>
                <w:color w:val="FFFFFF"/>
                <w:sz w:val="16"/>
                <w:lang w:val="fr-CA"/>
              </w:rPr>
              <w:t xml:space="preserve">Capacité / </w:t>
            </w:r>
            <w:r w:rsidRPr="00B43F59">
              <w:rPr>
                <w:rFonts w:ascii="Calibri" w:hAnsi="Calibri"/>
                <w:b/>
                <w:color w:val="FFFFFF"/>
                <w:sz w:val="16"/>
                <w:lang w:val="fr-CA"/>
              </w:rPr>
              <w:br/>
              <w:t>Indicateur</w:t>
            </w:r>
          </w:p>
        </w:tc>
        <w:tc>
          <w:tcPr>
            <w:tcW w:w="4297" w:type="dxa"/>
            <w:vMerge w:val="restart"/>
            <w:tcBorders>
              <w:top w:val="single" w:sz="4" w:space="0" w:color="auto"/>
              <w:left w:val="single" w:sz="4" w:space="0" w:color="auto"/>
              <w:bottom w:val="single" w:sz="4" w:space="0" w:color="auto"/>
              <w:right w:val="single" w:sz="4" w:space="0" w:color="auto"/>
            </w:tcBorders>
            <w:shd w:val="clear" w:color="auto" w:fill="16459A"/>
            <w:vAlign w:val="center"/>
            <w:hideMark/>
          </w:tcPr>
          <w:p w14:paraId="538B9EFD" w14:textId="77777777" w:rsidR="00302BFE" w:rsidRPr="00B43F59" w:rsidRDefault="00302BFE" w:rsidP="00243B15">
            <w:pPr>
              <w:pStyle w:val="TableParagraph"/>
              <w:tabs>
                <w:tab w:val="left" w:pos="3999"/>
              </w:tabs>
              <w:spacing w:before="44"/>
              <w:ind w:left="84"/>
              <w:jc w:val="center"/>
              <w:rPr>
                <w:rFonts w:ascii="Calibri" w:hAnsi="Calibri"/>
                <w:b/>
                <w:sz w:val="16"/>
                <w:lang w:val="fr-CA"/>
              </w:rPr>
            </w:pPr>
            <w:r w:rsidRPr="00B43F59">
              <w:rPr>
                <w:rFonts w:ascii="Calibri" w:hAnsi="Calibri"/>
                <w:b/>
                <w:color w:val="FFFFFF"/>
                <w:w w:val="105"/>
                <w:sz w:val="16"/>
                <w:lang w:val="fr-CA"/>
              </w:rPr>
              <w:t>Indicateurs par étapes</w:t>
            </w:r>
          </w:p>
        </w:tc>
        <w:tc>
          <w:tcPr>
            <w:tcW w:w="1701" w:type="dxa"/>
            <w:gridSpan w:val="3"/>
            <w:tcBorders>
              <w:top w:val="single" w:sz="4" w:space="0" w:color="auto"/>
              <w:left w:val="single" w:sz="4" w:space="0" w:color="auto"/>
              <w:bottom w:val="single" w:sz="4" w:space="0" w:color="auto"/>
              <w:right w:val="single" w:sz="4" w:space="0" w:color="auto"/>
            </w:tcBorders>
            <w:shd w:val="clear" w:color="auto" w:fill="16459A"/>
            <w:vAlign w:val="center"/>
            <w:hideMark/>
          </w:tcPr>
          <w:p w14:paraId="2E5F2C86" w14:textId="77777777" w:rsidR="00302BFE" w:rsidRPr="00B43F59" w:rsidRDefault="00302BFE" w:rsidP="00243B15">
            <w:pPr>
              <w:pStyle w:val="TableParagraph"/>
              <w:tabs>
                <w:tab w:val="left" w:pos="3999"/>
              </w:tabs>
              <w:spacing w:before="44"/>
              <w:ind w:left="84"/>
              <w:jc w:val="center"/>
              <w:rPr>
                <w:rFonts w:ascii="Calibri" w:hAnsi="Calibri"/>
                <w:b/>
                <w:sz w:val="16"/>
                <w:lang w:val="fr-CA"/>
              </w:rPr>
            </w:pPr>
            <w:r w:rsidRPr="00B43F59">
              <w:rPr>
                <w:rFonts w:ascii="Calibri" w:hAnsi="Calibri"/>
                <w:b/>
                <w:color w:val="FFFFFF"/>
                <w:w w:val="105"/>
                <w:sz w:val="16"/>
                <w:szCs w:val="16"/>
                <w:lang w:val="fr-CA"/>
              </w:rPr>
              <w:t>Score</w:t>
            </w:r>
          </w:p>
        </w:tc>
        <w:tc>
          <w:tcPr>
            <w:tcW w:w="3261" w:type="dxa"/>
            <w:vMerge w:val="restart"/>
            <w:tcBorders>
              <w:top w:val="single" w:sz="4" w:space="0" w:color="auto"/>
              <w:left w:val="single" w:sz="4" w:space="0" w:color="auto"/>
              <w:bottom w:val="single" w:sz="4" w:space="0" w:color="auto"/>
              <w:right w:val="single" w:sz="4" w:space="0" w:color="auto"/>
            </w:tcBorders>
            <w:shd w:val="clear" w:color="auto" w:fill="16459A"/>
            <w:vAlign w:val="center"/>
            <w:hideMark/>
          </w:tcPr>
          <w:p w14:paraId="143BD7A4" w14:textId="77777777" w:rsidR="00302BFE" w:rsidRPr="00B43F59" w:rsidRDefault="00302BFE" w:rsidP="00243B15">
            <w:pPr>
              <w:pStyle w:val="TableParagraph"/>
              <w:spacing w:before="44"/>
              <w:ind w:left="84"/>
              <w:jc w:val="center"/>
              <w:rPr>
                <w:rFonts w:ascii="Calibri" w:hAnsi="Calibri"/>
                <w:b/>
                <w:sz w:val="16"/>
                <w:lang w:val="fr-CA"/>
              </w:rPr>
            </w:pPr>
            <w:r w:rsidRPr="00B43F59">
              <w:rPr>
                <w:rFonts w:ascii="Calibri" w:hAnsi="Calibri"/>
                <w:b/>
                <w:color w:val="FFFFFF"/>
                <w:sz w:val="16"/>
                <w:lang w:val="fr-CA"/>
              </w:rPr>
              <w:t>Commentaires</w:t>
            </w:r>
          </w:p>
        </w:tc>
        <w:tc>
          <w:tcPr>
            <w:tcW w:w="3661" w:type="dxa"/>
            <w:vMerge w:val="restart"/>
            <w:tcBorders>
              <w:top w:val="single" w:sz="4" w:space="0" w:color="auto"/>
              <w:left w:val="single" w:sz="4" w:space="0" w:color="auto"/>
              <w:bottom w:val="single" w:sz="4" w:space="0" w:color="auto"/>
              <w:right w:val="single" w:sz="4" w:space="0" w:color="auto"/>
            </w:tcBorders>
            <w:shd w:val="clear" w:color="auto" w:fill="16459A"/>
            <w:vAlign w:val="center"/>
            <w:hideMark/>
          </w:tcPr>
          <w:p w14:paraId="56CC6294" w14:textId="77777777" w:rsidR="00302BFE" w:rsidRPr="00B43F59" w:rsidRDefault="00302BFE" w:rsidP="00243B15">
            <w:pPr>
              <w:pStyle w:val="TableParagraph"/>
              <w:spacing w:before="44"/>
              <w:ind w:left="84"/>
              <w:jc w:val="center"/>
              <w:rPr>
                <w:rFonts w:ascii="Calibri" w:hAnsi="Calibri"/>
                <w:b/>
                <w:sz w:val="16"/>
                <w:lang w:val="fr-CA"/>
              </w:rPr>
            </w:pPr>
            <w:r w:rsidRPr="00B43F59">
              <w:rPr>
                <w:rFonts w:ascii="Calibri" w:hAnsi="Calibri"/>
                <w:b/>
                <w:color w:val="FFFFFF"/>
                <w:sz w:val="16"/>
                <w:lang w:val="fr-CA"/>
              </w:rPr>
              <w:t>Prochaines étapes</w:t>
            </w:r>
          </w:p>
        </w:tc>
      </w:tr>
      <w:tr w:rsidR="00302BFE" w:rsidRPr="00B43F59" w14:paraId="35D1D6EF" w14:textId="77777777" w:rsidTr="00243B15">
        <w:trPr>
          <w:cantSplit/>
          <w:trHeight w:val="388"/>
          <w:tblHeader/>
          <w:jc w:val="center"/>
        </w:trPr>
        <w:tc>
          <w:tcPr>
            <w:tcW w:w="124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10C51A"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66474B"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567" w:type="dxa"/>
            <w:tcBorders>
              <w:top w:val="single" w:sz="4" w:space="0" w:color="auto"/>
              <w:left w:val="single" w:sz="4" w:space="0" w:color="auto"/>
              <w:bottom w:val="single" w:sz="4" w:space="0" w:color="auto"/>
              <w:right w:val="single" w:sz="4" w:space="0" w:color="auto"/>
            </w:tcBorders>
            <w:shd w:val="clear" w:color="auto" w:fill="16459A"/>
            <w:hideMark/>
          </w:tcPr>
          <w:p w14:paraId="7FC9E1B5" w14:textId="77777777" w:rsidR="00302BFE" w:rsidRPr="00B43F59" w:rsidRDefault="00302BFE" w:rsidP="00243B15">
            <w:pPr>
              <w:pStyle w:val="TableParagraph"/>
              <w:tabs>
                <w:tab w:val="left" w:pos="3999"/>
              </w:tabs>
              <w:spacing w:before="44"/>
              <w:ind w:left="84"/>
              <w:rPr>
                <w:rFonts w:ascii="Calibri" w:hAnsi="Calibri"/>
                <w:b/>
                <w:color w:val="FFFFFF"/>
                <w:w w:val="105"/>
                <w:sz w:val="14"/>
                <w:szCs w:val="14"/>
                <w:lang w:val="fr-CA"/>
              </w:rPr>
            </w:pPr>
            <w:r w:rsidRPr="00B43F59">
              <w:rPr>
                <w:rFonts w:ascii="Calibri" w:hAnsi="Calibri"/>
                <w:b/>
                <w:color w:val="FFFFFF"/>
                <w:w w:val="105"/>
                <w:sz w:val="14"/>
                <w:szCs w:val="14"/>
                <w:lang w:val="fr-CA"/>
              </w:rPr>
              <w:t>Référence</w:t>
            </w:r>
          </w:p>
        </w:tc>
        <w:tc>
          <w:tcPr>
            <w:tcW w:w="567" w:type="dxa"/>
            <w:tcBorders>
              <w:top w:val="single" w:sz="4" w:space="0" w:color="auto"/>
              <w:left w:val="single" w:sz="4" w:space="0" w:color="auto"/>
              <w:bottom w:val="single" w:sz="4" w:space="0" w:color="auto"/>
              <w:right w:val="single" w:sz="4" w:space="0" w:color="auto"/>
            </w:tcBorders>
            <w:shd w:val="clear" w:color="auto" w:fill="16459A"/>
            <w:hideMark/>
          </w:tcPr>
          <w:p w14:paraId="7EE4D84F" w14:textId="77777777" w:rsidR="00302BFE" w:rsidRPr="00B43F59" w:rsidRDefault="00302BFE" w:rsidP="00243B15">
            <w:pPr>
              <w:pStyle w:val="TableParagraph"/>
              <w:tabs>
                <w:tab w:val="left" w:pos="3999"/>
              </w:tabs>
              <w:spacing w:before="44"/>
              <w:ind w:left="84"/>
              <w:rPr>
                <w:rFonts w:ascii="Calibri" w:hAnsi="Calibri"/>
                <w:b/>
                <w:color w:val="FFFFFF"/>
                <w:w w:val="105"/>
                <w:sz w:val="14"/>
                <w:szCs w:val="14"/>
                <w:lang w:val="fr-CA"/>
              </w:rPr>
            </w:pPr>
            <w:r w:rsidRPr="00B43F59">
              <w:rPr>
                <w:rFonts w:ascii="Calibri" w:hAnsi="Calibri"/>
                <w:b/>
                <w:color w:val="FFFFFF"/>
                <w:w w:val="105"/>
                <w:sz w:val="14"/>
                <w:szCs w:val="14"/>
                <w:lang w:val="fr-CA"/>
              </w:rPr>
              <w:t>Mi-projet</w:t>
            </w:r>
          </w:p>
        </w:tc>
        <w:tc>
          <w:tcPr>
            <w:tcW w:w="567" w:type="dxa"/>
            <w:tcBorders>
              <w:top w:val="single" w:sz="4" w:space="0" w:color="auto"/>
              <w:left w:val="single" w:sz="4" w:space="0" w:color="auto"/>
              <w:bottom w:val="single" w:sz="4" w:space="0" w:color="auto"/>
              <w:right w:val="single" w:sz="4" w:space="0" w:color="auto"/>
            </w:tcBorders>
            <w:shd w:val="clear" w:color="auto" w:fill="16459A"/>
            <w:hideMark/>
          </w:tcPr>
          <w:p w14:paraId="2C4B3CC5" w14:textId="77777777" w:rsidR="00302BFE" w:rsidRPr="00B43F59" w:rsidRDefault="00302BFE" w:rsidP="00243B15">
            <w:pPr>
              <w:pStyle w:val="TableParagraph"/>
              <w:tabs>
                <w:tab w:val="left" w:pos="3999"/>
              </w:tabs>
              <w:spacing w:before="44"/>
              <w:ind w:left="84"/>
              <w:rPr>
                <w:rFonts w:ascii="Calibri" w:hAnsi="Calibri"/>
                <w:b/>
                <w:color w:val="FFFFFF"/>
                <w:w w:val="105"/>
                <w:sz w:val="14"/>
                <w:szCs w:val="14"/>
                <w:lang w:val="fr-CA"/>
              </w:rPr>
            </w:pPr>
            <w:r w:rsidRPr="00B43F59">
              <w:rPr>
                <w:rFonts w:ascii="Calibri" w:hAnsi="Calibri"/>
                <w:b/>
                <w:color w:val="FFFFFF"/>
                <w:w w:val="105"/>
                <w:sz w:val="14"/>
                <w:szCs w:val="14"/>
                <w:lang w:val="fr-CA"/>
              </w:rPr>
              <w:t>Fin de projet</w:t>
            </w:r>
          </w:p>
        </w:tc>
        <w:tc>
          <w:tcPr>
            <w:tcW w:w="32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6724F6"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36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01D193" w14:textId="77777777" w:rsidR="00302BFE" w:rsidRPr="00B43F59" w:rsidRDefault="00302BFE" w:rsidP="00243B15">
            <w:pPr>
              <w:widowControl w:val="0"/>
              <w:autoSpaceDE w:val="0"/>
              <w:autoSpaceDN w:val="0"/>
              <w:rPr>
                <w:rFonts w:eastAsia="Myriad Pro Light" w:cs="Myriad Pro Light"/>
                <w:b/>
                <w:sz w:val="16"/>
                <w:szCs w:val="22"/>
                <w:lang w:val="fr-CA"/>
              </w:rPr>
            </w:pPr>
          </w:p>
        </w:tc>
      </w:tr>
      <w:tr w:rsidR="00302BFE" w:rsidRPr="00B43F59" w14:paraId="0AFD3CE0" w14:textId="77777777" w:rsidTr="00243B15">
        <w:trPr>
          <w:trHeight w:val="264"/>
          <w:jc w:val="center"/>
        </w:trPr>
        <w:tc>
          <w:tcPr>
            <w:tcW w:w="14166" w:type="dxa"/>
            <w:gridSpan w:val="7"/>
            <w:tcBorders>
              <w:top w:val="single" w:sz="4" w:space="0" w:color="auto"/>
              <w:left w:val="single" w:sz="4" w:space="0" w:color="auto"/>
              <w:bottom w:val="single" w:sz="4" w:space="0" w:color="auto"/>
              <w:right w:val="single" w:sz="4" w:space="0" w:color="auto"/>
            </w:tcBorders>
            <w:shd w:val="clear" w:color="auto" w:fill="9ABAC3"/>
          </w:tcPr>
          <w:p w14:paraId="4E2F6331" w14:textId="77777777" w:rsidR="00302BFE" w:rsidRPr="00B43F59" w:rsidRDefault="00302BFE" w:rsidP="00243B15">
            <w:pPr>
              <w:pStyle w:val="TableParagraph"/>
              <w:spacing w:before="34"/>
              <w:ind w:left="79"/>
              <w:rPr>
                <w:rFonts w:ascii="Calibri" w:hAnsi="Calibri"/>
                <w:b/>
                <w:i/>
                <w:sz w:val="20"/>
                <w:szCs w:val="20"/>
                <w:lang w:val="fr-CA"/>
              </w:rPr>
            </w:pPr>
            <w:r w:rsidRPr="00B43F59">
              <w:rPr>
                <w:rFonts w:ascii="Calibri" w:hAnsi="Calibri"/>
                <w:b/>
                <w:i/>
                <w:sz w:val="20"/>
                <w:szCs w:val="20"/>
              </w:rPr>
              <w:t xml:space="preserve">1: </w:t>
            </w:r>
            <w:proofErr w:type="spellStart"/>
            <w:r w:rsidRPr="00B43F59">
              <w:rPr>
                <w:rFonts w:ascii="Calibri" w:hAnsi="Calibri"/>
                <w:b/>
                <w:i/>
                <w:sz w:val="20"/>
                <w:szCs w:val="20"/>
              </w:rPr>
              <w:t>Capacités</w:t>
            </w:r>
            <w:proofErr w:type="spellEnd"/>
            <w:r w:rsidRPr="00B43F59">
              <w:rPr>
                <w:rFonts w:ascii="Calibri" w:hAnsi="Calibri"/>
                <w:b/>
                <w:i/>
                <w:sz w:val="20"/>
                <w:szCs w:val="20"/>
              </w:rPr>
              <w:t xml:space="preserve"> de </w:t>
            </w:r>
            <w:proofErr w:type="spellStart"/>
            <w:r w:rsidRPr="00B43F59">
              <w:rPr>
                <w:rFonts w:ascii="Calibri" w:hAnsi="Calibri"/>
                <w:b/>
                <w:i/>
                <w:sz w:val="20"/>
                <w:szCs w:val="20"/>
              </w:rPr>
              <w:t>mobilisation</w:t>
            </w:r>
            <w:proofErr w:type="spellEnd"/>
          </w:p>
        </w:tc>
      </w:tr>
      <w:tr w:rsidR="00302BFE" w:rsidRPr="00B43F59" w14:paraId="23D6612F" w14:textId="77777777" w:rsidTr="00243B15">
        <w:trPr>
          <w:trHeight w:val="429"/>
          <w:jc w:val="center"/>
        </w:trPr>
        <w:tc>
          <w:tcPr>
            <w:tcW w:w="1246" w:type="dxa"/>
            <w:vMerge w:val="restart"/>
            <w:tcBorders>
              <w:top w:val="single" w:sz="4" w:space="0" w:color="auto"/>
              <w:left w:val="single" w:sz="6" w:space="0" w:color="16459A"/>
              <w:bottom w:val="single" w:sz="4" w:space="0" w:color="16459A"/>
              <w:right w:val="single" w:sz="4" w:space="0" w:color="16459A"/>
            </w:tcBorders>
            <w:shd w:val="clear" w:color="auto" w:fill="E0E1F1"/>
            <w:hideMark/>
          </w:tcPr>
          <w:p w14:paraId="30150A55" w14:textId="77777777" w:rsidR="00302BFE" w:rsidRPr="00B43F59" w:rsidRDefault="00302BFE" w:rsidP="00243B15">
            <w:pPr>
              <w:pStyle w:val="TableParagraph"/>
              <w:rPr>
                <w:rFonts w:ascii="Calibri" w:hAnsi="Calibri"/>
                <w:b/>
                <w:sz w:val="16"/>
                <w:lang w:val="fr-CA"/>
              </w:rPr>
            </w:pPr>
            <w:r w:rsidRPr="00B43F59">
              <w:rPr>
                <w:rFonts w:ascii="Calibri" w:hAnsi="Calibri"/>
                <w:b/>
                <w:sz w:val="16"/>
                <w:lang w:val="fr-CA"/>
              </w:rPr>
              <w:t>Indicateur 1: Degré de légitimité / mandat des principales organisations environnementales</w:t>
            </w:r>
          </w:p>
        </w:tc>
        <w:tc>
          <w:tcPr>
            <w:tcW w:w="4297" w:type="dxa"/>
            <w:tcBorders>
              <w:top w:val="single" w:sz="4" w:space="0" w:color="auto"/>
              <w:left w:val="single" w:sz="4" w:space="0" w:color="16459A"/>
              <w:bottom w:val="single" w:sz="4" w:space="0" w:color="16459A"/>
              <w:right w:val="single" w:sz="4" w:space="0" w:color="16459A"/>
            </w:tcBorders>
            <w:shd w:val="clear" w:color="auto" w:fill="auto"/>
            <w:hideMark/>
          </w:tcPr>
          <w:p w14:paraId="323A381F" w14:textId="77777777" w:rsidR="00302BFE" w:rsidRPr="00B43F59" w:rsidRDefault="00302BFE" w:rsidP="00243B15">
            <w:pPr>
              <w:pStyle w:val="TableParagraph"/>
              <w:spacing w:before="12" w:line="220" w:lineRule="atLeast"/>
              <w:ind w:left="79" w:right="72"/>
              <w:rPr>
                <w:rFonts w:ascii="Calibri" w:hAnsi="Calibri"/>
                <w:b/>
                <w:sz w:val="16"/>
                <w:lang w:val="fr-CA"/>
              </w:rPr>
            </w:pPr>
            <w:r w:rsidRPr="00B43F59">
              <w:rPr>
                <w:rFonts w:ascii="Calibri" w:hAnsi="Calibri"/>
                <w:b/>
                <w:sz w:val="16"/>
                <w:lang w:val="fr-CA"/>
              </w:rPr>
              <w:t>Les responsabilités organisationnelles en matière de gestion de l'environnement ne sont pas clairement définies</w:t>
            </w:r>
          </w:p>
        </w:tc>
        <w:tc>
          <w:tcPr>
            <w:tcW w:w="567" w:type="dxa"/>
            <w:tcBorders>
              <w:top w:val="single" w:sz="4" w:space="0" w:color="auto"/>
              <w:left w:val="single" w:sz="4" w:space="0" w:color="16459A"/>
              <w:bottom w:val="single" w:sz="4" w:space="0" w:color="16459A"/>
              <w:right w:val="single" w:sz="4" w:space="0" w:color="16459A"/>
            </w:tcBorders>
            <w:shd w:val="clear" w:color="auto" w:fill="auto"/>
            <w:hideMark/>
          </w:tcPr>
          <w:p w14:paraId="7E87BD8C" w14:textId="77777777" w:rsidR="00302BFE" w:rsidRPr="00B43F59" w:rsidRDefault="00302BFE" w:rsidP="00243B15">
            <w:pPr>
              <w:pStyle w:val="TableParagraph"/>
              <w:spacing w:before="37"/>
              <w:ind w:left="79"/>
              <w:rPr>
                <w:rFonts w:ascii="Calibri" w:hAnsi="Calibri"/>
                <w:b/>
                <w:sz w:val="16"/>
              </w:rPr>
            </w:pPr>
            <w:r w:rsidRPr="00B43F59">
              <w:rPr>
                <w:rFonts w:ascii="Calibri" w:hAnsi="Calibri"/>
                <w:b/>
                <w:sz w:val="16"/>
              </w:rPr>
              <w:t>0</w:t>
            </w:r>
          </w:p>
        </w:tc>
        <w:tc>
          <w:tcPr>
            <w:tcW w:w="567" w:type="dxa"/>
            <w:tcBorders>
              <w:top w:val="single" w:sz="4" w:space="0" w:color="auto"/>
              <w:left w:val="single" w:sz="4" w:space="0" w:color="16459A"/>
              <w:bottom w:val="single" w:sz="4" w:space="0" w:color="16459A"/>
              <w:right w:val="single" w:sz="4" w:space="0" w:color="16459A"/>
            </w:tcBorders>
            <w:shd w:val="clear" w:color="auto" w:fill="auto"/>
          </w:tcPr>
          <w:p w14:paraId="387F9E38" w14:textId="77777777" w:rsidR="00302BFE" w:rsidRPr="00B43F59" w:rsidRDefault="00302BFE" w:rsidP="00243B15">
            <w:pPr>
              <w:pStyle w:val="TableParagraph"/>
              <w:rPr>
                <w:rFonts w:ascii="Calibri" w:hAnsi="Calibri"/>
                <w:sz w:val="16"/>
              </w:rPr>
            </w:pPr>
          </w:p>
        </w:tc>
        <w:tc>
          <w:tcPr>
            <w:tcW w:w="567" w:type="dxa"/>
            <w:tcBorders>
              <w:top w:val="single" w:sz="4" w:space="0" w:color="auto"/>
              <w:left w:val="single" w:sz="4" w:space="0" w:color="16459A"/>
              <w:bottom w:val="single" w:sz="4" w:space="0" w:color="16459A"/>
              <w:right w:val="single" w:sz="4" w:space="0" w:color="16459A"/>
            </w:tcBorders>
            <w:shd w:val="clear" w:color="auto" w:fill="auto"/>
          </w:tcPr>
          <w:p w14:paraId="12E595A6" w14:textId="77777777" w:rsidR="00302BFE" w:rsidRPr="00B43F59" w:rsidRDefault="00302BFE" w:rsidP="00243B15">
            <w:pPr>
              <w:pStyle w:val="TableParagraph"/>
              <w:rPr>
                <w:rFonts w:ascii="Calibri" w:hAnsi="Calibri"/>
                <w:sz w:val="16"/>
              </w:rPr>
            </w:pPr>
          </w:p>
        </w:tc>
        <w:tc>
          <w:tcPr>
            <w:tcW w:w="3261" w:type="dxa"/>
            <w:tcBorders>
              <w:top w:val="single" w:sz="4" w:space="0" w:color="auto"/>
              <w:left w:val="single" w:sz="4" w:space="0" w:color="16459A"/>
              <w:bottom w:val="single" w:sz="4" w:space="0" w:color="16459A"/>
              <w:right w:val="single" w:sz="4" w:space="0" w:color="16459A"/>
            </w:tcBorders>
            <w:shd w:val="clear" w:color="auto" w:fill="auto"/>
          </w:tcPr>
          <w:p w14:paraId="0CAAC9D7" w14:textId="77777777" w:rsidR="00302BFE" w:rsidRPr="00B43F59" w:rsidRDefault="00302BFE" w:rsidP="00243B15">
            <w:pPr>
              <w:pStyle w:val="TableParagraph"/>
              <w:rPr>
                <w:rFonts w:ascii="Calibri" w:hAnsi="Calibri"/>
                <w:sz w:val="16"/>
              </w:rPr>
            </w:pPr>
          </w:p>
        </w:tc>
        <w:tc>
          <w:tcPr>
            <w:tcW w:w="3661" w:type="dxa"/>
            <w:tcBorders>
              <w:top w:val="single" w:sz="4" w:space="0" w:color="auto"/>
              <w:left w:val="single" w:sz="4" w:space="0" w:color="16459A"/>
              <w:bottom w:val="single" w:sz="4" w:space="0" w:color="16459A"/>
              <w:right w:val="single" w:sz="4" w:space="0" w:color="16459A"/>
            </w:tcBorders>
            <w:shd w:val="clear" w:color="auto" w:fill="auto"/>
          </w:tcPr>
          <w:p w14:paraId="0F0DE9FE" w14:textId="77777777" w:rsidR="00302BFE" w:rsidRPr="00B43F59" w:rsidRDefault="00302BFE" w:rsidP="00243B15">
            <w:pPr>
              <w:pStyle w:val="TableParagraph"/>
              <w:rPr>
                <w:rFonts w:ascii="Calibri" w:hAnsi="Calibri"/>
                <w:sz w:val="16"/>
              </w:rPr>
            </w:pPr>
          </w:p>
        </w:tc>
      </w:tr>
      <w:tr w:rsidR="00302BFE" w:rsidRPr="00B43F59" w14:paraId="7015C7CE" w14:textId="77777777" w:rsidTr="00243B15">
        <w:trPr>
          <w:trHeight w:val="490"/>
          <w:jc w:val="center"/>
        </w:trPr>
        <w:tc>
          <w:tcPr>
            <w:tcW w:w="1246" w:type="dxa"/>
            <w:vMerge/>
            <w:tcBorders>
              <w:top w:val="single" w:sz="4" w:space="0" w:color="auto"/>
              <w:left w:val="single" w:sz="6" w:space="0" w:color="16459A"/>
              <w:bottom w:val="single" w:sz="4" w:space="0" w:color="16459A"/>
              <w:right w:val="single" w:sz="4" w:space="0" w:color="16459A"/>
            </w:tcBorders>
            <w:shd w:val="clear" w:color="auto" w:fill="auto"/>
            <w:vAlign w:val="center"/>
            <w:hideMark/>
          </w:tcPr>
          <w:p w14:paraId="725B0C7B"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29FAC4AB" w14:textId="77777777" w:rsidR="00302BFE" w:rsidRPr="00B43F59" w:rsidRDefault="00302BFE" w:rsidP="00243B15">
            <w:pPr>
              <w:pStyle w:val="TableParagraph"/>
              <w:spacing w:before="15" w:line="220" w:lineRule="atLeast"/>
              <w:ind w:left="79" w:right="72"/>
              <w:rPr>
                <w:rFonts w:ascii="Calibri" w:hAnsi="Calibri"/>
                <w:b/>
                <w:sz w:val="16"/>
                <w:lang w:val="fr-CA"/>
              </w:rPr>
            </w:pPr>
            <w:r w:rsidRPr="00B43F59">
              <w:rPr>
                <w:rFonts w:ascii="Calibri" w:hAnsi="Calibri"/>
                <w:b/>
                <w:sz w:val="16"/>
                <w:lang w:val="fr-CA"/>
              </w:rPr>
              <w:t>Les responsabilités organisationnelles en matière de gestion de l'environnement sont identifiées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1457A2E0" w14:textId="77777777" w:rsidR="00302BFE" w:rsidRPr="00B43F59" w:rsidRDefault="00302BFE" w:rsidP="00243B15">
            <w:pPr>
              <w:pStyle w:val="TableParagraph"/>
              <w:spacing w:before="39"/>
              <w:ind w:left="79"/>
              <w:rPr>
                <w:rFonts w:ascii="Calibri" w:hAnsi="Calibri"/>
                <w:b/>
                <w:sz w:val="16"/>
              </w:rPr>
            </w:pPr>
            <w:r w:rsidRPr="00B43F59">
              <w:rPr>
                <w:rFonts w:ascii="Calibri" w:hAnsi="Calibri"/>
                <w:b/>
                <w:sz w:val="16"/>
              </w:rPr>
              <w:t>1</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1101B2F"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61EF8934"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3D6F7366"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77AAD762" w14:textId="77777777" w:rsidR="00302BFE" w:rsidRPr="00B43F59" w:rsidRDefault="00302BFE" w:rsidP="00243B15">
            <w:pPr>
              <w:pStyle w:val="TableParagraph"/>
              <w:rPr>
                <w:rFonts w:ascii="Calibri" w:hAnsi="Calibri"/>
                <w:sz w:val="16"/>
              </w:rPr>
            </w:pPr>
          </w:p>
        </w:tc>
      </w:tr>
      <w:tr w:rsidR="00302BFE" w:rsidRPr="00AB47BD" w14:paraId="3A1BBC39" w14:textId="77777777" w:rsidTr="00243B15">
        <w:trPr>
          <w:trHeight w:val="648"/>
          <w:jc w:val="center"/>
        </w:trPr>
        <w:tc>
          <w:tcPr>
            <w:tcW w:w="1246" w:type="dxa"/>
            <w:vMerge/>
            <w:tcBorders>
              <w:top w:val="single" w:sz="4" w:space="0" w:color="auto"/>
              <w:left w:val="single" w:sz="6" w:space="0" w:color="16459A"/>
              <w:bottom w:val="single" w:sz="4" w:space="0" w:color="16459A"/>
              <w:right w:val="single" w:sz="4" w:space="0" w:color="16459A"/>
            </w:tcBorders>
            <w:shd w:val="clear" w:color="auto" w:fill="auto"/>
            <w:vAlign w:val="center"/>
            <w:hideMark/>
          </w:tcPr>
          <w:p w14:paraId="0E9F17C2"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085F32F0" w14:textId="77777777" w:rsidR="00302BFE" w:rsidRPr="00B43F59" w:rsidRDefault="00302BFE" w:rsidP="00243B15">
            <w:pPr>
              <w:pStyle w:val="TableParagraph"/>
              <w:spacing w:before="15" w:line="220" w:lineRule="atLeast"/>
              <w:ind w:left="79" w:right="72"/>
              <w:rPr>
                <w:rFonts w:ascii="Calibri" w:hAnsi="Calibri"/>
                <w:b/>
                <w:sz w:val="16"/>
                <w:lang w:val="fr-CA"/>
              </w:rPr>
            </w:pPr>
            <w:r w:rsidRPr="00B43F59">
              <w:rPr>
                <w:rFonts w:ascii="Calibri" w:hAnsi="Calibri"/>
                <w:b/>
                <w:sz w:val="16"/>
                <w:lang w:val="fr-CA"/>
              </w:rPr>
              <w:t>L’autorité et la légitimité de toutes les organisations responsables de la gestion de l'environnement sont partiellement reconnues par les parties prenantes</w:t>
            </w:r>
          </w:p>
        </w:tc>
        <w:tc>
          <w:tcPr>
            <w:tcW w:w="567" w:type="dxa"/>
            <w:tcBorders>
              <w:top w:val="single" w:sz="4" w:space="0" w:color="16459A"/>
              <w:left w:val="single" w:sz="4" w:space="0" w:color="16459A"/>
              <w:bottom w:val="single" w:sz="4" w:space="0" w:color="16459A"/>
              <w:right w:val="single" w:sz="4" w:space="0" w:color="16459A"/>
            </w:tcBorders>
            <w:shd w:val="clear" w:color="auto" w:fill="FBE4D5"/>
            <w:hideMark/>
          </w:tcPr>
          <w:p w14:paraId="4731E346" w14:textId="77777777" w:rsidR="00302BFE" w:rsidRPr="00B43F59" w:rsidRDefault="00302BFE" w:rsidP="00243B15">
            <w:pPr>
              <w:pStyle w:val="TableParagraph"/>
              <w:spacing w:before="39"/>
              <w:ind w:left="79"/>
              <w:rPr>
                <w:rFonts w:ascii="Calibri" w:hAnsi="Calibri"/>
                <w:b/>
                <w:sz w:val="16"/>
              </w:rPr>
            </w:pPr>
            <w:r w:rsidRPr="00B43F59">
              <w:rPr>
                <w:rFonts w:ascii="Calibri" w:hAnsi="Calibri"/>
                <w:b/>
                <w:sz w:val="16"/>
              </w:rPr>
              <w:t>2</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5FE8D636"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26EB109"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hideMark/>
          </w:tcPr>
          <w:p w14:paraId="6B8A4A75"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Statuts assez clairs, Conseils d’Administration en place, services centrés et décentrés assez bien organisés, attributions et mandats bien connus. Tous les utilisateurs connaissent les interlocuteurs locaux. Cependant les concessionnaires, les collectivités et les utilisateurs ne connaissent pas bien les structures et leurs rôles</w:t>
            </w:r>
          </w:p>
        </w:tc>
        <w:tc>
          <w:tcPr>
            <w:tcW w:w="3661" w:type="dxa"/>
            <w:tcBorders>
              <w:top w:val="single" w:sz="4" w:space="0" w:color="16459A"/>
              <w:left w:val="single" w:sz="4" w:space="0" w:color="16459A"/>
              <w:bottom w:val="single" w:sz="4" w:space="0" w:color="16459A"/>
              <w:right w:val="single" w:sz="4" w:space="0" w:color="16459A"/>
            </w:tcBorders>
            <w:shd w:val="clear" w:color="auto" w:fill="auto"/>
            <w:hideMark/>
          </w:tcPr>
          <w:p w14:paraId="33576072"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Communication pour permettre au public de maîtriser les rôles de chaque structure</w:t>
            </w:r>
          </w:p>
        </w:tc>
      </w:tr>
      <w:tr w:rsidR="00302BFE" w:rsidRPr="00B43F59" w14:paraId="3E15A265" w14:textId="77777777" w:rsidTr="00243B15">
        <w:trPr>
          <w:trHeight w:val="710"/>
          <w:jc w:val="center"/>
        </w:trPr>
        <w:tc>
          <w:tcPr>
            <w:tcW w:w="1246" w:type="dxa"/>
            <w:vMerge/>
            <w:tcBorders>
              <w:top w:val="single" w:sz="4" w:space="0" w:color="auto"/>
              <w:left w:val="single" w:sz="6" w:space="0" w:color="16459A"/>
              <w:bottom w:val="single" w:sz="4" w:space="0" w:color="16459A"/>
              <w:right w:val="single" w:sz="4" w:space="0" w:color="16459A"/>
            </w:tcBorders>
            <w:shd w:val="clear" w:color="auto" w:fill="auto"/>
            <w:vAlign w:val="center"/>
            <w:hideMark/>
          </w:tcPr>
          <w:p w14:paraId="5510A322"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7A4F33AD" w14:textId="77777777" w:rsidR="00302BFE" w:rsidRPr="00B43F59" w:rsidRDefault="00302BFE" w:rsidP="00243B15">
            <w:pPr>
              <w:pStyle w:val="TableParagraph"/>
              <w:spacing w:before="15" w:line="220" w:lineRule="atLeast"/>
              <w:ind w:left="79" w:right="72"/>
              <w:rPr>
                <w:rFonts w:ascii="Calibri" w:hAnsi="Calibri"/>
                <w:b/>
                <w:sz w:val="16"/>
                <w:lang w:val="fr-CA"/>
              </w:rPr>
            </w:pPr>
            <w:r w:rsidRPr="00B43F59">
              <w:rPr>
                <w:rFonts w:ascii="Calibri" w:hAnsi="Calibri"/>
                <w:b/>
                <w:sz w:val="16"/>
                <w:lang w:val="fr-CA"/>
              </w:rPr>
              <w:t>L’autorité et la légitimité de toutes les organisations responsables de la gestion de l’environnement sont reconnues par les parties prenantes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4B7E7C5E" w14:textId="77777777" w:rsidR="00302BFE" w:rsidRPr="00B43F59" w:rsidRDefault="00302BFE" w:rsidP="00243B15">
            <w:pPr>
              <w:pStyle w:val="TableParagraph"/>
              <w:spacing w:before="39"/>
              <w:ind w:left="79"/>
              <w:rPr>
                <w:rFonts w:ascii="Calibri" w:hAnsi="Calibri"/>
                <w:b/>
                <w:sz w:val="16"/>
              </w:rPr>
            </w:pPr>
            <w:r w:rsidRPr="00B43F59">
              <w:rPr>
                <w:rFonts w:ascii="Calibri" w:hAnsi="Calibri"/>
                <w:b/>
                <w:sz w:val="16"/>
              </w:rPr>
              <w:t>3</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E75FA30"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1F0BEDB0"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27AA4225"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49B84AAD" w14:textId="77777777" w:rsidR="00302BFE" w:rsidRPr="00B43F59" w:rsidRDefault="00302BFE" w:rsidP="00243B15">
            <w:pPr>
              <w:pStyle w:val="TableParagraph"/>
              <w:rPr>
                <w:rFonts w:ascii="Calibri" w:hAnsi="Calibri"/>
                <w:sz w:val="16"/>
              </w:rPr>
            </w:pPr>
          </w:p>
        </w:tc>
      </w:tr>
      <w:tr w:rsidR="00302BFE" w:rsidRPr="00B43F59" w14:paraId="36B2F418" w14:textId="77777777" w:rsidTr="00243B15">
        <w:trPr>
          <w:trHeight w:val="270"/>
          <w:jc w:val="center"/>
        </w:trPr>
        <w:tc>
          <w:tcPr>
            <w:tcW w:w="1246" w:type="dxa"/>
            <w:vMerge w:val="restart"/>
            <w:tcBorders>
              <w:top w:val="single" w:sz="4" w:space="0" w:color="16459A"/>
              <w:left w:val="single" w:sz="4" w:space="0" w:color="16459A"/>
              <w:bottom w:val="single" w:sz="4" w:space="0" w:color="16459A"/>
              <w:right w:val="single" w:sz="6" w:space="0" w:color="16459A"/>
            </w:tcBorders>
            <w:shd w:val="clear" w:color="auto" w:fill="E0E1F1"/>
            <w:hideMark/>
          </w:tcPr>
          <w:p w14:paraId="5F03C479" w14:textId="77777777" w:rsidR="00302BFE" w:rsidRPr="00B43F59" w:rsidRDefault="00302BFE" w:rsidP="00243B15">
            <w:pPr>
              <w:pStyle w:val="TableParagraph"/>
              <w:rPr>
                <w:rFonts w:ascii="Calibri" w:hAnsi="Calibri"/>
                <w:b/>
                <w:sz w:val="16"/>
                <w:lang w:val="fr-CA"/>
              </w:rPr>
            </w:pPr>
            <w:r w:rsidRPr="00B43F59">
              <w:rPr>
                <w:rFonts w:ascii="Calibri" w:hAnsi="Calibri"/>
                <w:b/>
                <w:sz w:val="16"/>
                <w:lang w:val="fr-CA"/>
              </w:rPr>
              <w:t>Indicateur 2: Existence de mécanismes de cogestion opérationnels</w:t>
            </w: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2E95303F" w14:textId="77777777" w:rsidR="00302BFE" w:rsidRPr="00B43F59" w:rsidRDefault="00302BFE" w:rsidP="00243B15">
            <w:pPr>
              <w:pStyle w:val="TableParagraph"/>
              <w:spacing w:before="39"/>
              <w:ind w:left="79"/>
              <w:rPr>
                <w:rFonts w:ascii="Calibri" w:hAnsi="Calibri"/>
                <w:b/>
                <w:sz w:val="16"/>
                <w:lang w:val="fr-CA"/>
              </w:rPr>
            </w:pPr>
            <w:r w:rsidRPr="00B43F59">
              <w:rPr>
                <w:rFonts w:ascii="Calibri" w:hAnsi="Calibri"/>
                <w:b/>
                <w:sz w:val="16"/>
                <w:lang w:val="fr-CA"/>
              </w:rPr>
              <w:t>Aucun mécanisme de cogestion n'est en place</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2C68B602" w14:textId="77777777" w:rsidR="00302BFE" w:rsidRPr="00B43F59" w:rsidRDefault="00302BFE" w:rsidP="00243B15">
            <w:pPr>
              <w:pStyle w:val="TableParagraph"/>
              <w:spacing w:before="39"/>
              <w:ind w:left="79"/>
              <w:rPr>
                <w:rFonts w:ascii="Calibri" w:hAnsi="Calibri"/>
                <w:b/>
                <w:sz w:val="16"/>
              </w:rPr>
            </w:pPr>
            <w:r w:rsidRPr="00B43F59">
              <w:rPr>
                <w:rFonts w:ascii="Calibri" w:hAnsi="Calibri"/>
                <w:b/>
                <w:sz w:val="16"/>
              </w:rPr>
              <w:t>0</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81B2B64"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555C6BCD"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55A07475"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07A0964E" w14:textId="77777777" w:rsidR="00302BFE" w:rsidRPr="00B43F59" w:rsidRDefault="00302BFE" w:rsidP="00243B15">
            <w:pPr>
              <w:pStyle w:val="TableParagraph"/>
              <w:rPr>
                <w:rFonts w:ascii="Calibri" w:hAnsi="Calibri"/>
                <w:sz w:val="16"/>
              </w:rPr>
            </w:pPr>
          </w:p>
        </w:tc>
      </w:tr>
      <w:tr w:rsidR="00302BFE" w:rsidRPr="00B43F59" w14:paraId="2CED4EE9" w14:textId="77777777" w:rsidTr="00243B15">
        <w:trPr>
          <w:trHeight w:val="331"/>
          <w:jc w:val="center"/>
        </w:trPr>
        <w:tc>
          <w:tcPr>
            <w:tcW w:w="1246" w:type="dxa"/>
            <w:vMerge/>
            <w:tcBorders>
              <w:top w:val="single" w:sz="4" w:space="0" w:color="16459A"/>
              <w:left w:val="single" w:sz="4" w:space="0" w:color="16459A"/>
              <w:bottom w:val="single" w:sz="4" w:space="0" w:color="16459A"/>
              <w:right w:val="single" w:sz="6" w:space="0" w:color="16459A"/>
            </w:tcBorders>
            <w:shd w:val="clear" w:color="auto" w:fill="auto"/>
            <w:vAlign w:val="center"/>
            <w:hideMark/>
          </w:tcPr>
          <w:p w14:paraId="0A4B1AAF"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7E4B5681" w14:textId="77777777" w:rsidR="00302BFE" w:rsidRPr="00B43F59" w:rsidRDefault="00302BFE" w:rsidP="00243B15">
            <w:pPr>
              <w:pStyle w:val="TableParagraph"/>
              <w:spacing w:before="15" w:line="220" w:lineRule="atLeast"/>
              <w:ind w:left="79" w:right="72"/>
              <w:rPr>
                <w:rFonts w:ascii="Calibri" w:hAnsi="Calibri"/>
                <w:b/>
                <w:sz w:val="16"/>
                <w:lang w:val="fr-CA"/>
              </w:rPr>
            </w:pPr>
            <w:r w:rsidRPr="00B43F59">
              <w:rPr>
                <w:rFonts w:ascii="Calibri" w:hAnsi="Calibri"/>
                <w:b/>
                <w:sz w:val="16"/>
                <w:lang w:val="fr-CA"/>
              </w:rPr>
              <w:t>Certains mécanismes de cogestion sont en place et opérationnels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2B429624" w14:textId="77777777" w:rsidR="00302BFE" w:rsidRPr="00B43F59" w:rsidRDefault="00302BFE" w:rsidP="00243B15">
            <w:pPr>
              <w:pStyle w:val="TableParagraph"/>
              <w:spacing w:before="39"/>
              <w:ind w:left="79"/>
              <w:rPr>
                <w:rFonts w:ascii="Calibri" w:hAnsi="Calibri"/>
                <w:b/>
                <w:sz w:val="16"/>
              </w:rPr>
            </w:pPr>
            <w:r w:rsidRPr="00B43F59">
              <w:rPr>
                <w:rFonts w:ascii="Calibri" w:hAnsi="Calibri"/>
                <w:b/>
                <w:sz w:val="16"/>
              </w:rPr>
              <w:t>1</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34869F8C"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2BA387BE"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3B9B3B3F"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4D3CB4B4" w14:textId="77777777" w:rsidR="00302BFE" w:rsidRPr="00B43F59" w:rsidRDefault="00302BFE" w:rsidP="00243B15">
            <w:pPr>
              <w:pStyle w:val="TableParagraph"/>
              <w:rPr>
                <w:rFonts w:ascii="Calibri" w:hAnsi="Calibri"/>
                <w:sz w:val="16"/>
              </w:rPr>
            </w:pPr>
          </w:p>
        </w:tc>
      </w:tr>
      <w:tr w:rsidR="00302BFE" w:rsidRPr="00AB47BD" w14:paraId="1D8FC494" w14:textId="77777777" w:rsidTr="00243B15">
        <w:trPr>
          <w:trHeight w:val="437"/>
          <w:jc w:val="center"/>
        </w:trPr>
        <w:tc>
          <w:tcPr>
            <w:tcW w:w="1246" w:type="dxa"/>
            <w:vMerge/>
            <w:tcBorders>
              <w:top w:val="single" w:sz="4" w:space="0" w:color="16459A"/>
              <w:left w:val="single" w:sz="4" w:space="0" w:color="16459A"/>
              <w:bottom w:val="single" w:sz="4" w:space="0" w:color="16459A"/>
              <w:right w:val="single" w:sz="6" w:space="0" w:color="16459A"/>
            </w:tcBorders>
            <w:shd w:val="clear" w:color="auto" w:fill="auto"/>
            <w:vAlign w:val="center"/>
            <w:hideMark/>
          </w:tcPr>
          <w:p w14:paraId="26F8FB3E"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38CB2EA6" w14:textId="77777777" w:rsidR="00302BFE" w:rsidRPr="00B43F59" w:rsidRDefault="00302BFE" w:rsidP="00243B15">
            <w:pPr>
              <w:pStyle w:val="TableParagraph"/>
              <w:spacing w:before="15" w:line="220" w:lineRule="atLeast"/>
              <w:ind w:left="79" w:right="170"/>
              <w:rPr>
                <w:rFonts w:ascii="Calibri" w:hAnsi="Calibri"/>
                <w:b/>
                <w:sz w:val="16"/>
                <w:lang w:val="fr-CA"/>
              </w:rPr>
            </w:pPr>
            <w:r w:rsidRPr="00B43F59">
              <w:rPr>
                <w:rFonts w:ascii="Calibri" w:hAnsi="Calibri"/>
                <w:b/>
                <w:sz w:val="16"/>
                <w:lang w:val="fr-CA"/>
              </w:rPr>
              <w:t>Certains mécanismes de cogestion sont formellement établis par des accords, des protocoles d'accord (</w:t>
            </w:r>
            <w:proofErr w:type="spellStart"/>
            <w:r w:rsidRPr="00B43F59">
              <w:rPr>
                <w:rFonts w:ascii="Calibri" w:hAnsi="Calibri"/>
                <w:b/>
                <w:sz w:val="16"/>
                <w:lang w:val="fr-CA"/>
              </w:rPr>
              <w:t>MoU</w:t>
            </w:r>
            <w:proofErr w:type="spellEnd"/>
            <w:r w:rsidRPr="00B43F59">
              <w:rPr>
                <w:rFonts w:ascii="Calibri" w:hAnsi="Calibri"/>
                <w:b/>
                <w:sz w:val="16"/>
                <w:lang w:val="fr-CA"/>
              </w:rPr>
              <w:t>), etc.</w:t>
            </w:r>
          </w:p>
        </w:tc>
        <w:tc>
          <w:tcPr>
            <w:tcW w:w="567" w:type="dxa"/>
            <w:tcBorders>
              <w:top w:val="single" w:sz="4" w:space="0" w:color="16459A"/>
              <w:left w:val="single" w:sz="4" w:space="0" w:color="16459A"/>
              <w:bottom w:val="single" w:sz="4" w:space="0" w:color="16459A"/>
              <w:right w:val="single" w:sz="4" w:space="0" w:color="16459A"/>
            </w:tcBorders>
            <w:shd w:val="clear" w:color="auto" w:fill="FBE4D5"/>
            <w:hideMark/>
          </w:tcPr>
          <w:p w14:paraId="65C967D3" w14:textId="77777777" w:rsidR="00302BFE" w:rsidRPr="00B43F59" w:rsidRDefault="00302BFE" w:rsidP="00243B15">
            <w:pPr>
              <w:pStyle w:val="TableParagraph"/>
              <w:spacing w:before="39"/>
              <w:ind w:left="79"/>
              <w:rPr>
                <w:rFonts w:ascii="Calibri" w:hAnsi="Calibri"/>
                <w:b/>
                <w:sz w:val="16"/>
              </w:rPr>
            </w:pPr>
            <w:r w:rsidRPr="00B43F59">
              <w:rPr>
                <w:rFonts w:ascii="Calibri" w:hAnsi="Calibri"/>
                <w:b/>
                <w:sz w:val="16"/>
              </w:rPr>
              <w:t>2</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7AA0FB77"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CDC0111"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hideMark/>
          </w:tcPr>
          <w:p w14:paraId="6F218DF7"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CA"/>
              </w:rPr>
              <w:t xml:space="preserve">Des protocoles d’accord </w:t>
            </w:r>
            <w:r w:rsidRPr="00B43F59">
              <w:rPr>
                <w:rFonts w:ascii="Calibri" w:hAnsi="Calibri"/>
                <w:sz w:val="16"/>
                <w:lang w:val="fr-FR"/>
              </w:rPr>
              <w:t xml:space="preserve">de partenariat </w:t>
            </w:r>
            <w:r w:rsidRPr="00B43F59">
              <w:rPr>
                <w:rFonts w:ascii="Calibri" w:hAnsi="Calibri"/>
                <w:sz w:val="16"/>
                <w:lang w:val="fr-CA"/>
              </w:rPr>
              <w:t>existent avec les groupements villageois, les concessionnaires</w:t>
            </w:r>
            <w:r w:rsidRPr="00B43F59">
              <w:rPr>
                <w:rFonts w:ascii="Calibri" w:hAnsi="Calibri"/>
                <w:sz w:val="16"/>
                <w:lang w:val="fr-FR"/>
              </w:rPr>
              <w:t xml:space="preserve"> et autres acteurs de la gestion. Cependant, la cogestion n’est pas tout à fait effective, quoique très avancée puisque les associations, des groupements, les CVGF participant à la gestion.</w:t>
            </w: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75501DAF" w14:textId="77777777" w:rsidR="00302BFE" w:rsidRPr="00B43F59" w:rsidRDefault="00302BFE" w:rsidP="00243B15">
            <w:pPr>
              <w:pStyle w:val="TableParagraph"/>
              <w:rPr>
                <w:rFonts w:ascii="Calibri" w:hAnsi="Calibri"/>
                <w:sz w:val="16"/>
                <w:lang w:val="fr-CA"/>
              </w:rPr>
            </w:pPr>
          </w:p>
        </w:tc>
      </w:tr>
      <w:tr w:rsidR="00302BFE" w:rsidRPr="00B43F59" w14:paraId="35C063B9" w14:textId="77777777" w:rsidTr="00243B15">
        <w:trPr>
          <w:trHeight w:val="400"/>
          <w:jc w:val="center"/>
        </w:trPr>
        <w:tc>
          <w:tcPr>
            <w:tcW w:w="1246" w:type="dxa"/>
            <w:vMerge/>
            <w:tcBorders>
              <w:top w:val="single" w:sz="4" w:space="0" w:color="16459A"/>
              <w:left w:val="single" w:sz="4" w:space="0" w:color="16459A"/>
              <w:bottom w:val="single" w:sz="4" w:space="0" w:color="16459A"/>
              <w:right w:val="single" w:sz="6" w:space="0" w:color="16459A"/>
            </w:tcBorders>
            <w:shd w:val="clear" w:color="auto" w:fill="auto"/>
            <w:vAlign w:val="center"/>
            <w:hideMark/>
          </w:tcPr>
          <w:p w14:paraId="2F751AF0"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3A97335E" w14:textId="77777777" w:rsidR="00302BFE" w:rsidRPr="00B43F59" w:rsidRDefault="00302BFE" w:rsidP="00243B15">
            <w:pPr>
              <w:pStyle w:val="TableParagraph"/>
              <w:spacing w:before="15" w:line="220" w:lineRule="atLeast"/>
              <w:ind w:left="79" w:right="72"/>
              <w:rPr>
                <w:rFonts w:ascii="Calibri" w:hAnsi="Calibri"/>
                <w:b/>
                <w:sz w:val="16"/>
                <w:lang w:val="fr-CA"/>
              </w:rPr>
            </w:pPr>
            <w:r w:rsidRPr="00B43F59">
              <w:rPr>
                <w:rFonts w:ascii="Calibri" w:hAnsi="Calibri"/>
                <w:b/>
                <w:sz w:val="16"/>
                <w:lang w:val="fr-CA"/>
              </w:rPr>
              <w:t>Des mécanismes complets de cogestion sont officiellement mis en place et sont opérationnels / fonctionnels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559A703E" w14:textId="77777777" w:rsidR="00302BFE" w:rsidRPr="00B43F59" w:rsidRDefault="00302BFE" w:rsidP="00243B15">
            <w:pPr>
              <w:pStyle w:val="TableParagraph"/>
              <w:spacing w:before="39"/>
              <w:ind w:left="79"/>
              <w:rPr>
                <w:rFonts w:ascii="Calibri" w:hAnsi="Calibri"/>
                <w:b/>
                <w:sz w:val="16"/>
              </w:rPr>
            </w:pPr>
            <w:r w:rsidRPr="00B43F59">
              <w:rPr>
                <w:rFonts w:ascii="Calibri" w:hAnsi="Calibri"/>
                <w:b/>
                <w:sz w:val="16"/>
              </w:rPr>
              <w:t>3</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20D0E539"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8F6885D"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74DA044A"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6AE38709" w14:textId="77777777" w:rsidR="00302BFE" w:rsidRPr="00B43F59" w:rsidRDefault="00302BFE" w:rsidP="00243B15">
            <w:pPr>
              <w:pStyle w:val="TableParagraph"/>
              <w:rPr>
                <w:rFonts w:ascii="Calibri" w:hAnsi="Calibri"/>
                <w:sz w:val="16"/>
              </w:rPr>
            </w:pPr>
          </w:p>
        </w:tc>
      </w:tr>
      <w:tr w:rsidR="00302BFE" w:rsidRPr="00B43F59" w14:paraId="03E85FE0" w14:textId="77777777" w:rsidTr="00243B15">
        <w:trPr>
          <w:trHeight w:val="350"/>
          <w:jc w:val="center"/>
        </w:trPr>
        <w:tc>
          <w:tcPr>
            <w:tcW w:w="1246" w:type="dxa"/>
            <w:vMerge w:val="restart"/>
            <w:tcBorders>
              <w:top w:val="single" w:sz="4" w:space="0" w:color="16459A"/>
              <w:left w:val="single" w:sz="6" w:space="0" w:color="16459A"/>
              <w:bottom w:val="single" w:sz="4" w:space="0" w:color="16459A"/>
              <w:right w:val="single" w:sz="4" w:space="0" w:color="16459A"/>
            </w:tcBorders>
            <w:shd w:val="clear" w:color="auto" w:fill="E0E1F1"/>
            <w:hideMark/>
          </w:tcPr>
          <w:p w14:paraId="30BE8900" w14:textId="77777777" w:rsidR="00302BFE" w:rsidRPr="00B43F59" w:rsidRDefault="00302BFE" w:rsidP="00243B15">
            <w:pPr>
              <w:pStyle w:val="TableParagraph"/>
              <w:rPr>
                <w:rFonts w:ascii="Calibri" w:hAnsi="Calibri"/>
                <w:b/>
                <w:sz w:val="16"/>
                <w:lang w:val="fr-CA"/>
              </w:rPr>
            </w:pPr>
            <w:r w:rsidRPr="00B43F59">
              <w:rPr>
                <w:rFonts w:ascii="Calibri" w:hAnsi="Calibri"/>
                <w:b/>
                <w:sz w:val="16"/>
                <w:lang w:val="fr-CA"/>
              </w:rPr>
              <w:t xml:space="preserve">Indicateur 3: Existence d'une </w:t>
            </w:r>
            <w:r w:rsidRPr="00B43F59">
              <w:rPr>
                <w:rFonts w:ascii="Calibri" w:hAnsi="Calibri"/>
                <w:b/>
                <w:sz w:val="16"/>
                <w:lang w:val="fr-CA"/>
              </w:rPr>
              <w:lastRenderedPageBreak/>
              <w:t>coopération avec les groupes de parties prenantes</w:t>
            </w: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189A81D8" w14:textId="77777777" w:rsidR="00302BFE" w:rsidRPr="00B43F59" w:rsidRDefault="00302BFE" w:rsidP="00243B15">
            <w:pPr>
              <w:pStyle w:val="TableParagraph"/>
              <w:spacing w:before="15" w:line="220" w:lineRule="atLeast"/>
              <w:ind w:left="79" w:right="170"/>
              <w:rPr>
                <w:rFonts w:ascii="Calibri" w:hAnsi="Calibri"/>
                <w:b/>
                <w:sz w:val="16"/>
                <w:lang w:val="fr-CA"/>
              </w:rPr>
            </w:pPr>
            <w:r w:rsidRPr="00B43F59">
              <w:rPr>
                <w:rFonts w:ascii="Calibri" w:hAnsi="Calibri"/>
                <w:b/>
                <w:sz w:val="16"/>
                <w:lang w:val="fr-CA"/>
              </w:rPr>
              <w:lastRenderedPageBreak/>
              <w:t>L'identification des parties prenantes et de leur participation / implication dans la prise de décision est faible</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7A7401D3" w14:textId="77777777" w:rsidR="00302BFE" w:rsidRPr="00B43F59" w:rsidRDefault="00302BFE" w:rsidP="00243B15">
            <w:pPr>
              <w:pStyle w:val="TableParagraph"/>
              <w:spacing w:before="39"/>
              <w:ind w:left="79"/>
              <w:rPr>
                <w:rFonts w:ascii="Calibri" w:hAnsi="Calibri"/>
                <w:b/>
                <w:sz w:val="16"/>
              </w:rPr>
            </w:pPr>
            <w:r w:rsidRPr="00B43F59">
              <w:rPr>
                <w:rFonts w:ascii="Calibri" w:hAnsi="Calibri"/>
                <w:b/>
                <w:sz w:val="16"/>
              </w:rPr>
              <w:t>0</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F76EAFF"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20220F7B"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55B8A92A"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283E950A" w14:textId="77777777" w:rsidR="00302BFE" w:rsidRPr="00B43F59" w:rsidRDefault="00302BFE" w:rsidP="00243B15">
            <w:pPr>
              <w:pStyle w:val="TableParagraph"/>
              <w:rPr>
                <w:rFonts w:ascii="Calibri" w:hAnsi="Calibri"/>
                <w:sz w:val="16"/>
              </w:rPr>
            </w:pPr>
          </w:p>
        </w:tc>
      </w:tr>
      <w:tr w:rsidR="00302BFE" w:rsidRPr="00B43F59" w14:paraId="7CD4384A" w14:textId="77777777" w:rsidTr="00243B15">
        <w:trPr>
          <w:trHeight w:val="443"/>
          <w:jc w:val="center"/>
        </w:trPr>
        <w:tc>
          <w:tcPr>
            <w:tcW w:w="1246" w:type="dxa"/>
            <w:vMerge/>
            <w:tcBorders>
              <w:top w:val="single" w:sz="4" w:space="0" w:color="16459A"/>
              <w:left w:val="single" w:sz="6" w:space="0" w:color="16459A"/>
              <w:bottom w:val="single" w:sz="4" w:space="0" w:color="16459A"/>
              <w:right w:val="single" w:sz="4" w:space="0" w:color="16459A"/>
            </w:tcBorders>
            <w:shd w:val="clear" w:color="auto" w:fill="auto"/>
            <w:vAlign w:val="center"/>
            <w:hideMark/>
          </w:tcPr>
          <w:p w14:paraId="04B2D38B"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5B6A33B1" w14:textId="77777777" w:rsidR="00302BFE" w:rsidRPr="00B43F59" w:rsidRDefault="00302BFE" w:rsidP="00243B15">
            <w:pPr>
              <w:pStyle w:val="TableParagraph"/>
              <w:spacing w:before="15" w:line="220" w:lineRule="atLeast"/>
              <w:ind w:left="79" w:right="434"/>
              <w:rPr>
                <w:rFonts w:ascii="Calibri" w:hAnsi="Calibri"/>
                <w:b/>
                <w:sz w:val="16"/>
                <w:lang w:val="fr-CA"/>
              </w:rPr>
            </w:pPr>
            <w:r w:rsidRPr="00B43F59">
              <w:rPr>
                <w:rFonts w:ascii="Calibri" w:hAnsi="Calibri"/>
                <w:b/>
                <w:sz w:val="16"/>
                <w:lang w:val="fr-CA"/>
              </w:rPr>
              <w:t>Les parties prenantes sont identifiées mais leur participation à la prise de décision est limitée</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144DEFFC" w14:textId="77777777" w:rsidR="00302BFE" w:rsidRPr="00B43F59" w:rsidRDefault="00302BFE" w:rsidP="00243B15">
            <w:pPr>
              <w:pStyle w:val="TableParagraph"/>
              <w:spacing w:before="39"/>
              <w:ind w:left="79"/>
              <w:rPr>
                <w:rFonts w:ascii="Calibri" w:hAnsi="Calibri"/>
                <w:b/>
                <w:sz w:val="16"/>
              </w:rPr>
            </w:pPr>
            <w:r w:rsidRPr="00B43F59">
              <w:rPr>
                <w:rFonts w:ascii="Calibri" w:hAnsi="Calibri"/>
                <w:b/>
                <w:sz w:val="16"/>
              </w:rPr>
              <w:t>1</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CFC527E"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6F56B3D"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501FD73B" w14:textId="77777777" w:rsidR="00302BFE" w:rsidRPr="00B43F59" w:rsidRDefault="00302BFE" w:rsidP="00243B15">
            <w:pPr>
              <w:pStyle w:val="TableParagraph"/>
              <w:rPr>
                <w:rFonts w:ascii="Calibri" w:hAnsi="Calibri"/>
                <w:sz w:val="16"/>
                <w:lang w:val="fr-CA"/>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7090C4A1" w14:textId="77777777" w:rsidR="00302BFE" w:rsidRPr="00B43F59" w:rsidRDefault="00302BFE" w:rsidP="00243B15">
            <w:pPr>
              <w:pStyle w:val="TableParagraph"/>
              <w:rPr>
                <w:rFonts w:ascii="Calibri" w:hAnsi="Calibri"/>
                <w:sz w:val="16"/>
                <w:lang w:val="fr-CA"/>
              </w:rPr>
            </w:pPr>
          </w:p>
        </w:tc>
      </w:tr>
      <w:tr w:rsidR="00302BFE" w:rsidRPr="00AB47BD" w14:paraId="302604CB" w14:textId="77777777" w:rsidTr="00243B15">
        <w:trPr>
          <w:trHeight w:val="487"/>
          <w:jc w:val="center"/>
        </w:trPr>
        <w:tc>
          <w:tcPr>
            <w:tcW w:w="1246" w:type="dxa"/>
            <w:vMerge/>
            <w:tcBorders>
              <w:top w:val="single" w:sz="4" w:space="0" w:color="16459A"/>
              <w:left w:val="single" w:sz="6" w:space="0" w:color="16459A"/>
              <w:bottom w:val="single" w:sz="4" w:space="0" w:color="16459A"/>
              <w:right w:val="single" w:sz="4" w:space="0" w:color="16459A"/>
            </w:tcBorders>
            <w:shd w:val="clear" w:color="auto" w:fill="auto"/>
            <w:vAlign w:val="center"/>
            <w:hideMark/>
          </w:tcPr>
          <w:p w14:paraId="74806CFC"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6" w:space="0" w:color="16459A"/>
              <w:right w:val="single" w:sz="4" w:space="0" w:color="16459A"/>
            </w:tcBorders>
            <w:shd w:val="clear" w:color="auto" w:fill="auto"/>
            <w:hideMark/>
          </w:tcPr>
          <w:p w14:paraId="7DE1F45B" w14:textId="77777777" w:rsidR="00302BFE" w:rsidRPr="00B43F59" w:rsidRDefault="00302BFE" w:rsidP="00243B15">
            <w:pPr>
              <w:pStyle w:val="TableParagraph"/>
              <w:spacing w:before="15" w:line="220" w:lineRule="atLeast"/>
              <w:ind w:left="79" w:right="72"/>
              <w:rPr>
                <w:rFonts w:ascii="Calibri" w:hAnsi="Calibri"/>
                <w:b/>
                <w:sz w:val="16"/>
                <w:lang w:val="fr-CA"/>
              </w:rPr>
            </w:pPr>
            <w:r w:rsidRPr="00B43F59">
              <w:rPr>
                <w:rFonts w:ascii="Calibri" w:hAnsi="Calibri"/>
                <w:b/>
                <w:sz w:val="16"/>
                <w:lang w:val="fr-CA"/>
              </w:rPr>
              <w:t>Les parties prenantes sont identifiées et des mécanismes de consultation réguliers sont mis en place</w:t>
            </w:r>
          </w:p>
        </w:tc>
        <w:tc>
          <w:tcPr>
            <w:tcW w:w="567" w:type="dxa"/>
            <w:tcBorders>
              <w:top w:val="single" w:sz="4" w:space="0" w:color="16459A"/>
              <w:left w:val="single" w:sz="4" w:space="0" w:color="16459A"/>
              <w:bottom w:val="single" w:sz="4" w:space="0" w:color="16459A"/>
              <w:right w:val="single" w:sz="4" w:space="0" w:color="16459A"/>
            </w:tcBorders>
            <w:shd w:val="clear" w:color="auto" w:fill="FBE4D5"/>
            <w:hideMark/>
          </w:tcPr>
          <w:p w14:paraId="60684E27" w14:textId="77777777" w:rsidR="00302BFE" w:rsidRPr="00B43F59" w:rsidRDefault="00302BFE" w:rsidP="00243B15">
            <w:pPr>
              <w:pStyle w:val="TableParagraph"/>
              <w:spacing w:before="39"/>
              <w:ind w:left="79"/>
              <w:rPr>
                <w:rFonts w:ascii="Calibri" w:hAnsi="Calibri"/>
                <w:b/>
                <w:sz w:val="16"/>
              </w:rPr>
            </w:pPr>
            <w:r w:rsidRPr="00B43F59">
              <w:rPr>
                <w:rFonts w:ascii="Calibri" w:hAnsi="Calibri"/>
                <w:b/>
                <w:sz w:val="16"/>
              </w:rPr>
              <w:t>2</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1C8B1B31"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1F9EE54B"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hideMark/>
          </w:tcPr>
          <w:p w14:paraId="2DCF3475"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Planification et décisions finales effectuées avec la participation avec tous les acteurs.</w:t>
            </w:r>
            <w:r w:rsidRPr="00B43F59">
              <w:rPr>
                <w:rFonts w:ascii="Calibri" w:hAnsi="Calibri"/>
                <w:sz w:val="16"/>
                <w:lang w:val="fr-CA"/>
              </w:rPr>
              <w:t xml:space="preserve"> Des ateliers et rencontres ont lieu avec les parties prenantes mais la participation effective demeure limitée en raison du manque de compétences</w:t>
            </w:r>
          </w:p>
        </w:tc>
        <w:tc>
          <w:tcPr>
            <w:tcW w:w="3661" w:type="dxa"/>
            <w:tcBorders>
              <w:top w:val="single" w:sz="4" w:space="0" w:color="16459A"/>
              <w:left w:val="single" w:sz="4" w:space="0" w:color="16459A"/>
              <w:bottom w:val="single" w:sz="4" w:space="0" w:color="16459A"/>
              <w:right w:val="single" w:sz="4" w:space="0" w:color="16459A"/>
            </w:tcBorders>
            <w:shd w:val="clear" w:color="auto" w:fill="auto"/>
            <w:hideMark/>
          </w:tcPr>
          <w:p w14:paraId="011C278D"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Renforcer les compétences afin que tous les acteurs puissent participer activement</w:t>
            </w:r>
          </w:p>
        </w:tc>
      </w:tr>
      <w:tr w:rsidR="00302BFE" w:rsidRPr="00B43F59" w14:paraId="45084F9E" w14:textId="77777777" w:rsidTr="00243B15">
        <w:trPr>
          <w:trHeight w:val="705"/>
          <w:jc w:val="center"/>
        </w:trPr>
        <w:tc>
          <w:tcPr>
            <w:tcW w:w="1246" w:type="dxa"/>
            <w:vMerge/>
            <w:tcBorders>
              <w:top w:val="single" w:sz="4" w:space="0" w:color="16459A"/>
              <w:left w:val="single" w:sz="6" w:space="0" w:color="16459A"/>
              <w:bottom w:val="single" w:sz="4" w:space="0" w:color="16459A"/>
              <w:right w:val="single" w:sz="4" w:space="0" w:color="16459A"/>
            </w:tcBorders>
            <w:shd w:val="clear" w:color="auto" w:fill="auto"/>
            <w:vAlign w:val="center"/>
            <w:hideMark/>
          </w:tcPr>
          <w:p w14:paraId="3D92BEE8"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6" w:space="0" w:color="16459A"/>
              <w:left w:val="single" w:sz="4" w:space="0" w:color="16459A"/>
              <w:bottom w:val="single" w:sz="6" w:space="0" w:color="16459A"/>
              <w:right w:val="single" w:sz="4" w:space="0" w:color="16459A"/>
            </w:tcBorders>
            <w:shd w:val="clear" w:color="auto" w:fill="auto"/>
            <w:hideMark/>
          </w:tcPr>
          <w:p w14:paraId="41B2A37C" w14:textId="77777777" w:rsidR="00302BFE" w:rsidRPr="00B43F59" w:rsidRDefault="00302BFE" w:rsidP="00243B15">
            <w:pPr>
              <w:pStyle w:val="TableParagraph"/>
              <w:spacing w:before="12" w:line="220" w:lineRule="atLeast"/>
              <w:ind w:left="79" w:right="254"/>
              <w:rPr>
                <w:rFonts w:ascii="Calibri" w:hAnsi="Calibri"/>
                <w:b/>
                <w:sz w:val="20"/>
                <w:szCs w:val="20"/>
                <w:lang w:val="fr-CA"/>
              </w:rPr>
            </w:pPr>
            <w:r w:rsidRPr="00B43F59">
              <w:rPr>
                <w:rFonts w:ascii="Calibri" w:hAnsi="Calibri"/>
                <w:b/>
                <w:sz w:val="16"/>
                <w:lang w:val="fr-CA"/>
              </w:rPr>
              <w:t>Les parties prenantes sont identifiées et contribuent activement aux processus décisionnels participatifs établis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7D369C11" w14:textId="77777777" w:rsidR="00302BFE" w:rsidRPr="00B43F59" w:rsidRDefault="00302BFE" w:rsidP="00243B15">
            <w:pPr>
              <w:pStyle w:val="TableParagraph"/>
              <w:spacing w:before="37"/>
              <w:ind w:left="79"/>
              <w:rPr>
                <w:rFonts w:ascii="Calibri" w:hAnsi="Calibri"/>
                <w:b/>
                <w:sz w:val="16"/>
              </w:rPr>
            </w:pPr>
            <w:r w:rsidRPr="00B43F59">
              <w:rPr>
                <w:rFonts w:ascii="Calibri" w:hAnsi="Calibri"/>
                <w:b/>
                <w:sz w:val="16"/>
              </w:rPr>
              <w:t>3</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330E3814"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38A3381"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27E6A658" w14:textId="77777777" w:rsidR="00302BFE" w:rsidRPr="00B43F59" w:rsidRDefault="00302BFE" w:rsidP="00243B15">
            <w:pPr>
              <w:pStyle w:val="TableParagraph"/>
              <w:rPr>
                <w:rFonts w:ascii="Calibri" w:hAnsi="Calibri"/>
                <w:sz w:val="16"/>
                <w:lang w:val="fr-CA"/>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56884693" w14:textId="77777777" w:rsidR="00302BFE" w:rsidRPr="00B43F59" w:rsidRDefault="00302BFE" w:rsidP="00243B15">
            <w:pPr>
              <w:pStyle w:val="TableParagraph"/>
              <w:rPr>
                <w:rFonts w:ascii="Calibri" w:hAnsi="Calibri"/>
                <w:sz w:val="16"/>
                <w:lang w:val="fr-CA"/>
              </w:rPr>
            </w:pPr>
          </w:p>
        </w:tc>
      </w:tr>
      <w:tr w:rsidR="00302BFE" w:rsidRPr="00AB47BD" w14:paraId="287D9C02" w14:textId="77777777" w:rsidTr="00243B15">
        <w:trPr>
          <w:trHeight w:val="270"/>
          <w:jc w:val="center"/>
        </w:trPr>
        <w:tc>
          <w:tcPr>
            <w:tcW w:w="14166" w:type="dxa"/>
            <w:gridSpan w:val="7"/>
            <w:tcBorders>
              <w:top w:val="single" w:sz="4" w:space="0" w:color="16459A"/>
              <w:left w:val="single" w:sz="4" w:space="0" w:color="16459A"/>
              <w:bottom w:val="single" w:sz="4" w:space="0" w:color="16459A"/>
              <w:right w:val="single" w:sz="4" w:space="0" w:color="16459A"/>
            </w:tcBorders>
            <w:shd w:val="clear" w:color="auto" w:fill="9ABAC3"/>
          </w:tcPr>
          <w:p w14:paraId="6AE32E8C" w14:textId="77777777" w:rsidR="00302BFE" w:rsidRPr="00B43F59" w:rsidRDefault="00302BFE" w:rsidP="00243B15">
            <w:pPr>
              <w:pStyle w:val="TableParagraph"/>
              <w:spacing w:before="34"/>
              <w:rPr>
                <w:rFonts w:ascii="Calibri" w:hAnsi="Calibri"/>
                <w:b/>
                <w:sz w:val="20"/>
                <w:szCs w:val="20"/>
                <w:lang w:val="fr-CA"/>
              </w:rPr>
            </w:pPr>
            <w:r w:rsidRPr="00B43F59">
              <w:rPr>
                <w:rFonts w:ascii="Calibri" w:hAnsi="Calibri"/>
                <w:b/>
                <w:i/>
                <w:sz w:val="20"/>
                <w:szCs w:val="20"/>
                <w:lang w:val="fr-CA"/>
              </w:rPr>
              <w:t>2: Capacités à Générer, Avoir accès et Utiliser l’Information et les Connaissances</w:t>
            </w:r>
          </w:p>
        </w:tc>
      </w:tr>
      <w:tr w:rsidR="00302BFE" w:rsidRPr="00B43F59" w14:paraId="5A0058F5" w14:textId="77777777" w:rsidTr="00243B15">
        <w:trPr>
          <w:trHeight w:val="710"/>
          <w:jc w:val="center"/>
        </w:trPr>
        <w:tc>
          <w:tcPr>
            <w:tcW w:w="1246" w:type="dxa"/>
            <w:vMerge w:val="restart"/>
            <w:tcBorders>
              <w:top w:val="single" w:sz="4" w:space="0" w:color="16459A"/>
              <w:left w:val="single" w:sz="6" w:space="0" w:color="16459A"/>
              <w:bottom w:val="single" w:sz="4" w:space="0" w:color="16459A"/>
              <w:right w:val="single" w:sz="6" w:space="0" w:color="16459A"/>
            </w:tcBorders>
            <w:shd w:val="clear" w:color="auto" w:fill="E0E1F1"/>
            <w:hideMark/>
          </w:tcPr>
          <w:p w14:paraId="75D6C8F9" w14:textId="77777777" w:rsidR="00302BFE" w:rsidRPr="00B43F59" w:rsidRDefault="00302BFE" w:rsidP="00243B15">
            <w:pPr>
              <w:pStyle w:val="TableParagraph"/>
              <w:rPr>
                <w:rFonts w:ascii="Calibri" w:hAnsi="Calibri"/>
                <w:b/>
                <w:sz w:val="16"/>
                <w:lang w:val="fr-CA"/>
              </w:rPr>
            </w:pPr>
            <w:r w:rsidRPr="00B43F59">
              <w:rPr>
                <w:rFonts w:ascii="Calibri" w:hAnsi="Calibri"/>
                <w:b/>
                <w:sz w:val="16"/>
                <w:lang w:val="fr-CA"/>
              </w:rPr>
              <w:t>Indicateur 4: Degré de sensibilisation environnementale des parties prenantes</w:t>
            </w: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4BE8E6E7" w14:textId="77777777" w:rsidR="00302BFE" w:rsidRPr="00B43F59" w:rsidRDefault="00302BFE" w:rsidP="00243B15">
            <w:pPr>
              <w:pStyle w:val="TableParagraph"/>
              <w:spacing w:before="15" w:line="220" w:lineRule="atLeast"/>
              <w:ind w:left="80" w:right="176"/>
              <w:rPr>
                <w:rFonts w:ascii="Calibri" w:hAnsi="Calibri"/>
                <w:b/>
                <w:sz w:val="16"/>
                <w:lang w:val="fr-CA"/>
              </w:rPr>
            </w:pPr>
            <w:r w:rsidRPr="00B43F59">
              <w:rPr>
                <w:rFonts w:ascii="Calibri" w:hAnsi="Calibri"/>
                <w:b/>
                <w:sz w:val="16"/>
                <w:lang w:val="fr-CA"/>
              </w:rPr>
              <w:t>Les parties prenantes ne sont pas au courant des problèmes environnementaux mondiaux et de leurs solutions possibles pertinentes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40EEFBDE"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0</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2B414639"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22FB2A1"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7AE48D9F"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2D1A0361" w14:textId="77777777" w:rsidR="00302BFE" w:rsidRPr="00B43F59" w:rsidRDefault="00302BFE" w:rsidP="00243B15">
            <w:pPr>
              <w:pStyle w:val="TableParagraph"/>
              <w:rPr>
                <w:rFonts w:ascii="Calibri" w:hAnsi="Calibri"/>
                <w:sz w:val="16"/>
              </w:rPr>
            </w:pPr>
          </w:p>
        </w:tc>
      </w:tr>
      <w:tr w:rsidR="00302BFE" w:rsidRPr="00B43F59" w14:paraId="4929571A" w14:textId="77777777" w:rsidTr="00243B15">
        <w:trPr>
          <w:trHeight w:val="710"/>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5A619C19"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6DAE56E7" w14:textId="77777777" w:rsidR="00302BFE" w:rsidRPr="00B43F59" w:rsidRDefault="00302BFE" w:rsidP="00243B15">
            <w:pPr>
              <w:pStyle w:val="TableParagraph"/>
              <w:spacing w:before="15" w:line="220" w:lineRule="atLeast"/>
              <w:ind w:left="80" w:right="176"/>
              <w:rPr>
                <w:rFonts w:ascii="Calibri" w:hAnsi="Calibri"/>
                <w:b/>
                <w:sz w:val="16"/>
                <w:lang w:val="fr-CA"/>
              </w:rPr>
            </w:pPr>
            <w:r w:rsidRPr="00B43F59">
              <w:rPr>
                <w:rFonts w:ascii="Calibri" w:hAnsi="Calibri"/>
                <w:b/>
                <w:sz w:val="16"/>
                <w:lang w:val="fr-CA"/>
              </w:rPr>
              <w:t>Les parties prenantes sont conscientes des problèmes environnementaux mondiaux, mais pas des solutions possibles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5448C45E"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1</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6A22C15"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1681E49E"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102C43B7" w14:textId="77777777" w:rsidR="00302BFE" w:rsidRPr="00B43F59" w:rsidRDefault="00302BFE" w:rsidP="00243B15">
            <w:pPr>
              <w:pStyle w:val="TableParagraph"/>
              <w:rPr>
                <w:rFonts w:ascii="Calibri" w:hAnsi="Calibri"/>
                <w:sz w:val="16"/>
                <w:lang w:val="fr-CA"/>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0D2E6D72" w14:textId="77777777" w:rsidR="00302BFE" w:rsidRPr="00B43F59" w:rsidRDefault="00302BFE" w:rsidP="00243B15">
            <w:pPr>
              <w:pStyle w:val="TableParagraph"/>
              <w:rPr>
                <w:rFonts w:ascii="Calibri" w:hAnsi="Calibri"/>
                <w:sz w:val="16"/>
                <w:lang w:val="fr-CA"/>
              </w:rPr>
            </w:pPr>
          </w:p>
        </w:tc>
      </w:tr>
      <w:tr w:rsidR="00302BFE" w:rsidRPr="00AB47BD" w14:paraId="3505CC78" w14:textId="77777777" w:rsidTr="00243B15">
        <w:trPr>
          <w:trHeight w:val="710"/>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51FF4C1F"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000000"/>
              <w:right w:val="single" w:sz="4" w:space="0" w:color="16459A"/>
            </w:tcBorders>
            <w:shd w:val="clear" w:color="auto" w:fill="auto"/>
            <w:hideMark/>
          </w:tcPr>
          <w:p w14:paraId="4A182CA2" w14:textId="77777777" w:rsidR="00302BFE" w:rsidRPr="00B43F59" w:rsidRDefault="00302BFE" w:rsidP="00243B15">
            <w:pPr>
              <w:pStyle w:val="TableParagraph"/>
              <w:spacing w:before="15" w:line="220" w:lineRule="atLeast"/>
              <w:ind w:left="80" w:right="176"/>
              <w:rPr>
                <w:rFonts w:ascii="Calibri" w:hAnsi="Calibri"/>
                <w:b/>
                <w:sz w:val="16"/>
                <w:lang w:val="fr-CA"/>
              </w:rPr>
            </w:pPr>
            <w:r w:rsidRPr="00B43F59">
              <w:rPr>
                <w:rFonts w:ascii="Calibri" w:hAnsi="Calibri"/>
                <w:b/>
                <w:sz w:val="16"/>
                <w:lang w:val="fr-CA"/>
              </w:rPr>
              <w:t>Les parties prenantes sont conscientes des problèmes environnementaux mondiaux et des solutions possibles, mais ne savent pas comment participer</w:t>
            </w:r>
          </w:p>
        </w:tc>
        <w:tc>
          <w:tcPr>
            <w:tcW w:w="567" w:type="dxa"/>
            <w:tcBorders>
              <w:top w:val="single" w:sz="4" w:space="0" w:color="16459A"/>
              <w:left w:val="single" w:sz="4" w:space="0" w:color="16459A"/>
              <w:bottom w:val="single" w:sz="4" w:space="0" w:color="16459A"/>
              <w:right w:val="single" w:sz="4" w:space="0" w:color="16459A"/>
            </w:tcBorders>
            <w:shd w:val="clear" w:color="auto" w:fill="FBE4D5"/>
            <w:hideMark/>
          </w:tcPr>
          <w:p w14:paraId="1C7527DB"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2</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5586D0B4"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3001628E"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hideMark/>
          </w:tcPr>
          <w:p w14:paraId="402EC145"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CA"/>
              </w:rPr>
              <w:t>Certains problèmes ne sont pas à la portée des populations locales</w:t>
            </w:r>
          </w:p>
          <w:p w14:paraId="5CB94C2E"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 xml:space="preserve">Les gens sont au courant des problèmes environnementaux mais les solutions ne sont pas </w:t>
            </w:r>
          </w:p>
          <w:p w14:paraId="4BAC71ED"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Au niveau des partenaires comme les chasseurs et les tourismes maitrisent mieux les solutions. Les gens savent mais ils ne le font pas parce qu’ils vivent de cela. Ils veulent l’évolution mais dans l’immédiat ils veulent en bénéficier tout de suite</w:t>
            </w:r>
          </w:p>
        </w:tc>
        <w:tc>
          <w:tcPr>
            <w:tcW w:w="3661" w:type="dxa"/>
            <w:tcBorders>
              <w:top w:val="single" w:sz="4" w:space="0" w:color="16459A"/>
              <w:left w:val="single" w:sz="4" w:space="0" w:color="16459A"/>
              <w:bottom w:val="single" w:sz="4" w:space="0" w:color="16459A"/>
              <w:right w:val="single" w:sz="4" w:space="0" w:color="16459A"/>
            </w:tcBorders>
            <w:shd w:val="clear" w:color="auto" w:fill="auto"/>
            <w:hideMark/>
          </w:tcPr>
          <w:p w14:paraId="319B7C8C"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Sensibilisation, éducation, formations surtout au niveau local</w:t>
            </w:r>
          </w:p>
        </w:tc>
      </w:tr>
      <w:tr w:rsidR="00302BFE" w:rsidRPr="00B43F59" w14:paraId="590737E1" w14:textId="77777777" w:rsidTr="00243B15">
        <w:trPr>
          <w:trHeight w:val="658"/>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3A81E79E"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000000"/>
              <w:left w:val="single" w:sz="4" w:space="0" w:color="16459A"/>
              <w:bottom w:val="single" w:sz="4" w:space="0" w:color="16459A"/>
              <w:right w:val="single" w:sz="4" w:space="0" w:color="16459A"/>
            </w:tcBorders>
            <w:shd w:val="clear" w:color="auto" w:fill="auto"/>
            <w:hideMark/>
          </w:tcPr>
          <w:p w14:paraId="249F71F1" w14:textId="77777777" w:rsidR="00302BFE" w:rsidRPr="00B43F59" w:rsidRDefault="00302BFE" w:rsidP="00243B15">
            <w:pPr>
              <w:pStyle w:val="TableParagraph"/>
              <w:spacing w:before="15" w:line="220" w:lineRule="atLeast"/>
              <w:ind w:left="80" w:right="79"/>
              <w:rPr>
                <w:rFonts w:ascii="Calibri" w:hAnsi="Calibri"/>
                <w:b/>
                <w:sz w:val="16"/>
                <w:lang w:val="fr-CA"/>
              </w:rPr>
            </w:pPr>
            <w:r w:rsidRPr="00B43F59">
              <w:rPr>
                <w:rFonts w:ascii="Calibri" w:hAnsi="Calibri"/>
                <w:b/>
                <w:sz w:val="16"/>
                <w:lang w:val="fr-CA"/>
              </w:rPr>
              <w:t>Les parties prenantes sont conscientes des problèmes environnementaux mondiaux et participent activement à la mise en œuvre de solutions pertinentes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13E2E05A"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3</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1C5A036"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159FDDFC"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3113C007"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5DBA8EDA" w14:textId="77777777" w:rsidR="00302BFE" w:rsidRPr="00B43F59" w:rsidRDefault="00302BFE" w:rsidP="00243B15">
            <w:pPr>
              <w:pStyle w:val="TableParagraph"/>
              <w:rPr>
                <w:rFonts w:ascii="Calibri" w:hAnsi="Calibri"/>
                <w:sz w:val="16"/>
              </w:rPr>
            </w:pPr>
          </w:p>
        </w:tc>
      </w:tr>
      <w:tr w:rsidR="00302BFE" w:rsidRPr="00B43F59" w14:paraId="3D5842F9" w14:textId="77777777" w:rsidTr="00243B15">
        <w:trPr>
          <w:trHeight w:val="710"/>
          <w:jc w:val="center"/>
        </w:trPr>
        <w:tc>
          <w:tcPr>
            <w:tcW w:w="1246" w:type="dxa"/>
            <w:vMerge w:val="restart"/>
            <w:tcBorders>
              <w:top w:val="single" w:sz="4" w:space="0" w:color="16459A"/>
              <w:left w:val="single" w:sz="6" w:space="0" w:color="16459A"/>
              <w:bottom w:val="single" w:sz="4" w:space="0" w:color="16459A"/>
              <w:right w:val="single" w:sz="6" w:space="0" w:color="16459A"/>
            </w:tcBorders>
            <w:shd w:val="clear" w:color="auto" w:fill="E0E1F1"/>
            <w:hideMark/>
          </w:tcPr>
          <w:p w14:paraId="04F7A828" w14:textId="77777777" w:rsidR="00302BFE" w:rsidRPr="00B43F59" w:rsidRDefault="00302BFE" w:rsidP="00243B15">
            <w:pPr>
              <w:pStyle w:val="TableParagraph"/>
              <w:rPr>
                <w:rFonts w:ascii="Calibri" w:hAnsi="Calibri"/>
                <w:b/>
                <w:sz w:val="16"/>
                <w:lang w:val="fr-CA"/>
              </w:rPr>
            </w:pPr>
            <w:r w:rsidRPr="00B43F59">
              <w:rPr>
                <w:rFonts w:ascii="Calibri" w:hAnsi="Calibri"/>
                <w:b/>
                <w:sz w:val="16"/>
                <w:lang w:val="fr-CA"/>
              </w:rPr>
              <w:t>Indicateur 5:</w:t>
            </w:r>
          </w:p>
          <w:p w14:paraId="2BFAABD9" w14:textId="77777777" w:rsidR="00302BFE" w:rsidRPr="00B43F59" w:rsidRDefault="00302BFE" w:rsidP="00243B15">
            <w:pPr>
              <w:pStyle w:val="TableParagraph"/>
              <w:rPr>
                <w:rFonts w:ascii="Calibri" w:hAnsi="Calibri"/>
                <w:b/>
                <w:sz w:val="16"/>
                <w:lang w:val="fr-CA"/>
              </w:rPr>
            </w:pPr>
            <w:r w:rsidRPr="00B43F59">
              <w:rPr>
                <w:rFonts w:ascii="Calibri" w:hAnsi="Calibri"/>
                <w:b/>
                <w:sz w:val="16"/>
                <w:lang w:val="fr-CA"/>
              </w:rPr>
              <w:t>Accès et partage d'informations environnementales par les parties prenantes</w:t>
            </w: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4A9F68D7" w14:textId="77777777" w:rsidR="00302BFE" w:rsidRPr="00B43F59" w:rsidRDefault="00302BFE" w:rsidP="00243B15">
            <w:pPr>
              <w:pStyle w:val="TableParagraph"/>
              <w:spacing w:before="15" w:line="220" w:lineRule="atLeast"/>
              <w:ind w:left="80" w:right="176"/>
              <w:rPr>
                <w:rFonts w:ascii="Calibri" w:hAnsi="Calibri"/>
                <w:b/>
                <w:sz w:val="16"/>
                <w:lang w:val="fr-CA"/>
              </w:rPr>
            </w:pPr>
            <w:r w:rsidRPr="00B43F59">
              <w:rPr>
                <w:rFonts w:ascii="Calibri" w:hAnsi="Calibri"/>
                <w:b/>
                <w:sz w:val="16"/>
                <w:lang w:val="fr-CA"/>
              </w:rPr>
              <w:t>Les besoins en information environnementale ne sont pas identifiés et l'infrastructure de gestion de l'information est inadéquate</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6085E51B"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0</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BB33752"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755DF796"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30F03B8A"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0B28F554" w14:textId="77777777" w:rsidR="00302BFE" w:rsidRPr="00B43F59" w:rsidRDefault="00302BFE" w:rsidP="00243B15">
            <w:pPr>
              <w:pStyle w:val="TableParagraph"/>
              <w:rPr>
                <w:rFonts w:ascii="Calibri" w:hAnsi="Calibri"/>
                <w:sz w:val="16"/>
              </w:rPr>
            </w:pPr>
          </w:p>
        </w:tc>
      </w:tr>
      <w:tr w:rsidR="00302BFE" w:rsidRPr="00AB47BD" w14:paraId="30BAA6A3" w14:textId="77777777" w:rsidTr="00243B15">
        <w:trPr>
          <w:trHeight w:val="710"/>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7E0E31C8"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0198B202" w14:textId="77777777" w:rsidR="00302BFE" w:rsidRPr="00B43F59" w:rsidRDefault="00302BFE" w:rsidP="00243B15">
            <w:pPr>
              <w:pStyle w:val="TableParagraph"/>
              <w:spacing w:before="15" w:line="220" w:lineRule="atLeast"/>
              <w:ind w:left="80" w:right="176"/>
              <w:rPr>
                <w:rFonts w:ascii="Calibri" w:hAnsi="Calibri"/>
                <w:b/>
                <w:sz w:val="16"/>
                <w:lang w:val="fr-CA"/>
              </w:rPr>
            </w:pPr>
            <w:r w:rsidRPr="00B43F59">
              <w:rPr>
                <w:rFonts w:ascii="Calibri" w:hAnsi="Calibri"/>
                <w:b/>
                <w:sz w:val="16"/>
                <w:lang w:val="fr-CA"/>
              </w:rPr>
              <w:t>Les besoins en information environnementale sont identifiés, mais l'infrastructure de gestion de l'information est inadéquate</w:t>
            </w:r>
          </w:p>
        </w:tc>
        <w:tc>
          <w:tcPr>
            <w:tcW w:w="567" w:type="dxa"/>
            <w:tcBorders>
              <w:top w:val="single" w:sz="4" w:space="0" w:color="16459A"/>
              <w:left w:val="single" w:sz="4" w:space="0" w:color="16459A"/>
              <w:bottom w:val="single" w:sz="4" w:space="0" w:color="16459A"/>
              <w:right w:val="single" w:sz="4" w:space="0" w:color="16459A"/>
            </w:tcBorders>
            <w:shd w:val="clear" w:color="auto" w:fill="FBE4D5"/>
            <w:hideMark/>
          </w:tcPr>
          <w:p w14:paraId="59F19D03"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1</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25217554"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F9ED26A"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hideMark/>
          </w:tcPr>
          <w:p w14:paraId="5AFAD724"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 xml:space="preserve">On a des informations (connaissances des espèces), Il y a des systèmes de suivi-évaluation mais n’est pas parfait (gestion de l’information). Au niveau de la DGEF il </w:t>
            </w:r>
            <w:proofErr w:type="spellStart"/>
            <w:r w:rsidRPr="00B43F59">
              <w:rPr>
                <w:rFonts w:ascii="Calibri" w:hAnsi="Calibri"/>
                <w:sz w:val="16"/>
                <w:lang w:val="fr-FR"/>
              </w:rPr>
              <w:t>ya</w:t>
            </w:r>
            <w:proofErr w:type="spellEnd"/>
            <w:r w:rsidRPr="00B43F59">
              <w:rPr>
                <w:rFonts w:ascii="Calibri" w:hAnsi="Calibri"/>
                <w:sz w:val="16"/>
                <w:lang w:val="fr-FR"/>
              </w:rPr>
              <w:t xml:space="preserve"> des données sur l’OFINAP et des autres aires protégées</w:t>
            </w: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641C677A" w14:textId="77777777" w:rsidR="00302BFE" w:rsidRPr="00B43F59" w:rsidRDefault="00302BFE" w:rsidP="00243B15">
            <w:pPr>
              <w:pStyle w:val="TableParagraph"/>
              <w:rPr>
                <w:rFonts w:ascii="Calibri" w:hAnsi="Calibri"/>
                <w:sz w:val="16"/>
                <w:lang w:val="fr-CA"/>
              </w:rPr>
            </w:pPr>
          </w:p>
        </w:tc>
      </w:tr>
      <w:tr w:rsidR="00302BFE" w:rsidRPr="00B43F59" w14:paraId="601D366A" w14:textId="77777777" w:rsidTr="00243B15">
        <w:trPr>
          <w:trHeight w:val="961"/>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03978399"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66A049E3" w14:textId="77777777" w:rsidR="00302BFE" w:rsidRPr="00B43F59" w:rsidRDefault="00302BFE" w:rsidP="00243B15">
            <w:pPr>
              <w:pStyle w:val="TableParagraph"/>
              <w:spacing w:before="15" w:line="220" w:lineRule="atLeast"/>
              <w:ind w:left="80" w:right="79"/>
              <w:rPr>
                <w:rFonts w:ascii="Calibri" w:hAnsi="Calibri"/>
                <w:b/>
                <w:sz w:val="16"/>
                <w:lang w:val="fr-CA"/>
              </w:rPr>
            </w:pPr>
            <w:r w:rsidRPr="00B43F59">
              <w:rPr>
                <w:rFonts w:ascii="Calibri" w:hAnsi="Calibri"/>
                <w:b/>
                <w:sz w:val="16"/>
                <w:lang w:val="fr-CA"/>
              </w:rPr>
              <w:t>L’information environnementale est partiellement disponible et partagée entre les parties prenantes, mais ne couvre pas tous les domaines d'intervention et / ou l'infrastructure de gestion de l'information est limitée</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2E3F8A58"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2</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56AB15A1"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7C699C26"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7A9855C3"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411F12B3" w14:textId="77777777" w:rsidR="00302BFE" w:rsidRPr="00B43F59" w:rsidRDefault="00302BFE" w:rsidP="00243B15">
            <w:pPr>
              <w:pStyle w:val="TableParagraph"/>
              <w:rPr>
                <w:rFonts w:ascii="Calibri" w:hAnsi="Calibri"/>
                <w:sz w:val="16"/>
              </w:rPr>
            </w:pPr>
          </w:p>
        </w:tc>
      </w:tr>
      <w:tr w:rsidR="00302BFE" w:rsidRPr="00B43F59" w14:paraId="69B63341" w14:textId="77777777" w:rsidTr="00243B15">
        <w:trPr>
          <w:trHeight w:val="692"/>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5BBD7518"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0E420BD7" w14:textId="77777777" w:rsidR="00302BFE" w:rsidRPr="00B43F59" w:rsidRDefault="00302BFE" w:rsidP="00243B15">
            <w:pPr>
              <w:pStyle w:val="TableParagraph"/>
              <w:spacing w:before="15" w:line="220" w:lineRule="atLeast"/>
              <w:ind w:left="80" w:right="79"/>
              <w:rPr>
                <w:rFonts w:ascii="Calibri" w:hAnsi="Calibri"/>
                <w:b/>
                <w:sz w:val="16"/>
                <w:lang w:val="fr-CA"/>
              </w:rPr>
            </w:pPr>
            <w:r w:rsidRPr="00B43F59">
              <w:rPr>
                <w:rFonts w:ascii="Calibri" w:hAnsi="Calibri"/>
                <w:b/>
                <w:sz w:val="16"/>
                <w:lang w:val="fr-CA"/>
              </w:rPr>
              <w:t>Une information environnementale complète est disponible et partagée via une infrastructure de gestion de l'information adéquate</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16CCDCB9"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3</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C3C5FBA"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3313717"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521B42FF"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7AE62213" w14:textId="77777777" w:rsidR="00302BFE" w:rsidRPr="00B43F59" w:rsidRDefault="00302BFE" w:rsidP="00243B15">
            <w:pPr>
              <w:pStyle w:val="TableParagraph"/>
              <w:rPr>
                <w:rFonts w:ascii="Calibri" w:hAnsi="Calibri"/>
                <w:sz w:val="16"/>
              </w:rPr>
            </w:pPr>
          </w:p>
        </w:tc>
      </w:tr>
      <w:tr w:rsidR="00302BFE" w:rsidRPr="00B43F59" w14:paraId="29EC28ED" w14:textId="77777777" w:rsidTr="00243B15">
        <w:trPr>
          <w:trHeight w:val="490"/>
          <w:jc w:val="center"/>
        </w:trPr>
        <w:tc>
          <w:tcPr>
            <w:tcW w:w="1246" w:type="dxa"/>
            <w:vMerge w:val="restart"/>
            <w:tcBorders>
              <w:top w:val="single" w:sz="4" w:space="0" w:color="16459A"/>
              <w:left w:val="single" w:sz="4" w:space="0" w:color="16459A"/>
              <w:bottom w:val="single" w:sz="4" w:space="0" w:color="16459A"/>
              <w:right w:val="single" w:sz="4" w:space="0" w:color="16459A"/>
            </w:tcBorders>
            <w:shd w:val="clear" w:color="auto" w:fill="E0E1F1"/>
            <w:hideMark/>
          </w:tcPr>
          <w:p w14:paraId="0DD9244D" w14:textId="77777777" w:rsidR="00302BFE" w:rsidRPr="00B43F59" w:rsidRDefault="00302BFE" w:rsidP="00243B15">
            <w:pPr>
              <w:pStyle w:val="TableParagraph"/>
              <w:rPr>
                <w:rFonts w:ascii="Calibri" w:hAnsi="Calibri"/>
                <w:b/>
                <w:sz w:val="16"/>
                <w:lang w:val="fr-CA"/>
              </w:rPr>
            </w:pPr>
            <w:r w:rsidRPr="00B43F59">
              <w:rPr>
                <w:rFonts w:ascii="Calibri" w:hAnsi="Calibri"/>
                <w:b/>
                <w:sz w:val="16"/>
                <w:lang w:val="fr-CA"/>
              </w:rPr>
              <w:t>Indicateur 6: Existence de programmes d'éducation environnementale</w:t>
            </w: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5E524FB9" w14:textId="77777777" w:rsidR="00302BFE" w:rsidRPr="00B43F59" w:rsidRDefault="00302BFE" w:rsidP="00243B15">
            <w:pPr>
              <w:pStyle w:val="TableParagraph"/>
              <w:spacing w:before="15" w:line="220" w:lineRule="atLeast"/>
              <w:ind w:left="80" w:right="79"/>
              <w:rPr>
                <w:rFonts w:ascii="Calibri" w:hAnsi="Calibri"/>
                <w:b/>
                <w:sz w:val="16"/>
                <w:lang w:val="fr-CA"/>
              </w:rPr>
            </w:pPr>
            <w:r w:rsidRPr="00B43F59">
              <w:rPr>
                <w:rFonts w:ascii="Calibri" w:hAnsi="Calibri"/>
                <w:b/>
                <w:sz w:val="16"/>
                <w:lang w:val="fr-CA"/>
              </w:rPr>
              <w:t>Aucun programme d'éducation environnementale n'est en place</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16C95D6D"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0</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611E3AE"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3758762F"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57BAB919"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315BCD9F" w14:textId="77777777" w:rsidR="00302BFE" w:rsidRPr="00B43F59" w:rsidRDefault="00302BFE" w:rsidP="00243B15">
            <w:pPr>
              <w:pStyle w:val="TableParagraph"/>
              <w:rPr>
                <w:rFonts w:ascii="Calibri" w:hAnsi="Calibri"/>
                <w:sz w:val="16"/>
              </w:rPr>
            </w:pPr>
          </w:p>
        </w:tc>
      </w:tr>
      <w:tr w:rsidR="00302BFE" w:rsidRPr="00AB47BD" w14:paraId="1B14609D" w14:textId="77777777" w:rsidTr="00243B15">
        <w:trPr>
          <w:trHeight w:val="490"/>
          <w:jc w:val="center"/>
        </w:trPr>
        <w:tc>
          <w:tcPr>
            <w:tcW w:w="1246" w:type="dxa"/>
            <w:vMerge/>
            <w:tcBorders>
              <w:top w:val="single" w:sz="4" w:space="0" w:color="16459A"/>
              <w:left w:val="single" w:sz="4" w:space="0" w:color="16459A"/>
              <w:bottom w:val="single" w:sz="4" w:space="0" w:color="16459A"/>
              <w:right w:val="single" w:sz="4" w:space="0" w:color="16459A"/>
            </w:tcBorders>
            <w:shd w:val="clear" w:color="auto" w:fill="auto"/>
            <w:vAlign w:val="center"/>
            <w:hideMark/>
          </w:tcPr>
          <w:p w14:paraId="63EACF9B"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422B6066" w14:textId="77777777" w:rsidR="00302BFE" w:rsidRPr="00B43F59" w:rsidRDefault="00302BFE" w:rsidP="00243B15">
            <w:pPr>
              <w:pStyle w:val="TableParagraph"/>
              <w:spacing w:before="15" w:line="220" w:lineRule="atLeast"/>
              <w:ind w:left="80" w:right="392"/>
              <w:rPr>
                <w:rFonts w:ascii="Calibri" w:hAnsi="Calibri"/>
                <w:b/>
                <w:sz w:val="16"/>
                <w:lang w:val="fr-CA"/>
              </w:rPr>
            </w:pPr>
            <w:r w:rsidRPr="00B43F59">
              <w:rPr>
                <w:rFonts w:ascii="Calibri" w:hAnsi="Calibri"/>
                <w:b/>
                <w:sz w:val="16"/>
                <w:lang w:val="fr-CA"/>
              </w:rPr>
              <w:t>Les programmes d'éducation environnementale sont partiellement développés et partiellement dispensés</w:t>
            </w:r>
          </w:p>
        </w:tc>
        <w:tc>
          <w:tcPr>
            <w:tcW w:w="567" w:type="dxa"/>
            <w:tcBorders>
              <w:top w:val="single" w:sz="4" w:space="0" w:color="16459A"/>
              <w:left w:val="single" w:sz="4" w:space="0" w:color="16459A"/>
              <w:bottom w:val="single" w:sz="4" w:space="0" w:color="16459A"/>
              <w:right w:val="single" w:sz="4" w:space="0" w:color="16459A"/>
            </w:tcBorders>
            <w:shd w:val="clear" w:color="auto" w:fill="FBE4D5"/>
            <w:hideMark/>
          </w:tcPr>
          <w:p w14:paraId="151E02E6"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1</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3B61DCDD"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3462E3AD"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hideMark/>
          </w:tcPr>
          <w:p w14:paraId="50C53212"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CA"/>
              </w:rPr>
              <w:t xml:space="preserve">Des visites de groupes scolaires ont lieu au ranch de </w:t>
            </w:r>
            <w:proofErr w:type="spellStart"/>
            <w:r w:rsidRPr="00B43F59">
              <w:rPr>
                <w:rFonts w:ascii="Calibri" w:hAnsi="Calibri"/>
                <w:sz w:val="16"/>
                <w:lang w:val="fr-CA"/>
              </w:rPr>
              <w:t>Nazinga</w:t>
            </w:r>
            <w:proofErr w:type="spellEnd"/>
          </w:p>
          <w:p w14:paraId="381ECEA8"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Les programmes d’éducation sont partiellement développés (pas tous les thèmes) et partiellement dispensés (pas tous tes couches socio-professionnelles), comme les éleveurs</w:t>
            </w: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10EACF03" w14:textId="77777777" w:rsidR="00302BFE" w:rsidRPr="00B43F59" w:rsidRDefault="00302BFE" w:rsidP="00243B15">
            <w:pPr>
              <w:pStyle w:val="TableParagraph"/>
              <w:rPr>
                <w:rFonts w:ascii="Calibri" w:hAnsi="Calibri"/>
                <w:sz w:val="16"/>
                <w:lang w:val="fr-CA"/>
              </w:rPr>
            </w:pPr>
          </w:p>
        </w:tc>
      </w:tr>
      <w:tr w:rsidR="00302BFE" w:rsidRPr="00B43F59" w14:paraId="7C9B7E68" w14:textId="77777777" w:rsidTr="00243B15">
        <w:trPr>
          <w:trHeight w:val="490"/>
          <w:jc w:val="center"/>
        </w:trPr>
        <w:tc>
          <w:tcPr>
            <w:tcW w:w="1246" w:type="dxa"/>
            <w:vMerge/>
            <w:tcBorders>
              <w:top w:val="single" w:sz="4" w:space="0" w:color="16459A"/>
              <w:left w:val="single" w:sz="4" w:space="0" w:color="16459A"/>
              <w:bottom w:val="single" w:sz="4" w:space="0" w:color="16459A"/>
              <w:right w:val="single" w:sz="4" w:space="0" w:color="16459A"/>
            </w:tcBorders>
            <w:shd w:val="clear" w:color="auto" w:fill="auto"/>
            <w:vAlign w:val="center"/>
            <w:hideMark/>
          </w:tcPr>
          <w:p w14:paraId="77CB1530"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44F8CE72" w14:textId="77777777" w:rsidR="00302BFE" w:rsidRPr="00B43F59" w:rsidRDefault="00302BFE" w:rsidP="00243B15">
            <w:pPr>
              <w:pStyle w:val="TableParagraph"/>
              <w:spacing w:before="15" w:line="220" w:lineRule="atLeast"/>
              <w:ind w:left="80"/>
              <w:rPr>
                <w:rFonts w:ascii="Calibri" w:hAnsi="Calibri"/>
                <w:b/>
                <w:sz w:val="16"/>
                <w:lang w:val="fr-CA"/>
              </w:rPr>
            </w:pPr>
            <w:r w:rsidRPr="00B43F59">
              <w:rPr>
                <w:rFonts w:ascii="Calibri" w:hAnsi="Calibri"/>
                <w:b/>
                <w:sz w:val="16"/>
                <w:lang w:val="fr-CA"/>
              </w:rPr>
              <w:t>Les programmes d'éducation environnementale sont entièrement développés mais partiellement exécutés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1814B692"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2</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6DACB9A1"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165A5758"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22D57634"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72247B4F" w14:textId="77777777" w:rsidR="00302BFE" w:rsidRPr="00B43F59" w:rsidRDefault="00302BFE" w:rsidP="00243B15">
            <w:pPr>
              <w:pStyle w:val="TableParagraph"/>
              <w:rPr>
                <w:rFonts w:ascii="Calibri" w:hAnsi="Calibri"/>
                <w:sz w:val="16"/>
              </w:rPr>
            </w:pPr>
          </w:p>
        </w:tc>
      </w:tr>
      <w:tr w:rsidR="00302BFE" w:rsidRPr="00B43F59" w14:paraId="1564CEE8" w14:textId="77777777" w:rsidTr="00243B15">
        <w:trPr>
          <w:trHeight w:val="487"/>
          <w:jc w:val="center"/>
        </w:trPr>
        <w:tc>
          <w:tcPr>
            <w:tcW w:w="1246" w:type="dxa"/>
            <w:vMerge/>
            <w:tcBorders>
              <w:top w:val="single" w:sz="4" w:space="0" w:color="16459A"/>
              <w:left w:val="single" w:sz="4" w:space="0" w:color="16459A"/>
              <w:bottom w:val="single" w:sz="4" w:space="0" w:color="16459A"/>
              <w:right w:val="single" w:sz="4" w:space="0" w:color="16459A"/>
            </w:tcBorders>
            <w:shd w:val="clear" w:color="auto" w:fill="auto"/>
            <w:vAlign w:val="center"/>
            <w:hideMark/>
          </w:tcPr>
          <w:p w14:paraId="744D4D98"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6" w:space="0" w:color="16459A"/>
              <w:right w:val="single" w:sz="4" w:space="0" w:color="16459A"/>
            </w:tcBorders>
            <w:shd w:val="clear" w:color="auto" w:fill="auto"/>
            <w:hideMark/>
          </w:tcPr>
          <w:p w14:paraId="54A6BD20" w14:textId="77777777" w:rsidR="00302BFE" w:rsidRPr="00B43F59" w:rsidRDefault="00302BFE" w:rsidP="00243B15">
            <w:pPr>
              <w:pStyle w:val="TableParagraph"/>
              <w:spacing w:before="15" w:line="220" w:lineRule="atLeast"/>
              <w:ind w:left="80" w:right="176"/>
              <w:rPr>
                <w:rFonts w:ascii="Calibri" w:hAnsi="Calibri"/>
                <w:b/>
                <w:sz w:val="16"/>
                <w:lang w:val="fr-CA"/>
              </w:rPr>
            </w:pPr>
            <w:r w:rsidRPr="00B43F59">
              <w:rPr>
                <w:rFonts w:ascii="Calibri" w:hAnsi="Calibri"/>
                <w:b/>
                <w:sz w:val="16"/>
                <w:lang w:val="fr-CA"/>
              </w:rPr>
              <w:t>Des programmes complets d'éducation environnementale existent et sont en cours d'exécution</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1BB246AD"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3</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214E0A5B"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9EFFEAE"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170A26D7"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7B80C079" w14:textId="77777777" w:rsidR="00302BFE" w:rsidRPr="00B43F59" w:rsidRDefault="00302BFE" w:rsidP="00243B15">
            <w:pPr>
              <w:pStyle w:val="TableParagraph"/>
              <w:rPr>
                <w:rFonts w:ascii="Calibri" w:hAnsi="Calibri"/>
                <w:sz w:val="16"/>
              </w:rPr>
            </w:pPr>
          </w:p>
        </w:tc>
      </w:tr>
      <w:tr w:rsidR="00302BFE" w:rsidRPr="00B43F59" w14:paraId="2DB4F9D4" w14:textId="77777777" w:rsidTr="00243B15">
        <w:trPr>
          <w:trHeight w:val="710"/>
          <w:jc w:val="center"/>
        </w:trPr>
        <w:tc>
          <w:tcPr>
            <w:tcW w:w="1246" w:type="dxa"/>
            <w:vMerge w:val="restart"/>
            <w:tcBorders>
              <w:top w:val="single" w:sz="4" w:space="0" w:color="16459A"/>
              <w:left w:val="single" w:sz="6" w:space="0" w:color="16459A"/>
              <w:bottom w:val="single" w:sz="4" w:space="0" w:color="16459A"/>
              <w:right w:val="single" w:sz="6" w:space="0" w:color="16459A"/>
            </w:tcBorders>
            <w:shd w:val="clear" w:color="auto" w:fill="E0E1F1"/>
            <w:hideMark/>
          </w:tcPr>
          <w:p w14:paraId="576251F4" w14:textId="77777777" w:rsidR="00302BFE" w:rsidRPr="00B43F59" w:rsidRDefault="00302BFE" w:rsidP="00243B15">
            <w:pPr>
              <w:pStyle w:val="TableParagraph"/>
              <w:rPr>
                <w:rFonts w:ascii="Calibri" w:hAnsi="Calibri"/>
                <w:b/>
                <w:sz w:val="16"/>
                <w:lang w:val="fr-CA"/>
              </w:rPr>
            </w:pPr>
            <w:r w:rsidRPr="00B43F59">
              <w:rPr>
                <w:rFonts w:ascii="Calibri" w:hAnsi="Calibri"/>
                <w:b/>
                <w:sz w:val="16"/>
                <w:lang w:val="fr-CA"/>
              </w:rPr>
              <w:t>Indicateur 7: Portée des liens entre la recherche / sciences de l'environnement et l'élaboration des politiques</w:t>
            </w:r>
          </w:p>
          <w:p w14:paraId="71EED5E7" w14:textId="77777777" w:rsidR="00302BFE" w:rsidRPr="00B43F59" w:rsidRDefault="00302BFE" w:rsidP="00243B15">
            <w:pPr>
              <w:pStyle w:val="TableParagraph"/>
              <w:rPr>
                <w:rFonts w:ascii="Calibri" w:hAnsi="Calibri"/>
                <w:b/>
                <w:sz w:val="16"/>
                <w:lang w:val="fr-CA"/>
              </w:rPr>
            </w:pPr>
            <w:r w:rsidRPr="00B43F59">
              <w:rPr>
                <w:rFonts w:ascii="Calibri" w:hAnsi="Calibri"/>
                <w:b/>
                <w:color w:val="FF0000"/>
                <w:sz w:val="16"/>
                <w:lang w:val="fr-CA"/>
              </w:rPr>
              <w:t>Pour la planification de la gestion</w:t>
            </w: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7290FE12" w14:textId="77777777" w:rsidR="00302BFE" w:rsidRPr="00B43F59" w:rsidRDefault="00302BFE" w:rsidP="00243B15">
            <w:pPr>
              <w:pStyle w:val="TableParagraph"/>
              <w:spacing w:before="15" w:line="220" w:lineRule="atLeast"/>
              <w:ind w:left="80"/>
              <w:rPr>
                <w:rFonts w:ascii="Calibri" w:hAnsi="Calibri"/>
                <w:b/>
                <w:sz w:val="16"/>
                <w:lang w:val="fr-CA"/>
              </w:rPr>
            </w:pPr>
            <w:r w:rsidRPr="00B43F59">
              <w:rPr>
                <w:rFonts w:ascii="Calibri" w:hAnsi="Calibri"/>
                <w:b/>
                <w:sz w:val="16"/>
                <w:lang w:val="fr-CA"/>
              </w:rPr>
              <w:t>Aucun lien n'existe entre l'élaboration de politiques environnementales et les stratégies et programmes scientifiques / de recherche</w:t>
            </w:r>
          </w:p>
          <w:p w14:paraId="3F6FDBD2" w14:textId="77777777" w:rsidR="00302BFE" w:rsidRPr="00B43F59" w:rsidRDefault="00302BFE" w:rsidP="00243B15">
            <w:pPr>
              <w:pStyle w:val="TableParagraph"/>
              <w:spacing w:before="15" w:line="220" w:lineRule="atLeast"/>
              <w:ind w:left="80"/>
              <w:rPr>
                <w:rFonts w:ascii="Calibri" w:hAnsi="Calibri"/>
                <w:b/>
                <w:sz w:val="16"/>
                <w:lang w:val="fr-CA"/>
              </w:rPr>
            </w:pPr>
            <w:r w:rsidRPr="00B43F59">
              <w:rPr>
                <w:rFonts w:ascii="Calibri" w:hAnsi="Calibri"/>
                <w:b/>
                <w:sz w:val="16"/>
                <w:lang w:val="fr-CA"/>
              </w:rPr>
              <w:t xml:space="preserve">Aucun lien n'existe entre l'élaboration de politiques environnementales </w:t>
            </w:r>
            <w:r w:rsidRPr="00B43F59">
              <w:rPr>
                <w:rFonts w:ascii="Calibri" w:hAnsi="Calibri"/>
                <w:b/>
                <w:color w:val="FF0000"/>
                <w:sz w:val="16"/>
                <w:lang w:val="fr-CA"/>
              </w:rPr>
              <w:t xml:space="preserve">(ex. PAG ou planification de la gestion) </w:t>
            </w:r>
            <w:r w:rsidRPr="00B43F59">
              <w:rPr>
                <w:rFonts w:ascii="Calibri" w:hAnsi="Calibri"/>
                <w:b/>
                <w:sz w:val="16"/>
                <w:lang w:val="fr-CA"/>
              </w:rPr>
              <w:t xml:space="preserve">et les stratégies et programmes scientifiques / de recherche </w:t>
            </w:r>
            <w:r w:rsidRPr="00B43F59">
              <w:rPr>
                <w:rFonts w:ascii="Calibri" w:hAnsi="Calibri"/>
                <w:b/>
                <w:color w:val="FF0000"/>
                <w:sz w:val="16"/>
                <w:lang w:val="fr-CA"/>
              </w:rPr>
              <w:t>(questions qui ne peuvent pas être résolues par le suivi)</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4150D4B1"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0</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54FC5621"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6F8102EE"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000000"/>
            </w:tcBorders>
            <w:shd w:val="clear" w:color="auto" w:fill="auto"/>
          </w:tcPr>
          <w:p w14:paraId="435A6796"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000000"/>
              <w:bottom w:val="single" w:sz="4" w:space="0" w:color="16459A"/>
              <w:right w:val="single" w:sz="4" w:space="0" w:color="16459A"/>
            </w:tcBorders>
            <w:shd w:val="clear" w:color="auto" w:fill="auto"/>
          </w:tcPr>
          <w:p w14:paraId="7E44BA88" w14:textId="77777777" w:rsidR="00302BFE" w:rsidRPr="00B43F59" w:rsidRDefault="00302BFE" w:rsidP="00243B15">
            <w:pPr>
              <w:pStyle w:val="TableParagraph"/>
              <w:rPr>
                <w:rFonts w:ascii="Calibri" w:hAnsi="Calibri"/>
                <w:sz w:val="16"/>
              </w:rPr>
            </w:pPr>
          </w:p>
        </w:tc>
      </w:tr>
      <w:tr w:rsidR="00302BFE" w:rsidRPr="00AB47BD" w14:paraId="22555F64" w14:textId="77777777" w:rsidTr="00243B15">
        <w:trPr>
          <w:trHeight w:val="930"/>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12E10EC3"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5F001306" w14:textId="77777777" w:rsidR="00302BFE" w:rsidRPr="00B43F59" w:rsidRDefault="00302BFE" w:rsidP="00243B15">
            <w:pPr>
              <w:pStyle w:val="TableParagraph"/>
              <w:spacing w:before="15" w:line="220" w:lineRule="atLeast"/>
              <w:ind w:left="80"/>
              <w:rPr>
                <w:rFonts w:ascii="Calibri" w:hAnsi="Calibri"/>
                <w:b/>
                <w:sz w:val="16"/>
                <w:lang w:val="fr-CA"/>
              </w:rPr>
            </w:pPr>
            <w:r w:rsidRPr="00B43F59">
              <w:rPr>
                <w:rFonts w:ascii="Calibri" w:hAnsi="Calibri"/>
                <w:b/>
                <w:sz w:val="16"/>
                <w:lang w:val="fr-CA"/>
              </w:rPr>
              <w:t>Les besoins en recherche pour l'élaboration de politiques environnementales sont identifiés, mais ne sont pas traduits en stratégies et programmes de recherche pertinents</w:t>
            </w:r>
          </w:p>
        </w:tc>
        <w:tc>
          <w:tcPr>
            <w:tcW w:w="567" w:type="dxa"/>
            <w:tcBorders>
              <w:top w:val="single" w:sz="4" w:space="0" w:color="16459A"/>
              <w:left w:val="single" w:sz="4" w:space="0" w:color="16459A"/>
              <w:bottom w:val="single" w:sz="4" w:space="0" w:color="16459A"/>
              <w:right w:val="single" w:sz="4" w:space="0" w:color="16459A"/>
            </w:tcBorders>
            <w:shd w:val="clear" w:color="auto" w:fill="FBE4D5"/>
            <w:hideMark/>
          </w:tcPr>
          <w:p w14:paraId="20E6B243"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1</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D516917"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7396C66"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000000"/>
            </w:tcBorders>
            <w:shd w:val="clear" w:color="auto" w:fill="auto"/>
            <w:hideMark/>
          </w:tcPr>
          <w:p w14:paraId="0100651E"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CA"/>
              </w:rPr>
              <w:t xml:space="preserve">Des programmes de recherche ont déjà existé pour le ranch de </w:t>
            </w:r>
            <w:proofErr w:type="spellStart"/>
            <w:r w:rsidRPr="00B43F59">
              <w:rPr>
                <w:rFonts w:ascii="Calibri" w:hAnsi="Calibri"/>
                <w:sz w:val="16"/>
                <w:lang w:val="fr-CA"/>
              </w:rPr>
              <w:t>Nazinga</w:t>
            </w:r>
            <w:proofErr w:type="spellEnd"/>
            <w:r w:rsidRPr="00B43F59">
              <w:rPr>
                <w:rFonts w:ascii="Calibri" w:hAnsi="Calibri"/>
                <w:sz w:val="16"/>
                <w:lang w:val="fr-CA"/>
              </w:rPr>
              <w:t xml:space="preserve"> mais sont maintenant limités et orientés vers les intérêts des chercheurs plutôt que sur les besoins de la gestion des Aires protégées.</w:t>
            </w:r>
            <w:r w:rsidRPr="00B43F59">
              <w:rPr>
                <w:rFonts w:ascii="Calibri" w:hAnsi="Calibri"/>
                <w:sz w:val="16"/>
                <w:lang w:val="fr-FR"/>
              </w:rPr>
              <w:t xml:space="preserve"> A </w:t>
            </w:r>
            <w:proofErr w:type="spellStart"/>
            <w:r w:rsidRPr="00B43F59">
              <w:rPr>
                <w:rFonts w:ascii="Calibri" w:hAnsi="Calibri"/>
                <w:sz w:val="16"/>
                <w:lang w:val="fr-FR"/>
              </w:rPr>
              <w:t>Nazinga</w:t>
            </w:r>
            <w:proofErr w:type="spellEnd"/>
            <w:r w:rsidRPr="00B43F59">
              <w:rPr>
                <w:rFonts w:ascii="Calibri" w:hAnsi="Calibri"/>
                <w:sz w:val="16"/>
                <w:lang w:val="fr-FR"/>
              </w:rPr>
              <w:t>, l’OFINAP formule des thèmes pour les recherches préliminaires.</w:t>
            </w:r>
          </w:p>
          <w:p w14:paraId="0733DE22"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 xml:space="preserve">Actuellement il n’y a pas de lien avec les recherches. Les recherches ont besoins des aires pour leurs recherches. Souvent les chercheurs sont sollicités pour des contraintes comme les herbacées. L’université vient vers eux. On sollicite pour apprécier les inventaires et leurs résultats pour approbation. Les résultats aident à </w:t>
            </w:r>
            <w:r w:rsidRPr="00B43F59">
              <w:rPr>
                <w:rFonts w:ascii="Calibri" w:hAnsi="Calibri"/>
                <w:sz w:val="16"/>
                <w:lang w:val="fr-FR"/>
              </w:rPr>
              <w:lastRenderedPageBreak/>
              <w:t>opérationnaliser la gestion des aires</w:t>
            </w:r>
          </w:p>
          <w:p w14:paraId="6BDD7499"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La recherche faunique demande des moyens, donc il s’agit seulement des inventaires fauniques et sur l’appréciation des biotopes (lors des sorties), sauf si intervention de projets.</w:t>
            </w:r>
          </w:p>
        </w:tc>
        <w:tc>
          <w:tcPr>
            <w:tcW w:w="3661" w:type="dxa"/>
            <w:tcBorders>
              <w:top w:val="single" w:sz="4" w:space="0" w:color="16459A"/>
              <w:left w:val="single" w:sz="4" w:space="0" w:color="000000"/>
              <w:bottom w:val="single" w:sz="4" w:space="0" w:color="16459A"/>
              <w:right w:val="single" w:sz="4" w:space="0" w:color="000000"/>
            </w:tcBorders>
            <w:shd w:val="clear" w:color="auto" w:fill="auto"/>
          </w:tcPr>
          <w:p w14:paraId="29CF0A68" w14:textId="77777777" w:rsidR="00302BFE" w:rsidRPr="00B43F59" w:rsidRDefault="00302BFE" w:rsidP="00243B15">
            <w:pPr>
              <w:pStyle w:val="TableParagraph"/>
              <w:rPr>
                <w:rFonts w:ascii="Calibri" w:hAnsi="Calibri"/>
                <w:sz w:val="16"/>
                <w:lang w:val="fr-FR"/>
              </w:rPr>
            </w:pPr>
          </w:p>
          <w:p w14:paraId="06CEFA8C"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Mette à la disposition des élèves stagiaires des logistiques.</w:t>
            </w:r>
          </w:p>
          <w:p w14:paraId="4D6E7A44"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Définir la formulation des thèmes de recherche par les Universitaires sur les besoins</w:t>
            </w:r>
          </w:p>
        </w:tc>
      </w:tr>
      <w:tr w:rsidR="00302BFE" w:rsidRPr="00B43F59" w14:paraId="3B7A5B1A" w14:textId="77777777" w:rsidTr="00243B15">
        <w:trPr>
          <w:trHeight w:val="930"/>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40394D41"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71558CDA" w14:textId="77777777" w:rsidR="00302BFE" w:rsidRPr="00B43F59" w:rsidRDefault="00302BFE" w:rsidP="00243B15">
            <w:pPr>
              <w:pStyle w:val="TableParagraph"/>
              <w:spacing w:before="15" w:line="220" w:lineRule="atLeast"/>
              <w:ind w:left="80" w:right="75"/>
              <w:rPr>
                <w:rFonts w:ascii="Calibri" w:hAnsi="Calibri"/>
                <w:b/>
                <w:sz w:val="16"/>
                <w:lang w:val="fr-CA"/>
              </w:rPr>
            </w:pPr>
            <w:r w:rsidRPr="00B43F59">
              <w:rPr>
                <w:rFonts w:ascii="Calibri" w:hAnsi="Calibri"/>
                <w:b/>
                <w:sz w:val="16"/>
                <w:lang w:val="fr-CA"/>
              </w:rPr>
              <w:t>Il existe des stratégies et des programmes de recherche pertinents pour l’élaboration de politiques environnementales, mais les informations sur les recherches ne répondent pas pleinement aux besoins en matière de politiques.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7A098A04"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2</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5B00C159"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70663F3"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000000"/>
            </w:tcBorders>
            <w:shd w:val="clear" w:color="auto" w:fill="auto"/>
          </w:tcPr>
          <w:p w14:paraId="5B353B57"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000000"/>
              <w:bottom w:val="single" w:sz="4" w:space="0" w:color="16459A"/>
              <w:right w:val="single" w:sz="4" w:space="0" w:color="000000"/>
            </w:tcBorders>
            <w:shd w:val="clear" w:color="auto" w:fill="auto"/>
          </w:tcPr>
          <w:p w14:paraId="24325F2F" w14:textId="77777777" w:rsidR="00302BFE" w:rsidRPr="00B43F59" w:rsidRDefault="00302BFE" w:rsidP="00243B15">
            <w:pPr>
              <w:pStyle w:val="TableParagraph"/>
              <w:rPr>
                <w:rFonts w:ascii="Calibri" w:hAnsi="Calibri"/>
                <w:sz w:val="16"/>
              </w:rPr>
            </w:pPr>
          </w:p>
        </w:tc>
      </w:tr>
      <w:tr w:rsidR="00302BFE" w:rsidRPr="00B43F59" w14:paraId="4E001AA9" w14:textId="77777777" w:rsidTr="00243B15">
        <w:trPr>
          <w:trHeight w:val="490"/>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6005C3CB"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58352A4C" w14:textId="77777777" w:rsidR="00302BFE" w:rsidRPr="00B43F59" w:rsidRDefault="00302BFE" w:rsidP="00243B15">
            <w:pPr>
              <w:pStyle w:val="TableParagraph"/>
              <w:spacing w:before="15" w:line="220" w:lineRule="atLeast"/>
              <w:ind w:left="80" w:right="176"/>
              <w:rPr>
                <w:rFonts w:ascii="Calibri" w:hAnsi="Calibri"/>
                <w:b/>
                <w:sz w:val="16"/>
                <w:lang w:val="fr-CA"/>
              </w:rPr>
            </w:pPr>
            <w:r w:rsidRPr="00B43F59">
              <w:rPr>
                <w:rFonts w:ascii="Calibri" w:hAnsi="Calibri"/>
                <w:b/>
                <w:sz w:val="16"/>
                <w:lang w:val="fr-CA"/>
              </w:rPr>
              <w:t>Les résultats de recherche pertinents sont disponibles pour l'élaboration de politiques environnementales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0AA48080"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3</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63E26EA3"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0BB4FA4"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2CEAF3B0"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4C9367C0" w14:textId="77777777" w:rsidR="00302BFE" w:rsidRPr="00B43F59" w:rsidRDefault="00302BFE" w:rsidP="00243B15">
            <w:pPr>
              <w:pStyle w:val="TableParagraph"/>
              <w:rPr>
                <w:rFonts w:ascii="Calibri" w:hAnsi="Calibri"/>
                <w:sz w:val="16"/>
              </w:rPr>
            </w:pPr>
          </w:p>
        </w:tc>
      </w:tr>
      <w:tr w:rsidR="00302BFE" w:rsidRPr="00B43F59" w14:paraId="09BB49A4" w14:textId="77777777" w:rsidTr="00243B15">
        <w:trPr>
          <w:trHeight w:val="512"/>
          <w:jc w:val="center"/>
        </w:trPr>
        <w:tc>
          <w:tcPr>
            <w:tcW w:w="1246" w:type="dxa"/>
            <w:vMerge w:val="restart"/>
            <w:tcBorders>
              <w:top w:val="single" w:sz="4" w:space="0" w:color="16459A"/>
              <w:left w:val="single" w:sz="6" w:space="0" w:color="16459A"/>
              <w:bottom w:val="single" w:sz="4" w:space="0" w:color="16459A"/>
              <w:right w:val="single" w:sz="6" w:space="0" w:color="16459A"/>
            </w:tcBorders>
            <w:shd w:val="clear" w:color="auto" w:fill="E0E1F1"/>
            <w:hideMark/>
          </w:tcPr>
          <w:p w14:paraId="750BA8BF" w14:textId="77777777" w:rsidR="00302BFE" w:rsidRPr="00B43F59" w:rsidRDefault="00302BFE" w:rsidP="00243B15">
            <w:pPr>
              <w:pStyle w:val="TableParagraph"/>
              <w:rPr>
                <w:rFonts w:ascii="Calibri" w:hAnsi="Calibri"/>
                <w:b/>
                <w:sz w:val="16"/>
                <w:lang w:val="fr-CA"/>
              </w:rPr>
            </w:pPr>
            <w:r w:rsidRPr="00B43F59">
              <w:rPr>
                <w:rFonts w:ascii="Calibri" w:hAnsi="Calibri"/>
                <w:b/>
                <w:sz w:val="16"/>
                <w:lang w:val="fr-CA"/>
              </w:rPr>
              <w:t>Indicateur 8:</w:t>
            </w:r>
          </w:p>
          <w:p w14:paraId="5B55A20B" w14:textId="77777777" w:rsidR="00302BFE" w:rsidRPr="00B43F59" w:rsidRDefault="00302BFE" w:rsidP="00243B15">
            <w:pPr>
              <w:pStyle w:val="TableParagraph"/>
              <w:rPr>
                <w:rFonts w:ascii="Calibri" w:hAnsi="Calibri"/>
                <w:b/>
                <w:sz w:val="16"/>
                <w:lang w:val="fr-CA"/>
              </w:rPr>
            </w:pPr>
            <w:r w:rsidRPr="00B43F59">
              <w:rPr>
                <w:rFonts w:ascii="Calibri" w:hAnsi="Calibri"/>
                <w:b/>
                <w:sz w:val="16"/>
                <w:lang w:val="fr-CA"/>
              </w:rPr>
              <w:t>Degré d'inclusion / utilisation des connaissances traditionnelles dans la prise de décisions concernant l'environnement</w:t>
            </w: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7F36672B" w14:textId="77777777" w:rsidR="00302BFE" w:rsidRPr="00B43F59" w:rsidRDefault="00302BFE" w:rsidP="00243B15">
            <w:pPr>
              <w:pStyle w:val="TableParagraph"/>
              <w:spacing w:line="194" w:lineRule="exact"/>
              <w:ind w:left="80"/>
              <w:rPr>
                <w:rFonts w:ascii="Calibri" w:hAnsi="Calibri"/>
                <w:b/>
                <w:sz w:val="16"/>
                <w:lang w:val="fr-CA"/>
              </w:rPr>
            </w:pPr>
            <w:r w:rsidRPr="00B43F59">
              <w:rPr>
                <w:rFonts w:ascii="Calibri" w:hAnsi="Calibri"/>
                <w:b/>
                <w:sz w:val="16"/>
                <w:lang w:val="fr-CA"/>
              </w:rPr>
              <w:t>Les connaissances traditionnelles sont ignorées et ne sont pas prises en compte dans les processus décisionnels participatifs pertinents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6520E164"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0</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3973B470"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26DDF0E0"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2B6E8017"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4934CD78" w14:textId="77777777" w:rsidR="00302BFE" w:rsidRPr="00B43F59" w:rsidRDefault="00302BFE" w:rsidP="00243B15">
            <w:pPr>
              <w:pStyle w:val="TableParagraph"/>
              <w:rPr>
                <w:rFonts w:ascii="Calibri" w:hAnsi="Calibri"/>
                <w:sz w:val="16"/>
              </w:rPr>
            </w:pPr>
          </w:p>
        </w:tc>
      </w:tr>
      <w:tr w:rsidR="00302BFE" w:rsidRPr="00AB47BD" w14:paraId="7DC89013" w14:textId="77777777" w:rsidTr="00243B15">
        <w:trPr>
          <w:trHeight w:val="930"/>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7104D245"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61039C06" w14:textId="77777777" w:rsidR="00302BFE" w:rsidRPr="00B43F59" w:rsidRDefault="00302BFE" w:rsidP="00243B15">
            <w:pPr>
              <w:pStyle w:val="TableParagraph"/>
              <w:spacing w:before="15" w:line="220" w:lineRule="atLeast"/>
              <w:ind w:left="80" w:right="176"/>
              <w:rPr>
                <w:rFonts w:ascii="Calibri" w:hAnsi="Calibri"/>
                <w:b/>
                <w:sz w:val="16"/>
                <w:lang w:val="fr-CA"/>
              </w:rPr>
            </w:pPr>
            <w:r w:rsidRPr="00B43F59">
              <w:rPr>
                <w:rFonts w:ascii="Calibri" w:hAnsi="Calibri"/>
                <w:b/>
                <w:sz w:val="16"/>
                <w:lang w:val="fr-CA"/>
              </w:rPr>
              <w:t>Les connaissances traditionnelles sont identifiées et reconnues comme importantes, mais ne sont pas collectées et utilisées dans les processus décisionnels participatifs pertinents</w:t>
            </w:r>
          </w:p>
        </w:tc>
        <w:tc>
          <w:tcPr>
            <w:tcW w:w="567" w:type="dxa"/>
            <w:tcBorders>
              <w:top w:val="single" w:sz="4" w:space="0" w:color="16459A"/>
              <w:left w:val="single" w:sz="4" w:space="0" w:color="16459A"/>
              <w:bottom w:val="single" w:sz="4" w:space="0" w:color="16459A"/>
              <w:right w:val="single" w:sz="4" w:space="0" w:color="16459A"/>
            </w:tcBorders>
            <w:shd w:val="clear" w:color="auto" w:fill="FBE4D5"/>
            <w:hideMark/>
          </w:tcPr>
          <w:p w14:paraId="62856EDD"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1</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33FB0893"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084C5A5"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hideMark/>
          </w:tcPr>
          <w:p w14:paraId="409F2767"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Connaissances connues mais non répertoriées. De temps à autre sont utilisées mais ne sont pas documentées</w:t>
            </w:r>
          </w:p>
        </w:tc>
        <w:tc>
          <w:tcPr>
            <w:tcW w:w="3661" w:type="dxa"/>
            <w:tcBorders>
              <w:top w:val="single" w:sz="4" w:space="0" w:color="16459A"/>
              <w:left w:val="single" w:sz="4" w:space="0" w:color="16459A"/>
              <w:bottom w:val="single" w:sz="4" w:space="0" w:color="16459A"/>
              <w:right w:val="single" w:sz="4" w:space="0" w:color="16459A"/>
            </w:tcBorders>
            <w:shd w:val="clear" w:color="auto" w:fill="auto"/>
            <w:hideMark/>
          </w:tcPr>
          <w:p w14:paraId="34B779CD"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Faire la collecte des données sur ce que connaissant les pisteurs, les chasseurs, les villages, etc.</w:t>
            </w:r>
          </w:p>
        </w:tc>
      </w:tr>
      <w:tr w:rsidR="00302BFE" w:rsidRPr="00B43F59" w14:paraId="13B0041C" w14:textId="77777777" w:rsidTr="00243B15">
        <w:trPr>
          <w:trHeight w:val="710"/>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124C2A9B"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0F0B3FF9" w14:textId="77777777" w:rsidR="00302BFE" w:rsidRPr="00B43F59" w:rsidRDefault="00302BFE" w:rsidP="00243B15">
            <w:pPr>
              <w:pStyle w:val="TableParagraph"/>
              <w:spacing w:before="15" w:line="220" w:lineRule="atLeast"/>
              <w:ind w:left="80" w:right="134"/>
              <w:rPr>
                <w:rFonts w:ascii="Calibri" w:hAnsi="Calibri"/>
                <w:b/>
                <w:sz w:val="16"/>
                <w:lang w:val="fr-CA"/>
              </w:rPr>
            </w:pPr>
            <w:r w:rsidRPr="00B43F59">
              <w:rPr>
                <w:rFonts w:ascii="Calibri" w:hAnsi="Calibri"/>
                <w:b/>
                <w:sz w:val="16"/>
                <w:lang w:val="fr-CA"/>
              </w:rPr>
              <w:t>Les connaissances traditionnelles sont collectées mais ne sont pas systématiquement utilisées dans les processus décisionnels participatifs pertinents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3DA1E7C2"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2</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744CF14"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75C8DE52"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3605E880"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1BB541F5" w14:textId="77777777" w:rsidR="00302BFE" w:rsidRPr="00B43F59" w:rsidRDefault="00302BFE" w:rsidP="00243B15">
            <w:pPr>
              <w:pStyle w:val="TableParagraph"/>
              <w:rPr>
                <w:rFonts w:ascii="Calibri" w:hAnsi="Calibri"/>
                <w:sz w:val="16"/>
              </w:rPr>
            </w:pPr>
          </w:p>
        </w:tc>
      </w:tr>
      <w:tr w:rsidR="00302BFE" w:rsidRPr="00B43F59" w14:paraId="0C7DDBE2" w14:textId="77777777" w:rsidTr="00243B15">
        <w:trPr>
          <w:trHeight w:val="710"/>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629A712C"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59F49E5E" w14:textId="77777777" w:rsidR="00302BFE" w:rsidRPr="00B43F59" w:rsidRDefault="00302BFE" w:rsidP="00243B15">
            <w:pPr>
              <w:pStyle w:val="TableParagraph"/>
              <w:spacing w:before="15" w:line="220" w:lineRule="atLeast"/>
              <w:ind w:left="80" w:right="247"/>
              <w:rPr>
                <w:rFonts w:ascii="Calibri" w:hAnsi="Calibri"/>
                <w:b/>
                <w:sz w:val="16"/>
                <w:lang w:val="fr-CA"/>
              </w:rPr>
            </w:pPr>
            <w:r w:rsidRPr="00B43F59">
              <w:rPr>
                <w:rFonts w:ascii="Calibri" w:hAnsi="Calibri"/>
                <w:b/>
                <w:sz w:val="16"/>
                <w:lang w:val="fr-CA"/>
              </w:rPr>
              <w:t>Les connaissances traditionnelles sont collectées, utilisées et partagées pour des processus décisionnels participatifs efficaces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186C5FE1"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3</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10A70B84"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73717315"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6258EC4E"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086E59F6" w14:textId="77777777" w:rsidR="00302BFE" w:rsidRPr="00B43F59" w:rsidRDefault="00302BFE" w:rsidP="00243B15">
            <w:pPr>
              <w:pStyle w:val="TableParagraph"/>
              <w:rPr>
                <w:rFonts w:ascii="Calibri" w:hAnsi="Calibri"/>
                <w:sz w:val="16"/>
              </w:rPr>
            </w:pPr>
          </w:p>
        </w:tc>
      </w:tr>
      <w:tr w:rsidR="00302BFE" w:rsidRPr="00AB47BD" w14:paraId="00F17803" w14:textId="77777777" w:rsidTr="00243B15">
        <w:trPr>
          <w:trHeight w:val="270"/>
          <w:jc w:val="center"/>
        </w:trPr>
        <w:tc>
          <w:tcPr>
            <w:tcW w:w="14166" w:type="dxa"/>
            <w:gridSpan w:val="7"/>
            <w:tcBorders>
              <w:top w:val="single" w:sz="4" w:space="0" w:color="16459A"/>
              <w:left w:val="single" w:sz="4" w:space="0" w:color="16459A"/>
              <w:bottom w:val="single" w:sz="4" w:space="0" w:color="16459A"/>
              <w:right w:val="single" w:sz="4" w:space="0" w:color="16459A"/>
            </w:tcBorders>
            <w:shd w:val="clear" w:color="auto" w:fill="9ABAC3"/>
          </w:tcPr>
          <w:p w14:paraId="53691257" w14:textId="77777777" w:rsidR="00302BFE" w:rsidRPr="00B43F59" w:rsidRDefault="00302BFE" w:rsidP="00243B15">
            <w:pPr>
              <w:pStyle w:val="TableParagraph"/>
              <w:spacing w:before="34"/>
              <w:ind w:left="79"/>
              <w:rPr>
                <w:rFonts w:ascii="Calibri" w:hAnsi="Calibri"/>
                <w:b/>
                <w:i/>
                <w:sz w:val="20"/>
                <w:szCs w:val="20"/>
                <w:lang w:val="fr-CA"/>
              </w:rPr>
            </w:pPr>
            <w:r w:rsidRPr="00B43F59">
              <w:rPr>
                <w:rFonts w:ascii="Calibri" w:hAnsi="Calibri"/>
                <w:b/>
                <w:i/>
                <w:sz w:val="20"/>
                <w:szCs w:val="20"/>
                <w:lang w:val="fr-CA"/>
              </w:rPr>
              <w:t>3: Capacités à élaborer des Stratégies, Politiques et Lois</w:t>
            </w:r>
          </w:p>
        </w:tc>
      </w:tr>
      <w:tr w:rsidR="00302BFE" w:rsidRPr="00B43F59" w14:paraId="52650609" w14:textId="77777777" w:rsidTr="00243B15">
        <w:trPr>
          <w:trHeight w:val="930"/>
          <w:jc w:val="center"/>
        </w:trPr>
        <w:tc>
          <w:tcPr>
            <w:tcW w:w="1246" w:type="dxa"/>
            <w:vMerge w:val="restart"/>
            <w:tcBorders>
              <w:top w:val="single" w:sz="4" w:space="0" w:color="16459A"/>
              <w:left w:val="single" w:sz="6" w:space="0" w:color="16459A"/>
              <w:bottom w:val="single" w:sz="4" w:space="0" w:color="16459A"/>
              <w:right w:val="single" w:sz="4" w:space="0" w:color="16459A"/>
            </w:tcBorders>
            <w:shd w:val="clear" w:color="auto" w:fill="E0E1F1"/>
            <w:hideMark/>
          </w:tcPr>
          <w:p w14:paraId="4A95CDDA" w14:textId="77777777" w:rsidR="00302BFE" w:rsidRPr="00B43F59" w:rsidRDefault="00302BFE" w:rsidP="00243B15">
            <w:pPr>
              <w:pStyle w:val="TableParagraph"/>
              <w:rPr>
                <w:rFonts w:ascii="Calibri" w:hAnsi="Calibri"/>
                <w:b/>
                <w:sz w:val="16"/>
                <w:lang w:val="fr-CA"/>
              </w:rPr>
            </w:pPr>
            <w:r w:rsidRPr="00B43F59">
              <w:rPr>
                <w:rFonts w:ascii="Calibri" w:hAnsi="Calibri"/>
                <w:b/>
                <w:sz w:val="16"/>
                <w:lang w:val="fr-CA"/>
              </w:rPr>
              <w:t>Indicateur 9: Étendue du processus de planification environnementale et d'élaboration de stratégies</w:t>
            </w: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7006F7F7" w14:textId="77777777" w:rsidR="00302BFE" w:rsidRPr="00B43F59" w:rsidRDefault="00302BFE" w:rsidP="00243B15">
            <w:pPr>
              <w:pStyle w:val="TableParagraph"/>
              <w:spacing w:before="15" w:line="220" w:lineRule="atLeast"/>
              <w:ind w:left="80" w:right="176"/>
              <w:rPr>
                <w:rFonts w:ascii="Calibri" w:hAnsi="Calibri"/>
                <w:b/>
                <w:sz w:val="16"/>
                <w:lang w:val="fr-CA"/>
              </w:rPr>
            </w:pPr>
            <w:r w:rsidRPr="00B43F59">
              <w:rPr>
                <w:rFonts w:ascii="Calibri" w:hAnsi="Calibri"/>
                <w:b/>
                <w:sz w:val="16"/>
                <w:lang w:val="fr-CA"/>
              </w:rPr>
              <w:t>Le processus de planification environnementale et d'élaboration de stratégies n'est pas coordonné et ne produit pas de plans et de stratégies environnementaux adéquats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5663A6E1"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0</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805F229"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2727E25E"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4023F0F6"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3DDFEBC7" w14:textId="77777777" w:rsidR="00302BFE" w:rsidRPr="00B43F59" w:rsidRDefault="00302BFE" w:rsidP="00243B15">
            <w:pPr>
              <w:pStyle w:val="TableParagraph"/>
              <w:rPr>
                <w:rFonts w:ascii="Calibri" w:hAnsi="Calibri"/>
                <w:sz w:val="16"/>
              </w:rPr>
            </w:pPr>
          </w:p>
        </w:tc>
      </w:tr>
      <w:tr w:rsidR="00302BFE" w:rsidRPr="00B43F59" w14:paraId="61AD3E7C" w14:textId="77777777" w:rsidTr="00243B15">
        <w:trPr>
          <w:trHeight w:val="930"/>
          <w:jc w:val="center"/>
        </w:trPr>
        <w:tc>
          <w:tcPr>
            <w:tcW w:w="1246" w:type="dxa"/>
            <w:vMerge/>
            <w:tcBorders>
              <w:top w:val="single" w:sz="4" w:space="0" w:color="16459A"/>
              <w:left w:val="single" w:sz="6" w:space="0" w:color="16459A"/>
              <w:bottom w:val="single" w:sz="4" w:space="0" w:color="16459A"/>
              <w:right w:val="single" w:sz="4" w:space="0" w:color="16459A"/>
            </w:tcBorders>
            <w:shd w:val="clear" w:color="auto" w:fill="auto"/>
            <w:vAlign w:val="center"/>
            <w:hideMark/>
          </w:tcPr>
          <w:p w14:paraId="08A571D2"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4E0C4401" w14:textId="77777777" w:rsidR="00302BFE" w:rsidRPr="00B43F59" w:rsidRDefault="00302BFE" w:rsidP="00243B15">
            <w:pPr>
              <w:pStyle w:val="TableParagraph"/>
              <w:spacing w:before="15" w:line="220" w:lineRule="atLeast"/>
              <w:ind w:left="80" w:right="79"/>
              <w:rPr>
                <w:rFonts w:ascii="Calibri" w:hAnsi="Calibri"/>
                <w:b/>
                <w:sz w:val="16"/>
                <w:lang w:val="fr-CA"/>
              </w:rPr>
            </w:pPr>
            <w:r w:rsidRPr="00B43F59">
              <w:rPr>
                <w:rFonts w:ascii="Calibri" w:hAnsi="Calibri"/>
                <w:b/>
                <w:sz w:val="16"/>
                <w:lang w:val="fr-CA"/>
              </w:rPr>
              <w:t xml:space="preserve">Le processus de planification environnementale et d'élaboration de stratégies produit des plans et stratégies environnementaux adéquats, mais ils ne sont </w:t>
            </w:r>
            <w:proofErr w:type="gramStart"/>
            <w:r w:rsidRPr="00B43F59">
              <w:rPr>
                <w:rFonts w:ascii="Calibri" w:hAnsi="Calibri"/>
                <w:b/>
                <w:sz w:val="16"/>
                <w:lang w:val="fr-CA"/>
              </w:rPr>
              <w:t>ni mis</w:t>
            </w:r>
            <w:proofErr w:type="gramEnd"/>
            <w:r w:rsidRPr="00B43F59">
              <w:rPr>
                <w:rFonts w:ascii="Calibri" w:hAnsi="Calibri"/>
                <w:b/>
                <w:sz w:val="16"/>
                <w:lang w:val="fr-CA"/>
              </w:rPr>
              <w:t xml:space="preserve"> en œuvre ni utilisés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4799B57A"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1</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6ED3DE5D"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510675D8"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7FE3B436"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5D85662A" w14:textId="77777777" w:rsidR="00302BFE" w:rsidRPr="00B43F59" w:rsidRDefault="00302BFE" w:rsidP="00243B15">
            <w:pPr>
              <w:pStyle w:val="TableParagraph"/>
              <w:rPr>
                <w:rFonts w:ascii="Calibri" w:hAnsi="Calibri"/>
                <w:sz w:val="16"/>
              </w:rPr>
            </w:pPr>
          </w:p>
        </w:tc>
      </w:tr>
      <w:tr w:rsidR="00302BFE" w:rsidRPr="00AB47BD" w14:paraId="5085B3E5" w14:textId="77777777" w:rsidTr="00243B15">
        <w:trPr>
          <w:trHeight w:val="398"/>
          <w:jc w:val="center"/>
        </w:trPr>
        <w:tc>
          <w:tcPr>
            <w:tcW w:w="1246" w:type="dxa"/>
            <w:vMerge/>
            <w:tcBorders>
              <w:top w:val="single" w:sz="4" w:space="0" w:color="16459A"/>
              <w:left w:val="single" w:sz="6" w:space="0" w:color="16459A"/>
              <w:bottom w:val="single" w:sz="4" w:space="0" w:color="16459A"/>
              <w:right w:val="single" w:sz="4" w:space="0" w:color="16459A"/>
            </w:tcBorders>
            <w:shd w:val="clear" w:color="auto" w:fill="auto"/>
            <w:vAlign w:val="center"/>
            <w:hideMark/>
          </w:tcPr>
          <w:p w14:paraId="4E430419"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7C00FFE1" w14:textId="77777777" w:rsidR="00302BFE" w:rsidRPr="00B43F59" w:rsidRDefault="00302BFE" w:rsidP="00243B15">
            <w:pPr>
              <w:pStyle w:val="TableParagraph"/>
              <w:spacing w:before="15" w:line="220" w:lineRule="atLeast"/>
              <w:ind w:left="80" w:right="190"/>
              <w:rPr>
                <w:rFonts w:ascii="Calibri" w:hAnsi="Calibri"/>
                <w:b/>
                <w:sz w:val="16"/>
                <w:lang w:val="fr-CA"/>
              </w:rPr>
            </w:pPr>
            <w:r w:rsidRPr="00B43F59">
              <w:rPr>
                <w:rFonts w:ascii="Calibri" w:hAnsi="Calibri"/>
                <w:b/>
                <w:sz w:val="16"/>
                <w:lang w:val="fr-CA"/>
              </w:rPr>
              <w:t>Des plans et stratégies environnementaux adéquats sont élaborés, mais ne sont que partiellement mis en œuvre en raison de contraintes de financement et / ou d'autres problèmes</w:t>
            </w:r>
          </w:p>
        </w:tc>
        <w:tc>
          <w:tcPr>
            <w:tcW w:w="567" w:type="dxa"/>
            <w:tcBorders>
              <w:top w:val="single" w:sz="4" w:space="0" w:color="16459A"/>
              <w:left w:val="single" w:sz="4" w:space="0" w:color="16459A"/>
              <w:bottom w:val="single" w:sz="4" w:space="0" w:color="16459A"/>
              <w:right w:val="single" w:sz="4" w:space="0" w:color="16459A"/>
            </w:tcBorders>
            <w:shd w:val="clear" w:color="auto" w:fill="FBE4D5"/>
            <w:hideMark/>
          </w:tcPr>
          <w:p w14:paraId="4D6561E9"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2</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569F532"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CF058EE"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hideMark/>
          </w:tcPr>
          <w:p w14:paraId="7B906D29"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CA"/>
              </w:rPr>
              <w:t>De nombreux plans et stratégies sont développés mais leur mise en œuvre est limitée par le manque d’engagement politique</w:t>
            </w:r>
          </w:p>
          <w:p w14:paraId="6EB8C1C4"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 xml:space="preserve">Il y a de bonne planification, de bonnes stratégies </w:t>
            </w:r>
            <w:r w:rsidRPr="00B43F59">
              <w:rPr>
                <w:rFonts w:ascii="Calibri" w:hAnsi="Calibri"/>
                <w:sz w:val="16"/>
                <w:lang w:val="fr-FR"/>
              </w:rPr>
              <w:lastRenderedPageBreak/>
              <w:t>mais il manqué les moyens financiers (beaucoup d’écrit sur les politiques, stratégies, et PAG)</w:t>
            </w:r>
          </w:p>
        </w:tc>
        <w:tc>
          <w:tcPr>
            <w:tcW w:w="3661" w:type="dxa"/>
            <w:tcBorders>
              <w:top w:val="single" w:sz="4" w:space="0" w:color="16459A"/>
              <w:left w:val="single" w:sz="4" w:space="0" w:color="16459A"/>
              <w:bottom w:val="single" w:sz="4" w:space="0" w:color="16459A"/>
              <w:right w:val="single" w:sz="4" w:space="0" w:color="16459A"/>
            </w:tcBorders>
            <w:shd w:val="clear" w:color="auto" w:fill="auto"/>
            <w:hideMark/>
          </w:tcPr>
          <w:p w14:paraId="40EE706B"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lastRenderedPageBreak/>
              <w:t>Mise en place de ressources financières pour faire une gestion concertée et participative</w:t>
            </w:r>
          </w:p>
          <w:p w14:paraId="165B8839"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-Revoir la volonté politique (ou engagement de l’Etat. Donc il faut des plaidoyers</w:t>
            </w:r>
          </w:p>
        </w:tc>
      </w:tr>
      <w:tr w:rsidR="00302BFE" w:rsidRPr="00B43F59" w14:paraId="3EB00C5B" w14:textId="77777777" w:rsidTr="00243B15">
        <w:trPr>
          <w:trHeight w:val="930"/>
          <w:jc w:val="center"/>
        </w:trPr>
        <w:tc>
          <w:tcPr>
            <w:tcW w:w="1246" w:type="dxa"/>
            <w:vMerge/>
            <w:tcBorders>
              <w:top w:val="single" w:sz="4" w:space="0" w:color="16459A"/>
              <w:left w:val="single" w:sz="6" w:space="0" w:color="16459A"/>
              <w:bottom w:val="single" w:sz="4" w:space="0" w:color="16459A"/>
              <w:right w:val="single" w:sz="4" w:space="0" w:color="16459A"/>
            </w:tcBorders>
            <w:shd w:val="clear" w:color="auto" w:fill="auto"/>
            <w:vAlign w:val="center"/>
            <w:hideMark/>
          </w:tcPr>
          <w:p w14:paraId="34533315"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76DB6CC4" w14:textId="77777777" w:rsidR="00302BFE" w:rsidRPr="00B43F59" w:rsidRDefault="00302BFE" w:rsidP="00243B15">
            <w:pPr>
              <w:pStyle w:val="TableParagraph"/>
              <w:spacing w:before="15" w:line="220" w:lineRule="atLeast"/>
              <w:ind w:left="80" w:right="190"/>
              <w:rPr>
                <w:rFonts w:ascii="Calibri" w:hAnsi="Calibri"/>
                <w:b/>
                <w:sz w:val="16"/>
                <w:lang w:val="fr-CA"/>
              </w:rPr>
            </w:pPr>
            <w:r w:rsidRPr="00B43F59">
              <w:rPr>
                <w:rFonts w:ascii="Calibri" w:hAnsi="Calibri"/>
                <w:b/>
                <w:sz w:val="16"/>
                <w:lang w:val="fr-CA"/>
              </w:rPr>
              <w:t>Le processus d'élaboration de la stratégie et de la planification environnementales est bien coordonné par les principales organisations environnementales et produit les plans et stratégies environnementaux requis qui sont mis en œuvre</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5AE887A0"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3</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25A7D8AC"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33300644"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546D38FE"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7D303D63" w14:textId="77777777" w:rsidR="00302BFE" w:rsidRPr="00B43F59" w:rsidRDefault="00302BFE" w:rsidP="00243B15">
            <w:pPr>
              <w:pStyle w:val="TableParagraph"/>
              <w:rPr>
                <w:rFonts w:ascii="Calibri" w:hAnsi="Calibri"/>
                <w:sz w:val="16"/>
              </w:rPr>
            </w:pPr>
          </w:p>
        </w:tc>
      </w:tr>
      <w:tr w:rsidR="00302BFE" w:rsidRPr="00B43F59" w14:paraId="325D7543" w14:textId="77777777" w:rsidTr="00243B15">
        <w:trPr>
          <w:trHeight w:val="710"/>
          <w:jc w:val="center"/>
        </w:trPr>
        <w:tc>
          <w:tcPr>
            <w:tcW w:w="1246" w:type="dxa"/>
            <w:vMerge w:val="restart"/>
            <w:tcBorders>
              <w:top w:val="nil"/>
              <w:left w:val="single" w:sz="6" w:space="0" w:color="16459A"/>
              <w:bottom w:val="single" w:sz="4" w:space="0" w:color="16459A"/>
              <w:right w:val="single" w:sz="6" w:space="0" w:color="16459A"/>
            </w:tcBorders>
            <w:shd w:val="clear" w:color="auto" w:fill="E0E1F1"/>
            <w:hideMark/>
          </w:tcPr>
          <w:p w14:paraId="02D6CF9C" w14:textId="77777777" w:rsidR="00302BFE" w:rsidRPr="00B43F59" w:rsidRDefault="00302BFE" w:rsidP="00243B15">
            <w:pPr>
              <w:widowControl w:val="0"/>
              <w:autoSpaceDE w:val="0"/>
              <w:autoSpaceDN w:val="0"/>
              <w:rPr>
                <w:rFonts w:eastAsia="Calibri"/>
                <w:sz w:val="2"/>
                <w:szCs w:val="2"/>
                <w:lang w:val="fr-CA"/>
              </w:rPr>
            </w:pPr>
            <w:r w:rsidRPr="00B43F59">
              <w:rPr>
                <w:rFonts w:eastAsia="Calibri"/>
                <w:b/>
                <w:sz w:val="16"/>
                <w:szCs w:val="22"/>
                <w:lang w:val="fr-CA"/>
              </w:rPr>
              <w:t>Indicateur 10: Existence de politiques environnementales et de cadres réglementaires adéquats</w:t>
            </w: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05E75144" w14:textId="77777777" w:rsidR="00302BFE" w:rsidRPr="00B43F59" w:rsidRDefault="00302BFE" w:rsidP="00243B15">
            <w:pPr>
              <w:pStyle w:val="TableParagraph"/>
              <w:spacing w:before="15" w:line="220" w:lineRule="atLeast"/>
              <w:ind w:left="80" w:right="176"/>
              <w:rPr>
                <w:rFonts w:ascii="Calibri" w:hAnsi="Calibri"/>
                <w:b/>
                <w:sz w:val="16"/>
                <w:lang w:val="fr-CA"/>
              </w:rPr>
            </w:pPr>
            <w:r w:rsidRPr="00B43F59">
              <w:rPr>
                <w:rFonts w:ascii="Calibri" w:hAnsi="Calibri"/>
                <w:b/>
                <w:sz w:val="16"/>
                <w:lang w:val="fr-CA"/>
              </w:rPr>
              <w:t>La politique environnementale et les cadres réglementaires sont insuffisants; ils ne fournissent pas un environnement habilitant</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16255D06"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0</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326E65F2"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5049B70A"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36FFCCB8"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0E5D74FB" w14:textId="77777777" w:rsidR="00302BFE" w:rsidRPr="00B43F59" w:rsidRDefault="00302BFE" w:rsidP="00243B15">
            <w:pPr>
              <w:pStyle w:val="TableParagraph"/>
              <w:rPr>
                <w:rFonts w:ascii="Calibri" w:hAnsi="Calibri"/>
                <w:sz w:val="16"/>
              </w:rPr>
            </w:pPr>
          </w:p>
        </w:tc>
      </w:tr>
      <w:tr w:rsidR="00302BFE" w:rsidRPr="00AB47BD" w14:paraId="796A353F" w14:textId="77777777" w:rsidTr="00243B15">
        <w:trPr>
          <w:trHeight w:val="490"/>
          <w:jc w:val="center"/>
        </w:trPr>
        <w:tc>
          <w:tcPr>
            <w:tcW w:w="1246" w:type="dxa"/>
            <w:vMerge/>
            <w:tcBorders>
              <w:top w:val="nil"/>
              <w:left w:val="single" w:sz="6" w:space="0" w:color="16459A"/>
              <w:bottom w:val="single" w:sz="4" w:space="0" w:color="16459A"/>
              <w:right w:val="single" w:sz="6" w:space="0" w:color="16459A"/>
            </w:tcBorders>
            <w:shd w:val="clear" w:color="auto" w:fill="auto"/>
            <w:vAlign w:val="center"/>
            <w:hideMark/>
          </w:tcPr>
          <w:p w14:paraId="46684808" w14:textId="77777777" w:rsidR="00302BFE" w:rsidRPr="00B43F59" w:rsidRDefault="00302BFE" w:rsidP="00243B15">
            <w:pPr>
              <w:widowControl w:val="0"/>
              <w:autoSpaceDE w:val="0"/>
              <w:autoSpaceDN w:val="0"/>
              <w:rPr>
                <w:rFonts w:eastAsia="Myriad Pro Light" w:cs="Myriad Pro Light"/>
                <w:sz w:val="2"/>
                <w:szCs w:val="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29A039B1" w14:textId="77777777" w:rsidR="00302BFE" w:rsidRPr="00B43F59" w:rsidRDefault="00302BFE" w:rsidP="00243B15">
            <w:pPr>
              <w:pStyle w:val="TableParagraph"/>
              <w:spacing w:before="15" w:line="220" w:lineRule="atLeast"/>
              <w:ind w:left="80" w:right="88"/>
              <w:rPr>
                <w:rFonts w:ascii="Calibri" w:hAnsi="Calibri"/>
                <w:b/>
                <w:sz w:val="16"/>
                <w:lang w:val="fr-CA"/>
              </w:rPr>
            </w:pPr>
            <w:r w:rsidRPr="00B43F59">
              <w:rPr>
                <w:rFonts w:ascii="Calibri" w:hAnsi="Calibri"/>
                <w:b/>
                <w:sz w:val="16"/>
                <w:lang w:val="fr-CA"/>
              </w:rPr>
              <w:t>Certaines politiques et lois environnementales pertinentes existent, mais peu sont mises en œuvre et appliquées</w:t>
            </w:r>
          </w:p>
        </w:tc>
        <w:tc>
          <w:tcPr>
            <w:tcW w:w="567" w:type="dxa"/>
            <w:tcBorders>
              <w:top w:val="single" w:sz="4" w:space="0" w:color="16459A"/>
              <w:left w:val="single" w:sz="4" w:space="0" w:color="16459A"/>
              <w:bottom w:val="single" w:sz="4" w:space="0" w:color="16459A"/>
              <w:right w:val="single" w:sz="4" w:space="0" w:color="16459A"/>
            </w:tcBorders>
            <w:shd w:val="clear" w:color="auto" w:fill="FBE4D5"/>
            <w:hideMark/>
          </w:tcPr>
          <w:p w14:paraId="02D20C87"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1</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F37469F"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169D28B8"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hideMark/>
          </w:tcPr>
          <w:p w14:paraId="262FD4FD"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CA"/>
              </w:rPr>
              <w:t>La mise en œuvre des politiques et lois est limitée parce que de nombreux textes d’application sont manquants, les moyens d’application sont insuffisants, et les textes sont insuffisamment connus au niveau local puisqu’ils ne sont pas accessibles en langue locale</w:t>
            </w:r>
          </w:p>
          <w:p w14:paraId="140AC5F4"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Pas de textes d’application des textes (code forestier, coopération transfrontalière)</w:t>
            </w:r>
          </w:p>
        </w:tc>
        <w:tc>
          <w:tcPr>
            <w:tcW w:w="3661" w:type="dxa"/>
            <w:tcBorders>
              <w:top w:val="single" w:sz="4" w:space="0" w:color="16459A"/>
              <w:left w:val="single" w:sz="4" w:space="0" w:color="16459A"/>
              <w:bottom w:val="single" w:sz="4" w:space="0" w:color="16459A"/>
              <w:right w:val="single" w:sz="4" w:space="0" w:color="16459A"/>
            </w:tcBorders>
            <w:shd w:val="clear" w:color="auto" w:fill="auto"/>
            <w:hideMark/>
          </w:tcPr>
          <w:p w14:paraId="7C58E586"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Prise en compte des collectivités (traduction en langues locales)</w:t>
            </w:r>
          </w:p>
        </w:tc>
      </w:tr>
      <w:tr w:rsidR="00302BFE" w:rsidRPr="00B43F59" w14:paraId="0C64D06D" w14:textId="77777777" w:rsidTr="00243B15">
        <w:trPr>
          <w:trHeight w:val="710"/>
          <w:jc w:val="center"/>
        </w:trPr>
        <w:tc>
          <w:tcPr>
            <w:tcW w:w="1246" w:type="dxa"/>
            <w:vMerge/>
            <w:tcBorders>
              <w:top w:val="nil"/>
              <w:left w:val="single" w:sz="6" w:space="0" w:color="16459A"/>
              <w:bottom w:val="single" w:sz="4" w:space="0" w:color="16459A"/>
              <w:right w:val="single" w:sz="6" w:space="0" w:color="16459A"/>
            </w:tcBorders>
            <w:shd w:val="clear" w:color="auto" w:fill="auto"/>
            <w:vAlign w:val="center"/>
            <w:hideMark/>
          </w:tcPr>
          <w:p w14:paraId="7A899D8E" w14:textId="77777777" w:rsidR="00302BFE" w:rsidRPr="00B43F59" w:rsidRDefault="00302BFE" w:rsidP="00243B15">
            <w:pPr>
              <w:widowControl w:val="0"/>
              <w:autoSpaceDE w:val="0"/>
              <w:autoSpaceDN w:val="0"/>
              <w:rPr>
                <w:rFonts w:eastAsia="Myriad Pro Light" w:cs="Myriad Pro Light"/>
                <w:sz w:val="2"/>
                <w:szCs w:val="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0C6E518A" w14:textId="77777777" w:rsidR="00302BFE" w:rsidRPr="00B43F59" w:rsidRDefault="00302BFE" w:rsidP="00243B15">
            <w:pPr>
              <w:pStyle w:val="TableParagraph"/>
              <w:spacing w:before="15" w:line="220" w:lineRule="atLeast"/>
              <w:ind w:left="80" w:right="104"/>
              <w:rPr>
                <w:rFonts w:ascii="Calibri" w:hAnsi="Calibri"/>
                <w:b/>
                <w:sz w:val="16"/>
                <w:lang w:val="fr-CA"/>
              </w:rPr>
            </w:pPr>
            <w:r w:rsidRPr="00B43F59">
              <w:rPr>
                <w:rFonts w:ascii="Calibri" w:hAnsi="Calibri"/>
                <w:b/>
                <w:sz w:val="16"/>
                <w:lang w:val="fr-CA"/>
              </w:rPr>
              <w:t>Il existe une politique environnementale adéquate et des cadres législatifs adéquats, mais leur mise en œuvre et leur application posent des problèmes.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7F3AE5D5"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2</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11902041"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61322B76"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5CBA4381"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70BC8C71" w14:textId="77777777" w:rsidR="00302BFE" w:rsidRPr="00B43F59" w:rsidRDefault="00302BFE" w:rsidP="00243B15">
            <w:pPr>
              <w:pStyle w:val="TableParagraph"/>
              <w:rPr>
                <w:rFonts w:ascii="Calibri" w:hAnsi="Calibri"/>
                <w:sz w:val="16"/>
              </w:rPr>
            </w:pPr>
          </w:p>
        </w:tc>
      </w:tr>
      <w:tr w:rsidR="00302BFE" w:rsidRPr="00B43F59" w14:paraId="5E90605A" w14:textId="77777777" w:rsidTr="00243B15">
        <w:trPr>
          <w:trHeight w:val="892"/>
          <w:jc w:val="center"/>
        </w:trPr>
        <w:tc>
          <w:tcPr>
            <w:tcW w:w="1246" w:type="dxa"/>
            <w:vMerge/>
            <w:tcBorders>
              <w:top w:val="nil"/>
              <w:left w:val="single" w:sz="6" w:space="0" w:color="16459A"/>
              <w:bottom w:val="single" w:sz="4" w:space="0" w:color="16459A"/>
              <w:right w:val="single" w:sz="6" w:space="0" w:color="16459A"/>
            </w:tcBorders>
            <w:shd w:val="clear" w:color="auto" w:fill="auto"/>
            <w:vAlign w:val="center"/>
            <w:hideMark/>
          </w:tcPr>
          <w:p w14:paraId="129CA55D" w14:textId="77777777" w:rsidR="00302BFE" w:rsidRPr="00B43F59" w:rsidRDefault="00302BFE" w:rsidP="00243B15">
            <w:pPr>
              <w:widowControl w:val="0"/>
              <w:autoSpaceDE w:val="0"/>
              <w:autoSpaceDN w:val="0"/>
              <w:rPr>
                <w:rFonts w:eastAsia="Myriad Pro Light" w:cs="Myriad Pro Light"/>
                <w:sz w:val="2"/>
                <w:szCs w:val="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1E80AA5E" w14:textId="77777777" w:rsidR="00302BFE" w:rsidRPr="00B43F59" w:rsidRDefault="00302BFE" w:rsidP="00243B15">
            <w:pPr>
              <w:pStyle w:val="TableParagraph"/>
              <w:spacing w:before="15" w:line="220" w:lineRule="atLeast"/>
              <w:ind w:left="80" w:right="305"/>
              <w:rPr>
                <w:rFonts w:ascii="Calibri" w:hAnsi="Calibri"/>
                <w:b/>
                <w:sz w:val="16"/>
                <w:lang w:val="fr-CA"/>
              </w:rPr>
            </w:pPr>
            <w:r w:rsidRPr="00B43F59">
              <w:rPr>
                <w:rFonts w:ascii="Calibri" w:hAnsi="Calibri"/>
                <w:b/>
                <w:sz w:val="16"/>
                <w:lang w:val="fr-CA"/>
              </w:rPr>
              <w:t>Des cadres politiques et législatifs adéquats sont mis en œuvre et créent un environnement habilitant adéquat; un mécanisme de conformité et d'application est établi et fonctionne</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491499DC"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3</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365F723A"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6ADE4BB"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582C7C40"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3DA7846F" w14:textId="77777777" w:rsidR="00302BFE" w:rsidRPr="00B43F59" w:rsidRDefault="00302BFE" w:rsidP="00243B15">
            <w:pPr>
              <w:pStyle w:val="TableParagraph"/>
              <w:rPr>
                <w:rFonts w:ascii="Calibri" w:hAnsi="Calibri"/>
                <w:sz w:val="16"/>
              </w:rPr>
            </w:pPr>
          </w:p>
        </w:tc>
      </w:tr>
      <w:tr w:rsidR="00302BFE" w:rsidRPr="00B43F59" w14:paraId="458D577F" w14:textId="77777777" w:rsidTr="00243B15">
        <w:trPr>
          <w:cantSplit/>
          <w:trHeight w:val="487"/>
          <w:jc w:val="center"/>
        </w:trPr>
        <w:tc>
          <w:tcPr>
            <w:tcW w:w="1246" w:type="dxa"/>
            <w:vMerge w:val="restart"/>
            <w:tcBorders>
              <w:top w:val="single" w:sz="4" w:space="0" w:color="16459A"/>
              <w:left w:val="single" w:sz="6" w:space="0" w:color="16459A"/>
              <w:bottom w:val="single" w:sz="6" w:space="0" w:color="16459A"/>
              <w:right w:val="single" w:sz="4" w:space="0" w:color="16459A"/>
            </w:tcBorders>
            <w:shd w:val="clear" w:color="auto" w:fill="E0E1F1"/>
            <w:hideMark/>
          </w:tcPr>
          <w:p w14:paraId="63CD4837" w14:textId="77777777" w:rsidR="00302BFE" w:rsidRPr="00B43F59" w:rsidRDefault="00302BFE" w:rsidP="00243B15">
            <w:pPr>
              <w:pStyle w:val="TableParagraph"/>
              <w:rPr>
                <w:rFonts w:ascii="Calibri" w:hAnsi="Calibri"/>
                <w:b/>
                <w:sz w:val="16"/>
                <w:lang w:val="fr-CA"/>
              </w:rPr>
            </w:pPr>
            <w:r w:rsidRPr="00B43F59">
              <w:rPr>
                <w:rFonts w:ascii="Calibri" w:hAnsi="Calibri"/>
                <w:b/>
                <w:sz w:val="16"/>
                <w:lang w:val="fr-CA"/>
              </w:rPr>
              <w:t>Indicateur 11: Pertinence des informations disponibles sur l'environnement pour la prise de décision</w:t>
            </w: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555858EB" w14:textId="77777777" w:rsidR="00302BFE" w:rsidRPr="00B43F59" w:rsidRDefault="00302BFE" w:rsidP="00243B15">
            <w:pPr>
              <w:pStyle w:val="TableParagraph"/>
              <w:spacing w:before="15" w:line="220" w:lineRule="atLeast"/>
              <w:ind w:left="80" w:right="176"/>
              <w:rPr>
                <w:rFonts w:ascii="Calibri" w:hAnsi="Calibri"/>
                <w:b/>
                <w:sz w:val="16"/>
                <w:lang w:val="fr-CA"/>
              </w:rPr>
            </w:pPr>
            <w:r w:rsidRPr="00B43F59">
              <w:rPr>
                <w:rFonts w:ascii="Calibri" w:hAnsi="Calibri"/>
                <w:b/>
                <w:sz w:val="16"/>
                <w:lang w:val="fr-CA"/>
              </w:rPr>
              <w:t>La disponibilité d'informations environnementales pour la prise de décision fait défaut</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395821A3"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0</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50F4422"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35B57EA1"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0EC7BBC3"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1F7AD014" w14:textId="77777777" w:rsidR="00302BFE" w:rsidRPr="00B43F59" w:rsidRDefault="00302BFE" w:rsidP="00243B15">
            <w:pPr>
              <w:pStyle w:val="TableParagraph"/>
              <w:rPr>
                <w:rFonts w:ascii="Calibri" w:hAnsi="Calibri"/>
                <w:sz w:val="16"/>
              </w:rPr>
            </w:pPr>
          </w:p>
        </w:tc>
      </w:tr>
      <w:tr w:rsidR="00302BFE" w:rsidRPr="00B43F59" w14:paraId="5D0DFDC0" w14:textId="77777777" w:rsidTr="00243B15">
        <w:trPr>
          <w:trHeight w:val="705"/>
          <w:jc w:val="center"/>
        </w:trPr>
        <w:tc>
          <w:tcPr>
            <w:tcW w:w="1246" w:type="dxa"/>
            <w:vMerge/>
            <w:tcBorders>
              <w:top w:val="single" w:sz="4" w:space="0" w:color="16459A"/>
              <w:left w:val="single" w:sz="6" w:space="0" w:color="16459A"/>
              <w:bottom w:val="single" w:sz="6" w:space="0" w:color="16459A"/>
              <w:right w:val="single" w:sz="4" w:space="0" w:color="16459A"/>
            </w:tcBorders>
            <w:shd w:val="clear" w:color="auto" w:fill="auto"/>
            <w:vAlign w:val="center"/>
            <w:hideMark/>
          </w:tcPr>
          <w:p w14:paraId="5A6280DF"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6" w:space="0" w:color="16459A"/>
              <w:right w:val="single" w:sz="4" w:space="0" w:color="16459A"/>
            </w:tcBorders>
            <w:shd w:val="clear" w:color="auto" w:fill="auto"/>
            <w:hideMark/>
          </w:tcPr>
          <w:p w14:paraId="0FF6CDC5" w14:textId="77777777" w:rsidR="00302BFE" w:rsidRPr="00B43F59" w:rsidRDefault="00302BFE" w:rsidP="00243B15">
            <w:pPr>
              <w:pStyle w:val="TableParagraph"/>
              <w:spacing w:before="12" w:line="220" w:lineRule="atLeast"/>
              <w:ind w:left="80" w:right="181"/>
              <w:rPr>
                <w:rFonts w:ascii="Calibri" w:hAnsi="Calibri"/>
                <w:b/>
                <w:sz w:val="16"/>
                <w:lang w:val="fr-CA"/>
              </w:rPr>
            </w:pPr>
            <w:r w:rsidRPr="00B43F59">
              <w:rPr>
                <w:rFonts w:ascii="Calibri" w:hAnsi="Calibri"/>
                <w:b/>
                <w:sz w:val="16"/>
                <w:lang w:val="fr-CA"/>
              </w:rPr>
              <w:t>Certaines informations environnementales existent, mais elles ne sont pas suffisantes pour soutenir les processus de prise de décisions environnementales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0A40C17B" w14:textId="77777777" w:rsidR="00302BFE" w:rsidRPr="00B43F59" w:rsidRDefault="00302BFE" w:rsidP="00243B15">
            <w:pPr>
              <w:pStyle w:val="TableParagraph"/>
              <w:spacing w:before="37"/>
              <w:ind w:left="80"/>
              <w:rPr>
                <w:rFonts w:ascii="Calibri" w:hAnsi="Calibri"/>
                <w:b/>
                <w:sz w:val="16"/>
              </w:rPr>
            </w:pPr>
            <w:r w:rsidRPr="00B43F59">
              <w:rPr>
                <w:rFonts w:ascii="Calibri" w:hAnsi="Calibri"/>
                <w:b/>
                <w:sz w:val="16"/>
              </w:rPr>
              <w:t>1</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714B4706"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6FF0ABFC"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7F02D7A8" w14:textId="77777777" w:rsidR="00302BFE" w:rsidRPr="00B43F59" w:rsidRDefault="00302BFE" w:rsidP="00243B15">
            <w:pPr>
              <w:pStyle w:val="TableParagraph"/>
              <w:rPr>
                <w:rFonts w:ascii="Calibri" w:hAnsi="Calibri"/>
                <w:sz w:val="16"/>
                <w:lang w:val="fr-CA"/>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2B1844A3" w14:textId="77777777" w:rsidR="00302BFE" w:rsidRPr="00B43F59" w:rsidRDefault="00302BFE" w:rsidP="00243B15">
            <w:pPr>
              <w:pStyle w:val="TableParagraph"/>
              <w:rPr>
                <w:rFonts w:ascii="Calibri" w:hAnsi="Calibri"/>
                <w:sz w:val="16"/>
                <w:lang w:val="fr-CA"/>
              </w:rPr>
            </w:pPr>
          </w:p>
        </w:tc>
      </w:tr>
      <w:tr w:rsidR="00302BFE" w:rsidRPr="00AB47BD" w14:paraId="2D45BECD" w14:textId="77777777" w:rsidTr="00243B15">
        <w:trPr>
          <w:trHeight w:val="534"/>
          <w:jc w:val="center"/>
        </w:trPr>
        <w:tc>
          <w:tcPr>
            <w:tcW w:w="1246" w:type="dxa"/>
            <w:vMerge/>
            <w:tcBorders>
              <w:top w:val="single" w:sz="4" w:space="0" w:color="16459A"/>
              <w:left w:val="single" w:sz="6" w:space="0" w:color="16459A"/>
              <w:bottom w:val="single" w:sz="6" w:space="0" w:color="16459A"/>
              <w:right w:val="single" w:sz="4" w:space="0" w:color="16459A"/>
            </w:tcBorders>
            <w:shd w:val="clear" w:color="auto" w:fill="auto"/>
            <w:vAlign w:val="center"/>
            <w:hideMark/>
          </w:tcPr>
          <w:p w14:paraId="7CCC9519"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6" w:space="0" w:color="16459A"/>
              <w:left w:val="single" w:sz="4" w:space="0" w:color="16459A"/>
              <w:bottom w:val="single" w:sz="6" w:space="0" w:color="16459A"/>
              <w:right w:val="single" w:sz="4" w:space="0" w:color="16459A"/>
            </w:tcBorders>
            <w:shd w:val="clear" w:color="auto" w:fill="auto"/>
            <w:hideMark/>
          </w:tcPr>
          <w:p w14:paraId="4F80E4EE" w14:textId="77777777" w:rsidR="00302BFE" w:rsidRPr="00B43F59" w:rsidRDefault="00302BFE" w:rsidP="00243B15">
            <w:pPr>
              <w:pStyle w:val="TableParagraph"/>
              <w:spacing w:before="12" w:line="220" w:lineRule="atLeast"/>
              <w:ind w:left="80" w:right="64"/>
              <w:rPr>
                <w:rFonts w:ascii="Calibri" w:hAnsi="Calibri"/>
                <w:b/>
                <w:sz w:val="16"/>
                <w:lang w:val="fr-CA"/>
              </w:rPr>
            </w:pPr>
            <w:r w:rsidRPr="00B43F59">
              <w:rPr>
                <w:rFonts w:ascii="Calibri" w:hAnsi="Calibri"/>
                <w:b/>
                <w:sz w:val="16"/>
                <w:lang w:val="fr-CA"/>
              </w:rPr>
              <w:t>Les informations environnementales pertinentes sont mises à la disposition des décideurs environnementaux, mais le processus de mise à jour de ces informations ne fonctionne pas correctement</w:t>
            </w:r>
          </w:p>
        </w:tc>
        <w:tc>
          <w:tcPr>
            <w:tcW w:w="567" w:type="dxa"/>
            <w:tcBorders>
              <w:top w:val="single" w:sz="4" w:space="0" w:color="16459A"/>
              <w:left w:val="single" w:sz="4" w:space="0" w:color="16459A"/>
              <w:bottom w:val="single" w:sz="4" w:space="0" w:color="16459A"/>
              <w:right w:val="single" w:sz="4" w:space="0" w:color="16459A"/>
            </w:tcBorders>
            <w:shd w:val="clear" w:color="auto" w:fill="FBE4D5"/>
            <w:hideMark/>
          </w:tcPr>
          <w:p w14:paraId="1EDB5A40" w14:textId="77777777" w:rsidR="00302BFE" w:rsidRPr="00B43F59" w:rsidRDefault="00302BFE" w:rsidP="00243B15">
            <w:pPr>
              <w:pStyle w:val="TableParagraph"/>
              <w:spacing w:before="37"/>
              <w:ind w:left="80"/>
              <w:rPr>
                <w:rFonts w:ascii="Calibri" w:hAnsi="Calibri"/>
                <w:b/>
                <w:sz w:val="16"/>
              </w:rPr>
            </w:pPr>
            <w:r w:rsidRPr="00B43F59">
              <w:rPr>
                <w:rFonts w:ascii="Calibri" w:hAnsi="Calibri"/>
                <w:b/>
                <w:sz w:val="16"/>
              </w:rPr>
              <w:t>2</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60221048"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15D77B7E"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hideMark/>
          </w:tcPr>
          <w:p w14:paraId="06A94261"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CA"/>
              </w:rPr>
              <w:t>La mise à jour des informations environnementales ne fonctionne pas à cause de changements dans les attributions des institutions et le manque de personnel dédié à ces tâches</w:t>
            </w:r>
          </w:p>
          <w:p w14:paraId="26644028"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Il y a aussi des problèmes de mise à jour (dernier inventaire des ressources halieutiques date des années 90)</w:t>
            </w:r>
          </w:p>
          <w:p w14:paraId="6EFE0BDB"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IFN2 a produit des données, mais subsistent des problèmes de décisions</w:t>
            </w:r>
          </w:p>
        </w:tc>
        <w:tc>
          <w:tcPr>
            <w:tcW w:w="3661" w:type="dxa"/>
            <w:tcBorders>
              <w:top w:val="single" w:sz="4" w:space="0" w:color="16459A"/>
              <w:left w:val="single" w:sz="4" w:space="0" w:color="16459A"/>
              <w:bottom w:val="single" w:sz="4" w:space="0" w:color="16459A"/>
              <w:right w:val="single" w:sz="4" w:space="0" w:color="16459A"/>
            </w:tcBorders>
            <w:shd w:val="clear" w:color="auto" w:fill="auto"/>
            <w:hideMark/>
          </w:tcPr>
          <w:p w14:paraId="2319BBC8"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Mettre à jour les informations pertinentes</w:t>
            </w:r>
          </w:p>
        </w:tc>
      </w:tr>
      <w:tr w:rsidR="00302BFE" w:rsidRPr="00B43F59" w14:paraId="7B434C92" w14:textId="77777777" w:rsidTr="00243B15">
        <w:trPr>
          <w:trHeight w:val="705"/>
          <w:jc w:val="center"/>
        </w:trPr>
        <w:tc>
          <w:tcPr>
            <w:tcW w:w="1246" w:type="dxa"/>
            <w:vMerge/>
            <w:tcBorders>
              <w:top w:val="single" w:sz="4" w:space="0" w:color="16459A"/>
              <w:left w:val="single" w:sz="6" w:space="0" w:color="16459A"/>
              <w:bottom w:val="single" w:sz="6" w:space="0" w:color="16459A"/>
              <w:right w:val="single" w:sz="4" w:space="0" w:color="16459A"/>
            </w:tcBorders>
            <w:shd w:val="clear" w:color="auto" w:fill="auto"/>
            <w:vAlign w:val="center"/>
            <w:hideMark/>
          </w:tcPr>
          <w:p w14:paraId="67B57B76"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6" w:space="0" w:color="16459A"/>
              <w:left w:val="single" w:sz="4" w:space="0" w:color="16459A"/>
              <w:bottom w:val="single" w:sz="6" w:space="0" w:color="16459A"/>
              <w:right w:val="single" w:sz="4" w:space="0" w:color="16459A"/>
            </w:tcBorders>
            <w:shd w:val="clear" w:color="auto" w:fill="auto"/>
            <w:hideMark/>
          </w:tcPr>
          <w:p w14:paraId="384E5887" w14:textId="77777777" w:rsidR="00302BFE" w:rsidRPr="00B43F59" w:rsidRDefault="00302BFE" w:rsidP="00243B15">
            <w:pPr>
              <w:pStyle w:val="TableParagraph"/>
              <w:spacing w:before="12" w:line="220" w:lineRule="atLeast"/>
              <w:ind w:left="80" w:right="79"/>
              <w:rPr>
                <w:rFonts w:ascii="Calibri" w:hAnsi="Calibri"/>
                <w:b/>
                <w:sz w:val="16"/>
                <w:lang w:val="fr-CA"/>
              </w:rPr>
            </w:pPr>
            <w:r w:rsidRPr="00B43F59">
              <w:rPr>
                <w:rFonts w:ascii="Calibri" w:hAnsi="Calibri"/>
                <w:b/>
                <w:sz w:val="16"/>
                <w:lang w:val="fr-CA"/>
              </w:rPr>
              <w:t>Les décideurs politiques et administratifs obtiennent et utilisent des informations environnementales actualisées pour prendre des décisions environnementales.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30A6F3C8" w14:textId="77777777" w:rsidR="00302BFE" w:rsidRPr="00B43F59" w:rsidRDefault="00302BFE" w:rsidP="00243B15">
            <w:pPr>
              <w:pStyle w:val="TableParagraph"/>
              <w:spacing w:before="37"/>
              <w:ind w:left="80"/>
              <w:rPr>
                <w:rFonts w:ascii="Calibri" w:hAnsi="Calibri"/>
                <w:b/>
                <w:sz w:val="16"/>
              </w:rPr>
            </w:pPr>
            <w:r w:rsidRPr="00B43F59">
              <w:rPr>
                <w:rFonts w:ascii="Calibri" w:hAnsi="Calibri"/>
                <w:b/>
                <w:sz w:val="16"/>
              </w:rPr>
              <w:t>3</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FE3171A"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15F9F2F3"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6" w:space="0" w:color="16459A"/>
              <w:right w:val="single" w:sz="4" w:space="0" w:color="16459A"/>
            </w:tcBorders>
            <w:shd w:val="clear" w:color="auto" w:fill="auto"/>
          </w:tcPr>
          <w:p w14:paraId="30EA1817"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6" w:space="0" w:color="16459A"/>
              <w:right w:val="single" w:sz="4" w:space="0" w:color="16459A"/>
            </w:tcBorders>
            <w:shd w:val="clear" w:color="auto" w:fill="auto"/>
          </w:tcPr>
          <w:p w14:paraId="1FAAEC98" w14:textId="77777777" w:rsidR="00302BFE" w:rsidRPr="00B43F59" w:rsidRDefault="00302BFE" w:rsidP="00243B15">
            <w:pPr>
              <w:pStyle w:val="TableParagraph"/>
              <w:rPr>
                <w:rFonts w:ascii="Calibri" w:hAnsi="Calibri"/>
                <w:sz w:val="16"/>
              </w:rPr>
            </w:pPr>
          </w:p>
        </w:tc>
      </w:tr>
      <w:tr w:rsidR="00302BFE" w:rsidRPr="00AB47BD" w14:paraId="4E1AB0DB" w14:textId="77777777" w:rsidTr="00243B15">
        <w:trPr>
          <w:trHeight w:val="270"/>
          <w:jc w:val="center"/>
        </w:trPr>
        <w:tc>
          <w:tcPr>
            <w:tcW w:w="14166" w:type="dxa"/>
            <w:gridSpan w:val="7"/>
            <w:tcBorders>
              <w:top w:val="single" w:sz="4" w:space="0" w:color="16459A"/>
              <w:left w:val="single" w:sz="4" w:space="0" w:color="16459A"/>
              <w:bottom w:val="single" w:sz="4" w:space="0" w:color="16459A"/>
              <w:right w:val="single" w:sz="4" w:space="0" w:color="16459A"/>
            </w:tcBorders>
            <w:shd w:val="clear" w:color="auto" w:fill="9ABAC3"/>
          </w:tcPr>
          <w:p w14:paraId="5FDD7692" w14:textId="77777777" w:rsidR="00302BFE" w:rsidRPr="00B43F59" w:rsidRDefault="00302BFE" w:rsidP="00243B15">
            <w:pPr>
              <w:pStyle w:val="TableParagraph"/>
              <w:spacing w:before="34"/>
              <w:ind w:left="79"/>
              <w:rPr>
                <w:rFonts w:ascii="Calibri" w:hAnsi="Calibri"/>
                <w:b/>
                <w:i/>
                <w:sz w:val="20"/>
                <w:szCs w:val="20"/>
                <w:lang w:val="fr-CA"/>
              </w:rPr>
            </w:pPr>
            <w:r w:rsidRPr="00B43F59">
              <w:rPr>
                <w:rFonts w:ascii="Calibri" w:hAnsi="Calibri"/>
                <w:b/>
                <w:i/>
                <w:sz w:val="20"/>
                <w:szCs w:val="20"/>
                <w:lang w:val="fr-CA"/>
              </w:rPr>
              <w:t xml:space="preserve">4: Capacités pour la Gestion et la Mise en </w:t>
            </w:r>
            <w:proofErr w:type="spellStart"/>
            <w:r w:rsidRPr="00B43F59">
              <w:rPr>
                <w:rFonts w:ascii="Calibri" w:hAnsi="Calibri"/>
                <w:b/>
                <w:i/>
                <w:sz w:val="20"/>
                <w:szCs w:val="20"/>
                <w:lang w:val="fr-CA"/>
              </w:rPr>
              <w:t>Oeuvre</w:t>
            </w:r>
            <w:proofErr w:type="spellEnd"/>
          </w:p>
        </w:tc>
      </w:tr>
      <w:tr w:rsidR="00302BFE" w:rsidRPr="00B43F59" w14:paraId="1F814438" w14:textId="77777777" w:rsidTr="00243B15">
        <w:trPr>
          <w:trHeight w:val="722"/>
          <w:jc w:val="center"/>
        </w:trPr>
        <w:tc>
          <w:tcPr>
            <w:tcW w:w="1246" w:type="dxa"/>
            <w:vMerge w:val="restart"/>
            <w:tcBorders>
              <w:top w:val="single" w:sz="4" w:space="0" w:color="16459A"/>
              <w:left w:val="single" w:sz="6" w:space="0" w:color="16459A"/>
              <w:bottom w:val="single" w:sz="4" w:space="0" w:color="16459A"/>
              <w:right w:val="single" w:sz="4" w:space="0" w:color="16459A"/>
            </w:tcBorders>
            <w:shd w:val="clear" w:color="auto" w:fill="E0E1F1"/>
            <w:noWrap/>
            <w:hideMark/>
          </w:tcPr>
          <w:p w14:paraId="70FF9806" w14:textId="77777777" w:rsidR="00302BFE" w:rsidRPr="00B43F59" w:rsidRDefault="00302BFE" w:rsidP="00243B15">
            <w:pPr>
              <w:pStyle w:val="TableParagraph"/>
              <w:rPr>
                <w:rFonts w:ascii="Calibri" w:hAnsi="Calibri"/>
                <w:b/>
                <w:sz w:val="16"/>
                <w:lang w:val="fr-CA"/>
              </w:rPr>
            </w:pPr>
            <w:r w:rsidRPr="00B43F59">
              <w:rPr>
                <w:rFonts w:ascii="Calibri" w:hAnsi="Calibri"/>
                <w:b/>
                <w:sz w:val="16"/>
                <w:lang w:val="fr-CA"/>
              </w:rPr>
              <w:t xml:space="preserve">Indicateur 12: Existence et mobilisation des ressources pour la gestion et la mise en </w:t>
            </w:r>
            <w:proofErr w:type="spellStart"/>
            <w:r w:rsidRPr="00B43F59">
              <w:rPr>
                <w:rFonts w:ascii="Calibri" w:hAnsi="Calibri"/>
                <w:b/>
                <w:sz w:val="16"/>
                <w:lang w:val="fr-CA"/>
              </w:rPr>
              <w:t>oeuvre</w:t>
            </w:r>
            <w:proofErr w:type="spellEnd"/>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18780F8D" w14:textId="77777777" w:rsidR="00302BFE" w:rsidRPr="00B43F59" w:rsidRDefault="00302BFE" w:rsidP="00243B15">
            <w:pPr>
              <w:pStyle w:val="TableParagraph"/>
              <w:spacing w:before="15" w:line="220" w:lineRule="atLeast"/>
              <w:ind w:left="80" w:right="79"/>
              <w:rPr>
                <w:rFonts w:ascii="Calibri" w:hAnsi="Calibri"/>
                <w:b/>
                <w:sz w:val="16"/>
                <w:lang w:val="fr-CA"/>
              </w:rPr>
            </w:pPr>
            <w:r w:rsidRPr="00B43F59">
              <w:rPr>
                <w:rFonts w:ascii="Calibri" w:hAnsi="Calibri"/>
                <w:b/>
                <w:sz w:val="16"/>
                <w:lang w:val="fr-CA"/>
              </w:rPr>
              <w:t>Les organisations environnementales ne disposent pas de ressources suffisantes pour leurs programmes et projets et les besoins n’ont pas été évalués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50F940F4"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0</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53DBB58"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2C48C542"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7EC447D8"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4B0525A0" w14:textId="77777777" w:rsidR="00302BFE" w:rsidRPr="00B43F59" w:rsidRDefault="00302BFE" w:rsidP="00243B15">
            <w:pPr>
              <w:pStyle w:val="TableParagraph"/>
              <w:rPr>
                <w:rFonts w:ascii="Calibri" w:hAnsi="Calibri"/>
                <w:sz w:val="16"/>
              </w:rPr>
            </w:pPr>
          </w:p>
        </w:tc>
      </w:tr>
      <w:tr w:rsidR="00302BFE" w:rsidRPr="00B43F59" w14:paraId="4D074086" w14:textId="77777777" w:rsidTr="00243B15">
        <w:trPr>
          <w:trHeight w:val="490"/>
          <w:jc w:val="center"/>
        </w:trPr>
        <w:tc>
          <w:tcPr>
            <w:tcW w:w="1246" w:type="dxa"/>
            <w:vMerge/>
            <w:tcBorders>
              <w:top w:val="single" w:sz="4" w:space="0" w:color="16459A"/>
              <w:left w:val="single" w:sz="6" w:space="0" w:color="16459A"/>
              <w:bottom w:val="single" w:sz="4" w:space="0" w:color="16459A"/>
              <w:right w:val="single" w:sz="4" w:space="0" w:color="16459A"/>
            </w:tcBorders>
            <w:shd w:val="clear" w:color="auto" w:fill="auto"/>
            <w:vAlign w:val="center"/>
            <w:hideMark/>
          </w:tcPr>
          <w:p w14:paraId="3D22CAB2"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7AC6EAE6" w14:textId="77777777" w:rsidR="00302BFE" w:rsidRPr="00B43F59" w:rsidRDefault="00302BFE" w:rsidP="00243B15">
            <w:pPr>
              <w:pStyle w:val="TableParagraph"/>
              <w:spacing w:before="15" w:line="220" w:lineRule="atLeast"/>
              <w:ind w:left="80" w:right="207"/>
              <w:rPr>
                <w:rFonts w:ascii="Calibri" w:hAnsi="Calibri"/>
                <w:b/>
                <w:sz w:val="16"/>
                <w:lang w:val="fr-CA"/>
              </w:rPr>
            </w:pPr>
            <w:r w:rsidRPr="00B43F59">
              <w:rPr>
                <w:rFonts w:ascii="Calibri" w:hAnsi="Calibri"/>
                <w:b/>
                <w:sz w:val="16"/>
                <w:lang w:val="fr-CA"/>
              </w:rPr>
              <w:t>Les besoins en ressources sont connus mais ne sont pas traités.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3C2E6A66"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1</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5BB493CF"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3997545A"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7D8BC69A"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764EEDD7" w14:textId="77777777" w:rsidR="00302BFE" w:rsidRPr="00B43F59" w:rsidRDefault="00302BFE" w:rsidP="00243B15">
            <w:pPr>
              <w:pStyle w:val="TableParagraph"/>
              <w:rPr>
                <w:rFonts w:ascii="Calibri" w:hAnsi="Calibri"/>
                <w:sz w:val="16"/>
              </w:rPr>
            </w:pPr>
          </w:p>
        </w:tc>
      </w:tr>
      <w:tr w:rsidR="00302BFE" w:rsidRPr="00AB47BD" w14:paraId="30948605" w14:textId="77777777" w:rsidTr="00243B15">
        <w:trPr>
          <w:trHeight w:val="710"/>
          <w:jc w:val="center"/>
        </w:trPr>
        <w:tc>
          <w:tcPr>
            <w:tcW w:w="1246" w:type="dxa"/>
            <w:vMerge/>
            <w:tcBorders>
              <w:top w:val="single" w:sz="4" w:space="0" w:color="16459A"/>
              <w:left w:val="single" w:sz="6" w:space="0" w:color="16459A"/>
              <w:bottom w:val="single" w:sz="4" w:space="0" w:color="16459A"/>
              <w:right w:val="single" w:sz="4" w:space="0" w:color="16459A"/>
            </w:tcBorders>
            <w:shd w:val="clear" w:color="auto" w:fill="auto"/>
            <w:vAlign w:val="center"/>
            <w:hideMark/>
          </w:tcPr>
          <w:p w14:paraId="2A43326B"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6EF1EF43" w14:textId="77777777" w:rsidR="00302BFE" w:rsidRPr="00B43F59" w:rsidRDefault="00302BFE" w:rsidP="00243B15">
            <w:pPr>
              <w:pStyle w:val="TableParagraph"/>
              <w:spacing w:before="15" w:line="220" w:lineRule="atLeast"/>
              <w:ind w:left="80" w:right="79"/>
              <w:rPr>
                <w:rFonts w:ascii="Calibri" w:hAnsi="Calibri"/>
                <w:b/>
                <w:sz w:val="16"/>
                <w:lang w:val="fr-CA"/>
              </w:rPr>
            </w:pPr>
            <w:r w:rsidRPr="00B43F59">
              <w:rPr>
                <w:rFonts w:ascii="Calibri" w:hAnsi="Calibri"/>
                <w:b/>
                <w:sz w:val="16"/>
                <w:lang w:val="fr-CA"/>
              </w:rPr>
              <w:t>Les sources de financement pour ces besoins en ressources sont partiellement identifiées et les besoins en ressources sont partiellement pris en compte</w:t>
            </w:r>
          </w:p>
        </w:tc>
        <w:tc>
          <w:tcPr>
            <w:tcW w:w="567" w:type="dxa"/>
            <w:tcBorders>
              <w:top w:val="single" w:sz="4" w:space="0" w:color="16459A"/>
              <w:left w:val="single" w:sz="4" w:space="0" w:color="16459A"/>
              <w:bottom w:val="single" w:sz="4" w:space="0" w:color="16459A"/>
              <w:right w:val="single" w:sz="4" w:space="0" w:color="16459A"/>
            </w:tcBorders>
            <w:shd w:val="clear" w:color="auto" w:fill="FBE4D5"/>
            <w:hideMark/>
          </w:tcPr>
          <w:p w14:paraId="5274C69D"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2</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64F456D1"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CB36B57"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5A29B328"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Quelque chose est fait mais les moyens ne sont pas suffisants</w:t>
            </w:r>
          </w:p>
          <w:p w14:paraId="0CCAFB79"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-les sources sont essentiellement les r</w:t>
            </w:r>
            <w:proofErr w:type="spellStart"/>
            <w:r w:rsidRPr="00B43F59">
              <w:rPr>
                <w:rFonts w:ascii="Calibri" w:hAnsi="Calibri"/>
                <w:sz w:val="16"/>
                <w:lang w:val="fr-CA"/>
              </w:rPr>
              <w:t>essources</w:t>
            </w:r>
            <w:proofErr w:type="spellEnd"/>
            <w:r w:rsidRPr="00B43F59">
              <w:rPr>
                <w:rFonts w:ascii="Calibri" w:hAnsi="Calibri"/>
                <w:sz w:val="16"/>
                <w:lang w:val="fr-CA"/>
              </w:rPr>
              <w:t xml:space="preserve"> de l’État</w:t>
            </w:r>
          </w:p>
          <w:p w14:paraId="621E00AF"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Le Plan stratégique de l’OFINAP est déjà dépassé</w:t>
            </w:r>
          </w:p>
          <w:p w14:paraId="340D2E77"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Pour le PNKT et Sissili aucune évaluation des besoins</w:t>
            </w:r>
          </w:p>
        </w:tc>
        <w:tc>
          <w:tcPr>
            <w:tcW w:w="3661" w:type="dxa"/>
            <w:tcBorders>
              <w:top w:val="single" w:sz="4" w:space="0" w:color="16459A"/>
              <w:left w:val="single" w:sz="4" w:space="0" w:color="16459A"/>
              <w:bottom w:val="single" w:sz="4" w:space="0" w:color="16459A"/>
              <w:right w:val="single" w:sz="4" w:space="0" w:color="16459A"/>
            </w:tcBorders>
            <w:shd w:val="clear" w:color="auto" w:fill="auto"/>
            <w:hideMark/>
          </w:tcPr>
          <w:p w14:paraId="78BC4C7D"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Faire des PAG</w:t>
            </w:r>
          </w:p>
          <w:p w14:paraId="6ACF5FA1"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Refaire la Stratégie de l’OFINAP</w:t>
            </w:r>
          </w:p>
        </w:tc>
      </w:tr>
      <w:tr w:rsidR="00302BFE" w:rsidRPr="00B43F59" w14:paraId="588843B9" w14:textId="77777777" w:rsidTr="00243B15">
        <w:trPr>
          <w:trHeight w:val="710"/>
          <w:jc w:val="center"/>
        </w:trPr>
        <w:tc>
          <w:tcPr>
            <w:tcW w:w="1246" w:type="dxa"/>
            <w:vMerge/>
            <w:tcBorders>
              <w:top w:val="single" w:sz="4" w:space="0" w:color="16459A"/>
              <w:left w:val="single" w:sz="6" w:space="0" w:color="16459A"/>
              <w:bottom w:val="single" w:sz="4" w:space="0" w:color="16459A"/>
              <w:right w:val="single" w:sz="4" w:space="0" w:color="16459A"/>
            </w:tcBorders>
            <w:shd w:val="clear" w:color="auto" w:fill="auto"/>
            <w:vAlign w:val="center"/>
            <w:hideMark/>
          </w:tcPr>
          <w:p w14:paraId="4CE64243"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3888D304" w14:textId="77777777" w:rsidR="00302BFE" w:rsidRPr="00B43F59" w:rsidRDefault="00302BFE" w:rsidP="00243B15">
            <w:pPr>
              <w:pStyle w:val="TableParagraph"/>
              <w:spacing w:before="15" w:line="220" w:lineRule="atLeast"/>
              <w:ind w:left="80" w:right="599"/>
              <w:rPr>
                <w:rFonts w:ascii="Calibri" w:hAnsi="Calibri"/>
                <w:b/>
                <w:sz w:val="16"/>
                <w:lang w:val="fr-CA"/>
              </w:rPr>
            </w:pPr>
            <w:r w:rsidRPr="00B43F59">
              <w:rPr>
                <w:rFonts w:ascii="Calibri" w:hAnsi="Calibri"/>
                <w:b/>
                <w:sz w:val="16"/>
                <w:lang w:val="fr-CA"/>
              </w:rPr>
              <w:t>Des ressources adéquates sont mobilisées et disponibles pour le fonctionnement des principales organisations environnementales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74140FA6"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3</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0A95348"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3AECD449"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2A98DA46"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44FA7C88" w14:textId="77777777" w:rsidR="00302BFE" w:rsidRPr="00B43F59" w:rsidRDefault="00302BFE" w:rsidP="00243B15">
            <w:pPr>
              <w:pStyle w:val="TableParagraph"/>
              <w:rPr>
                <w:rFonts w:ascii="Calibri" w:hAnsi="Calibri"/>
                <w:sz w:val="16"/>
              </w:rPr>
            </w:pPr>
          </w:p>
        </w:tc>
      </w:tr>
      <w:tr w:rsidR="00302BFE" w:rsidRPr="00B43F59" w14:paraId="03C87A41" w14:textId="77777777" w:rsidTr="00243B15">
        <w:trPr>
          <w:trHeight w:val="502"/>
          <w:jc w:val="center"/>
        </w:trPr>
        <w:tc>
          <w:tcPr>
            <w:tcW w:w="1246" w:type="dxa"/>
            <w:vMerge w:val="restart"/>
            <w:tcBorders>
              <w:top w:val="single" w:sz="4" w:space="0" w:color="16459A"/>
              <w:left w:val="single" w:sz="6" w:space="0" w:color="16459A"/>
              <w:bottom w:val="single" w:sz="4" w:space="0" w:color="16459A"/>
              <w:right w:val="single" w:sz="6" w:space="0" w:color="16459A"/>
            </w:tcBorders>
            <w:shd w:val="clear" w:color="auto" w:fill="E0E1F1"/>
            <w:hideMark/>
          </w:tcPr>
          <w:p w14:paraId="7E9AF3A2" w14:textId="77777777" w:rsidR="00302BFE" w:rsidRPr="00B43F59" w:rsidRDefault="00302BFE" w:rsidP="00243B15">
            <w:pPr>
              <w:pStyle w:val="TableParagraph"/>
              <w:rPr>
                <w:rFonts w:ascii="Calibri" w:hAnsi="Calibri"/>
                <w:b/>
                <w:sz w:val="16"/>
                <w:lang w:val="fr-CA"/>
              </w:rPr>
            </w:pPr>
            <w:r w:rsidRPr="00B43F59">
              <w:rPr>
                <w:rFonts w:ascii="Calibri" w:hAnsi="Calibri"/>
                <w:b/>
                <w:sz w:val="16"/>
                <w:lang w:val="fr-CA"/>
              </w:rPr>
              <w:t>Indicateur 13: Disponibilité des compétences techniques requises et transfert de technologie</w:t>
            </w: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19818F7B" w14:textId="77777777" w:rsidR="00302BFE" w:rsidRPr="00B43F59" w:rsidRDefault="00302BFE" w:rsidP="00243B15">
            <w:pPr>
              <w:pStyle w:val="TableParagraph"/>
              <w:spacing w:before="15" w:line="220" w:lineRule="atLeast"/>
              <w:ind w:left="80" w:right="176"/>
              <w:rPr>
                <w:rFonts w:ascii="Calibri" w:hAnsi="Calibri"/>
                <w:b/>
                <w:sz w:val="16"/>
                <w:lang w:val="fr-CA"/>
              </w:rPr>
            </w:pPr>
            <w:r w:rsidRPr="00B43F59">
              <w:rPr>
                <w:rFonts w:ascii="Calibri" w:hAnsi="Calibri"/>
                <w:b/>
                <w:sz w:val="16"/>
                <w:lang w:val="fr-CA"/>
              </w:rPr>
              <w:t>Les compétences et la technologie nécessaires ne sont pas disponibles et les besoins ne sont pas identifiés.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1A6A1E74"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0</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741F0787"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6570B981"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3089869F"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26FE45CC" w14:textId="77777777" w:rsidR="00302BFE" w:rsidRPr="00B43F59" w:rsidRDefault="00302BFE" w:rsidP="00243B15">
            <w:pPr>
              <w:pStyle w:val="TableParagraph"/>
              <w:rPr>
                <w:rFonts w:ascii="Calibri" w:hAnsi="Calibri"/>
                <w:sz w:val="16"/>
              </w:rPr>
            </w:pPr>
          </w:p>
        </w:tc>
      </w:tr>
      <w:tr w:rsidR="00302BFE" w:rsidRPr="00AB47BD" w14:paraId="62EEF243" w14:textId="77777777" w:rsidTr="00243B15">
        <w:trPr>
          <w:trHeight w:val="490"/>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3D06CC9B"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48E42A9A" w14:textId="77777777" w:rsidR="00302BFE" w:rsidRPr="00B43F59" w:rsidRDefault="00302BFE" w:rsidP="00243B15">
            <w:pPr>
              <w:pStyle w:val="TableParagraph"/>
              <w:spacing w:before="15" w:line="220" w:lineRule="atLeast"/>
              <w:ind w:left="80" w:right="79"/>
              <w:rPr>
                <w:rFonts w:ascii="Calibri" w:hAnsi="Calibri"/>
                <w:b/>
                <w:sz w:val="16"/>
                <w:lang w:val="fr-CA"/>
              </w:rPr>
            </w:pPr>
            <w:r w:rsidRPr="00B43F59">
              <w:rPr>
                <w:rFonts w:ascii="Calibri" w:hAnsi="Calibri"/>
                <w:b/>
                <w:sz w:val="16"/>
                <w:lang w:val="fr-CA"/>
              </w:rPr>
              <w:t>Les compétences requises et les besoins en technologies sont identifiés, ainsi que leurs sources.</w:t>
            </w:r>
          </w:p>
        </w:tc>
        <w:tc>
          <w:tcPr>
            <w:tcW w:w="567" w:type="dxa"/>
            <w:tcBorders>
              <w:top w:val="single" w:sz="4" w:space="0" w:color="16459A"/>
              <w:left w:val="single" w:sz="4" w:space="0" w:color="16459A"/>
              <w:bottom w:val="single" w:sz="4" w:space="0" w:color="16459A"/>
              <w:right w:val="single" w:sz="4" w:space="0" w:color="16459A"/>
            </w:tcBorders>
            <w:shd w:val="clear" w:color="auto" w:fill="FBE4D5"/>
            <w:hideMark/>
          </w:tcPr>
          <w:p w14:paraId="74433D0B"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1</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5289CCCD"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B82AD6B"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hideMark/>
          </w:tcPr>
          <w:p w14:paraId="2F43864A"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On sait ce dont on a besoin pour optimiser la gestion, mais les moyens manquent.</w:t>
            </w:r>
          </w:p>
        </w:tc>
        <w:tc>
          <w:tcPr>
            <w:tcW w:w="3661" w:type="dxa"/>
            <w:tcBorders>
              <w:top w:val="single" w:sz="4" w:space="0" w:color="16459A"/>
              <w:left w:val="single" w:sz="4" w:space="0" w:color="16459A"/>
              <w:bottom w:val="single" w:sz="4" w:space="0" w:color="16459A"/>
              <w:right w:val="single" w:sz="4" w:space="0" w:color="16459A"/>
            </w:tcBorders>
            <w:shd w:val="clear" w:color="auto" w:fill="auto"/>
            <w:hideMark/>
          </w:tcPr>
          <w:p w14:paraId="4C8382FF"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Bien apprendre à identifier les compétences et les technologies.</w:t>
            </w:r>
          </w:p>
          <w:p w14:paraId="6C4560BA"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Définir des profils à rechercher pour un meilleur fonctionnement des institutions (pour faire le choix ou pour les former)</w:t>
            </w:r>
          </w:p>
          <w:p w14:paraId="3C9CB595"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Il y a des technologies mais pas les meilleurs</w:t>
            </w:r>
          </w:p>
        </w:tc>
      </w:tr>
      <w:tr w:rsidR="00302BFE" w:rsidRPr="00B43F59" w14:paraId="0F3EAFAE" w14:textId="77777777" w:rsidTr="00243B15">
        <w:trPr>
          <w:trHeight w:val="474"/>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03D0EC14"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00FD78C9" w14:textId="77777777" w:rsidR="00302BFE" w:rsidRPr="00B43F59" w:rsidRDefault="00302BFE" w:rsidP="00243B15">
            <w:pPr>
              <w:pStyle w:val="TableParagraph"/>
              <w:spacing w:before="15" w:line="220" w:lineRule="atLeast"/>
              <w:ind w:left="80" w:right="79"/>
              <w:rPr>
                <w:rFonts w:ascii="Calibri" w:hAnsi="Calibri"/>
                <w:b/>
                <w:sz w:val="16"/>
                <w:lang w:val="fr-CA"/>
              </w:rPr>
            </w:pPr>
            <w:r w:rsidRPr="00B43F59">
              <w:rPr>
                <w:rFonts w:ascii="Calibri" w:hAnsi="Calibri"/>
                <w:b/>
                <w:sz w:val="16"/>
                <w:lang w:val="fr-CA"/>
              </w:rPr>
              <w:t>Les compétences et les technologies requises sont obtenues, mais leur accès dépend de sources étrangères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170F6F5E"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2</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6303367"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230DBFC"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6774215F"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6D3116A5" w14:textId="77777777" w:rsidR="00302BFE" w:rsidRPr="00B43F59" w:rsidRDefault="00302BFE" w:rsidP="00243B15">
            <w:pPr>
              <w:pStyle w:val="TableParagraph"/>
              <w:rPr>
                <w:rFonts w:ascii="Calibri" w:hAnsi="Calibri"/>
                <w:sz w:val="16"/>
              </w:rPr>
            </w:pPr>
          </w:p>
        </w:tc>
      </w:tr>
      <w:tr w:rsidR="00302BFE" w:rsidRPr="00B43F59" w14:paraId="43E9A617" w14:textId="77777777" w:rsidTr="00243B15">
        <w:trPr>
          <w:trHeight w:val="654"/>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72E663E0"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0B927506" w14:textId="77777777" w:rsidR="00302BFE" w:rsidRPr="00B43F59" w:rsidRDefault="00302BFE" w:rsidP="00243B15">
            <w:pPr>
              <w:pStyle w:val="TableParagraph"/>
              <w:spacing w:before="15" w:line="220" w:lineRule="atLeast"/>
              <w:ind w:left="80"/>
              <w:rPr>
                <w:rFonts w:ascii="Calibri" w:hAnsi="Calibri"/>
                <w:b/>
                <w:sz w:val="16"/>
                <w:lang w:val="fr-CA"/>
              </w:rPr>
            </w:pPr>
            <w:r w:rsidRPr="00B43F59">
              <w:rPr>
                <w:rFonts w:ascii="Calibri" w:hAnsi="Calibri"/>
                <w:b/>
                <w:sz w:val="16"/>
                <w:lang w:val="fr-CA"/>
              </w:rPr>
              <w:t>Les compétences et les technologies requises sont disponibles et il existe un mécanisme national de mise à jour des compétences requises et de mise à niveau des technologies.</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0CA02958"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3</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775ED75A"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C78955B"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090668B4"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55EB6E0C" w14:textId="77777777" w:rsidR="00302BFE" w:rsidRPr="00B43F59" w:rsidRDefault="00302BFE" w:rsidP="00243B15">
            <w:pPr>
              <w:pStyle w:val="TableParagraph"/>
              <w:rPr>
                <w:rFonts w:ascii="Calibri" w:hAnsi="Calibri"/>
                <w:sz w:val="16"/>
              </w:rPr>
            </w:pPr>
          </w:p>
        </w:tc>
      </w:tr>
      <w:tr w:rsidR="00302BFE" w:rsidRPr="00AB47BD" w14:paraId="05ED717D" w14:textId="77777777" w:rsidTr="00243B15">
        <w:trPr>
          <w:trHeight w:val="270"/>
          <w:jc w:val="center"/>
        </w:trPr>
        <w:tc>
          <w:tcPr>
            <w:tcW w:w="14166" w:type="dxa"/>
            <w:gridSpan w:val="7"/>
            <w:tcBorders>
              <w:top w:val="single" w:sz="4" w:space="0" w:color="16459A"/>
              <w:left w:val="single" w:sz="4" w:space="0" w:color="16459A"/>
              <w:bottom w:val="single" w:sz="4" w:space="0" w:color="16459A"/>
              <w:right w:val="single" w:sz="4" w:space="0" w:color="16459A"/>
            </w:tcBorders>
            <w:shd w:val="clear" w:color="auto" w:fill="9ABAC3"/>
          </w:tcPr>
          <w:p w14:paraId="75959120" w14:textId="77777777" w:rsidR="00302BFE" w:rsidRPr="00B43F59" w:rsidRDefault="00302BFE" w:rsidP="00243B15">
            <w:pPr>
              <w:pStyle w:val="TableParagraph"/>
              <w:spacing w:before="34"/>
              <w:ind w:left="79"/>
              <w:rPr>
                <w:rFonts w:ascii="Calibri" w:hAnsi="Calibri"/>
                <w:b/>
                <w:i/>
                <w:sz w:val="20"/>
                <w:szCs w:val="20"/>
                <w:lang w:val="fr-CA"/>
              </w:rPr>
            </w:pPr>
            <w:r w:rsidRPr="00B43F59">
              <w:rPr>
                <w:rFonts w:ascii="Calibri" w:hAnsi="Calibri"/>
                <w:b/>
                <w:i/>
                <w:sz w:val="20"/>
                <w:szCs w:val="20"/>
                <w:lang w:val="fr-CA"/>
              </w:rPr>
              <w:t>5: Capacités à effectuer le suivi et à évaluer</w:t>
            </w:r>
          </w:p>
        </w:tc>
      </w:tr>
      <w:tr w:rsidR="00302BFE" w:rsidRPr="00B43F59" w14:paraId="21AB0DF2" w14:textId="77777777" w:rsidTr="00243B15">
        <w:trPr>
          <w:trHeight w:val="930"/>
          <w:jc w:val="center"/>
        </w:trPr>
        <w:tc>
          <w:tcPr>
            <w:tcW w:w="1246" w:type="dxa"/>
            <w:vMerge w:val="restart"/>
            <w:tcBorders>
              <w:top w:val="single" w:sz="4" w:space="0" w:color="16459A"/>
              <w:left w:val="single" w:sz="6" w:space="0" w:color="16459A"/>
              <w:bottom w:val="single" w:sz="4" w:space="0" w:color="16459A"/>
              <w:right w:val="single" w:sz="4" w:space="0" w:color="16459A"/>
            </w:tcBorders>
            <w:shd w:val="clear" w:color="auto" w:fill="E0E1F1"/>
            <w:hideMark/>
          </w:tcPr>
          <w:p w14:paraId="01277B71" w14:textId="77777777" w:rsidR="00302BFE" w:rsidRPr="00B43F59" w:rsidRDefault="00302BFE" w:rsidP="00243B15">
            <w:pPr>
              <w:pStyle w:val="TableParagraph"/>
              <w:spacing w:before="36" w:line="266" w:lineRule="auto"/>
              <w:ind w:left="77" w:right="60"/>
              <w:rPr>
                <w:rFonts w:ascii="Calibri" w:hAnsi="Calibri"/>
                <w:b/>
                <w:sz w:val="16"/>
                <w:lang w:val="fr-CA"/>
              </w:rPr>
            </w:pPr>
            <w:r w:rsidRPr="00B43F59">
              <w:rPr>
                <w:rFonts w:ascii="Calibri" w:hAnsi="Calibri"/>
                <w:b/>
                <w:sz w:val="16"/>
                <w:lang w:val="fr-CA"/>
              </w:rPr>
              <w:t xml:space="preserve">Indicateur 14: Adéquation du processus de suivi projet / </w:t>
            </w:r>
            <w:r w:rsidRPr="00B43F59">
              <w:rPr>
                <w:rFonts w:ascii="Calibri" w:hAnsi="Calibri"/>
                <w:b/>
                <w:sz w:val="16"/>
                <w:lang w:val="fr-CA"/>
              </w:rPr>
              <w:lastRenderedPageBreak/>
              <w:t>programme</w:t>
            </w: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62B745E9" w14:textId="77777777" w:rsidR="00302BFE" w:rsidRPr="00B43F59" w:rsidRDefault="00302BFE" w:rsidP="00243B15">
            <w:pPr>
              <w:pStyle w:val="TableParagraph"/>
              <w:spacing w:before="15" w:line="220" w:lineRule="atLeast"/>
              <w:ind w:left="80" w:right="123"/>
              <w:jc w:val="both"/>
              <w:rPr>
                <w:rFonts w:ascii="Calibri" w:hAnsi="Calibri"/>
                <w:b/>
                <w:sz w:val="16"/>
                <w:lang w:val="fr-CA"/>
              </w:rPr>
            </w:pPr>
            <w:proofErr w:type="gramStart"/>
            <w:r w:rsidRPr="00B43F59">
              <w:rPr>
                <w:rFonts w:ascii="Calibri" w:hAnsi="Calibri"/>
                <w:b/>
                <w:sz w:val="16"/>
                <w:lang w:val="fr-CA"/>
              </w:rPr>
              <w:lastRenderedPageBreak/>
              <w:t>Une suivi</w:t>
            </w:r>
            <w:proofErr w:type="gramEnd"/>
            <w:r w:rsidRPr="00B43F59">
              <w:rPr>
                <w:rFonts w:ascii="Calibri" w:hAnsi="Calibri"/>
                <w:b/>
                <w:sz w:val="16"/>
                <w:lang w:val="fr-CA"/>
              </w:rPr>
              <w:t xml:space="preserve"> de projet irrégulier est effectué sans un cadre de suivi adéquat pour préciser quoi et comment suivre le projet ou le programme en question.</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2C01EDC3"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0</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610B2948"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43B8806"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7ADE11FD"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3464FF83" w14:textId="77777777" w:rsidR="00302BFE" w:rsidRPr="00B43F59" w:rsidRDefault="00302BFE" w:rsidP="00243B15">
            <w:pPr>
              <w:pStyle w:val="TableParagraph"/>
              <w:rPr>
                <w:rFonts w:ascii="Calibri" w:hAnsi="Calibri"/>
                <w:sz w:val="16"/>
              </w:rPr>
            </w:pPr>
          </w:p>
        </w:tc>
      </w:tr>
      <w:tr w:rsidR="00302BFE" w:rsidRPr="00AB47BD" w14:paraId="0CAA6132" w14:textId="77777777" w:rsidTr="00243B15">
        <w:trPr>
          <w:trHeight w:val="710"/>
          <w:jc w:val="center"/>
        </w:trPr>
        <w:tc>
          <w:tcPr>
            <w:tcW w:w="1246" w:type="dxa"/>
            <w:vMerge/>
            <w:tcBorders>
              <w:top w:val="single" w:sz="4" w:space="0" w:color="16459A"/>
              <w:left w:val="single" w:sz="6" w:space="0" w:color="16459A"/>
              <w:bottom w:val="single" w:sz="4" w:space="0" w:color="16459A"/>
              <w:right w:val="single" w:sz="4" w:space="0" w:color="16459A"/>
            </w:tcBorders>
            <w:shd w:val="clear" w:color="auto" w:fill="auto"/>
            <w:vAlign w:val="center"/>
            <w:hideMark/>
          </w:tcPr>
          <w:p w14:paraId="3A42D016"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3035A74C" w14:textId="77777777" w:rsidR="00302BFE" w:rsidRPr="00B43F59" w:rsidRDefault="00302BFE" w:rsidP="00243B15">
            <w:pPr>
              <w:pStyle w:val="TableParagraph"/>
              <w:spacing w:before="15" w:line="220" w:lineRule="atLeast"/>
              <w:ind w:left="80" w:right="123"/>
              <w:jc w:val="both"/>
              <w:rPr>
                <w:rFonts w:ascii="Calibri" w:hAnsi="Calibri"/>
                <w:b/>
                <w:sz w:val="16"/>
                <w:lang w:val="fr-CA"/>
              </w:rPr>
            </w:pPr>
            <w:r w:rsidRPr="00B43F59">
              <w:rPr>
                <w:rFonts w:ascii="Calibri" w:hAnsi="Calibri"/>
                <w:b/>
                <w:sz w:val="16"/>
                <w:lang w:val="fr-CA"/>
              </w:rPr>
              <w:t>Un cadre de suivi adéquat doté de ressources est en place, mais le suivi du projet est effectué de manière irrégulière.</w:t>
            </w:r>
          </w:p>
        </w:tc>
        <w:tc>
          <w:tcPr>
            <w:tcW w:w="567" w:type="dxa"/>
            <w:tcBorders>
              <w:top w:val="single" w:sz="4" w:space="0" w:color="16459A"/>
              <w:left w:val="single" w:sz="4" w:space="0" w:color="16459A"/>
              <w:bottom w:val="single" w:sz="4" w:space="0" w:color="16459A"/>
              <w:right w:val="single" w:sz="4" w:space="0" w:color="16459A"/>
            </w:tcBorders>
            <w:shd w:val="clear" w:color="auto" w:fill="FBE4D5"/>
            <w:hideMark/>
          </w:tcPr>
          <w:p w14:paraId="155FD725"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1</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18CD5354"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1802696D"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hideMark/>
          </w:tcPr>
          <w:p w14:paraId="2F933F02"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L’OFINAP a un minimum de moyens pour le suivi des projets, a aussi des cadres pour le suivi des projets. L’OFINAP a des dispositifs minimaux sur lesquels le Projet peut s’appuyer. L’OFINAP dispose davantage de ressources que la DF</w:t>
            </w:r>
            <w:r>
              <w:rPr>
                <w:rFonts w:ascii="Calibri" w:hAnsi="Calibri"/>
                <w:sz w:val="16"/>
                <w:lang w:val="fr-FR"/>
              </w:rPr>
              <w:t>R</w:t>
            </w:r>
            <w:r w:rsidRPr="00B43F59">
              <w:rPr>
                <w:rFonts w:ascii="Calibri" w:hAnsi="Calibri"/>
                <w:sz w:val="16"/>
                <w:lang w:val="fr-FR"/>
              </w:rPr>
              <w:t>C.</w:t>
            </w:r>
          </w:p>
          <w:p w14:paraId="3EE50359"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Le suivi des ressources est effectué de manière sporadique par la DF</w:t>
            </w:r>
            <w:r>
              <w:rPr>
                <w:rFonts w:ascii="Calibri" w:hAnsi="Calibri"/>
                <w:sz w:val="16"/>
                <w:lang w:val="fr-FR"/>
              </w:rPr>
              <w:t>R</w:t>
            </w:r>
            <w:r w:rsidRPr="00B43F59">
              <w:rPr>
                <w:rFonts w:ascii="Calibri" w:hAnsi="Calibri"/>
                <w:sz w:val="16"/>
                <w:lang w:val="fr-FR"/>
              </w:rPr>
              <w:t>C. Un service de suivi évaluation existe à la DF</w:t>
            </w:r>
            <w:r>
              <w:rPr>
                <w:rFonts w:ascii="Calibri" w:hAnsi="Calibri"/>
                <w:sz w:val="16"/>
                <w:lang w:val="fr-FR"/>
              </w:rPr>
              <w:t>R</w:t>
            </w:r>
            <w:r w:rsidRPr="00B43F59">
              <w:rPr>
                <w:rFonts w:ascii="Calibri" w:hAnsi="Calibri"/>
                <w:sz w:val="16"/>
                <w:lang w:val="fr-FR"/>
              </w:rPr>
              <w:t>C mais la collecte et la capitalisation des données de base sont insuffisants faute de ressources adéquates pour la DGEF</w:t>
            </w: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72BE3C14"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 xml:space="preserve">Le projet PAPSA a un dispositif de suivi au niveau du projet, et finance le suivi au niveau de l’OFINAP et du Ministère. À terme, l’OFINAP reprendra les acquis du projet pour en assurer la continuité. </w:t>
            </w:r>
          </w:p>
          <w:p w14:paraId="0713C7CD"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Il faut institutionnaliser le suivi évaluation dans le cadre de ce projet</w:t>
            </w:r>
          </w:p>
          <w:p w14:paraId="1CE4B2C1" w14:textId="77777777" w:rsidR="00302BFE" w:rsidRPr="00B43F59" w:rsidRDefault="00302BFE" w:rsidP="00243B15">
            <w:pPr>
              <w:pStyle w:val="TableParagraph"/>
              <w:rPr>
                <w:rFonts w:ascii="Calibri" w:hAnsi="Calibri"/>
                <w:sz w:val="16"/>
                <w:lang w:val="fr-CA"/>
              </w:rPr>
            </w:pPr>
          </w:p>
        </w:tc>
      </w:tr>
      <w:tr w:rsidR="00302BFE" w:rsidRPr="00B43F59" w14:paraId="6C0836B4" w14:textId="77777777" w:rsidTr="00243B15">
        <w:trPr>
          <w:trHeight w:val="777"/>
          <w:jc w:val="center"/>
        </w:trPr>
        <w:tc>
          <w:tcPr>
            <w:tcW w:w="1246" w:type="dxa"/>
            <w:vMerge/>
            <w:tcBorders>
              <w:top w:val="single" w:sz="4" w:space="0" w:color="16459A"/>
              <w:left w:val="single" w:sz="6" w:space="0" w:color="16459A"/>
              <w:bottom w:val="single" w:sz="4" w:space="0" w:color="16459A"/>
              <w:right w:val="single" w:sz="4" w:space="0" w:color="16459A"/>
            </w:tcBorders>
            <w:shd w:val="clear" w:color="auto" w:fill="auto"/>
            <w:vAlign w:val="center"/>
            <w:hideMark/>
          </w:tcPr>
          <w:p w14:paraId="7F5F6EC9"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0B2A1AFF" w14:textId="77777777" w:rsidR="00302BFE" w:rsidRPr="00B43F59" w:rsidRDefault="00302BFE" w:rsidP="00243B15">
            <w:pPr>
              <w:pStyle w:val="TableParagraph"/>
              <w:spacing w:before="15" w:line="220" w:lineRule="atLeast"/>
              <w:ind w:left="80" w:right="176"/>
              <w:rPr>
                <w:rFonts w:ascii="Calibri" w:hAnsi="Calibri"/>
                <w:b/>
                <w:sz w:val="16"/>
                <w:lang w:val="fr-CA"/>
              </w:rPr>
            </w:pPr>
            <w:r w:rsidRPr="00B43F59">
              <w:rPr>
                <w:rFonts w:ascii="Calibri" w:hAnsi="Calibri"/>
                <w:b/>
                <w:sz w:val="16"/>
                <w:lang w:val="fr-CA"/>
              </w:rPr>
              <w:t>Un suivi participatif régulier des résultats est en cours, mais cette information n’est que partiellement utilisée par l’équipe de mise en œuvre du projet / programme.</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695A536B"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2</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93F2535"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16834D54"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463A58A5"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47679692" w14:textId="77777777" w:rsidR="00302BFE" w:rsidRPr="00B43F59" w:rsidRDefault="00302BFE" w:rsidP="00243B15">
            <w:pPr>
              <w:pStyle w:val="TableParagraph"/>
              <w:rPr>
                <w:rFonts w:ascii="Calibri" w:hAnsi="Calibri"/>
                <w:sz w:val="16"/>
              </w:rPr>
            </w:pPr>
          </w:p>
        </w:tc>
      </w:tr>
      <w:tr w:rsidR="00302BFE" w:rsidRPr="00B43F59" w14:paraId="7E8ED409" w14:textId="77777777" w:rsidTr="00243B15">
        <w:trPr>
          <w:trHeight w:val="930"/>
          <w:jc w:val="center"/>
        </w:trPr>
        <w:tc>
          <w:tcPr>
            <w:tcW w:w="1246" w:type="dxa"/>
            <w:vMerge/>
            <w:tcBorders>
              <w:top w:val="single" w:sz="4" w:space="0" w:color="16459A"/>
              <w:left w:val="single" w:sz="6" w:space="0" w:color="16459A"/>
              <w:bottom w:val="single" w:sz="4" w:space="0" w:color="16459A"/>
              <w:right w:val="single" w:sz="4" w:space="0" w:color="16459A"/>
            </w:tcBorders>
            <w:shd w:val="clear" w:color="auto" w:fill="auto"/>
            <w:vAlign w:val="center"/>
            <w:hideMark/>
          </w:tcPr>
          <w:p w14:paraId="1227852A"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112C53C8" w14:textId="77777777" w:rsidR="00302BFE" w:rsidRPr="00B43F59" w:rsidRDefault="00302BFE" w:rsidP="00243B15">
            <w:pPr>
              <w:pStyle w:val="TableParagraph"/>
              <w:spacing w:before="15" w:line="220" w:lineRule="atLeast"/>
              <w:ind w:left="80" w:right="81"/>
              <w:rPr>
                <w:rFonts w:ascii="Calibri" w:hAnsi="Calibri"/>
                <w:b/>
                <w:sz w:val="16"/>
                <w:lang w:val="fr-CA"/>
              </w:rPr>
            </w:pPr>
            <w:r w:rsidRPr="00B43F59">
              <w:rPr>
                <w:rFonts w:ascii="Calibri" w:hAnsi="Calibri"/>
                <w:b/>
                <w:sz w:val="16"/>
                <w:lang w:val="fr-CA"/>
              </w:rPr>
              <w:t>Les informations de suivi sont produites en temps opportun et avec précision, et sont utilisées par l'équipe de mise en œuvre pour apprendre et peut-être changer le cours de l'action.</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6C96E9FC"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3</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749B4993"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0462954D"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5506590D"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6F933CC2" w14:textId="77777777" w:rsidR="00302BFE" w:rsidRPr="00B43F59" w:rsidRDefault="00302BFE" w:rsidP="00243B15">
            <w:pPr>
              <w:pStyle w:val="TableParagraph"/>
              <w:rPr>
                <w:rFonts w:ascii="Calibri" w:hAnsi="Calibri"/>
                <w:sz w:val="16"/>
              </w:rPr>
            </w:pPr>
          </w:p>
        </w:tc>
      </w:tr>
      <w:tr w:rsidR="00302BFE" w:rsidRPr="00AB47BD" w14:paraId="79A91D9A" w14:textId="77777777" w:rsidTr="00243B15">
        <w:trPr>
          <w:trHeight w:val="710"/>
          <w:jc w:val="center"/>
        </w:trPr>
        <w:tc>
          <w:tcPr>
            <w:tcW w:w="1246" w:type="dxa"/>
            <w:vMerge w:val="restart"/>
            <w:tcBorders>
              <w:top w:val="single" w:sz="4" w:space="0" w:color="16459A"/>
              <w:left w:val="single" w:sz="6" w:space="0" w:color="16459A"/>
              <w:bottom w:val="single" w:sz="4" w:space="0" w:color="16459A"/>
              <w:right w:val="single" w:sz="6" w:space="0" w:color="16459A"/>
            </w:tcBorders>
            <w:shd w:val="clear" w:color="auto" w:fill="E0E1F1"/>
            <w:hideMark/>
          </w:tcPr>
          <w:p w14:paraId="48695D52" w14:textId="77777777" w:rsidR="00302BFE" w:rsidRPr="00B43F59" w:rsidRDefault="00302BFE" w:rsidP="00243B15">
            <w:pPr>
              <w:pStyle w:val="TableParagraph"/>
              <w:spacing w:before="36" w:line="266" w:lineRule="auto"/>
              <w:ind w:left="77" w:right="57"/>
              <w:rPr>
                <w:rFonts w:ascii="Calibri" w:hAnsi="Calibri"/>
                <w:b/>
                <w:sz w:val="16"/>
                <w:lang w:val="fr-CA"/>
              </w:rPr>
            </w:pPr>
            <w:r w:rsidRPr="00B43F59">
              <w:rPr>
                <w:rFonts w:ascii="Calibri" w:hAnsi="Calibri"/>
                <w:b/>
                <w:sz w:val="16"/>
                <w:lang w:val="fr-CA"/>
              </w:rPr>
              <w:t>Indicateur 15: Adéquation du processus d'évaluation projet / programme</w:t>
            </w: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0D2DFCF7" w14:textId="77777777" w:rsidR="00302BFE" w:rsidRPr="00B43F59" w:rsidRDefault="00302BFE" w:rsidP="00243B15">
            <w:pPr>
              <w:pStyle w:val="TableParagraph"/>
              <w:spacing w:before="15" w:line="220" w:lineRule="atLeast"/>
              <w:ind w:left="80" w:right="134"/>
              <w:rPr>
                <w:rFonts w:ascii="Calibri" w:hAnsi="Calibri"/>
                <w:b/>
                <w:sz w:val="16"/>
                <w:lang w:val="fr-CA"/>
              </w:rPr>
            </w:pPr>
            <w:r w:rsidRPr="00B43F59">
              <w:rPr>
                <w:rFonts w:ascii="Calibri" w:hAnsi="Calibri"/>
                <w:b/>
                <w:sz w:val="16"/>
                <w:lang w:val="fr-CA"/>
              </w:rPr>
              <w:t>Aucune évaluation ou des évaluations inefficaces sont en cours, sans plan d'évaluation adéquat ni les ressources nécessaires.</w:t>
            </w:r>
          </w:p>
        </w:tc>
        <w:tc>
          <w:tcPr>
            <w:tcW w:w="567" w:type="dxa"/>
            <w:tcBorders>
              <w:top w:val="single" w:sz="4" w:space="0" w:color="16459A"/>
              <w:left w:val="single" w:sz="4" w:space="0" w:color="16459A"/>
              <w:bottom w:val="single" w:sz="4" w:space="0" w:color="16459A"/>
              <w:right w:val="single" w:sz="4" w:space="0" w:color="16459A"/>
            </w:tcBorders>
            <w:shd w:val="clear" w:color="auto" w:fill="FBE4D5"/>
            <w:hideMark/>
          </w:tcPr>
          <w:p w14:paraId="384E51F8"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0</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2FAB6073"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5C9FEEF2"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hideMark/>
          </w:tcPr>
          <w:p w14:paraId="7E9EAB94" w14:textId="77777777" w:rsidR="00302BFE" w:rsidRPr="00B43F59" w:rsidRDefault="00302BFE" w:rsidP="00243B15">
            <w:pPr>
              <w:pStyle w:val="TableParagraph"/>
              <w:rPr>
                <w:rFonts w:ascii="Calibri" w:hAnsi="Calibri"/>
                <w:sz w:val="16"/>
                <w:lang w:val="fr-CA"/>
              </w:rPr>
            </w:pPr>
            <w:r w:rsidRPr="00B43F59">
              <w:rPr>
                <w:rFonts w:ascii="Calibri" w:hAnsi="Calibri"/>
                <w:sz w:val="16"/>
                <w:lang w:val="fr-FR"/>
              </w:rPr>
              <w:t>L’OFINAP fait des évaluations annuelles, mais n’a pas de plan ni de ressources annuelles. Existence d’un plan d’investissement et même de PAG de 10 ans qui devait être évalué régulièrement mais ne se fait pas.</w:t>
            </w:r>
          </w:p>
        </w:tc>
        <w:tc>
          <w:tcPr>
            <w:tcW w:w="3661" w:type="dxa"/>
            <w:tcBorders>
              <w:top w:val="single" w:sz="4" w:space="0" w:color="16459A"/>
              <w:left w:val="single" w:sz="4" w:space="0" w:color="16459A"/>
              <w:bottom w:val="single" w:sz="4" w:space="0" w:color="16459A"/>
              <w:right w:val="single" w:sz="4" w:space="0" w:color="16459A"/>
            </w:tcBorders>
            <w:shd w:val="clear" w:color="auto" w:fill="auto"/>
            <w:hideMark/>
          </w:tcPr>
          <w:p w14:paraId="28293BA9"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Le plan stratégique va impacter sur la vision et sur la planification annuelle. (</w:t>
            </w:r>
            <w:proofErr w:type="gramStart"/>
            <w:r w:rsidRPr="00B43F59">
              <w:rPr>
                <w:rFonts w:ascii="Calibri" w:hAnsi="Calibri"/>
                <w:sz w:val="16"/>
                <w:lang w:val="fr-FR"/>
              </w:rPr>
              <w:t>besoin</w:t>
            </w:r>
            <w:proofErr w:type="gramEnd"/>
            <w:r w:rsidRPr="00B43F59">
              <w:rPr>
                <w:rFonts w:ascii="Calibri" w:hAnsi="Calibri"/>
                <w:sz w:val="16"/>
                <w:lang w:val="fr-FR"/>
              </w:rPr>
              <w:t xml:space="preserve"> d’un document de formation, document du bilan de l’année)</w:t>
            </w:r>
          </w:p>
          <w:p w14:paraId="50E295A4"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NB. La survie des ZOVIC est remise en question. Des groupes allogènes et autochtones sont présents et il devient difficile d’identifier les interlocuteurs pour les formations. Les allogènes sont plus nombreux, plus riches, et musulmans avec plusieurs femmes. Ce qui fait que l’implication des communautés pose problèmes comme les travaux d’aménagement par ce que les autochtones ne veulent pas convier les allogènes. Le CVD dominé par les autochtones refuse d’impliquer les allogènes.</w:t>
            </w:r>
          </w:p>
          <w:p w14:paraId="1F9386DA" w14:textId="77777777" w:rsidR="00302BFE" w:rsidRPr="00B43F59" w:rsidRDefault="00302BFE" w:rsidP="00243B15">
            <w:pPr>
              <w:pStyle w:val="TableParagraph"/>
              <w:rPr>
                <w:rFonts w:ascii="Calibri" w:hAnsi="Calibri"/>
                <w:sz w:val="16"/>
                <w:lang w:val="fr-FR"/>
              </w:rPr>
            </w:pPr>
            <w:r w:rsidRPr="00B43F59">
              <w:rPr>
                <w:rFonts w:ascii="Calibri" w:hAnsi="Calibri"/>
                <w:sz w:val="16"/>
                <w:lang w:val="fr-FR"/>
              </w:rPr>
              <w:t>Il est proposé :</w:t>
            </w:r>
            <w:r w:rsidRPr="00B43F59">
              <w:rPr>
                <w:rFonts w:ascii="Calibri" w:hAnsi="Calibri"/>
                <w:sz w:val="16"/>
                <w:lang w:val="fr-FR"/>
              </w:rPr>
              <w:br/>
              <w:t xml:space="preserve">- d’impliquer les collectivités pour améliorer les relations et la conservation des ressources, </w:t>
            </w:r>
            <w:r w:rsidRPr="00B43F59">
              <w:rPr>
                <w:rFonts w:ascii="Calibri" w:hAnsi="Calibri"/>
                <w:sz w:val="16"/>
                <w:lang w:val="fr-FR"/>
              </w:rPr>
              <w:br/>
              <w:t>- d’élargir le cadre de la relation pour profiter de la facilité des Collectivités,</w:t>
            </w:r>
            <w:r w:rsidRPr="00B43F59">
              <w:rPr>
                <w:rFonts w:ascii="Calibri" w:hAnsi="Calibri"/>
                <w:sz w:val="16"/>
                <w:lang w:val="fr-FR"/>
              </w:rPr>
              <w:br/>
              <w:t>- de réorganiser le partenariat puisque les CVFGF ne sont pas fonctionnels,</w:t>
            </w:r>
            <w:r w:rsidRPr="00B43F59">
              <w:rPr>
                <w:rFonts w:ascii="Calibri" w:hAnsi="Calibri"/>
                <w:sz w:val="16"/>
                <w:lang w:val="fr-FR"/>
              </w:rPr>
              <w:br/>
              <w:t>- et d’adapter le système de partage des bénéfices puisque les profits étaient précédemment versés aux villages alors qu’ils sont maintenant versés aux collectivités.</w:t>
            </w:r>
          </w:p>
        </w:tc>
      </w:tr>
      <w:tr w:rsidR="00302BFE" w:rsidRPr="00B43F59" w14:paraId="51DBBAE8" w14:textId="77777777" w:rsidTr="00243B15">
        <w:trPr>
          <w:trHeight w:val="490"/>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67E196ED"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5467F736" w14:textId="77777777" w:rsidR="00302BFE" w:rsidRPr="00B43F59" w:rsidRDefault="00302BFE" w:rsidP="00243B15">
            <w:pPr>
              <w:pStyle w:val="TableParagraph"/>
              <w:spacing w:before="15" w:line="220" w:lineRule="atLeast"/>
              <w:ind w:left="80" w:right="134"/>
              <w:rPr>
                <w:rFonts w:ascii="Calibri" w:hAnsi="Calibri"/>
                <w:b/>
                <w:sz w:val="16"/>
                <w:lang w:val="fr-CA"/>
              </w:rPr>
            </w:pPr>
            <w:r w:rsidRPr="00B43F59">
              <w:rPr>
                <w:rFonts w:ascii="Calibri" w:hAnsi="Calibri"/>
                <w:b/>
                <w:sz w:val="16"/>
                <w:lang w:val="fr-CA"/>
              </w:rPr>
              <w:t>Un plan d'évaluation adéquat est en place, mais les activités d'évaluation sont menées de manière irrégulière.</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3383A8C9"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1</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5CEEFC83"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575A1118"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354EA7F3"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258DF423" w14:textId="77777777" w:rsidR="00302BFE" w:rsidRPr="00B43F59" w:rsidRDefault="00302BFE" w:rsidP="00243B15">
            <w:pPr>
              <w:pStyle w:val="TableParagraph"/>
              <w:rPr>
                <w:rFonts w:ascii="Calibri" w:hAnsi="Calibri"/>
                <w:sz w:val="16"/>
              </w:rPr>
            </w:pPr>
          </w:p>
        </w:tc>
      </w:tr>
      <w:tr w:rsidR="00302BFE" w:rsidRPr="00B43F59" w14:paraId="2E65F6D9" w14:textId="77777777" w:rsidTr="00243B15">
        <w:trPr>
          <w:trHeight w:val="930"/>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759E281A"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4F7554C5" w14:textId="77777777" w:rsidR="00302BFE" w:rsidRPr="00B43F59" w:rsidRDefault="00302BFE" w:rsidP="00243B15">
            <w:pPr>
              <w:pStyle w:val="TableParagraph"/>
              <w:spacing w:before="15" w:line="220" w:lineRule="atLeast"/>
              <w:ind w:left="80" w:right="134"/>
              <w:rPr>
                <w:rFonts w:ascii="Calibri" w:hAnsi="Calibri"/>
                <w:b/>
                <w:sz w:val="16"/>
                <w:lang w:val="fr-CA"/>
              </w:rPr>
            </w:pPr>
            <w:r w:rsidRPr="00B43F59">
              <w:rPr>
                <w:rFonts w:ascii="Calibri" w:hAnsi="Calibri"/>
                <w:b/>
                <w:sz w:val="16"/>
                <w:lang w:val="fr-CA"/>
              </w:rPr>
              <w:t>Les évaluations sont effectuées conformément à un plan d'évaluation adéquat, mais les résultats de l'évaluation ne sont que partiellement utilisés par l'équipe de mise en œuvre du projet ou du programme.</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6341F5FC"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2</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7486BE61"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70427669"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40C59EFE"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7871520F" w14:textId="77777777" w:rsidR="00302BFE" w:rsidRPr="00B43F59" w:rsidRDefault="00302BFE" w:rsidP="00243B15">
            <w:pPr>
              <w:pStyle w:val="TableParagraph"/>
              <w:rPr>
                <w:rFonts w:ascii="Calibri" w:hAnsi="Calibri"/>
                <w:sz w:val="16"/>
              </w:rPr>
            </w:pPr>
          </w:p>
        </w:tc>
      </w:tr>
      <w:tr w:rsidR="00302BFE" w:rsidRPr="00B43F59" w14:paraId="2A674313" w14:textId="77777777" w:rsidTr="00243B15">
        <w:trPr>
          <w:trHeight w:val="1103"/>
          <w:jc w:val="center"/>
        </w:trPr>
        <w:tc>
          <w:tcPr>
            <w:tcW w:w="1246" w:type="dxa"/>
            <w:vMerge/>
            <w:tcBorders>
              <w:top w:val="single" w:sz="4" w:space="0" w:color="16459A"/>
              <w:left w:val="single" w:sz="6" w:space="0" w:color="16459A"/>
              <w:bottom w:val="single" w:sz="4" w:space="0" w:color="16459A"/>
              <w:right w:val="single" w:sz="6" w:space="0" w:color="16459A"/>
            </w:tcBorders>
            <w:shd w:val="clear" w:color="auto" w:fill="auto"/>
            <w:vAlign w:val="center"/>
            <w:hideMark/>
          </w:tcPr>
          <w:p w14:paraId="18BB9DCE" w14:textId="77777777" w:rsidR="00302BFE" w:rsidRPr="00B43F59" w:rsidRDefault="00302BFE" w:rsidP="00243B15">
            <w:pPr>
              <w:widowControl w:val="0"/>
              <w:autoSpaceDE w:val="0"/>
              <w:autoSpaceDN w:val="0"/>
              <w:rPr>
                <w:rFonts w:eastAsia="Myriad Pro Light" w:cs="Myriad Pro Light"/>
                <w:b/>
                <w:sz w:val="16"/>
                <w:szCs w:val="22"/>
                <w:lang w:val="fr-CA"/>
              </w:rPr>
            </w:pPr>
          </w:p>
        </w:tc>
        <w:tc>
          <w:tcPr>
            <w:tcW w:w="4297" w:type="dxa"/>
            <w:tcBorders>
              <w:top w:val="single" w:sz="4" w:space="0" w:color="16459A"/>
              <w:left w:val="single" w:sz="4" w:space="0" w:color="16459A"/>
              <w:bottom w:val="single" w:sz="4" w:space="0" w:color="16459A"/>
              <w:right w:val="single" w:sz="4" w:space="0" w:color="16459A"/>
            </w:tcBorders>
            <w:shd w:val="clear" w:color="auto" w:fill="auto"/>
            <w:hideMark/>
          </w:tcPr>
          <w:p w14:paraId="70A19970" w14:textId="77777777" w:rsidR="00302BFE" w:rsidRPr="00B43F59" w:rsidRDefault="00302BFE" w:rsidP="00243B15">
            <w:pPr>
              <w:pStyle w:val="TableParagraph"/>
              <w:spacing w:before="15" w:line="220" w:lineRule="atLeast"/>
              <w:ind w:left="80" w:right="19"/>
              <w:rPr>
                <w:rFonts w:ascii="Calibri" w:hAnsi="Calibri"/>
                <w:b/>
                <w:sz w:val="16"/>
                <w:lang w:val="fr-CA"/>
              </w:rPr>
            </w:pPr>
            <w:r w:rsidRPr="00B43F59">
              <w:rPr>
                <w:rFonts w:ascii="Calibri" w:hAnsi="Calibri"/>
                <w:b/>
                <w:sz w:val="16"/>
                <w:lang w:val="fr-CA"/>
              </w:rPr>
              <w:t>Des évaluations efficaces sont conduites avec exactitude et précision, et sont utilisées par l’équipe de mise en œuvre et les agences d’exécution et / ou le personnel du FEM pour rectifier le plan d’action, si nécessaire, et pour instruire davantage les activités de planification.</w:t>
            </w:r>
          </w:p>
        </w:tc>
        <w:tc>
          <w:tcPr>
            <w:tcW w:w="567" w:type="dxa"/>
            <w:tcBorders>
              <w:top w:val="single" w:sz="4" w:space="0" w:color="16459A"/>
              <w:left w:val="single" w:sz="4" w:space="0" w:color="16459A"/>
              <w:bottom w:val="single" w:sz="4" w:space="0" w:color="16459A"/>
              <w:right w:val="single" w:sz="4" w:space="0" w:color="16459A"/>
            </w:tcBorders>
            <w:shd w:val="clear" w:color="auto" w:fill="auto"/>
            <w:hideMark/>
          </w:tcPr>
          <w:p w14:paraId="028840F9" w14:textId="77777777" w:rsidR="00302BFE" w:rsidRPr="00B43F59" w:rsidRDefault="00302BFE" w:rsidP="00243B15">
            <w:pPr>
              <w:pStyle w:val="TableParagraph"/>
              <w:spacing w:before="39"/>
              <w:ind w:left="80"/>
              <w:rPr>
                <w:rFonts w:ascii="Calibri" w:hAnsi="Calibri"/>
                <w:b/>
                <w:sz w:val="16"/>
              </w:rPr>
            </w:pPr>
            <w:r w:rsidRPr="00B43F59">
              <w:rPr>
                <w:rFonts w:ascii="Calibri" w:hAnsi="Calibri"/>
                <w:b/>
                <w:sz w:val="16"/>
              </w:rPr>
              <w:t>3</w:t>
            </w: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4031377F" w14:textId="77777777" w:rsidR="00302BFE" w:rsidRPr="00B43F59" w:rsidRDefault="00302BFE" w:rsidP="00243B15">
            <w:pPr>
              <w:pStyle w:val="TableParagraph"/>
              <w:rPr>
                <w:rFonts w:ascii="Calibri" w:hAnsi="Calibri"/>
                <w:sz w:val="16"/>
              </w:rPr>
            </w:pPr>
          </w:p>
        </w:tc>
        <w:tc>
          <w:tcPr>
            <w:tcW w:w="567" w:type="dxa"/>
            <w:tcBorders>
              <w:top w:val="single" w:sz="4" w:space="0" w:color="16459A"/>
              <w:left w:val="single" w:sz="4" w:space="0" w:color="16459A"/>
              <w:bottom w:val="single" w:sz="4" w:space="0" w:color="16459A"/>
              <w:right w:val="single" w:sz="4" w:space="0" w:color="16459A"/>
            </w:tcBorders>
            <w:shd w:val="clear" w:color="auto" w:fill="auto"/>
          </w:tcPr>
          <w:p w14:paraId="3B2ACEF8" w14:textId="77777777" w:rsidR="00302BFE" w:rsidRPr="00B43F59" w:rsidRDefault="00302BFE" w:rsidP="00243B15">
            <w:pPr>
              <w:pStyle w:val="TableParagraph"/>
              <w:rPr>
                <w:rFonts w:ascii="Calibri" w:hAnsi="Calibri"/>
                <w:sz w:val="16"/>
              </w:rPr>
            </w:pPr>
          </w:p>
        </w:tc>
        <w:tc>
          <w:tcPr>
            <w:tcW w:w="3261" w:type="dxa"/>
            <w:tcBorders>
              <w:top w:val="single" w:sz="4" w:space="0" w:color="16459A"/>
              <w:left w:val="single" w:sz="4" w:space="0" w:color="16459A"/>
              <w:bottom w:val="single" w:sz="4" w:space="0" w:color="16459A"/>
              <w:right w:val="single" w:sz="4" w:space="0" w:color="16459A"/>
            </w:tcBorders>
            <w:shd w:val="clear" w:color="auto" w:fill="auto"/>
          </w:tcPr>
          <w:p w14:paraId="7452C3AD" w14:textId="77777777" w:rsidR="00302BFE" w:rsidRPr="00B43F59" w:rsidRDefault="00302BFE" w:rsidP="00243B15">
            <w:pPr>
              <w:pStyle w:val="TableParagraph"/>
              <w:rPr>
                <w:rFonts w:ascii="Calibri" w:hAnsi="Calibri"/>
                <w:sz w:val="16"/>
              </w:rPr>
            </w:pPr>
          </w:p>
        </w:tc>
        <w:tc>
          <w:tcPr>
            <w:tcW w:w="3661" w:type="dxa"/>
            <w:tcBorders>
              <w:top w:val="single" w:sz="4" w:space="0" w:color="16459A"/>
              <w:left w:val="single" w:sz="4" w:space="0" w:color="16459A"/>
              <w:bottom w:val="single" w:sz="4" w:space="0" w:color="16459A"/>
              <w:right w:val="single" w:sz="4" w:space="0" w:color="16459A"/>
            </w:tcBorders>
            <w:shd w:val="clear" w:color="auto" w:fill="auto"/>
          </w:tcPr>
          <w:p w14:paraId="2629BDE8" w14:textId="77777777" w:rsidR="00302BFE" w:rsidRPr="00B43F59" w:rsidRDefault="00302BFE" w:rsidP="00243B15">
            <w:pPr>
              <w:pStyle w:val="TableParagraph"/>
              <w:rPr>
                <w:rFonts w:ascii="Calibri" w:hAnsi="Calibri"/>
                <w:sz w:val="16"/>
              </w:rPr>
            </w:pPr>
          </w:p>
        </w:tc>
      </w:tr>
    </w:tbl>
    <w:p w14:paraId="568508EB" w14:textId="77777777" w:rsidR="00302BFE" w:rsidRDefault="00302BFE" w:rsidP="00302BFE">
      <w:pPr>
        <w:rPr>
          <w:lang w:val="fr-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692"/>
        <w:gridCol w:w="1701"/>
        <w:gridCol w:w="1094"/>
        <w:gridCol w:w="1075"/>
        <w:gridCol w:w="1276"/>
      </w:tblGrid>
      <w:tr w:rsidR="00302BFE" w:rsidRPr="00B43F59" w14:paraId="648D1A19" w14:textId="77777777" w:rsidTr="00243B15">
        <w:trPr>
          <w:trHeight w:val="558"/>
          <w:jc w:val="center"/>
        </w:trPr>
        <w:tc>
          <w:tcPr>
            <w:tcW w:w="3692" w:type="dxa"/>
            <w:tcBorders>
              <w:top w:val="single" w:sz="4" w:space="0" w:color="auto"/>
              <w:left w:val="single" w:sz="4" w:space="0" w:color="auto"/>
              <w:bottom w:val="single" w:sz="4" w:space="0" w:color="auto"/>
              <w:right w:val="single" w:sz="4" w:space="0" w:color="auto"/>
            </w:tcBorders>
            <w:shd w:val="clear" w:color="auto" w:fill="16459A"/>
            <w:hideMark/>
          </w:tcPr>
          <w:p w14:paraId="48B3F11E" w14:textId="77777777" w:rsidR="00302BFE" w:rsidRPr="00B43F59" w:rsidRDefault="00302BFE" w:rsidP="00243B15">
            <w:pPr>
              <w:pStyle w:val="TableParagraph"/>
              <w:spacing w:before="39" w:line="188" w:lineRule="exact"/>
              <w:ind w:left="80"/>
              <w:rPr>
                <w:b/>
                <w:sz w:val="16"/>
              </w:rPr>
            </w:pPr>
            <w:proofErr w:type="spellStart"/>
            <w:r w:rsidRPr="00B43F59">
              <w:rPr>
                <w:b/>
                <w:color w:val="FFFFFF"/>
                <w:w w:val="105"/>
                <w:sz w:val="16"/>
              </w:rPr>
              <w:t>Domaines</w:t>
            </w:r>
            <w:proofErr w:type="spellEnd"/>
            <w:r w:rsidRPr="00B43F59">
              <w:rPr>
                <w:b/>
                <w:color w:val="FFFFFF"/>
                <w:w w:val="105"/>
                <w:sz w:val="16"/>
              </w:rPr>
              <w:t xml:space="preserve"> d'appui </w:t>
            </w:r>
            <w:proofErr w:type="spellStart"/>
            <w:r w:rsidRPr="00B43F59">
              <w:rPr>
                <w:b/>
                <w:color w:val="FFFFFF"/>
                <w:w w:val="105"/>
                <w:sz w:val="16"/>
              </w:rPr>
              <w:t>stratégiques</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16459A"/>
            <w:hideMark/>
          </w:tcPr>
          <w:p w14:paraId="3A35EC42" w14:textId="77777777" w:rsidR="00302BFE" w:rsidRPr="00B43F59" w:rsidRDefault="00302BFE" w:rsidP="00243B15">
            <w:pPr>
              <w:pStyle w:val="TableParagraph"/>
              <w:spacing w:before="39" w:line="188" w:lineRule="exact"/>
              <w:ind w:left="48"/>
              <w:rPr>
                <w:b/>
                <w:sz w:val="16"/>
                <w:lang w:val="fr-CA"/>
              </w:rPr>
            </w:pPr>
            <w:r w:rsidRPr="00B43F59">
              <w:rPr>
                <w:b/>
                <w:color w:val="FFFFFF"/>
                <w:sz w:val="16"/>
                <w:lang w:val="fr-CA"/>
              </w:rPr>
              <w:t>Contribuant à quels résultats (</w:t>
            </w:r>
            <w:proofErr w:type="spellStart"/>
            <w:r w:rsidRPr="00B43F59">
              <w:rPr>
                <w:b/>
                <w:i/>
                <w:color w:val="FFFFFF"/>
                <w:sz w:val="16"/>
                <w:lang w:val="fr-CA"/>
              </w:rPr>
              <w:t>Outcomes</w:t>
            </w:r>
            <w:proofErr w:type="spellEnd"/>
            <w:r w:rsidRPr="00B43F59">
              <w:rPr>
                <w:b/>
                <w:color w:val="FFFFFF"/>
                <w:sz w:val="16"/>
                <w:lang w:val="fr-CA"/>
              </w:rPr>
              <w:t>)</w:t>
            </w:r>
          </w:p>
        </w:tc>
        <w:tc>
          <w:tcPr>
            <w:tcW w:w="1094" w:type="dxa"/>
            <w:tcBorders>
              <w:top w:val="single" w:sz="4" w:space="0" w:color="auto"/>
              <w:left w:val="single" w:sz="4" w:space="0" w:color="auto"/>
              <w:bottom w:val="single" w:sz="4" w:space="0" w:color="auto"/>
              <w:right w:val="single" w:sz="4" w:space="0" w:color="auto"/>
            </w:tcBorders>
            <w:shd w:val="clear" w:color="auto" w:fill="16459A"/>
            <w:hideMark/>
          </w:tcPr>
          <w:p w14:paraId="41B56A15" w14:textId="77777777" w:rsidR="00302BFE" w:rsidRPr="00B43F59" w:rsidRDefault="00302BFE" w:rsidP="00243B15">
            <w:pPr>
              <w:pStyle w:val="TableParagraph"/>
              <w:spacing w:before="39" w:line="188" w:lineRule="exact"/>
              <w:ind w:left="80"/>
              <w:rPr>
                <w:b/>
                <w:sz w:val="16"/>
              </w:rPr>
            </w:pPr>
            <w:proofErr w:type="spellStart"/>
            <w:r w:rsidRPr="00B43F59">
              <w:rPr>
                <w:b/>
                <w:color w:val="FFFFFF"/>
                <w:w w:val="105"/>
                <w:sz w:val="16"/>
              </w:rPr>
              <w:t>Démarrage</w:t>
            </w:r>
            <w:proofErr w:type="spellEnd"/>
          </w:p>
        </w:tc>
        <w:tc>
          <w:tcPr>
            <w:tcW w:w="1075" w:type="dxa"/>
            <w:tcBorders>
              <w:top w:val="single" w:sz="4" w:space="0" w:color="auto"/>
              <w:left w:val="single" w:sz="4" w:space="0" w:color="auto"/>
              <w:bottom w:val="single" w:sz="4" w:space="0" w:color="auto"/>
              <w:right w:val="single" w:sz="4" w:space="0" w:color="auto"/>
            </w:tcBorders>
            <w:shd w:val="clear" w:color="auto" w:fill="16459A"/>
            <w:hideMark/>
          </w:tcPr>
          <w:p w14:paraId="67B373C1" w14:textId="77777777" w:rsidR="00302BFE" w:rsidRPr="00B43F59" w:rsidRDefault="00302BFE" w:rsidP="00243B15">
            <w:pPr>
              <w:pStyle w:val="TableParagraph"/>
              <w:spacing w:before="39" w:line="188" w:lineRule="exact"/>
              <w:ind w:left="81"/>
              <w:rPr>
                <w:b/>
                <w:sz w:val="16"/>
              </w:rPr>
            </w:pPr>
            <w:r w:rsidRPr="00B43F59">
              <w:rPr>
                <w:b/>
                <w:color w:val="FFFFFF"/>
                <w:sz w:val="16"/>
              </w:rPr>
              <w:t>Mi-</w:t>
            </w:r>
            <w:proofErr w:type="spellStart"/>
            <w:r w:rsidRPr="00B43F59">
              <w:rPr>
                <w:b/>
                <w:color w:val="FFFFFF"/>
                <w:sz w:val="16"/>
              </w:rPr>
              <w:t>parcours</w:t>
            </w:r>
            <w:proofErr w:type="spellEnd"/>
            <w:r w:rsidRPr="00B43F59">
              <w:rPr>
                <w:b/>
                <w:color w:val="FFFFFF"/>
                <w:sz w:val="16"/>
              </w:rPr>
              <w:t xml:space="preserve"> du projet</w:t>
            </w:r>
          </w:p>
        </w:tc>
        <w:tc>
          <w:tcPr>
            <w:tcW w:w="1276" w:type="dxa"/>
            <w:tcBorders>
              <w:top w:val="single" w:sz="4" w:space="0" w:color="auto"/>
              <w:left w:val="single" w:sz="4" w:space="0" w:color="auto"/>
              <w:bottom w:val="single" w:sz="4" w:space="0" w:color="auto"/>
              <w:right w:val="single" w:sz="4" w:space="0" w:color="auto"/>
            </w:tcBorders>
            <w:shd w:val="clear" w:color="auto" w:fill="16459A"/>
            <w:hideMark/>
          </w:tcPr>
          <w:p w14:paraId="6A6CA1EE" w14:textId="77777777" w:rsidR="00302BFE" w:rsidRPr="00B43F59" w:rsidRDefault="00302BFE" w:rsidP="00243B15">
            <w:pPr>
              <w:pStyle w:val="TableParagraph"/>
              <w:spacing w:before="39" w:line="188" w:lineRule="exact"/>
              <w:ind w:left="81"/>
              <w:rPr>
                <w:b/>
                <w:sz w:val="16"/>
              </w:rPr>
            </w:pPr>
            <w:r w:rsidRPr="00B43F59">
              <w:rPr>
                <w:b/>
                <w:color w:val="FFFFFF"/>
                <w:sz w:val="16"/>
              </w:rPr>
              <w:t>Fin de projet</w:t>
            </w:r>
          </w:p>
        </w:tc>
      </w:tr>
      <w:tr w:rsidR="00302BFE" w:rsidRPr="00B43F59" w14:paraId="29C295C8" w14:textId="77777777" w:rsidTr="00243B15">
        <w:trPr>
          <w:trHeight w:val="490"/>
          <w:jc w:val="center"/>
        </w:trPr>
        <w:tc>
          <w:tcPr>
            <w:tcW w:w="3692" w:type="dxa"/>
            <w:tcBorders>
              <w:top w:val="single" w:sz="4" w:space="0" w:color="auto"/>
              <w:left w:val="single" w:sz="4" w:space="0" w:color="auto"/>
              <w:bottom w:val="single" w:sz="4" w:space="0" w:color="auto"/>
              <w:right w:val="single" w:sz="4" w:space="0" w:color="auto"/>
            </w:tcBorders>
            <w:shd w:val="clear" w:color="auto" w:fill="auto"/>
            <w:hideMark/>
          </w:tcPr>
          <w:p w14:paraId="142F2DD7" w14:textId="77777777" w:rsidR="00302BFE" w:rsidRPr="00B43F59" w:rsidRDefault="00302BFE" w:rsidP="00243B15">
            <w:pPr>
              <w:pStyle w:val="TableParagraph"/>
              <w:spacing w:before="15" w:line="220" w:lineRule="atLeast"/>
              <w:ind w:left="80"/>
              <w:rPr>
                <w:b/>
                <w:sz w:val="16"/>
              </w:rPr>
            </w:pPr>
            <w:proofErr w:type="gramStart"/>
            <w:r w:rsidRPr="00B43F59">
              <w:rPr>
                <w:rFonts w:ascii="Calibri" w:hAnsi="Calibri"/>
                <w:b/>
                <w:i/>
                <w:sz w:val="20"/>
                <w:szCs w:val="20"/>
              </w:rPr>
              <w:t>1 :</w:t>
            </w:r>
            <w:proofErr w:type="gramEnd"/>
            <w:r w:rsidRPr="00B43F59">
              <w:rPr>
                <w:rFonts w:ascii="Calibri" w:hAnsi="Calibri"/>
                <w:b/>
                <w:i/>
                <w:sz w:val="20"/>
                <w:szCs w:val="20"/>
              </w:rPr>
              <w:t xml:space="preserve"> </w:t>
            </w:r>
            <w:proofErr w:type="spellStart"/>
            <w:r w:rsidRPr="00B43F59">
              <w:rPr>
                <w:rFonts w:ascii="Calibri" w:hAnsi="Calibri"/>
                <w:b/>
                <w:i/>
                <w:sz w:val="20"/>
                <w:szCs w:val="20"/>
              </w:rPr>
              <w:t>Capacités</w:t>
            </w:r>
            <w:proofErr w:type="spellEnd"/>
            <w:r w:rsidRPr="00B43F59">
              <w:rPr>
                <w:rFonts w:ascii="Calibri" w:hAnsi="Calibri"/>
                <w:b/>
                <w:i/>
                <w:sz w:val="20"/>
                <w:szCs w:val="20"/>
              </w:rPr>
              <w:t xml:space="preserve"> de </w:t>
            </w:r>
            <w:proofErr w:type="spellStart"/>
            <w:r w:rsidRPr="00B43F59">
              <w:rPr>
                <w:rFonts w:ascii="Calibri" w:hAnsi="Calibri"/>
                <w:b/>
                <w:i/>
                <w:sz w:val="20"/>
                <w:szCs w:val="20"/>
              </w:rPr>
              <w:t>mobilisation</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E5523" w14:textId="77777777" w:rsidR="00302BFE" w:rsidRPr="00B43F59" w:rsidRDefault="00302BFE" w:rsidP="00243B15">
            <w:pPr>
              <w:pStyle w:val="TableParagraph"/>
              <w:spacing w:before="39"/>
              <w:ind w:left="43"/>
              <w:rPr>
                <w:b/>
                <w:sz w:val="16"/>
              </w:rPr>
            </w:pPr>
            <w:proofErr w:type="spellStart"/>
            <w:r w:rsidRPr="00B43F59">
              <w:rPr>
                <w:b/>
                <w:sz w:val="16"/>
              </w:rPr>
              <w:t>Résultat</w:t>
            </w:r>
            <w:proofErr w:type="spellEnd"/>
            <w:r w:rsidRPr="00B43F59">
              <w:rPr>
                <w:b/>
                <w:sz w:val="16"/>
              </w:rPr>
              <w:t xml:space="preserve"> 2</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151D38" w14:textId="77777777" w:rsidR="00302BFE" w:rsidRPr="00B43F59" w:rsidRDefault="00302BFE" w:rsidP="00243B15">
            <w:pPr>
              <w:pStyle w:val="TableParagraph"/>
              <w:spacing w:before="39"/>
              <w:ind w:left="75"/>
              <w:jc w:val="center"/>
              <w:rPr>
                <w:b/>
                <w:sz w:val="16"/>
              </w:rPr>
            </w:pPr>
            <w:r w:rsidRPr="00B43F59">
              <w:rPr>
                <w:b/>
                <w:sz w:val="16"/>
              </w:rPr>
              <w:t>6/9 (67%)</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tcPr>
          <w:p w14:paraId="0D0ED0C7" w14:textId="77777777" w:rsidR="00302BFE" w:rsidRPr="00B43F59" w:rsidRDefault="00302BFE" w:rsidP="00243B15">
            <w:pPr>
              <w:pStyle w:val="TableParagraph"/>
              <w:spacing w:before="39"/>
              <w:ind w:left="76"/>
              <w:jc w:val="center"/>
              <w:rPr>
                <w:b/>
                <w:sz w:val="16"/>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6C1732" w14:textId="77777777" w:rsidR="00302BFE" w:rsidRPr="00B43F59" w:rsidRDefault="00302BFE" w:rsidP="00243B15">
            <w:pPr>
              <w:pStyle w:val="TableParagraph"/>
              <w:spacing w:before="39"/>
              <w:ind w:left="76"/>
              <w:jc w:val="center"/>
              <w:rPr>
                <w:b/>
                <w:sz w:val="16"/>
              </w:rPr>
            </w:pPr>
          </w:p>
        </w:tc>
      </w:tr>
      <w:tr w:rsidR="00302BFE" w:rsidRPr="00B43F59" w14:paraId="17BC6B0A" w14:textId="77777777" w:rsidTr="00243B15">
        <w:trPr>
          <w:trHeight w:val="474"/>
          <w:jc w:val="center"/>
        </w:trPr>
        <w:tc>
          <w:tcPr>
            <w:tcW w:w="3692" w:type="dxa"/>
            <w:tcBorders>
              <w:top w:val="single" w:sz="4" w:space="0" w:color="auto"/>
              <w:left w:val="single" w:sz="4" w:space="0" w:color="auto"/>
              <w:bottom w:val="single" w:sz="4" w:space="0" w:color="auto"/>
              <w:right w:val="single" w:sz="4" w:space="0" w:color="auto"/>
            </w:tcBorders>
            <w:shd w:val="clear" w:color="auto" w:fill="auto"/>
            <w:hideMark/>
          </w:tcPr>
          <w:p w14:paraId="28F8F179" w14:textId="77777777" w:rsidR="00302BFE" w:rsidRPr="00B43F59" w:rsidRDefault="00302BFE" w:rsidP="00243B15">
            <w:pPr>
              <w:pStyle w:val="TableParagraph"/>
              <w:spacing w:before="15" w:line="220" w:lineRule="atLeast"/>
              <w:ind w:left="79"/>
              <w:rPr>
                <w:b/>
                <w:sz w:val="16"/>
                <w:lang w:val="fr-CA"/>
              </w:rPr>
            </w:pPr>
            <w:r w:rsidRPr="00B43F59">
              <w:rPr>
                <w:rFonts w:ascii="Calibri" w:hAnsi="Calibri"/>
                <w:b/>
                <w:i/>
                <w:sz w:val="20"/>
                <w:szCs w:val="20"/>
                <w:lang w:val="fr-CA"/>
              </w:rPr>
              <w:t>2 : Capacités à Générer, Avoir accès et Utiliser l’Information et les Connaissances</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4844C" w14:textId="77777777" w:rsidR="00302BFE" w:rsidRPr="00B43F59" w:rsidRDefault="00302BFE" w:rsidP="00243B15">
            <w:pPr>
              <w:pStyle w:val="TableParagraph"/>
              <w:spacing w:before="39"/>
              <w:ind w:left="43"/>
              <w:rPr>
                <w:b/>
                <w:sz w:val="16"/>
                <w:lang w:val="fr-CA"/>
              </w:rPr>
            </w:pPr>
            <w:proofErr w:type="spellStart"/>
            <w:r w:rsidRPr="00B43F59">
              <w:rPr>
                <w:b/>
                <w:sz w:val="16"/>
              </w:rPr>
              <w:t>Résultat</w:t>
            </w:r>
            <w:proofErr w:type="spellEnd"/>
            <w:r w:rsidRPr="00B43F59">
              <w:rPr>
                <w:b/>
                <w:sz w:val="16"/>
              </w:rPr>
              <w:t xml:space="preserve"> 2</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4538A" w14:textId="77777777" w:rsidR="00302BFE" w:rsidRPr="00B43F59" w:rsidRDefault="00302BFE" w:rsidP="00243B15">
            <w:pPr>
              <w:pStyle w:val="TableParagraph"/>
              <w:spacing w:before="39"/>
              <w:ind w:left="75"/>
              <w:jc w:val="center"/>
              <w:rPr>
                <w:b/>
                <w:sz w:val="16"/>
                <w:lang w:val="fr-CA"/>
              </w:rPr>
            </w:pPr>
            <w:r w:rsidRPr="00B43F59">
              <w:rPr>
                <w:b/>
                <w:sz w:val="16"/>
                <w:lang w:val="fr-CA"/>
              </w:rPr>
              <w:t>6/15 (40%)</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tcPr>
          <w:p w14:paraId="6DE5BFC1" w14:textId="77777777" w:rsidR="00302BFE" w:rsidRPr="00B43F59" w:rsidRDefault="00302BFE" w:rsidP="00243B15">
            <w:pPr>
              <w:pStyle w:val="TableParagraph"/>
              <w:spacing w:before="39"/>
              <w:ind w:left="75"/>
              <w:jc w:val="center"/>
              <w:rPr>
                <w:b/>
                <w:sz w:val="16"/>
                <w:lang w:val="fr-CA"/>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1FA3B29" w14:textId="77777777" w:rsidR="00302BFE" w:rsidRPr="00B43F59" w:rsidRDefault="00302BFE" w:rsidP="00243B15">
            <w:pPr>
              <w:pStyle w:val="TableParagraph"/>
              <w:spacing w:before="39"/>
              <w:ind w:left="76"/>
              <w:jc w:val="center"/>
              <w:rPr>
                <w:b/>
                <w:sz w:val="16"/>
                <w:lang w:val="fr-CA"/>
              </w:rPr>
            </w:pPr>
          </w:p>
        </w:tc>
      </w:tr>
      <w:tr w:rsidR="00302BFE" w:rsidRPr="00B43F59" w14:paraId="1A237A0C" w14:textId="77777777" w:rsidTr="00243B15">
        <w:trPr>
          <w:trHeight w:val="553"/>
          <w:jc w:val="center"/>
        </w:trPr>
        <w:tc>
          <w:tcPr>
            <w:tcW w:w="3692" w:type="dxa"/>
            <w:tcBorders>
              <w:top w:val="single" w:sz="4" w:space="0" w:color="auto"/>
              <w:left w:val="single" w:sz="4" w:space="0" w:color="auto"/>
              <w:bottom w:val="single" w:sz="4" w:space="0" w:color="auto"/>
              <w:right w:val="single" w:sz="4" w:space="0" w:color="auto"/>
            </w:tcBorders>
            <w:shd w:val="clear" w:color="auto" w:fill="auto"/>
            <w:hideMark/>
          </w:tcPr>
          <w:p w14:paraId="32631BA0" w14:textId="77777777" w:rsidR="00302BFE" w:rsidRPr="00B43F59" w:rsidRDefault="00302BFE" w:rsidP="00243B15">
            <w:pPr>
              <w:pStyle w:val="TableParagraph"/>
              <w:spacing w:before="15" w:line="220" w:lineRule="atLeast"/>
              <w:ind w:left="79"/>
              <w:rPr>
                <w:b/>
                <w:sz w:val="16"/>
                <w:lang w:val="fr-CA"/>
              </w:rPr>
            </w:pPr>
            <w:r w:rsidRPr="00B43F59">
              <w:rPr>
                <w:rFonts w:ascii="Calibri" w:hAnsi="Calibri"/>
                <w:b/>
                <w:i/>
                <w:sz w:val="20"/>
                <w:szCs w:val="20"/>
                <w:lang w:val="fr-CA"/>
              </w:rPr>
              <w:t>3 : Capacités à élaborer des Stratégies, Politiques et Lois</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79D6C" w14:textId="77777777" w:rsidR="00302BFE" w:rsidRPr="00B43F59" w:rsidRDefault="00302BFE" w:rsidP="00243B15">
            <w:pPr>
              <w:pStyle w:val="TableParagraph"/>
              <w:spacing w:before="39"/>
              <w:ind w:left="43"/>
              <w:rPr>
                <w:b/>
                <w:sz w:val="16"/>
                <w:lang w:val="fr-CA"/>
              </w:rPr>
            </w:pPr>
            <w:proofErr w:type="spellStart"/>
            <w:r w:rsidRPr="00B43F59">
              <w:rPr>
                <w:b/>
                <w:sz w:val="16"/>
              </w:rPr>
              <w:t>Résultat</w:t>
            </w:r>
            <w:proofErr w:type="spellEnd"/>
            <w:r w:rsidRPr="00B43F59">
              <w:rPr>
                <w:b/>
                <w:sz w:val="16"/>
              </w:rPr>
              <w:t xml:space="preserve"> 2</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EF8F9" w14:textId="77777777" w:rsidR="00302BFE" w:rsidRPr="00B43F59" w:rsidRDefault="00302BFE" w:rsidP="00243B15">
            <w:pPr>
              <w:pStyle w:val="TableParagraph"/>
              <w:spacing w:before="39"/>
              <w:ind w:left="74"/>
              <w:jc w:val="center"/>
              <w:rPr>
                <w:b/>
                <w:sz w:val="16"/>
                <w:lang w:val="fr-CA"/>
              </w:rPr>
            </w:pPr>
            <w:r w:rsidRPr="00B43F59">
              <w:rPr>
                <w:b/>
                <w:sz w:val="16"/>
                <w:lang w:val="fr-CA"/>
              </w:rPr>
              <w:t>5/9 (56%)</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tcPr>
          <w:p w14:paraId="18323FE7" w14:textId="77777777" w:rsidR="00302BFE" w:rsidRPr="00B43F59" w:rsidRDefault="00302BFE" w:rsidP="00243B15">
            <w:pPr>
              <w:pStyle w:val="TableParagraph"/>
              <w:spacing w:before="39"/>
              <w:ind w:left="75"/>
              <w:jc w:val="center"/>
              <w:rPr>
                <w:b/>
                <w:sz w:val="16"/>
                <w:lang w:val="fr-CA"/>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ACA336B" w14:textId="77777777" w:rsidR="00302BFE" w:rsidRPr="00B43F59" w:rsidRDefault="00302BFE" w:rsidP="00243B15">
            <w:pPr>
              <w:pStyle w:val="TableParagraph"/>
              <w:spacing w:before="39"/>
              <w:ind w:left="76"/>
              <w:jc w:val="center"/>
              <w:rPr>
                <w:b/>
                <w:sz w:val="16"/>
                <w:lang w:val="fr-CA"/>
              </w:rPr>
            </w:pPr>
          </w:p>
        </w:tc>
      </w:tr>
      <w:tr w:rsidR="00302BFE" w:rsidRPr="00B43F59" w14:paraId="4268BCA3" w14:textId="77777777" w:rsidTr="00243B15">
        <w:trPr>
          <w:trHeight w:val="476"/>
          <w:jc w:val="center"/>
        </w:trPr>
        <w:tc>
          <w:tcPr>
            <w:tcW w:w="3692" w:type="dxa"/>
            <w:tcBorders>
              <w:top w:val="single" w:sz="4" w:space="0" w:color="auto"/>
              <w:left w:val="single" w:sz="4" w:space="0" w:color="auto"/>
              <w:bottom w:val="single" w:sz="4" w:space="0" w:color="auto"/>
              <w:right w:val="single" w:sz="4" w:space="0" w:color="auto"/>
            </w:tcBorders>
            <w:shd w:val="clear" w:color="auto" w:fill="auto"/>
            <w:hideMark/>
          </w:tcPr>
          <w:p w14:paraId="5E0DE098" w14:textId="77777777" w:rsidR="00302BFE" w:rsidRPr="00B43F59" w:rsidRDefault="00302BFE" w:rsidP="00243B15">
            <w:pPr>
              <w:pStyle w:val="TableParagraph"/>
              <w:spacing w:before="15" w:line="220" w:lineRule="atLeast"/>
              <w:ind w:left="79" w:right="366"/>
              <w:rPr>
                <w:b/>
                <w:sz w:val="16"/>
                <w:lang w:val="fr-CA"/>
              </w:rPr>
            </w:pPr>
            <w:r w:rsidRPr="00B43F59">
              <w:rPr>
                <w:rFonts w:ascii="Calibri" w:hAnsi="Calibri"/>
                <w:b/>
                <w:i/>
                <w:sz w:val="20"/>
                <w:szCs w:val="20"/>
                <w:lang w:val="fr-CA"/>
              </w:rPr>
              <w:t xml:space="preserve">4 : Capacités pour la Gestion et la Mise en </w:t>
            </w:r>
            <w:proofErr w:type="spellStart"/>
            <w:r w:rsidRPr="00B43F59">
              <w:rPr>
                <w:rFonts w:ascii="Calibri" w:hAnsi="Calibri"/>
                <w:b/>
                <w:i/>
                <w:sz w:val="20"/>
                <w:szCs w:val="20"/>
                <w:lang w:val="fr-CA"/>
              </w:rPr>
              <w:t>Oeuvre</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6E16F0" w14:textId="77777777" w:rsidR="00302BFE" w:rsidRPr="00B43F59" w:rsidRDefault="00302BFE" w:rsidP="00243B15">
            <w:pPr>
              <w:pStyle w:val="TableParagraph"/>
              <w:spacing w:before="39"/>
              <w:ind w:left="42"/>
              <w:rPr>
                <w:b/>
                <w:sz w:val="16"/>
                <w:lang w:val="fr-CA"/>
              </w:rPr>
            </w:pPr>
            <w:proofErr w:type="spellStart"/>
            <w:r w:rsidRPr="00B43F59">
              <w:rPr>
                <w:b/>
                <w:sz w:val="16"/>
              </w:rPr>
              <w:t>Résultat</w:t>
            </w:r>
            <w:proofErr w:type="spellEnd"/>
            <w:r w:rsidRPr="00B43F59">
              <w:rPr>
                <w:b/>
                <w:sz w:val="16"/>
              </w:rPr>
              <w:t xml:space="preserve"> 2</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2C85B" w14:textId="77777777" w:rsidR="00302BFE" w:rsidRPr="00B43F59" w:rsidRDefault="00302BFE" w:rsidP="00243B15">
            <w:pPr>
              <w:pStyle w:val="TableParagraph"/>
              <w:spacing w:before="39"/>
              <w:ind w:left="74"/>
              <w:jc w:val="center"/>
              <w:rPr>
                <w:b/>
                <w:sz w:val="16"/>
                <w:lang w:val="fr-CA"/>
              </w:rPr>
            </w:pPr>
            <w:r w:rsidRPr="00B43F59">
              <w:rPr>
                <w:b/>
                <w:sz w:val="16"/>
                <w:lang w:val="fr-CA"/>
              </w:rPr>
              <w:t>3/6 (50%)</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tcPr>
          <w:p w14:paraId="7D7D3CB9" w14:textId="77777777" w:rsidR="00302BFE" w:rsidRPr="00B43F59" w:rsidRDefault="00302BFE" w:rsidP="00243B15">
            <w:pPr>
              <w:pStyle w:val="TableParagraph"/>
              <w:spacing w:before="39"/>
              <w:ind w:left="75"/>
              <w:jc w:val="center"/>
              <w:rPr>
                <w:b/>
                <w:sz w:val="16"/>
                <w:lang w:val="fr-CA"/>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8F742D" w14:textId="77777777" w:rsidR="00302BFE" w:rsidRPr="00B43F59" w:rsidRDefault="00302BFE" w:rsidP="00243B15">
            <w:pPr>
              <w:pStyle w:val="TableParagraph"/>
              <w:spacing w:before="39"/>
              <w:ind w:left="76"/>
              <w:jc w:val="center"/>
              <w:rPr>
                <w:b/>
                <w:sz w:val="16"/>
                <w:lang w:val="fr-CA"/>
              </w:rPr>
            </w:pPr>
          </w:p>
        </w:tc>
      </w:tr>
      <w:tr w:rsidR="00302BFE" w:rsidRPr="00B43F59" w14:paraId="2860E9DD" w14:textId="77777777" w:rsidTr="00243B15">
        <w:trPr>
          <w:trHeight w:val="490"/>
          <w:jc w:val="center"/>
        </w:trPr>
        <w:tc>
          <w:tcPr>
            <w:tcW w:w="3692" w:type="dxa"/>
            <w:tcBorders>
              <w:top w:val="single" w:sz="4" w:space="0" w:color="auto"/>
              <w:left w:val="single" w:sz="4" w:space="0" w:color="auto"/>
              <w:bottom w:val="single" w:sz="4" w:space="0" w:color="auto"/>
              <w:right w:val="single" w:sz="4" w:space="0" w:color="auto"/>
            </w:tcBorders>
            <w:shd w:val="clear" w:color="auto" w:fill="auto"/>
            <w:hideMark/>
          </w:tcPr>
          <w:p w14:paraId="47198E55" w14:textId="77777777" w:rsidR="00302BFE" w:rsidRPr="00B43F59" w:rsidRDefault="00302BFE" w:rsidP="00243B15">
            <w:pPr>
              <w:pStyle w:val="TableParagraph"/>
              <w:spacing w:before="15" w:line="220" w:lineRule="atLeast"/>
              <w:ind w:left="79"/>
              <w:rPr>
                <w:b/>
                <w:sz w:val="16"/>
                <w:lang w:val="fr-CA"/>
              </w:rPr>
            </w:pPr>
            <w:r w:rsidRPr="00B43F59">
              <w:rPr>
                <w:rFonts w:ascii="Calibri" w:hAnsi="Calibri"/>
                <w:b/>
                <w:i/>
                <w:sz w:val="20"/>
                <w:szCs w:val="20"/>
                <w:lang w:val="fr-CA"/>
              </w:rPr>
              <w:t>5 : Capacités à effectuer le suivi et à évaluer</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639E8" w14:textId="77777777" w:rsidR="00302BFE" w:rsidRPr="00B43F59" w:rsidRDefault="00302BFE" w:rsidP="00243B15">
            <w:pPr>
              <w:pStyle w:val="TableParagraph"/>
              <w:spacing w:before="39"/>
              <w:ind w:left="42"/>
              <w:rPr>
                <w:b/>
                <w:sz w:val="16"/>
                <w:lang w:val="fr-CA"/>
              </w:rPr>
            </w:pPr>
            <w:proofErr w:type="spellStart"/>
            <w:r w:rsidRPr="00B43F59">
              <w:rPr>
                <w:b/>
                <w:sz w:val="16"/>
              </w:rPr>
              <w:t>Résultat</w:t>
            </w:r>
            <w:proofErr w:type="spellEnd"/>
            <w:r w:rsidRPr="00B43F59">
              <w:rPr>
                <w:b/>
                <w:sz w:val="16"/>
              </w:rPr>
              <w:t xml:space="preserve"> 2</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9849C1" w14:textId="77777777" w:rsidR="00302BFE" w:rsidRPr="00B43F59" w:rsidRDefault="00302BFE" w:rsidP="00243B15">
            <w:pPr>
              <w:pStyle w:val="TableParagraph"/>
              <w:spacing w:before="39"/>
              <w:ind w:left="74"/>
              <w:jc w:val="center"/>
              <w:rPr>
                <w:b/>
                <w:sz w:val="16"/>
                <w:lang w:val="fr-CA"/>
              </w:rPr>
            </w:pPr>
            <w:r w:rsidRPr="00B43F59">
              <w:rPr>
                <w:b/>
                <w:sz w:val="16"/>
                <w:lang w:val="fr-CA"/>
              </w:rPr>
              <w:t>1/6 (17%)</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tcPr>
          <w:p w14:paraId="41524E19" w14:textId="77777777" w:rsidR="00302BFE" w:rsidRPr="00B43F59" w:rsidRDefault="00302BFE" w:rsidP="00243B15">
            <w:pPr>
              <w:pStyle w:val="TableParagraph"/>
              <w:spacing w:before="39"/>
              <w:ind w:left="75"/>
              <w:jc w:val="center"/>
              <w:rPr>
                <w:b/>
                <w:sz w:val="16"/>
                <w:lang w:val="fr-CA"/>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8AFEE2" w14:textId="77777777" w:rsidR="00302BFE" w:rsidRPr="00B43F59" w:rsidRDefault="00302BFE" w:rsidP="00243B15">
            <w:pPr>
              <w:pStyle w:val="TableParagraph"/>
              <w:spacing w:before="39"/>
              <w:ind w:left="76"/>
              <w:jc w:val="center"/>
              <w:rPr>
                <w:b/>
                <w:sz w:val="16"/>
                <w:lang w:val="fr-CA"/>
              </w:rPr>
            </w:pPr>
          </w:p>
        </w:tc>
      </w:tr>
    </w:tbl>
    <w:p w14:paraId="28F87AE2" w14:textId="77777777" w:rsidR="00302BFE" w:rsidRDefault="00302BFE" w:rsidP="00302BFE"/>
    <w:p w14:paraId="5F8F0166" w14:textId="7DFBE4B3" w:rsidR="00243B15" w:rsidRDefault="00243B15"/>
    <w:sectPr w:rsidR="00243B15" w:rsidSect="00243B15">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B571B" w14:textId="77777777" w:rsidR="00C113A9" w:rsidRDefault="00C113A9" w:rsidP="00302BFE">
      <w:pPr>
        <w:spacing w:after="0"/>
      </w:pPr>
      <w:r>
        <w:separator/>
      </w:r>
    </w:p>
  </w:endnote>
  <w:endnote w:type="continuationSeparator" w:id="0">
    <w:p w14:paraId="29F62CC0" w14:textId="77777777" w:rsidR="00C113A9" w:rsidRDefault="00C113A9" w:rsidP="00302B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pen Sans Light">
    <w:charset w:val="00"/>
    <w:family w:val="swiss"/>
    <w:pitch w:val="variable"/>
    <w:sig w:usb0="E00002EF" w:usb1="4000205B" w:usb2="00000028" w:usb3="00000000" w:csb0="0000019F" w:csb1="00000000"/>
  </w:font>
  <w:font w:name="Myriad Pro Light">
    <w:altName w:val="Segoe UI Light"/>
    <w:charset w:val="00"/>
    <w:family w:val="swiss"/>
    <w:pitch w:val="variable"/>
  </w:font>
  <w:font w:name="Baskerville">
    <w:altName w:val="Baskerville Old Face"/>
    <w:charset w:val="00"/>
    <w:family w:val="auto"/>
    <w:pitch w:val="variable"/>
    <w:sig w:usb0="80000067" w:usb1="00000000" w:usb2="00000000" w:usb3="00000000" w:csb0="0000019F" w:csb1="00000000"/>
  </w:font>
  <w:font w:name="Univers Nex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Swiss721BT-Roman">
    <w:altName w:val="Calibri"/>
    <w:panose1 w:val="00000000000000000000"/>
    <w:charset w:val="00"/>
    <w:family w:val="auto"/>
    <w:notTrueType/>
    <w:pitch w:val="default"/>
    <w:sig w:usb0="00000003" w:usb1="00000000" w:usb2="00000000" w:usb3="00000000" w:csb0="00000001" w:csb1="00000000"/>
  </w:font>
  <w:font w:name="AdvTT3713a231">
    <w:altName w:val="Cambria"/>
    <w:panose1 w:val="00000000000000000000"/>
    <w:charset w:val="00"/>
    <w:family w:val="roman"/>
    <w:notTrueType/>
    <w:pitch w:val="default"/>
    <w:sig w:usb0="00000003" w:usb1="00000000" w:usb2="00000000" w:usb3="00000000" w:csb0="00000001" w:csb1="00000000"/>
  </w:font>
  <w:font w:name="Roboto-Light">
    <w:altName w:val="Arial"/>
    <w:panose1 w:val="00000000000000000000"/>
    <w:charset w:val="00"/>
    <w:family w:val="auto"/>
    <w:notTrueType/>
    <w:pitch w:val="default"/>
    <w:sig w:usb0="00000003" w:usb1="00000000" w:usb2="00000000" w:usb3="00000000" w:csb0="00000001" w:csb1="00000000"/>
  </w:font>
  <w:font w:name="Roboto-LightItalic">
    <w:altName w:val="Arial"/>
    <w:panose1 w:val="00000000000000000000"/>
    <w:charset w:val="00"/>
    <w:family w:val="auto"/>
    <w:notTrueType/>
    <w:pitch w:val="default"/>
    <w:sig w:usb0="00000003" w:usb1="00000000" w:usb2="00000000" w:usb3="00000000" w:csb0="00000001" w:csb1="00000000"/>
  </w:font>
  <w:font w:name="LMRoman10-Regular-Identity-H">
    <w:altName w:val="Calibri"/>
    <w:panose1 w:val="00000000000000000000"/>
    <w:charset w:val="00"/>
    <w:family w:val="auto"/>
    <w:notTrueType/>
    <w:pitch w:val="default"/>
    <w:sig w:usb0="00000003" w:usb1="00000000" w:usb2="00000000" w:usb3="00000000" w:csb0="00000001" w:csb1="00000000"/>
  </w:font>
  <w:font w:name="Martel-Regular">
    <w:altName w:val="Calibri"/>
    <w:panose1 w:val="00000000000000000000"/>
    <w:charset w:val="00"/>
    <w:family w:val="auto"/>
    <w:notTrueType/>
    <w:pitch w:val="default"/>
    <w:sig w:usb0="00000003" w:usb1="00000000" w:usb2="00000000" w:usb3="00000000" w:csb0="00000001" w:csb1="00000000"/>
  </w:font>
  <w:font w:name="SourceSansPro-Regular">
    <w:altName w:val="Calibri"/>
    <w:panose1 w:val="00000000000000000000"/>
    <w:charset w:val="00"/>
    <w:family w:val="auto"/>
    <w:notTrueType/>
    <w:pitch w:val="default"/>
    <w:sig w:usb0="00000003" w:usb1="00000000" w:usb2="00000000" w:usb3="00000000" w:csb0="00000001" w:csb1="00000000"/>
  </w:font>
  <w:font w:name="AdvTT50a2f13e.I">
    <w:altName w:val="Calibri"/>
    <w:panose1 w:val="00000000000000000000"/>
    <w:charset w:val="00"/>
    <w:family w:val="swiss"/>
    <w:notTrueType/>
    <w:pitch w:val="default"/>
    <w:sig w:usb0="00000003" w:usb1="00000000" w:usb2="00000000" w:usb3="00000000" w:csb0="00000001" w:csb1="00000000"/>
  </w:font>
  <w:font w:name="AdvTT3713a231+01">
    <w:altName w:val="Calibri"/>
    <w:panose1 w:val="00000000000000000000"/>
    <w:charset w:val="00"/>
    <w:family w:val="swiss"/>
    <w:notTrueType/>
    <w:pitch w:val="default"/>
    <w:sig w:usb0="00000003" w:usb1="00000000" w:usb2="00000000" w:usb3="00000000" w:csb0="00000001" w:csb1="00000000"/>
  </w:font>
  <w:font w:name="AdvTT3713a231+20">
    <w:altName w:val="Calibri"/>
    <w:panose1 w:val="00000000000000000000"/>
    <w:charset w:val="00"/>
    <w:family w:val="swiss"/>
    <w:notTrueType/>
    <w:pitch w:val="default"/>
    <w:sig w:usb0="00000003" w:usb1="00000000" w:usb2="00000000" w:usb3="00000000" w:csb0="00000001" w:csb1="00000000"/>
  </w:font>
  <w:font w:name="HelveticaNeue-Light">
    <w:altName w:val="Yu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Minion Pro">
    <w:altName w:val="Calibri"/>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Grande">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4D5F7" w14:textId="77777777" w:rsidR="00ED1ADA" w:rsidRDefault="00ED1ADA" w:rsidP="00243B15">
    <w:pPr>
      <w:pStyle w:val="Pieddepage"/>
      <w:pBdr>
        <w:top w:val="single" w:sz="4" w:space="1" w:color="D9D9D9"/>
      </w:pBdr>
      <w:jc w:val="right"/>
    </w:pPr>
    <w:r>
      <w:fldChar w:fldCharType="begin"/>
    </w:r>
    <w:r>
      <w:instrText xml:space="preserve"> PAGE   \* MERGEFORMAT </w:instrText>
    </w:r>
    <w:r>
      <w:fldChar w:fldCharType="separate"/>
    </w:r>
    <w:r>
      <w:rPr>
        <w:noProof/>
      </w:rPr>
      <w:t>4</w:t>
    </w:r>
    <w:r>
      <w:rPr>
        <w:noProof/>
      </w:rPr>
      <w:fldChar w:fldCharType="end"/>
    </w:r>
    <w:r>
      <w:t xml:space="preserve"> | </w:t>
    </w:r>
    <w:r w:rsidRPr="0003763F">
      <w:rPr>
        <w:color w:val="7F7F7F"/>
        <w:spacing w:val="60"/>
      </w:rPr>
      <w:t>Page</w:t>
    </w:r>
  </w:p>
  <w:p w14:paraId="1D213C19" w14:textId="77777777" w:rsidR="00ED1ADA" w:rsidRDefault="00ED1AD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AD11E" w14:textId="77777777" w:rsidR="00ED1ADA" w:rsidRDefault="00ED1ADA" w:rsidP="00243B15">
    <w:pPr>
      <w:pStyle w:val="Pieddepage"/>
      <w:pBdr>
        <w:top w:val="single" w:sz="4" w:space="1" w:color="D9D9D9"/>
      </w:pBdr>
      <w:tabs>
        <w:tab w:val="left" w:pos="345"/>
        <w:tab w:val="right" w:pos="9360"/>
      </w:tabs>
      <w:jc w:val="left"/>
    </w:pPr>
    <w:r>
      <w:tab/>
    </w:r>
    <w:r>
      <w:tab/>
    </w:r>
    <w:r>
      <w:tab/>
    </w:r>
    <w:r>
      <w:tab/>
    </w:r>
    <w:r>
      <w:fldChar w:fldCharType="begin"/>
    </w:r>
    <w:r>
      <w:instrText xml:space="preserve"> PAGE   \* MERGEFORMAT </w:instrText>
    </w:r>
    <w:r>
      <w:fldChar w:fldCharType="separate"/>
    </w:r>
    <w:r>
      <w:rPr>
        <w:noProof/>
      </w:rPr>
      <w:t>14</w:t>
    </w:r>
    <w:r>
      <w:rPr>
        <w:noProof/>
      </w:rPr>
      <w:fldChar w:fldCharType="end"/>
    </w:r>
    <w:r>
      <w:t xml:space="preserve"> | </w:t>
    </w:r>
    <w:r w:rsidRPr="00DD472A">
      <w:rPr>
        <w:color w:val="7F7F7F"/>
        <w:spacing w:val="60"/>
      </w:rPr>
      <w:t>Page</w:t>
    </w:r>
  </w:p>
  <w:p w14:paraId="5E352DC2" w14:textId="77777777" w:rsidR="00ED1ADA" w:rsidRDefault="00ED1AD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D44FF" w14:textId="77777777" w:rsidR="0071360F" w:rsidRDefault="0071360F" w:rsidP="00FD3A8F">
    <w:pPr>
      <w:pStyle w:val="En-tte"/>
    </w:pPr>
  </w:p>
  <w:p w14:paraId="148CD4BD" w14:textId="77777777" w:rsidR="0071360F" w:rsidRDefault="0071360F" w:rsidP="0003763F">
    <w:pPr>
      <w:pStyle w:val="Pieddepage"/>
      <w:pBdr>
        <w:top w:val="single" w:sz="4" w:space="1" w:color="D9D9D9"/>
      </w:pBdr>
      <w:jc w:val="right"/>
    </w:pPr>
    <w:r>
      <w:fldChar w:fldCharType="begin"/>
    </w:r>
    <w:r>
      <w:instrText xml:space="preserve"> PAGE   \* MERGEFORMAT </w:instrText>
    </w:r>
    <w:r>
      <w:fldChar w:fldCharType="separate"/>
    </w:r>
    <w:r>
      <w:rPr>
        <w:noProof/>
      </w:rPr>
      <w:t>24</w:t>
    </w:r>
    <w:r>
      <w:rPr>
        <w:noProof/>
      </w:rPr>
      <w:fldChar w:fldCharType="end"/>
    </w:r>
    <w:r>
      <w:t xml:space="preserve"> | </w:t>
    </w:r>
    <w:r w:rsidRPr="0003763F">
      <w:rPr>
        <w:color w:val="7F7F7F"/>
        <w:spacing w:val="60"/>
      </w:rPr>
      <w:t>Page</w:t>
    </w:r>
  </w:p>
  <w:p w14:paraId="79CA11ED" w14:textId="77777777" w:rsidR="0071360F" w:rsidRDefault="0071360F" w:rsidP="00FD3A8F">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412EB" w14:textId="77777777" w:rsidR="00ED1ADA" w:rsidRDefault="00ED1ADA" w:rsidP="00243B15">
    <w:pPr>
      <w:pStyle w:val="En-tte"/>
    </w:pPr>
  </w:p>
  <w:p w14:paraId="1786C5EB" w14:textId="77777777" w:rsidR="00ED1ADA" w:rsidRDefault="00ED1ADA" w:rsidP="00243B15">
    <w:pPr>
      <w:pStyle w:val="Pieddepage"/>
      <w:pBdr>
        <w:top w:val="single" w:sz="4" w:space="1" w:color="D9D9D9"/>
      </w:pBdr>
      <w:jc w:val="right"/>
    </w:pPr>
    <w:r>
      <w:fldChar w:fldCharType="begin"/>
    </w:r>
    <w:r>
      <w:instrText xml:space="preserve"> PAGE   \* MERGEFORMAT </w:instrText>
    </w:r>
    <w:r>
      <w:fldChar w:fldCharType="separate"/>
    </w:r>
    <w:r>
      <w:rPr>
        <w:noProof/>
      </w:rPr>
      <w:t>22</w:t>
    </w:r>
    <w:r>
      <w:rPr>
        <w:noProof/>
      </w:rPr>
      <w:fldChar w:fldCharType="end"/>
    </w:r>
    <w:r>
      <w:t xml:space="preserve"> | </w:t>
    </w:r>
    <w:r w:rsidRPr="0003763F">
      <w:rPr>
        <w:color w:val="7F7F7F"/>
        <w:spacing w:val="60"/>
      </w:rPr>
      <w:t>Page</w:t>
    </w:r>
  </w:p>
  <w:p w14:paraId="286380A5" w14:textId="77777777" w:rsidR="00ED1ADA" w:rsidRDefault="00ED1ADA" w:rsidP="00243B15">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17842" w14:textId="77777777" w:rsidR="00ED1ADA" w:rsidRPr="0075595E" w:rsidRDefault="00ED1ADA" w:rsidP="00243B15">
    <w:pPr>
      <w:pStyle w:val="Pieddepage"/>
      <w:jc w:val="right"/>
    </w:pPr>
    <w:r>
      <w:fldChar w:fldCharType="begin"/>
    </w:r>
    <w:r>
      <w:instrText>PAGE   \* MERGEFORMAT</w:instrText>
    </w:r>
    <w:r>
      <w:fldChar w:fldCharType="separate"/>
    </w:r>
    <w:r>
      <w:rPr>
        <w:lang w:val="fr-FR"/>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A7D8C" w14:textId="77777777" w:rsidR="00C113A9" w:rsidRDefault="00C113A9" w:rsidP="00302BFE">
      <w:pPr>
        <w:spacing w:after="0"/>
      </w:pPr>
      <w:r>
        <w:separator/>
      </w:r>
    </w:p>
  </w:footnote>
  <w:footnote w:type="continuationSeparator" w:id="0">
    <w:p w14:paraId="5BF93DDE" w14:textId="77777777" w:rsidR="00C113A9" w:rsidRDefault="00C113A9" w:rsidP="00302BFE">
      <w:pPr>
        <w:spacing w:after="0"/>
      </w:pPr>
      <w:r>
        <w:continuationSeparator/>
      </w:r>
    </w:p>
  </w:footnote>
  <w:footnote w:id="1">
    <w:p w14:paraId="3077B2FD" w14:textId="77777777" w:rsidR="00ED1ADA" w:rsidRPr="00442C83" w:rsidRDefault="00ED1ADA" w:rsidP="00302BFE">
      <w:pPr>
        <w:pStyle w:val="Notedebasdepage"/>
        <w:spacing w:after="0"/>
        <w:rPr>
          <w:rFonts w:ascii="Calibri" w:hAnsi="Calibri"/>
          <w:lang w:val="fr-CA"/>
        </w:rPr>
      </w:pPr>
      <w:r w:rsidRPr="00442C83">
        <w:rPr>
          <w:rStyle w:val="Appelnotedebasdep"/>
          <w:rFonts w:ascii="Calibri" w:hAnsi="Calibri"/>
        </w:rPr>
        <w:footnoteRef/>
      </w:r>
      <w:r w:rsidRPr="00442C83">
        <w:rPr>
          <w:rFonts w:ascii="Calibri" w:hAnsi="Calibri"/>
          <w:lang w:val="fr-CA"/>
        </w:rPr>
        <w:t xml:space="preserve"> </w:t>
      </w:r>
      <w:r w:rsidRPr="00442C83">
        <w:rPr>
          <w:rFonts w:ascii="Calibri" w:hAnsi="Calibri" w:cs="Calibri"/>
          <w:color w:val="000000"/>
          <w:sz w:val="16"/>
          <w:szCs w:val="16"/>
          <w:lang w:val="fr-CA"/>
        </w:rPr>
        <w:t xml:space="preserve">Dicko et Sangaré, 1981 </w:t>
      </w:r>
      <w:r w:rsidRPr="00442C83">
        <w:rPr>
          <w:rFonts w:ascii="Calibri" w:hAnsi="Calibri" w:cs="Calibri"/>
          <w:i/>
          <w:color w:val="000000"/>
          <w:sz w:val="16"/>
          <w:szCs w:val="16"/>
          <w:lang w:val="fr-CA"/>
        </w:rPr>
        <w:t>in</w:t>
      </w:r>
      <w:r w:rsidRPr="00442C83">
        <w:rPr>
          <w:rFonts w:ascii="Calibri" w:hAnsi="Calibri" w:cs="Calibri"/>
          <w:color w:val="000000"/>
          <w:sz w:val="16"/>
          <w:szCs w:val="16"/>
          <w:lang w:val="fr-CA"/>
        </w:rPr>
        <w:t xml:space="preserve"> SEONE </w:t>
      </w:r>
      <w:r w:rsidRPr="00442C83">
        <w:rPr>
          <w:rFonts w:ascii="Calibri" w:hAnsi="Calibri" w:cs="Calibri"/>
          <w:i/>
          <w:color w:val="000000"/>
          <w:sz w:val="16"/>
          <w:szCs w:val="16"/>
          <w:lang w:val="fr-CA"/>
        </w:rPr>
        <w:t>et al</w:t>
      </w:r>
      <w:r w:rsidRPr="00442C83">
        <w:rPr>
          <w:rFonts w:ascii="Calibri" w:hAnsi="Calibri" w:cs="Calibri"/>
          <w:color w:val="000000"/>
          <w:sz w:val="16"/>
          <w:szCs w:val="16"/>
          <w:lang w:val="fr-CA"/>
        </w:rPr>
        <w:t>., 2018</w:t>
      </w:r>
    </w:p>
  </w:footnote>
  <w:footnote w:id="2">
    <w:p w14:paraId="3E1BAF4D" w14:textId="77777777" w:rsidR="00ED1ADA" w:rsidRPr="00FF5454" w:rsidRDefault="00ED1ADA" w:rsidP="00D85DCC">
      <w:pPr>
        <w:pStyle w:val="Notedebasdepage"/>
        <w:spacing w:after="0"/>
        <w:rPr>
          <w:rFonts w:asciiTheme="minorHAnsi" w:hAnsiTheme="minorHAnsi"/>
          <w:sz w:val="16"/>
          <w:szCs w:val="16"/>
          <w:lang w:val="en-CA"/>
        </w:rPr>
      </w:pPr>
      <w:r w:rsidRPr="003F190A">
        <w:rPr>
          <w:rStyle w:val="Appelnotedebasdep"/>
          <w:rFonts w:asciiTheme="minorHAnsi" w:hAnsiTheme="minorHAnsi"/>
          <w:sz w:val="16"/>
          <w:szCs w:val="16"/>
        </w:rPr>
        <w:footnoteRef/>
      </w:r>
      <w:r w:rsidRPr="00FF5454">
        <w:rPr>
          <w:rFonts w:asciiTheme="minorHAnsi" w:hAnsiTheme="minorHAnsi"/>
          <w:sz w:val="16"/>
          <w:szCs w:val="16"/>
          <w:lang w:val="en-CA"/>
        </w:rPr>
        <w:t xml:space="preserve"> Forest Code (2011)</w:t>
      </w:r>
    </w:p>
  </w:footnote>
  <w:footnote w:id="3">
    <w:p w14:paraId="7B1A5A31" w14:textId="77777777" w:rsidR="007E5AC8" w:rsidRDefault="007E5AC8" w:rsidP="00302BFE">
      <w:pPr>
        <w:pStyle w:val="Notedebasdepage"/>
        <w:spacing w:after="0"/>
        <w:rPr>
          <w:rFonts w:ascii="Calibri" w:hAnsi="Calibri"/>
          <w:sz w:val="16"/>
          <w:szCs w:val="16"/>
          <w:lang w:val="en-CA"/>
        </w:rPr>
      </w:pPr>
      <w:r>
        <w:rPr>
          <w:rStyle w:val="Appelnotedebasdep"/>
        </w:rPr>
        <w:footnoteRef/>
      </w:r>
      <w:r>
        <w:rPr>
          <w:rFonts w:ascii="Calibri" w:hAnsi="Calibri"/>
          <w:sz w:val="16"/>
          <w:szCs w:val="16"/>
          <w:lang w:val="en-CA"/>
        </w:rPr>
        <w:t xml:space="preserve">Corridors # 1 and # 2 were set up by the PAGEN project in 2008 but could not be gazetted. Funded by FFEM, the NGO NATUDEV is currently (2018-2019) working to formalize the creation of corridor # 1 and develop a participatory management and development plan. </w:t>
      </w:r>
    </w:p>
  </w:footnote>
  <w:footnote w:id="4">
    <w:p w14:paraId="3D02F22D" w14:textId="77777777" w:rsidR="006B3AD8" w:rsidRDefault="006B3AD8" w:rsidP="00302BFE">
      <w:pPr>
        <w:pStyle w:val="Notedebasdepage"/>
        <w:spacing w:after="0"/>
        <w:rPr>
          <w:rFonts w:ascii="Calibri" w:hAnsi="Calibri"/>
          <w:sz w:val="16"/>
          <w:szCs w:val="16"/>
          <w:lang w:val="en-CA"/>
        </w:rPr>
      </w:pPr>
      <w:r>
        <w:rPr>
          <w:rStyle w:val="Appelnotedebasdep"/>
          <w:sz w:val="16"/>
          <w:szCs w:val="16"/>
        </w:rPr>
        <w:footnoteRef/>
      </w:r>
      <w:r>
        <w:rPr>
          <w:rFonts w:ascii="Calibri" w:hAnsi="Calibri"/>
          <w:sz w:val="16"/>
          <w:szCs w:val="16"/>
          <w:lang w:val="en-CA"/>
        </w:rPr>
        <w:t xml:space="preserve"> CVGF: Village Committee for Wildlife Management</w:t>
      </w:r>
    </w:p>
  </w:footnote>
  <w:footnote w:id="5">
    <w:p w14:paraId="3511833D" w14:textId="77777777" w:rsidR="00ED1ADA" w:rsidRPr="00243B15" w:rsidRDefault="00ED1ADA" w:rsidP="00302BFE">
      <w:pPr>
        <w:pStyle w:val="Notedebasdepage"/>
        <w:spacing w:after="0"/>
        <w:rPr>
          <w:rFonts w:ascii="Calibri" w:hAnsi="Calibri"/>
          <w:sz w:val="16"/>
          <w:szCs w:val="16"/>
          <w:lang w:val="en-CA"/>
        </w:rPr>
      </w:pPr>
      <w:r w:rsidRPr="00066BE7">
        <w:rPr>
          <w:rStyle w:val="Appelnotedebasdep"/>
          <w:rFonts w:ascii="Calibri" w:hAnsi="Calibri"/>
          <w:sz w:val="16"/>
          <w:szCs w:val="16"/>
        </w:rPr>
        <w:footnoteRef/>
      </w:r>
      <w:r w:rsidRPr="00066BE7">
        <w:rPr>
          <w:rFonts w:ascii="Calibri" w:hAnsi="Calibri"/>
          <w:sz w:val="16"/>
          <w:szCs w:val="16"/>
          <w:lang w:val="fr-CA"/>
        </w:rPr>
        <w:t xml:space="preserve"> Marchal, A., Lejeune, P., Bouché, P., Ouédraogo, M., Sawadogo, </w:t>
      </w:r>
      <w:proofErr w:type="gramStart"/>
      <w:r w:rsidRPr="00066BE7">
        <w:rPr>
          <w:rFonts w:ascii="Calibri" w:hAnsi="Calibri"/>
          <w:sz w:val="16"/>
          <w:szCs w:val="16"/>
          <w:lang w:val="fr-CA"/>
        </w:rPr>
        <w:t>P.(</w:t>
      </w:r>
      <w:proofErr w:type="gramEnd"/>
      <w:r w:rsidRPr="00066BE7">
        <w:rPr>
          <w:rFonts w:ascii="Calibri" w:hAnsi="Calibri"/>
          <w:sz w:val="16"/>
          <w:szCs w:val="16"/>
          <w:lang w:val="fr-CA"/>
        </w:rPr>
        <w:t xml:space="preserve">2012). </w:t>
      </w:r>
      <w:r w:rsidRPr="00066BE7">
        <w:rPr>
          <w:rFonts w:ascii="Calibri" w:hAnsi="Calibri"/>
          <w:sz w:val="16"/>
          <w:szCs w:val="16"/>
          <w:lang w:val="en-CA"/>
        </w:rPr>
        <w:t xml:space="preserve">Status of the medium-sized ungulate populations in 2010, </w:t>
      </w:r>
      <w:proofErr w:type="spellStart"/>
      <w:r w:rsidRPr="00066BE7">
        <w:rPr>
          <w:rFonts w:ascii="Calibri" w:hAnsi="Calibri"/>
          <w:sz w:val="16"/>
          <w:szCs w:val="16"/>
          <w:lang w:val="en-CA"/>
        </w:rPr>
        <w:t>Nazinga</w:t>
      </w:r>
      <w:proofErr w:type="spellEnd"/>
      <w:r w:rsidRPr="00066BE7">
        <w:rPr>
          <w:rFonts w:ascii="Calibri" w:hAnsi="Calibri"/>
          <w:sz w:val="16"/>
          <w:szCs w:val="16"/>
          <w:lang w:val="en-CA"/>
        </w:rPr>
        <w:t xml:space="preserve"> game ranch, Burkina Faso (western Africa). </w:t>
      </w:r>
      <w:r w:rsidRPr="00243B15">
        <w:rPr>
          <w:rFonts w:ascii="Calibri" w:hAnsi="Calibri"/>
          <w:sz w:val="16"/>
          <w:szCs w:val="16"/>
          <w:lang w:val="en-CA"/>
        </w:rPr>
        <w:t>BASE, 16(3), 307–315</w:t>
      </w:r>
    </w:p>
  </w:footnote>
  <w:footnote w:id="6">
    <w:p w14:paraId="7BE47B4C" w14:textId="77777777" w:rsidR="00ED1ADA" w:rsidRPr="00066BE7" w:rsidRDefault="00ED1ADA" w:rsidP="00302BFE">
      <w:pPr>
        <w:pStyle w:val="Notedebasdepage"/>
        <w:spacing w:after="0"/>
        <w:rPr>
          <w:rFonts w:ascii="Calibri" w:hAnsi="Calibri"/>
          <w:sz w:val="16"/>
          <w:szCs w:val="16"/>
          <w:lang w:val="en-CA"/>
        </w:rPr>
      </w:pPr>
      <w:r w:rsidRPr="00066BE7">
        <w:rPr>
          <w:rStyle w:val="Appelnotedebasdep"/>
          <w:rFonts w:ascii="Calibri" w:hAnsi="Calibri"/>
          <w:sz w:val="16"/>
          <w:szCs w:val="16"/>
        </w:rPr>
        <w:footnoteRef/>
      </w:r>
      <w:r w:rsidRPr="00243B15">
        <w:rPr>
          <w:rFonts w:ascii="Calibri" w:hAnsi="Calibri"/>
          <w:sz w:val="16"/>
          <w:szCs w:val="16"/>
          <w:lang w:val="en-CA"/>
        </w:rPr>
        <w:t xml:space="preserve"> Bouché P., Douglas-Hamilton I., </w:t>
      </w:r>
      <w:proofErr w:type="spellStart"/>
      <w:r w:rsidRPr="00243B15">
        <w:rPr>
          <w:rFonts w:ascii="Calibri" w:hAnsi="Calibri"/>
          <w:sz w:val="16"/>
          <w:szCs w:val="16"/>
          <w:lang w:val="en-CA"/>
        </w:rPr>
        <w:t>Wittemyer</w:t>
      </w:r>
      <w:proofErr w:type="spellEnd"/>
      <w:r w:rsidRPr="00243B15">
        <w:rPr>
          <w:rFonts w:ascii="Calibri" w:hAnsi="Calibri"/>
          <w:sz w:val="16"/>
          <w:szCs w:val="16"/>
          <w:lang w:val="en-CA"/>
        </w:rPr>
        <w:t xml:space="preserve"> G., </w:t>
      </w:r>
      <w:proofErr w:type="spellStart"/>
      <w:r w:rsidRPr="00243B15">
        <w:rPr>
          <w:rFonts w:ascii="Calibri" w:hAnsi="Calibri"/>
          <w:sz w:val="16"/>
          <w:szCs w:val="16"/>
          <w:lang w:val="en-CA"/>
        </w:rPr>
        <w:t>Nianogo</w:t>
      </w:r>
      <w:proofErr w:type="spellEnd"/>
      <w:r w:rsidRPr="00243B15">
        <w:rPr>
          <w:rFonts w:ascii="Calibri" w:hAnsi="Calibri"/>
          <w:sz w:val="16"/>
          <w:szCs w:val="16"/>
          <w:lang w:val="en-CA"/>
        </w:rPr>
        <w:t xml:space="preserve"> A.J., Doucet J.L. </w:t>
      </w:r>
      <w:r w:rsidRPr="00066BE7">
        <w:rPr>
          <w:rFonts w:ascii="Calibri" w:hAnsi="Calibri"/>
          <w:sz w:val="16"/>
          <w:szCs w:val="16"/>
          <w:lang w:val="en-CA"/>
        </w:rPr>
        <w:t xml:space="preserve">(2011). Will elephants soon disappear from west African savannahs? </w:t>
      </w:r>
      <w:proofErr w:type="spellStart"/>
      <w:r w:rsidRPr="00066BE7">
        <w:rPr>
          <w:rFonts w:ascii="Calibri" w:hAnsi="Calibri"/>
          <w:sz w:val="16"/>
          <w:szCs w:val="16"/>
          <w:lang w:val="en-CA"/>
        </w:rPr>
        <w:t>PloS</w:t>
      </w:r>
      <w:proofErr w:type="spellEnd"/>
      <w:r w:rsidRPr="00066BE7">
        <w:rPr>
          <w:rFonts w:ascii="Calibri" w:hAnsi="Calibri"/>
          <w:sz w:val="16"/>
          <w:szCs w:val="16"/>
          <w:lang w:val="en-CA"/>
        </w:rPr>
        <w:t xml:space="preserve"> One, 6(6), e20619. </w:t>
      </w:r>
      <w:proofErr w:type="spellStart"/>
      <w:r w:rsidRPr="00066BE7">
        <w:rPr>
          <w:rFonts w:ascii="Calibri" w:hAnsi="Calibri"/>
          <w:sz w:val="16"/>
          <w:szCs w:val="16"/>
          <w:lang w:val="en-CA"/>
        </w:rPr>
        <w:t>doi</w:t>
      </w:r>
      <w:proofErr w:type="spellEnd"/>
      <w:r w:rsidRPr="00066BE7">
        <w:rPr>
          <w:rFonts w:ascii="Calibri" w:hAnsi="Calibri"/>
          <w:sz w:val="16"/>
          <w:szCs w:val="16"/>
          <w:lang w:val="en-CA"/>
        </w:rPr>
        <w:t>: 10.1371/journal.pone.0020619.</w:t>
      </w:r>
    </w:p>
  </w:footnote>
  <w:footnote w:id="7">
    <w:p w14:paraId="075AFF09" w14:textId="77777777" w:rsidR="00ED1ADA" w:rsidRPr="00B77F42" w:rsidRDefault="00ED1ADA" w:rsidP="00302BFE">
      <w:pPr>
        <w:pStyle w:val="Notedebasdepage"/>
        <w:spacing w:after="0"/>
        <w:rPr>
          <w:rStyle w:val="Appelnotedebasdep"/>
          <w:rFonts w:ascii="Calibri" w:hAnsi="Calibri"/>
          <w:lang w:val="en-CA"/>
        </w:rPr>
      </w:pPr>
      <w:r w:rsidRPr="007F4D35">
        <w:rPr>
          <w:rStyle w:val="Appelnotedebasdep"/>
          <w:rFonts w:ascii="Calibri" w:hAnsi="Calibri"/>
          <w:sz w:val="16"/>
          <w:szCs w:val="16"/>
        </w:rPr>
        <w:footnoteRef/>
      </w:r>
      <w:r w:rsidRPr="00B77F42">
        <w:rPr>
          <w:rFonts w:ascii="Calibri" w:hAnsi="Calibri"/>
          <w:sz w:val="16"/>
          <w:szCs w:val="16"/>
          <w:lang w:val="en-CA"/>
        </w:rPr>
        <w:t xml:space="preserve"> </w:t>
      </w:r>
      <w:hyperlink r:id="rId1" w:history="1">
        <w:r w:rsidRPr="00B77F42">
          <w:rPr>
            <w:rStyle w:val="Lienhypertexte"/>
            <w:rFonts w:ascii="Calibri" w:hAnsi="Calibri"/>
            <w:sz w:val="16"/>
            <w:szCs w:val="16"/>
            <w:lang w:val="en-CA"/>
          </w:rPr>
          <w:t>http://datazone.birdlife.org/site/factsheet/kaboré-tambi--nazinga--</w:t>
        </w:r>
        <w:proofErr w:type="spellStart"/>
        <w:r w:rsidRPr="00B77F42">
          <w:rPr>
            <w:rStyle w:val="Lienhypertexte"/>
            <w:rFonts w:ascii="Calibri" w:hAnsi="Calibri"/>
            <w:sz w:val="16"/>
            <w:szCs w:val="16"/>
            <w:lang w:val="en-CA"/>
          </w:rPr>
          <w:t>sissili</w:t>
        </w:r>
        <w:proofErr w:type="spellEnd"/>
        <w:r w:rsidRPr="00B77F42">
          <w:rPr>
            <w:rStyle w:val="Lienhypertexte"/>
            <w:rFonts w:ascii="Calibri" w:hAnsi="Calibri"/>
            <w:sz w:val="16"/>
            <w:szCs w:val="16"/>
            <w:lang w:val="en-CA"/>
          </w:rPr>
          <w:t>-complex-</w:t>
        </w:r>
        <w:proofErr w:type="spellStart"/>
        <w:r w:rsidRPr="00B77F42">
          <w:rPr>
            <w:rStyle w:val="Lienhypertexte"/>
            <w:rFonts w:ascii="Calibri" w:hAnsi="Calibri"/>
            <w:sz w:val="16"/>
            <w:szCs w:val="16"/>
            <w:lang w:val="en-CA"/>
          </w:rPr>
          <w:t>iba</w:t>
        </w:r>
        <w:proofErr w:type="spellEnd"/>
        <w:r w:rsidRPr="00B77F42">
          <w:rPr>
            <w:rStyle w:val="Lienhypertexte"/>
            <w:rFonts w:ascii="Calibri" w:hAnsi="Calibri"/>
            <w:sz w:val="16"/>
            <w:szCs w:val="16"/>
            <w:lang w:val="en-CA"/>
          </w:rPr>
          <w:t>-</w:t>
        </w:r>
        <w:proofErr w:type="spellStart"/>
        <w:r w:rsidRPr="00B77F42">
          <w:rPr>
            <w:rStyle w:val="Lienhypertexte"/>
            <w:rFonts w:ascii="Calibri" w:hAnsi="Calibri"/>
            <w:sz w:val="16"/>
            <w:szCs w:val="16"/>
            <w:lang w:val="en-CA"/>
          </w:rPr>
          <w:t>burkina-faso</w:t>
        </w:r>
        <w:proofErr w:type="spellEnd"/>
      </w:hyperlink>
    </w:p>
  </w:footnote>
  <w:footnote w:id="8">
    <w:p w14:paraId="48F6A973" w14:textId="77777777" w:rsidR="00ED1ADA" w:rsidRPr="00243B15" w:rsidRDefault="00ED1ADA" w:rsidP="00302BFE">
      <w:pPr>
        <w:pStyle w:val="Notedebasdepage"/>
        <w:spacing w:after="0"/>
        <w:rPr>
          <w:lang w:val="en-CA"/>
        </w:rPr>
      </w:pPr>
      <w:r>
        <w:rPr>
          <w:rStyle w:val="Appelnotedebasdep"/>
          <w:rFonts w:ascii="Calibri" w:hAnsi="Calibri"/>
          <w:sz w:val="16"/>
          <w:szCs w:val="16"/>
        </w:rPr>
        <w:footnoteRef/>
      </w:r>
      <w:r w:rsidRPr="00243B15">
        <w:rPr>
          <w:rFonts w:ascii="Calibri" w:hAnsi="Calibri"/>
          <w:sz w:val="16"/>
          <w:szCs w:val="16"/>
          <w:lang w:val="en-CA"/>
        </w:rPr>
        <w:t xml:space="preserve"> https://rsis.ramsar.org/ris/2366</w:t>
      </w:r>
    </w:p>
  </w:footnote>
  <w:footnote w:id="9">
    <w:p w14:paraId="39CF8EEC" w14:textId="77777777" w:rsidR="00ED1ADA" w:rsidRPr="00F9302E" w:rsidRDefault="00ED1ADA" w:rsidP="00302BFE">
      <w:pPr>
        <w:pStyle w:val="Notedebasdepage"/>
        <w:spacing w:after="0"/>
        <w:rPr>
          <w:rFonts w:ascii="Calibri" w:hAnsi="Calibri"/>
          <w:sz w:val="16"/>
          <w:szCs w:val="16"/>
          <w:lang w:val="pt-PT"/>
        </w:rPr>
      </w:pPr>
      <w:r>
        <w:rPr>
          <w:rStyle w:val="Appelnotedebasdep"/>
          <w:rFonts w:ascii="Calibri" w:hAnsi="Calibri"/>
          <w:sz w:val="16"/>
          <w:szCs w:val="16"/>
        </w:rPr>
        <w:footnoteRef/>
      </w:r>
      <w:r w:rsidRPr="00F9302E">
        <w:rPr>
          <w:rFonts w:ascii="Calibri" w:hAnsi="Calibri"/>
          <w:sz w:val="16"/>
          <w:szCs w:val="16"/>
          <w:lang w:val="pt-PT"/>
        </w:rPr>
        <w:t xml:space="preserve"> </w:t>
      </w:r>
      <w:r w:rsidRPr="00F9302E">
        <w:rPr>
          <w:rFonts w:ascii="Calibri" w:hAnsi="Calibri"/>
          <w:sz w:val="16"/>
          <w:szCs w:val="16"/>
          <w:lang w:val="pt-PT"/>
        </w:rPr>
        <w:t>Ouédraogo, 2005</w:t>
      </w:r>
    </w:p>
  </w:footnote>
  <w:footnote w:id="10">
    <w:p w14:paraId="6AAACE05" w14:textId="77777777" w:rsidR="00ED1ADA" w:rsidRPr="00DC07B4" w:rsidRDefault="00ED1ADA" w:rsidP="00302BFE">
      <w:pPr>
        <w:pStyle w:val="Notedebasdepage"/>
        <w:spacing w:after="0"/>
        <w:rPr>
          <w:rFonts w:ascii="Calibri" w:hAnsi="Calibri"/>
          <w:sz w:val="16"/>
          <w:szCs w:val="16"/>
          <w:lang w:val="en-CA"/>
        </w:rPr>
      </w:pPr>
      <w:r>
        <w:rPr>
          <w:rStyle w:val="Appelnotedebasdep"/>
          <w:rFonts w:ascii="Calibri" w:hAnsi="Calibri"/>
          <w:sz w:val="16"/>
          <w:szCs w:val="16"/>
        </w:rPr>
        <w:footnoteRef/>
      </w:r>
      <w:r w:rsidRPr="00F9302E">
        <w:rPr>
          <w:rFonts w:ascii="Calibri" w:hAnsi="Calibri"/>
          <w:sz w:val="16"/>
          <w:szCs w:val="16"/>
          <w:lang w:val="pt-PT"/>
        </w:rPr>
        <w:t xml:space="preserve"> </w:t>
      </w:r>
      <w:r w:rsidRPr="00F9302E">
        <w:rPr>
          <w:rFonts w:ascii="Calibri" w:hAnsi="Calibri"/>
          <w:sz w:val="16"/>
          <w:szCs w:val="16"/>
          <w:lang w:val="pt-PT"/>
        </w:rPr>
        <w:t xml:space="preserve">Doamba. </w:t>
      </w:r>
      <w:r w:rsidRPr="00F9302E">
        <w:rPr>
          <w:rFonts w:ascii="Calibri" w:hAnsi="Calibri"/>
          <w:sz w:val="16"/>
          <w:szCs w:val="16"/>
          <w:lang w:val="pt-PT"/>
        </w:rPr>
        <w:t xml:space="preserve">B, Adouabou. B. A, Balma. </w:t>
      </w:r>
      <w:r w:rsidRPr="00DC07B4">
        <w:rPr>
          <w:rFonts w:ascii="Calibri" w:hAnsi="Calibri"/>
          <w:sz w:val="16"/>
          <w:szCs w:val="16"/>
          <w:lang w:val="en-CA"/>
        </w:rPr>
        <w:t>E. N. 2018</w:t>
      </w:r>
    </w:p>
  </w:footnote>
  <w:footnote w:id="11">
    <w:p w14:paraId="35AE914D" w14:textId="77777777" w:rsidR="00ED1ADA" w:rsidRPr="006458C6" w:rsidRDefault="00ED1ADA" w:rsidP="00E6163D">
      <w:pPr>
        <w:pStyle w:val="Notedebasdepage"/>
        <w:spacing w:after="0"/>
        <w:rPr>
          <w:rStyle w:val="Appelnotedebasdep"/>
          <w:rFonts w:asciiTheme="minorHAnsi" w:hAnsiTheme="minorHAnsi"/>
          <w:sz w:val="16"/>
          <w:szCs w:val="16"/>
        </w:rPr>
      </w:pPr>
      <w:r w:rsidRPr="006E490C">
        <w:rPr>
          <w:rStyle w:val="Appelnotedebasdep"/>
          <w:rFonts w:ascii="Calibri" w:hAnsi="Calibri"/>
          <w:sz w:val="16"/>
          <w:szCs w:val="16"/>
        </w:rPr>
        <w:footnoteRef/>
      </w:r>
      <w:r w:rsidRPr="006E490C">
        <w:rPr>
          <w:rFonts w:ascii="Calibri" w:hAnsi="Calibri"/>
          <w:sz w:val="16"/>
          <w:szCs w:val="16"/>
          <w:lang w:val="en-CA"/>
        </w:rPr>
        <w:t xml:space="preserve"> </w:t>
      </w:r>
      <w:r w:rsidRPr="006458C6">
        <w:rPr>
          <w:rStyle w:val="Appelnotedebasdep"/>
          <w:rFonts w:asciiTheme="minorHAnsi" w:hAnsiTheme="minorHAnsi"/>
          <w:sz w:val="16"/>
          <w:szCs w:val="16"/>
          <w:vertAlign w:val="baseline"/>
        </w:rPr>
        <w:t>The number of direct beneficiaries is estimated as follows:</w:t>
      </w:r>
      <w:r w:rsidRPr="006458C6">
        <w:rPr>
          <w:rFonts w:asciiTheme="minorHAnsi" w:hAnsiTheme="minorHAnsi"/>
          <w:sz w:val="16"/>
          <w:szCs w:val="16"/>
        </w:rPr>
        <w:t xml:space="preserve"> </w:t>
      </w:r>
      <w:r w:rsidRPr="006458C6">
        <w:rPr>
          <w:rFonts w:asciiTheme="minorHAnsi" w:hAnsiTheme="minorHAnsi"/>
          <w:bCs/>
          <w:sz w:val="16"/>
          <w:szCs w:val="16"/>
          <w:lang w:val="en-CA"/>
        </w:rPr>
        <w:t xml:space="preserve">30,885 with 60% women overall, including a) 365 men in CAFs, b) 6400 </w:t>
      </w:r>
      <w:r w:rsidRPr="006458C6">
        <w:rPr>
          <w:rFonts w:asciiTheme="minorHAnsi" w:hAnsiTheme="minorHAnsi"/>
          <w:bCs/>
          <w:sz w:val="16"/>
          <w:szCs w:val="16"/>
        </w:rPr>
        <w:t xml:space="preserve">men and women in pastoral activities, </w:t>
      </w:r>
      <w:r w:rsidRPr="006458C6">
        <w:rPr>
          <w:rFonts w:asciiTheme="minorHAnsi" w:hAnsiTheme="minorHAnsi"/>
          <w:bCs/>
          <w:sz w:val="16"/>
          <w:szCs w:val="16"/>
          <w:lang w:val="en-CA"/>
        </w:rPr>
        <w:t xml:space="preserve">c) 1,200 men and women in climate-smart agriculture activities – </w:t>
      </w:r>
      <w:r w:rsidRPr="006458C6">
        <w:rPr>
          <w:rFonts w:asciiTheme="minorHAnsi" w:hAnsiTheme="minorHAnsi"/>
          <w:bCs/>
          <w:i/>
          <w:sz w:val="16"/>
          <w:szCs w:val="16"/>
          <w:lang w:val="en-CA"/>
        </w:rPr>
        <w:t xml:space="preserve">terroirs, </w:t>
      </w:r>
      <w:r w:rsidRPr="006458C6">
        <w:rPr>
          <w:rFonts w:asciiTheme="minorHAnsi" w:hAnsiTheme="minorHAnsi"/>
          <w:bCs/>
          <w:sz w:val="16"/>
          <w:szCs w:val="16"/>
          <w:lang w:val="en-CA"/>
        </w:rPr>
        <w:t xml:space="preserve">d) 20,400 </w:t>
      </w:r>
      <w:r w:rsidRPr="006458C6">
        <w:rPr>
          <w:rFonts w:asciiTheme="minorHAnsi" w:hAnsiTheme="minorHAnsi"/>
          <w:bCs/>
          <w:sz w:val="16"/>
          <w:szCs w:val="16"/>
        </w:rPr>
        <w:t xml:space="preserve">men and women in communal and village forests (other than PAs and CAFs), </w:t>
      </w:r>
      <w:r w:rsidRPr="006458C6">
        <w:rPr>
          <w:rFonts w:asciiTheme="minorHAnsi" w:hAnsiTheme="minorHAnsi"/>
          <w:bCs/>
          <w:sz w:val="16"/>
          <w:szCs w:val="16"/>
          <w:lang w:val="en-CA"/>
        </w:rPr>
        <w:t xml:space="preserve">e) 200 </w:t>
      </w:r>
      <w:r w:rsidRPr="006458C6">
        <w:rPr>
          <w:rFonts w:asciiTheme="minorHAnsi" w:hAnsiTheme="minorHAnsi"/>
          <w:bCs/>
          <w:sz w:val="16"/>
          <w:szCs w:val="16"/>
        </w:rPr>
        <w:t xml:space="preserve">men and </w:t>
      </w:r>
      <w:r w:rsidRPr="006458C6">
        <w:rPr>
          <w:rFonts w:asciiTheme="minorHAnsi" w:hAnsiTheme="minorHAnsi"/>
          <w:bCs/>
          <w:sz w:val="16"/>
          <w:szCs w:val="16"/>
          <w:lang w:val="en-CA"/>
        </w:rPr>
        <w:t xml:space="preserve">620 </w:t>
      </w:r>
      <w:r w:rsidRPr="006458C6">
        <w:rPr>
          <w:rFonts w:asciiTheme="minorHAnsi" w:hAnsiTheme="minorHAnsi"/>
          <w:bCs/>
          <w:sz w:val="16"/>
          <w:szCs w:val="16"/>
        </w:rPr>
        <w:t>women in non-timber forest products value chains (</w:t>
      </w:r>
      <w:r w:rsidRPr="006458C6">
        <w:rPr>
          <w:rFonts w:asciiTheme="minorHAnsi" w:hAnsiTheme="minorHAnsi"/>
          <w:bCs/>
          <w:sz w:val="16"/>
          <w:szCs w:val="16"/>
          <w:lang w:val="en-CA"/>
        </w:rPr>
        <w:t xml:space="preserve">honey value chain: 200 men, 200 women; shea value chain: 300 women; </w:t>
      </w:r>
      <w:proofErr w:type="spellStart"/>
      <w:r w:rsidRPr="006458C6">
        <w:rPr>
          <w:rFonts w:asciiTheme="minorHAnsi" w:hAnsiTheme="minorHAnsi"/>
          <w:bCs/>
          <w:sz w:val="16"/>
          <w:szCs w:val="16"/>
          <w:lang w:val="en-CA"/>
        </w:rPr>
        <w:t>liane</w:t>
      </w:r>
      <w:proofErr w:type="spellEnd"/>
      <w:r w:rsidRPr="006458C6">
        <w:rPr>
          <w:rFonts w:asciiTheme="minorHAnsi" w:hAnsiTheme="minorHAnsi"/>
          <w:bCs/>
          <w:sz w:val="16"/>
          <w:szCs w:val="16"/>
          <w:lang w:val="en-CA"/>
        </w:rPr>
        <w:t xml:space="preserve"> </w:t>
      </w:r>
      <w:proofErr w:type="spellStart"/>
      <w:r w:rsidRPr="006458C6">
        <w:rPr>
          <w:rFonts w:asciiTheme="minorHAnsi" w:hAnsiTheme="minorHAnsi"/>
          <w:bCs/>
          <w:sz w:val="16"/>
          <w:szCs w:val="16"/>
          <w:lang w:val="en-CA"/>
        </w:rPr>
        <w:t>goïne</w:t>
      </w:r>
      <w:proofErr w:type="spellEnd"/>
      <w:r w:rsidRPr="006458C6">
        <w:rPr>
          <w:rFonts w:asciiTheme="minorHAnsi" w:hAnsiTheme="minorHAnsi"/>
          <w:bCs/>
          <w:sz w:val="16"/>
          <w:szCs w:val="16"/>
          <w:lang w:val="en-CA"/>
        </w:rPr>
        <w:t xml:space="preserve"> value chain: 120 women); f) 60 men and 140 women in tourism; g) 750 men and 750 women - paid work (opening of trails, opening and maintenance of firebreaks, management of early fires, rehabilitation of corridor # 2, etc.)</w:t>
      </w:r>
    </w:p>
  </w:footnote>
  <w:footnote w:id="12">
    <w:p w14:paraId="0508F7A4" w14:textId="77777777" w:rsidR="00ED1ADA" w:rsidRPr="006458C6" w:rsidRDefault="00ED1ADA" w:rsidP="00E6163D">
      <w:pPr>
        <w:pStyle w:val="Notedebasdepage"/>
        <w:spacing w:after="0"/>
        <w:rPr>
          <w:rFonts w:asciiTheme="minorHAnsi" w:hAnsiTheme="minorHAnsi"/>
          <w:sz w:val="16"/>
          <w:szCs w:val="16"/>
          <w:lang w:val="en-CA"/>
        </w:rPr>
      </w:pPr>
      <w:r w:rsidRPr="006458C6">
        <w:rPr>
          <w:rStyle w:val="Appelnotedebasdep"/>
          <w:rFonts w:asciiTheme="minorHAnsi" w:hAnsiTheme="minorHAnsi"/>
          <w:sz w:val="16"/>
          <w:szCs w:val="16"/>
        </w:rPr>
        <w:footnoteRef/>
      </w:r>
      <w:r w:rsidRPr="006458C6">
        <w:rPr>
          <w:rFonts w:asciiTheme="minorHAnsi" w:hAnsiTheme="minorHAnsi"/>
          <w:sz w:val="16"/>
          <w:szCs w:val="16"/>
        </w:rPr>
        <w:t xml:space="preserve"> </w:t>
      </w:r>
      <w:r w:rsidRPr="006458C6">
        <w:rPr>
          <w:rFonts w:asciiTheme="minorHAnsi" w:hAnsiTheme="minorHAnsi"/>
          <w:sz w:val="16"/>
          <w:szCs w:val="16"/>
          <w:lang w:val="en-GB"/>
        </w:rPr>
        <w:t xml:space="preserve">The household is defined as the basic socio-economic unit in which the different related or non-related members live in the same house or compound, pool their </w:t>
      </w:r>
      <w:proofErr w:type="gramStart"/>
      <w:r w:rsidRPr="006458C6">
        <w:rPr>
          <w:rFonts w:asciiTheme="minorHAnsi" w:hAnsiTheme="minorHAnsi"/>
          <w:sz w:val="16"/>
          <w:szCs w:val="16"/>
          <w:lang w:val="en-GB"/>
        </w:rPr>
        <w:t>resources</w:t>
      </w:r>
      <w:proofErr w:type="gramEnd"/>
      <w:r w:rsidRPr="006458C6">
        <w:rPr>
          <w:rFonts w:asciiTheme="minorHAnsi" w:hAnsiTheme="minorHAnsi"/>
          <w:sz w:val="16"/>
          <w:szCs w:val="16"/>
          <w:lang w:val="en-GB"/>
        </w:rPr>
        <w:t xml:space="preserve"> and satisfy most of their food and other vital needs under the authority of one person called head of household.</w:t>
      </w:r>
    </w:p>
  </w:footnote>
  <w:footnote w:id="13">
    <w:p w14:paraId="4410F8B0" w14:textId="03670429" w:rsidR="00ED1ADA" w:rsidRPr="006458C6" w:rsidRDefault="00ED1ADA" w:rsidP="00E6163D">
      <w:pPr>
        <w:pStyle w:val="Notedebasdepage"/>
        <w:spacing w:after="0"/>
        <w:rPr>
          <w:rFonts w:asciiTheme="minorHAnsi" w:hAnsiTheme="minorHAnsi"/>
          <w:sz w:val="16"/>
          <w:szCs w:val="16"/>
          <w:lang w:val="fr-CA"/>
        </w:rPr>
      </w:pPr>
      <w:r w:rsidRPr="006458C6">
        <w:rPr>
          <w:rStyle w:val="Appelnotedebasdep"/>
          <w:rFonts w:asciiTheme="minorHAnsi" w:hAnsiTheme="minorHAnsi"/>
          <w:sz w:val="16"/>
          <w:szCs w:val="16"/>
        </w:rPr>
        <w:footnoteRef/>
      </w:r>
      <w:r w:rsidRPr="00F9302E">
        <w:rPr>
          <w:rFonts w:asciiTheme="minorHAnsi" w:hAnsiTheme="minorHAnsi"/>
          <w:sz w:val="16"/>
          <w:szCs w:val="16"/>
          <w:lang w:val="pt-PT"/>
        </w:rPr>
        <w:t xml:space="preserve"> </w:t>
      </w:r>
      <w:r w:rsidRPr="00F9302E">
        <w:rPr>
          <w:rFonts w:asciiTheme="minorHAnsi" w:hAnsiTheme="minorHAnsi"/>
          <w:sz w:val="16"/>
          <w:szCs w:val="16"/>
          <w:lang w:val="pt-PT"/>
        </w:rPr>
        <w:t xml:space="preserve">Hema E.M., Barnes R.F.W., Guenda, W. (2010). </w:t>
      </w:r>
      <w:r w:rsidRPr="006458C6">
        <w:rPr>
          <w:rFonts w:asciiTheme="minorHAnsi" w:hAnsiTheme="minorHAnsi"/>
          <w:sz w:val="16"/>
          <w:szCs w:val="16"/>
          <w:lang w:val="en-CA"/>
        </w:rPr>
        <w:t>Distribution of savannah elephants (</w:t>
      </w:r>
      <w:r w:rsidRPr="0043123D">
        <w:rPr>
          <w:rFonts w:asciiTheme="minorHAnsi" w:hAnsiTheme="minorHAnsi"/>
          <w:i/>
          <w:sz w:val="16"/>
          <w:szCs w:val="16"/>
          <w:lang w:val="en-CA"/>
        </w:rPr>
        <w:t xml:space="preserve">Loxodonta </w:t>
      </w:r>
      <w:proofErr w:type="spellStart"/>
      <w:r w:rsidRPr="0043123D">
        <w:rPr>
          <w:rFonts w:asciiTheme="minorHAnsi" w:hAnsiTheme="minorHAnsi"/>
          <w:i/>
          <w:sz w:val="16"/>
          <w:szCs w:val="16"/>
          <w:lang w:val="en-CA"/>
        </w:rPr>
        <w:t>africana</w:t>
      </w:r>
      <w:proofErr w:type="spellEnd"/>
      <w:r w:rsidRPr="006458C6">
        <w:rPr>
          <w:rFonts w:asciiTheme="minorHAnsi" w:hAnsiTheme="minorHAnsi"/>
          <w:sz w:val="16"/>
          <w:szCs w:val="16"/>
          <w:lang w:val="en-CA"/>
        </w:rPr>
        <w:t xml:space="preserve"> Africana Blumenbach 1797) within </w:t>
      </w:r>
      <w:proofErr w:type="spellStart"/>
      <w:r w:rsidRPr="006458C6">
        <w:rPr>
          <w:rFonts w:asciiTheme="minorHAnsi" w:hAnsiTheme="minorHAnsi"/>
          <w:sz w:val="16"/>
          <w:szCs w:val="16"/>
          <w:lang w:val="en-CA"/>
        </w:rPr>
        <w:t>Nazinga</w:t>
      </w:r>
      <w:proofErr w:type="spellEnd"/>
      <w:r w:rsidRPr="006458C6">
        <w:rPr>
          <w:rFonts w:asciiTheme="minorHAnsi" w:hAnsiTheme="minorHAnsi"/>
          <w:sz w:val="16"/>
          <w:szCs w:val="16"/>
          <w:lang w:val="en-CA"/>
        </w:rPr>
        <w:t xml:space="preserve"> </w:t>
      </w:r>
      <w:r>
        <w:rPr>
          <w:rFonts w:asciiTheme="minorHAnsi" w:hAnsiTheme="minorHAnsi"/>
          <w:sz w:val="16"/>
          <w:szCs w:val="16"/>
          <w:lang w:val="en-CA"/>
        </w:rPr>
        <w:t>G</w:t>
      </w:r>
      <w:r w:rsidRPr="006458C6">
        <w:rPr>
          <w:rFonts w:asciiTheme="minorHAnsi" w:hAnsiTheme="minorHAnsi"/>
          <w:sz w:val="16"/>
          <w:szCs w:val="16"/>
          <w:lang w:val="en-CA"/>
        </w:rPr>
        <w:t xml:space="preserve">ame </w:t>
      </w:r>
      <w:r>
        <w:rPr>
          <w:rFonts w:asciiTheme="minorHAnsi" w:hAnsiTheme="minorHAnsi"/>
          <w:sz w:val="16"/>
          <w:szCs w:val="16"/>
          <w:lang w:val="en-CA"/>
        </w:rPr>
        <w:t>R</w:t>
      </w:r>
      <w:r w:rsidRPr="006458C6">
        <w:rPr>
          <w:rFonts w:asciiTheme="minorHAnsi" w:hAnsiTheme="minorHAnsi"/>
          <w:sz w:val="16"/>
          <w:szCs w:val="16"/>
          <w:lang w:val="en-CA"/>
        </w:rPr>
        <w:t xml:space="preserve">anch, southern Burkina Faso. </w:t>
      </w:r>
      <w:proofErr w:type="spellStart"/>
      <w:r w:rsidRPr="006458C6">
        <w:rPr>
          <w:rFonts w:asciiTheme="minorHAnsi" w:hAnsiTheme="minorHAnsi"/>
          <w:sz w:val="16"/>
          <w:szCs w:val="16"/>
          <w:lang w:val="fr-CA"/>
        </w:rPr>
        <w:t>African</w:t>
      </w:r>
      <w:proofErr w:type="spellEnd"/>
      <w:r w:rsidRPr="006458C6">
        <w:rPr>
          <w:rFonts w:asciiTheme="minorHAnsi" w:hAnsiTheme="minorHAnsi"/>
          <w:sz w:val="16"/>
          <w:szCs w:val="16"/>
          <w:lang w:val="fr-CA"/>
        </w:rPr>
        <w:t xml:space="preserve"> Journal of </w:t>
      </w:r>
      <w:proofErr w:type="spellStart"/>
      <w:r w:rsidRPr="006458C6">
        <w:rPr>
          <w:rFonts w:asciiTheme="minorHAnsi" w:hAnsiTheme="minorHAnsi"/>
          <w:sz w:val="16"/>
          <w:szCs w:val="16"/>
          <w:lang w:val="fr-CA"/>
        </w:rPr>
        <w:t>Ecology</w:t>
      </w:r>
      <w:proofErr w:type="spellEnd"/>
      <w:r w:rsidRPr="006458C6">
        <w:rPr>
          <w:rFonts w:asciiTheme="minorHAnsi" w:hAnsiTheme="minorHAnsi"/>
          <w:sz w:val="16"/>
          <w:szCs w:val="16"/>
          <w:lang w:val="fr-CA"/>
        </w:rPr>
        <w:t>, 49(2), 141–149</w:t>
      </w:r>
    </w:p>
  </w:footnote>
  <w:footnote w:id="14">
    <w:p w14:paraId="5A2154EC" w14:textId="77777777" w:rsidR="00ED1ADA" w:rsidRPr="006458C6" w:rsidRDefault="00ED1ADA" w:rsidP="00E6163D">
      <w:pPr>
        <w:pStyle w:val="Notedebasdepage"/>
        <w:spacing w:after="0"/>
        <w:rPr>
          <w:rFonts w:asciiTheme="minorHAnsi" w:hAnsiTheme="minorHAnsi"/>
          <w:sz w:val="16"/>
          <w:szCs w:val="16"/>
          <w:lang w:val="fr-CA"/>
        </w:rPr>
      </w:pPr>
      <w:r w:rsidRPr="006458C6">
        <w:rPr>
          <w:rStyle w:val="Appelnotedebasdep"/>
          <w:rFonts w:asciiTheme="minorHAnsi" w:hAnsiTheme="minorHAnsi"/>
          <w:sz w:val="16"/>
          <w:szCs w:val="16"/>
        </w:rPr>
        <w:footnoteRef/>
      </w:r>
      <w:r w:rsidRPr="006458C6">
        <w:rPr>
          <w:rFonts w:asciiTheme="minorHAnsi" w:hAnsiTheme="minorHAnsi"/>
          <w:sz w:val="16"/>
          <w:szCs w:val="16"/>
          <w:lang w:val="fr-CA"/>
        </w:rPr>
        <w:t xml:space="preserve"> Vermeulen C, Michaux J.F. (2007). Les populations riveraines du Ranch de </w:t>
      </w:r>
      <w:proofErr w:type="spellStart"/>
      <w:r w:rsidRPr="006458C6">
        <w:rPr>
          <w:rFonts w:asciiTheme="minorHAnsi" w:hAnsiTheme="minorHAnsi"/>
          <w:sz w:val="16"/>
          <w:szCs w:val="16"/>
          <w:lang w:val="fr-CA"/>
        </w:rPr>
        <w:t>Nazinga</w:t>
      </w:r>
      <w:proofErr w:type="spellEnd"/>
      <w:r w:rsidRPr="006458C6">
        <w:rPr>
          <w:rFonts w:asciiTheme="minorHAnsi" w:hAnsiTheme="minorHAnsi"/>
          <w:sz w:val="16"/>
          <w:szCs w:val="16"/>
          <w:lang w:val="fr-CA"/>
        </w:rPr>
        <w:t xml:space="preserve">: anthropologie politique, aménagement des terroirs et zones villageoises de chasse. In: W. </w:t>
      </w:r>
      <w:proofErr w:type="spellStart"/>
      <w:r w:rsidRPr="006458C6">
        <w:rPr>
          <w:rFonts w:asciiTheme="minorHAnsi" w:hAnsiTheme="minorHAnsi"/>
          <w:sz w:val="16"/>
          <w:szCs w:val="16"/>
          <w:lang w:val="fr-CA"/>
        </w:rPr>
        <w:t>Delvingt</w:t>
      </w:r>
      <w:proofErr w:type="spellEnd"/>
      <w:r w:rsidRPr="006458C6">
        <w:rPr>
          <w:rFonts w:asciiTheme="minorHAnsi" w:hAnsiTheme="minorHAnsi"/>
          <w:sz w:val="16"/>
          <w:szCs w:val="16"/>
          <w:lang w:val="fr-CA"/>
        </w:rPr>
        <w:t xml:space="preserve"> &amp; C. Vermeulen (</w:t>
      </w:r>
      <w:proofErr w:type="spellStart"/>
      <w:r w:rsidRPr="006458C6">
        <w:rPr>
          <w:rFonts w:asciiTheme="minorHAnsi" w:hAnsiTheme="minorHAnsi"/>
          <w:sz w:val="16"/>
          <w:szCs w:val="16"/>
          <w:lang w:val="fr-CA"/>
        </w:rPr>
        <w:t>Eds</w:t>
      </w:r>
      <w:proofErr w:type="spellEnd"/>
      <w:r w:rsidRPr="006458C6">
        <w:rPr>
          <w:rFonts w:asciiTheme="minorHAnsi" w:hAnsiTheme="minorHAnsi"/>
          <w:sz w:val="16"/>
          <w:szCs w:val="16"/>
          <w:lang w:val="fr-CA"/>
        </w:rPr>
        <w:t xml:space="preserve">.), </w:t>
      </w:r>
      <w:proofErr w:type="spellStart"/>
      <w:r w:rsidRPr="006458C6">
        <w:rPr>
          <w:rFonts w:asciiTheme="minorHAnsi" w:hAnsiTheme="minorHAnsi"/>
          <w:sz w:val="16"/>
          <w:szCs w:val="16"/>
          <w:lang w:val="fr-CA"/>
        </w:rPr>
        <w:t>Nazinga</w:t>
      </w:r>
      <w:proofErr w:type="spellEnd"/>
      <w:r w:rsidRPr="006458C6">
        <w:rPr>
          <w:rFonts w:asciiTheme="minorHAnsi" w:hAnsiTheme="minorHAnsi"/>
          <w:sz w:val="16"/>
          <w:szCs w:val="16"/>
          <w:lang w:val="fr-CA"/>
        </w:rPr>
        <w:t xml:space="preserve">. Région Wallonne, Presse Agronomique de Gembloux, Nature+, APEFE, </w:t>
      </w:r>
      <w:proofErr w:type="gramStart"/>
      <w:r w:rsidRPr="006458C6">
        <w:rPr>
          <w:rFonts w:asciiTheme="minorHAnsi" w:hAnsiTheme="minorHAnsi"/>
          <w:sz w:val="16"/>
          <w:szCs w:val="16"/>
          <w:lang w:val="fr-CA"/>
        </w:rPr>
        <w:t>Ministère de l’Environnement</w:t>
      </w:r>
      <w:proofErr w:type="gramEnd"/>
      <w:r w:rsidRPr="006458C6">
        <w:rPr>
          <w:rFonts w:asciiTheme="minorHAnsi" w:hAnsiTheme="minorHAnsi"/>
          <w:sz w:val="16"/>
          <w:szCs w:val="16"/>
          <w:lang w:val="fr-CA"/>
        </w:rPr>
        <w:t xml:space="preserve"> et du Cadre de Vie (Burkina Faso), Gembloux and Ouagadougou.</w:t>
      </w:r>
    </w:p>
  </w:footnote>
  <w:footnote w:id="15">
    <w:p w14:paraId="4BC3CB88" w14:textId="77777777" w:rsidR="00ED1ADA" w:rsidRPr="006458C6" w:rsidRDefault="00ED1ADA" w:rsidP="00E6163D">
      <w:pPr>
        <w:pStyle w:val="Notedebasdepage"/>
        <w:spacing w:after="0"/>
        <w:rPr>
          <w:rFonts w:asciiTheme="minorHAnsi" w:hAnsiTheme="minorHAnsi"/>
          <w:sz w:val="16"/>
          <w:szCs w:val="16"/>
        </w:rPr>
      </w:pPr>
      <w:r w:rsidRPr="006458C6">
        <w:rPr>
          <w:rStyle w:val="Appelnotedebasdep"/>
          <w:rFonts w:asciiTheme="minorHAnsi" w:hAnsiTheme="minorHAnsi"/>
          <w:sz w:val="16"/>
          <w:szCs w:val="16"/>
        </w:rPr>
        <w:footnoteRef/>
      </w:r>
      <w:r w:rsidRPr="006458C6">
        <w:rPr>
          <w:rFonts w:asciiTheme="minorHAnsi" w:hAnsiTheme="minorHAnsi"/>
          <w:sz w:val="16"/>
          <w:szCs w:val="16"/>
        </w:rPr>
        <w:t xml:space="preserve"> MEGECC, 2014</w:t>
      </w:r>
    </w:p>
  </w:footnote>
  <w:footnote w:id="16">
    <w:p w14:paraId="31640C87" w14:textId="77777777" w:rsidR="00ED1ADA" w:rsidRPr="007E21F2" w:rsidRDefault="00ED1ADA" w:rsidP="00302BFE">
      <w:pPr>
        <w:pStyle w:val="Notedebasdepage"/>
        <w:spacing w:after="0"/>
        <w:rPr>
          <w:rFonts w:ascii="Calibri" w:hAnsi="Calibri"/>
          <w:sz w:val="16"/>
          <w:szCs w:val="16"/>
        </w:rPr>
      </w:pPr>
      <w:r>
        <w:rPr>
          <w:rStyle w:val="Appelnotedebasdep"/>
          <w:rFonts w:ascii="Calibri" w:hAnsi="Calibri"/>
          <w:sz w:val="16"/>
          <w:szCs w:val="16"/>
        </w:rPr>
        <w:footnoteRef/>
      </w:r>
      <w:r w:rsidRPr="007E21F2">
        <w:rPr>
          <w:rFonts w:ascii="Calibri" w:hAnsi="Calibri"/>
          <w:sz w:val="16"/>
          <w:szCs w:val="16"/>
        </w:rPr>
        <w:t xml:space="preserve"> Forests and Wildlife Directorate, 2013. Socio-economic study on the contribution of protected areas to the socio-economic development of local populations.</w:t>
      </w:r>
    </w:p>
  </w:footnote>
  <w:footnote w:id="17">
    <w:p w14:paraId="66417500" w14:textId="77777777" w:rsidR="00ED1ADA" w:rsidRPr="00901D84" w:rsidRDefault="00ED1ADA" w:rsidP="00302BFE">
      <w:pPr>
        <w:pStyle w:val="Notedebasdepage"/>
        <w:spacing w:after="0"/>
        <w:rPr>
          <w:rFonts w:asciiTheme="minorHAnsi" w:hAnsiTheme="minorHAnsi"/>
          <w:lang w:val="fr-CA"/>
        </w:rPr>
      </w:pPr>
      <w:r w:rsidRPr="00901D84">
        <w:rPr>
          <w:rStyle w:val="Appelnotedebasdep"/>
          <w:rFonts w:asciiTheme="minorHAnsi" w:hAnsiTheme="minorHAnsi"/>
        </w:rPr>
        <w:footnoteRef/>
      </w:r>
      <w:r w:rsidRPr="00901D84">
        <w:rPr>
          <w:rFonts w:asciiTheme="minorHAnsi" w:hAnsiTheme="minorHAnsi"/>
          <w:lang w:val="fr-CA"/>
        </w:rPr>
        <w:t xml:space="preserve"> </w:t>
      </w:r>
      <w:r w:rsidRPr="00901D84">
        <w:rPr>
          <w:rFonts w:asciiTheme="minorHAnsi" w:hAnsiTheme="minorHAnsi"/>
          <w:sz w:val="16"/>
          <w:szCs w:val="16"/>
          <w:lang w:val="fr-CA"/>
        </w:rPr>
        <w:t xml:space="preserve">NIKIEMA B. 2008. Gestion participative des ressources naturelles des Zones Villageoises d'Intérêt Cynégétiques (ZOVIC) autour du Ranch de Gibier de </w:t>
      </w:r>
      <w:proofErr w:type="spellStart"/>
      <w:r w:rsidRPr="00901D84">
        <w:rPr>
          <w:rFonts w:asciiTheme="minorHAnsi" w:hAnsiTheme="minorHAnsi"/>
          <w:sz w:val="16"/>
          <w:szCs w:val="16"/>
          <w:lang w:val="fr-CA"/>
        </w:rPr>
        <w:t>Nazinga</w:t>
      </w:r>
      <w:proofErr w:type="spellEnd"/>
      <w:r w:rsidRPr="00901D84">
        <w:rPr>
          <w:rFonts w:asciiTheme="minorHAnsi" w:hAnsiTheme="minorHAnsi"/>
          <w:sz w:val="16"/>
          <w:szCs w:val="16"/>
          <w:lang w:val="fr-CA"/>
        </w:rPr>
        <w:t xml:space="preserve"> au BURKINA FASO. Cas des ZOVIC de </w:t>
      </w:r>
      <w:proofErr w:type="spellStart"/>
      <w:r w:rsidRPr="00901D84">
        <w:rPr>
          <w:rFonts w:asciiTheme="minorHAnsi" w:hAnsiTheme="minorHAnsi"/>
          <w:sz w:val="16"/>
          <w:szCs w:val="16"/>
          <w:lang w:val="fr-CA"/>
        </w:rPr>
        <w:t>Koumbili</w:t>
      </w:r>
      <w:proofErr w:type="spellEnd"/>
      <w:r w:rsidRPr="00901D84">
        <w:rPr>
          <w:rFonts w:asciiTheme="minorHAnsi" w:hAnsiTheme="minorHAnsi"/>
          <w:sz w:val="16"/>
          <w:szCs w:val="16"/>
          <w:lang w:val="fr-CA"/>
        </w:rPr>
        <w:t xml:space="preserve"> et de </w:t>
      </w:r>
      <w:proofErr w:type="spellStart"/>
      <w:r w:rsidRPr="00901D84">
        <w:rPr>
          <w:rFonts w:asciiTheme="minorHAnsi" w:hAnsiTheme="minorHAnsi"/>
          <w:sz w:val="16"/>
          <w:szCs w:val="16"/>
          <w:lang w:val="fr-CA"/>
        </w:rPr>
        <w:t>Kontioro</w:t>
      </w:r>
      <w:proofErr w:type="spellEnd"/>
      <w:r w:rsidRPr="00901D84">
        <w:rPr>
          <w:rFonts w:asciiTheme="minorHAnsi" w:hAnsiTheme="minorHAnsi"/>
          <w:sz w:val="16"/>
          <w:szCs w:val="16"/>
          <w:lang w:val="fr-CA"/>
        </w:rPr>
        <w:t>. MÉMOIRE. Université Polytechnique de Bobo-Dioulasso, Institut du Développement Rural.</w:t>
      </w:r>
    </w:p>
  </w:footnote>
  <w:footnote w:id="18">
    <w:p w14:paraId="0D481DB3" w14:textId="77777777" w:rsidR="00ED1ADA" w:rsidRPr="00D27B19" w:rsidRDefault="00ED1ADA" w:rsidP="00187640">
      <w:pPr>
        <w:pStyle w:val="Notedebasdepage"/>
        <w:spacing w:after="0"/>
        <w:rPr>
          <w:rFonts w:ascii="Calibri" w:hAnsi="Calibri"/>
          <w:sz w:val="16"/>
          <w:szCs w:val="16"/>
          <w:lang w:val="fr-CA"/>
        </w:rPr>
      </w:pPr>
      <w:r>
        <w:rPr>
          <w:rStyle w:val="Appelnotedebasdep"/>
        </w:rPr>
        <w:footnoteRef/>
      </w:r>
      <w:r>
        <w:t xml:space="preserve"> </w:t>
      </w:r>
      <w:r w:rsidRPr="00421F87">
        <w:rPr>
          <w:rFonts w:ascii="Calibri" w:hAnsi="Calibri"/>
          <w:sz w:val="16"/>
          <w:szCs w:val="16"/>
          <w:lang w:val="en-CA"/>
        </w:rPr>
        <w:t xml:space="preserve">Bouché P., Lejeune P., Bailly V., </w:t>
      </w:r>
      <w:proofErr w:type="spellStart"/>
      <w:r w:rsidRPr="00421F87">
        <w:rPr>
          <w:rFonts w:ascii="Calibri" w:hAnsi="Calibri"/>
          <w:sz w:val="16"/>
          <w:szCs w:val="16"/>
          <w:lang w:val="en-CA"/>
        </w:rPr>
        <w:t>Muyle</w:t>
      </w:r>
      <w:proofErr w:type="spellEnd"/>
      <w:r w:rsidRPr="00421F87">
        <w:rPr>
          <w:rFonts w:ascii="Calibri" w:hAnsi="Calibri"/>
          <w:sz w:val="16"/>
          <w:szCs w:val="16"/>
          <w:lang w:val="en-CA"/>
        </w:rPr>
        <w:t xml:space="preserve"> M., </w:t>
      </w:r>
      <w:proofErr w:type="spellStart"/>
      <w:r w:rsidRPr="00421F87">
        <w:rPr>
          <w:rFonts w:ascii="Calibri" w:hAnsi="Calibri"/>
          <w:sz w:val="16"/>
          <w:szCs w:val="16"/>
          <w:lang w:val="en-CA"/>
        </w:rPr>
        <w:t>Zinque</w:t>
      </w:r>
      <w:proofErr w:type="spellEnd"/>
      <w:r w:rsidRPr="00421F87">
        <w:rPr>
          <w:rFonts w:ascii="Calibri" w:hAnsi="Calibri"/>
          <w:sz w:val="16"/>
          <w:szCs w:val="16"/>
          <w:lang w:val="en-CA"/>
        </w:rPr>
        <w:t xml:space="preserve"> M.H., Mercier A., </w:t>
      </w:r>
      <w:proofErr w:type="spellStart"/>
      <w:r w:rsidRPr="00421F87">
        <w:rPr>
          <w:rFonts w:ascii="Calibri" w:hAnsi="Calibri"/>
          <w:sz w:val="16"/>
          <w:szCs w:val="16"/>
          <w:lang w:val="en-CA"/>
        </w:rPr>
        <w:t>Cornélis</w:t>
      </w:r>
      <w:proofErr w:type="spellEnd"/>
      <w:r w:rsidRPr="00421F87">
        <w:rPr>
          <w:rFonts w:ascii="Calibri" w:hAnsi="Calibri"/>
          <w:sz w:val="16"/>
          <w:szCs w:val="16"/>
          <w:lang w:val="en-CA"/>
        </w:rPr>
        <w:t xml:space="preserve"> D., Lungren C., Portier B., </w:t>
      </w:r>
      <w:proofErr w:type="spellStart"/>
      <w:r w:rsidRPr="00421F87">
        <w:rPr>
          <w:rFonts w:ascii="Calibri" w:hAnsi="Calibri"/>
          <w:sz w:val="16"/>
          <w:szCs w:val="16"/>
          <w:lang w:val="en-CA"/>
        </w:rPr>
        <w:t>Marchal</w:t>
      </w:r>
      <w:proofErr w:type="spellEnd"/>
      <w:r w:rsidRPr="00421F87">
        <w:rPr>
          <w:rFonts w:ascii="Calibri" w:hAnsi="Calibri"/>
          <w:sz w:val="16"/>
          <w:szCs w:val="16"/>
          <w:lang w:val="en-CA"/>
        </w:rPr>
        <w:t xml:space="preserve"> A., Renault F., Yaméogo D., Kafando P., Sawadogo </w:t>
      </w:r>
      <w:proofErr w:type="spellStart"/>
      <w:r w:rsidRPr="00421F87">
        <w:rPr>
          <w:rFonts w:ascii="Calibri" w:hAnsi="Calibri"/>
          <w:sz w:val="16"/>
          <w:szCs w:val="16"/>
          <w:lang w:val="en-CA"/>
        </w:rPr>
        <w:t>P.and</w:t>
      </w:r>
      <w:proofErr w:type="spellEnd"/>
      <w:r w:rsidRPr="00421F87">
        <w:rPr>
          <w:rFonts w:ascii="Calibri" w:hAnsi="Calibri"/>
          <w:sz w:val="16"/>
          <w:szCs w:val="16"/>
          <w:lang w:val="en-CA"/>
        </w:rPr>
        <w:t xml:space="preserve"> C. Vermeulen (2016) Conserving wildlife amongst the cotton fields. A third of a century of experience at the </w:t>
      </w:r>
      <w:proofErr w:type="spellStart"/>
      <w:r w:rsidRPr="00421F87">
        <w:rPr>
          <w:rFonts w:ascii="Calibri" w:hAnsi="Calibri"/>
          <w:sz w:val="16"/>
          <w:szCs w:val="16"/>
          <w:lang w:val="en-CA"/>
        </w:rPr>
        <w:t>Nazinga</w:t>
      </w:r>
      <w:proofErr w:type="spellEnd"/>
      <w:r w:rsidRPr="00421F87">
        <w:rPr>
          <w:rFonts w:ascii="Calibri" w:hAnsi="Calibri"/>
          <w:sz w:val="16"/>
          <w:szCs w:val="16"/>
          <w:lang w:val="en-CA"/>
        </w:rPr>
        <w:t xml:space="preserve"> Game Ranch, Burkina Faso. </w:t>
      </w:r>
      <w:r w:rsidRPr="00D27B19">
        <w:rPr>
          <w:rFonts w:ascii="Calibri" w:hAnsi="Calibri"/>
          <w:sz w:val="16"/>
          <w:szCs w:val="16"/>
          <w:lang w:val="fr-CA"/>
        </w:rPr>
        <w:t xml:space="preserve">Environ. </w:t>
      </w:r>
      <w:proofErr w:type="spellStart"/>
      <w:r w:rsidRPr="00D27B19">
        <w:rPr>
          <w:rFonts w:ascii="Calibri" w:hAnsi="Calibri"/>
          <w:sz w:val="16"/>
          <w:szCs w:val="16"/>
          <w:lang w:val="fr-CA"/>
        </w:rPr>
        <w:t>Monit</w:t>
      </w:r>
      <w:proofErr w:type="spellEnd"/>
      <w:r w:rsidRPr="00D27B19">
        <w:rPr>
          <w:rFonts w:ascii="Calibri" w:hAnsi="Calibri"/>
          <w:sz w:val="16"/>
          <w:szCs w:val="16"/>
          <w:lang w:val="fr-CA"/>
        </w:rPr>
        <w:t xml:space="preserve">. </w:t>
      </w:r>
      <w:proofErr w:type="spellStart"/>
      <w:r w:rsidRPr="00D27B19">
        <w:rPr>
          <w:rFonts w:ascii="Calibri" w:hAnsi="Calibri"/>
          <w:sz w:val="16"/>
          <w:szCs w:val="16"/>
          <w:lang w:val="fr-CA"/>
        </w:rPr>
        <w:t>Assess</w:t>
      </w:r>
      <w:proofErr w:type="spellEnd"/>
      <w:r w:rsidRPr="00D27B19">
        <w:rPr>
          <w:rFonts w:ascii="Calibri" w:hAnsi="Calibri"/>
          <w:sz w:val="16"/>
          <w:szCs w:val="16"/>
          <w:lang w:val="fr-CA"/>
        </w:rPr>
        <w:t>. DOI 10.1007/s10661-016-5388-y.</w:t>
      </w:r>
    </w:p>
  </w:footnote>
  <w:footnote w:id="19">
    <w:p w14:paraId="378F2C45" w14:textId="77777777" w:rsidR="00ED1ADA" w:rsidRPr="00FF5454" w:rsidRDefault="00ED1ADA" w:rsidP="00E825E9">
      <w:pPr>
        <w:autoSpaceDE w:val="0"/>
        <w:autoSpaceDN w:val="0"/>
        <w:adjustRightInd w:val="0"/>
        <w:spacing w:after="0"/>
        <w:rPr>
          <w:sz w:val="16"/>
          <w:szCs w:val="16"/>
          <w:lang w:val="fr-CA"/>
        </w:rPr>
      </w:pPr>
      <w:r w:rsidRPr="00D61C93">
        <w:rPr>
          <w:rStyle w:val="Appelnotedebasdep"/>
          <w:sz w:val="16"/>
          <w:szCs w:val="16"/>
        </w:rPr>
        <w:footnoteRef/>
      </w:r>
      <w:r w:rsidRPr="00D61C93">
        <w:rPr>
          <w:sz w:val="16"/>
          <w:szCs w:val="16"/>
          <w:lang w:val="fr-CA"/>
        </w:rPr>
        <w:t xml:space="preserve"> Vermeulen and Michaux. 2007. </w:t>
      </w:r>
      <w:r w:rsidRPr="00D61C93">
        <w:rPr>
          <w:rFonts w:cs="AdvTT3713a231"/>
          <w:color w:val="131413"/>
          <w:sz w:val="16"/>
          <w:szCs w:val="16"/>
          <w:lang w:val="fr-CA"/>
        </w:rPr>
        <w:t xml:space="preserve">Les populations riveraines du Ranch de </w:t>
      </w:r>
      <w:proofErr w:type="spellStart"/>
      <w:r w:rsidRPr="00D61C93">
        <w:rPr>
          <w:rFonts w:cs="AdvTT3713a231"/>
          <w:color w:val="131413"/>
          <w:sz w:val="16"/>
          <w:szCs w:val="16"/>
          <w:lang w:val="fr-CA"/>
        </w:rPr>
        <w:t>Nazinga</w:t>
      </w:r>
      <w:proofErr w:type="spellEnd"/>
      <w:r w:rsidRPr="00D61C93">
        <w:rPr>
          <w:rFonts w:cs="AdvTT3713a231"/>
          <w:color w:val="131413"/>
          <w:sz w:val="16"/>
          <w:szCs w:val="16"/>
          <w:lang w:val="fr-CA"/>
        </w:rPr>
        <w:t xml:space="preserve">: anthropologie politique, aménagement des terroirs et zones villageoises de chasse. </w:t>
      </w:r>
      <w:proofErr w:type="spellStart"/>
      <w:proofErr w:type="gramStart"/>
      <w:r w:rsidRPr="00D61C93">
        <w:rPr>
          <w:rFonts w:cs="AdvTT3713a231"/>
          <w:color w:val="131413"/>
          <w:sz w:val="16"/>
          <w:szCs w:val="16"/>
          <w:lang w:val="fr-CA"/>
        </w:rPr>
        <w:t>In:W</w:t>
      </w:r>
      <w:proofErr w:type="spellEnd"/>
      <w:r w:rsidRPr="00D61C93">
        <w:rPr>
          <w:rFonts w:cs="AdvTT3713a231"/>
          <w:color w:val="131413"/>
          <w:sz w:val="16"/>
          <w:szCs w:val="16"/>
          <w:lang w:val="fr-CA"/>
        </w:rPr>
        <w:t>.</w:t>
      </w:r>
      <w:proofErr w:type="gramEnd"/>
      <w:r w:rsidRPr="00D61C93">
        <w:rPr>
          <w:rFonts w:cs="AdvTT3713a231"/>
          <w:color w:val="131413"/>
          <w:sz w:val="16"/>
          <w:szCs w:val="16"/>
          <w:lang w:val="fr-CA"/>
        </w:rPr>
        <w:t xml:space="preserve"> </w:t>
      </w:r>
      <w:proofErr w:type="spellStart"/>
      <w:r w:rsidRPr="00D61C93">
        <w:rPr>
          <w:rFonts w:cs="AdvTT3713a231"/>
          <w:color w:val="131413"/>
          <w:sz w:val="16"/>
          <w:szCs w:val="16"/>
          <w:lang w:val="fr-CA"/>
        </w:rPr>
        <w:t>Delvingt</w:t>
      </w:r>
      <w:proofErr w:type="spellEnd"/>
      <w:r w:rsidRPr="00D61C93">
        <w:rPr>
          <w:rFonts w:cs="AdvTT3713a231"/>
          <w:color w:val="131413"/>
          <w:sz w:val="16"/>
          <w:szCs w:val="16"/>
          <w:lang w:val="fr-CA"/>
        </w:rPr>
        <w:t xml:space="preserve"> &amp; C. Vermeulen (</w:t>
      </w:r>
      <w:proofErr w:type="spellStart"/>
      <w:r w:rsidRPr="00D61C93">
        <w:rPr>
          <w:rFonts w:cs="AdvTT3713a231"/>
          <w:color w:val="131413"/>
          <w:sz w:val="16"/>
          <w:szCs w:val="16"/>
          <w:lang w:val="fr-CA"/>
        </w:rPr>
        <w:t>Eds</w:t>
      </w:r>
      <w:proofErr w:type="spellEnd"/>
      <w:r w:rsidRPr="00D61C93">
        <w:rPr>
          <w:rFonts w:cs="AdvTT3713a231"/>
          <w:color w:val="131413"/>
          <w:sz w:val="16"/>
          <w:szCs w:val="16"/>
          <w:lang w:val="fr-CA"/>
        </w:rPr>
        <w:t xml:space="preserve">.), </w:t>
      </w:r>
      <w:proofErr w:type="spellStart"/>
      <w:r w:rsidRPr="00D61C93">
        <w:rPr>
          <w:rFonts w:cs="AdvTT3713a231"/>
          <w:color w:val="131413"/>
          <w:sz w:val="16"/>
          <w:szCs w:val="16"/>
          <w:lang w:val="fr-CA"/>
        </w:rPr>
        <w:t>Nazinga</w:t>
      </w:r>
      <w:proofErr w:type="spellEnd"/>
      <w:r w:rsidRPr="00D61C93">
        <w:rPr>
          <w:rFonts w:cs="AdvTT3713a231"/>
          <w:color w:val="131413"/>
          <w:sz w:val="16"/>
          <w:szCs w:val="16"/>
          <w:lang w:val="fr-CA"/>
        </w:rPr>
        <w:t>.</w:t>
      </w:r>
    </w:p>
  </w:footnote>
  <w:footnote w:id="20">
    <w:p w14:paraId="434BC84E" w14:textId="77777777" w:rsidR="00ED1ADA" w:rsidRPr="00243B15" w:rsidRDefault="00ED1ADA" w:rsidP="00243B15">
      <w:pPr>
        <w:autoSpaceDE w:val="0"/>
        <w:autoSpaceDN w:val="0"/>
        <w:adjustRightInd w:val="0"/>
        <w:spacing w:after="0"/>
        <w:jc w:val="left"/>
        <w:rPr>
          <w:sz w:val="16"/>
          <w:szCs w:val="16"/>
          <w:lang w:val="fr-CA"/>
        </w:rPr>
      </w:pPr>
      <w:r w:rsidRPr="00243B15">
        <w:rPr>
          <w:rStyle w:val="Appelnotedebasdep"/>
          <w:rFonts w:ascii="Calibri" w:hAnsi="Calibri"/>
          <w:sz w:val="16"/>
          <w:szCs w:val="16"/>
        </w:rPr>
        <w:footnoteRef/>
      </w:r>
      <w:r w:rsidRPr="00243B15">
        <w:rPr>
          <w:sz w:val="16"/>
          <w:szCs w:val="16"/>
          <w:lang w:val="fr-CA"/>
        </w:rPr>
        <w:t xml:space="preserve"> </w:t>
      </w:r>
      <w:r w:rsidRPr="00243B15">
        <w:rPr>
          <w:rFonts w:eastAsiaTheme="minorHAnsi" w:cs="Roboto-Light"/>
          <w:sz w:val="16"/>
          <w:szCs w:val="16"/>
          <w:lang w:val="fr-CA"/>
        </w:rPr>
        <w:t xml:space="preserve">Boukary O. 2009. « Aménagement forestier et lutte contre la pauvreté au Burkina Faso » </w:t>
      </w:r>
      <w:r w:rsidRPr="00243B15">
        <w:rPr>
          <w:rFonts w:eastAsiaTheme="minorHAnsi" w:cs="Roboto-LightItalic"/>
          <w:i/>
          <w:iCs/>
          <w:sz w:val="16"/>
          <w:szCs w:val="16"/>
          <w:lang w:val="fr-CA"/>
        </w:rPr>
        <w:t xml:space="preserve">Développement durable et territoires </w:t>
      </w:r>
      <w:r w:rsidRPr="00243B15">
        <w:rPr>
          <w:rFonts w:eastAsiaTheme="minorHAnsi" w:cs="Roboto-Light"/>
          <w:sz w:val="16"/>
          <w:szCs w:val="16"/>
          <w:lang w:val="fr-CA"/>
        </w:rPr>
        <w:t>[, Varia (2004-2010), http://journals.openedition.org/developpementdurable/8215 ; DOI : 10.4000/developpementdurable.8215</w:t>
      </w:r>
    </w:p>
  </w:footnote>
  <w:footnote w:id="21">
    <w:p w14:paraId="4D503B2A" w14:textId="77777777" w:rsidR="00ED1ADA" w:rsidRPr="00243B15" w:rsidRDefault="00ED1ADA" w:rsidP="00243B15">
      <w:pPr>
        <w:autoSpaceDE w:val="0"/>
        <w:autoSpaceDN w:val="0"/>
        <w:adjustRightInd w:val="0"/>
        <w:spacing w:after="0"/>
        <w:jc w:val="left"/>
        <w:rPr>
          <w:rFonts w:asciiTheme="minorHAnsi" w:eastAsiaTheme="minorHAnsi" w:hAnsiTheme="minorHAnsi" w:cs="LMRoman10-Regular-Identity-H"/>
          <w:sz w:val="16"/>
          <w:szCs w:val="16"/>
          <w:lang w:val="fr-CA"/>
        </w:rPr>
      </w:pPr>
      <w:r w:rsidRPr="00243B15">
        <w:rPr>
          <w:rStyle w:val="Appelnotedebasdep"/>
          <w:rFonts w:asciiTheme="minorHAnsi" w:hAnsiTheme="minorHAnsi"/>
          <w:sz w:val="16"/>
          <w:szCs w:val="16"/>
        </w:rPr>
        <w:footnoteRef/>
      </w:r>
      <w:r w:rsidRPr="00243B15">
        <w:rPr>
          <w:rFonts w:asciiTheme="minorHAnsi" w:hAnsiTheme="minorHAnsi"/>
          <w:sz w:val="16"/>
          <w:szCs w:val="16"/>
          <w:lang w:val="fr-CA"/>
        </w:rPr>
        <w:t xml:space="preserve"> </w:t>
      </w:r>
      <w:r w:rsidRPr="00243B15">
        <w:rPr>
          <w:rFonts w:asciiTheme="minorHAnsi" w:eastAsiaTheme="minorHAnsi" w:hAnsiTheme="minorHAnsi" w:cs="LMRoman10-Regular-Identity-H"/>
          <w:sz w:val="16"/>
          <w:szCs w:val="16"/>
          <w:lang w:val="fr-CA"/>
        </w:rPr>
        <w:t>Gautier</w:t>
      </w:r>
      <w:r>
        <w:rPr>
          <w:rFonts w:asciiTheme="minorHAnsi" w:eastAsiaTheme="minorHAnsi" w:hAnsiTheme="minorHAnsi" w:cs="LMRoman10-Regular-Identity-H"/>
          <w:sz w:val="16"/>
          <w:szCs w:val="16"/>
          <w:lang w:val="fr-CA"/>
        </w:rPr>
        <w:t xml:space="preserve"> D.</w:t>
      </w:r>
      <w:r w:rsidRPr="00243B15">
        <w:rPr>
          <w:rFonts w:asciiTheme="minorHAnsi" w:eastAsiaTheme="minorHAnsi" w:hAnsiTheme="minorHAnsi" w:cs="LMRoman10-Regular-Identity-H"/>
          <w:sz w:val="16"/>
          <w:szCs w:val="16"/>
          <w:lang w:val="fr-CA"/>
        </w:rPr>
        <w:t>, A</w:t>
      </w:r>
      <w:r>
        <w:rPr>
          <w:rFonts w:asciiTheme="minorHAnsi" w:eastAsiaTheme="minorHAnsi" w:hAnsiTheme="minorHAnsi" w:cs="LMRoman10-Regular-Identity-H"/>
          <w:sz w:val="16"/>
          <w:szCs w:val="16"/>
          <w:lang w:val="fr-CA"/>
        </w:rPr>
        <w:t>.</w:t>
      </w:r>
      <w:r w:rsidRPr="00243B15">
        <w:rPr>
          <w:rFonts w:asciiTheme="minorHAnsi" w:eastAsiaTheme="minorHAnsi" w:hAnsiTheme="minorHAnsi" w:cs="LMRoman10-Regular-Identity-H"/>
          <w:sz w:val="16"/>
          <w:szCs w:val="16"/>
          <w:lang w:val="fr-CA"/>
        </w:rPr>
        <w:t xml:space="preserve"> Compaoré. </w:t>
      </w:r>
      <w:r>
        <w:rPr>
          <w:rFonts w:asciiTheme="minorHAnsi" w:eastAsiaTheme="minorHAnsi" w:hAnsiTheme="minorHAnsi" w:cs="LMRoman10-Regular-Identity-H"/>
          <w:sz w:val="16"/>
          <w:szCs w:val="16"/>
          <w:lang w:val="fr-CA"/>
        </w:rPr>
        <w:t xml:space="preserve">2006. </w:t>
      </w:r>
      <w:r w:rsidRPr="00243B15">
        <w:rPr>
          <w:rFonts w:asciiTheme="minorHAnsi" w:eastAsiaTheme="minorHAnsi" w:hAnsiTheme="minorHAnsi" w:cs="LMRoman10-Regular-Identity-H"/>
          <w:sz w:val="16"/>
          <w:szCs w:val="16"/>
          <w:lang w:val="fr-CA"/>
        </w:rPr>
        <w:t>Les populations locales face aux normes d’aménagement forestier en Afrique de l’Ouest. Mise en débat à partir du cas du Burkina Faso et du Mali. pp.63.</w:t>
      </w:r>
    </w:p>
  </w:footnote>
  <w:footnote w:id="22">
    <w:p w14:paraId="19FAAA81" w14:textId="77777777" w:rsidR="00ED1ADA" w:rsidRPr="00DD2F24" w:rsidRDefault="00ED1ADA" w:rsidP="00DD2F24">
      <w:pPr>
        <w:pStyle w:val="Notedebasdepage"/>
        <w:spacing w:after="0"/>
        <w:rPr>
          <w:rFonts w:asciiTheme="minorHAnsi" w:hAnsiTheme="minorHAnsi"/>
          <w:sz w:val="16"/>
          <w:szCs w:val="16"/>
          <w:lang w:val="en-CA"/>
        </w:rPr>
      </w:pPr>
      <w:r w:rsidRPr="00DD2F24">
        <w:rPr>
          <w:rStyle w:val="Appelnotedebasdep"/>
          <w:rFonts w:asciiTheme="minorHAnsi" w:hAnsiTheme="minorHAnsi"/>
          <w:sz w:val="16"/>
          <w:szCs w:val="16"/>
        </w:rPr>
        <w:footnoteRef/>
      </w:r>
      <w:r w:rsidRPr="00DD2F24">
        <w:rPr>
          <w:rFonts w:asciiTheme="minorHAnsi" w:hAnsiTheme="minorHAnsi"/>
          <w:sz w:val="16"/>
          <w:szCs w:val="16"/>
        </w:rPr>
        <w:t xml:space="preserve"> </w:t>
      </w:r>
      <w:proofErr w:type="spellStart"/>
      <w:r w:rsidRPr="00DD2F24">
        <w:rPr>
          <w:rFonts w:asciiTheme="minorHAnsi" w:hAnsiTheme="minorHAnsi"/>
          <w:sz w:val="16"/>
          <w:szCs w:val="16"/>
          <w:lang w:val="en-CA"/>
        </w:rPr>
        <w:t>Côté</w:t>
      </w:r>
      <w:proofErr w:type="spellEnd"/>
      <w:r w:rsidRPr="00DD2F24">
        <w:rPr>
          <w:rFonts w:asciiTheme="minorHAnsi" w:hAnsiTheme="minorHAnsi"/>
          <w:sz w:val="16"/>
          <w:szCs w:val="16"/>
          <w:lang w:val="en-CA"/>
        </w:rPr>
        <w:t xml:space="preserve"> M. and D. Gauthier, 2018. Fuelwood territorialities: Chantier </w:t>
      </w:r>
      <w:proofErr w:type="spellStart"/>
      <w:r w:rsidRPr="00DD2F24">
        <w:rPr>
          <w:rFonts w:asciiTheme="minorHAnsi" w:hAnsiTheme="minorHAnsi"/>
          <w:sz w:val="16"/>
          <w:szCs w:val="16"/>
          <w:lang w:val="en-CA"/>
        </w:rPr>
        <w:t>d’Aménagement</w:t>
      </w:r>
      <w:proofErr w:type="spellEnd"/>
      <w:r w:rsidRPr="00DD2F24">
        <w:rPr>
          <w:rFonts w:asciiTheme="minorHAnsi" w:hAnsiTheme="minorHAnsi"/>
          <w:sz w:val="16"/>
          <w:szCs w:val="16"/>
          <w:lang w:val="en-CA"/>
        </w:rPr>
        <w:t xml:space="preserve"> Forestier and the reproduction of “political forests” in Burkina Faso. </w:t>
      </w:r>
      <w:proofErr w:type="spellStart"/>
      <w:r w:rsidRPr="00DD2F24">
        <w:rPr>
          <w:rFonts w:asciiTheme="minorHAnsi" w:hAnsiTheme="minorHAnsi"/>
          <w:sz w:val="16"/>
          <w:szCs w:val="16"/>
          <w:lang w:val="en-CA"/>
        </w:rPr>
        <w:t>Geogr</w:t>
      </w:r>
      <w:proofErr w:type="spellEnd"/>
      <w:r w:rsidRPr="00DD2F24">
        <w:rPr>
          <w:rFonts w:asciiTheme="minorHAnsi" w:hAnsiTheme="minorHAnsi"/>
          <w:sz w:val="16"/>
          <w:szCs w:val="16"/>
          <w:lang w:val="en-CA"/>
        </w:rPr>
        <w:t xml:space="preserve">. </w:t>
      </w:r>
      <w:proofErr w:type="spellStart"/>
      <w:r w:rsidRPr="00DD2F24">
        <w:rPr>
          <w:rFonts w:asciiTheme="minorHAnsi" w:hAnsiTheme="minorHAnsi"/>
          <w:sz w:val="16"/>
          <w:szCs w:val="16"/>
          <w:lang w:val="en-CA"/>
        </w:rPr>
        <w:t>Helv</w:t>
      </w:r>
      <w:proofErr w:type="spellEnd"/>
      <w:r w:rsidRPr="00DD2F24">
        <w:rPr>
          <w:rFonts w:asciiTheme="minorHAnsi" w:hAnsiTheme="minorHAnsi"/>
          <w:sz w:val="16"/>
          <w:szCs w:val="16"/>
          <w:lang w:val="en-CA"/>
        </w:rPr>
        <w:t>., 73, 165–175, https://doi.org/10.5194/gh-73-165-2018</w:t>
      </w:r>
    </w:p>
  </w:footnote>
  <w:footnote w:id="23">
    <w:p w14:paraId="406BCE16" w14:textId="77777777" w:rsidR="00ED1ADA" w:rsidRPr="007E21F2" w:rsidRDefault="00ED1ADA" w:rsidP="00302BFE">
      <w:pPr>
        <w:pStyle w:val="Notedebasdepage"/>
        <w:spacing w:after="0"/>
        <w:rPr>
          <w:rFonts w:ascii="Calibri" w:hAnsi="Calibri"/>
          <w:sz w:val="16"/>
          <w:szCs w:val="16"/>
        </w:rPr>
      </w:pPr>
      <w:r>
        <w:rPr>
          <w:rStyle w:val="Appelnotedebasdep"/>
          <w:rFonts w:ascii="Calibri" w:hAnsi="Calibri"/>
          <w:sz w:val="16"/>
          <w:szCs w:val="16"/>
        </w:rPr>
        <w:footnoteRef/>
      </w:r>
      <w:r w:rsidRPr="007E21F2">
        <w:rPr>
          <w:rFonts w:ascii="Calibri" w:hAnsi="Calibri"/>
          <w:sz w:val="16"/>
          <w:szCs w:val="16"/>
        </w:rPr>
        <w:t xml:space="preserve"> MECV 2007. Status of Classified Forests in Burkina Faso and Rehabilitation Plan</w:t>
      </w:r>
    </w:p>
  </w:footnote>
  <w:footnote w:id="24">
    <w:p w14:paraId="02CDF6D1" w14:textId="77777777" w:rsidR="00ED1ADA" w:rsidRPr="00B77F42" w:rsidRDefault="00ED1ADA" w:rsidP="00302BFE">
      <w:pPr>
        <w:pStyle w:val="Notedebasdepage"/>
        <w:spacing w:after="0"/>
        <w:rPr>
          <w:rFonts w:ascii="Calibri" w:hAnsi="Calibri"/>
          <w:sz w:val="16"/>
          <w:szCs w:val="16"/>
          <w:lang w:val="fr-CA"/>
        </w:rPr>
      </w:pPr>
      <w:r>
        <w:rPr>
          <w:rStyle w:val="Appelnotedebasdep"/>
          <w:rFonts w:ascii="Calibri" w:hAnsi="Calibri"/>
          <w:sz w:val="16"/>
          <w:szCs w:val="16"/>
        </w:rPr>
        <w:footnoteRef/>
      </w:r>
      <w:r w:rsidRPr="00B77F42">
        <w:rPr>
          <w:rFonts w:ascii="Calibri" w:hAnsi="Calibri"/>
          <w:sz w:val="16"/>
          <w:szCs w:val="16"/>
          <w:lang w:val="fr-CA"/>
        </w:rPr>
        <w:t xml:space="preserve"> FAO, 2012</w:t>
      </w:r>
    </w:p>
  </w:footnote>
  <w:footnote w:id="25">
    <w:p w14:paraId="328254B7" w14:textId="77777777" w:rsidR="00ED1ADA" w:rsidRPr="003824FD" w:rsidRDefault="00ED1ADA" w:rsidP="00302BFE">
      <w:pPr>
        <w:pStyle w:val="Notedebasdepage"/>
        <w:spacing w:after="0"/>
        <w:rPr>
          <w:rFonts w:ascii="Calibri" w:hAnsi="Calibri"/>
          <w:sz w:val="16"/>
          <w:szCs w:val="16"/>
          <w:lang w:val="fr-CA"/>
        </w:rPr>
      </w:pPr>
      <w:r w:rsidRPr="003824FD">
        <w:rPr>
          <w:rStyle w:val="Appelnotedebasdep"/>
          <w:rFonts w:ascii="Calibri" w:hAnsi="Calibri"/>
          <w:sz w:val="16"/>
          <w:szCs w:val="16"/>
        </w:rPr>
        <w:footnoteRef/>
      </w:r>
      <w:r w:rsidRPr="003824FD">
        <w:rPr>
          <w:rFonts w:ascii="Calibri" w:hAnsi="Calibri"/>
          <w:sz w:val="16"/>
          <w:szCs w:val="16"/>
          <w:lang w:val="fr-CA"/>
        </w:rPr>
        <w:t xml:space="preserve"> Institut National de la Statistique et de la Démographie (INSD) (2016). Statistiques économiques. </w:t>
      </w:r>
      <w:proofErr w:type="spellStart"/>
      <w:r w:rsidRPr="003824FD">
        <w:rPr>
          <w:rFonts w:ascii="Calibri" w:hAnsi="Calibri"/>
          <w:sz w:val="16"/>
          <w:szCs w:val="16"/>
          <w:lang w:val="fr-CA"/>
        </w:rPr>
        <w:t>Available</w:t>
      </w:r>
      <w:proofErr w:type="spellEnd"/>
      <w:r w:rsidRPr="003824FD">
        <w:rPr>
          <w:rFonts w:ascii="Calibri" w:hAnsi="Calibri"/>
          <w:sz w:val="16"/>
          <w:szCs w:val="16"/>
          <w:lang w:val="fr-CA"/>
        </w:rPr>
        <w:t xml:space="preserve"> at: http://www. insd.bf/n/</w:t>
      </w:r>
      <w:proofErr w:type="spellStart"/>
      <w:r w:rsidRPr="003824FD">
        <w:rPr>
          <w:rFonts w:ascii="Calibri" w:hAnsi="Calibri"/>
          <w:sz w:val="16"/>
          <w:szCs w:val="16"/>
          <w:lang w:val="fr-CA"/>
        </w:rPr>
        <w:t>index.php</w:t>
      </w:r>
      <w:proofErr w:type="spellEnd"/>
      <w:r w:rsidRPr="003824FD">
        <w:rPr>
          <w:rFonts w:ascii="Calibri" w:hAnsi="Calibri"/>
          <w:sz w:val="16"/>
          <w:szCs w:val="16"/>
          <w:lang w:val="fr-CA"/>
        </w:rPr>
        <w:t>/</w:t>
      </w:r>
      <w:proofErr w:type="spellStart"/>
      <w:r w:rsidRPr="003824FD">
        <w:rPr>
          <w:rFonts w:ascii="Calibri" w:hAnsi="Calibri"/>
          <w:sz w:val="16"/>
          <w:szCs w:val="16"/>
          <w:lang w:val="fr-CA"/>
        </w:rPr>
        <w:t>indicateurs?id</w:t>
      </w:r>
      <w:proofErr w:type="spellEnd"/>
      <w:r w:rsidRPr="003824FD">
        <w:rPr>
          <w:rFonts w:ascii="Calibri" w:hAnsi="Calibri"/>
          <w:sz w:val="16"/>
          <w:szCs w:val="16"/>
          <w:lang w:val="fr-CA"/>
        </w:rPr>
        <w:t>=63</w:t>
      </w:r>
    </w:p>
  </w:footnote>
  <w:footnote w:id="26">
    <w:p w14:paraId="3A92FD87" w14:textId="7A33B666" w:rsidR="00ED1ADA" w:rsidRPr="00FF5454" w:rsidRDefault="00ED1ADA" w:rsidP="00C01619">
      <w:pPr>
        <w:pStyle w:val="Notedebasdepage"/>
        <w:spacing w:after="0"/>
        <w:rPr>
          <w:rFonts w:asciiTheme="minorHAnsi" w:hAnsiTheme="minorHAnsi"/>
          <w:sz w:val="16"/>
          <w:szCs w:val="16"/>
          <w:lang w:val="en-CA"/>
        </w:rPr>
      </w:pPr>
      <w:r w:rsidRPr="000444D2">
        <w:rPr>
          <w:rStyle w:val="Appelnotedebasdep"/>
          <w:rFonts w:asciiTheme="minorHAnsi" w:hAnsiTheme="minorHAnsi"/>
          <w:sz w:val="16"/>
          <w:szCs w:val="16"/>
        </w:rPr>
        <w:footnoteRef/>
      </w:r>
      <w:r w:rsidRPr="00FF5454">
        <w:rPr>
          <w:rFonts w:asciiTheme="minorHAnsi" w:hAnsiTheme="minorHAnsi"/>
          <w:sz w:val="16"/>
          <w:szCs w:val="16"/>
          <w:lang w:val="en-CA"/>
        </w:rPr>
        <w:t xml:space="preserve"> SEONE </w:t>
      </w:r>
      <w:r w:rsidRPr="00FF5454">
        <w:rPr>
          <w:rFonts w:asciiTheme="minorHAnsi" w:hAnsiTheme="minorHAnsi"/>
          <w:i/>
          <w:sz w:val="16"/>
          <w:szCs w:val="16"/>
          <w:lang w:val="en-CA"/>
        </w:rPr>
        <w:t>et a</w:t>
      </w:r>
      <w:r w:rsidRPr="00FF5454">
        <w:rPr>
          <w:rFonts w:asciiTheme="minorHAnsi" w:hAnsiTheme="minorHAnsi"/>
          <w:sz w:val="16"/>
          <w:szCs w:val="16"/>
          <w:lang w:val="en-CA"/>
        </w:rPr>
        <w:t>l., 2018</w:t>
      </w:r>
    </w:p>
  </w:footnote>
  <w:footnote w:id="27">
    <w:p w14:paraId="081A67E1" w14:textId="0FA8D6D8" w:rsidR="00ED1ADA" w:rsidRPr="00FF5454" w:rsidRDefault="00ED1ADA" w:rsidP="00C01619">
      <w:pPr>
        <w:pStyle w:val="Notedebasdepage"/>
        <w:spacing w:after="0"/>
        <w:rPr>
          <w:rFonts w:asciiTheme="minorHAnsi" w:hAnsiTheme="minorHAnsi"/>
          <w:sz w:val="16"/>
          <w:szCs w:val="16"/>
          <w:lang w:val="en-CA"/>
        </w:rPr>
      </w:pPr>
      <w:r w:rsidRPr="00C01619">
        <w:rPr>
          <w:rStyle w:val="Appelnotedebasdep"/>
          <w:rFonts w:asciiTheme="minorHAnsi" w:hAnsiTheme="minorHAnsi"/>
          <w:sz w:val="16"/>
          <w:szCs w:val="16"/>
        </w:rPr>
        <w:footnoteRef/>
      </w:r>
      <w:r w:rsidRPr="00FF5454">
        <w:rPr>
          <w:rFonts w:asciiTheme="minorHAnsi" w:hAnsiTheme="minorHAnsi"/>
          <w:sz w:val="16"/>
          <w:szCs w:val="16"/>
          <w:lang w:val="en-CA"/>
        </w:rPr>
        <w:t xml:space="preserve"> </w:t>
      </w:r>
      <w:r w:rsidRPr="00C01619">
        <w:rPr>
          <w:rFonts w:asciiTheme="minorHAnsi" w:hAnsiTheme="minorHAnsi"/>
          <w:sz w:val="16"/>
          <w:szCs w:val="16"/>
          <w:lang w:val="en-GB"/>
        </w:rPr>
        <w:t>DGEAP, 2017, in PIF, 2018</w:t>
      </w:r>
    </w:p>
  </w:footnote>
  <w:footnote w:id="28">
    <w:p w14:paraId="4CF8D171" w14:textId="5C88BA66" w:rsidR="00ED1ADA" w:rsidRPr="00FF5454" w:rsidRDefault="00ED1ADA" w:rsidP="00090D3B">
      <w:pPr>
        <w:pStyle w:val="Notedebasdepage"/>
        <w:spacing w:after="0"/>
        <w:rPr>
          <w:rFonts w:ascii="Calibri" w:hAnsi="Calibri"/>
          <w:sz w:val="16"/>
          <w:szCs w:val="16"/>
          <w:lang w:val="en-CA"/>
        </w:rPr>
      </w:pPr>
      <w:r>
        <w:rPr>
          <w:rStyle w:val="Appelnotedebasdep"/>
          <w:rFonts w:ascii="Calibri" w:hAnsi="Calibri"/>
          <w:sz w:val="16"/>
          <w:szCs w:val="16"/>
        </w:rPr>
        <w:footnoteRef/>
      </w:r>
      <w:r w:rsidRPr="00FF5454">
        <w:rPr>
          <w:rFonts w:ascii="Calibri" w:hAnsi="Calibri"/>
          <w:sz w:val="16"/>
          <w:szCs w:val="16"/>
          <w:lang w:val="en-CA"/>
        </w:rPr>
        <w:t xml:space="preserve"> http://lefaso.net/spip.php?article 17381</w:t>
      </w:r>
    </w:p>
  </w:footnote>
  <w:footnote w:id="29">
    <w:p w14:paraId="0087A82F" w14:textId="77777777" w:rsidR="00ED1ADA" w:rsidRPr="00B43F59" w:rsidRDefault="00ED1ADA" w:rsidP="00090D3B">
      <w:pPr>
        <w:pStyle w:val="Notedebasdepage"/>
        <w:spacing w:after="0"/>
        <w:rPr>
          <w:rFonts w:ascii="Calibri" w:hAnsi="Calibri"/>
          <w:sz w:val="16"/>
          <w:szCs w:val="16"/>
          <w:lang w:val="en-CA"/>
        </w:rPr>
      </w:pPr>
      <w:r w:rsidRPr="00B43F59">
        <w:rPr>
          <w:rStyle w:val="Appelnotedebasdep"/>
          <w:rFonts w:ascii="Calibri" w:hAnsi="Calibri"/>
          <w:sz w:val="16"/>
          <w:szCs w:val="16"/>
        </w:rPr>
        <w:footnoteRef/>
      </w:r>
      <w:r w:rsidRPr="00B43F59">
        <w:rPr>
          <w:rFonts w:ascii="Calibri" w:hAnsi="Calibri"/>
          <w:sz w:val="16"/>
          <w:szCs w:val="16"/>
        </w:rPr>
        <w:t xml:space="preserve"> </w:t>
      </w:r>
      <w:r w:rsidRPr="00B43F59">
        <w:rPr>
          <w:rFonts w:ascii="Calibri" w:hAnsi="Calibri" w:cs="Calibri"/>
          <w:color w:val="000000"/>
          <w:sz w:val="16"/>
          <w:szCs w:val="16"/>
          <w:lang w:val="en-GB"/>
        </w:rPr>
        <w:t>ONDD/ SP CNDD/MEEVCC in PIF., 2018</w:t>
      </w:r>
    </w:p>
  </w:footnote>
  <w:footnote w:id="30">
    <w:p w14:paraId="6F4BB52A" w14:textId="77777777" w:rsidR="00ED1ADA" w:rsidRPr="003508F7" w:rsidRDefault="00ED1ADA" w:rsidP="00090D3B">
      <w:pPr>
        <w:pStyle w:val="Notedebasdepage"/>
        <w:spacing w:after="0"/>
        <w:rPr>
          <w:rFonts w:ascii="Calibri" w:eastAsia="Times New Roman" w:hAnsi="Calibri"/>
          <w:sz w:val="16"/>
          <w:szCs w:val="16"/>
          <w:lang w:val="it-IT" w:eastAsia="it-IT"/>
        </w:rPr>
      </w:pPr>
      <w:r w:rsidRPr="003508F7">
        <w:rPr>
          <w:rStyle w:val="Appelnotedebasdep"/>
          <w:rFonts w:ascii="Calibri" w:hAnsi="Calibri"/>
          <w:sz w:val="16"/>
          <w:szCs w:val="16"/>
        </w:rPr>
        <w:footnoteRef/>
      </w:r>
      <w:r w:rsidRPr="00FF5454">
        <w:rPr>
          <w:rFonts w:ascii="Calibri" w:hAnsi="Calibri"/>
          <w:sz w:val="16"/>
          <w:szCs w:val="16"/>
          <w:lang w:val="fr-CA"/>
        </w:rPr>
        <w:t xml:space="preserve"> </w:t>
      </w:r>
      <w:r w:rsidRPr="00FF5454">
        <w:rPr>
          <w:rFonts w:ascii="Calibri" w:hAnsi="Calibri" w:cs="Calibri"/>
          <w:sz w:val="16"/>
          <w:szCs w:val="16"/>
          <w:lang w:val="fr-CA"/>
        </w:rPr>
        <w:t>ONDD in PIF., 2018</w:t>
      </w:r>
    </w:p>
  </w:footnote>
  <w:footnote w:id="31">
    <w:p w14:paraId="4671FEE6" w14:textId="77777777" w:rsidR="00ED1ADA" w:rsidRPr="00FF5454" w:rsidRDefault="00ED1ADA" w:rsidP="00090D3B">
      <w:pPr>
        <w:pStyle w:val="Notedebasdepage"/>
        <w:spacing w:after="0"/>
        <w:rPr>
          <w:rFonts w:ascii="Calibri" w:hAnsi="Calibri"/>
          <w:sz w:val="16"/>
          <w:szCs w:val="16"/>
          <w:lang w:val="fr-CA"/>
        </w:rPr>
      </w:pPr>
      <w:r w:rsidRPr="003508F7">
        <w:rPr>
          <w:rStyle w:val="Appelnotedebasdep"/>
          <w:rFonts w:ascii="Calibri" w:hAnsi="Calibri"/>
          <w:sz w:val="16"/>
          <w:szCs w:val="16"/>
        </w:rPr>
        <w:footnoteRef/>
      </w:r>
      <w:r w:rsidRPr="00FF5454">
        <w:rPr>
          <w:rFonts w:ascii="Calibri" w:hAnsi="Calibri"/>
          <w:sz w:val="16"/>
          <w:szCs w:val="16"/>
          <w:lang w:val="fr-CA"/>
        </w:rPr>
        <w:t xml:space="preserve"> PNGT 2015</w:t>
      </w:r>
    </w:p>
  </w:footnote>
  <w:footnote w:id="32">
    <w:p w14:paraId="39B524AC" w14:textId="77777777" w:rsidR="00ED1ADA" w:rsidRPr="00BF2E9D" w:rsidRDefault="00ED1ADA" w:rsidP="00090D3B">
      <w:pPr>
        <w:autoSpaceDE w:val="0"/>
        <w:autoSpaceDN w:val="0"/>
        <w:adjustRightInd w:val="0"/>
        <w:spacing w:after="0"/>
        <w:jc w:val="left"/>
        <w:rPr>
          <w:rFonts w:asciiTheme="minorHAnsi" w:hAnsiTheme="minorHAnsi"/>
          <w:sz w:val="16"/>
          <w:szCs w:val="16"/>
          <w:lang w:val="en-CA"/>
        </w:rPr>
      </w:pPr>
      <w:r w:rsidRPr="00BF2E9D">
        <w:rPr>
          <w:rStyle w:val="Appelnotedebasdep"/>
          <w:rFonts w:asciiTheme="minorHAnsi" w:hAnsiTheme="minorHAnsi"/>
          <w:sz w:val="16"/>
          <w:szCs w:val="16"/>
        </w:rPr>
        <w:footnoteRef/>
      </w:r>
      <w:r w:rsidRPr="00FF5454">
        <w:rPr>
          <w:rFonts w:asciiTheme="minorHAnsi" w:hAnsiTheme="minorHAnsi"/>
          <w:sz w:val="16"/>
          <w:szCs w:val="16"/>
          <w:lang w:val="fr-CA"/>
        </w:rPr>
        <w:t xml:space="preserve"> Bouché et al. 2016. </w:t>
      </w:r>
      <w:r w:rsidRPr="00BF2E9D">
        <w:rPr>
          <w:rFonts w:asciiTheme="minorHAnsi" w:eastAsiaTheme="minorHAnsi" w:hAnsiTheme="minorHAnsi" w:cs="Martel-Regular"/>
          <w:sz w:val="16"/>
          <w:szCs w:val="16"/>
          <w:lang w:val="en-CA"/>
        </w:rPr>
        <w:t xml:space="preserve">Conserving wildlife amongst the cotton fields. A third of a century of experience at the </w:t>
      </w:r>
      <w:proofErr w:type="spellStart"/>
      <w:r w:rsidRPr="00BF2E9D">
        <w:rPr>
          <w:rFonts w:asciiTheme="minorHAnsi" w:eastAsiaTheme="minorHAnsi" w:hAnsiTheme="minorHAnsi" w:cs="Martel-Regular"/>
          <w:sz w:val="16"/>
          <w:szCs w:val="16"/>
          <w:lang w:val="en-CA"/>
        </w:rPr>
        <w:t>Nazinga</w:t>
      </w:r>
      <w:proofErr w:type="spellEnd"/>
      <w:r w:rsidRPr="00BF2E9D">
        <w:rPr>
          <w:rFonts w:asciiTheme="minorHAnsi" w:eastAsiaTheme="minorHAnsi" w:hAnsiTheme="minorHAnsi" w:cs="Martel-Regular"/>
          <w:sz w:val="16"/>
          <w:szCs w:val="16"/>
          <w:lang w:val="en-CA"/>
        </w:rPr>
        <w:t xml:space="preserve"> Game Ranch, Burkina Faso. </w:t>
      </w:r>
      <w:r w:rsidRPr="00FF5454">
        <w:rPr>
          <w:rFonts w:asciiTheme="minorHAnsi" w:eastAsiaTheme="minorHAnsi" w:hAnsiTheme="minorHAnsi" w:cs="SourceSansPro-Regular"/>
          <w:sz w:val="16"/>
          <w:szCs w:val="16"/>
          <w:lang w:val="en-CA"/>
        </w:rPr>
        <w:t>Environmental Monitoring and Assessment. DOI: 10.1007/s10661-016-5388-y.</w:t>
      </w:r>
    </w:p>
  </w:footnote>
  <w:footnote w:id="33">
    <w:p w14:paraId="1E4C9F7D" w14:textId="77777777" w:rsidR="00ED1ADA" w:rsidRDefault="00ED1ADA" w:rsidP="00090D3B">
      <w:pPr>
        <w:pStyle w:val="Notedebasdepage"/>
        <w:spacing w:after="0"/>
        <w:rPr>
          <w:rFonts w:ascii="Calibri" w:eastAsia="Calibri" w:hAnsi="Calibri"/>
          <w:sz w:val="16"/>
          <w:szCs w:val="16"/>
          <w:lang w:val="en-CA"/>
        </w:rPr>
      </w:pPr>
      <w:r>
        <w:rPr>
          <w:rStyle w:val="Appelnotedebasdep"/>
          <w:rFonts w:ascii="Calibri" w:hAnsi="Calibri"/>
          <w:sz w:val="16"/>
          <w:szCs w:val="16"/>
        </w:rPr>
        <w:footnoteRef/>
      </w:r>
      <w:r>
        <w:rPr>
          <w:rFonts w:ascii="Calibri" w:hAnsi="Calibri"/>
          <w:sz w:val="16"/>
          <w:szCs w:val="16"/>
          <w:lang w:val="en-CA"/>
        </w:rPr>
        <w:t xml:space="preserve"> Sama, 2016</w:t>
      </w:r>
    </w:p>
  </w:footnote>
  <w:footnote w:id="34">
    <w:p w14:paraId="034FEAC9" w14:textId="77777777" w:rsidR="00ED1ADA" w:rsidRPr="00FF5454" w:rsidRDefault="00ED1ADA" w:rsidP="00A037BE">
      <w:pPr>
        <w:pStyle w:val="Notedebasdepage"/>
        <w:spacing w:after="0"/>
        <w:rPr>
          <w:rFonts w:asciiTheme="minorHAnsi" w:hAnsiTheme="minorHAnsi"/>
          <w:sz w:val="16"/>
          <w:szCs w:val="16"/>
          <w:lang w:val="en-CA"/>
        </w:rPr>
      </w:pPr>
      <w:r w:rsidRPr="003F190A">
        <w:rPr>
          <w:rStyle w:val="Appelnotedebasdep"/>
          <w:rFonts w:asciiTheme="minorHAnsi" w:hAnsiTheme="minorHAnsi"/>
          <w:sz w:val="16"/>
          <w:szCs w:val="16"/>
        </w:rPr>
        <w:footnoteRef/>
      </w:r>
      <w:r w:rsidRPr="00FF5454">
        <w:rPr>
          <w:rFonts w:asciiTheme="minorHAnsi" w:hAnsiTheme="minorHAnsi"/>
          <w:sz w:val="16"/>
          <w:szCs w:val="16"/>
          <w:lang w:val="en-CA"/>
        </w:rPr>
        <w:t xml:space="preserve"> Forest Code (2011)</w:t>
      </w:r>
    </w:p>
  </w:footnote>
  <w:footnote w:id="35">
    <w:p w14:paraId="389B5CB1" w14:textId="77777777" w:rsidR="00ED1ADA" w:rsidRPr="0005200C" w:rsidRDefault="00ED1ADA" w:rsidP="00B22E63">
      <w:pPr>
        <w:pStyle w:val="Notedebasdepage"/>
        <w:spacing w:after="0"/>
        <w:rPr>
          <w:rFonts w:ascii="Calibri" w:hAnsi="Calibri"/>
          <w:sz w:val="16"/>
          <w:szCs w:val="16"/>
          <w:lang w:val="fr-CA"/>
        </w:rPr>
      </w:pPr>
      <w:r w:rsidRPr="0005200C">
        <w:rPr>
          <w:rStyle w:val="Appelnotedebasdep"/>
          <w:rFonts w:ascii="Calibri" w:hAnsi="Calibri"/>
          <w:sz w:val="16"/>
          <w:szCs w:val="16"/>
        </w:rPr>
        <w:footnoteRef/>
      </w:r>
      <w:r w:rsidRPr="0005200C">
        <w:rPr>
          <w:rFonts w:ascii="Calibri" w:hAnsi="Calibri"/>
          <w:sz w:val="16"/>
          <w:szCs w:val="16"/>
          <w:lang w:val="fr-CA"/>
        </w:rPr>
        <w:t xml:space="preserve"> Portier, B., </w:t>
      </w:r>
      <w:proofErr w:type="spellStart"/>
      <w:r w:rsidRPr="0005200C">
        <w:rPr>
          <w:rFonts w:ascii="Calibri" w:hAnsi="Calibri"/>
          <w:sz w:val="16"/>
          <w:szCs w:val="16"/>
          <w:lang w:val="fr-CA"/>
        </w:rPr>
        <w:t>Lungren</w:t>
      </w:r>
      <w:proofErr w:type="spellEnd"/>
      <w:r w:rsidRPr="0005200C">
        <w:rPr>
          <w:rFonts w:ascii="Calibri" w:hAnsi="Calibri"/>
          <w:sz w:val="16"/>
          <w:szCs w:val="16"/>
          <w:lang w:val="fr-CA"/>
        </w:rPr>
        <w:t xml:space="preserve">, C.G. (2007). La faune et le </w:t>
      </w:r>
      <w:proofErr w:type="spellStart"/>
      <w:r w:rsidRPr="0005200C">
        <w:rPr>
          <w:rFonts w:ascii="Calibri" w:hAnsi="Calibri"/>
          <w:sz w:val="16"/>
          <w:szCs w:val="16"/>
          <w:lang w:val="fr-CA"/>
        </w:rPr>
        <w:t>ranching</w:t>
      </w:r>
      <w:proofErr w:type="spellEnd"/>
      <w:r w:rsidRPr="0005200C">
        <w:rPr>
          <w:rFonts w:ascii="Calibri" w:hAnsi="Calibri"/>
          <w:sz w:val="16"/>
          <w:szCs w:val="16"/>
          <w:lang w:val="fr-CA"/>
        </w:rPr>
        <w:t xml:space="preserve"> au Burkina Faso. In: W. </w:t>
      </w:r>
      <w:proofErr w:type="spellStart"/>
      <w:r w:rsidRPr="0005200C">
        <w:rPr>
          <w:rFonts w:ascii="Calibri" w:hAnsi="Calibri"/>
          <w:sz w:val="16"/>
          <w:szCs w:val="16"/>
          <w:lang w:val="fr-CA"/>
        </w:rPr>
        <w:t>Delvingt</w:t>
      </w:r>
      <w:proofErr w:type="spellEnd"/>
      <w:r w:rsidRPr="0005200C">
        <w:rPr>
          <w:rFonts w:ascii="Calibri" w:hAnsi="Calibri"/>
          <w:sz w:val="16"/>
          <w:szCs w:val="16"/>
          <w:lang w:val="fr-CA"/>
        </w:rPr>
        <w:t>, C. Vermeulen (</w:t>
      </w:r>
      <w:proofErr w:type="spellStart"/>
      <w:r w:rsidRPr="0005200C">
        <w:rPr>
          <w:rFonts w:ascii="Calibri" w:hAnsi="Calibri"/>
          <w:sz w:val="16"/>
          <w:szCs w:val="16"/>
          <w:lang w:val="fr-CA"/>
        </w:rPr>
        <w:t>Eds</w:t>
      </w:r>
      <w:proofErr w:type="spellEnd"/>
      <w:r w:rsidRPr="0005200C">
        <w:rPr>
          <w:rFonts w:ascii="Calibri" w:hAnsi="Calibri"/>
          <w:sz w:val="16"/>
          <w:szCs w:val="16"/>
          <w:lang w:val="fr-CA"/>
        </w:rPr>
        <w:t xml:space="preserve">.), </w:t>
      </w:r>
      <w:proofErr w:type="spellStart"/>
      <w:r w:rsidRPr="0005200C">
        <w:rPr>
          <w:rFonts w:ascii="Calibri" w:hAnsi="Calibri"/>
          <w:sz w:val="16"/>
          <w:szCs w:val="16"/>
          <w:lang w:val="fr-CA"/>
        </w:rPr>
        <w:t>Nazinga</w:t>
      </w:r>
      <w:proofErr w:type="spellEnd"/>
      <w:r w:rsidRPr="0005200C">
        <w:rPr>
          <w:rFonts w:ascii="Calibri" w:hAnsi="Calibri"/>
          <w:sz w:val="16"/>
          <w:szCs w:val="16"/>
          <w:lang w:val="fr-CA"/>
        </w:rPr>
        <w:t xml:space="preserve">. Région Wallonne, Presse Agronomique de Gembloux, Nature+, APEFE, </w:t>
      </w:r>
      <w:proofErr w:type="gramStart"/>
      <w:r w:rsidRPr="0005200C">
        <w:rPr>
          <w:rFonts w:ascii="Calibri" w:hAnsi="Calibri"/>
          <w:sz w:val="16"/>
          <w:szCs w:val="16"/>
          <w:lang w:val="fr-CA"/>
        </w:rPr>
        <w:t>Ministère de l’Environnement</w:t>
      </w:r>
      <w:proofErr w:type="gramEnd"/>
      <w:r w:rsidRPr="0005200C">
        <w:rPr>
          <w:rFonts w:ascii="Calibri" w:hAnsi="Calibri"/>
          <w:sz w:val="16"/>
          <w:szCs w:val="16"/>
          <w:lang w:val="fr-CA"/>
        </w:rPr>
        <w:t xml:space="preserve"> et du Cadre de Vie (Burkina Faso), Gembloux and Ouagadougou. pp</w:t>
      </w:r>
      <w:r>
        <w:rPr>
          <w:rFonts w:ascii="Calibri" w:hAnsi="Calibri"/>
          <w:sz w:val="16"/>
          <w:szCs w:val="16"/>
          <w:lang w:val="fr-CA"/>
        </w:rPr>
        <w:t>.</w:t>
      </w:r>
      <w:r w:rsidRPr="0005200C">
        <w:rPr>
          <w:rFonts w:ascii="Calibri" w:hAnsi="Calibri"/>
          <w:sz w:val="16"/>
          <w:szCs w:val="16"/>
          <w:lang w:val="fr-CA"/>
        </w:rPr>
        <w:t xml:space="preserve"> 33–44.</w:t>
      </w:r>
    </w:p>
  </w:footnote>
  <w:footnote w:id="36">
    <w:p w14:paraId="3BEA7E2E" w14:textId="77777777" w:rsidR="00ED1ADA" w:rsidRPr="00FF5454" w:rsidRDefault="00ED1ADA" w:rsidP="00A037BE">
      <w:pPr>
        <w:pStyle w:val="Notedebasdepage"/>
        <w:spacing w:after="0"/>
        <w:rPr>
          <w:rFonts w:ascii="Calibri" w:hAnsi="Calibri"/>
          <w:sz w:val="16"/>
          <w:szCs w:val="16"/>
          <w:lang w:val="fr-CA"/>
        </w:rPr>
      </w:pPr>
      <w:r w:rsidRPr="003824FD">
        <w:rPr>
          <w:rStyle w:val="Appelnotedebasdep"/>
          <w:rFonts w:ascii="Calibri" w:hAnsi="Calibri"/>
          <w:sz w:val="16"/>
          <w:szCs w:val="16"/>
        </w:rPr>
        <w:footnoteRef/>
      </w:r>
      <w:r w:rsidRPr="003824FD">
        <w:rPr>
          <w:rFonts w:ascii="Calibri" w:hAnsi="Calibri"/>
          <w:sz w:val="16"/>
          <w:szCs w:val="16"/>
          <w:lang w:val="en-CA"/>
        </w:rPr>
        <w:t xml:space="preserve"> Bouché P., Lejeune P., Bailly V., </w:t>
      </w:r>
      <w:proofErr w:type="spellStart"/>
      <w:r w:rsidRPr="003824FD">
        <w:rPr>
          <w:rFonts w:ascii="Calibri" w:hAnsi="Calibri"/>
          <w:sz w:val="16"/>
          <w:szCs w:val="16"/>
          <w:lang w:val="en-CA"/>
        </w:rPr>
        <w:t>Muyle</w:t>
      </w:r>
      <w:proofErr w:type="spellEnd"/>
      <w:r w:rsidRPr="003824FD">
        <w:rPr>
          <w:rFonts w:ascii="Calibri" w:hAnsi="Calibri"/>
          <w:sz w:val="16"/>
          <w:szCs w:val="16"/>
          <w:lang w:val="en-CA"/>
        </w:rPr>
        <w:t xml:space="preserve"> M., </w:t>
      </w:r>
      <w:proofErr w:type="spellStart"/>
      <w:r w:rsidRPr="003824FD">
        <w:rPr>
          <w:rFonts w:ascii="Calibri" w:hAnsi="Calibri"/>
          <w:sz w:val="16"/>
          <w:szCs w:val="16"/>
          <w:lang w:val="en-CA"/>
        </w:rPr>
        <w:t>Zinque</w:t>
      </w:r>
      <w:proofErr w:type="spellEnd"/>
      <w:r w:rsidRPr="003824FD">
        <w:rPr>
          <w:rFonts w:ascii="Calibri" w:hAnsi="Calibri"/>
          <w:sz w:val="16"/>
          <w:szCs w:val="16"/>
          <w:lang w:val="en-CA"/>
        </w:rPr>
        <w:t xml:space="preserve"> M.H., Mercier A., </w:t>
      </w:r>
      <w:proofErr w:type="spellStart"/>
      <w:r w:rsidRPr="003824FD">
        <w:rPr>
          <w:rFonts w:ascii="Calibri" w:hAnsi="Calibri"/>
          <w:sz w:val="16"/>
          <w:szCs w:val="16"/>
          <w:lang w:val="en-CA"/>
        </w:rPr>
        <w:t>Cornélis</w:t>
      </w:r>
      <w:proofErr w:type="spellEnd"/>
      <w:r w:rsidRPr="003824FD">
        <w:rPr>
          <w:rFonts w:ascii="Calibri" w:hAnsi="Calibri"/>
          <w:sz w:val="16"/>
          <w:szCs w:val="16"/>
          <w:lang w:val="en-CA"/>
        </w:rPr>
        <w:t xml:space="preserve"> D., Lungren C., Portier B., </w:t>
      </w:r>
      <w:proofErr w:type="spellStart"/>
      <w:r w:rsidRPr="003824FD">
        <w:rPr>
          <w:rFonts w:ascii="Calibri" w:hAnsi="Calibri"/>
          <w:sz w:val="16"/>
          <w:szCs w:val="16"/>
          <w:lang w:val="en-CA"/>
        </w:rPr>
        <w:t>Marchal</w:t>
      </w:r>
      <w:proofErr w:type="spellEnd"/>
      <w:r w:rsidRPr="003824FD">
        <w:rPr>
          <w:rFonts w:ascii="Calibri" w:hAnsi="Calibri"/>
          <w:sz w:val="16"/>
          <w:szCs w:val="16"/>
          <w:lang w:val="en-CA"/>
        </w:rPr>
        <w:t xml:space="preserve"> A., Renault F., Yaméogo D., Kafando P., Sawadogo </w:t>
      </w:r>
      <w:proofErr w:type="spellStart"/>
      <w:r w:rsidRPr="003824FD">
        <w:rPr>
          <w:rFonts w:ascii="Calibri" w:hAnsi="Calibri"/>
          <w:sz w:val="16"/>
          <w:szCs w:val="16"/>
          <w:lang w:val="en-CA"/>
        </w:rPr>
        <w:t>P.and</w:t>
      </w:r>
      <w:proofErr w:type="spellEnd"/>
      <w:r w:rsidRPr="003824FD">
        <w:rPr>
          <w:rFonts w:ascii="Calibri" w:hAnsi="Calibri"/>
          <w:sz w:val="16"/>
          <w:szCs w:val="16"/>
          <w:lang w:val="en-CA"/>
        </w:rPr>
        <w:t xml:space="preserve"> C. Vermeulen (2016) Conserving wildlife amongst the cotton fields. A third of a century of experience at the </w:t>
      </w:r>
      <w:proofErr w:type="spellStart"/>
      <w:r w:rsidRPr="003824FD">
        <w:rPr>
          <w:rFonts w:ascii="Calibri" w:hAnsi="Calibri"/>
          <w:sz w:val="16"/>
          <w:szCs w:val="16"/>
          <w:lang w:val="en-CA"/>
        </w:rPr>
        <w:t>Nazinga</w:t>
      </w:r>
      <w:proofErr w:type="spellEnd"/>
      <w:r w:rsidRPr="003824FD">
        <w:rPr>
          <w:rFonts w:ascii="Calibri" w:hAnsi="Calibri"/>
          <w:sz w:val="16"/>
          <w:szCs w:val="16"/>
          <w:lang w:val="en-CA"/>
        </w:rPr>
        <w:t xml:space="preserve"> Game Ranch, Burkina Faso. </w:t>
      </w:r>
      <w:r w:rsidRPr="00FF5454">
        <w:rPr>
          <w:rFonts w:ascii="Calibri" w:hAnsi="Calibri"/>
          <w:sz w:val="16"/>
          <w:szCs w:val="16"/>
          <w:lang w:val="fr-CA"/>
        </w:rPr>
        <w:t xml:space="preserve">Environ. </w:t>
      </w:r>
      <w:proofErr w:type="spellStart"/>
      <w:r w:rsidRPr="00FF5454">
        <w:rPr>
          <w:rFonts w:ascii="Calibri" w:hAnsi="Calibri"/>
          <w:sz w:val="16"/>
          <w:szCs w:val="16"/>
          <w:lang w:val="fr-CA"/>
        </w:rPr>
        <w:t>Monit</w:t>
      </w:r>
      <w:proofErr w:type="spellEnd"/>
      <w:r w:rsidRPr="00FF5454">
        <w:rPr>
          <w:rFonts w:ascii="Calibri" w:hAnsi="Calibri"/>
          <w:sz w:val="16"/>
          <w:szCs w:val="16"/>
          <w:lang w:val="fr-CA"/>
        </w:rPr>
        <w:t xml:space="preserve">. </w:t>
      </w:r>
      <w:proofErr w:type="spellStart"/>
      <w:r w:rsidRPr="00FF5454">
        <w:rPr>
          <w:rFonts w:ascii="Calibri" w:hAnsi="Calibri"/>
          <w:sz w:val="16"/>
          <w:szCs w:val="16"/>
          <w:lang w:val="fr-CA"/>
        </w:rPr>
        <w:t>Assess</w:t>
      </w:r>
      <w:proofErr w:type="spellEnd"/>
      <w:r w:rsidRPr="00FF5454">
        <w:rPr>
          <w:rFonts w:ascii="Calibri" w:hAnsi="Calibri"/>
          <w:sz w:val="16"/>
          <w:szCs w:val="16"/>
          <w:lang w:val="fr-CA"/>
        </w:rPr>
        <w:t>. DOI 10.1007/s10661-016-5388-y.</w:t>
      </w:r>
    </w:p>
  </w:footnote>
  <w:footnote w:id="37">
    <w:p w14:paraId="02D1E7D6" w14:textId="77777777" w:rsidR="00ED1ADA" w:rsidRPr="000C0407" w:rsidRDefault="00ED1ADA" w:rsidP="007815F6">
      <w:pPr>
        <w:autoSpaceDE w:val="0"/>
        <w:autoSpaceDN w:val="0"/>
        <w:adjustRightInd w:val="0"/>
        <w:spacing w:after="0"/>
        <w:rPr>
          <w:rFonts w:asciiTheme="minorHAnsi" w:hAnsiTheme="minorHAnsi" w:cstheme="minorBidi"/>
          <w:sz w:val="16"/>
          <w:szCs w:val="16"/>
          <w:lang w:val="fr-CA"/>
        </w:rPr>
      </w:pPr>
      <w:r w:rsidRPr="000C0407">
        <w:rPr>
          <w:rStyle w:val="Appelnotedebasdep"/>
          <w:rFonts w:asciiTheme="minorHAnsi" w:hAnsiTheme="minorHAnsi"/>
          <w:sz w:val="16"/>
          <w:szCs w:val="16"/>
        </w:rPr>
        <w:footnoteRef/>
      </w:r>
      <w:r w:rsidRPr="000C0407">
        <w:rPr>
          <w:rFonts w:asciiTheme="minorHAnsi" w:hAnsiTheme="minorHAnsi"/>
          <w:sz w:val="16"/>
          <w:szCs w:val="16"/>
          <w:lang w:val="fr-CA"/>
        </w:rPr>
        <w:t xml:space="preserve"> Ouedraogo, M. 2005. </w:t>
      </w:r>
      <w:r w:rsidRPr="000C0407">
        <w:rPr>
          <w:rFonts w:asciiTheme="minorHAnsi" w:hAnsiTheme="minorHAnsi" w:cs="AdvTT3713a231"/>
          <w:color w:val="131413"/>
          <w:sz w:val="16"/>
          <w:szCs w:val="16"/>
          <w:lang w:val="fr-CA"/>
        </w:rPr>
        <w:t>Régulation de la dynamique des populations de buffles (</w:t>
      </w:r>
      <w:proofErr w:type="spellStart"/>
      <w:r w:rsidRPr="000C0407">
        <w:rPr>
          <w:rFonts w:asciiTheme="minorHAnsi" w:hAnsiTheme="minorHAnsi" w:cs="AdvTT50a2f13e.I"/>
          <w:i/>
          <w:color w:val="131413"/>
          <w:sz w:val="16"/>
          <w:szCs w:val="16"/>
          <w:lang w:val="fr-CA"/>
        </w:rPr>
        <w:t>Syncerus</w:t>
      </w:r>
      <w:proofErr w:type="spellEnd"/>
      <w:r w:rsidRPr="000C0407">
        <w:rPr>
          <w:rFonts w:asciiTheme="minorHAnsi" w:hAnsiTheme="minorHAnsi" w:cs="AdvTT50a2f13e.I"/>
          <w:i/>
          <w:color w:val="131413"/>
          <w:sz w:val="16"/>
          <w:szCs w:val="16"/>
          <w:lang w:val="fr-CA"/>
        </w:rPr>
        <w:t xml:space="preserve"> </w:t>
      </w:r>
      <w:proofErr w:type="spellStart"/>
      <w:r w:rsidRPr="000C0407">
        <w:rPr>
          <w:rFonts w:asciiTheme="minorHAnsi" w:hAnsiTheme="minorHAnsi" w:cs="AdvTT50a2f13e.I"/>
          <w:i/>
          <w:color w:val="131413"/>
          <w:sz w:val="16"/>
          <w:szCs w:val="16"/>
          <w:lang w:val="fr-CA"/>
        </w:rPr>
        <w:t>caffer</w:t>
      </w:r>
      <w:proofErr w:type="spellEnd"/>
      <w:r w:rsidRPr="000C0407">
        <w:rPr>
          <w:rFonts w:asciiTheme="minorHAnsi" w:hAnsiTheme="minorHAnsi" w:cs="AdvTT50a2f13e.I"/>
          <w:color w:val="131413"/>
          <w:sz w:val="16"/>
          <w:szCs w:val="16"/>
          <w:lang w:val="fr-CA"/>
        </w:rPr>
        <w:t xml:space="preserve"> </w:t>
      </w:r>
      <w:proofErr w:type="spellStart"/>
      <w:r w:rsidRPr="000C0407">
        <w:rPr>
          <w:rFonts w:asciiTheme="minorHAnsi" w:hAnsiTheme="minorHAnsi" w:cs="AdvTT3713a231"/>
          <w:color w:val="131413"/>
          <w:sz w:val="16"/>
          <w:szCs w:val="16"/>
          <w:lang w:val="fr-CA"/>
        </w:rPr>
        <w:t>Sparrman</w:t>
      </w:r>
      <w:proofErr w:type="spellEnd"/>
      <w:r w:rsidRPr="000C0407">
        <w:rPr>
          <w:rFonts w:asciiTheme="minorHAnsi" w:hAnsiTheme="minorHAnsi" w:cs="AdvTT3713a231"/>
          <w:color w:val="131413"/>
          <w:sz w:val="16"/>
          <w:szCs w:val="16"/>
          <w:lang w:val="fr-CA"/>
        </w:rPr>
        <w:t>) et de Waterbucks (</w:t>
      </w:r>
      <w:proofErr w:type="spellStart"/>
      <w:r w:rsidRPr="000C0407">
        <w:rPr>
          <w:rFonts w:asciiTheme="minorHAnsi" w:hAnsiTheme="minorHAnsi" w:cs="AdvTT50a2f13e.I"/>
          <w:i/>
          <w:color w:val="131413"/>
          <w:sz w:val="16"/>
          <w:szCs w:val="16"/>
          <w:lang w:val="fr-CA"/>
        </w:rPr>
        <w:t>Kobus</w:t>
      </w:r>
      <w:proofErr w:type="spellEnd"/>
      <w:r w:rsidRPr="000C0407">
        <w:rPr>
          <w:rFonts w:asciiTheme="minorHAnsi" w:hAnsiTheme="minorHAnsi" w:cs="AdvTT50a2f13e.I"/>
          <w:color w:val="131413"/>
          <w:sz w:val="16"/>
          <w:szCs w:val="16"/>
          <w:lang w:val="fr-CA"/>
        </w:rPr>
        <w:t xml:space="preserve"> </w:t>
      </w:r>
      <w:proofErr w:type="spellStart"/>
      <w:r w:rsidRPr="000C0407">
        <w:rPr>
          <w:rFonts w:asciiTheme="minorHAnsi" w:hAnsiTheme="minorHAnsi" w:cs="AdvTT50a2f13e.I"/>
          <w:i/>
          <w:color w:val="131413"/>
          <w:sz w:val="16"/>
          <w:szCs w:val="16"/>
          <w:lang w:val="fr-CA"/>
        </w:rPr>
        <w:t>ellipsiprymnus</w:t>
      </w:r>
      <w:proofErr w:type="spellEnd"/>
      <w:r w:rsidRPr="000C0407">
        <w:rPr>
          <w:rFonts w:asciiTheme="minorHAnsi" w:hAnsiTheme="minorHAnsi" w:cs="AdvTT50a2f13e.I"/>
          <w:color w:val="131413"/>
          <w:sz w:val="16"/>
          <w:szCs w:val="16"/>
          <w:lang w:val="fr-CA"/>
        </w:rPr>
        <w:t xml:space="preserve"> </w:t>
      </w:r>
      <w:proofErr w:type="spellStart"/>
      <w:r w:rsidRPr="000C0407">
        <w:rPr>
          <w:rFonts w:asciiTheme="minorHAnsi" w:hAnsiTheme="minorHAnsi" w:cs="AdvTT3713a231"/>
          <w:color w:val="131413"/>
          <w:sz w:val="16"/>
          <w:szCs w:val="16"/>
          <w:lang w:val="fr-CA"/>
        </w:rPr>
        <w:t>Ogilby</w:t>
      </w:r>
      <w:proofErr w:type="spellEnd"/>
      <w:r w:rsidRPr="000C0407">
        <w:rPr>
          <w:rFonts w:asciiTheme="minorHAnsi" w:hAnsiTheme="minorHAnsi" w:cs="AdvTT3713a231"/>
          <w:color w:val="131413"/>
          <w:sz w:val="16"/>
          <w:szCs w:val="16"/>
          <w:lang w:val="fr-CA"/>
        </w:rPr>
        <w:t xml:space="preserve">) et moyens de gestion à mettre en </w:t>
      </w:r>
      <w:r w:rsidRPr="000C0407">
        <w:rPr>
          <w:rFonts w:asciiTheme="minorHAnsi" w:hAnsiTheme="minorHAnsi" w:cs="AdvTT3713a231+01"/>
          <w:color w:val="131413"/>
          <w:sz w:val="16"/>
          <w:szCs w:val="16"/>
          <w:lang w:val="fr-CA"/>
        </w:rPr>
        <w:t>œu</w:t>
      </w:r>
      <w:r w:rsidRPr="000C0407">
        <w:rPr>
          <w:rFonts w:asciiTheme="minorHAnsi" w:hAnsiTheme="minorHAnsi" w:cs="AdvTT3713a231"/>
          <w:color w:val="131413"/>
          <w:sz w:val="16"/>
          <w:szCs w:val="16"/>
          <w:lang w:val="fr-CA"/>
        </w:rPr>
        <w:t>vre pour préserver l</w:t>
      </w:r>
      <w:r w:rsidRPr="000C0407">
        <w:rPr>
          <w:rFonts w:asciiTheme="minorHAnsi" w:hAnsiTheme="minorHAnsi" w:cs="AdvTT3713a231+20"/>
          <w:color w:val="131413"/>
          <w:sz w:val="16"/>
          <w:szCs w:val="16"/>
          <w:lang w:val="fr-CA"/>
        </w:rPr>
        <w:t>’</w:t>
      </w:r>
      <w:r w:rsidRPr="000C0407">
        <w:rPr>
          <w:rFonts w:asciiTheme="minorHAnsi" w:hAnsiTheme="minorHAnsi" w:cs="AdvTT3713a231"/>
          <w:color w:val="131413"/>
          <w:sz w:val="16"/>
          <w:szCs w:val="16"/>
          <w:lang w:val="fr-CA"/>
        </w:rPr>
        <w:t xml:space="preserve">équilibre des communautés végétales dans le ranch de </w:t>
      </w:r>
      <w:proofErr w:type="spellStart"/>
      <w:r w:rsidRPr="000C0407">
        <w:rPr>
          <w:rFonts w:asciiTheme="minorHAnsi" w:hAnsiTheme="minorHAnsi" w:cs="AdvTT3713a231"/>
          <w:color w:val="131413"/>
          <w:sz w:val="16"/>
          <w:szCs w:val="16"/>
          <w:lang w:val="fr-CA"/>
        </w:rPr>
        <w:t>Nazinga</w:t>
      </w:r>
      <w:proofErr w:type="spellEnd"/>
      <w:r w:rsidRPr="000C0407">
        <w:rPr>
          <w:rFonts w:asciiTheme="minorHAnsi" w:hAnsiTheme="minorHAnsi" w:cs="AdvTT3713a231"/>
          <w:color w:val="131413"/>
          <w:sz w:val="16"/>
          <w:szCs w:val="16"/>
          <w:lang w:val="fr-CA"/>
        </w:rPr>
        <w:t xml:space="preserve"> (Burkina Faso). (PhD dissertation).</w:t>
      </w:r>
    </w:p>
  </w:footnote>
  <w:footnote w:id="38">
    <w:p w14:paraId="49B7BD2E" w14:textId="77777777" w:rsidR="00ED1ADA" w:rsidRPr="00A037BE" w:rsidRDefault="00ED1ADA" w:rsidP="007815F6">
      <w:pPr>
        <w:pStyle w:val="Notedebasdepage"/>
        <w:spacing w:after="0"/>
        <w:rPr>
          <w:rFonts w:asciiTheme="minorHAnsi" w:hAnsiTheme="minorHAnsi"/>
          <w:sz w:val="16"/>
          <w:szCs w:val="16"/>
          <w:lang w:val="fr-CA"/>
        </w:rPr>
      </w:pPr>
      <w:r w:rsidRPr="000C0407">
        <w:rPr>
          <w:rStyle w:val="Appelnotedebasdep"/>
          <w:rFonts w:asciiTheme="minorHAnsi" w:hAnsiTheme="minorHAnsi"/>
          <w:sz w:val="16"/>
          <w:szCs w:val="16"/>
        </w:rPr>
        <w:footnoteRef/>
      </w:r>
      <w:r w:rsidRPr="000C0407">
        <w:rPr>
          <w:rFonts w:asciiTheme="minorHAnsi" w:hAnsiTheme="minorHAnsi"/>
          <w:sz w:val="16"/>
          <w:szCs w:val="16"/>
          <w:lang w:val="fr-CA"/>
        </w:rPr>
        <w:t xml:space="preserve"> Bouché Ph. 2011. Inventaire des grands mammifères de la Forêt Classée et Ranch de Gibier de </w:t>
      </w:r>
      <w:proofErr w:type="spellStart"/>
      <w:r w:rsidRPr="000C0407">
        <w:rPr>
          <w:rFonts w:asciiTheme="minorHAnsi" w:hAnsiTheme="minorHAnsi"/>
          <w:sz w:val="16"/>
          <w:szCs w:val="16"/>
          <w:lang w:val="fr-CA"/>
        </w:rPr>
        <w:t>Nazinga</w:t>
      </w:r>
      <w:proofErr w:type="spellEnd"/>
      <w:r w:rsidRPr="000C0407">
        <w:rPr>
          <w:rFonts w:asciiTheme="minorHAnsi" w:hAnsiTheme="minorHAnsi"/>
          <w:sz w:val="16"/>
          <w:szCs w:val="16"/>
          <w:lang w:val="fr-CA"/>
        </w:rPr>
        <w:t xml:space="preserve">. </w:t>
      </w:r>
      <w:r w:rsidRPr="00A037BE">
        <w:rPr>
          <w:rFonts w:asciiTheme="minorHAnsi" w:hAnsiTheme="minorHAnsi"/>
          <w:sz w:val="16"/>
          <w:szCs w:val="16"/>
          <w:lang w:val="fr-CA"/>
        </w:rPr>
        <w:t xml:space="preserve">Burkina Faso. OFINAP Ranch de Gibier de </w:t>
      </w:r>
      <w:proofErr w:type="spellStart"/>
      <w:r w:rsidRPr="00A037BE">
        <w:rPr>
          <w:rFonts w:asciiTheme="minorHAnsi" w:hAnsiTheme="minorHAnsi"/>
          <w:sz w:val="16"/>
          <w:szCs w:val="16"/>
          <w:lang w:val="fr-CA"/>
        </w:rPr>
        <w:t>Nazinga</w:t>
      </w:r>
      <w:proofErr w:type="spellEnd"/>
      <w:r w:rsidRPr="00A037BE">
        <w:rPr>
          <w:rFonts w:asciiTheme="minorHAnsi" w:hAnsiTheme="minorHAnsi"/>
          <w:sz w:val="16"/>
          <w:szCs w:val="16"/>
          <w:lang w:val="fr-CA"/>
        </w:rPr>
        <w:t xml:space="preserve">. </w:t>
      </w:r>
      <w:proofErr w:type="spellStart"/>
      <w:r w:rsidRPr="00A037BE">
        <w:rPr>
          <w:rFonts w:asciiTheme="minorHAnsi" w:hAnsiTheme="minorHAnsi"/>
          <w:sz w:val="16"/>
          <w:szCs w:val="16"/>
          <w:lang w:val="fr-CA"/>
        </w:rPr>
        <w:t>ULg</w:t>
      </w:r>
      <w:proofErr w:type="spellEnd"/>
      <w:r w:rsidRPr="00A037BE">
        <w:rPr>
          <w:rFonts w:asciiTheme="minorHAnsi" w:hAnsiTheme="minorHAnsi"/>
          <w:sz w:val="16"/>
          <w:szCs w:val="16"/>
          <w:lang w:val="fr-CA"/>
        </w:rPr>
        <w:t>-Gembloux Agro Bio-Tech.</w:t>
      </w:r>
    </w:p>
  </w:footnote>
  <w:footnote w:id="39">
    <w:p w14:paraId="138A75B0" w14:textId="77777777" w:rsidR="00ED1ADA" w:rsidRPr="00A037BE" w:rsidRDefault="00ED1ADA" w:rsidP="00A037BE">
      <w:pPr>
        <w:pStyle w:val="Notedebasdepage"/>
        <w:spacing w:after="0"/>
        <w:rPr>
          <w:rFonts w:ascii="Calibri" w:hAnsi="Calibri"/>
          <w:sz w:val="16"/>
          <w:szCs w:val="16"/>
          <w:lang w:val="fr-CA"/>
        </w:rPr>
      </w:pPr>
      <w:r w:rsidRPr="003824FD">
        <w:rPr>
          <w:rStyle w:val="Appelnotedebasdep"/>
          <w:rFonts w:ascii="Calibri" w:hAnsi="Calibri"/>
          <w:sz w:val="16"/>
          <w:szCs w:val="16"/>
        </w:rPr>
        <w:footnoteRef/>
      </w:r>
      <w:r w:rsidRPr="00A037BE">
        <w:rPr>
          <w:rFonts w:ascii="Calibri" w:hAnsi="Calibri"/>
          <w:sz w:val="16"/>
          <w:szCs w:val="16"/>
          <w:lang w:val="fr-CA"/>
        </w:rPr>
        <w:t xml:space="preserve"> ibid.</w:t>
      </w:r>
    </w:p>
  </w:footnote>
  <w:footnote w:id="40">
    <w:p w14:paraId="2C63EE8C" w14:textId="77777777" w:rsidR="00ED1ADA" w:rsidRPr="00066BE7" w:rsidRDefault="00ED1ADA" w:rsidP="00302BFE">
      <w:pPr>
        <w:pStyle w:val="Notedebasdepage"/>
        <w:tabs>
          <w:tab w:val="left" w:pos="1560"/>
        </w:tabs>
        <w:spacing w:after="0"/>
        <w:rPr>
          <w:rFonts w:ascii="Calibri" w:hAnsi="Calibri"/>
          <w:sz w:val="16"/>
          <w:szCs w:val="16"/>
        </w:rPr>
      </w:pPr>
      <w:r w:rsidRPr="00066BE7">
        <w:rPr>
          <w:rStyle w:val="Appelnotedebasdep"/>
          <w:rFonts w:ascii="Calibri" w:hAnsi="Calibri"/>
          <w:sz w:val="16"/>
          <w:szCs w:val="16"/>
        </w:rPr>
        <w:footnoteRef/>
      </w:r>
      <w:r w:rsidRPr="00A037BE">
        <w:rPr>
          <w:rFonts w:ascii="Calibri" w:hAnsi="Calibri"/>
          <w:sz w:val="16"/>
          <w:szCs w:val="16"/>
          <w:lang w:val="fr-CA"/>
        </w:rPr>
        <w:t xml:space="preserve"> Bouché P., Lejeune P., Bailly V., </w:t>
      </w:r>
      <w:proofErr w:type="spellStart"/>
      <w:r w:rsidRPr="00A037BE">
        <w:rPr>
          <w:rFonts w:ascii="Calibri" w:hAnsi="Calibri"/>
          <w:sz w:val="16"/>
          <w:szCs w:val="16"/>
          <w:lang w:val="fr-CA"/>
        </w:rPr>
        <w:t>Muyle</w:t>
      </w:r>
      <w:proofErr w:type="spellEnd"/>
      <w:r w:rsidRPr="00A037BE">
        <w:rPr>
          <w:rFonts w:ascii="Calibri" w:hAnsi="Calibri"/>
          <w:sz w:val="16"/>
          <w:szCs w:val="16"/>
          <w:lang w:val="fr-CA"/>
        </w:rPr>
        <w:t xml:space="preserve"> M., Zinque M.H., Mercier A., </w:t>
      </w:r>
      <w:proofErr w:type="spellStart"/>
      <w:r w:rsidRPr="00A037BE">
        <w:rPr>
          <w:rFonts w:ascii="Calibri" w:hAnsi="Calibri"/>
          <w:sz w:val="16"/>
          <w:szCs w:val="16"/>
          <w:lang w:val="fr-CA"/>
        </w:rPr>
        <w:t>Cornélis</w:t>
      </w:r>
      <w:proofErr w:type="spellEnd"/>
      <w:r w:rsidRPr="00A037BE">
        <w:rPr>
          <w:rFonts w:ascii="Calibri" w:hAnsi="Calibri"/>
          <w:sz w:val="16"/>
          <w:szCs w:val="16"/>
          <w:lang w:val="fr-CA"/>
        </w:rPr>
        <w:t xml:space="preserve"> D., </w:t>
      </w:r>
      <w:proofErr w:type="spellStart"/>
      <w:r w:rsidRPr="00A037BE">
        <w:rPr>
          <w:rFonts w:ascii="Calibri" w:hAnsi="Calibri"/>
          <w:sz w:val="16"/>
          <w:szCs w:val="16"/>
          <w:lang w:val="fr-CA"/>
        </w:rPr>
        <w:t>Lungren</w:t>
      </w:r>
      <w:proofErr w:type="spellEnd"/>
      <w:r w:rsidRPr="00A037BE">
        <w:rPr>
          <w:rFonts w:ascii="Calibri" w:hAnsi="Calibri"/>
          <w:sz w:val="16"/>
          <w:szCs w:val="16"/>
          <w:lang w:val="fr-CA"/>
        </w:rPr>
        <w:t xml:space="preserve"> C., Portier B., Marchal A., Renault F., Yaméogo D., Kafando P., Sawadogo </w:t>
      </w:r>
      <w:proofErr w:type="spellStart"/>
      <w:r w:rsidRPr="00A037BE">
        <w:rPr>
          <w:rFonts w:ascii="Calibri" w:hAnsi="Calibri"/>
          <w:sz w:val="16"/>
          <w:szCs w:val="16"/>
          <w:lang w:val="fr-CA"/>
        </w:rPr>
        <w:t>P.and</w:t>
      </w:r>
      <w:proofErr w:type="spellEnd"/>
      <w:r w:rsidRPr="00A037BE">
        <w:rPr>
          <w:rFonts w:ascii="Calibri" w:hAnsi="Calibri"/>
          <w:sz w:val="16"/>
          <w:szCs w:val="16"/>
          <w:lang w:val="fr-CA"/>
        </w:rPr>
        <w:t xml:space="preserve"> C. Vermeulen (2016) </w:t>
      </w:r>
      <w:proofErr w:type="spellStart"/>
      <w:r w:rsidRPr="00A037BE">
        <w:rPr>
          <w:rFonts w:ascii="Calibri" w:hAnsi="Calibri"/>
          <w:sz w:val="16"/>
          <w:szCs w:val="16"/>
          <w:lang w:val="fr-CA"/>
        </w:rPr>
        <w:t>Conserving</w:t>
      </w:r>
      <w:proofErr w:type="spellEnd"/>
      <w:r w:rsidRPr="00A037BE">
        <w:rPr>
          <w:rFonts w:ascii="Calibri" w:hAnsi="Calibri"/>
          <w:sz w:val="16"/>
          <w:szCs w:val="16"/>
          <w:lang w:val="fr-CA"/>
        </w:rPr>
        <w:t xml:space="preserve"> </w:t>
      </w:r>
      <w:proofErr w:type="spellStart"/>
      <w:r w:rsidRPr="00A037BE">
        <w:rPr>
          <w:rFonts w:ascii="Calibri" w:hAnsi="Calibri"/>
          <w:sz w:val="16"/>
          <w:szCs w:val="16"/>
          <w:lang w:val="fr-CA"/>
        </w:rPr>
        <w:t>wildlife</w:t>
      </w:r>
      <w:proofErr w:type="spellEnd"/>
      <w:r w:rsidRPr="00A037BE">
        <w:rPr>
          <w:rFonts w:ascii="Calibri" w:hAnsi="Calibri"/>
          <w:sz w:val="16"/>
          <w:szCs w:val="16"/>
          <w:lang w:val="fr-CA"/>
        </w:rPr>
        <w:t xml:space="preserve"> </w:t>
      </w:r>
      <w:proofErr w:type="spellStart"/>
      <w:r w:rsidRPr="00A037BE">
        <w:rPr>
          <w:rFonts w:ascii="Calibri" w:hAnsi="Calibri"/>
          <w:sz w:val="16"/>
          <w:szCs w:val="16"/>
          <w:lang w:val="fr-CA"/>
        </w:rPr>
        <w:t>amongst</w:t>
      </w:r>
      <w:proofErr w:type="spellEnd"/>
      <w:r w:rsidRPr="00A037BE">
        <w:rPr>
          <w:rFonts w:ascii="Calibri" w:hAnsi="Calibri"/>
          <w:sz w:val="16"/>
          <w:szCs w:val="16"/>
          <w:lang w:val="fr-CA"/>
        </w:rPr>
        <w:t xml:space="preserve"> the </w:t>
      </w:r>
      <w:proofErr w:type="spellStart"/>
      <w:r w:rsidRPr="00A037BE">
        <w:rPr>
          <w:rFonts w:ascii="Calibri" w:hAnsi="Calibri"/>
          <w:sz w:val="16"/>
          <w:szCs w:val="16"/>
          <w:lang w:val="fr-CA"/>
        </w:rPr>
        <w:t>cotton</w:t>
      </w:r>
      <w:proofErr w:type="spellEnd"/>
      <w:r w:rsidRPr="00A037BE">
        <w:rPr>
          <w:rFonts w:ascii="Calibri" w:hAnsi="Calibri"/>
          <w:sz w:val="16"/>
          <w:szCs w:val="16"/>
          <w:lang w:val="fr-CA"/>
        </w:rPr>
        <w:t xml:space="preserve"> </w:t>
      </w:r>
      <w:proofErr w:type="spellStart"/>
      <w:r w:rsidRPr="00A037BE">
        <w:rPr>
          <w:rFonts w:ascii="Calibri" w:hAnsi="Calibri"/>
          <w:sz w:val="16"/>
          <w:szCs w:val="16"/>
          <w:lang w:val="fr-CA"/>
        </w:rPr>
        <w:t>fields</w:t>
      </w:r>
      <w:proofErr w:type="spellEnd"/>
      <w:r w:rsidRPr="00A037BE">
        <w:rPr>
          <w:rFonts w:ascii="Calibri" w:hAnsi="Calibri"/>
          <w:sz w:val="16"/>
          <w:szCs w:val="16"/>
          <w:lang w:val="fr-CA"/>
        </w:rPr>
        <w:t xml:space="preserve">. </w:t>
      </w:r>
      <w:r w:rsidRPr="00066BE7">
        <w:rPr>
          <w:rFonts w:ascii="Calibri" w:hAnsi="Calibri"/>
          <w:sz w:val="16"/>
          <w:szCs w:val="16"/>
          <w:lang w:val="en-CA"/>
        </w:rPr>
        <w:t xml:space="preserve">A third of a century of experience at the </w:t>
      </w:r>
      <w:proofErr w:type="spellStart"/>
      <w:r w:rsidRPr="00066BE7">
        <w:rPr>
          <w:rFonts w:ascii="Calibri" w:hAnsi="Calibri"/>
          <w:sz w:val="16"/>
          <w:szCs w:val="16"/>
          <w:lang w:val="en-CA"/>
        </w:rPr>
        <w:t>Nazinga</w:t>
      </w:r>
      <w:proofErr w:type="spellEnd"/>
      <w:r w:rsidRPr="00066BE7">
        <w:rPr>
          <w:rFonts w:ascii="Calibri" w:hAnsi="Calibri"/>
          <w:sz w:val="16"/>
          <w:szCs w:val="16"/>
          <w:lang w:val="en-CA"/>
        </w:rPr>
        <w:t xml:space="preserve"> Game Ranch, Burkina Faso. Environ. </w:t>
      </w:r>
      <w:proofErr w:type="spellStart"/>
      <w:r w:rsidRPr="00066BE7">
        <w:rPr>
          <w:rFonts w:ascii="Calibri" w:hAnsi="Calibri"/>
          <w:sz w:val="16"/>
          <w:szCs w:val="16"/>
        </w:rPr>
        <w:t>Monit</w:t>
      </w:r>
      <w:proofErr w:type="spellEnd"/>
      <w:r w:rsidRPr="00066BE7">
        <w:rPr>
          <w:rFonts w:ascii="Calibri" w:hAnsi="Calibri"/>
          <w:sz w:val="16"/>
          <w:szCs w:val="16"/>
        </w:rPr>
        <w:t xml:space="preserve">. </w:t>
      </w:r>
      <w:r w:rsidRPr="00066BE7">
        <w:rPr>
          <w:rFonts w:ascii="Calibri" w:hAnsi="Calibri"/>
          <w:sz w:val="16"/>
          <w:szCs w:val="16"/>
          <w:lang w:val="en-CA"/>
        </w:rPr>
        <w:t>Assess. DOI 10.1007/s10661-016-5388-y.</w:t>
      </w:r>
    </w:p>
  </w:footnote>
  <w:footnote w:id="41">
    <w:p w14:paraId="10C346E1" w14:textId="77777777" w:rsidR="00ED1ADA" w:rsidRPr="007F4D35" w:rsidRDefault="00ED1ADA" w:rsidP="001B7D4D">
      <w:pPr>
        <w:pStyle w:val="Notedebasdepage"/>
        <w:spacing w:after="0"/>
        <w:rPr>
          <w:rFonts w:ascii="Calibri" w:hAnsi="Calibri"/>
          <w:sz w:val="16"/>
          <w:szCs w:val="16"/>
          <w:lang w:val="en-CA"/>
        </w:rPr>
      </w:pPr>
      <w:r w:rsidRPr="007F4D35">
        <w:rPr>
          <w:rStyle w:val="Appelnotedebasdep"/>
          <w:rFonts w:ascii="Calibri" w:hAnsi="Calibri"/>
          <w:sz w:val="16"/>
          <w:szCs w:val="16"/>
        </w:rPr>
        <w:footnoteRef/>
      </w:r>
      <w:r w:rsidRPr="007F4D35">
        <w:rPr>
          <w:rFonts w:ascii="Calibri" w:hAnsi="Calibri"/>
          <w:sz w:val="16"/>
          <w:szCs w:val="16"/>
          <w:lang w:val="en-CA"/>
        </w:rPr>
        <w:t xml:space="preserve"> Freeman, O. E., L.A. </w:t>
      </w:r>
      <w:proofErr w:type="spellStart"/>
      <w:r w:rsidRPr="007F4D35">
        <w:rPr>
          <w:rFonts w:ascii="Calibri" w:hAnsi="Calibri"/>
          <w:sz w:val="16"/>
          <w:szCs w:val="16"/>
          <w:lang w:val="en-CA"/>
        </w:rPr>
        <w:t>Duguma</w:t>
      </w:r>
      <w:proofErr w:type="spellEnd"/>
      <w:r w:rsidRPr="007F4D35">
        <w:rPr>
          <w:rFonts w:ascii="Calibri" w:hAnsi="Calibri"/>
          <w:sz w:val="16"/>
          <w:szCs w:val="16"/>
          <w:lang w:val="en-CA"/>
        </w:rPr>
        <w:t xml:space="preserve"> and P.A. </w:t>
      </w:r>
      <w:proofErr w:type="spellStart"/>
      <w:r w:rsidRPr="007F4D35">
        <w:rPr>
          <w:rFonts w:ascii="Calibri" w:hAnsi="Calibri"/>
          <w:sz w:val="16"/>
          <w:szCs w:val="16"/>
          <w:lang w:val="en-CA"/>
        </w:rPr>
        <w:t>Minang</w:t>
      </w:r>
      <w:proofErr w:type="spellEnd"/>
      <w:r w:rsidRPr="007F4D35">
        <w:rPr>
          <w:rFonts w:ascii="Calibri" w:hAnsi="Calibri"/>
          <w:sz w:val="16"/>
          <w:szCs w:val="16"/>
          <w:lang w:val="en-CA"/>
        </w:rPr>
        <w:t>. 2015. Operationalizing the integrated landscape approach in practice. Ecology and Society 20:24</w:t>
      </w:r>
    </w:p>
  </w:footnote>
  <w:footnote w:id="42">
    <w:p w14:paraId="2E82ED4C" w14:textId="77777777" w:rsidR="00ED1ADA" w:rsidRPr="000D4277" w:rsidRDefault="00ED1ADA" w:rsidP="000D4277">
      <w:pPr>
        <w:autoSpaceDE w:val="0"/>
        <w:autoSpaceDN w:val="0"/>
        <w:adjustRightInd w:val="0"/>
        <w:spacing w:after="0"/>
        <w:rPr>
          <w:rFonts w:asciiTheme="minorHAnsi" w:hAnsiTheme="minorHAnsi"/>
          <w:sz w:val="16"/>
          <w:szCs w:val="16"/>
          <w:lang w:val="en-CA"/>
        </w:rPr>
      </w:pPr>
      <w:r w:rsidRPr="006738ED">
        <w:rPr>
          <w:rStyle w:val="Appelnotedebasdep"/>
          <w:sz w:val="16"/>
          <w:szCs w:val="16"/>
        </w:rPr>
        <w:footnoteRef/>
      </w:r>
      <w:r w:rsidRPr="006738ED">
        <w:rPr>
          <w:sz w:val="16"/>
          <w:szCs w:val="16"/>
        </w:rPr>
        <w:t xml:space="preserve"> </w:t>
      </w:r>
      <w:proofErr w:type="spellStart"/>
      <w:r w:rsidRPr="000D4277">
        <w:rPr>
          <w:rFonts w:asciiTheme="minorHAnsi" w:eastAsia="HelveticaNeue-Light" w:hAnsiTheme="minorHAnsi"/>
          <w:sz w:val="16"/>
          <w:szCs w:val="16"/>
        </w:rPr>
        <w:t>Neugarten</w:t>
      </w:r>
      <w:proofErr w:type="spellEnd"/>
      <w:r w:rsidRPr="000D4277">
        <w:rPr>
          <w:rFonts w:asciiTheme="minorHAnsi" w:eastAsia="HelveticaNeue-Light" w:hAnsiTheme="minorHAnsi"/>
          <w:sz w:val="16"/>
          <w:szCs w:val="16"/>
        </w:rPr>
        <w:t xml:space="preserve">, R.A., Langhammer, P.F., Osipova, E., </w:t>
      </w:r>
      <w:proofErr w:type="spellStart"/>
      <w:r w:rsidRPr="000D4277">
        <w:rPr>
          <w:rFonts w:asciiTheme="minorHAnsi" w:eastAsia="HelveticaNeue-Light" w:hAnsiTheme="minorHAnsi"/>
          <w:sz w:val="16"/>
          <w:szCs w:val="16"/>
        </w:rPr>
        <w:t>Bagstad</w:t>
      </w:r>
      <w:proofErr w:type="spellEnd"/>
      <w:r w:rsidRPr="000D4277">
        <w:rPr>
          <w:rFonts w:asciiTheme="minorHAnsi" w:eastAsia="HelveticaNeue-Light" w:hAnsiTheme="minorHAnsi"/>
          <w:sz w:val="16"/>
          <w:szCs w:val="16"/>
        </w:rPr>
        <w:t xml:space="preserve">, K.J., </w:t>
      </w:r>
      <w:proofErr w:type="spellStart"/>
      <w:r w:rsidRPr="000D4277">
        <w:rPr>
          <w:rFonts w:asciiTheme="minorHAnsi" w:eastAsia="HelveticaNeue-Light" w:hAnsiTheme="minorHAnsi"/>
          <w:sz w:val="16"/>
          <w:szCs w:val="16"/>
        </w:rPr>
        <w:t>Bhagabati</w:t>
      </w:r>
      <w:proofErr w:type="spellEnd"/>
      <w:r w:rsidRPr="000D4277">
        <w:rPr>
          <w:rFonts w:asciiTheme="minorHAnsi" w:eastAsia="HelveticaNeue-Light" w:hAnsiTheme="minorHAnsi"/>
          <w:sz w:val="16"/>
          <w:szCs w:val="16"/>
        </w:rPr>
        <w:t xml:space="preserve">, N., Butchart, S.H.M., Dudley, N., Elliott, V., Gerber, L.R., Gutierrez </w:t>
      </w:r>
      <w:proofErr w:type="spellStart"/>
      <w:r w:rsidRPr="000D4277">
        <w:rPr>
          <w:rFonts w:asciiTheme="minorHAnsi" w:eastAsia="HelveticaNeue-Light" w:hAnsiTheme="minorHAnsi"/>
          <w:sz w:val="16"/>
          <w:szCs w:val="16"/>
        </w:rPr>
        <w:t>Arrellano</w:t>
      </w:r>
      <w:proofErr w:type="spellEnd"/>
      <w:r w:rsidRPr="000D4277">
        <w:rPr>
          <w:rFonts w:asciiTheme="minorHAnsi" w:eastAsia="HelveticaNeue-Light" w:hAnsiTheme="minorHAnsi"/>
          <w:sz w:val="16"/>
          <w:szCs w:val="16"/>
        </w:rPr>
        <w:t xml:space="preserve">, C., Ivanić, K.-Z., </w:t>
      </w:r>
      <w:proofErr w:type="spellStart"/>
      <w:r w:rsidRPr="000D4277">
        <w:rPr>
          <w:rFonts w:asciiTheme="minorHAnsi" w:eastAsia="HelveticaNeue-Light" w:hAnsiTheme="minorHAnsi"/>
          <w:sz w:val="16"/>
          <w:szCs w:val="16"/>
        </w:rPr>
        <w:t>Kettunen</w:t>
      </w:r>
      <w:proofErr w:type="spellEnd"/>
      <w:r w:rsidRPr="000D4277">
        <w:rPr>
          <w:rFonts w:asciiTheme="minorHAnsi" w:eastAsia="HelveticaNeue-Light" w:hAnsiTheme="minorHAnsi"/>
          <w:sz w:val="16"/>
          <w:szCs w:val="16"/>
        </w:rPr>
        <w:t xml:space="preserve">, M., Mandle, L., Merriman, J.C., </w:t>
      </w:r>
      <w:r w:rsidRPr="000D4277">
        <w:rPr>
          <w:rFonts w:asciiTheme="minorHAnsi" w:eastAsia="HelveticaNeue-Light" w:hAnsiTheme="minorHAnsi"/>
          <w:sz w:val="16"/>
          <w:szCs w:val="16"/>
          <w:lang w:val="en-CA"/>
        </w:rPr>
        <w:t xml:space="preserve">Mulligan, M., </w:t>
      </w:r>
      <w:proofErr w:type="spellStart"/>
      <w:r w:rsidRPr="000D4277">
        <w:rPr>
          <w:rFonts w:asciiTheme="minorHAnsi" w:eastAsia="HelveticaNeue-Light" w:hAnsiTheme="minorHAnsi"/>
          <w:sz w:val="16"/>
          <w:szCs w:val="16"/>
          <w:lang w:val="en-CA"/>
        </w:rPr>
        <w:t>Peh</w:t>
      </w:r>
      <w:proofErr w:type="spellEnd"/>
      <w:r w:rsidRPr="000D4277">
        <w:rPr>
          <w:rFonts w:asciiTheme="minorHAnsi" w:eastAsia="HelveticaNeue-Light" w:hAnsiTheme="minorHAnsi"/>
          <w:sz w:val="16"/>
          <w:szCs w:val="16"/>
          <w:lang w:val="en-CA"/>
        </w:rPr>
        <w:t xml:space="preserve">, K.S.-H., </w:t>
      </w:r>
      <w:proofErr w:type="spellStart"/>
      <w:r w:rsidRPr="000D4277">
        <w:rPr>
          <w:rFonts w:asciiTheme="minorHAnsi" w:eastAsia="HelveticaNeue-Light" w:hAnsiTheme="minorHAnsi"/>
          <w:sz w:val="16"/>
          <w:szCs w:val="16"/>
          <w:lang w:val="en-CA"/>
        </w:rPr>
        <w:t>Raudsepp</w:t>
      </w:r>
      <w:proofErr w:type="spellEnd"/>
      <w:r w:rsidRPr="000D4277">
        <w:rPr>
          <w:rFonts w:asciiTheme="minorHAnsi" w:eastAsia="HelveticaNeue-Light" w:hAnsiTheme="minorHAnsi"/>
          <w:sz w:val="16"/>
          <w:szCs w:val="16"/>
          <w:lang w:val="en-CA"/>
        </w:rPr>
        <w:t xml:space="preserve">-Hearne, C., Semmens, D.J., </w:t>
      </w:r>
      <w:proofErr w:type="spellStart"/>
      <w:r w:rsidRPr="000D4277">
        <w:rPr>
          <w:rFonts w:asciiTheme="minorHAnsi" w:eastAsia="HelveticaNeue-Light" w:hAnsiTheme="minorHAnsi"/>
          <w:sz w:val="16"/>
          <w:szCs w:val="16"/>
          <w:lang w:val="en-CA"/>
        </w:rPr>
        <w:t>Stolton</w:t>
      </w:r>
      <w:proofErr w:type="spellEnd"/>
      <w:r w:rsidRPr="000D4277">
        <w:rPr>
          <w:rFonts w:asciiTheme="minorHAnsi" w:eastAsia="HelveticaNeue-Light" w:hAnsiTheme="minorHAnsi"/>
          <w:sz w:val="16"/>
          <w:szCs w:val="16"/>
          <w:lang w:val="en-CA"/>
        </w:rPr>
        <w:t xml:space="preserve">, S., </w:t>
      </w:r>
      <w:proofErr w:type="spellStart"/>
      <w:r w:rsidRPr="000D4277">
        <w:rPr>
          <w:rFonts w:asciiTheme="minorHAnsi" w:eastAsia="HelveticaNeue-Light" w:hAnsiTheme="minorHAnsi"/>
          <w:sz w:val="16"/>
          <w:szCs w:val="16"/>
          <w:lang w:val="en-CA"/>
        </w:rPr>
        <w:t>Willcock</w:t>
      </w:r>
      <w:proofErr w:type="spellEnd"/>
      <w:r w:rsidRPr="000D4277">
        <w:rPr>
          <w:rFonts w:asciiTheme="minorHAnsi" w:eastAsia="HelveticaNeue-Light" w:hAnsiTheme="minorHAnsi"/>
          <w:sz w:val="16"/>
          <w:szCs w:val="16"/>
          <w:lang w:val="en-CA"/>
        </w:rPr>
        <w:t xml:space="preserve">, S. (2018). </w:t>
      </w:r>
      <w:r w:rsidRPr="000D4277">
        <w:rPr>
          <w:rFonts w:asciiTheme="minorHAnsi" w:eastAsia="HelveticaNeue-Light" w:hAnsiTheme="minorHAnsi"/>
          <w:i/>
          <w:iCs/>
          <w:sz w:val="16"/>
          <w:szCs w:val="16"/>
          <w:lang w:val="en-CA"/>
        </w:rPr>
        <w:t>Tools for measuring, modelling, and valuing ecosystem services: Guidance for Key Biodiversity Areas, natural World Heritage Sites, and protected areas</w:t>
      </w:r>
      <w:r w:rsidRPr="000D4277">
        <w:rPr>
          <w:rFonts w:asciiTheme="minorHAnsi" w:eastAsia="HelveticaNeue-Light" w:hAnsiTheme="minorHAnsi"/>
          <w:sz w:val="16"/>
          <w:szCs w:val="16"/>
          <w:lang w:val="en-CA"/>
        </w:rPr>
        <w:t>. Gland, Switzerland: IUCN. x + 70pp</w:t>
      </w:r>
      <w:r w:rsidRPr="000D4277">
        <w:rPr>
          <w:rFonts w:asciiTheme="minorHAnsi" w:eastAsia="HelveticaNeue-Light" w:hAnsiTheme="minorHAnsi" w:cs="HelveticaNeue-Light"/>
          <w:sz w:val="16"/>
          <w:szCs w:val="16"/>
          <w:lang w:val="en-CA"/>
        </w:rPr>
        <w:t>.</w:t>
      </w:r>
    </w:p>
  </w:footnote>
  <w:footnote w:id="43">
    <w:p w14:paraId="6FD641FE" w14:textId="77777777" w:rsidR="00ED1ADA" w:rsidRPr="000D4277" w:rsidRDefault="00ED1ADA" w:rsidP="000D4277">
      <w:pPr>
        <w:pStyle w:val="Notedebasdepage"/>
        <w:spacing w:after="0"/>
        <w:rPr>
          <w:rFonts w:asciiTheme="minorHAnsi" w:eastAsia="HelveticaNeue-Light" w:hAnsiTheme="minorHAnsi"/>
          <w:sz w:val="16"/>
          <w:szCs w:val="16"/>
        </w:rPr>
      </w:pPr>
      <w:r w:rsidRPr="000D4277">
        <w:rPr>
          <w:rStyle w:val="Appelnotedebasdep"/>
          <w:rFonts w:asciiTheme="minorHAnsi" w:hAnsiTheme="minorHAnsi"/>
          <w:sz w:val="16"/>
          <w:szCs w:val="16"/>
        </w:rPr>
        <w:footnoteRef/>
      </w:r>
      <w:r w:rsidRPr="000D4277">
        <w:rPr>
          <w:rFonts w:asciiTheme="minorHAnsi" w:hAnsiTheme="minorHAnsi"/>
          <w:sz w:val="16"/>
          <w:szCs w:val="16"/>
        </w:rPr>
        <w:t xml:space="preserve"> </w:t>
      </w:r>
      <w:proofErr w:type="spellStart"/>
      <w:r w:rsidRPr="000D4277">
        <w:rPr>
          <w:rFonts w:asciiTheme="minorHAnsi" w:eastAsia="HelveticaNeue-Light" w:hAnsiTheme="minorHAnsi"/>
          <w:sz w:val="16"/>
          <w:szCs w:val="16"/>
        </w:rPr>
        <w:t>Peh</w:t>
      </w:r>
      <w:proofErr w:type="spellEnd"/>
      <w:r w:rsidRPr="000D4277">
        <w:rPr>
          <w:rFonts w:asciiTheme="minorHAnsi" w:eastAsia="HelveticaNeue-Light" w:hAnsiTheme="minorHAnsi"/>
          <w:sz w:val="16"/>
          <w:szCs w:val="16"/>
        </w:rPr>
        <w:t xml:space="preserve"> K.S.H., </w:t>
      </w:r>
      <w:proofErr w:type="spellStart"/>
      <w:r w:rsidRPr="000D4277">
        <w:rPr>
          <w:rFonts w:asciiTheme="minorHAnsi" w:eastAsia="HelveticaNeue-Light" w:hAnsiTheme="minorHAnsi"/>
          <w:sz w:val="16"/>
          <w:szCs w:val="16"/>
        </w:rPr>
        <w:t>Balmford</w:t>
      </w:r>
      <w:proofErr w:type="spellEnd"/>
      <w:r w:rsidRPr="000D4277">
        <w:rPr>
          <w:rFonts w:asciiTheme="minorHAnsi" w:eastAsia="HelveticaNeue-Light" w:hAnsiTheme="minorHAnsi"/>
          <w:sz w:val="16"/>
          <w:szCs w:val="16"/>
        </w:rPr>
        <w:t xml:space="preserve"> A.P., Bradbury R.B., Brown C., Butchart S.H.M., Hughes F.M.R., MacDonald M.A, </w:t>
      </w:r>
      <w:proofErr w:type="spellStart"/>
      <w:r w:rsidRPr="000D4277">
        <w:rPr>
          <w:rFonts w:asciiTheme="minorHAnsi" w:eastAsia="HelveticaNeue-Light" w:hAnsiTheme="minorHAnsi"/>
          <w:sz w:val="16"/>
          <w:szCs w:val="16"/>
        </w:rPr>
        <w:t>Stattersfield</w:t>
      </w:r>
      <w:proofErr w:type="spellEnd"/>
      <w:r w:rsidRPr="000D4277">
        <w:rPr>
          <w:rFonts w:asciiTheme="minorHAnsi" w:eastAsia="HelveticaNeue-Light" w:hAnsiTheme="minorHAnsi"/>
          <w:sz w:val="16"/>
          <w:szCs w:val="16"/>
        </w:rPr>
        <w:t xml:space="preserve"> A.J., Thomas D.H.L., Trevelyan R.J., Walpole M. &amp; Merriman J.C. (2017) Toolkit for Ecosystem Service Site-based Assessment (TESSA). Version 2.0 Cambridge, UK. Available at: http://tessa.tools</w:t>
      </w:r>
    </w:p>
  </w:footnote>
  <w:footnote w:id="44">
    <w:p w14:paraId="09AE8EC2" w14:textId="77777777" w:rsidR="00ED1ADA" w:rsidRPr="006040D6" w:rsidRDefault="00ED1ADA" w:rsidP="001B7D4D">
      <w:pPr>
        <w:pStyle w:val="Notedebasdepage"/>
        <w:spacing w:after="0"/>
        <w:rPr>
          <w:rFonts w:ascii="Calibri" w:hAnsi="Calibri"/>
          <w:sz w:val="16"/>
          <w:szCs w:val="16"/>
          <w:lang w:val="en-CA"/>
        </w:rPr>
      </w:pPr>
      <w:r w:rsidRPr="006040D6">
        <w:rPr>
          <w:rStyle w:val="Appelnotedebasdep"/>
          <w:sz w:val="16"/>
          <w:szCs w:val="16"/>
        </w:rPr>
        <w:footnoteRef/>
      </w:r>
      <w:r w:rsidRPr="006040D6">
        <w:rPr>
          <w:rFonts w:ascii="Calibri" w:hAnsi="Calibri"/>
          <w:sz w:val="16"/>
          <w:szCs w:val="16"/>
          <w:lang w:val="en-CA"/>
        </w:rPr>
        <w:t xml:space="preserve"> UNFCCC. 2015. Measurements for Estimation of Carbon Stocks in Afforestation and Reforestation Project Activities under the Clean Development Mechanism: A </w:t>
      </w:r>
      <w:r>
        <w:rPr>
          <w:rFonts w:ascii="Calibri" w:hAnsi="Calibri"/>
          <w:sz w:val="16"/>
          <w:szCs w:val="16"/>
          <w:lang w:val="en-CA"/>
        </w:rPr>
        <w:t>Field</w:t>
      </w:r>
      <w:r w:rsidRPr="006040D6">
        <w:rPr>
          <w:rFonts w:ascii="Calibri" w:hAnsi="Calibri"/>
          <w:sz w:val="16"/>
          <w:szCs w:val="16"/>
          <w:lang w:val="en-CA"/>
        </w:rPr>
        <w:t xml:space="preserve"> Manual.</w:t>
      </w:r>
    </w:p>
  </w:footnote>
  <w:footnote w:id="45">
    <w:p w14:paraId="08A76818" w14:textId="77777777" w:rsidR="00ED1ADA" w:rsidRPr="00C1276E" w:rsidRDefault="00ED1ADA" w:rsidP="00302BFE">
      <w:pPr>
        <w:pStyle w:val="Notedebasdepage"/>
        <w:spacing w:after="0"/>
        <w:rPr>
          <w:rFonts w:ascii="Calibri" w:hAnsi="Calibri"/>
          <w:sz w:val="16"/>
          <w:szCs w:val="16"/>
          <w:lang w:val="en-GB"/>
        </w:rPr>
      </w:pPr>
      <w:r w:rsidRPr="0076740F">
        <w:rPr>
          <w:rStyle w:val="Appelnotedebasdep"/>
          <w:sz w:val="16"/>
          <w:szCs w:val="16"/>
        </w:rPr>
        <w:footnoteRef/>
      </w:r>
      <w:r w:rsidRPr="00DB6203">
        <w:rPr>
          <w:rFonts w:ascii="Calibri" w:hAnsi="Calibri"/>
          <w:sz w:val="16"/>
          <w:szCs w:val="16"/>
          <w:lang w:val="en-CA"/>
        </w:rPr>
        <w:t xml:space="preserve"> </w:t>
      </w:r>
      <w:r w:rsidRPr="00C1276E">
        <w:rPr>
          <w:rFonts w:ascii="Calibri" w:hAnsi="Calibri"/>
          <w:sz w:val="16"/>
          <w:szCs w:val="16"/>
          <w:lang w:val="en-GB"/>
        </w:rPr>
        <w:t>Which are not operational so far</w:t>
      </w:r>
      <w:r>
        <w:rPr>
          <w:rFonts w:ascii="Calibri" w:hAnsi="Calibri"/>
          <w:sz w:val="16"/>
          <w:szCs w:val="16"/>
          <w:lang w:val="en-GB"/>
        </w:rPr>
        <w:t>.</w:t>
      </w:r>
    </w:p>
  </w:footnote>
  <w:footnote w:id="46">
    <w:p w14:paraId="19511C5D" w14:textId="77777777" w:rsidR="00ED1ADA" w:rsidRPr="00C1276E" w:rsidRDefault="00ED1ADA" w:rsidP="00302BFE">
      <w:pPr>
        <w:pStyle w:val="Notedebasdepage"/>
        <w:spacing w:after="0"/>
        <w:rPr>
          <w:rFonts w:ascii="Calibri" w:hAnsi="Calibri"/>
          <w:sz w:val="16"/>
          <w:szCs w:val="16"/>
          <w:lang w:val="en-GB"/>
        </w:rPr>
      </w:pPr>
      <w:r w:rsidRPr="00C1276E">
        <w:rPr>
          <w:rStyle w:val="Appelnotedebasdep"/>
          <w:sz w:val="16"/>
          <w:szCs w:val="16"/>
        </w:rPr>
        <w:footnoteRef/>
      </w:r>
      <w:r w:rsidRPr="00C1276E">
        <w:rPr>
          <w:rFonts w:ascii="Calibri" w:hAnsi="Calibri"/>
          <w:sz w:val="16"/>
          <w:szCs w:val="16"/>
          <w:lang w:val="en-GB"/>
        </w:rPr>
        <w:t xml:space="preserve"> Burkina Faso has </w:t>
      </w:r>
      <w:r>
        <w:rPr>
          <w:rFonts w:ascii="Calibri" w:hAnsi="Calibri"/>
          <w:sz w:val="16"/>
          <w:szCs w:val="16"/>
          <w:lang w:val="en-GB"/>
        </w:rPr>
        <w:t>registered</w:t>
      </w:r>
      <w:r w:rsidRPr="00C1276E">
        <w:rPr>
          <w:rFonts w:ascii="Calibri" w:hAnsi="Calibri"/>
          <w:sz w:val="16"/>
          <w:szCs w:val="16"/>
          <w:lang w:val="en-GB"/>
        </w:rPr>
        <w:t xml:space="preserve"> the PONASI Complex on the list of Wetlands of International Importance (Ramsar Site) under number 2366. The Ramsar site encompasses the 3 Protected Areas of the PONASI landscape as referred to in this project but does not include Corridor Number 2 linking Kaboré </w:t>
      </w:r>
      <w:proofErr w:type="spellStart"/>
      <w:r w:rsidRPr="00C1276E">
        <w:rPr>
          <w:rFonts w:ascii="Calibri" w:hAnsi="Calibri"/>
          <w:sz w:val="16"/>
          <w:szCs w:val="16"/>
          <w:lang w:val="en-GB"/>
        </w:rPr>
        <w:t>Tambi</w:t>
      </w:r>
      <w:proofErr w:type="spellEnd"/>
      <w:r w:rsidRPr="00C1276E">
        <w:rPr>
          <w:rFonts w:ascii="Calibri" w:hAnsi="Calibri"/>
          <w:sz w:val="16"/>
          <w:szCs w:val="16"/>
          <w:lang w:val="en-GB"/>
        </w:rPr>
        <w:t xml:space="preserve"> National Park to </w:t>
      </w:r>
      <w:r>
        <w:rPr>
          <w:rFonts w:ascii="Calibri" w:hAnsi="Calibri"/>
          <w:sz w:val="16"/>
          <w:szCs w:val="16"/>
          <w:lang w:val="en-GB"/>
        </w:rPr>
        <w:t xml:space="preserve">the </w:t>
      </w:r>
      <w:r w:rsidRPr="00C1276E">
        <w:rPr>
          <w:rFonts w:ascii="Calibri" w:hAnsi="Calibri"/>
          <w:sz w:val="16"/>
          <w:szCs w:val="16"/>
          <w:lang w:val="en-GB"/>
        </w:rPr>
        <w:t>Ghanaian territory. At this stage, the Ramsar Site does not have a management plan, although it relies on existing visitor facilities such as observation towers and observatories to enrich the tourist experience. It is therefore realistic for this project to integrate wetland management objectives into land use planning and the master plan to be developed for the PONASI landscape.</w:t>
      </w:r>
      <w:r w:rsidRPr="00C1276E">
        <w:rPr>
          <w:rFonts w:ascii="Calibri" w:hAnsi="Calibri"/>
          <w:sz w:val="16"/>
          <w:szCs w:val="16"/>
          <w:lang w:val="en-GB" w:eastAsia="fr-FR"/>
        </w:rPr>
        <w:t xml:space="preserve"> </w:t>
      </w:r>
    </w:p>
  </w:footnote>
  <w:footnote w:id="47">
    <w:p w14:paraId="57B9E5BD" w14:textId="77777777" w:rsidR="00ED1ADA" w:rsidRPr="0070719A" w:rsidRDefault="00ED1ADA" w:rsidP="00302BFE">
      <w:pPr>
        <w:pStyle w:val="Notedebasdepage"/>
        <w:rPr>
          <w:rFonts w:ascii="Calibri" w:hAnsi="Calibri"/>
          <w:sz w:val="16"/>
          <w:szCs w:val="16"/>
        </w:rPr>
      </w:pPr>
      <w:r w:rsidRPr="0070719A">
        <w:rPr>
          <w:rStyle w:val="Appelnotedebasdep"/>
          <w:rFonts w:ascii="Calibri" w:hAnsi="Calibri"/>
          <w:sz w:val="16"/>
          <w:szCs w:val="16"/>
        </w:rPr>
        <w:footnoteRef/>
      </w:r>
      <w:r w:rsidRPr="0070719A">
        <w:rPr>
          <w:rFonts w:ascii="Calibri" w:hAnsi="Calibri"/>
          <w:sz w:val="16"/>
          <w:szCs w:val="16"/>
        </w:rPr>
        <w:t xml:space="preserve"> </w:t>
      </w:r>
      <w:r w:rsidRPr="0070719A">
        <w:rPr>
          <w:rFonts w:ascii="Calibri" w:hAnsi="Calibri"/>
          <w:sz w:val="16"/>
          <w:szCs w:val="16"/>
          <w:lang w:val="en-GB"/>
        </w:rPr>
        <w:t>SRM ensures individuals, peoples, and communities affected by projects have access to appropriate grievance resolution procedures for hearing and addressing project-related complaints and disputes.</w:t>
      </w:r>
    </w:p>
  </w:footnote>
  <w:footnote w:id="48">
    <w:p w14:paraId="11AF6838" w14:textId="77777777" w:rsidR="00ED1ADA" w:rsidRPr="005F3825" w:rsidRDefault="00ED1ADA" w:rsidP="00302BFE">
      <w:pPr>
        <w:pStyle w:val="Notedebasdepage"/>
        <w:spacing w:after="0"/>
        <w:rPr>
          <w:rFonts w:ascii="Calibri" w:hAnsi="Calibri"/>
          <w:sz w:val="16"/>
          <w:szCs w:val="16"/>
          <w:lang w:val="fr-CA"/>
        </w:rPr>
      </w:pPr>
      <w:r w:rsidRPr="005F3825">
        <w:rPr>
          <w:rStyle w:val="Appelnotedebasdep"/>
          <w:rFonts w:ascii="Calibri" w:hAnsi="Calibri"/>
          <w:szCs w:val="16"/>
        </w:rPr>
        <w:footnoteRef/>
      </w:r>
      <w:r w:rsidRPr="005F3825">
        <w:rPr>
          <w:rFonts w:ascii="Calibri" w:hAnsi="Calibri"/>
          <w:szCs w:val="16"/>
          <w:lang w:val="en-GB"/>
        </w:rPr>
        <w:t xml:space="preserve"> </w:t>
      </w:r>
      <w:r w:rsidRPr="005F3825">
        <w:rPr>
          <w:rFonts w:ascii="Calibri" w:eastAsia="Cambria" w:hAnsi="Calibri"/>
          <w:sz w:val="16"/>
          <w:szCs w:val="16"/>
          <w:lang w:val="en-GB"/>
        </w:rPr>
        <w:t xml:space="preserve">Lotter, W.D., Roberts, K., Singh, R., Clark, K., Barlow, C., de Kock, R., Steiner, K., </w:t>
      </w:r>
      <w:proofErr w:type="spellStart"/>
      <w:r w:rsidRPr="005F3825">
        <w:rPr>
          <w:rFonts w:ascii="Calibri" w:eastAsia="Cambria" w:hAnsi="Calibri"/>
          <w:sz w:val="16"/>
          <w:szCs w:val="16"/>
          <w:lang w:val="en-GB"/>
        </w:rPr>
        <w:t>Mander</w:t>
      </w:r>
      <w:proofErr w:type="spellEnd"/>
      <w:r w:rsidRPr="005F3825">
        <w:rPr>
          <w:rFonts w:ascii="Calibri" w:eastAsia="Cambria" w:hAnsi="Calibri"/>
          <w:sz w:val="16"/>
          <w:szCs w:val="16"/>
          <w:lang w:val="en-GB"/>
        </w:rPr>
        <w:t xml:space="preserve">, D., Khadka, M. et Guerrero, J. (2016). </w:t>
      </w:r>
      <w:r w:rsidRPr="005F3825">
        <w:rPr>
          <w:rFonts w:ascii="Calibri" w:eastAsia="Cambria" w:hAnsi="Calibri"/>
          <w:sz w:val="16"/>
          <w:szCs w:val="16"/>
          <w:lang w:val="fr-CA"/>
        </w:rPr>
        <w:t>Lutte anti-braconnage dans et autour des aires protégées. Lignes directrices pour la formation des gardes.</w:t>
      </w:r>
    </w:p>
  </w:footnote>
  <w:footnote w:id="49">
    <w:p w14:paraId="0A6FD4AF" w14:textId="69BA7664" w:rsidR="00ED1ADA" w:rsidRPr="009E6CE7" w:rsidRDefault="00ED1ADA" w:rsidP="009E6CE7">
      <w:pPr>
        <w:pStyle w:val="Notedebasdepage"/>
        <w:spacing w:after="0"/>
        <w:rPr>
          <w:rFonts w:asciiTheme="minorHAnsi" w:hAnsiTheme="minorHAnsi"/>
          <w:sz w:val="16"/>
          <w:szCs w:val="16"/>
          <w:lang w:val="en-CA"/>
        </w:rPr>
      </w:pPr>
      <w:r w:rsidRPr="00D61C93">
        <w:rPr>
          <w:rStyle w:val="Appelnotedebasdep"/>
          <w:rFonts w:asciiTheme="minorHAnsi" w:hAnsiTheme="minorHAnsi"/>
          <w:sz w:val="16"/>
          <w:szCs w:val="16"/>
        </w:rPr>
        <w:footnoteRef/>
      </w:r>
      <w:r w:rsidRPr="00D61C93">
        <w:rPr>
          <w:rFonts w:asciiTheme="minorHAnsi" w:hAnsiTheme="minorHAnsi"/>
          <w:sz w:val="16"/>
          <w:szCs w:val="16"/>
        </w:rPr>
        <w:t xml:space="preserve"> </w:t>
      </w:r>
      <w:r w:rsidRPr="00D61C93">
        <w:rPr>
          <w:rFonts w:asciiTheme="minorHAnsi" w:hAnsiTheme="minorHAnsi"/>
          <w:bCs/>
          <w:sz w:val="16"/>
          <w:szCs w:val="16"/>
          <w:lang w:val="en-CA"/>
        </w:rPr>
        <w:t xml:space="preserve">This branch is under the responsibility of Mr. Benjamin </w:t>
      </w:r>
      <w:proofErr w:type="spellStart"/>
      <w:r w:rsidRPr="00D61C93">
        <w:rPr>
          <w:rFonts w:asciiTheme="minorHAnsi" w:hAnsiTheme="minorHAnsi"/>
          <w:bCs/>
          <w:sz w:val="16"/>
          <w:szCs w:val="16"/>
          <w:lang w:val="en-CA"/>
        </w:rPr>
        <w:t>Bassono</w:t>
      </w:r>
      <w:proofErr w:type="spellEnd"/>
      <w:r w:rsidRPr="00D61C93">
        <w:rPr>
          <w:rFonts w:asciiTheme="minorHAnsi" w:hAnsiTheme="minorHAnsi"/>
          <w:bCs/>
          <w:sz w:val="16"/>
          <w:szCs w:val="16"/>
          <w:lang w:val="en-CA"/>
        </w:rPr>
        <w:t xml:space="preserve">, who is the private concessionaire operating the </w:t>
      </w:r>
      <w:proofErr w:type="spellStart"/>
      <w:r w:rsidRPr="00D61C93">
        <w:rPr>
          <w:rFonts w:asciiTheme="minorHAnsi" w:hAnsiTheme="minorHAnsi"/>
          <w:bCs/>
          <w:sz w:val="16"/>
          <w:szCs w:val="16"/>
          <w:lang w:val="en-CA"/>
        </w:rPr>
        <w:t>Nahouri</w:t>
      </w:r>
      <w:proofErr w:type="spellEnd"/>
      <w:r w:rsidRPr="00D61C93">
        <w:rPr>
          <w:rFonts w:asciiTheme="minorHAnsi" w:hAnsiTheme="minorHAnsi"/>
          <w:bCs/>
          <w:sz w:val="16"/>
          <w:szCs w:val="16"/>
          <w:lang w:val="en-CA"/>
        </w:rPr>
        <w:t xml:space="preserve"> Safari camp in the </w:t>
      </w:r>
      <w:proofErr w:type="spellStart"/>
      <w:r w:rsidRPr="00D61C93">
        <w:rPr>
          <w:rFonts w:asciiTheme="minorHAnsi" w:hAnsiTheme="minorHAnsi"/>
          <w:bCs/>
          <w:sz w:val="16"/>
          <w:szCs w:val="16"/>
          <w:lang w:val="en-CA"/>
        </w:rPr>
        <w:t>Nazinga</w:t>
      </w:r>
      <w:proofErr w:type="spellEnd"/>
      <w:r w:rsidRPr="00D61C93">
        <w:rPr>
          <w:rFonts w:asciiTheme="minorHAnsi" w:hAnsiTheme="minorHAnsi"/>
          <w:bCs/>
          <w:sz w:val="16"/>
          <w:szCs w:val="16"/>
          <w:lang w:val="en-CA"/>
        </w:rPr>
        <w:t xml:space="preserve"> Game Ranch. The NGO reports the training of approximately 40 </w:t>
      </w:r>
      <w:proofErr w:type="spellStart"/>
      <w:r w:rsidRPr="00D61C93">
        <w:rPr>
          <w:rFonts w:asciiTheme="minorHAnsi" w:hAnsiTheme="minorHAnsi"/>
          <w:bCs/>
          <w:sz w:val="16"/>
          <w:szCs w:val="16"/>
          <w:lang w:val="en-CA"/>
        </w:rPr>
        <w:t>ecoguards</w:t>
      </w:r>
      <w:proofErr w:type="spellEnd"/>
      <w:r w:rsidRPr="00D61C93">
        <w:rPr>
          <w:rFonts w:asciiTheme="minorHAnsi" w:hAnsiTheme="minorHAnsi"/>
          <w:bCs/>
          <w:sz w:val="16"/>
          <w:szCs w:val="16"/>
          <w:lang w:val="en-CA"/>
        </w:rPr>
        <w:t xml:space="preserve"> for the </w:t>
      </w:r>
      <w:proofErr w:type="spellStart"/>
      <w:r w:rsidRPr="00D61C93">
        <w:rPr>
          <w:rFonts w:asciiTheme="minorHAnsi" w:hAnsiTheme="minorHAnsi"/>
          <w:bCs/>
          <w:sz w:val="16"/>
          <w:szCs w:val="16"/>
          <w:lang w:val="en-CA"/>
        </w:rPr>
        <w:t>Nazinga</w:t>
      </w:r>
      <w:proofErr w:type="spellEnd"/>
      <w:r w:rsidRPr="00D61C93">
        <w:rPr>
          <w:rFonts w:asciiTheme="minorHAnsi" w:hAnsiTheme="minorHAnsi"/>
          <w:bCs/>
          <w:sz w:val="16"/>
          <w:szCs w:val="16"/>
          <w:lang w:val="en-CA"/>
        </w:rPr>
        <w:t xml:space="preserve"> GR with the financial support of the Brigitte Bardot Foundation.</w:t>
      </w:r>
    </w:p>
  </w:footnote>
  <w:footnote w:id="50">
    <w:p w14:paraId="38C43E68" w14:textId="77777777" w:rsidR="00ED1ADA" w:rsidRPr="001762F0" w:rsidRDefault="00ED1ADA" w:rsidP="00F465F9">
      <w:pPr>
        <w:pStyle w:val="Notedebasdepage"/>
        <w:spacing w:after="0"/>
        <w:rPr>
          <w:rFonts w:asciiTheme="minorHAnsi" w:hAnsiTheme="minorHAnsi"/>
          <w:sz w:val="16"/>
          <w:szCs w:val="16"/>
        </w:rPr>
      </w:pPr>
      <w:r w:rsidRPr="001762F0">
        <w:rPr>
          <w:rStyle w:val="Appelnotedebasdep"/>
          <w:rFonts w:asciiTheme="minorHAnsi" w:hAnsiTheme="minorHAnsi"/>
          <w:sz w:val="16"/>
          <w:szCs w:val="16"/>
        </w:rPr>
        <w:footnoteRef/>
      </w:r>
      <w:r w:rsidRPr="001762F0">
        <w:rPr>
          <w:rFonts w:asciiTheme="minorHAnsi" w:hAnsiTheme="minorHAnsi"/>
          <w:sz w:val="16"/>
          <w:szCs w:val="16"/>
        </w:rPr>
        <w:t xml:space="preserve"> Bouché et al. 2016</w:t>
      </w:r>
    </w:p>
  </w:footnote>
  <w:footnote w:id="51">
    <w:p w14:paraId="4266A843" w14:textId="77777777" w:rsidR="00ED1ADA" w:rsidRPr="00462309" w:rsidRDefault="00ED1ADA" w:rsidP="00F465F9">
      <w:pPr>
        <w:spacing w:after="0"/>
        <w:rPr>
          <w:sz w:val="16"/>
          <w:szCs w:val="16"/>
          <w:lang w:val="en-CA"/>
        </w:rPr>
      </w:pPr>
      <w:r w:rsidRPr="00462309">
        <w:rPr>
          <w:rStyle w:val="Appelnotedebasdep"/>
          <w:rFonts w:asciiTheme="minorHAnsi" w:hAnsiTheme="minorHAnsi"/>
          <w:sz w:val="16"/>
          <w:szCs w:val="16"/>
        </w:rPr>
        <w:footnoteRef/>
      </w:r>
      <w:r w:rsidRPr="00462309">
        <w:rPr>
          <w:rFonts w:asciiTheme="minorHAnsi" w:hAnsiTheme="minorHAnsi"/>
          <w:sz w:val="16"/>
          <w:szCs w:val="16"/>
        </w:rPr>
        <w:t xml:space="preserve"> </w:t>
      </w:r>
      <w:r w:rsidRPr="00462309">
        <w:rPr>
          <w:rFonts w:asciiTheme="minorHAnsi" w:hAnsiTheme="minorHAnsi"/>
          <w:sz w:val="16"/>
          <w:szCs w:val="16"/>
          <w:lang w:val="en-CA"/>
        </w:rPr>
        <w:t>As reported by Bouché et al. 2016, monitoring mainly focused on 12 medium and large mammal species in the NGR over approx. 30 years. Monitoring took place every dry season (between January and May) from 1981 to 2011, except between 1991 and 1993 and in 1999.</w:t>
      </w:r>
      <w:r>
        <w:rPr>
          <w:rFonts w:asciiTheme="minorHAnsi" w:hAnsiTheme="minorHAnsi"/>
          <w:sz w:val="16"/>
          <w:szCs w:val="16"/>
          <w:lang w:val="en-CA"/>
        </w:rPr>
        <w:t xml:space="preserve"> </w:t>
      </w:r>
      <w:r w:rsidRPr="00462309">
        <w:rPr>
          <w:sz w:val="16"/>
          <w:szCs w:val="16"/>
          <w:lang w:val="en-CA"/>
        </w:rPr>
        <w:t xml:space="preserve">Data </w:t>
      </w:r>
      <w:r>
        <w:rPr>
          <w:sz w:val="16"/>
          <w:szCs w:val="16"/>
          <w:lang w:val="en-CA"/>
        </w:rPr>
        <w:t>were analysed</w:t>
      </w:r>
      <w:r w:rsidRPr="00462309">
        <w:rPr>
          <w:sz w:val="16"/>
          <w:szCs w:val="16"/>
          <w:lang w:val="en-CA"/>
        </w:rPr>
        <w:t xml:space="preserve"> for the following 9 species: Elephant </w:t>
      </w:r>
      <w:r w:rsidRPr="00462309">
        <w:rPr>
          <w:i/>
          <w:sz w:val="16"/>
          <w:szCs w:val="16"/>
          <w:lang w:val="en-CA"/>
        </w:rPr>
        <w:t xml:space="preserve">Loxodonta </w:t>
      </w:r>
      <w:proofErr w:type="spellStart"/>
      <w:r w:rsidRPr="00462309">
        <w:rPr>
          <w:i/>
          <w:sz w:val="16"/>
          <w:szCs w:val="16"/>
          <w:lang w:val="en-CA"/>
        </w:rPr>
        <w:t>africana</w:t>
      </w:r>
      <w:proofErr w:type="spellEnd"/>
      <w:r w:rsidRPr="00462309">
        <w:rPr>
          <w:sz w:val="16"/>
          <w:szCs w:val="16"/>
          <w:lang w:val="en-CA"/>
        </w:rPr>
        <w:t xml:space="preserve">, Roan antelope </w:t>
      </w:r>
      <w:r w:rsidRPr="00462309">
        <w:rPr>
          <w:i/>
          <w:sz w:val="16"/>
          <w:szCs w:val="16"/>
          <w:lang w:val="en-CA"/>
        </w:rPr>
        <w:t xml:space="preserve">Hippotragus </w:t>
      </w:r>
      <w:proofErr w:type="spellStart"/>
      <w:r w:rsidRPr="00462309">
        <w:rPr>
          <w:i/>
          <w:sz w:val="16"/>
          <w:szCs w:val="16"/>
          <w:lang w:val="en-CA"/>
        </w:rPr>
        <w:t>equinus</w:t>
      </w:r>
      <w:proofErr w:type="spellEnd"/>
      <w:r w:rsidRPr="00462309">
        <w:rPr>
          <w:sz w:val="16"/>
          <w:szCs w:val="16"/>
          <w:lang w:val="en-CA"/>
        </w:rPr>
        <w:t xml:space="preserve">, Waterbuck </w:t>
      </w:r>
      <w:r w:rsidRPr="00462309">
        <w:rPr>
          <w:i/>
          <w:sz w:val="16"/>
          <w:szCs w:val="16"/>
          <w:lang w:val="en-CA"/>
        </w:rPr>
        <w:t xml:space="preserve">Kobus </w:t>
      </w:r>
      <w:proofErr w:type="spellStart"/>
      <w:r w:rsidRPr="00462309">
        <w:rPr>
          <w:i/>
          <w:sz w:val="16"/>
          <w:szCs w:val="16"/>
          <w:lang w:val="en-CA"/>
        </w:rPr>
        <w:t>ellipsiprimnus</w:t>
      </w:r>
      <w:proofErr w:type="spellEnd"/>
      <w:r w:rsidRPr="00462309">
        <w:rPr>
          <w:sz w:val="16"/>
          <w:szCs w:val="16"/>
          <w:lang w:val="en-CA"/>
        </w:rPr>
        <w:t xml:space="preserve">, Hartebeest </w:t>
      </w:r>
      <w:proofErr w:type="spellStart"/>
      <w:r w:rsidRPr="00462309">
        <w:rPr>
          <w:i/>
          <w:sz w:val="16"/>
          <w:szCs w:val="16"/>
          <w:lang w:val="en-CA"/>
        </w:rPr>
        <w:t>Alcelaphus</w:t>
      </w:r>
      <w:proofErr w:type="spellEnd"/>
      <w:r w:rsidRPr="00462309">
        <w:rPr>
          <w:i/>
          <w:sz w:val="16"/>
          <w:szCs w:val="16"/>
          <w:lang w:val="en-CA"/>
        </w:rPr>
        <w:t xml:space="preserve"> </w:t>
      </w:r>
      <w:proofErr w:type="spellStart"/>
      <w:r w:rsidRPr="00462309">
        <w:rPr>
          <w:i/>
          <w:sz w:val="16"/>
          <w:szCs w:val="16"/>
          <w:lang w:val="en-CA"/>
        </w:rPr>
        <w:t>buselaphus</w:t>
      </w:r>
      <w:proofErr w:type="spellEnd"/>
      <w:r w:rsidRPr="00462309">
        <w:rPr>
          <w:sz w:val="16"/>
          <w:szCs w:val="16"/>
          <w:lang w:val="en-CA"/>
        </w:rPr>
        <w:t xml:space="preserve">, Bushbuck </w:t>
      </w:r>
      <w:r w:rsidRPr="00462309">
        <w:rPr>
          <w:i/>
          <w:sz w:val="16"/>
          <w:szCs w:val="16"/>
          <w:lang w:val="en-CA"/>
        </w:rPr>
        <w:t>Tragelaphus scriptus</w:t>
      </w:r>
      <w:r w:rsidRPr="00462309">
        <w:rPr>
          <w:sz w:val="16"/>
          <w:szCs w:val="16"/>
          <w:lang w:val="en-CA"/>
        </w:rPr>
        <w:t xml:space="preserve">, Warthog </w:t>
      </w:r>
      <w:r w:rsidRPr="00462309">
        <w:rPr>
          <w:i/>
          <w:sz w:val="16"/>
          <w:szCs w:val="16"/>
          <w:lang w:val="en-CA"/>
        </w:rPr>
        <w:t>Phacochoerus africanus</w:t>
      </w:r>
      <w:r w:rsidRPr="00462309">
        <w:rPr>
          <w:sz w:val="16"/>
          <w:szCs w:val="16"/>
          <w:lang w:val="en-CA"/>
        </w:rPr>
        <w:t xml:space="preserve">, Common duiker </w:t>
      </w:r>
      <w:proofErr w:type="spellStart"/>
      <w:r w:rsidRPr="00462309">
        <w:rPr>
          <w:i/>
          <w:sz w:val="16"/>
          <w:szCs w:val="16"/>
          <w:lang w:val="en-CA"/>
        </w:rPr>
        <w:t>Sylvicapra</w:t>
      </w:r>
      <w:proofErr w:type="spellEnd"/>
      <w:r w:rsidRPr="00462309">
        <w:rPr>
          <w:i/>
          <w:sz w:val="16"/>
          <w:szCs w:val="16"/>
          <w:lang w:val="en-CA"/>
        </w:rPr>
        <w:t xml:space="preserve"> </w:t>
      </w:r>
      <w:proofErr w:type="spellStart"/>
      <w:r w:rsidRPr="00462309">
        <w:rPr>
          <w:i/>
          <w:sz w:val="16"/>
          <w:szCs w:val="16"/>
          <w:lang w:val="en-CA"/>
        </w:rPr>
        <w:t>grimmia</w:t>
      </w:r>
      <w:proofErr w:type="spellEnd"/>
      <w:r w:rsidRPr="00462309">
        <w:rPr>
          <w:sz w:val="16"/>
          <w:szCs w:val="16"/>
          <w:lang w:val="en-CA"/>
        </w:rPr>
        <w:t xml:space="preserve">, Oribi </w:t>
      </w:r>
      <w:proofErr w:type="spellStart"/>
      <w:r w:rsidRPr="00462309">
        <w:rPr>
          <w:i/>
          <w:sz w:val="16"/>
          <w:szCs w:val="16"/>
          <w:lang w:val="en-CA"/>
        </w:rPr>
        <w:t>Ourebia</w:t>
      </w:r>
      <w:proofErr w:type="spellEnd"/>
      <w:r w:rsidRPr="00462309">
        <w:rPr>
          <w:i/>
          <w:sz w:val="16"/>
          <w:szCs w:val="16"/>
          <w:lang w:val="en-CA"/>
        </w:rPr>
        <w:t xml:space="preserve"> </w:t>
      </w:r>
      <w:proofErr w:type="spellStart"/>
      <w:r w:rsidRPr="00462309">
        <w:rPr>
          <w:i/>
          <w:sz w:val="16"/>
          <w:szCs w:val="16"/>
          <w:lang w:val="en-CA"/>
        </w:rPr>
        <w:t>ourebi</w:t>
      </w:r>
      <w:proofErr w:type="spellEnd"/>
      <w:r w:rsidRPr="00462309">
        <w:rPr>
          <w:sz w:val="16"/>
          <w:szCs w:val="16"/>
          <w:lang w:val="en-CA"/>
        </w:rPr>
        <w:t xml:space="preserve">, and Baboon </w:t>
      </w:r>
      <w:proofErr w:type="spellStart"/>
      <w:r w:rsidRPr="00462309">
        <w:rPr>
          <w:i/>
          <w:sz w:val="16"/>
          <w:szCs w:val="16"/>
          <w:lang w:val="en-CA"/>
        </w:rPr>
        <w:t>Papio</w:t>
      </w:r>
      <w:proofErr w:type="spellEnd"/>
      <w:r w:rsidRPr="00462309">
        <w:rPr>
          <w:i/>
          <w:sz w:val="16"/>
          <w:szCs w:val="16"/>
          <w:lang w:val="en-CA"/>
        </w:rPr>
        <w:t xml:space="preserve"> Anubis</w:t>
      </w:r>
      <w:r>
        <w:rPr>
          <w:i/>
          <w:sz w:val="16"/>
          <w:szCs w:val="16"/>
          <w:lang w:val="en-CA"/>
        </w:rPr>
        <w:t>.</w:t>
      </w:r>
    </w:p>
  </w:footnote>
  <w:footnote w:id="52">
    <w:p w14:paraId="5049DB36" w14:textId="77777777" w:rsidR="00ED1ADA" w:rsidRPr="006F0042" w:rsidRDefault="00ED1ADA" w:rsidP="004D2432">
      <w:pPr>
        <w:pStyle w:val="Notedebasdepage"/>
        <w:spacing w:after="0"/>
        <w:rPr>
          <w:rFonts w:asciiTheme="minorHAnsi" w:hAnsiTheme="minorHAnsi"/>
          <w:sz w:val="16"/>
          <w:szCs w:val="16"/>
          <w:lang w:val="fr-CA"/>
        </w:rPr>
      </w:pPr>
      <w:r w:rsidRPr="00C5724B">
        <w:rPr>
          <w:rStyle w:val="Appelnotedebasdep"/>
          <w:rFonts w:ascii="Calibri" w:hAnsi="Calibri"/>
          <w:sz w:val="16"/>
          <w:szCs w:val="16"/>
        </w:rPr>
        <w:footnoteRef/>
      </w:r>
      <w:r w:rsidRPr="006F0042">
        <w:rPr>
          <w:rFonts w:asciiTheme="minorHAnsi" w:hAnsiTheme="minorHAnsi"/>
          <w:sz w:val="16"/>
          <w:szCs w:val="16"/>
          <w:lang w:val="fr-CA"/>
        </w:rPr>
        <w:t>UICN PAPACO. La grande chasse en Afrique de l’Ouest: quelle contribution à la conservation? https:// portals.iucn.org/</w:t>
      </w:r>
      <w:proofErr w:type="spellStart"/>
      <w:r w:rsidRPr="006F0042">
        <w:rPr>
          <w:rFonts w:asciiTheme="minorHAnsi" w:hAnsiTheme="minorHAnsi"/>
          <w:sz w:val="16"/>
          <w:szCs w:val="16"/>
          <w:lang w:val="fr-CA"/>
        </w:rPr>
        <w:t>library</w:t>
      </w:r>
      <w:proofErr w:type="spellEnd"/>
      <w:r w:rsidRPr="006F0042">
        <w:rPr>
          <w:rFonts w:asciiTheme="minorHAnsi" w:hAnsiTheme="minorHAnsi"/>
          <w:sz w:val="16"/>
          <w:szCs w:val="16"/>
          <w:lang w:val="fr-CA"/>
        </w:rPr>
        <w:t>/</w:t>
      </w:r>
      <w:proofErr w:type="spellStart"/>
      <w:r w:rsidRPr="006F0042">
        <w:rPr>
          <w:rFonts w:asciiTheme="minorHAnsi" w:hAnsiTheme="minorHAnsi"/>
          <w:sz w:val="16"/>
          <w:szCs w:val="16"/>
          <w:lang w:val="fr-CA"/>
        </w:rPr>
        <w:t>efiles</w:t>
      </w:r>
      <w:proofErr w:type="spellEnd"/>
      <w:r w:rsidRPr="006F0042">
        <w:rPr>
          <w:rFonts w:asciiTheme="minorHAnsi" w:hAnsiTheme="minorHAnsi"/>
          <w:sz w:val="16"/>
          <w:szCs w:val="16"/>
          <w:lang w:val="fr-CA"/>
        </w:rPr>
        <w:t>/documents/2009-074.pdf</w:t>
      </w:r>
    </w:p>
  </w:footnote>
  <w:footnote w:id="53">
    <w:p w14:paraId="3C6B8A1F" w14:textId="77777777" w:rsidR="00ED1ADA" w:rsidRPr="006F0042" w:rsidRDefault="00ED1ADA" w:rsidP="004D2432">
      <w:pPr>
        <w:pStyle w:val="Notedebasdepage"/>
        <w:spacing w:after="0"/>
        <w:rPr>
          <w:rFonts w:asciiTheme="minorHAnsi" w:hAnsiTheme="minorHAnsi"/>
          <w:sz w:val="16"/>
          <w:szCs w:val="16"/>
          <w:lang w:val="en-CA"/>
        </w:rPr>
      </w:pPr>
      <w:r w:rsidRPr="006F0042">
        <w:rPr>
          <w:rStyle w:val="Appelnotedebasdep"/>
          <w:rFonts w:asciiTheme="minorHAnsi" w:hAnsiTheme="minorHAnsi"/>
          <w:sz w:val="16"/>
          <w:szCs w:val="16"/>
        </w:rPr>
        <w:footnoteRef/>
      </w:r>
      <w:r w:rsidRPr="006F0042">
        <w:rPr>
          <w:rFonts w:asciiTheme="minorHAnsi" w:hAnsiTheme="minorHAnsi"/>
          <w:sz w:val="16"/>
          <w:szCs w:val="16"/>
          <w:lang w:val="en-CA"/>
        </w:rPr>
        <w:t xml:space="preserve"> Murray, C. K. 2017. The lion’s share? On the economic benefits of trophy hunting. A report for the Humane Society International, prepared by Economists at Large, Melbourne, Australia.</w:t>
      </w:r>
    </w:p>
  </w:footnote>
  <w:footnote w:id="54">
    <w:p w14:paraId="049EA97F" w14:textId="77777777" w:rsidR="00ED1ADA" w:rsidRPr="00F9302E" w:rsidRDefault="00ED1ADA" w:rsidP="004D2432">
      <w:pPr>
        <w:pStyle w:val="Notedebasdepage"/>
        <w:spacing w:after="0"/>
        <w:rPr>
          <w:rFonts w:asciiTheme="minorHAnsi" w:hAnsiTheme="minorHAnsi"/>
          <w:sz w:val="16"/>
          <w:szCs w:val="16"/>
          <w:lang w:val="pt-PT"/>
        </w:rPr>
      </w:pPr>
      <w:r w:rsidRPr="006F0042">
        <w:rPr>
          <w:rStyle w:val="Appelnotedebasdep"/>
          <w:rFonts w:asciiTheme="minorHAnsi" w:hAnsiTheme="minorHAnsi"/>
          <w:sz w:val="16"/>
          <w:szCs w:val="16"/>
        </w:rPr>
        <w:footnoteRef/>
      </w:r>
      <w:r w:rsidRPr="00F9302E">
        <w:rPr>
          <w:rFonts w:asciiTheme="minorHAnsi" w:hAnsiTheme="minorHAnsi"/>
          <w:sz w:val="16"/>
          <w:szCs w:val="16"/>
          <w:lang w:val="pt-PT"/>
        </w:rPr>
        <w:t xml:space="preserve"> </w:t>
      </w:r>
      <w:r w:rsidRPr="00F9302E">
        <w:rPr>
          <w:rFonts w:asciiTheme="minorHAnsi" w:eastAsia="Calibri" w:hAnsiTheme="minorHAnsi"/>
          <w:sz w:val="16"/>
          <w:szCs w:val="16"/>
          <w:lang w:val="pt-PT"/>
        </w:rPr>
        <w:t>Botswana, Ethiopia, Mozambique, Namibia, South Africa, Tanzania, Zambia, Zimbabwe</w:t>
      </w:r>
    </w:p>
  </w:footnote>
  <w:footnote w:id="55">
    <w:p w14:paraId="55D925A2" w14:textId="77777777" w:rsidR="00ED1ADA" w:rsidRPr="006F0042" w:rsidRDefault="00ED1ADA" w:rsidP="004D2432">
      <w:pPr>
        <w:pStyle w:val="Notedebasdepage"/>
        <w:spacing w:after="0"/>
        <w:rPr>
          <w:rStyle w:val="Appelnotedebasdep"/>
          <w:rFonts w:asciiTheme="minorHAnsi" w:hAnsiTheme="minorHAnsi"/>
          <w:sz w:val="16"/>
          <w:szCs w:val="16"/>
          <w:lang w:val="en-CA"/>
        </w:rPr>
      </w:pPr>
      <w:r w:rsidRPr="006F0042">
        <w:rPr>
          <w:rStyle w:val="Appelnotedebasdep"/>
          <w:rFonts w:asciiTheme="minorHAnsi" w:hAnsiTheme="minorHAnsi"/>
          <w:sz w:val="16"/>
          <w:szCs w:val="16"/>
        </w:rPr>
        <w:footnoteRef/>
      </w:r>
      <w:r w:rsidRPr="006F0042">
        <w:rPr>
          <w:rFonts w:asciiTheme="minorHAnsi" w:hAnsiTheme="minorHAnsi"/>
          <w:sz w:val="16"/>
          <w:szCs w:val="16"/>
          <w:lang w:val="en-CA"/>
        </w:rPr>
        <w:t xml:space="preserve"> </w:t>
      </w:r>
      <w:r w:rsidRPr="006F0042">
        <w:rPr>
          <w:rFonts w:asciiTheme="minorHAnsi" w:eastAsia="Calibri" w:hAnsiTheme="minorHAnsi"/>
          <w:sz w:val="16"/>
          <w:szCs w:val="16"/>
        </w:rPr>
        <w:t>Chardonnet, B. 2019. Africa is changing: Should its Protected Areas evolve? Reconfiguring the Protected Areas in Africa.</w:t>
      </w:r>
      <w:r w:rsidRPr="006F0042">
        <w:rPr>
          <w:rFonts w:asciiTheme="minorHAnsi" w:hAnsiTheme="minorHAnsi"/>
          <w:sz w:val="16"/>
          <w:szCs w:val="16"/>
          <w:lang w:val="en-CA"/>
        </w:rPr>
        <w:t xml:space="preserve"> Technical Report. UICN PAPACO</w:t>
      </w:r>
    </w:p>
  </w:footnote>
  <w:footnote w:id="56">
    <w:p w14:paraId="0685900C" w14:textId="77777777" w:rsidR="00ED1ADA" w:rsidRPr="006F0042" w:rsidRDefault="00ED1ADA" w:rsidP="004D2432">
      <w:pPr>
        <w:pStyle w:val="Notedebasdepage"/>
        <w:spacing w:after="0"/>
        <w:rPr>
          <w:rFonts w:asciiTheme="minorHAnsi" w:hAnsiTheme="minorHAnsi"/>
          <w:sz w:val="16"/>
          <w:szCs w:val="16"/>
          <w:lang w:val="en-CA"/>
        </w:rPr>
      </w:pPr>
      <w:r w:rsidRPr="006F0042">
        <w:rPr>
          <w:rStyle w:val="Appelnotedebasdep"/>
          <w:rFonts w:asciiTheme="minorHAnsi" w:hAnsiTheme="minorHAnsi"/>
          <w:sz w:val="16"/>
          <w:szCs w:val="16"/>
        </w:rPr>
        <w:footnoteRef/>
      </w:r>
      <w:r w:rsidRPr="006F0042">
        <w:rPr>
          <w:rFonts w:asciiTheme="minorHAnsi" w:hAnsiTheme="minorHAnsi"/>
          <w:sz w:val="16"/>
          <w:szCs w:val="16"/>
          <w:lang w:val="en-CA"/>
        </w:rPr>
        <w:t xml:space="preserve"> </w:t>
      </w:r>
      <w:r w:rsidRPr="006F0042">
        <w:rPr>
          <w:rFonts w:asciiTheme="minorHAnsi" w:eastAsia="Times New Roman" w:hAnsiTheme="minorHAnsi"/>
          <w:sz w:val="16"/>
          <w:szCs w:val="16"/>
          <w:lang w:val="en-CA" w:eastAsia="fr-CA"/>
        </w:rPr>
        <w:t xml:space="preserve">CRUISE, A. 2016. </w:t>
      </w:r>
      <w:r w:rsidRPr="006F0042">
        <w:rPr>
          <w:rFonts w:asciiTheme="minorHAnsi" w:eastAsia="Times New Roman" w:hAnsiTheme="minorHAnsi" w:cs="Open Sans"/>
          <w:sz w:val="16"/>
          <w:szCs w:val="16"/>
          <w:lang w:val="en-CA" w:eastAsia="fr-CA"/>
        </w:rPr>
        <w:t xml:space="preserve">The effects of trophy hunting on five of Africa’s iconic wild animal populations in six countries – Analysis. </w:t>
      </w:r>
      <w:r w:rsidRPr="006F0042">
        <w:rPr>
          <w:rFonts w:asciiTheme="minorHAnsi" w:eastAsia="Times New Roman" w:hAnsiTheme="minorHAnsi"/>
          <w:sz w:val="16"/>
          <w:szCs w:val="16"/>
          <w:lang w:val="en-CA" w:eastAsia="fr-CA"/>
        </w:rPr>
        <w:t xml:space="preserve">Conservation Action Trust. </w:t>
      </w:r>
      <w:hyperlink r:id="rId2" w:history="1">
        <w:r w:rsidRPr="006F0042">
          <w:rPr>
            <w:rStyle w:val="Lienhypertexte"/>
            <w:rFonts w:asciiTheme="minorHAnsi" w:eastAsia="Times New Roman" w:hAnsiTheme="minorHAnsi" w:cs="Open Sans"/>
            <w:sz w:val="16"/>
            <w:szCs w:val="16"/>
            <w:lang w:val="en-CA" w:eastAsia="fr-CA"/>
          </w:rPr>
          <w:t>https://conservationaction.co.za/resources/reports/effects-trophy-hunting-five-africas-iconic-wild-animal-populations-six-countries-analysis/</w:t>
        </w:r>
      </w:hyperlink>
    </w:p>
  </w:footnote>
  <w:footnote w:id="57">
    <w:p w14:paraId="219CEF04" w14:textId="77777777" w:rsidR="00ED1ADA" w:rsidRPr="003E39BA" w:rsidRDefault="00ED1ADA" w:rsidP="00302BFE">
      <w:pPr>
        <w:pStyle w:val="Notedebasdepage"/>
        <w:spacing w:after="0"/>
        <w:rPr>
          <w:rFonts w:ascii="Calibri" w:hAnsi="Calibri"/>
          <w:sz w:val="16"/>
          <w:szCs w:val="16"/>
          <w:lang w:val="en-CA"/>
        </w:rPr>
      </w:pPr>
      <w:r w:rsidRPr="005F3825">
        <w:rPr>
          <w:rStyle w:val="Appelnotedebasdep"/>
          <w:rFonts w:ascii="Calibri" w:hAnsi="Calibri"/>
          <w:sz w:val="16"/>
          <w:szCs w:val="16"/>
        </w:rPr>
        <w:footnoteRef/>
      </w:r>
      <w:r w:rsidRPr="003E39BA">
        <w:rPr>
          <w:rFonts w:ascii="Calibri" w:hAnsi="Calibri"/>
          <w:sz w:val="16"/>
          <w:szCs w:val="16"/>
          <w:lang w:val="en-CA"/>
        </w:rPr>
        <w:t xml:space="preserve"> </w:t>
      </w:r>
      <w:hyperlink r:id="rId3" w:history="1">
        <w:r w:rsidRPr="003E39BA">
          <w:rPr>
            <w:rStyle w:val="Lienhypertexte"/>
            <w:rFonts w:ascii="Calibri" w:hAnsi="Calibri"/>
            <w:sz w:val="16"/>
            <w:szCs w:val="16"/>
            <w:lang w:val="en-CA"/>
          </w:rPr>
          <w:t>http://nbsapforum.net/knowledge-base/resource/pa-business-plan-catalogue-business-planning-protected-areas</w:t>
        </w:r>
      </w:hyperlink>
    </w:p>
  </w:footnote>
  <w:footnote w:id="58">
    <w:p w14:paraId="1C8A3429" w14:textId="77777777" w:rsidR="00ED1ADA" w:rsidRPr="004708C8" w:rsidRDefault="00ED1ADA" w:rsidP="004708C8">
      <w:pPr>
        <w:pStyle w:val="Notedebasdepage"/>
        <w:spacing w:after="0"/>
        <w:rPr>
          <w:rFonts w:ascii="Calibri" w:hAnsi="Calibri"/>
          <w:i/>
          <w:sz w:val="16"/>
          <w:szCs w:val="16"/>
          <w:lang w:val="fr-CA"/>
        </w:rPr>
      </w:pPr>
      <w:r w:rsidRPr="004708C8">
        <w:rPr>
          <w:rStyle w:val="Appelnotedebasdep"/>
          <w:rFonts w:ascii="Calibri" w:hAnsi="Calibri"/>
          <w:i/>
          <w:sz w:val="16"/>
          <w:szCs w:val="16"/>
        </w:rPr>
        <w:footnoteRef/>
      </w:r>
      <w:r w:rsidRPr="004708C8">
        <w:rPr>
          <w:rFonts w:ascii="Calibri" w:hAnsi="Calibri"/>
          <w:i/>
          <w:sz w:val="16"/>
          <w:szCs w:val="16"/>
          <w:lang w:val="en-CA"/>
        </w:rPr>
        <w:t xml:space="preserve"> </w:t>
      </w:r>
      <w:r w:rsidRPr="004708C8">
        <w:rPr>
          <w:rStyle w:val="A2"/>
          <w:rFonts w:ascii="Calibri" w:hAnsi="Calibri"/>
          <w:i w:val="0"/>
          <w:lang w:val="en-CA"/>
        </w:rPr>
        <w:t xml:space="preserve">Lotter, W.D., Roberts, K., Singh, R., Clark, K., Barlow, C., de Kock, R., Steiner, K., </w:t>
      </w:r>
      <w:proofErr w:type="spellStart"/>
      <w:r w:rsidRPr="004708C8">
        <w:rPr>
          <w:rStyle w:val="A2"/>
          <w:rFonts w:ascii="Calibri" w:hAnsi="Calibri"/>
          <w:i w:val="0"/>
          <w:lang w:val="en-CA"/>
        </w:rPr>
        <w:t>Mander</w:t>
      </w:r>
      <w:proofErr w:type="spellEnd"/>
      <w:r w:rsidRPr="004708C8">
        <w:rPr>
          <w:rStyle w:val="A2"/>
          <w:rFonts w:ascii="Calibri" w:hAnsi="Calibri"/>
          <w:i w:val="0"/>
          <w:lang w:val="en-CA"/>
        </w:rPr>
        <w:t xml:space="preserve">, D., Khadka, M. et Guerrero, J. 2016. </w:t>
      </w:r>
      <w:r w:rsidRPr="004708C8">
        <w:rPr>
          <w:rStyle w:val="A2"/>
          <w:rFonts w:ascii="Calibri" w:hAnsi="Calibri"/>
          <w:i w:val="0"/>
          <w:lang w:val="fr-CA"/>
        </w:rPr>
        <w:t>Lutte anti-braconnage dans et autour des aires protégées. Lignes directrices pour la formation des gardes.</w:t>
      </w:r>
    </w:p>
  </w:footnote>
  <w:footnote w:id="59">
    <w:p w14:paraId="7CFFDC36" w14:textId="77777777" w:rsidR="00ED1ADA" w:rsidRPr="00DE51BD" w:rsidRDefault="00ED1ADA" w:rsidP="00302BFE">
      <w:pPr>
        <w:pStyle w:val="Notedebasdepage"/>
        <w:spacing w:after="0"/>
        <w:rPr>
          <w:rFonts w:ascii="Calibri" w:hAnsi="Calibri"/>
          <w:sz w:val="16"/>
          <w:szCs w:val="16"/>
          <w:lang w:val="fr-CA"/>
        </w:rPr>
      </w:pPr>
      <w:r>
        <w:rPr>
          <w:rStyle w:val="Appelnotedebasdep"/>
        </w:rPr>
        <w:footnoteRef/>
      </w:r>
      <w:r w:rsidRPr="00DE51BD">
        <w:rPr>
          <w:lang w:val="fr-CA"/>
        </w:rPr>
        <w:t xml:space="preserve"> </w:t>
      </w:r>
      <w:r w:rsidRPr="00DE51BD">
        <w:rPr>
          <w:rFonts w:ascii="Calibri" w:hAnsi="Calibri"/>
          <w:sz w:val="16"/>
          <w:szCs w:val="16"/>
          <w:lang w:val="fr-CA"/>
        </w:rPr>
        <w:t>UICN. 2003. Plan d’Action pour la Gestion des Éléphants des Corridors Transfrontaliers d’Afrique de l’Ouest.</w:t>
      </w:r>
    </w:p>
  </w:footnote>
  <w:footnote w:id="60">
    <w:p w14:paraId="7EB00337" w14:textId="77777777" w:rsidR="00ED1ADA" w:rsidRPr="00F73A10" w:rsidRDefault="00ED1ADA" w:rsidP="00302BFE">
      <w:pPr>
        <w:pStyle w:val="Notedebasdepage"/>
        <w:spacing w:after="0"/>
        <w:rPr>
          <w:rFonts w:ascii="Calibri" w:hAnsi="Calibri"/>
          <w:sz w:val="16"/>
          <w:szCs w:val="16"/>
          <w:lang w:val="fr-FR"/>
        </w:rPr>
      </w:pPr>
      <w:r w:rsidRPr="005F3825">
        <w:rPr>
          <w:rStyle w:val="Appelnotedebasdep"/>
          <w:rFonts w:ascii="Calibri" w:hAnsi="Calibri"/>
          <w:sz w:val="16"/>
          <w:szCs w:val="16"/>
        </w:rPr>
        <w:footnoteRef/>
      </w:r>
      <w:r w:rsidRPr="005F3825">
        <w:rPr>
          <w:rFonts w:ascii="Calibri" w:hAnsi="Calibri"/>
          <w:sz w:val="16"/>
          <w:szCs w:val="16"/>
          <w:lang w:val="en-CA"/>
        </w:rPr>
        <w:t xml:space="preserve"> Thouless, C.R., H.T. Dublin, J.J. Blanc, D.P. Skinner, T.E. Daniel, R.D. Taylor, F. </w:t>
      </w:r>
      <w:proofErr w:type="spellStart"/>
      <w:r w:rsidRPr="005F3825">
        <w:rPr>
          <w:rFonts w:ascii="Calibri" w:hAnsi="Calibri"/>
          <w:sz w:val="16"/>
          <w:szCs w:val="16"/>
          <w:lang w:val="en-CA"/>
        </w:rPr>
        <w:t>Maisels</w:t>
      </w:r>
      <w:proofErr w:type="spellEnd"/>
      <w:r w:rsidRPr="005F3825">
        <w:rPr>
          <w:rFonts w:ascii="Calibri" w:hAnsi="Calibri"/>
          <w:sz w:val="16"/>
          <w:szCs w:val="16"/>
          <w:lang w:val="en-CA"/>
        </w:rPr>
        <w:t xml:space="preserve">, H.L. Frederick and P. Bouché. 2016. African Elephant Status Report 2016: an update from the African Elephant Database. Occasional Paper Series of the IUCN Species Survival Commission, No. 60 IUCN1SSC Africa Elephant Specialist Group. </w:t>
      </w:r>
      <w:r w:rsidRPr="00F73A10">
        <w:rPr>
          <w:rFonts w:ascii="Calibri" w:hAnsi="Calibri"/>
          <w:sz w:val="16"/>
          <w:szCs w:val="16"/>
          <w:lang w:val="fr-FR"/>
        </w:rPr>
        <w:t>IUCN, Gland.</w:t>
      </w:r>
    </w:p>
  </w:footnote>
  <w:footnote w:id="61">
    <w:p w14:paraId="377831B2" w14:textId="77777777" w:rsidR="007E1A3A" w:rsidRPr="00071004" w:rsidRDefault="007E1A3A" w:rsidP="007E1A3A">
      <w:pPr>
        <w:pStyle w:val="Notedebasdepage"/>
        <w:rPr>
          <w:lang w:val="fr-FR"/>
        </w:rPr>
      </w:pPr>
      <w:r>
        <w:rPr>
          <w:rStyle w:val="Appelnotedebasdep"/>
        </w:rPr>
        <w:footnoteRef/>
      </w:r>
      <w:r w:rsidRPr="00025336">
        <w:rPr>
          <w:lang w:val="fr-FR"/>
        </w:rPr>
        <w:t xml:space="preserve"> </w:t>
      </w:r>
      <w:r w:rsidRPr="00071004">
        <w:rPr>
          <w:sz w:val="16"/>
          <w:szCs w:val="16"/>
          <w:lang w:val="fr-FR"/>
        </w:rPr>
        <w:t xml:space="preserve">Une stratégie </w:t>
      </w:r>
      <w:r>
        <w:rPr>
          <w:sz w:val="16"/>
          <w:szCs w:val="16"/>
          <w:lang w:val="fr-FR"/>
        </w:rPr>
        <w:t>nationale sur le</w:t>
      </w:r>
      <w:r w:rsidRPr="00071004">
        <w:rPr>
          <w:sz w:val="16"/>
          <w:szCs w:val="16"/>
          <w:lang w:val="fr-FR"/>
        </w:rPr>
        <w:t xml:space="preserve"> tourisme durable existe déjà au Burkina Faso</w:t>
      </w:r>
    </w:p>
  </w:footnote>
  <w:footnote w:id="62">
    <w:p w14:paraId="41786212" w14:textId="77777777" w:rsidR="00ED1ADA" w:rsidRPr="005F3825" w:rsidRDefault="00ED1ADA" w:rsidP="00302BFE">
      <w:pPr>
        <w:spacing w:after="0"/>
        <w:rPr>
          <w:rFonts w:cs="Arial"/>
          <w:sz w:val="16"/>
          <w:szCs w:val="16"/>
        </w:rPr>
      </w:pPr>
      <w:r w:rsidRPr="005F3825">
        <w:rPr>
          <w:rFonts w:ascii="Calibri Light" w:hAnsi="Calibri Light" w:cs="Arial"/>
          <w:sz w:val="16"/>
          <w:szCs w:val="16"/>
          <w:vertAlign w:val="superscript"/>
        </w:rPr>
        <w:footnoteRef/>
      </w:r>
      <w:r w:rsidRPr="005F3825">
        <w:rPr>
          <w:rFonts w:ascii="Calibri Light" w:hAnsi="Calibri Light" w:cs="Arial"/>
          <w:sz w:val="16"/>
          <w:szCs w:val="16"/>
        </w:rPr>
        <w:t xml:space="preserve"> </w:t>
      </w:r>
      <w:r w:rsidRPr="005F3825">
        <w:rPr>
          <w:rFonts w:cs="Arial"/>
          <w:sz w:val="16"/>
          <w:szCs w:val="16"/>
        </w:rPr>
        <w:t>Spenceley, A., Snyman, S., and Eagles, P. F. J. (2017) Guidelines for tourism partnerships and concessions for protected areas: Generating sustainable revenues for conservation and development, Report to the Secretariat of the Convention on Biological Diversity and IUCN</w:t>
      </w:r>
    </w:p>
  </w:footnote>
  <w:footnote w:id="63">
    <w:p w14:paraId="42572794" w14:textId="77777777" w:rsidR="00ED1ADA" w:rsidRPr="005F3825" w:rsidRDefault="00ED1ADA" w:rsidP="00302BFE">
      <w:pPr>
        <w:pStyle w:val="Notedebasdepage"/>
        <w:spacing w:after="0"/>
        <w:rPr>
          <w:rFonts w:ascii="Calibri" w:hAnsi="Calibri" w:cs="Arial"/>
          <w:sz w:val="16"/>
          <w:szCs w:val="16"/>
        </w:rPr>
      </w:pPr>
      <w:r w:rsidRPr="002A60CC">
        <w:rPr>
          <w:rFonts w:ascii="Calibri" w:hAnsi="Calibri" w:cs="Arial"/>
          <w:sz w:val="16"/>
          <w:szCs w:val="16"/>
          <w:vertAlign w:val="superscript"/>
        </w:rPr>
        <w:footnoteRef/>
      </w:r>
      <w:r w:rsidRPr="005F3825">
        <w:rPr>
          <w:rFonts w:ascii="Calibri" w:hAnsi="Calibri" w:cs="Arial"/>
          <w:sz w:val="16"/>
          <w:szCs w:val="16"/>
        </w:rPr>
        <w:t xml:space="preserve"> Note, these resources are also available in French:  https://www.cbd.int/tourism/</w:t>
      </w:r>
    </w:p>
  </w:footnote>
  <w:footnote w:id="64">
    <w:p w14:paraId="249626D8" w14:textId="77777777" w:rsidR="00ED1ADA" w:rsidRPr="005F3825" w:rsidRDefault="00ED1ADA" w:rsidP="00302BFE">
      <w:pPr>
        <w:spacing w:after="0"/>
        <w:rPr>
          <w:rFonts w:cs="Arial"/>
          <w:sz w:val="16"/>
          <w:szCs w:val="16"/>
        </w:rPr>
      </w:pPr>
      <w:r w:rsidRPr="002A60CC">
        <w:rPr>
          <w:rFonts w:cs="Arial"/>
          <w:sz w:val="16"/>
          <w:szCs w:val="16"/>
          <w:vertAlign w:val="superscript"/>
        </w:rPr>
        <w:footnoteRef/>
      </w:r>
      <w:r w:rsidRPr="005F3825">
        <w:rPr>
          <w:rFonts w:cs="Arial"/>
          <w:sz w:val="16"/>
          <w:szCs w:val="16"/>
        </w:rPr>
        <w:t xml:space="preserve"> Spenceley, A., Snyman, S., and Eagles, P. F. J. (2017) ibid.</w:t>
      </w:r>
    </w:p>
  </w:footnote>
  <w:footnote w:id="65">
    <w:p w14:paraId="2F5CEA49" w14:textId="77777777" w:rsidR="00ED1ADA" w:rsidRPr="00324C72" w:rsidRDefault="00ED1ADA" w:rsidP="00302BFE">
      <w:pPr>
        <w:spacing w:after="0"/>
        <w:rPr>
          <w:rFonts w:cs="Arial"/>
          <w:sz w:val="16"/>
          <w:szCs w:val="16"/>
        </w:rPr>
      </w:pPr>
      <w:r w:rsidRPr="00324C72">
        <w:rPr>
          <w:rStyle w:val="Appelnotedebasdep"/>
          <w:sz w:val="16"/>
          <w:szCs w:val="16"/>
        </w:rPr>
        <w:footnoteRef/>
      </w:r>
      <w:r w:rsidRPr="00324C72">
        <w:rPr>
          <w:sz w:val="16"/>
          <w:szCs w:val="16"/>
        </w:rPr>
        <w:t xml:space="preserve"> </w:t>
      </w:r>
      <w:r w:rsidRPr="00324C72">
        <w:rPr>
          <w:rFonts w:cs="Arial"/>
          <w:sz w:val="16"/>
          <w:szCs w:val="16"/>
        </w:rPr>
        <w:t>Spenceley, A., Snyman, S., and Eagles, P. F. J. (2017) ibid.</w:t>
      </w:r>
    </w:p>
  </w:footnote>
  <w:footnote w:id="66">
    <w:p w14:paraId="1A94C6BE" w14:textId="77777777" w:rsidR="00ED1ADA" w:rsidRPr="00A93827" w:rsidRDefault="00ED1ADA" w:rsidP="00302BFE">
      <w:pPr>
        <w:pStyle w:val="Notedebasdepage"/>
        <w:spacing w:after="0"/>
        <w:rPr>
          <w:rFonts w:ascii="Calibri" w:hAnsi="Calibri"/>
          <w:sz w:val="16"/>
          <w:szCs w:val="16"/>
          <w:lang w:val="en-CA"/>
        </w:rPr>
      </w:pPr>
      <w:r w:rsidRPr="00A93827">
        <w:rPr>
          <w:rStyle w:val="Appelnotedebasdep"/>
        </w:rPr>
        <w:footnoteRef/>
      </w:r>
      <w:r w:rsidRPr="00A93827">
        <w:rPr>
          <w:rFonts w:ascii="Calibri" w:hAnsi="Calibri"/>
          <w:sz w:val="16"/>
          <w:szCs w:val="16"/>
          <w:lang w:val="en-CA"/>
        </w:rPr>
        <w:t xml:space="preserve">This amount was equivalent to about US$ 100,000, amounting to US$ 55 per individual. </w:t>
      </w:r>
    </w:p>
  </w:footnote>
  <w:footnote w:id="67">
    <w:p w14:paraId="589920CB" w14:textId="77777777" w:rsidR="00ED1ADA" w:rsidRPr="003824FD" w:rsidRDefault="00ED1ADA" w:rsidP="00302BFE">
      <w:pPr>
        <w:pStyle w:val="Notedebasdepage"/>
        <w:spacing w:after="0"/>
        <w:rPr>
          <w:rFonts w:ascii="Calibri" w:hAnsi="Calibri"/>
          <w:sz w:val="16"/>
          <w:szCs w:val="16"/>
          <w:lang w:val="en-CA"/>
        </w:rPr>
      </w:pPr>
      <w:r w:rsidRPr="00A93827">
        <w:rPr>
          <w:rStyle w:val="Appelnotedebasdep"/>
          <w:rFonts w:ascii="Calibri" w:hAnsi="Calibri"/>
          <w:sz w:val="16"/>
          <w:szCs w:val="16"/>
        </w:rPr>
        <w:footnoteRef/>
      </w:r>
      <w:r w:rsidRPr="00A93827">
        <w:rPr>
          <w:rFonts w:ascii="Calibri" w:hAnsi="Calibri"/>
          <w:sz w:val="16"/>
          <w:szCs w:val="16"/>
          <w:lang w:val="en-CA"/>
        </w:rPr>
        <w:t>WB. 2008 Implementation Completion and Results Report for the Partnership for Natural Ecosystem Management Project.</w:t>
      </w:r>
    </w:p>
  </w:footnote>
  <w:footnote w:id="68">
    <w:p w14:paraId="058BE750" w14:textId="77777777" w:rsidR="00ED1ADA" w:rsidRPr="00D93105" w:rsidRDefault="00ED1ADA" w:rsidP="00302BFE">
      <w:pPr>
        <w:pStyle w:val="Notedebasdepage"/>
        <w:spacing w:after="0"/>
        <w:rPr>
          <w:rFonts w:ascii="Calibri" w:hAnsi="Calibri"/>
          <w:sz w:val="16"/>
          <w:szCs w:val="16"/>
          <w:lang w:val="fr-CA"/>
        </w:rPr>
      </w:pPr>
      <w:r w:rsidRPr="00A93827">
        <w:rPr>
          <w:rStyle w:val="Appelnotedebasdep"/>
          <w:rFonts w:ascii="Calibri" w:hAnsi="Calibri"/>
          <w:sz w:val="16"/>
          <w:szCs w:val="16"/>
        </w:rPr>
        <w:footnoteRef/>
      </w:r>
      <w:r w:rsidRPr="00A93827">
        <w:rPr>
          <w:rFonts w:ascii="Calibri" w:hAnsi="Calibri"/>
          <w:sz w:val="16"/>
          <w:szCs w:val="16"/>
          <w:lang w:val="fr-CA"/>
        </w:rPr>
        <w:t xml:space="preserve"> MINISTERE DE L’ENVIRONNEMENT ET DU CADRE DE VIE. 2007. Rapport final d’exécution du projet PAGEN - Opinion du Burkinabé.</w:t>
      </w:r>
    </w:p>
  </w:footnote>
  <w:footnote w:id="69">
    <w:p w14:paraId="1A691123" w14:textId="77777777" w:rsidR="00ED1ADA" w:rsidRPr="00AD6A9D" w:rsidRDefault="00ED1ADA" w:rsidP="00302BFE">
      <w:pPr>
        <w:pStyle w:val="Notedebasdepage"/>
        <w:jc w:val="left"/>
        <w:rPr>
          <w:rFonts w:ascii="Calibri" w:hAnsi="Calibri"/>
          <w:sz w:val="18"/>
          <w:szCs w:val="18"/>
        </w:rPr>
      </w:pPr>
      <w:r w:rsidRPr="00AD6A9D">
        <w:rPr>
          <w:rStyle w:val="Appelnotedebasdep"/>
          <w:rFonts w:ascii="Calibri" w:hAnsi="Calibri"/>
          <w:szCs w:val="18"/>
        </w:rPr>
        <w:footnoteRef/>
      </w:r>
      <w:r w:rsidRPr="00AD6A9D">
        <w:rPr>
          <w:rFonts w:ascii="Calibri" w:hAnsi="Calibri"/>
          <w:sz w:val="18"/>
          <w:szCs w:val="18"/>
        </w:rPr>
        <w:t xml:space="preserve"> See </w:t>
      </w:r>
      <w:r w:rsidRPr="00AD6A9D">
        <w:rPr>
          <w:rFonts w:ascii="Calibri" w:hAnsi="Calibri" w:cs="Segoe UI"/>
          <w:color w:val="000000"/>
          <w:sz w:val="18"/>
          <w:szCs w:val="18"/>
        </w:rPr>
        <w:t>http://www.undp.org/content/undp/en/home/operations/transparency/information_disclosurepolicy/</w:t>
      </w:r>
    </w:p>
  </w:footnote>
  <w:footnote w:id="70">
    <w:p w14:paraId="4BC31C31" w14:textId="77777777" w:rsidR="00ED1ADA" w:rsidRPr="00AD6A9D" w:rsidRDefault="00ED1ADA" w:rsidP="00302BFE">
      <w:pPr>
        <w:pStyle w:val="Notedebasdepage"/>
        <w:rPr>
          <w:rFonts w:ascii="Calibri" w:hAnsi="Calibri"/>
          <w:sz w:val="18"/>
          <w:szCs w:val="18"/>
        </w:rPr>
      </w:pPr>
      <w:r w:rsidRPr="00AD6A9D">
        <w:rPr>
          <w:rStyle w:val="Appelnotedebasdep"/>
          <w:rFonts w:ascii="Calibri" w:hAnsi="Calibri"/>
          <w:szCs w:val="18"/>
        </w:rPr>
        <w:footnoteRef/>
      </w:r>
      <w:r w:rsidRPr="00AD6A9D">
        <w:rPr>
          <w:rFonts w:ascii="Calibri" w:hAnsi="Calibri"/>
          <w:sz w:val="18"/>
          <w:szCs w:val="18"/>
        </w:rPr>
        <w:t xml:space="preserve"> See </w:t>
      </w:r>
      <w:r w:rsidRPr="00AD6A9D">
        <w:rPr>
          <w:rFonts w:ascii="Calibri" w:hAnsi="Calibri" w:cs="Segoe UI"/>
          <w:color w:val="000000"/>
          <w:sz w:val="18"/>
          <w:szCs w:val="18"/>
        </w:rPr>
        <w:t>https://www.thegef.org/gef/policies_guidelines</w:t>
      </w:r>
    </w:p>
  </w:footnote>
  <w:footnote w:id="71">
    <w:p w14:paraId="6844F9EC" w14:textId="77777777" w:rsidR="0071360F" w:rsidRPr="0003763F" w:rsidRDefault="0071360F" w:rsidP="0071360F">
      <w:pPr>
        <w:pStyle w:val="fn1"/>
        <w:rPr>
          <w:rFonts w:cs="Segoe UI"/>
          <w:color w:val="000000"/>
          <w:szCs w:val="18"/>
        </w:rPr>
      </w:pPr>
      <w:r w:rsidRPr="0003763F">
        <w:rPr>
          <w:rStyle w:val="Appelnotedebasdep"/>
          <w:szCs w:val="18"/>
        </w:rPr>
        <w:footnoteRef/>
      </w:r>
      <w:r w:rsidRPr="0003763F">
        <w:rPr>
          <w:szCs w:val="18"/>
        </w:rPr>
        <w:t xml:space="preserve"> See </w:t>
      </w:r>
      <w:hyperlink r:id="rId4" w:history="1">
        <w:r w:rsidRPr="0003763F">
          <w:rPr>
            <w:rStyle w:val="Lienhypertexte"/>
            <w:rFonts w:cs="Segoe UI"/>
            <w:szCs w:val="18"/>
          </w:rPr>
          <w:t>https://www.thegef.org/gef/policies_guidelines</w:t>
        </w:r>
      </w:hyperlink>
    </w:p>
  </w:footnote>
  <w:footnote w:id="72">
    <w:p w14:paraId="3934CB4B" w14:textId="77777777" w:rsidR="0071360F" w:rsidRPr="00AD6A9D" w:rsidRDefault="0071360F" w:rsidP="0071360F">
      <w:pPr>
        <w:pStyle w:val="fn1"/>
        <w:jc w:val="left"/>
        <w:rPr>
          <w:szCs w:val="18"/>
        </w:rPr>
      </w:pPr>
      <w:r w:rsidRPr="00AD6A9D">
        <w:rPr>
          <w:rStyle w:val="Appelnotedebasdep"/>
          <w:szCs w:val="18"/>
        </w:rPr>
        <w:footnoteRef/>
      </w:r>
      <w:r w:rsidRPr="00AD6A9D">
        <w:rPr>
          <w:szCs w:val="18"/>
        </w:rPr>
        <w:t xml:space="preserve"> See </w:t>
      </w:r>
      <w:r w:rsidRPr="00AD6A9D">
        <w:rPr>
          <w:rFonts w:cs="Segoe UI"/>
          <w:color w:val="000000"/>
          <w:szCs w:val="18"/>
        </w:rPr>
        <w:t>http://www.undp.org/content/undp/en/home/operations/transparency/information_disclosurepolicy/</w:t>
      </w:r>
    </w:p>
  </w:footnote>
  <w:footnote w:id="73">
    <w:p w14:paraId="3967E00D" w14:textId="77777777" w:rsidR="0071360F" w:rsidRPr="00AD6A9D" w:rsidRDefault="0071360F" w:rsidP="0071360F">
      <w:pPr>
        <w:pStyle w:val="fn1"/>
        <w:rPr>
          <w:szCs w:val="18"/>
        </w:rPr>
      </w:pPr>
      <w:r w:rsidRPr="00AD6A9D">
        <w:rPr>
          <w:rStyle w:val="Appelnotedebasdep"/>
          <w:szCs w:val="18"/>
        </w:rPr>
        <w:footnoteRef/>
      </w:r>
      <w:r w:rsidRPr="00AD6A9D">
        <w:rPr>
          <w:szCs w:val="18"/>
        </w:rPr>
        <w:t xml:space="preserve"> See </w:t>
      </w:r>
      <w:r w:rsidRPr="00AD6A9D">
        <w:rPr>
          <w:rFonts w:cs="Segoe UI"/>
          <w:color w:val="000000"/>
          <w:szCs w:val="18"/>
        </w:rPr>
        <w:t>https://www.thegef.org/gef/policies_guidelines</w:t>
      </w:r>
    </w:p>
  </w:footnote>
  <w:footnote w:id="74">
    <w:p w14:paraId="09ABD5F2" w14:textId="77777777" w:rsidR="00ED1ADA" w:rsidRPr="0046177D" w:rsidRDefault="00ED1ADA" w:rsidP="00302BFE">
      <w:pPr>
        <w:pStyle w:val="Notedebasdepage"/>
        <w:spacing w:after="0"/>
        <w:rPr>
          <w:rFonts w:ascii="Calibri" w:hAnsi="Calibri" w:cs="Calibri"/>
          <w:sz w:val="18"/>
          <w:szCs w:val="18"/>
        </w:rPr>
      </w:pPr>
      <w:r w:rsidRPr="0046177D">
        <w:rPr>
          <w:rStyle w:val="Appelnotedebasdep"/>
          <w:rFonts w:ascii="Calibri" w:hAnsi="Calibri" w:cs="Calibri"/>
          <w:szCs w:val="18"/>
        </w:rPr>
        <w:footnoteRef/>
      </w:r>
      <w:r w:rsidRPr="0046177D">
        <w:rPr>
          <w:rFonts w:ascii="Calibri" w:hAnsi="Calibri" w:cs="Calibri"/>
          <w:sz w:val="18"/>
          <w:szCs w:val="18"/>
        </w:rPr>
        <w:t xml:space="preserve"> Excluding project team staff time and UNDP staff time and travel expenses</w:t>
      </w:r>
      <w:r>
        <w:rPr>
          <w:rFonts w:ascii="Calibri" w:hAnsi="Calibri" w:cs="Calibri"/>
          <w:sz w:val="18"/>
          <w:szCs w:val="18"/>
        </w:rPr>
        <w:t>.</w:t>
      </w:r>
    </w:p>
  </w:footnote>
  <w:footnote w:id="75">
    <w:p w14:paraId="203B5D1D" w14:textId="77777777" w:rsidR="00ED1ADA" w:rsidRPr="00F64994" w:rsidRDefault="00ED1ADA" w:rsidP="00302BFE">
      <w:pPr>
        <w:pStyle w:val="Notedebasdepage"/>
        <w:spacing w:after="0"/>
        <w:rPr>
          <w:rStyle w:val="Appelnotedebasdep"/>
          <w:rFonts w:asciiTheme="minorHAnsi" w:hAnsiTheme="minorHAnsi" w:cs="Calibri"/>
          <w:sz w:val="16"/>
          <w:szCs w:val="16"/>
          <w:lang w:val="en-CA"/>
        </w:rPr>
      </w:pPr>
      <w:r w:rsidRPr="00805CFF">
        <w:rPr>
          <w:rStyle w:val="Appelnotedebasdep"/>
          <w:rFonts w:ascii="Calibri" w:hAnsi="Calibri" w:cs="Calibri"/>
          <w:szCs w:val="18"/>
        </w:rPr>
        <w:footnoteRef/>
      </w:r>
      <w:r w:rsidRPr="00C0671F">
        <w:rPr>
          <w:rStyle w:val="Appelnotedebasdep"/>
          <w:rFonts w:ascii="Calibri" w:hAnsi="Calibri" w:cs="Calibri"/>
          <w:szCs w:val="18"/>
          <w:lang w:val="en-CA"/>
        </w:rPr>
        <w:t xml:space="preserve"> </w:t>
      </w:r>
      <w:r w:rsidRPr="00F64994">
        <w:rPr>
          <w:rFonts w:asciiTheme="minorHAnsi" w:hAnsiTheme="minorHAnsi"/>
          <w:sz w:val="16"/>
          <w:szCs w:val="16"/>
        </w:rPr>
        <w:t>Estimated at 5% of Project Manager total time</w:t>
      </w:r>
      <w:r w:rsidRPr="00F64994">
        <w:rPr>
          <w:rFonts w:asciiTheme="minorHAnsi" w:hAnsiTheme="minorHAnsi" w:cs="Calibri"/>
          <w:sz w:val="16"/>
          <w:szCs w:val="16"/>
          <w:lang w:val="en-CA"/>
        </w:rPr>
        <w:t xml:space="preserve"> </w:t>
      </w:r>
      <w:r w:rsidRPr="00F64994">
        <w:rPr>
          <w:rFonts w:asciiTheme="minorHAnsi" w:hAnsiTheme="minorHAnsi"/>
          <w:sz w:val="16"/>
          <w:szCs w:val="16"/>
        </w:rPr>
        <w:t>and 20% of Monitoring and Evaluation / Safeguards Expert</w:t>
      </w:r>
      <w:r w:rsidRPr="00F64994">
        <w:rPr>
          <w:rFonts w:asciiTheme="minorHAnsi" w:hAnsiTheme="minorHAnsi" w:cs="Calibri"/>
          <w:sz w:val="16"/>
          <w:szCs w:val="16"/>
          <w:lang w:val="en-CA"/>
        </w:rPr>
        <w:t xml:space="preserve"> total time</w:t>
      </w:r>
    </w:p>
  </w:footnote>
  <w:footnote w:id="76">
    <w:p w14:paraId="206FDDDB" w14:textId="77777777" w:rsidR="00ED1ADA" w:rsidRPr="00F64994" w:rsidRDefault="00ED1ADA" w:rsidP="00302BFE">
      <w:pPr>
        <w:pStyle w:val="Notedebasdepage"/>
        <w:spacing w:after="0"/>
        <w:rPr>
          <w:rStyle w:val="Appelnotedebasdep"/>
          <w:rFonts w:asciiTheme="minorHAnsi" w:hAnsiTheme="minorHAnsi" w:cs="Calibri"/>
          <w:sz w:val="16"/>
          <w:szCs w:val="16"/>
          <w:vertAlign w:val="baseline"/>
        </w:rPr>
      </w:pPr>
      <w:r w:rsidRPr="00E208B0">
        <w:rPr>
          <w:rStyle w:val="Appelnotedebasdep"/>
          <w:rFonts w:ascii="Calibri" w:hAnsi="Calibri" w:cs="Calibri"/>
          <w:sz w:val="16"/>
          <w:szCs w:val="16"/>
        </w:rPr>
        <w:footnoteRef/>
      </w:r>
      <w:r w:rsidRPr="00E208B0">
        <w:rPr>
          <w:rStyle w:val="Appelnotedebasdep"/>
          <w:rFonts w:ascii="Calibri" w:hAnsi="Calibri" w:cs="Calibri"/>
          <w:sz w:val="16"/>
          <w:szCs w:val="16"/>
        </w:rPr>
        <w:t xml:space="preserve"> </w:t>
      </w:r>
      <w:r w:rsidRPr="00F64994">
        <w:rPr>
          <w:rStyle w:val="Appelnotedebasdep"/>
          <w:rFonts w:asciiTheme="minorHAnsi" w:hAnsiTheme="minorHAnsi" w:cs="Calibri"/>
          <w:sz w:val="16"/>
          <w:szCs w:val="16"/>
          <w:vertAlign w:val="baseline"/>
        </w:rPr>
        <w:t>The costs of UNDP Country Office and UNDP-GEF Unit’s participation and time are charged to the GEF Agency Fee.</w:t>
      </w:r>
    </w:p>
  </w:footnote>
  <w:footnote w:id="77">
    <w:p w14:paraId="7E9ED67F" w14:textId="77777777" w:rsidR="00ED1ADA" w:rsidRPr="00E208B0" w:rsidRDefault="00ED1ADA" w:rsidP="00302BFE">
      <w:pPr>
        <w:pStyle w:val="Notedebasdepage"/>
        <w:spacing w:after="0"/>
        <w:rPr>
          <w:rFonts w:ascii="Calibri" w:hAnsi="Calibri"/>
          <w:sz w:val="16"/>
          <w:szCs w:val="16"/>
        </w:rPr>
      </w:pPr>
      <w:r w:rsidRPr="00E208B0">
        <w:rPr>
          <w:rStyle w:val="Appelnotedebasdep"/>
          <w:rFonts w:ascii="Calibri" w:hAnsi="Calibri"/>
          <w:sz w:val="16"/>
          <w:szCs w:val="16"/>
        </w:rPr>
        <w:footnoteRef/>
      </w:r>
      <w:r w:rsidRPr="00E208B0">
        <w:rPr>
          <w:rFonts w:ascii="Calibri" w:hAnsi="Calibri"/>
          <w:sz w:val="16"/>
          <w:szCs w:val="16"/>
        </w:rPr>
        <w:t xml:space="preserve"> </w:t>
      </w:r>
      <w:r w:rsidRPr="00F64994">
        <w:rPr>
          <w:rStyle w:val="Appelnotedebasdep"/>
          <w:rFonts w:ascii="Calibri" w:hAnsi="Calibri" w:cs="Calibri"/>
          <w:sz w:val="16"/>
          <w:szCs w:val="16"/>
          <w:vertAlign w:val="baseline"/>
          <w:lang w:val="en-CA"/>
        </w:rPr>
        <w:t>Estimated at 50% of Monitoring and Evaluation / Safeguards Expert</w:t>
      </w:r>
      <w:r w:rsidRPr="00F64994">
        <w:rPr>
          <w:rFonts w:ascii="Calibri" w:hAnsi="Calibri" w:cs="Calibri"/>
          <w:sz w:val="16"/>
          <w:szCs w:val="16"/>
          <w:lang w:val="en-CA"/>
        </w:rPr>
        <w:t xml:space="preserve"> </w:t>
      </w:r>
      <w:r w:rsidRPr="00E208B0">
        <w:rPr>
          <w:rFonts w:ascii="Calibri" w:hAnsi="Calibri" w:cs="Calibri"/>
          <w:sz w:val="16"/>
          <w:szCs w:val="16"/>
          <w:lang w:val="en-CA"/>
        </w:rPr>
        <w:t>total time in the first year of the project, and additional provision of USD 8,000 for the estimation of missing baseline values in components 2 and 3</w:t>
      </w:r>
    </w:p>
  </w:footnote>
  <w:footnote w:id="78">
    <w:p w14:paraId="2E97D254" w14:textId="77777777" w:rsidR="00ED1ADA" w:rsidRPr="00E208B0" w:rsidRDefault="00ED1ADA" w:rsidP="00302BFE">
      <w:pPr>
        <w:pStyle w:val="Notedebasdepage"/>
        <w:spacing w:after="0"/>
        <w:rPr>
          <w:rFonts w:ascii="Calibri" w:hAnsi="Calibri"/>
          <w:sz w:val="16"/>
          <w:szCs w:val="16"/>
        </w:rPr>
      </w:pPr>
      <w:r w:rsidRPr="00E208B0">
        <w:rPr>
          <w:rStyle w:val="Appelnotedebasdep"/>
          <w:rFonts w:ascii="Calibri" w:hAnsi="Calibri"/>
          <w:sz w:val="16"/>
          <w:szCs w:val="16"/>
        </w:rPr>
        <w:footnoteRef/>
      </w:r>
      <w:r w:rsidRPr="00E208B0">
        <w:rPr>
          <w:rFonts w:ascii="Calibri" w:hAnsi="Calibri"/>
          <w:sz w:val="16"/>
          <w:szCs w:val="16"/>
        </w:rPr>
        <w:t xml:space="preserve"> </w:t>
      </w:r>
      <w:r w:rsidRPr="003D33C0">
        <w:rPr>
          <w:rStyle w:val="Appelnotedebasdep"/>
          <w:rFonts w:ascii="Calibri" w:hAnsi="Calibri" w:cs="Calibri"/>
          <w:sz w:val="16"/>
          <w:szCs w:val="16"/>
          <w:vertAlign w:val="baseline"/>
          <w:lang w:val="en-CA"/>
        </w:rPr>
        <w:t>Estimated at 50% of Monitoring and Evaluation / Safeguards Expert</w:t>
      </w:r>
      <w:r w:rsidRPr="00E208B0">
        <w:rPr>
          <w:rFonts w:ascii="Calibri" w:hAnsi="Calibri" w:cs="Calibri"/>
          <w:sz w:val="16"/>
          <w:szCs w:val="16"/>
          <w:lang w:val="en-CA"/>
        </w:rPr>
        <w:t xml:space="preserve"> total time in the first year of the project, and additional provision of USD </w:t>
      </w:r>
      <w:r>
        <w:rPr>
          <w:rFonts w:ascii="Calibri" w:hAnsi="Calibri" w:cs="Calibri"/>
          <w:sz w:val="16"/>
          <w:szCs w:val="16"/>
          <w:lang w:val="en-CA"/>
        </w:rPr>
        <w:t>20</w:t>
      </w:r>
      <w:r w:rsidRPr="00E208B0">
        <w:rPr>
          <w:rFonts w:ascii="Calibri" w:hAnsi="Calibri" w:cs="Calibri"/>
          <w:sz w:val="16"/>
          <w:szCs w:val="16"/>
          <w:lang w:val="en-CA"/>
        </w:rPr>
        <w:t>,000 for the preparation of the project ESM</w:t>
      </w:r>
      <w:r>
        <w:rPr>
          <w:rFonts w:ascii="Calibri" w:hAnsi="Calibri" w:cs="Calibri"/>
          <w:sz w:val="16"/>
          <w:szCs w:val="16"/>
          <w:lang w:val="en-CA"/>
        </w:rPr>
        <w:t>P</w:t>
      </w:r>
    </w:p>
  </w:footnote>
  <w:footnote w:id="79">
    <w:p w14:paraId="7D1284F9" w14:textId="77777777" w:rsidR="00E34E6F" w:rsidRPr="003174B4" w:rsidRDefault="00E34E6F" w:rsidP="00E34E6F">
      <w:pPr>
        <w:pStyle w:val="fn1"/>
        <w:jc w:val="left"/>
      </w:pPr>
      <w:r w:rsidRPr="00966EF0">
        <w:rPr>
          <w:rStyle w:val="Appelnotedebasdep"/>
        </w:rPr>
        <w:footnoteRef/>
      </w:r>
      <w:r w:rsidRPr="003174B4">
        <w:t xml:space="preserve"> See </w:t>
      </w:r>
      <w:hyperlink r:id="rId5" w:history="1">
        <w:r w:rsidRPr="003174B4">
          <w:rPr>
            <w:rStyle w:val="Lienhypertexte"/>
          </w:rPr>
          <w:t>https://popp.undp.org/_layouts/15/WopiFrame.aspx?sourcedoc=/UNDP_POPP_DOCUMENT_LIBRARY/Public/PPM_Project%20Management_Closing.docx&amp;action=default</w:t>
        </w:r>
      </w:hyperlink>
      <w:r w:rsidRPr="003174B4">
        <w:t xml:space="preserve">. </w:t>
      </w:r>
    </w:p>
  </w:footnote>
  <w:footnote w:id="80">
    <w:p w14:paraId="5DC59DA2" w14:textId="77777777" w:rsidR="00ED1ADA" w:rsidRDefault="00ED1ADA" w:rsidP="00302BFE">
      <w:pPr>
        <w:spacing w:after="0"/>
        <w:rPr>
          <w:sz w:val="16"/>
          <w:szCs w:val="16"/>
        </w:rPr>
      </w:pPr>
      <w:r>
        <w:rPr>
          <w:rStyle w:val="Appelnotedebasdep"/>
          <w:sz w:val="16"/>
          <w:szCs w:val="16"/>
        </w:rPr>
        <w:footnoteRef/>
      </w:r>
      <w:r>
        <w:rPr>
          <w:sz w:val="16"/>
          <w:szCs w:val="16"/>
        </w:rPr>
        <w:t xml:space="preserve"> Summary table should include all financing of all kinds: GEF financing, co-financing, cash, in-kind, etc...</w:t>
      </w:r>
    </w:p>
  </w:footnote>
  <w:footnote w:id="81">
    <w:p w14:paraId="013D27F9" w14:textId="77777777" w:rsidR="00ED1ADA" w:rsidRPr="00587146" w:rsidRDefault="00ED1ADA" w:rsidP="00302BFE">
      <w:pPr>
        <w:pStyle w:val="Notedebasdepage"/>
        <w:spacing w:after="0"/>
        <w:rPr>
          <w:rFonts w:ascii="Times New Roman" w:hAnsi="Times New Roman"/>
          <w:sz w:val="16"/>
          <w:szCs w:val="16"/>
          <w:lang w:val="en-CA"/>
        </w:rPr>
      </w:pPr>
      <w:r w:rsidRPr="00D50EF6">
        <w:rPr>
          <w:rStyle w:val="Appelnotedebasdep"/>
        </w:rPr>
        <w:footnoteRef/>
      </w:r>
      <w:r w:rsidRPr="00D50EF6">
        <w:rPr>
          <w:lang w:val="en-CA"/>
        </w:rPr>
        <w:t xml:space="preserve"> </w:t>
      </w:r>
      <w:r w:rsidRPr="00D50EF6">
        <w:rPr>
          <w:rFonts w:ascii="Times New Roman" w:hAnsi="Times New Roman"/>
          <w:sz w:val="16"/>
          <w:szCs w:val="16"/>
          <w:lang w:val="en-CA"/>
        </w:rPr>
        <w:t>Restoration will take place within the corridor #2 which will be gazetted as part the component 2. This area is not counted in the total area under improved management to avoid double-counting.</w:t>
      </w:r>
    </w:p>
  </w:footnote>
  <w:footnote w:id="82">
    <w:p w14:paraId="6896A208" w14:textId="79D4CB58" w:rsidR="00ED1ADA" w:rsidRPr="008C5F92" w:rsidRDefault="00ED1ADA" w:rsidP="008C5F92">
      <w:pPr>
        <w:pStyle w:val="Notedebasdepage"/>
        <w:spacing w:after="0"/>
        <w:rPr>
          <w:rFonts w:asciiTheme="minorHAnsi" w:hAnsiTheme="minorHAnsi"/>
          <w:sz w:val="16"/>
          <w:szCs w:val="16"/>
        </w:rPr>
      </w:pPr>
      <w:r w:rsidRPr="008C5F92">
        <w:rPr>
          <w:rStyle w:val="Appelnotedebasdep"/>
          <w:rFonts w:asciiTheme="minorHAnsi" w:hAnsiTheme="minorHAnsi"/>
          <w:sz w:val="16"/>
          <w:szCs w:val="16"/>
        </w:rPr>
        <w:footnoteRef/>
      </w:r>
      <w:r w:rsidRPr="008C5F92">
        <w:rPr>
          <w:rFonts w:asciiTheme="minorHAnsi" w:hAnsiTheme="minorHAnsi"/>
          <w:sz w:val="16"/>
          <w:szCs w:val="16"/>
        </w:rPr>
        <w:t xml:space="preserve"> Approximately 170 to 510 US$ per </w:t>
      </w:r>
      <w:r>
        <w:rPr>
          <w:rFonts w:asciiTheme="minorHAnsi" w:hAnsiTheme="minorHAnsi"/>
          <w:sz w:val="16"/>
          <w:szCs w:val="16"/>
        </w:rPr>
        <w:t>year</w:t>
      </w:r>
    </w:p>
  </w:footnote>
  <w:footnote w:id="83">
    <w:p w14:paraId="461D8D88" w14:textId="0A475B73" w:rsidR="00ED1ADA" w:rsidRPr="008C5F92" w:rsidRDefault="00ED1ADA" w:rsidP="008C5F92">
      <w:pPr>
        <w:pStyle w:val="Notedebasdepage"/>
        <w:spacing w:after="0"/>
        <w:rPr>
          <w:rStyle w:val="Appelnotedebasdep"/>
          <w:rFonts w:asciiTheme="minorHAnsi" w:hAnsiTheme="minorHAnsi"/>
          <w:sz w:val="16"/>
          <w:szCs w:val="16"/>
          <w:vertAlign w:val="baseline"/>
        </w:rPr>
      </w:pPr>
      <w:r w:rsidRPr="008C5F92">
        <w:rPr>
          <w:rStyle w:val="Appelnotedebasdep"/>
          <w:rFonts w:asciiTheme="minorHAnsi" w:hAnsiTheme="minorHAnsi"/>
          <w:sz w:val="16"/>
          <w:szCs w:val="16"/>
        </w:rPr>
        <w:footnoteRef/>
      </w:r>
      <w:r w:rsidRPr="008C5F92">
        <w:rPr>
          <w:rStyle w:val="Appelnotedebasdep"/>
          <w:rFonts w:asciiTheme="minorHAnsi" w:hAnsiTheme="minorHAnsi"/>
          <w:sz w:val="16"/>
          <w:szCs w:val="16"/>
        </w:rPr>
        <w:t xml:space="preserve"> </w:t>
      </w:r>
      <w:r w:rsidRPr="008C5F92">
        <w:rPr>
          <w:rStyle w:val="Appelnotedebasdep"/>
          <w:rFonts w:asciiTheme="minorHAnsi" w:hAnsiTheme="minorHAnsi"/>
          <w:sz w:val="16"/>
          <w:vertAlign w:val="baseline"/>
        </w:rPr>
        <w:t>Approximately 82 to 145 US$</w:t>
      </w:r>
    </w:p>
  </w:footnote>
  <w:footnote w:id="84">
    <w:p w14:paraId="6506CCF0" w14:textId="7BCB1329" w:rsidR="00ED1ADA" w:rsidRPr="008C5F92" w:rsidRDefault="00ED1ADA" w:rsidP="008C5F92">
      <w:pPr>
        <w:pStyle w:val="Notedebasdepage"/>
        <w:spacing w:after="0"/>
        <w:rPr>
          <w:rFonts w:asciiTheme="minorHAnsi" w:hAnsiTheme="minorHAnsi"/>
          <w:sz w:val="16"/>
          <w:szCs w:val="16"/>
        </w:rPr>
      </w:pPr>
      <w:r w:rsidRPr="008C5F92">
        <w:rPr>
          <w:rStyle w:val="Appelnotedebasdep"/>
          <w:rFonts w:asciiTheme="minorHAnsi" w:hAnsiTheme="minorHAnsi"/>
          <w:sz w:val="16"/>
          <w:szCs w:val="16"/>
        </w:rPr>
        <w:footnoteRef/>
      </w:r>
      <w:r w:rsidRPr="008C5F92">
        <w:rPr>
          <w:rFonts w:asciiTheme="minorHAnsi" w:hAnsiTheme="minorHAnsi"/>
          <w:sz w:val="16"/>
          <w:szCs w:val="16"/>
        </w:rPr>
        <w:t xml:space="preserve"> Approximately 105 US$ </w:t>
      </w:r>
    </w:p>
  </w:footnote>
  <w:footnote w:id="85">
    <w:p w14:paraId="22331FF3" w14:textId="77777777" w:rsidR="00ED1ADA" w:rsidRPr="00BA18F6" w:rsidRDefault="00ED1ADA" w:rsidP="00302BFE">
      <w:pPr>
        <w:pStyle w:val="Notedebasdepage"/>
        <w:spacing w:after="0"/>
        <w:rPr>
          <w:rFonts w:ascii="Calibri" w:hAnsi="Calibri"/>
          <w:sz w:val="16"/>
          <w:szCs w:val="16"/>
          <w:lang w:val="en-CA"/>
        </w:rPr>
      </w:pPr>
      <w:r w:rsidRPr="00BA18F6">
        <w:rPr>
          <w:rStyle w:val="Appelnotedebasdep"/>
          <w:rFonts w:ascii="Calibri" w:hAnsi="Calibri"/>
          <w:sz w:val="16"/>
          <w:szCs w:val="16"/>
        </w:rPr>
        <w:footnoteRef/>
      </w:r>
      <w:r w:rsidRPr="00BA18F6">
        <w:rPr>
          <w:rFonts w:ascii="Calibri" w:hAnsi="Calibri"/>
          <w:sz w:val="16"/>
          <w:szCs w:val="16"/>
          <w:lang w:val="en-CA"/>
        </w:rPr>
        <w:t xml:space="preserve"> </w:t>
      </w:r>
      <w:r w:rsidRPr="00BA18F6">
        <w:rPr>
          <w:rFonts w:ascii="Calibri" w:eastAsia="Times New Roman" w:hAnsi="Calibri"/>
          <w:sz w:val="16"/>
          <w:szCs w:val="16"/>
          <w:lang w:val="en-CA" w:eastAsia="fr-FR"/>
        </w:rPr>
        <w:t>National Action Plan on Market Access for NWFPs, 2019</w:t>
      </w:r>
    </w:p>
  </w:footnote>
  <w:footnote w:id="86">
    <w:p w14:paraId="1E5D725D" w14:textId="77777777" w:rsidR="00ED1ADA" w:rsidRPr="003824FD" w:rsidRDefault="00ED1ADA" w:rsidP="00302BFE">
      <w:pPr>
        <w:pStyle w:val="Notedebasdepage"/>
        <w:spacing w:after="0"/>
        <w:rPr>
          <w:rFonts w:ascii="Calibri" w:hAnsi="Calibri"/>
          <w:sz w:val="16"/>
          <w:szCs w:val="16"/>
          <w:lang w:val="fr-CA"/>
        </w:rPr>
      </w:pPr>
      <w:r w:rsidRPr="003824FD">
        <w:rPr>
          <w:rStyle w:val="Appelnotedebasdep"/>
          <w:rFonts w:ascii="Calibri" w:hAnsi="Calibri"/>
          <w:sz w:val="16"/>
          <w:szCs w:val="16"/>
        </w:rPr>
        <w:footnoteRef/>
      </w:r>
      <w:r w:rsidRPr="00C5724B">
        <w:rPr>
          <w:rFonts w:ascii="Calibri" w:hAnsi="Calibri"/>
          <w:sz w:val="16"/>
          <w:szCs w:val="16"/>
          <w:lang w:val="fr-CA" w:eastAsia="fr-FR"/>
        </w:rPr>
        <w:t>Sama, 2015</w:t>
      </w:r>
    </w:p>
  </w:footnote>
  <w:footnote w:id="87">
    <w:p w14:paraId="01F92AE6" w14:textId="77777777" w:rsidR="00ED1ADA" w:rsidRPr="003824FD" w:rsidRDefault="00ED1ADA" w:rsidP="00302BFE">
      <w:pPr>
        <w:pStyle w:val="Notedebasdepage"/>
        <w:spacing w:after="0"/>
        <w:rPr>
          <w:rFonts w:ascii="Calibri" w:hAnsi="Calibri"/>
          <w:sz w:val="16"/>
          <w:szCs w:val="16"/>
          <w:lang w:val="fr-CA"/>
        </w:rPr>
      </w:pPr>
      <w:r w:rsidRPr="003824FD">
        <w:rPr>
          <w:rStyle w:val="Appelnotedebasdep"/>
          <w:rFonts w:ascii="Calibri" w:hAnsi="Calibri"/>
          <w:sz w:val="16"/>
          <w:szCs w:val="16"/>
        </w:rPr>
        <w:footnoteRef/>
      </w:r>
      <w:r w:rsidRPr="003824FD">
        <w:rPr>
          <w:rFonts w:ascii="Calibri" w:hAnsi="Calibri"/>
          <w:sz w:val="16"/>
          <w:szCs w:val="16"/>
          <w:lang w:val="fr-CA"/>
        </w:rPr>
        <w:t xml:space="preserve"> Portier, B., </w:t>
      </w:r>
      <w:proofErr w:type="spellStart"/>
      <w:r w:rsidRPr="003824FD">
        <w:rPr>
          <w:rFonts w:ascii="Calibri" w:hAnsi="Calibri"/>
          <w:sz w:val="16"/>
          <w:szCs w:val="16"/>
          <w:lang w:val="fr-CA"/>
        </w:rPr>
        <w:t>Lungren</w:t>
      </w:r>
      <w:proofErr w:type="spellEnd"/>
      <w:r w:rsidRPr="003824FD">
        <w:rPr>
          <w:rFonts w:ascii="Calibri" w:hAnsi="Calibri"/>
          <w:sz w:val="16"/>
          <w:szCs w:val="16"/>
          <w:lang w:val="fr-CA"/>
        </w:rPr>
        <w:t xml:space="preserve">, C.G. (2007). La faune et le </w:t>
      </w:r>
      <w:proofErr w:type="spellStart"/>
      <w:r w:rsidRPr="003824FD">
        <w:rPr>
          <w:rFonts w:ascii="Calibri" w:hAnsi="Calibri"/>
          <w:sz w:val="16"/>
          <w:szCs w:val="16"/>
          <w:lang w:val="fr-CA"/>
        </w:rPr>
        <w:t>ranching</w:t>
      </w:r>
      <w:proofErr w:type="spellEnd"/>
      <w:r w:rsidRPr="003824FD">
        <w:rPr>
          <w:rFonts w:ascii="Calibri" w:hAnsi="Calibri"/>
          <w:sz w:val="16"/>
          <w:szCs w:val="16"/>
          <w:lang w:val="fr-CA"/>
        </w:rPr>
        <w:t xml:space="preserve"> au Burkina Faso. In: W. </w:t>
      </w:r>
      <w:proofErr w:type="spellStart"/>
      <w:r w:rsidRPr="003824FD">
        <w:rPr>
          <w:rFonts w:ascii="Calibri" w:hAnsi="Calibri"/>
          <w:sz w:val="16"/>
          <w:szCs w:val="16"/>
          <w:lang w:val="fr-CA"/>
        </w:rPr>
        <w:t>Delvingt</w:t>
      </w:r>
      <w:proofErr w:type="spellEnd"/>
      <w:r w:rsidRPr="003824FD">
        <w:rPr>
          <w:rFonts w:ascii="Calibri" w:hAnsi="Calibri"/>
          <w:sz w:val="16"/>
          <w:szCs w:val="16"/>
          <w:lang w:val="fr-CA"/>
        </w:rPr>
        <w:t>, C. Vermeulen (</w:t>
      </w:r>
      <w:proofErr w:type="spellStart"/>
      <w:r w:rsidRPr="003824FD">
        <w:rPr>
          <w:rFonts w:ascii="Calibri" w:hAnsi="Calibri"/>
          <w:sz w:val="16"/>
          <w:szCs w:val="16"/>
          <w:lang w:val="fr-CA"/>
        </w:rPr>
        <w:t>Eds</w:t>
      </w:r>
      <w:proofErr w:type="spellEnd"/>
      <w:r w:rsidRPr="003824FD">
        <w:rPr>
          <w:rFonts w:ascii="Calibri" w:hAnsi="Calibri"/>
          <w:sz w:val="16"/>
          <w:szCs w:val="16"/>
          <w:lang w:val="fr-CA"/>
        </w:rPr>
        <w:t xml:space="preserve">.), </w:t>
      </w:r>
      <w:proofErr w:type="spellStart"/>
      <w:r w:rsidRPr="003824FD">
        <w:rPr>
          <w:rFonts w:ascii="Calibri" w:hAnsi="Calibri"/>
          <w:sz w:val="16"/>
          <w:szCs w:val="16"/>
          <w:lang w:val="fr-CA"/>
        </w:rPr>
        <w:t>Nazinga</w:t>
      </w:r>
      <w:proofErr w:type="spellEnd"/>
      <w:r w:rsidRPr="003824FD">
        <w:rPr>
          <w:rFonts w:ascii="Calibri" w:hAnsi="Calibri"/>
          <w:sz w:val="16"/>
          <w:szCs w:val="16"/>
          <w:lang w:val="fr-CA"/>
        </w:rPr>
        <w:t xml:space="preserve">. Région Wallonne, Presse Agronomique de Gembloux, Nature+, APEFE, </w:t>
      </w:r>
      <w:proofErr w:type="gramStart"/>
      <w:r w:rsidRPr="003824FD">
        <w:rPr>
          <w:rFonts w:ascii="Calibri" w:hAnsi="Calibri"/>
          <w:sz w:val="16"/>
          <w:szCs w:val="16"/>
          <w:lang w:val="fr-CA"/>
        </w:rPr>
        <w:t>Ministère de l’Environnement</w:t>
      </w:r>
      <w:proofErr w:type="gramEnd"/>
      <w:r w:rsidRPr="003824FD">
        <w:rPr>
          <w:rFonts w:ascii="Calibri" w:hAnsi="Calibri"/>
          <w:sz w:val="16"/>
          <w:szCs w:val="16"/>
          <w:lang w:val="fr-CA"/>
        </w:rPr>
        <w:t xml:space="preserve"> et du Cadre de Vie (Burkina Faso), Gembloux and Ouagadougou. </w:t>
      </w:r>
      <w:proofErr w:type="gramStart"/>
      <w:r w:rsidRPr="003824FD">
        <w:rPr>
          <w:rFonts w:ascii="Calibri" w:hAnsi="Calibri"/>
          <w:sz w:val="16"/>
          <w:szCs w:val="16"/>
          <w:lang w:val="fr-CA"/>
        </w:rPr>
        <w:t>pp</w:t>
      </w:r>
      <w:proofErr w:type="gramEnd"/>
      <w:r w:rsidRPr="003824FD">
        <w:rPr>
          <w:rFonts w:ascii="Calibri" w:hAnsi="Calibri"/>
          <w:sz w:val="16"/>
          <w:szCs w:val="16"/>
          <w:lang w:val="fr-CA"/>
        </w:rPr>
        <w:t xml:space="preserve"> 33–44.</w:t>
      </w:r>
    </w:p>
  </w:footnote>
  <w:footnote w:id="88">
    <w:p w14:paraId="4EEF71DD" w14:textId="77777777" w:rsidR="00ED1ADA" w:rsidRPr="00E96518" w:rsidRDefault="00ED1ADA" w:rsidP="00302BFE">
      <w:pPr>
        <w:spacing w:after="0"/>
        <w:rPr>
          <w:rFonts w:eastAsia="Times New Roman"/>
          <w:color w:val="003300"/>
          <w:sz w:val="16"/>
          <w:szCs w:val="16"/>
          <w:lang w:val="fr-CA" w:eastAsia="fr-CA"/>
        </w:rPr>
      </w:pPr>
      <w:r w:rsidRPr="00740B95">
        <w:rPr>
          <w:rStyle w:val="Appelnotedebasdep"/>
          <w:sz w:val="16"/>
          <w:szCs w:val="16"/>
        </w:rPr>
        <w:footnoteRef/>
      </w:r>
      <w:r w:rsidRPr="00E96518">
        <w:rPr>
          <w:sz w:val="16"/>
          <w:szCs w:val="16"/>
          <w:lang w:val="fr-CA"/>
        </w:rPr>
        <w:t xml:space="preserve"> </w:t>
      </w:r>
      <w:hyperlink r:id="rId6" w:history="1">
        <w:r w:rsidRPr="00E96518">
          <w:rPr>
            <w:rStyle w:val="Lienhypertexte"/>
            <w:sz w:val="16"/>
            <w:szCs w:val="16"/>
            <w:lang w:val="fr-CA"/>
          </w:rPr>
          <w:t>http://www.parks.it/world/BF/parco.kabore.tambi/Fpar.html</w:t>
        </w:r>
      </w:hyperlink>
      <w:r w:rsidRPr="00E96518">
        <w:rPr>
          <w:rStyle w:val="Lienhypertexte"/>
          <w:sz w:val="16"/>
          <w:szCs w:val="16"/>
          <w:lang w:val="fr-CA"/>
        </w:rPr>
        <w:t xml:space="preserve">, </w:t>
      </w:r>
      <w:r w:rsidRPr="00E96518">
        <w:rPr>
          <w:rFonts w:eastAsia="Times New Roman"/>
          <w:color w:val="003300"/>
          <w:sz w:val="16"/>
          <w:szCs w:val="16"/>
          <w:lang w:val="fr-CA" w:eastAsia="fr-CA"/>
        </w:rPr>
        <w:t>PAPACO 2009 – Évaluation de l’efficacité de la gestion des Aires protégées au Burkina Faso</w:t>
      </w:r>
    </w:p>
  </w:footnote>
  <w:footnote w:id="89">
    <w:p w14:paraId="52F0053D" w14:textId="77777777" w:rsidR="00ED1ADA" w:rsidRPr="003824FD" w:rsidRDefault="00ED1ADA" w:rsidP="00302BFE">
      <w:pPr>
        <w:pStyle w:val="Notedebasdepage"/>
        <w:spacing w:after="0"/>
        <w:rPr>
          <w:rFonts w:ascii="Calibri" w:hAnsi="Calibri"/>
          <w:sz w:val="16"/>
          <w:szCs w:val="16"/>
          <w:lang w:val="fr-CA"/>
        </w:rPr>
      </w:pPr>
      <w:r w:rsidRPr="00F92E82">
        <w:rPr>
          <w:rStyle w:val="Appelnotedebasdep"/>
          <w:rFonts w:asciiTheme="minorHAnsi" w:hAnsiTheme="minorHAnsi"/>
          <w:sz w:val="16"/>
          <w:szCs w:val="16"/>
        </w:rPr>
        <w:footnoteRef/>
      </w:r>
      <w:r w:rsidRPr="00F92E82">
        <w:rPr>
          <w:rFonts w:asciiTheme="minorHAnsi" w:hAnsiTheme="minorHAnsi"/>
          <w:sz w:val="16"/>
          <w:szCs w:val="16"/>
          <w:lang w:val="fr-CA"/>
        </w:rPr>
        <w:t xml:space="preserve"> </w:t>
      </w:r>
      <w:r w:rsidRPr="003824FD">
        <w:rPr>
          <w:rFonts w:ascii="Calibri" w:hAnsi="Calibri"/>
          <w:sz w:val="16"/>
          <w:szCs w:val="16"/>
          <w:lang w:val="fr-CA"/>
        </w:rPr>
        <w:t>Calculé au taux d’aujourd’hui, ce montant équivaut à $44 US par personne.</w:t>
      </w:r>
    </w:p>
  </w:footnote>
  <w:footnote w:id="90">
    <w:p w14:paraId="5D05D511" w14:textId="77777777" w:rsidR="00ED1ADA" w:rsidRPr="003824FD" w:rsidRDefault="00ED1ADA" w:rsidP="00302BFE">
      <w:pPr>
        <w:pStyle w:val="Notedebasdepage"/>
        <w:spacing w:after="0"/>
        <w:rPr>
          <w:rFonts w:ascii="Calibri" w:hAnsi="Calibri"/>
          <w:sz w:val="16"/>
          <w:szCs w:val="16"/>
          <w:lang w:val="fr-CA"/>
        </w:rPr>
      </w:pPr>
      <w:r w:rsidRPr="003824FD">
        <w:rPr>
          <w:rStyle w:val="Appelnotedebasdep"/>
          <w:rFonts w:ascii="Calibri" w:hAnsi="Calibri"/>
          <w:sz w:val="16"/>
          <w:szCs w:val="16"/>
        </w:rPr>
        <w:footnoteRef/>
      </w:r>
      <w:r w:rsidRPr="003824FD">
        <w:rPr>
          <w:rFonts w:ascii="Calibri" w:hAnsi="Calibri"/>
          <w:sz w:val="16"/>
          <w:szCs w:val="16"/>
          <w:lang w:val="fr-CA"/>
        </w:rPr>
        <w:t xml:space="preserve"> MINISTERE DE L’ENVIRONNEMENT ET DU CADRE DE VIE. 2007. Rapport final d’exécution du projet PAGEN - Opinion du Gouvernement Burkinabé.</w:t>
      </w:r>
    </w:p>
  </w:footnote>
  <w:footnote w:id="91">
    <w:p w14:paraId="43CBDA32" w14:textId="77777777" w:rsidR="00ED1ADA" w:rsidRPr="00F92E82" w:rsidRDefault="00ED1ADA" w:rsidP="00302BFE">
      <w:pPr>
        <w:pStyle w:val="Notedebasdepage"/>
        <w:spacing w:after="0"/>
        <w:rPr>
          <w:rFonts w:asciiTheme="minorHAnsi" w:hAnsiTheme="minorHAnsi"/>
          <w:sz w:val="16"/>
          <w:szCs w:val="16"/>
          <w:lang w:val="fr-CA"/>
        </w:rPr>
      </w:pPr>
      <w:r w:rsidRPr="00F92E82">
        <w:rPr>
          <w:rStyle w:val="Appelnotedebasdep"/>
          <w:rFonts w:asciiTheme="minorHAnsi" w:hAnsiTheme="minorHAnsi"/>
          <w:sz w:val="16"/>
          <w:szCs w:val="16"/>
        </w:rPr>
        <w:footnoteRef/>
      </w:r>
      <w:r w:rsidRPr="00F92E82">
        <w:rPr>
          <w:rFonts w:asciiTheme="minorHAnsi" w:hAnsiTheme="minorHAnsi"/>
          <w:sz w:val="16"/>
          <w:szCs w:val="16"/>
          <w:lang w:val="fr-CA"/>
        </w:rPr>
        <w:t xml:space="preserve"> MEEVCC, 2014</w:t>
      </w:r>
    </w:p>
  </w:footnote>
  <w:footnote w:id="92">
    <w:p w14:paraId="7E7E9504" w14:textId="77777777" w:rsidR="00ED1ADA" w:rsidRPr="00F92E82" w:rsidRDefault="00ED1ADA" w:rsidP="00302BFE">
      <w:pPr>
        <w:pStyle w:val="Notedebasdepage"/>
        <w:spacing w:after="0"/>
        <w:rPr>
          <w:rFonts w:asciiTheme="minorHAnsi" w:hAnsiTheme="minorHAnsi"/>
          <w:sz w:val="16"/>
          <w:szCs w:val="16"/>
          <w:lang w:val="fr-CA"/>
        </w:rPr>
      </w:pPr>
      <w:r w:rsidRPr="00F92E82">
        <w:rPr>
          <w:rStyle w:val="Appelnotedebasdep"/>
          <w:rFonts w:asciiTheme="minorHAnsi" w:hAnsiTheme="minorHAnsi"/>
          <w:sz w:val="16"/>
          <w:szCs w:val="16"/>
        </w:rPr>
        <w:footnoteRef/>
      </w:r>
      <w:r w:rsidRPr="00F92E82">
        <w:rPr>
          <w:rFonts w:asciiTheme="minorHAnsi" w:hAnsiTheme="minorHAnsi"/>
          <w:sz w:val="16"/>
          <w:szCs w:val="16"/>
          <w:lang w:val="fr-CA"/>
        </w:rPr>
        <w:t xml:space="preserve"> </w:t>
      </w:r>
      <w:r w:rsidRPr="00F92E82">
        <w:rPr>
          <w:rFonts w:asciiTheme="minorHAnsi" w:eastAsia="Calibri" w:hAnsiTheme="minorHAnsi"/>
          <w:sz w:val="16"/>
          <w:szCs w:val="16"/>
          <w:lang w:val="fr-CA"/>
        </w:rPr>
        <w:t xml:space="preserve">Vermeulen C. 2007. Le pays Gourounsi. </w:t>
      </w:r>
      <w:proofErr w:type="gramStart"/>
      <w:r w:rsidRPr="00F92E82">
        <w:rPr>
          <w:rFonts w:asciiTheme="minorHAnsi" w:eastAsia="Calibri" w:hAnsiTheme="minorHAnsi"/>
          <w:i/>
          <w:sz w:val="16"/>
          <w:szCs w:val="16"/>
          <w:lang w:val="fr-CA"/>
        </w:rPr>
        <w:t>in</w:t>
      </w:r>
      <w:proofErr w:type="gramEnd"/>
      <w:r w:rsidRPr="00F92E82">
        <w:rPr>
          <w:rFonts w:asciiTheme="minorHAnsi" w:eastAsia="Calibri" w:hAnsiTheme="minorHAnsi"/>
          <w:sz w:val="16"/>
          <w:szCs w:val="16"/>
          <w:lang w:val="fr-CA"/>
        </w:rPr>
        <w:t xml:space="preserve"> </w:t>
      </w:r>
      <w:proofErr w:type="spellStart"/>
      <w:r w:rsidRPr="00F92E82">
        <w:rPr>
          <w:rFonts w:asciiTheme="minorHAnsi" w:eastAsia="Calibri" w:hAnsiTheme="minorHAnsi"/>
          <w:sz w:val="16"/>
          <w:szCs w:val="16"/>
          <w:lang w:val="fr-CA"/>
        </w:rPr>
        <w:t>Delvingt</w:t>
      </w:r>
      <w:proofErr w:type="spellEnd"/>
      <w:r w:rsidRPr="00F92E82">
        <w:rPr>
          <w:rFonts w:asciiTheme="minorHAnsi" w:eastAsia="Calibri" w:hAnsiTheme="minorHAnsi"/>
          <w:sz w:val="16"/>
          <w:szCs w:val="16"/>
          <w:lang w:val="fr-CA"/>
        </w:rPr>
        <w:t xml:space="preserve"> W.,</w:t>
      </w:r>
      <w:hyperlink r:id="rId7" w:history="1">
        <w:r w:rsidRPr="00F92E82">
          <w:rPr>
            <w:rFonts w:asciiTheme="minorHAnsi" w:eastAsia="Calibri" w:hAnsiTheme="minorHAnsi"/>
            <w:sz w:val="16"/>
            <w:szCs w:val="16"/>
            <w:lang w:val="fr-CA"/>
          </w:rPr>
          <w:t xml:space="preserve"> C. Vermeulen</w:t>
        </w:r>
      </w:hyperlink>
      <w:r w:rsidRPr="00F92E82">
        <w:rPr>
          <w:rFonts w:asciiTheme="minorHAnsi" w:eastAsia="Calibri" w:hAnsiTheme="minorHAnsi"/>
          <w:sz w:val="16"/>
          <w:szCs w:val="16"/>
          <w:lang w:val="fr-CA"/>
        </w:rPr>
        <w:t xml:space="preserve"> (</w:t>
      </w:r>
      <w:proofErr w:type="spellStart"/>
      <w:r w:rsidRPr="00F92E82">
        <w:rPr>
          <w:rFonts w:asciiTheme="minorHAnsi" w:eastAsia="Calibri" w:hAnsiTheme="minorHAnsi"/>
          <w:sz w:val="16"/>
          <w:szCs w:val="16"/>
          <w:lang w:val="fr-CA"/>
        </w:rPr>
        <w:t>eds</w:t>
      </w:r>
      <w:proofErr w:type="spellEnd"/>
      <w:r w:rsidRPr="00F92E82">
        <w:rPr>
          <w:rFonts w:asciiTheme="minorHAnsi" w:eastAsia="Calibri" w:hAnsiTheme="minorHAnsi"/>
          <w:sz w:val="16"/>
          <w:szCs w:val="16"/>
          <w:lang w:val="fr-CA"/>
        </w:rPr>
        <w:t xml:space="preserve">.). </w:t>
      </w:r>
      <w:proofErr w:type="spellStart"/>
      <w:r w:rsidRPr="00F92E82">
        <w:rPr>
          <w:rFonts w:asciiTheme="minorHAnsi" w:eastAsia="Calibri" w:hAnsiTheme="minorHAnsi"/>
          <w:sz w:val="16"/>
          <w:szCs w:val="16"/>
          <w:lang w:val="fr-CA"/>
        </w:rPr>
        <w:t>Nazinga</w:t>
      </w:r>
      <w:proofErr w:type="spellEnd"/>
      <w:r w:rsidRPr="00F92E82">
        <w:rPr>
          <w:rFonts w:asciiTheme="minorHAnsi" w:eastAsia="Calibri" w:hAnsiTheme="minorHAnsi"/>
          <w:sz w:val="16"/>
          <w:szCs w:val="16"/>
          <w:lang w:val="fr-CA"/>
        </w:rPr>
        <w:t>. Les Presses agronomiques de Gembloux. 312 p.</w:t>
      </w:r>
    </w:p>
  </w:footnote>
  <w:footnote w:id="93">
    <w:p w14:paraId="5927A706" w14:textId="77777777" w:rsidR="00ED1ADA" w:rsidRPr="00F92E82" w:rsidRDefault="00ED1ADA" w:rsidP="00302BFE">
      <w:pPr>
        <w:pStyle w:val="Notedebasdepage"/>
        <w:spacing w:after="0"/>
        <w:rPr>
          <w:rFonts w:asciiTheme="minorHAnsi" w:hAnsiTheme="minorHAnsi"/>
          <w:sz w:val="16"/>
          <w:szCs w:val="16"/>
          <w:lang w:val="fr-CA"/>
        </w:rPr>
      </w:pPr>
      <w:r w:rsidRPr="00F92E82">
        <w:rPr>
          <w:rStyle w:val="Appelnotedebasdep"/>
          <w:rFonts w:asciiTheme="minorHAnsi" w:hAnsiTheme="minorHAnsi"/>
          <w:sz w:val="16"/>
          <w:szCs w:val="16"/>
        </w:rPr>
        <w:footnoteRef/>
      </w:r>
      <w:r w:rsidRPr="00F92E82">
        <w:rPr>
          <w:rFonts w:asciiTheme="minorHAnsi" w:hAnsiTheme="minorHAnsi"/>
          <w:sz w:val="16"/>
          <w:szCs w:val="16"/>
          <w:lang w:val="fr-CA"/>
        </w:rPr>
        <w:t xml:space="preserve"> </w:t>
      </w:r>
      <w:proofErr w:type="spellStart"/>
      <w:r w:rsidRPr="00F92E82">
        <w:rPr>
          <w:rFonts w:asciiTheme="minorHAnsi" w:hAnsiTheme="minorHAnsi"/>
          <w:sz w:val="16"/>
          <w:szCs w:val="16"/>
          <w:lang w:val="fr-CA"/>
        </w:rPr>
        <w:t>Hema</w:t>
      </w:r>
      <w:proofErr w:type="spellEnd"/>
      <w:r w:rsidRPr="00F92E82">
        <w:rPr>
          <w:rFonts w:asciiTheme="minorHAnsi" w:hAnsiTheme="minorHAnsi"/>
          <w:sz w:val="16"/>
          <w:szCs w:val="16"/>
          <w:lang w:val="fr-CA"/>
        </w:rPr>
        <w:t xml:space="preserve">, E. M., Barnes, R. F. W., &amp; </w:t>
      </w:r>
      <w:proofErr w:type="spellStart"/>
      <w:r w:rsidRPr="00F92E82">
        <w:rPr>
          <w:rFonts w:asciiTheme="minorHAnsi" w:hAnsiTheme="minorHAnsi"/>
          <w:sz w:val="16"/>
          <w:szCs w:val="16"/>
          <w:lang w:val="fr-CA"/>
        </w:rPr>
        <w:t>Guenda</w:t>
      </w:r>
      <w:proofErr w:type="spellEnd"/>
      <w:r w:rsidRPr="00F92E82">
        <w:rPr>
          <w:rFonts w:asciiTheme="minorHAnsi" w:hAnsiTheme="minorHAnsi"/>
          <w:sz w:val="16"/>
          <w:szCs w:val="16"/>
          <w:lang w:val="fr-CA"/>
        </w:rPr>
        <w:t xml:space="preserve">, W. (2010). </w:t>
      </w:r>
      <w:r w:rsidRPr="00F92E82">
        <w:rPr>
          <w:rFonts w:asciiTheme="minorHAnsi" w:hAnsiTheme="minorHAnsi"/>
          <w:sz w:val="16"/>
          <w:szCs w:val="16"/>
          <w:lang w:val="en-CA"/>
        </w:rPr>
        <w:t xml:space="preserve">Distribution of savannah elephants (Loxodonta </w:t>
      </w:r>
      <w:proofErr w:type="spellStart"/>
      <w:r w:rsidRPr="00F92E82">
        <w:rPr>
          <w:rFonts w:asciiTheme="minorHAnsi" w:hAnsiTheme="minorHAnsi"/>
          <w:sz w:val="16"/>
          <w:szCs w:val="16"/>
          <w:lang w:val="en-CA"/>
        </w:rPr>
        <w:t>africana</w:t>
      </w:r>
      <w:proofErr w:type="spellEnd"/>
      <w:r w:rsidRPr="00F92E82">
        <w:rPr>
          <w:rFonts w:asciiTheme="minorHAnsi" w:hAnsiTheme="minorHAnsi"/>
          <w:sz w:val="16"/>
          <w:szCs w:val="16"/>
          <w:lang w:val="en-CA"/>
        </w:rPr>
        <w:t xml:space="preserve"> Africana Blumenbach 1797) within </w:t>
      </w:r>
      <w:proofErr w:type="spellStart"/>
      <w:r w:rsidRPr="00F92E82">
        <w:rPr>
          <w:rFonts w:asciiTheme="minorHAnsi" w:hAnsiTheme="minorHAnsi"/>
          <w:sz w:val="16"/>
          <w:szCs w:val="16"/>
          <w:lang w:val="en-CA"/>
        </w:rPr>
        <w:t>Nazinga</w:t>
      </w:r>
      <w:proofErr w:type="spellEnd"/>
      <w:r w:rsidRPr="00F92E82">
        <w:rPr>
          <w:rFonts w:asciiTheme="minorHAnsi" w:hAnsiTheme="minorHAnsi"/>
          <w:sz w:val="16"/>
          <w:szCs w:val="16"/>
          <w:lang w:val="en-CA"/>
        </w:rPr>
        <w:t xml:space="preserve"> game ranch, southern Burkina Faso. </w:t>
      </w:r>
      <w:proofErr w:type="spellStart"/>
      <w:r w:rsidRPr="00F92E82">
        <w:rPr>
          <w:rFonts w:asciiTheme="minorHAnsi" w:hAnsiTheme="minorHAnsi"/>
          <w:sz w:val="16"/>
          <w:szCs w:val="16"/>
          <w:lang w:val="fr-CA"/>
        </w:rPr>
        <w:t>African</w:t>
      </w:r>
      <w:proofErr w:type="spellEnd"/>
      <w:r w:rsidRPr="00F92E82">
        <w:rPr>
          <w:rFonts w:asciiTheme="minorHAnsi" w:hAnsiTheme="minorHAnsi"/>
          <w:sz w:val="16"/>
          <w:szCs w:val="16"/>
          <w:lang w:val="fr-CA"/>
        </w:rPr>
        <w:t xml:space="preserve"> Journal of </w:t>
      </w:r>
      <w:proofErr w:type="spellStart"/>
      <w:r w:rsidRPr="00F92E82">
        <w:rPr>
          <w:rFonts w:asciiTheme="minorHAnsi" w:hAnsiTheme="minorHAnsi"/>
          <w:sz w:val="16"/>
          <w:szCs w:val="16"/>
          <w:lang w:val="fr-CA"/>
        </w:rPr>
        <w:t>Ecology</w:t>
      </w:r>
      <w:proofErr w:type="spellEnd"/>
      <w:r w:rsidRPr="00F92E82">
        <w:rPr>
          <w:rFonts w:asciiTheme="minorHAnsi" w:hAnsiTheme="minorHAnsi"/>
          <w:sz w:val="16"/>
          <w:szCs w:val="16"/>
          <w:lang w:val="fr-CA"/>
        </w:rPr>
        <w:t>, 49(2), 141–149</w:t>
      </w:r>
    </w:p>
  </w:footnote>
  <w:footnote w:id="94">
    <w:p w14:paraId="613F72A9" w14:textId="77777777" w:rsidR="00ED1ADA" w:rsidRPr="0075595E" w:rsidRDefault="00ED1ADA" w:rsidP="00302BFE">
      <w:pPr>
        <w:pStyle w:val="Notedebasdepage"/>
        <w:spacing w:after="0"/>
        <w:rPr>
          <w:rFonts w:ascii="Calibri" w:hAnsi="Calibri"/>
          <w:sz w:val="16"/>
          <w:szCs w:val="16"/>
          <w:lang w:val="fr-CA"/>
        </w:rPr>
      </w:pPr>
      <w:r w:rsidRPr="0075595E">
        <w:rPr>
          <w:rStyle w:val="Appelnotedebasdep"/>
          <w:rFonts w:ascii="Calibri" w:hAnsi="Calibri"/>
          <w:sz w:val="16"/>
          <w:szCs w:val="16"/>
        </w:rPr>
        <w:footnoteRef/>
      </w:r>
      <w:r w:rsidRPr="0075595E">
        <w:rPr>
          <w:rFonts w:ascii="Calibri" w:hAnsi="Calibri"/>
          <w:sz w:val="16"/>
          <w:szCs w:val="16"/>
          <w:lang w:val="fr-CA"/>
        </w:rPr>
        <w:t xml:space="preserve"> Commune rurale de Biéha, 2015. Plan communal de développement 2015-2019 de Biéha, 110 p</w:t>
      </w:r>
    </w:p>
  </w:footnote>
  <w:footnote w:id="95">
    <w:p w14:paraId="32876A86" w14:textId="6B778AAC" w:rsidR="00ED1ADA" w:rsidRPr="00F92E82" w:rsidRDefault="00ED1ADA">
      <w:pPr>
        <w:pStyle w:val="Notedebasdepage"/>
        <w:rPr>
          <w:rFonts w:ascii="Calibri" w:hAnsi="Calibri"/>
          <w:sz w:val="16"/>
          <w:szCs w:val="16"/>
          <w:lang w:val="fr-CA"/>
        </w:rPr>
      </w:pPr>
      <w:r w:rsidRPr="00F92E82">
        <w:rPr>
          <w:rStyle w:val="Appelnotedebasdep"/>
          <w:rFonts w:asciiTheme="minorHAnsi" w:hAnsiTheme="minorHAnsi"/>
          <w:sz w:val="16"/>
          <w:szCs w:val="16"/>
        </w:rPr>
        <w:footnoteRef/>
      </w:r>
      <w:r w:rsidRPr="00F92E82">
        <w:rPr>
          <w:rFonts w:ascii="Calibri" w:hAnsi="Calibri"/>
          <w:sz w:val="16"/>
          <w:szCs w:val="16"/>
          <w:lang w:val="fr-CA"/>
        </w:rPr>
        <w:t xml:space="preserve"> </w:t>
      </w:r>
      <w:proofErr w:type="spellStart"/>
      <w:r w:rsidRPr="00F92E82">
        <w:rPr>
          <w:rFonts w:ascii="Calibri" w:hAnsi="Calibri"/>
          <w:sz w:val="16"/>
          <w:szCs w:val="16"/>
          <w:lang w:val="fr-CA"/>
        </w:rPr>
        <w:t>Naturama</w:t>
      </w:r>
      <w:proofErr w:type="spellEnd"/>
      <w:r w:rsidRPr="00F92E82">
        <w:rPr>
          <w:rFonts w:ascii="Calibri" w:hAnsi="Calibri"/>
          <w:sz w:val="16"/>
          <w:szCs w:val="16"/>
          <w:lang w:val="fr-CA"/>
        </w:rPr>
        <w:t>, 2006</w:t>
      </w:r>
    </w:p>
  </w:footnote>
  <w:footnote w:id="96">
    <w:p w14:paraId="5A1EA34C" w14:textId="77777777" w:rsidR="00ED1ADA" w:rsidRPr="0075595E" w:rsidRDefault="00ED1ADA" w:rsidP="00302BFE">
      <w:pPr>
        <w:pStyle w:val="Notedebasdepage"/>
        <w:spacing w:after="0"/>
        <w:rPr>
          <w:rFonts w:ascii="Calibri" w:hAnsi="Calibri"/>
          <w:sz w:val="16"/>
          <w:szCs w:val="16"/>
          <w:lang w:val="fr-CA"/>
        </w:rPr>
      </w:pPr>
      <w:r w:rsidRPr="0075595E">
        <w:rPr>
          <w:rStyle w:val="Appelnotedebasdep"/>
          <w:rFonts w:ascii="Calibri" w:hAnsi="Calibri"/>
          <w:sz w:val="16"/>
          <w:szCs w:val="16"/>
        </w:rPr>
        <w:footnoteRef/>
      </w:r>
      <w:r w:rsidRPr="0075595E">
        <w:rPr>
          <w:rFonts w:ascii="Calibri" w:hAnsi="Calibri"/>
          <w:sz w:val="16"/>
          <w:szCs w:val="16"/>
          <w:lang w:val="fr-CA"/>
        </w:rPr>
        <w:t xml:space="preserve"> MEEVCC, 2014</w:t>
      </w:r>
    </w:p>
  </w:footnote>
  <w:footnote w:id="97">
    <w:p w14:paraId="646B75A5" w14:textId="77777777" w:rsidR="00ED1ADA" w:rsidRPr="00886586" w:rsidRDefault="00ED1ADA" w:rsidP="00302BFE">
      <w:pPr>
        <w:pStyle w:val="Notedebasdepage"/>
        <w:spacing w:after="0"/>
        <w:rPr>
          <w:rFonts w:ascii="Calibri" w:hAnsi="Calibri"/>
          <w:sz w:val="16"/>
          <w:szCs w:val="16"/>
          <w:lang w:val="fr-CA"/>
        </w:rPr>
      </w:pPr>
      <w:r>
        <w:rPr>
          <w:rStyle w:val="Appelnotedebasdep"/>
        </w:rPr>
        <w:footnoteRef/>
      </w:r>
      <w:r w:rsidRPr="004C1E19">
        <w:rPr>
          <w:lang w:val="fr-CA"/>
        </w:rPr>
        <w:t xml:space="preserve"> </w:t>
      </w:r>
      <w:r w:rsidRPr="00886586">
        <w:rPr>
          <w:rFonts w:ascii="Calibri" w:hAnsi="Calibri"/>
          <w:sz w:val="16"/>
          <w:szCs w:val="16"/>
          <w:lang w:val="fr-CA"/>
        </w:rPr>
        <w:t xml:space="preserve">Vermeulen, C, Michaux, J.-F. (2007). Les populations riveraines du Ranch de </w:t>
      </w:r>
      <w:proofErr w:type="spellStart"/>
      <w:r w:rsidRPr="00886586">
        <w:rPr>
          <w:rFonts w:ascii="Calibri" w:hAnsi="Calibri"/>
          <w:sz w:val="16"/>
          <w:szCs w:val="16"/>
          <w:lang w:val="fr-CA"/>
        </w:rPr>
        <w:t>Nazinga</w:t>
      </w:r>
      <w:proofErr w:type="spellEnd"/>
      <w:r w:rsidRPr="00886586">
        <w:rPr>
          <w:rFonts w:ascii="Calibri" w:hAnsi="Calibri"/>
          <w:sz w:val="16"/>
          <w:szCs w:val="16"/>
          <w:lang w:val="fr-CA"/>
        </w:rPr>
        <w:t xml:space="preserve">: anthropologie politique, aménagement des terroirs et zones villageoises de chasse. In: W. </w:t>
      </w:r>
      <w:proofErr w:type="spellStart"/>
      <w:r w:rsidRPr="00886586">
        <w:rPr>
          <w:rFonts w:ascii="Calibri" w:hAnsi="Calibri"/>
          <w:sz w:val="16"/>
          <w:szCs w:val="16"/>
          <w:lang w:val="fr-CA"/>
        </w:rPr>
        <w:t>Delvingt</w:t>
      </w:r>
      <w:proofErr w:type="spellEnd"/>
      <w:r w:rsidRPr="00886586">
        <w:rPr>
          <w:rFonts w:ascii="Calibri" w:hAnsi="Calibri"/>
          <w:sz w:val="16"/>
          <w:szCs w:val="16"/>
          <w:lang w:val="fr-CA"/>
        </w:rPr>
        <w:t xml:space="preserve"> &amp; C. Vermeulen (</w:t>
      </w:r>
      <w:proofErr w:type="spellStart"/>
      <w:r w:rsidRPr="00886586">
        <w:rPr>
          <w:rFonts w:ascii="Calibri" w:hAnsi="Calibri"/>
          <w:sz w:val="16"/>
          <w:szCs w:val="16"/>
          <w:lang w:val="fr-CA"/>
        </w:rPr>
        <w:t>Eds</w:t>
      </w:r>
      <w:proofErr w:type="spellEnd"/>
      <w:r w:rsidRPr="00886586">
        <w:rPr>
          <w:rFonts w:ascii="Calibri" w:hAnsi="Calibri"/>
          <w:sz w:val="16"/>
          <w:szCs w:val="16"/>
          <w:lang w:val="fr-CA"/>
        </w:rPr>
        <w:t xml:space="preserve">.), </w:t>
      </w:r>
      <w:proofErr w:type="spellStart"/>
      <w:r w:rsidRPr="00886586">
        <w:rPr>
          <w:rFonts w:ascii="Calibri" w:hAnsi="Calibri"/>
          <w:sz w:val="16"/>
          <w:szCs w:val="16"/>
          <w:lang w:val="fr-CA"/>
        </w:rPr>
        <w:t>Nazinga</w:t>
      </w:r>
      <w:proofErr w:type="spellEnd"/>
      <w:r w:rsidRPr="00886586">
        <w:rPr>
          <w:rFonts w:ascii="Calibri" w:hAnsi="Calibri"/>
          <w:sz w:val="16"/>
          <w:szCs w:val="16"/>
          <w:lang w:val="fr-CA"/>
        </w:rPr>
        <w:t xml:space="preserve">. Région Wallonne, Presse Agronomique de Gembloux, Nature+, APEFE, </w:t>
      </w:r>
      <w:proofErr w:type="gramStart"/>
      <w:r w:rsidRPr="00886586">
        <w:rPr>
          <w:rFonts w:ascii="Calibri" w:hAnsi="Calibri"/>
          <w:sz w:val="16"/>
          <w:szCs w:val="16"/>
          <w:lang w:val="fr-CA"/>
        </w:rPr>
        <w:t>Ministère de l’Environnement</w:t>
      </w:r>
      <w:proofErr w:type="gramEnd"/>
      <w:r w:rsidRPr="00886586">
        <w:rPr>
          <w:rFonts w:ascii="Calibri" w:hAnsi="Calibri"/>
          <w:sz w:val="16"/>
          <w:szCs w:val="16"/>
          <w:lang w:val="fr-CA"/>
        </w:rPr>
        <w:t xml:space="preserve"> et du Cadre de Vie (Burkina Faso), Gembloux and Ouagadougou.</w:t>
      </w:r>
    </w:p>
  </w:footnote>
  <w:footnote w:id="98">
    <w:p w14:paraId="098D2F62" w14:textId="77777777" w:rsidR="00ED1ADA" w:rsidRPr="00901D84" w:rsidRDefault="00ED1ADA" w:rsidP="00302BFE">
      <w:pPr>
        <w:pStyle w:val="Notedebasdepage"/>
        <w:spacing w:after="0"/>
        <w:rPr>
          <w:rFonts w:asciiTheme="minorHAnsi" w:hAnsiTheme="minorHAnsi"/>
          <w:sz w:val="16"/>
          <w:szCs w:val="16"/>
          <w:lang w:val="fr-CA"/>
        </w:rPr>
      </w:pPr>
      <w:r w:rsidRPr="00901D84">
        <w:rPr>
          <w:rStyle w:val="Appelnotedebasdep"/>
          <w:rFonts w:asciiTheme="minorHAnsi" w:hAnsiTheme="minorHAnsi"/>
          <w:sz w:val="16"/>
          <w:szCs w:val="16"/>
        </w:rPr>
        <w:footnoteRef/>
      </w:r>
      <w:r w:rsidRPr="00901D84">
        <w:rPr>
          <w:rFonts w:asciiTheme="minorHAnsi" w:hAnsiTheme="minorHAnsi"/>
          <w:sz w:val="16"/>
          <w:szCs w:val="16"/>
          <w:lang w:val="fr-CA"/>
        </w:rPr>
        <w:t xml:space="preserve"> NIKIEMA B. 2008. Gestion participative des ressources naturelles des Zones Villageoises d'Intérêt Cynégétiques (ZOVIC) autour du Ranch de Gibier de </w:t>
      </w:r>
      <w:proofErr w:type="spellStart"/>
      <w:r w:rsidRPr="00901D84">
        <w:rPr>
          <w:rFonts w:asciiTheme="minorHAnsi" w:hAnsiTheme="minorHAnsi"/>
          <w:sz w:val="16"/>
          <w:szCs w:val="16"/>
          <w:lang w:val="fr-CA"/>
        </w:rPr>
        <w:t>Nazinga</w:t>
      </w:r>
      <w:proofErr w:type="spellEnd"/>
      <w:r w:rsidRPr="00901D84">
        <w:rPr>
          <w:rFonts w:asciiTheme="minorHAnsi" w:hAnsiTheme="minorHAnsi"/>
          <w:sz w:val="16"/>
          <w:szCs w:val="16"/>
          <w:lang w:val="fr-CA"/>
        </w:rPr>
        <w:t xml:space="preserve"> au BURKINA FASO. Cas des ZOVIC de </w:t>
      </w:r>
      <w:proofErr w:type="spellStart"/>
      <w:r w:rsidRPr="00901D84">
        <w:rPr>
          <w:rFonts w:asciiTheme="minorHAnsi" w:hAnsiTheme="minorHAnsi"/>
          <w:sz w:val="16"/>
          <w:szCs w:val="16"/>
          <w:lang w:val="fr-CA"/>
        </w:rPr>
        <w:t>Koumbili</w:t>
      </w:r>
      <w:proofErr w:type="spellEnd"/>
      <w:r w:rsidRPr="00901D84">
        <w:rPr>
          <w:rFonts w:asciiTheme="minorHAnsi" w:hAnsiTheme="minorHAnsi"/>
          <w:sz w:val="16"/>
          <w:szCs w:val="16"/>
          <w:lang w:val="fr-CA"/>
        </w:rPr>
        <w:t xml:space="preserve"> et de </w:t>
      </w:r>
      <w:proofErr w:type="spellStart"/>
      <w:r w:rsidRPr="00901D84">
        <w:rPr>
          <w:rFonts w:asciiTheme="minorHAnsi" w:hAnsiTheme="minorHAnsi"/>
          <w:sz w:val="16"/>
          <w:szCs w:val="16"/>
          <w:lang w:val="fr-CA"/>
        </w:rPr>
        <w:t>Kontioro</w:t>
      </w:r>
      <w:proofErr w:type="spellEnd"/>
      <w:r w:rsidRPr="00901D84">
        <w:rPr>
          <w:rFonts w:asciiTheme="minorHAnsi" w:hAnsiTheme="minorHAnsi"/>
          <w:sz w:val="16"/>
          <w:szCs w:val="16"/>
          <w:lang w:val="fr-CA"/>
        </w:rPr>
        <w:t>. MÉMOIRE. Université Polytechnique de Bobo-Dioulasso, Institut du Développement Rural.</w:t>
      </w:r>
    </w:p>
  </w:footnote>
  <w:footnote w:id="99">
    <w:p w14:paraId="085F806C" w14:textId="77777777" w:rsidR="00ED1ADA" w:rsidRPr="00B72D64" w:rsidRDefault="00ED1ADA" w:rsidP="00302BFE">
      <w:pPr>
        <w:pStyle w:val="Notedebasdepage"/>
        <w:spacing w:after="0"/>
        <w:rPr>
          <w:rFonts w:ascii="Calibri" w:hAnsi="Calibri"/>
          <w:sz w:val="16"/>
          <w:szCs w:val="16"/>
          <w:lang w:val="fr-CA"/>
        </w:rPr>
      </w:pPr>
      <w:r w:rsidRPr="00B72D64">
        <w:rPr>
          <w:rStyle w:val="Appelnotedebasdep"/>
          <w:rFonts w:ascii="Calibri" w:hAnsi="Calibri"/>
          <w:sz w:val="16"/>
          <w:szCs w:val="16"/>
        </w:rPr>
        <w:footnoteRef/>
      </w:r>
      <w:r w:rsidRPr="00B72D64">
        <w:rPr>
          <w:rFonts w:ascii="Calibri" w:hAnsi="Calibri"/>
          <w:sz w:val="16"/>
          <w:szCs w:val="16"/>
          <w:lang w:val="fr-CA"/>
        </w:rPr>
        <w:t xml:space="preserve"> Cette dénomination est non conforme à la loi qui précise que la zone tampon est incluse dans l’aire protégée et non pas à sa périphérie</w:t>
      </w:r>
    </w:p>
  </w:footnote>
  <w:footnote w:id="100">
    <w:p w14:paraId="52CE5D17" w14:textId="77777777" w:rsidR="00ED1ADA" w:rsidRPr="00B72D64" w:rsidRDefault="00ED1ADA" w:rsidP="00302BFE">
      <w:pPr>
        <w:pStyle w:val="Notedebasdepage"/>
        <w:spacing w:after="0"/>
        <w:rPr>
          <w:rFonts w:ascii="Calibri" w:hAnsi="Calibri"/>
          <w:sz w:val="16"/>
          <w:szCs w:val="16"/>
          <w:lang w:val="fr-FR"/>
        </w:rPr>
      </w:pPr>
      <w:r w:rsidRPr="00B72D64">
        <w:rPr>
          <w:rStyle w:val="Appelnotedebasdep"/>
          <w:rFonts w:ascii="Calibri" w:hAnsi="Calibri"/>
          <w:sz w:val="16"/>
          <w:szCs w:val="16"/>
        </w:rPr>
        <w:footnoteRef/>
      </w:r>
      <w:r w:rsidRPr="00B72D64">
        <w:rPr>
          <w:rFonts w:ascii="Calibri" w:hAnsi="Calibri"/>
          <w:sz w:val="16"/>
          <w:szCs w:val="16"/>
          <w:lang w:val="fr-CA"/>
        </w:rPr>
        <w:t xml:space="preserve"> Le CAF du </w:t>
      </w:r>
      <w:proofErr w:type="spellStart"/>
      <w:r w:rsidRPr="00B72D64">
        <w:rPr>
          <w:rFonts w:ascii="Calibri" w:hAnsi="Calibri"/>
          <w:sz w:val="16"/>
          <w:szCs w:val="16"/>
          <w:lang w:val="fr-CA"/>
        </w:rPr>
        <w:t>Nakambé</w:t>
      </w:r>
      <w:proofErr w:type="spellEnd"/>
      <w:r w:rsidRPr="00B72D64">
        <w:rPr>
          <w:rFonts w:ascii="Calibri" w:hAnsi="Calibri"/>
          <w:sz w:val="16"/>
          <w:szCs w:val="16"/>
          <w:lang w:val="fr-CA"/>
        </w:rPr>
        <w:t xml:space="preserve"> est constitué de 2 massifs forestiers dont les contours ont été remodelés à la faveur de la création en 1976 du PNKT : à l’Ouest l’ex- « zone cynégétique nord » de la FC de Po, d’une superficie de 14 720 ha, détachée du Parc National et concédée à l’Union des GGF du </w:t>
      </w:r>
      <w:proofErr w:type="spellStart"/>
      <w:r w:rsidRPr="00B72D64">
        <w:rPr>
          <w:rFonts w:ascii="Calibri" w:hAnsi="Calibri"/>
          <w:sz w:val="16"/>
          <w:szCs w:val="16"/>
          <w:lang w:val="fr-CA"/>
        </w:rPr>
        <w:t>Nakambé</w:t>
      </w:r>
      <w:proofErr w:type="spellEnd"/>
      <w:r w:rsidRPr="00B72D64">
        <w:rPr>
          <w:rFonts w:ascii="Calibri" w:hAnsi="Calibri"/>
          <w:sz w:val="16"/>
          <w:szCs w:val="16"/>
          <w:lang w:val="fr-CA"/>
        </w:rPr>
        <w:t xml:space="preserve"> ; à l’Est la relique de la FC de la Volta Blanche après que celle-ci </w:t>
      </w:r>
      <w:proofErr w:type="gramStart"/>
      <w:r w:rsidRPr="00B72D64">
        <w:rPr>
          <w:rFonts w:ascii="Calibri" w:hAnsi="Calibri"/>
          <w:sz w:val="16"/>
          <w:szCs w:val="16"/>
          <w:lang w:val="fr-CA"/>
        </w:rPr>
        <w:t>ait</w:t>
      </w:r>
      <w:proofErr w:type="gramEnd"/>
      <w:r w:rsidRPr="00B72D64">
        <w:rPr>
          <w:rFonts w:ascii="Calibri" w:hAnsi="Calibri"/>
          <w:sz w:val="16"/>
          <w:szCs w:val="16"/>
          <w:lang w:val="fr-CA"/>
        </w:rPr>
        <w:t xml:space="preserve"> été partiellement occupée par l</w:t>
      </w:r>
      <w:r>
        <w:rPr>
          <w:rFonts w:ascii="Calibri" w:hAnsi="Calibri"/>
          <w:sz w:val="16"/>
          <w:szCs w:val="16"/>
          <w:lang w:val="fr-CA"/>
        </w:rPr>
        <w:t>’</w:t>
      </w:r>
      <w:r w:rsidRPr="00B72D64">
        <w:rPr>
          <w:rFonts w:ascii="Calibri" w:hAnsi="Calibri"/>
          <w:sz w:val="16"/>
          <w:szCs w:val="16"/>
          <w:lang w:val="fr-CA"/>
        </w:rPr>
        <w:t xml:space="preserve">aménagement des vallées des Voltas. Ce massif forestier dit de Gaongo, d’une superficie de 6 550 ha a été le premier massif aménagé en 1991 par le CAF de </w:t>
      </w:r>
      <w:proofErr w:type="spellStart"/>
      <w:r w:rsidRPr="00B72D64">
        <w:rPr>
          <w:rFonts w:ascii="Calibri" w:hAnsi="Calibri"/>
          <w:sz w:val="16"/>
          <w:szCs w:val="16"/>
          <w:lang w:val="fr-CA"/>
        </w:rPr>
        <w:t>Nakambé</w:t>
      </w:r>
      <w:proofErr w:type="spellEnd"/>
      <w:r w:rsidRPr="00B72D64">
        <w:rPr>
          <w:rFonts w:ascii="Calibri" w:hAnsi="Calibri"/>
          <w:sz w:val="16"/>
          <w:szCs w:val="16"/>
          <w:lang w:val="fr-CA"/>
        </w:rPr>
        <w:t xml:space="preserve">, bien qu’ayant été érigé par arrêté interministériel en « Zone pastorale », sans que la FC de la Volta Blanche elle-même ait été déclassée. </w:t>
      </w:r>
    </w:p>
  </w:footnote>
  <w:footnote w:id="101">
    <w:p w14:paraId="51D61B7D" w14:textId="77777777" w:rsidR="00ED1ADA" w:rsidRPr="00794A76" w:rsidRDefault="00ED1ADA" w:rsidP="00302BFE">
      <w:pPr>
        <w:pStyle w:val="Notedebasdepage"/>
        <w:spacing w:after="0"/>
        <w:rPr>
          <w:rFonts w:ascii="Calibri" w:hAnsi="Calibri"/>
          <w:sz w:val="16"/>
          <w:szCs w:val="16"/>
          <w:lang w:val="en-CA"/>
        </w:rPr>
      </w:pPr>
      <w:r>
        <w:rPr>
          <w:rStyle w:val="Appelnotedebasdep"/>
        </w:rPr>
        <w:footnoteRef/>
      </w:r>
      <w:r w:rsidRPr="00794A76">
        <w:rPr>
          <w:rFonts w:ascii="Calibri" w:hAnsi="Calibri"/>
          <w:sz w:val="16"/>
          <w:szCs w:val="16"/>
          <w:lang w:val="en-CA"/>
        </w:rPr>
        <w:t xml:space="preserve">Corridors # 1 and # 2 were set up by the PAGEN project in 2008 but could not be gazetted. Funded by FFEM, the NGO NATUDEV is currently (2018-2019) working to formalize the creation of corridor # 1 and develop a participatory management and development plan. </w:t>
      </w:r>
    </w:p>
  </w:footnote>
  <w:footnote w:id="102">
    <w:p w14:paraId="1DE965FA" w14:textId="77777777" w:rsidR="00ED1ADA" w:rsidRPr="00794A76" w:rsidRDefault="00ED1ADA" w:rsidP="00302BFE">
      <w:pPr>
        <w:pStyle w:val="Notedebasdepage"/>
        <w:spacing w:after="0"/>
        <w:rPr>
          <w:rFonts w:ascii="Calibri" w:hAnsi="Calibri"/>
          <w:sz w:val="16"/>
          <w:szCs w:val="16"/>
          <w:lang w:val="en-CA"/>
        </w:rPr>
      </w:pPr>
      <w:r>
        <w:rPr>
          <w:rStyle w:val="Appelnotedebasdep"/>
          <w:rFonts w:ascii="Calibri" w:hAnsi="Calibri"/>
          <w:sz w:val="16"/>
          <w:szCs w:val="16"/>
        </w:rPr>
        <w:footnoteRef/>
      </w:r>
      <w:r w:rsidRPr="00794A76">
        <w:rPr>
          <w:rFonts w:ascii="Calibri" w:hAnsi="Calibri"/>
          <w:sz w:val="16"/>
          <w:szCs w:val="16"/>
          <w:lang w:val="en-CA"/>
        </w:rPr>
        <w:t xml:space="preserve"> CVGF: Village Committee for Wildlife Management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B2A76" w14:textId="77777777" w:rsidR="0071360F" w:rsidRPr="00424365" w:rsidRDefault="0071360F" w:rsidP="00424365">
    <w:pPr>
      <w:pStyle w:val="En-tte"/>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37A43" w14:textId="77777777" w:rsidR="00ED1ADA" w:rsidRPr="00424365" w:rsidRDefault="00ED1ADA" w:rsidP="00243B15">
    <w:pPr>
      <w:pStyle w:val="En-tte"/>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2BA7"/>
    <w:multiLevelType w:val="hybridMultilevel"/>
    <w:tmpl w:val="A9DE57C0"/>
    <w:lvl w:ilvl="0" w:tplc="DF4035B4">
      <w:start w:val="1"/>
      <w:numFmt w:val="bullet"/>
      <w:lvlText w:val=""/>
      <w:lvlJc w:val="left"/>
      <w:pPr>
        <w:tabs>
          <w:tab w:val="num" w:pos="360"/>
        </w:tabs>
        <w:ind w:left="360" w:hanging="360"/>
      </w:pPr>
      <w:rPr>
        <w:rFonts w:ascii="Wingdings" w:hAnsi="Wingdings" w:hint="default"/>
      </w:rPr>
    </w:lvl>
    <w:lvl w:ilvl="1" w:tplc="864CA0B4">
      <w:numFmt w:val="bullet"/>
      <w:lvlText w:val=""/>
      <w:lvlJc w:val="left"/>
      <w:pPr>
        <w:tabs>
          <w:tab w:val="num" w:pos="1080"/>
        </w:tabs>
        <w:ind w:left="1080" w:hanging="360"/>
      </w:pPr>
      <w:rPr>
        <w:rFonts w:ascii="Wingdings" w:hAnsi="Wingdings" w:hint="default"/>
      </w:rPr>
    </w:lvl>
    <w:lvl w:ilvl="2" w:tplc="914E0244" w:tentative="1">
      <w:start w:val="1"/>
      <w:numFmt w:val="bullet"/>
      <w:lvlText w:val=""/>
      <w:lvlJc w:val="left"/>
      <w:pPr>
        <w:tabs>
          <w:tab w:val="num" w:pos="1800"/>
        </w:tabs>
        <w:ind w:left="1800" w:hanging="360"/>
      </w:pPr>
      <w:rPr>
        <w:rFonts w:ascii="Wingdings" w:hAnsi="Wingdings" w:hint="default"/>
      </w:rPr>
    </w:lvl>
    <w:lvl w:ilvl="3" w:tplc="4DB202C6" w:tentative="1">
      <w:start w:val="1"/>
      <w:numFmt w:val="bullet"/>
      <w:lvlText w:val=""/>
      <w:lvlJc w:val="left"/>
      <w:pPr>
        <w:tabs>
          <w:tab w:val="num" w:pos="2520"/>
        </w:tabs>
        <w:ind w:left="2520" w:hanging="360"/>
      </w:pPr>
      <w:rPr>
        <w:rFonts w:ascii="Wingdings" w:hAnsi="Wingdings" w:hint="default"/>
      </w:rPr>
    </w:lvl>
    <w:lvl w:ilvl="4" w:tplc="A8C88B3E" w:tentative="1">
      <w:start w:val="1"/>
      <w:numFmt w:val="bullet"/>
      <w:lvlText w:val=""/>
      <w:lvlJc w:val="left"/>
      <w:pPr>
        <w:tabs>
          <w:tab w:val="num" w:pos="3240"/>
        </w:tabs>
        <w:ind w:left="3240" w:hanging="360"/>
      </w:pPr>
      <w:rPr>
        <w:rFonts w:ascii="Wingdings" w:hAnsi="Wingdings" w:hint="default"/>
      </w:rPr>
    </w:lvl>
    <w:lvl w:ilvl="5" w:tplc="488A35CA" w:tentative="1">
      <w:start w:val="1"/>
      <w:numFmt w:val="bullet"/>
      <w:lvlText w:val=""/>
      <w:lvlJc w:val="left"/>
      <w:pPr>
        <w:tabs>
          <w:tab w:val="num" w:pos="3960"/>
        </w:tabs>
        <w:ind w:left="3960" w:hanging="360"/>
      </w:pPr>
      <w:rPr>
        <w:rFonts w:ascii="Wingdings" w:hAnsi="Wingdings" w:hint="default"/>
      </w:rPr>
    </w:lvl>
    <w:lvl w:ilvl="6" w:tplc="E9A4F710" w:tentative="1">
      <w:start w:val="1"/>
      <w:numFmt w:val="bullet"/>
      <w:lvlText w:val=""/>
      <w:lvlJc w:val="left"/>
      <w:pPr>
        <w:tabs>
          <w:tab w:val="num" w:pos="4680"/>
        </w:tabs>
        <w:ind w:left="4680" w:hanging="360"/>
      </w:pPr>
      <w:rPr>
        <w:rFonts w:ascii="Wingdings" w:hAnsi="Wingdings" w:hint="default"/>
      </w:rPr>
    </w:lvl>
    <w:lvl w:ilvl="7" w:tplc="D6C862A0" w:tentative="1">
      <w:start w:val="1"/>
      <w:numFmt w:val="bullet"/>
      <w:lvlText w:val=""/>
      <w:lvlJc w:val="left"/>
      <w:pPr>
        <w:tabs>
          <w:tab w:val="num" w:pos="5400"/>
        </w:tabs>
        <w:ind w:left="5400" w:hanging="360"/>
      </w:pPr>
      <w:rPr>
        <w:rFonts w:ascii="Wingdings" w:hAnsi="Wingdings" w:hint="default"/>
      </w:rPr>
    </w:lvl>
    <w:lvl w:ilvl="8" w:tplc="F7F8675A"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0E9066D"/>
    <w:multiLevelType w:val="hybridMultilevel"/>
    <w:tmpl w:val="8B629BF2"/>
    <w:lvl w:ilvl="0" w:tplc="095204CC">
      <w:start w:val="1"/>
      <w:numFmt w:val="bullet"/>
      <w:lvlText w:val=""/>
      <w:lvlJc w:val="left"/>
      <w:pPr>
        <w:ind w:left="720" w:hanging="360"/>
      </w:pPr>
      <w:rPr>
        <w:rFonts w:ascii="Wingdings" w:hAnsi="Wingdings" w:hint="default"/>
        <w:sz w:val="16"/>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6E23634"/>
    <w:multiLevelType w:val="hybridMultilevel"/>
    <w:tmpl w:val="2CCE68F2"/>
    <w:lvl w:ilvl="0" w:tplc="040C0019">
      <w:start w:val="1"/>
      <w:numFmt w:val="lowerLetter"/>
      <w:lvlText w:val="%1."/>
      <w:lvlJc w:val="left"/>
      <w:pPr>
        <w:ind w:left="1138" w:hanging="360"/>
      </w:pPr>
    </w:lvl>
    <w:lvl w:ilvl="1" w:tplc="040C0019">
      <w:start w:val="1"/>
      <w:numFmt w:val="lowerLetter"/>
      <w:lvlText w:val="%2."/>
      <w:lvlJc w:val="left"/>
      <w:pPr>
        <w:ind w:left="1858" w:hanging="360"/>
      </w:pPr>
    </w:lvl>
    <w:lvl w:ilvl="2" w:tplc="040C001B">
      <w:start w:val="1"/>
      <w:numFmt w:val="lowerRoman"/>
      <w:lvlText w:val="%3."/>
      <w:lvlJc w:val="right"/>
      <w:pPr>
        <w:ind w:left="2578" w:hanging="180"/>
      </w:pPr>
    </w:lvl>
    <w:lvl w:ilvl="3" w:tplc="040C000F">
      <w:start w:val="1"/>
      <w:numFmt w:val="decimal"/>
      <w:lvlText w:val="%4."/>
      <w:lvlJc w:val="left"/>
      <w:pPr>
        <w:ind w:left="3298" w:hanging="360"/>
      </w:pPr>
    </w:lvl>
    <w:lvl w:ilvl="4" w:tplc="040C0019">
      <w:start w:val="1"/>
      <w:numFmt w:val="lowerLetter"/>
      <w:lvlText w:val="%5."/>
      <w:lvlJc w:val="left"/>
      <w:pPr>
        <w:ind w:left="4018" w:hanging="360"/>
      </w:pPr>
    </w:lvl>
    <w:lvl w:ilvl="5" w:tplc="040C001B">
      <w:start w:val="1"/>
      <w:numFmt w:val="lowerRoman"/>
      <w:lvlText w:val="%6."/>
      <w:lvlJc w:val="right"/>
      <w:pPr>
        <w:ind w:left="4738" w:hanging="180"/>
      </w:pPr>
    </w:lvl>
    <w:lvl w:ilvl="6" w:tplc="040C000F">
      <w:start w:val="1"/>
      <w:numFmt w:val="decimal"/>
      <w:lvlText w:val="%7."/>
      <w:lvlJc w:val="left"/>
      <w:pPr>
        <w:ind w:left="5458" w:hanging="360"/>
      </w:pPr>
    </w:lvl>
    <w:lvl w:ilvl="7" w:tplc="040C0019">
      <w:start w:val="1"/>
      <w:numFmt w:val="lowerLetter"/>
      <w:lvlText w:val="%8."/>
      <w:lvlJc w:val="left"/>
      <w:pPr>
        <w:ind w:left="6178" w:hanging="360"/>
      </w:pPr>
    </w:lvl>
    <w:lvl w:ilvl="8" w:tplc="040C001B">
      <w:start w:val="1"/>
      <w:numFmt w:val="lowerRoman"/>
      <w:lvlText w:val="%9."/>
      <w:lvlJc w:val="right"/>
      <w:pPr>
        <w:ind w:left="6898" w:hanging="180"/>
      </w:pPr>
    </w:lvl>
  </w:abstractNum>
  <w:abstractNum w:abstractNumId="3"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885B7A"/>
    <w:multiLevelType w:val="hybridMultilevel"/>
    <w:tmpl w:val="9DECD7FC"/>
    <w:lvl w:ilvl="0" w:tplc="02C80314">
      <w:start w:val="1"/>
      <w:numFmt w:val="decimal"/>
      <w:pStyle w:val="PIFPara"/>
      <w:lvlText w:val="%1."/>
      <w:lvlJc w:val="left"/>
      <w:pPr>
        <w:ind w:left="5580" w:hanging="360"/>
      </w:pPr>
      <w:rPr>
        <w:b w:val="0"/>
        <w:i w:val="0"/>
      </w:rPr>
    </w:lvl>
    <w:lvl w:ilvl="1" w:tplc="569C0438">
      <w:numFmt w:val="bullet"/>
      <w:lvlText w:val="—"/>
      <w:lvlJc w:val="left"/>
      <w:pPr>
        <w:ind w:left="1440" w:hanging="360"/>
      </w:pPr>
      <w:rPr>
        <w:rFonts w:ascii="Times New Roman" w:eastAsia="Calibri" w:hAnsi="Times New Roman"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B781ED9"/>
    <w:multiLevelType w:val="hybridMultilevel"/>
    <w:tmpl w:val="4DA2A100"/>
    <w:lvl w:ilvl="0" w:tplc="040C0005">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6" w15:restartNumberingAfterBreak="0">
    <w:nsid w:val="0F9D3940"/>
    <w:multiLevelType w:val="hybridMultilevel"/>
    <w:tmpl w:val="1760042C"/>
    <w:lvl w:ilvl="0" w:tplc="095204CC">
      <w:start w:val="1"/>
      <w:numFmt w:val="bullet"/>
      <w:lvlText w:val=""/>
      <w:lvlJc w:val="left"/>
      <w:pPr>
        <w:ind w:left="720" w:hanging="360"/>
      </w:pPr>
      <w:rPr>
        <w:rFonts w:ascii="Wingdings" w:hAnsi="Wingdings" w:hint="default"/>
        <w:sz w:val="16"/>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1BD2C7D"/>
    <w:multiLevelType w:val="hybridMultilevel"/>
    <w:tmpl w:val="F3522472"/>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8"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9D27E6"/>
    <w:multiLevelType w:val="hybridMultilevel"/>
    <w:tmpl w:val="81C4CEBE"/>
    <w:lvl w:ilvl="0" w:tplc="0C0C0019">
      <w:start w:val="1"/>
      <w:numFmt w:val="lowerLetter"/>
      <w:lvlText w:val="%1."/>
      <w:lvlJc w:val="left"/>
      <w:pPr>
        <w:ind w:left="720" w:hanging="360"/>
      </w:pPr>
      <w:rPr>
        <w:rFont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C8771D"/>
    <w:multiLevelType w:val="hybridMultilevel"/>
    <w:tmpl w:val="D3F4DE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2" w15:restartNumberingAfterBreak="0">
    <w:nsid w:val="15C43744"/>
    <w:multiLevelType w:val="hybridMultilevel"/>
    <w:tmpl w:val="349A42BC"/>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161277A5"/>
    <w:multiLevelType w:val="hybridMultilevel"/>
    <w:tmpl w:val="A976AB9A"/>
    <w:lvl w:ilvl="0" w:tplc="9DB00120">
      <w:start w:val="1"/>
      <w:numFmt w:val="upperRoman"/>
      <w:pStyle w:val="Titre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6265FF3"/>
    <w:multiLevelType w:val="hybridMultilevel"/>
    <w:tmpl w:val="53DC8CBE"/>
    <w:lvl w:ilvl="0" w:tplc="84AAE4B8">
      <w:start w:val="14"/>
      <w:numFmt w:val="decimal"/>
      <w:lvlText w:val="%1."/>
      <w:lvlJc w:val="left"/>
      <w:pPr>
        <w:ind w:left="360" w:hanging="360"/>
      </w:pPr>
      <w:rPr>
        <w:rFonts w:ascii="Arial" w:hAnsi="Arial" w:cs="Arial"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72A5A36"/>
    <w:multiLevelType w:val="hybridMultilevel"/>
    <w:tmpl w:val="F3464F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5FD264BC">
      <w:numFmt w:val="bullet"/>
      <w:lvlText w:val="•"/>
      <w:lvlJc w:val="left"/>
      <w:pPr>
        <w:ind w:left="2505" w:hanging="705"/>
      </w:pPr>
      <w:rPr>
        <w:rFonts w:ascii="Calibri" w:eastAsia="SimSun"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E6132F"/>
    <w:multiLevelType w:val="hybridMultilevel"/>
    <w:tmpl w:val="CE1A7B70"/>
    <w:lvl w:ilvl="0" w:tplc="0409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C203202"/>
    <w:multiLevelType w:val="hybridMultilevel"/>
    <w:tmpl w:val="457C33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20163556"/>
    <w:multiLevelType w:val="hybridMultilevel"/>
    <w:tmpl w:val="C25A7EB8"/>
    <w:lvl w:ilvl="0" w:tplc="095204CC">
      <w:start w:val="1"/>
      <w:numFmt w:val="bullet"/>
      <w:lvlText w:val=""/>
      <w:lvlJc w:val="left"/>
      <w:pPr>
        <w:ind w:left="720" w:hanging="360"/>
      </w:pPr>
      <w:rPr>
        <w:rFonts w:ascii="Wingdings" w:hAnsi="Wingdings" w:hint="default"/>
        <w:sz w:val="16"/>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20EF3305"/>
    <w:multiLevelType w:val="hybridMultilevel"/>
    <w:tmpl w:val="E3945D14"/>
    <w:lvl w:ilvl="0" w:tplc="095204CC">
      <w:start w:val="1"/>
      <w:numFmt w:val="bullet"/>
      <w:lvlText w:val=""/>
      <w:lvlJc w:val="left"/>
      <w:pPr>
        <w:ind w:left="720" w:hanging="360"/>
      </w:pPr>
      <w:rPr>
        <w:rFonts w:ascii="Wingdings" w:hAnsi="Wingdings" w:hint="default"/>
        <w:sz w:val="16"/>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211B494B"/>
    <w:multiLevelType w:val="hybridMultilevel"/>
    <w:tmpl w:val="2CCE68F2"/>
    <w:lvl w:ilvl="0" w:tplc="040C0019">
      <w:start w:val="1"/>
      <w:numFmt w:val="lowerLetter"/>
      <w:lvlText w:val="%1."/>
      <w:lvlJc w:val="left"/>
      <w:pPr>
        <w:ind w:left="1138" w:hanging="360"/>
      </w:pPr>
    </w:lvl>
    <w:lvl w:ilvl="1" w:tplc="040C0019">
      <w:start w:val="1"/>
      <w:numFmt w:val="lowerLetter"/>
      <w:lvlText w:val="%2."/>
      <w:lvlJc w:val="left"/>
      <w:pPr>
        <w:ind w:left="1858" w:hanging="360"/>
      </w:pPr>
    </w:lvl>
    <w:lvl w:ilvl="2" w:tplc="040C001B">
      <w:start w:val="1"/>
      <w:numFmt w:val="lowerRoman"/>
      <w:lvlText w:val="%3."/>
      <w:lvlJc w:val="right"/>
      <w:pPr>
        <w:ind w:left="2578" w:hanging="180"/>
      </w:pPr>
    </w:lvl>
    <w:lvl w:ilvl="3" w:tplc="040C000F">
      <w:start w:val="1"/>
      <w:numFmt w:val="decimal"/>
      <w:lvlText w:val="%4."/>
      <w:lvlJc w:val="left"/>
      <w:pPr>
        <w:ind w:left="3298" w:hanging="360"/>
      </w:pPr>
    </w:lvl>
    <w:lvl w:ilvl="4" w:tplc="040C0019">
      <w:start w:val="1"/>
      <w:numFmt w:val="lowerLetter"/>
      <w:lvlText w:val="%5."/>
      <w:lvlJc w:val="left"/>
      <w:pPr>
        <w:ind w:left="4018" w:hanging="360"/>
      </w:pPr>
    </w:lvl>
    <w:lvl w:ilvl="5" w:tplc="040C001B">
      <w:start w:val="1"/>
      <w:numFmt w:val="lowerRoman"/>
      <w:lvlText w:val="%6."/>
      <w:lvlJc w:val="right"/>
      <w:pPr>
        <w:ind w:left="4738" w:hanging="180"/>
      </w:pPr>
    </w:lvl>
    <w:lvl w:ilvl="6" w:tplc="040C000F">
      <w:start w:val="1"/>
      <w:numFmt w:val="decimal"/>
      <w:lvlText w:val="%7."/>
      <w:lvlJc w:val="left"/>
      <w:pPr>
        <w:ind w:left="5458" w:hanging="360"/>
      </w:pPr>
    </w:lvl>
    <w:lvl w:ilvl="7" w:tplc="040C0019">
      <w:start w:val="1"/>
      <w:numFmt w:val="lowerLetter"/>
      <w:lvlText w:val="%8."/>
      <w:lvlJc w:val="left"/>
      <w:pPr>
        <w:ind w:left="6178" w:hanging="360"/>
      </w:pPr>
    </w:lvl>
    <w:lvl w:ilvl="8" w:tplc="040C001B">
      <w:start w:val="1"/>
      <w:numFmt w:val="lowerRoman"/>
      <w:lvlText w:val="%9."/>
      <w:lvlJc w:val="right"/>
      <w:pPr>
        <w:ind w:left="6898" w:hanging="180"/>
      </w:pPr>
    </w:lvl>
  </w:abstractNum>
  <w:abstractNum w:abstractNumId="21" w15:restartNumberingAfterBreak="0">
    <w:nsid w:val="25B72263"/>
    <w:multiLevelType w:val="hybridMultilevel"/>
    <w:tmpl w:val="C7627A90"/>
    <w:lvl w:ilvl="0" w:tplc="969E9716">
      <w:start w:val="1"/>
      <w:numFmt w:val="bullet"/>
      <w:lvlText w:val=""/>
      <w:lvlJc w:val="left"/>
      <w:pPr>
        <w:tabs>
          <w:tab w:val="num" w:pos="340"/>
        </w:tabs>
        <w:ind w:left="340" w:hanging="170"/>
      </w:pPr>
      <w:rPr>
        <w:rFonts w:ascii="Wingdings" w:hAnsi="Wingdings" w:hint="default"/>
        <w:sz w:val="16"/>
      </w:rPr>
    </w:lvl>
    <w:lvl w:ilvl="1" w:tplc="0C0C0003">
      <w:start w:val="1"/>
      <w:numFmt w:val="decimal"/>
      <w:lvlText w:val="%2."/>
      <w:lvlJc w:val="left"/>
      <w:pPr>
        <w:tabs>
          <w:tab w:val="num" w:pos="1440"/>
        </w:tabs>
        <w:ind w:left="1440" w:hanging="360"/>
      </w:pPr>
    </w:lvl>
    <w:lvl w:ilvl="2" w:tplc="0C0C0005">
      <w:start w:val="1"/>
      <w:numFmt w:val="decimal"/>
      <w:lvlText w:val="%3."/>
      <w:lvlJc w:val="left"/>
      <w:pPr>
        <w:tabs>
          <w:tab w:val="num" w:pos="2160"/>
        </w:tabs>
        <w:ind w:left="2160" w:hanging="360"/>
      </w:pPr>
    </w:lvl>
    <w:lvl w:ilvl="3" w:tplc="0C0C0001">
      <w:start w:val="1"/>
      <w:numFmt w:val="decimal"/>
      <w:lvlText w:val="%4."/>
      <w:lvlJc w:val="left"/>
      <w:pPr>
        <w:tabs>
          <w:tab w:val="num" w:pos="2880"/>
        </w:tabs>
        <w:ind w:left="2880" w:hanging="360"/>
      </w:pPr>
    </w:lvl>
    <w:lvl w:ilvl="4" w:tplc="0C0C0003">
      <w:start w:val="1"/>
      <w:numFmt w:val="decimal"/>
      <w:lvlText w:val="%5."/>
      <w:lvlJc w:val="left"/>
      <w:pPr>
        <w:tabs>
          <w:tab w:val="num" w:pos="3600"/>
        </w:tabs>
        <w:ind w:left="3600" w:hanging="360"/>
      </w:pPr>
    </w:lvl>
    <w:lvl w:ilvl="5" w:tplc="0C0C0005">
      <w:start w:val="1"/>
      <w:numFmt w:val="decimal"/>
      <w:lvlText w:val="%6."/>
      <w:lvlJc w:val="left"/>
      <w:pPr>
        <w:tabs>
          <w:tab w:val="num" w:pos="4320"/>
        </w:tabs>
        <w:ind w:left="4320" w:hanging="360"/>
      </w:pPr>
    </w:lvl>
    <w:lvl w:ilvl="6" w:tplc="0C0C0001">
      <w:start w:val="1"/>
      <w:numFmt w:val="decimal"/>
      <w:lvlText w:val="%7."/>
      <w:lvlJc w:val="left"/>
      <w:pPr>
        <w:tabs>
          <w:tab w:val="num" w:pos="5040"/>
        </w:tabs>
        <w:ind w:left="5040" w:hanging="360"/>
      </w:pPr>
    </w:lvl>
    <w:lvl w:ilvl="7" w:tplc="0C0C0003">
      <w:start w:val="1"/>
      <w:numFmt w:val="decimal"/>
      <w:lvlText w:val="%8."/>
      <w:lvlJc w:val="left"/>
      <w:pPr>
        <w:tabs>
          <w:tab w:val="num" w:pos="5760"/>
        </w:tabs>
        <w:ind w:left="5760" w:hanging="360"/>
      </w:pPr>
    </w:lvl>
    <w:lvl w:ilvl="8" w:tplc="0C0C0005">
      <w:start w:val="1"/>
      <w:numFmt w:val="decimal"/>
      <w:lvlText w:val="%9."/>
      <w:lvlJc w:val="left"/>
      <w:pPr>
        <w:tabs>
          <w:tab w:val="num" w:pos="6480"/>
        </w:tabs>
        <w:ind w:left="6480" w:hanging="360"/>
      </w:pPr>
    </w:lvl>
  </w:abstractNum>
  <w:abstractNum w:abstractNumId="22" w15:restartNumberingAfterBreak="0">
    <w:nsid w:val="25EA347B"/>
    <w:multiLevelType w:val="multilevel"/>
    <w:tmpl w:val="0C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66C2F4D"/>
    <w:multiLevelType w:val="hybridMultilevel"/>
    <w:tmpl w:val="A5FE8EE0"/>
    <w:lvl w:ilvl="0" w:tplc="0C0C001B">
      <w:start w:val="1"/>
      <w:numFmt w:val="lowerRoman"/>
      <w:lvlText w:val="%1."/>
      <w:lvlJc w:val="right"/>
      <w:pPr>
        <w:ind w:left="720" w:hanging="360"/>
      </w:pPr>
      <w:rPr>
        <w:rFonts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4" w15:restartNumberingAfterBreak="0">
    <w:nsid w:val="26CC1311"/>
    <w:multiLevelType w:val="hybridMultilevel"/>
    <w:tmpl w:val="5D7E3212"/>
    <w:lvl w:ilvl="0" w:tplc="04090001">
      <w:start w:val="1"/>
      <w:numFmt w:val="bullet"/>
      <w:lvlText w:val=""/>
      <w:lvlJc w:val="left"/>
      <w:pPr>
        <w:ind w:left="2272" w:hanging="360"/>
      </w:pPr>
      <w:rPr>
        <w:rFonts w:ascii="Symbol" w:hAnsi="Symbol" w:hint="default"/>
      </w:rPr>
    </w:lvl>
    <w:lvl w:ilvl="1" w:tplc="04090003">
      <w:start w:val="1"/>
      <w:numFmt w:val="bullet"/>
      <w:lvlText w:val="o"/>
      <w:lvlJc w:val="left"/>
      <w:pPr>
        <w:ind w:left="2992" w:hanging="360"/>
      </w:pPr>
      <w:rPr>
        <w:rFonts w:ascii="Courier New" w:hAnsi="Courier New" w:cs="Courier New" w:hint="default"/>
      </w:rPr>
    </w:lvl>
    <w:lvl w:ilvl="2" w:tplc="04090005">
      <w:start w:val="1"/>
      <w:numFmt w:val="bullet"/>
      <w:lvlText w:val=""/>
      <w:lvlJc w:val="left"/>
      <w:pPr>
        <w:ind w:left="3712" w:hanging="360"/>
      </w:pPr>
      <w:rPr>
        <w:rFonts w:ascii="Wingdings" w:hAnsi="Wingdings" w:hint="default"/>
      </w:rPr>
    </w:lvl>
    <w:lvl w:ilvl="3" w:tplc="04090001">
      <w:start w:val="1"/>
      <w:numFmt w:val="bullet"/>
      <w:lvlText w:val=""/>
      <w:lvlJc w:val="left"/>
      <w:pPr>
        <w:ind w:left="4432" w:hanging="360"/>
      </w:pPr>
      <w:rPr>
        <w:rFonts w:ascii="Symbol" w:hAnsi="Symbol" w:hint="default"/>
      </w:rPr>
    </w:lvl>
    <w:lvl w:ilvl="4" w:tplc="04090003">
      <w:start w:val="1"/>
      <w:numFmt w:val="bullet"/>
      <w:lvlText w:val="o"/>
      <w:lvlJc w:val="left"/>
      <w:pPr>
        <w:ind w:left="5152" w:hanging="360"/>
      </w:pPr>
      <w:rPr>
        <w:rFonts w:ascii="Courier New" w:hAnsi="Courier New" w:cs="Courier New" w:hint="default"/>
      </w:rPr>
    </w:lvl>
    <w:lvl w:ilvl="5" w:tplc="04090005">
      <w:start w:val="1"/>
      <w:numFmt w:val="bullet"/>
      <w:lvlText w:val=""/>
      <w:lvlJc w:val="left"/>
      <w:pPr>
        <w:ind w:left="5872" w:hanging="360"/>
      </w:pPr>
      <w:rPr>
        <w:rFonts w:ascii="Wingdings" w:hAnsi="Wingdings" w:hint="default"/>
      </w:rPr>
    </w:lvl>
    <w:lvl w:ilvl="6" w:tplc="04090001">
      <w:start w:val="1"/>
      <w:numFmt w:val="bullet"/>
      <w:lvlText w:val=""/>
      <w:lvlJc w:val="left"/>
      <w:pPr>
        <w:ind w:left="6592" w:hanging="360"/>
      </w:pPr>
      <w:rPr>
        <w:rFonts w:ascii="Symbol" w:hAnsi="Symbol" w:hint="default"/>
      </w:rPr>
    </w:lvl>
    <w:lvl w:ilvl="7" w:tplc="04090003">
      <w:start w:val="1"/>
      <w:numFmt w:val="bullet"/>
      <w:lvlText w:val="o"/>
      <w:lvlJc w:val="left"/>
      <w:pPr>
        <w:ind w:left="7312" w:hanging="360"/>
      </w:pPr>
      <w:rPr>
        <w:rFonts w:ascii="Courier New" w:hAnsi="Courier New" w:cs="Courier New" w:hint="default"/>
      </w:rPr>
    </w:lvl>
    <w:lvl w:ilvl="8" w:tplc="04090005">
      <w:start w:val="1"/>
      <w:numFmt w:val="bullet"/>
      <w:lvlText w:val=""/>
      <w:lvlJc w:val="left"/>
      <w:pPr>
        <w:ind w:left="8032" w:hanging="360"/>
      </w:pPr>
      <w:rPr>
        <w:rFonts w:ascii="Wingdings" w:hAnsi="Wingdings" w:hint="default"/>
      </w:rPr>
    </w:lvl>
  </w:abstractNum>
  <w:abstractNum w:abstractNumId="25" w15:restartNumberingAfterBreak="0">
    <w:nsid w:val="27D13FD4"/>
    <w:multiLevelType w:val="hybridMultilevel"/>
    <w:tmpl w:val="B792F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88C4EF2"/>
    <w:multiLevelType w:val="hybridMultilevel"/>
    <w:tmpl w:val="99F2646E"/>
    <w:lvl w:ilvl="0" w:tplc="0C0C0019">
      <w:start w:val="1"/>
      <w:numFmt w:val="lowerLetter"/>
      <w:lvlText w:val="%1."/>
      <w:lvlJc w:val="left"/>
      <w:pPr>
        <w:ind w:left="3060" w:hanging="360"/>
      </w:pPr>
    </w:lvl>
    <w:lvl w:ilvl="1" w:tplc="0C0C0019" w:tentative="1">
      <w:start w:val="1"/>
      <w:numFmt w:val="lowerLetter"/>
      <w:lvlText w:val="%2."/>
      <w:lvlJc w:val="left"/>
      <w:pPr>
        <w:ind w:left="3780" w:hanging="360"/>
      </w:pPr>
    </w:lvl>
    <w:lvl w:ilvl="2" w:tplc="0C0C001B" w:tentative="1">
      <w:start w:val="1"/>
      <w:numFmt w:val="lowerRoman"/>
      <w:lvlText w:val="%3."/>
      <w:lvlJc w:val="right"/>
      <w:pPr>
        <w:ind w:left="4500" w:hanging="180"/>
      </w:pPr>
    </w:lvl>
    <w:lvl w:ilvl="3" w:tplc="0C0C000F" w:tentative="1">
      <w:start w:val="1"/>
      <w:numFmt w:val="decimal"/>
      <w:lvlText w:val="%4."/>
      <w:lvlJc w:val="left"/>
      <w:pPr>
        <w:ind w:left="5220" w:hanging="360"/>
      </w:pPr>
    </w:lvl>
    <w:lvl w:ilvl="4" w:tplc="0C0C0019" w:tentative="1">
      <w:start w:val="1"/>
      <w:numFmt w:val="lowerLetter"/>
      <w:lvlText w:val="%5."/>
      <w:lvlJc w:val="left"/>
      <w:pPr>
        <w:ind w:left="5940" w:hanging="360"/>
      </w:pPr>
    </w:lvl>
    <w:lvl w:ilvl="5" w:tplc="0C0C001B" w:tentative="1">
      <w:start w:val="1"/>
      <w:numFmt w:val="lowerRoman"/>
      <w:lvlText w:val="%6."/>
      <w:lvlJc w:val="right"/>
      <w:pPr>
        <w:ind w:left="6660" w:hanging="180"/>
      </w:pPr>
    </w:lvl>
    <w:lvl w:ilvl="6" w:tplc="0C0C000F" w:tentative="1">
      <w:start w:val="1"/>
      <w:numFmt w:val="decimal"/>
      <w:lvlText w:val="%7."/>
      <w:lvlJc w:val="left"/>
      <w:pPr>
        <w:ind w:left="7380" w:hanging="360"/>
      </w:pPr>
    </w:lvl>
    <w:lvl w:ilvl="7" w:tplc="0C0C0019" w:tentative="1">
      <w:start w:val="1"/>
      <w:numFmt w:val="lowerLetter"/>
      <w:lvlText w:val="%8."/>
      <w:lvlJc w:val="left"/>
      <w:pPr>
        <w:ind w:left="8100" w:hanging="360"/>
      </w:pPr>
    </w:lvl>
    <w:lvl w:ilvl="8" w:tplc="0C0C001B" w:tentative="1">
      <w:start w:val="1"/>
      <w:numFmt w:val="lowerRoman"/>
      <w:lvlText w:val="%9."/>
      <w:lvlJc w:val="right"/>
      <w:pPr>
        <w:ind w:left="8820" w:hanging="180"/>
      </w:pPr>
    </w:lvl>
  </w:abstractNum>
  <w:abstractNum w:abstractNumId="27"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C6B3295"/>
    <w:multiLevelType w:val="hybridMultilevel"/>
    <w:tmpl w:val="5A864044"/>
    <w:lvl w:ilvl="0" w:tplc="095204CC">
      <w:start w:val="1"/>
      <w:numFmt w:val="bullet"/>
      <w:lvlText w:val=""/>
      <w:lvlJc w:val="left"/>
      <w:pPr>
        <w:ind w:left="720" w:hanging="360"/>
      </w:pPr>
      <w:rPr>
        <w:rFonts w:ascii="Wingdings" w:hAnsi="Wingdings" w:hint="default"/>
        <w:sz w:val="16"/>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2D096265"/>
    <w:multiLevelType w:val="hybridMultilevel"/>
    <w:tmpl w:val="EBBE890C"/>
    <w:lvl w:ilvl="0" w:tplc="095204CC">
      <w:start w:val="1"/>
      <w:numFmt w:val="bullet"/>
      <w:lvlText w:val=""/>
      <w:lvlJc w:val="left"/>
      <w:pPr>
        <w:ind w:left="1352" w:hanging="360"/>
      </w:pPr>
      <w:rPr>
        <w:rFonts w:ascii="Wingdings" w:hAnsi="Wingdings" w:hint="default"/>
        <w:sz w:val="16"/>
      </w:rPr>
    </w:lvl>
    <w:lvl w:ilvl="1" w:tplc="040C000D">
      <w:start w:val="1"/>
      <w:numFmt w:val="bullet"/>
      <w:lvlText w:val=""/>
      <w:lvlJc w:val="left"/>
      <w:pPr>
        <w:ind w:left="1788" w:hanging="360"/>
      </w:pPr>
      <w:rPr>
        <w:rFonts w:ascii="Wingdings" w:hAnsi="Wingdings" w:hint="default"/>
      </w:rPr>
    </w:lvl>
    <w:lvl w:ilvl="2" w:tplc="040C001B">
      <w:start w:val="1"/>
      <w:numFmt w:val="lowerRoman"/>
      <w:lvlText w:val="%3."/>
      <w:lvlJc w:val="right"/>
      <w:pPr>
        <w:ind w:left="2508" w:hanging="180"/>
      </w:pPr>
    </w:lvl>
    <w:lvl w:ilvl="3" w:tplc="040C000F">
      <w:start w:val="1"/>
      <w:numFmt w:val="decimal"/>
      <w:lvlText w:val="%4."/>
      <w:lvlJc w:val="left"/>
      <w:pPr>
        <w:ind w:left="3228" w:hanging="360"/>
      </w:pPr>
    </w:lvl>
    <w:lvl w:ilvl="4" w:tplc="040C0019">
      <w:start w:val="1"/>
      <w:numFmt w:val="lowerLetter"/>
      <w:lvlText w:val="%5."/>
      <w:lvlJc w:val="left"/>
      <w:pPr>
        <w:ind w:left="3948" w:hanging="360"/>
      </w:pPr>
    </w:lvl>
    <w:lvl w:ilvl="5" w:tplc="040C001B">
      <w:start w:val="1"/>
      <w:numFmt w:val="lowerRoman"/>
      <w:lvlText w:val="%6."/>
      <w:lvlJc w:val="right"/>
      <w:pPr>
        <w:ind w:left="4668" w:hanging="180"/>
      </w:pPr>
    </w:lvl>
    <w:lvl w:ilvl="6" w:tplc="040C000F">
      <w:start w:val="1"/>
      <w:numFmt w:val="decimal"/>
      <w:lvlText w:val="%7."/>
      <w:lvlJc w:val="left"/>
      <w:pPr>
        <w:ind w:left="5388" w:hanging="360"/>
      </w:pPr>
    </w:lvl>
    <w:lvl w:ilvl="7" w:tplc="040C0019">
      <w:start w:val="1"/>
      <w:numFmt w:val="lowerLetter"/>
      <w:lvlText w:val="%8."/>
      <w:lvlJc w:val="left"/>
      <w:pPr>
        <w:ind w:left="6108" w:hanging="360"/>
      </w:pPr>
    </w:lvl>
    <w:lvl w:ilvl="8" w:tplc="040C001B">
      <w:start w:val="1"/>
      <w:numFmt w:val="lowerRoman"/>
      <w:lvlText w:val="%9."/>
      <w:lvlJc w:val="right"/>
      <w:pPr>
        <w:ind w:left="6828" w:hanging="180"/>
      </w:pPr>
    </w:lvl>
  </w:abstractNum>
  <w:abstractNum w:abstractNumId="30" w15:restartNumberingAfterBreak="0">
    <w:nsid w:val="2D9F67F9"/>
    <w:multiLevelType w:val="multilevel"/>
    <w:tmpl w:val="B518F734"/>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2E401877"/>
    <w:multiLevelType w:val="hybridMultilevel"/>
    <w:tmpl w:val="7F0C88CC"/>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3" w15:restartNumberingAfterBreak="0">
    <w:nsid w:val="32104504"/>
    <w:multiLevelType w:val="hybridMultilevel"/>
    <w:tmpl w:val="D9E6D32A"/>
    <w:lvl w:ilvl="0" w:tplc="095204CC">
      <w:start w:val="1"/>
      <w:numFmt w:val="bullet"/>
      <w:lvlText w:val=""/>
      <w:lvlJc w:val="left"/>
      <w:pPr>
        <w:ind w:left="1145" w:hanging="360"/>
      </w:pPr>
      <w:rPr>
        <w:rFonts w:ascii="Wingdings" w:hAnsi="Wingdings" w:hint="default"/>
        <w:sz w:val="16"/>
      </w:rPr>
    </w:lvl>
    <w:lvl w:ilvl="1" w:tplc="0C0C0003">
      <w:start w:val="1"/>
      <w:numFmt w:val="bullet"/>
      <w:lvlText w:val="o"/>
      <w:lvlJc w:val="left"/>
      <w:pPr>
        <w:ind w:left="1865" w:hanging="360"/>
      </w:pPr>
      <w:rPr>
        <w:rFonts w:ascii="Courier New" w:hAnsi="Courier New" w:cs="Courier New" w:hint="default"/>
      </w:rPr>
    </w:lvl>
    <w:lvl w:ilvl="2" w:tplc="0C0C0005">
      <w:start w:val="1"/>
      <w:numFmt w:val="bullet"/>
      <w:lvlText w:val=""/>
      <w:lvlJc w:val="left"/>
      <w:pPr>
        <w:ind w:left="2585" w:hanging="360"/>
      </w:pPr>
      <w:rPr>
        <w:rFonts w:ascii="Wingdings" w:hAnsi="Wingdings" w:hint="default"/>
      </w:rPr>
    </w:lvl>
    <w:lvl w:ilvl="3" w:tplc="0C0C0001">
      <w:start w:val="1"/>
      <w:numFmt w:val="bullet"/>
      <w:lvlText w:val=""/>
      <w:lvlJc w:val="left"/>
      <w:pPr>
        <w:ind w:left="3305" w:hanging="360"/>
      </w:pPr>
      <w:rPr>
        <w:rFonts w:ascii="Symbol" w:hAnsi="Symbol" w:hint="default"/>
      </w:rPr>
    </w:lvl>
    <w:lvl w:ilvl="4" w:tplc="0C0C0003">
      <w:start w:val="1"/>
      <w:numFmt w:val="bullet"/>
      <w:lvlText w:val="o"/>
      <w:lvlJc w:val="left"/>
      <w:pPr>
        <w:ind w:left="4025" w:hanging="360"/>
      </w:pPr>
      <w:rPr>
        <w:rFonts w:ascii="Courier New" w:hAnsi="Courier New" w:cs="Courier New" w:hint="default"/>
      </w:rPr>
    </w:lvl>
    <w:lvl w:ilvl="5" w:tplc="0C0C0005">
      <w:start w:val="1"/>
      <w:numFmt w:val="bullet"/>
      <w:lvlText w:val=""/>
      <w:lvlJc w:val="left"/>
      <w:pPr>
        <w:ind w:left="4745" w:hanging="360"/>
      </w:pPr>
      <w:rPr>
        <w:rFonts w:ascii="Wingdings" w:hAnsi="Wingdings" w:hint="default"/>
      </w:rPr>
    </w:lvl>
    <w:lvl w:ilvl="6" w:tplc="0C0C0001">
      <w:start w:val="1"/>
      <w:numFmt w:val="bullet"/>
      <w:lvlText w:val=""/>
      <w:lvlJc w:val="left"/>
      <w:pPr>
        <w:ind w:left="5465" w:hanging="360"/>
      </w:pPr>
      <w:rPr>
        <w:rFonts w:ascii="Symbol" w:hAnsi="Symbol" w:hint="default"/>
      </w:rPr>
    </w:lvl>
    <w:lvl w:ilvl="7" w:tplc="0C0C0003">
      <w:start w:val="1"/>
      <w:numFmt w:val="bullet"/>
      <w:lvlText w:val="o"/>
      <w:lvlJc w:val="left"/>
      <w:pPr>
        <w:ind w:left="6185" w:hanging="360"/>
      </w:pPr>
      <w:rPr>
        <w:rFonts w:ascii="Courier New" w:hAnsi="Courier New" w:cs="Courier New" w:hint="default"/>
      </w:rPr>
    </w:lvl>
    <w:lvl w:ilvl="8" w:tplc="0C0C0005">
      <w:start w:val="1"/>
      <w:numFmt w:val="bullet"/>
      <w:lvlText w:val=""/>
      <w:lvlJc w:val="left"/>
      <w:pPr>
        <w:ind w:left="6905" w:hanging="360"/>
      </w:pPr>
      <w:rPr>
        <w:rFonts w:ascii="Wingdings" w:hAnsi="Wingdings" w:hint="default"/>
      </w:rPr>
    </w:lvl>
  </w:abstractNum>
  <w:abstractNum w:abstractNumId="34" w15:restartNumberingAfterBreak="0">
    <w:nsid w:val="34D75644"/>
    <w:multiLevelType w:val="hybridMultilevel"/>
    <w:tmpl w:val="76C01780"/>
    <w:lvl w:ilvl="0" w:tplc="04090001">
      <w:start w:val="1"/>
      <w:numFmt w:val="bullet"/>
      <w:lvlText w:val=""/>
      <w:lvlJc w:val="left"/>
      <w:pPr>
        <w:ind w:left="360" w:hanging="360"/>
      </w:pPr>
      <w:rPr>
        <w:rFonts w:ascii="Symbol" w:hAnsi="Symbol" w:hint="default"/>
      </w:rPr>
    </w:lvl>
    <w:lvl w:ilvl="1" w:tplc="88A46736">
      <w:start w:val="21"/>
      <w:numFmt w:val="bullet"/>
      <w:lvlText w:val="-"/>
      <w:lvlJc w:val="left"/>
      <w:pPr>
        <w:ind w:left="1080" w:hanging="360"/>
      </w:pPr>
      <w:rPr>
        <w:rFonts w:ascii="Calibri" w:eastAsia="Times New Roman" w:hAnsi="Calibri" w:cs="Times New Roman" w:hint="default"/>
        <w:color w:val="auto"/>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36C84D9F"/>
    <w:multiLevelType w:val="hybridMultilevel"/>
    <w:tmpl w:val="99F2646E"/>
    <w:lvl w:ilvl="0" w:tplc="0C0C0019">
      <w:start w:val="1"/>
      <w:numFmt w:val="lowerLetter"/>
      <w:lvlText w:val="%1."/>
      <w:lvlJc w:val="left"/>
      <w:pPr>
        <w:ind w:left="3060" w:hanging="360"/>
      </w:pPr>
    </w:lvl>
    <w:lvl w:ilvl="1" w:tplc="0C0C0019" w:tentative="1">
      <w:start w:val="1"/>
      <w:numFmt w:val="lowerLetter"/>
      <w:lvlText w:val="%2."/>
      <w:lvlJc w:val="left"/>
      <w:pPr>
        <w:ind w:left="3780" w:hanging="360"/>
      </w:pPr>
    </w:lvl>
    <w:lvl w:ilvl="2" w:tplc="0C0C001B" w:tentative="1">
      <w:start w:val="1"/>
      <w:numFmt w:val="lowerRoman"/>
      <w:lvlText w:val="%3."/>
      <w:lvlJc w:val="right"/>
      <w:pPr>
        <w:ind w:left="4500" w:hanging="180"/>
      </w:pPr>
    </w:lvl>
    <w:lvl w:ilvl="3" w:tplc="0C0C000F" w:tentative="1">
      <w:start w:val="1"/>
      <w:numFmt w:val="decimal"/>
      <w:lvlText w:val="%4."/>
      <w:lvlJc w:val="left"/>
      <w:pPr>
        <w:ind w:left="5220" w:hanging="360"/>
      </w:pPr>
    </w:lvl>
    <w:lvl w:ilvl="4" w:tplc="0C0C0019" w:tentative="1">
      <w:start w:val="1"/>
      <w:numFmt w:val="lowerLetter"/>
      <w:lvlText w:val="%5."/>
      <w:lvlJc w:val="left"/>
      <w:pPr>
        <w:ind w:left="5940" w:hanging="360"/>
      </w:pPr>
    </w:lvl>
    <w:lvl w:ilvl="5" w:tplc="0C0C001B" w:tentative="1">
      <w:start w:val="1"/>
      <w:numFmt w:val="lowerRoman"/>
      <w:lvlText w:val="%6."/>
      <w:lvlJc w:val="right"/>
      <w:pPr>
        <w:ind w:left="6660" w:hanging="180"/>
      </w:pPr>
    </w:lvl>
    <w:lvl w:ilvl="6" w:tplc="0C0C000F" w:tentative="1">
      <w:start w:val="1"/>
      <w:numFmt w:val="decimal"/>
      <w:lvlText w:val="%7."/>
      <w:lvlJc w:val="left"/>
      <w:pPr>
        <w:ind w:left="7380" w:hanging="360"/>
      </w:pPr>
    </w:lvl>
    <w:lvl w:ilvl="7" w:tplc="0C0C0019" w:tentative="1">
      <w:start w:val="1"/>
      <w:numFmt w:val="lowerLetter"/>
      <w:lvlText w:val="%8."/>
      <w:lvlJc w:val="left"/>
      <w:pPr>
        <w:ind w:left="8100" w:hanging="360"/>
      </w:pPr>
    </w:lvl>
    <w:lvl w:ilvl="8" w:tplc="0C0C001B" w:tentative="1">
      <w:start w:val="1"/>
      <w:numFmt w:val="lowerRoman"/>
      <w:lvlText w:val="%9."/>
      <w:lvlJc w:val="right"/>
      <w:pPr>
        <w:ind w:left="8820" w:hanging="180"/>
      </w:pPr>
    </w:lvl>
  </w:abstractNum>
  <w:abstractNum w:abstractNumId="36" w15:restartNumberingAfterBreak="0">
    <w:nsid w:val="38315E60"/>
    <w:multiLevelType w:val="hybridMultilevel"/>
    <w:tmpl w:val="85CEC5E2"/>
    <w:lvl w:ilvl="0" w:tplc="0C0C0019">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9">
      <w:start w:val="1"/>
      <w:numFmt w:val="lowerLetter"/>
      <w:lvlText w:val="%3."/>
      <w:lvlJc w:val="lef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37" w15:restartNumberingAfterBreak="0">
    <w:nsid w:val="39B62860"/>
    <w:multiLevelType w:val="hybridMultilevel"/>
    <w:tmpl w:val="AC2CCA48"/>
    <w:lvl w:ilvl="0" w:tplc="31A05636">
      <w:start w:val="1"/>
      <w:numFmt w:val="lowerRoman"/>
      <w:lvlText w:val="%1."/>
      <w:lvlJc w:val="right"/>
      <w:pPr>
        <w:ind w:left="1352" w:hanging="360"/>
      </w:pPr>
      <w:rPr>
        <w:rFonts w:ascii="Calibri" w:hAnsi="Calibri" w:hint="default"/>
        <w:b w:val="0"/>
        <w:i w:val="0"/>
        <w:sz w:val="20"/>
      </w:rPr>
    </w:lvl>
    <w:lvl w:ilvl="1" w:tplc="040C000D">
      <w:start w:val="1"/>
      <w:numFmt w:val="bullet"/>
      <w:lvlText w:val=""/>
      <w:lvlJc w:val="left"/>
      <w:pPr>
        <w:ind w:left="1788" w:hanging="360"/>
      </w:pPr>
      <w:rPr>
        <w:rFonts w:ascii="Wingdings" w:hAnsi="Wingdings" w:hint="default"/>
      </w:rPr>
    </w:lvl>
    <w:lvl w:ilvl="2" w:tplc="040C001B">
      <w:start w:val="1"/>
      <w:numFmt w:val="lowerRoman"/>
      <w:lvlText w:val="%3."/>
      <w:lvlJc w:val="right"/>
      <w:pPr>
        <w:ind w:left="2508" w:hanging="180"/>
      </w:pPr>
    </w:lvl>
    <w:lvl w:ilvl="3" w:tplc="040C000F">
      <w:start w:val="1"/>
      <w:numFmt w:val="decimal"/>
      <w:lvlText w:val="%4."/>
      <w:lvlJc w:val="left"/>
      <w:pPr>
        <w:ind w:left="3228" w:hanging="360"/>
      </w:pPr>
    </w:lvl>
    <w:lvl w:ilvl="4" w:tplc="040C0019">
      <w:start w:val="1"/>
      <w:numFmt w:val="lowerLetter"/>
      <w:lvlText w:val="%5."/>
      <w:lvlJc w:val="left"/>
      <w:pPr>
        <w:ind w:left="3948" w:hanging="360"/>
      </w:pPr>
    </w:lvl>
    <w:lvl w:ilvl="5" w:tplc="040C001B">
      <w:start w:val="1"/>
      <w:numFmt w:val="lowerRoman"/>
      <w:lvlText w:val="%6."/>
      <w:lvlJc w:val="right"/>
      <w:pPr>
        <w:ind w:left="4668" w:hanging="180"/>
      </w:pPr>
    </w:lvl>
    <w:lvl w:ilvl="6" w:tplc="040C000F">
      <w:start w:val="1"/>
      <w:numFmt w:val="decimal"/>
      <w:lvlText w:val="%7."/>
      <w:lvlJc w:val="left"/>
      <w:pPr>
        <w:ind w:left="5388" w:hanging="360"/>
      </w:pPr>
    </w:lvl>
    <w:lvl w:ilvl="7" w:tplc="040C0019">
      <w:start w:val="1"/>
      <w:numFmt w:val="lowerLetter"/>
      <w:lvlText w:val="%8."/>
      <w:lvlJc w:val="left"/>
      <w:pPr>
        <w:ind w:left="6108" w:hanging="360"/>
      </w:pPr>
    </w:lvl>
    <w:lvl w:ilvl="8" w:tplc="040C001B">
      <w:start w:val="1"/>
      <w:numFmt w:val="lowerRoman"/>
      <w:lvlText w:val="%9."/>
      <w:lvlJc w:val="right"/>
      <w:pPr>
        <w:ind w:left="6828" w:hanging="180"/>
      </w:pPr>
    </w:lvl>
  </w:abstractNum>
  <w:abstractNum w:abstractNumId="38" w15:restartNumberingAfterBreak="0">
    <w:nsid w:val="429F1640"/>
    <w:multiLevelType w:val="hybridMultilevel"/>
    <w:tmpl w:val="99F2646E"/>
    <w:lvl w:ilvl="0" w:tplc="0C0C0019">
      <w:start w:val="1"/>
      <w:numFmt w:val="lowerLetter"/>
      <w:lvlText w:val="%1."/>
      <w:lvlJc w:val="left"/>
      <w:pPr>
        <w:ind w:left="3060" w:hanging="360"/>
      </w:pPr>
    </w:lvl>
    <w:lvl w:ilvl="1" w:tplc="0C0C0019" w:tentative="1">
      <w:start w:val="1"/>
      <w:numFmt w:val="lowerLetter"/>
      <w:lvlText w:val="%2."/>
      <w:lvlJc w:val="left"/>
      <w:pPr>
        <w:ind w:left="3780" w:hanging="360"/>
      </w:pPr>
    </w:lvl>
    <w:lvl w:ilvl="2" w:tplc="0C0C001B" w:tentative="1">
      <w:start w:val="1"/>
      <w:numFmt w:val="lowerRoman"/>
      <w:lvlText w:val="%3."/>
      <w:lvlJc w:val="right"/>
      <w:pPr>
        <w:ind w:left="4500" w:hanging="180"/>
      </w:pPr>
    </w:lvl>
    <w:lvl w:ilvl="3" w:tplc="0C0C000F" w:tentative="1">
      <w:start w:val="1"/>
      <w:numFmt w:val="decimal"/>
      <w:lvlText w:val="%4."/>
      <w:lvlJc w:val="left"/>
      <w:pPr>
        <w:ind w:left="5220" w:hanging="360"/>
      </w:pPr>
    </w:lvl>
    <w:lvl w:ilvl="4" w:tplc="0C0C0019" w:tentative="1">
      <w:start w:val="1"/>
      <w:numFmt w:val="lowerLetter"/>
      <w:lvlText w:val="%5."/>
      <w:lvlJc w:val="left"/>
      <w:pPr>
        <w:ind w:left="5940" w:hanging="360"/>
      </w:pPr>
    </w:lvl>
    <w:lvl w:ilvl="5" w:tplc="0C0C001B" w:tentative="1">
      <w:start w:val="1"/>
      <w:numFmt w:val="lowerRoman"/>
      <w:lvlText w:val="%6."/>
      <w:lvlJc w:val="right"/>
      <w:pPr>
        <w:ind w:left="6660" w:hanging="180"/>
      </w:pPr>
    </w:lvl>
    <w:lvl w:ilvl="6" w:tplc="0C0C000F" w:tentative="1">
      <w:start w:val="1"/>
      <w:numFmt w:val="decimal"/>
      <w:lvlText w:val="%7."/>
      <w:lvlJc w:val="left"/>
      <w:pPr>
        <w:ind w:left="7380" w:hanging="360"/>
      </w:pPr>
    </w:lvl>
    <w:lvl w:ilvl="7" w:tplc="0C0C0019" w:tentative="1">
      <w:start w:val="1"/>
      <w:numFmt w:val="lowerLetter"/>
      <w:lvlText w:val="%8."/>
      <w:lvlJc w:val="left"/>
      <w:pPr>
        <w:ind w:left="8100" w:hanging="360"/>
      </w:pPr>
    </w:lvl>
    <w:lvl w:ilvl="8" w:tplc="0C0C001B" w:tentative="1">
      <w:start w:val="1"/>
      <w:numFmt w:val="lowerRoman"/>
      <w:lvlText w:val="%9."/>
      <w:lvlJc w:val="right"/>
      <w:pPr>
        <w:ind w:left="8820" w:hanging="180"/>
      </w:pPr>
    </w:lvl>
  </w:abstractNum>
  <w:abstractNum w:abstractNumId="39" w15:restartNumberingAfterBreak="0">
    <w:nsid w:val="42D5316A"/>
    <w:multiLevelType w:val="hybridMultilevel"/>
    <w:tmpl w:val="C8B449E4"/>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42E87E9B"/>
    <w:multiLevelType w:val="hybridMultilevel"/>
    <w:tmpl w:val="59463AA0"/>
    <w:lvl w:ilvl="0" w:tplc="906AD4DE">
      <w:start w:val="1"/>
      <w:numFmt w:val="bullet"/>
      <w:pStyle w:val="body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3C34D0A"/>
    <w:multiLevelType w:val="hybridMultilevel"/>
    <w:tmpl w:val="7C42639C"/>
    <w:lvl w:ilvl="0" w:tplc="07E89DDE">
      <w:start w:val="3"/>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44BB0C95"/>
    <w:multiLevelType w:val="hybridMultilevel"/>
    <w:tmpl w:val="A5FE8EE0"/>
    <w:lvl w:ilvl="0" w:tplc="0C0C001B">
      <w:start w:val="1"/>
      <w:numFmt w:val="lowerRoman"/>
      <w:lvlText w:val="%1."/>
      <w:lvlJc w:val="right"/>
      <w:pPr>
        <w:ind w:left="720" w:hanging="360"/>
      </w:pPr>
      <w:rPr>
        <w:rFonts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43" w15:restartNumberingAfterBreak="0">
    <w:nsid w:val="46241FF9"/>
    <w:multiLevelType w:val="hybridMultilevel"/>
    <w:tmpl w:val="7A5C7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88735A1"/>
    <w:multiLevelType w:val="hybridMultilevel"/>
    <w:tmpl w:val="0EC4DC72"/>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5"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CB86CE7"/>
    <w:multiLevelType w:val="hybridMultilevel"/>
    <w:tmpl w:val="63D09BE0"/>
    <w:lvl w:ilvl="0" w:tplc="D400AD02">
      <w:start w:val="1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E7A5335"/>
    <w:multiLevelType w:val="hybridMultilevel"/>
    <w:tmpl w:val="CB18ED46"/>
    <w:lvl w:ilvl="0" w:tplc="6F8237AE">
      <w:start w:val="1"/>
      <w:numFmt w:val="bullet"/>
      <w:lvlText w:val=""/>
      <w:lvlJc w:val="left"/>
      <w:pPr>
        <w:tabs>
          <w:tab w:val="num" w:pos="700"/>
        </w:tabs>
        <w:ind w:left="700" w:hanging="170"/>
      </w:pPr>
      <w:rPr>
        <w:rFonts w:ascii="Wingdings" w:hAnsi="Wingdings" w:hint="default"/>
        <w:b w:val="0"/>
        <w:sz w:val="16"/>
      </w:rPr>
    </w:lvl>
    <w:lvl w:ilvl="1" w:tplc="04090003">
      <w:start w:val="1"/>
      <w:numFmt w:val="lowerLetter"/>
      <w:lvlText w:val="%2."/>
      <w:lvlJc w:val="left"/>
      <w:pPr>
        <w:ind w:left="1610" w:hanging="360"/>
      </w:pPr>
    </w:lvl>
    <w:lvl w:ilvl="2" w:tplc="04090005">
      <w:start w:val="1"/>
      <w:numFmt w:val="lowerRoman"/>
      <w:lvlText w:val="%3."/>
      <w:lvlJc w:val="right"/>
      <w:pPr>
        <w:ind w:left="2330" w:hanging="180"/>
      </w:pPr>
    </w:lvl>
    <w:lvl w:ilvl="3" w:tplc="04090001">
      <w:start w:val="1"/>
      <w:numFmt w:val="decimal"/>
      <w:lvlText w:val="%4."/>
      <w:lvlJc w:val="left"/>
      <w:pPr>
        <w:ind w:left="3050" w:hanging="360"/>
      </w:pPr>
    </w:lvl>
    <w:lvl w:ilvl="4" w:tplc="04090003">
      <w:start w:val="1"/>
      <w:numFmt w:val="lowerLetter"/>
      <w:lvlText w:val="%5."/>
      <w:lvlJc w:val="left"/>
      <w:pPr>
        <w:ind w:left="3770" w:hanging="360"/>
      </w:pPr>
    </w:lvl>
    <w:lvl w:ilvl="5" w:tplc="04090005">
      <w:start w:val="1"/>
      <w:numFmt w:val="lowerRoman"/>
      <w:lvlText w:val="%6."/>
      <w:lvlJc w:val="right"/>
      <w:pPr>
        <w:ind w:left="4490" w:hanging="180"/>
      </w:pPr>
    </w:lvl>
    <w:lvl w:ilvl="6" w:tplc="04090001">
      <w:start w:val="1"/>
      <w:numFmt w:val="decimal"/>
      <w:lvlText w:val="%7."/>
      <w:lvlJc w:val="left"/>
      <w:pPr>
        <w:ind w:left="5210" w:hanging="360"/>
      </w:pPr>
    </w:lvl>
    <w:lvl w:ilvl="7" w:tplc="04090003">
      <w:start w:val="1"/>
      <w:numFmt w:val="lowerLetter"/>
      <w:lvlText w:val="%8."/>
      <w:lvlJc w:val="left"/>
      <w:pPr>
        <w:ind w:left="5930" w:hanging="360"/>
      </w:pPr>
    </w:lvl>
    <w:lvl w:ilvl="8" w:tplc="04090005">
      <w:start w:val="1"/>
      <w:numFmt w:val="lowerRoman"/>
      <w:lvlText w:val="%9."/>
      <w:lvlJc w:val="right"/>
      <w:pPr>
        <w:ind w:left="6650" w:hanging="180"/>
      </w:pPr>
    </w:lvl>
  </w:abstractNum>
  <w:abstractNum w:abstractNumId="48" w15:restartNumberingAfterBreak="0">
    <w:nsid w:val="5075636D"/>
    <w:multiLevelType w:val="hybridMultilevel"/>
    <w:tmpl w:val="AA589086"/>
    <w:lvl w:ilvl="0" w:tplc="8872E906">
      <w:numFmt w:val="bullet"/>
      <w:lvlText w:val="-"/>
      <w:lvlJc w:val="left"/>
      <w:pPr>
        <w:ind w:left="360" w:hanging="360"/>
      </w:pPr>
      <w:rPr>
        <w:rFonts w:ascii="Calibri" w:eastAsia="Calibri" w:hAnsi="Calibri" w:cs="Calibri"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49" w15:restartNumberingAfterBreak="0">
    <w:nsid w:val="52990B3B"/>
    <w:multiLevelType w:val="hybridMultilevel"/>
    <w:tmpl w:val="14C2ACEC"/>
    <w:lvl w:ilvl="0" w:tplc="88A46736">
      <w:start w:val="21"/>
      <w:numFmt w:val="bullet"/>
      <w:lvlText w:val="-"/>
      <w:lvlJc w:val="left"/>
      <w:pPr>
        <w:ind w:left="720" w:hanging="360"/>
      </w:pPr>
      <w:rPr>
        <w:rFonts w:ascii="Calibri" w:eastAsia="Times New Roman" w:hAnsi="Calibri" w:cs="Times New Roman"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0" w15:restartNumberingAfterBreak="0">
    <w:nsid w:val="53577630"/>
    <w:multiLevelType w:val="hybridMultilevel"/>
    <w:tmpl w:val="81C4CEBE"/>
    <w:lvl w:ilvl="0" w:tplc="0C0C0019">
      <w:start w:val="1"/>
      <w:numFmt w:val="lowerLetter"/>
      <w:lvlText w:val="%1."/>
      <w:lvlJc w:val="left"/>
      <w:pPr>
        <w:ind w:left="720" w:hanging="360"/>
      </w:pPr>
      <w:rPr>
        <w:rFont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1" w15:restartNumberingAfterBreak="0">
    <w:nsid w:val="57B039C5"/>
    <w:multiLevelType w:val="hybridMultilevel"/>
    <w:tmpl w:val="A4107AD6"/>
    <w:lvl w:ilvl="0" w:tplc="6F8237AE">
      <w:start w:val="1"/>
      <w:numFmt w:val="bullet"/>
      <w:lvlText w:val=""/>
      <w:lvlJc w:val="left"/>
      <w:pPr>
        <w:tabs>
          <w:tab w:val="num" w:pos="170"/>
        </w:tabs>
        <w:ind w:left="170" w:hanging="170"/>
      </w:pPr>
      <w:rPr>
        <w:rFonts w:ascii="Wingdings" w:hAnsi="Wingdings" w:hint="default"/>
        <w:sz w:val="16"/>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2" w15:restartNumberingAfterBreak="0">
    <w:nsid w:val="59F723D6"/>
    <w:multiLevelType w:val="hybridMultilevel"/>
    <w:tmpl w:val="FF2E4758"/>
    <w:lvl w:ilvl="0" w:tplc="04090001">
      <w:start w:val="1"/>
      <w:numFmt w:val="bullet"/>
      <w:lvlText w:val=""/>
      <w:lvlJc w:val="left"/>
      <w:pPr>
        <w:ind w:left="360" w:hanging="360"/>
      </w:pPr>
      <w:rPr>
        <w:rFonts w:ascii="Symbol" w:hAnsi="Symbol" w:hint="default"/>
      </w:rPr>
    </w:lvl>
    <w:lvl w:ilvl="1" w:tplc="100C0003">
      <w:start w:val="1"/>
      <w:numFmt w:val="bullet"/>
      <w:lvlText w:val="o"/>
      <w:lvlJc w:val="left"/>
      <w:pPr>
        <w:ind w:left="1080" w:hanging="360"/>
      </w:pPr>
      <w:rPr>
        <w:rFonts w:ascii="Courier New" w:hAnsi="Courier New" w:cs="Courier New" w:hint="default"/>
      </w:rPr>
    </w:lvl>
    <w:lvl w:ilvl="2" w:tplc="100C0005">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53" w15:restartNumberingAfterBreak="0">
    <w:nsid w:val="5A9C49AB"/>
    <w:multiLevelType w:val="hybridMultilevel"/>
    <w:tmpl w:val="CD802D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5C777B58"/>
    <w:multiLevelType w:val="multilevel"/>
    <w:tmpl w:val="5122F7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5CB84F04"/>
    <w:multiLevelType w:val="hybridMultilevel"/>
    <w:tmpl w:val="1E10B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1525893"/>
    <w:multiLevelType w:val="hybridMultilevel"/>
    <w:tmpl w:val="501A573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7"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699E14A5"/>
    <w:multiLevelType w:val="hybridMultilevel"/>
    <w:tmpl w:val="86C0D57E"/>
    <w:lvl w:ilvl="0" w:tplc="095204CC">
      <w:start w:val="1"/>
      <w:numFmt w:val="bullet"/>
      <w:lvlText w:val=""/>
      <w:lvlJc w:val="left"/>
      <w:pPr>
        <w:ind w:left="720" w:hanging="360"/>
      </w:pPr>
      <w:rPr>
        <w:rFonts w:ascii="Wingdings" w:hAnsi="Wingdings" w:hint="default"/>
        <w:sz w:val="16"/>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61" w15:restartNumberingAfterBreak="0">
    <w:nsid w:val="6A841BE0"/>
    <w:multiLevelType w:val="hybridMultilevel"/>
    <w:tmpl w:val="3DB6DBE2"/>
    <w:lvl w:ilvl="0" w:tplc="0C0C000F">
      <w:start w:val="1"/>
      <w:numFmt w:val="decimal"/>
      <w:lvlText w:val="%1."/>
      <w:lvlJc w:val="left"/>
      <w:pPr>
        <w:ind w:left="644"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62" w15:restartNumberingAfterBreak="0">
    <w:nsid w:val="6EB14DBE"/>
    <w:multiLevelType w:val="hybridMultilevel"/>
    <w:tmpl w:val="DEE492D0"/>
    <w:lvl w:ilvl="0" w:tplc="BA2CDC08">
      <w:start w:val="2"/>
      <w:numFmt w:val="bullet"/>
      <w:pStyle w:val="Rappniebepuce1"/>
      <w:lvlText w:val="-"/>
      <w:lvlJc w:val="left"/>
      <w:pPr>
        <w:ind w:left="360" w:hanging="360"/>
      </w:pPr>
      <w:rPr>
        <w:rFonts w:ascii="Times New Roman" w:eastAsia="Times New Roman" w:hAnsi="Times New Roman" w:cs="Times New Roman" w:hint="default"/>
      </w:rPr>
    </w:lvl>
    <w:lvl w:ilvl="1" w:tplc="8118E60E">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6F2074A6"/>
    <w:multiLevelType w:val="hybridMultilevel"/>
    <w:tmpl w:val="69C8A096"/>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4" w15:restartNumberingAfterBreak="0">
    <w:nsid w:val="6F4630FD"/>
    <w:multiLevelType w:val="hybridMultilevel"/>
    <w:tmpl w:val="08F4EC7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1422FAC"/>
    <w:multiLevelType w:val="hybridMultilevel"/>
    <w:tmpl w:val="167040B4"/>
    <w:lvl w:ilvl="0" w:tplc="B316FCF2">
      <w:start w:val="1"/>
      <w:numFmt w:val="bullet"/>
      <w:lvlText w:val=""/>
      <w:lvlJc w:val="left"/>
      <w:pPr>
        <w:tabs>
          <w:tab w:val="num" w:pos="-190"/>
        </w:tabs>
        <w:ind w:left="530" w:hanging="360"/>
      </w:pPr>
      <w:rPr>
        <w:rFonts w:ascii="Wingdings" w:hAnsi="Wingdings" w:hint="default"/>
        <w:sz w:val="16"/>
      </w:rPr>
    </w:lvl>
    <w:lvl w:ilvl="1" w:tplc="0C0C0003" w:tentative="1">
      <w:start w:val="1"/>
      <w:numFmt w:val="bullet"/>
      <w:lvlText w:val="o"/>
      <w:lvlJc w:val="left"/>
      <w:pPr>
        <w:tabs>
          <w:tab w:val="num" w:pos="1610"/>
        </w:tabs>
        <w:ind w:left="1610" w:hanging="360"/>
      </w:pPr>
      <w:rPr>
        <w:rFonts w:ascii="Courier New" w:hAnsi="Courier New" w:cs="Courier New" w:hint="default"/>
      </w:rPr>
    </w:lvl>
    <w:lvl w:ilvl="2" w:tplc="0C0C0005" w:tentative="1">
      <w:start w:val="1"/>
      <w:numFmt w:val="bullet"/>
      <w:lvlText w:val=""/>
      <w:lvlJc w:val="left"/>
      <w:pPr>
        <w:tabs>
          <w:tab w:val="num" w:pos="2330"/>
        </w:tabs>
        <w:ind w:left="2330" w:hanging="360"/>
      </w:pPr>
      <w:rPr>
        <w:rFonts w:ascii="Wingdings" w:hAnsi="Wingdings" w:hint="default"/>
      </w:rPr>
    </w:lvl>
    <w:lvl w:ilvl="3" w:tplc="0C0C0001" w:tentative="1">
      <w:start w:val="1"/>
      <w:numFmt w:val="bullet"/>
      <w:lvlText w:val=""/>
      <w:lvlJc w:val="left"/>
      <w:pPr>
        <w:tabs>
          <w:tab w:val="num" w:pos="3050"/>
        </w:tabs>
        <w:ind w:left="3050" w:hanging="360"/>
      </w:pPr>
      <w:rPr>
        <w:rFonts w:ascii="Symbol" w:hAnsi="Symbol" w:hint="default"/>
      </w:rPr>
    </w:lvl>
    <w:lvl w:ilvl="4" w:tplc="0C0C0003" w:tentative="1">
      <w:start w:val="1"/>
      <w:numFmt w:val="bullet"/>
      <w:lvlText w:val="o"/>
      <w:lvlJc w:val="left"/>
      <w:pPr>
        <w:tabs>
          <w:tab w:val="num" w:pos="3770"/>
        </w:tabs>
        <w:ind w:left="3770" w:hanging="360"/>
      </w:pPr>
      <w:rPr>
        <w:rFonts w:ascii="Courier New" w:hAnsi="Courier New" w:cs="Courier New" w:hint="default"/>
      </w:rPr>
    </w:lvl>
    <w:lvl w:ilvl="5" w:tplc="0C0C0005" w:tentative="1">
      <w:start w:val="1"/>
      <w:numFmt w:val="bullet"/>
      <w:lvlText w:val=""/>
      <w:lvlJc w:val="left"/>
      <w:pPr>
        <w:tabs>
          <w:tab w:val="num" w:pos="4490"/>
        </w:tabs>
        <w:ind w:left="4490" w:hanging="360"/>
      </w:pPr>
      <w:rPr>
        <w:rFonts w:ascii="Wingdings" w:hAnsi="Wingdings" w:hint="default"/>
      </w:rPr>
    </w:lvl>
    <w:lvl w:ilvl="6" w:tplc="0C0C0001" w:tentative="1">
      <w:start w:val="1"/>
      <w:numFmt w:val="bullet"/>
      <w:lvlText w:val=""/>
      <w:lvlJc w:val="left"/>
      <w:pPr>
        <w:tabs>
          <w:tab w:val="num" w:pos="5210"/>
        </w:tabs>
        <w:ind w:left="5210" w:hanging="360"/>
      </w:pPr>
      <w:rPr>
        <w:rFonts w:ascii="Symbol" w:hAnsi="Symbol" w:hint="default"/>
      </w:rPr>
    </w:lvl>
    <w:lvl w:ilvl="7" w:tplc="0C0C0003" w:tentative="1">
      <w:start w:val="1"/>
      <w:numFmt w:val="bullet"/>
      <w:lvlText w:val="o"/>
      <w:lvlJc w:val="left"/>
      <w:pPr>
        <w:tabs>
          <w:tab w:val="num" w:pos="5930"/>
        </w:tabs>
        <w:ind w:left="5930" w:hanging="360"/>
      </w:pPr>
      <w:rPr>
        <w:rFonts w:ascii="Courier New" w:hAnsi="Courier New" w:cs="Courier New" w:hint="default"/>
      </w:rPr>
    </w:lvl>
    <w:lvl w:ilvl="8" w:tplc="0C0C0005" w:tentative="1">
      <w:start w:val="1"/>
      <w:numFmt w:val="bullet"/>
      <w:lvlText w:val=""/>
      <w:lvlJc w:val="left"/>
      <w:pPr>
        <w:tabs>
          <w:tab w:val="num" w:pos="6650"/>
        </w:tabs>
        <w:ind w:left="6650" w:hanging="360"/>
      </w:pPr>
      <w:rPr>
        <w:rFonts w:ascii="Wingdings" w:hAnsi="Wingdings" w:hint="default"/>
      </w:rPr>
    </w:lvl>
  </w:abstractNum>
  <w:abstractNum w:abstractNumId="66" w15:restartNumberingAfterBreak="0">
    <w:nsid w:val="7299285D"/>
    <w:multiLevelType w:val="hybridMultilevel"/>
    <w:tmpl w:val="4628CF8C"/>
    <w:lvl w:ilvl="0" w:tplc="DF4035B4">
      <w:start w:val="1"/>
      <w:numFmt w:val="bullet"/>
      <w:lvlText w:val=""/>
      <w:lvlJc w:val="left"/>
      <w:pPr>
        <w:tabs>
          <w:tab w:val="num" w:pos="360"/>
        </w:tabs>
        <w:ind w:left="360" w:hanging="360"/>
      </w:pPr>
      <w:rPr>
        <w:rFonts w:ascii="Wingdings" w:hAnsi="Wingdings" w:hint="default"/>
      </w:rPr>
    </w:lvl>
    <w:lvl w:ilvl="1" w:tplc="04090017">
      <w:start w:val="1"/>
      <w:numFmt w:val="lowerLetter"/>
      <w:lvlText w:val="%2)"/>
      <w:lvlJc w:val="left"/>
      <w:pPr>
        <w:ind w:left="1080" w:hanging="360"/>
      </w:pPr>
      <w:rPr>
        <w:rFonts w:hint="default"/>
      </w:rPr>
    </w:lvl>
    <w:lvl w:ilvl="2" w:tplc="A73E636A">
      <w:start w:val="1"/>
      <w:numFmt w:val="lowerLetter"/>
      <w:lvlText w:val="(%3)"/>
      <w:lvlJc w:val="left"/>
      <w:pPr>
        <w:ind w:left="1800" w:hanging="360"/>
      </w:pPr>
      <w:rPr>
        <w:rFonts w:hint="default"/>
        <w:b w:val="0"/>
      </w:rPr>
    </w:lvl>
    <w:lvl w:ilvl="3" w:tplc="4DB202C6" w:tentative="1">
      <w:start w:val="1"/>
      <w:numFmt w:val="bullet"/>
      <w:lvlText w:val=""/>
      <w:lvlJc w:val="left"/>
      <w:pPr>
        <w:tabs>
          <w:tab w:val="num" w:pos="2520"/>
        </w:tabs>
        <w:ind w:left="2520" w:hanging="360"/>
      </w:pPr>
      <w:rPr>
        <w:rFonts w:ascii="Wingdings" w:hAnsi="Wingdings" w:hint="default"/>
      </w:rPr>
    </w:lvl>
    <w:lvl w:ilvl="4" w:tplc="A8C88B3E" w:tentative="1">
      <w:start w:val="1"/>
      <w:numFmt w:val="bullet"/>
      <w:lvlText w:val=""/>
      <w:lvlJc w:val="left"/>
      <w:pPr>
        <w:tabs>
          <w:tab w:val="num" w:pos="3240"/>
        </w:tabs>
        <w:ind w:left="3240" w:hanging="360"/>
      </w:pPr>
      <w:rPr>
        <w:rFonts w:ascii="Wingdings" w:hAnsi="Wingdings" w:hint="default"/>
      </w:rPr>
    </w:lvl>
    <w:lvl w:ilvl="5" w:tplc="488A35CA" w:tentative="1">
      <w:start w:val="1"/>
      <w:numFmt w:val="bullet"/>
      <w:lvlText w:val=""/>
      <w:lvlJc w:val="left"/>
      <w:pPr>
        <w:tabs>
          <w:tab w:val="num" w:pos="3960"/>
        </w:tabs>
        <w:ind w:left="3960" w:hanging="360"/>
      </w:pPr>
      <w:rPr>
        <w:rFonts w:ascii="Wingdings" w:hAnsi="Wingdings" w:hint="default"/>
      </w:rPr>
    </w:lvl>
    <w:lvl w:ilvl="6" w:tplc="E9A4F710" w:tentative="1">
      <w:start w:val="1"/>
      <w:numFmt w:val="bullet"/>
      <w:lvlText w:val=""/>
      <w:lvlJc w:val="left"/>
      <w:pPr>
        <w:tabs>
          <w:tab w:val="num" w:pos="4680"/>
        </w:tabs>
        <w:ind w:left="4680" w:hanging="360"/>
      </w:pPr>
      <w:rPr>
        <w:rFonts w:ascii="Wingdings" w:hAnsi="Wingdings" w:hint="default"/>
      </w:rPr>
    </w:lvl>
    <w:lvl w:ilvl="7" w:tplc="D6C862A0" w:tentative="1">
      <w:start w:val="1"/>
      <w:numFmt w:val="bullet"/>
      <w:lvlText w:val=""/>
      <w:lvlJc w:val="left"/>
      <w:pPr>
        <w:tabs>
          <w:tab w:val="num" w:pos="5400"/>
        </w:tabs>
        <w:ind w:left="5400" w:hanging="360"/>
      </w:pPr>
      <w:rPr>
        <w:rFonts w:ascii="Wingdings" w:hAnsi="Wingdings" w:hint="default"/>
      </w:rPr>
    </w:lvl>
    <w:lvl w:ilvl="8" w:tplc="F7F8675A"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F8E33E1"/>
    <w:multiLevelType w:val="hybridMultilevel"/>
    <w:tmpl w:val="9508CB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7FD847C9"/>
    <w:multiLevelType w:val="hybridMultilevel"/>
    <w:tmpl w:val="78ACD7E0"/>
    <w:lvl w:ilvl="0" w:tplc="095204CC">
      <w:start w:val="1"/>
      <w:numFmt w:val="bullet"/>
      <w:lvlText w:val=""/>
      <w:lvlJc w:val="left"/>
      <w:pPr>
        <w:ind w:left="720" w:hanging="360"/>
      </w:pPr>
      <w:rPr>
        <w:rFonts w:ascii="Wingdings" w:hAnsi="Wingdings" w:hint="default"/>
        <w:sz w:val="16"/>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num w:numId="1" w16cid:durableId="2095541750">
    <w:abstractNumId w:val="13"/>
  </w:num>
  <w:num w:numId="2" w16cid:durableId="2096585462">
    <w:abstractNumId w:val="3"/>
  </w:num>
  <w:num w:numId="3" w16cid:durableId="1608003108">
    <w:abstractNumId w:val="59"/>
  </w:num>
  <w:num w:numId="4" w16cid:durableId="1369334603">
    <w:abstractNumId w:val="27"/>
  </w:num>
  <w:num w:numId="5" w16cid:durableId="1857959136">
    <w:abstractNumId w:val="8"/>
  </w:num>
  <w:num w:numId="6" w16cid:durableId="262961904">
    <w:abstractNumId w:val="16"/>
  </w:num>
  <w:num w:numId="7" w16cid:durableId="246773520">
    <w:abstractNumId w:val="40"/>
  </w:num>
  <w:num w:numId="8" w16cid:durableId="1904099898">
    <w:abstractNumId w:val="31"/>
  </w:num>
  <w:num w:numId="9" w16cid:durableId="463624439">
    <w:abstractNumId w:val="44"/>
  </w:num>
  <w:num w:numId="10" w16cid:durableId="186060910">
    <w:abstractNumId w:val="9"/>
  </w:num>
  <w:num w:numId="11" w16cid:durableId="1018965082">
    <w:abstractNumId w:val="50"/>
  </w:num>
  <w:num w:numId="12" w16cid:durableId="1817406730">
    <w:abstractNumId w:val="12"/>
  </w:num>
  <w:num w:numId="13" w16cid:durableId="400711385">
    <w:abstractNumId w:val="63"/>
  </w:num>
  <w:num w:numId="14" w16cid:durableId="1541162713">
    <w:abstractNumId w:val="61"/>
  </w:num>
  <w:num w:numId="15" w16cid:durableId="673822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6794210">
    <w:abstractNumId w:val="29"/>
  </w:num>
  <w:num w:numId="17" w16cid:durableId="837110173">
    <w:abstractNumId w:val="22"/>
  </w:num>
  <w:num w:numId="18" w16cid:durableId="1116410823">
    <w:abstractNumId w:val="20"/>
  </w:num>
  <w:num w:numId="19" w16cid:durableId="6449906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891349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84105323">
    <w:abstractNumId w:val="5"/>
  </w:num>
  <w:num w:numId="22" w16cid:durableId="452330550">
    <w:abstractNumId w:val="42"/>
  </w:num>
  <w:num w:numId="23" w16cid:durableId="309286859">
    <w:abstractNumId w:val="39"/>
  </w:num>
  <w:num w:numId="24" w16cid:durableId="1420562878">
    <w:abstractNumId w:val="15"/>
  </w:num>
  <w:num w:numId="25" w16cid:durableId="2008748833">
    <w:abstractNumId w:val="0"/>
  </w:num>
  <w:num w:numId="26" w16cid:durableId="1761830971">
    <w:abstractNumId w:val="66"/>
  </w:num>
  <w:num w:numId="27" w16cid:durableId="258099819">
    <w:abstractNumId w:val="25"/>
  </w:num>
  <w:num w:numId="28" w16cid:durableId="1723283086">
    <w:abstractNumId w:val="55"/>
  </w:num>
  <w:num w:numId="29" w16cid:durableId="1671986834">
    <w:abstractNumId w:val="60"/>
  </w:num>
  <w:num w:numId="30" w16cid:durableId="1538154118">
    <w:abstractNumId w:val="69"/>
  </w:num>
  <w:num w:numId="31" w16cid:durableId="1987660957">
    <w:abstractNumId w:val="49"/>
  </w:num>
  <w:num w:numId="32" w16cid:durableId="101122356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50058894">
    <w:abstractNumId w:val="33"/>
  </w:num>
  <w:num w:numId="34" w16cid:durableId="2074697503">
    <w:abstractNumId w:val="53"/>
  </w:num>
  <w:num w:numId="35" w16cid:durableId="230387916">
    <w:abstractNumId w:val="24"/>
  </w:num>
  <w:num w:numId="36" w16cid:durableId="1895308689">
    <w:abstractNumId w:val="56"/>
  </w:num>
  <w:num w:numId="37" w16cid:durableId="1433356879">
    <w:abstractNumId w:val="43"/>
  </w:num>
  <w:num w:numId="38" w16cid:durableId="1765758185">
    <w:abstractNumId w:val="51"/>
  </w:num>
  <w:num w:numId="39" w16cid:durableId="1088506926">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09397739">
    <w:abstractNumId w:val="62"/>
  </w:num>
  <w:num w:numId="41" w16cid:durableId="960385279">
    <w:abstractNumId w:val="41"/>
  </w:num>
  <w:num w:numId="42" w16cid:durableId="915826751">
    <w:abstractNumId w:val="68"/>
  </w:num>
  <w:num w:numId="43" w16cid:durableId="1115564691">
    <w:abstractNumId w:val="48"/>
  </w:num>
  <w:num w:numId="44" w16cid:durableId="1672218292">
    <w:abstractNumId w:val="6"/>
  </w:num>
  <w:num w:numId="45" w16cid:durableId="1901939691">
    <w:abstractNumId w:val="28"/>
  </w:num>
  <w:num w:numId="46" w16cid:durableId="1049306762">
    <w:abstractNumId w:val="17"/>
  </w:num>
  <w:num w:numId="47" w16cid:durableId="194060508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12321248">
    <w:abstractNumId w:val="36"/>
  </w:num>
  <w:num w:numId="49" w16cid:durableId="345598839">
    <w:abstractNumId w:val="26"/>
  </w:num>
  <w:num w:numId="50" w16cid:durableId="1922518383">
    <w:abstractNumId w:val="35"/>
  </w:num>
  <w:num w:numId="51" w16cid:durableId="2094157967">
    <w:abstractNumId w:val="38"/>
  </w:num>
  <w:num w:numId="52" w16cid:durableId="873805941">
    <w:abstractNumId w:val="19"/>
  </w:num>
  <w:num w:numId="53" w16cid:durableId="2029913228">
    <w:abstractNumId w:val="18"/>
  </w:num>
  <w:num w:numId="54" w16cid:durableId="532964624">
    <w:abstractNumId w:val="64"/>
  </w:num>
  <w:num w:numId="55" w16cid:durableId="1170948698">
    <w:abstractNumId w:val="54"/>
  </w:num>
  <w:num w:numId="56" w16cid:durableId="367753733">
    <w:abstractNumId w:val="30"/>
  </w:num>
  <w:num w:numId="57" w16cid:durableId="1439569724">
    <w:abstractNumId w:val="37"/>
  </w:num>
  <w:num w:numId="58" w16cid:durableId="1357852117">
    <w:abstractNumId w:val="23"/>
  </w:num>
  <w:num w:numId="59" w16cid:durableId="1295061739">
    <w:abstractNumId w:val="1"/>
  </w:num>
  <w:num w:numId="60" w16cid:durableId="247927403">
    <w:abstractNumId w:val="34"/>
  </w:num>
  <w:num w:numId="61" w16cid:durableId="873688353">
    <w:abstractNumId w:val="32"/>
  </w:num>
  <w:num w:numId="62" w16cid:durableId="1637879110">
    <w:abstractNumId w:val="52"/>
  </w:num>
  <w:num w:numId="63" w16cid:durableId="582883054">
    <w:abstractNumId w:val="7"/>
  </w:num>
  <w:num w:numId="64" w16cid:durableId="2037808038">
    <w:abstractNumId w:val="45"/>
  </w:num>
  <w:num w:numId="65" w16cid:durableId="597719191">
    <w:abstractNumId w:val="58"/>
  </w:num>
  <w:num w:numId="66" w16cid:durableId="1389568995">
    <w:abstractNumId w:val="46"/>
  </w:num>
  <w:num w:numId="67" w16cid:durableId="143277767">
    <w:abstractNumId w:val="14"/>
  </w:num>
  <w:num w:numId="68" w16cid:durableId="1550189961">
    <w:abstractNumId w:val="10"/>
  </w:num>
  <w:num w:numId="69" w16cid:durableId="46612910">
    <w:abstractNumId w:val="57"/>
  </w:num>
  <w:num w:numId="70" w16cid:durableId="881215240">
    <w:abstractNumId w:val="67"/>
  </w:num>
  <w:num w:numId="71" w16cid:durableId="12646486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BFE"/>
    <w:rsid w:val="00003F71"/>
    <w:rsid w:val="0000686D"/>
    <w:rsid w:val="00011708"/>
    <w:rsid w:val="00011788"/>
    <w:rsid w:val="00013DAF"/>
    <w:rsid w:val="00013E6D"/>
    <w:rsid w:val="00017D56"/>
    <w:rsid w:val="0002365A"/>
    <w:rsid w:val="00025023"/>
    <w:rsid w:val="000344D0"/>
    <w:rsid w:val="0003471D"/>
    <w:rsid w:val="000353EF"/>
    <w:rsid w:val="00035B7E"/>
    <w:rsid w:val="0004263C"/>
    <w:rsid w:val="00042A7A"/>
    <w:rsid w:val="000444D2"/>
    <w:rsid w:val="00044A1B"/>
    <w:rsid w:val="000453F3"/>
    <w:rsid w:val="00046D08"/>
    <w:rsid w:val="00047338"/>
    <w:rsid w:val="00047E29"/>
    <w:rsid w:val="0005601C"/>
    <w:rsid w:val="00056241"/>
    <w:rsid w:val="00056917"/>
    <w:rsid w:val="00057365"/>
    <w:rsid w:val="00057EAE"/>
    <w:rsid w:val="00066EBD"/>
    <w:rsid w:val="00073926"/>
    <w:rsid w:val="00074336"/>
    <w:rsid w:val="00074AC5"/>
    <w:rsid w:val="00076116"/>
    <w:rsid w:val="00077D48"/>
    <w:rsid w:val="00081E87"/>
    <w:rsid w:val="000876F5"/>
    <w:rsid w:val="00087970"/>
    <w:rsid w:val="00087B9C"/>
    <w:rsid w:val="00090D3B"/>
    <w:rsid w:val="0009166F"/>
    <w:rsid w:val="00091EA0"/>
    <w:rsid w:val="00094C08"/>
    <w:rsid w:val="00096659"/>
    <w:rsid w:val="000A09B6"/>
    <w:rsid w:val="000A1B84"/>
    <w:rsid w:val="000A4251"/>
    <w:rsid w:val="000B0AA1"/>
    <w:rsid w:val="000B16A8"/>
    <w:rsid w:val="000B241D"/>
    <w:rsid w:val="000C0407"/>
    <w:rsid w:val="000C125A"/>
    <w:rsid w:val="000C2449"/>
    <w:rsid w:val="000C7E12"/>
    <w:rsid w:val="000D0AA3"/>
    <w:rsid w:val="000D4265"/>
    <w:rsid w:val="000D4277"/>
    <w:rsid w:val="000E2B54"/>
    <w:rsid w:val="000E3AD9"/>
    <w:rsid w:val="000E4CFB"/>
    <w:rsid w:val="000E4F17"/>
    <w:rsid w:val="000F04A2"/>
    <w:rsid w:val="000F1F6F"/>
    <w:rsid w:val="000F3521"/>
    <w:rsid w:val="000F3E26"/>
    <w:rsid w:val="000F70A1"/>
    <w:rsid w:val="00101930"/>
    <w:rsid w:val="001070F0"/>
    <w:rsid w:val="001077BB"/>
    <w:rsid w:val="00111CA9"/>
    <w:rsid w:val="0011438A"/>
    <w:rsid w:val="00116DDC"/>
    <w:rsid w:val="001200EA"/>
    <w:rsid w:val="00122E02"/>
    <w:rsid w:val="001246C8"/>
    <w:rsid w:val="00124931"/>
    <w:rsid w:val="001265F0"/>
    <w:rsid w:val="001274DA"/>
    <w:rsid w:val="0013028E"/>
    <w:rsid w:val="001326D9"/>
    <w:rsid w:val="001353B0"/>
    <w:rsid w:val="00136078"/>
    <w:rsid w:val="00136F2E"/>
    <w:rsid w:val="00143184"/>
    <w:rsid w:val="0014607F"/>
    <w:rsid w:val="00146922"/>
    <w:rsid w:val="00147930"/>
    <w:rsid w:val="00147E45"/>
    <w:rsid w:val="00151F90"/>
    <w:rsid w:val="001557D3"/>
    <w:rsid w:val="00157582"/>
    <w:rsid w:val="0016320F"/>
    <w:rsid w:val="00166A4E"/>
    <w:rsid w:val="0017044F"/>
    <w:rsid w:val="00173284"/>
    <w:rsid w:val="0017559E"/>
    <w:rsid w:val="00175FC8"/>
    <w:rsid w:val="001762F0"/>
    <w:rsid w:val="001807A8"/>
    <w:rsid w:val="0018302A"/>
    <w:rsid w:val="00187640"/>
    <w:rsid w:val="00187E4A"/>
    <w:rsid w:val="0019268B"/>
    <w:rsid w:val="00193614"/>
    <w:rsid w:val="00194CA4"/>
    <w:rsid w:val="0019602F"/>
    <w:rsid w:val="00197022"/>
    <w:rsid w:val="00197446"/>
    <w:rsid w:val="001A5C7C"/>
    <w:rsid w:val="001A60BA"/>
    <w:rsid w:val="001B1641"/>
    <w:rsid w:val="001B25BB"/>
    <w:rsid w:val="001B5648"/>
    <w:rsid w:val="001B7D1D"/>
    <w:rsid w:val="001B7D4D"/>
    <w:rsid w:val="001C0390"/>
    <w:rsid w:val="001C3883"/>
    <w:rsid w:val="001C6338"/>
    <w:rsid w:val="001D3D46"/>
    <w:rsid w:val="001D4045"/>
    <w:rsid w:val="001D68CE"/>
    <w:rsid w:val="001D6F92"/>
    <w:rsid w:val="001D75B4"/>
    <w:rsid w:val="001E17DD"/>
    <w:rsid w:val="001E5CCF"/>
    <w:rsid w:val="001E6847"/>
    <w:rsid w:val="001F01ED"/>
    <w:rsid w:val="001F05DA"/>
    <w:rsid w:val="001F0AE6"/>
    <w:rsid w:val="001F0CFF"/>
    <w:rsid w:val="001F1386"/>
    <w:rsid w:val="001F1665"/>
    <w:rsid w:val="001F1B59"/>
    <w:rsid w:val="001F239B"/>
    <w:rsid w:val="001F23E3"/>
    <w:rsid w:val="001F45CE"/>
    <w:rsid w:val="001F7862"/>
    <w:rsid w:val="001F7A0B"/>
    <w:rsid w:val="001F7EF7"/>
    <w:rsid w:val="00204930"/>
    <w:rsid w:val="00206FC9"/>
    <w:rsid w:val="00207001"/>
    <w:rsid w:val="0020797F"/>
    <w:rsid w:val="00207C13"/>
    <w:rsid w:val="00212259"/>
    <w:rsid w:val="00212A4C"/>
    <w:rsid w:val="002136D5"/>
    <w:rsid w:val="00213C1A"/>
    <w:rsid w:val="002148F8"/>
    <w:rsid w:val="002168BE"/>
    <w:rsid w:val="0022684C"/>
    <w:rsid w:val="002341E1"/>
    <w:rsid w:val="002344C1"/>
    <w:rsid w:val="00236F1D"/>
    <w:rsid w:val="0024363F"/>
    <w:rsid w:val="00243B15"/>
    <w:rsid w:val="002444C5"/>
    <w:rsid w:val="0024478B"/>
    <w:rsid w:val="0025350F"/>
    <w:rsid w:val="00257B80"/>
    <w:rsid w:val="0026329B"/>
    <w:rsid w:val="002642AF"/>
    <w:rsid w:val="00271A74"/>
    <w:rsid w:val="00272066"/>
    <w:rsid w:val="00272CB2"/>
    <w:rsid w:val="00274460"/>
    <w:rsid w:val="00276497"/>
    <w:rsid w:val="0027791F"/>
    <w:rsid w:val="0028139B"/>
    <w:rsid w:val="00283A84"/>
    <w:rsid w:val="0028438D"/>
    <w:rsid w:val="0028552C"/>
    <w:rsid w:val="002910C6"/>
    <w:rsid w:val="002971F5"/>
    <w:rsid w:val="002A20CF"/>
    <w:rsid w:val="002A78DE"/>
    <w:rsid w:val="002B1FCA"/>
    <w:rsid w:val="002B3545"/>
    <w:rsid w:val="002B4063"/>
    <w:rsid w:val="002B7D6E"/>
    <w:rsid w:val="002C28C3"/>
    <w:rsid w:val="002C2D85"/>
    <w:rsid w:val="002C4038"/>
    <w:rsid w:val="002C4CAA"/>
    <w:rsid w:val="002C6C50"/>
    <w:rsid w:val="002C6F35"/>
    <w:rsid w:val="002C7A0F"/>
    <w:rsid w:val="002D0691"/>
    <w:rsid w:val="002D3ADE"/>
    <w:rsid w:val="002E023F"/>
    <w:rsid w:val="002E12BA"/>
    <w:rsid w:val="002E4EED"/>
    <w:rsid w:val="002F0FA8"/>
    <w:rsid w:val="002F4B8E"/>
    <w:rsid w:val="002F6A2B"/>
    <w:rsid w:val="00300692"/>
    <w:rsid w:val="00302A03"/>
    <w:rsid w:val="00302BFE"/>
    <w:rsid w:val="003041DE"/>
    <w:rsid w:val="00310BCF"/>
    <w:rsid w:val="0031155E"/>
    <w:rsid w:val="003118D5"/>
    <w:rsid w:val="00311E49"/>
    <w:rsid w:val="00316148"/>
    <w:rsid w:val="00320AF9"/>
    <w:rsid w:val="00321CBC"/>
    <w:rsid w:val="0032232A"/>
    <w:rsid w:val="003248C8"/>
    <w:rsid w:val="00326346"/>
    <w:rsid w:val="00333F92"/>
    <w:rsid w:val="00335135"/>
    <w:rsid w:val="003373CD"/>
    <w:rsid w:val="00342675"/>
    <w:rsid w:val="00342EBF"/>
    <w:rsid w:val="00343111"/>
    <w:rsid w:val="00350733"/>
    <w:rsid w:val="0035235C"/>
    <w:rsid w:val="003572F5"/>
    <w:rsid w:val="003575FA"/>
    <w:rsid w:val="00361702"/>
    <w:rsid w:val="00363257"/>
    <w:rsid w:val="003740AA"/>
    <w:rsid w:val="00374369"/>
    <w:rsid w:val="00374EF3"/>
    <w:rsid w:val="00375471"/>
    <w:rsid w:val="003759A1"/>
    <w:rsid w:val="00376E3F"/>
    <w:rsid w:val="003819DF"/>
    <w:rsid w:val="00382206"/>
    <w:rsid w:val="00395329"/>
    <w:rsid w:val="00397172"/>
    <w:rsid w:val="003A0ADA"/>
    <w:rsid w:val="003A26D9"/>
    <w:rsid w:val="003A45AD"/>
    <w:rsid w:val="003A70FD"/>
    <w:rsid w:val="003A74D2"/>
    <w:rsid w:val="003B0A67"/>
    <w:rsid w:val="003B2480"/>
    <w:rsid w:val="003B72ED"/>
    <w:rsid w:val="003C1387"/>
    <w:rsid w:val="003C3F01"/>
    <w:rsid w:val="003D0E6E"/>
    <w:rsid w:val="003D18B6"/>
    <w:rsid w:val="003D2021"/>
    <w:rsid w:val="003D33C0"/>
    <w:rsid w:val="003D4EDA"/>
    <w:rsid w:val="003D561F"/>
    <w:rsid w:val="003D7342"/>
    <w:rsid w:val="003E12E6"/>
    <w:rsid w:val="003E2DD1"/>
    <w:rsid w:val="003E65E6"/>
    <w:rsid w:val="003F190A"/>
    <w:rsid w:val="003F234C"/>
    <w:rsid w:val="003F4704"/>
    <w:rsid w:val="004032F1"/>
    <w:rsid w:val="00404607"/>
    <w:rsid w:val="00405DD9"/>
    <w:rsid w:val="00406F2F"/>
    <w:rsid w:val="00413432"/>
    <w:rsid w:val="00413758"/>
    <w:rsid w:val="0041380C"/>
    <w:rsid w:val="00413D2B"/>
    <w:rsid w:val="004148C7"/>
    <w:rsid w:val="004159F5"/>
    <w:rsid w:val="00416246"/>
    <w:rsid w:val="00417D39"/>
    <w:rsid w:val="004205FD"/>
    <w:rsid w:val="0042658C"/>
    <w:rsid w:val="00430ADF"/>
    <w:rsid w:val="0043123D"/>
    <w:rsid w:val="004320B0"/>
    <w:rsid w:val="004413A6"/>
    <w:rsid w:val="00446D14"/>
    <w:rsid w:val="00460D01"/>
    <w:rsid w:val="004610C9"/>
    <w:rsid w:val="00461D90"/>
    <w:rsid w:val="00462309"/>
    <w:rsid w:val="004628A2"/>
    <w:rsid w:val="00465CF5"/>
    <w:rsid w:val="00467A90"/>
    <w:rsid w:val="004708C8"/>
    <w:rsid w:val="00470D4B"/>
    <w:rsid w:val="00470FFF"/>
    <w:rsid w:val="0047331C"/>
    <w:rsid w:val="00474894"/>
    <w:rsid w:val="004755DC"/>
    <w:rsid w:val="0047566F"/>
    <w:rsid w:val="00477C55"/>
    <w:rsid w:val="00482906"/>
    <w:rsid w:val="004847F9"/>
    <w:rsid w:val="0049063A"/>
    <w:rsid w:val="00491E20"/>
    <w:rsid w:val="00492D63"/>
    <w:rsid w:val="00493D97"/>
    <w:rsid w:val="004952B7"/>
    <w:rsid w:val="00496BE8"/>
    <w:rsid w:val="00497F4E"/>
    <w:rsid w:val="004A10FE"/>
    <w:rsid w:val="004A25B2"/>
    <w:rsid w:val="004A7029"/>
    <w:rsid w:val="004A7704"/>
    <w:rsid w:val="004B06DD"/>
    <w:rsid w:val="004B3763"/>
    <w:rsid w:val="004B4BDE"/>
    <w:rsid w:val="004B587F"/>
    <w:rsid w:val="004C6323"/>
    <w:rsid w:val="004C7570"/>
    <w:rsid w:val="004D14BB"/>
    <w:rsid w:val="004D2432"/>
    <w:rsid w:val="004D3977"/>
    <w:rsid w:val="004E03CC"/>
    <w:rsid w:val="004E072E"/>
    <w:rsid w:val="004E0C60"/>
    <w:rsid w:val="004E6D7B"/>
    <w:rsid w:val="004F2F0C"/>
    <w:rsid w:val="004F4706"/>
    <w:rsid w:val="004F4A9B"/>
    <w:rsid w:val="004F4EA2"/>
    <w:rsid w:val="004F57D9"/>
    <w:rsid w:val="004F6F9D"/>
    <w:rsid w:val="004F7A7F"/>
    <w:rsid w:val="0050079F"/>
    <w:rsid w:val="00502220"/>
    <w:rsid w:val="005106FA"/>
    <w:rsid w:val="00512288"/>
    <w:rsid w:val="005124EF"/>
    <w:rsid w:val="0051303A"/>
    <w:rsid w:val="0051525F"/>
    <w:rsid w:val="00522D0E"/>
    <w:rsid w:val="00527C15"/>
    <w:rsid w:val="005316E7"/>
    <w:rsid w:val="00533530"/>
    <w:rsid w:val="0053434B"/>
    <w:rsid w:val="00535BB9"/>
    <w:rsid w:val="0053733F"/>
    <w:rsid w:val="005376C7"/>
    <w:rsid w:val="00537938"/>
    <w:rsid w:val="00540C69"/>
    <w:rsid w:val="00541855"/>
    <w:rsid w:val="005451A6"/>
    <w:rsid w:val="005453A0"/>
    <w:rsid w:val="00547E31"/>
    <w:rsid w:val="00550EDF"/>
    <w:rsid w:val="00552C05"/>
    <w:rsid w:val="00554E4A"/>
    <w:rsid w:val="00554FA7"/>
    <w:rsid w:val="0055563B"/>
    <w:rsid w:val="00557C64"/>
    <w:rsid w:val="00561984"/>
    <w:rsid w:val="0056396B"/>
    <w:rsid w:val="00564367"/>
    <w:rsid w:val="00571952"/>
    <w:rsid w:val="0057587F"/>
    <w:rsid w:val="00576896"/>
    <w:rsid w:val="005773F6"/>
    <w:rsid w:val="00580309"/>
    <w:rsid w:val="00580E65"/>
    <w:rsid w:val="00581B86"/>
    <w:rsid w:val="00582645"/>
    <w:rsid w:val="00582BDC"/>
    <w:rsid w:val="00582E80"/>
    <w:rsid w:val="00590A4E"/>
    <w:rsid w:val="005928D6"/>
    <w:rsid w:val="00594C4E"/>
    <w:rsid w:val="005953E8"/>
    <w:rsid w:val="00595B0E"/>
    <w:rsid w:val="005979FD"/>
    <w:rsid w:val="005A1DF9"/>
    <w:rsid w:val="005A61BC"/>
    <w:rsid w:val="005B1DAA"/>
    <w:rsid w:val="005B2A33"/>
    <w:rsid w:val="005B5F4B"/>
    <w:rsid w:val="005B6700"/>
    <w:rsid w:val="005B7C83"/>
    <w:rsid w:val="005C03EE"/>
    <w:rsid w:val="005C4073"/>
    <w:rsid w:val="005D2B28"/>
    <w:rsid w:val="005D5101"/>
    <w:rsid w:val="005D78A4"/>
    <w:rsid w:val="005E13EB"/>
    <w:rsid w:val="005E57D8"/>
    <w:rsid w:val="005E6DCD"/>
    <w:rsid w:val="005E7018"/>
    <w:rsid w:val="005F4229"/>
    <w:rsid w:val="006014E1"/>
    <w:rsid w:val="006036A7"/>
    <w:rsid w:val="006041E9"/>
    <w:rsid w:val="00605CBE"/>
    <w:rsid w:val="006179D1"/>
    <w:rsid w:val="00617EDB"/>
    <w:rsid w:val="006211CC"/>
    <w:rsid w:val="00621D71"/>
    <w:rsid w:val="0062293F"/>
    <w:rsid w:val="00622C33"/>
    <w:rsid w:val="00622C44"/>
    <w:rsid w:val="00624A91"/>
    <w:rsid w:val="00625651"/>
    <w:rsid w:val="00626E02"/>
    <w:rsid w:val="00630EF2"/>
    <w:rsid w:val="0063211A"/>
    <w:rsid w:val="006321E8"/>
    <w:rsid w:val="00633BD2"/>
    <w:rsid w:val="00634F36"/>
    <w:rsid w:val="00635845"/>
    <w:rsid w:val="0063648A"/>
    <w:rsid w:val="006367A4"/>
    <w:rsid w:val="006407FA"/>
    <w:rsid w:val="006458C6"/>
    <w:rsid w:val="00646674"/>
    <w:rsid w:val="006479CE"/>
    <w:rsid w:val="006504D7"/>
    <w:rsid w:val="0065075E"/>
    <w:rsid w:val="00653542"/>
    <w:rsid w:val="0065354D"/>
    <w:rsid w:val="00664EBF"/>
    <w:rsid w:val="0066669D"/>
    <w:rsid w:val="00666A08"/>
    <w:rsid w:val="006679A3"/>
    <w:rsid w:val="00667E0F"/>
    <w:rsid w:val="00667EBB"/>
    <w:rsid w:val="0067208F"/>
    <w:rsid w:val="00673C27"/>
    <w:rsid w:val="006835AE"/>
    <w:rsid w:val="00686A8D"/>
    <w:rsid w:val="006902FC"/>
    <w:rsid w:val="00690F56"/>
    <w:rsid w:val="00692120"/>
    <w:rsid w:val="00692FF5"/>
    <w:rsid w:val="00694734"/>
    <w:rsid w:val="00696676"/>
    <w:rsid w:val="00697C16"/>
    <w:rsid w:val="006A0F99"/>
    <w:rsid w:val="006A5881"/>
    <w:rsid w:val="006B1C88"/>
    <w:rsid w:val="006B3AD8"/>
    <w:rsid w:val="006B3F97"/>
    <w:rsid w:val="006B44BD"/>
    <w:rsid w:val="006B576A"/>
    <w:rsid w:val="006B57FA"/>
    <w:rsid w:val="006B58CC"/>
    <w:rsid w:val="006C184F"/>
    <w:rsid w:val="006C2A67"/>
    <w:rsid w:val="006C324E"/>
    <w:rsid w:val="006C3502"/>
    <w:rsid w:val="006C4403"/>
    <w:rsid w:val="006D3F62"/>
    <w:rsid w:val="006D6AC4"/>
    <w:rsid w:val="006E27FD"/>
    <w:rsid w:val="006E4995"/>
    <w:rsid w:val="006E6BBB"/>
    <w:rsid w:val="006F0042"/>
    <w:rsid w:val="006F0184"/>
    <w:rsid w:val="006F161F"/>
    <w:rsid w:val="006F44E8"/>
    <w:rsid w:val="00700BB6"/>
    <w:rsid w:val="00703FF6"/>
    <w:rsid w:val="00705133"/>
    <w:rsid w:val="0071360F"/>
    <w:rsid w:val="00714F9A"/>
    <w:rsid w:val="007263B4"/>
    <w:rsid w:val="00726871"/>
    <w:rsid w:val="0073037A"/>
    <w:rsid w:val="00731D85"/>
    <w:rsid w:val="007346D9"/>
    <w:rsid w:val="00736B22"/>
    <w:rsid w:val="00736B79"/>
    <w:rsid w:val="0074142F"/>
    <w:rsid w:val="00741FCF"/>
    <w:rsid w:val="00744844"/>
    <w:rsid w:val="00751312"/>
    <w:rsid w:val="00752434"/>
    <w:rsid w:val="00752AF4"/>
    <w:rsid w:val="00752DDB"/>
    <w:rsid w:val="00753B60"/>
    <w:rsid w:val="00755BF9"/>
    <w:rsid w:val="007569D5"/>
    <w:rsid w:val="00756CF0"/>
    <w:rsid w:val="007638D4"/>
    <w:rsid w:val="00764DD0"/>
    <w:rsid w:val="00765017"/>
    <w:rsid w:val="007663FD"/>
    <w:rsid w:val="0076644E"/>
    <w:rsid w:val="007715B0"/>
    <w:rsid w:val="00772516"/>
    <w:rsid w:val="00772ECA"/>
    <w:rsid w:val="00773DC3"/>
    <w:rsid w:val="00775EBE"/>
    <w:rsid w:val="00781210"/>
    <w:rsid w:val="007815F6"/>
    <w:rsid w:val="00784057"/>
    <w:rsid w:val="0078452E"/>
    <w:rsid w:val="0078463F"/>
    <w:rsid w:val="00784CCC"/>
    <w:rsid w:val="00784E2D"/>
    <w:rsid w:val="007854F2"/>
    <w:rsid w:val="00793A6F"/>
    <w:rsid w:val="00793E6A"/>
    <w:rsid w:val="0079668E"/>
    <w:rsid w:val="007977CF"/>
    <w:rsid w:val="007A24C9"/>
    <w:rsid w:val="007A2F81"/>
    <w:rsid w:val="007A4AFA"/>
    <w:rsid w:val="007A6608"/>
    <w:rsid w:val="007B058E"/>
    <w:rsid w:val="007B1BFB"/>
    <w:rsid w:val="007B469A"/>
    <w:rsid w:val="007B486C"/>
    <w:rsid w:val="007B5025"/>
    <w:rsid w:val="007C17EA"/>
    <w:rsid w:val="007C38A7"/>
    <w:rsid w:val="007C3BCE"/>
    <w:rsid w:val="007C3D55"/>
    <w:rsid w:val="007C4475"/>
    <w:rsid w:val="007C70C8"/>
    <w:rsid w:val="007C78AF"/>
    <w:rsid w:val="007C7DC8"/>
    <w:rsid w:val="007D0B29"/>
    <w:rsid w:val="007D5618"/>
    <w:rsid w:val="007E0B2F"/>
    <w:rsid w:val="007E0D06"/>
    <w:rsid w:val="007E1A3A"/>
    <w:rsid w:val="007E40BC"/>
    <w:rsid w:val="007E5AC8"/>
    <w:rsid w:val="007E6AF2"/>
    <w:rsid w:val="007F2384"/>
    <w:rsid w:val="007F2762"/>
    <w:rsid w:val="007F2E8A"/>
    <w:rsid w:val="007F39C1"/>
    <w:rsid w:val="007F5723"/>
    <w:rsid w:val="007F76F8"/>
    <w:rsid w:val="00802D9D"/>
    <w:rsid w:val="00806DBD"/>
    <w:rsid w:val="00815ABF"/>
    <w:rsid w:val="00820B54"/>
    <w:rsid w:val="008215D2"/>
    <w:rsid w:val="00822438"/>
    <w:rsid w:val="00830906"/>
    <w:rsid w:val="008317E5"/>
    <w:rsid w:val="008325B1"/>
    <w:rsid w:val="00833D63"/>
    <w:rsid w:val="0083479F"/>
    <w:rsid w:val="008358DF"/>
    <w:rsid w:val="00840F7A"/>
    <w:rsid w:val="0084106F"/>
    <w:rsid w:val="008425D6"/>
    <w:rsid w:val="00845573"/>
    <w:rsid w:val="008477AD"/>
    <w:rsid w:val="00850611"/>
    <w:rsid w:val="008514EF"/>
    <w:rsid w:val="00851DD0"/>
    <w:rsid w:val="008557D8"/>
    <w:rsid w:val="00855B78"/>
    <w:rsid w:val="00856DC8"/>
    <w:rsid w:val="008609CD"/>
    <w:rsid w:val="008623A1"/>
    <w:rsid w:val="008625F5"/>
    <w:rsid w:val="00862DE9"/>
    <w:rsid w:val="008709E8"/>
    <w:rsid w:val="00875BF2"/>
    <w:rsid w:val="00880193"/>
    <w:rsid w:val="00884089"/>
    <w:rsid w:val="0088596A"/>
    <w:rsid w:val="00886171"/>
    <w:rsid w:val="00891109"/>
    <w:rsid w:val="0089162F"/>
    <w:rsid w:val="00893A67"/>
    <w:rsid w:val="00894B16"/>
    <w:rsid w:val="00896C42"/>
    <w:rsid w:val="00896FAA"/>
    <w:rsid w:val="0089769D"/>
    <w:rsid w:val="008A2C50"/>
    <w:rsid w:val="008A2E73"/>
    <w:rsid w:val="008A508C"/>
    <w:rsid w:val="008B12AF"/>
    <w:rsid w:val="008B30A8"/>
    <w:rsid w:val="008C45D8"/>
    <w:rsid w:val="008C547D"/>
    <w:rsid w:val="008C5F86"/>
    <w:rsid w:val="008C5F92"/>
    <w:rsid w:val="008D0948"/>
    <w:rsid w:val="008D2696"/>
    <w:rsid w:val="008F0CCA"/>
    <w:rsid w:val="008F2091"/>
    <w:rsid w:val="008F3695"/>
    <w:rsid w:val="008F4C7F"/>
    <w:rsid w:val="008F50AB"/>
    <w:rsid w:val="00900000"/>
    <w:rsid w:val="00901D2F"/>
    <w:rsid w:val="00902601"/>
    <w:rsid w:val="00910E2B"/>
    <w:rsid w:val="0091264A"/>
    <w:rsid w:val="00913CCF"/>
    <w:rsid w:val="00913F63"/>
    <w:rsid w:val="00914D69"/>
    <w:rsid w:val="00915953"/>
    <w:rsid w:val="009166FB"/>
    <w:rsid w:val="00916DD5"/>
    <w:rsid w:val="009176E5"/>
    <w:rsid w:val="00920369"/>
    <w:rsid w:val="00921613"/>
    <w:rsid w:val="009218D4"/>
    <w:rsid w:val="00924655"/>
    <w:rsid w:val="009248B9"/>
    <w:rsid w:val="009252DB"/>
    <w:rsid w:val="00926889"/>
    <w:rsid w:val="00927D88"/>
    <w:rsid w:val="0093108D"/>
    <w:rsid w:val="00933FB5"/>
    <w:rsid w:val="00935350"/>
    <w:rsid w:val="009363D6"/>
    <w:rsid w:val="0094664C"/>
    <w:rsid w:val="00951147"/>
    <w:rsid w:val="009514FB"/>
    <w:rsid w:val="009516E1"/>
    <w:rsid w:val="009523FE"/>
    <w:rsid w:val="00954FBD"/>
    <w:rsid w:val="00965EA4"/>
    <w:rsid w:val="0096658E"/>
    <w:rsid w:val="009667E6"/>
    <w:rsid w:val="0097043E"/>
    <w:rsid w:val="00973839"/>
    <w:rsid w:val="00974371"/>
    <w:rsid w:val="00974666"/>
    <w:rsid w:val="009758C4"/>
    <w:rsid w:val="00977223"/>
    <w:rsid w:val="00980295"/>
    <w:rsid w:val="00980599"/>
    <w:rsid w:val="00981932"/>
    <w:rsid w:val="009830CB"/>
    <w:rsid w:val="00983884"/>
    <w:rsid w:val="00984D20"/>
    <w:rsid w:val="0099310D"/>
    <w:rsid w:val="00993F66"/>
    <w:rsid w:val="00994E3E"/>
    <w:rsid w:val="00995F4B"/>
    <w:rsid w:val="009A1419"/>
    <w:rsid w:val="009A297C"/>
    <w:rsid w:val="009A6B4C"/>
    <w:rsid w:val="009B1FDD"/>
    <w:rsid w:val="009B364D"/>
    <w:rsid w:val="009B5486"/>
    <w:rsid w:val="009B782F"/>
    <w:rsid w:val="009B7849"/>
    <w:rsid w:val="009B79A7"/>
    <w:rsid w:val="009C3337"/>
    <w:rsid w:val="009C3FD8"/>
    <w:rsid w:val="009C4386"/>
    <w:rsid w:val="009D0DD8"/>
    <w:rsid w:val="009D69F1"/>
    <w:rsid w:val="009E1767"/>
    <w:rsid w:val="009E19E1"/>
    <w:rsid w:val="009E350B"/>
    <w:rsid w:val="009E4DDD"/>
    <w:rsid w:val="009E5E39"/>
    <w:rsid w:val="009E6CE7"/>
    <w:rsid w:val="009F6766"/>
    <w:rsid w:val="009F78FB"/>
    <w:rsid w:val="00A00CB4"/>
    <w:rsid w:val="00A0103B"/>
    <w:rsid w:val="00A037BE"/>
    <w:rsid w:val="00A04190"/>
    <w:rsid w:val="00A054D1"/>
    <w:rsid w:val="00A06E39"/>
    <w:rsid w:val="00A108D6"/>
    <w:rsid w:val="00A112BE"/>
    <w:rsid w:val="00A11840"/>
    <w:rsid w:val="00A13BB1"/>
    <w:rsid w:val="00A20AAB"/>
    <w:rsid w:val="00A20AF6"/>
    <w:rsid w:val="00A21CE0"/>
    <w:rsid w:val="00A21FCA"/>
    <w:rsid w:val="00A25BF1"/>
    <w:rsid w:val="00A2752F"/>
    <w:rsid w:val="00A2790B"/>
    <w:rsid w:val="00A3005A"/>
    <w:rsid w:val="00A3008F"/>
    <w:rsid w:val="00A300D7"/>
    <w:rsid w:val="00A34895"/>
    <w:rsid w:val="00A37D69"/>
    <w:rsid w:val="00A50C2D"/>
    <w:rsid w:val="00A518CC"/>
    <w:rsid w:val="00A520CD"/>
    <w:rsid w:val="00A52340"/>
    <w:rsid w:val="00A52B7F"/>
    <w:rsid w:val="00A57463"/>
    <w:rsid w:val="00A63E29"/>
    <w:rsid w:val="00A642FE"/>
    <w:rsid w:val="00A66078"/>
    <w:rsid w:val="00A661DD"/>
    <w:rsid w:val="00A66E2B"/>
    <w:rsid w:val="00A72842"/>
    <w:rsid w:val="00A75D44"/>
    <w:rsid w:val="00A77C5B"/>
    <w:rsid w:val="00A815EA"/>
    <w:rsid w:val="00A816FA"/>
    <w:rsid w:val="00A8560F"/>
    <w:rsid w:val="00A87936"/>
    <w:rsid w:val="00A9064C"/>
    <w:rsid w:val="00A9086D"/>
    <w:rsid w:val="00A90CD6"/>
    <w:rsid w:val="00A93827"/>
    <w:rsid w:val="00AA0598"/>
    <w:rsid w:val="00AA278E"/>
    <w:rsid w:val="00AA3181"/>
    <w:rsid w:val="00AA5DF5"/>
    <w:rsid w:val="00AB47BD"/>
    <w:rsid w:val="00AB47D0"/>
    <w:rsid w:val="00AB6E37"/>
    <w:rsid w:val="00AC06E7"/>
    <w:rsid w:val="00AC1C65"/>
    <w:rsid w:val="00AC1D49"/>
    <w:rsid w:val="00AC70DB"/>
    <w:rsid w:val="00AC73E7"/>
    <w:rsid w:val="00AD384B"/>
    <w:rsid w:val="00AD6477"/>
    <w:rsid w:val="00AD6FEF"/>
    <w:rsid w:val="00AD796F"/>
    <w:rsid w:val="00AD7C96"/>
    <w:rsid w:val="00AE3B7E"/>
    <w:rsid w:val="00AE640D"/>
    <w:rsid w:val="00AF1B1C"/>
    <w:rsid w:val="00AF1EDA"/>
    <w:rsid w:val="00AF27F8"/>
    <w:rsid w:val="00AF5290"/>
    <w:rsid w:val="00AF66F2"/>
    <w:rsid w:val="00AF69A2"/>
    <w:rsid w:val="00AF78E8"/>
    <w:rsid w:val="00B01DB9"/>
    <w:rsid w:val="00B02B41"/>
    <w:rsid w:val="00B0376A"/>
    <w:rsid w:val="00B0796A"/>
    <w:rsid w:val="00B10CE5"/>
    <w:rsid w:val="00B131A6"/>
    <w:rsid w:val="00B1378C"/>
    <w:rsid w:val="00B1386C"/>
    <w:rsid w:val="00B14103"/>
    <w:rsid w:val="00B14253"/>
    <w:rsid w:val="00B20F5C"/>
    <w:rsid w:val="00B22E63"/>
    <w:rsid w:val="00B252EC"/>
    <w:rsid w:val="00B3780C"/>
    <w:rsid w:val="00B378B6"/>
    <w:rsid w:val="00B402E6"/>
    <w:rsid w:val="00B404AC"/>
    <w:rsid w:val="00B44D35"/>
    <w:rsid w:val="00B4762C"/>
    <w:rsid w:val="00B47A72"/>
    <w:rsid w:val="00B501C4"/>
    <w:rsid w:val="00B50655"/>
    <w:rsid w:val="00B52754"/>
    <w:rsid w:val="00B53B50"/>
    <w:rsid w:val="00B54F8A"/>
    <w:rsid w:val="00B57D09"/>
    <w:rsid w:val="00B62386"/>
    <w:rsid w:val="00B64961"/>
    <w:rsid w:val="00B66ED6"/>
    <w:rsid w:val="00B66EE1"/>
    <w:rsid w:val="00B70216"/>
    <w:rsid w:val="00B72072"/>
    <w:rsid w:val="00B74E27"/>
    <w:rsid w:val="00B76DA2"/>
    <w:rsid w:val="00B77270"/>
    <w:rsid w:val="00B77E76"/>
    <w:rsid w:val="00B81EB8"/>
    <w:rsid w:val="00B8266B"/>
    <w:rsid w:val="00B8336C"/>
    <w:rsid w:val="00B83A4A"/>
    <w:rsid w:val="00B86C2E"/>
    <w:rsid w:val="00B874A1"/>
    <w:rsid w:val="00B90F89"/>
    <w:rsid w:val="00B91A72"/>
    <w:rsid w:val="00B9357E"/>
    <w:rsid w:val="00BA023E"/>
    <w:rsid w:val="00BA1863"/>
    <w:rsid w:val="00BA5E51"/>
    <w:rsid w:val="00BA6353"/>
    <w:rsid w:val="00BB1757"/>
    <w:rsid w:val="00BB3BA7"/>
    <w:rsid w:val="00BC088C"/>
    <w:rsid w:val="00BC2B4F"/>
    <w:rsid w:val="00BC4354"/>
    <w:rsid w:val="00BC453B"/>
    <w:rsid w:val="00BC5CDF"/>
    <w:rsid w:val="00BC6003"/>
    <w:rsid w:val="00BD05D6"/>
    <w:rsid w:val="00BD1F82"/>
    <w:rsid w:val="00BD2AC4"/>
    <w:rsid w:val="00BD2CF6"/>
    <w:rsid w:val="00BD55E9"/>
    <w:rsid w:val="00BE0735"/>
    <w:rsid w:val="00BE5135"/>
    <w:rsid w:val="00BE65D5"/>
    <w:rsid w:val="00BE6BAD"/>
    <w:rsid w:val="00BE7FC4"/>
    <w:rsid w:val="00BF2E9D"/>
    <w:rsid w:val="00BF7D67"/>
    <w:rsid w:val="00C01619"/>
    <w:rsid w:val="00C03999"/>
    <w:rsid w:val="00C041FE"/>
    <w:rsid w:val="00C074CB"/>
    <w:rsid w:val="00C113A9"/>
    <w:rsid w:val="00C12980"/>
    <w:rsid w:val="00C21856"/>
    <w:rsid w:val="00C2197C"/>
    <w:rsid w:val="00C23557"/>
    <w:rsid w:val="00C2551B"/>
    <w:rsid w:val="00C30523"/>
    <w:rsid w:val="00C3515F"/>
    <w:rsid w:val="00C3693C"/>
    <w:rsid w:val="00C46720"/>
    <w:rsid w:val="00C51E5B"/>
    <w:rsid w:val="00C5515A"/>
    <w:rsid w:val="00C56C62"/>
    <w:rsid w:val="00C574C9"/>
    <w:rsid w:val="00C6121E"/>
    <w:rsid w:val="00C621E8"/>
    <w:rsid w:val="00C64B8C"/>
    <w:rsid w:val="00C65B85"/>
    <w:rsid w:val="00C715E1"/>
    <w:rsid w:val="00C756F3"/>
    <w:rsid w:val="00C7795E"/>
    <w:rsid w:val="00C8090F"/>
    <w:rsid w:val="00C80F75"/>
    <w:rsid w:val="00C8239C"/>
    <w:rsid w:val="00C834FE"/>
    <w:rsid w:val="00C8671B"/>
    <w:rsid w:val="00C906B8"/>
    <w:rsid w:val="00C90C19"/>
    <w:rsid w:val="00C919AA"/>
    <w:rsid w:val="00C91BDD"/>
    <w:rsid w:val="00C94691"/>
    <w:rsid w:val="00C960AB"/>
    <w:rsid w:val="00C97C6D"/>
    <w:rsid w:val="00CA3DC9"/>
    <w:rsid w:val="00CA6069"/>
    <w:rsid w:val="00CB081A"/>
    <w:rsid w:val="00CB21A5"/>
    <w:rsid w:val="00CB2536"/>
    <w:rsid w:val="00CB34D0"/>
    <w:rsid w:val="00CB516B"/>
    <w:rsid w:val="00CC2EF2"/>
    <w:rsid w:val="00CC2FAC"/>
    <w:rsid w:val="00CC58FD"/>
    <w:rsid w:val="00CC62AB"/>
    <w:rsid w:val="00CD025C"/>
    <w:rsid w:val="00CD48B7"/>
    <w:rsid w:val="00CE07B1"/>
    <w:rsid w:val="00CE212B"/>
    <w:rsid w:val="00CE3AEA"/>
    <w:rsid w:val="00CE5F1F"/>
    <w:rsid w:val="00CF30FD"/>
    <w:rsid w:val="00CF65C6"/>
    <w:rsid w:val="00D03418"/>
    <w:rsid w:val="00D03BDF"/>
    <w:rsid w:val="00D04158"/>
    <w:rsid w:val="00D04320"/>
    <w:rsid w:val="00D04DF3"/>
    <w:rsid w:val="00D05980"/>
    <w:rsid w:val="00D11E4F"/>
    <w:rsid w:val="00D14F0F"/>
    <w:rsid w:val="00D15887"/>
    <w:rsid w:val="00D16E29"/>
    <w:rsid w:val="00D207D9"/>
    <w:rsid w:val="00D21D2E"/>
    <w:rsid w:val="00D21F62"/>
    <w:rsid w:val="00D266F2"/>
    <w:rsid w:val="00D27A60"/>
    <w:rsid w:val="00D27B19"/>
    <w:rsid w:val="00D31D36"/>
    <w:rsid w:val="00D411B0"/>
    <w:rsid w:val="00D44FEF"/>
    <w:rsid w:val="00D45B3D"/>
    <w:rsid w:val="00D517E0"/>
    <w:rsid w:val="00D5205E"/>
    <w:rsid w:val="00D548DC"/>
    <w:rsid w:val="00D57400"/>
    <w:rsid w:val="00D61C93"/>
    <w:rsid w:val="00D61DB9"/>
    <w:rsid w:val="00D64F48"/>
    <w:rsid w:val="00D7166F"/>
    <w:rsid w:val="00D71C6E"/>
    <w:rsid w:val="00D72908"/>
    <w:rsid w:val="00D72C07"/>
    <w:rsid w:val="00D73B44"/>
    <w:rsid w:val="00D7470E"/>
    <w:rsid w:val="00D75FF6"/>
    <w:rsid w:val="00D7737C"/>
    <w:rsid w:val="00D776BF"/>
    <w:rsid w:val="00D80570"/>
    <w:rsid w:val="00D82480"/>
    <w:rsid w:val="00D842E2"/>
    <w:rsid w:val="00D84CDA"/>
    <w:rsid w:val="00D85DCC"/>
    <w:rsid w:val="00D87B52"/>
    <w:rsid w:val="00D87C05"/>
    <w:rsid w:val="00D92E82"/>
    <w:rsid w:val="00D94275"/>
    <w:rsid w:val="00D960BB"/>
    <w:rsid w:val="00D9700A"/>
    <w:rsid w:val="00DA3B85"/>
    <w:rsid w:val="00DA42FE"/>
    <w:rsid w:val="00DB00BB"/>
    <w:rsid w:val="00DB1A80"/>
    <w:rsid w:val="00DB7D9B"/>
    <w:rsid w:val="00DB7E3F"/>
    <w:rsid w:val="00DC21AC"/>
    <w:rsid w:val="00DC4587"/>
    <w:rsid w:val="00DC4DA3"/>
    <w:rsid w:val="00DC5636"/>
    <w:rsid w:val="00DC6744"/>
    <w:rsid w:val="00DC791E"/>
    <w:rsid w:val="00DC7D98"/>
    <w:rsid w:val="00DD27B3"/>
    <w:rsid w:val="00DD2F24"/>
    <w:rsid w:val="00DD4E18"/>
    <w:rsid w:val="00DD5172"/>
    <w:rsid w:val="00DD5BA3"/>
    <w:rsid w:val="00DD6012"/>
    <w:rsid w:val="00DD6D1E"/>
    <w:rsid w:val="00DE1281"/>
    <w:rsid w:val="00DE3E2F"/>
    <w:rsid w:val="00DE76A9"/>
    <w:rsid w:val="00DF02A0"/>
    <w:rsid w:val="00DF2CE4"/>
    <w:rsid w:val="00DF3306"/>
    <w:rsid w:val="00DF4BFF"/>
    <w:rsid w:val="00DF7BF1"/>
    <w:rsid w:val="00DF7E83"/>
    <w:rsid w:val="00E0050F"/>
    <w:rsid w:val="00E007E6"/>
    <w:rsid w:val="00E028FF"/>
    <w:rsid w:val="00E03056"/>
    <w:rsid w:val="00E06910"/>
    <w:rsid w:val="00E06DBB"/>
    <w:rsid w:val="00E07615"/>
    <w:rsid w:val="00E102D6"/>
    <w:rsid w:val="00E21AE5"/>
    <w:rsid w:val="00E2341B"/>
    <w:rsid w:val="00E23B78"/>
    <w:rsid w:val="00E2404F"/>
    <w:rsid w:val="00E30D67"/>
    <w:rsid w:val="00E32266"/>
    <w:rsid w:val="00E34E6F"/>
    <w:rsid w:val="00E444E4"/>
    <w:rsid w:val="00E4536F"/>
    <w:rsid w:val="00E45E6D"/>
    <w:rsid w:val="00E46DAC"/>
    <w:rsid w:val="00E563F7"/>
    <w:rsid w:val="00E56F19"/>
    <w:rsid w:val="00E571A0"/>
    <w:rsid w:val="00E57554"/>
    <w:rsid w:val="00E6163D"/>
    <w:rsid w:val="00E72276"/>
    <w:rsid w:val="00E73212"/>
    <w:rsid w:val="00E7400E"/>
    <w:rsid w:val="00E753E6"/>
    <w:rsid w:val="00E76957"/>
    <w:rsid w:val="00E82387"/>
    <w:rsid w:val="00E82483"/>
    <w:rsid w:val="00E825E9"/>
    <w:rsid w:val="00E82AB4"/>
    <w:rsid w:val="00E848E8"/>
    <w:rsid w:val="00E8523C"/>
    <w:rsid w:val="00E91148"/>
    <w:rsid w:val="00E925C4"/>
    <w:rsid w:val="00E93C9D"/>
    <w:rsid w:val="00E96E0A"/>
    <w:rsid w:val="00EA03B4"/>
    <w:rsid w:val="00EA349F"/>
    <w:rsid w:val="00EB1E6E"/>
    <w:rsid w:val="00EB32F4"/>
    <w:rsid w:val="00EB5F3C"/>
    <w:rsid w:val="00EB6621"/>
    <w:rsid w:val="00EC08CA"/>
    <w:rsid w:val="00EC2466"/>
    <w:rsid w:val="00EC2571"/>
    <w:rsid w:val="00EC409B"/>
    <w:rsid w:val="00EC6FC2"/>
    <w:rsid w:val="00ED1868"/>
    <w:rsid w:val="00ED1ADA"/>
    <w:rsid w:val="00ED6CC0"/>
    <w:rsid w:val="00EE02AB"/>
    <w:rsid w:val="00EE0C6E"/>
    <w:rsid w:val="00EE15F9"/>
    <w:rsid w:val="00EF1F9B"/>
    <w:rsid w:val="00EF289E"/>
    <w:rsid w:val="00EF6D8E"/>
    <w:rsid w:val="00EF7062"/>
    <w:rsid w:val="00EF70DB"/>
    <w:rsid w:val="00F024A8"/>
    <w:rsid w:val="00F02978"/>
    <w:rsid w:val="00F03A01"/>
    <w:rsid w:val="00F04657"/>
    <w:rsid w:val="00F04E28"/>
    <w:rsid w:val="00F075EA"/>
    <w:rsid w:val="00F07BA5"/>
    <w:rsid w:val="00F11854"/>
    <w:rsid w:val="00F13138"/>
    <w:rsid w:val="00F16B6B"/>
    <w:rsid w:val="00F16B92"/>
    <w:rsid w:val="00F17DF6"/>
    <w:rsid w:val="00F21DC9"/>
    <w:rsid w:val="00F22EC8"/>
    <w:rsid w:val="00F23DF6"/>
    <w:rsid w:val="00F253A7"/>
    <w:rsid w:val="00F3095F"/>
    <w:rsid w:val="00F349B9"/>
    <w:rsid w:val="00F37BD6"/>
    <w:rsid w:val="00F37CB8"/>
    <w:rsid w:val="00F40481"/>
    <w:rsid w:val="00F42DF4"/>
    <w:rsid w:val="00F4463C"/>
    <w:rsid w:val="00F44B50"/>
    <w:rsid w:val="00F465F9"/>
    <w:rsid w:val="00F47002"/>
    <w:rsid w:val="00F50FA8"/>
    <w:rsid w:val="00F528D6"/>
    <w:rsid w:val="00F537DA"/>
    <w:rsid w:val="00F545DC"/>
    <w:rsid w:val="00F64994"/>
    <w:rsid w:val="00F65068"/>
    <w:rsid w:val="00F67279"/>
    <w:rsid w:val="00F71C11"/>
    <w:rsid w:val="00F7273D"/>
    <w:rsid w:val="00F73A10"/>
    <w:rsid w:val="00F8089A"/>
    <w:rsid w:val="00F82F5B"/>
    <w:rsid w:val="00F83122"/>
    <w:rsid w:val="00F84490"/>
    <w:rsid w:val="00F909C9"/>
    <w:rsid w:val="00F9118A"/>
    <w:rsid w:val="00F92E82"/>
    <w:rsid w:val="00F9302E"/>
    <w:rsid w:val="00F93BF7"/>
    <w:rsid w:val="00F94D60"/>
    <w:rsid w:val="00F94F38"/>
    <w:rsid w:val="00F9543A"/>
    <w:rsid w:val="00FA0A05"/>
    <w:rsid w:val="00FA2ACE"/>
    <w:rsid w:val="00FA5C13"/>
    <w:rsid w:val="00FA5EE5"/>
    <w:rsid w:val="00FB2E0C"/>
    <w:rsid w:val="00FB7FE9"/>
    <w:rsid w:val="00FC151C"/>
    <w:rsid w:val="00FC550C"/>
    <w:rsid w:val="00FD0A18"/>
    <w:rsid w:val="00FD17A6"/>
    <w:rsid w:val="00FD31BB"/>
    <w:rsid w:val="00FD42F0"/>
    <w:rsid w:val="00FD464C"/>
    <w:rsid w:val="00FE1F49"/>
    <w:rsid w:val="00FE2A49"/>
    <w:rsid w:val="00FE55E8"/>
    <w:rsid w:val="00FE60C6"/>
    <w:rsid w:val="00FE6A8B"/>
    <w:rsid w:val="00FE72EF"/>
    <w:rsid w:val="00FF1837"/>
    <w:rsid w:val="00FF33B6"/>
    <w:rsid w:val="00FF3713"/>
    <w:rsid w:val="00FF37DA"/>
    <w:rsid w:val="00FF5454"/>
    <w:rsid w:val="00FF7C6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AC585"/>
  <w15:chartTrackingRefBased/>
  <w15:docId w15:val="{C8F19057-F7FD-4A36-BA28-83FDB9E12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84B"/>
    <w:pPr>
      <w:spacing w:after="60" w:line="240" w:lineRule="auto"/>
      <w:jc w:val="both"/>
    </w:pPr>
    <w:rPr>
      <w:rFonts w:ascii="Calibri" w:eastAsia="SimSun" w:hAnsi="Calibri" w:cs="Times New Roman"/>
      <w:sz w:val="20"/>
      <w:szCs w:val="24"/>
      <w:lang w:val="en-US"/>
    </w:rPr>
  </w:style>
  <w:style w:type="paragraph" w:styleId="Titre1">
    <w:name w:val="heading 1"/>
    <w:basedOn w:val="Normal"/>
    <w:next w:val="Normal"/>
    <w:link w:val="Titre1Car"/>
    <w:qFormat/>
    <w:rsid w:val="00302BFE"/>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Titre2">
    <w:name w:val="heading 2"/>
    <w:basedOn w:val="Normal"/>
    <w:next w:val="Normal"/>
    <w:link w:val="Titre2Car"/>
    <w:qFormat/>
    <w:rsid w:val="00302BFE"/>
    <w:pPr>
      <w:keepNext/>
      <w:ind w:left="720"/>
      <w:outlineLvl w:val="1"/>
    </w:pPr>
    <w:rPr>
      <w:rFonts w:ascii="Arial Narrow" w:hAnsi="Arial Narrow"/>
      <w:b/>
      <w:bCs/>
    </w:rPr>
  </w:style>
  <w:style w:type="paragraph" w:styleId="Titre3">
    <w:name w:val="heading 3"/>
    <w:basedOn w:val="Normal"/>
    <w:next w:val="Normal"/>
    <w:link w:val="Titre3Car"/>
    <w:uiPriority w:val="9"/>
    <w:qFormat/>
    <w:rsid w:val="00302BFE"/>
    <w:pPr>
      <w:keepNext/>
      <w:widowControl w:val="0"/>
      <w:tabs>
        <w:tab w:val="left" w:pos="2160"/>
        <w:tab w:val="left" w:pos="9360"/>
      </w:tabs>
      <w:outlineLvl w:val="2"/>
    </w:pPr>
    <w:rPr>
      <w:rFonts w:ascii="Courier" w:hAnsi="Courier"/>
      <w:b/>
      <w:sz w:val="28"/>
      <w:szCs w:val="20"/>
    </w:rPr>
  </w:style>
  <w:style w:type="paragraph" w:styleId="Titre4">
    <w:name w:val="heading 4"/>
    <w:basedOn w:val="Normal"/>
    <w:next w:val="Normal"/>
    <w:link w:val="Titre4Car"/>
    <w:qFormat/>
    <w:rsid w:val="00302BFE"/>
    <w:pPr>
      <w:keepNext/>
      <w:widowControl w:val="0"/>
      <w:spacing w:after="540"/>
      <w:ind w:left="116"/>
      <w:outlineLvl w:val="3"/>
    </w:pPr>
    <w:rPr>
      <w:b/>
      <w:spacing w:val="15"/>
      <w:sz w:val="28"/>
    </w:rPr>
  </w:style>
  <w:style w:type="paragraph" w:styleId="Titre5">
    <w:name w:val="heading 5"/>
    <w:basedOn w:val="Normal"/>
    <w:next w:val="Normal"/>
    <w:link w:val="Titre5Car"/>
    <w:qFormat/>
    <w:rsid w:val="00302BFE"/>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Titre8">
    <w:name w:val="heading 8"/>
    <w:basedOn w:val="Normal"/>
    <w:next w:val="Normal"/>
    <w:link w:val="Titre8Car"/>
    <w:semiHidden/>
    <w:unhideWhenUsed/>
    <w:qFormat/>
    <w:rsid w:val="00302BFE"/>
    <w:pPr>
      <w:spacing w:before="240"/>
      <w:outlineLvl w:val="7"/>
    </w:pPr>
    <w:rPr>
      <w:i/>
      <w:i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302BFE"/>
    <w:rPr>
      <w:rFonts w:ascii="Century Gothic" w:eastAsia="SimSun" w:hAnsi="Century Gothic" w:cs="Times New Roman"/>
      <w:b/>
      <w:smallCaps/>
      <w:spacing w:val="-2"/>
      <w:sz w:val="28"/>
      <w:szCs w:val="20"/>
      <w:lang w:val="en-US"/>
    </w:rPr>
  </w:style>
  <w:style w:type="character" w:customStyle="1" w:styleId="Titre2Car">
    <w:name w:val="Titre 2 Car"/>
    <w:basedOn w:val="Policepardfaut"/>
    <w:link w:val="Titre2"/>
    <w:rsid w:val="00302BFE"/>
    <w:rPr>
      <w:rFonts w:ascii="Arial Narrow" w:eastAsia="SimSun" w:hAnsi="Arial Narrow" w:cs="Times New Roman"/>
      <w:b/>
      <w:bCs/>
      <w:sz w:val="20"/>
      <w:szCs w:val="24"/>
      <w:lang w:val="en-US"/>
    </w:rPr>
  </w:style>
  <w:style w:type="character" w:customStyle="1" w:styleId="Titre3Car">
    <w:name w:val="Titre 3 Car"/>
    <w:basedOn w:val="Policepardfaut"/>
    <w:link w:val="Titre3"/>
    <w:uiPriority w:val="9"/>
    <w:rsid w:val="00302BFE"/>
    <w:rPr>
      <w:rFonts w:ascii="Courier" w:eastAsia="SimSun" w:hAnsi="Courier" w:cs="Times New Roman"/>
      <w:b/>
      <w:sz w:val="28"/>
      <w:szCs w:val="20"/>
      <w:lang w:val="en-US"/>
    </w:rPr>
  </w:style>
  <w:style w:type="character" w:customStyle="1" w:styleId="Titre4Car">
    <w:name w:val="Titre 4 Car"/>
    <w:basedOn w:val="Policepardfaut"/>
    <w:link w:val="Titre4"/>
    <w:rsid w:val="00302BFE"/>
    <w:rPr>
      <w:rFonts w:ascii="Calibri" w:eastAsia="SimSun" w:hAnsi="Calibri" w:cs="Times New Roman"/>
      <w:b/>
      <w:spacing w:val="15"/>
      <w:sz w:val="28"/>
      <w:szCs w:val="24"/>
      <w:lang w:val="en-US"/>
    </w:rPr>
  </w:style>
  <w:style w:type="character" w:customStyle="1" w:styleId="Titre5Car">
    <w:name w:val="Titre 5 Car"/>
    <w:basedOn w:val="Policepardfaut"/>
    <w:link w:val="Titre5"/>
    <w:rsid w:val="00302BFE"/>
    <w:rPr>
      <w:rFonts w:ascii="Calibri" w:eastAsia="SimSun" w:hAnsi="Calibri" w:cs="Times New Roman"/>
      <w:b/>
      <w:bCs/>
      <w:sz w:val="24"/>
      <w:szCs w:val="24"/>
      <w:lang w:val="en-US"/>
    </w:rPr>
  </w:style>
  <w:style w:type="character" w:customStyle="1" w:styleId="Titre8Car">
    <w:name w:val="Titre 8 Car"/>
    <w:basedOn w:val="Policepardfaut"/>
    <w:link w:val="Titre8"/>
    <w:semiHidden/>
    <w:rsid w:val="00302BFE"/>
    <w:rPr>
      <w:rFonts w:ascii="Calibri" w:eastAsia="SimSun" w:hAnsi="Calibri" w:cs="Times New Roman"/>
      <w:i/>
      <w:iCs/>
      <w:sz w:val="24"/>
      <w:szCs w:val="24"/>
      <w:lang w:val="en-US"/>
    </w:rPr>
  </w:style>
  <w:style w:type="paragraph" w:styleId="Textedebulles">
    <w:name w:val="Balloon Text"/>
    <w:basedOn w:val="Normal"/>
    <w:link w:val="TextedebullesCar"/>
    <w:semiHidden/>
    <w:rsid w:val="00302BFE"/>
    <w:rPr>
      <w:rFonts w:ascii="Tahoma" w:hAnsi="Tahoma" w:cs="Tahoma"/>
      <w:sz w:val="16"/>
      <w:szCs w:val="16"/>
    </w:rPr>
  </w:style>
  <w:style w:type="character" w:customStyle="1" w:styleId="TextedebullesCar">
    <w:name w:val="Texte de bulles Car"/>
    <w:basedOn w:val="Policepardfaut"/>
    <w:link w:val="Textedebulles"/>
    <w:semiHidden/>
    <w:rsid w:val="00302BFE"/>
    <w:rPr>
      <w:rFonts w:ascii="Tahoma" w:eastAsia="SimSun" w:hAnsi="Tahoma" w:cs="Tahoma"/>
      <w:sz w:val="16"/>
      <w:szCs w:val="16"/>
      <w:lang w:val="en-US"/>
    </w:rPr>
  </w:style>
  <w:style w:type="paragraph" w:styleId="En-tte">
    <w:name w:val="header"/>
    <w:basedOn w:val="Normal"/>
    <w:link w:val="En-tteCar"/>
    <w:uiPriority w:val="99"/>
    <w:rsid w:val="00302BFE"/>
    <w:pPr>
      <w:tabs>
        <w:tab w:val="center" w:pos="4153"/>
        <w:tab w:val="right" w:pos="8306"/>
      </w:tabs>
    </w:pPr>
  </w:style>
  <w:style w:type="character" w:customStyle="1" w:styleId="En-tteCar">
    <w:name w:val="En-tête Car"/>
    <w:basedOn w:val="Policepardfaut"/>
    <w:link w:val="En-tte"/>
    <w:uiPriority w:val="99"/>
    <w:rsid w:val="00302BFE"/>
    <w:rPr>
      <w:rFonts w:ascii="Calibri" w:eastAsia="SimSun" w:hAnsi="Calibri" w:cs="Times New Roman"/>
      <w:sz w:val="20"/>
      <w:szCs w:val="24"/>
      <w:lang w:val="en-US"/>
    </w:rPr>
  </w:style>
  <w:style w:type="paragraph" w:styleId="Pieddepage">
    <w:name w:val="footer"/>
    <w:basedOn w:val="Normal"/>
    <w:link w:val="PieddepageCar"/>
    <w:uiPriority w:val="99"/>
    <w:rsid w:val="00302BFE"/>
    <w:pPr>
      <w:tabs>
        <w:tab w:val="center" w:pos="4153"/>
        <w:tab w:val="right" w:pos="8306"/>
      </w:tabs>
    </w:pPr>
  </w:style>
  <w:style w:type="character" w:customStyle="1" w:styleId="PieddepageCar">
    <w:name w:val="Pied de page Car"/>
    <w:basedOn w:val="Policepardfaut"/>
    <w:link w:val="Pieddepage"/>
    <w:uiPriority w:val="99"/>
    <w:rsid w:val="00302BFE"/>
    <w:rPr>
      <w:rFonts w:ascii="Calibri" w:eastAsia="SimSun" w:hAnsi="Calibri" w:cs="Times New Roman"/>
      <w:sz w:val="20"/>
      <w:szCs w:val="24"/>
      <w:lang w:val="en-US"/>
    </w:rPr>
  </w:style>
  <w:style w:type="character" w:styleId="Numrodepage">
    <w:name w:val="page number"/>
    <w:rsid w:val="00302BFE"/>
    <w:rPr>
      <w:rFonts w:cs="Times New Roman"/>
    </w:rPr>
  </w:style>
  <w:style w:type="paragraph" w:styleId="Notedebasdepage">
    <w:name w:val="footnote text"/>
    <w:aliases w:val="Geneva 9,Font: Geneva 9,Boston 10,f,single space,footnote text,Footnote,otnote Text,Footnote Text Char Char Char,Footnote Text Char Char Char Char Char Char Char,Footnote Text Char Char Char Char Char,Footnotes,Footnote Text Char Cha"/>
    <w:basedOn w:val="Normal"/>
    <w:link w:val="NotedebasdepageCar"/>
    <w:uiPriority w:val="99"/>
    <w:qFormat/>
    <w:rsid w:val="00302BFE"/>
    <w:pPr>
      <w:widowControl w:val="0"/>
    </w:pPr>
    <w:rPr>
      <w:rFonts w:ascii="Courier" w:hAnsi="Courier"/>
      <w:szCs w:val="20"/>
    </w:rPr>
  </w:style>
  <w:style w:type="character" w:customStyle="1" w:styleId="NotedebasdepageCar">
    <w:name w:val="Note de bas de page Car"/>
    <w:aliases w:val="Geneva 9 Car,Font: Geneva 9 Car,Boston 10 Car,f Car,single space Car,footnote text Car,Footnote Car,otnote Text Car,Footnote Text Char Char Char Car,Footnote Text Char Char Char Char Char Char Char Car,Footnotes Car"/>
    <w:basedOn w:val="Policepardfaut"/>
    <w:link w:val="Notedebasdepage"/>
    <w:uiPriority w:val="99"/>
    <w:rsid w:val="00302BFE"/>
    <w:rPr>
      <w:rFonts w:ascii="Courier" w:eastAsia="SimSun" w:hAnsi="Courier" w:cs="Times New Roman"/>
      <w:sz w:val="20"/>
      <w:szCs w:val="20"/>
      <w:lang w:val="en-US"/>
    </w:rPr>
  </w:style>
  <w:style w:type="paragraph" w:styleId="Corpsdetexte3">
    <w:name w:val="Body Text 3"/>
    <w:basedOn w:val="Normal"/>
    <w:link w:val="Corpsdetexte3Car"/>
    <w:rsid w:val="00302BFE"/>
    <w:rPr>
      <w:szCs w:val="20"/>
    </w:rPr>
  </w:style>
  <w:style w:type="character" w:customStyle="1" w:styleId="Corpsdetexte3Car">
    <w:name w:val="Corps de texte 3 Car"/>
    <w:basedOn w:val="Policepardfaut"/>
    <w:link w:val="Corpsdetexte3"/>
    <w:rsid w:val="00302BFE"/>
    <w:rPr>
      <w:rFonts w:ascii="Calibri" w:eastAsia="SimSun" w:hAnsi="Calibri" w:cs="Times New Roman"/>
      <w:sz w:val="20"/>
      <w:szCs w:val="20"/>
      <w:lang w:val="en-US"/>
    </w:rPr>
  </w:style>
  <w:style w:type="paragraph" w:styleId="Retraitcorpsdetexte">
    <w:name w:val="Body Text Indent"/>
    <w:basedOn w:val="Normal"/>
    <w:link w:val="RetraitcorpsdetexteCar"/>
    <w:rsid w:val="00302BFE"/>
    <w:pPr>
      <w:tabs>
        <w:tab w:val="left" w:pos="360"/>
      </w:tabs>
    </w:pPr>
    <w:rPr>
      <w:b/>
      <w:i/>
      <w:sz w:val="28"/>
      <w:szCs w:val="20"/>
    </w:rPr>
  </w:style>
  <w:style w:type="character" w:customStyle="1" w:styleId="RetraitcorpsdetexteCar">
    <w:name w:val="Retrait corps de texte Car"/>
    <w:basedOn w:val="Policepardfaut"/>
    <w:link w:val="Retraitcorpsdetexte"/>
    <w:rsid w:val="00302BFE"/>
    <w:rPr>
      <w:rFonts w:ascii="Calibri" w:eastAsia="SimSun" w:hAnsi="Calibri" w:cs="Times New Roman"/>
      <w:b/>
      <w:i/>
      <w:sz w:val="28"/>
      <w:szCs w:val="20"/>
      <w:lang w:val="en-US"/>
    </w:rPr>
  </w:style>
  <w:style w:type="character" w:styleId="Lienhypertexte">
    <w:name w:val="Hyperlink"/>
    <w:uiPriority w:val="99"/>
    <w:rsid w:val="00302BFE"/>
    <w:rPr>
      <w:rFonts w:cs="Times New Roman"/>
      <w:color w:val="0000FF"/>
      <w:u w:val="single"/>
    </w:rPr>
  </w:style>
  <w:style w:type="character" w:styleId="Lienhypertextesuivivisit">
    <w:name w:val="FollowedHyperlink"/>
    <w:uiPriority w:val="99"/>
    <w:rsid w:val="00302BFE"/>
    <w:rPr>
      <w:rFonts w:cs="Times New Roman"/>
      <w:color w:val="800080"/>
      <w:u w:val="single"/>
    </w:rPr>
  </w:style>
  <w:style w:type="paragraph" w:styleId="Corpsdetexte">
    <w:name w:val="Body Text"/>
    <w:basedOn w:val="Normal"/>
    <w:link w:val="CorpsdetexteCar"/>
    <w:rsid w:val="00302BFE"/>
    <w:pPr>
      <w:pBdr>
        <w:bottom w:val="single" w:sz="4" w:space="1" w:color="auto"/>
      </w:pBdr>
    </w:pPr>
    <w:rPr>
      <w:rFonts w:ascii="Arial Narrow" w:hAnsi="Arial Narrow"/>
      <w:i/>
      <w:iCs/>
    </w:rPr>
  </w:style>
  <w:style w:type="character" w:customStyle="1" w:styleId="CorpsdetexteCar">
    <w:name w:val="Corps de texte Car"/>
    <w:basedOn w:val="Policepardfaut"/>
    <w:link w:val="Corpsdetexte"/>
    <w:rsid w:val="00302BFE"/>
    <w:rPr>
      <w:rFonts w:ascii="Arial Narrow" w:eastAsia="SimSun" w:hAnsi="Arial Narrow" w:cs="Times New Roman"/>
      <w:i/>
      <w:iCs/>
      <w:sz w:val="20"/>
      <w:szCs w:val="24"/>
      <w:lang w:val="en-US"/>
    </w:rPr>
  </w:style>
  <w:style w:type="paragraph" w:styleId="Corpsdetexte2">
    <w:name w:val="Body Text 2"/>
    <w:basedOn w:val="Normal"/>
    <w:link w:val="Corpsdetexte2Car"/>
    <w:rsid w:val="00302BFE"/>
    <w:pPr>
      <w:spacing w:before="120" w:after="120"/>
    </w:pPr>
    <w:rPr>
      <w:rFonts w:ascii="Arial Narrow" w:hAnsi="Arial Narrow"/>
    </w:rPr>
  </w:style>
  <w:style w:type="character" w:customStyle="1" w:styleId="Corpsdetexte2Car">
    <w:name w:val="Corps de texte 2 Car"/>
    <w:basedOn w:val="Policepardfaut"/>
    <w:link w:val="Corpsdetexte2"/>
    <w:rsid w:val="00302BFE"/>
    <w:rPr>
      <w:rFonts w:ascii="Arial Narrow" w:eastAsia="SimSun" w:hAnsi="Arial Narrow" w:cs="Times New Roman"/>
      <w:sz w:val="20"/>
      <w:szCs w:val="24"/>
      <w:lang w:val="en-US"/>
    </w:rPr>
  </w:style>
  <w:style w:type="character" w:styleId="Marquedecommentaire">
    <w:name w:val="annotation reference"/>
    <w:uiPriority w:val="99"/>
    <w:semiHidden/>
    <w:rsid w:val="00302BFE"/>
    <w:rPr>
      <w:rFonts w:cs="Times New Roman"/>
      <w:sz w:val="16"/>
      <w:szCs w:val="16"/>
    </w:rPr>
  </w:style>
  <w:style w:type="paragraph" w:styleId="Commentaire">
    <w:name w:val="annotation text"/>
    <w:basedOn w:val="Normal"/>
    <w:link w:val="CommentaireCar"/>
    <w:uiPriority w:val="99"/>
    <w:rsid w:val="00302BFE"/>
    <w:rPr>
      <w:szCs w:val="20"/>
    </w:rPr>
  </w:style>
  <w:style w:type="character" w:customStyle="1" w:styleId="CommentaireCar">
    <w:name w:val="Commentaire Car"/>
    <w:basedOn w:val="Policepardfaut"/>
    <w:link w:val="Commentaire"/>
    <w:uiPriority w:val="99"/>
    <w:rsid w:val="00302BFE"/>
    <w:rPr>
      <w:rFonts w:ascii="Calibri" w:eastAsia="SimSun" w:hAnsi="Calibri" w:cs="Times New Roman"/>
      <w:sz w:val="20"/>
      <w:szCs w:val="20"/>
      <w:lang w:val="en-US"/>
    </w:rPr>
  </w:style>
  <w:style w:type="paragraph" w:styleId="Objetducommentaire">
    <w:name w:val="annotation subject"/>
    <w:basedOn w:val="Commentaire"/>
    <w:next w:val="Commentaire"/>
    <w:link w:val="ObjetducommentaireCar"/>
    <w:semiHidden/>
    <w:rsid w:val="00302BFE"/>
    <w:rPr>
      <w:b/>
      <w:bCs/>
    </w:rPr>
  </w:style>
  <w:style w:type="character" w:customStyle="1" w:styleId="ObjetducommentaireCar">
    <w:name w:val="Objet du commentaire Car"/>
    <w:basedOn w:val="CommentaireCar"/>
    <w:link w:val="Objetducommentaire"/>
    <w:semiHidden/>
    <w:rsid w:val="00302BFE"/>
    <w:rPr>
      <w:rFonts w:ascii="Calibri" w:eastAsia="SimSun" w:hAnsi="Calibri" w:cs="Times New Roman"/>
      <w:b/>
      <w:bCs/>
      <w:sz w:val="20"/>
      <w:szCs w:val="20"/>
      <w:lang w:val="en-US"/>
    </w:rPr>
  </w:style>
  <w:style w:type="table" w:styleId="Grilledutableau">
    <w:name w:val="Table Grid"/>
    <w:basedOn w:val="TableauNormal"/>
    <w:uiPriority w:val="39"/>
    <w:rsid w:val="00302BFE"/>
    <w:pPr>
      <w:spacing w:after="0" w:line="240" w:lineRule="auto"/>
    </w:pPr>
    <w:rPr>
      <w:rFonts w:ascii="Calibri" w:eastAsia="SimSun" w:hAnsi="Calibri"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rsid w:val="00302BFE"/>
    <w:pPr>
      <w:spacing w:before="100" w:beforeAutospacing="1" w:after="100" w:afterAutospacing="1"/>
    </w:pPr>
    <w:rPr>
      <w:rFonts w:ascii="Times New Roman" w:hAnsi="Times New Roman"/>
      <w:sz w:val="24"/>
    </w:rPr>
  </w:style>
  <w:style w:type="character" w:styleId="Accentuation">
    <w:name w:val="Emphasis"/>
    <w:uiPriority w:val="20"/>
    <w:qFormat/>
    <w:rsid w:val="00302BFE"/>
    <w:rPr>
      <w:rFonts w:cs="Times New Roman"/>
      <w:i/>
      <w:iCs/>
    </w:rPr>
  </w:style>
  <w:style w:type="character" w:styleId="Appelnotedebasdep">
    <w:name w:val="footnote reference"/>
    <w:aliases w:val="16 Point,Superscript 6 Point,Superscript 6 Point + 11 pt,ftref,Footnote Reference Number,SUPERS,SUPERS1,SUPERS2,SUPERS3,BVI fnr,BVI fnr Car Car,BVI fnr Car,BVI fnr Car Car Car Car,FNRefe Char Char Char,BVI fnr Char Char Char,fr,R"/>
    <w:link w:val="CharCharCharCharCarChar"/>
    <w:uiPriority w:val="99"/>
    <w:qFormat/>
    <w:rsid w:val="00302BFE"/>
    <w:rPr>
      <w:rFonts w:ascii="Arial" w:hAnsi="Arial"/>
      <w:sz w:val="18"/>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Appelnotedebasdep"/>
    <w:uiPriority w:val="99"/>
    <w:rsid w:val="00302BFE"/>
    <w:pPr>
      <w:spacing w:after="160" w:line="240" w:lineRule="exact"/>
    </w:pPr>
    <w:rPr>
      <w:rFonts w:ascii="Arial" w:eastAsiaTheme="minorHAnsi" w:hAnsi="Arial" w:cstheme="minorBidi"/>
      <w:sz w:val="18"/>
      <w:szCs w:val="22"/>
      <w:vertAlign w:val="superscript"/>
      <w:lang w:val="fr-CA"/>
    </w:rPr>
  </w:style>
  <w:style w:type="paragraph" w:customStyle="1" w:styleId="Char">
    <w:name w:val="Char"/>
    <w:basedOn w:val="Titre2"/>
    <w:rsid w:val="00302BFE"/>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Paragraphedeliste">
    <w:name w:val="List Paragraph"/>
    <w:aliases w:val="List Paragraph1,Project Profile name,Paragraphe de liste1,Numbered paragraph,Medium Grid 1 - Accent 21,List Paragraph (numbered (a)),Numbered List Paragraph,References,ReferencesCxSpLast,Table/Figure Heading,En tête 1,WB Para,L_4,tex"/>
    <w:basedOn w:val="Normal"/>
    <w:link w:val="ParagraphedelisteCar"/>
    <w:uiPriority w:val="34"/>
    <w:qFormat/>
    <w:rsid w:val="00302BFE"/>
    <w:pPr>
      <w:spacing w:after="0"/>
      <w:ind w:left="720"/>
      <w:jc w:val="left"/>
    </w:pPr>
    <w:rPr>
      <w:rFonts w:ascii="Times New Roman" w:hAnsi="Times New Roman"/>
      <w:sz w:val="24"/>
    </w:rPr>
  </w:style>
  <w:style w:type="character" w:customStyle="1" w:styleId="ParagraphedelisteCar">
    <w:name w:val="Paragraphe de liste Car"/>
    <w:aliases w:val="List Paragraph1 Car,Project Profile name Car,Paragraphe de liste1 Car,Numbered paragraph Car,Medium Grid 1 - Accent 21 Car,List Paragraph (numbered (a)) Car,Numbered List Paragraph Car,References Car,ReferencesCxSpLast Car"/>
    <w:link w:val="Paragraphedeliste"/>
    <w:uiPriority w:val="34"/>
    <w:qFormat/>
    <w:rsid w:val="00302BFE"/>
    <w:rPr>
      <w:rFonts w:ascii="Times New Roman" w:eastAsia="SimSun" w:hAnsi="Times New Roman" w:cs="Times New Roman"/>
      <w:sz w:val="24"/>
      <w:szCs w:val="24"/>
      <w:lang w:val="en-US"/>
    </w:rPr>
  </w:style>
  <w:style w:type="paragraph" w:styleId="Titre">
    <w:name w:val="Title"/>
    <w:basedOn w:val="Normal"/>
    <w:link w:val="TitreCar"/>
    <w:qFormat/>
    <w:rsid w:val="00302BFE"/>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reCar">
    <w:name w:val="Titre Car"/>
    <w:basedOn w:val="Policepardfaut"/>
    <w:link w:val="Titre"/>
    <w:rsid w:val="00302BFE"/>
    <w:rPr>
      <w:rFonts w:ascii="Calibri" w:eastAsia="SimSun" w:hAnsi="Calibri" w:cs="Arial"/>
      <w:b/>
      <w:bCs/>
      <w:kern w:val="28"/>
      <w:sz w:val="32"/>
      <w:szCs w:val="32"/>
      <w:lang w:val="en-US"/>
    </w:rPr>
  </w:style>
  <w:style w:type="paragraph" w:customStyle="1" w:styleId="CharCharChar1">
    <w:name w:val="Char Char Char1"/>
    <w:basedOn w:val="Normal"/>
    <w:rsid w:val="00302BFE"/>
    <w:pPr>
      <w:spacing w:after="160" w:line="240" w:lineRule="exact"/>
      <w:jc w:val="left"/>
    </w:pPr>
    <w:rPr>
      <w:rFonts w:cs="Arial"/>
      <w:szCs w:val="20"/>
    </w:rPr>
  </w:style>
  <w:style w:type="paragraph" w:customStyle="1" w:styleId="JFHeading3">
    <w:name w:val="JF Heading 3"/>
    <w:basedOn w:val="Titre3"/>
    <w:rsid w:val="00302BFE"/>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lev">
    <w:name w:val="Strong"/>
    <w:uiPriority w:val="22"/>
    <w:qFormat/>
    <w:rsid w:val="00302BFE"/>
    <w:rPr>
      <w:rFonts w:cs="Times New Roman"/>
      <w:b/>
      <w:bCs/>
    </w:rPr>
  </w:style>
  <w:style w:type="paragraph" w:customStyle="1" w:styleId="Default">
    <w:name w:val="Default"/>
    <w:uiPriority w:val="99"/>
    <w:rsid w:val="00302BFE"/>
    <w:pPr>
      <w:autoSpaceDE w:val="0"/>
      <w:autoSpaceDN w:val="0"/>
      <w:adjustRightInd w:val="0"/>
      <w:spacing w:after="0" w:line="240" w:lineRule="auto"/>
    </w:pPr>
    <w:rPr>
      <w:rFonts w:ascii="Arial" w:eastAsia="MS Mincho" w:hAnsi="Arial" w:cs="Arial"/>
      <w:color w:val="000000"/>
      <w:sz w:val="24"/>
      <w:szCs w:val="24"/>
      <w:lang w:val="en-US" w:eastAsia="ja-JP"/>
    </w:rPr>
  </w:style>
  <w:style w:type="paragraph" w:customStyle="1" w:styleId="bodyfont">
    <w:name w:val="bodyfont"/>
    <w:basedOn w:val="Normal"/>
    <w:rsid w:val="00302BFE"/>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Titre1"/>
    <w:rsid w:val="00302BFE"/>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302BFE"/>
    <w:pPr>
      <w:spacing w:line="191" w:lineRule="atLeast"/>
    </w:pPr>
    <w:rPr>
      <w:rFonts w:ascii="Adobe Garamond Pro" w:hAnsi="Adobe Garamond Pro" w:cs="Times New Roman"/>
      <w:color w:val="auto"/>
    </w:rPr>
  </w:style>
  <w:style w:type="character" w:customStyle="1" w:styleId="bodytag3">
    <w:name w:val="bodytag3"/>
    <w:rsid w:val="00302BFE"/>
    <w:rPr>
      <w:rFonts w:ascii="Trebuchet MS" w:hAnsi="Trebuchet MS" w:cs="Times New Roman"/>
      <w:sz w:val="15"/>
      <w:szCs w:val="15"/>
    </w:rPr>
  </w:style>
  <w:style w:type="paragraph" w:styleId="Notedefin">
    <w:name w:val="endnote text"/>
    <w:aliases w:val=" Char"/>
    <w:basedOn w:val="Normal"/>
    <w:link w:val="NotedefinCar"/>
    <w:semiHidden/>
    <w:rsid w:val="00302BFE"/>
    <w:pPr>
      <w:spacing w:after="0"/>
      <w:jc w:val="left"/>
    </w:pPr>
    <w:rPr>
      <w:rFonts w:eastAsia="MS Mincho"/>
      <w:szCs w:val="20"/>
      <w:lang w:eastAsia="ja-JP"/>
    </w:rPr>
  </w:style>
  <w:style w:type="character" w:customStyle="1" w:styleId="NotedefinCar">
    <w:name w:val="Note de fin Car"/>
    <w:aliases w:val=" Char Car"/>
    <w:basedOn w:val="Policepardfaut"/>
    <w:link w:val="Notedefin"/>
    <w:semiHidden/>
    <w:rsid w:val="00302BFE"/>
    <w:rPr>
      <w:rFonts w:ascii="Calibri" w:eastAsia="MS Mincho" w:hAnsi="Calibri" w:cs="Times New Roman"/>
      <w:sz w:val="20"/>
      <w:szCs w:val="20"/>
      <w:lang w:val="en-US" w:eastAsia="ja-JP"/>
    </w:rPr>
  </w:style>
  <w:style w:type="character" w:styleId="Appeldenotedefin">
    <w:name w:val="endnote reference"/>
    <w:semiHidden/>
    <w:rsid w:val="00302BFE"/>
    <w:rPr>
      <w:rFonts w:cs="Times New Roman"/>
      <w:vertAlign w:val="superscript"/>
    </w:rPr>
  </w:style>
  <w:style w:type="character" w:customStyle="1" w:styleId="mw-headline">
    <w:name w:val="mw-headline"/>
    <w:rsid w:val="00302BFE"/>
    <w:rPr>
      <w:rFonts w:cs="Times New Roman"/>
    </w:rPr>
  </w:style>
  <w:style w:type="paragraph" w:customStyle="1" w:styleId="CharCharCharCharCharCharChar">
    <w:name w:val="Char Char Char Char Char Char Char"/>
    <w:basedOn w:val="Titre2"/>
    <w:rsid w:val="00302BFE"/>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Titre2"/>
    <w:rsid w:val="00302BFE"/>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302BFE"/>
    <w:pPr>
      <w:spacing w:after="0"/>
    </w:pPr>
    <w:rPr>
      <w:rFonts w:ascii="Arial Narrow" w:hAnsi="Arial Narrow" w:cs="Arial"/>
      <w:szCs w:val="20"/>
    </w:rPr>
  </w:style>
  <w:style w:type="paragraph" w:customStyle="1" w:styleId="Paragraph">
    <w:name w:val="Paragraph"/>
    <w:basedOn w:val="Normal"/>
    <w:link w:val="ParagraphChar"/>
    <w:qFormat/>
    <w:rsid w:val="00302BFE"/>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302BFE"/>
    <w:rPr>
      <w:rFonts w:ascii="Times New Roman" w:eastAsia="SimSun" w:hAnsi="Times New Roman" w:cs="Angsana New"/>
      <w:noProof/>
      <w:sz w:val="20"/>
      <w:lang w:val="en-US"/>
    </w:rPr>
  </w:style>
  <w:style w:type="paragraph" w:customStyle="1" w:styleId="Bullets">
    <w:name w:val="Bullets"/>
    <w:basedOn w:val="Paragraph"/>
    <w:link w:val="BulletsChar"/>
    <w:qFormat/>
    <w:rsid w:val="00302BFE"/>
    <w:pPr>
      <w:numPr>
        <w:numId w:val="3"/>
      </w:numPr>
      <w:spacing w:before="60" w:after="0"/>
    </w:pPr>
  </w:style>
  <w:style w:type="character" w:customStyle="1" w:styleId="BulletsChar">
    <w:name w:val="Bullets Char"/>
    <w:link w:val="Bullets"/>
    <w:rsid w:val="00302BFE"/>
    <w:rPr>
      <w:rFonts w:ascii="Times New Roman" w:eastAsia="SimSun" w:hAnsi="Times New Roman" w:cs="Angsana New"/>
      <w:noProof/>
      <w:sz w:val="20"/>
      <w:lang w:val="en-US"/>
    </w:rPr>
  </w:style>
  <w:style w:type="paragraph" w:styleId="TM2">
    <w:name w:val="toc 2"/>
    <w:basedOn w:val="Normal"/>
    <w:next w:val="Normal"/>
    <w:autoRedefine/>
    <w:uiPriority w:val="39"/>
    <w:rsid w:val="00302BFE"/>
    <w:pPr>
      <w:ind w:left="220"/>
    </w:pPr>
  </w:style>
  <w:style w:type="paragraph" w:styleId="TM1">
    <w:name w:val="toc 1"/>
    <w:basedOn w:val="Normal"/>
    <w:next w:val="Normal"/>
    <w:autoRedefine/>
    <w:uiPriority w:val="39"/>
    <w:rsid w:val="00302BFE"/>
    <w:pPr>
      <w:tabs>
        <w:tab w:val="left" w:pos="540"/>
        <w:tab w:val="right" w:leader="dot" w:pos="9304"/>
      </w:tabs>
    </w:pPr>
  </w:style>
  <w:style w:type="character" w:customStyle="1" w:styleId="Heading2Char">
    <w:name w:val="Heading 2 Char"/>
    <w:semiHidden/>
    <w:locked/>
    <w:rsid w:val="00302BFE"/>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locked/>
    <w:rsid w:val="00302BFE"/>
    <w:rPr>
      <w:rFonts w:ascii="Arial" w:hAnsi="Arial" w:cs="Times New Roman"/>
      <w:lang w:val="en-GB"/>
    </w:rPr>
  </w:style>
  <w:style w:type="paragraph" w:customStyle="1" w:styleId="Normalbullets">
    <w:name w:val="Normal bullets"/>
    <w:basedOn w:val="Normal"/>
    <w:rsid w:val="00302BFE"/>
    <w:pPr>
      <w:numPr>
        <w:numId w:val="4"/>
      </w:numPr>
    </w:pPr>
  </w:style>
  <w:style w:type="paragraph" w:customStyle="1" w:styleId="Text">
    <w:name w:val="Text"/>
    <w:basedOn w:val="Normal"/>
    <w:rsid w:val="00302BFE"/>
    <w:pPr>
      <w:spacing w:before="240" w:after="0" w:line="252" w:lineRule="auto"/>
    </w:pPr>
    <w:rPr>
      <w:rFonts w:ascii="Times New Roman" w:hAnsi="Times New Roman"/>
      <w:szCs w:val="20"/>
    </w:rPr>
  </w:style>
  <w:style w:type="paragraph" w:customStyle="1" w:styleId="CharCharChar11">
    <w:name w:val="Char Char Char11"/>
    <w:basedOn w:val="Normal"/>
    <w:rsid w:val="00302BFE"/>
    <w:pPr>
      <w:spacing w:after="160" w:line="240" w:lineRule="exact"/>
      <w:jc w:val="left"/>
    </w:pPr>
    <w:rPr>
      <w:rFonts w:cs="Arial"/>
      <w:szCs w:val="20"/>
    </w:rPr>
  </w:style>
  <w:style w:type="paragraph" w:customStyle="1" w:styleId="BodyText23">
    <w:name w:val="Body Text 23"/>
    <w:basedOn w:val="Normal"/>
    <w:rsid w:val="00302BFE"/>
    <w:pPr>
      <w:widowControl w:val="0"/>
      <w:tabs>
        <w:tab w:val="left" w:pos="547"/>
      </w:tabs>
      <w:spacing w:after="0"/>
      <w:jc w:val="left"/>
    </w:pPr>
    <w:rPr>
      <w:rFonts w:ascii="Times New Roman" w:hAnsi="Times New Roman"/>
      <w:snapToGrid w:val="0"/>
      <w:szCs w:val="20"/>
    </w:rPr>
  </w:style>
  <w:style w:type="paragraph" w:styleId="Lgende">
    <w:name w:val="caption"/>
    <w:aliases w:val="Légende Car,graphique,Légendetab,Car,Car Car Car,Caption Char1,Caption Char Char,Car1,Car1 Car Car Car,Légende1,Caption Char2,Caption Char Char1,Caption Char1 Char Char,Caption Char Char Char Char,Caption Char1 Char1,таблица Char,Figures, Car1"/>
    <w:basedOn w:val="Normal"/>
    <w:next w:val="Normal"/>
    <w:link w:val="LgendeCar1"/>
    <w:qFormat/>
    <w:rsid w:val="00302BFE"/>
    <w:pPr>
      <w:spacing w:after="0"/>
      <w:jc w:val="left"/>
    </w:pPr>
    <w:rPr>
      <w:rFonts w:ascii="Times New Roman" w:hAnsi="Times New Roman"/>
      <w:b/>
      <w:bCs/>
      <w:sz w:val="28"/>
    </w:rPr>
  </w:style>
  <w:style w:type="character" w:customStyle="1" w:styleId="LgendeCar1">
    <w:name w:val="Légende Car1"/>
    <w:aliases w:val="Légende Car Car,graphique Car,Légendetab Car,Car Car1,Car Car Car Car,Caption Char1 Car,Caption Char Char Car,Car1 Car,Car1 Car Car Car Car,Légende1 Car,Caption Char2 Car,Caption Char Char1 Car,Caption Char1 Char Char Car,таблица Char Car"/>
    <w:link w:val="Lgende"/>
    <w:locked/>
    <w:rsid w:val="00302BFE"/>
    <w:rPr>
      <w:rFonts w:ascii="Times New Roman" w:eastAsia="SimSun" w:hAnsi="Times New Roman" w:cs="Times New Roman"/>
      <w:b/>
      <w:bCs/>
      <w:sz w:val="28"/>
      <w:szCs w:val="24"/>
      <w:lang w:val="en-US"/>
    </w:rPr>
  </w:style>
  <w:style w:type="paragraph" w:customStyle="1" w:styleId="TableT">
    <w:name w:val="TableT"/>
    <w:basedOn w:val="Normal"/>
    <w:autoRedefine/>
    <w:rsid w:val="00302BFE"/>
    <w:pPr>
      <w:jc w:val="left"/>
    </w:pPr>
    <w:rPr>
      <w:rFonts w:ascii="Times New Roman" w:hAnsi="Times New Roman"/>
      <w:noProof/>
      <w:szCs w:val="20"/>
    </w:rPr>
  </w:style>
  <w:style w:type="paragraph" w:customStyle="1" w:styleId="ParaCharChar">
    <w:name w:val="Para Char Char"/>
    <w:basedOn w:val="Normal"/>
    <w:link w:val="ParaCharCharChar"/>
    <w:autoRedefine/>
    <w:rsid w:val="00302BF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ind w:right="-7"/>
      <w:jc w:val="left"/>
    </w:pPr>
    <w:rPr>
      <w:rFonts w:eastAsia="Arial Unicode MS" w:cs="Arial"/>
      <w:szCs w:val="20"/>
    </w:rPr>
  </w:style>
  <w:style w:type="character" w:customStyle="1" w:styleId="ParaCharCharChar">
    <w:name w:val="Para Char Char Char"/>
    <w:link w:val="ParaCharChar"/>
    <w:rsid w:val="00302BFE"/>
    <w:rPr>
      <w:rFonts w:ascii="Calibri" w:eastAsia="Arial Unicode MS" w:hAnsi="Calibri" w:cs="Arial"/>
      <w:sz w:val="20"/>
      <w:szCs w:val="20"/>
      <w:lang w:val="en-US"/>
    </w:rPr>
  </w:style>
  <w:style w:type="paragraph" w:customStyle="1" w:styleId="TableHCharCharChar">
    <w:name w:val="TableH Char Char Char"/>
    <w:basedOn w:val="Normal"/>
    <w:link w:val="TableHCharCharCharChar"/>
    <w:autoRedefine/>
    <w:rsid w:val="00302BFE"/>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302BFE"/>
    <w:rPr>
      <w:rFonts w:ascii="Times New Roman" w:eastAsia="SimSun" w:hAnsi="Times New Roman" w:cs="Times New Roman"/>
      <w:b/>
      <w:sz w:val="21"/>
      <w:lang w:val="en-US"/>
    </w:rPr>
  </w:style>
  <w:style w:type="character" w:customStyle="1" w:styleId="highlighttext">
    <w:name w:val="highlighttext"/>
    <w:rsid w:val="00302BFE"/>
    <w:rPr>
      <w:rFonts w:ascii="Times New Roman" w:hAnsi="Times New Roman"/>
      <w:sz w:val="22"/>
      <w:bdr w:val="none" w:sz="0" w:space="0" w:color="auto"/>
      <w:shd w:val="clear" w:color="auto" w:fill="B3B3B3"/>
    </w:rPr>
  </w:style>
  <w:style w:type="paragraph" w:customStyle="1" w:styleId="steptext">
    <w:name w:val="steptext"/>
    <w:basedOn w:val="Normal"/>
    <w:rsid w:val="00302BFE"/>
    <w:pPr>
      <w:spacing w:after="0"/>
      <w:jc w:val="left"/>
    </w:pPr>
    <w:rPr>
      <w:rFonts w:ascii="Times New Roman" w:hAnsi="Times New Roman"/>
    </w:rPr>
  </w:style>
  <w:style w:type="paragraph" w:customStyle="1" w:styleId="NumberedList2">
    <w:name w:val="Numbered List 2"/>
    <w:aliases w:val="nl2"/>
    <w:basedOn w:val="Normal"/>
    <w:rsid w:val="00302BFE"/>
    <w:pPr>
      <w:spacing w:after="0" w:line="240" w:lineRule="atLeast"/>
      <w:ind w:hanging="360"/>
      <w:jc w:val="left"/>
    </w:pPr>
    <w:rPr>
      <w:rFonts w:ascii="Arial Unicode MS" w:hAnsi="Arial Unicode MS"/>
      <w:szCs w:val="22"/>
    </w:rPr>
  </w:style>
  <w:style w:type="paragraph" w:customStyle="1" w:styleId="CharChar">
    <w:name w:val="Char Char Знак Знак"/>
    <w:basedOn w:val="Normal"/>
    <w:rsid w:val="00302BFE"/>
    <w:pPr>
      <w:spacing w:after="160" w:line="240" w:lineRule="exact"/>
      <w:jc w:val="left"/>
    </w:pPr>
    <w:rPr>
      <w:rFonts w:ascii="Times New Roman" w:hAnsi="Times New Roman" w:cs="Arial"/>
      <w:szCs w:val="20"/>
      <w:lang w:val="de-CH" w:eastAsia="de-CH"/>
    </w:rPr>
  </w:style>
  <w:style w:type="paragraph" w:styleId="Textebrut">
    <w:name w:val="Plain Text"/>
    <w:basedOn w:val="Normal"/>
    <w:link w:val="TextebrutCar"/>
    <w:uiPriority w:val="99"/>
    <w:unhideWhenUsed/>
    <w:rsid w:val="00302BFE"/>
    <w:pPr>
      <w:spacing w:after="0"/>
      <w:jc w:val="left"/>
    </w:pPr>
    <w:rPr>
      <w:rFonts w:ascii="Consolas" w:eastAsia="Calibri" w:hAnsi="Consolas"/>
      <w:sz w:val="21"/>
      <w:szCs w:val="21"/>
    </w:rPr>
  </w:style>
  <w:style w:type="character" w:customStyle="1" w:styleId="TextebrutCar">
    <w:name w:val="Texte brut Car"/>
    <w:basedOn w:val="Policepardfaut"/>
    <w:link w:val="Textebrut"/>
    <w:uiPriority w:val="99"/>
    <w:rsid w:val="00302BFE"/>
    <w:rPr>
      <w:rFonts w:ascii="Consolas" w:eastAsia="Calibri" w:hAnsi="Consolas" w:cs="Times New Roman"/>
      <w:sz w:val="21"/>
      <w:szCs w:val="21"/>
      <w:lang w:val="en-US"/>
    </w:rPr>
  </w:style>
  <w:style w:type="paragraph" w:styleId="En-ttedetabledesmatires">
    <w:name w:val="TOC Heading"/>
    <w:basedOn w:val="Titre1"/>
    <w:next w:val="Normal"/>
    <w:uiPriority w:val="39"/>
    <w:unhideWhenUsed/>
    <w:qFormat/>
    <w:rsid w:val="00302BFE"/>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Sansinterligne">
    <w:name w:val="No Spacing"/>
    <w:link w:val="SansinterligneCar"/>
    <w:uiPriority w:val="1"/>
    <w:qFormat/>
    <w:rsid w:val="00302BFE"/>
    <w:pPr>
      <w:spacing w:after="0" w:line="240" w:lineRule="auto"/>
    </w:pPr>
    <w:rPr>
      <w:rFonts w:ascii="Times" w:eastAsia="Times" w:hAnsi="Times" w:cs="Times New Roman"/>
      <w:sz w:val="24"/>
      <w:szCs w:val="24"/>
      <w:lang w:val="en-US"/>
    </w:rPr>
  </w:style>
  <w:style w:type="character" w:customStyle="1" w:styleId="SansinterligneCar">
    <w:name w:val="Sans interligne Car"/>
    <w:link w:val="Sansinterligne"/>
    <w:uiPriority w:val="1"/>
    <w:rsid w:val="00302BFE"/>
    <w:rPr>
      <w:rFonts w:ascii="Times" w:eastAsia="Times" w:hAnsi="Times" w:cs="Times New Roman"/>
      <w:sz w:val="24"/>
      <w:szCs w:val="24"/>
      <w:lang w:val="en-US"/>
    </w:rPr>
  </w:style>
  <w:style w:type="character" w:customStyle="1" w:styleId="PlainTextChar1">
    <w:name w:val="Plain Text Char1"/>
    <w:uiPriority w:val="99"/>
    <w:locked/>
    <w:rsid w:val="00302BFE"/>
    <w:rPr>
      <w:rFonts w:ascii="Consolas" w:eastAsia="Times New Roman" w:hAnsi="Consolas" w:cs="Times New Roman"/>
      <w:sz w:val="20"/>
      <w:szCs w:val="20"/>
    </w:rPr>
  </w:style>
  <w:style w:type="character" w:styleId="Rfrenceintense">
    <w:name w:val="Intense Reference"/>
    <w:uiPriority w:val="32"/>
    <w:qFormat/>
    <w:rsid w:val="00302BFE"/>
    <w:rPr>
      <w:b/>
      <w:bCs/>
      <w:smallCaps/>
      <w:color w:val="C0504D"/>
      <w:spacing w:val="5"/>
      <w:u w:val="single"/>
    </w:rPr>
  </w:style>
  <w:style w:type="character" w:customStyle="1" w:styleId="StyleHeading2NotBoldChar">
    <w:name w:val="Style Heading 2 + Not Bold Char"/>
    <w:rsid w:val="00302BFE"/>
    <w:rPr>
      <w:rFonts w:ascii="Book Antiqua" w:hAnsi="Book Antiqua" w:cs="Arial"/>
      <w:b/>
      <w:i/>
      <w:sz w:val="22"/>
      <w:szCs w:val="28"/>
      <w:lang w:val="en-US" w:eastAsia="ar-SA"/>
    </w:rPr>
  </w:style>
  <w:style w:type="character" w:customStyle="1" w:styleId="apple-converted-space">
    <w:name w:val="apple-converted-space"/>
    <w:basedOn w:val="Policepardfaut"/>
    <w:rsid w:val="00302BFE"/>
  </w:style>
  <w:style w:type="paragraph" w:customStyle="1" w:styleId="bodybullets">
    <w:name w:val="body bullets"/>
    <w:basedOn w:val="Normal"/>
    <w:next w:val="Normal"/>
    <w:qFormat/>
    <w:rsid w:val="00302BFE"/>
    <w:pPr>
      <w:numPr>
        <w:numId w:val="7"/>
      </w:numPr>
      <w:spacing w:before="60" w:line="260" w:lineRule="exact"/>
      <w:jc w:val="left"/>
    </w:pPr>
    <w:rPr>
      <w:rFonts w:eastAsia="Times New Roman"/>
      <w:lang w:eastAsia="ja-JP"/>
    </w:rPr>
  </w:style>
  <w:style w:type="character" w:customStyle="1" w:styleId="ColorfulList-Accent1Char">
    <w:name w:val="Colorful List - Accent 1 Char"/>
    <w:link w:val="ColorfulList-Accent12"/>
    <w:uiPriority w:val="34"/>
    <w:locked/>
    <w:rsid w:val="00302BFE"/>
  </w:style>
  <w:style w:type="paragraph" w:customStyle="1" w:styleId="ColorfulList-Accent12">
    <w:name w:val="Colorful List - Accent 12"/>
    <w:basedOn w:val="Normal"/>
    <w:link w:val="ColorfulList-Accent1Char"/>
    <w:uiPriority w:val="34"/>
    <w:rsid w:val="00302BFE"/>
    <w:pPr>
      <w:spacing w:after="0"/>
      <w:ind w:left="720"/>
      <w:jc w:val="left"/>
    </w:pPr>
    <w:rPr>
      <w:rFonts w:asciiTheme="minorHAnsi" w:eastAsiaTheme="minorHAnsi" w:hAnsiTheme="minorHAnsi" w:cstheme="minorBidi"/>
      <w:sz w:val="22"/>
      <w:szCs w:val="22"/>
      <w:lang w:val="fr-CA"/>
    </w:rPr>
  </w:style>
  <w:style w:type="paragraph" w:styleId="TM3">
    <w:name w:val="toc 3"/>
    <w:basedOn w:val="Normal"/>
    <w:next w:val="Normal"/>
    <w:autoRedefine/>
    <w:uiPriority w:val="39"/>
    <w:unhideWhenUsed/>
    <w:rsid w:val="00302BFE"/>
    <w:pPr>
      <w:ind w:left="400"/>
    </w:pPr>
  </w:style>
  <w:style w:type="character" w:customStyle="1" w:styleId="A4">
    <w:name w:val="A4"/>
    <w:uiPriority w:val="99"/>
    <w:rsid w:val="00302BFE"/>
    <w:rPr>
      <w:rFonts w:cs="Open Sans Light"/>
      <w:color w:val="000000"/>
      <w:sz w:val="20"/>
      <w:szCs w:val="20"/>
    </w:rPr>
  </w:style>
  <w:style w:type="character" w:customStyle="1" w:styleId="A2">
    <w:name w:val="A2"/>
    <w:uiPriority w:val="99"/>
    <w:rsid w:val="00302BFE"/>
    <w:rPr>
      <w:rFonts w:cs="Open Sans Light"/>
      <w:i/>
      <w:iCs/>
      <w:color w:val="000000"/>
      <w:sz w:val="16"/>
      <w:szCs w:val="16"/>
    </w:rPr>
  </w:style>
  <w:style w:type="paragraph" w:customStyle="1" w:styleId="yiv9464786002msonormal">
    <w:name w:val="yiv9464786002msonormal"/>
    <w:basedOn w:val="Normal"/>
    <w:rsid w:val="00302BFE"/>
    <w:pPr>
      <w:spacing w:before="100" w:beforeAutospacing="1" w:after="100" w:afterAutospacing="1"/>
      <w:jc w:val="left"/>
    </w:pPr>
    <w:rPr>
      <w:rFonts w:ascii="Times New Roman" w:eastAsia="Times New Roman" w:hAnsi="Times New Roman"/>
      <w:sz w:val="24"/>
      <w:lang w:val="fr-FR" w:eastAsia="fr-FR"/>
    </w:rPr>
  </w:style>
  <w:style w:type="paragraph" w:customStyle="1" w:styleId="BVIfnrCharCharCharCharCharCharCharCharCharCharCharCharCharCharChar">
    <w:name w:val="BVI fnr Char Char Char Char Char Char Char Char Char Char Char Char Char Char Char"/>
    <w:aliases w:val="BVI fnr Car Car Char Char Char Char Char Char Char Char Char Char Char Char Char Char Char Char Char"/>
    <w:basedOn w:val="Normal"/>
    <w:uiPriority w:val="99"/>
    <w:rsid w:val="00302BFE"/>
    <w:pPr>
      <w:spacing w:after="160" w:line="240" w:lineRule="exact"/>
      <w:jc w:val="left"/>
    </w:pPr>
    <w:rPr>
      <w:rFonts w:eastAsia="Calibri"/>
      <w:sz w:val="22"/>
      <w:szCs w:val="22"/>
      <w:vertAlign w:val="superscript"/>
      <w:lang w:val="fr-CA"/>
    </w:rPr>
  </w:style>
  <w:style w:type="character" w:customStyle="1" w:styleId="GEFFieldtoFilloutChar">
    <w:name w:val="GEF Field to Fill out Char"/>
    <w:link w:val="GEFFieldtoFillout"/>
    <w:locked/>
    <w:rsid w:val="00302BFE"/>
    <w:rPr>
      <w:color w:val="000000"/>
      <w:lang w:val="x-none"/>
    </w:rPr>
  </w:style>
  <w:style w:type="paragraph" w:customStyle="1" w:styleId="GEFFieldtoFillout">
    <w:name w:val="GEF Field to Fill out"/>
    <w:basedOn w:val="Normal"/>
    <w:link w:val="GEFFieldtoFilloutChar"/>
    <w:qFormat/>
    <w:rsid w:val="00302BFE"/>
    <w:pPr>
      <w:spacing w:after="0"/>
      <w:ind w:left="-720"/>
      <w:jc w:val="left"/>
    </w:pPr>
    <w:rPr>
      <w:rFonts w:asciiTheme="minorHAnsi" w:eastAsiaTheme="minorHAnsi" w:hAnsiTheme="minorHAnsi" w:cstheme="minorBidi"/>
      <w:color w:val="000000"/>
      <w:sz w:val="22"/>
      <w:szCs w:val="22"/>
      <w:lang w:val="x-none"/>
    </w:rPr>
  </w:style>
  <w:style w:type="table" w:customStyle="1" w:styleId="TableGrid1">
    <w:name w:val="Table Grid1"/>
    <w:basedOn w:val="TableauNormal"/>
    <w:next w:val="Grilledutableau"/>
    <w:uiPriority w:val="39"/>
    <w:rsid w:val="00302BFE"/>
    <w:pPr>
      <w:spacing w:after="0"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302BFE"/>
    <w:pPr>
      <w:spacing w:after="0"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302BFE"/>
    <w:pPr>
      <w:spacing w:after="0"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auNormal"/>
    <w:next w:val="Grilledutableau"/>
    <w:uiPriority w:val="39"/>
    <w:rsid w:val="00302BFE"/>
    <w:pPr>
      <w:spacing w:after="0" w:line="240" w:lineRule="auto"/>
    </w:pPr>
    <w:rPr>
      <w:rFonts w:ascii="Times New Roman" w:eastAsia="Times New Roman" w:hAnsi="Times New Roman"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auNormal"/>
    <w:next w:val="Grilledutableau"/>
    <w:uiPriority w:val="39"/>
    <w:rsid w:val="00302BFE"/>
    <w:pPr>
      <w:spacing w:after="0" w:line="240" w:lineRule="auto"/>
    </w:pPr>
    <w:rPr>
      <w:rFonts w:ascii="Times New Roman" w:eastAsia="Times New Roman" w:hAnsi="Times New Roman"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beredParasinaPIFChar">
    <w:name w:val="Numbered Paras in a PIF Char"/>
    <w:link w:val="NumberedParasinaPIF"/>
    <w:locked/>
    <w:rsid w:val="00302BFE"/>
    <w:rPr>
      <w:rFonts w:ascii="Times New Roman" w:eastAsia="Calibri" w:hAnsi="Times New Roman"/>
      <w:noProof/>
    </w:rPr>
  </w:style>
  <w:style w:type="paragraph" w:customStyle="1" w:styleId="NumberedParasinaPIF">
    <w:name w:val="Numbered Paras in a PIF"/>
    <w:basedOn w:val="Normal"/>
    <w:link w:val="NumberedParasinaPIFChar"/>
    <w:qFormat/>
    <w:rsid w:val="00302BFE"/>
    <w:pPr>
      <w:spacing w:after="0"/>
    </w:pPr>
    <w:rPr>
      <w:rFonts w:ascii="Times New Roman" w:eastAsia="Calibri" w:hAnsi="Times New Roman" w:cstheme="minorBidi"/>
      <w:noProof/>
      <w:sz w:val="22"/>
      <w:szCs w:val="22"/>
      <w:lang w:val="fr-CA"/>
    </w:rPr>
  </w:style>
  <w:style w:type="character" w:customStyle="1" w:styleId="MediumGrid1-Accent2Char">
    <w:name w:val="Medium Grid 1 - Accent 2 Char"/>
    <w:aliases w:val="List Paragraph1 Char,Project Profile name Char,Paragraphe de liste1 Char,Numbered paragraph Char,Paragraphe de liste Char,Medium Grid 1 - Accent 21 Char,List Paragraph (numbered (a)) Char,Numbered List Paragraph Char"/>
    <w:uiPriority w:val="34"/>
    <w:qFormat/>
    <w:locked/>
    <w:rsid w:val="00302BFE"/>
    <w:rPr>
      <w:rFonts w:ascii="Times New Roman" w:hAnsi="Times New Roman"/>
      <w:sz w:val="24"/>
      <w:szCs w:val="24"/>
      <w:lang w:val="en-US"/>
    </w:rPr>
  </w:style>
  <w:style w:type="paragraph" w:customStyle="1" w:styleId="Sinespaciado1">
    <w:name w:val="Sin espaciado1"/>
    <w:uiPriority w:val="1"/>
    <w:qFormat/>
    <w:rsid w:val="00302BFE"/>
    <w:pPr>
      <w:spacing w:after="0" w:line="240" w:lineRule="auto"/>
    </w:pPr>
    <w:rPr>
      <w:rFonts w:ascii="Calibri" w:eastAsia="Times New Roman" w:hAnsi="Calibri" w:cs="Times New Roman"/>
      <w:lang w:val="en-US"/>
    </w:rPr>
  </w:style>
  <w:style w:type="paragraph" w:styleId="PrformatHTML">
    <w:name w:val="HTML Preformatted"/>
    <w:basedOn w:val="Normal"/>
    <w:link w:val="PrformatHTMLCar"/>
    <w:uiPriority w:val="99"/>
    <w:unhideWhenUsed/>
    <w:rsid w:val="00302B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Cs w:val="20"/>
      <w:lang w:val="fr-FR" w:eastAsia="fr-FR"/>
    </w:rPr>
  </w:style>
  <w:style w:type="character" w:customStyle="1" w:styleId="PrformatHTMLCar">
    <w:name w:val="Préformaté HTML Car"/>
    <w:basedOn w:val="Policepardfaut"/>
    <w:link w:val="PrformatHTML"/>
    <w:uiPriority w:val="99"/>
    <w:rsid w:val="00302BFE"/>
    <w:rPr>
      <w:rFonts w:ascii="Courier New" w:eastAsia="Times New Roman" w:hAnsi="Courier New" w:cs="Courier New"/>
      <w:sz w:val="20"/>
      <w:szCs w:val="20"/>
      <w:lang w:val="fr-FR" w:eastAsia="fr-FR"/>
    </w:rPr>
  </w:style>
  <w:style w:type="paragraph" w:customStyle="1" w:styleId="TableParagraph">
    <w:name w:val="Table Paragraph"/>
    <w:basedOn w:val="Normal"/>
    <w:uiPriority w:val="1"/>
    <w:qFormat/>
    <w:rsid w:val="00302BFE"/>
    <w:pPr>
      <w:widowControl w:val="0"/>
      <w:autoSpaceDE w:val="0"/>
      <w:autoSpaceDN w:val="0"/>
      <w:spacing w:after="0"/>
      <w:jc w:val="left"/>
    </w:pPr>
    <w:rPr>
      <w:rFonts w:ascii="Myriad Pro Light" w:eastAsia="Myriad Pro Light" w:hAnsi="Myriad Pro Light" w:cs="Myriad Pro Light"/>
      <w:sz w:val="22"/>
      <w:szCs w:val="22"/>
    </w:rPr>
  </w:style>
  <w:style w:type="table" w:customStyle="1" w:styleId="TableNormal1">
    <w:name w:val="Table Normal1"/>
    <w:uiPriority w:val="2"/>
    <w:semiHidden/>
    <w:qFormat/>
    <w:rsid w:val="00302BF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NoneA">
    <w:name w:val="None A"/>
    <w:rsid w:val="00302BFE"/>
    <w:rPr>
      <w:lang w:val="en-US"/>
    </w:rPr>
  </w:style>
  <w:style w:type="paragraph" w:customStyle="1" w:styleId="TableStyle2A">
    <w:name w:val="Table Style 2 A"/>
    <w:rsid w:val="00302BFE"/>
    <w:pPr>
      <w:pBdr>
        <w:top w:val="nil"/>
        <w:left w:val="nil"/>
        <w:bottom w:val="nil"/>
        <w:right w:val="nil"/>
        <w:between w:val="nil"/>
        <w:bar w:val="nil"/>
      </w:pBdr>
      <w:spacing w:after="0" w:line="240" w:lineRule="auto"/>
    </w:pPr>
    <w:rPr>
      <w:rFonts w:ascii="Baskerville" w:eastAsia="Arial Unicode MS" w:hAnsi="Baskerville" w:cs="Arial Unicode MS"/>
      <w:color w:val="314924"/>
      <w:sz w:val="20"/>
      <w:szCs w:val="20"/>
      <w:u w:color="314924"/>
      <w:bdr w:val="nil"/>
      <w:lang w:val="en-US"/>
    </w:rPr>
  </w:style>
  <w:style w:type="character" w:customStyle="1" w:styleId="Hyperlink0">
    <w:name w:val="Hyperlink.0"/>
    <w:rsid w:val="00302BFE"/>
    <w:rPr>
      <w:color w:val="000000"/>
      <w:u w:val="single" w:color="000000"/>
      <w:lang w:val="en-US"/>
    </w:rPr>
  </w:style>
  <w:style w:type="character" w:styleId="Mentionnonrsolue">
    <w:name w:val="Unresolved Mention"/>
    <w:uiPriority w:val="99"/>
    <w:semiHidden/>
    <w:unhideWhenUsed/>
    <w:rsid w:val="00302BFE"/>
    <w:rPr>
      <w:color w:val="605E5C"/>
      <w:shd w:val="clear" w:color="auto" w:fill="E1DFDD"/>
    </w:rPr>
  </w:style>
  <w:style w:type="table" w:customStyle="1" w:styleId="TableauGrille1Clair-Accentuation61">
    <w:name w:val="Tableau Grille 1 Clair - Accentuation 61"/>
    <w:basedOn w:val="TableauNormal"/>
    <w:uiPriority w:val="46"/>
    <w:rsid w:val="00302BFE"/>
    <w:pPr>
      <w:spacing w:after="0" w:line="240" w:lineRule="auto"/>
    </w:pPr>
    <w:rPr>
      <w:rFonts w:ascii="Calibri" w:eastAsia="Calibri" w:hAnsi="Calibri" w:cs="Times New Roman"/>
      <w:lang w:val="fr-FR"/>
    </w:rPr>
    <w:tblPr>
      <w:tblStyleRowBandSize w:val="1"/>
      <w:tblStyleColBandSize w:val="1"/>
      <w:tblInd w:w="0" w:type="nil"/>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302BFE"/>
    <w:pPr>
      <w:spacing w:after="0" w:line="240" w:lineRule="auto"/>
    </w:pPr>
    <w:rPr>
      <w:rFonts w:ascii="Calibri" w:eastAsia="Calibri" w:hAnsi="Calibri" w:cs="Times New Roman"/>
      <w:lang w:val="fr-FR"/>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hps">
    <w:name w:val="hps"/>
    <w:rsid w:val="00302BFE"/>
  </w:style>
  <w:style w:type="character" w:customStyle="1" w:styleId="hpsalt-edited">
    <w:name w:val="hps alt-edited"/>
    <w:rsid w:val="00302BFE"/>
  </w:style>
  <w:style w:type="table" w:customStyle="1" w:styleId="Grilledutableau1">
    <w:name w:val="Grille du tableau1"/>
    <w:basedOn w:val="TableauNormal"/>
    <w:next w:val="Grilledutableau"/>
    <w:rsid w:val="00302BFE"/>
    <w:pPr>
      <w:spacing w:after="0" w:line="240" w:lineRule="auto"/>
    </w:pPr>
    <w:rPr>
      <w:rFonts w:ascii="Arial" w:eastAsia="Times New Roman" w:hAnsi="Arial" w:cs="Times New Roman"/>
      <w:sz w:val="20"/>
      <w:szCs w:val="24"/>
      <w:lang w:val="en-GB" w:eastAsia="en-GB"/>
    </w:rPr>
    <w:tblPr>
      <w:tblBorders>
        <w:top w:val="single" w:sz="4" w:space="0" w:color="013366"/>
        <w:left w:val="single" w:sz="4" w:space="0" w:color="013366"/>
        <w:bottom w:val="single" w:sz="4" w:space="0" w:color="013366"/>
        <w:right w:val="single" w:sz="4" w:space="0" w:color="013366"/>
        <w:insideH w:val="single" w:sz="4" w:space="0" w:color="013366"/>
        <w:insideV w:val="single" w:sz="4" w:space="0" w:color="013366"/>
      </w:tblBorders>
    </w:tblPr>
    <w:tblStylePr w:type="firstRow">
      <w:rPr>
        <w:rFonts w:ascii="Arial" w:hAnsi="Arial"/>
        <w:b w:val="0"/>
        <w:i w:val="0"/>
        <w:color w:val="FFFFFF"/>
        <w:sz w:val="20"/>
      </w:rPr>
      <w:tblPr/>
      <w:tcPr>
        <w:tcBorders>
          <w:top w:val="single" w:sz="4" w:space="0" w:color="013366"/>
          <w:left w:val="single" w:sz="4" w:space="0" w:color="013366"/>
          <w:bottom w:val="single" w:sz="4" w:space="0" w:color="013366"/>
          <w:right w:val="single" w:sz="4" w:space="0" w:color="013366"/>
          <w:insideH w:val="nil"/>
          <w:insideV w:val="nil"/>
          <w:tl2br w:val="nil"/>
          <w:tr2bl w:val="nil"/>
        </w:tcBorders>
        <w:shd w:val="clear" w:color="auto" w:fill="013366"/>
      </w:tcPr>
    </w:tblStylePr>
  </w:style>
  <w:style w:type="table" w:customStyle="1" w:styleId="TableauGrille1Clair-Accentuation51">
    <w:name w:val="Tableau Grille 1 Clair - Accentuation 51"/>
    <w:basedOn w:val="TableauNormal"/>
    <w:uiPriority w:val="46"/>
    <w:rsid w:val="00302BFE"/>
    <w:pPr>
      <w:spacing w:after="0" w:line="240" w:lineRule="auto"/>
    </w:pPr>
    <w:rPr>
      <w:rFonts w:ascii="Calibri" w:eastAsia="Calibri" w:hAnsi="Calibri" w:cs="Times New Roman"/>
      <w:lang w:val="fr-FR"/>
    </w:rPr>
    <w:tblPr>
      <w:tblStyleRowBandSize w:val="1"/>
      <w:tblStyleColBandSize w:val="1"/>
      <w:tblInd w:w="0" w:type="nil"/>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Rappniebepuce1">
    <w:name w:val="Rappniebepuce1"/>
    <w:basedOn w:val="Sansinterligne"/>
    <w:autoRedefine/>
    <w:qFormat/>
    <w:rsid w:val="00302BFE"/>
    <w:pPr>
      <w:numPr>
        <w:numId w:val="40"/>
      </w:numPr>
      <w:tabs>
        <w:tab w:val="num" w:pos="360"/>
      </w:tabs>
      <w:spacing w:line="276" w:lineRule="auto"/>
      <w:ind w:left="0" w:firstLine="0"/>
      <w:jc w:val="both"/>
    </w:pPr>
    <w:rPr>
      <w:rFonts w:ascii="Times New Roman" w:eastAsia="Calibri" w:hAnsi="Times New Roman"/>
      <w:lang w:val="fr-FR" w:eastAsia="fr-FR"/>
    </w:rPr>
  </w:style>
  <w:style w:type="table" w:styleId="TableauGrille1Clair-Accentuation2">
    <w:name w:val="Grid Table 1 Light Accent 2"/>
    <w:basedOn w:val="TableauNormal"/>
    <w:uiPriority w:val="46"/>
    <w:rsid w:val="00302BFE"/>
    <w:pPr>
      <w:spacing w:after="0" w:line="240" w:lineRule="auto"/>
    </w:pPr>
    <w:rPr>
      <w:rFonts w:ascii="Calibri" w:eastAsia="Calibri" w:hAnsi="Calibri" w:cs="Times New Roman"/>
      <w:lang w:val="fr-FR"/>
    </w:rPr>
    <w:tblPr>
      <w:tblStyleRowBandSize w:val="1"/>
      <w:tblStyleColBandSize w:val="1"/>
      <w:tblInd w:w="0" w:type="nil"/>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TableauGrille1Clair-Accentuation11">
    <w:name w:val="Tableau Grille 1 Clair - Accentuation 11"/>
    <w:basedOn w:val="TableauNormal"/>
    <w:uiPriority w:val="46"/>
    <w:rsid w:val="00302BFE"/>
    <w:pPr>
      <w:spacing w:after="0" w:line="240" w:lineRule="auto"/>
    </w:pPr>
    <w:rPr>
      <w:rFonts w:ascii="Calibri" w:eastAsia="Calibri" w:hAnsi="Calibri" w:cs="Times New Roman"/>
      <w:lang w:val="fr-FR"/>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A0">
    <w:name w:val="A0"/>
    <w:uiPriority w:val="99"/>
    <w:rsid w:val="00302BFE"/>
    <w:rPr>
      <w:rFonts w:ascii="Univers Next Pro" w:hAnsi="Univers Next Pro" w:cs="Univers Next Pro" w:hint="default"/>
      <w:color w:val="000000"/>
      <w:sz w:val="20"/>
      <w:szCs w:val="20"/>
    </w:rPr>
  </w:style>
  <w:style w:type="character" w:customStyle="1" w:styleId="PIFParaChar">
    <w:name w:val="PIF Para Char"/>
    <w:link w:val="PIFPara"/>
    <w:locked/>
    <w:rsid w:val="00302BFE"/>
    <w:rPr>
      <w:rFonts w:ascii="Times New Roman" w:eastAsia="Times New Roman" w:hAnsi="Times New Roman"/>
    </w:rPr>
  </w:style>
  <w:style w:type="paragraph" w:customStyle="1" w:styleId="PIFPara">
    <w:name w:val="PIF Para"/>
    <w:basedOn w:val="Normal"/>
    <w:link w:val="PIFParaChar"/>
    <w:qFormat/>
    <w:rsid w:val="00302BFE"/>
    <w:pPr>
      <w:numPr>
        <w:numId w:val="47"/>
      </w:numPr>
      <w:suppressAutoHyphens/>
      <w:autoSpaceDN w:val="0"/>
      <w:spacing w:after="100"/>
    </w:pPr>
    <w:rPr>
      <w:rFonts w:ascii="Times New Roman" w:eastAsia="Times New Roman" w:hAnsi="Times New Roman" w:cstheme="minorBidi"/>
      <w:sz w:val="22"/>
      <w:szCs w:val="22"/>
      <w:lang w:val="fr-CA"/>
    </w:rPr>
  </w:style>
  <w:style w:type="paragraph" w:styleId="Rvision">
    <w:name w:val="Revision"/>
    <w:hidden/>
    <w:uiPriority w:val="99"/>
    <w:semiHidden/>
    <w:rsid w:val="00A63E29"/>
    <w:pPr>
      <w:spacing w:after="0" w:line="240" w:lineRule="auto"/>
    </w:pPr>
    <w:rPr>
      <w:rFonts w:ascii="Calibri" w:eastAsia="SimSun" w:hAnsi="Calibri" w:cs="Times New Roman"/>
      <w:sz w:val="20"/>
      <w:szCs w:val="24"/>
      <w:lang w:val="en-US"/>
    </w:rPr>
  </w:style>
  <w:style w:type="paragraph" w:customStyle="1" w:styleId="fn1">
    <w:name w:val="fn1"/>
    <w:basedOn w:val="Normal"/>
    <w:next w:val="Notedebasdepage"/>
    <w:uiPriority w:val="99"/>
    <w:qFormat/>
    <w:rsid w:val="0071360F"/>
    <w:pPr>
      <w:widowControl w:val="0"/>
      <w:spacing w:after="0"/>
    </w:pPr>
    <w:rPr>
      <w:rFonts w:eastAsiaTheme="minorHAnsi" w:cstheme="minorBidi"/>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69267">
      <w:bodyDiv w:val="1"/>
      <w:marLeft w:val="0"/>
      <w:marRight w:val="0"/>
      <w:marTop w:val="0"/>
      <w:marBottom w:val="0"/>
      <w:divBdr>
        <w:top w:val="none" w:sz="0" w:space="0" w:color="auto"/>
        <w:left w:val="none" w:sz="0" w:space="0" w:color="auto"/>
        <w:bottom w:val="none" w:sz="0" w:space="0" w:color="auto"/>
        <w:right w:val="none" w:sz="0" w:space="0" w:color="auto"/>
      </w:divBdr>
    </w:div>
    <w:div w:id="236746576">
      <w:bodyDiv w:val="1"/>
      <w:marLeft w:val="0"/>
      <w:marRight w:val="0"/>
      <w:marTop w:val="0"/>
      <w:marBottom w:val="0"/>
      <w:divBdr>
        <w:top w:val="none" w:sz="0" w:space="0" w:color="auto"/>
        <w:left w:val="none" w:sz="0" w:space="0" w:color="auto"/>
        <w:bottom w:val="none" w:sz="0" w:space="0" w:color="auto"/>
        <w:right w:val="none" w:sz="0" w:space="0" w:color="auto"/>
      </w:divBdr>
    </w:div>
    <w:div w:id="522088679">
      <w:bodyDiv w:val="1"/>
      <w:marLeft w:val="0"/>
      <w:marRight w:val="0"/>
      <w:marTop w:val="0"/>
      <w:marBottom w:val="0"/>
      <w:divBdr>
        <w:top w:val="none" w:sz="0" w:space="0" w:color="auto"/>
        <w:left w:val="none" w:sz="0" w:space="0" w:color="auto"/>
        <w:bottom w:val="none" w:sz="0" w:space="0" w:color="auto"/>
        <w:right w:val="none" w:sz="0" w:space="0" w:color="auto"/>
      </w:divBdr>
    </w:div>
    <w:div w:id="554857669">
      <w:bodyDiv w:val="1"/>
      <w:marLeft w:val="0"/>
      <w:marRight w:val="0"/>
      <w:marTop w:val="0"/>
      <w:marBottom w:val="0"/>
      <w:divBdr>
        <w:top w:val="none" w:sz="0" w:space="0" w:color="auto"/>
        <w:left w:val="none" w:sz="0" w:space="0" w:color="auto"/>
        <w:bottom w:val="none" w:sz="0" w:space="0" w:color="auto"/>
        <w:right w:val="none" w:sz="0" w:space="0" w:color="auto"/>
      </w:divBdr>
    </w:div>
    <w:div w:id="695883563">
      <w:bodyDiv w:val="1"/>
      <w:marLeft w:val="0"/>
      <w:marRight w:val="0"/>
      <w:marTop w:val="0"/>
      <w:marBottom w:val="0"/>
      <w:divBdr>
        <w:top w:val="none" w:sz="0" w:space="0" w:color="auto"/>
        <w:left w:val="none" w:sz="0" w:space="0" w:color="auto"/>
        <w:bottom w:val="none" w:sz="0" w:space="0" w:color="auto"/>
        <w:right w:val="none" w:sz="0" w:space="0" w:color="auto"/>
      </w:divBdr>
    </w:div>
    <w:div w:id="872809501">
      <w:bodyDiv w:val="1"/>
      <w:marLeft w:val="0"/>
      <w:marRight w:val="0"/>
      <w:marTop w:val="0"/>
      <w:marBottom w:val="0"/>
      <w:divBdr>
        <w:top w:val="none" w:sz="0" w:space="0" w:color="auto"/>
        <w:left w:val="none" w:sz="0" w:space="0" w:color="auto"/>
        <w:bottom w:val="none" w:sz="0" w:space="0" w:color="auto"/>
        <w:right w:val="none" w:sz="0" w:space="0" w:color="auto"/>
      </w:divBdr>
    </w:div>
    <w:div w:id="1112896388">
      <w:bodyDiv w:val="1"/>
      <w:marLeft w:val="0"/>
      <w:marRight w:val="0"/>
      <w:marTop w:val="0"/>
      <w:marBottom w:val="0"/>
      <w:divBdr>
        <w:top w:val="none" w:sz="0" w:space="0" w:color="auto"/>
        <w:left w:val="none" w:sz="0" w:space="0" w:color="auto"/>
        <w:bottom w:val="none" w:sz="0" w:space="0" w:color="auto"/>
        <w:right w:val="none" w:sz="0" w:space="0" w:color="auto"/>
      </w:divBdr>
    </w:div>
    <w:div w:id="1171143173">
      <w:bodyDiv w:val="1"/>
      <w:marLeft w:val="0"/>
      <w:marRight w:val="0"/>
      <w:marTop w:val="0"/>
      <w:marBottom w:val="0"/>
      <w:divBdr>
        <w:top w:val="none" w:sz="0" w:space="0" w:color="auto"/>
        <w:left w:val="none" w:sz="0" w:space="0" w:color="auto"/>
        <w:bottom w:val="none" w:sz="0" w:space="0" w:color="auto"/>
        <w:right w:val="none" w:sz="0" w:space="0" w:color="auto"/>
      </w:divBdr>
    </w:div>
    <w:div w:id="1423990483">
      <w:bodyDiv w:val="1"/>
      <w:marLeft w:val="0"/>
      <w:marRight w:val="0"/>
      <w:marTop w:val="0"/>
      <w:marBottom w:val="0"/>
      <w:divBdr>
        <w:top w:val="none" w:sz="0" w:space="0" w:color="auto"/>
        <w:left w:val="none" w:sz="0" w:space="0" w:color="auto"/>
        <w:bottom w:val="none" w:sz="0" w:space="0" w:color="auto"/>
        <w:right w:val="none" w:sz="0" w:space="0" w:color="auto"/>
      </w:divBdr>
    </w:div>
    <w:div w:id="1485665425">
      <w:bodyDiv w:val="1"/>
      <w:marLeft w:val="0"/>
      <w:marRight w:val="0"/>
      <w:marTop w:val="0"/>
      <w:marBottom w:val="0"/>
      <w:divBdr>
        <w:top w:val="none" w:sz="0" w:space="0" w:color="auto"/>
        <w:left w:val="none" w:sz="0" w:space="0" w:color="auto"/>
        <w:bottom w:val="none" w:sz="0" w:space="0" w:color="auto"/>
        <w:right w:val="none" w:sz="0" w:space="0" w:color="auto"/>
      </w:divBdr>
    </w:div>
    <w:div w:id="1574897473">
      <w:bodyDiv w:val="1"/>
      <w:marLeft w:val="0"/>
      <w:marRight w:val="0"/>
      <w:marTop w:val="0"/>
      <w:marBottom w:val="0"/>
      <w:divBdr>
        <w:top w:val="none" w:sz="0" w:space="0" w:color="auto"/>
        <w:left w:val="none" w:sz="0" w:space="0" w:color="auto"/>
        <w:bottom w:val="none" w:sz="0" w:space="0" w:color="auto"/>
        <w:right w:val="none" w:sz="0" w:space="0" w:color="auto"/>
      </w:divBdr>
    </w:div>
    <w:div w:id="1585409874">
      <w:bodyDiv w:val="1"/>
      <w:marLeft w:val="0"/>
      <w:marRight w:val="0"/>
      <w:marTop w:val="0"/>
      <w:marBottom w:val="0"/>
      <w:divBdr>
        <w:top w:val="none" w:sz="0" w:space="0" w:color="auto"/>
        <w:left w:val="none" w:sz="0" w:space="0" w:color="auto"/>
        <w:bottom w:val="none" w:sz="0" w:space="0" w:color="auto"/>
        <w:right w:val="none" w:sz="0" w:space="0" w:color="auto"/>
      </w:divBdr>
    </w:div>
    <w:div w:id="1615669168">
      <w:bodyDiv w:val="1"/>
      <w:marLeft w:val="0"/>
      <w:marRight w:val="0"/>
      <w:marTop w:val="0"/>
      <w:marBottom w:val="0"/>
      <w:divBdr>
        <w:top w:val="none" w:sz="0" w:space="0" w:color="auto"/>
        <w:left w:val="none" w:sz="0" w:space="0" w:color="auto"/>
        <w:bottom w:val="none" w:sz="0" w:space="0" w:color="auto"/>
        <w:right w:val="none" w:sz="0" w:space="0" w:color="auto"/>
      </w:divBdr>
    </w:div>
    <w:div w:id="1618831577">
      <w:bodyDiv w:val="1"/>
      <w:marLeft w:val="0"/>
      <w:marRight w:val="0"/>
      <w:marTop w:val="0"/>
      <w:marBottom w:val="0"/>
      <w:divBdr>
        <w:top w:val="none" w:sz="0" w:space="0" w:color="auto"/>
        <w:left w:val="none" w:sz="0" w:space="0" w:color="auto"/>
        <w:bottom w:val="none" w:sz="0" w:space="0" w:color="auto"/>
        <w:right w:val="none" w:sz="0" w:space="0" w:color="auto"/>
      </w:divBdr>
    </w:div>
    <w:div w:id="1633554651">
      <w:bodyDiv w:val="1"/>
      <w:marLeft w:val="0"/>
      <w:marRight w:val="0"/>
      <w:marTop w:val="0"/>
      <w:marBottom w:val="0"/>
      <w:divBdr>
        <w:top w:val="none" w:sz="0" w:space="0" w:color="auto"/>
        <w:left w:val="none" w:sz="0" w:space="0" w:color="auto"/>
        <w:bottom w:val="none" w:sz="0" w:space="0" w:color="auto"/>
        <w:right w:val="none" w:sz="0" w:space="0" w:color="auto"/>
      </w:divBdr>
    </w:div>
    <w:div w:id="1639070420">
      <w:bodyDiv w:val="1"/>
      <w:marLeft w:val="0"/>
      <w:marRight w:val="0"/>
      <w:marTop w:val="0"/>
      <w:marBottom w:val="0"/>
      <w:divBdr>
        <w:top w:val="none" w:sz="0" w:space="0" w:color="auto"/>
        <w:left w:val="none" w:sz="0" w:space="0" w:color="auto"/>
        <w:bottom w:val="none" w:sz="0" w:space="0" w:color="auto"/>
        <w:right w:val="none" w:sz="0" w:space="0" w:color="auto"/>
      </w:divBdr>
    </w:div>
    <w:div w:id="1850752675">
      <w:bodyDiv w:val="1"/>
      <w:marLeft w:val="0"/>
      <w:marRight w:val="0"/>
      <w:marTop w:val="0"/>
      <w:marBottom w:val="0"/>
      <w:divBdr>
        <w:top w:val="none" w:sz="0" w:space="0" w:color="auto"/>
        <w:left w:val="none" w:sz="0" w:space="0" w:color="auto"/>
        <w:bottom w:val="none" w:sz="0" w:space="0" w:color="auto"/>
        <w:right w:val="none" w:sz="0" w:space="0" w:color="auto"/>
      </w:divBdr>
    </w:div>
    <w:div w:id="2020548165">
      <w:bodyDiv w:val="1"/>
      <w:marLeft w:val="0"/>
      <w:marRight w:val="0"/>
      <w:marTop w:val="0"/>
      <w:marBottom w:val="0"/>
      <w:divBdr>
        <w:top w:val="none" w:sz="0" w:space="0" w:color="auto"/>
        <w:left w:val="none" w:sz="0" w:space="0" w:color="auto"/>
        <w:bottom w:val="none" w:sz="0" w:space="0" w:color="auto"/>
        <w:right w:val="none" w:sz="0" w:space="0" w:color="auto"/>
      </w:divBdr>
    </w:div>
    <w:div w:id="2024236430">
      <w:bodyDiv w:val="1"/>
      <w:marLeft w:val="0"/>
      <w:marRight w:val="0"/>
      <w:marTop w:val="0"/>
      <w:marBottom w:val="0"/>
      <w:divBdr>
        <w:top w:val="none" w:sz="0" w:space="0" w:color="auto"/>
        <w:left w:val="none" w:sz="0" w:space="0" w:color="auto"/>
        <w:bottom w:val="none" w:sz="0" w:space="0" w:color="auto"/>
        <w:right w:val="none" w:sz="0" w:space="0" w:color="auto"/>
      </w:divBdr>
    </w:div>
    <w:div w:id="2101759290">
      <w:bodyDiv w:val="1"/>
      <w:marLeft w:val="0"/>
      <w:marRight w:val="0"/>
      <w:marTop w:val="0"/>
      <w:marBottom w:val="0"/>
      <w:divBdr>
        <w:top w:val="none" w:sz="0" w:space="0" w:color="auto"/>
        <w:left w:val="none" w:sz="0" w:space="0" w:color="auto"/>
        <w:bottom w:val="none" w:sz="0" w:space="0" w:color="auto"/>
        <w:right w:val="none" w:sz="0" w:space="0" w:color="auto"/>
      </w:divBdr>
    </w:div>
    <w:div w:id="214631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footer" Target="footer2.xml"/><Relationship Id="rId42" Type="http://schemas.openxmlformats.org/officeDocument/2006/relationships/hyperlink" Target="http://www.un.org/sc/committees/1267/aq_sanctions_list.shtml" TargetMode="External"/><Relationship Id="rId47" Type="http://schemas.openxmlformats.org/officeDocument/2006/relationships/image" Target="media/image10.emf"/><Relationship Id="rId63" Type="http://schemas.openxmlformats.org/officeDocument/2006/relationships/hyperlink" Target="mailto:zoungramadou@gmail.com" TargetMode="External"/><Relationship Id="rId68" Type="http://schemas.openxmlformats.org/officeDocument/2006/relationships/hyperlink" Target="mailto:specialfirminho3@gmail.com" TargetMode="External"/><Relationship Id="rId84" Type="http://schemas.openxmlformats.org/officeDocument/2006/relationships/hyperlink" Target="mailto:sidikinama@yahoo.fr" TargetMode="External"/><Relationship Id="rId89" Type="http://schemas.openxmlformats.org/officeDocument/2006/relationships/hyperlink" Target="mailto:jgoungounga@yahoo.fr" TargetMode="External"/><Relationship Id="rId16" Type="http://schemas.openxmlformats.org/officeDocument/2006/relationships/hyperlink" Target="https://fr.wikipedia.org/wiki/Baz%C3%A8ga" TargetMode="External"/><Relationship Id="rId11" Type="http://schemas.openxmlformats.org/officeDocument/2006/relationships/image" Target="media/image1.jpeg"/><Relationship Id="rId32" Type="http://schemas.openxmlformats.org/officeDocument/2006/relationships/hyperlink" Target="https://www.thegef.org/documents/policies-guidelines" TargetMode="External"/><Relationship Id="rId37" Type="http://schemas.openxmlformats.org/officeDocument/2006/relationships/footer" Target="footer3.xml"/><Relationship Id="rId53" Type="http://schemas.openxmlformats.org/officeDocument/2006/relationships/image" Target="media/image13.png"/><Relationship Id="rId58" Type="http://schemas.openxmlformats.org/officeDocument/2006/relationships/hyperlink" Target="mailto:zoungramadou@gmail.com" TargetMode="External"/><Relationship Id="rId74" Type="http://schemas.openxmlformats.org/officeDocument/2006/relationships/hyperlink" Target="mailto:zongo.lucien@yahoo.fr" TargetMode="External"/><Relationship Id="rId79" Type="http://schemas.openxmlformats.org/officeDocument/2006/relationships/hyperlink" Target="mailto:kirkarabance@gmail.com" TargetMode="External"/><Relationship Id="rId5" Type="http://schemas.openxmlformats.org/officeDocument/2006/relationships/numbering" Target="numbering.xml"/><Relationship Id="rId90" Type="http://schemas.openxmlformats.org/officeDocument/2006/relationships/hyperlink" Target="mailto:orgiisghana@yahoo.com" TargetMode="External"/><Relationship Id="rId14" Type="http://schemas.openxmlformats.org/officeDocument/2006/relationships/image" Target="media/image3.png"/><Relationship Id="rId22" Type="http://schemas.openxmlformats.org/officeDocument/2006/relationships/image" Target="media/image5.png"/><Relationship Id="rId27" Type="http://schemas.openxmlformats.org/officeDocument/2006/relationships/hyperlink" Target="http://www.undp.org/ses" TargetMode="External"/><Relationship Id="rId30" Type="http://schemas.openxmlformats.org/officeDocument/2006/relationships/hyperlink" Target="https://www.thegef.org/sites/default/files/council-meeting-documents/GEF-C.56-03%2C%20Policy%20on%20Monitoring.pdf" TargetMode="External"/><Relationship Id="rId35" Type="http://schemas.openxmlformats.org/officeDocument/2006/relationships/hyperlink" Target="http://web.undp.org/evaluation/guidance.shtml" TargetMode="External"/><Relationship Id="rId43" Type="http://schemas.openxmlformats.org/officeDocument/2006/relationships/footer" Target="footer5.xml"/><Relationship Id="rId48" Type="http://schemas.openxmlformats.org/officeDocument/2006/relationships/package" Target="embeddings/Microsoft_PowerPoint_Slide.sldx"/><Relationship Id="rId56" Type="http://schemas.openxmlformats.org/officeDocument/2006/relationships/hyperlink" Target="mailto:monalastraore@yahoo.fr" TargetMode="External"/><Relationship Id="rId64" Type="http://schemas.openxmlformats.org/officeDocument/2006/relationships/hyperlink" Target="mailto:zclement@fasonet.bf" TargetMode="External"/><Relationship Id="rId69" Type="http://schemas.openxmlformats.org/officeDocument/2006/relationships/hyperlink" Target="mailto:narcissezongo3@gmail.com" TargetMode="External"/><Relationship Id="rId77" Type="http://schemas.openxmlformats.org/officeDocument/2006/relationships/hyperlink" Target="mailto:Petiraaouya05@gmail.com" TargetMode="External"/><Relationship Id="rId8" Type="http://schemas.openxmlformats.org/officeDocument/2006/relationships/webSettings" Target="webSettings.xml"/><Relationship Id="rId51" Type="http://schemas.openxmlformats.org/officeDocument/2006/relationships/image" Target="media/image12.png"/><Relationship Id="rId72" Type="http://schemas.openxmlformats.org/officeDocument/2006/relationships/hyperlink" Target="mailto:soro.z@yahoo.com" TargetMode="External"/><Relationship Id="rId80" Type="http://schemas.openxmlformats.org/officeDocument/2006/relationships/hyperlink" Target="mailto:Ouekane29@gmail.com" TargetMode="External"/><Relationship Id="rId85" Type="http://schemas.openxmlformats.org/officeDocument/2006/relationships/hyperlink" Target="mailto:Tamedee13@gmail.com" TargetMode="Externa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fr.wikipedia.org/wiki/Nahouri_(province)" TargetMode="External"/><Relationship Id="rId25" Type="http://schemas.openxmlformats.org/officeDocument/2006/relationships/hyperlink" Target="https://www.ayeler.com/fr/content/fr/burkina-faso/ouagadougou/cfp-centre-de-formation-professionnel-valba" TargetMode="External"/><Relationship Id="rId33" Type="http://schemas.openxmlformats.org/officeDocument/2006/relationships/hyperlink" Target="https://www.thegef.org/sites/default/files/documents/Results_Guidelines.pdf" TargetMode="External"/><Relationship Id="rId38" Type="http://schemas.openxmlformats.org/officeDocument/2006/relationships/image" Target="media/image9.png"/><Relationship Id="rId46" Type="http://schemas.openxmlformats.org/officeDocument/2006/relationships/chart" Target="charts/chart1.xml"/><Relationship Id="rId59" Type="http://schemas.openxmlformats.org/officeDocument/2006/relationships/hyperlink" Target="mailto:nacro-bassirou@yahoo.fr" TargetMode="External"/><Relationship Id="rId67" Type="http://schemas.openxmlformats.org/officeDocument/2006/relationships/hyperlink" Target="mailto:tmathias.cde@gmail.com" TargetMode="External"/><Relationship Id="rId20" Type="http://schemas.openxmlformats.org/officeDocument/2006/relationships/footer" Target="footer1.xml"/><Relationship Id="rId41" Type="http://schemas.openxmlformats.org/officeDocument/2006/relationships/footer" Target="footer4.xml"/><Relationship Id="rId54" Type="http://schemas.openxmlformats.org/officeDocument/2006/relationships/chart" Target="charts/chart3.xml"/><Relationship Id="rId62" Type="http://schemas.openxmlformats.org/officeDocument/2006/relationships/hyperlink" Target="mailto:gansimobf91@gmail.com" TargetMode="External"/><Relationship Id="rId70" Type="http://schemas.openxmlformats.org/officeDocument/2006/relationships/hyperlink" Target="mailto:zoungramadou@gmail.com" TargetMode="External"/><Relationship Id="rId75" Type="http://schemas.openxmlformats.org/officeDocument/2006/relationships/hyperlink" Target="mailto:zoungramadou@gmail.com" TargetMode="External"/><Relationship Id="rId83" Type="http://schemas.openxmlformats.org/officeDocument/2006/relationships/hyperlink" Target="mailto:Ouedraogozoena03@gmail.com" TargetMode="External"/><Relationship Id="rId88" Type="http://schemas.openxmlformats.org/officeDocument/2006/relationships/hyperlink" Target="mailto:zoungramadou@gmail.com" TargetMode="External"/><Relationship Id="rId91"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eb.undp.org/evaluation/guidance.shtml" TargetMode="External"/><Relationship Id="rId23" Type="http://schemas.openxmlformats.org/officeDocument/2006/relationships/image" Target="media/image6.png"/><Relationship Id="rId28" Type="http://schemas.openxmlformats.org/officeDocument/2006/relationships/hyperlink" Target="http://www.undp.org/content/undp/en/home/operations/accountability/programme_and_operationspoliciesandprocedures.html" TargetMode="External"/><Relationship Id="rId36" Type="http://schemas.openxmlformats.org/officeDocument/2006/relationships/header" Target="header1.xml"/><Relationship Id="rId49" Type="http://schemas.openxmlformats.org/officeDocument/2006/relationships/image" Target="media/image11.emf"/><Relationship Id="rId57" Type="http://schemas.openxmlformats.org/officeDocument/2006/relationships/hyperlink" Target="mailto:yssoufyodah@gmail.com" TargetMode="External"/><Relationship Id="rId10" Type="http://schemas.openxmlformats.org/officeDocument/2006/relationships/endnotes" Target="endnotes.xml"/><Relationship Id="rId31" Type="http://schemas.openxmlformats.org/officeDocument/2006/relationships/hyperlink" Target="https://www.thegef.org/sites/default/files/council-meeting-documents/EN_GEF.ME_C56_02_GEF_Evaluation_Policy_May_2019_0.pdf" TargetMode="External"/><Relationship Id="rId44" Type="http://schemas.openxmlformats.org/officeDocument/2006/relationships/hyperlink" Target="http://www.undp.org/ses" TargetMode="External"/><Relationship Id="rId60" Type="http://schemas.openxmlformats.org/officeDocument/2006/relationships/hyperlink" Target="mailto:samamoud1@yahoo.fr" TargetMode="External"/><Relationship Id="rId65" Type="http://schemas.openxmlformats.org/officeDocument/2006/relationships/hyperlink" Target="mailto:valeriesondo@yahoo.fr" TargetMode="External"/><Relationship Id="rId73" Type="http://schemas.openxmlformats.org/officeDocument/2006/relationships/hyperlink" Target="mailto:yogoaouya@yahoo.fr" TargetMode="External"/><Relationship Id="rId78" Type="http://schemas.openxmlformats.org/officeDocument/2006/relationships/hyperlink" Target="mailto:diallodam17@gmail.com" TargetMode="External"/><Relationship Id="rId81" Type="http://schemas.openxmlformats.org/officeDocument/2006/relationships/hyperlink" Target="mailto:bahoupeta@yahoo.fr" TargetMode="External"/><Relationship Id="rId86" Type="http://schemas.openxmlformats.org/officeDocument/2006/relationships/hyperlink" Target="mailto:Willyamday12@gmail.com"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https://upload.wikimedia.org/wikipedia/commons/thumb/9/96/Coat_of_arms_of_Burkina_Faso.svg/88px-Coat_of_arms_of_Burkina_Faso.svg.png" TargetMode="External"/><Relationship Id="rId18" Type="http://schemas.openxmlformats.org/officeDocument/2006/relationships/hyperlink" Target="https://fr.wikipedia.org/wiki/Zoundw%C3%A9ogo" TargetMode="External"/><Relationship Id="rId39" Type="http://schemas.openxmlformats.org/officeDocument/2006/relationships/hyperlink" Target="https://www.thegef.org/sites/default/files/documents/GEF_Guidelines_Project_Program_Cycle_Policy_20200731.pdf" TargetMode="External"/><Relationship Id="rId34" Type="http://schemas.openxmlformats.org/officeDocument/2006/relationships/hyperlink" Target="http://web.undp.org/evaluation/guidance.shtml" TargetMode="External"/><Relationship Id="rId50" Type="http://schemas.openxmlformats.org/officeDocument/2006/relationships/chart" Target="charts/chart2.xml"/><Relationship Id="rId55" Type="http://schemas.openxmlformats.org/officeDocument/2006/relationships/image" Target="media/image13.jpeg"/><Relationship Id="rId76" Type="http://schemas.openxmlformats.org/officeDocument/2006/relationships/hyperlink" Target="mailto:wezibaz@gmail.com" TargetMode="External"/><Relationship Id="rId7" Type="http://schemas.openxmlformats.org/officeDocument/2006/relationships/settings" Target="settings.xml"/><Relationship Id="rId71" Type="http://schemas.openxmlformats.org/officeDocument/2006/relationships/hyperlink" Target="mailto:ReneAlampoua@mal.com" TargetMode="External"/><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www.undp.org/content/undp/en/home/operations/accountability/evaluation/evaluation_policyofundp.html" TargetMode="External"/><Relationship Id="rId24" Type="http://schemas.openxmlformats.org/officeDocument/2006/relationships/image" Target="media/image7.png"/><Relationship Id="rId40" Type="http://schemas.openxmlformats.org/officeDocument/2006/relationships/header" Target="header2.xml"/><Relationship Id="rId45" Type="http://schemas.openxmlformats.org/officeDocument/2006/relationships/hyperlink" Target="https://info.undp.org/sites/bpps/SES_Toolkit/_layouts/15/WopiFrame.aspx?sourcedoc=/sites/bpps/SES_Toolkit/SES%20Document%20Library/Uploaded%20October%202016/Indicative%20Outline%20of%20an%20ESMP.docx&amp;action=default" TargetMode="External"/><Relationship Id="rId66" Type="http://schemas.openxmlformats.org/officeDocument/2006/relationships/hyperlink" Target="mailto:boudaalexandre@yahoo.fr" TargetMode="External"/><Relationship Id="rId87" Type="http://schemas.openxmlformats.org/officeDocument/2006/relationships/hyperlink" Target="mailto:aliouwangr@gmail.com" TargetMode="External"/><Relationship Id="rId61" Type="http://schemas.openxmlformats.org/officeDocument/2006/relationships/hyperlink" Target="mailto:nebieboukary@gmail.com" TargetMode="External"/><Relationship Id="rId82" Type="http://schemas.openxmlformats.org/officeDocument/2006/relationships/hyperlink" Target="mailto:zoungramadou@gmail.com" TargetMode="External"/><Relationship Id="rId19" Type="http://schemas.openxmlformats.org/officeDocument/2006/relationships/image" Target="media/image4.jpeg"/></Relationships>
</file>

<file path=word/_rels/footnotes.xml.rels><?xml version="1.0" encoding="UTF-8" standalone="yes"?>
<Relationships xmlns="http://schemas.openxmlformats.org/package/2006/relationships"><Relationship Id="rId3" Type="http://schemas.openxmlformats.org/officeDocument/2006/relationships/hyperlink" Target="http://nbsapforum.net/knowledge-base/resource/pa-business-plan-catalogue-business-planning-protected-areas" TargetMode="External"/><Relationship Id="rId7" Type="http://schemas.openxmlformats.org/officeDocument/2006/relationships/hyperlink" Target="mailto:cvermeulen.ac.be" TargetMode="External"/><Relationship Id="rId2" Type="http://schemas.openxmlformats.org/officeDocument/2006/relationships/hyperlink" Target="https://conservationaction.co.za/resources/reports/effects-trophy-hunting-five-africas-iconic-wild-animal-populations-six-countries-analysis/" TargetMode="External"/><Relationship Id="rId1" Type="http://schemas.openxmlformats.org/officeDocument/2006/relationships/hyperlink" Target="http://datazone.birdlife.org/site/factsheet/kabor&#233;-tambi--nazinga--sissili-complex-iba-burkina-faso" TargetMode="External"/><Relationship Id="rId6" Type="http://schemas.openxmlformats.org/officeDocument/2006/relationships/hyperlink" Target="http://www.parks.it/world/BF/parco.kabore.tambi/Fpar.html" TargetMode="External"/><Relationship Id="rId5" Type="http://schemas.openxmlformats.org/officeDocument/2006/relationships/hyperlink" Target="https://popp.undp.org/_layouts/15/WopiFrame.aspx?sourcedoc=/UNDP_POPP_DOCUMENT_LIBRARY/Public/PPM_Project%20Management_Closing.docx&amp;action=default" TargetMode="External"/><Relationship Id="rId4" Type="http://schemas.openxmlformats.org/officeDocument/2006/relationships/hyperlink" Target="https://www.thegef.org/gef/policies_guidelines"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PC-HP\Documents\Documents\BERACIL\2018\PNUD\ANALYSE\niveau%20de%20vie.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PC-HP\Documents\Documents\BERACIL\2018\PNUD\ANALYSE\niveau%20de%20vie.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User\Documents\BERACIL\OFFRES%20TECHNIQUES%20ET%20FINANCIERES\PFNL\NATURAMA\Analyse\acteur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2598-4792-B2C2-4B9A39659A99}"/>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2598-4792-B2C2-4B9A39659A99}"/>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2598-4792-B2C2-4B9A39659A9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BF"/>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Feuil1!$J$3:$L$3</c:f>
              <c:strCache>
                <c:ptCount val="3"/>
                <c:pt idx="0">
                  <c:v>Niveau bas</c:v>
                </c:pt>
                <c:pt idx="1">
                  <c:v>Niveau moyen</c:v>
                </c:pt>
                <c:pt idx="2">
                  <c:v>Niveau élevé</c:v>
                </c:pt>
              </c:strCache>
            </c:strRef>
          </c:cat>
          <c:val>
            <c:numRef>
              <c:f>Feuil1!$J$4:$L$4</c:f>
              <c:numCache>
                <c:formatCode>General</c:formatCode>
                <c:ptCount val="3"/>
                <c:pt idx="0">
                  <c:v>61</c:v>
                </c:pt>
                <c:pt idx="1">
                  <c:v>30</c:v>
                </c:pt>
                <c:pt idx="2">
                  <c:v>9</c:v>
                </c:pt>
              </c:numCache>
            </c:numRef>
          </c:val>
          <c:extLst>
            <c:ext xmlns:c16="http://schemas.microsoft.com/office/drawing/2014/chart" uri="{C3380CC4-5D6E-409C-BE32-E72D297353CC}">
              <c16:uniqueId val="{00000006-2598-4792-B2C2-4B9A39659A99}"/>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BF"/>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BF"/>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E3DB-4BB9-B57A-3FD2AD382F26}"/>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E3DB-4BB9-B57A-3FD2AD382F26}"/>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E3DB-4BB9-B57A-3FD2AD382F2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BF"/>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Feuil1!$J$3:$L$3</c:f>
              <c:strCache>
                <c:ptCount val="3"/>
                <c:pt idx="0">
                  <c:v>Pauvres</c:v>
                </c:pt>
                <c:pt idx="1">
                  <c:v>Moyennement riches</c:v>
                </c:pt>
                <c:pt idx="2">
                  <c:v>Riches</c:v>
                </c:pt>
              </c:strCache>
            </c:strRef>
          </c:cat>
          <c:val>
            <c:numRef>
              <c:f>Feuil1!$J$4:$L$4</c:f>
              <c:numCache>
                <c:formatCode>General</c:formatCode>
                <c:ptCount val="3"/>
                <c:pt idx="0">
                  <c:v>61</c:v>
                </c:pt>
                <c:pt idx="1">
                  <c:v>30</c:v>
                </c:pt>
                <c:pt idx="2">
                  <c:v>9</c:v>
                </c:pt>
              </c:numCache>
            </c:numRef>
          </c:val>
          <c:extLst>
            <c:ext xmlns:c16="http://schemas.microsoft.com/office/drawing/2014/chart" uri="{C3380CC4-5D6E-409C-BE32-E72D297353CC}">
              <c16:uniqueId val="{00000006-E3DB-4BB9-B57A-3FD2AD382F26}"/>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BF"/>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BF"/>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dLbl>
              <c:idx val="0"/>
              <c:layout>
                <c:manualLayout>
                  <c:x val="-1.5337148321355467E-3"/>
                  <c:y val="-1.9420679605454227E-1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F02-4857-BD79-A3D5CB008A79}"/>
                </c:ext>
              </c:extLst>
            </c:dLbl>
            <c:dLbl>
              <c:idx val="1"/>
              <c:layout>
                <c:manualLayout>
                  <c:x val="-4.6962701768540789E-3"/>
                  <c:y val="-9.7103398027271136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F02-4857-BD79-A3D5CB008A79}"/>
                </c:ext>
              </c:extLst>
            </c:dLbl>
            <c:dLbl>
              <c:idx val="2"/>
              <c:layout>
                <c:manualLayout>
                  <c:x val="-1.533714832135604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F02-4857-BD79-A3D5CB008A79}"/>
                </c:ext>
              </c:extLst>
            </c:dLbl>
            <c:dLbl>
              <c:idx val="3"/>
              <c:layout>
                <c:manualLayout>
                  <c:x val="2.3731616090688959E-4"/>
                  <c:y val="-9.7103398027271136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02-4857-BD79-A3D5CB008A79}"/>
                </c:ext>
              </c:extLst>
            </c:dLbl>
            <c:dLbl>
              <c:idx val="4"/>
              <c:layout>
                <c:manualLayout>
                  <c:x val="8.2921205058095818E-3"/>
                  <c:y val="-9.7103398027271136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F02-4857-BD79-A3D5CB008A7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fr-BF"/>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Feuil1!$G$13:$G$25</c:f>
              <c:strCache>
                <c:ptCount val="13"/>
                <c:pt idx="0">
                  <c:v>beurre de karité</c:v>
                </c:pt>
                <c:pt idx="1">
                  <c:v>savon de beurre de karite</c:v>
                </c:pt>
                <c:pt idx="2">
                  <c:v>soumbala</c:v>
                </c:pt>
                <c:pt idx="3">
                  <c:v>amandes de karité</c:v>
                </c:pt>
                <c:pt idx="4">
                  <c:v>graines de néré</c:v>
                </c:pt>
                <c:pt idx="5">
                  <c:v>liane goïne</c:v>
                </c:pt>
                <c:pt idx="6">
                  <c:v>baobab</c:v>
                </c:pt>
                <c:pt idx="7">
                  <c:v>tamarin</c:v>
                </c:pt>
                <c:pt idx="8">
                  <c:v>detarium</c:v>
                </c:pt>
                <c:pt idx="9">
                  <c:v>calices de bombax </c:v>
                </c:pt>
                <c:pt idx="10">
                  <c:v>zamné</c:v>
                </c:pt>
                <c:pt idx="11">
                  <c:v>raisin</c:v>
                </c:pt>
                <c:pt idx="12">
                  <c:v>miel</c:v>
                </c:pt>
              </c:strCache>
            </c:strRef>
          </c:cat>
          <c:val>
            <c:numRef>
              <c:f>Feuil1!$H$13:$H$25</c:f>
              <c:numCache>
                <c:formatCode>0.00</c:formatCode>
                <c:ptCount val="13"/>
                <c:pt idx="0">
                  <c:v>54.933586337760907</c:v>
                </c:pt>
                <c:pt idx="1">
                  <c:v>13.472485768500949</c:v>
                </c:pt>
                <c:pt idx="2">
                  <c:v>12.23908918406072</c:v>
                </c:pt>
                <c:pt idx="3">
                  <c:v>9.3927893738140416</c:v>
                </c:pt>
                <c:pt idx="4">
                  <c:v>3.9848197343453511</c:v>
                </c:pt>
                <c:pt idx="5">
                  <c:v>1.4231499051233396</c:v>
                </c:pt>
                <c:pt idx="6">
                  <c:v>1.1385199240986716</c:v>
                </c:pt>
                <c:pt idx="7">
                  <c:v>0.94876660341555974</c:v>
                </c:pt>
                <c:pt idx="8">
                  <c:v>0.94876660341555974</c:v>
                </c:pt>
                <c:pt idx="9">
                  <c:v>0.85388994307400379</c:v>
                </c:pt>
                <c:pt idx="10">
                  <c:v>0.28462998102466791</c:v>
                </c:pt>
                <c:pt idx="11">
                  <c:v>0.18975332068311196</c:v>
                </c:pt>
                <c:pt idx="12">
                  <c:v>0.18975332068311196</c:v>
                </c:pt>
              </c:numCache>
            </c:numRef>
          </c:val>
          <c:extLst>
            <c:ext xmlns:c16="http://schemas.microsoft.com/office/drawing/2014/chart" uri="{C3380CC4-5D6E-409C-BE32-E72D297353CC}">
              <c16:uniqueId val="{00000005-DF02-4857-BD79-A3D5CB008A79}"/>
            </c:ext>
          </c:extLst>
        </c:ser>
        <c:dLbls>
          <c:dLblPos val="inEnd"/>
          <c:showLegendKey val="0"/>
          <c:showVal val="1"/>
          <c:showCatName val="0"/>
          <c:showSerName val="0"/>
          <c:showPercent val="0"/>
          <c:showBubbleSize val="0"/>
        </c:dLbls>
        <c:gapWidth val="100"/>
        <c:axId val="1849953072"/>
        <c:axId val="1849949264"/>
      </c:barChart>
      <c:catAx>
        <c:axId val="184995307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BF"/>
          </a:p>
        </c:txPr>
        <c:crossAx val="1849949264"/>
        <c:crosses val="autoZero"/>
        <c:auto val="1"/>
        <c:lblAlgn val="ctr"/>
        <c:lblOffset val="100"/>
        <c:noMultiLvlLbl val="0"/>
      </c:catAx>
      <c:valAx>
        <c:axId val="1849949264"/>
        <c:scaling>
          <c:orientation val="minMax"/>
        </c:scaling>
        <c:delete val="0"/>
        <c:axPos val="b"/>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BF"/>
          </a:p>
        </c:txPr>
        <c:crossAx val="1849953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fr-BF"/>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B0306 - Burkina Faso - Ouagadougou</OfficeCountry>
    <DocumentStatus xmlns="d9cf0e28-81d2-4dc7-8b10-820d80ed680d">Approved</DocumentStatus>
    <DocCoverageEndDate xmlns="d9cf0e28-81d2-4dc7-8b10-820d80ed680d">2029-09-30T04:00:00+00:00</DocCoverageEndDate>
    <TaxCatchAll xmlns="e91d5986-7c29-4ed1-8a54-b8fb378ed474" xsi:nil="true"/>
    <FunctionalArea xmlns="d9cf0e28-81d2-4dc7-8b10-820d80ed680d">Programme and Project</FunctionalArea>
    <FileNameDescription xmlns="d9cf0e28-81d2-4dc7-8b10-820d80ed680d">PRODOC</FileNameDescription>
    <ProjectNumber xmlns="d9cf0e28-81d2-4dc7-8b10-820d80ed680d">00090370</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UNDP-BFA</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2023-10-31T04:00:00+00:00</DocCoverageStartDate>
    <FileClassificationMode xmlns="d9cf0e28-81d2-4dc7-8b10-820d80ed680d">Public</FileClassificationMode>
    <OutputNumber xmlns="d9cf0e28-81d2-4dc7-8b10-820d80ed680d">00096170</Output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FEDB03-0D95-4FDF-A2C0-7BF649FECD66}">
  <ds:schemaRefs>
    <ds:schemaRef ds:uri="http://schemas.microsoft.com/sharepoint/v3/contenttype/forms"/>
  </ds:schemaRefs>
</ds:datastoreItem>
</file>

<file path=customXml/itemProps2.xml><?xml version="1.0" encoding="utf-8"?>
<ds:datastoreItem xmlns:ds="http://schemas.openxmlformats.org/officeDocument/2006/customXml" ds:itemID="{98EB7D40-B649-4A15-BD84-CDA01B8CA1B9}">
  <ds:schemaRefs>
    <ds:schemaRef ds:uri="http://schemas.openxmlformats.org/officeDocument/2006/bibliography"/>
  </ds:schemaRefs>
</ds:datastoreItem>
</file>

<file path=customXml/itemProps3.xml><?xml version="1.0" encoding="utf-8"?>
<ds:datastoreItem xmlns:ds="http://schemas.openxmlformats.org/officeDocument/2006/customXml" ds:itemID="{041CE3C3-FB05-4B46-BCA3-03B1A355D5F0}">
  <ds:schemaRefs>
    <ds:schemaRef ds:uri="http://schemas.microsoft.com/office/2006/metadata/properties"/>
    <ds:schemaRef ds:uri="http://schemas.microsoft.com/office/infopath/2007/PartnerControls"/>
    <ds:schemaRef ds:uri="e9b548e8-1e48-435e-a2db-98fbe6d65f1a"/>
  </ds:schemaRefs>
</ds:datastoreItem>
</file>

<file path=customXml/itemProps4.xml><?xml version="1.0" encoding="utf-8"?>
<ds:datastoreItem xmlns:ds="http://schemas.openxmlformats.org/officeDocument/2006/customXml" ds:itemID="{1D50898B-BD5A-49B7-824F-D64CDBE2B008}"/>
</file>

<file path=docProps/app.xml><?xml version="1.0" encoding="utf-8"?>
<Properties xmlns="http://schemas.openxmlformats.org/officeDocument/2006/extended-properties" xmlns:vt="http://schemas.openxmlformats.org/officeDocument/2006/docPropsVTypes">
  <Template>Normal</Template>
  <TotalTime>1</TotalTime>
  <Pages>221</Pages>
  <Words>133564</Words>
  <Characters>761317</Characters>
  <Application>Microsoft Office Word</Application>
  <DocSecurity>0</DocSecurity>
  <Lines>6344</Lines>
  <Paragraphs>1786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893095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Dominique Roby</dc:creator>
  <cp:keywords/>
  <dc:description/>
  <cp:lastModifiedBy>Clarisse Coulibaly</cp:lastModifiedBy>
  <cp:revision>2</cp:revision>
  <cp:lastPrinted>2020-11-24T12:29:00Z</cp:lastPrinted>
  <dcterms:created xsi:type="dcterms:W3CDTF">2023-07-28T10:41:00Z</dcterms:created>
  <dcterms:modified xsi:type="dcterms:W3CDTF">2023-07-28T10:41:00Z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